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F70554" w14:paraId="367B1E59" w14:textId="77777777" w:rsidTr="001065E9">
        <w:trPr>
          <w:trHeight w:val="850"/>
        </w:trPr>
        <w:tc>
          <w:tcPr>
            <w:tcW w:w="975" w:type="dxa"/>
            <w:vAlign w:val="bottom"/>
          </w:tcPr>
          <w:p w14:paraId="3C85802C" w14:textId="77777777" w:rsidR="005012FC" w:rsidRPr="00F70554" w:rsidRDefault="005012FC" w:rsidP="005012FC">
            <w:pPr>
              <w:pStyle w:val="AASmallLogo"/>
            </w:pPr>
            <w:r w:rsidRPr="00F70554">
              <w:rPr>
                <w:noProof/>
                <w:lang w:eastAsia="en-CA"/>
              </w:rPr>
              <w:drawing>
                <wp:inline distT="0" distB="0" distL="0" distR="0" wp14:anchorId="1E47B253" wp14:editId="7216757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F70554">
              <w:t xml:space="preserve"> </w:t>
            </w:r>
          </w:p>
          <w:p w14:paraId="6892E6BB" w14:textId="77777777" w:rsidR="001065E9" w:rsidRPr="00F70554" w:rsidRDefault="001065E9" w:rsidP="005012FC">
            <w:pPr>
              <w:pStyle w:val="AASmallLogo"/>
            </w:pPr>
          </w:p>
        </w:tc>
        <w:tc>
          <w:tcPr>
            <w:tcW w:w="1434" w:type="dxa"/>
            <w:noWrap/>
            <w:vAlign w:val="bottom"/>
          </w:tcPr>
          <w:p w14:paraId="66AA9076" w14:textId="77777777" w:rsidR="005012FC" w:rsidRPr="00F70554" w:rsidRDefault="005012FC" w:rsidP="005012FC">
            <w:pPr>
              <w:pStyle w:val="AASmallLogo"/>
            </w:pPr>
            <w:r w:rsidRPr="00F70554">
              <w:rPr>
                <w:noProof/>
                <w:lang w:eastAsia="en-CA"/>
              </w:rPr>
              <w:drawing>
                <wp:inline distT="0" distB="0" distL="0" distR="0" wp14:anchorId="3571BA04" wp14:editId="66FA0BBC">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F70554">
              <w:t xml:space="preserve"> </w:t>
            </w:r>
          </w:p>
          <w:p w14:paraId="3874FAB9" w14:textId="77777777" w:rsidR="001065E9" w:rsidRPr="00F70554" w:rsidRDefault="001065E9" w:rsidP="005012FC">
            <w:pPr>
              <w:pStyle w:val="AASmallLogo"/>
            </w:pPr>
          </w:p>
        </w:tc>
        <w:tc>
          <w:tcPr>
            <w:tcW w:w="8073" w:type="dxa"/>
            <w:vAlign w:val="bottom"/>
          </w:tcPr>
          <w:p w14:paraId="7AC36EB5" w14:textId="42E485DE" w:rsidR="001065E9" w:rsidRPr="00F70554" w:rsidRDefault="009C0BBB" w:rsidP="00F12734">
            <w:pPr>
              <w:pStyle w:val="ABSymbol"/>
            </w:pPr>
            <w:r w:rsidRPr="00F70554">
              <w:rPr>
                <w:sz w:val="40"/>
              </w:rPr>
              <w:t>CBD</w:t>
            </w:r>
            <w:r w:rsidR="005012FC" w:rsidRPr="00F70554">
              <w:t>/</w:t>
            </w:r>
            <w:r w:rsidRPr="00F70554">
              <w:t>SBSTTA</w:t>
            </w:r>
            <w:r w:rsidR="005012FC" w:rsidRPr="00F70554">
              <w:t>/</w:t>
            </w:r>
            <w:r w:rsidRPr="00F70554">
              <w:t>27/</w:t>
            </w:r>
            <w:r w:rsidR="00DF5D22" w:rsidRPr="00F70554">
              <w:t>INF/</w:t>
            </w:r>
            <w:r w:rsidR="00C1784F" w:rsidRPr="00F70554">
              <w:t>3</w:t>
            </w:r>
          </w:p>
        </w:tc>
      </w:tr>
    </w:tbl>
    <w:p w14:paraId="2C481B45" w14:textId="77777777" w:rsidR="009F67EB" w:rsidRPr="00F70554"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F70554" w14:paraId="1C0EE05A" w14:textId="77777777" w:rsidTr="001065E9">
        <w:trPr>
          <w:trHeight w:val="1814"/>
        </w:trPr>
        <w:tc>
          <w:tcPr>
            <w:tcW w:w="7370" w:type="dxa"/>
          </w:tcPr>
          <w:p w14:paraId="654ADEDC" w14:textId="77777777" w:rsidR="005012FC" w:rsidRPr="00F70554" w:rsidRDefault="005012FC" w:rsidP="005012FC">
            <w:pPr>
              <w:pStyle w:val="ACLargeLogo"/>
            </w:pPr>
            <w:r w:rsidRPr="00F70554">
              <w:rPr>
                <w:noProof/>
                <w:lang w:eastAsia="en-CA"/>
              </w:rPr>
              <w:drawing>
                <wp:inline distT="0" distB="0" distL="0" distR="0" wp14:anchorId="21A114CC" wp14:editId="3BA7A65C">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F70554">
              <w:t xml:space="preserve"> </w:t>
            </w:r>
          </w:p>
          <w:p w14:paraId="045491FD" w14:textId="77777777" w:rsidR="001065E9" w:rsidRPr="00F70554" w:rsidRDefault="001065E9" w:rsidP="005012FC">
            <w:pPr>
              <w:pStyle w:val="ACLargeLogo"/>
            </w:pPr>
          </w:p>
        </w:tc>
        <w:tc>
          <w:tcPr>
            <w:tcW w:w="3112" w:type="dxa"/>
          </w:tcPr>
          <w:p w14:paraId="3B715840" w14:textId="77777777" w:rsidR="005012FC" w:rsidRPr="00F70554" w:rsidRDefault="005012FC" w:rsidP="005012FC">
            <w:pPr>
              <w:pStyle w:val="AEDistrNormal"/>
            </w:pPr>
            <w:r w:rsidRPr="00F70554">
              <w:t>Distr.: General</w:t>
            </w:r>
          </w:p>
          <w:p w14:paraId="065351B7" w14:textId="396706AF" w:rsidR="005012FC" w:rsidRPr="00F70554" w:rsidRDefault="00C230A9" w:rsidP="005012FC">
            <w:pPr>
              <w:pStyle w:val="AEDistrNormal"/>
            </w:pPr>
            <w:r w:rsidRPr="00F70554">
              <w:t xml:space="preserve">18 September </w:t>
            </w:r>
            <w:r w:rsidR="003B3B5F" w:rsidRPr="00F70554">
              <w:t>2025</w:t>
            </w:r>
          </w:p>
          <w:p w14:paraId="45729161" w14:textId="77777777" w:rsidR="005012FC" w:rsidRPr="00F70554" w:rsidRDefault="005012FC" w:rsidP="005012FC">
            <w:pPr>
              <w:pStyle w:val="AEDistrNormal"/>
            </w:pPr>
          </w:p>
          <w:p w14:paraId="573FFD0B" w14:textId="71227051" w:rsidR="005012FC" w:rsidRPr="00F70554" w:rsidRDefault="005012FC" w:rsidP="005012FC">
            <w:pPr>
              <w:pStyle w:val="AEDistrNormal"/>
            </w:pPr>
            <w:r w:rsidRPr="00F70554">
              <w:t xml:space="preserve">English </w:t>
            </w:r>
            <w:r w:rsidR="00B25BC6" w:rsidRPr="00F70554">
              <w:t>only</w:t>
            </w:r>
          </w:p>
          <w:p w14:paraId="4CDB81C9" w14:textId="77777777" w:rsidR="001065E9" w:rsidRPr="00F70554" w:rsidRDefault="001065E9" w:rsidP="005012FC">
            <w:pPr>
              <w:pStyle w:val="AEDistrNormal6pt"/>
            </w:pPr>
          </w:p>
        </w:tc>
      </w:tr>
    </w:tbl>
    <w:p w14:paraId="01C1987E" w14:textId="77777777" w:rsidR="001065E9" w:rsidRPr="00F70554"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F70554" w14:paraId="619DAD21" w14:textId="77777777" w:rsidTr="00CC3501">
        <w:trPr>
          <w:trHeight w:val="1489"/>
        </w:trPr>
        <w:tc>
          <w:tcPr>
            <w:tcW w:w="6094" w:type="dxa"/>
          </w:tcPr>
          <w:p w14:paraId="7B03CB4C" w14:textId="77777777" w:rsidR="005012FC" w:rsidRPr="00F70554" w:rsidRDefault="005012FC" w:rsidP="005012FC">
            <w:pPr>
              <w:pStyle w:val="AFCorN12Bold"/>
            </w:pPr>
            <w:r w:rsidRPr="00F70554">
              <w:t xml:space="preserve">Subsidiary Body on Scientific, </w:t>
            </w:r>
            <w:r w:rsidR="007161A1" w:rsidRPr="00F70554">
              <w:br/>
            </w:r>
            <w:r w:rsidRPr="00F70554">
              <w:t>Technical and Technological Advice</w:t>
            </w:r>
          </w:p>
          <w:p w14:paraId="5B9B2549" w14:textId="661E2354" w:rsidR="005012FC" w:rsidRPr="00F70554" w:rsidRDefault="388EF61D" w:rsidP="005012FC">
            <w:pPr>
              <w:pStyle w:val="AFCorNBold"/>
            </w:pPr>
            <w:r w:rsidRPr="00F70554">
              <w:t>Twenty-seven</w:t>
            </w:r>
            <w:r w:rsidR="248546C3" w:rsidRPr="00F70554">
              <w:t xml:space="preserve">th meeting </w:t>
            </w:r>
          </w:p>
          <w:p w14:paraId="69F24A0B" w14:textId="77777777" w:rsidR="005012FC" w:rsidRPr="00F70554" w:rsidRDefault="00962822" w:rsidP="005012FC">
            <w:pPr>
              <w:pStyle w:val="AFCorNNormal"/>
            </w:pPr>
            <w:r w:rsidRPr="00F70554">
              <w:t xml:space="preserve">Panama City, </w:t>
            </w:r>
            <w:r w:rsidR="001A5A37" w:rsidRPr="00F70554">
              <w:t>20–24 October 2025</w:t>
            </w:r>
            <w:r w:rsidR="005012FC" w:rsidRPr="00F70554">
              <w:t xml:space="preserve"> </w:t>
            </w:r>
          </w:p>
          <w:p w14:paraId="0F0F70C0" w14:textId="7D3E6FBC" w:rsidR="005012FC" w:rsidRPr="00F70554" w:rsidRDefault="005012FC" w:rsidP="005012FC">
            <w:pPr>
              <w:pStyle w:val="AFCorNNormal"/>
            </w:pPr>
            <w:r w:rsidRPr="00F70554">
              <w:t xml:space="preserve">Item </w:t>
            </w:r>
            <w:r w:rsidR="00B25BC6" w:rsidRPr="00F70554">
              <w:t xml:space="preserve">8 </w:t>
            </w:r>
            <w:r w:rsidRPr="00F70554">
              <w:t>of the provisional agenda</w:t>
            </w:r>
            <w:r w:rsidR="00E72DE9" w:rsidRPr="00F70554">
              <w:rPr>
                <w:rStyle w:val="FootnoteReference"/>
              </w:rPr>
              <w:footnoteReference w:customMarkFollows="1" w:id="2"/>
              <w:t>*</w:t>
            </w:r>
          </w:p>
          <w:p w14:paraId="5E6526AD" w14:textId="53C90C5A" w:rsidR="001065E9" w:rsidRPr="00F70554" w:rsidRDefault="00FA7135" w:rsidP="009068B5">
            <w:pPr>
              <w:pStyle w:val="AFCorNBold"/>
              <w:spacing w:after="120"/>
            </w:pPr>
            <w:r w:rsidRPr="00F70554">
              <w:t xml:space="preserve">Invasive </w:t>
            </w:r>
            <w:r w:rsidR="001C44BA" w:rsidRPr="00F70554">
              <w:t>a</w:t>
            </w:r>
            <w:r w:rsidRPr="00F70554">
              <w:t xml:space="preserve">lien </w:t>
            </w:r>
            <w:r w:rsidR="001C44BA" w:rsidRPr="00F70554">
              <w:t>s</w:t>
            </w:r>
            <w:r w:rsidRPr="00F70554">
              <w:t>pecies</w:t>
            </w:r>
          </w:p>
        </w:tc>
        <w:tc>
          <w:tcPr>
            <w:tcW w:w="4388" w:type="dxa"/>
          </w:tcPr>
          <w:p w14:paraId="6989AC23" w14:textId="77777777" w:rsidR="001065E9" w:rsidRPr="00F70554" w:rsidRDefault="001065E9" w:rsidP="001065E9">
            <w:pPr>
              <w:pStyle w:val="CBDNormal"/>
              <w:jc w:val="left"/>
            </w:pPr>
          </w:p>
        </w:tc>
      </w:tr>
    </w:tbl>
    <w:p w14:paraId="7907B2D6" w14:textId="7ABA62B4" w:rsidR="001065E9" w:rsidRPr="00F70554" w:rsidRDefault="007D62D2" w:rsidP="003B142D">
      <w:pPr>
        <w:pStyle w:val="CBDTitle"/>
      </w:pPr>
      <w:sdt>
        <w:sdtPr>
          <w:alias w:val="Title"/>
          <w:tag w:val=""/>
          <w:id w:val="-1475211720"/>
          <w:placeholder>
            <w:docPart w:val="1B3F60EB8BB34F0BBEB816603C9CCB5A"/>
          </w:placeholder>
          <w:dataBinding w:prefixMappings="xmlns:ns0='http://purl.org/dc/elements/1.1/' xmlns:ns1='http://schemas.openxmlformats.org/package/2006/metadata/core-properties' " w:xpath="/ns1:coreProperties[1]/ns0:title[1]" w:storeItemID="{6C3C8BC8-F283-45AE-878A-BAB7291924A1}"/>
          <w:text/>
        </w:sdtPr>
        <w:sdtEndPr/>
        <w:sdtContent>
          <w:r w:rsidR="00C1784F" w:rsidRPr="00F70554">
            <w:t>Activities undertaken in collaboration with the Inter-Agency Liaison Group on Invasive Alien Species</w:t>
          </w:r>
        </w:sdtContent>
      </w:sdt>
    </w:p>
    <w:p w14:paraId="4499ED47" w14:textId="77777777" w:rsidR="0031463C" w:rsidRPr="00F70554" w:rsidRDefault="0031463C" w:rsidP="00F12734">
      <w:pPr>
        <w:pStyle w:val="CBDSubTitle"/>
      </w:pPr>
      <w:r w:rsidRPr="00F70554">
        <w:t>Note by the Secretariat</w:t>
      </w:r>
    </w:p>
    <w:p w14:paraId="3759170E" w14:textId="5887E5E0" w:rsidR="00FA7135" w:rsidRPr="00F70554" w:rsidRDefault="00AE12E0" w:rsidP="005F3293">
      <w:pPr>
        <w:pStyle w:val="CBDH1"/>
      </w:pPr>
      <w:r w:rsidRPr="00F70554">
        <w:t>I.</w:t>
      </w:r>
      <w:r w:rsidRPr="00F70554">
        <w:tab/>
      </w:r>
      <w:r w:rsidR="00FA7135" w:rsidRPr="00F70554">
        <w:t>Introduction</w:t>
      </w:r>
    </w:p>
    <w:p w14:paraId="6F77EC7B" w14:textId="487C1BC9" w:rsidR="00887AAE" w:rsidRPr="00F70554" w:rsidRDefault="00FC5355" w:rsidP="00F9052F">
      <w:pPr>
        <w:pStyle w:val="CBDNormalNumber"/>
      </w:pPr>
      <w:r w:rsidRPr="00F70554">
        <w:t>Th</w:t>
      </w:r>
      <w:r w:rsidR="00DC7CFA">
        <w:t>e</w:t>
      </w:r>
      <w:r w:rsidR="000276C9" w:rsidRPr="00F70554">
        <w:t xml:space="preserve"> </w:t>
      </w:r>
      <w:r w:rsidR="00DC7CFA">
        <w:t xml:space="preserve">present </w:t>
      </w:r>
      <w:r w:rsidR="000276C9" w:rsidRPr="00F70554">
        <w:t xml:space="preserve">document covers activities undertaken by the Secretariat </w:t>
      </w:r>
      <w:r w:rsidR="00E64054" w:rsidRPr="00F70554">
        <w:t xml:space="preserve">of the Convention </w:t>
      </w:r>
      <w:r w:rsidR="00B94AD7">
        <w:t xml:space="preserve">on Biological Diversity </w:t>
      </w:r>
      <w:r w:rsidR="000276C9" w:rsidRPr="00F70554">
        <w:t xml:space="preserve">in response to requests made </w:t>
      </w:r>
      <w:r w:rsidR="009D5501">
        <w:t xml:space="preserve">by the Conference of the Parties </w:t>
      </w:r>
      <w:r w:rsidR="000276C9" w:rsidRPr="00F70554">
        <w:t>in paragraph</w:t>
      </w:r>
      <w:r w:rsidR="009D5501">
        <w:t> </w:t>
      </w:r>
      <w:r w:rsidR="000276C9" w:rsidRPr="00F70554">
        <w:t>10 of decision</w:t>
      </w:r>
      <w:r w:rsidR="00DF3FE1" w:rsidRPr="00F70554">
        <w:t xml:space="preserve"> </w:t>
      </w:r>
      <w:hyperlink r:id="rId14" w:history="1">
        <w:r w:rsidR="000276C9" w:rsidRPr="00F12734">
          <w:rPr>
            <w:rStyle w:val="Hyperlink"/>
          </w:rPr>
          <w:t>16/18</w:t>
        </w:r>
      </w:hyperlink>
      <w:r w:rsidR="000276C9" w:rsidRPr="00F70554">
        <w:t xml:space="preserve"> on invasive alien species, including </w:t>
      </w:r>
      <w:r w:rsidR="00874476">
        <w:t xml:space="preserve">that </w:t>
      </w:r>
      <w:r w:rsidR="000276C9" w:rsidRPr="00F70554">
        <w:t>to further strengthen collaboration among relevant organizations through the Inter</w:t>
      </w:r>
      <w:r w:rsidR="000276C9" w:rsidRPr="00F70554">
        <w:noBreakHyphen/>
        <w:t>Agency Liaison Group on Invasive Alien Species</w:t>
      </w:r>
      <w:r w:rsidR="00AB393B" w:rsidRPr="00F70554">
        <w:t>, with a view to supporting the implementation of Target 6</w:t>
      </w:r>
      <w:r w:rsidR="003147F0" w:rsidRPr="003147F0">
        <w:t xml:space="preserve"> of the </w:t>
      </w:r>
      <w:r w:rsidR="00874476" w:rsidRPr="00874476">
        <w:t xml:space="preserve">Kunming-Montreal Global Biodiversity </w:t>
      </w:r>
      <w:r w:rsidR="003147F0" w:rsidRPr="003147F0">
        <w:t>Framework</w:t>
      </w:r>
      <w:r w:rsidR="000276C9" w:rsidRPr="00F70554">
        <w:t>.</w:t>
      </w:r>
      <w:r w:rsidR="00C6623A" w:rsidRPr="00F70554">
        <w:t xml:space="preserve"> </w:t>
      </w:r>
      <w:r w:rsidR="00FA7135" w:rsidRPr="00F70554">
        <w:t>Pursuant to the request,</w:t>
      </w:r>
      <w:r w:rsidR="002F0ABA" w:rsidRPr="00F70554">
        <w:t xml:space="preserve"> </w:t>
      </w:r>
      <w:r w:rsidR="00F71633" w:rsidRPr="00F70554">
        <w:t xml:space="preserve">collaboration through the Liaison Group </w:t>
      </w:r>
      <w:r w:rsidR="00F71633">
        <w:t xml:space="preserve">continued, and </w:t>
      </w:r>
      <w:r w:rsidR="00BE0683">
        <w:t xml:space="preserve">the Group </w:t>
      </w:r>
      <w:r w:rsidR="00F71633" w:rsidRPr="00F70554">
        <w:t xml:space="preserve">held </w:t>
      </w:r>
      <w:r w:rsidR="00BE0683">
        <w:t xml:space="preserve">its </w:t>
      </w:r>
      <w:r w:rsidR="00F71633" w:rsidRPr="00F70554">
        <w:t xml:space="preserve">fourteenth meeting </w:t>
      </w:r>
      <w:r w:rsidR="00CF74A9" w:rsidRPr="00F70554">
        <w:t>on 29 and 30 April 2025</w:t>
      </w:r>
      <w:r w:rsidR="00C6623A" w:rsidRPr="00F70554">
        <w:t xml:space="preserve">. The outputs </w:t>
      </w:r>
      <w:r w:rsidR="00092B0F">
        <w:t xml:space="preserve">of </w:t>
      </w:r>
      <w:r w:rsidR="00C6623A" w:rsidRPr="00F70554">
        <w:t>the Liaison Group</w:t>
      </w:r>
      <w:r w:rsidR="003E3BEA">
        <w:t xml:space="preserve"> are outlined below</w:t>
      </w:r>
      <w:r w:rsidR="00C6623A" w:rsidRPr="00F70554">
        <w:t>.</w:t>
      </w:r>
      <w:bookmarkStart w:id="0" w:name="_Toc204166917"/>
      <w:bookmarkEnd w:id="0"/>
    </w:p>
    <w:p w14:paraId="5BDCBCD8" w14:textId="235F67FC" w:rsidR="007F7724" w:rsidRPr="00F70554" w:rsidRDefault="00AD3BA0" w:rsidP="00F12734">
      <w:pPr>
        <w:pStyle w:val="CBDH1"/>
      </w:pPr>
      <w:r w:rsidRPr="00F70554">
        <w:t>II.</w:t>
      </w:r>
      <w:r w:rsidRPr="00F70554">
        <w:tab/>
      </w:r>
      <w:r w:rsidR="001F06B3">
        <w:t>A</w:t>
      </w:r>
      <w:r w:rsidR="00887AAE" w:rsidRPr="00F70554">
        <w:t>ctivities undertaken</w:t>
      </w:r>
      <w:r w:rsidR="008E2584" w:rsidRPr="00F70554">
        <w:t xml:space="preserve"> by the Inter-Agen</w:t>
      </w:r>
      <w:r w:rsidR="006F4694" w:rsidRPr="00F70554">
        <w:t>c</w:t>
      </w:r>
      <w:r w:rsidR="008E2584" w:rsidRPr="00F70554">
        <w:t xml:space="preserve">y </w:t>
      </w:r>
      <w:r w:rsidR="000B4502" w:rsidRPr="00F70554">
        <w:t>Liaison</w:t>
      </w:r>
      <w:r w:rsidR="008E2584" w:rsidRPr="00F70554">
        <w:t xml:space="preserve"> Group </w:t>
      </w:r>
      <w:r w:rsidR="00C015DA">
        <w:br/>
      </w:r>
      <w:r w:rsidR="008E2584" w:rsidRPr="00F70554">
        <w:t>on Invasive</w:t>
      </w:r>
      <w:r w:rsidR="006F4694" w:rsidRPr="00F70554">
        <w:t xml:space="preserve"> Alien Species</w:t>
      </w:r>
      <w:r w:rsidR="00887AAE" w:rsidRPr="00F70554">
        <w:t xml:space="preserve"> in response to </w:t>
      </w:r>
      <w:r w:rsidR="00B070AB" w:rsidRPr="00F70554">
        <w:t>sub</w:t>
      </w:r>
      <w:r w:rsidR="00887AAE" w:rsidRPr="00F70554">
        <w:t>paragraph 1</w:t>
      </w:r>
      <w:r w:rsidR="00B070AB" w:rsidRPr="00F70554">
        <w:t>0</w:t>
      </w:r>
      <w:r w:rsidR="004B1118">
        <w:t> </w:t>
      </w:r>
      <w:r w:rsidR="00B070AB" w:rsidRPr="00F70554">
        <w:t>(a)</w:t>
      </w:r>
      <w:r w:rsidR="00887AAE" w:rsidRPr="00F70554">
        <w:t xml:space="preserve"> of decision</w:t>
      </w:r>
      <w:r w:rsidR="00796AF8">
        <w:t> </w:t>
      </w:r>
      <w:r w:rsidR="00B070AB" w:rsidRPr="00F70554">
        <w:t>16/18</w:t>
      </w:r>
    </w:p>
    <w:p w14:paraId="1A935FF9" w14:textId="0322704F" w:rsidR="007F7724" w:rsidRPr="00F70554" w:rsidRDefault="000276C9" w:rsidP="00F12734">
      <w:pPr>
        <w:pStyle w:val="CBDH2"/>
        <w:tabs>
          <w:tab w:val="clear" w:pos="567"/>
        </w:tabs>
        <w:jc w:val="left"/>
      </w:pPr>
      <w:r w:rsidRPr="00F70554">
        <w:t>A</w:t>
      </w:r>
      <w:r w:rsidR="001B23ED" w:rsidRPr="00F70554">
        <w:t>.</w:t>
      </w:r>
      <w:r w:rsidR="00AD3BA0" w:rsidRPr="00F70554">
        <w:tab/>
      </w:r>
      <w:r w:rsidRPr="00F70554">
        <w:t>C</w:t>
      </w:r>
      <w:r w:rsidR="007F7724" w:rsidRPr="00F70554">
        <w:t>apacity-building</w:t>
      </w:r>
      <w:r w:rsidRPr="00F70554">
        <w:t xml:space="preserve"> and </w:t>
      </w:r>
      <w:r w:rsidR="00AB4778" w:rsidRPr="00F70554">
        <w:t>awareness-raising</w:t>
      </w:r>
    </w:p>
    <w:p w14:paraId="42E5EA28" w14:textId="2E859264" w:rsidR="001B23ED" w:rsidRPr="00F70554" w:rsidRDefault="00827899" w:rsidP="007F7724">
      <w:pPr>
        <w:pStyle w:val="CBDNormalNumber"/>
      </w:pPr>
      <w:r>
        <w:t>Further to</w:t>
      </w:r>
      <w:r w:rsidRPr="00827899">
        <w:t xml:space="preserve"> </w:t>
      </w:r>
      <w:r w:rsidRPr="00F70554">
        <w:t>subparagraph 10</w:t>
      </w:r>
      <w:r>
        <w:t> </w:t>
      </w:r>
      <w:r w:rsidRPr="00F70554">
        <w:t>(a) of decision</w:t>
      </w:r>
      <w:r>
        <w:t> </w:t>
      </w:r>
      <w:r w:rsidRPr="00F70554">
        <w:t>16/18</w:t>
      </w:r>
      <w:r w:rsidR="00A2371B" w:rsidRPr="00F70554">
        <w:t>, the Secretariat</w:t>
      </w:r>
      <w:r w:rsidR="00C52D59" w:rsidRPr="00F70554">
        <w:t>,</w:t>
      </w:r>
      <w:r w:rsidR="00A2371B" w:rsidRPr="00F70554">
        <w:t xml:space="preserve"> in collaboration with the Liais</w:t>
      </w:r>
      <w:r w:rsidR="0082602C" w:rsidRPr="00F70554">
        <w:t xml:space="preserve">on </w:t>
      </w:r>
      <w:r w:rsidR="00351230" w:rsidRPr="00F70554">
        <w:t>G</w:t>
      </w:r>
      <w:r w:rsidR="0082602C" w:rsidRPr="00F70554">
        <w:t>roup</w:t>
      </w:r>
      <w:r w:rsidR="00810D4C" w:rsidRPr="00F70554">
        <w:t>,</w:t>
      </w:r>
      <w:r w:rsidR="0082602C" w:rsidRPr="00F70554">
        <w:t xml:space="preserve"> </w:t>
      </w:r>
      <w:r w:rsidR="00EF363E">
        <w:t xml:space="preserve">held </w:t>
      </w:r>
      <w:r w:rsidR="00CB5268">
        <w:t xml:space="preserve">an </w:t>
      </w:r>
      <w:r w:rsidR="00CB5268" w:rsidRPr="00CB5268">
        <w:t>information webinar</w:t>
      </w:r>
      <w:r w:rsidR="00C36AC3">
        <w:t xml:space="preserve"> and </w:t>
      </w:r>
      <w:r w:rsidR="00CB5268" w:rsidRPr="00CB5268">
        <w:t>a training course</w:t>
      </w:r>
      <w:r w:rsidR="00CB5268">
        <w:t xml:space="preserve"> and d</w:t>
      </w:r>
      <w:r w:rsidR="00CB5268" w:rsidRPr="00CB5268">
        <w:t>evelop</w:t>
      </w:r>
      <w:r w:rsidR="003D4829">
        <w:t>ed</w:t>
      </w:r>
      <w:r w:rsidR="00CB5268" w:rsidRPr="00CB5268">
        <w:t xml:space="preserve"> awareness-raising materials</w:t>
      </w:r>
      <w:r w:rsidR="006376DB" w:rsidRPr="006376DB">
        <w:t xml:space="preserve"> </w:t>
      </w:r>
      <w:r w:rsidR="006376DB" w:rsidRPr="00F70554">
        <w:t>on the topic of invasive alien species</w:t>
      </w:r>
      <w:r w:rsidR="00CB5268">
        <w:t>, as described below.</w:t>
      </w:r>
    </w:p>
    <w:p w14:paraId="237F18A8" w14:textId="554DCE7C" w:rsidR="00821D19" w:rsidRDefault="00821D19" w:rsidP="00F12734">
      <w:pPr>
        <w:pStyle w:val="CBDH5"/>
      </w:pPr>
      <w:r>
        <w:tab/>
      </w:r>
      <w:r w:rsidR="00856D49" w:rsidRPr="00F70554">
        <w:t>Information</w:t>
      </w:r>
      <w:r w:rsidR="002F0127" w:rsidRPr="00F70554">
        <w:t xml:space="preserve"> webinar </w:t>
      </w:r>
    </w:p>
    <w:p w14:paraId="70A92595" w14:textId="58B6D179" w:rsidR="00856D49" w:rsidRPr="00F70554" w:rsidRDefault="00856D49" w:rsidP="00F12734">
      <w:pPr>
        <w:pStyle w:val="CBDNormalNumber"/>
        <w:rPr>
          <w:i/>
          <w:iCs/>
        </w:rPr>
      </w:pPr>
      <w:r w:rsidRPr="00F70554">
        <w:t xml:space="preserve">The event was held on </w:t>
      </w:r>
      <w:r w:rsidR="00BA7BF1" w:rsidRPr="00F70554">
        <w:t>26</w:t>
      </w:r>
      <w:r w:rsidRPr="00F70554">
        <w:t xml:space="preserve"> March 2025.</w:t>
      </w:r>
      <w:r w:rsidR="00BA7BF1" w:rsidRPr="00F70554">
        <w:rPr>
          <w:rStyle w:val="FootnoteReference"/>
        </w:rPr>
        <w:footnoteReference w:id="3"/>
      </w:r>
      <w:r w:rsidRPr="00F70554">
        <w:t xml:space="preserve"> In total, </w:t>
      </w:r>
      <w:r w:rsidR="0057512C" w:rsidRPr="00F70554">
        <w:t>374</w:t>
      </w:r>
      <w:r w:rsidR="00562919">
        <w:t> </w:t>
      </w:r>
      <w:r w:rsidRPr="00F70554">
        <w:t xml:space="preserve">participants registered for the webinar, with </w:t>
      </w:r>
      <w:r w:rsidR="00682563" w:rsidRPr="00F70554">
        <w:t>185</w:t>
      </w:r>
      <w:r w:rsidRPr="00F70554">
        <w:t xml:space="preserve"> attending. </w:t>
      </w:r>
      <w:r w:rsidR="00710418" w:rsidRPr="00F70554">
        <w:t xml:space="preserve">The webinar </w:t>
      </w:r>
      <w:r w:rsidR="00724099">
        <w:t xml:space="preserve">was </w:t>
      </w:r>
      <w:r w:rsidRPr="00F70554">
        <w:t xml:space="preserve">aimed </w:t>
      </w:r>
      <w:r w:rsidR="00724099">
        <w:t>a</w:t>
      </w:r>
      <w:r w:rsidR="006B7482" w:rsidRPr="00F70554">
        <w:t>t rais</w:t>
      </w:r>
      <w:r w:rsidR="00724099">
        <w:t>ing</w:t>
      </w:r>
      <w:r w:rsidR="006B7482" w:rsidRPr="00F70554">
        <w:t xml:space="preserve"> awareness </w:t>
      </w:r>
      <w:r w:rsidR="00724099">
        <w:t xml:space="preserve">of </w:t>
      </w:r>
      <w:r w:rsidR="006B7482" w:rsidRPr="00F70554">
        <w:t xml:space="preserve">existing tools and resources to support the implementation of Target 6 </w:t>
      </w:r>
      <w:r w:rsidR="00562919">
        <w:t xml:space="preserve">of the </w:t>
      </w:r>
      <w:r w:rsidR="005216A7">
        <w:t xml:space="preserve">Framework </w:t>
      </w:r>
      <w:r w:rsidR="006B7482" w:rsidRPr="00F70554">
        <w:t>and highlight</w:t>
      </w:r>
      <w:r w:rsidR="00B957D6">
        <w:t>ing</w:t>
      </w:r>
      <w:r w:rsidR="006B7482" w:rsidRPr="00F70554">
        <w:t xml:space="preserve"> the importance of international collaboration and networking</w:t>
      </w:r>
      <w:r w:rsidRPr="00F70554">
        <w:t xml:space="preserve">. </w:t>
      </w:r>
      <w:r w:rsidR="00D23DCE" w:rsidRPr="00F70554">
        <w:t xml:space="preserve">Several members of the Liaison Group, including </w:t>
      </w:r>
      <w:r w:rsidR="00BD62CD">
        <w:t>representatives of</w:t>
      </w:r>
      <w:r w:rsidR="00F12718">
        <w:t xml:space="preserve"> </w:t>
      </w:r>
      <w:r w:rsidR="006A548D">
        <w:t xml:space="preserve">the </w:t>
      </w:r>
      <w:r w:rsidR="002F4E80" w:rsidRPr="00F70554">
        <w:t>International Union</w:t>
      </w:r>
      <w:r w:rsidR="005C3026" w:rsidRPr="00F70554">
        <w:t xml:space="preserve"> for Conservation of Nature, CABI, </w:t>
      </w:r>
      <w:r w:rsidR="00BD62CD">
        <w:t xml:space="preserve">the </w:t>
      </w:r>
      <w:r w:rsidR="005C3026" w:rsidRPr="00F70554">
        <w:t xml:space="preserve">International </w:t>
      </w:r>
      <w:r w:rsidR="005C3026" w:rsidRPr="00F70554">
        <w:lastRenderedPageBreak/>
        <w:t>Maritime Organization</w:t>
      </w:r>
      <w:r w:rsidR="00107822" w:rsidRPr="00F70554">
        <w:t xml:space="preserve"> and the</w:t>
      </w:r>
      <w:r w:rsidR="005C3026" w:rsidRPr="00F70554">
        <w:t xml:space="preserve"> World Organisation </w:t>
      </w:r>
      <w:r w:rsidR="001540D0" w:rsidRPr="00F70554">
        <w:t>for Animal Health</w:t>
      </w:r>
      <w:r w:rsidR="00724099">
        <w:t>,</w:t>
      </w:r>
      <w:r w:rsidRPr="00F70554">
        <w:t xml:space="preserve"> partnered with the Secretariat to deliver presentations, showcasing </w:t>
      </w:r>
      <w:r w:rsidR="002E54C1" w:rsidRPr="00F70554">
        <w:t xml:space="preserve">the tools and guidance available to Parties </w:t>
      </w:r>
      <w:r w:rsidR="000025C5">
        <w:t xml:space="preserve">to support them </w:t>
      </w:r>
      <w:r w:rsidR="002E54C1" w:rsidRPr="00F70554">
        <w:t>in the implementation of Target</w:t>
      </w:r>
      <w:r w:rsidR="00BD62CD">
        <w:t> </w:t>
      </w:r>
      <w:r w:rsidR="002E54C1" w:rsidRPr="00F70554">
        <w:t>6</w:t>
      </w:r>
      <w:r w:rsidRPr="00F70554">
        <w:t>.</w:t>
      </w:r>
    </w:p>
    <w:p w14:paraId="1546F6C6" w14:textId="2106836F" w:rsidR="00821D19" w:rsidRDefault="00821D19" w:rsidP="00F12734">
      <w:pPr>
        <w:pStyle w:val="CBDH5"/>
      </w:pPr>
      <w:r>
        <w:tab/>
      </w:r>
      <w:r w:rsidR="00E64054">
        <w:t>T</w:t>
      </w:r>
      <w:r w:rsidR="00E6472A" w:rsidRPr="00F70554">
        <w:t>raining course</w:t>
      </w:r>
      <w:r w:rsidR="00E6472A" w:rsidRPr="003A7E03">
        <w:t xml:space="preserve"> </w:t>
      </w:r>
    </w:p>
    <w:p w14:paraId="39836792" w14:textId="208C27B2" w:rsidR="00F73DAA" w:rsidRPr="00F70554" w:rsidRDefault="00E5611D" w:rsidP="00F12734">
      <w:pPr>
        <w:pStyle w:val="CBDNormalNumber"/>
        <w:rPr>
          <w:i/>
          <w:iCs/>
        </w:rPr>
      </w:pPr>
      <w:r w:rsidRPr="00F70554">
        <w:t>The</w:t>
      </w:r>
      <w:r w:rsidRPr="00F70554">
        <w:rPr>
          <w:i/>
          <w:iCs/>
        </w:rPr>
        <w:t xml:space="preserve"> </w:t>
      </w:r>
      <w:r w:rsidRPr="00F70554">
        <w:t>Secretariat</w:t>
      </w:r>
      <w:r w:rsidR="00B94AD7">
        <w:t>,</w:t>
      </w:r>
      <w:r w:rsidRPr="00F70554">
        <w:t xml:space="preserve"> in collaboration with the International Union for Conservation of Nature</w:t>
      </w:r>
      <w:r w:rsidR="00475929" w:rsidRPr="00F70554">
        <w:t xml:space="preserve"> and</w:t>
      </w:r>
      <w:r w:rsidRPr="00F70554">
        <w:t xml:space="preserve"> the Secretariat of the Pacific Regional Environment Programme</w:t>
      </w:r>
      <w:r w:rsidR="00EF148D" w:rsidRPr="00F70554">
        <w:t>,</w:t>
      </w:r>
      <w:r w:rsidRPr="00F70554">
        <w:t xml:space="preserve"> and with </w:t>
      </w:r>
      <w:r w:rsidR="006B6721" w:rsidRPr="00F70554">
        <w:t xml:space="preserve">financial </w:t>
      </w:r>
      <w:r w:rsidRPr="00F70554">
        <w:t xml:space="preserve">support from the Government of </w:t>
      </w:r>
      <w:r w:rsidR="00B738F1" w:rsidRPr="00F70554">
        <w:t xml:space="preserve">Japan, through its Japan Biodiversity </w:t>
      </w:r>
      <w:r w:rsidR="00824DCD" w:rsidRPr="00F70554">
        <w:t>F</w:t>
      </w:r>
      <w:r w:rsidR="00B738F1" w:rsidRPr="00F70554">
        <w:t xml:space="preserve">und, </w:t>
      </w:r>
      <w:r w:rsidR="00CF5BC1" w:rsidRPr="00F70554">
        <w:t xml:space="preserve">the </w:t>
      </w:r>
      <w:r w:rsidR="00C43D84">
        <w:t>Government</w:t>
      </w:r>
      <w:r w:rsidR="00C43D84" w:rsidRPr="00F70554">
        <w:t xml:space="preserve"> </w:t>
      </w:r>
      <w:r w:rsidR="00CF5BC1" w:rsidRPr="00F70554">
        <w:t xml:space="preserve">of </w:t>
      </w:r>
      <w:r w:rsidRPr="00F70554">
        <w:t>Denmark</w:t>
      </w:r>
      <w:r w:rsidR="00587A4C" w:rsidRPr="00F70554">
        <w:t xml:space="preserve"> </w:t>
      </w:r>
      <w:r w:rsidRPr="00F70554">
        <w:t xml:space="preserve">and the European Union, </w:t>
      </w:r>
      <w:r w:rsidR="001D3EBB">
        <w:t>held</w:t>
      </w:r>
      <w:r w:rsidR="001D3EBB" w:rsidRPr="00F70554">
        <w:t xml:space="preserve"> </w:t>
      </w:r>
      <w:r w:rsidRPr="00F70554">
        <w:t>a training course for Pacific small island developing States on invasive aliens in Apia, from 15 to 17 July 2025</w:t>
      </w:r>
      <w:r w:rsidR="00EB2047" w:rsidRPr="00F70554">
        <w:t xml:space="preserve">. </w:t>
      </w:r>
      <w:r w:rsidR="00F73DAA" w:rsidRPr="00F70554">
        <w:t>T</w:t>
      </w:r>
      <w:r w:rsidR="00F801F7" w:rsidRPr="00F70554">
        <w:t>he training course was aimed at</w:t>
      </w:r>
      <w:r w:rsidR="0016103F" w:rsidRPr="00F70554">
        <w:t xml:space="preserve"> supporting Parties in achieving the implementation of Target 6 of the Framework by providing an overview of available tools and guidance on invasive alien species, identifying the capacities and needs of Parties in the region to implement Target 6 and highlighting the relevance of the long-term work of island </w:t>
      </w:r>
      <w:r w:rsidR="004F43C4">
        <w:t>S</w:t>
      </w:r>
      <w:r w:rsidR="0016103F" w:rsidRPr="00F70554">
        <w:t>tates on invasive alien species</w:t>
      </w:r>
      <w:r w:rsidR="00A473BA" w:rsidRPr="00F70554">
        <w:t xml:space="preserve">. </w:t>
      </w:r>
      <w:r w:rsidR="003A43A1">
        <w:t>Documents related to the</w:t>
      </w:r>
      <w:r w:rsidR="00A473BA" w:rsidRPr="00F70554">
        <w:t xml:space="preserve"> event </w:t>
      </w:r>
      <w:r w:rsidR="0000664E" w:rsidRPr="00F70554">
        <w:t>can</w:t>
      </w:r>
      <w:r w:rsidR="00A473BA" w:rsidRPr="00F70554">
        <w:t xml:space="preserve"> be found on the </w:t>
      </w:r>
      <w:r w:rsidR="00377F3A" w:rsidRPr="00F70554">
        <w:t>website of the Convention.</w:t>
      </w:r>
      <w:r w:rsidR="006B7482" w:rsidRPr="00F70554">
        <w:rPr>
          <w:rStyle w:val="FootnoteReference"/>
        </w:rPr>
        <w:footnoteReference w:id="4"/>
      </w:r>
    </w:p>
    <w:p w14:paraId="254F34DB" w14:textId="757A9BF0" w:rsidR="00821D19" w:rsidRDefault="00821D19" w:rsidP="00F12734">
      <w:pPr>
        <w:pStyle w:val="CBDH5"/>
      </w:pPr>
      <w:r>
        <w:tab/>
      </w:r>
      <w:r w:rsidR="003A43A1">
        <w:t>A</w:t>
      </w:r>
      <w:r w:rsidR="00530B4B" w:rsidRPr="00F70554">
        <w:t xml:space="preserve">wareness-raising materials </w:t>
      </w:r>
    </w:p>
    <w:p w14:paraId="11DE63E9" w14:textId="3686CDB2" w:rsidR="00507DF8" w:rsidRPr="00F70554" w:rsidRDefault="003F4A54" w:rsidP="00F12734">
      <w:pPr>
        <w:pStyle w:val="CBDNormalNumber"/>
        <w:rPr>
          <w:i/>
          <w:iCs/>
        </w:rPr>
      </w:pPr>
      <w:r>
        <w:t>A</w:t>
      </w:r>
      <w:r w:rsidR="00D00979" w:rsidRPr="00F70554">
        <w:t>wareness-raising</w:t>
      </w:r>
      <w:r w:rsidR="00670643" w:rsidRPr="00F70554">
        <w:t xml:space="preserve"> materials were developed</w:t>
      </w:r>
      <w:r w:rsidR="00D00979" w:rsidRPr="00F70554">
        <w:t xml:space="preserve"> with financial support from the European Union on the following topics: invasive alien sp</w:t>
      </w:r>
      <w:r w:rsidR="0027206A" w:rsidRPr="00F70554">
        <w:t>e</w:t>
      </w:r>
      <w:r w:rsidR="00D00979" w:rsidRPr="00F70554">
        <w:t>cies and e-commerce; climate change and invasive alien species</w:t>
      </w:r>
      <w:r w:rsidR="00A361F6" w:rsidRPr="00F70554">
        <w:t xml:space="preserve">; </w:t>
      </w:r>
      <w:r w:rsidR="00D00979" w:rsidRPr="00F70554">
        <w:t xml:space="preserve">socioeconomic impacts of </w:t>
      </w:r>
      <w:r w:rsidR="00A361F6" w:rsidRPr="00F70554">
        <w:t>invasive alien species</w:t>
      </w:r>
      <w:r w:rsidR="00D00979" w:rsidRPr="00F70554">
        <w:t xml:space="preserve"> and </w:t>
      </w:r>
      <w:r w:rsidR="0027206A" w:rsidRPr="00F70554">
        <w:t xml:space="preserve">invasive alien species </w:t>
      </w:r>
      <w:r w:rsidR="00D00979" w:rsidRPr="00F70554">
        <w:t>and tourism.</w:t>
      </w:r>
      <w:r w:rsidR="00377E14" w:rsidRPr="00F70554">
        <w:t xml:space="preserve"> The materials </w:t>
      </w:r>
      <w:r w:rsidR="003F06FB" w:rsidRPr="00F70554">
        <w:t>are</w:t>
      </w:r>
      <w:r w:rsidR="008758DD" w:rsidRPr="00F70554">
        <w:t xml:space="preserve"> available </w:t>
      </w:r>
      <w:r w:rsidR="003F06FB" w:rsidRPr="00F70554">
        <w:t>on</w:t>
      </w:r>
      <w:r w:rsidR="008758DD" w:rsidRPr="00F70554">
        <w:t xml:space="preserve"> the website of the Convention</w:t>
      </w:r>
      <w:r w:rsidR="00377680">
        <w:t>.</w:t>
      </w:r>
      <w:r w:rsidR="00BD4A59" w:rsidRPr="00F70554">
        <w:rPr>
          <w:rStyle w:val="FootnoteReference"/>
        </w:rPr>
        <w:footnoteReference w:id="5"/>
      </w:r>
    </w:p>
    <w:p w14:paraId="73BD7AF8" w14:textId="01AAF0BF" w:rsidR="007F7724" w:rsidRPr="00F70554" w:rsidRDefault="00F34322" w:rsidP="00F12734">
      <w:pPr>
        <w:pStyle w:val="CBDH2"/>
        <w:tabs>
          <w:tab w:val="clear" w:pos="567"/>
        </w:tabs>
        <w:jc w:val="left"/>
      </w:pPr>
      <w:r w:rsidRPr="00F70554">
        <w:t>B</w:t>
      </w:r>
      <w:r w:rsidR="00775A27" w:rsidRPr="00F70554">
        <w:t>.</w:t>
      </w:r>
      <w:r w:rsidR="00377680">
        <w:tab/>
      </w:r>
      <w:r w:rsidR="000276C9" w:rsidRPr="00F70554">
        <w:t>I</w:t>
      </w:r>
      <w:r w:rsidR="007F7724" w:rsidRPr="00F70554">
        <w:t>mprov</w:t>
      </w:r>
      <w:r w:rsidR="000276C9" w:rsidRPr="00F70554">
        <w:t>e</w:t>
      </w:r>
      <w:r w:rsidR="007F7724" w:rsidRPr="00F70554">
        <w:t xml:space="preserve"> access to data and information on invasive alien species</w:t>
      </w:r>
    </w:p>
    <w:p w14:paraId="6DEDDDB8" w14:textId="56FBE91B" w:rsidR="002D13A0" w:rsidRPr="00F70554" w:rsidRDefault="001B0B83" w:rsidP="002D13A0">
      <w:pPr>
        <w:pStyle w:val="CBDNormalNumber"/>
      </w:pPr>
      <w:r w:rsidRPr="00F12734">
        <w:t xml:space="preserve">In response to subparagraph 10 (a) (v) of decision </w:t>
      </w:r>
      <w:hyperlink r:id="rId15" w:history="1">
        <w:r w:rsidRPr="00F12734">
          <w:rPr>
            <w:rStyle w:val="Hyperlink"/>
          </w:rPr>
          <w:t>16/18</w:t>
        </w:r>
      </w:hyperlink>
      <w:r w:rsidRPr="00F12734">
        <w:t xml:space="preserve">, </w:t>
      </w:r>
      <w:r w:rsidR="002D13A0" w:rsidRPr="00D01F23">
        <w:t xml:space="preserve">the Secretariat and the Liaison Group </w:t>
      </w:r>
      <w:r w:rsidR="00D01F23" w:rsidRPr="00657964">
        <w:t>also collaborated</w:t>
      </w:r>
      <w:r w:rsidR="00D01F23" w:rsidRPr="00D01F23">
        <w:t xml:space="preserve"> </w:t>
      </w:r>
      <w:r w:rsidR="00D01F23">
        <w:t xml:space="preserve">on </w:t>
      </w:r>
      <w:r w:rsidR="002D13A0" w:rsidRPr="00D01F23">
        <w:t>strengthening collaboration with relevant sectors to improve access to data and information on invasive alien species. In th</w:t>
      </w:r>
      <w:r w:rsidR="00DF6F07" w:rsidRPr="00D01F23">
        <w:t>at</w:t>
      </w:r>
      <w:r w:rsidR="002D13A0" w:rsidRPr="00D01F23">
        <w:t xml:space="preserve"> respect</w:t>
      </w:r>
      <w:r w:rsidR="00A44109" w:rsidRPr="00D01F23">
        <w:t>,</w:t>
      </w:r>
      <w:r w:rsidR="002D13A0" w:rsidRPr="00D01F23">
        <w:t xml:space="preserve"> a report on how access to data and information can be improved to support Parties in</w:t>
      </w:r>
      <w:r w:rsidR="002D13A0" w:rsidRPr="00F70554">
        <w:t xml:space="preserve"> making progress towards Target</w:t>
      </w:r>
      <w:r w:rsidR="00BA5263">
        <w:t> </w:t>
      </w:r>
      <w:r w:rsidR="002D13A0" w:rsidRPr="00F70554">
        <w:t>6 of the Framework was produced</w:t>
      </w:r>
      <w:r w:rsidR="00BA5263">
        <w:t>,</w:t>
      </w:r>
      <w:r w:rsidR="00411FA3" w:rsidRPr="00F70554">
        <w:t xml:space="preserve"> with financial support from the </w:t>
      </w:r>
      <w:r w:rsidR="00BC2350" w:rsidRPr="00F70554">
        <w:t>Government</w:t>
      </w:r>
      <w:r w:rsidR="00411FA3" w:rsidRPr="00F70554">
        <w:t xml:space="preserve"> of Japan, through its Japan Biodiversity Fund</w:t>
      </w:r>
      <w:r w:rsidR="00BC2350" w:rsidRPr="00F70554">
        <w:t>, and the European Union</w:t>
      </w:r>
      <w:r w:rsidR="002D13A0" w:rsidRPr="00F70554">
        <w:t xml:space="preserve">. The report </w:t>
      </w:r>
      <w:r w:rsidR="009116A3">
        <w:t xml:space="preserve">outlines </w:t>
      </w:r>
      <w:r w:rsidR="002D13A0" w:rsidRPr="00F70554">
        <w:t xml:space="preserve">a series of elements through which data accessibility can be assessed and </w:t>
      </w:r>
      <w:r w:rsidR="008A7DAF">
        <w:t>contains</w:t>
      </w:r>
      <w:r w:rsidR="008A7DAF" w:rsidRPr="00F70554">
        <w:t xml:space="preserve"> </w:t>
      </w:r>
      <w:r w:rsidR="002D13A0" w:rsidRPr="00F70554">
        <w:t>case studies o</w:t>
      </w:r>
      <w:r w:rsidR="008A7DAF">
        <w:t>f</w:t>
      </w:r>
      <w:r w:rsidR="002D13A0" w:rsidRPr="00F70554">
        <w:t xml:space="preserve"> information needs related to invasive alien species for tourism and trade. </w:t>
      </w:r>
      <w:r w:rsidR="00527045">
        <w:t>I</w:t>
      </w:r>
      <w:r w:rsidR="002D13A0" w:rsidRPr="00F70554">
        <w:t xml:space="preserve">t </w:t>
      </w:r>
      <w:r w:rsidR="00527045">
        <w:t xml:space="preserve">also </w:t>
      </w:r>
      <w:r w:rsidR="002D13A0" w:rsidRPr="00F70554">
        <w:t>provides a series of recommendations on how data accessibility can be improved, including through recommendations for national and global data providers and aggregators. T</w:t>
      </w:r>
      <w:r w:rsidR="003277D1" w:rsidRPr="00F70554">
        <w:t xml:space="preserve">he report </w:t>
      </w:r>
      <w:r w:rsidR="000A6E20" w:rsidRPr="00F70554">
        <w:t xml:space="preserve">is presented in </w:t>
      </w:r>
      <w:r w:rsidR="006D2A0B">
        <w:t>the a</w:t>
      </w:r>
      <w:r w:rsidR="00AD2BC7" w:rsidRPr="00F70554">
        <w:t>nnex</w:t>
      </w:r>
      <w:r w:rsidR="008A6D57" w:rsidRPr="00F70554">
        <w:t xml:space="preserve"> </w:t>
      </w:r>
      <w:r w:rsidR="006D2A0B">
        <w:t xml:space="preserve">to the present document </w:t>
      </w:r>
      <w:r w:rsidR="008A6D57" w:rsidRPr="00F70554">
        <w:t>in the form</w:t>
      </w:r>
      <w:r w:rsidR="00CB5EA7" w:rsidRPr="00F70554">
        <w:t xml:space="preserve"> and language</w:t>
      </w:r>
      <w:r w:rsidR="008A6D57" w:rsidRPr="00F70554">
        <w:t xml:space="preserve"> in which it was received</w:t>
      </w:r>
      <w:r w:rsidR="00CB5EA7" w:rsidRPr="00F70554">
        <w:t xml:space="preserve"> by the Secretariat</w:t>
      </w:r>
      <w:r w:rsidR="00AD2BC7" w:rsidRPr="00F70554">
        <w:t>.</w:t>
      </w:r>
    </w:p>
    <w:p w14:paraId="2E03E2C0" w14:textId="1F3DF7A3" w:rsidR="001B23ED" w:rsidRPr="00F70554" w:rsidRDefault="001B23ED" w:rsidP="00F12734">
      <w:pPr>
        <w:pStyle w:val="CBDNormalNumber"/>
        <w:numPr>
          <w:ilvl w:val="0"/>
          <w:numId w:val="0"/>
        </w:numPr>
        <w:ind w:left="567"/>
      </w:pPr>
    </w:p>
    <w:p w14:paraId="3F6C2C5D" w14:textId="77777777" w:rsidR="00F11004" w:rsidRPr="00F70554" w:rsidRDefault="00F11004" w:rsidP="00DC0F7A">
      <w:pPr>
        <w:pStyle w:val="CBDNormalNumber"/>
        <w:sectPr w:rsidR="00F11004" w:rsidRPr="00F70554" w:rsidSect="00F12734">
          <w:headerReference w:type="even" r:id="rId16"/>
          <w:headerReference w:type="default" r:id="rId17"/>
          <w:footerReference w:type="even" r:id="rId18"/>
          <w:footerReference w:type="default" r:id="rId19"/>
          <w:headerReference w:type="first" r:id="rId20"/>
          <w:footnotePr>
            <w:numRestart w:val="eachSect"/>
          </w:footnotePr>
          <w:pgSz w:w="12240" w:h="15840"/>
          <w:pgMar w:top="1134" w:right="1440" w:bottom="1134" w:left="1440" w:header="709" w:footer="709" w:gutter="0"/>
          <w:cols w:space="708"/>
          <w:titlePg/>
          <w:docGrid w:linePitch="360"/>
        </w:sectPr>
      </w:pPr>
    </w:p>
    <w:p w14:paraId="34B0CF8F" w14:textId="35452907" w:rsidR="00F51104" w:rsidRPr="00F70554" w:rsidRDefault="00B40850" w:rsidP="005F3293">
      <w:pPr>
        <w:pStyle w:val="CBDAnnex"/>
      </w:pPr>
      <w:r w:rsidRPr="00F70554">
        <w:lastRenderedPageBreak/>
        <w:t>Annex</w:t>
      </w:r>
      <w:r w:rsidR="004476F6">
        <w:rPr>
          <w:rStyle w:val="FootnoteReference"/>
        </w:rPr>
        <w:footnoteReference w:customMarkFollows="1" w:id="6"/>
        <w:t>*</w:t>
      </w:r>
    </w:p>
    <w:p w14:paraId="1438B4A0" w14:textId="2D44C97A" w:rsidR="00411871" w:rsidRPr="00F70554" w:rsidRDefault="00B07B09" w:rsidP="005F3293">
      <w:pPr>
        <w:pStyle w:val="CBDAnnex"/>
      </w:pPr>
      <w:r w:rsidRPr="00F70554">
        <w:t>Data and information sharing for the management of invasive alien species</w:t>
      </w:r>
    </w:p>
    <w:p w14:paraId="69A42F4A" w14:textId="77777777" w:rsidR="00522BD2" w:rsidRPr="00F70554" w:rsidRDefault="00522BD2" w:rsidP="00CC0CE9">
      <w:pPr>
        <w:jc w:val="center"/>
      </w:pPr>
    </w:p>
    <w:p w14:paraId="236F98D5" w14:textId="77777777" w:rsidR="00A1531D" w:rsidRPr="00F70554" w:rsidRDefault="00A1531D" w:rsidP="00A1531D"/>
    <w:p w14:paraId="0553CB11" w14:textId="0EAF7275" w:rsidR="00F51104" w:rsidRPr="00F70554" w:rsidRDefault="003F06FB" w:rsidP="00A1531D">
      <w:r w:rsidRPr="00F70554">
        <w:rPr>
          <w:noProof/>
        </w:rPr>
        <w:drawing>
          <wp:inline distT="0" distB="0" distL="0" distR="0" wp14:anchorId="7BC6A6CD" wp14:editId="0EF9FE70">
            <wp:extent cx="5048250" cy="864679"/>
            <wp:effectExtent l="0" t="0" r="0" b="0"/>
            <wp:docPr id="284292426" name="Picture 1" descr="A blue circ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292426" name="Picture 1" descr="A blue circle with black text&#10;&#10;AI-generated content may be incorrect."/>
                    <pic:cNvPicPr/>
                  </pic:nvPicPr>
                  <pic:blipFill>
                    <a:blip r:embed="rId21"/>
                    <a:stretch>
                      <a:fillRect/>
                    </a:stretch>
                  </pic:blipFill>
                  <pic:spPr>
                    <a:xfrm>
                      <a:off x="0" y="0"/>
                      <a:ext cx="5071983" cy="868744"/>
                    </a:xfrm>
                    <a:prstGeom prst="rect">
                      <a:avLst/>
                    </a:prstGeom>
                  </pic:spPr>
                </pic:pic>
              </a:graphicData>
            </a:graphic>
          </wp:inline>
        </w:drawing>
      </w:r>
    </w:p>
    <w:p w14:paraId="4F610B2E" w14:textId="77777777" w:rsidR="00F51104" w:rsidRPr="00F70554" w:rsidRDefault="00F51104" w:rsidP="00A1531D"/>
    <w:p w14:paraId="0CB01D73" w14:textId="77777777" w:rsidR="00F51104" w:rsidRPr="00F70554" w:rsidRDefault="00F51104" w:rsidP="00A1531D"/>
    <w:p w14:paraId="06B854ED" w14:textId="77777777" w:rsidR="00F51104" w:rsidRPr="00F70554" w:rsidRDefault="00F51104" w:rsidP="00A1531D"/>
    <w:p w14:paraId="2B07D9AA" w14:textId="77777777" w:rsidR="00F51104" w:rsidRPr="00F70554" w:rsidRDefault="00F51104" w:rsidP="00A1531D"/>
    <w:p w14:paraId="24A604D2" w14:textId="77777777" w:rsidR="00F51104" w:rsidRPr="00F70554" w:rsidRDefault="00F51104" w:rsidP="00A1531D"/>
    <w:p w14:paraId="6ECB92CB" w14:textId="77777777" w:rsidR="00F51104" w:rsidRPr="00F70554" w:rsidRDefault="00F51104" w:rsidP="00A1531D"/>
    <w:p w14:paraId="7125F6FF" w14:textId="77777777" w:rsidR="00F51104" w:rsidRPr="00F70554" w:rsidRDefault="00F51104" w:rsidP="00A1531D"/>
    <w:p w14:paraId="7A4C9B0F" w14:textId="77777777" w:rsidR="00F51104" w:rsidRPr="00F70554" w:rsidRDefault="00F51104" w:rsidP="00A1531D"/>
    <w:p w14:paraId="6BB598F6" w14:textId="77777777" w:rsidR="00F51104" w:rsidRPr="00F70554" w:rsidRDefault="00F51104" w:rsidP="00A1531D"/>
    <w:p w14:paraId="6E27F05E" w14:textId="77777777" w:rsidR="00F51104" w:rsidRPr="00F70554" w:rsidRDefault="00F51104" w:rsidP="00A1531D"/>
    <w:p w14:paraId="694CB64F" w14:textId="77777777" w:rsidR="00F51104" w:rsidRPr="00F70554" w:rsidRDefault="00F51104" w:rsidP="00A1531D"/>
    <w:p w14:paraId="0EE31872" w14:textId="77777777" w:rsidR="00F51104" w:rsidRPr="00F70554" w:rsidRDefault="00F51104" w:rsidP="00A1531D"/>
    <w:p w14:paraId="24CD0FF1" w14:textId="77777777" w:rsidR="00F51104" w:rsidRPr="00F70554" w:rsidRDefault="00F51104" w:rsidP="00A1531D"/>
    <w:p w14:paraId="361A0440" w14:textId="77777777" w:rsidR="00F51104" w:rsidRPr="00F70554" w:rsidRDefault="00F51104" w:rsidP="00A1531D"/>
    <w:p w14:paraId="472B4D75" w14:textId="77777777" w:rsidR="00F51104" w:rsidRPr="00F70554" w:rsidRDefault="00F51104" w:rsidP="00A1531D"/>
    <w:p w14:paraId="0D50CECF" w14:textId="77777777" w:rsidR="00F51104" w:rsidRPr="00F70554" w:rsidRDefault="00F51104" w:rsidP="00A1531D"/>
    <w:p w14:paraId="09A9BCBA" w14:textId="77777777" w:rsidR="00F51104" w:rsidRPr="00F70554" w:rsidRDefault="00F51104" w:rsidP="00A1531D"/>
    <w:p w14:paraId="6E554E47" w14:textId="77777777" w:rsidR="00F51104" w:rsidRPr="00F70554" w:rsidRDefault="00F51104" w:rsidP="00A1531D"/>
    <w:p w14:paraId="7C0B7EA8" w14:textId="77777777" w:rsidR="00F51104" w:rsidRPr="00F70554" w:rsidRDefault="00F51104" w:rsidP="00A1531D"/>
    <w:p w14:paraId="7F486CC8" w14:textId="77777777" w:rsidR="00F51104" w:rsidRPr="00F70554" w:rsidRDefault="00F51104" w:rsidP="00A1531D"/>
    <w:p w14:paraId="10E005F2" w14:textId="77777777" w:rsidR="00F51104" w:rsidRPr="00F70554" w:rsidRDefault="00F51104" w:rsidP="00A1531D"/>
    <w:p w14:paraId="6579A7D7" w14:textId="77777777" w:rsidR="00E2494D" w:rsidRPr="00F70554" w:rsidRDefault="00E2494D" w:rsidP="00A1531D"/>
    <w:p w14:paraId="45FE66DF" w14:textId="77777777" w:rsidR="00E2494D" w:rsidRPr="00F70554" w:rsidRDefault="00E2494D" w:rsidP="00A1531D"/>
    <w:p w14:paraId="3A623862" w14:textId="77777777" w:rsidR="00E2494D" w:rsidRPr="00F70554" w:rsidRDefault="00E2494D" w:rsidP="00A1531D"/>
    <w:p w14:paraId="2CAB4092" w14:textId="77777777" w:rsidR="00E2494D" w:rsidRPr="00F70554" w:rsidRDefault="00E2494D" w:rsidP="00A1531D"/>
    <w:p w14:paraId="5B630658" w14:textId="77777777" w:rsidR="00E2494D" w:rsidRPr="00F70554" w:rsidRDefault="00E2494D" w:rsidP="00A1531D"/>
    <w:p w14:paraId="2AE4E6AE" w14:textId="77777777" w:rsidR="00E2494D" w:rsidRPr="00F70554" w:rsidRDefault="00E2494D" w:rsidP="00A1531D"/>
    <w:p w14:paraId="5CCEF904" w14:textId="5AFB4179" w:rsidR="00E2494D" w:rsidRPr="00F70554" w:rsidRDefault="00A1531D" w:rsidP="00AD709A">
      <w:r w:rsidRPr="00F70554">
        <w:t xml:space="preserve">This document has been developed with the generous support from the </w:t>
      </w:r>
      <w:r w:rsidR="007901F5" w:rsidRPr="00F70554">
        <w:t xml:space="preserve">European Union and </w:t>
      </w:r>
      <w:r w:rsidRPr="00F70554">
        <w:t>Government of Japan</w:t>
      </w:r>
      <w:r w:rsidR="007901F5" w:rsidRPr="00F70554">
        <w:t>,</w:t>
      </w:r>
      <w:r w:rsidRPr="00F70554">
        <w:t xml:space="preserve"> through the Japan Biodiversity Fund, and with support from members of the Inter-Agency Liaison Group on Invasive Alien Species</w:t>
      </w:r>
      <w:r w:rsidR="002C1D9F" w:rsidRPr="00F70554">
        <w:t>.</w:t>
      </w:r>
      <w:r w:rsidR="00182A8C" w:rsidRPr="00F70554">
        <w:rPr>
          <w:rStyle w:val="FootnoteReference"/>
        </w:rPr>
        <w:footnoteReference w:id="7"/>
      </w:r>
    </w:p>
    <w:p w14:paraId="16597891" w14:textId="77777777" w:rsidR="003F06FB" w:rsidRPr="00F70554" w:rsidRDefault="003F06FB" w:rsidP="00AD709A"/>
    <w:p w14:paraId="390146D3" w14:textId="77777777" w:rsidR="003F06FB" w:rsidRPr="00F70554" w:rsidRDefault="003F06FB" w:rsidP="00AD709A"/>
    <w:p w14:paraId="3E239D8C" w14:textId="2ABAA972" w:rsidR="00A1531D" w:rsidRPr="00F70554" w:rsidRDefault="00A1531D" w:rsidP="00F12734">
      <w:pPr>
        <w:pStyle w:val="Heading1"/>
        <w:numPr>
          <w:ilvl w:val="0"/>
          <w:numId w:val="16"/>
        </w:numPr>
      </w:pPr>
      <w:r w:rsidRPr="00F70554">
        <w:lastRenderedPageBreak/>
        <w:t>Data and information sharing for the management of invasive alien species</w:t>
      </w:r>
    </w:p>
    <w:p w14:paraId="35F3B4BE" w14:textId="586BBBCF" w:rsidR="00A1531D" w:rsidRPr="00F70554" w:rsidRDefault="00A1531D" w:rsidP="00A1531D">
      <w:r w:rsidRPr="00F70554">
        <w:t>This report focuses on how access to data and information can be improved to support Parties in making progress towards Target 6 of the Kunming-Montreal Global Biodiversity Framework. It also identifies a series of elements through which data accessibility can be assessed</w:t>
      </w:r>
      <w:r w:rsidR="00107C64" w:rsidRPr="00F70554">
        <w:t xml:space="preserve"> </w:t>
      </w:r>
      <w:r w:rsidRPr="00F70554">
        <w:t>and provides case studies on the information needs</w:t>
      </w:r>
      <w:r w:rsidR="002B55A8" w:rsidRPr="00F70554">
        <w:t xml:space="preserve"> related to invasive alien species</w:t>
      </w:r>
      <w:r w:rsidRPr="00F70554">
        <w:t xml:space="preserve"> for tourism and trade. Finally, it provides a series of recommendations on how data accessibility can be improved, </w:t>
      </w:r>
      <w:r w:rsidR="0081049E" w:rsidRPr="00F70554">
        <w:t xml:space="preserve">including through recommendations </w:t>
      </w:r>
      <w:r w:rsidRPr="00F70554">
        <w:t>for national and global data providers and aggregators.</w:t>
      </w:r>
      <w:r w:rsidR="00DA6347" w:rsidRPr="00F70554">
        <w:t xml:space="preserve"> The report considers among other things, information from the Thematic Assessment Report on Invasive Alien Species and their Control of the Intergovernmental Science-Policy Platform on Biodiversity and Ecosystems Services</w:t>
      </w:r>
      <w:r w:rsidR="00DA6347" w:rsidRPr="00F70554">
        <w:rPr>
          <w:rStyle w:val="FootnoteReference"/>
        </w:rPr>
        <w:footnoteReference w:id="8"/>
      </w:r>
      <w:r w:rsidR="00DA6347" w:rsidRPr="00F70554">
        <w:t xml:space="preserve"> (hereafter referred to as The Assessment)</w:t>
      </w:r>
      <w:r w:rsidR="00DA5EAD" w:rsidRPr="00F70554">
        <w:t>.</w:t>
      </w:r>
    </w:p>
    <w:p w14:paraId="61699A63" w14:textId="61A1C179" w:rsidR="00A1531D" w:rsidRPr="00F70554" w:rsidRDefault="00A1531D" w:rsidP="00F12734">
      <w:pPr>
        <w:pStyle w:val="Heading2"/>
        <w:numPr>
          <w:ilvl w:val="0"/>
          <w:numId w:val="6"/>
        </w:numPr>
        <w:tabs>
          <w:tab w:val="num" w:pos="1247"/>
        </w:tabs>
        <w:ind w:left="567" w:hanging="567"/>
        <w:rPr>
          <w:rFonts w:hint="eastAsia"/>
        </w:rPr>
      </w:pPr>
      <w:bookmarkStart w:id="1" w:name="_Toc202512535"/>
      <w:r w:rsidRPr="00F70554">
        <w:t xml:space="preserve">The importance of data and information sharing for the management of </w:t>
      </w:r>
      <w:r w:rsidR="002454CC" w:rsidRPr="00F70554">
        <w:t xml:space="preserve">invasive alien </w:t>
      </w:r>
      <w:bookmarkEnd w:id="1"/>
      <w:r w:rsidR="002454CC" w:rsidRPr="00F70554">
        <w:t>species</w:t>
      </w:r>
    </w:p>
    <w:p w14:paraId="2B54BF1A" w14:textId="2487951D" w:rsidR="00A1531D" w:rsidRPr="00F70554" w:rsidRDefault="00A1531D" w:rsidP="00F12734">
      <w:pPr>
        <w:pStyle w:val="Heading3"/>
        <w:numPr>
          <w:ilvl w:val="1"/>
          <w:numId w:val="8"/>
        </w:numPr>
        <w:ind w:left="567" w:hanging="567"/>
      </w:pPr>
      <w:bookmarkStart w:id="2" w:name="_Toc202512536"/>
      <w:r w:rsidRPr="00F70554">
        <w:t xml:space="preserve">Why </w:t>
      </w:r>
      <w:r w:rsidR="00A14477" w:rsidRPr="00F70554">
        <w:t>is</w:t>
      </w:r>
      <w:r w:rsidRPr="00F70554">
        <w:t xml:space="preserve"> data importan</w:t>
      </w:r>
      <w:r w:rsidR="0019376D" w:rsidRPr="00F70554">
        <w:t>t to address</w:t>
      </w:r>
      <w:r w:rsidRPr="00F70554">
        <w:t xml:space="preserve"> </w:t>
      </w:r>
      <w:r w:rsidR="008243C4" w:rsidRPr="00F70554">
        <w:t xml:space="preserve">invasive alien </w:t>
      </w:r>
      <w:bookmarkEnd w:id="2"/>
      <w:r w:rsidR="008243C4" w:rsidRPr="00F70554">
        <w:t>species</w:t>
      </w:r>
      <w:r w:rsidRPr="00F70554">
        <w:t>?</w:t>
      </w:r>
    </w:p>
    <w:p w14:paraId="6D341AF0" w14:textId="77777777" w:rsidR="00A1531D" w:rsidRPr="00F70554" w:rsidRDefault="00A1531D" w:rsidP="00A1531D">
      <w:r w:rsidRPr="00F70554">
        <w:t>The need to access data and information</w:t>
      </w:r>
      <w:r w:rsidRPr="00F70554">
        <w:rPr>
          <w:rStyle w:val="FootnoteReference"/>
        </w:rPr>
        <w:footnoteReference w:id="9"/>
      </w:r>
      <w:r w:rsidRPr="00F70554">
        <w:t xml:space="preserve"> to address threats posed by invasive alien species (IAS) has been acknowledged in several decisions of the Conference of the Parties to the Convention on Biological Diversity (CBD), including in decision 16/18</w:t>
      </w:r>
      <w:r w:rsidRPr="00F70554">
        <w:rPr>
          <w:rStyle w:val="FootnoteReference"/>
        </w:rPr>
        <w:footnoteReference w:id="10"/>
      </w:r>
      <w:r w:rsidRPr="00F70554">
        <w:t>, which recognises that increasing the availability and accessibility of information, means of implementation and addressing major knowledge gaps on biological invasions, would result in more robust and effective policy instruments and management actions. The voluntary guidance annexed to the above-mentioned decision</w:t>
      </w:r>
      <w:r w:rsidRPr="00F70554" w:rsidDel="0076336D">
        <w:t xml:space="preserve"> </w:t>
      </w:r>
      <w:r w:rsidRPr="00F70554">
        <w:t>also stresses in various ways the important role of accessing data and information for several actions such as, among others, multi-criteria analysis and identification and minimization of risks associated with cross-border e-commerce.</w:t>
      </w:r>
    </w:p>
    <w:p w14:paraId="02FA68DF" w14:textId="77777777" w:rsidR="00A1531D" w:rsidRPr="00F70554" w:rsidRDefault="00A1531D" w:rsidP="00A1531D">
      <w:r w:rsidRPr="00F70554">
        <w:t>Actions towards Target 6 of the Kunming-Montreal Biodiversity Framework (Box 1) also have specific data and information needs, including for identifying and prioritising IAS and pathways of introduction that need targeted responses. Understanding which management actions are likely to be effective for different objectives and over different geographic scales also requires access to robust data and information. Standardised and accessible data also enables the establishment of baselines and the monitoring of progress towards global and nationally determined targets and goals, and of management interventions. It is not just ‘data’ that is needed to inform such measures; other types of knowledge are also important, such as access to management best practices and species identification guides, or traditional ecological knowledge from indigenous peoples and local communities with their free prior and informed consent,</w:t>
      </w:r>
      <w:r w:rsidRPr="00F70554">
        <w:rPr>
          <w:rStyle w:val="FootnoteReference"/>
        </w:rPr>
        <w:footnoteReference w:id="11"/>
      </w:r>
      <w:r w:rsidRPr="00F70554">
        <w:t xml:space="preserve"> which can all improve the effectiveness of responses. However, while many data, literature, and other information sources are available, they are often not easily accessible by those who need them. Data is dispersed across many different global, regional, national, and sub-national online platforms in different formats, languages, and using different data standards. Publications are in different languages, and a lot of information is not published with open access rights. In addition, data that is mobilised often does not flow to those who need it in a timely manner </w:t>
      </w:r>
      <w:proofErr w:type="gramStart"/>
      <w:r w:rsidRPr="00F70554">
        <w:t>in order to</w:t>
      </w:r>
      <w:proofErr w:type="gramEnd"/>
      <w:r w:rsidRPr="00F70554">
        <w:t xml:space="preserve"> effectively inform decision-making, prioritisation, and actions such as rapid response. </w:t>
      </w:r>
    </w:p>
    <w:p w14:paraId="5B95D3E7" w14:textId="493170A5" w:rsidR="00A1531D" w:rsidRPr="00F70554" w:rsidRDefault="00A1531D" w:rsidP="00A1531D">
      <w:r w:rsidRPr="00F70554">
        <w:t>Improving data accessibility and sharing to inform research and actions is seen as a challenge across biodiversity conservation in general.</w:t>
      </w:r>
      <w:r w:rsidRPr="00F70554">
        <w:rPr>
          <w:rStyle w:val="FootnoteReference"/>
        </w:rPr>
        <w:footnoteReference w:id="12"/>
      </w:r>
      <w:r w:rsidRPr="00F70554">
        <w:t xml:space="preserve"> However, due to the global nature of biological invasions and the </w:t>
      </w:r>
      <w:r w:rsidRPr="00F70554">
        <w:lastRenderedPageBreak/>
        <w:t>need for collaborative international and regional responses, there is an acute need to increase the accessibility of data and information on IAS through international data platforms. In addition, the data requirements for</w:t>
      </w:r>
      <w:r w:rsidR="008D5FAC" w:rsidRPr="00F70554">
        <w:t xml:space="preserve"> addressing</w:t>
      </w:r>
      <w:r w:rsidRPr="00F70554">
        <w:t xml:space="preserve"> IAS are unique, requiring information on species native and alien ranges, introduction pathways, degree of establishment, impact mechanisms, and any management actions undertaken.</w:t>
      </w:r>
      <w:r w:rsidRPr="00F70554">
        <w:rPr>
          <w:rStyle w:val="FootnoteReference"/>
        </w:rPr>
        <w:footnoteReference w:id="13"/>
      </w:r>
      <w:r w:rsidRPr="00F70554">
        <w:t xml:space="preserve"> Due to the dynamic temporal and geographic nature of biological invasions, data and information can quickly become out of date, requiring regular updating to ensure that it is fit for purpose. Similarly, there is a need for fast dissemination of information and data, especially for early detection and rapid response programs.</w:t>
      </w:r>
      <w:r w:rsidRPr="00F70554">
        <w:rPr>
          <w:rStyle w:val="FootnoteReference"/>
        </w:rPr>
        <w:footnoteReference w:id="14"/>
      </w:r>
    </w:p>
    <w:p w14:paraId="2BCC7E7B" w14:textId="77777777" w:rsidR="00F51104" w:rsidRPr="00F70554" w:rsidRDefault="00F51104" w:rsidP="00A1531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1E4F5" w:themeFill="accent1" w:themeFillTint="33"/>
        <w:tblLook w:val="04A0" w:firstRow="1" w:lastRow="0" w:firstColumn="1" w:lastColumn="0" w:noHBand="0" w:noVBand="1"/>
      </w:tblPr>
      <w:tblGrid>
        <w:gridCol w:w="9016"/>
      </w:tblGrid>
      <w:tr w:rsidR="00A1531D" w:rsidRPr="00F70554" w14:paraId="019BB04A" w14:textId="77777777">
        <w:tc>
          <w:tcPr>
            <w:tcW w:w="9016" w:type="dxa"/>
            <w:shd w:val="clear" w:color="auto" w:fill="C1E4F5" w:themeFill="accent1" w:themeFillTint="33"/>
          </w:tcPr>
          <w:p w14:paraId="1DEF3B29" w14:textId="7EF6605D" w:rsidR="00A1531D" w:rsidRPr="00F70554" w:rsidRDefault="00A1531D">
            <w:pPr>
              <w:pStyle w:val="Heading4"/>
              <w:numPr>
                <w:ilvl w:val="0"/>
                <w:numId w:val="0"/>
              </w:numPr>
            </w:pPr>
            <w:r w:rsidRPr="00F70554">
              <w:t>Box 1. Kunming-Montreal Global Biodiversity Framework Target 6 on invasive alien species</w:t>
            </w:r>
            <w:r w:rsidR="0007392F" w:rsidRPr="00F70554">
              <w:t>.</w:t>
            </w:r>
            <w:r w:rsidR="00A82966" w:rsidRPr="00F70554">
              <w:rPr>
                <w:rStyle w:val="FootnoteReference"/>
              </w:rPr>
              <w:footnoteReference w:id="15"/>
            </w:r>
          </w:p>
          <w:p w14:paraId="7DBD5022" w14:textId="77777777" w:rsidR="00A1531D" w:rsidRPr="00F70554" w:rsidRDefault="00A1531D">
            <w:r w:rsidRPr="00F70554">
              <w:t>Eliminate, minimize, reduce, and or mitigate the impacts of invasive alien species on biodiversity and ecosystem services by:</w:t>
            </w:r>
          </w:p>
          <w:p w14:paraId="62B82A0D" w14:textId="77777777" w:rsidR="00A1531D" w:rsidRPr="00F70554" w:rsidRDefault="00A1531D" w:rsidP="00292535">
            <w:pPr>
              <w:pStyle w:val="ListParagraph"/>
              <w:numPr>
                <w:ilvl w:val="1"/>
                <w:numId w:val="7"/>
              </w:numPr>
              <w:tabs>
                <w:tab w:val="clear" w:pos="567"/>
                <w:tab w:val="clear" w:pos="1134"/>
                <w:tab w:val="clear" w:pos="1440"/>
                <w:tab w:val="clear" w:pos="1701"/>
                <w:tab w:val="clear" w:pos="2268"/>
                <w:tab w:val="num" w:pos="746"/>
              </w:tabs>
              <w:ind w:left="746" w:hanging="284"/>
            </w:pPr>
            <w:r w:rsidRPr="00F70554">
              <w:t xml:space="preserve">Identifying and managing </w:t>
            </w:r>
            <w:r w:rsidRPr="00F70554">
              <w:rPr>
                <w:u w:val="single"/>
              </w:rPr>
              <w:t>pathways</w:t>
            </w:r>
            <w:r w:rsidRPr="00F70554">
              <w:t xml:space="preserve"> of the introduction of alien species</w:t>
            </w:r>
          </w:p>
          <w:p w14:paraId="4E321EBF" w14:textId="77777777" w:rsidR="00A1531D" w:rsidRPr="00F70554" w:rsidRDefault="00A1531D" w:rsidP="00292535">
            <w:pPr>
              <w:pStyle w:val="ListParagraph"/>
              <w:numPr>
                <w:ilvl w:val="1"/>
                <w:numId w:val="7"/>
              </w:numPr>
              <w:tabs>
                <w:tab w:val="clear" w:pos="567"/>
                <w:tab w:val="clear" w:pos="1134"/>
                <w:tab w:val="clear" w:pos="1440"/>
                <w:tab w:val="clear" w:pos="1701"/>
                <w:tab w:val="clear" w:pos="2268"/>
                <w:tab w:val="num" w:pos="746"/>
              </w:tabs>
              <w:ind w:left="746" w:hanging="284"/>
            </w:pPr>
            <w:r w:rsidRPr="00F70554">
              <w:t xml:space="preserve">Preventing the introduction and </w:t>
            </w:r>
            <w:r w:rsidRPr="00F70554">
              <w:rPr>
                <w:u w:val="single"/>
              </w:rPr>
              <w:t>establishment of priority invasive alien species</w:t>
            </w:r>
            <w:r w:rsidRPr="00F70554">
              <w:t>, reducing the rates of introduction and establishment of other known or potential invasive alien species by at least 50 per cent, by 2030</w:t>
            </w:r>
          </w:p>
          <w:p w14:paraId="73D2600C" w14:textId="77777777" w:rsidR="00A1531D" w:rsidRPr="00F70554" w:rsidRDefault="00A1531D" w:rsidP="00292535">
            <w:pPr>
              <w:pStyle w:val="ListParagraph"/>
              <w:numPr>
                <w:ilvl w:val="1"/>
                <w:numId w:val="7"/>
              </w:numPr>
              <w:tabs>
                <w:tab w:val="clear" w:pos="567"/>
                <w:tab w:val="clear" w:pos="1134"/>
                <w:tab w:val="clear" w:pos="1440"/>
                <w:tab w:val="clear" w:pos="1701"/>
                <w:tab w:val="clear" w:pos="2268"/>
                <w:tab w:val="num" w:pos="746"/>
              </w:tabs>
              <w:ind w:left="746" w:hanging="284"/>
            </w:pPr>
            <w:r w:rsidRPr="00F70554">
              <w:rPr>
                <w:u w:val="single"/>
              </w:rPr>
              <w:t xml:space="preserve">Eradicating or controlling </w:t>
            </w:r>
            <w:r w:rsidRPr="00F70554">
              <w:t xml:space="preserve">invasive alien species, especially </w:t>
            </w:r>
            <w:r w:rsidRPr="00F70554">
              <w:rPr>
                <w:u w:val="single"/>
              </w:rPr>
              <w:t>in priority sites</w:t>
            </w:r>
            <w:r w:rsidRPr="00F70554">
              <w:t>, such as islands</w:t>
            </w:r>
          </w:p>
          <w:p w14:paraId="68BBA451" w14:textId="77777777" w:rsidR="00A1531D" w:rsidRPr="00F70554" w:rsidRDefault="00A1531D">
            <w:pPr>
              <w:pStyle w:val="ListParagraph"/>
              <w:ind w:left="1440"/>
            </w:pPr>
          </w:p>
        </w:tc>
      </w:tr>
    </w:tbl>
    <w:p w14:paraId="4CC6B9D5" w14:textId="77777777" w:rsidR="00A1531D" w:rsidRPr="00F70554" w:rsidRDefault="00A1531D" w:rsidP="00A1531D"/>
    <w:p w14:paraId="7ED40DFF" w14:textId="64DA1516" w:rsidR="00A1531D" w:rsidRPr="00F70554" w:rsidRDefault="00A1531D" w:rsidP="00F12734">
      <w:pPr>
        <w:pStyle w:val="Heading3"/>
        <w:numPr>
          <w:ilvl w:val="1"/>
          <w:numId w:val="8"/>
        </w:numPr>
        <w:ind w:left="567" w:hanging="567"/>
      </w:pPr>
      <w:bookmarkStart w:id="3" w:name="_Toc202512537"/>
      <w:r w:rsidRPr="00F70554">
        <w:t xml:space="preserve">Data and information to support </w:t>
      </w:r>
      <w:r w:rsidR="00964818" w:rsidRPr="00F70554">
        <w:t>invasive alien species</w:t>
      </w:r>
      <w:r w:rsidRPr="00F70554">
        <w:t xml:space="preserve"> management and T6</w:t>
      </w:r>
      <w:bookmarkEnd w:id="3"/>
    </w:p>
    <w:p w14:paraId="2829F157" w14:textId="77777777" w:rsidR="00A1531D" w:rsidRPr="00F70554" w:rsidRDefault="00A1531D" w:rsidP="00F12734">
      <w:pPr>
        <w:spacing w:before="120" w:after="120"/>
      </w:pPr>
      <w:r w:rsidRPr="00F70554">
        <w:t>Informing the implementation of actions under Target 6 of the Framework requires more than just accessing data or information (e.g. on the distribution and impacts of IAS) from online databases. Information from publications such as scientific literature, management, codes of conduct, best practices, community reports, and identification guides is also required. In addition, the use of analytical tools such as risk assessments, horizon scanning, or species distribution modelling can use the data and information to provide robust evidence to support decision-making. Automated workflows can also improve the efficiency, reproducibility, repeatability, and speed at which data and information are made accessible to the required end user groups.</w:t>
      </w:r>
    </w:p>
    <w:p w14:paraId="6C1C5A43" w14:textId="77777777" w:rsidR="00A1531D" w:rsidRPr="00F70554" w:rsidRDefault="00A1531D" w:rsidP="00F12734">
      <w:pPr>
        <w:spacing w:before="120" w:after="120"/>
      </w:pPr>
      <w:r w:rsidRPr="00F70554">
        <w:t>A broad range of stakeholder groups require access to data and information on IAS, including national government agencies, indigenous peoples and local communities, civil society organizations, sub-national governments, the private sector, and international organizations. The type of information needed by these actors can vary depending on their specific needs and the actions they are undertaking. This information may include best practices for IAS management, pre-border data on imports to support risk-based controls, identification guides, inspection protocols, and more.</w:t>
      </w:r>
    </w:p>
    <w:p w14:paraId="16BFBD5F" w14:textId="41C25A60" w:rsidR="00A1531D" w:rsidRPr="00F70554" w:rsidRDefault="00A1531D" w:rsidP="00F12734">
      <w:pPr>
        <w:tabs>
          <w:tab w:val="left" w:pos="2790"/>
        </w:tabs>
        <w:spacing w:before="120" w:after="120"/>
      </w:pPr>
      <w:r w:rsidRPr="00F70554">
        <w:t>The Invasive Alien Species Toolkit for Target 6 of the Kunming-Montreal Global Biodiversity Framework (hereafter referred to as the CBD IAS Toolkit)</w:t>
      </w:r>
      <w:r w:rsidRPr="00F70554">
        <w:rPr>
          <w:rStyle w:val="FootnoteReference"/>
        </w:rPr>
        <w:footnoteReference w:id="16"/>
      </w:r>
      <w:r w:rsidRPr="00F70554">
        <w:t xml:space="preserve"> sets out a series of guiding questions that can be used to identify what data and information are needed to develop actions for Target 6 (Figure 1). Using these questions, Table 1 presents a summary of the key data, information, and analytical tools needed to inform national-level actions for Target 6. It also identifies examples of information sources that can meet these </w:t>
      </w:r>
      <w:r w:rsidRPr="00F70554">
        <w:lastRenderedPageBreak/>
        <w:t xml:space="preserve">needs. Please see the </w:t>
      </w:r>
      <w:r w:rsidRPr="00F70554" w:rsidDel="001B4B61">
        <w:t xml:space="preserve">CBD </w:t>
      </w:r>
      <w:r w:rsidRPr="00F70554">
        <w:t xml:space="preserve">IAS Toolkit for a more comprehensive list of relevant information sources to support actions for Target 6. </w:t>
      </w:r>
    </w:p>
    <w:p w14:paraId="54D090E5" w14:textId="77777777" w:rsidR="00A1531D" w:rsidRPr="00F70554" w:rsidRDefault="00A1531D" w:rsidP="00A1531D">
      <w:r w:rsidRPr="00F70554">
        <w:rPr>
          <w:noProof/>
        </w:rPr>
        <w:drawing>
          <wp:inline distT="0" distB="0" distL="0" distR="0" wp14:anchorId="61C0155A" wp14:editId="21000C5E">
            <wp:extent cx="5731510" cy="5095875"/>
            <wp:effectExtent l="0" t="0" r="2540" b="9525"/>
            <wp:docPr id="1413369801" name="Picture 1" descr="A diagram of a basic meth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369801" name="Picture 1" descr="A diagram of a basic method&#10;&#10;AI-generated content may be incorrect."/>
                    <pic:cNvPicPr/>
                  </pic:nvPicPr>
                  <pic:blipFill>
                    <a:blip r:embed="rId22"/>
                    <a:stretch>
                      <a:fillRect/>
                    </a:stretch>
                  </pic:blipFill>
                  <pic:spPr>
                    <a:xfrm>
                      <a:off x="0" y="0"/>
                      <a:ext cx="5731510" cy="5095875"/>
                    </a:xfrm>
                    <a:prstGeom prst="rect">
                      <a:avLst/>
                    </a:prstGeom>
                  </pic:spPr>
                </pic:pic>
              </a:graphicData>
            </a:graphic>
          </wp:inline>
        </w:drawing>
      </w:r>
    </w:p>
    <w:p w14:paraId="6053818C" w14:textId="78B73C0D" w:rsidR="00A1531D" w:rsidRPr="00F70554" w:rsidRDefault="00A1531D" w:rsidP="009708CD">
      <w:pPr>
        <w:pStyle w:val="Heading4"/>
        <w:numPr>
          <w:ilvl w:val="0"/>
          <w:numId w:val="0"/>
        </w:numPr>
        <w:ind w:left="567"/>
        <w:sectPr w:rsidR="00A1531D" w:rsidRPr="00F70554" w:rsidSect="00F12734">
          <w:footnotePr>
            <w:numRestart w:val="eachSect"/>
          </w:footnotePr>
          <w:pgSz w:w="12240" w:h="15840"/>
          <w:pgMar w:top="1134" w:right="1440" w:bottom="1134" w:left="1440" w:header="709" w:footer="709" w:gutter="0"/>
          <w:cols w:space="708"/>
          <w:docGrid w:linePitch="360"/>
        </w:sectPr>
      </w:pPr>
      <w:r w:rsidRPr="00F70554">
        <w:t>Figure 1</w:t>
      </w:r>
      <w:r w:rsidR="009E5449">
        <w:t>.</w:t>
      </w:r>
      <w:r w:rsidRPr="00F70554">
        <w:t xml:space="preserve">  What do we need to know for Target 6? The questions (in blue) can guide and inform the development of actions to address the three elements of Target 6 (in green). </w:t>
      </w:r>
      <w:r w:rsidRPr="00F70554">
        <w:rPr>
          <w:sz w:val="18"/>
          <w:szCs w:val="18"/>
        </w:rPr>
        <w:t>Taken from CBD IAS Toolkit (CBD and IUCN, 2024)</w:t>
      </w:r>
    </w:p>
    <w:p w14:paraId="7E9DC853" w14:textId="78A6536F" w:rsidR="00A1531D" w:rsidRPr="00F70554" w:rsidRDefault="00A1531D" w:rsidP="009708CD">
      <w:pPr>
        <w:pStyle w:val="Heading4"/>
        <w:numPr>
          <w:ilvl w:val="0"/>
          <w:numId w:val="0"/>
        </w:numPr>
        <w:ind w:left="567"/>
      </w:pPr>
      <w:r w:rsidRPr="00F70554">
        <w:lastRenderedPageBreak/>
        <w:t>Table 1</w:t>
      </w:r>
      <w:r w:rsidR="009E5449">
        <w:t>.</w:t>
      </w:r>
      <w:r w:rsidRPr="00F70554">
        <w:t xml:space="preserve"> Data and information needs for Target 6 of the Kunming-Montreal Global Biodiversity Framework</w:t>
      </w:r>
    </w:p>
    <w:tbl>
      <w:tblPr>
        <w:tblStyle w:val="TableGrid"/>
        <w:tblW w:w="0" w:type="auto"/>
        <w:tblLook w:val="04A0" w:firstRow="1" w:lastRow="0" w:firstColumn="1" w:lastColumn="0" w:noHBand="0" w:noVBand="1"/>
      </w:tblPr>
      <w:tblGrid>
        <w:gridCol w:w="4230"/>
        <w:gridCol w:w="3711"/>
        <w:gridCol w:w="5009"/>
      </w:tblGrid>
      <w:tr w:rsidR="00A1531D" w:rsidRPr="00F70554" w14:paraId="5214815F" w14:textId="77777777">
        <w:tc>
          <w:tcPr>
            <w:tcW w:w="4531" w:type="dxa"/>
            <w:shd w:val="clear" w:color="auto" w:fill="0E2841" w:themeFill="text2"/>
          </w:tcPr>
          <w:p w14:paraId="061B0AA6" w14:textId="77777777" w:rsidR="00A1531D" w:rsidRPr="00F70554" w:rsidRDefault="00A1531D" w:rsidP="00F12734">
            <w:pPr>
              <w:jc w:val="left"/>
              <w:rPr>
                <w:b/>
                <w:bCs/>
                <w:color w:val="FFFFFF" w:themeColor="background1"/>
              </w:rPr>
            </w:pPr>
            <w:r w:rsidRPr="00F70554">
              <w:rPr>
                <w:b/>
                <w:bCs/>
                <w:color w:val="FFFFFF" w:themeColor="background1"/>
              </w:rPr>
              <w:t>Actions to support progress towards Target 6</w:t>
            </w:r>
          </w:p>
        </w:tc>
        <w:tc>
          <w:tcPr>
            <w:tcW w:w="3969" w:type="dxa"/>
            <w:shd w:val="clear" w:color="auto" w:fill="0E2841" w:themeFill="text2"/>
          </w:tcPr>
          <w:p w14:paraId="56742465" w14:textId="77777777" w:rsidR="00A1531D" w:rsidRPr="00F70554" w:rsidRDefault="00A1531D" w:rsidP="00F12734">
            <w:pPr>
              <w:jc w:val="left"/>
              <w:rPr>
                <w:b/>
                <w:bCs/>
                <w:color w:val="FFFFFF" w:themeColor="background1"/>
              </w:rPr>
            </w:pPr>
            <w:r w:rsidRPr="00F70554">
              <w:rPr>
                <w:b/>
                <w:bCs/>
                <w:color w:val="FFFFFF" w:themeColor="background1"/>
              </w:rPr>
              <w:t>Data and information needs</w:t>
            </w:r>
          </w:p>
        </w:tc>
        <w:tc>
          <w:tcPr>
            <w:tcW w:w="5387" w:type="dxa"/>
            <w:shd w:val="clear" w:color="auto" w:fill="0E2841" w:themeFill="text2"/>
          </w:tcPr>
          <w:p w14:paraId="40A52955" w14:textId="77777777" w:rsidR="00A1531D" w:rsidRPr="00F70554" w:rsidRDefault="00A1531D" w:rsidP="00F12734">
            <w:pPr>
              <w:jc w:val="left"/>
              <w:rPr>
                <w:b/>
                <w:bCs/>
                <w:color w:val="FFFFFF" w:themeColor="background1"/>
              </w:rPr>
            </w:pPr>
            <w:r w:rsidRPr="00F70554">
              <w:rPr>
                <w:b/>
                <w:bCs/>
                <w:color w:val="FFFFFF" w:themeColor="background1"/>
              </w:rPr>
              <w:t>Examples of available sources of data and information</w:t>
            </w:r>
          </w:p>
          <w:p w14:paraId="1B2F7846" w14:textId="2A11383A" w:rsidR="00A1531D" w:rsidRPr="00F70554" w:rsidRDefault="00A1531D" w:rsidP="00F12734">
            <w:pPr>
              <w:jc w:val="left"/>
              <w:rPr>
                <w:color w:val="FFFFFF" w:themeColor="background1"/>
              </w:rPr>
            </w:pPr>
            <w:r w:rsidRPr="00F70554">
              <w:rPr>
                <w:color w:val="FFFFFF" w:themeColor="background1"/>
              </w:rPr>
              <w:t xml:space="preserve">Produced through the Inter-Agency Liaison Group on Invasive Alien Species and other </w:t>
            </w:r>
            <w:r w:rsidR="00334ED9" w:rsidRPr="00F70554">
              <w:rPr>
                <w:color w:val="FFFFFF" w:themeColor="background1"/>
              </w:rPr>
              <w:t>relevant</w:t>
            </w:r>
            <w:r w:rsidRPr="00F70554">
              <w:rPr>
                <w:color w:val="FFFFFF" w:themeColor="background1"/>
              </w:rPr>
              <w:t xml:space="preserve"> sources. Potential national sources are also mentioned. </w:t>
            </w:r>
          </w:p>
          <w:p w14:paraId="0725D978" w14:textId="77777777" w:rsidR="00A1531D" w:rsidRPr="00F70554" w:rsidRDefault="00A1531D" w:rsidP="00F12734">
            <w:pPr>
              <w:jc w:val="left"/>
              <w:rPr>
                <w:b/>
                <w:i/>
                <w:color w:val="FFFFFF" w:themeColor="background1"/>
              </w:rPr>
            </w:pPr>
            <w:r w:rsidRPr="00F70554">
              <w:rPr>
                <w:i/>
                <w:color w:val="FFFFFF" w:themeColor="background1"/>
              </w:rPr>
              <w:t>Please see the CBD IAS Toolkit for additional resources.</w:t>
            </w:r>
          </w:p>
        </w:tc>
      </w:tr>
      <w:tr w:rsidR="00A1531D" w:rsidRPr="00F70554" w14:paraId="4EF8A4F1" w14:textId="77777777">
        <w:tc>
          <w:tcPr>
            <w:tcW w:w="13887" w:type="dxa"/>
            <w:gridSpan w:val="3"/>
            <w:shd w:val="clear" w:color="auto" w:fill="0F4761" w:themeFill="accent1" w:themeFillShade="BF"/>
          </w:tcPr>
          <w:p w14:paraId="77B3FCDD" w14:textId="77777777" w:rsidR="00A1531D" w:rsidRPr="00F70554" w:rsidRDefault="00A1531D" w:rsidP="00F12734">
            <w:pPr>
              <w:jc w:val="left"/>
              <w:rPr>
                <w:b/>
                <w:bCs/>
                <w:color w:val="FFFFFF" w:themeColor="background1"/>
              </w:rPr>
            </w:pPr>
            <w:r w:rsidRPr="00F70554">
              <w:rPr>
                <w:b/>
                <w:bCs/>
                <w:color w:val="FFFFFF" w:themeColor="background1"/>
              </w:rPr>
              <w:t>Target 6 element – Baseline information</w:t>
            </w:r>
          </w:p>
        </w:tc>
      </w:tr>
      <w:tr w:rsidR="00A1531D" w:rsidRPr="00F70554" w14:paraId="017872EE" w14:textId="77777777">
        <w:tc>
          <w:tcPr>
            <w:tcW w:w="13887" w:type="dxa"/>
            <w:gridSpan w:val="3"/>
            <w:shd w:val="clear" w:color="auto" w:fill="C1E4F5" w:themeFill="accent1" w:themeFillTint="33"/>
          </w:tcPr>
          <w:p w14:paraId="33DC98BA" w14:textId="77777777" w:rsidR="00A1531D" w:rsidRPr="00F70554" w:rsidRDefault="00A1531D" w:rsidP="00F12734">
            <w:pPr>
              <w:jc w:val="left"/>
              <w:rPr>
                <w:b/>
                <w:bCs/>
              </w:rPr>
            </w:pPr>
            <w:r w:rsidRPr="00F70554">
              <w:rPr>
                <w:b/>
                <w:bCs/>
              </w:rPr>
              <w:t xml:space="preserve">What alien species have we got, how and when did they get here (pathways of introduction), and what are their impacts? </w:t>
            </w:r>
          </w:p>
          <w:p w14:paraId="30DBF5FB" w14:textId="77777777" w:rsidR="00A1531D" w:rsidRPr="00F70554" w:rsidRDefault="00A1531D" w:rsidP="00F12734">
            <w:pPr>
              <w:jc w:val="left"/>
              <w:rPr>
                <w:b/>
                <w:bCs/>
              </w:rPr>
            </w:pPr>
          </w:p>
        </w:tc>
      </w:tr>
      <w:tr w:rsidR="00A1531D" w:rsidRPr="00F70554" w14:paraId="7523AD42" w14:textId="77777777">
        <w:tc>
          <w:tcPr>
            <w:tcW w:w="4531" w:type="dxa"/>
          </w:tcPr>
          <w:p w14:paraId="1EB88EB0" w14:textId="2EAE4AC4" w:rsidR="00A1531D" w:rsidRPr="00F70554" w:rsidRDefault="00A1531D" w:rsidP="00F12734">
            <w:pPr>
              <w:jc w:val="left"/>
            </w:pPr>
            <w:r w:rsidRPr="00F70554">
              <w:rPr>
                <w:b/>
                <w:bCs/>
              </w:rPr>
              <w:t>Identifying which alien species are currently introduced and established</w:t>
            </w:r>
            <w:r w:rsidRPr="00F70554">
              <w:t xml:space="preserve"> in a country, and which may be invasive, is usually done through a ‘checklist’. The use of standardised vocabulary, such as Darwin Core terminology,</w:t>
            </w:r>
            <w:r w:rsidRPr="00F70554">
              <w:rPr>
                <w:rStyle w:val="FootnoteReference"/>
              </w:rPr>
              <w:footnoteReference w:id="17"/>
            </w:r>
            <w:r w:rsidRPr="00F70554">
              <w:t xml:space="preserve"> is useful. Knowing which alien species are established (not just introduced) is also required for reporting on the Kunming-Montreal Global Biodiversity Framework´s headline indicator for Target 6.</w:t>
            </w:r>
            <w:r w:rsidRPr="00F70554">
              <w:rPr>
                <w:rStyle w:val="FootnoteReference"/>
              </w:rPr>
              <w:footnoteReference w:id="18"/>
            </w:r>
            <w:r w:rsidRPr="00F70554">
              <w:t xml:space="preserve"> </w:t>
            </w:r>
          </w:p>
        </w:tc>
        <w:tc>
          <w:tcPr>
            <w:tcW w:w="3969" w:type="dxa"/>
          </w:tcPr>
          <w:p w14:paraId="2946B27B" w14:textId="77777777" w:rsidR="00A1531D" w:rsidRPr="00F70554" w:rsidRDefault="00A1531D" w:rsidP="00F12734">
            <w:pPr>
              <w:jc w:val="left"/>
            </w:pPr>
            <w:r w:rsidRPr="00F70554">
              <w:t>Information on species taxonomy, common names, degree of establishment, invasive status, date of introduction, and pathways of introduction. Additional information can include synonyms, distribution, abundance, habitat and ecology, and magnitude and mechanism of impacts.</w:t>
            </w:r>
          </w:p>
        </w:tc>
        <w:tc>
          <w:tcPr>
            <w:tcW w:w="5387" w:type="dxa"/>
          </w:tcPr>
          <w:p w14:paraId="1839E989" w14:textId="77777777" w:rsidR="00A1531D" w:rsidRPr="00F70554" w:rsidRDefault="00A1531D" w:rsidP="00F12734">
            <w:pPr>
              <w:jc w:val="left"/>
            </w:pPr>
            <w:r w:rsidRPr="00F70554">
              <w:rPr>
                <w:b/>
                <w:bCs/>
              </w:rPr>
              <w:t>IALG-IAS:</w:t>
            </w:r>
            <w:r w:rsidRPr="00F70554">
              <w:t xml:space="preserve"> CABI Compendium: Invasive Species;</w:t>
            </w:r>
            <w:r w:rsidRPr="00F70554">
              <w:rPr>
                <w:rStyle w:val="FootnoteReference"/>
              </w:rPr>
              <w:footnoteReference w:id="19"/>
            </w:r>
            <w:r w:rsidRPr="00F70554">
              <w:t xml:space="preserve"> Global Biodiversity Information Facility (GBIF);</w:t>
            </w:r>
            <w:r w:rsidRPr="00F70554">
              <w:rPr>
                <w:rStyle w:val="FootnoteReference"/>
              </w:rPr>
              <w:footnoteReference w:id="20"/>
            </w:r>
            <w:r w:rsidRPr="00F70554">
              <w:t xml:space="preserve"> Global Register of Introduced and Invasive Species (GRIIS);</w:t>
            </w:r>
            <w:r w:rsidRPr="00F70554">
              <w:rPr>
                <w:rStyle w:val="FootnoteReference"/>
              </w:rPr>
              <w:footnoteReference w:id="21"/>
            </w:r>
            <w:r w:rsidRPr="00F70554">
              <w:t xml:space="preserve">  IUCN Global Invasive Species Database (GISD);</w:t>
            </w:r>
            <w:r w:rsidRPr="00F70554">
              <w:rPr>
                <w:rStyle w:val="FootnoteReference"/>
              </w:rPr>
              <w:footnoteReference w:id="22"/>
            </w:r>
            <w:r w:rsidRPr="00F70554">
              <w:t xml:space="preserve"> and the International Plant Protection Convention (IPPC) List of Regulated Pests.</w:t>
            </w:r>
            <w:r w:rsidRPr="00F70554">
              <w:rPr>
                <w:rStyle w:val="FootnoteReference"/>
              </w:rPr>
              <w:footnoteReference w:id="23"/>
            </w:r>
            <w:r w:rsidRPr="00F70554">
              <w:t xml:space="preserve"> </w:t>
            </w:r>
          </w:p>
          <w:p w14:paraId="00C0DFE0" w14:textId="77777777" w:rsidR="00A1531D" w:rsidRPr="00F70554" w:rsidRDefault="00A1531D" w:rsidP="00F12734">
            <w:pPr>
              <w:jc w:val="left"/>
            </w:pPr>
            <w:r w:rsidRPr="00F70554">
              <w:rPr>
                <w:b/>
                <w:bCs/>
              </w:rPr>
              <w:t>Other</w:t>
            </w:r>
            <w:r w:rsidRPr="00F70554">
              <w:t>: Global Alien Species First Record Database;</w:t>
            </w:r>
            <w:r w:rsidRPr="00F70554">
              <w:rPr>
                <w:rStyle w:val="FootnoteReference"/>
              </w:rPr>
              <w:footnoteReference w:id="24"/>
            </w:r>
            <w:r w:rsidRPr="00F70554">
              <w:t xml:space="preserve"> the Global Impacts Dataset of Invasive Alien Species (GIDIAS);</w:t>
            </w:r>
            <w:r w:rsidRPr="00F70554">
              <w:rPr>
                <w:rStyle w:val="FootnoteReference"/>
              </w:rPr>
              <w:footnoteReference w:id="25"/>
            </w:r>
            <w:r w:rsidRPr="00F70554">
              <w:t xml:space="preserve"> and World Register of Introduced Marine Species (</w:t>
            </w:r>
            <w:proofErr w:type="spellStart"/>
            <w:r w:rsidRPr="00F70554">
              <w:t>WRiMS</w:t>
            </w:r>
            <w:proofErr w:type="spellEnd"/>
            <w:r w:rsidRPr="00F70554">
              <w:t>).</w:t>
            </w:r>
            <w:r w:rsidRPr="00F70554">
              <w:rPr>
                <w:rStyle w:val="FootnoteReference"/>
              </w:rPr>
              <w:footnoteReference w:id="26"/>
            </w:r>
          </w:p>
          <w:p w14:paraId="5033FAA7" w14:textId="209C5AC7" w:rsidR="00A1531D" w:rsidRPr="00F70554" w:rsidRDefault="00A1531D" w:rsidP="00F12734">
            <w:pPr>
              <w:jc w:val="left"/>
            </w:pPr>
            <w:r w:rsidRPr="00F70554">
              <w:rPr>
                <w:b/>
                <w:bCs/>
              </w:rPr>
              <w:t>National sources:</w:t>
            </w:r>
            <w:r w:rsidRPr="00F70554">
              <w:t xml:space="preserve"> May include national biodiversity checklists, citizen science, environmental-DNA data, and knowledge from indigenous peoples and local communities.</w:t>
            </w:r>
          </w:p>
        </w:tc>
      </w:tr>
      <w:tr w:rsidR="00A1531D" w:rsidRPr="00F70554" w14:paraId="559D5A05" w14:textId="77777777">
        <w:tc>
          <w:tcPr>
            <w:tcW w:w="13887" w:type="dxa"/>
            <w:gridSpan w:val="3"/>
            <w:shd w:val="clear" w:color="auto" w:fill="C1E4F5" w:themeFill="accent1" w:themeFillTint="33"/>
          </w:tcPr>
          <w:p w14:paraId="74BABFF3" w14:textId="77777777" w:rsidR="00A1531D" w:rsidRPr="00F70554" w:rsidRDefault="00A1531D" w:rsidP="00F12734">
            <w:pPr>
              <w:keepNext/>
              <w:rPr>
                <w:b/>
                <w:bCs/>
              </w:rPr>
            </w:pPr>
            <w:r w:rsidRPr="00F70554">
              <w:rPr>
                <w:b/>
                <w:bCs/>
              </w:rPr>
              <w:lastRenderedPageBreak/>
              <w:t xml:space="preserve">What alien species might arrive </w:t>
            </w:r>
            <w:proofErr w:type="gramStart"/>
            <w:r w:rsidRPr="00F70554">
              <w:rPr>
                <w:b/>
                <w:bCs/>
              </w:rPr>
              <w:t>in the near future</w:t>
            </w:r>
            <w:proofErr w:type="gramEnd"/>
            <w:r w:rsidRPr="00F70554">
              <w:rPr>
                <w:b/>
                <w:bCs/>
              </w:rPr>
              <w:t xml:space="preserve">, how could they arrive (pathways of introduction), and what might their impacts be? </w:t>
            </w:r>
          </w:p>
          <w:p w14:paraId="3B62BA99" w14:textId="77777777" w:rsidR="00A1531D" w:rsidRPr="00F70554" w:rsidRDefault="00A1531D" w:rsidP="00F12734">
            <w:pPr>
              <w:keepNext/>
              <w:rPr>
                <w:b/>
                <w:bCs/>
              </w:rPr>
            </w:pPr>
          </w:p>
        </w:tc>
      </w:tr>
      <w:tr w:rsidR="00A1531D" w:rsidRPr="00F70554" w14:paraId="7C8D8236" w14:textId="77777777">
        <w:tc>
          <w:tcPr>
            <w:tcW w:w="4531" w:type="dxa"/>
          </w:tcPr>
          <w:p w14:paraId="109354E0" w14:textId="77777777" w:rsidR="00A1531D" w:rsidRPr="00F70554" w:rsidRDefault="00A1531D" w:rsidP="00F12734">
            <w:pPr>
              <w:jc w:val="left"/>
            </w:pPr>
            <w:r w:rsidRPr="00F70554">
              <w:rPr>
                <w:b/>
                <w:bCs/>
              </w:rPr>
              <w:t xml:space="preserve">Identifying species that are likely to arrive </w:t>
            </w:r>
            <w:proofErr w:type="gramStart"/>
            <w:r w:rsidRPr="00F70554">
              <w:rPr>
                <w:b/>
                <w:bCs/>
              </w:rPr>
              <w:t>in the near future</w:t>
            </w:r>
            <w:proofErr w:type="gramEnd"/>
            <w:r w:rsidRPr="00F70554">
              <w:t xml:space="preserve"> can be achieved through a horizon scan approach</w:t>
            </w:r>
            <w:r w:rsidRPr="00F70554">
              <w:rPr>
                <w:rStyle w:val="FootnoteReference"/>
              </w:rPr>
              <w:footnoteReference w:id="27"/>
            </w:r>
            <w:r w:rsidRPr="00F70554">
              <w:t xml:space="preserve"> that identifies species risk of introduction, establishment, spread, and impacts. Quantitative approaches such as predictive modelling (e.g. climate matching and habitat matching) can support horizon scans and the identification of likely invaders.</w:t>
            </w:r>
          </w:p>
        </w:tc>
        <w:tc>
          <w:tcPr>
            <w:tcW w:w="3969" w:type="dxa"/>
          </w:tcPr>
          <w:p w14:paraId="0D4B7ED3" w14:textId="31D448E0" w:rsidR="00A1531D" w:rsidRPr="00F70554" w:rsidRDefault="00A1531D" w:rsidP="00F12734">
            <w:pPr>
              <w:jc w:val="left"/>
            </w:pPr>
            <w:r w:rsidRPr="00F70554">
              <w:t>This requires information on IAS presence in neighbouring countries and other relevant countries, such as those with strong trading relations. It also requires knowledge of the species habitat and climate needs, pathways of introduction, and evidence of impacts. Modelling approaches require having models of spread and introduction available.</w:t>
            </w:r>
          </w:p>
        </w:tc>
        <w:tc>
          <w:tcPr>
            <w:tcW w:w="5387" w:type="dxa"/>
          </w:tcPr>
          <w:p w14:paraId="244D253E" w14:textId="77777777" w:rsidR="00A1531D" w:rsidRPr="00F70554" w:rsidRDefault="00A1531D" w:rsidP="00F12734">
            <w:pPr>
              <w:jc w:val="left"/>
            </w:pPr>
            <w:r w:rsidRPr="00F70554">
              <w:rPr>
                <w:b/>
                <w:bCs/>
              </w:rPr>
              <w:t xml:space="preserve">IALG-IAS: </w:t>
            </w:r>
            <w:r w:rsidRPr="00F70554">
              <w:t>CABI Compendium: Invasive Species, and Horizon Scanning Tool;</w:t>
            </w:r>
            <w:r w:rsidRPr="00F70554">
              <w:rPr>
                <w:rStyle w:val="FootnoteReference"/>
              </w:rPr>
              <w:footnoteReference w:id="28"/>
            </w:r>
            <w:r w:rsidRPr="00F70554">
              <w:t xml:space="preserve"> GBIF; GRIIS; IUCN GISD, and Environmental Impact Classification</w:t>
            </w:r>
            <w:r w:rsidRPr="00F70554">
              <w:rPr>
                <w:i/>
                <w:kern w:val="18"/>
                <w:szCs w:val="18"/>
              </w:rPr>
              <w:t xml:space="preserve"> </w:t>
            </w:r>
            <w:r w:rsidRPr="00F70554">
              <w:t>for Alien Taxa (EICAT);</w:t>
            </w:r>
            <w:r w:rsidRPr="00F70554">
              <w:rPr>
                <w:rStyle w:val="FootnoteReference"/>
              </w:rPr>
              <w:footnoteReference w:id="29"/>
            </w:r>
            <w:r w:rsidRPr="00F70554">
              <w:t xml:space="preserve"> and IPPC List of Regulated Pests.</w:t>
            </w:r>
          </w:p>
          <w:p w14:paraId="3E9A8507" w14:textId="77777777" w:rsidR="00A1531D" w:rsidRPr="00F70554" w:rsidRDefault="00A1531D" w:rsidP="00F12734">
            <w:pPr>
              <w:jc w:val="left"/>
            </w:pPr>
            <w:r w:rsidRPr="00F70554">
              <w:rPr>
                <w:b/>
                <w:bCs/>
              </w:rPr>
              <w:t>Other:</w:t>
            </w:r>
            <w:r w:rsidRPr="00F70554">
              <w:t xml:space="preserve"> GIDIAS; and </w:t>
            </w:r>
            <w:proofErr w:type="spellStart"/>
            <w:r w:rsidRPr="00F70554">
              <w:t>InvaCost</w:t>
            </w:r>
            <w:proofErr w:type="spellEnd"/>
            <w:r w:rsidRPr="00F70554">
              <w:t xml:space="preserve"> database on costs associated with IAS.</w:t>
            </w:r>
            <w:r w:rsidRPr="00F70554">
              <w:rPr>
                <w:rStyle w:val="FootnoteReference"/>
              </w:rPr>
              <w:footnoteReference w:id="30"/>
            </w:r>
          </w:p>
          <w:p w14:paraId="76E64FBA" w14:textId="4B17B283" w:rsidR="00A1531D" w:rsidRPr="00F70554" w:rsidRDefault="00A1531D" w:rsidP="00F12734">
            <w:pPr>
              <w:jc w:val="left"/>
            </w:pPr>
            <w:r w:rsidRPr="00F70554">
              <w:rPr>
                <w:b/>
                <w:bCs/>
              </w:rPr>
              <w:t>National sources</w:t>
            </w:r>
            <w:r w:rsidRPr="00F70554">
              <w:t>: Interception data, trade data such as trade patterns, and which species are in trade, and established alien species checklists from neighbouring countries.</w:t>
            </w:r>
          </w:p>
        </w:tc>
      </w:tr>
      <w:tr w:rsidR="00A1531D" w:rsidRPr="00F70554" w14:paraId="247C404F" w14:textId="77777777">
        <w:tc>
          <w:tcPr>
            <w:tcW w:w="13887" w:type="dxa"/>
            <w:gridSpan w:val="3"/>
            <w:shd w:val="clear" w:color="auto" w:fill="C1E4F5" w:themeFill="accent1" w:themeFillTint="33"/>
          </w:tcPr>
          <w:p w14:paraId="5BC94455" w14:textId="77777777" w:rsidR="00A1531D" w:rsidRPr="00F70554" w:rsidRDefault="00A1531D">
            <w:pPr>
              <w:rPr>
                <w:b/>
                <w:bCs/>
              </w:rPr>
            </w:pPr>
            <w:r w:rsidRPr="00F70554">
              <w:rPr>
                <w:b/>
                <w:bCs/>
              </w:rPr>
              <w:t xml:space="preserve">What sites are susceptible to introductions and establishments, or vulnerable to impacts from invasive alien species? </w:t>
            </w:r>
          </w:p>
          <w:p w14:paraId="534F4E50" w14:textId="77777777" w:rsidR="00A1531D" w:rsidRPr="00F70554" w:rsidRDefault="00A1531D">
            <w:pPr>
              <w:rPr>
                <w:b/>
                <w:bCs/>
              </w:rPr>
            </w:pPr>
          </w:p>
        </w:tc>
      </w:tr>
      <w:tr w:rsidR="00A1531D" w:rsidRPr="00F70554" w14:paraId="0D571871" w14:textId="77777777">
        <w:tc>
          <w:tcPr>
            <w:tcW w:w="4531" w:type="dxa"/>
          </w:tcPr>
          <w:p w14:paraId="3D107AED" w14:textId="7F28596D" w:rsidR="00A1531D" w:rsidRPr="00F70554" w:rsidRDefault="00A1531D" w:rsidP="00F12734">
            <w:pPr>
              <w:jc w:val="left"/>
            </w:pPr>
            <w:r w:rsidRPr="00F70554">
              <w:rPr>
                <w:b/>
                <w:bCs/>
              </w:rPr>
              <w:t xml:space="preserve">Identifying sensitive and susceptible sites </w:t>
            </w:r>
            <w:r w:rsidRPr="00F70554">
              <w:t>is needed to inform where early detection and management actions may be required. Susceptible sites are those at high risk of being invaded (e.g. islands), whereas sensitive sites are places where there would be severe consequences to biodiversity if IAS were to establish. In addition, sites that are entry points of introductions (such as ports, airports, important border crossings, big cities) also need to be identified, while these are not susceptible sites per se, they are sites where prevention could be most effective.</w:t>
            </w:r>
          </w:p>
        </w:tc>
        <w:tc>
          <w:tcPr>
            <w:tcW w:w="3969" w:type="dxa"/>
          </w:tcPr>
          <w:p w14:paraId="3C48B8A1" w14:textId="77777777" w:rsidR="00A1531D" w:rsidRPr="00F70554" w:rsidRDefault="00A1531D" w:rsidP="00F12734">
            <w:pPr>
              <w:jc w:val="left"/>
            </w:pPr>
            <w:r w:rsidRPr="00F70554">
              <w:t xml:space="preserve">Identification of these sites requires information on natural and semi-natural habitats, their conservation importance, and proximity to areas of human activities. Information on IAS distributions can also inform which sites may be susceptible to invasions from already established IAS. </w:t>
            </w:r>
          </w:p>
        </w:tc>
        <w:tc>
          <w:tcPr>
            <w:tcW w:w="5387" w:type="dxa"/>
          </w:tcPr>
          <w:p w14:paraId="4CDFCCDB" w14:textId="77777777" w:rsidR="00A1531D" w:rsidRPr="00F70554" w:rsidRDefault="00A1531D" w:rsidP="00F12734">
            <w:pPr>
              <w:jc w:val="left"/>
            </w:pPr>
            <w:r w:rsidRPr="00F70554">
              <w:rPr>
                <w:b/>
                <w:bCs/>
              </w:rPr>
              <w:t xml:space="preserve">IALG-IAS: </w:t>
            </w:r>
            <w:r w:rsidRPr="00F70554">
              <w:t>IUCN Red List of Threatened Species,</w:t>
            </w:r>
            <w:r w:rsidRPr="00F70554">
              <w:rPr>
                <w:rStyle w:val="FootnoteReference"/>
              </w:rPr>
              <w:footnoteReference w:id="31"/>
            </w:r>
            <w:r w:rsidRPr="00F70554">
              <w:t xml:space="preserve"> IUCN Red List of Ecosystems,</w:t>
            </w:r>
            <w:r w:rsidRPr="00F70554">
              <w:rPr>
                <w:rStyle w:val="FootnoteReference"/>
              </w:rPr>
              <w:footnoteReference w:id="32"/>
            </w:r>
            <w:r w:rsidRPr="00F70554">
              <w:t xml:space="preserve"> and IUCN World Heritage Outlook;</w:t>
            </w:r>
            <w:r w:rsidRPr="00F70554">
              <w:rPr>
                <w:rStyle w:val="FootnoteReference"/>
              </w:rPr>
              <w:footnoteReference w:id="33"/>
            </w:r>
            <w:r w:rsidRPr="00F70554">
              <w:t xml:space="preserve"> Key Biodiversity Areas (KBAs);</w:t>
            </w:r>
            <w:r w:rsidRPr="00F70554">
              <w:rPr>
                <w:rStyle w:val="FootnoteReference"/>
              </w:rPr>
              <w:footnoteReference w:id="34"/>
            </w:r>
            <w:r w:rsidRPr="00F70554">
              <w:t xml:space="preserve"> and Protected Planet</w:t>
            </w:r>
            <w:r w:rsidRPr="00F70554">
              <w:rPr>
                <w:rStyle w:val="FootnoteReference"/>
              </w:rPr>
              <w:footnoteReference w:id="35"/>
            </w:r>
            <w:r w:rsidRPr="00F70554">
              <w:t>.</w:t>
            </w:r>
          </w:p>
          <w:p w14:paraId="40C2DBA1" w14:textId="77777777" w:rsidR="00A1531D" w:rsidRPr="00F70554" w:rsidRDefault="00A1531D" w:rsidP="00F12734">
            <w:pPr>
              <w:jc w:val="left"/>
            </w:pPr>
            <w:r w:rsidRPr="00F70554">
              <w:rPr>
                <w:b/>
                <w:bCs/>
              </w:rPr>
              <w:t>National sources:</w:t>
            </w:r>
            <w:r w:rsidRPr="00F70554">
              <w:t xml:space="preserve"> May include sites of national conservation importance, species and ecosystems of conservation concern, IAS distribution data (incl. species distribution modelling), spatial data on land use and human activities, and knowledge from indigenous peoples and local communities.</w:t>
            </w:r>
          </w:p>
          <w:p w14:paraId="0E7082D0" w14:textId="77777777" w:rsidR="00A1531D" w:rsidRPr="00F70554" w:rsidRDefault="00A1531D" w:rsidP="00F12734">
            <w:pPr>
              <w:jc w:val="left"/>
            </w:pPr>
          </w:p>
        </w:tc>
      </w:tr>
      <w:tr w:rsidR="00A1531D" w:rsidRPr="00F70554" w14:paraId="0AF6489B" w14:textId="77777777">
        <w:tc>
          <w:tcPr>
            <w:tcW w:w="13887" w:type="dxa"/>
            <w:gridSpan w:val="3"/>
            <w:shd w:val="clear" w:color="auto" w:fill="0F4761" w:themeFill="accent1" w:themeFillShade="BF"/>
          </w:tcPr>
          <w:p w14:paraId="61516756" w14:textId="77777777" w:rsidR="00A1531D" w:rsidRPr="00F70554" w:rsidRDefault="00A1531D">
            <w:r w:rsidRPr="00F70554">
              <w:rPr>
                <w:b/>
                <w:bCs/>
                <w:color w:val="FFFFFF" w:themeColor="background1"/>
              </w:rPr>
              <w:lastRenderedPageBreak/>
              <w:t>Target 6 element – Prioritisation</w:t>
            </w:r>
          </w:p>
        </w:tc>
      </w:tr>
      <w:tr w:rsidR="00A1531D" w:rsidRPr="00F70554" w14:paraId="78FB6402" w14:textId="77777777">
        <w:tc>
          <w:tcPr>
            <w:tcW w:w="13887" w:type="dxa"/>
            <w:gridSpan w:val="3"/>
            <w:shd w:val="clear" w:color="auto" w:fill="C1E4F5" w:themeFill="accent1" w:themeFillTint="33"/>
          </w:tcPr>
          <w:p w14:paraId="254C072D" w14:textId="77777777" w:rsidR="00A1531D" w:rsidRPr="00F70554" w:rsidRDefault="00A1531D">
            <w:pPr>
              <w:rPr>
                <w:b/>
                <w:bCs/>
              </w:rPr>
            </w:pPr>
            <w:r w:rsidRPr="00F70554">
              <w:rPr>
                <w:b/>
                <w:bCs/>
              </w:rPr>
              <w:t xml:space="preserve">Which alien species, pathways of introduction, and sites should we be concerned about the most? </w:t>
            </w:r>
          </w:p>
          <w:p w14:paraId="70BC0AE8" w14:textId="77777777" w:rsidR="00A1531D" w:rsidRPr="00F70554" w:rsidRDefault="00A1531D">
            <w:pPr>
              <w:rPr>
                <w:b/>
                <w:bCs/>
              </w:rPr>
            </w:pPr>
          </w:p>
        </w:tc>
      </w:tr>
      <w:tr w:rsidR="00A1531D" w:rsidRPr="00F70554" w14:paraId="06BA5256" w14:textId="77777777">
        <w:tc>
          <w:tcPr>
            <w:tcW w:w="4531" w:type="dxa"/>
          </w:tcPr>
          <w:p w14:paraId="5F389922" w14:textId="62D8743E" w:rsidR="00A1531D" w:rsidRPr="00F70554" w:rsidRDefault="00A1531D" w:rsidP="00F12734">
            <w:pPr>
              <w:jc w:val="left"/>
            </w:pPr>
            <w:r w:rsidRPr="00F70554">
              <w:rPr>
                <w:b/>
                <w:bCs/>
              </w:rPr>
              <w:t>Undertaking systematic evidence-based risk assessments</w:t>
            </w:r>
            <w:r w:rsidRPr="00F70554">
              <w:t xml:space="preserve"> to evaluate the potential for IAS to be introduced, </w:t>
            </w:r>
            <w:r w:rsidR="007B13C9" w:rsidRPr="00F70554">
              <w:t>established</w:t>
            </w:r>
            <w:r w:rsidRPr="00F70554">
              <w:t xml:space="preserve">, spread, and cause negative impacts. A risk assessment supports the prioritisation of which IAS may require policy or management interventions. </w:t>
            </w:r>
          </w:p>
          <w:p w14:paraId="1957A9A9" w14:textId="77777777" w:rsidR="00A1531D" w:rsidRPr="00F70554" w:rsidRDefault="00A1531D" w:rsidP="00F12734">
            <w:pPr>
              <w:jc w:val="left"/>
            </w:pPr>
          </w:p>
        </w:tc>
        <w:tc>
          <w:tcPr>
            <w:tcW w:w="3969" w:type="dxa"/>
          </w:tcPr>
          <w:p w14:paraId="531478FB" w14:textId="77777777" w:rsidR="00A1531D" w:rsidRPr="00F70554" w:rsidRDefault="00A1531D" w:rsidP="00F12734">
            <w:pPr>
              <w:jc w:val="left"/>
            </w:pPr>
            <w:r w:rsidRPr="00F70554">
              <w:t>It requires information on IAS invasion history and pathways, habitat, ecology and climate requirements, native range, evidence of impacts to the environment (and ideally to socio-economic impacts).</w:t>
            </w:r>
          </w:p>
        </w:tc>
        <w:tc>
          <w:tcPr>
            <w:tcW w:w="5387" w:type="dxa"/>
          </w:tcPr>
          <w:p w14:paraId="5372250D" w14:textId="77777777" w:rsidR="00A1531D" w:rsidRPr="00F70554" w:rsidRDefault="00A1531D" w:rsidP="00F12734">
            <w:pPr>
              <w:jc w:val="left"/>
            </w:pPr>
            <w:r w:rsidRPr="00F70554">
              <w:rPr>
                <w:b/>
                <w:bCs/>
              </w:rPr>
              <w:t>IALG-IAS:</w:t>
            </w:r>
            <w:r w:rsidRPr="00F70554">
              <w:t xml:space="preserve"> CABI Compendium: Invasive Species, Horizon Scanning Tool, and CABI PRA Tool</w:t>
            </w:r>
            <w:r w:rsidRPr="00F70554">
              <w:rPr>
                <w:rStyle w:val="FootnoteReference"/>
              </w:rPr>
              <w:footnoteReference w:id="36"/>
            </w:r>
            <w:r w:rsidRPr="00F70554">
              <w:t>; IUCN GISD and EICAT, and IUCN Red List of Threatened Species.</w:t>
            </w:r>
          </w:p>
          <w:p w14:paraId="5D0444D4" w14:textId="77777777" w:rsidR="00A1531D" w:rsidRPr="00F70554" w:rsidRDefault="00A1531D" w:rsidP="00F12734">
            <w:pPr>
              <w:jc w:val="left"/>
            </w:pPr>
            <w:r w:rsidRPr="00F70554">
              <w:rPr>
                <w:b/>
                <w:bCs/>
              </w:rPr>
              <w:t>Other:</w:t>
            </w:r>
            <w:r w:rsidRPr="00F70554">
              <w:t xml:space="preserve"> Socio-Economic Impact Classification for Alien Taxa (SEICAT);</w:t>
            </w:r>
            <w:r w:rsidRPr="00F70554">
              <w:rPr>
                <w:rStyle w:val="FootnoteReference"/>
              </w:rPr>
              <w:footnoteReference w:id="37"/>
            </w:r>
            <w:r w:rsidRPr="00F70554">
              <w:t xml:space="preserve"> GIDIAS; Risk assessments undertaken by other countries with similar habitats and climate</w:t>
            </w:r>
            <w:r w:rsidRPr="00F70554">
              <w:rPr>
                <w:rStyle w:val="FootnoteReference"/>
              </w:rPr>
              <w:footnoteReference w:id="38"/>
            </w:r>
            <w:r w:rsidRPr="00F70554">
              <w:t>.</w:t>
            </w:r>
          </w:p>
          <w:p w14:paraId="07D16272" w14:textId="77777777" w:rsidR="00A1531D" w:rsidRPr="00F70554" w:rsidRDefault="00A1531D" w:rsidP="00F12734">
            <w:pPr>
              <w:jc w:val="left"/>
              <w:rPr>
                <w:b/>
                <w:bCs/>
              </w:rPr>
            </w:pPr>
            <w:r w:rsidRPr="00F70554">
              <w:rPr>
                <w:b/>
                <w:bCs/>
              </w:rPr>
              <w:t xml:space="preserve">National sources: </w:t>
            </w:r>
            <w:r w:rsidRPr="00F70554">
              <w:t>May include information from across government departments (e.g. border control, plant health, trade), and information on IAS impacts and distribution.</w:t>
            </w:r>
          </w:p>
        </w:tc>
      </w:tr>
      <w:tr w:rsidR="00A1531D" w:rsidRPr="00F70554" w14:paraId="13EFCE1F" w14:textId="77777777">
        <w:tc>
          <w:tcPr>
            <w:tcW w:w="4531" w:type="dxa"/>
          </w:tcPr>
          <w:p w14:paraId="34F55315" w14:textId="77777777" w:rsidR="00A1531D" w:rsidRPr="00F70554" w:rsidRDefault="00A1531D" w:rsidP="00F12734">
            <w:pPr>
              <w:jc w:val="left"/>
            </w:pPr>
            <w:r w:rsidRPr="00F70554">
              <w:rPr>
                <w:b/>
                <w:bCs/>
              </w:rPr>
              <w:t>An analysis of the pathways of introduction</w:t>
            </w:r>
            <w:r w:rsidRPr="00F70554">
              <w:t xml:space="preserve"> will allow for those that have resulted in the most IAS introductions (or greatest negative impacts) in the past, or will likely do so in the future, to be identified and prioritized. Additionally, for some pathways, the consideration and prioritisation of species ‘routes’ may also be beneficial.</w:t>
            </w:r>
          </w:p>
          <w:p w14:paraId="42811C0E" w14:textId="77777777" w:rsidR="00A1531D" w:rsidRPr="00F70554" w:rsidRDefault="00A1531D" w:rsidP="00F12734">
            <w:pPr>
              <w:jc w:val="left"/>
              <w:rPr>
                <w:b/>
                <w:bCs/>
              </w:rPr>
            </w:pPr>
          </w:p>
        </w:tc>
        <w:tc>
          <w:tcPr>
            <w:tcW w:w="3969" w:type="dxa"/>
          </w:tcPr>
          <w:p w14:paraId="6E1E0D3D" w14:textId="77777777" w:rsidR="00A1531D" w:rsidRPr="00F70554" w:rsidRDefault="00A1531D" w:rsidP="00F12734">
            <w:pPr>
              <w:jc w:val="left"/>
            </w:pPr>
            <w:r w:rsidRPr="00F70554">
              <w:t>This requires information on current and potential IAS, their pathways of introduction, and impacts from the current and future IAS (see checklists above). However, additional information to support prioritisation can be useful, including trade volumes and patterns, and tourism numbers and location.</w:t>
            </w:r>
          </w:p>
        </w:tc>
        <w:tc>
          <w:tcPr>
            <w:tcW w:w="5387" w:type="dxa"/>
          </w:tcPr>
          <w:p w14:paraId="11EEDA4B" w14:textId="77777777" w:rsidR="00A1531D" w:rsidRPr="00F70554" w:rsidRDefault="00A1531D" w:rsidP="00F12734">
            <w:pPr>
              <w:jc w:val="left"/>
            </w:pPr>
            <w:r w:rsidRPr="00F70554">
              <w:rPr>
                <w:b/>
                <w:bCs/>
              </w:rPr>
              <w:t>IALG-IAS:</w:t>
            </w:r>
            <w:r w:rsidRPr="00F70554">
              <w:t xml:space="preserve"> CABI Compendium: Invasive Species; IUCN GISD and EICAT; and GRIIS.</w:t>
            </w:r>
          </w:p>
          <w:p w14:paraId="13392FEA" w14:textId="77777777" w:rsidR="00A1531D" w:rsidRPr="00F70554" w:rsidRDefault="00A1531D" w:rsidP="00F12734">
            <w:pPr>
              <w:jc w:val="left"/>
            </w:pPr>
            <w:r w:rsidRPr="00F70554">
              <w:rPr>
                <w:b/>
                <w:bCs/>
              </w:rPr>
              <w:t xml:space="preserve">National sources: </w:t>
            </w:r>
            <w:r w:rsidRPr="00F70554">
              <w:t>May include information from across government departments in relation to pathway ‘volume’ (e.g. trade, tourism, transport), specific routes, and on IAS impacts.</w:t>
            </w:r>
          </w:p>
        </w:tc>
      </w:tr>
      <w:tr w:rsidR="00A1531D" w:rsidRPr="00F70554" w14:paraId="279E0020" w14:textId="77777777">
        <w:tc>
          <w:tcPr>
            <w:tcW w:w="4531" w:type="dxa"/>
          </w:tcPr>
          <w:p w14:paraId="71C331E2" w14:textId="77777777" w:rsidR="00A1531D" w:rsidRPr="00F70554" w:rsidRDefault="00A1531D" w:rsidP="00F12734">
            <w:pPr>
              <w:jc w:val="left"/>
            </w:pPr>
            <w:r w:rsidRPr="00F70554">
              <w:rPr>
                <w:b/>
                <w:bCs/>
              </w:rPr>
              <w:t>Prioritizing sites for</w:t>
            </w:r>
            <w:r w:rsidRPr="00F70554">
              <w:t xml:space="preserve"> </w:t>
            </w:r>
            <w:r w:rsidRPr="00F70554">
              <w:rPr>
                <w:b/>
                <w:bCs/>
              </w:rPr>
              <w:t xml:space="preserve">early detection and rapid response </w:t>
            </w:r>
            <w:r w:rsidRPr="00F70554">
              <w:t>requires identifying which sites are both highly sensitive and susceptible to IAS.</w:t>
            </w:r>
            <w:r w:rsidRPr="00F70554">
              <w:rPr>
                <w:rStyle w:val="FootnoteReference"/>
                <w:b/>
                <w:bCs/>
              </w:rPr>
              <w:footnoteReference w:id="39"/>
            </w:r>
            <w:r w:rsidRPr="00F70554" w:rsidDel="00F330BB">
              <w:t xml:space="preserve"> </w:t>
            </w:r>
          </w:p>
        </w:tc>
        <w:tc>
          <w:tcPr>
            <w:tcW w:w="3969" w:type="dxa"/>
          </w:tcPr>
          <w:p w14:paraId="685D94E6" w14:textId="77777777" w:rsidR="00A1531D" w:rsidRPr="00F70554" w:rsidRDefault="00A1531D" w:rsidP="00F12734">
            <w:pPr>
              <w:jc w:val="left"/>
            </w:pPr>
            <w:r w:rsidRPr="00F70554">
              <w:t xml:space="preserve">This requires spatial information on the sensitive and susceptible sites, distribution of existing IAS, the location of areas of human activities, and on species and ecosystems of conservation concern. </w:t>
            </w:r>
          </w:p>
          <w:p w14:paraId="692627AD" w14:textId="77777777" w:rsidR="00A1531D" w:rsidRPr="00F70554" w:rsidRDefault="00A1531D" w:rsidP="00F12734">
            <w:pPr>
              <w:jc w:val="left"/>
            </w:pPr>
          </w:p>
        </w:tc>
        <w:tc>
          <w:tcPr>
            <w:tcW w:w="5387" w:type="dxa"/>
          </w:tcPr>
          <w:p w14:paraId="77CCF5CE" w14:textId="77777777" w:rsidR="00A1531D" w:rsidRPr="00F70554" w:rsidRDefault="00A1531D" w:rsidP="00F12734">
            <w:pPr>
              <w:jc w:val="left"/>
            </w:pPr>
            <w:r w:rsidRPr="00F70554">
              <w:rPr>
                <w:b/>
                <w:bCs/>
              </w:rPr>
              <w:t>IALG-IAS:</w:t>
            </w:r>
            <w:r w:rsidRPr="00F70554">
              <w:t xml:space="preserve"> IUCN Red List of Threatened Species, IUCN Red List of Ecosystems, KBAs, Protected Areas.</w:t>
            </w:r>
          </w:p>
          <w:p w14:paraId="0CFED780" w14:textId="77777777" w:rsidR="00A1531D" w:rsidRPr="00F70554" w:rsidRDefault="00A1531D" w:rsidP="00F12734">
            <w:pPr>
              <w:jc w:val="left"/>
            </w:pPr>
            <w:r w:rsidRPr="00F70554">
              <w:rPr>
                <w:b/>
                <w:bCs/>
              </w:rPr>
              <w:t>National data sources:</w:t>
            </w:r>
            <w:r w:rsidRPr="00F70554">
              <w:t xml:space="preserve"> May include lists of susceptible sites such as ports and airports, sites of national conservation importance, species and ecosystems of conservation concern, IAS distribution data (incl. species distribution modelling), spatial data </w:t>
            </w:r>
            <w:r w:rsidRPr="00F70554">
              <w:lastRenderedPageBreak/>
              <w:t>on land use and human activities, and knowledge from indigenous people and local communities.</w:t>
            </w:r>
          </w:p>
        </w:tc>
      </w:tr>
      <w:tr w:rsidR="00A1531D" w:rsidRPr="00F70554" w14:paraId="392A4A0E" w14:textId="77777777">
        <w:tc>
          <w:tcPr>
            <w:tcW w:w="4531" w:type="dxa"/>
          </w:tcPr>
          <w:p w14:paraId="73778F0F" w14:textId="77777777" w:rsidR="00A1531D" w:rsidRPr="00F70554" w:rsidRDefault="00A1531D" w:rsidP="00F12734">
            <w:pPr>
              <w:jc w:val="left"/>
            </w:pPr>
            <w:r w:rsidRPr="00F70554">
              <w:rPr>
                <w:b/>
                <w:bCs/>
              </w:rPr>
              <w:lastRenderedPageBreak/>
              <w:t>Undertaking risk management</w:t>
            </w:r>
            <w:r w:rsidRPr="00F70554">
              <w:t xml:space="preserve"> to assess the availability and feasibility of management actions to eradicate, control, or contain specific IAS. This approach can also cover pathway management and other preventative measures.</w:t>
            </w:r>
          </w:p>
          <w:p w14:paraId="4CB81E92" w14:textId="77777777" w:rsidR="00A1531D" w:rsidRPr="00F70554" w:rsidRDefault="00A1531D" w:rsidP="00F12734">
            <w:pPr>
              <w:jc w:val="left"/>
            </w:pPr>
          </w:p>
        </w:tc>
        <w:tc>
          <w:tcPr>
            <w:tcW w:w="3969" w:type="dxa"/>
          </w:tcPr>
          <w:p w14:paraId="4E79A513" w14:textId="77777777" w:rsidR="00A1531D" w:rsidRPr="00F70554" w:rsidRDefault="00A1531D" w:rsidP="00F12734">
            <w:pPr>
              <w:jc w:val="left"/>
            </w:pPr>
            <w:r w:rsidRPr="00F70554">
              <w:t>It requires information on management effectiveness and costs, and ideally also on their side effects, welfare impacts, and social acceptability.</w:t>
            </w:r>
            <w:r w:rsidRPr="00F70554">
              <w:rPr>
                <w:rStyle w:val="FootnoteReference"/>
              </w:rPr>
              <w:footnoteReference w:id="40"/>
            </w:r>
          </w:p>
        </w:tc>
        <w:tc>
          <w:tcPr>
            <w:tcW w:w="5387" w:type="dxa"/>
          </w:tcPr>
          <w:p w14:paraId="2BBEA22B" w14:textId="77777777" w:rsidR="00A1531D" w:rsidRPr="00F70554" w:rsidRDefault="00A1531D" w:rsidP="00F12734">
            <w:pPr>
              <w:jc w:val="left"/>
            </w:pPr>
            <w:r w:rsidRPr="00F70554">
              <w:rPr>
                <w:b/>
                <w:bCs/>
              </w:rPr>
              <w:t>IALG-IAS:</w:t>
            </w:r>
            <w:r w:rsidRPr="00F70554">
              <w:t xml:space="preserve"> IUCN resources on IAS management and surveillance, and pathway management,</w:t>
            </w:r>
            <w:r w:rsidRPr="00F70554">
              <w:rPr>
                <w:rStyle w:val="FootnoteReference"/>
              </w:rPr>
              <w:footnoteReference w:id="41"/>
            </w:r>
            <w:r w:rsidRPr="00F70554">
              <w:t xml:space="preserve"> IUCN GISD; and CABI IAS compendium.</w:t>
            </w:r>
          </w:p>
          <w:p w14:paraId="4B602469" w14:textId="77777777" w:rsidR="00A1531D" w:rsidRPr="00F70554" w:rsidRDefault="00A1531D" w:rsidP="00F12734">
            <w:pPr>
              <w:jc w:val="left"/>
            </w:pPr>
            <w:r w:rsidRPr="00F70554">
              <w:rPr>
                <w:b/>
                <w:bCs/>
              </w:rPr>
              <w:t>Other data:</w:t>
            </w:r>
            <w:r w:rsidRPr="00F70554">
              <w:t xml:space="preserve"> Evidence from other countries and peer-reviewed literature on the effectiveness and costs of management measures.</w:t>
            </w:r>
          </w:p>
          <w:p w14:paraId="4261B35A" w14:textId="77777777" w:rsidR="00A1531D" w:rsidRPr="00F70554" w:rsidRDefault="00A1531D" w:rsidP="00F12734">
            <w:pPr>
              <w:jc w:val="left"/>
            </w:pPr>
            <w:r w:rsidRPr="00F70554">
              <w:rPr>
                <w:b/>
                <w:bCs/>
              </w:rPr>
              <w:t>National data sources:</w:t>
            </w:r>
            <w:r w:rsidRPr="00F70554">
              <w:t xml:space="preserve"> May include information from across government departments and from other groups, including indigenous peoples' and local communities, and civil society organisations on approaches used and their costs and effectiveness.</w:t>
            </w:r>
          </w:p>
        </w:tc>
      </w:tr>
      <w:tr w:rsidR="00A1531D" w:rsidRPr="00F70554" w14:paraId="75D996DD" w14:textId="77777777">
        <w:tc>
          <w:tcPr>
            <w:tcW w:w="13887" w:type="dxa"/>
            <w:gridSpan w:val="3"/>
            <w:shd w:val="clear" w:color="auto" w:fill="0F4761" w:themeFill="accent1" w:themeFillShade="BF"/>
          </w:tcPr>
          <w:p w14:paraId="2667C411" w14:textId="77777777" w:rsidR="00A1531D" w:rsidRPr="00F70554" w:rsidRDefault="00A1531D">
            <w:pPr>
              <w:rPr>
                <w:b/>
                <w:bCs/>
                <w:color w:val="FFFFFF" w:themeColor="background1"/>
              </w:rPr>
            </w:pPr>
            <w:r w:rsidRPr="00F70554">
              <w:rPr>
                <w:b/>
                <w:bCs/>
                <w:color w:val="FFFFFF" w:themeColor="background1"/>
              </w:rPr>
              <w:t xml:space="preserve">Target 6 element - Identifying and managing </w:t>
            </w:r>
            <w:r w:rsidRPr="00F70554">
              <w:rPr>
                <w:b/>
                <w:bCs/>
                <w:color w:val="FFFFFF" w:themeColor="background1"/>
                <w:u w:val="single"/>
              </w:rPr>
              <w:t>pathways</w:t>
            </w:r>
            <w:r w:rsidRPr="00F70554">
              <w:rPr>
                <w:b/>
                <w:bCs/>
                <w:color w:val="FFFFFF" w:themeColor="background1"/>
              </w:rPr>
              <w:t xml:space="preserve"> of the introduction of alien species; preventing the introduction and </w:t>
            </w:r>
            <w:r w:rsidRPr="00F70554">
              <w:rPr>
                <w:b/>
                <w:bCs/>
                <w:color w:val="FFFFFF" w:themeColor="background1"/>
                <w:u w:val="single"/>
              </w:rPr>
              <w:t>establishment of priority invasive alien species</w:t>
            </w:r>
            <w:r w:rsidRPr="00F70554">
              <w:rPr>
                <w:b/>
                <w:bCs/>
                <w:color w:val="FFFFFF" w:themeColor="background1"/>
              </w:rPr>
              <w:t>, reducing the rates of introduction and establishment of other known or potential invasive alien species by at least 50 per cent, by 2030</w:t>
            </w:r>
          </w:p>
        </w:tc>
      </w:tr>
      <w:tr w:rsidR="00A1531D" w:rsidRPr="00F70554" w14:paraId="69D20E9B" w14:textId="77777777">
        <w:tc>
          <w:tcPr>
            <w:tcW w:w="13887" w:type="dxa"/>
            <w:gridSpan w:val="3"/>
            <w:shd w:val="clear" w:color="auto" w:fill="C1E4F5" w:themeFill="accent1" w:themeFillTint="33"/>
          </w:tcPr>
          <w:p w14:paraId="377DA28F" w14:textId="77777777" w:rsidR="00A1531D" w:rsidRPr="00F70554" w:rsidRDefault="00A1531D">
            <w:pPr>
              <w:rPr>
                <w:b/>
                <w:bCs/>
              </w:rPr>
            </w:pPr>
            <w:r w:rsidRPr="00F70554">
              <w:rPr>
                <w:b/>
                <w:bCs/>
              </w:rPr>
              <w:t>What can we do to prevent them from being introduced and establishing?</w:t>
            </w:r>
          </w:p>
        </w:tc>
      </w:tr>
      <w:tr w:rsidR="00A1531D" w:rsidRPr="00F70554" w14:paraId="2DFE4D95" w14:textId="77777777">
        <w:tc>
          <w:tcPr>
            <w:tcW w:w="4531" w:type="dxa"/>
          </w:tcPr>
          <w:p w14:paraId="3A87352A" w14:textId="77777777" w:rsidR="00A1531D" w:rsidRPr="00F70554" w:rsidRDefault="00A1531D" w:rsidP="00F12734">
            <w:pPr>
              <w:jc w:val="left"/>
            </w:pPr>
            <w:r w:rsidRPr="00F70554">
              <w:rPr>
                <w:b/>
                <w:bCs/>
              </w:rPr>
              <w:t xml:space="preserve">Management of priority pathways and enacting legislation </w:t>
            </w:r>
            <w:r w:rsidRPr="00F70554">
              <w:t xml:space="preserve">to prevent or reduce the number of introductions. Pathways (and specific routes) can be targeted for management through the development and implementation of pathway action plans. These can cover both pathways of introduction into a country and pathways of secondary spread once the species is present. In addition, legislation can be enacted to </w:t>
            </w:r>
            <w:r w:rsidRPr="00F70554">
              <w:lastRenderedPageBreak/>
              <w:t xml:space="preserve">mandate action such as biosecurity controls for IAS and establish obligations such as banning the import or keeping of certain IAS. </w:t>
            </w:r>
          </w:p>
        </w:tc>
        <w:tc>
          <w:tcPr>
            <w:tcW w:w="3969" w:type="dxa"/>
          </w:tcPr>
          <w:p w14:paraId="700F5277" w14:textId="77777777" w:rsidR="00A1531D" w:rsidRPr="00F70554" w:rsidRDefault="00A1531D" w:rsidP="00F12734">
            <w:pPr>
              <w:jc w:val="left"/>
            </w:pPr>
            <w:r w:rsidRPr="00F70554">
              <w:lastRenderedPageBreak/>
              <w:t>The information needed depends upon the pathway, however, access to information on best practices, codes of conduct, awareness-raising materials, and knowledge of key stakeholder groups is likely to be needed.</w:t>
            </w:r>
          </w:p>
        </w:tc>
        <w:tc>
          <w:tcPr>
            <w:tcW w:w="5387" w:type="dxa"/>
          </w:tcPr>
          <w:p w14:paraId="16DB80A4" w14:textId="074EC26F" w:rsidR="00A1531D" w:rsidRPr="00F70554" w:rsidRDefault="00A1531D" w:rsidP="00F12734">
            <w:pPr>
              <w:pStyle w:val="FootnoteText"/>
              <w:rPr>
                <w:rStyle w:val="FootnoteReference"/>
                <w:sz w:val="22"/>
                <w:szCs w:val="22"/>
              </w:rPr>
            </w:pPr>
            <w:r w:rsidRPr="00F70554">
              <w:rPr>
                <w:b/>
                <w:bCs/>
                <w:sz w:val="22"/>
                <w:szCs w:val="22"/>
              </w:rPr>
              <w:t>IALG-IAS:</w:t>
            </w:r>
            <w:r w:rsidRPr="00F70554">
              <w:rPr>
                <w:sz w:val="22"/>
                <w:szCs w:val="22"/>
              </w:rPr>
              <w:t xml:space="preserve"> The 2023 Guidelines for the control and management of ships’ biofouling to minimize the transfer of invasive aquatic species of the International Maritime Organization (IMO),</w:t>
            </w:r>
            <w:r w:rsidRPr="00F70554">
              <w:rPr>
                <w:rStyle w:val="FootnoteReference"/>
                <w:sz w:val="22"/>
                <w:szCs w:val="22"/>
              </w:rPr>
              <w:footnoteReference w:id="42"/>
            </w:r>
            <w:r w:rsidRPr="00F70554">
              <w:rPr>
                <w:sz w:val="22"/>
                <w:szCs w:val="22"/>
              </w:rPr>
              <w:t xml:space="preserve"> Ballast Water Management Convention and associated guidance;</w:t>
            </w:r>
            <w:r w:rsidRPr="00F70554">
              <w:rPr>
                <w:rStyle w:val="FootnoteReference"/>
                <w:sz w:val="22"/>
                <w:szCs w:val="22"/>
              </w:rPr>
              <w:footnoteReference w:id="43"/>
            </w:r>
            <w:r w:rsidRPr="00F70554">
              <w:rPr>
                <w:sz w:val="22"/>
                <w:szCs w:val="22"/>
              </w:rPr>
              <w:t xml:space="preserve"> International Standards for Phytosanitary Measures (ISPMs),</w:t>
            </w:r>
            <w:r w:rsidRPr="00F70554">
              <w:rPr>
                <w:rStyle w:val="FootnoteReference"/>
                <w:sz w:val="22"/>
                <w:szCs w:val="22"/>
              </w:rPr>
              <w:footnoteReference w:id="44"/>
            </w:r>
            <w:r w:rsidRPr="00F70554">
              <w:rPr>
                <w:sz w:val="22"/>
                <w:szCs w:val="22"/>
              </w:rPr>
              <w:t xml:space="preserve"> and Sea Container Cleanliness Guidance</w:t>
            </w:r>
            <w:r w:rsidRPr="00F70554">
              <w:rPr>
                <w:rStyle w:val="FootnoteReference"/>
                <w:sz w:val="22"/>
                <w:szCs w:val="22"/>
              </w:rPr>
              <w:footnoteReference w:id="45"/>
            </w:r>
            <w:r w:rsidRPr="00F70554">
              <w:rPr>
                <w:sz w:val="22"/>
                <w:szCs w:val="22"/>
              </w:rPr>
              <w:t xml:space="preserve"> of the IPPC; IMO/ILO/UNECE Code of Practice for Packing of Cargo Transport Units;</w:t>
            </w:r>
            <w:r w:rsidRPr="00F70554">
              <w:rPr>
                <w:rStyle w:val="FootnoteReference"/>
                <w:sz w:val="22"/>
                <w:szCs w:val="22"/>
              </w:rPr>
              <w:footnoteReference w:id="46"/>
            </w:r>
            <w:r w:rsidRPr="00F70554">
              <w:rPr>
                <w:sz w:val="22"/>
                <w:szCs w:val="22"/>
              </w:rPr>
              <w:t xml:space="preserve"> </w:t>
            </w:r>
            <w:r w:rsidRPr="00F70554">
              <w:rPr>
                <w:sz w:val="22"/>
                <w:szCs w:val="22"/>
              </w:rPr>
              <w:lastRenderedPageBreak/>
              <w:t xml:space="preserve">IUCN resources on pathway management; </w:t>
            </w:r>
            <w:r w:rsidRPr="00F70554">
              <w:rPr>
                <w:rStyle w:val="FootnoteReference"/>
                <w:sz w:val="22"/>
                <w:szCs w:val="22"/>
              </w:rPr>
              <w:footnoteReference w:id="47"/>
            </w:r>
            <w:r w:rsidRPr="00F70554">
              <w:rPr>
                <w:sz w:val="22"/>
                <w:szCs w:val="22"/>
              </w:rPr>
              <w:t xml:space="preserve"> standards on animal health and zoonoses</w:t>
            </w:r>
            <w:r w:rsidRPr="00F70554">
              <w:rPr>
                <w:rStyle w:val="FootnoteReference"/>
                <w:sz w:val="22"/>
                <w:szCs w:val="22"/>
              </w:rPr>
              <w:footnoteReference w:id="48"/>
            </w:r>
            <w:r w:rsidRPr="00F70554">
              <w:rPr>
                <w:sz w:val="22"/>
                <w:szCs w:val="22"/>
              </w:rPr>
              <w:t xml:space="preserve"> of the World Organisation for Animal Health (WOAH); and the World Trade Organisations (WTO) E-ping Sanitary and Phytosanitary (SPS) and Technical Barriers to Trade (TBT) Platform</w:t>
            </w:r>
            <w:r w:rsidRPr="00F70554">
              <w:rPr>
                <w:rStyle w:val="FootnoteReference"/>
                <w:sz w:val="22"/>
                <w:szCs w:val="22"/>
              </w:rPr>
              <w:footnoteReference w:id="49"/>
            </w:r>
            <w:r w:rsidRPr="00F70554">
              <w:rPr>
                <w:sz w:val="22"/>
                <w:szCs w:val="22"/>
              </w:rPr>
              <w:t xml:space="preserve">. </w:t>
            </w:r>
          </w:p>
          <w:p w14:paraId="7DE2CC25" w14:textId="77777777" w:rsidR="00A1531D" w:rsidRPr="00F70554" w:rsidRDefault="00A1531D" w:rsidP="00F12734">
            <w:pPr>
              <w:jc w:val="left"/>
            </w:pPr>
            <w:r w:rsidRPr="00F70554">
              <w:rPr>
                <w:b/>
                <w:bCs/>
              </w:rPr>
              <w:t xml:space="preserve">Other data: </w:t>
            </w:r>
            <w:r w:rsidRPr="00F70554">
              <w:t>Approaches taken in other countries (e.g. pathway action plans, legislation, sector-specific codes of conduct).</w:t>
            </w:r>
          </w:p>
          <w:p w14:paraId="00BEACF8" w14:textId="77777777" w:rsidR="00A1531D" w:rsidRPr="00F70554" w:rsidRDefault="00A1531D" w:rsidP="00F12734">
            <w:pPr>
              <w:jc w:val="left"/>
            </w:pPr>
            <w:r w:rsidRPr="00F70554">
              <w:rPr>
                <w:b/>
                <w:bCs/>
              </w:rPr>
              <w:t>National data sources:</w:t>
            </w:r>
            <w:r w:rsidRPr="00F70554">
              <w:t xml:space="preserve"> </w:t>
            </w:r>
          </w:p>
        </w:tc>
      </w:tr>
      <w:tr w:rsidR="00A1531D" w:rsidRPr="00F70554" w14:paraId="76E6A6E0" w14:textId="77777777">
        <w:tc>
          <w:tcPr>
            <w:tcW w:w="4531" w:type="dxa"/>
          </w:tcPr>
          <w:p w14:paraId="0FF31C68" w14:textId="77777777" w:rsidR="00A1531D" w:rsidRPr="00F70554" w:rsidRDefault="00A1531D" w:rsidP="00F12734">
            <w:pPr>
              <w:jc w:val="left"/>
            </w:pPr>
            <w:r w:rsidRPr="00F70554">
              <w:rPr>
                <w:b/>
                <w:bCs/>
              </w:rPr>
              <w:lastRenderedPageBreak/>
              <w:t>Implementing effective border security (‘biosecurity’)</w:t>
            </w:r>
            <w:r w:rsidRPr="00F70554">
              <w:t xml:space="preserve"> to reduce the risk of intentional and unintentional introductions across many pathways of introduction. </w:t>
            </w:r>
          </w:p>
          <w:p w14:paraId="7C958780" w14:textId="77777777" w:rsidR="00A1531D" w:rsidRPr="00F70554" w:rsidRDefault="00A1531D" w:rsidP="00F12734">
            <w:pPr>
              <w:jc w:val="left"/>
            </w:pPr>
          </w:p>
        </w:tc>
        <w:tc>
          <w:tcPr>
            <w:tcW w:w="3969" w:type="dxa"/>
          </w:tcPr>
          <w:p w14:paraId="0F7C2729" w14:textId="77777777" w:rsidR="00A1531D" w:rsidRPr="00F70554" w:rsidRDefault="00A1531D" w:rsidP="00F12734">
            <w:pPr>
              <w:jc w:val="left"/>
            </w:pPr>
            <w:r w:rsidRPr="00F70554">
              <w:t>Information needed to support border security authorities in taking a ‘risk based’ approach includes knowledge of high-risk commodities, and timely access to information and certificates on goods and commodities being imported. Access to identification guides for regulated and high-risk IAS, and inspection protocols may also be needed.</w:t>
            </w:r>
          </w:p>
        </w:tc>
        <w:tc>
          <w:tcPr>
            <w:tcW w:w="5387" w:type="dxa"/>
          </w:tcPr>
          <w:p w14:paraId="28F7101C" w14:textId="77777777" w:rsidR="00A1531D" w:rsidRPr="00F70554" w:rsidRDefault="00A1531D" w:rsidP="00F12734">
            <w:pPr>
              <w:jc w:val="left"/>
            </w:pPr>
            <w:r w:rsidRPr="00F70554">
              <w:rPr>
                <w:b/>
                <w:bCs/>
              </w:rPr>
              <w:t>IALG-IAS:</w:t>
            </w:r>
            <w:r w:rsidRPr="00F70554">
              <w:t xml:space="preserve">  IUCN resources on identification and surveillance;</w:t>
            </w:r>
            <w:r w:rsidRPr="00F70554">
              <w:rPr>
                <w:rStyle w:val="FootnoteReference"/>
              </w:rPr>
              <w:footnoteReference w:id="50"/>
            </w:r>
            <w:r w:rsidRPr="00F70554">
              <w:t xml:space="preserve"> and resources from CABI.</w:t>
            </w:r>
          </w:p>
          <w:p w14:paraId="2931CF33" w14:textId="77777777" w:rsidR="00A1531D" w:rsidRPr="00F70554" w:rsidRDefault="00A1531D" w:rsidP="00F12734">
            <w:pPr>
              <w:jc w:val="left"/>
            </w:pPr>
            <w:r w:rsidRPr="00F70554">
              <w:rPr>
                <w:b/>
                <w:bCs/>
              </w:rPr>
              <w:t>National data sources:</w:t>
            </w:r>
            <w:r w:rsidRPr="00F70554">
              <w:t xml:space="preserve"> May include customs data and information, resources and knowledge from existing biosecurity teams (e.g. plant health), and access to expertise to support in the identification of IAS from institutes and academia.</w:t>
            </w:r>
          </w:p>
        </w:tc>
      </w:tr>
      <w:tr w:rsidR="00A1531D" w:rsidRPr="00F70554" w14:paraId="0CD2B0B3" w14:textId="77777777">
        <w:tc>
          <w:tcPr>
            <w:tcW w:w="4531" w:type="dxa"/>
          </w:tcPr>
          <w:p w14:paraId="099CC6EE" w14:textId="77777777" w:rsidR="00A1531D" w:rsidRPr="00F70554" w:rsidRDefault="00A1531D" w:rsidP="00F12734">
            <w:pPr>
              <w:jc w:val="left"/>
            </w:pPr>
            <w:r w:rsidRPr="00F70554">
              <w:rPr>
                <w:b/>
                <w:bCs/>
              </w:rPr>
              <w:t xml:space="preserve">Developing early detection and rapid response (EDRR) capacity. </w:t>
            </w:r>
            <w:r w:rsidRPr="00F70554">
              <w:t xml:space="preserve">An effective surveillance system to detect new alien species with the capacity to eradicate new incursions before they become widely established is essential to prevent future impacts. </w:t>
            </w:r>
          </w:p>
        </w:tc>
        <w:tc>
          <w:tcPr>
            <w:tcW w:w="3969" w:type="dxa"/>
          </w:tcPr>
          <w:p w14:paraId="5E884D22" w14:textId="77777777" w:rsidR="00A1531D" w:rsidRPr="00F70554" w:rsidRDefault="00A1531D" w:rsidP="00F12734">
            <w:pPr>
              <w:jc w:val="left"/>
            </w:pPr>
            <w:r w:rsidRPr="00F70554">
              <w:t xml:space="preserve">Information needed to support EDRR include timely access to data on new incursions and guidance on how to eradicate. This information can be mobilised through active (e.g. monitoring) or passive surveillance (e.g. citizen science). In addition, best practices for surveillance and eradication of high-risk IAS at </w:t>
            </w:r>
            <w:r w:rsidRPr="00F70554">
              <w:lastRenderedPageBreak/>
              <w:t>susceptible and sensitive sites. Automated workflows</w:t>
            </w:r>
            <w:r w:rsidRPr="00F70554">
              <w:rPr>
                <w:rStyle w:val="FootnoteReference"/>
              </w:rPr>
              <w:footnoteReference w:id="51"/>
            </w:r>
            <w:r w:rsidRPr="00F70554">
              <w:t xml:space="preserve"> can speed up the accessibility of such information to relevant authorities.</w:t>
            </w:r>
          </w:p>
        </w:tc>
        <w:tc>
          <w:tcPr>
            <w:tcW w:w="5387" w:type="dxa"/>
          </w:tcPr>
          <w:p w14:paraId="2E0405CB" w14:textId="77777777" w:rsidR="00A1531D" w:rsidRPr="00F70554" w:rsidRDefault="00A1531D" w:rsidP="00F12734">
            <w:pPr>
              <w:jc w:val="left"/>
            </w:pPr>
            <w:r w:rsidRPr="00F70554">
              <w:rPr>
                <w:b/>
                <w:bCs/>
              </w:rPr>
              <w:lastRenderedPageBreak/>
              <w:t>IALG-IAS:</w:t>
            </w:r>
            <w:r w:rsidRPr="00F70554">
              <w:t xml:space="preserve"> IUCN GISD, IUCN resources on IAS management and surveillance</w:t>
            </w:r>
            <w:r w:rsidRPr="00F70554">
              <w:rPr>
                <w:rStyle w:val="FootnoteReference"/>
              </w:rPr>
              <w:footnoteReference w:id="52"/>
            </w:r>
            <w:r w:rsidRPr="00F70554">
              <w:t>; CABI Compendium, and CABI Pest Alerts</w:t>
            </w:r>
            <w:r w:rsidRPr="00F70554">
              <w:rPr>
                <w:rStyle w:val="FootnoteReference"/>
              </w:rPr>
              <w:footnoteReference w:id="53"/>
            </w:r>
          </w:p>
          <w:p w14:paraId="6B5EFA8F" w14:textId="77777777" w:rsidR="00A1531D" w:rsidRPr="00F70554" w:rsidRDefault="00A1531D" w:rsidP="00F12734">
            <w:pPr>
              <w:jc w:val="left"/>
            </w:pPr>
            <w:r w:rsidRPr="00F70554">
              <w:rPr>
                <w:b/>
                <w:bCs/>
              </w:rPr>
              <w:t>Other data:</w:t>
            </w:r>
            <w:r w:rsidRPr="00F70554">
              <w:t xml:space="preserve"> Examples of EDRR protocols from other countries</w:t>
            </w:r>
            <w:r w:rsidRPr="00F70554">
              <w:rPr>
                <w:rStyle w:val="FootnoteReference"/>
              </w:rPr>
              <w:footnoteReference w:id="54"/>
            </w:r>
            <w:r w:rsidRPr="00F70554">
              <w:t xml:space="preserve"> and data on IAS incursions from neighbouring countries.</w:t>
            </w:r>
          </w:p>
          <w:p w14:paraId="35BF3A88" w14:textId="77777777" w:rsidR="00A1531D" w:rsidRPr="00F70554" w:rsidRDefault="00A1531D" w:rsidP="00F12734">
            <w:pPr>
              <w:jc w:val="left"/>
            </w:pPr>
            <w:r w:rsidRPr="00F70554">
              <w:rPr>
                <w:b/>
                <w:bCs/>
              </w:rPr>
              <w:t>National data sources:</w:t>
            </w:r>
            <w:r w:rsidRPr="00F70554">
              <w:t xml:space="preserve">  May include access to data on new incursions through citizen science initiatives, or via active surveillance programmes that focus on </w:t>
            </w:r>
            <w:r w:rsidRPr="00F70554">
              <w:lastRenderedPageBreak/>
              <w:t>the environment and wildlife (including environmental DNA).</w:t>
            </w:r>
          </w:p>
          <w:p w14:paraId="0435538B" w14:textId="77777777" w:rsidR="00A1531D" w:rsidRPr="00F70554" w:rsidRDefault="00A1531D" w:rsidP="00F12734">
            <w:pPr>
              <w:jc w:val="left"/>
            </w:pPr>
          </w:p>
        </w:tc>
      </w:tr>
      <w:tr w:rsidR="00A1531D" w:rsidRPr="00F70554" w14:paraId="438846DD" w14:textId="77777777">
        <w:tc>
          <w:tcPr>
            <w:tcW w:w="13887" w:type="dxa"/>
            <w:gridSpan w:val="3"/>
            <w:shd w:val="clear" w:color="auto" w:fill="0F4761" w:themeFill="accent1" w:themeFillShade="BF"/>
          </w:tcPr>
          <w:p w14:paraId="09D17528" w14:textId="77777777" w:rsidR="00A1531D" w:rsidRPr="00F70554" w:rsidRDefault="00A1531D">
            <w:pPr>
              <w:rPr>
                <w:b/>
                <w:bCs/>
                <w:color w:val="FFFFFF" w:themeColor="background1"/>
              </w:rPr>
            </w:pPr>
            <w:r w:rsidRPr="00F70554">
              <w:rPr>
                <w:b/>
                <w:bCs/>
                <w:color w:val="FFFFFF" w:themeColor="background1"/>
              </w:rPr>
              <w:lastRenderedPageBreak/>
              <w:t>Target 6 element -</w:t>
            </w:r>
            <w:r w:rsidRPr="00F70554">
              <w:rPr>
                <w:b/>
                <w:bCs/>
                <w:color w:val="FFFFFF" w:themeColor="background1"/>
                <w:u w:val="single"/>
              </w:rPr>
              <w:t xml:space="preserve"> eradicating or controlling </w:t>
            </w:r>
            <w:r w:rsidRPr="00F70554">
              <w:rPr>
                <w:b/>
                <w:bCs/>
                <w:color w:val="FFFFFF" w:themeColor="background1"/>
              </w:rPr>
              <w:t xml:space="preserve">invasive alien species especially </w:t>
            </w:r>
            <w:r w:rsidRPr="00F70554">
              <w:rPr>
                <w:b/>
                <w:bCs/>
                <w:color w:val="FFFFFF" w:themeColor="background1"/>
                <w:u w:val="single"/>
              </w:rPr>
              <w:t>in priority sites</w:t>
            </w:r>
            <w:r w:rsidRPr="00F70554">
              <w:rPr>
                <w:b/>
                <w:bCs/>
                <w:color w:val="FFFFFF" w:themeColor="background1"/>
              </w:rPr>
              <w:t>, such as islands</w:t>
            </w:r>
          </w:p>
        </w:tc>
      </w:tr>
      <w:tr w:rsidR="00A1531D" w:rsidRPr="00F70554" w14:paraId="1C54D060" w14:textId="77777777">
        <w:tc>
          <w:tcPr>
            <w:tcW w:w="13887" w:type="dxa"/>
            <w:gridSpan w:val="3"/>
            <w:shd w:val="clear" w:color="auto" w:fill="C1E4F5" w:themeFill="accent1" w:themeFillTint="33"/>
          </w:tcPr>
          <w:p w14:paraId="5E136320" w14:textId="77777777" w:rsidR="00A1531D" w:rsidRPr="00F70554" w:rsidRDefault="00A1531D">
            <w:pPr>
              <w:rPr>
                <w:b/>
                <w:bCs/>
              </w:rPr>
            </w:pPr>
            <w:r w:rsidRPr="00F70554">
              <w:rPr>
                <w:b/>
                <w:bCs/>
              </w:rPr>
              <w:t>What can we do to eliminate, minimise or mitigate their impacts?</w:t>
            </w:r>
          </w:p>
          <w:p w14:paraId="28CEB079" w14:textId="77777777" w:rsidR="00A1531D" w:rsidRPr="00F70554" w:rsidRDefault="00A1531D">
            <w:pPr>
              <w:rPr>
                <w:b/>
                <w:bCs/>
              </w:rPr>
            </w:pPr>
          </w:p>
        </w:tc>
      </w:tr>
      <w:tr w:rsidR="00A1531D" w:rsidRPr="00F70554" w14:paraId="0672CA62" w14:textId="77777777">
        <w:tc>
          <w:tcPr>
            <w:tcW w:w="4531" w:type="dxa"/>
          </w:tcPr>
          <w:p w14:paraId="7CCAB21C" w14:textId="77777777" w:rsidR="00A1531D" w:rsidRPr="00F70554" w:rsidRDefault="00A1531D" w:rsidP="00F12734">
            <w:pPr>
              <w:jc w:val="left"/>
            </w:pPr>
            <w:r w:rsidRPr="00F70554">
              <w:rPr>
                <w:b/>
                <w:bCs/>
              </w:rPr>
              <w:t>Undertake management actions</w:t>
            </w:r>
            <w:r w:rsidRPr="00F70554">
              <w:t xml:space="preserve"> to eliminate, minimise, or mitigate the impacts of currently established IAS, especially in priority sites. There are three broad objectives, with eradication as the first option to consider, followed by containment and control. Site or landscape management and restoration measures can also be undertaken.</w:t>
            </w:r>
          </w:p>
        </w:tc>
        <w:tc>
          <w:tcPr>
            <w:tcW w:w="3969" w:type="dxa"/>
          </w:tcPr>
          <w:p w14:paraId="071FE811" w14:textId="77777777" w:rsidR="00A1531D" w:rsidRPr="00F70554" w:rsidRDefault="00A1531D" w:rsidP="00F12734">
            <w:pPr>
              <w:jc w:val="left"/>
            </w:pPr>
            <w:r w:rsidRPr="00F70554">
              <w:t>Information is needed on available management options and their effectiveness and costs, ideally across different objectives. Also, knowledge of their side effects, welfare impacts, and social acceptability is useful. Information on how climate change will affect IAS and management responses can also be beneficial. Knowledge of key stakeholders is also important to inform timely engagement.</w:t>
            </w:r>
          </w:p>
        </w:tc>
        <w:tc>
          <w:tcPr>
            <w:tcW w:w="5387" w:type="dxa"/>
          </w:tcPr>
          <w:p w14:paraId="6E168C72" w14:textId="77777777" w:rsidR="00A1531D" w:rsidRPr="00F70554" w:rsidRDefault="00A1531D" w:rsidP="00F12734">
            <w:pPr>
              <w:jc w:val="left"/>
            </w:pPr>
            <w:r w:rsidRPr="00F70554">
              <w:rPr>
                <w:b/>
                <w:bCs/>
              </w:rPr>
              <w:t>IALG-IAS:</w:t>
            </w:r>
            <w:r w:rsidRPr="00F70554">
              <w:t xml:space="preserve"> IUCN resources on IAS management and surveillance, IUCN GISD; CABI Compendium, and CABI Books.</w:t>
            </w:r>
          </w:p>
          <w:p w14:paraId="7216DB0F" w14:textId="77777777" w:rsidR="00A1531D" w:rsidRPr="00F70554" w:rsidRDefault="00A1531D" w:rsidP="00F12734">
            <w:pPr>
              <w:jc w:val="left"/>
            </w:pPr>
            <w:r w:rsidRPr="00F70554">
              <w:rPr>
                <w:b/>
                <w:bCs/>
              </w:rPr>
              <w:t>Other data:</w:t>
            </w:r>
            <w:r w:rsidRPr="00F70554">
              <w:t xml:space="preserve"> IAS management best practices from other countries, examples in peer-reviewed literature.</w:t>
            </w:r>
          </w:p>
          <w:p w14:paraId="71DED325" w14:textId="77777777" w:rsidR="00A1531D" w:rsidRPr="00F70554" w:rsidRDefault="00A1531D" w:rsidP="00F12734">
            <w:pPr>
              <w:jc w:val="left"/>
            </w:pPr>
            <w:r w:rsidRPr="00F70554">
              <w:rPr>
                <w:b/>
                <w:bCs/>
              </w:rPr>
              <w:t>National data sources:</w:t>
            </w:r>
            <w:r w:rsidRPr="00F70554">
              <w:t xml:space="preserve"> May include information from across government departments and from other groups, including indigenous peoples and local communities, and civil society organisations on approaches used and their costs and effectiveness.</w:t>
            </w:r>
          </w:p>
          <w:p w14:paraId="0C5726A9" w14:textId="77777777" w:rsidR="00A1531D" w:rsidRPr="00F70554" w:rsidRDefault="00A1531D" w:rsidP="00F12734">
            <w:pPr>
              <w:jc w:val="left"/>
            </w:pPr>
          </w:p>
        </w:tc>
      </w:tr>
      <w:tr w:rsidR="00A1531D" w:rsidRPr="00F70554" w14:paraId="19CD3CAE" w14:textId="77777777">
        <w:tc>
          <w:tcPr>
            <w:tcW w:w="4531" w:type="dxa"/>
          </w:tcPr>
          <w:p w14:paraId="7CCAD2C9" w14:textId="77777777" w:rsidR="00A1531D" w:rsidRPr="00F70554" w:rsidRDefault="00A1531D" w:rsidP="00F12734">
            <w:pPr>
              <w:jc w:val="left"/>
            </w:pPr>
            <w:r w:rsidRPr="00F70554">
              <w:rPr>
                <w:b/>
                <w:bCs/>
              </w:rPr>
              <w:t>Implementation of standardised monitoring</w:t>
            </w:r>
            <w:r w:rsidRPr="00F70554">
              <w:t xml:space="preserve"> to track IAS and their impacts, and the effectiveness of management measures targeting pathways and IAS. This will inform an adaptive management approach. Monitoring is also important for the development of indicators to track progress, both at the global level (e.g. the Target 6 headline indicator on the rate of establishment), but also for any nationally derived indicators.</w:t>
            </w:r>
          </w:p>
        </w:tc>
        <w:tc>
          <w:tcPr>
            <w:tcW w:w="3969" w:type="dxa"/>
          </w:tcPr>
          <w:p w14:paraId="0C056A46" w14:textId="77777777" w:rsidR="00A1531D" w:rsidRPr="00F70554" w:rsidRDefault="00A1531D" w:rsidP="00F12734">
            <w:pPr>
              <w:jc w:val="left"/>
            </w:pPr>
            <w:r w:rsidRPr="00F70554">
              <w:t>Information is needed on the types of standardised data to be collected for the monitoring of IAS introductions, establishments, spread, and impacts; of pathways to monitor the success of prevention (e.g., biosecurity inspections); and of the effectiveness and costs of management actions.</w:t>
            </w:r>
          </w:p>
        </w:tc>
        <w:tc>
          <w:tcPr>
            <w:tcW w:w="5387" w:type="dxa"/>
          </w:tcPr>
          <w:p w14:paraId="46CABFA5" w14:textId="77777777" w:rsidR="00A1531D" w:rsidRPr="00F70554" w:rsidRDefault="00A1531D" w:rsidP="00F12734">
            <w:pPr>
              <w:jc w:val="left"/>
            </w:pPr>
            <w:r w:rsidRPr="00F70554">
              <w:rPr>
                <w:b/>
                <w:bCs/>
              </w:rPr>
              <w:t>IALG-IAS:</w:t>
            </w:r>
            <w:r w:rsidRPr="00F70554">
              <w:t xml:space="preserve"> GRIIS; IUCN GISD and EICAT; CABI Compendium, and CABI Books.</w:t>
            </w:r>
          </w:p>
          <w:p w14:paraId="6B26E9F7" w14:textId="77777777" w:rsidR="00A1531D" w:rsidRPr="00F70554" w:rsidRDefault="00A1531D" w:rsidP="00F12734">
            <w:pPr>
              <w:jc w:val="left"/>
              <w:rPr>
                <w:rFonts w:ascii="Calibri" w:eastAsia="Calibri" w:hAnsi="Calibri" w:cs="Calibri"/>
              </w:rPr>
            </w:pPr>
            <w:r w:rsidRPr="00F70554">
              <w:rPr>
                <w:b/>
                <w:bCs/>
              </w:rPr>
              <w:t>Other data:</w:t>
            </w:r>
            <w:r w:rsidRPr="00F70554">
              <w:t xml:space="preserve"> </w:t>
            </w:r>
            <w:r w:rsidRPr="00F70554">
              <w:rPr>
                <w:rFonts w:eastAsiaTheme="minorEastAsia"/>
              </w:rPr>
              <w:t>Species Populations Essential Biodiversity Variables (EBVs) for invasive alien species.</w:t>
            </w:r>
            <w:r w:rsidRPr="00F70554">
              <w:rPr>
                <w:rStyle w:val="FootnoteReference"/>
                <w:rFonts w:ascii="Calibri" w:eastAsia="Calibri" w:hAnsi="Calibri" w:cs="Calibri"/>
              </w:rPr>
              <w:footnoteReference w:id="55"/>
            </w:r>
          </w:p>
          <w:p w14:paraId="4EEA9E71" w14:textId="77777777" w:rsidR="00A1531D" w:rsidRPr="00F70554" w:rsidRDefault="00A1531D" w:rsidP="00F12734">
            <w:pPr>
              <w:jc w:val="left"/>
            </w:pPr>
            <w:r w:rsidRPr="00F70554">
              <w:rPr>
                <w:b/>
                <w:bCs/>
              </w:rPr>
              <w:t>National data sources:</w:t>
            </w:r>
            <w:r w:rsidRPr="00F70554">
              <w:t xml:space="preserve"> remote sensing data.</w:t>
            </w:r>
          </w:p>
        </w:tc>
      </w:tr>
    </w:tbl>
    <w:p w14:paraId="719D9AB4" w14:textId="77777777" w:rsidR="00A1531D" w:rsidRPr="00F70554" w:rsidRDefault="00A1531D" w:rsidP="00A1531D">
      <w:pPr>
        <w:sectPr w:rsidR="00A1531D" w:rsidRPr="00F70554" w:rsidSect="00F12734">
          <w:headerReference w:type="default" r:id="rId23"/>
          <w:footerReference w:type="default" r:id="rId24"/>
          <w:pgSz w:w="15840" w:h="12240" w:orient="landscape"/>
          <w:pgMar w:top="1134" w:right="1440" w:bottom="1134" w:left="1440" w:header="709" w:footer="709" w:gutter="0"/>
          <w:cols w:space="708"/>
          <w:docGrid w:linePitch="360"/>
        </w:sectPr>
      </w:pPr>
    </w:p>
    <w:p w14:paraId="5896EB70" w14:textId="77777777" w:rsidR="00A1531D" w:rsidRPr="00F70554" w:rsidRDefault="00A1531D" w:rsidP="00F12734">
      <w:pPr>
        <w:pStyle w:val="Heading2"/>
        <w:numPr>
          <w:ilvl w:val="0"/>
          <w:numId w:val="6"/>
        </w:numPr>
        <w:tabs>
          <w:tab w:val="num" w:pos="1247"/>
        </w:tabs>
        <w:ind w:left="567" w:hanging="567"/>
        <w:rPr>
          <w:rFonts w:hint="eastAsia"/>
        </w:rPr>
      </w:pPr>
      <w:bookmarkStart w:id="4" w:name="_Toc202512538"/>
      <w:r w:rsidRPr="00F70554">
        <w:lastRenderedPageBreak/>
        <w:t>Elements through which data and information accessibility can be improved</w:t>
      </w:r>
      <w:bookmarkEnd w:id="4"/>
    </w:p>
    <w:p w14:paraId="30D2FE9B" w14:textId="77777777" w:rsidR="00A1531D" w:rsidRPr="00F70554" w:rsidRDefault="00A1531D" w:rsidP="00F12734">
      <w:pPr>
        <w:pStyle w:val="Heading3"/>
        <w:numPr>
          <w:ilvl w:val="1"/>
          <w:numId w:val="9"/>
        </w:numPr>
        <w:tabs>
          <w:tab w:val="num" w:pos="1492"/>
        </w:tabs>
        <w:ind w:left="567" w:hanging="567"/>
      </w:pPr>
      <w:bookmarkStart w:id="5" w:name="_Toc202512539"/>
      <w:r w:rsidRPr="00F70554">
        <w:t>Key elements of data and information accessibility</w:t>
      </w:r>
      <w:bookmarkEnd w:id="5"/>
    </w:p>
    <w:p w14:paraId="35D900E7" w14:textId="76BA73C8" w:rsidR="00F51104" w:rsidRPr="00F70554" w:rsidRDefault="00A1531D" w:rsidP="00A1531D">
      <w:r w:rsidRPr="00F70554">
        <w:t>The open data movement has expanded data accessibility, aiming to enhance the efficiency of science and management by making data available for everyone to use and share.</w:t>
      </w:r>
      <w:r w:rsidRPr="00F70554">
        <w:rPr>
          <w:rStyle w:val="FootnoteReference"/>
        </w:rPr>
        <w:footnoteReference w:id="56"/>
      </w:r>
      <w:r w:rsidRPr="00F70554">
        <w:t xml:space="preserve"> Making IAS data and resources open and accessible, following the Findable, Accessible, Interoperable, and Reusable (FAIR) data principles,</w:t>
      </w:r>
      <w:r w:rsidRPr="00F70554">
        <w:rPr>
          <w:rStyle w:val="FootnoteReference"/>
        </w:rPr>
        <w:footnoteReference w:id="57"/>
      </w:r>
      <w:r w:rsidRPr="00F70554">
        <w:t xml:space="preserve"> will reduce duplication of effort and improve transparency of management. </w:t>
      </w:r>
    </w:p>
    <w:p w14:paraId="305E2C79" w14:textId="2D73BAB2" w:rsidR="00414DE1" w:rsidRPr="00F70554" w:rsidRDefault="00A1531D" w:rsidP="00F12734">
      <w:pPr>
        <w:spacing w:before="120" w:after="120"/>
      </w:pPr>
      <w:r w:rsidRPr="00F70554">
        <w:t xml:space="preserve">To adhere to these principles, data should be </w:t>
      </w:r>
      <w:r w:rsidRPr="00F70554">
        <w:rPr>
          <w:b/>
          <w:bCs/>
        </w:rPr>
        <w:t>findable</w:t>
      </w:r>
      <w:r w:rsidRPr="00F70554">
        <w:t xml:space="preserve"> by both machines and humans. This can be achieved by publishing data with a DOI (digital object identifier), ensuring metadata are well described and that databases have suitable search filters. Data from multiple sources can be compiled by data aggregators (for example, GBIF)</w:t>
      </w:r>
      <w:r w:rsidR="000D6F46" w:rsidRPr="00F70554">
        <w:t>,</w:t>
      </w:r>
      <w:r w:rsidRPr="00F70554">
        <w:t xml:space="preserve"> </w:t>
      </w:r>
      <w:r w:rsidR="004C42BF" w:rsidRPr="00F70554">
        <w:t>which</w:t>
      </w:r>
      <w:r w:rsidRPr="00F70554">
        <w:t xml:space="preserve"> allows data to be found at a single source. Ensuring sources can be easily located by search engine optimisation and through ease of translation into multiple languages will also improve visibility. Global datasets should describe the conditions by which data are </w:t>
      </w:r>
      <w:r w:rsidRPr="00F70554">
        <w:rPr>
          <w:b/>
          <w:bCs/>
        </w:rPr>
        <w:t>accessible</w:t>
      </w:r>
      <w:r w:rsidRPr="00F70554">
        <w:t xml:space="preserve">, by both humans and machines, including </w:t>
      </w:r>
      <w:proofErr w:type="gramStart"/>
      <w:r w:rsidRPr="00F70554">
        <w:t>through the use of</w:t>
      </w:r>
      <w:proofErr w:type="gramEnd"/>
      <w:r w:rsidRPr="00F70554">
        <w:t xml:space="preserve"> Application Programming Interfaces (APIs) that allow software to communicate with each other. Transparency of authorisation of access is important, for example, there is a difference between the free tools available in the CABI Horizon Scanning Tool compared with the premium (subscription) version. In addition, some data may not be made available for legitimate reasons, such as the sharing high-resolution data on the occurrences of sensitive records. </w:t>
      </w:r>
    </w:p>
    <w:p w14:paraId="6DA04922" w14:textId="4A75FA02" w:rsidR="00A1531D" w:rsidRPr="00F70554" w:rsidRDefault="007173A1" w:rsidP="00F12734">
      <w:pPr>
        <w:spacing w:before="120" w:after="120"/>
      </w:pPr>
      <w:r w:rsidRPr="00F70554">
        <w:t>D</w:t>
      </w:r>
      <w:r w:rsidR="00A1531D" w:rsidRPr="00F70554">
        <w:t>ata and resources</w:t>
      </w:r>
      <w:r w:rsidRPr="00F70554">
        <w:t xml:space="preserve"> to </w:t>
      </w:r>
      <w:r w:rsidR="007E33CF" w:rsidRPr="00F70554">
        <w:t>address IAS</w:t>
      </w:r>
      <w:r w:rsidR="00A1531D" w:rsidRPr="00F70554">
        <w:t xml:space="preserve"> particula</w:t>
      </w:r>
      <w:r w:rsidR="00F32AD7" w:rsidRPr="00F70554">
        <w:t>rly</w:t>
      </w:r>
      <w:r w:rsidR="00A1531D" w:rsidRPr="00F70554">
        <w:t xml:space="preserve"> benefit from being </w:t>
      </w:r>
      <w:r w:rsidR="00A1531D" w:rsidRPr="00F70554">
        <w:rPr>
          <w:b/>
          <w:bCs/>
        </w:rPr>
        <w:t>interoperable</w:t>
      </w:r>
      <w:r w:rsidR="009B2292" w:rsidRPr="00F70554">
        <w:rPr>
          <w:b/>
          <w:bCs/>
        </w:rPr>
        <w:t>,</w:t>
      </w:r>
      <w:r w:rsidR="00A1531D" w:rsidRPr="00F70554">
        <w:t xml:space="preserve"> as this allows harmonisation of records from a wide range of platforms, including from national to international, and the integration of additional data</w:t>
      </w:r>
      <w:r w:rsidR="009A0AA7" w:rsidRPr="00F70554">
        <w:t>,</w:t>
      </w:r>
      <w:r w:rsidR="00A1531D" w:rsidRPr="00F70554">
        <w:t xml:space="preserve"> which is critical for analysis of associated drivers and threats (for example, via the IUCN Red List of Threatened </w:t>
      </w:r>
      <w:proofErr w:type="spellStart"/>
      <w:r w:rsidR="00A1531D" w:rsidRPr="00F70554">
        <w:t>Species</w:t>
      </w:r>
      <w:r w:rsidR="00A1531D" w:rsidRPr="00F70554">
        <w:rPr>
          <w:vertAlign w:val="superscript"/>
        </w:rPr>
        <w:t>TM</w:t>
      </w:r>
      <w:proofErr w:type="spellEnd"/>
      <w:r w:rsidR="00A1531D" w:rsidRPr="00F70554">
        <w:t xml:space="preserve">). Key elements to ensure interoperability are the use of agreed common terminology and language (for example, definitions under the </w:t>
      </w:r>
      <w:r w:rsidR="004A4054" w:rsidRPr="00F70554">
        <w:t>CBD</w:t>
      </w:r>
      <w:r w:rsidR="00A1531D" w:rsidRPr="00F70554">
        <w:t xml:space="preserve"> and the Intergovernmental Science-Policy Platform on Biodiversity and Ecosystem Services), and the use of recognised standards. The Darwin Core data standard</w:t>
      </w:r>
      <w:r w:rsidR="00A1531D" w:rsidRPr="00F70554">
        <w:rPr>
          <w:rStyle w:val="FootnoteReference"/>
        </w:rPr>
        <w:footnoteReference w:id="58"/>
      </w:r>
      <w:r w:rsidR="00A1531D" w:rsidRPr="00F70554">
        <w:t xml:space="preserve"> has recently been updated to include IAS-specific information and terminology</w:t>
      </w:r>
      <w:r w:rsidR="00A1531D" w:rsidRPr="00F70554">
        <w:rPr>
          <w:rStyle w:val="FootnoteReference"/>
        </w:rPr>
        <w:footnoteReference w:id="59"/>
      </w:r>
      <w:r w:rsidR="00A1531D" w:rsidRPr="00F70554">
        <w:t xml:space="preserve"> (see Table 2). By adhering to globally accepted standards, data will become more reliable and robust, and monitoring systems can become automated. A key aim of open and shareable data is making it </w:t>
      </w:r>
      <w:r w:rsidR="00A1531D" w:rsidRPr="00F70554">
        <w:rPr>
          <w:b/>
          <w:bCs/>
        </w:rPr>
        <w:t>reusable</w:t>
      </w:r>
      <w:r w:rsidR="00A1531D" w:rsidRPr="00F70554">
        <w:t xml:space="preserve">, through appropriate licensing and usage rights, for others across the community and to facilitate scientific and technical cooperation and technology transfer. This can be beneficial for all as new tools, workflows, and resources become available, and is critical for preventing duplication of effort and increasing efficiency. </w:t>
      </w:r>
    </w:p>
    <w:p w14:paraId="251DE75C" w14:textId="1E60DA3D" w:rsidR="00F51104" w:rsidRPr="00F70554" w:rsidRDefault="00A1531D" w:rsidP="00F12734">
      <w:pPr>
        <w:spacing w:before="120" w:after="120"/>
      </w:pPr>
      <w:r w:rsidRPr="00F70554">
        <w:t xml:space="preserve">Incorporating diverse knowledge systems brings greater legitimacy of knowledge and experience, which can lead to context-relevant </w:t>
      </w:r>
      <w:r w:rsidR="00103039" w:rsidRPr="00F70554">
        <w:t>decision-making</w:t>
      </w:r>
      <w:r w:rsidRPr="00F70554">
        <w:t>. Accessing and bridging different knowledge involves creating data and information flows through engagement with relevant stakeholders, and indigenous peoples and local communities. Data collation and curation should abide by the Collective Benefit, Authority to Control, Responsibility, and Ethics (CARE)</w:t>
      </w:r>
      <w:r w:rsidRPr="00F70554">
        <w:rPr>
          <w:rStyle w:val="FootnoteReference"/>
        </w:rPr>
        <w:footnoteReference w:id="60"/>
      </w:r>
      <w:r w:rsidRPr="00F70554">
        <w:t xml:space="preserve"> principles when accessing and incorporating traditional knowledge.</w:t>
      </w:r>
    </w:p>
    <w:p w14:paraId="41B6FDF2" w14:textId="37F37283" w:rsidR="00F51104" w:rsidRPr="00F70554" w:rsidRDefault="00A1531D" w:rsidP="00F12734">
      <w:pPr>
        <w:spacing w:before="120" w:after="120"/>
      </w:pPr>
      <w:r w:rsidRPr="00F70554">
        <w:t xml:space="preserve">Key accessibility gaps exist in the availability of shared resources to inform the prioritisation and management of biological invasions. For example, there is currently no central repository for completed species risk assessments or records of what management options are available and their effectiveness and </w:t>
      </w:r>
      <w:r w:rsidRPr="00F70554">
        <w:lastRenderedPageBreak/>
        <w:t>costs for different species. Some information may be published in scientific journals or grey literature, but not all is open access, nor easily findable. There have been efforts to synthesize some of this information,</w:t>
      </w:r>
      <w:r w:rsidRPr="00F70554">
        <w:rPr>
          <w:rStyle w:val="FootnoteReference"/>
        </w:rPr>
        <w:footnoteReference w:id="61"/>
      </w:r>
      <w:r w:rsidRPr="00F70554">
        <w:t xml:space="preserve"> and options for this may improve with the advance of Artificial Intelligence (AI) and Large Language Models (LLMs), but having open, accessible, and findable resources will improve the robustness and reliability of information.</w:t>
      </w:r>
    </w:p>
    <w:p w14:paraId="6EEC024B" w14:textId="407ABD7B" w:rsidR="00A1531D" w:rsidRPr="00F70554" w:rsidRDefault="00A1531D" w:rsidP="00A1531D">
      <w:r w:rsidRPr="00F70554">
        <w:t xml:space="preserve">Critically, awareness amongst stakeholders of the available data and information is needed. This can be achieved through </w:t>
      </w:r>
      <w:r w:rsidR="00F30440" w:rsidRPr="00F70554">
        <w:t xml:space="preserve">the </w:t>
      </w:r>
      <w:r w:rsidRPr="00F70554">
        <w:t>establishment of a hub or clearing house to promote and signpost available IAS data and information resources</w:t>
      </w:r>
      <w:r w:rsidR="00F30440" w:rsidRPr="00F70554">
        <w:t xml:space="preserve"> </w:t>
      </w:r>
      <w:r w:rsidRPr="00F70554">
        <w:t xml:space="preserve">and facilitate familiarisation with appropriate terminology and data standards. </w:t>
      </w:r>
    </w:p>
    <w:p w14:paraId="6F20EEAE" w14:textId="3FC3F220" w:rsidR="00A1531D" w:rsidRPr="00F70554" w:rsidRDefault="00A1531D">
      <w:pPr>
        <w:pStyle w:val="Heading4"/>
        <w:numPr>
          <w:ilvl w:val="0"/>
          <w:numId w:val="0"/>
        </w:numPr>
      </w:pPr>
      <w:r w:rsidRPr="00F70554">
        <w:t>Table 2</w:t>
      </w:r>
      <w:r w:rsidR="00793B14">
        <w:t>.</w:t>
      </w:r>
      <w:r w:rsidRPr="00F70554">
        <w:t xml:space="preserve"> Data components to consider when developing an inventory or checklist of alien and invasive alien species. Data components and descriptors in italics are optional. </w:t>
      </w:r>
      <w:r w:rsidRPr="00F70554">
        <w:rPr>
          <w:sz w:val="18"/>
          <w:szCs w:val="18"/>
        </w:rPr>
        <w:t xml:space="preserve">Taken from the CBD IAS Toolkit Flyer on </w:t>
      </w:r>
      <w:r w:rsidR="00EA4C26" w:rsidRPr="00F70554">
        <w:rPr>
          <w:sz w:val="18"/>
          <w:szCs w:val="18"/>
        </w:rPr>
        <w:t xml:space="preserve">the </w:t>
      </w:r>
      <w:r w:rsidRPr="00F70554">
        <w:rPr>
          <w:sz w:val="18"/>
          <w:szCs w:val="18"/>
        </w:rPr>
        <w:t>use of international data standards.</w:t>
      </w:r>
    </w:p>
    <w:tbl>
      <w:tblPr>
        <w:tblStyle w:val="TableGrid"/>
        <w:tblW w:w="5000" w:type="pct"/>
        <w:tblLook w:val="04A0" w:firstRow="1" w:lastRow="0" w:firstColumn="1" w:lastColumn="0" w:noHBand="0" w:noVBand="1"/>
      </w:tblPr>
      <w:tblGrid>
        <w:gridCol w:w="3116"/>
        <w:gridCol w:w="3116"/>
        <w:gridCol w:w="3118"/>
      </w:tblGrid>
      <w:tr w:rsidR="00A1531D" w:rsidRPr="00F70554" w14:paraId="7B0A34B4" w14:textId="77777777">
        <w:trPr>
          <w:tblHeader/>
        </w:trPr>
        <w:tc>
          <w:tcPr>
            <w:tcW w:w="1666" w:type="pct"/>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5D7177BB" w14:textId="77777777" w:rsidR="00A1531D" w:rsidRPr="00F70554" w:rsidRDefault="00A1531D">
            <w:pPr>
              <w:pStyle w:val="NoSpacing"/>
              <w:rPr>
                <w:b/>
              </w:rPr>
            </w:pPr>
            <w:r w:rsidRPr="00F70554">
              <w:rPr>
                <w:b/>
              </w:rPr>
              <w:t>Data component</w:t>
            </w:r>
          </w:p>
        </w:tc>
        <w:tc>
          <w:tcPr>
            <w:tcW w:w="1666" w:type="pct"/>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650B17C6" w14:textId="77777777" w:rsidR="00A1531D" w:rsidRPr="00F70554" w:rsidRDefault="00A1531D">
            <w:pPr>
              <w:pStyle w:val="NoSpacing"/>
              <w:rPr>
                <w:b/>
                <w:bCs/>
              </w:rPr>
            </w:pPr>
            <w:r w:rsidRPr="00F70554">
              <w:rPr>
                <w:b/>
                <w:bCs/>
              </w:rPr>
              <w:t>Descriptor</w:t>
            </w:r>
          </w:p>
        </w:tc>
        <w:tc>
          <w:tcPr>
            <w:tcW w:w="1667" w:type="pct"/>
            <w:tcBorders>
              <w:top w:val="single" w:sz="4" w:space="0" w:color="auto"/>
              <w:left w:val="single" w:sz="4" w:space="0" w:color="auto"/>
              <w:bottom w:val="single" w:sz="4" w:space="0" w:color="auto"/>
              <w:right w:val="single" w:sz="4" w:space="0" w:color="auto"/>
            </w:tcBorders>
            <w:shd w:val="clear" w:color="auto" w:fill="83CAEB" w:themeFill="accent1" w:themeFillTint="66"/>
            <w:hideMark/>
          </w:tcPr>
          <w:p w14:paraId="759BF4C6" w14:textId="77777777" w:rsidR="00A1531D" w:rsidRPr="00F70554" w:rsidRDefault="00A1531D">
            <w:pPr>
              <w:pStyle w:val="NoSpacing"/>
              <w:rPr>
                <w:b/>
                <w:bCs/>
              </w:rPr>
            </w:pPr>
            <w:r w:rsidRPr="00F70554">
              <w:rPr>
                <w:b/>
                <w:bCs/>
              </w:rPr>
              <w:t>Data Standards</w:t>
            </w:r>
          </w:p>
        </w:tc>
      </w:tr>
      <w:tr w:rsidR="00A1531D" w:rsidRPr="00F70554" w14:paraId="76DC397E" w14:textId="77777777">
        <w:tc>
          <w:tcPr>
            <w:tcW w:w="1666" w:type="pct"/>
            <w:tcBorders>
              <w:top w:val="single" w:sz="4" w:space="0" w:color="auto"/>
              <w:left w:val="single" w:sz="4" w:space="0" w:color="auto"/>
              <w:bottom w:val="single" w:sz="4" w:space="0" w:color="auto"/>
              <w:right w:val="single" w:sz="4" w:space="0" w:color="auto"/>
            </w:tcBorders>
            <w:hideMark/>
          </w:tcPr>
          <w:p w14:paraId="5194E96E" w14:textId="77777777" w:rsidR="00A1531D" w:rsidRPr="00F70554" w:rsidRDefault="00A1531D" w:rsidP="00F12734">
            <w:pPr>
              <w:pStyle w:val="NoSpacing"/>
              <w:jc w:val="left"/>
            </w:pPr>
            <w:r w:rsidRPr="00F70554">
              <w:t>Geographic location such as country, island, protected area, lake etc.</w:t>
            </w:r>
          </w:p>
        </w:tc>
        <w:tc>
          <w:tcPr>
            <w:tcW w:w="1666" w:type="pct"/>
            <w:tcBorders>
              <w:top w:val="single" w:sz="4" w:space="0" w:color="auto"/>
              <w:left w:val="single" w:sz="4" w:space="0" w:color="auto"/>
              <w:bottom w:val="single" w:sz="4" w:space="0" w:color="auto"/>
              <w:right w:val="single" w:sz="4" w:space="0" w:color="auto"/>
            </w:tcBorders>
            <w:hideMark/>
          </w:tcPr>
          <w:p w14:paraId="58CC0D88" w14:textId="77777777" w:rsidR="00A1531D" w:rsidRPr="00F70554" w:rsidRDefault="00A1531D" w:rsidP="00F12734">
            <w:pPr>
              <w:pStyle w:val="NoSpacing"/>
              <w:jc w:val="left"/>
            </w:pPr>
            <w:r w:rsidRPr="00F70554">
              <w:t>Geographic location which is the subject of the inventory or checklist.</w:t>
            </w:r>
          </w:p>
        </w:tc>
        <w:tc>
          <w:tcPr>
            <w:tcW w:w="1667" w:type="pct"/>
            <w:tcBorders>
              <w:top w:val="single" w:sz="4" w:space="0" w:color="auto"/>
              <w:left w:val="single" w:sz="4" w:space="0" w:color="auto"/>
              <w:bottom w:val="single" w:sz="4" w:space="0" w:color="auto"/>
              <w:right w:val="single" w:sz="4" w:space="0" w:color="auto"/>
            </w:tcBorders>
            <w:hideMark/>
          </w:tcPr>
          <w:p w14:paraId="272FFBD1" w14:textId="77777777" w:rsidR="00A1531D" w:rsidRPr="00F70554" w:rsidRDefault="00A1531D" w:rsidP="00F12734">
            <w:pPr>
              <w:pStyle w:val="NoSpacing"/>
              <w:jc w:val="left"/>
            </w:pPr>
            <w:r w:rsidRPr="00F70554">
              <w:t>Use of the ISO Code;</w:t>
            </w:r>
            <w:r w:rsidRPr="00F70554">
              <w:rPr>
                <w:vertAlign w:val="superscript"/>
              </w:rPr>
              <w:footnoteReference w:id="62"/>
            </w:r>
            <w:r w:rsidRPr="00F70554">
              <w:t xml:space="preserve"> Darwin Core.</w:t>
            </w:r>
          </w:p>
        </w:tc>
      </w:tr>
      <w:tr w:rsidR="00A1531D" w:rsidRPr="00F70554" w14:paraId="4AD97088" w14:textId="77777777">
        <w:tc>
          <w:tcPr>
            <w:tcW w:w="1666" w:type="pct"/>
            <w:tcBorders>
              <w:top w:val="single" w:sz="4" w:space="0" w:color="auto"/>
              <w:left w:val="single" w:sz="4" w:space="0" w:color="auto"/>
              <w:bottom w:val="single" w:sz="4" w:space="0" w:color="auto"/>
              <w:right w:val="single" w:sz="4" w:space="0" w:color="auto"/>
            </w:tcBorders>
            <w:hideMark/>
          </w:tcPr>
          <w:p w14:paraId="79969C4B" w14:textId="77777777" w:rsidR="00A1531D" w:rsidRPr="00F70554" w:rsidRDefault="00A1531D" w:rsidP="00F12734">
            <w:pPr>
              <w:pStyle w:val="NoSpacing"/>
              <w:jc w:val="left"/>
            </w:pPr>
            <w:r w:rsidRPr="00F70554">
              <w:t>Species name (including sub species, varieties, forms where relevant)</w:t>
            </w:r>
          </w:p>
        </w:tc>
        <w:tc>
          <w:tcPr>
            <w:tcW w:w="1666" w:type="pct"/>
            <w:tcBorders>
              <w:top w:val="single" w:sz="4" w:space="0" w:color="auto"/>
              <w:left w:val="single" w:sz="4" w:space="0" w:color="auto"/>
              <w:bottom w:val="single" w:sz="4" w:space="0" w:color="auto"/>
              <w:right w:val="single" w:sz="4" w:space="0" w:color="auto"/>
            </w:tcBorders>
            <w:hideMark/>
          </w:tcPr>
          <w:p w14:paraId="21F6DD76" w14:textId="77777777" w:rsidR="00A1531D" w:rsidRPr="00F70554" w:rsidRDefault="00A1531D" w:rsidP="00F12734">
            <w:pPr>
              <w:pStyle w:val="NoSpacing"/>
              <w:jc w:val="left"/>
            </w:pPr>
            <w:r w:rsidRPr="00F70554">
              <w:t>Scientific name.</w:t>
            </w:r>
          </w:p>
        </w:tc>
        <w:tc>
          <w:tcPr>
            <w:tcW w:w="1667" w:type="pct"/>
            <w:tcBorders>
              <w:top w:val="single" w:sz="4" w:space="0" w:color="auto"/>
              <w:left w:val="single" w:sz="4" w:space="0" w:color="auto"/>
              <w:bottom w:val="single" w:sz="4" w:space="0" w:color="auto"/>
              <w:right w:val="single" w:sz="4" w:space="0" w:color="auto"/>
            </w:tcBorders>
            <w:hideMark/>
          </w:tcPr>
          <w:p w14:paraId="169AC738" w14:textId="77777777" w:rsidR="00A1531D" w:rsidRPr="00F70554" w:rsidRDefault="00A1531D" w:rsidP="00F12734">
            <w:pPr>
              <w:pStyle w:val="NoSpacing"/>
              <w:jc w:val="left"/>
            </w:pPr>
            <w:r w:rsidRPr="00F70554">
              <w:t>Darwin Core [note that GBIF and Catalogue of Life</w:t>
            </w:r>
            <w:r w:rsidRPr="00F70554">
              <w:rPr>
                <w:rStyle w:val="FootnoteReference"/>
              </w:rPr>
              <w:footnoteReference w:id="63"/>
            </w:r>
            <w:r w:rsidRPr="00F70554">
              <w:t xml:space="preserve"> are working on a harmonised taxonomy].</w:t>
            </w:r>
          </w:p>
        </w:tc>
      </w:tr>
      <w:tr w:rsidR="00A1531D" w:rsidRPr="00F70554" w14:paraId="62CA6EAB" w14:textId="77777777">
        <w:tc>
          <w:tcPr>
            <w:tcW w:w="1666" w:type="pct"/>
            <w:tcBorders>
              <w:top w:val="single" w:sz="4" w:space="0" w:color="auto"/>
              <w:left w:val="single" w:sz="4" w:space="0" w:color="auto"/>
              <w:bottom w:val="single" w:sz="4" w:space="0" w:color="auto"/>
              <w:right w:val="single" w:sz="4" w:space="0" w:color="auto"/>
            </w:tcBorders>
            <w:hideMark/>
          </w:tcPr>
          <w:p w14:paraId="12BEEC4C" w14:textId="77777777" w:rsidR="00A1531D" w:rsidRPr="00F70554" w:rsidRDefault="00A1531D" w:rsidP="00F12734">
            <w:pPr>
              <w:pStyle w:val="NoSpacing"/>
              <w:jc w:val="left"/>
            </w:pPr>
            <w:r w:rsidRPr="00F70554">
              <w:t>Taxonomic status (if the scientific name is an accepted name or synonym)</w:t>
            </w:r>
          </w:p>
        </w:tc>
        <w:tc>
          <w:tcPr>
            <w:tcW w:w="1666" w:type="pct"/>
            <w:tcBorders>
              <w:top w:val="single" w:sz="4" w:space="0" w:color="auto"/>
              <w:left w:val="single" w:sz="4" w:space="0" w:color="auto"/>
              <w:bottom w:val="single" w:sz="4" w:space="0" w:color="auto"/>
              <w:right w:val="single" w:sz="4" w:space="0" w:color="auto"/>
            </w:tcBorders>
            <w:hideMark/>
          </w:tcPr>
          <w:p w14:paraId="417BDFC0" w14:textId="77777777" w:rsidR="00A1531D" w:rsidRPr="00F70554" w:rsidRDefault="00A1531D" w:rsidP="00F12734">
            <w:pPr>
              <w:pStyle w:val="NoSpacing"/>
              <w:jc w:val="left"/>
            </w:pPr>
            <w:r w:rsidRPr="00F70554">
              <w:t xml:space="preserve">Use of or alignment to a standardised backbone taxonomy </w:t>
            </w:r>
          </w:p>
        </w:tc>
        <w:tc>
          <w:tcPr>
            <w:tcW w:w="1667" w:type="pct"/>
            <w:tcBorders>
              <w:top w:val="single" w:sz="4" w:space="0" w:color="auto"/>
              <w:left w:val="single" w:sz="4" w:space="0" w:color="auto"/>
              <w:bottom w:val="single" w:sz="4" w:space="0" w:color="auto"/>
              <w:right w:val="single" w:sz="4" w:space="0" w:color="auto"/>
            </w:tcBorders>
            <w:hideMark/>
          </w:tcPr>
          <w:p w14:paraId="48438ECF" w14:textId="77777777" w:rsidR="00A1531D" w:rsidRPr="00F70554" w:rsidRDefault="00A1531D" w:rsidP="00F12734">
            <w:pPr>
              <w:pStyle w:val="NoSpacing"/>
              <w:jc w:val="left"/>
              <w:rPr>
                <w:highlight w:val="yellow"/>
              </w:rPr>
            </w:pPr>
            <w:r w:rsidRPr="00F70554">
              <w:t>Darwin Core, Humbolt Extension</w:t>
            </w:r>
            <w:r w:rsidRPr="00F70554">
              <w:rPr>
                <w:rStyle w:val="FootnoteReference"/>
              </w:rPr>
              <w:footnoteReference w:id="64"/>
            </w:r>
            <w:r w:rsidRPr="00F70554">
              <w:t>,  Extended catalogue of Life</w:t>
            </w:r>
          </w:p>
        </w:tc>
      </w:tr>
      <w:tr w:rsidR="00A1531D" w:rsidRPr="00F70554" w14:paraId="1F8D5F80" w14:textId="77777777">
        <w:tc>
          <w:tcPr>
            <w:tcW w:w="1666" w:type="pct"/>
            <w:tcBorders>
              <w:top w:val="single" w:sz="4" w:space="0" w:color="auto"/>
              <w:left w:val="single" w:sz="4" w:space="0" w:color="auto"/>
              <w:bottom w:val="single" w:sz="4" w:space="0" w:color="auto"/>
              <w:right w:val="single" w:sz="4" w:space="0" w:color="auto"/>
            </w:tcBorders>
            <w:hideMark/>
          </w:tcPr>
          <w:p w14:paraId="0B047D4D" w14:textId="77777777" w:rsidR="00A1531D" w:rsidRPr="00F70554" w:rsidRDefault="00A1531D" w:rsidP="00F12734">
            <w:pPr>
              <w:pStyle w:val="NoSpacing"/>
              <w:jc w:val="left"/>
            </w:pPr>
            <w:r w:rsidRPr="00F70554">
              <w:t>Higher taxonomy</w:t>
            </w:r>
          </w:p>
        </w:tc>
        <w:tc>
          <w:tcPr>
            <w:tcW w:w="1666" w:type="pct"/>
            <w:tcBorders>
              <w:top w:val="single" w:sz="4" w:space="0" w:color="auto"/>
              <w:left w:val="single" w:sz="4" w:space="0" w:color="auto"/>
              <w:bottom w:val="single" w:sz="4" w:space="0" w:color="auto"/>
              <w:right w:val="single" w:sz="4" w:space="0" w:color="auto"/>
            </w:tcBorders>
            <w:hideMark/>
          </w:tcPr>
          <w:p w14:paraId="4647AB05" w14:textId="77777777" w:rsidR="00A1531D" w:rsidRPr="00F70554" w:rsidRDefault="00A1531D" w:rsidP="00F12734">
            <w:pPr>
              <w:pStyle w:val="NoSpacing"/>
              <w:jc w:val="left"/>
            </w:pPr>
            <w:r w:rsidRPr="00F70554">
              <w:t>Kingdom, Phylum, Class, Order, Family.</w:t>
            </w:r>
          </w:p>
        </w:tc>
        <w:tc>
          <w:tcPr>
            <w:tcW w:w="1667" w:type="pct"/>
            <w:tcBorders>
              <w:top w:val="single" w:sz="4" w:space="0" w:color="auto"/>
              <w:left w:val="single" w:sz="4" w:space="0" w:color="auto"/>
              <w:bottom w:val="single" w:sz="4" w:space="0" w:color="auto"/>
              <w:right w:val="single" w:sz="4" w:space="0" w:color="auto"/>
            </w:tcBorders>
            <w:hideMark/>
          </w:tcPr>
          <w:p w14:paraId="4678B38F" w14:textId="77777777" w:rsidR="00A1531D" w:rsidRPr="00F70554" w:rsidRDefault="00A1531D" w:rsidP="00F12734">
            <w:pPr>
              <w:pStyle w:val="NoSpacing"/>
              <w:jc w:val="left"/>
            </w:pPr>
            <w:r w:rsidRPr="00F70554">
              <w:t>Darwin Core.</w:t>
            </w:r>
          </w:p>
        </w:tc>
      </w:tr>
      <w:tr w:rsidR="00A1531D" w:rsidRPr="00F70554" w14:paraId="31C082E6" w14:textId="77777777">
        <w:tc>
          <w:tcPr>
            <w:tcW w:w="1666" w:type="pct"/>
            <w:tcBorders>
              <w:top w:val="single" w:sz="4" w:space="0" w:color="auto"/>
              <w:left w:val="single" w:sz="4" w:space="0" w:color="auto"/>
              <w:bottom w:val="single" w:sz="4" w:space="0" w:color="auto"/>
              <w:right w:val="single" w:sz="4" w:space="0" w:color="auto"/>
            </w:tcBorders>
            <w:hideMark/>
          </w:tcPr>
          <w:p w14:paraId="0D957038" w14:textId="77777777" w:rsidR="00A1531D" w:rsidRPr="00F70554" w:rsidRDefault="00A1531D" w:rsidP="00F12734">
            <w:pPr>
              <w:pStyle w:val="NoSpacing"/>
              <w:jc w:val="left"/>
            </w:pPr>
            <w:r w:rsidRPr="00F70554">
              <w:t>Habitat or Environment</w:t>
            </w:r>
          </w:p>
        </w:tc>
        <w:tc>
          <w:tcPr>
            <w:tcW w:w="1666" w:type="pct"/>
            <w:tcBorders>
              <w:top w:val="single" w:sz="4" w:space="0" w:color="auto"/>
              <w:left w:val="single" w:sz="4" w:space="0" w:color="auto"/>
              <w:bottom w:val="single" w:sz="4" w:space="0" w:color="auto"/>
              <w:right w:val="single" w:sz="4" w:space="0" w:color="auto"/>
            </w:tcBorders>
            <w:hideMark/>
          </w:tcPr>
          <w:p w14:paraId="38FEC918" w14:textId="77777777" w:rsidR="00A1531D" w:rsidRPr="00F70554" w:rsidRDefault="00A1531D" w:rsidP="00F12734">
            <w:pPr>
              <w:pStyle w:val="NoSpacing"/>
              <w:jc w:val="left"/>
            </w:pPr>
            <w:r w:rsidRPr="00F70554">
              <w:t>Terrestrial, freshwater, brackish, marine or host.</w:t>
            </w:r>
          </w:p>
        </w:tc>
        <w:tc>
          <w:tcPr>
            <w:tcW w:w="1667" w:type="pct"/>
            <w:tcBorders>
              <w:top w:val="single" w:sz="4" w:space="0" w:color="auto"/>
              <w:left w:val="single" w:sz="4" w:space="0" w:color="auto"/>
              <w:bottom w:val="single" w:sz="4" w:space="0" w:color="auto"/>
              <w:right w:val="single" w:sz="4" w:space="0" w:color="auto"/>
            </w:tcBorders>
            <w:hideMark/>
          </w:tcPr>
          <w:p w14:paraId="217572C4" w14:textId="77777777" w:rsidR="00A1531D" w:rsidRPr="00F70554" w:rsidRDefault="00A1531D" w:rsidP="00F12734">
            <w:pPr>
              <w:pStyle w:val="NoSpacing"/>
              <w:jc w:val="left"/>
            </w:pPr>
            <w:r w:rsidRPr="00F70554">
              <w:t>Darwin Core; IUCN Red List Habitat Classification scheme,</w:t>
            </w:r>
            <w:r w:rsidRPr="00F70554">
              <w:rPr>
                <w:vertAlign w:val="superscript"/>
              </w:rPr>
              <w:footnoteReference w:id="65"/>
            </w:r>
            <w:r w:rsidRPr="00F70554">
              <w:t xml:space="preserve"> Global Ecosystem Typology.</w:t>
            </w:r>
            <w:r w:rsidRPr="00F70554">
              <w:rPr>
                <w:rStyle w:val="FootnoteReference"/>
              </w:rPr>
              <w:footnoteReference w:id="66"/>
            </w:r>
          </w:p>
        </w:tc>
      </w:tr>
      <w:tr w:rsidR="00A1531D" w:rsidRPr="00F70554" w14:paraId="1389EE62" w14:textId="77777777">
        <w:tc>
          <w:tcPr>
            <w:tcW w:w="1666" w:type="pct"/>
            <w:tcBorders>
              <w:top w:val="single" w:sz="4" w:space="0" w:color="auto"/>
              <w:left w:val="single" w:sz="4" w:space="0" w:color="auto"/>
              <w:bottom w:val="single" w:sz="4" w:space="0" w:color="auto"/>
              <w:right w:val="single" w:sz="4" w:space="0" w:color="auto"/>
            </w:tcBorders>
            <w:hideMark/>
          </w:tcPr>
          <w:p w14:paraId="416A8626" w14:textId="77777777" w:rsidR="00A1531D" w:rsidRPr="00F70554" w:rsidRDefault="00A1531D" w:rsidP="00F12734">
            <w:pPr>
              <w:pStyle w:val="NoSpacing"/>
              <w:jc w:val="left"/>
            </w:pPr>
            <w:r w:rsidRPr="00F70554">
              <w:t>Occurrence status</w:t>
            </w:r>
          </w:p>
        </w:tc>
        <w:tc>
          <w:tcPr>
            <w:tcW w:w="1666" w:type="pct"/>
            <w:tcBorders>
              <w:top w:val="single" w:sz="4" w:space="0" w:color="auto"/>
              <w:left w:val="single" w:sz="4" w:space="0" w:color="auto"/>
              <w:bottom w:val="single" w:sz="4" w:space="0" w:color="auto"/>
              <w:right w:val="single" w:sz="4" w:space="0" w:color="auto"/>
            </w:tcBorders>
            <w:hideMark/>
          </w:tcPr>
          <w:p w14:paraId="2EA93C6B" w14:textId="77777777" w:rsidR="00A1531D" w:rsidRPr="00F70554" w:rsidRDefault="00A1531D" w:rsidP="00F12734">
            <w:pPr>
              <w:pStyle w:val="NoSpacing"/>
              <w:jc w:val="left"/>
            </w:pPr>
            <w:r w:rsidRPr="00F70554">
              <w:t xml:space="preserve">If the species is present, absent, eradicated or if its presence is uncertain. These data should be spatially and temporally bounded. </w:t>
            </w:r>
          </w:p>
        </w:tc>
        <w:tc>
          <w:tcPr>
            <w:tcW w:w="1667" w:type="pct"/>
            <w:tcBorders>
              <w:top w:val="single" w:sz="4" w:space="0" w:color="auto"/>
              <w:left w:val="single" w:sz="4" w:space="0" w:color="auto"/>
              <w:bottom w:val="single" w:sz="4" w:space="0" w:color="auto"/>
              <w:right w:val="single" w:sz="4" w:space="0" w:color="auto"/>
            </w:tcBorders>
            <w:hideMark/>
          </w:tcPr>
          <w:p w14:paraId="2D7F9BD4" w14:textId="77777777" w:rsidR="00A1531D" w:rsidRPr="00F70554" w:rsidRDefault="00A1531D" w:rsidP="00F12734">
            <w:pPr>
              <w:pStyle w:val="NoSpacing"/>
              <w:jc w:val="left"/>
            </w:pPr>
            <w:r w:rsidRPr="00F70554">
              <w:t>Darwin Core; GRIIS.</w:t>
            </w:r>
          </w:p>
        </w:tc>
      </w:tr>
      <w:tr w:rsidR="00A1531D" w:rsidRPr="00F70554" w14:paraId="71E87F12" w14:textId="77777777">
        <w:tc>
          <w:tcPr>
            <w:tcW w:w="1666" w:type="pct"/>
            <w:tcBorders>
              <w:top w:val="single" w:sz="4" w:space="0" w:color="auto"/>
              <w:left w:val="single" w:sz="4" w:space="0" w:color="auto"/>
              <w:bottom w:val="single" w:sz="4" w:space="0" w:color="auto"/>
              <w:right w:val="single" w:sz="4" w:space="0" w:color="auto"/>
            </w:tcBorders>
            <w:hideMark/>
          </w:tcPr>
          <w:p w14:paraId="2D8ADB54" w14:textId="77777777" w:rsidR="00A1531D" w:rsidRPr="00F70554" w:rsidRDefault="00A1531D" w:rsidP="00F12734">
            <w:pPr>
              <w:pStyle w:val="NoSpacing"/>
              <w:jc w:val="left"/>
            </w:pPr>
            <w:r w:rsidRPr="00F70554">
              <w:t>Provenance or Origin</w:t>
            </w:r>
          </w:p>
        </w:tc>
        <w:tc>
          <w:tcPr>
            <w:tcW w:w="1666" w:type="pct"/>
            <w:tcBorders>
              <w:top w:val="single" w:sz="4" w:space="0" w:color="auto"/>
              <w:left w:val="single" w:sz="4" w:space="0" w:color="auto"/>
              <w:bottom w:val="single" w:sz="4" w:space="0" w:color="auto"/>
              <w:right w:val="single" w:sz="4" w:space="0" w:color="auto"/>
            </w:tcBorders>
            <w:hideMark/>
          </w:tcPr>
          <w:p w14:paraId="430CE20F" w14:textId="77777777" w:rsidR="00A1531D" w:rsidRPr="00F70554" w:rsidRDefault="00A1531D" w:rsidP="00F12734">
            <w:pPr>
              <w:pStyle w:val="NoSpacing"/>
              <w:jc w:val="left"/>
            </w:pPr>
            <w:r w:rsidRPr="00F70554">
              <w:t>If the species is alien, cryptogenic (of uncertain origin), or a native | alien (native to the country and introduced by humans outside its native range in that same country).</w:t>
            </w:r>
          </w:p>
        </w:tc>
        <w:tc>
          <w:tcPr>
            <w:tcW w:w="1667" w:type="pct"/>
            <w:tcBorders>
              <w:top w:val="single" w:sz="4" w:space="0" w:color="auto"/>
              <w:left w:val="single" w:sz="4" w:space="0" w:color="auto"/>
              <w:bottom w:val="single" w:sz="4" w:space="0" w:color="auto"/>
              <w:right w:val="single" w:sz="4" w:space="0" w:color="auto"/>
            </w:tcBorders>
            <w:hideMark/>
          </w:tcPr>
          <w:p w14:paraId="60492A4C" w14:textId="77777777" w:rsidR="00A1531D" w:rsidRPr="00F70554" w:rsidRDefault="00A1531D" w:rsidP="00F12734">
            <w:pPr>
              <w:pStyle w:val="NoSpacing"/>
              <w:jc w:val="left"/>
            </w:pPr>
            <w:r w:rsidRPr="00F70554">
              <w:t>Darwin Core; GRIIS.</w:t>
            </w:r>
          </w:p>
        </w:tc>
      </w:tr>
      <w:tr w:rsidR="00A1531D" w:rsidRPr="00F70554" w14:paraId="6770B580" w14:textId="77777777">
        <w:tc>
          <w:tcPr>
            <w:tcW w:w="1666" w:type="pct"/>
            <w:tcBorders>
              <w:top w:val="single" w:sz="4" w:space="0" w:color="auto"/>
              <w:left w:val="single" w:sz="4" w:space="0" w:color="auto"/>
              <w:bottom w:val="single" w:sz="4" w:space="0" w:color="auto"/>
              <w:right w:val="single" w:sz="4" w:space="0" w:color="auto"/>
            </w:tcBorders>
            <w:hideMark/>
          </w:tcPr>
          <w:p w14:paraId="7F5FD118" w14:textId="77777777" w:rsidR="00A1531D" w:rsidRPr="00F70554" w:rsidRDefault="00A1531D" w:rsidP="00F12734">
            <w:pPr>
              <w:pStyle w:val="NoSpacing"/>
              <w:jc w:val="left"/>
            </w:pPr>
            <w:r w:rsidRPr="00F70554">
              <w:t>Native range</w:t>
            </w:r>
          </w:p>
        </w:tc>
        <w:tc>
          <w:tcPr>
            <w:tcW w:w="1666" w:type="pct"/>
            <w:tcBorders>
              <w:top w:val="single" w:sz="4" w:space="0" w:color="auto"/>
              <w:left w:val="single" w:sz="4" w:space="0" w:color="auto"/>
              <w:bottom w:val="single" w:sz="4" w:space="0" w:color="auto"/>
              <w:right w:val="single" w:sz="4" w:space="0" w:color="auto"/>
            </w:tcBorders>
            <w:hideMark/>
          </w:tcPr>
          <w:p w14:paraId="19E573CB" w14:textId="77777777" w:rsidR="00A1531D" w:rsidRPr="00F70554" w:rsidRDefault="00A1531D" w:rsidP="00F12734">
            <w:pPr>
              <w:pStyle w:val="NoSpacing"/>
              <w:jc w:val="left"/>
            </w:pPr>
            <w:r w:rsidRPr="00F70554">
              <w:t xml:space="preserve">The native range of the species (natural distribution area). </w:t>
            </w:r>
          </w:p>
        </w:tc>
        <w:tc>
          <w:tcPr>
            <w:tcW w:w="1667" w:type="pct"/>
            <w:tcBorders>
              <w:top w:val="single" w:sz="4" w:space="0" w:color="auto"/>
              <w:left w:val="single" w:sz="4" w:space="0" w:color="auto"/>
              <w:bottom w:val="single" w:sz="4" w:space="0" w:color="auto"/>
              <w:right w:val="single" w:sz="4" w:space="0" w:color="auto"/>
            </w:tcBorders>
            <w:hideMark/>
          </w:tcPr>
          <w:p w14:paraId="1297DFC8" w14:textId="77777777" w:rsidR="00A1531D" w:rsidRPr="00F70554" w:rsidRDefault="00A1531D" w:rsidP="00F12734">
            <w:pPr>
              <w:pStyle w:val="NoSpacing"/>
              <w:jc w:val="left"/>
            </w:pPr>
            <w:r w:rsidRPr="00F70554">
              <w:t>World Geographical Scheme for Recording Plant Species Distribution</w:t>
            </w:r>
            <w:r w:rsidRPr="00F70554">
              <w:rPr>
                <w:rStyle w:val="FootnoteReference"/>
              </w:rPr>
              <w:footnoteReference w:id="67"/>
            </w:r>
            <w:r w:rsidRPr="00F70554">
              <w:t xml:space="preserve"> (WGSRPD), UN </w:t>
            </w:r>
            <w:proofErr w:type="spellStart"/>
            <w:r w:rsidRPr="00F70554">
              <w:t>geoscheme</w:t>
            </w:r>
            <w:proofErr w:type="spellEnd"/>
            <w:r w:rsidRPr="00F70554">
              <w:rPr>
                <w:rStyle w:val="FootnoteReference"/>
              </w:rPr>
              <w:footnoteReference w:id="68"/>
            </w:r>
            <w:r w:rsidRPr="00F70554">
              <w:t xml:space="preserve"> for other species.</w:t>
            </w:r>
          </w:p>
        </w:tc>
      </w:tr>
      <w:tr w:rsidR="00A1531D" w:rsidRPr="00F70554" w14:paraId="427179D2" w14:textId="77777777">
        <w:tc>
          <w:tcPr>
            <w:tcW w:w="1666" w:type="pct"/>
            <w:tcBorders>
              <w:top w:val="single" w:sz="4" w:space="0" w:color="auto"/>
              <w:left w:val="single" w:sz="4" w:space="0" w:color="auto"/>
              <w:bottom w:val="single" w:sz="4" w:space="0" w:color="auto"/>
              <w:right w:val="single" w:sz="4" w:space="0" w:color="auto"/>
            </w:tcBorders>
            <w:hideMark/>
          </w:tcPr>
          <w:p w14:paraId="69EFD207" w14:textId="77777777" w:rsidR="00A1531D" w:rsidRPr="00F70554" w:rsidRDefault="00A1531D" w:rsidP="00F12734">
            <w:pPr>
              <w:pStyle w:val="NoSpacing"/>
              <w:jc w:val="left"/>
            </w:pPr>
            <w:r w:rsidRPr="00F70554">
              <w:lastRenderedPageBreak/>
              <w:t>Invasiveness</w:t>
            </w:r>
          </w:p>
        </w:tc>
        <w:tc>
          <w:tcPr>
            <w:tcW w:w="1666" w:type="pct"/>
            <w:tcBorders>
              <w:top w:val="single" w:sz="4" w:space="0" w:color="auto"/>
              <w:left w:val="single" w:sz="4" w:space="0" w:color="auto"/>
              <w:bottom w:val="single" w:sz="4" w:space="0" w:color="auto"/>
              <w:right w:val="single" w:sz="4" w:space="0" w:color="auto"/>
            </w:tcBorders>
            <w:hideMark/>
          </w:tcPr>
          <w:p w14:paraId="30595147" w14:textId="77777777" w:rsidR="00A1531D" w:rsidRPr="00F70554" w:rsidRDefault="00A1531D" w:rsidP="00F12734">
            <w:pPr>
              <w:pStyle w:val="NoSpacing"/>
              <w:jc w:val="left"/>
            </w:pPr>
            <w:r w:rsidRPr="00F70554">
              <w:t>Status – invasive (If the species has displayed any negative impacts in that country).</w:t>
            </w:r>
          </w:p>
        </w:tc>
        <w:tc>
          <w:tcPr>
            <w:tcW w:w="1667" w:type="pct"/>
            <w:tcBorders>
              <w:top w:val="single" w:sz="4" w:space="0" w:color="auto"/>
              <w:left w:val="single" w:sz="4" w:space="0" w:color="auto"/>
              <w:bottom w:val="single" w:sz="4" w:space="0" w:color="auto"/>
              <w:right w:val="single" w:sz="4" w:space="0" w:color="auto"/>
            </w:tcBorders>
            <w:hideMark/>
          </w:tcPr>
          <w:p w14:paraId="6D8FD87F" w14:textId="77777777" w:rsidR="00A1531D" w:rsidRPr="00F70554" w:rsidRDefault="00A1531D" w:rsidP="00F12734">
            <w:pPr>
              <w:pStyle w:val="NoSpacing"/>
              <w:jc w:val="left"/>
            </w:pPr>
            <w:r w:rsidRPr="00F70554">
              <w:t>GRIIS; Darwin Core.</w:t>
            </w:r>
          </w:p>
        </w:tc>
      </w:tr>
      <w:tr w:rsidR="00A1531D" w:rsidRPr="00F70554" w14:paraId="7210ECAF" w14:textId="77777777">
        <w:tc>
          <w:tcPr>
            <w:tcW w:w="1666" w:type="pct"/>
            <w:tcBorders>
              <w:top w:val="single" w:sz="4" w:space="0" w:color="auto"/>
              <w:left w:val="single" w:sz="4" w:space="0" w:color="auto"/>
              <w:bottom w:val="single" w:sz="4" w:space="0" w:color="auto"/>
              <w:right w:val="single" w:sz="4" w:space="0" w:color="auto"/>
            </w:tcBorders>
            <w:hideMark/>
          </w:tcPr>
          <w:p w14:paraId="165B4688" w14:textId="77777777" w:rsidR="00A1531D" w:rsidRPr="00F70554" w:rsidRDefault="00A1531D" w:rsidP="00F12734">
            <w:pPr>
              <w:pStyle w:val="NoSpacing"/>
              <w:jc w:val="left"/>
            </w:pPr>
            <w:r w:rsidRPr="00F70554">
              <w:t>Degree of establishment</w:t>
            </w:r>
          </w:p>
        </w:tc>
        <w:tc>
          <w:tcPr>
            <w:tcW w:w="1666" w:type="pct"/>
            <w:tcBorders>
              <w:top w:val="single" w:sz="4" w:space="0" w:color="auto"/>
              <w:left w:val="single" w:sz="4" w:space="0" w:color="auto"/>
              <w:bottom w:val="single" w:sz="4" w:space="0" w:color="auto"/>
              <w:right w:val="single" w:sz="4" w:space="0" w:color="auto"/>
            </w:tcBorders>
          </w:tcPr>
          <w:p w14:paraId="46AD8FB2" w14:textId="77777777" w:rsidR="00A1531D" w:rsidRPr="00F70554" w:rsidRDefault="00A1531D" w:rsidP="00F12734">
            <w:pPr>
              <w:pStyle w:val="NoSpacing"/>
              <w:jc w:val="left"/>
            </w:pPr>
            <w:r w:rsidRPr="00F70554">
              <w:t xml:space="preserve">The stage in the invasion </w:t>
            </w:r>
            <w:proofErr w:type="gramStart"/>
            <w:r w:rsidRPr="00F70554">
              <w:t>process</w:t>
            </w:r>
            <w:proofErr w:type="gramEnd"/>
            <w:r w:rsidRPr="00F70554">
              <w:t xml:space="preserve"> a species has reached. </w:t>
            </w:r>
          </w:p>
          <w:p w14:paraId="0B6E73AA" w14:textId="77777777" w:rsidR="00A1531D" w:rsidRPr="00F70554" w:rsidRDefault="00A1531D" w:rsidP="00F12734">
            <w:pPr>
              <w:pStyle w:val="NoSpacing"/>
              <w:jc w:val="left"/>
            </w:pPr>
          </w:p>
        </w:tc>
        <w:tc>
          <w:tcPr>
            <w:tcW w:w="1667" w:type="pct"/>
            <w:tcBorders>
              <w:top w:val="single" w:sz="4" w:space="0" w:color="auto"/>
              <w:left w:val="single" w:sz="4" w:space="0" w:color="auto"/>
              <w:bottom w:val="single" w:sz="4" w:space="0" w:color="auto"/>
              <w:right w:val="single" w:sz="4" w:space="0" w:color="auto"/>
            </w:tcBorders>
            <w:hideMark/>
          </w:tcPr>
          <w:p w14:paraId="2757E5A0" w14:textId="77777777" w:rsidR="00A1531D" w:rsidRPr="00F70554" w:rsidRDefault="00A1531D" w:rsidP="00F12734">
            <w:pPr>
              <w:pStyle w:val="NoSpacing"/>
              <w:jc w:val="left"/>
            </w:pPr>
            <w:r w:rsidRPr="00F70554">
              <w:t>Darwin Core.</w:t>
            </w:r>
          </w:p>
        </w:tc>
      </w:tr>
      <w:tr w:rsidR="00A1531D" w:rsidRPr="00F70554" w14:paraId="5494FDBA" w14:textId="77777777">
        <w:tc>
          <w:tcPr>
            <w:tcW w:w="1666" w:type="pct"/>
            <w:tcBorders>
              <w:top w:val="single" w:sz="4" w:space="0" w:color="auto"/>
              <w:left w:val="single" w:sz="4" w:space="0" w:color="auto"/>
              <w:bottom w:val="single" w:sz="4" w:space="0" w:color="auto"/>
              <w:right w:val="single" w:sz="4" w:space="0" w:color="auto"/>
            </w:tcBorders>
            <w:hideMark/>
          </w:tcPr>
          <w:p w14:paraId="0E54F34F" w14:textId="77777777" w:rsidR="00A1531D" w:rsidRPr="00F70554" w:rsidRDefault="00A1531D" w:rsidP="00F12734">
            <w:pPr>
              <w:pStyle w:val="NoSpacing"/>
              <w:jc w:val="left"/>
              <w:rPr>
                <w:i/>
                <w:iCs/>
              </w:rPr>
            </w:pPr>
            <w:r w:rsidRPr="00F70554">
              <w:rPr>
                <w:i/>
                <w:iCs/>
              </w:rPr>
              <w:t>Date of introduction or first report</w:t>
            </w:r>
          </w:p>
        </w:tc>
        <w:tc>
          <w:tcPr>
            <w:tcW w:w="1666" w:type="pct"/>
            <w:tcBorders>
              <w:top w:val="single" w:sz="4" w:space="0" w:color="auto"/>
              <w:left w:val="single" w:sz="4" w:space="0" w:color="auto"/>
              <w:bottom w:val="single" w:sz="4" w:space="0" w:color="auto"/>
              <w:right w:val="single" w:sz="4" w:space="0" w:color="auto"/>
            </w:tcBorders>
            <w:hideMark/>
          </w:tcPr>
          <w:p w14:paraId="6C06C961" w14:textId="77777777" w:rsidR="00A1531D" w:rsidRPr="00F70554" w:rsidRDefault="00A1531D" w:rsidP="00F12734">
            <w:pPr>
              <w:pStyle w:val="NoSpacing"/>
              <w:jc w:val="left"/>
              <w:rPr>
                <w:i/>
                <w:iCs/>
              </w:rPr>
            </w:pPr>
            <w:r w:rsidRPr="00F70554">
              <w:rPr>
                <w:i/>
                <w:iCs/>
              </w:rPr>
              <w:t>This data is useful to map trends of species introductions and is often used for policy indicators and Target 6 headline indicator.</w:t>
            </w:r>
          </w:p>
        </w:tc>
        <w:tc>
          <w:tcPr>
            <w:tcW w:w="1667" w:type="pct"/>
            <w:tcBorders>
              <w:top w:val="single" w:sz="4" w:space="0" w:color="auto"/>
              <w:left w:val="single" w:sz="4" w:space="0" w:color="auto"/>
              <w:bottom w:val="single" w:sz="4" w:space="0" w:color="auto"/>
              <w:right w:val="single" w:sz="4" w:space="0" w:color="auto"/>
            </w:tcBorders>
            <w:hideMark/>
          </w:tcPr>
          <w:p w14:paraId="5B688A78" w14:textId="77777777" w:rsidR="00A1531D" w:rsidRPr="00F70554" w:rsidRDefault="00A1531D" w:rsidP="00F12734">
            <w:pPr>
              <w:pStyle w:val="NoSpacing"/>
              <w:jc w:val="left"/>
              <w:rPr>
                <w:i/>
                <w:iCs/>
              </w:rPr>
            </w:pPr>
            <w:r w:rsidRPr="00F70554">
              <w:t xml:space="preserve">GRIIS; Darwin Core. </w:t>
            </w:r>
          </w:p>
        </w:tc>
      </w:tr>
      <w:tr w:rsidR="00A1531D" w:rsidRPr="00F70554" w14:paraId="57A9842F" w14:textId="77777777">
        <w:tc>
          <w:tcPr>
            <w:tcW w:w="1666" w:type="pct"/>
            <w:tcBorders>
              <w:top w:val="single" w:sz="4" w:space="0" w:color="auto"/>
              <w:left w:val="single" w:sz="4" w:space="0" w:color="auto"/>
              <w:bottom w:val="single" w:sz="4" w:space="0" w:color="auto"/>
              <w:right w:val="single" w:sz="4" w:space="0" w:color="auto"/>
            </w:tcBorders>
            <w:hideMark/>
          </w:tcPr>
          <w:p w14:paraId="72D6A421" w14:textId="77777777" w:rsidR="00A1531D" w:rsidRPr="00F70554" w:rsidRDefault="00A1531D" w:rsidP="00F12734">
            <w:pPr>
              <w:pStyle w:val="NoSpacing"/>
              <w:jc w:val="left"/>
              <w:rPr>
                <w:i/>
                <w:iCs/>
              </w:rPr>
            </w:pPr>
            <w:r w:rsidRPr="00F70554">
              <w:rPr>
                <w:i/>
                <w:iCs/>
              </w:rPr>
              <w:t>Pathways of introduction</w:t>
            </w:r>
          </w:p>
        </w:tc>
        <w:tc>
          <w:tcPr>
            <w:tcW w:w="1666" w:type="pct"/>
            <w:tcBorders>
              <w:top w:val="single" w:sz="4" w:space="0" w:color="auto"/>
              <w:left w:val="single" w:sz="4" w:space="0" w:color="auto"/>
              <w:bottom w:val="single" w:sz="4" w:space="0" w:color="auto"/>
              <w:right w:val="single" w:sz="4" w:space="0" w:color="auto"/>
            </w:tcBorders>
            <w:hideMark/>
          </w:tcPr>
          <w:p w14:paraId="2F6384D8" w14:textId="77777777" w:rsidR="00A1531D" w:rsidRPr="00F70554" w:rsidRDefault="00A1531D" w:rsidP="00F12734">
            <w:pPr>
              <w:pStyle w:val="NoSpacing"/>
              <w:jc w:val="left"/>
              <w:rPr>
                <w:i/>
                <w:iCs/>
              </w:rPr>
            </w:pPr>
            <w:r w:rsidRPr="00F70554">
              <w:rPr>
                <w:i/>
                <w:iCs/>
              </w:rPr>
              <w:t>If the species was introduced intentionally or unintentionally and the type of introduction pathway.</w:t>
            </w:r>
          </w:p>
        </w:tc>
        <w:tc>
          <w:tcPr>
            <w:tcW w:w="1667" w:type="pct"/>
            <w:tcBorders>
              <w:top w:val="single" w:sz="4" w:space="0" w:color="auto"/>
              <w:left w:val="single" w:sz="4" w:space="0" w:color="auto"/>
              <w:bottom w:val="single" w:sz="4" w:space="0" w:color="auto"/>
              <w:right w:val="single" w:sz="4" w:space="0" w:color="auto"/>
            </w:tcBorders>
            <w:hideMark/>
          </w:tcPr>
          <w:p w14:paraId="17EC19E1" w14:textId="77777777" w:rsidR="00A1531D" w:rsidRPr="00F70554" w:rsidRDefault="00A1531D" w:rsidP="00F12734">
            <w:pPr>
              <w:pStyle w:val="NoSpacing"/>
              <w:jc w:val="left"/>
              <w:rPr>
                <w:i/>
                <w:iCs/>
              </w:rPr>
            </w:pPr>
            <w:r w:rsidRPr="00F70554">
              <w:t>Convention on Biological Diversity Hierarchical pathway schema,</w:t>
            </w:r>
            <w:r w:rsidRPr="00F70554">
              <w:rPr>
                <w:rStyle w:val="FootnoteReference"/>
              </w:rPr>
              <w:footnoteReference w:id="69"/>
            </w:r>
            <w:r w:rsidRPr="00F70554">
              <w:t xml:space="preserve"> Darwin Core. </w:t>
            </w:r>
          </w:p>
        </w:tc>
      </w:tr>
      <w:tr w:rsidR="00A1531D" w:rsidRPr="00F70554" w14:paraId="0DF8B329" w14:textId="77777777">
        <w:tc>
          <w:tcPr>
            <w:tcW w:w="1666" w:type="pct"/>
            <w:tcBorders>
              <w:top w:val="single" w:sz="4" w:space="0" w:color="auto"/>
              <w:left w:val="single" w:sz="4" w:space="0" w:color="auto"/>
              <w:bottom w:val="single" w:sz="4" w:space="0" w:color="auto"/>
              <w:right w:val="single" w:sz="4" w:space="0" w:color="auto"/>
            </w:tcBorders>
            <w:hideMark/>
          </w:tcPr>
          <w:p w14:paraId="1D40E8CD" w14:textId="77777777" w:rsidR="00A1531D" w:rsidRPr="00F70554" w:rsidRDefault="00A1531D" w:rsidP="00F12734">
            <w:pPr>
              <w:pStyle w:val="NoSpacing"/>
              <w:jc w:val="left"/>
              <w:rPr>
                <w:i/>
                <w:iCs/>
              </w:rPr>
            </w:pPr>
            <w:r w:rsidRPr="00F70554">
              <w:rPr>
                <w:i/>
                <w:iCs/>
              </w:rPr>
              <w:t>Impact data including mechanisms of impact and outcome of the impact</w:t>
            </w:r>
          </w:p>
        </w:tc>
        <w:tc>
          <w:tcPr>
            <w:tcW w:w="1666" w:type="pct"/>
            <w:tcBorders>
              <w:top w:val="single" w:sz="4" w:space="0" w:color="auto"/>
              <w:left w:val="single" w:sz="4" w:space="0" w:color="auto"/>
              <w:bottom w:val="single" w:sz="4" w:space="0" w:color="auto"/>
              <w:right w:val="single" w:sz="4" w:space="0" w:color="auto"/>
            </w:tcBorders>
            <w:hideMark/>
          </w:tcPr>
          <w:p w14:paraId="5E2FBF43" w14:textId="77777777" w:rsidR="00A1531D" w:rsidRPr="00F70554" w:rsidRDefault="00A1531D" w:rsidP="00F12734">
            <w:pPr>
              <w:pStyle w:val="NoSpacing"/>
              <w:jc w:val="left"/>
              <w:rPr>
                <w:i/>
                <w:iCs/>
              </w:rPr>
            </w:pPr>
            <w:r w:rsidRPr="00F70554">
              <w:rPr>
                <w:i/>
                <w:iCs/>
              </w:rPr>
              <w:t>Mechanisms can include predation, hybridisation resulting in outcomes such as population decline.</w:t>
            </w:r>
          </w:p>
        </w:tc>
        <w:tc>
          <w:tcPr>
            <w:tcW w:w="1667" w:type="pct"/>
            <w:tcBorders>
              <w:top w:val="single" w:sz="4" w:space="0" w:color="auto"/>
              <w:left w:val="single" w:sz="4" w:space="0" w:color="auto"/>
              <w:bottom w:val="single" w:sz="4" w:space="0" w:color="auto"/>
              <w:right w:val="single" w:sz="4" w:space="0" w:color="auto"/>
            </w:tcBorders>
            <w:hideMark/>
          </w:tcPr>
          <w:p w14:paraId="68C94F6B" w14:textId="77777777" w:rsidR="00A1531D" w:rsidRPr="00F70554" w:rsidRDefault="00A1531D" w:rsidP="00F12734">
            <w:pPr>
              <w:pStyle w:val="NoSpacing"/>
              <w:jc w:val="left"/>
              <w:rPr>
                <w:i/>
                <w:iCs/>
              </w:rPr>
            </w:pPr>
            <w:r w:rsidRPr="00F70554">
              <w:t>The Environmental Impact Classification for Alien Taxa (EICAT), Socio-economic impact classification of alien taxa (SEICAT).</w:t>
            </w:r>
          </w:p>
        </w:tc>
      </w:tr>
      <w:tr w:rsidR="00A1531D" w:rsidRPr="00F70554" w14:paraId="5B2D624C" w14:textId="77777777">
        <w:tc>
          <w:tcPr>
            <w:tcW w:w="1666" w:type="pct"/>
            <w:tcBorders>
              <w:top w:val="single" w:sz="4" w:space="0" w:color="auto"/>
              <w:left w:val="single" w:sz="4" w:space="0" w:color="auto"/>
              <w:bottom w:val="single" w:sz="4" w:space="0" w:color="auto"/>
              <w:right w:val="single" w:sz="4" w:space="0" w:color="auto"/>
            </w:tcBorders>
            <w:hideMark/>
          </w:tcPr>
          <w:p w14:paraId="18FDE5F7" w14:textId="77777777" w:rsidR="00A1531D" w:rsidRPr="00F70554" w:rsidRDefault="00A1531D" w:rsidP="00F12734">
            <w:pPr>
              <w:pStyle w:val="NoSpacing"/>
              <w:jc w:val="left"/>
            </w:pPr>
            <w:r w:rsidRPr="00F70554">
              <w:t>Citation or Reference</w:t>
            </w:r>
          </w:p>
        </w:tc>
        <w:tc>
          <w:tcPr>
            <w:tcW w:w="1666" w:type="pct"/>
            <w:tcBorders>
              <w:top w:val="single" w:sz="4" w:space="0" w:color="auto"/>
              <w:left w:val="single" w:sz="4" w:space="0" w:color="auto"/>
              <w:bottom w:val="single" w:sz="4" w:space="0" w:color="auto"/>
              <w:right w:val="single" w:sz="4" w:space="0" w:color="auto"/>
            </w:tcBorders>
            <w:hideMark/>
          </w:tcPr>
          <w:p w14:paraId="5F6C05CD" w14:textId="77777777" w:rsidR="00A1531D" w:rsidRPr="00F70554" w:rsidRDefault="00A1531D" w:rsidP="00F12734">
            <w:pPr>
              <w:pStyle w:val="NoSpacing"/>
              <w:jc w:val="left"/>
            </w:pPr>
            <w:r w:rsidRPr="00F70554">
              <w:t>Source of data</w:t>
            </w:r>
          </w:p>
        </w:tc>
        <w:tc>
          <w:tcPr>
            <w:tcW w:w="1667" w:type="pct"/>
            <w:tcBorders>
              <w:top w:val="single" w:sz="4" w:space="0" w:color="auto"/>
              <w:left w:val="single" w:sz="4" w:space="0" w:color="auto"/>
              <w:bottom w:val="single" w:sz="4" w:space="0" w:color="auto"/>
              <w:right w:val="single" w:sz="4" w:space="0" w:color="auto"/>
            </w:tcBorders>
            <w:hideMark/>
          </w:tcPr>
          <w:p w14:paraId="4E2777D7" w14:textId="77777777" w:rsidR="00A1531D" w:rsidRPr="00F70554" w:rsidRDefault="00A1531D" w:rsidP="00F12734">
            <w:pPr>
              <w:pStyle w:val="NoSpacing"/>
              <w:jc w:val="left"/>
            </w:pPr>
            <w:r w:rsidRPr="00F70554">
              <w:t>Darwin Core standards (preferably DOI).</w:t>
            </w:r>
          </w:p>
        </w:tc>
      </w:tr>
      <w:tr w:rsidR="00A1531D" w:rsidRPr="00F70554" w14:paraId="729B022C" w14:textId="77777777">
        <w:tc>
          <w:tcPr>
            <w:tcW w:w="1666" w:type="pct"/>
            <w:tcBorders>
              <w:top w:val="single" w:sz="4" w:space="0" w:color="auto"/>
              <w:left w:val="single" w:sz="4" w:space="0" w:color="auto"/>
              <w:bottom w:val="single" w:sz="4" w:space="0" w:color="auto"/>
              <w:right w:val="single" w:sz="4" w:space="0" w:color="auto"/>
            </w:tcBorders>
            <w:hideMark/>
          </w:tcPr>
          <w:p w14:paraId="7720ECBA" w14:textId="77777777" w:rsidR="00A1531D" w:rsidRPr="00F70554" w:rsidRDefault="00A1531D" w:rsidP="00F12734">
            <w:pPr>
              <w:pStyle w:val="NoSpacing"/>
              <w:jc w:val="left"/>
            </w:pPr>
            <w:r w:rsidRPr="00F70554">
              <w:t>Date of recording</w:t>
            </w:r>
          </w:p>
        </w:tc>
        <w:tc>
          <w:tcPr>
            <w:tcW w:w="1666" w:type="pct"/>
            <w:tcBorders>
              <w:top w:val="single" w:sz="4" w:space="0" w:color="auto"/>
              <w:left w:val="single" w:sz="4" w:space="0" w:color="auto"/>
              <w:bottom w:val="single" w:sz="4" w:space="0" w:color="auto"/>
              <w:right w:val="single" w:sz="4" w:space="0" w:color="auto"/>
            </w:tcBorders>
            <w:hideMark/>
          </w:tcPr>
          <w:p w14:paraId="452683B8" w14:textId="77777777" w:rsidR="00A1531D" w:rsidRPr="00F70554" w:rsidRDefault="00A1531D" w:rsidP="00F12734">
            <w:pPr>
              <w:pStyle w:val="NoSpacing"/>
              <w:jc w:val="left"/>
            </w:pPr>
            <w:r w:rsidRPr="00F70554">
              <w:t>To record the history of any modifications made.</w:t>
            </w:r>
          </w:p>
        </w:tc>
        <w:tc>
          <w:tcPr>
            <w:tcW w:w="1667" w:type="pct"/>
            <w:tcBorders>
              <w:top w:val="single" w:sz="4" w:space="0" w:color="auto"/>
              <w:left w:val="single" w:sz="4" w:space="0" w:color="auto"/>
              <w:bottom w:val="single" w:sz="4" w:space="0" w:color="auto"/>
              <w:right w:val="single" w:sz="4" w:space="0" w:color="auto"/>
            </w:tcBorders>
            <w:hideMark/>
          </w:tcPr>
          <w:p w14:paraId="71981643" w14:textId="77777777" w:rsidR="00A1531D" w:rsidRPr="00F70554" w:rsidRDefault="00A1531D" w:rsidP="00F12734">
            <w:pPr>
              <w:pStyle w:val="NoSpacing"/>
              <w:jc w:val="left"/>
            </w:pPr>
            <w:r w:rsidRPr="00F70554">
              <w:t>Darwin Core standards.</w:t>
            </w:r>
          </w:p>
        </w:tc>
      </w:tr>
      <w:tr w:rsidR="00A1531D" w:rsidRPr="00F70554" w14:paraId="31ADBD1C" w14:textId="77777777">
        <w:tc>
          <w:tcPr>
            <w:tcW w:w="1666" w:type="pct"/>
            <w:tcBorders>
              <w:top w:val="single" w:sz="4" w:space="0" w:color="auto"/>
              <w:left w:val="single" w:sz="4" w:space="0" w:color="auto"/>
              <w:bottom w:val="single" w:sz="4" w:space="0" w:color="auto"/>
              <w:right w:val="single" w:sz="4" w:space="0" w:color="auto"/>
            </w:tcBorders>
            <w:hideMark/>
          </w:tcPr>
          <w:p w14:paraId="3FAF3950" w14:textId="77777777" w:rsidR="00A1531D" w:rsidRPr="00F70554" w:rsidRDefault="00A1531D" w:rsidP="00F12734">
            <w:pPr>
              <w:pStyle w:val="NoSpacing"/>
              <w:jc w:val="left"/>
            </w:pPr>
            <w:r w:rsidRPr="00F70554">
              <w:t>Other data</w:t>
            </w:r>
          </w:p>
        </w:tc>
        <w:tc>
          <w:tcPr>
            <w:tcW w:w="1666" w:type="pct"/>
            <w:tcBorders>
              <w:top w:val="single" w:sz="4" w:space="0" w:color="auto"/>
              <w:left w:val="single" w:sz="4" w:space="0" w:color="auto"/>
              <w:bottom w:val="single" w:sz="4" w:space="0" w:color="auto"/>
              <w:right w:val="single" w:sz="4" w:space="0" w:color="auto"/>
            </w:tcBorders>
            <w:hideMark/>
          </w:tcPr>
          <w:p w14:paraId="4036781F" w14:textId="77777777" w:rsidR="00A1531D" w:rsidRPr="00F70554" w:rsidRDefault="00A1531D" w:rsidP="00F12734">
            <w:pPr>
              <w:pStyle w:val="NoSpacing"/>
              <w:jc w:val="left"/>
            </w:pPr>
            <w:r w:rsidRPr="00F70554">
              <w:t>Other data can include whether the species is currently under management.</w:t>
            </w:r>
          </w:p>
        </w:tc>
        <w:tc>
          <w:tcPr>
            <w:tcW w:w="1667" w:type="pct"/>
            <w:tcBorders>
              <w:top w:val="single" w:sz="4" w:space="0" w:color="auto"/>
              <w:left w:val="single" w:sz="4" w:space="0" w:color="auto"/>
              <w:bottom w:val="single" w:sz="4" w:space="0" w:color="auto"/>
              <w:right w:val="single" w:sz="4" w:space="0" w:color="auto"/>
            </w:tcBorders>
          </w:tcPr>
          <w:p w14:paraId="04AB10BC" w14:textId="77777777" w:rsidR="00A1531D" w:rsidRPr="00F70554" w:rsidRDefault="00A1531D" w:rsidP="00F12734">
            <w:pPr>
              <w:pStyle w:val="NoSpacing"/>
              <w:jc w:val="left"/>
            </w:pPr>
          </w:p>
        </w:tc>
      </w:tr>
    </w:tbl>
    <w:p w14:paraId="713CB994" w14:textId="77777777" w:rsidR="00A1531D" w:rsidRPr="00F70554" w:rsidRDefault="00A1531D" w:rsidP="00A1531D">
      <w:pPr>
        <w:rPr>
          <w:b/>
          <w:bCs/>
        </w:rPr>
      </w:pPr>
    </w:p>
    <w:p w14:paraId="41A85DDF" w14:textId="77777777" w:rsidR="00A1531D" w:rsidRPr="00F70554" w:rsidRDefault="00A1531D" w:rsidP="00F12734">
      <w:pPr>
        <w:pStyle w:val="Heading3"/>
        <w:numPr>
          <w:ilvl w:val="1"/>
          <w:numId w:val="9"/>
        </w:numPr>
        <w:tabs>
          <w:tab w:val="num" w:pos="1492"/>
        </w:tabs>
        <w:ind w:left="567" w:hanging="567"/>
      </w:pPr>
      <w:bookmarkStart w:id="6" w:name="_Toc202512540"/>
      <w:r w:rsidRPr="00F70554">
        <w:t>An analysis of the accessibility of existing key international data sets</w:t>
      </w:r>
      <w:bookmarkEnd w:id="6"/>
    </w:p>
    <w:p w14:paraId="51D01AB7" w14:textId="059B6E1D" w:rsidR="00F51104" w:rsidRPr="00F70554" w:rsidRDefault="00A1531D" w:rsidP="00F12734">
      <w:pPr>
        <w:spacing w:before="120" w:after="120"/>
      </w:pPr>
      <w:r w:rsidRPr="00F70554">
        <w:t>There are several key internationally compiled datasets that hold key data and information outlined in Table 1. These include datasets hosted by members of the Inter-Agency Liaison Group on IAS: CABI Compendium: Invasive Species; GRIIS,</w:t>
      </w:r>
      <w:r w:rsidR="00D05952" w:rsidRPr="00F70554">
        <w:t xml:space="preserve"> </w:t>
      </w:r>
      <w:r w:rsidRPr="00F70554">
        <w:t xml:space="preserve">IUCN GISD and EICAT, IUCN Red List of Threatened </w:t>
      </w:r>
      <w:proofErr w:type="spellStart"/>
      <w:r w:rsidRPr="00F70554">
        <w:t>Species</w:t>
      </w:r>
      <w:r w:rsidRPr="00F70554">
        <w:rPr>
          <w:vertAlign w:val="superscript"/>
        </w:rPr>
        <w:t>TM</w:t>
      </w:r>
      <w:proofErr w:type="spellEnd"/>
      <w:r w:rsidRPr="00F70554">
        <w:t>; and two additional key datasets, the Global Alien Species First Record Database,</w:t>
      </w:r>
      <w:r w:rsidR="00062948" w:rsidRPr="00F70554">
        <w:rPr>
          <w:rStyle w:val="FootnoteReference"/>
        </w:rPr>
        <w:footnoteReference w:id="70"/>
      </w:r>
      <w:r w:rsidRPr="00F70554">
        <w:t xml:space="preserve"> and GIDIAS</w:t>
      </w:r>
      <w:r w:rsidR="00062948" w:rsidRPr="00F70554">
        <w:rPr>
          <w:rStyle w:val="FootnoteReference"/>
        </w:rPr>
        <w:footnoteReference w:id="71"/>
      </w:r>
      <w:r w:rsidRPr="00F70554">
        <w:t xml:space="preserve"> which are well described and used in the preparation of the Assessment. Datasets are becoming increasingly available through host repositories and through data aggregators such as GBIF which facilitates </w:t>
      </w:r>
      <w:proofErr w:type="spellStart"/>
      <w:r w:rsidRPr="00F70554">
        <w:t>i</w:t>
      </w:r>
      <w:proofErr w:type="spellEnd"/>
      <w:r w:rsidRPr="00F70554">
        <w:t xml:space="preserve">) the mobilisation of national data ii) interoperability of the related but different data sources and iii) the development of indicators, workflows and resource, such as Essential Biodiversity Variables (EBVs); to increase the analysis an interpretation of the data for research, policy, and management. Table 3 provides an overview of the key accessibility components for Open and FAIR access of the IAS-specific datasets run by members of the IALG-IAS and highlights future needs to address gaps. </w:t>
      </w:r>
    </w:p>
    <w:p w14:paraId="187218E7" w14:textId="68F0C020" w:rsidR="00A1531D" w:rsidRPr="00F70554" w:rsidRDefault="00A1531D" w:rsidP="00F12734">
      <w:pPr>
        <w:spacing w:before="120" w:after="120"/>
      </w:pPr>
      <w:r w:rsidRPr="00F70554">
        <w:t xml:space="preserve">The GRIIS; IUCN GISD, and GBIF were the most commonly referred to resources during the Online Forum on Invasive Alien Species  organised by the </w:t>
      </w:r>
      <w:r w:rsidR="00B0405F" w:rsidRPr="00F70554">
        <w:t xml:space="preserve">CBD </w:t>
      </w:r>
      <w:r w:rsidRPr="00F70554">
        <w:t xml:space="preserve">Secretariat </w:t>
      </w:r>
      <w:r w:rsidR="00B0405F" w:rsidRPr="00F70554">
        <w:t xml:space="preserve">in 2025 </w:t>
      </w:r>
      <w:r w:rsidRPr="00F70554">
        <w:t>.</w:t>
      </w:r>
      <w:r w:rsidRPr="00F70554">
        <w:rPr>
          <w:rStyle w:val="FootnoteReference"/>
        </w:rPr>
        <w:footnoteReference w:id="72"/>
      </w:r>
      <w:r w:rsidRPr="00F70554">
        <w:t xml:space="preserve"> Participants considered these as important sources of information to inform their work on invasive alien species as these, along with CABI Compendium: Invasive Species, and </w:t>
      </w:r>
      <w:proofErr w:type="spellStart"/>
      <w:r w:rsidRPr="00F70554">
        <w:t>GloNAF</w:t>
      </w:r>
      <w:proofErr w:type="spellEnd"/>
      <w:r w:rsidRPr="00F70554">
        <w:t xml:space="preserve">, provide access to data on species, impacts, and pathways. </w:t>
      </w:r>
    </w:p>
    <w:p w14:paraId="6C3206B2" w14:textId="77777777" w:rsidR="00A1531D" w:rsidRPr="00F70554" w:rsidRDefault="00A1531D" w:rsidP="00A1531D">
      <w:pPr>
        <w:sectPr w:rsidR="00A1531D" w:rsidRPr="00F70554" w:rsidSect="00F12734">
          <w:headerReference w:type="default" r:id="rId25"/>
          <w:footerReference w:type="default" r:id="rId26"/>
          <w:pgSz w:w="12240" w:h="15840"/>
          <w:pgMar w:top="1134" w:right="1440" w:bottom="1134" w:left="1440" w:header="709" w:footer="709" w:gutter="0"/>
          <w:cols w:space="708"/>
          <w:docGrid w:linePitch="360"/>
        </w:sectPr>
      </w:pPr>
    </w:p>
    <w:p w14:paraId="5637BE05" w14:textId="5E678D82" w:rsidR="00A1531D" w:rsidRPr="00F70554" w:rsidRDefault="00A1531D" w:rsidP="009708CD">
      <w:pPr>
        <w:pStyle w:val="Heading4"/>
        <w:numPr>
          <w:ilvl w:val="0"/>
          <w:numId w:val="0"/>
        </w:numPr>
        <w:ind w:left="567"/>
      </w:pPr>
      <w:r w:rsidRPr="00F70554">
        <w:lastRenderedPageBreak/>
        <w:t xml:space="preserve">Table 3: Key accessibility features of datasets and repositories of </w:t>
      </w:r>
      <w:r w:rsidR="00D03D62" w:rsidRPr="00F70554">
        <w:t>invasive alien species</w:t>
      </w:r>
      <w:r w:rsidRPr="00F70554">
        <w:t xml:space="preserve"> data. </w:t>
      </w:r>
    </w:p>
    <w:tbl>
      <w:tblPr>
        <w:tblStyle w:val="GridTable6Colorful-Accent1"/>
        <w:tblW w:w="13401" w:type="dxa"/>
        <w:tblLayout w:type="fixed"/>
        <w:tblLook w:val="04A0" w:firstRow="1" w:lastRow="0" w:firstColumn="1" w:lastColumn="0" w:noHBand="0" w:noVBand="1"/>
      </w:tblPr>
      <w:tblGrid>
        <w:gridCol w:w="1696"/>
        <w:gridCol w:w="2127"/>
        <w:gridCol w:w="1559"/>
        <w:gridCol w:w="1640"/>
        <w:gridCol w:w="1901"/>
        <w:gridCol w:w="1987"/>
        <w:gridCol w:w="1234"/>
        <w:gridCol w:w="1257"/>
      </w:tblGrid>
      <w:tr w:rsidR="00A1531D" w:rsidRPr="00D2373D" w14:paraId="64216B7F" w14:textId="77777777">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dxa"/>
            <w:shd w:val="clear" w:color="auto" w:fill="83CAEB" w:themeFill="accent1" w:themeFillTint="66"/>
          </w:tcPr>
          <w:p w14:paraId="33819A43" w14:textId="36DC1113" w:rsidR="00A1531D" w:rsidRPr="00F12734" w:rsidRDefault="00A1531D" w:rsidP="00721858">
            <w:pPr>
              <w:ind w:right="-244"/>
              <w:jc w:val="left"/>
              <w:rPr>
                <w:color w:val="000000" w:themeColor="text1"/>
                <w:sz w:val="20"/>
                <w:szCs w:val="20"/>
              </w:rPr>
            </w:pPr>
            <w:r w:rsidRPr="00F12734">
              <w:rPr>
                <w:color w:val="000000" w:themeColor="text1"/>
                <w:sz w:val="20"/>
                <w:szCs w:val="20"/>
              </w:rPr>
              <w:t>Repository/data aggregator</w:t>
            </w:r>
          </w:p>
        </w:tc>
        <w:tc>
          <w:tcPr>
            <w:tcW w:w="0" w:type="dxa"/>
            <w:shd w:val="clear" w:color="auto" w:fill="83CAEB" w:themeFill="accent1" w:themeFillTint="66"/>
          </w:tcPr>
          <w:p w14:paraId="0E07CB05" w14:textId="77777777" w:rsidR="00A1531D" w:rsidRPr="00F12734" w:rsidRDefault="00A1531D" w:rsidP="00721858">
            <w:pPr>
              <w:ind w:right="-48"/>
              <w:jc w:val="left"/>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F12734">
              <w:rPr>
                <w:color w:val="000000" w:themeColor="text1"/>
                <w:sz w:val="20"/>
                <w:szCs w:val="20"/>
              </w:rPr>
              <w:t>Data and information held (including analysis tools and workflows)</w:t>
            </w:r>
          </w:p>
        </w:tc>
        <w:tc>
          <w:tcPr>
            <w:tcW w:w="0" w:type="dxa"/>
            <w:shd w:val="clear" w:color="auto" w:fill="83CAEB" w:themeFill="accent1" w:themeFillTint="66"/>
          </w:tcPr>
          <w:p w14:paraId="5C0427A7" w14:textId="77777777" w:rsidR="00A1531D" w:rsidRPr="00F12734" w:rsidRDefault="00A1531D" w:rsidP="00F12734">
            <w:pPr>
              <w:jc w:val="left"/>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F12734">
              <w:rPr>
                <w:color w:val="000000" w:themeColor="text1"/>
                <w:sz w:val="20"/>
                <w:szCs w:val="20"/>
              </w:rPr>
              <w:t>Scope of the available data and functionality</w:t>
            </w:r>
          </w:p>
        </w:tc>
        <w:tc>
          <w:tcPr>
            <w:tcW w:w="0" w:type="dxa"/>
            <w:shd w:val="clear" w:color="auto" w:fill="83CAEB" w:themeFill="accent1" w:themeFillTint="66"/>
          </w:tcPr>
          <w:p w14:paraId="26720B49" w14:textId="77777777" w:rsidR="00A1531D" w:rsidRPr="00F12734" w:rsidRDefault="00A1531D" w:rsidP="00F12734">
            <w:pPr>
              <w:jc w:val="left"/>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F12734">
              <w:rPr>
                <w:color w:val="000000" w:themeColor="text1"/>
                <w:sz w:val="20"/>
                <w:szCs w:val="20"/>
              </w:rPr>
              <w:t>Findable</w:t>
            </w:r>
          </w:p>
        </w:tc>
        <w:tc>
          <w:tcPr>
            <w:tcW w:w="0" w:type="dxa"/>
            <w:shd w:val="clear" w:color="auto" w:fill="83CAEB" w:themeFill="accent1" w:themeFillTint="66"/>
          </w:tcPr>
          <w:p w14:paraId="0027AC4A" w14:textId="77777777" w:rsidR="00A1531D" w:rsidRPr="00F12734" w:rsidRDefault="00A1531D" w:rsidP="00F12734">
            <w:pPr>
              <w:jc w:val="left"/>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F12734">
              <w:rPr>
                <w:color w:val="000000" w:themeColor="text1"/>
                <w:sz w:val="20"/>
                <w:szCs w:val="20"/>
              </w:rPr>
              <w:t>Accessible Features</w:t>
            </w:r>
          </w:p>
        </w:tc>
        <w:tc>
          <w:tcPr>
            <w:tcW w:w="0" w:type="dxa"/>
            <w:shd w:val="clear" w:color="auto" w:fill="83CAEB" w:themeFill="accent1" w:themeFillTint="66"/>
          </w:tcPr>
          <w:p w14:paraId="0D095247" w14:textId="77777777" w:rsidR="00A1531D" w:rsidRPr="00F12734" w:rsidRDefault="00A1531D" w:rsidP="00F12734">
            <w:pPr>
              <w:jc w:val="left"/>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F12734">
              <w:rPr>
                <w:color w:val="000000" w:themeColor="text1"/>
                <w:sz w:val="20"/>
                <w:szCs w:val="20"/>
              </w:rPr>
              <w:t xml:space="preserve">Interoperable: </w:t>
            </w:r>
          </w:p>
          <w:p w14:paraId="39A61488" w14:textId="77777777" w:rsidR="00A1531D" w:rsidRPr="00F12734" w:rsidRDefault="00A1531D" w:rsidP="00F12734">
            <w:pPr>
              <w:jc w:val="left"/>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F12734">
              <w:rPr>
                <w:color w:val="000000" w:themeColor="text1"/>
                <w:sz w:val="20"/>
                <w:szCs w:val="20"/>
              </w:rPr>
              <w:t xml:space="preserve">Use of Global Standards for data components </w:t>
            </w:r>
          </w:p>
        </w:tc>
        <w:tc>
          <w:tcPr>
            <w:tcW w:w="0" w:type="dxa"/>
            <w:shd w:val="clear" w:color="auto" w:fill="83CAEB" w:themeFill="accent1" w:themeFillTint="66"/>
          </w:tcPr>
          <w:p w14:paraId="336E8A1A" w14:textId="77777777" w:rsidR="00A1531D" w:rsidRPr="00F12734" w:rsidRDefault="00A1531D" w:rsidP="00F12734">
            <w:pPr>
              <w:jc w:val="left"/>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F12734">
              <w:rPr>
                <w:color w:val="000000" w:themeColor="text1"/>
                <w:sz w:val="20"/>
                <w:szCs w:val="20"/>
              </w:rPr>
              <w:t xml:space="preserve">Reusable: </w:t>
            </w:r>
          </w:p>
          <w:p w14:paraId="32B4D6CC" w14:textId="77777777" w:rsidR="00A1531D" w:rsidRPr="00F12734" w:rsidRDefault="00A1531D" w:rsidP="00F12734">
            <w:pPr>
              <w:jc w:val="left"/>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F12734">
              <w:rPr>
                <w:color w:val="000000" w:themeColor="text1"/>
                <w:sz w:val="20"/>
                <w:szCs w:val="20"/>
              </w:rPr>
              <w:t>Usage rights/ licencing</w:t>
            </w:r>
          </w:p>
        </w:tc>
        <w:tc>
          <w:tcPr>
            <w:tcW w:w="0" w:type="dxa"/>
            <w:shd w:val="clear" w:color="auto" w:fill="83CAEB" w:themeFill="accent1" w:themeFillTint="66"/>
          </w:tcPr>
          <w:p w14:paraId="5EA1114C" w14:textId="77777777" w:rsidR="00A1531D" w:rsidRPr="00F12734" w:rsidRDefault="00A1531D" w:rsidP="00F12734">
            <w:pPr>
              <w:jc w:val="left"/>
              <w:cnfStyle w:val="100000000000" w:firstRow="1" w:lastRow="0" w:firstColumn="0" w:lastColumn="0" w:oddVBand="0" w:evenVBand="0" w:oddHBand="0" w:evenHBand="0" w:firstRowFirstColumn="0" w:firstRowLastColumn="0" w:lastRowFirstColumn="0" w:lastRowLastColumn="0"/>
              <w:rPr>
                <w:color w:val="000000" w:themeColor="text1"/>
                <w:sz w:val="20"/>
                <w:szCs w:val="20"/>
              </w:rPr>
            </w:pPr>
            <w:r w:rsidRPr="00F12734">
              <w:rPr>
                <w:color w:val="000000" w:themeColor="text1"/>
                <w:sz w:val="20"/>
                <w:szCs w:val="20"/>
              </w:rPr>
              <w:t>Gap/Needs</w:t>
            </w:r>
          </w:p>
        </w:tc>
      </w:tr>
      <w:tr w:rsidR="00A1531D" w:rsidRPr="00F70554" w14:paraId="43887A42"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6" w:type="dxa"/>
            <w:shd w:val="clear" w:color="auto" w:fill="83CAEB" w:themeFill="accent1" w:themeFillTint="66"/>
          </w:tcPr>
          <w:p w14:paraId="7125CDA3" w14:textId="77777777" w:rsidR="00A1531D" w:rsidRPr="00F12734" w:rsidRDefault="00A1531D" w:rsidP="00F12734">
            <w:pPr>
              <w:jc w:val="left"/>
              <w:rPr>
                <w:color w:val="000000" w:themeColor="text1"/>
                <w:sz w:val="20"/>
                <w:szCs w:val="20"/>
              </w:rPr>
            </w:pPr>
            <w:r w:rsidRPr="00F12734">
              <w:rPr>
                <w:color w:val="000000" w:themeColor="text1"/>
                <w:sz w:val="20"/>
                <w:szCs w:val="20"/>
              </w:rPr>
              <w:t>GBIF – data aggregator</w:t>
            </w:r>
          </w:p>
          <w:p w14:paraId="524ED2A3" w14:textId="77777777" w:rsidR="00A1531D" w:rsidRPr="00F12734" w:rsidRDefault="00A1531D" w:rsidP="00F12734">
            <w:pPr>
              <w:jc w:val="left"/>
              <w:rPr>
                <w:color w:val="000000" w:themeColor="text1"/>
                <w:sz w:val="20"/>
                <w:szCs w:val="20"/>
              </w:rPr>
            </w:pPr>
          </w:p>
          <w:p w14:paraId="34F38AC3" w14:textId="7A947C40" w:rsidR="00A1531D" w:rsidRPr="00F12734" w:rsidRDefault="0027627A" w:rsidP="00F12734">
            <w:pPr>
              <w:jc w:val="left"/>
              <w:rPr>
                <w:color w:val="000000" w:themeColor="text1"/>
                <w:sz w:val="20"/>
                <w:szCs w:val="20"/>
              </w:rPr>
            </w:pPr>
            <w:hyperlink r:id="rId27" w:history="1">
              <w:r>
                <w:rPr>
                  <w:rStyle w:val="Hyperlink"/>
                  <w:sz w:val="20"/>
                  <w:szCs w:val="20"/>
                </w:rPr>
                <w:t>www.gbif.org/</w:t>
              </w:r>
            </w:hyperlink>
            <w:r>
              <w:rPr>
                <w:color w:val="000000" w:themeColor="text1"/>
                <w:sz w:val="20"/>
                <w:szCs w:val="20"/>
              </w:rPr>
              <w:t xml:space="preserve"> </w:t>
            </w:r>
          </w:p>
        </w:tc>
        <w:tc>
          <w:tcPr>
            <w:tcW w:w="2127" w:type="dxa"/>
          </w:tcPr>
          <w:p w14:paraId="7E1F229E" w14:textId="77777777" w:rsidR="00A1531D" w:rsidRPr="00F70554" w:rsidRDefault="00A1531D" w:rsidP="00F12734">
            <w:pPr>
              <w:pStyle w:val="ListParagraph"/>
              <w:numPr>
                <w:ilvl w:val="0"/>
                <w:numId w:val="10"/>
              </w:numPr>
              <w:tabs>
                <w:tab w:val="clear" w:pos="567"/>
                <w:tab w:val="clear" w:pos="1134"/>
                <w:tab w:val="clear" w:pos="1701"/>
                <w:tab w:val="clear" w:pos="2268"/>
              </w:tabs>
              <w:ind w:left="242" w:hanging="242"/>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GRIIS Checklists</w:t>
            </w:r>
          </w:p>
          <w:p w14:paraId="0B80080E" w14:textId="77777777" w:rsidR="00A1531D" w:rsidRPr="00F70554" w:rsidRDefault="00A1531D" w:rsidP="00F12734">
            <w:pPr>
              <w:pStyle w:val="ListParagraph"/>
              <w:numPr>
                <w:ilvl w:val="0"/>
                <w:numId w:val="11"/>
              </w:numPr>
              <w:tabs>
                <w:tab w:val="clear" w:pos="567"/>
                <w:tab w:val="clear" w:pos="1134"/>
                <w:tab w:val="clear" w:pos="1701"/>
                <w:tab w:val="clear" w:pos="2268"/>
              </w:tabs>
              <w:ind w:left="209" w:hanging="209"/>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EBV Data Portal</w:t>
            </w:r>
            <w:r w:rsidRPr="00F70554">
              <w:rPr>
                <w:rStyle w:val="FootnoteReference"/>
                <w:color w:val="000000" w:themeColor="text1"/>
                <w:sz w:val="16"/>
                <w:szCs w:val="16"/>
              </w:rPr>
              <w:footnoteReference w:id="73"/>
            </w:r>
            <w:r w:rsidRPr="00F70554">
              <w:rPr>
                <w:color w:val="000000" w:themeColor="text1"/>
                <w:sz w:val="16"/>
                <w:szCs w:val="16"/>
              </w:rPr>
              <w:t xml:space="preserve"> </w:t>
            </w:r>
          </w:p>
          <w:p w14:paraId="49C1AFEA" w14:textId="77777777" w:rsidR="00A1531D" w:rsidRPr="00F70554" w:rsidRDefault="00A1531D" w:rsidP="00F12734">
            <w:pPr>
              <w:pStyle w:val="ListParagraph"/>
              <w:numPr>
                <w:ilvl w:val="0"/>
                <w:numId w:val="11"/>
              </w:numPr>
              <w:tabs>
                <w:tab w:val="clear" w:pos="567"/>
                <w:tab w:val="clear" w:pos="1134"/>
                <w:tab w:val="clear" w:pos="1701"/>
                <w:tab w:val="clear" w:pos="2268"/>
              </w:tabs>
              <w:ind w:left="209" w:hanging="209"/>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BON in a BOX</w:t>
            </w:r>
            <w:r w:rsidRPr="00F70554">
              <w:rPr>
                <w:rStyle w:val="FootnoteReference"/>
                <w:color w:val="000000" w:themeColor="text1"/>
                <w:sz w:val="16"/>
                <w:szCs w:val="16"/>
              </w:rPr>
              <w:footnoteReference w:id="74"/>
            </w:r>
          </w:p>
        </w:tc>
        <w:tc>
          <w:tcPr>
            <w:tcW w:w="1559" w:type="dxa"/>
          </w:tcPr>
          <w:p w14:paraId="26869201" w14:textId="77777777"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Global, regional, national and subnational species checklists and occurrence datasets.</w:t>
            </w:r>
          </w:p>
          <w:p w14:paraId="139BFCB8" w14:textId="77777777"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p>
        </w:tc>
        <w:tc>
          <w:tcPr>
            <w:tcW w:w="1640" w:type="dxa"/>
          </w:tcPr>
          <w:p w14:paraId="623AD5D7" w14:textId="77777777"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All datasets are identified by Digital Object Identifiers (DOIs).</w:t>
            </w:r>
          </w:p>
          <w:p w14:paraId="062A7F63" w14:textId="77777777"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p>
          <w:p w14:paraId="2765AA1F" w14:textId="77777777" w:rsidR="00A1531D" w:rsidRPr="00F70554" w:rsidRDefault="00A1531D" w:rsidP="00721858">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70554">
              <w:rPr>
                <w:color w:val="000000" w:themeColor="text1"/>
                <w:sz w:val="16"/>
                <w:szCs w:val="16"/>
              </w:rPr>
              <w:t>A range of filters are available for searching and downloading of data via GBIF portal and open APIs.</w:t>
            </w:r>
            <w:r w:rsidRPr="00F70554">
              <w:rPr>
                <w:rStyle w:val="FootnoteReference"/>
                <w:color w:val="auto"/>
                <w:sz w:val="16"/>
                <w:szCs w:val="16"/>
              </w:rPr>
              <w:footnoteReference w:id="75"/>
            </w:r>
            <w:r w:rsidRPr="00F70554">
              <w:rPr>
                <w:rStyle w:val="FootnoteReference"/>
                <w:color w:val="auto"/>
              </w:rPr>
              <w:t xml:space="preserve"> </w:t>
            </w:r>
          </w:p>
          <w:p w14:paraId="023C20BC" w14:textId="77777777" w:rsidR="00A1531D" w:rsidRPr="00F70554" w:rsidRDefault="00A1531D" w:rsidP="00721858">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F70554">
              <w:rPr>
                <w:color w:val="000000" w:themeColor="text1"/>
                <w:sz w:val="16"/>
                <w:szCs w:val="16"/>
              </w:rPr>
              <w:t>Some automated data quality routines are applied to data to improve data quality through interpretation and attributions of flags and issues.</w:t>
            </w:r>
            <w:r w:rsidRPr="00F70554">
              <w:rPr>
                <w:rStyle w:val="FootnoteReference"/>
                <w:color w:val="auto"/>
                <w:sz w:val="16"/>
                <w:szCs w:val="16"/>
              </w:rPr>
              <w:footnoteReference w:id="76"/>
            </w:r>
            <w:r w:rsidRPr="00F70554">
              <w:rPr>
                <w:rStyle w:val="FootnoteReference"/>
                <w:color w:val="auto"/>
              </w:rPr>
              <w:t xml:space="preserve"> </w:t>
            </w:r>
          </w:p>
          <w:p w14:paraId="57C08BFC" w14:textId="77777777" w:rsidR="00A1531D" w:rsidRPr="00F70554" w:rsidRDefault="00A1531D" w:rsidP="00721858">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p>
          <w:p w14:paraId="25FDF3D1" w14:textId="45614355"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Filters include Establishment means, Degree of Establishment, and Pathway.</w:t>
            </w:r>
            <w:r w:rsidRPr="00F70554">
              <w:rPr>
                <w:rStyle w:val="FootnoteReference"/>
                <w:color w:val="auto"/>
                <w:sz w:val="16"/>
                <w:szCs w:val="16"/>
              </w:rPr>
              <w:footnoteReference w:id="77"/>
            </w:r>
          </w:p>
        </w:tc>
        <w:tc>
          <w:tcPr>
            <w:tcW w:w="1901" w:type="dxa"/>
          </w:tcPr>
          <w:p w14:paraId="1A7F66EE" w14:textId="77777777"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 xml:space="preserve">The GBIF Portal API provides a </w:t>
            </w:r>
            <w:proofErr w:type="gramStart"/>
            <w:r w:rsidRPr="00F70554">
              <w:rPr>
                <w:color w:val="000000" w:themeColor="text1"/>
                <w:sz w:val="16"/>
                <w:szCs w:val="16"/>
              </w:rPr>
              <w:t>machine readable</w:t>
            </w:r>
            <w:proofErr w:type="gramEnd"/>
            <w:r w:rsidRPr="00F70554">
              <w:rPr>
                <w:color w:val="000000" w:themeColor="text1"/>
                <w:sz w:val="16"/>
                <w:szCs w:val="16"/>
              </w:rPr>
              <w:t xml:space="preserve"> interface (REST (Representational State Transfer) and JSON (JavaScript Object Notation)) and use the Integrated Publishing Toolkit (IPT) as trusted data repository</w:t>
            </w:r>
          </w:p>
        </w:tc>
        <w:tc>
          <w:tcPr>
            <w:tcW w:w="1987" w:type="dxa"/>
          </w:tcPr>
          <w:p w14:paraId="249C6F4F" w14:textId="77078D3F" w:rsidR="00A1531D" w:rsidRPr="00F70554" w:rsidRDefault="00C27545" w:rsidP="00F12734">
            <w:pPr>
              <w:pStyle w:val="ListParagraph"/>
              <w:numPr>
                <w:ilvl w:val="0"/>
                <w:numId w:val="11"/>
              </w:numPr>
              <w:tabs>
                <w:tab w:val="clear" w:pos="567"/>
                <w:tab w:val="clear" w:pos="1134"/>
                <w:tab w:val="clear" w:pos="1701"/>
                <w:tab w:val="clear" w:pos="2268"/>
              </w:tabs>
              <w:ind w:left="127" w:hanging="127"/>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Darwin Core</w:t>
            </w:r>
          </w:p>
          <w:p w14:paraId="2067020B" w14:textId="77777777" w:rsidR="00A1531D" w:rsidRPr="00F70554" w:rsidRDefault="00A1531D" w:rsidP="00F12734">
            <w:pPr>
              <w:pStyle w:val="ListParagraph"/>
              <w:numPr>
                <w:ilvl w:val="0"/>
                <w:numId w:val="11"/>
              </w:numPr>
              <w:tabs>
                <w:tab w:val="clear" w:pos="567"/>
                <w:tab w:val="clear" w:pos="1134"/>
                <w:tab w:val="clear" w:pos="1701"/>
                <w:tab w:val="clear" w:pos="2268"/>
              </w:tabs>
              <w:ind w:left="127" w:hanging="127"/>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Ecological Metadata Language is a metadata standard that records information about ecological datasets in a series of modular and extensible XML document type</w:t>
            </w:r>
          </w:p>
          <w:p w14:paraId="2AC61965" w14:textId="77777777" w:rsidR="00A1531D" w:rsidRPr="00F70554" w:rsidRDefault="00A1531D" w:rsidP="00F12734">
            <w:pPr>
              <w:pStyle w:val="ListParagraph"/>
              <w:numPr>
                <w:ilvl w:val="0"/>
                <w:numId w:val="11"/>
              </w:numPr>
              <w:tabs>
                <w:tab w:val="clear" w:pos="567"/>
                <w:tab w:val="clear" w:pos="1134"/>
                <w:tab w:val="clear" w:pos="1701"/>
                <w:tab w:val="clear" w:pos="2268"/>
              </w:tabs>
              <w:ind w:left="127" w:hanging="127"/>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 xml:space="preserve">The Biological Collection Access Service, commonly referred to as </w:t>
            </w:r>
            <w:proofErr w:type="spellStart"/>
            <w:r w:rsidRPr="00F70554">
              <w:rPr>
                <w:color w:val="000000" w:themeColor="text1"/>
                <w:sz w:val="16"/>
                <w:szCs w:val="16"/>
              </w:rPr>
              <w:t>BioCASe</w:t>
            </w:r>
            <w:proofErr w:type="spellEnd"/>
            <w:r w:rsidRPr="00F70554">
              <w:rPr>
                <w:color w:val="000000" w:themeColor="text1"/>
                <w:sz w:val="16"/>
                <w:szCs w:val="16"/>
              </w:rPr>
              <w:t>,</w:t>
            </w:r>
            <w:r w:rsidRPr="00F70554">
              <w:rPr>
                <w:rStyle w:val="FootnoteReference"/>
                <w:color w:val="000000" w:themeColor="text1"/>
                <w:sz w:val="16"/>
                <w:szCs w:val="16"/>
              </w:rPr>
              <w:footnoteReference w:id="78"/>
            </w:r>
            <w:r w:rsidRPr="00F70554">
              <w:rPr>
                <w:color w:val="000000" w:themeColor="text1"/>
                <w:sz w:val="16"/>
                <w:szCs w:val="16"/>
              </w:rPr>
              <w:t xml:space="preserve"> is an international network linking biological collections data from natural history museums, botanical/zoological gardens and research institutions. The </w:t>
            </w:r>
            <w:proofErr w:type="spellStart"/>
            <w:r w:rsidRPr="00F70554">
              <w:rPr>
                <w:color w:val="000000" w:themeColor="text1"/>
                <w:sz w:val="16"/>
                <w:szCs w:val="16"/>
              </w:rPr>
              <w:t>BioCASe</w:t>
            </w:r>
            <w:proofErr w:type="spellEnd"/>
            <w:r w:rsidRPr="00F70554">
              <w:rPr>
                <w:color w:val="000000" w:themeColor="text1"/>
                <w:sz w:val="16"/>
                <w:szCs w:val="16"/>
              </w:rPr>
              <w:t xml:space="preserve"> protocol relies on the Access to Biological Collections Data (ABCD) data exchange standard, which TDWG also administers</w:t>
            </w:r>
          </w:p>
        </w:tc>
        <w:tc>
          <w:tcPr>
            <w:tcW w:w="1234" w:type="dxa"/>
          </w:tcPr>
          <w:p w14:paraId="0CC8F06A" w14:textId="77777777"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GBIF require creative common data licenses (CC0, CC BY, or CC BY-NC). Provenance available from the GBIF portal.</w:t>
            </w:r>
          </w:p>
          <w:p w14:paraId="13BBD93E" w14:textId="77777777"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p>
        </w:tc>
        <w:tc>
          <w:tcPr>
            <w:tcW w:w="1257" w:type="dxa"/>
          </w:tcPr>
          <w:p w14:paraId="2889E4FC" w14:textId="77777777" w:rsidR="00A1531D" w:rsidRPr="00F70554" w:rsidRDefault="00A1531D" w:rsidP="00F12734">
            <w:pPr>
              <w:pStyle w:val="ListParagraph"/>
              <w:ind w:left="101"/>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p>
          <w:p w14:paraId="4D2259A2" w14:textId="77777777" w:rsidR="00A1531D" w:rsidRPr="00F70554" w:rsidRDefault="00A1531D" w:rsidP="00F12734">
            <w:pPr>
              <w:pStyle w:val="ListParagraph"/>
              <w:numPr>
                <w:ilvl w:val="0"/>
                <w:numId w:val="13"/>
              </w:numPr>
              <w:tabs>
                <w:tab w:val="clear" w:pos="567"/>
                <w:tab w:val="clear" w:pos="1134"/>
                <w:tab w:val="clear" w:pos="1701"/>
                <w:tab w:val="clear" w:pos="2268"/>
              </w:tabs>
              <w:ind w:left="101" w:hanging="142"/>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 xml:space="preserve">Improved spatial resolution of available records. </w:t>
            </w:r>
          </w:p>
          <w:p w14:paraId="39D57DA2" w14:textId="77777777" w:rsidR="00A1531D" w:rsidRPr="00F70554" w:rsidRDefault="00A1531D" w:rsidP="00F12734">
            <w:pPr>
              <w:pStyle w:val="ListParagraph"/>
              <w:numPr>
                <w:ilvl w:val="0"/>
                <w:numId w:val="13"/>
              </w:numPr>
              <w:tabs>
                <w:tab w:val="clear" w:pos="567"/>
                <w:tab w:val="clear" w:pos="1134"/>
                <w:tab w:val="clear" w:pos="1701"/>
                <w:tab w:val="clear" w:pos="2268"/>
              </w:tabs>
              <w:ind w:left="101" w:hanging="142"/>
              <w:jc w:val="left"/>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color w:val="000000" w:themeColor="text1"/>
                <w:sz w:val="18"/>
                <w:szCs w:val="18"/>
              </w:rPr>
            </w:pPr>
            <w:r w:rsidRPr="00F70554">
              <w:rPr>
                <w:color w:val="000000" w:themeColor="text1"/>
                <w:sz w:val="16"/>
                <w:szCs w:val="16"/>
              </w:rPr>
              <w:t xml:space="preserve">Pathway categories are now indexed but </w:t>
            </w:r>
            <w:proofErr w:type="gramStart"/>
            <w:r w:rsidRPr="00F70554">
              <w:rPr>
                <w:color w:val="000000" w:themeColor="text1"/>
                <w:sz w:val="16"/>
                <w:szCs w:val="16"/>
              </w:rPr>
              <w:t>this needs</w:t>
            </w:r>
            <w:proofErr w:type="gramEnd"/>
            <w:r w:rsidRPr="00F70554">
              <w:rPr>
                <w:color w:val="000000" w:themeColor="text1"/>
                <w:sz w:val="16"/>
                <w:szCs w:val="16"/>
              </w:rPr>
              <w:t xml:space="preserve"> socialised with data providers.</w:t>
            </w:r>
          </w:p>
          <w:p w14:paraId="4E418B43" w14:textId="77777777" w:rsidR="00A1531D" w:rsidRPr="00F70554" w:rsidRDefault="00A1531D" w:rsidP="00F12734">
            <w:pPr>
              <w:pStyle w:val="ListParagraph"/>
              <w:numPr>
                <w:ilvl w:val="0"/>
                <w:numId w:val="13"/>
              </w:numPr>
              <w:tabs>
                <w:tab w:val="clear" w:pos="567"/>
                <w:tab w:val="clear" w:pos="1134"/>
                <w:tab w:val="clear" w:pos="1701"/>
                <w:tab w:val="clear" w:pos="2268"/>
              </w:tabs>
              <w:ind w:left="101" w:hanging="142"/>
              <w:jc w:val="left"/>
              <w:cnfStyle w:val="000000100000" w:firstRow="0" w:lastRow="0" w:firstColumn="0" w:lastColumn="0" w:oddVBand="0" w:evenVBand="0" w:oddHBand="1" w:evenHBand="0" w:firstRowFirstColumn="0" w:firstRowLastColumn="0" w:lastRowFirstColumn="0" w:lastRowLastColumn="0"/>
              <w:rPr>
                <w:rFonts w:ascii="Segoe UI" w:eastAsia="Segoe UI" w:hAnsi="Segoe UI" w:cs="Segoe UI"/>
                <w:color w:val="000000" w:themeColor="text1"/>
                <w:sz w:val="18"/>
                <w:szCs w:val="18"/>
              </w:rPr>
            </w:pPr>
            <w:r w:rsidRPr="00F70554">
              <w:rPr>
                <w:color w:val="000000" w:themeColor="text1"/>
                <w:sz w:val="16"/>
                <w:szCs w:val="16"/>
              </w:rPr>
              <w:t>Automatic tagging of all invasive species lists for easy identification</w:t>
            </w:r>
          </w:p>
        </w:tc>
      </w:tr>
      <w:tr w:rsidR="00A1531D" w:rsidRPr="00F70554" w14:paraId="28E172A2" w14:textId="77777777">
        <w:trPr>
          <w:trHeight w:val="300"/>
        </w:trPr>
        <w:tc>
          <w:tcPr>
            <w:cnfStyle w:val="001000000000" w:firstRow="0" w:lastRow="0" w:firstColumn="1" w:lastColumn="0" w:oddVBand="0" w:evenVBand="0" w:oddHBand="0" w:evenHBand="0" w:firstRowFirstColumn="0" w:firstRowLastColumn="0" w:lastRowFirstColumn="0" w:lastRowLastColumn="0"/>
            <w:tcW w:w="1696" w:type="dxa"/>
            <w:shd w:val="clear" w:color="auto" w:fill="83CAEB" w:themeFill="accent1" w:themeFillTint="66"/>
          </w:tcPr>
          <w:p w14:paraId="65C7058C" w14:textId="77777777" w:rsidR="00A1531D" w:rsidRPr="00F12734" w:rsidRDefault="00A1531D" w:rsidP="00F12734">
            <w:pPr>
              <w:jc w:val="left"/>
              <w:rPr>
                <w:color w:val="000000" w:themeColor="text1"/>
                <w:sz w:val="20"/>
                <w:szCs w:val="20"/>
              </w:rPr>
            </w:pPr>
            <w:r w:rsidRPr="00F12734">
              <w:rPr>
                <w:color w:val="000000" w:themeColor="text1"/>
                <w:sz w:val="20"/>
                <w:szCs w:val="20"/>
              </w:rPr>
              <w:t>CABI</w:t>
            </w:r>
          </w:p>
          <w:p w14:paraId="1F2CC851" w14:textId="77777777" w:rsidR="00A1531D" w:rsidRPr="00F12734" w:rsidRDefault="00A1531D" w:rsidP="00F12734">
            <w:pPr>
              <w:jc w:val="left"/>
              <w:rPr>
                <w:color w:val="000000" w:themeColor="text1"/>
                <w:sz w:val="20"/>
                <w:szCs w:val="20"/>
              </w:rPr>
            </w:pPr>
          </w:p>
          <w:p w14:paraId="140D99F4" w14:textId="06FC4175" w:rsidR="00A1531D" w:rsidRPr="00F12734" w:rsidRDefault="0027627A" w:rsidP="00F12734">
            <w:pPr>
              <w:jc w:val="left"/>
              <w:rPr>
                <w:color w:val="000000" w:themeColor="text1"/>
                <w:sz w:val="20"/>
                <w:szCs w:val="20"/>
              </w:rPr>
            </w:pPr>
            <w:hyperlink r:id="rId28" w:history="1">
              <w:r>
                <w:rPr>
                  <w:rStyle w:val="Hyperlink"/>
                  <w:sz w:val="20"/>
                  <w:szCs w:val="20"/>
                </w:rPr>
                <w:t>www.cabi.org/</w:t>
              </w:r>
            </w:hyperlink>
            <w:r>
              <w:rPr>
                <w:color w:val="000000" w:themeColor="text1"/>
                <w:sz w:val="20"/>
                <w:szCs w:val="20"/>
              </w:rPr>
              <w:t xml:space="preserve"> </w:t>
            </w:r>
          </w:p>
        </w:tc>
        <w:tc>
          <w:tcPr>
            <w:tcW w:w="2127" w:type="dxa"/>
          </w:tcPr>
          <w:p w14:paraId="68D7E6E7"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 xml:space="preserve">CABI Compendium includes 8,500 datasheets on invasive species. 2,600 of these are detailed, were written by experts and peer reviewed. Coverage is of all taxa, excluding pathogens of humans. Datasheets contain </w:t>
            </w:r>
            <w:r w:rsidRPr="00F70554">
              <w:rPr>
                <w:color w:val="000000" w:themeColor="text1"/>
                <w:sz w:val="16"/>
                <w:szCs w:val="16"/>
              </w:rPr>
              <w:lastRenderedPageBreak/>
              <w:t>information on taxonomy, identification, biology, habitat, pathways of introduction, impacts, relationships with other species, options for surveillance, management and prevention, as well as images and maps.</w:t>
            </w:r>
          </w:p>
          <w:p w14:paraId="3DC20DC6"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p>
          <w:p w14:paraId="5897474F"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CABI Compendium data are used in the decision support tools:</w:t>
            </w:r>
          </w:p>
          <w:p w14:paraId="3E978E7F" w14:textId="77777777" w:rsidR="00A1531D" w:rsidRPr="00F70554" w:rsidRDefault="00A1531D" w:rsidP="00721858">
            <w:pPr>
              <w:pStyle w:val="ListParagraph"/>
              <w:numPr>
                <w:ilvl w:val="0"/>
                <w:numId w:val="15"/>
              </w:numPr>
              <w:tabs>
                <w:tab w:val="clear" w:pos="567"/>
                <w:tab w:val="clear" w:pos="1134"/>
                <w:tab w:val="clear" w:pos="1701"/>
                <w:tab w:val="clear" w:pos="2268"/>
              </w:tabs>
              <w:ind w:left="120" w:hanging="120"/>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 xml:space="preserve"> Horizon Scanning Tool</w:t>
            </w:r>
          </w:p>
          <w:p w14:paraId="57426E16" w14:textId="77777777" w:rsidR="00A1531D" w:rsidRPr="00F70554" w:rsidRDefault="00A1531D" w:rsidP="00721858">
            <w:pPr>
              <w:pStyle w:val="ListParagraph"/>
              <w:numPr>
                <w:ilvl w:val="0"/>
                <w:numId w:val="15"/>
              </w:numPr>
              <w:tabs>
                <w:tab w:val="clear" w:pos="567"/>
                <w:tab w:val="clear" w:pos="1134"/>
                <w:tab w:val="clear" w:pos="1701"/>
                <w:tab w:val="clear" w:pos="2268"/>
              </w:tabs>
              <w:ind w:left="120" w:hanging="120"/>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 xml:space="preserve">Pest Risk Analysis Tool, </w:t>
            </w:r>
          </w:p>
          <w:p w14:paraId="2A861491" w14:textId="77777777" w:rsidR="00A1531D" w:rsidRPr="00F70554" w:rsidRDefault="00A1531D" w:rsidP="00721858">
            <w:pPr>
              <w:pStyle w:val="ListParagraph"/>
              <w:numPr>
                <w:ilvl w:val="0"/>
                <w:numId w:val="15"/>
              </w:numPr>
              <w:tabs>
                <w:tab w:val="clear" w:pos="567"/>
                <w:tab w:val="clear" w:pos="1134"/>
                <w:tab w:val="clear" w:pos="1701"/>
                <w:tab w:val="clear" w:pos="2268"/>
              </w:tabs>
              <w:ind w:left="120" w:hanging="120"/>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The Invasive Species Discovery Tool</w:t>
            </w:r>
          </w:p>
        </w:tc>
        <w:tc>
          <w:tcPr>
            <w:tcW w:w="1559" w:type="dxa"/>
          </w:tcPr>
          <w:p w14:paraId="74CFB898"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lastRenderedPageBreak/>
              <w:t>Global</w:t>
            </w:r>
          </w:p>
          <w:p w14:paraId="5FE988B7"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Distribution Data</w:t>
            </w:r>
          </w:p>
          <w:p w14:paraId="1D2ECB18"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 xml:space="preserve">Species Relational Data (linkages with related datasheets, such as host-pest relationships, threatened species </w:t>
            </w:r>
            <w:r w:rsidRPr="00F70554">
              <w:rPr>
                <w:color w:val="000000" w:themeColor="text1"/>
                <w:sz w:val="16"/>
                <w:szCs w:val="16"/>
              </w:rPr>
              <w:lastRenderedPageBreak/>
              <w:t>affected, natural enemies, pathogens vectored)</w:t>
            </w:r>
          </w:p>
          <w:p w14:paraId="27321FCD"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Invasive Species Discovery Tool</w:t>
            </w:r>
            <w:r w:rsidRPr="00F70554">
              <w:rPr>
                <w:rStyle w:val="FootnoteReference"/>
                <w:color w:val="000000" w:themeColor="text1"/>
                <w:sz w:val="16"/>
                <w:szCs w:val="16"/>
              </w:rPr>
              <w:footnoteReference w:id="79"/>
            </w:r>
            <w:r w:rsidRPr="00F70554">
              <w:rPr>
                <w:color w:val="000000" w:themeColor="text1"/>
                <w:sz w:val="16"/>
                <w:szCs w:val="16"/>
              </w:rPr>
              <w:t xml:space="preserve"> enables lists of species to be created, filtering by: Distribution</w:t>
            </w:r>
          </w:p>
          <w:p w14:paraId="48FACB45"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Taxonomy</w:t>
            </w:r>
          </w:p>
          <w:p w14:paraId="58550110"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Habitat</w:t>
            </w:r>
          </w:p>
          <w:p w14:paraId="5016AB56"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Risk and Impact Factors</w:t>
            </w:r>
          </w:p>
          <w:p w14:paraId="10B7EAFF"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Pathway of introduction</w:t>
            </w:r>
          </w:p>
          <w:p w14:paraId="7ABEE990"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p>
          <w:p w14:paraId="09132A9C"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p>
        </w:tc>
        <w:tc>
          <w:tcPr>
            <w:tcW w:w="1640" w:type="dxa"/>
          </w:tcPr>
          <w:p w14:paraId="3F56485C" w14:textId="79610858"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lastRenderedPageBreak/>
              <w:t>DOI for each datas</w:t>
            </w:r>
            <w:r w:rsidR="00030BB2" w:rsidRPr="00F70554">
              <w:rPr>
                <w:color w:val="000000" w:themeColor="text1"/>
                <w:sz w:val="16"/>
                <w:szCs w:val="16"/>
              </w:rPr>
              <w:t>he</w:t>
            </w:r>
            <w:r w:rsidRPr="00F70554">
              <w:rPr>
                <w:color w:val="000000" w:themeColor="text1"/>
                <w:sz w:val="16"/>
                <w:szCs w:val="16"/>
              </w:rPr>
              <w:t>et.</w:t>
            </w:r>
          </w:p>
          <w:p w14:paraId="6C22D945"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 xml:space="preserve">CABI Compendium is made freely available to the National Plant Protection Organizations of 115 </w:t>
            </w:r>
            <w:r w:rsidRPr="00F70554">
              <w:rPr>
                <w:color w:val="000000" w:themeColor="text1"/>
                <w:sz w:val="16"/>
                <w:szCs w:val="16"/>
              </w:rPr>
              <w:lastRenderedPageBreak/>
              <w:t>low- and middle-income countries. It is also available to lower-income countries as part of the research4life</w:t>
            </w:r>
            <w:r w:rsidRPr="00F70554">
              <w:rPr>
                <w:rStyle w:val="FootnoteReference"/>
                <w:color w:val="000000" w:themeColor="text1"/>
                <w:sz w:val="16"/>
                <w:szCs w:val="16"/>
              </w:rPr>
              <w:footnoteReference w:id="80"/>
            </w:r>
            <w:r w:rsidRPr="00F70554">
              <w:rPr>
                <w:color w:val="000000" w:themeColor="text1"/>
                <w:sz w:val="16"/>
                <w:szCs w:val="16"/>
              </w:rPr>
              <w:t xml:space="preserve"> offering, and as a benefit to CABI Member countries. The Invasive Species and related datasheets are accessible by subscription for most users, alongside the rest of CABI Compendium (covering animal health and production, crop protection, forestry, horticulture and aquaculture).</w:t>
            </w:r>
          </w:p>
          <w:p w14:paraId="0FF622D5"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Premium access (paid subscription) is necessary for the PRA Tool and additional plant host filters in the CABI Horizon Scanning Tool.</w:t>
            </w:r>
          </w:p>
          <w:p w14:paraId="70A2F51B"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p>
        </w:tc>
        <w:tc>
          <w:tcPr>
            <w:tcW w:w="1901" w:type="dxa"/>
          </w:tcPr>
          <w:p w14:paraId="36A201B3"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lastRenderedPageBreak/>
              <w:t xml:space="preserve">No API currently </w:t>
            </w:r>
          </w:p>
          <w:p w14:paraId="0027F14B"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p>
          <w:p w14:paraId="176085BE"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 xml:space="preserve">Bulk data extracts are provided in a CSV format, which requires a data sharing agreement and payment in some instances. </w:t>
            </w:r>
          </w:p>
        </w:tc>
        <w:tc>
          <w:tcPr>
            <w:tcW w:w="1987" w:type="dxa"/>
          </w:tcPr>
          <w:p w14:paraId="6CF7860A"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 xml:space="preserve">CABI is using </w:t>
            </w:r>
            <w:proofErr w:type="spellStart"/>
            <w:r w:rsidRPr="00F70554">
              <w:rPr>
                <w:color w:val="000000" w:themeColor="text1"/>
                <w:sz w:val="16"/>
                <w:szCs w:val="16"/>
              </w:rPr>
              <w:t>Geonames</w:t>
            </w:r>
            <w:proofErr w:type="spellEnd"/>
            <w:r w:rsidRPr="00F70554">
              <w:rPr>
                <w:color w:val="000000" w:themeColor="text1"/>
                <w:sz w:val="16"/>
                <w:szCs w:val="16"/>
              </w:rPr>
              <w:t xml:space="preserve"> as the geographic framework to support the recording and plotting of distribution records on the map.</w:t>
            </w:r>
          </w:p>
          <w:p w14:paraId="6EDE28CB"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p>
          <w:p w14:paraId="5BCFED34"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lastRenderedPageBreak/>
              <w:t>At this time, the Compendium taxonomic hierarchy is under revision and will be aligned with the GBIF Backbone Taxonomy.</w:t>
            </w:r>
          </w:p>
        </w:tc>
        <w:tc>
          <w:tcPr>
            <w:tcW w:w="1234" w:type="dxa"/>
          </w:tcPr>
          <w:p w14:paraId="52CBCEAA"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lastRenderedPageBreak/>
              <w:t xml:space="preserve">Distribution data can be downloaded under a CC-BY-NC-SA license from datasheets in the Invasive </w:t>
            </w:r>
            <w:r w:rsidRPr="00F70554">
              <w:rPr>
                <w:color w:val="000000" w:themeColor="text1"/>
                <w:sz w:val="16"/>
                <w:szCs w:val="16"/>
              </w:rPr>
              <w:lastRenderedPageBreak/>
              <w:t xml:space="preserve">Species channel of CABI Compendium. </w:t>
            </w:r>
          </w:p>
          <w:p w14:paraId="6FC42360"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p>
          <w:p w14:paraId="528E0EFD"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Advanced searches of invasive species datasheets can be done using associated tools. Results from these tools can be exported as CSV files and the data are subject to a CC-BY-NC-SA 4.0 license.</w:t>
            </w:r>
          </w:p>
        </w:tc>
        <w:tc>
          <w:tcPr>
            <w:tcW w:w="1257" w:type="dxa"/>
          </w:tcPr>
          <w:p w14:paraId="2EE1D627" w14:textId="77777777" w:rsidR="00A1531D" w:rsidRPr="00F70554" w:rsidRDefault="00A1531D" w:rsidP="00721858">
            <w:pPr>
              <w:pStyle w:val="ListParagraph"/>
              <w:numPr>
                <w:ilvl w:val="0"/>
                <w:numId w:val="13"/>
              </w:numPr>
              <w:tabs>
                <w:tab w:val="clear" w:pos="567"/>
                <w:tab w:val="clear" w:pos="1134"/>
                <w:tab w:val="clear" w:pos="1701"/>
                <w:tab w:val="clear" w:pos="2268"/>
              </w:tabs>
              <w:ind w:left="101" w:hanging="1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lastRenderedPageBreak/>
              <w:t xml:space="preserve">CABI is mapping its pathway categories against the 2014 CBD pathways schema so </w:t>
            </w:r>
            <w:proofErr w:type="gramStart"/>
            <w:r w:rsidRPr="00F70554">
              <w:rPr>
                <w:color w:val="000000" w:themeColor="text1"/>
                <w:sz w:val="16"/>
                <w:szCs w:val="16"/>
              </w:rPr>
              <w:lastRenderedPageBreak/>
              <w:t>that  these</w:t>
            </w:r>
            <w:proofErr w:type="gramEnd"/>
            <w:r w:rsidRPr="00F70554">
              <w:rPr>
                <w:color w:val="000000" w:themeColor="text1"/>
                <w:sz w:val="16"/>
                <w:szCs w:val="16"/>
              </w:rPr>
              <w:t xml:space="preserve"> standard categorizations can be applied in datasheets and the Horizon Scanning Tool.</w:t>
            </w:r>
          </w:p>
        </w:tc>
      </w:tr>
      <w:tr w:rsidR="00A1531D" w:rsidRPr="00F70554" w14:paraId="700871F9"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96" w:type="dxa"/>
            <w:shd w:val="clear" w:color="auto" w:fill="83CAEB" w:themeFill="accent1" w:themeFillTint="66"/>
          </w:tcPr>
          <w:p w14:paraId="6BF769DF" w14:textId="77777777" w:rsidR="00A1531D" w:rsidRPr="00F12734" w:rsidRDefault="00A1531D">
            <w:pPr>
              <w:rPr>
                <w:color w:val="000000" w:themeColor="text1"/>
                <w:sz w:val="20"/>
                <w:szCs w:val="20"/>
              </w:rPr>
            </w:pPr>
            <w:r w:rsidRPr="00F12734">
              <w:rPr>
                <w:color w:val="000000" w:themeColor="text1"/>
                <w:sz w:val="20"/>
                <w:szCs w:val="20"/>
              </w:rPr>
              <w:lastRenderedPageBreak/>
              <w:t>GRIIS</w:t>
            </w:r>
          </w:p>
          <w:p w14:paraId="0DA5729F" w14:textId="77777777" w:rsidR="00A1531D" w:rsidRPr="00F12734" w:rsidRDefault="00A1531D">
            <w:pPr>
              <w:rPr>
                <w:color w:val="000000" w:themeColor="text1"/>
                <w:sz w:val="20"/>
                <w:szCs w:val="20"/>
              </w:rPr>
            </w:pPr>
          </w:p>
          <w:p w14:paraId="1F2AF2BD" w14:textId="77777777" w:rsidR="00A1531D" w:rsidRPr="00F12734" w:rsidRDefault="00A1531D">
            <w:pPr>
              <w:rPr>
                <w:color w:val="000000" w:themeColor="text1"/>
                <w:sz w:val="20"/>
                <w:szCs w:val="20"/>
              </w:rPr>
            </w:pPr>
            <w:hyperlink r:id="rId29" w:history="1">
              <w:r w:rsidRPr="00F12734">
                <w:rPr>
                  <w:rStyle w:val="Hyperlink"/>
                  <w:sz w:val="20"/>
                  <w:szCs w:val="20"/>
                </w:rPr>
                <w:t>https://griis.org/</w:t>
              </w:r>
            </w:hyperlink>
            <w:r w:rsidRPr="00F12734">
              <w:rPr>
                <w:color w:val="000000" w:themeColor="text1"/>
                <w:sz w:val="20"/>
                <w:szCs w:val="20"/>
              </w:rPr>
              <w:t xml:space="preserve"> </w:t>
            </w:r>
          </w:p>
          <w:p w14:paraId="4DAF003F" w14:textId="77777777" w:rsidR="00A1531D" w:rsidRPr="00F12734" w:rsidRDefault="00A1531D">
            <w:pPr>
              <w:rPr>
                <w:color w:val="000000" w:themeColor="text1"/>
                <w:sz w:val="20"/>
                <w:szCs w:val="20"/>
              </w:rPr>
            </w:pPr>
          </w:p>
        </w:tc>
        <w:tc>
          <w:tcPr>
            <w:tcW w:w="2127" w:type="dxa"/>
          </w:tcPr>
          <w:p w14:paraId="4DA94495" w14:textId="0362B654" w:rsidR="00A1531D" w:rsidRPr="00F70554" w:rsidRDefault="00A1531D" w:rsidP="00F12734">
            <w:pPr>
              <w:pStyle w:val="ListParagraph"/>
              <w:numPr>
                <w:ilvl w:val="0"/>
                <w:numId w:val="12"/>
              </w:numPr>
              <w:tabs>
                <w:tab w:val="clear" w:pos="567"/>
                <w:tab w:val="clear" w:pos="1134"/>
                <w:tab w:val="clear" w:pos="1701"/>
                <w:tab w:val="clear" w:pos="2268"/>
              </w:tabs>
              <w:ind w:left="242" w:hanging="242"/>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 xml:space="preserve">Checklist datasets of known alien (introduced) and invasive species. The coverage of GRIIS is global including countries that are Party to the CBD, non-party countries and all overseas territories of countries, e.g. those of the Netherlands, France, and the United Kingdom. </w:t>
            </w:r>
          </w:p>
          <w:p w14:paraId="71B8DDD8" w14:textId="77777777" w:rsidR="00A1531D" w:rsidRPr="00F70554" w:rsidRDefault="00A1531D" w:rsidP="00F12734">
            <w:pPr>
              <w:pStyle w:val="ListParagraph"/>
              <w:numPr>
                <w:ilvl w:val="0"/>
                <w:numId w:val="12"/>
              </w:numPr>
              <w:tabs>
                <w:tab w:val="clear" w:pos="567"/>
                <w:tab w:val="clear" w:pos="1134"/>
                <w:tab w:val="clear" w:pos="1701"/>
                <w:tab w:val="clear" w:pos="2268"/>
              </w:tabs>
              <w:ind w:left="242" w:hanging="242"/>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 xml:space="preserve">Limited numbers of checklists have also been </w:t>
            </w:r>
            <w:r w:rsidRPr="00F70554">
              <w:rPr>
                <w:color w:val="000000" w:themeColor="text1"/>
                <w:sz w:val="16"/>
                <w:szCs w:val="16"/>
              </w:rPr>
              <w:lastRenderedPageBreak/>
              <w:t>developed for areas of high biodiversity value such as islands and protected areas.</w:t>
            </w:r>
          </w:p>
          <w:p w14:paraId="5C239FE1" w14:textId="77777777"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pPr>
          </w:p>
        </w:tc>
        <w:tc>
          <w:tcPr>
            <w:tcW w:w="1559" w:type="dxa"/>
          </w:tcPr>
          <w:p w14:paraId="57E7B6C3" w14:textId="6A8909D0"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lastRenderedPageBreak/>
              <w:t xml:space="preserve">Data includes records of known alien (introduced) species including the following annotations, species taxonomy, habitat, occurrence status, provenance, invasive status, dates of introduction, pathways of introduction, impact </w:t>
            </w:r>
            <w:r w:rsidRPr="00F70554">
              <w:rPr>
                <w:color w:val="000000" w:themeColor="text1"/>
                <w:sz w:val="16"/>
                <w:szCs w:val="16"/>
              </w:rPr>
              <w:lastRenderedPageBreak/>
              <w:t>mechanism and source of data.</w:t>
            </w:r>
          </w:p>
        </w:tc>
        <w:tc>
          <w:tcPr>
            <w:tcW w:w="1640" w:type="dxa"/>
          </w:tcPr>
          <w:p w14:paraId="6F5B37F2" w14:textId="77777777"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lastRenderedPageBreak/>
              <w:t>Currently no integrated search functionality for checklists from the GRIIS website but published GRIIS checklists are made available through GBIF where they are allocated DOIs.</w:t>
            </w:r>
          </w:p>
        </w:tc>
        <w:tc>
          <w:tcPr>
            <w:tcW w:w="1901" w:type="dxa"/>
          </w:tcPr>
          <w:p w14:paraId="197E2857" w14:textId="77777777"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GRIIS Checklists are published on the GBIF portal. GRIIS data is also available through the species page on GBIF. A list of countries where the species is known to be alien or invasive is listed. GRIIS checklists are also downloadable from a dedicated GRIIS website (griis.org)</w:t>
            </w:r>
          </w:p>
          <w:p w14:paraId="17DE5AF7" w14:textId="77777777"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p>
        </w:tc>
        <w:tc>
          <w:tcPr>
            <w:tcW w:w="1987" w:type="dxa"/>
          </w:tcPr>
          <w:p w14:paraId="4854628A" w14:textId="77777777" w:rsidR="00A1531D" w:rsidRPr="00F70554" w:rsidRDefault="00A1531D" w:rsidP="00F12734">
            <w:pPr>
              <w:pStyle w:val="ListParagraph"/>
              <w:numPr>
                <w:ilvl w:val="0"/>
                <w:numId w:val="10"/>
              </w:numPr>
              <w:tabs>
                <w:tab w:val="clear" w:pos="567"/>
                <w:tab w:val="clear" w:pos="1134"/>
                <w:tab w:val="clear" w:pos="1701"/>
                <w:tab w:val="clear" w:pos="2268"/>
              </w:tabs>
              <w:ind w:left="242" w:hanging="242"/>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GBIF is used as the taxonomic backbone</w:t>
            </w:r>
          </w:p>
          <w:p w14:paraId="6855136F" w14:textId="77777777" w:rsidR="00A1531D" w:rsidRPr="00F70554" w:rsidRDefault="00A1531D" w:rsidP="00F12734">
            <w:pPr>
              <w:pStyle w:val="ListParagraph"/>
              <w:numPr>
                <w:ilvl w:val="0"/>
                <w:numId w:val="10"/>
              </w:numPr>
              <w:tabs>
                <w:tab w:val="clear" w:pos="567"/>
                <w:tab w:val="clear" w:pos="1134"/>
                <w:tab w:val="clear" w:pos="1701"/>
                <w:tab w:val="clear" w:pos="2268"/>
              </w:tabs>
              <w:ind w:left="242" w:hanging="242"/>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ISO codes are used for locations</w:t>
            </w:r>
          </w:p>
          <w:p w14:paraId="22D77838" w14:textId="0779088D" w:rsidR="00A1531D" w:rsidRPr="00F70554" w:rsidRDefault="00FF5C2A" w:rsidP="00F12734">
            <w:pPr>
              <w:pStyle w:val="ListParagraph"/>
              <w:numPr>
                <w:ilvl w:val="0"/>
                <w:numId w:val="10"/>
              </w:numPr>
              <w:tabs>
                <w:tab w:val="clear" w:pos="567"/>
                <w:tab w:val="clear" w:pos="1134"/>
                <w:tab w:val="clear" w:pos="1701"/>
                <w:tab w:val="clear" w:pos="2268"/>
              </w:tabs>
              <w:ind w:left="242" w:hanging="242"/>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Darwin Core</w:t>
            </w:r>
            <w:r w:rsidR="00A1531D" w:rsidRPr="00F70554">
              <w:rPr>
                <w:color w:val="000000" w:themeColor="text1"/>
                <w:sz w:val="16"/>
                <w:szCs w:val="16"/>
              </w:rPr>
              <w:t xml:space="preserve"> is used using the available extensions (species profile, species distribution, pathway)</w:t>
            </w:r>
          </w:p>
          <w:p w14:paraId="3F2BCF97" w14:textId="77777777" w:rsidR="00A1531D" w:rsidRPr="00F70554" w:rsidRDefault="00A1531D" w:rsidP="00F12734">
            <w:pPr>
              <w:pStyle w:val="ListParagraph"/>
              <w:numPr>
                <w:ilvl w:val="0"/>
                <w:numId w:val="10"/>
              </w:numPr>
              <w:tabs>
                <w:tab w:val="clear" w:pos="567"/>
                <w:tab w:val="clear" w:pos="1134"/>
                <w:tab w:val="clear" w:pos="1701"/>
                <w:tab w:val="clear" w:pos="2268"/>
              </w:tabs>
              <w:ind w:left="242" w:hanging="242"/>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Pathway terms based on the CBD pathway schema</w:t>
            </w:r>
          </w:p>
          <w:p w14:paraId="0EC7A621" w14:textId="77777777"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p>
        </w:tc>
        <w:tc>
          <w:tcPr>
            <w:tcW w:w="1234" w:type="dxa"/>
          </w:tcPr>
          <w:p w14:paraId="1C3D0466" w14:textId="77777777" w:rsidR="00A1531D" w:rsidRPr="00F70554" w:rsidRDefault="00A1531D" w:rsidP="00F12734">
            <w:pPr>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Open access</w:t>
            </w:r>
          </w:p>
        </w:tc>
        <w:tc>
          <w:tcPr>
            <w:tcW w:w="1257" w:type="dxa"/>
          </w:tcPr>
          <w:p w14:paraId="6BDE90AC" w14:textId="77777777" w:rsidR="00A1531D" w:rsidRPr="00F70554" w:rsidRDefault="00A1531D" w:rsidP="00F12734">
            <w:pPr>
              <w:pStyle w:val="ListParagraph"/>
              <w:numPr>
                <w:ilvl w:val="0"/>
                <w:numId w:val="13"/>
              </w:numPr>
              <w:tabs>
                <w:tab w:val="clear" w:pos="567"/>
                <w:tab w:val="clear" w:pos="1134"/>
                <w:tab w:val="clear" w:pos="1701"/>
                <w:tab w:val="clear" w:pos="2268"/>
              </w:tabs>
              <w:ind w:left="101" w:hanging="142"/>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Aim to provide most recent data, including newly identified alien species incursions.</w:t>
            </w:r>
          </w:p>
          <w:p w14:paraId="54610B99" w14:textId="77777777" w:rsidR="00A1531D" w:rsidRPr="00F70554" w:rsidRDefault="00A1531D" w:rsidP="00F12734">
            <w:pPr>
              <w:pStyle w:val="ListParagraph"/>
              <w:numPr>
                <w:ilvl w:val="0"/>
                <w:numId w:val="13"/>
              </w:numPr>
              <w:tabs>
                <w:tab w:val="clear" w:pos="567"/>
                <w:tab w:val="clear" w:pos="1134"/>
                <w:tab w:val="clear" w:pos="1701"/>
                <w:tab w:val="clear" w:pos="2268"/>
              </w:tabs>
              <w:ind w:left="101" w:hanging="142"/>
              <w:jc w:val="left"/>
              <w:cnfStyle w:val="000000100000" w:firstRow="0" w:lastRow="0" w:firstColumn="0" w:lastColumn="0" w:oddVBand="0" w:evenVBand="0" w:oddHBand="1" w:evenHBand="0" w:firstRowFirstColumn="0" w:firstRowLastColumn="0" w:lastRowFirstColumn="0" w:lastRowLastColumn="0"/>
              <w:rPr>
                <w:color w:val="000000" w:themeColor="text1"/>
                <w:sz w:val="16"/>
                <w:szCs w:val="16"/>
              </w:rPr>
            </w:pPr>
            <w:r w:rsidRPr="00F70554">
              <w:rPr>
                <w:color w:val="000000" w:themeColor="text1"/>
                <w:sz w:val="16"/>
                <w:szCs w:val="16"/>
              </w:rPr>
              <w:t xml:space="preserve">Increased networking with national governmental departments working on </w:t>
            </w:r>
            <w:r w:rsidRPr="00F70554">
              <w:rPr>
                <w:color w:val="000000" w:themeColor="text1"/>
                <w:sz w:val="16"/>
                <w:szCs w:val="16"/>
              </w:rPr>
              <w:lastRenderedPageBreak/>
              <w:t>invasive species issues and supporting their data needs.</w:t>
            </w:r>
          </w:p>
          <w:p w14:paraId="4F0438EB" w14:textId="79BF7747" w:rsidR="00A1531D" w:rsidRPr="00721858" w:rsidRDefault="00A1531D" w:rsidP="00F12734">
            <w:pPr>
              <w:pStyle w:val="ListParagraph"/>
              <w:numPr>
                <w:ilvl w:val="0"/>
                <w:numId w:val="13"/>
              </w:numPr>
              <w:tabs>
                <w:tab w:val="clear" w:pos="567"/>
                <w:tab w:val="clear" w:pos="1134"/>
                <w:tab w:val="clear" w:pos="1701"/>
                <w:tab w:val="clear" w:pos="2268"/>
              </w:tabs>
              <w:ind w:left="101" w:hanging="142"/>
              <w:jc w:val="left"/>
              <w:cnfStyle w:val="000000100000" w:firstRow="0" w:lastRow="0" w:firstColumn="0" w:lastColumn="0" w:oddVBand="0" w:evenVBand="0" w:oddHBand="1" w:evenHBand="0" w:firstRowFirstColumn="0" w:firstRowLastColumn="0" w:lastRowFirstColumn="0" w:lastRowLastColumn="0"/>
            </w:pPr>
            <w:r w:rsidRPr="00F70554">
              <w:rPr>
                <w:color w:val="000000" w:themeColor="text1"/>
                <w:sz w:val="16"/>
                <w:szCs w:val="16"/>
              </w:rPr>
              <w:t>Expansion of country expert networks covering all aspects such as taxon groups, habitat type.</w:t>
            </w:r>
          </w:p>
        </w:tc>
      </w:tr>
      <w:tr w:rsidR="00A1531D" w:rsidRPr="00F70554" w14:paraId="3B050C2A" w14:textId="77777777">
        <w:trPr>
          <w:trHeight w:val="300"/>
        </w:trPr>
        <w:tc>
          <w:tcPr>
            <w:cnfStyle w:val="001000000000" w:firstRow="0" w:lastRow="0" w:firstColumn="1" w:lastColumn="0" w:oddVBand="0" w:evenVBand="0" w:oddHBand="0" w:evenHBand="0" w:firstRowFirstColumn="0" w:firstRowLastColumn="0" w:lastRowFirstColumn="0" w:lastRowLastColumn="0"/>
            <w:tcW w:w="1696" w:type="dxa"/>
            <w:shd w:val="clear" w:color="auto" w:fill="83CAEB" w:themeFill="accent1" w:themeFillTint="66"/>
          </w:tcPr>
          <w:p w14:paraId="0F095F29" w14:textId="77777777" w:rsidR="00A1531D" w:rsidRPr="00F12734" w:rsidRDefault="00A1531D" w:rsidP="00F12734">
            <w:pPr>
              <w:jc w:val="left"/>
              <w:rPr>
                <w:color w:val="000000" w:themeColor="text1"/>
                <w:sz w:val="20"/>
                <w:szCs w:val="20"/>
                <w:shd w:val="clear" w:color="auto" w:fill="83CAEB" w:themeFill="accent1" w:themeFillTint="66"/>
              </w:rPr>
            </w:pPr>
            <w:r w:rsidRPr="00F12734">
              <w:rPr>
                <w:color w:val="000000" w:themeColor="text1"/>
                <w:sz w:val="20"/>
                <w:szCs w:val="20"/>
              </w:rPr>
              <w:lastRenderedPageBreak/>
              <w:t xml:space="preserve">IUCN ISSG GISD - Global Invasive </w:t>
            </w:r>
            <w:r w:rsidRPr="00F12734">
              <w:rPr>
                <w:color w:val="000000" w:themeColor="text1"/>
                <w:sz w:val="20"/>
                <w:szCs w:val="20"/>
                <w:shd w:val="clear" w:color="auto" w:fill="83CAEB" w:themeFill="accent1" w:themeFillTint="66"/>
              </w:rPr>
              <w:t>Species Database</w:t>
            </w:r>
          </w:p>
          <w:p w14:paraId="75946B8D" w14:textId="77777777" w:rsidR="00A1531D" w:rsidRPr="00F12734" w:rsidRDefault="00A1531D">
            <w:pPr>
              <w:rPr>
                <w:color w:val="000000" w:themeColor="text1"/>
                <w:sz w:val="20"/>
                <w:szCs w:val="20"/>
                <w:shd w:val="clear" w:color="auto" w:fill="83CAEB" w:themeFill="accent1" w:themeFillTint="66"/>
              </w:rPr>
            </w:pPr>
          </w:p>
          <w:p w14:paraId="59EF013F" w14:textId="2C78F902" w:rsidR="00A1531D" w:rsidRPr="00F12734" w:rsidRDefault="00A1531D">
            <w:pPr>
              <w:rPr>
                <w:color w:val="000000" w:themeColor="text1"/>
                <w:sz w:val="20"/>
                <w:szCs w:val="20"/>
              </w:rPr>
            </w:pPr>
            <w:hyperlink r:id="rId30" w:history="1">
              <w:r w:rsidR="009B0AEA">
                <w:rPr>
                  <w:rStyle w:val="Hyperlink"/>
                  <w:sz w:val="20"/>
                  <w:szCs w:val="20"/>
                </w:rPr>
                <w:t>www.iucngisd.org/gisd/</w:t>
              </w:r>
            </w:hyperlink>
          </w:p>
          <w:p w14:paraId="410FC5FF" w14:textId="77777777" w:rsidR="00A1531D" w:rsidRPr="00F12734" w:rsidRDefault="00A1531D">
            <w:pPr>
              <w:rPr>
                <w:color w:val="000000" w:themeColor="text1"/>
                <w:sz w:val="20"/>
                <w:szCs w:val="20"/>
              </w:rPr>
            </w:pPr>
          </w:p>
        </w:tc>
        <w:tc>
          <w:tcPr>
            <w:tcW w:w="2127" w:type="dxa"/>
          </w:tcPr>
          <w:p w14:paraId="152BA7FF" w14:textId="77777777" w:rsidR="00A1531D" w:rsidRPr="00F70554" w:rsidRDefault="00A1531D" w:rsidP="00F12734">
            <w:pPr>
              <w:pStyle w:val="ListParagraph"/>
              <w:numPr>
                <w:ilvl w:val="0"/>
                <w:numId w:val="10"/>
              </w:numPr>
              <w:tabs>
                <w:tab w:val="clear" w:pos="567"/>
                <w:tab w:val="clear" w:pos="1134"/>
                <w:tab w:val="clear" w:pos="1701"/>
                <w:tab w:val="clear" w:pos="2268"/>
              </w:tabs>
              <w:ind w:left="242" w:hanging="2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Information about alien and invasive species that negatively impact biodiversity</w:t>
            </w:r>
          </w:p>
          <w:p w14:paraId="46D8ABBE" w14:textId="77777777" w:rsidR="00A1531D" w:rsidRPr="00F70554" w:rsidRDefault="00A1531D" w:rsidP="00F12734">
            <w:pPr>
              <w:pStyle w:val="ListParagraph"/>
              <w:numPr>
                <w:ilvl w:val="0"/>
                <w:numId w:val="10"/>
              </w:numPr>
              <w:tabs>
                <w:tab w:val="clear" w:pos="567"/>
                <w:tab w:val="clear" w:pos="1134"/>
                <w:tab w:val="clear" w:pos="1701"/>
                <w:tab w:val="clear" w:pos="2268"/>
              </w:tabs>
              <w:ind w:left="242" w:hanging="2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Covers all taxonomic groups from micro-organisms to animals and plants</w:t>
            </w:r>
          </w:p>
          <w:p w14:paraId="01416428" w14:textId="77777777" w:rsidR="00A1531D" w:rsidRPr="00F70554" w:rsidRDefault="00A1531D" w:rsidP="00F12734">
            <w:pPr>
              <w:pStyle w:val="ListParagraph"/>
              <w:numPr>
                <w:ilvl w:val="0"/>
                <w:numId w:val="10"/>
              </w:numPr>
              <w:tabs>
                <w:tab w:val="clear" w:pos="567"/>
                <w:tab w:val="clear" w:pos="1134"/>
                <w:tab w:val="clear" w:pos="1701"/>
                <w:tab w:val="clear" w:pos="2268"/>
              </w:tabs>
              <w:ind w:left="242" w:hanging="2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Ecology of the species, its impacts and management, a comprehensive bibliography and a list of expert contacts</w:t>
            </w:r>
          </w:p>
          <w:p w14:paraId="44ABF4A0" w14:textId="77777777" w:rsidR="00A1531D" w:rsidRPr="00F70554" w:rsidRDefault="00A1531D" w:rsidP="00F12734">
            <w:pPr>
              <w:pStyle w:val="ListParagraph"/>
              <w:numPr>
                <w:ilvl w:val="0"/>
                <w:numId w:val="10"/>
              </w:numPr>
              <w:tabs>
                <w:tab w:val="clear" w:pos="567"/>
                <w:tab w:val="clear" w:pos="1134"/>
                <w:tab w:val="clear" w:pos="1701"/>
                <w:tab w:val="clear" w:pos="2268"/>
              </w:tabs>
              <w:ind w:left="242" w:hanging="2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Includes global assessments of the magnitude of impact using the IUCN EICAT standard.</w:t>
            </w:r>
          </w:p>
        </w:tc>
        <w:tc>
          <w:tcPr>
            <w:tcW w:w="1559" w:type="dxa"/>
          </w:tcPr>
          <w:p w14:paraId="13D46A68"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Species accounts for 1096 IAS. With EICAT assessments for 210 IAS.</w:t>
            </w:r>
          </w:p>
          <w:p w14:paraId="5702D346"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p>
          <w:p w14:paraId="227006D0"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Advanced Searches on the GISD can be carried out using the following parameters:</w:t>
            </w:r>
          </w:p>
          <w:p w14:paraId="3EC21FFF" w14:textId="77777777" w:rsidR="00A1531D" w:rsidRPr="00F70554" w:rsidRDefault="00A1531D" w:rsidP="00F12734">
            <w:pPr>
              <w:pStyle w:val="ListParagraph"/>
              <w:numPr>
                <w:ilvl w:val="0"/>
                <w:numId w:val="14"/>
              </w:numPr>
              <w:tabs>
                <w:tab w:val="clear" w:pos="567"/>
                <w:tab w:val="clear" w:pos="1134"/>
                <w:tab w:val="clear" w:pos="1701"/>
                <w:tab w:val="clear" w:pos="2268"/>
              </w:tabs>
              <w:ind w:left="224" w:hanging="1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Taxonomy</w:t>
            </w:r>
          </w:p>
          <w:p w14:paraId="38524996" w14:textId="77777777" w:rsidR="00A1531D" w:rsidRPr="00F70554" w:rsidRDefault="00A1531D" w:rsidP="00F12734">
            <w:pPr>
              <w:pStyle w:val="ListParagraph"/>
              <w:numPr>
                <w:ilvl w:val="0"/>
                <w:numId w:val="14"/>
              </w:numPr>
              <w:tabs>
                <w:tab w:val="clear" w:pos="567"/>
                <w:tab w:val="clear" w:pos="1134"/>
                <w:tab w:val="clear" w:pos="1701"/>
                <w:tab w:val="clear" w:pos="2268"/>
              </w:tabs>
              <w:ind w:left="224" w:hanging="1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Location</w:t>
            </w:r>
          </w:p>
          <w:p w14:paraId="47DDD210" w14:textId="77777777" w:rsidR="00A1531D" w:rsidRPr="00F70554" w:rsidRDefault="00A1531D" w:rsidP="00F12734">
            <w:pPr>
              <w:pStyle w:val="ListParagraph"/>
              <w:numPr>
                <w:ilvl w:val="0"/>
                <w:numId w:val="14"/>
              </w:numPr>
              <w:tabs>
                <w:tab w:val="clear" w:pos="567"/>
                <w:tab w:val="clear" w:pos="1134"/>
                <w:tab w:val="clear" w:pos="1701"/>
                <w:tab w:val="clear" w:pos="2268"/>
              </w:tabs>
              <w:ind w:left="224" w:hanging="1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Environment System</w:t>
            </w:r>
          </w:p>
          <w:p w14:paraId="23D09019" w14:textId="77777777" w:rsidR="00A1531D" w:rsidRPr="00F70554" w:rsidRDefault="00A1531D" w:rsidP="00F12734">
            <w:pPr>
              <w:pStyle w:val="ListParagraph"/>
              <w:numPr>
                <w:ilvl w:val="0"/>
                <w:numId w:val="14"/>
              </w:numPr>
              <w:tabs>
                <w:tab w:val="clear" w:pos="567"/>
                <w:tab w:val="clear" w:pos="1134"/>
                <w:tab w:val="clear" w:pos="1701"/>
                <w:tab w:val="clear" w:pos="2268"/>
              </w:tabs>
              <w:ind w:left="224" w:hanging="1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Pathway of Introduction</w:t>
            </w:r>
          </w:p>
          <w:p w14:paraId="1334D239" w14:textId="77777777" w:rsidR="00A1531D" w:rsidRPr="00F70554" w:rsidRDefault="00A1531D" w:rsidP="00F12734">
            <w:pPr>
              <w:pStyle w:val="ListParagraph"/>
              <w:numPr>
                <w:ilvl w:val="0"/>
                <w:numId w:val="14"/>
              </w:numPr>
              <w:tabs>
                <w:tab w:val="clear" w:pos="567"/>
                <w:tab w:val="clear" w:pos="1134"/>
                <w:tab w:val="clear" w:pos="1701"/>
                <w:tab w:val="clear" w:pos="2268"/>
              </w:tabs>
              <w:ind w:left="224" w:hanging="1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Threatened Species</w:t>
            </w:r>
          </w:p>
          <w:p w14:paraId="6C717E97" w14:textId="77777777" w:rsidR="00A1531D" w:rsidRPr="00F70554" w:rsidRDefault="00A1531D" w:rsidP="00F12734">
            <w:pPr>
              <w:pStyle w:val="ListParagraph"/>
              <w:numPr>
                <w:ilvl w:val="0"/>
                <w:numId w:val="14"/>
              </w:numPr>
              <w:tabs>
                <w:tab w:val="clear" w:pos="567"/>
                <w:tab w:val="clear" w:pos="1134"/>
                <w:tab w:val="clear" w:pos="1701"/>
                <w:tab w:val="clear" w:pos="2268"/>
              </w:tabs>
              <w:ind w:left="224" w:hanging="1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Impact (EICAT assessment)</w:t>
            </w:r>
          </w:p>
          <w:p w14:paraId="5912554C"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Management</w:t>
            </w:r>
          </w:p>
        </w:tc>
        <w:tc>
          <w:tcPr>
            <w:tcW w:w="1640" w:type="dxa"/>
          </w:tcPr>
          <w:p w14:paraId="2F5F3AEC"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GISD species accounts do not currently have DOIs.</w:t>
            </w:r>
          </w:p>
        </w:tc>
        <w:tc>
          <w:tcPr>
            <w:tcW w:w="1901" w:type="dxa"/>
          </w:tcPr>
          <w:p w14:paraId="7364424D"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 xml:space="preserve"> Integration with allied databases such as the IUCN Red List of Threatened Species – however, this is not </w:t>
            </w:r>
            <w:proofErr w:type="gramStart"/>
            <w:r w:rsidRPr="00F70554">
              <w:rPr>
                <w:color w:val="000000" w:themeColor="text1"/>
                <w:sz w:val="16"/>
                <w:szCs w:val="16"/>
              </w:rPr>
              <w:t>through the use of</w:t>
            </w:r>
            <w:proofErr w:type="gramEnd"/>
            <w:r w:rsidRPr="00F70554">
              <w:rPr>
                <w:color w:val="000000" w:themeColor="text1"/>
                <w:sz w:val="16"/>
                <w:szCs w:val="16"/>
              </w:rPr>
              <w:t xml:space="preserve"> API. </w:t>
            </w:r>
          </w:p>
          <w:p w14:paraId="68508A9E"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p>
          <w:p w14:paraId="74E2B8F8"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 xml:space="preserve">EICAT impact ratings linked to Wikipedia pages. </w:t>
            </w:r>
          </w:p>
          <w:p w14:paraId="38DEFFAD"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 xml:space="preserve"> </w:t>
            </w:r>
          </w:p>
        </w:tc>
        <w:tc>
          <w:tcPr>
            <w:tcW w:w="1987" w:type="dxa"/>
          </w:tcPr>
          <w:p w14:paraId="5E0353CE" w14:textId="77777777" w:rsidR="00A1531D" w:rsidRPr="00F70554" w:rsidRDefault="00A1531D" w:rsidP="00F12734">
            <w:pPr>
              <w:pStyle w:val="ListParagraph"/>
              <w:numPr>
                <w:ilvl w:val="0"/>
                <w:numId w:val="10"/>
              </w:numPr>
              <w:tabs>
                <w:tab w:val="clear" w:pos="567"/>
                <w:tab w:val="clear" w:pos="1134"/>
                <w:tab w:val="clear" w:pos="1701"/>
                <w:tab w:val="clear" w:pos="2268"/>
              </w:tabs>
              <w:ind w:left="242" w:hanging="2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ISO country codes</w:t>
            </w:r>
          </w:p>
          <w:p w14:paraId="40B2FC5F" w14:textId="77777777" w:rsidR="00A1531D" w:rsidRPr="00F70554" w:rsidRDefault="00A1531D" w:rsidP="00F12734">
            <w:pPr>
              <w:pStyle w:val="ListParagraph"/>
              <w:numPr>
                <w:ilvl w:val="0"/>
                <w:numId w:val="10"/>
              </w:numPr>
              <w:tabs>
                <w:tab w:val="clear" w:pos="567"/>
                <w:tab w:val="clear" w:pos="1134"/>
                <w:tab w:val="clear" w:pos="1701"/>
                <w:tab w:val="clear" w:pos="2268"/>
              </w:tabs>
              <w:ind w:left="242" w:hanging="2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Species Codes</w:t>
            </w:r>
          </w:p>
          <w:p w14:paraId="2D88AFFD" w14:textId="77777777" w:rsidR="00A1531D" w:rsidRPr="00F70554" w:rsidRDefault="00A1531D" w:rsidP="00F12734">
            <w:pPr>
              <w:pStyle w:val="ListParagraph"/>
              <w:numPr>
                <w:ilvl w:val="0"/>
                <w:numId w:val="10"/>
              </w:numPr>
              <w:tabs>
                <w:tab w:val="clear" w:pos="567"/>
                <w:tab w:val="clear" w:pos="1134"/>
                <w:tab w:val="clear" w:pos="1701"/>
                <w:tab w:val="clear" w:pos="2268"/>
              </w:tabs>
              <w:ind w:left="242" w:hanging="2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IUCN Red List species codes</w:t>
            </w:r>
          </w:p>
          <w:p w14:paraId="6FD450D4" w14:textId="77777777" w:rsidR="00A1531D" w:rsidRPr="00F70554" w:rsidRDefault="00A1531D" w:rsidP="00F12734">
            <w:pPr>
              <w:pStyle w:val="ListParagraph"/>
              <w:numPr>
                <w:ilvl w:val="0"/>
                <w:numId w:val="10"/>
              </w:numPr>
              <w:tabs>
                <w:tab w:val="clear" w:pos="567"/>
                <w:tab w:val="clear" w:pos="1134"/>
                <w:tab w:val="clear" w:pos="1701"/>
                <w:tab w:val="clear" w:pos="2268"/>
              </w:tabs>
              <w:ind w:left="242" w:hanging="2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WDPA (World Database of Protected Areas) codes</w:t>
            </w:r>
          </w:p>
          <w:p w14:paraId="3F2DBFA4" w14:textId="77777777" w:rsidR="00A1531D" w:rsidRPr="00F70554" w:rsidRDefault="00A1531D" w:rsidP="00F12734">
            <w:pPr>
              <w:pStyle w:val="ListParagraph"/>
              <w:numPr>
                <w:ilvl w:val="0"/>
                <w:numId w:val="10"/>
              </w:numPr>
              <w:tabs>
                <w:tab w:val="clear" w:pos="567"/>
                <w:tab w:val="clear" w:pos="1134"/>
                <w:tab w:val="clear" w:pos="1701"/>
                <w:tab w:val="clear" w:pos="2268"/>
              </w:tabs>
              <w:ind w:left="242" w:hanging="2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ISO country codes</w:t>
            </w:r>
          </w:p>
          <w:p w14:paraId="591DBC56" w14:textId="77777777" w:rsidR="00A1531D" w:rsidRPr="00F70554" w:rsidRDefault="00A1531D" w:rsidP="00F12734">
            <w:pPr>
              <w:pStyle w:val="ListParagraph"/>
              <w:numPr>
                <w:ilvl w:val="0"/>
                <w:numId w:val="10"/>
              </w:numPr>
              <w:tabs>
                <w:tab w:val="clear" w:pos="567"/>
                <w:tab w:val="clear" w:pos="1134"/>
                <w:tab w:val="clear" w:pos="1701"/>
                <w:tab w:val="clear" w:pos="2268"/>
              </w:tabs>
              <w:ind w:left="242" w:hanging="2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EICAT</w:t>
            </w:r>
          </w:p>
        </w:tc>
        <w:tc>
          <w:tcPr>
            <w:tcW w:w="1234" w:type="dxa"/>
          </w:tcPr>
          <w:p w14:paraId="64CF0D33" w14:textId="77777777" w:rsidR="00A1531D" w:rsidRPr="00F70554" w:rsidRDefault="00A1531D" w:rsidP="00F12734">
            <w:pPr>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Free to access, search and download</w:t>
            </w:r>
          </w:p>
        </w:tc>
        <w:tc>
          <w:tcPr>
            <w:tcW w:w="1257" w:type="dxa"/>
          </w:tcPr>
          <w:p w14:paraId="763A552F" w14:textId="77777777" w:rsidR="00A1531D" w:rsidRPr="00F70554" w:rsidRDefault="00A1531D" w:rsidP="00F12734">
            <w:pPr>
              <w:pStyle w:val="ListParagraph"/>
              <w:numPr>
                <w:ilvl w:val="0"/>
                <w:numId w:val="13"/>
              </w:numPr>
              <w:tabs>
                <w:tab w:val="clear" w:pos="567"/>
                <w:tab w:val="clear" w:pos="1134"/>
                <w:tab w:val="clear" w:pos="1701"/>
                <w:tab w:val="clear" w:pos="2268"/>
              </w:tabs>
              <w:ind w:left="101" w:hanging="1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Increase findability and interoperability through development of DOIs and APIs for species accounts.</w:t>
            </w:r>
          </w:p>
          <w:p w14:paraId="36E2EF59" w14:textId="77777777" w:rsidR="00A1531D" w:rsidRPr="00F70554" w:rsidRDefault="00A1531D" w:rsidP="00F12734">
            <w:pPr>
              <w:pStyle w:val="ListParagraph"/>
              <w:numPr>
                <w:ilvl w:val="0"/>
                <w:numId w:val="13"/>
              </w:numPr>
              <w:tabs>
                <w:tab w:val="clear" w:pos="567"/>
                <w:tab w:val="clear" w:pos="1134"/>
                <w:tab w:val="clear" w:pos="1701"/>
                <w:tab w:val="clear" w:pos="2268"/>
              </w:tabs>
              <w:ind w:left="101" w:hanging="142"/>
              <w:jc w:val="left"/>
              <w:cnfStyle w:val="000000000000" w:firstRow="0" w:lastRow="0" w:firstColumn="0" w:lastColumn="0" w:oddVBand="0" w:evenVBand="0" w:oddHBand="0" w:evenHBand="0" w:firstRowFirstColumn="0" w:firstRowLastColumn="0" w:lastRowFirstColumn="0" w:lastRowLastColumn="0"/>
              <w:rPr>
                <w:color w:val="000000" w:themeColor="text1"/>
                <w:sz w:val="16"/>
                <w:szCs w:val="16"/>
              </w:rPr>
            </w:pPr>
            <w:r w:rsidRPr="00F70554">
              <w:rPr>
                <w:color w:val="000000" w:themeColor="text1"/>
                <w:sz w:val="16"/>
                <w:szCs w:val="16"/>
              </w:rPr>
              <w:t>EICAT assessments and GISD accounts for the 3,500 IAS identified through the Assessment</w:t>
            </w:r>
          </w:p>
        </w:tc>
      </w:tr>
    </w:tbl>
    <w:p w14:paraId="4BB07123" w14:textId="77777777" w:rsidR="00A1531D" w:rsidRPr="00F70554" w:rsidRDefault="00A1531D" w:rsidP="00A1531D">
      <w:pPr>
        <w:sectPr w:rsidR="00A1531D" w:rsidRPr="00F70554" w:rsidSect="00F12734">
          <w:headerReference w:type="default" r:id="rId31"/>
          <w:footerReference w:type="default" r:id="rId32"/>
          <w:pgSz w:w="15840" w:h="12240" w:orient="landscape"/>
          <w:pgMar w:top="1134" w:right="1440" w:bottom="1134" w:left="1440" w:header="709" w:footer="709" w:gutter="0"/>
          <w:cols w:space="708"/>
          <w:docGrid w:linePitch="360"/>
        </w:sectPr>
      </w:pPr>
    </w:p>
    <w:p w14:paraId="20CA43CB" w14:textId="77777777" w:rsidR="00A1531D" w:rsidRPr="00F70554" w:rsidRDefault="00A1531D" w:rsidP="00F12734">
      <w:pPr>
        <w:pStyle w:val="Heading3"/>
        <w:numPr>
          <w:ilvl w:val="1"/>
          <w:numId w:val="9"/>
        </w:numPr>
        <w:tabs>
          <w:tab w:val="num" w:pos="1492"/>
        </w:tabs>
        <w:ind w:left="567" w:hanging="567"/>
      </w:pPr>
      <w:bookmarkStart w:id="7" w:name="_Toc202512541"/>
      <w:r w:rsidRPr="00F70554">
        <w:lastRenderedPageBreak/>
        <w:t>Key data and information gaps for Target 6 of the Kunming-Montreal Global Biodiversity Framework and challenges for improving accessibility</w:t>
      </w:r>
      <w:bookmarkEnd w:id="7"/>
    </w:p>
    <w:p w14:paraId="2968F04A" w14:textId="6CB00F86" w:rsidR="00F51104" w:rsidRPr="00F70554" w:rsidRDefault="00A1531D" w:rsidP="00F12734">
      <w:pPr>
        <w:spacing w:before="120" w:after="120"/>
      </w:pPr>
      <w:r w:rsidRPr="00F70554">
        <w:t>Addressing Target 6 of the Framework requires collation and analysis of baseline data and trends of species occurrence, impacts, and management (see Table 1). Generating the data products that are needed to do this at a global scale requires regular and reliable up-to-date information. The Assessment highlighted where data are not flowing into global datasets, including for some regions (notably for large parts of Africa and central Asia), taxonomic groups (for example, invertebrates and micro-organisms), and ecosystems (for example, marine),</w:t>
      </w:r>
      <w:r w:rsidRPr="00F70554">
        <w:rPr>
          <w:rStyle w:val="FootnoteReference"/>
        </w:rPr>
        <w:footnoteReference w:id="81"/>
      </w:r>
      <w:r w:rsidRPr="00F70554">
        <w:t xml:space="preserve"> and stresses how increased collaboration is needed to fill these gaps. Decision16/18 also recognized that improvements to data collection in Africa, Asia, Latin America and the Caribbean, and the Pacific region were needed.  In some cases, data does not exist at all, in other cases, the data flow is </w:t>
      </w:r>
      <w:proofErr w:type="gramStart"/>
      <w:r w:rsidRPr="00F70554">
        <w:t>slow, or</w:t>
      </w:r>
      <w:proofErr w:type="gramEnd"/>
      <w:r w:rsidRPr="00F70554">
        <w:t xml:space="preserve"> is impeded by a lack of standardisation or use of automated workflows and APIs. Open licensing of data</w:t>
      </w:r>
      <w:r w:rsidRPr="00F70554">
        <w:rPr>
          <w:rStyle w:val="FootnoteReference"/>
        </w:rPr>
        <w:footnoteReference w:id="82"/>
      </w:r>
      <w:r w:rsidRPr="00F70554">
        <w:t xml:space="preserve"> by data providers is important to ensure that data are available for reuse by the community.  </w:t>
      </w:r>
    </w:p>
    <w:p w14:paraId="493A9150" w14:textId="12342F11" w:rsidR="00F51104" w:rsidRPr="00F70554" w:rsidRDefault="00A1531D" w:rsidP="00A1531D">
      <w:r w:rsidRPr="00F70554">
        <w:t>Data and information on IAS are available across several data resources and platforms (Table 1), and it is acknowledged that these should be free and open source (Decision 16/18). However, end users need to know which data source is best for their needs and if there are any constraints or limitations on their use from different sources. A single portal that describes all available IAS data and information resources and facilitates the sharing of case studies and best practices, in multiple languages, could be of value. The data sources reviewed (Table 3) are clear in documenting the scope and scale of the available data and information, but the adherence to FAIR data principles varied. Most datasets and repositories use English as the main language; online translation capabilities are improving, but few resources are available in multiple languages.  End users need to know who the data providers and data controllers are, as these are the points of contact for clarification and changes. It is often unclear how maintenance of datasets and repositories are managed and where the ongoing resource requirements to sustain this will be met. Time and resource needs will vary with the age of platforms and level of interoperability already achieved and the volume of data or records to standardise. At a national level having the data infrastructure and platforms can be a considerable investment but the benefits of a unified approach that is well integrated with other biodiversity monitoring is well documented.</w:t>
      </w:r>
      <w:r w:rsidRPr="00F70554">
        <w:rPr>
          <w:rStyle w:val="FootnoteReference"/>
        </w:rPr>
        <w:footnoteReference w:id="83"/>
      </w:r>
    </w:p>
    <w:p w14:paraId="4E91FFE3" w14:textId="782DBF55" w:rsidR="00F51104" w:rsidRPr="00F70554" w:rsidRDefault="00A1531D" w:rsidP="00F12734">
      <w:pPr>
        <w:spacing w:before="120" w:after="120"/>
      </w:pPr>
      <w:r w:rsidRPr="00F70554">
        <w:t>For Target 6 there is a need to integrate IAS data with information about priority sites. Data resolution can be variable, resulting in uncertainty in distributional information. For example, a country record doesn’t mean a species is necessarily abundant or widespread or even established in the wild, as records can refer to species in captivity or botanical gardens. The ability to regularly update occurrence and distribution information is also needed as biological invasions and their management are dynamic, therefore, systems need to be agile, and work needs to be done to reduce the time lag between field data recording and availability to decision makers. Use of citizen science data collection</w:t>
      </w:r>
      <w:r w:rsidRPr="00F70554">
        <w:rPr>
          <w:rStyle w:val="FootnoteReference"/>
        </w:rPr>
        <w:footnoteReference w:id="84"/>
      </w:r>
      <w:r w:rsidRPr="00F70554">
        <w:t xml:space="preserve"> increases the ability to incorporate records into surveillance and monitoring systems, but requires the use of timely workflows for verification, especially to incorporate records into early warning systems. Automation of data collation and analysis workflows relies on the use of agreed terminology and standards, and in a machine-readable format, however, not all available data meet these requirements. Retrospective application of standards to large extant datasets can be costly and time-consuming. An important first step has been gathering and assessing </w:t>
      </w:r>
      <w:r w:rsidRPr="00F70554">
        <w:lastRenderedPageBreak/>
        <w:t>reports on IAS impacts for 3,353 species in the new Global Impacts Dataset of Invasive Alien Species</w:t>
      </w:r>
      <w:r w:rsidRPr="00F70554">
        <w:rPr>
          <w:rStyle w:val="FootnoteReference"/>
        </w:rPr>
        <w:footnoteReference w:id="85"/>
      </w:r>
      <w:r w:rsidRPr="00F70554">
        <w:t xml:space="preserve">, which contains machine-readable records of impact type and magnitude. But there remains significant work to conduct comprehensive EICAT and SEICAT assessments for these IAS with reported impacts, and for all 37,000 alien species identified in the Assessment. </w:t>
      </w:r>
    </w:p>
    <w:p w14:paraId="2A1D6AD3" w14:textId="78DDB4C6" w:rsidR="00F51104" w:rsidRPr="00F70554" w:rsidRDefault="00A1531D" w:rsidP="00F12734">
      <w:pPr>
        <w:spacing w:before="120" w:after="120"/>
        <w:rPr>
          <w:highlight w:val="yellow"/>
        </w:rPr>
      </w:pPr>
      <w:r w:rsidRPr="00F70554">
        <w:t>There is no single source for accessing information on management effectiveness, IUCN GISD and CABI Compendium: Invasive Species hold some information for some species, but many best practice assessments are in grey or peer-reviewed literature. Some case studies have been collated</w:t>
      </w:r>
      <w:r w:rsidRPr="00F70554">
        <w:rPr>
          <w:rStyle w:val="FootnoteReference"/>
        </w:rPr>
        <w:footnoteReference w:id="86"/>
      </w:r>
      <w:r w:rsidRPr="00F70554">
        <w:t xml:space="preserve"> but more synthesis on what management actions work in what contexts is needed, particularly to support Parties that struggle with insufficient financial, technical, and human resources. Data and information contained in academic publications are often not openly accessible, and even when they are the publishing process can lead to delays in data being in the public domain. Open-access pre-publishing archives are increasingly available but not routinely used. Increasing the awareness of routes to report new records and findings and the importance of this to the community needs clear messaging. </w:t>
      </w:r>
    </w:p>
    <w:p w14:paraId="20B97AB5" w14:textId="77777777" w:rsidR="00A1531D" w:rsidRDefault="00A1531D" w:rsidP="00D0782D">
      <w:pPr>
        <w:spacing w:before="120" w:after="120"/>
      </w:pPr>
      <w:r w:rsidRPr="00F70554">
        <w:t>Data and information needs and accessibility will differ according to the end user, for example, a customs authority that needs to detect and prevent IAS introductions, to a local authority that needs to remove IAS from priority sites. Different sectors will also have specific information and data needs. As an example, below we highlight the key information needs and opportunities to improve accessibility of this information for the tourism and trade sectors to take action to support Target 6.</w:t>
      </w:r>
    </w:p>
    <w:tbl>
      <w:tblPr>
        <w:tblStyle w:val="TableGrid"/>
        <w:tblW w:w="8926" w:type="dxa"/>
        <w:tblLook w:val="04A0" w:firstRow="1" w:lastRow="0" w:firstColumn="1" w:lastColumn="0" w:noHBand="0" w:noVBand="1"/>
      </w:tblPr>
      <w:tblGrid>
        <w:gridCol w:w="8926"/>
      </w:tblGrid>
      <w:tr w:rsidR="00AC4386" w:rsidRPr="00F70554" w14:paraId="19D9A5CD" w14:textId="77777777" w:rsidTr="00F12734">
        <w:tc>
          <w:tcPr>
            <w:tcW w:w="8926" w:type="dxa"/>
          </w:tcPr>
          <w:p w14:paraId="40618AEB" w14:textId="570125DC" w:rsidR="00AC4386" w:rsidRPr="00F70554" w:rsidRDefault="00AC4386" w:rsidP="00F12734">
            <w:pPr>
              <w:pStyle w:val="Heading4"/>
              <w:keepNext w:val="0"/>
              <w:numPr>
                <w:ilvl w:val="0"/>
                <w:numId w:val="0"/>
              </w:numPr>
              <w:ind w:left="567"/>
            </w:pPr>
            <w:r w:rsidRPr="00F70554">
              <w:rPr>
                <w:sz w:val="24"/>
                <w:szCs w:val="24"/>
              </w:rPr>
              <w:t>Information needs for the tourism sector</w:t>
            </w:r>
          </w:p>
          <w:p w14:paraId="20BF905D" w14:textId="452C4F81" w:rsidR="00AC4386" w:rsidRPr="00F70554" w:rsidRDefault="00AC4386" w:rsidP="00F12734">
            <w:pPr>
              <w:pStyle w:val="CBDNormal"/>
              <w:spacing w:before="60" w:after="60"/>
            </w:pPr>
            <w:r w:rsidRPr="00F70554">
              <w:t>Tourism is one of the world’s largest and fastest-growing economic sectors, with 1.4 billion international travellers in 2024  generating a record USD 2.0 trillion in export revenues—accounting for 6% of global exports and 23% of global trade in services.</w:t>
            </w:r>
            <w:r w:rsidRPr="00F70554">
              <w:rPr>
                <w:rStyle w:val="FootnoteReference"/>
              </w:rPr>
              <w:footnoteReference w:id="87"/>
            </w:r>
            <w:r w:rsidRPr="00F70554">
              <w:t xml:space="preserve">  While this global movement of people, vehicles, and goods fuels economic growth, it also poses a significant risk for the unintentional spread of IAS to new environments, threatening biodiversity, ecosystems, and the tourism sector itself. The highest risk comes from passengers, who</w:t>
            </w:r>
            <w:r w:rsidRPr="00F70554">
              <w:rPr>
                <w:rFonts w:ascii="Segoe UI" w:hAnsi="Segoe UI" w:cs="Segoe UI"/>
                <w:sz w:val="18"/>
                <w:szCs w:val="18"/>
              </w:rPr>
              <w:t xml:space="preserve"> </w:t>
            </w:r>
            <w:r w:rsidRPr="00F70554">
              <w:t>may unknowingly carry alien species or pathogens</w:t>
            </w:r>
            <w:r w:rsidRPr="00F70554">
              <w:rPr>
                <w:rStyle w:val="FootnoteReference"/>
              </w:rPr>
              <w:footnoteReference w:id="88"/>
            </w:r>
            <w:r w:rsidRPr="00F70554">
              <w:t xml:space="preserve"> on food, sports equipment, luggage, clothing or footwear. This can lead to the introduction of new IAS into a country or facilitate the spread of existing IAS due to recreational activities. Some IAS can also be beneficial for tourism, for example, salmon and trout and recreational fishing.</w:t>
            </w:r>
            <w:r w:rsidRPr="00F70554">
              <w:rPr>
                <w:rStyle w:val="FootnoteReference"/>
              </w:rPr>
              <w:footnoteReference w:id="89"/>
            </w:r>
          </w:p>
          <w:p w14:paraId="7F51791B" w14:textId="4D9BDCBB" w:rsidR="00AC4386" w:rsidRPr="00F70554" w:rsidRDefault="00AC4386" w:rsidP="00F12734">
            <w:pPr>
              <w:pStyle w:val="CBDNormal"/>
              <w:spacing w:before="60" w:after="60"/>
            </w:pPr>
            <w:r w:rsidRPr="00F70554">
              <w:t>Many sites that are important for biodiversity, and sensitive to impacts from IAS are also popular for tourists and tourism facilities, like the Galapagos,</w:t>
            </w:r>
            <w:r w:rsidRPr="00F70554">
              <w:rPr>
                <w:rStyle w:val="FootnoteReference"/>
              </w:rPr>
              <w:footnoteReference w:id="90"/>
            </w:r>
            <w:r w:rsidRPr="00F70554">
              <w:t xml:space="preserve"> making them susceptible to introductions. In fact, the abundance and richness of alien species are significantly higher in sites where tourist activities take place.</w:t>
            </w:r>
            <w:r w:rsidRPr="00F70554">
              <w:rPr>
                <w:rStyle w:val="FootnoteReference"/>
              </w:rPr>
              <w:footnoteReference w:id="91"/>
            </w:r>
            <w:r w:rsidRPr="00F70554">
              <w:t xml:space="preserve">  For example, there are over 250 natural World Heritage Sites (WHS) that are established to protect the world’s most outstanding natural heritage, and they receive over 100 million visitors a year.</w:t>
            </w:r>
            <w:r w:rsidRPr="00F70554">
              <w:rPr>
                <w:rStyle w:val="FootnoteReference"/>
              </w:rPr>
              <w:footnoteReference w:id="92"/>
            </w:r>
            <w:r w:rsidRPr="00F70554">
              <w:t xml:space="preserve"> These sites are also under increasing pressures, including from IAS, which </w:t>
            </w:r>
            <w:r w:rsidRPr="00F70554">
              <w:lastRenderedPageBreak/>
              <w:t>are the second most prevalent threat to natural WHS, following climate change.</w:t>
            </w:r>
            <w:r w:rsidRPr="00F70554">
              <w:rPr>
                <w:rStyle w:val="FootnoteReference"/>
              </w:rPr>
              <w:footnoteReference w:id="93"/>
            </w:r>
            <w:r w:rsidRPr="00F70554">
              <w:t xml:space="preserve"> Tourism establishments can also pose a risk, through their construction, and operations including the importing of goods, machinery and horticultural plants. A survey of non-native plants of the Serengeti-Mara ecosystem, of the 245 alien species recorded, 212 were intentionally introduced into gardens of tourist facilities in the Masai-Mara National Reserve, 23 of which had become invasive in the wider ecosystem.</w:t>
            </w:r>
            <w:r w:rsidRPr="00F70554">
              <w:rPr>
                <w:rStyle w:val="FootnoteReference"/>
              </w:rPr>
              <w:footnoteReference w:id="94"/>
            </w:r>
          </w:p>
          <w:p w14:paraId="5D67956B" w14:textId="65B77007" w:rsidR="00AC4386" w:rsidRPr="00F70554" w:rsidRDefault="00AC4386" w:rsidP="00F12734">
            <w:pPr>
              <w:pStyle w:val="CBDNormal"/>
              <w:spacing w:before="60" w:after="60"/>
            </w:pPr>
            <w:r w:rsidRPr="00F70554">
              <w:t xml:space="preserve">IAS can also have impacts upon tourism, and the economy of areas that depend upon it. An example is </w:t>
            </w:r>
            <w:proofErr w:type="spellStart"/>
            <w:r w:rsidRPr="00F70554">
              <w:rPr>
                <w:i/>
                <w:iCs/>
              </w:rPr>
              <w:t>Rugulopteryx</w:t>
            </w:r>
            <w:proofErr w:type="spellEnd"/>
            <w:r w:rsidRPr="00F70554">
              <w:rPr>
                <w:i/>
                <w:iCs/>
              </w:rPr>
              <w:t xml:space="preserve"> </w:t>
            </w:r>
            <w:proofErr w:type="spellStart"/>
            <w:r w:rsidRPr="00F70554">
              <w:rPr>
                <w:i/>
                <w:iCs/>
              </w:rPr>
              <w:t>okamurae</w:t>
            </w:r>
            <w:proofErr w:type="spellEnd"/>
            <w:r w:rsidRPr="00F70554">
              <w:rPr>
                <w:i/>
                <w:iCs/>
              </w:rPr>
              <w:t xml:space="preserve">, </w:t>
            </w:r>
            <w:r w:rsidRPr="00F70554">
              <w:t>an algae that has spread across the southern European coastline leading to severe ecosystem disruption and displacement of native species.</w:t>
            </w:r>
            <w:r w:rsidRPr="00F70554">
              <w:rPr>
                <w:rStyle w:val="FootnoteReference"/>
              </w:rPr>
              <w:footnoteReference w:id="95"/>
            </w:r>
            <w:r w:rsidRPr="00F70554">
              <w:t xml:space="preserve"> As a ‘beach-cast’ algae large volumes of biomass are deposited on the beaches of municipality of Tarifa Spain, which causes a bad smell, disagreeable aesthetics and difficulties for recreation activities, requiring local authorities to regularly remove the algae costing an estimated EUR 245,593 per year.</w:t>
            </w:r>
            <w:r w:rsidRPr="00F70554">
              <w:rPr>
                <w:rStyle w:val="FootnoteReference"/>
              </w:rPr>
              <w:footnoteReference w:id="96"/>
            </w:r>
          </w:p>
          <w:p w14:paraId="3D77F5E3" w14:textId="160655AA" w:rsidR="00AC4386" w:rsidRPr="00F70554" w:rsidRDefault="00AC4386" w:rsidP="00F12734">
            <w:pPr>
              <w:pStyle w:val="CBDNormal"/>
              <w:spacing w:before="60" w:after="60"/>
            </w:pPr>
            <w:r w:rsidRPr="00F70554">
              <w:t>There are places where the tourism sector has taken positive action on IAS, both to the benefit of nature and tourism. One example is on the Seychelles Islands, where three private islands with tourist resorts successfully eradicated rats.</w:t>
            </w:r>
            <w:r w:rsidRPr="00F70554">
              <w:rPr>
                <w:rStyle w:val="FootnoteReference"/>
              </w:rPr>
              <w:footnoteReference w:id="97"/>
            </w:r>
            <w:r w:rsidRPr="00F70554">
              <w:t xml:space="preserve"> This work was funded by the tourism sector and implemented in collaboration with civil society organizations. Following on from the eradications, all islands developed biosecurity measures and undertook reintroductions and habitat restoration measures and have integrated this work into the tourism experience.</w:t>
            </w:r>
          </w:p>
          <w:p w14:paraId="3E20D4AA" w14:textId="77777777" w:rsidR="00AC4386" w:rsidRPr="00F70554" w:rsidRDefault="00AC4386" w:rsidP="00F12734">
            <w:pPr>
              <w:spacing w:before="120" w:after="120"/>
              <w:rPr>
                <w:b/>
                <w:bCs/>
              </w:rPr>
            </w:pPr>
            <w:r w:rsidRPr="00F70554">
              <w:rPr>
                <w:b/>
                <w:bCs/>
              </w:rPr>
              <w:t>Information needs</w:t>
            </w:r>
          </w:p>
          <w:p w14:paraId="58A3BAA4" w14:textId="74595C13" w:rsidR="00AC4386" w:rsidRPr="00F70554" w:rsidRDefault="00AC4386" w:rsidP="00F12734">
            <w:pPr>
              <w:spacing w:before="60" w:after="60"/>
            </w:pPr>
            <w:r w:rsidRPr="00F70554">
              <w:t>The tourism sector needs access to information to support awareness-raising activities and the implementation of measures to prevent the introduction of IAS across their operations. In addition, information is needed to help inform tourists themselves to facilitate changes in their behaviour and perceptions.</w:t>
            </w:r>
          </w:p>
          <w:p w14:paraId="468B88FB" w14:textId="3DFA0F3E" w:rsidR="00AC4386" w:rsidRPr="00F70554" w:rsidRDefault="00AC4386" w:rsidP="00F12734">
            <w:pPr>
              <w:spacing w:before="60" w:after="60"/>
            </w:pPr>
            <w:r w:rsidRPr="00F70554">
              <w:t>To empower tourism operators to take meaningful action against IAS, they first need to understand the impacts IAS have on both biodiversity and the tourism sector itself. This includes recognizing how their facilities and operations may contribute to the introduction and spread of IAS and knowing what practical measures they can adopt to reduce or avoid these risks. To encourage widespread engagement, information should be communicated in a clear, accessible language and format and disseminated through trusted sources. While general guidance is useful</w:t>
            </w:r>
            <w:r w:rsidRPr="00F70554">
              <w:rPr>
                <w:rStyle w:val="FootnoteReference"/>
              </w:rPr>
              <w:footnoteReference w:id="98"/>
            </w:r>
            <w:r w:rsidRPr="00F70554">
              <w:t>, real change is more likely to happen when the information is tailored to the specific context, i.e. location, type of tourism activities, and introduction pathways relevant to each operator. For example, providing information on priority IAS in the regions where operators work — how those species arrived, especially if via tourism</w:t>
            </w:r>
            <w:r w:rsidRPr="00F70554">
              <w:rPr>
                <w:rFonts w:ascii="Segoe UI" w:hAnsi="Segoe UI" w:cs="Segoe UI"/>
                <w:sz w:val="18"/>
                <w:szCs w:val="18"/>
              </w:rPr>
              <w:t xml:space="preserve"> </w:t>
            </w:r>
            <w:r w:rsidRPr="00F70554">
              <w:t xml:space="preserve">— can make the issue more tangible and actionable. Equally important is helping operators understand which of their practices are high-risk, for example, the use of horticultural plants that could become invasive, or promoting recreational activities in ecologically sensitive areas vulnerable to IAS. Clear guidance on how to respond if new IAS are detected — by either operators or tourists— is also vital, especially in biodiversity-rich areas like protected areas, which often </w:t>
            </w:r>
            <w:r w:rsidRPr="00F70554">
              <w:lastRenderedPageBreak/>
              <w:t>double as popular tourist destinations. This intersection provides a unique opportunity: engaging tourists and tourism staff in citizen science efforts for early detection and reporting of IAS.</w:t>
            </w:r>
          </w:p>
          <w:p w14:paraId="587BA0EE" w14:textId="507D7FFB" w:rsidR="00AC4386" w:rsidRPr="00F70554" w:rsidRDefault="00AC4386" w:rsidP="00F12734">
            <w:pPr>
              <w:spacing w:before="60" w:after="60"/>
            </w:pPr>
            <w:r w:rsidRPr="00F70554">
              <w:t>The tourism sector also plays a key role in raising awareness among tourists to help prevent the introduction and spread of IAS. This starts before arrival</w:t>
            </w:r>
            <w:r w:rsidRPr="00F70554">
              <w:rPr>
                <w:rFonts w:ascii="Segoe UI" w:hAnsi="Segoe UI" w:cs="Segoe UI"/>
                <w:sz w:val="18"/>
                <w:szCs w:val="18"/>
              </w:rPr>
              <w:t xml:space="preserve"> </w:t>
            </w:r>
            <w:r w:rsidRPr="00F70554">
              <w:t>by encouraging travellers to clean shoes, clothes and equipment in advance and avoid bringing food, seeds, or other biological materials. For example, see the USDA ‘don’t pack a pest’ campaign.</w:t>
            </w:r>
            <w:r w:rsidRPr="00F70554">
              <w:rPr>
                <w:rStyle w:val="FootnoteReference"/>
              </w:rPr>
              <w:footnoteReference w:id="99"/>
            </w:r>
            <w:r w:rsidRPr="00F70554">
              <w:t xml:space="preserve"> Working closely with national government departments</w:t>
            </w:r>
            <w:r w:rsidRPr="00F70554">
              <w:rPr>
                <w:rFonts w:ascii="Segoe UI" w:hAnsi="Segoe UI" w:cs="Segoe UI"/>
                <w:sz w:val="18"/>
                <w:szCs w:val="18"/>
              </w:rPr>
              <w:t xml:space="preserve"> </w:t>
            </w:r>
            <w:r w:rsidRPr="00F70554">
              <w:t>such as customs, plant health, and environmental agencies is essential to ensure accurate and consistent messaging about IAS. Many tourist activities carry a particularly high risk of spreading existing IAS. For instance, international tourists may visit several protected areas within a short period of time,</w:t>
            </w:r>
            <w:r w:rsidRPr="00F70554">
              <w:rPr>
                <w:rStyle w:val="FootnoteReference"/>
              </w:rPr>
              <w:footnoteReference w:id="100"/>
            </w:r>
            <w:r w:rsidRPr="00F70554">
              <w:t xml:space="preserve"> and recreational anglers or water-based sports often move between multiple waterbodies with equipment, increasing the chance of unintentional spread. While core messages, such as the importance of cleaning equipment between sites, can remain consistent, awareness-raising efforts should be tailored to specific locations and activities. This requires clear, targeted information about priority IAS in each area, their impacts, and practical steps tourists can take to reduce the risk of spreading them. Existing awareness campaigns can serve as valuable models to inform the development of materials across the tourism sector, such as the “check–clean–dry” campaigns for aquatic recreation,</w:t>
            </w:r>
            <w:r w:rsidRPr="00F70554">
              <w:rPr>
                <w:rStyle w:val="FootnoteReference"/>
              </w:rPr>
              <w:footnoteReference w:id="101"/>
            </w:r>
            <w:r w:rsidRPr="00F70554">
              <w:t xml:space="preserve"> “Play-Clean-Go” for outdoor activities</w:t>
            </w:r>
            <w:r w:rsidRPr="00F70554">
              <w:rPr>
                <w:rStyle w:val="FootnoteReference"/>
              </w:rPr>
              <w:footnoteReference w:id="102"/>
            </w:r>
            <w:r w:rsidRPr="00F70554">
              <w:t xml:space="preserve"> and EU “Beware of aliens” campaign which has material for forest visitors and anglers.</w:t>
            </w:r>
            <w:r w:rsidRPr="00F70554">
              <w:rPr>
                <w:rStyle w:val="FootnoteReference"/>
              </w:rPr>
              <w:footnoteReference w:id="103"/>
            </w:r>
          </w:p>
        </w:tc>
      </w:tr>
    </w:tbl>
    <w:p w14:paraId="3D17B9A7" w14:textId="77777777" w:rsidR="001F6496" w:rsidRDefault="001F6496" w:rsidP="00D0782D">
      <w:pPr>
        <w:spacing w:before="120" w:after="120"/>
      </w:pPr>
    </w:p>
    <w:p w14:paraId="374B29AB" w14:textId="77777777" w:rsidR="00AC4386" w:rsidRPr="00F70554" w:rsidRDefault="00AC4386" w:rsidP="00F12734">
      <w:pPr>
        <w:spacing w:before="120" w:after="120"/>
      </w:pPr>
    </w:p>
    <w:tbl>
      <w:tblPr>
        <w:tblStyle w:val="TableGrid"/>
        <w:tblW w:w="0" w:type="auto"/>
        <w:tblLook w:val="04A0" w:firstRow="1" w:lastRow="0" w:firstColumn="1" w:lastColumn="0" w:noHBand="0" w:noVBand="1"/>
      </w:tblPr>
      <w:tblGrid>
        <w:gridCol w:w="9016"/>
      </w:tblGrid>
      <w:tr w:rsidR="00A1531D" w:rsidRPr="00F70554" w14:paraId="4F6D07AA" w14:textId="77777777">
        <w:tc>
          <w:tcPr>
            <w:tcW w:w="9016" w:type="dxa"/>
          </w:tcPr>
          <w:p w14:paraId="10232CEE" w14:textId="77777777" w:rsidR="00A1531D" w:rsidRPr="00F70554" w:rsidRDefault="00A1531D" w:rsidP="00F12734">
            <w:pPr>
              <w:pStyle w:val="Heading4"/>
              <w:keepNext w:val="0"/>
              <w:numPr>
                <w:ilvl w:val="0"/>
                <w:numId w:val="0"/>
              </w:numPr>
              <w:ind w:left="594"/>
            </w:pPr>
            <w:r w:rsidRPr="00F70554">
              <w:rPr>
                <w:sz w:val="24"/>
                <w:szCs w:val="24"/>
              </w:rPr>
              <w:t>Information needs for international trade</w:t>
            </w:r>
          </w:p>
          <w:p w14:paraId="1596F3E2" w14:textId="28EE18B0" w:rsidR="00A1531D" w:rsidRPr="00F70554" w:rsidRDefault="00A1531D" w:rsidP="00F12734">
            <w:pPr>
              <w:spacing w:before="60" w:after="60"/>
            </w:pPr>
            <w:r w:rsidRPr="00F70554">
              <w:t>Global trade in goods/merchandise is higher than it has ever been and is now valued at 24 trillion USD (c. 23% of global gross domestic product (GDP)).</w:t>
            </w:r>
            <w:r w:rsidRPr="00F70554">
              <w:rPr>
                <w:rStyle w:val="FootnoteReference"/>
              </w:rPr>
              <w:footnoteReference w:id="104"/>
            </w:r>
            <w:r w:rsidRPr="00F70554">
              <w:t xml:space="preserve"> The volume of world trade in goods is now roughly 45 times higher than it was in 1950, with an average increase of 4% per year since 1995. In addition, there has been an increase in regional trade agreements that encourage the free movement of goods across borders, bypassing many import controls that would have previously existed.</w:t>
            </w:r>
            <w:r w:rsidRPr="00F70554">
              <w:rPr>
                <w:rStyle w:val="FootnoteReference"/>
              </w:rPr>
              <w:footnoteReference w:id="105"/>
            </w:r>
            <w:r w:rsidRPr="00F70554">
              <w:t xml:space="preserve"> Such large volumes of global trade, primarily transported by shipping container freight, represent a major risk for the introduction of alien species, including from plants and animals being traded, and the vessels and containers (‘vectors’) transporting them that may harbour IAS. Trade, therefore, covers many pathways of introduction, such as intentional release for fisheries, escape from horticulture, contaminants of seeds or timber imports, and stowaways in shipping containers, packing materials, or as fouling on ship hulls. There is a clear association between the rise in the number of new alien species recorded (‘1</w:t>
            </w:r>
            <w:r w:rsidRPr="00F70554">
              <w:rPr>
                <w:vertAlign w:val="superscript"/>
              </w:rPr>
              <w:t>st</w:t>
            </w:r>
            <w:r w:rsidRPr="00F70554">
              <w:t xml:space="preserve"> records’) and the percentage contribution international imports make to global GDP.</w:t>
            </w:r>
            <w:r w:rsidRPr="00F70554">
              <w:rPr>
                <w:rStyle w:val="FootnoteReference"/>
              </w:rPr>
              <w:footnoteReference w:id="106"/>
            </w:r>
            <w:r w:rsidRPr="00F70554">
              <w:t xml:space="preserve"> Global trade patterns and routes are also changing in response to development and climate change, which can expose countries to new alien species.</w:t>
            </w:r>
            <w:r w:rsidRPr="00F70554">
              <w:rPr>
                <w:rStyle w:val="FootnoteReference"/>
              </w:rPr>
              <w:footnoteReference w:id="107"/>
            </w:r>
            <w:r w:rsidRPr="00F70554">
              <w:t xml:space="preserve"> The growth of e-commerce is also </w:t>
            </w:r>
            <w:r w:rsidRPr="00F70554">
              <w:lastRenderedPageBreak/>
              <w:t>providing additional challenges in relation to the trade in potentially invasive plants</w:t>
            </w:r>
            <w:r w:rsidRPr="00F70554">
              <w:rPr>
                <w:rStyle w:val="FootnoteReference"/>
              </w:rPr>
              <w:footnoteReference w:id="108"/>
            </w:r>
            <w:r w:rsidRPr="00F70554">
              <w:t xml:space="preserve"> and animals</w:t>
            </w:r>
            <w:r w:rsidRPr="00F70554">
              <w:rPr>
                <w:rStyle w:val="FootnoteReference"/>
              </w:rPr>
              <w:footnoteReference w:id="109"/>
            </w:r>
            <w:r w:rsidRPr="00F70554">
              <w:t xml:space="preserve"> as online trade is difficult to monitor and regulate.</w:t>
            </w:r>
          </w:p>
          <w:p w14:paraId="166B5858" w14:textId="236A2800" w:rsidR="00A1531D" w:rsidRPr="00F70554" w:rsidRDefault="00A1531D" w:rsidP="00F12734">
            <w:pPr>
              <w:spacing w:before="60" w:after="60"/>
            </w:pPr>
            <w:r w:rsidRPr="00F70554">
              <w:t>To mitigate risks associated with intentional introductions via international trade, countries have adopted legislation that either bans priority IAS from being in trade, or lists species that are allowed to be traded, referred to as a ‘positive list’</w:t>
            </w:r>
            <w:r w:rsidRPr="00F70554">
              <w:rPr>
                <w:rStyle w:val="FootnoteReference"/>
              </w:rPr>
              <w:footnoteReference w:id="110"/>
            </w:r>
            <w:r w:rsidRPr="00F70554">
              <w:t xml:space="preserve"> which is often focused on exotic pet animals. In addition, and especially to prevent the unintentional introduction of alien species, countries have implemented biosecurity practices such as border quarantine and inspections, primarily to protect agriculture. As IAS have broad-scale impacts across sectors, it would be beneficial to consider cross-sectoral and integrated approaches such as One Health and One Biosecurity, where relevant national authorities responsible for identifying and managing risks to the environment and biodiversity, agriculture, and human health are working together.</w:t>
            </w:r>
            <w:r w:rsidRPr="00F70554">
              <w:rPr>
                <w:rStyle w:val="FootnoteReference"/>
              </w:rPr>
              <w:footnoteReference w:id="111"/>
            </w:r>
            <w:r w:rsidRPr="00F70554">
              <w:t xml:space="preserve"> However, due to the volume of trade, only a fraction of imported commodities and containers can realistically be inspected and are therefore not 100% effective</w:t>
            </w:r>
            <w:r w:rsidRPr="00F70554">
              <w:rPr>
                <w:rStyle w:val="FootnoteReference"/>
              </w:rPr>
              <w:footnoteReference w:id="112"/>
            </w:r>
            <w:r w:rsidRPr="00F70554">
              <w:t xml:space="preserve"> highlighting the need for additional surveillance measures to detect new incursions at an early stage. </w:t>
            </w:r>
          </w:p>
          <w:p w14:paraId="51B8E512" w14:textId="1FBFE0B2" w:rsidR="00A1531D" w:rsidRPr="00F70554" w:rsidRDefault="00A1531D" w:rsidP="00F12734">
            <w:pPr>
              <w:pStyle w:val="FootnoteText"/>
              <w:spacing w:before="60" w:after="60"/>
              <w:jc w:val="both"/>
            </w:pPr>
            <w:r w:rsidRPr="00F70554">
              <w:rPr>
                <w:sz w:val="22"/>
                <w:szCs w:val="24"/>
              </w:rPr>
              <w:t>There are international agreements with associated standards and guidance that aim to manage some of the trade-related pathways of introduction. In relation to the marine environment, the International Convention for the Control and Management of Ships’ Ballast Water and Sediments (BWM Convention) has been in force since 2017, and the International Maritime Organization (IMO) has published the 2023 Guidelines for the control and management of ships’ biofouling to minimize the transfer of invasive aquatic species. In relation to plant and animal health, the World Organisation for Animal Health (WOAH)</w:t>
            </w:r>
            <w:r w:rsidRPr="00F70554">
              <w:rPr>
                <w:rStyle w:val="FootnoteReference"/>
                <w:sz w:val="22"/>
                <w:szCs w:val="24"/>
              </w:rPr>
              <w:footnoteReference w:id="113"/>
            </w:r>
            <w:r w:rsidRPr="00F70554">
              <w:rPr>
                <w:sz w:val="22"/>
                <w:szCs w:val="24"/>
              </w:rPr>
              <w:t xml:space="preserve"> and the International Plant Protection Convention (IPPC)</w:t>
            </w:r>
            <w:r w:rsidRPr="00F70554">
              <w:rPr>
                <w:rStyle w:val="FootnoteReference"/>
                <w:sz w:val="22"/>
                <w:szCs w:val="24"/>
              </w:rPr>
              <w:footnoteReference w:id="114"/>
            </w:r>
            <w:r w:rsidRPr="00F70554">
              <w:rPr>
                <w:sz w:val="22"/>
                <w:szCs w:val="24"/>
              </w:rPr>
              <w:t xml:space="preserve"> are the standard-setting bodies under the World Trade Organization´s Agreement on the Application of Sanitary and Phytosanitary Measures (SPS Agreement).</w:t>
            </w:r>
            <w:r w:rsidRPr="00F70554">
              <w:rPr>
                <w:rStyle w:val="FootnoteReference"/>
                <w:sz w:val="22"/>
                <w:szCs w:val="24"/>
              </w:rPr>
              <w:footnoteReference w:id="115"/>
            </w:r>
            <w:r w:rsidRPr="00F70554">
              <w:rPr>
                <w:sz w:val="22"/>
                <w:szCs w:val="24"/>
              </w:rPr>
              <w:t xml:space="preserve"> The IPPC also has published guidance on sea container supply chains and cleanliness to minimise pest contamination.</w:t>
            </w:r>
            <w:r w:rsidRPr="00F70554">
              <w:rPr>
                <w:rStyle w:val="FootnoteReference"/>
                <w:sz w:val="22"/>
                <w:szCs w:val="24"/>
              </w:rPr>
              <w:footnoteReference w:id="116"/>
            </w:r>
            <w:r w:rsidRPr="00F70554">
              <w:rPr>
                <w:sz w:val="22"/>
                <w:szCs w:val="24"/>
              </w:rPr>
              <w:t xml:space="preserve"> However, a gap exists within the international SPS regulatory framework related to invasive alien animals that are neither plant pests nor WOAH-listed pathogens and parasites.</w:t>
            </w:r>
            <w:r w:rsidRPr="00F70554">
              <w:rPr>
                <w:rStyle w:val="FootnoteReference"/>
              </w:rPr>
              <w:footnoteReference w:id="117"/>
            </w:r>
          </w:p>
          <w:p w14:paraId="465B51AD" w14:textId="55B2532E" w:rsidR="00A1531D" w:rsidRPr="00F70554" w:rsidRDefault="00A1531D" w:rsidP="00AC4386">
            <w:r w:rsidRPr="00F70554">
              <w:rPr>
                <w:b/>
                <w:bCs/>
              </w:rPr>
              <w:t xml:space="preserve">Information needs </w:t>
            </w:r>
          </w:p>
          <w:p w14:paraId="5037E316" w14:textId="4512E2B3" w:rsidR="00A1531D" w:rsidRPr="00F70554" w:rsidRDefault="00A1531D" w:rsidP="00F12734">
            <w:pPr>
              <w:pStyle w:val="CBDNormal"/>
              <w:spacing w:before="60" w:after="60"/>
            </w:pPr>
            <w:r w:rsidRPr="00F70554">
              <w:t xml:space="preserve">To reduce the risk of the introduction and establishment of IAS via the trade sector, information and data is needed to inform the implementation of a broad spectrum of measures, including risk assessments to help prioritise IAS and justify </w:t>
            </w:r>
            <w:r w:rsidR="006402DC" w:rsidRPr="00F70554">
              <w:t xml:space="preserve">trade </w:t>
            </w:r>
            <w:r w:rsidR="00875964" w:rsidRPr="00F70554">
              <w:t>regulatory safeguards</w:t>
            </w:r>
            <w:r w:rsidRPr="00F70554">
              <w:t>, inspection controls to detect IAS at borders, vector management to prevent transport of IAS, and early detection and rapid response to prevent establishment of incursions of alien species.</w:t>
            </w:r>
          </w:p>
          <w:p w14:paraId="6F375D9C" w14:textId="248EEFAC" w:rsidR="00A1531D" w:rsidRPr="00F70554" w:rsidRDefault="00A1531D" w:rsidP="00F12734">
            <w:pPr>
              <w:pStyle w:val="CBDNormal"/>
              <w:spacing w:before="60" w:after="60"/>
            </w:pPr>
            <w:r w:rsidRPr="00F70554">
              <w:t xml:space="preserve">To increase the effectiveness of </w:t>
            </w:r>
            <w:r w:rsidR="006402DC" w:rsidRPr="00F70554">
              <w:t xml:space="preserve">trade </w:t>
            </w:r>
            <w:r w:rsidR="00940276" w:rsidRPr="00F70554">
              <w:t>regulatory safeguards</w:t>
            </w:r>
            <w:r w:rsidRPr="00F70554">
              <w:t>, access to information and awareness-raising materials on regulated species by key sectors and the public is required. In addition, information on IAS that are regulated in different countries would also be useful to support pre-</w:t>
            </w:r>
            <w:r w:rsidRPr="00F70554">
              <w:lastRenderedPageBreak/>
              <w:t>border measures by raising awareness with exporters, and possibly e-commerce platforms, so that they know which species cannot be exported to a particular country.</w:t>
            </w:r>
          </w:p>
          <w:p w14:paraId="3A0F2C7F" w14:textId="77777777" w:rsidR="00A1531D" w:rsidRPr="00F70554" w:rsidRDefault="00A1531D" w:rsidP="00AC4386">
            <w:r w:rsidRPr="00F70554">
              <w:t>To support customs authorities in taking a risk-based approach and targeting inspections where they are most needed, information on which commodities are a high risk, and any specific commodity-IAS associations (e.g. plants with soil and ants) is required. This also necessitates the timely flow of import declarations, certificates of origin, and plant health certificates, prior to the goods arriving in the country. The accurate labelling of goods is also critical, and for trade in live plants and animals, labelling to a species level would greatly assist in informing authorities of the import of regulated or potential IAS pre-border. Customs also need access to identification guides and surveillance protocols for both regulated IAS and priority IAS that are likely to be traded or imported as a contaminant of commodities, along with access to expertise to support species identification. There will be an increasing need for information and data to support the use of novel technologies for inspections, for example, the use of molecular bio-surveillance (environmental DNA) to identify regulated and other IAS in containers and commodities.</w:t>
            </w:r>
            <w:r w:rsidRPr="00F70554">
              <w:rPr>
                <w:rStyle w:val="FootnoteReference"/>
              </w:rPr>
              <w:footnoteReference w:id="118"/>
            </w:r>
          </w:p>
          <w:p w14:paraId="732AE3AB" w14:textId="77777777" w:rsidR="00A1531D" w:rsidRPr="00F70554" w:rsidRDefault="00A1531D" w:rsidP="00AC4386"/>
        </w:tc>
      </w:tr>
    </w:tbl>
    <w:p w14:paraId="3B2A70A3" w14:textId="77777777" w:rsidR="00A1531D" w:rsidRPr="00F70554" w:rsidRDefault="00A1531D" w:rsidP="00A1531D"/>
    <w:p w14:paraId="662FE19F" w14:textId="77777777" w:rsidR="00A1531D" w:rsidRPr="00F70554" w:rsidRDefault="00A1531D" w:rsidP="00F12734">
      <w:pPr>
        <w:pStyle w:val="Heading2"/>
        <w:numPr>
          <w:ilvl w:val="0"/>
          <w:numId w:val="6"/>
        </w:numPr>
        <w:tabs>
          <w:tab w:val="num" w:pos="1247"/>
        </w:tabs>
        <w:ind w:left="567" w:hanging="567"/>
        <w:rPr>
          <w:rFonts w:hint="eastAsia"/>
        </w:rPr>
      </w:pPr>
      <w:bookmarkStart w:id="8" w:name="_Toc202512542"/>
      <w:r w:rsidRPr="00F70554">
        <w:t>How data accessibility can be improved</w:t>
      </w:r>
      <w:bookmarkEnd w:id="8"/>
    </w:p>
    <w:p w14:paraId="0825708B" w14:textId="0CD2640D" w:rsidR="00F51104" w:rsidRPr="00F70554" w:rsidRDefault="00A1531D" w:rsidP="00F12734">
      <w:pPr>
        <w:pStyle w:val="CBDNormal"/>
        <w:spacing w:before="120" w:after="120"/>
      </w:pPr>
      <w:r w:rsidRPr="00F70554">
        <w:t>Wallace et al. (2020) propose a set of guiding principles to improve information sharing among IAS information systems in the United States of America. Many of their recommendations, while focused on national data accessibility, are also relevant to the global context. For example, rather than developing a single information system, they recommend promoting interfaces among existing systems that will enable them to become interoperable, to foster access, and to deliver to end users or applications. Their proposed actions to achieve this include: a campaign to mobilise information into publicly accessible data systems; maintaining a selection of data aggregators through which relevant data can be shared; establishing data sharing agreements between key data providers; mobilising occurrence data into data aggregators with appropriate analytical and decision support tools; use of a shared and comprehensive taxonomic system; the use of data standards; and encourage and sharing information on management options.</w:t>
      </w:r>
    </w:p>
    <w:p w14:paraId="1593A525" w14:textId="48D8789A" w:rsidR="00F51104" w:rsidRPr="00F70554" w:rsidRDefault="00A1531D" w:rsidP="00F12734">
      <w:pPr>
        <w:pStyle w:val="CBDNormal"/>
        <w:spacing w:before="120" w:after="120"/>
      </w:pPr>
      <w:r w:rsidRPr="00F70554">
        <w:t xml:space="preserve">There are several opportunities, based on the FAIR principles, to improve the accessibility of data and information on IAS through existing global systems (see Figure 2). </w:t>
      </w:r>
    </w:p>
    <w:p w14:paraId="676864E1" w14:textId="77777777" w:rsidR="00A1531D" w:rsidRPr="00F70554" w:rsidRDefault="00A1531D" w:rsidP="00F12734">
      <w:pPr>
        <w:pStyle w:val="CBDNormal"/>
        <w:spacing w:before="120" w:after="120"/>
      </w:pPr>
      <w:r w:rsidRPr="00F70554">
        <w:t xml:space="preserve">Firstly, the use of </w:t>
      </w:r>
      <w:r w:rsidRPr="00F70554">
        <w:rPr>
          <w:b/>
        </w:rPr>
        <w:t>globally accepted data and metadata standards</w:t>
      </w:r>
      <w:r w:rsidRPr="00F70554">
        <w:t xml:space="preserve"> and classification schemes</w:t>
      </w:r>
      <w:r w:rsidRPr="00F70554">
        <w:rPr>
          <w:rStyle w:val="FootnoteReference"/>
        </w:rPr>
        <w:footnoteReference w:id="119"/>
      </w:r>
      <w:r w:rsidRPr="00F70554">
        <w:t xml:space="preserve"> should be promoted and adopted across global and national data providers. This will strengthen interoperability between data providers and with data aggregators, improve accessibility as data can be scaled up from national datasets into regional and global datasets (and vice versa), and facilitate the development and sharing of automated workflows and modelling to support decision-making processes. It will also allow data to be comparable from across regions and time, for example, on the establishment of alien species, or the magnitude of IAS impacts, enabling the application of indicators to monitor change and track progress towards global targets, including the rate of establishment headline indicator for Target 6 of the Framework. </w:t>
      </w:r>
    </w:p>
    <w:p w14:paraId="73F9916D" w14:textId="031D7487" w:rsidR="00F51104" w:rsidRPr="00F70554" w:rsidRDefault="00A1531D" w:rsidP="00F12734">
      <w:pPr>
        <w:pStyle w:val="CBDNormal"/>
        <w:spacing w:before="120" w:after="120"/>
      </w:pPr>
      <w:r w:rsidRPr="00F70554">
        <w:t xml:space="preserve">Data providers, at a national and global level, and academics should be encouraged to make data available in a timely manner and under </w:t>
      </w:r>
      <w:r w:rsidRPr="00F70554">
        <w:rPr>
          <w:b/>
          <w:bCs/>
        </w:rPr>
        <w:t>open licenses</w:t>
      </w:r>
      <w:r w:rsidRPr="00F70554">
        <w:t xml:space="preserve"> to improve reusability and accessibility and increase the speed at which data and information are made available. Open licences allow the data to be shared, updated, and improved by others, customised for new purposes, and for derivatives to be created.  However, there may be instances where data privacy is needed,</w:t>
      </w:r>
      <w:r w:rsidRPr="00F70554">
        <w:rPr>
          <w:rStyle w:val="FootnoteReference"/>
        </w:rPr>
        <w:footnoteReference w:id="120"/>
      </w:r>
      <w:r w:rsidRPr="00F70554">
        <w:t xml:space="preserve"> also</w:t>
      </w:r>
      <w:r w:rsidR="00DD66EC" w:rsidRPr="00F70554">
        <w:t>,</w:t>
      </w:r>
      <w:r w:rsidRPr="00F70554">
        <w:t xml:space="preserve"> some data providers use data licencing </w:t>
      </w:r>
      <w:proofErr w:type="gramStart"/>
      <w:r w:rsidRPr="00F70554">
        <w:t>as a way to</w:t>
      </w:r>
      <w:proofErr w:type="gramEnd"/>
      <w:r w:rsidRPr="00F70554">
        <w:t xml:space="preserve"> generate income needed to support the maintenance and expansion of datasets.</w:t>
      </w:r>
    </w:p>
    <w:p w14:paraId="5DA995C7" w14:textId="2BA6D164" w:rsidR="00F51104" w:rsidRPr="00F70554" w:rsidRDefault="00A1531D" w:rsidP="00F12734">
      <w:pPr>
        <w:spacing w:before="120" w:after="120"/>
      </w:pPr>
      <w:r w:rsidRPr="00F70554">
        <w:t xml:space="preserve">Data providers should also publish data and information with a </w:t>
      </w:r>
      <w:r w:rsidRPr="00F70554">
        <w:rPr>
          <w:b/>
          <w:bCs/>
        </w:rPr>
        <w:t xml:space="preserve">DOI </w:t>
      </w:r>
      <w:r w:rsidRPr="00F70554">
        <w:t xml:space="preserve">where appropriate, as it provides a unique identifier and permanent web-link ensuring access over time, and as they are registered with </w:t>
      </w:r>
      <w:r w:rsidRPr="00F70554">
        <w:lastRenderedPageBreak/>
        <w:t xml:space="preserve">metadata, it makes them more findable through search engines. The use of </w:t>
      </w:r>
      <w:r w:rsidRPr="00F70554">
        <w:rPr>
          <w:b/>
          <w:bCs/>
        </w:rPr>
        <w:t xml:space="preserve">Search Engine Optimisation, </w:t>
      </w:r>
      <w:r w:rsidRPr="00F70554">
        <w:t>including the full use of metadata fields, succinct page titles, and correct use of keywords</w:t>
      </w:r>
      <w:r w:rsidRPr="00F70554">
        <w:rPr>
          <w:rStyle w:val="FootnoteReference"/>
        </w:rPr>
        <w:footnoteReference w:id="121"/>
      </w:r>
      <w:r w:rsidRPr="00F70554">
        <w:rPr>
          <w:b/>
          <w:bCs/>
        </w:rPr>
        <w:t xml:space="preserve"> </w:t>
      </w:r>
      <w:r w:rsidRPr="00F70554">
        <w:t xml:space="preserve">will also improve the findability of datasets. </w:t>
      </w:r>
    </w:p>
    <w:p w14:paraId="3C9C17E2" w14:textId="615C2948" w:rsidR="00F51104" w:rsidRPr="00F70554" w:rsidRDefault="00A1531D" w:rsidP="00F12734">
      <w:pPr>
        <w:spacing w:before="120" w:after="120"/>
      </w:pPr>
      <w:r w:rsidRPr="00F70554">
        <w:t xml:space="preserve">One key challenge is the </w:t>
      </w:r>
      <w:r w:rsidRPr="00F70554">
        <w:rPr>
          <w:b/>
          <w:bCs/>
        </w:rPr>
        <w:t>language barrier</w:t>
      </w:r>
      <w:r w:rsidRPr="00F70554">
        <w:t>, for example, 98% of scientific peer-reviewed literature is published in English.</w:t>
      </w:r>
      <w:r w:rsidRPr="00F70554">
        <w:rPr>
          <w:rStyle w:val="FootnoteReference"/>
        </w:rPr>
        <w:footnoteReference w:id="122"/>
      </w:r>
      <w:r w:rsidRPr="00F70554">
        <w:t xml:space="preserve"> While having a common language is useful for scientific and technical communication, it creates major barriers in both accessing and publishing data and information for those who speak other languages. Costs of translations can be </w:t>
      </w:r>
      <w:proofErr w:type="gramStart"/>
      <w:r w:rsidRPr="00F70554">
        <w:t>high,</w:t>
      </w:r>
      <w:proofErr w:type="gramEnd"/>
      <w:r w:rsidRPr="00F70554">
        <w:t xml:space="preserve"> however, this barrier is being addressed through the increasing effectiveness of online translation tools, and the rapid development of Artificial Intelligence tools to translate documents and generate automated subtitles that can support real-time interpretation between languages. </w:t>
      </w:r>
    </w:p>
    <w:p w14:paraId="7299938B" w14:textId="77777777" w:rsidR="00A1531D" w:rsidRPr="00F70554" w:rsidRDefault="00A1531D" w:rsidP="00F12734">
      <w:pPr>
        <w:spacing w:before="120" w:after="120"/>
      </w:pPr>
      <w:r w:rsidRPr="00F70554">
        <w:t xml:space="preserve">The role of </w:t>
      </w:r>
      <w:r w:rsidRPr="00F70554">
        <w:rPr>
          <w:b/>
          <w:bCs/>
        </w:rPr>
        <w:t>Artificial Intelligence and Large Language Models (LLMs)</w:t>
      </w:r>
      <w:r w:rsidRPr="00F70554">
        <w:t xml:space="preserve"> should also be investigated to see how they can support the filling of data gaps, modelling, and workflows to improve the availability and accessibility of data and information. For example, this could be through text mining to generate information on IAS, their impacts, distribution, pathways, and management, through predictive modelling to identify future IAS, or by supporting early detection by processing social media or citizen science posts.</w:t>
      </w:r>
    </w:p>
    <w:p w14:paraId="737612E5" w14:textId="1B5B2838" w:rsidR="00F51104" w:rsidRPr="00F70554" w:rsidRDefault="00A1531D" w:rsidP="00F12734">
      <w:pPr>
        <w:spacing w:before="120" w:after="120"/>
      </w:pPr>
      <w:r w:rsidRPr="00F70554">
        <w:t>Data providers and aggregators, at both national and global levels, should be encouraged to use</w:t>
      </w:r>
      <w:r w:rsidRPr="00F70554">
        <w:rPr>
          <w:b/>
          <w:bCs/>
        </w:rPr>
        <w:t xml:space="preserve"> Application Programming Interfaces (APIs)</w:t>
      </w:r>
      <w:r w:rsidRPr="00F70554">
        <w:t xml:space="preserve"> to support interoperability with other datasets. This will allow users to automatically access up-to-date data, rather than having to manually retrieve them via downloads. Using APIs increases the speed at which data can be used, for example, to support early warning systems at a national level or update global checklists of alien species. They also support innovative use of data through the development of new tools such as automated workflows, mobile applications, and analysis and data visualizations.</w:t>
      </w:r>
    </w:p>
    <w:p w14:paraId="457DAF76" w14:textId="1212DE59" w:rsidR="00F51104" w:rsidRPr="00F70554" w:rsidRDefault="00A1531D" w:rsidP="00F12734">
      <w:pPr>
        <w:spacing w:before="120" w:after="120"/>
      </w:pPr>
      <w:r w:rsidRPr="00F70554">
        <w:t xml:space="preserve">It is recommended that global data providers and aggregators take a </w:t>
      </w:r>
      <w:r w:rsidRPr="00F70554">
        <w:rPr>
          <w:b/>
          <w:bCs/>
        </w:rPr>
        <w:t>strategic and collaborative approach to meeting data provision needs for Target 6,</w:t>
      </w:r>
      <w:r w:rsidRPr="00F70554">
        <w:t xml:space="preserve"> for example, through the adoption of data sharing or mobilisation agreements and partnerships. In addition, given that the lack of resources is a major challenge for global IAS data providers, a joint resource mobilisation approach is needed to address data gaps, improve data accessibility, and jointly build automated workflows to facilitate data flow between data providers, including from national level to global datasets.</w:t>
      </w:r>
      <w:r w:rsidRPr="00F70554">
        <w:rPr>
          <w:rStyle w:val="FootnoteReference"/>
        </w:rPr>
        <w:footnoteReference w:id="123"/>
      </w:r>
      <w:r w:rsidRPr="00F70554">
        <w:t xml:space="preserve"> </w:t>
      </w:r>
    </w:p>
    <w:p w14:paraId="1032ED9F" w14:textId="6E67B63D" w:rsidR="00F51104" w:rsidRPr="00F70554" w:rsidRDefault="00A1531D" w:rsidP="00F12734">
      <w:pPr>
        <w:spacing w:before="120" w:after="120"/>
      </w:pPr>
      <w:r w:rsidRPr="00F70554">
        <w:t xml:space="preserve">Making IAS data more accessible across global and national IAS data providers, </w:t>
      </w:r>
      <w:proofErr w:type="gramStart"/>
      <w:r w:rsidRPr="00F70554">
        <w:t>in particular through</w:t>
      </w:r>
      <w:proofErr w:type="gramEnd"/>
      <w:r w:rsidRPr="00F70554">
        <w:t xml:space="preserve"> the adoption of data standards, use of open access licences and APIs, will also facilitate collaboration and data sharing with other sectors. </w:t>
      </w:r>
    </w:p>
    <w:p w14:paraId="5EC8C386" w14:textId="77777777" w:rsidR="00A1531D" w:rsidRPr="00F70554" w:rsidRDefault="00A1531D" w:rsidP="00F12734">
      <w:pPr>
        <w:spacing w:before="120" w:after="120"/>
      </w:pPr>
      <w:r w:rsidRPr="00F70554">
        <w:t>However, making data and information ‘</w:t>
      </w:r>
      <w:proofErr w:type="gramStart"/>
      <w:r w:rsidRPr="00F70554">
        <w:t>more FAIR</w:t>
      </w:r>
      <w:proofErr w:type="gramEnd"/>
      <w:r w:rsidRPr="00F70554">
        <w:t>’ will only solve part of the problem of increasing their uptake to inform IAS policy and practice. To ensure that accessible data is not being ‘under-used’ they need to</w:t>
      </w:r>
      <w:r w:rsidRPr="00F70554">
        <w:rPr>
          <w:b/>
          <w:bCs/>
        </w:rPr>
        <w:t xml:space="preserve"> suit the needs of the end user groups</w:t>
      </w:r>
      <w:r w:rsidRPr="00F70554">
        <w:t>, whether this is for research, policy, or practice. This includes by filling in key data gaps.</w:t>
      </w:r>
      <w:r w:rsidRPr="00F70554">
        <w:rPr>
          <w:rStyle w:val="FootnoteReference"/>
        </w:rPr>
        <w:footnoteReference w:id="124"/>
      </w:r>
      <w:r w:rsidRPr="00F70554">
        <w:t xml:space="preserve"> To ensure that data meets the needs of end users, there needs to be engagement between the global data providers and their users, such as policy makers, academics, civil society organizations, indigenous peoples and local communities, and national data providers. This could result in the development of separate interfaces for different user groups (or provide stakeholder-specific awareness-</w:t>
      </w:r>
      <w:r w:rsidRPr="00F70554">
        <w:lastRenderedPageBreak/>
        <w:t>raising materials to promote data and information uptake), and the development of novel tools to display data and information to increase accessibility to non-experts, and to support analysis and modelling, such as the sharing of code so that low capacity countries can replicate tools and workflows.</w:t>
      </w:r>
    </w:p>
    <w:p w14:paraId="5701DEEB" w14:textId="77777777" w:rsidR="00A1531D" w:rsidRPr="00F70554" w:rsidRDefault="00A1531D" w:rsidP="00A1531D">
      <w:pPr>
        <w:rPr>
          <w:i/>
          <w:iCs/>
        </w:rPr>
      </w:pPr>
    </w:p>
    <w:p w14:paraId="7DD1C525" w14:textId="77777777" w:rsidR="00A1531D" w:rsidRPr="00F70554" w:rsidRDefault="00A1531D" w:rsidP="00A1531D">
      <w:r w:rsidRPr="00F70554">
        <w:rPr>
          <w:noProof/>
        </w:rPr>
        <w:drawing>
          <wp:inline distT="0" distB="0" distL="0" distR="0" wp14:anchorId="19E7307E" wp14:editId="0803486C">
            <wp:extent cx="5724525" cy="3714750"/>
            <wp:effectExtent l="0" t="0" r="0" b="0"/>
            <wp:docPr id="1057838336" name="drawing" descr="A diagram of a global databa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838336" name="drawing" descr="A diagram of a global database&#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5724525" cy="3714750"/>
                    </a:xfrm>
                    <a:prstGeom prst="rect">
                      <a:avLst/>
                    </a:prstGeom>
                  </pic:spPr>
                </pic:pic>
              </a:graphicData>
            </a:graphic>
          </wp:inline>
        </w:drawing>
      </w:r>
    </w:p>
    <w:p w14:paraId="523333EF" w14:textId="26009F75" w:rsidR="00A1531D" w:rsidRPr="00F70554" w:rsidRDefault="00A1531D" w:rsidP="00F12734">
      <w:pPr>
        <w:pStyle w:val="Heading4"/>
        <w:numPr>
          <w:ilvl w:val="0"/>
          <w:numId w:val="0"/>
        </w:numPr>
      </w:pPr>
      <w:r w:rsidRPr="00F70554">
        <w:t>Figure 2</w:t>
      </w:r>
      <w:r w:rsidR="00002F3A">
        <w:t>.</w:t>
      </w:r>
      <w:r w:rsidRPr="00F70554">
        <w:t xml:space="preserve"> Infographic on improving national data provision and flow to international datasets</w:t>
      </w:r>
    </w:p>
    <w:p w14:paraId="115C4573" w14:textId="77777777" w:rsidR="00A1531D" w:rsidRPr="00F70554" w:rsidRDefault="00A1531D" w:rsidP="00F12734">
      <w:pPr>
        <w:pStyle w:val="Heading2"/>
        <w:numPr>
          <w:ilvl w:val="0"/>
          <w:numId w:val="6"/>
        </w:numPr>
        <w:tabs>
          <w:tab w:val="num" w:pos="1247"/>
        </w:tabs>
        <w:ind w:left="567" w:hanging="567"/>
        <w:rPr>
          <w:rFonts w:hint="eastAsia"/>
        </w:rPr>
      </w:pPr>
      <w:bookmarkStart w:id="9" w:name="_Toc202512543"/>
      <w:r w:rsidRPr="00F70554">
        <w:t>Conclusions and recommendations</w:t>
      </w:r>
      <w:bookmarkEnd w:id="9"/>
    </w:p>
    <w:p w14:paraId="5D9C3974" w14:textId="5ED79959" w:rsidR="00F51104" w:rsidRPr="00F70554" w:rsidRDefault="00A1531D" w:rsidP="00F12734">
      <w:pPr>
        <w:spacing w:before="120" w:after="120"/>
      </w:pPr>
      <w:r w:rsidRPr="00F70554">
        <w:t xml:space="preserve">The following recommendations are proposed for the Convention on Biological Diversity and the Inter-Agency Liaison Group on Invasive Alien Species on how they can support global efforts in improving the accessibility of data and information on IAS: </w:t>
      </w:r>
    </w:p>
    <w:p w14:paraId="0892AEA5" w14:textId="21C6289C" w:rsidR="00F51104" w:rsidRPr="00F70554" w:rsidRDefault="00A1531D" w:rsidP="00F12734">
      <w:pPr>
        <w:spacing w:before="120" w:after="120"/>
      </w:pPr>
      <w:r w:rsidRPr="00F70554">
        <w:rPr>
          <w:b/>
          <w:bCs/>
        </w:rPr>
        <w:t xml:space="preserve">No new single </w:t>
      </w:r>
      <w:r w:rsidR="00D03D62" w:rsidRPr="00F70554">
        <w:rPr>
          <w:b/>
          <w:bCs/>
        </w:rPr>
        <w:t>invasive alien species</w:t>
      </w:r>
      <w:r w:rsidRPr="00F70554">
        <w:rPr>
          <w:b/>
          <w:bCs/>
        </w:rPr>
        <w:t xml:space="preserve"> data portal is needed, instead we recommend the use of the Convention on Biological Diversity´s website</w:t>
      </w:r>
      <w:r w:rsidRPr="00F70554">
        <w:rPr>
          <w:rStyle w:val="FootnoteReference"/>
          <w:b/>
          <w:bCs/>
        </w:rPr>
        <w:footnoteReference w:id="125"/>
      </w:r>
      <w:r w:rsidRPr="00F70554">
        <w:rPr>
          <w:b/>
          <w:bCs/>
        </w:rPr>
        <w:t xml:space="preserve"> as a ‘hub’ or central clearing house</w:t>
      </w:r>
      <w:r w:rsidRPr="00F70554">
        <w:t>. This could serve as a single point of entry for Parties, and other relevant institutions and stakeholders, where they could be ‘sign-posted’ to data and information relevant for meeting Target 6 of the Framework. However, this will require resources and dedicated management of the site.</w:t>
      </w:r>
    </w:p>
    <w:p w14:paraId="6570D168" w14:textId="05A0508B" w:rsidR="00F51104" w:rsidRPr="00F70554" w:rsidRDefault="00A1531D" w:rsidP="00F12734">
      <w:pPr>
        <w:spacing w:before="120" w:after="120"/>
      </w:pPr>
      <w:r w:rsidRPr="00F70554">
        <w:rPr>
          <w:b/>
          <w:bCs/>
        </w:rPr>
        <w:t>To improve the accessibility of data and information for Target 6, it is essential to identify and establish key collaborations and partnerships</w:t>
      </w:r>
      <w:r w:rsidRPr="00F70554">
        <w:t>. These can be strengthened through formal agreements, such as Memoranda of Understanding (</w:t>
      </w:r>
      <w:proofErr w:type="spellStart"/>
      <w:r w:rsidRPr="00F70554">
        <w:t>MoUs</w:t>
      </w:r>
      <w:proofErr w:type="spellEnd"/>
      <w:r w:rsidRPr="00F70554">
        <w:t>). Partnerships should include key data providers and aggregators from the Inter-Agency Liaison Group on Invasive Alien Species, as well as other relevant institutions, with the aim of:</w:t>
      </w:r>
    </w:p>
    <w:p w14:paraId="34B259E7" w14:textId="77777777" w:rsidR="00A1531D" w:rsidRPr="00F70554" w:rsidRDefault="00A1531D" w:rsidP="00292535">
      <w:pPr>
        <w:pStyle w:val="ListParagraph"/>
        <w:numPr>
          <w:ilvl w:val="0"/>
          <w:numId w:val="7"/>
        </w:numPr>
        <w:tabs>
          <w:tab w:val="clear" w:pos="567"/>
          <w:tab w:val="clear" w:pos="1134"/>
          <w:tab w:val="clear" w:pos="1701"/>
          <w:tab w:val="clear" w:pos="2268"/>
        </w:tabs>
        <w:spacing w:after="160" w:line="259" w:lineRule="auto"/>
      </w:pPr>
      <w:r w:rsidRPr="00F70554">
        <w:rPr>
          <w:b/>
          <w:bCs/>
        </w:rPr>
        <w:t>Increasing the accessibility of data and information</w:t>
      </w:r>
      <w:r w:rsidRPr="00F70554">
        <w:t>. For example, updating existing global datasets so that they conform to global standards (e.g. Darwin core, pathways of introduction, EICAT), establishing API’s so that data can be interoperable between datasets, and the development of automated workflows and tools to support transfer of data from national to global datasets (e.g. on alien species checklists).</w:t>
      </w:r>
    </w:p>
    <w:p w14:paraId="392FC6B1" w14:textId="77777777" w:rsidR="00A1531D" w:rsidRPr="00F70554" w:rsidRDefault="00A1531D" w:rsidP="00292535">
      <w:pPr>
        <w:pStyle w:val="ListParagraph"/>
        <w:numPr>
          <w:ilvl w:val="0"/>
          <w:numId w:val="7"/>
        </w:numPr>
        <w:tabs>
          <w:tab w:val="clear" w:pos="567"/>
          <w:tab w:val="clear" w:pos="1134"/>
          <w:tab w:val="clear" w:pos="1701"/>
          <w:tab w:val="clear" w:pos="2268"/>
        </w:tabs>
        <w:spacing w:after="160" w:line="259" w:lineRule="auto"/>
      </w:pPr>
      <w:r w:rsidRPr="00F70554">
        <w:rPr>
          <w:b/>
          <w:bCs/>
        </w:rPr>
        <w:lastRenderedPageBreak/>
        <w:t>Filling key data gaps.</w:t>
      </w:r>
      <w:r w:rsidRPr="00F70554">
        <w:t xml:space="preserve"> For example, data on IAS management effectiveness and costs, on IAS invertebrates and micro-organisms, viruses and pathogens, and on the marine environment. In addition, completing species accounts with EICAT and SEICAT assessments on the magnitude of impacts within the IUCN GISD for the 3,500 IAS identified through The Assessment, improving data flow for large parts of Africa and central Asia into global datasets, sharing of IAS risk assessments, and exploring how AI and LLMs can be used to support filling of data gaps and making it accessible across languages. </w:t>
      </w:r>
    </w:p>
    <w:p w14:paraId="78E6361F" w14:textId="77777777" w:rsidR="00A1531D" w:rsidRPr="00F70554" w:rsidRDefault="00A1531D" w:rsidP="00292535">
      <w:pPr>
        <w:pStyle w:val="ListParagraph"/>
        <w:numPr>
          <w:ilvl w:val="0"/>
          <w:numId w:val="7"/>
        </w:numPr>
        <w:tabs>
          <w:tab w:val="clear" w:pos="567"/>
          <w:tab w:val="clear" w:pos="1134"/>
          <w:tab w:val="clear" w:pos="1701"/>
          <w:tab w:val="clear" w:pos="2268"/>
        </w:tabs>
        <w:spacing w:after="160" w:line="259" w:lineRule="auto"/>
      </w:pPr>
      <w:r w:rsidRPr="00F70554">
        <w:rPr>
          <w:b/>
          <w:bCs/>
        </w:rPr>
        <w:t xml:space="preserve">Ensuring that data are meeting end-user needs. </w:t>
      </w:r>
      <w:r w:rsidRPr="00F70554">
        <w:t>For example, engagement with key sectors, such as tourism and trade, governments, civil society organisations, and indigenous peoples and local communities to understand their needs and develop relevant outputs, tools, and interfaces to support their uptake and use of data and information. Engagement should include capacity building to support the sharing of data from these sectors and groups back into global datasets. There also needs to be targeted awareness-raising activities on the data and information available, and how they can support the implementation of measures towards Target 6.</w:t>
      </w:r>
    </w:p>
    <w:p w14:paraId="32B7463D" w14:textId="77777777" w:rsidR="00A1531D" w:rsidRPr="00F70554" w:rsidRDefault="00A1531D" w:rsidP="00292535">
      <w:pPr>
        <w:pStyle w:val="ListParagraph"/>
        <w:numPr>
          <w:ilvl w:val="0"/>
          <w:numId w:val="7"/>
        </w:numPr>
        <w:tabs>
          <w:tab w:val="clear" w:pos="567"/>
          <w:tab w:val="clear" w:pos="1134"/>
          <w:tab w:val="clear" w:pos="1701"/>
          <w:tab w:val="clear" w:pos="2268"/>
        </w:tabs>
        <w:spacing w:after="160" w:line="259" w:lineRule="auto"/>
        <w:rPr>
          <w:b/>
          <w:bCs/>
        </w:rPr>
      </w:pPr>
      <w:r w:rsidRPr="00F70554">
        <w:rPr>
          <w:b/>
          <w:bCs/>
        </w:rPr>
        <w:t xml:space="preserve">Support indicator development and implementation. </w:t>
      </w:r>
      <w:r w:rsidRPr="00F70554">
        <w:t>For example, supporting Parties with workflows for developing national indicators linked to the Target 6 headline indicator on rate of establishment, and by increasing access to data on country checklists from GRIIS, and the Global Alien Species First Record Database.</w:t>
      </w:r>
    </w:p>
    <w:p w14:paraId="0D7DAE44" w14:textId="18E46C48" w:rsidR="00A1531D" w:rsidRPr="00F70554" w:rsidRDefault="00A1531D" w:rsidP="00A1531D">
      <w:proofErr w:type="gramStart"/>
      <w:r w:rsidRPr="00F70554">
        <w:t>In order for</w:t>
      </w:r>
      <w:proofErr w:type="gramEnd"/>
      <w:r w:rsidRPr="00F70554">
        <w:t xml:space="preserve"> global IAS data providers and aggregators to deliver on the above aims to support actions towards Target 6, </w:t>
      </w:r>
      <w:r w:rsidRPr="00F70554">
        <w:rPr>
          <w:b/>
          <w:bCs/>
        </w:rPr>
        <w:t>there is an urgent need for increased and sustained resourcing</w:t>
      </w:r>
      <w:r w:rsidRPr="00F70554">
        <w:t>. However, this needs to be undertaken through a collaborative approach across the key data providers and aggregators so that donors can invest in a broad strategic vision of improving data accessibility, filling key data gaps, and ensuring that data are suitable for end users.</w:t>
      </w:r>
    </w:p>
    <w:p w14:paraId="29931C6E" w14:textId="77777777" w:rsidR="00A1531D" w:rsidRPr="00F70554" w:rsidRDefault="00A1531D" w:rsidP="00F12734">
      <w:pPr>
        <w:pStyle w:val="Heading2"/>
        <w:numPr>
          <w:ilvl w:val="0"/>
          <w:numId w:val="6"/>
        </w:numPr>
        <w:tabs>
          <w:tab w:val="num" w:pos="1247"/>
        </w:tabs>
        <w:ind w:left="567" w:hanging="567"/>
        <w:rPr>
          <w:rFonts w:hint="eastAsia"/>
        </w:rPr>
      </w:pPr>
      <w:bookmarkStart w:id="10" w:name="_Toc202512544"/>
      <w:r w:rsidRPr="00F70554">
        <w:t>References</w:t>
      </w:r>
      <w:bookmarkEnd w:id="10"/>
    </w:p>
    <w:p w14:paraId="0BB66482" w14:textId="77777777" w:rsidR="00A1531D" w:rsidRPr="00F70554" w:rsidRDefault="00A1531D" w:rsidP="00A1531D">
      <w:r w:rsidRPr="00F70554">
        <w:t xml:space="preserve">Anderson, L. G., </w:t>
      </w:r>
      <w:proofErr w:type="spellStart"/>
      <w:r w:rsidRPr="00F70554">
        <w:t>Rocliffe</w:t>
      </w:r>
      <w:proofErr w:type="spellEnd"/>
      <w:r w:rsidRPr="00F70554">
        <w:t xml:space="preserve">, S., Haddaway, N. R., &amp; Dunn, A. M. (2015). The Role of Tourism and Recreation in the Spread of Non-Native Species: A Systematic Review and Meta-Analysis. </w:t>
      </w:r>
      <w:r w:rsidRPr="00F70554">
        <w:rPr>
          <w:i/>
          <w:iCs/>
        </w:rPr>
        <w:t>PLOS ONE</w:t>
      </w:r>
      <w:r w:rsidRPr="00F70554">
        <w:t xml:space="preserve">, </w:t>
      </w:r>
      <w:r w:rsidRPr="00F70554">
        <w:rPr>
          <w:i/>
          <w:iCs/>
        </w:rPr>
        <w:t>10</w:t>
      </w:r>
      <w:r w:rsidRPr="00F70554">
        <w:t xml:space="preserve">(10), e0140833. </w:t>
      </w:r>
      <w:hyperlink r:id="rId34" w:history="1">
        <w:r w:rsidRPr="00F70554">
          <w:rPr>
            <w:rStyle w:val="Hyperlink"/>
          </w:rPr>
          <w:t>https://doi.org/10.1371/journal.pone.0140833</w:t>
        </w:r>
      </w:hyperlink>
      <w:r w:rsidRPr="00F70554">
        <w:t xml:space="preserve"> </w:t>
      </w:r>
    </w:p>
    <w:p w14:paraId="570E58CF" w14:textId="77777777" w:rsidR="00922050" w:rsidRPr="00F70554" w:rsidRDefault="00922050" w:rsidP="00A1531D"/>
    <w:p w14:paraId="6F3A79B5" w14:textId="1EE01232" w:rsidR="00A1531D" w:rsidRPr="00F70554" w:rsidRDefault="00A1531D" w:rsidP="00A1531D">
      <w:r w:rsidRPr="00F70554">
        <w:t xml:space="preserve">Bacher, S., Blackburn, T. M., Essl, F., Genovesi, P., Heikkilä, J., Jeschke, J. M., Jones, G., Keller, R., Kenis, M., Kueffer, C., Martinou, A. F., Nentwig, W., </w:t>
      </w:r>
      <w:proofErr w:type="spellStart"/>
      <w:r w:rsidRPr="00F70554">
        <w:t>Pergl</w:t>
      </w:r>
      <w:proofErr w:type="spellEnd"/>
      <w:r w:rsidRPr="00F70554">
        <w:t xml:space="preserve">, J., </w:t>
      </w:r>
      <w:proofErr w:type="spellStart"/>
      <w:r w:rsidRPr="00F70554">
        <w:t>Pyšek</w:t>
      </w:r>
      <w:proofErr w:type="spellEnd"/>
      <w:r w:rsidRPr="00F70554">
        <w:t xml:space="preserve">, P., </w:t>
      </w:r>
      <w:proofErr w:type="spellStart"/>
      <w:r w:rsidRPr="00F70554">
        <w:t>Rabitsch</w:t>
      </w:r>
      <w:proofErr w:type="spellEnd"/>
      <w:r w:rsidRPr="00F70554">
        <w:t xml:space="preserve">, W., Richardson, D. M., Roy, H. E., Saul, C., Scalera, R., . . . </w:t>
      </w:r>
      <w:proofErr w:type="spellStart"/>
      <w:r w:rsidRPr="00F70554">
        <w:t>Kumschick</w:t>
      </w:r>
      <w:proofErr w:type="spellEnd"/>
      <w:r w:rsidRPr="00F70554">
        <w:t xml:space="preserve">, S. (2018). Socio-economic impact classification of alien taxa (SEICAT). </w:t>
      </w:r>
      <w:r w:rsidRPr="00F70554">
        <w:rPr>
          <w:i/>
          <w:iCs/>
        </w:rPr>
        <w:t>Methods in Ecology and Evolution</w:t>
      </w:r>
      <w:r w:rsidRPr="00F70554">
        <w:t xml:space="preserve">, </w:t>
      </w:r>
      <w:r w:rsidRPr="00F70554">
        <w:rPr>
          <w:i/>
          <w:iCs/>
        </w:rPr>
        <w:t>9</w:t>
      </w:r>
      <w:r w:rsidRPr="00F70554">
        <w:t xml:space="preserve">(1), 159-168. </w:t>
      </w:r>
      <w:hyperlink r:id="rId35" w:history="1">
        <w:r w:rsidR="00922050" w:rsidRPr="00F70554">
          <w:rPr>
            <w:rStyle w:val="Hyperlink"/>
          </w:rPr>
          <w:t>https://doi.org/10.1111/2041-210X.12844</w:t>
        </w:r>
      </w:hyperlink>
    </w:p>
    <w:p w14:paraId="4A58984D" w14:textId="77777777" w:rsidR="00922050" w:rsidRPr="00F70554" w:rsidRDefault="00922050" w:rsidP="00A1531D"/>
    <w:p w14:paraId="315C1495" w14:textId="6951414B" w:rsidR="00A1531D" w:rsidRPr="00F12734" w:rsidRDefault="00A1531D" w:rsidP="00A1531D">
      <w:pPr>
        <w:rPr>
          <w:lang w:val="fr-FR"/>
        </w:rPr>
      </w:pPr>
      <w:r w:rsidRPr="00F70554">
        <w:t xml:space="preserve">Bacher, S., Coiro, M., Cassey, P., Galil, B. S., Nuñez, M. A., Ansong, M., Fayvush, G., Fernandez, R. D., Hiremath, A. J., Ikegami, M., Martinou, A. F., McDermott, S. M., </w:t>
      </w:r>
      <w:proofErr w:type="spellStart"/>
      <w:r w:rsidRPr="00F70554">
        <w:t>Preda</w:t>
      </w:r>
      <w:proofErr w:type="spellEnd"/>
      <w:r w:rsidRPr="00F70554">
        <w:t xml:space="preserve">, C., </w:t>
      </w:r>
      <w:proofErr w:type="spellStart"/>
      <w:r w:rsidRPr="00F70554">
        <w:t>Vilà</w:t>
      </w:r>
      <w:proofErr w:type="spellEnd"/>
      <w:r w:rsidRPr="00F70554">
        <w:t xml:space="preserve">, M., Weyl, O. L., Aravind, N. A., Angelidou, I., Athanasiou, K., Atkore, V., . . . Zengeya, T. A. (2025). Global Impacts Dataset of Invasive Alien Species (GIDIAS). </w:t>
      </w:r>
      <w:r w:rsidRPr="00F70554">
        <w:rPr>
          <w:i/>
          <w:iCs/>
        </w:rPr>
        <w:t>Scientific Data</w:t>
      </w:r>
      <w:r w:rsidRPr="00F70554">
        <w:t xml:space="preserve">, </w:t>
      </w:r>
      <w:r w:rsidRPr="00F70554">
        <w:rPr>
          <w:i/>
          <w:iCs/>
        </w:rPr>
        <w:t>12</w:t>
      </w:r>
      <w:r w:rsidRPr="00F70554">
        <w:t xml:space="preserve">(1), 1-10. </w:t>
      </w:r>
      <w:hyperlink r:id="rId36" w:history="1">
        <w:r w:rsidR="00456C7A" w:rsidRPr="00F12734">
          <w:rPr>
            <w:rStyle w:val="Hyperlink"/>
            <w:lang w:val="fr-FR"/>
          </w:rPr>
          <w:t>https://doi.org/10.1038/s41597-025-05184-5</w:t>
        </w:r>
      </w:hyperlink>
    </w:p>
    <w:p w14:paraId="2D36F81D" w14:textId="77777777" w:rsidR="00456C7A" w:rsidRPr="00F12734" w:rsidRDefault="00456C7A" w:rsidP="00A1531D">
      <w:pPr>
        <w:rPr>
          <w:lang w:val="fr-FR"/>
        </w:rPr>
      </w:pPr>
    </w:p>
    <w:p w14:paraId="348E6D79" w14:textId="77777777" w:rsidR="00A1531D" w:rsidRPr="00F70554" w:rsidRDefault="00A1531D" w:rsidP="00A1531D">
      <w:proofErr w:type="spellStart"/>
      <w:r w:rsidRPr="00F12734">
        <w:rPr>
          <w:lang w:val="fr-FR"/>
        </w:rPr>
        <w:t>Binley</w:t>
      </w:r>
      <w:proofErr w:type="spellEnd"/>
      <w:r w:rsidRPr="00F12734">
        <w:rPr>
          <w:lang w:val="fr-FR"/>
        </w:rPr>
        <w:t xml:space="preserve">, A. D., Vincent, J. G., </w:t>
      </w:r>
      <w:proofErr w:type="spellStart"/>
      <w:r w:rsidRPr="00F12734">
        <w:rPr>
          <w:lang w:val="fr-FR"/>
        </w:rPr>
        <w:t>Rytwinski</w:t>
      </w:r>
      <w:proofErr w:type="spellEnd"/>
      <w:r w:rsidRPr="00F12734">
        <w:rPr>
          <w:lang w:val="fr-FR"/>
        </w:rPr>
        <w:t xml:space="preserve">, T., </w:t>
      </w:r>
      <w:proofErr w:type="spellStart"/>
      <w:r w:rsidRPr="00F12734">
        <w:rPr>
          <w:lang w:val="fr-FR"/>
        </w:rPr>
        <w:t>Soroye</w:t>
      </w:r>
      <w:proofErr w:type="spellEnd"/>
      <w:r w:rsidRPr="00F12734">
        <w:rPr>
          <w:lang w:val="fr-FR"/>
        </w:rPr>
        <w:t>, P., &amp; Bennett, J. R. (2024). </w:t>
      </w:r>
      <w:r w:rsidRPr="00F70554">
        <w:t>Making the most of existing data in conservation research. </w:t>
      </w:r>
      <w:r w:rsidRPr="00F70554">
        <w:rPr>
          <w:i/>
          <w:iCs/>
        </w:rPr>
        <w:t>Perspectives in Ecology and Conservation</w:t>
      </w:r>
      <w:r w:rsidRPr="00F70554">
        <w:t>, </w:t>
      </w:r>
      <w:r w:rsidRPr="00F70554">
        <w:rPr>
          <w:i/>
          <w:iCs/>
        </w:rPr>
        <w:t>22</w:t>
      </w:r>
      <w:r w:rsidRPr="00F70554">
        <w:t>(2), 122-128. </w:t>
      </w:r>
      <w:hyperlink r:id="rId37" w:history="1">
        <w:r w:rsidRPr="00F70554">
          <w:rPr>
            <w:rStyle w:val="Hyperlink"/>
          </w:rPr>
          <w:t>https://doi.org/10.1016/j.pecon.2023.11.004</w:t>
        </w:r>
      </w:hyperlink>
    </w:p>
    <w:p w14:paraId="6B6B4E5B" w14:textId="77777777" w:rsidR="00456C7A" w:rsidRPr="00F70554" w:rsidRDefault="00456C7A" w:rsidP="00A1531D"/>
    <w:p w14:paraId="570A9086" w14:textId="77777777" w:rsidR="00A1531D" w:rsidRPr="00F70554" w:rsidRDefault="00A1531D" w:rsidP="00A1531D">
      <w:r w:rsidRPr="00F70554">
        <w:t>Booy, O., Mill, A.C., Roy, H.E. </w:t>
      </w:r>
      <w:r w:rsidRPr="00F70554">
        <w:rPr>
          <w:i/>
          <w:iCs/>
        </w:rPr>
        <w:t>et al.</w:t>
      </w:r>
      <w:r w:rsidRPr="00F70554">
        <w:t> Risk management to prioritise the eradication of new and emerging invasive non-native species. </w:t>
      </w:r>
      <w:proofErr w:type="spellStart"/>
      <w:r w:rsidRPr="00F70554">
        <w:rPr>
          <w:i/>
          <w:iCs/>
        </w:rPr>
        <w:t>Biol</w:t>
      </w:r>
      <w:proofErr w:type="spellEnd"/>
      <w:r w:rsidRPr="00F70554">
        <w:rPr>
          <w:i/>
          <w:iCs/>
        </w:rPr>
        <w:t xml:space="preserve"> Invasions</w:t>
      </w:r>
      <w:r w:rsidRPr="00F70554">
        <w:t> </w:t>
      </w:r>
      <w:r w:rsidRPr="00F70554">
        <w:rPr>
          <w:b/>
          <w:bCs/>
        </w:rPr>
        <w:t>19</w:t>
      </w:r>
      <w:r w:rsidRPr="00F70554">
        <w:t xml:space="preserve">, 2401–2417 (2017). </w:t>
      </w:r>
      <w:hyperlink r:id="rId38" w:history="1">
        <w:r w:rsidRPr="00F70554">
          <w:rPr>
            <w:rStyle w:val="Hyperlink"/>
          </w:rPr>
          <w:t>https://doi.org/10.1007/s10530-017-1451-z</w:t>
        </w:r>
      </w:hyperlink>
    </w:p>
    <w:p w14:paraId="719B2426" w14:textId="77777777" w:rsidR="00456C7A" w:rsidRPr="00F70554" w:rsidRDefault="00456C7A" w:rsidP="00A1531D"/>
    <w:p w14:paraId="4B574F27" w14:textId="77777777" w:rsidR="00A1531D" w:rsidRPr="00F70554" w:rsidRDefault="00A1531D" w:rsidP="00A1531D">
      <w:r w:rsidRPr="00F70554">
        <w:t xml:space="preserve">Booy, O., Robertson, P. A., Moore, N., Ward, J., Roy, H. E., </w:t>
      </w:r>
      <w:proofErr w:type="spellStart"/>
      <w:r w:rsidRPr="00F70554">
        <w:t>Adriaens</w:t>
      </w:r>
      <w:proofErr w:type="spellEnd"/>
      <w:r w:rsidRPr="00F70554">
        <w:t xml:space="preserve">, T., Shaw, R., Valkenburg, J. V., Wyn, G., Bertolino, S., Blight, O., </w:t>
      </w:r>
      <w:proofErr w:type="spellStart"/>
      <w:r w:rsidRPr="00F70554">
        <w:t>Branquart</w:t>
      </w:r>
      <w:proofErr w:type="spellEnd"/>
      <w:r w:rsidRPr="00F70554">
        <w:t xml:space="preserve">, E., </w:t>
      </w:r>
      <w:proofErr w:type="spellStart"/>
      <w:r w:rsidRPr="00F70554">
        <w:t>Brundu</w:t>
      </w:r>
      <w:proofErr w:type="spellEnd"/>
      <w:r w:rsidRPr="00F70554">
        <w:t xml:space="preserve">, G., Caffrey, J., Capizzi, D., Casaer, J., Clerck, O. D., Coughlan, N. E., Davis, E., . . . Mill, A. C. (2020). Using structured eradication feasibility assessment </w:t>
      </w:r>
      <w:r w:rsidRPr="00F70554">
        <w:lastRenderedPageBreak/>
        <w:t xml:space="preserve">to prioritize the management of new and emerging invasive alien species in Europe. </w:t>
      </w:r>
      <w:r w:rsidRPr="00F70554">
        <w:rPr>
          <w:i/>
          <w:iCs/>
        </w:rPr>
        <w:t>Global Change Biology</w:t>
      </w:r>
      <w:r w:rsidRPr="00F70554">
        <w:t xml:space="preserve">, </w:t>
      </w:r>
      <w:r w:rsidRPr="00F70554">
        <w:rPr>
          <w:i/>
          <w:iCs/>
        </w:rPr>
        <w:t>26</w:t>
      </w:r>
      <w:r w:rsidRPr="00F70554">
        <w:t xml:space="preserve">(11), 6235-6250. </w:t>
      </w:r>
      <w:hyperlink r:id="rId39" w:history="1">
        <w:r w:rsidRPr="00F70554">
          <w:rPr>
            <w:rStyle w:val="Hyperlink"/>
          </w:rPr>
          <w:t>https://doi.org/10.1111/gcb.15280</w:t>
        </w:r>
      </w:hyperlink>
      <w:r w:rsidRPr="00F70554">
        <w:t xml:space="preserve"> </w:t>
      </w:r>
    </w:p>
    <w:p w14:paraId="2B0164B9" w14:textId="77777777" w:rsidR="00456C7A" w:rsidRPr="00F70554" w:rsidRDefault="00456C7A" w:rsidP="00A1531D"/>
    <w:p w14:paraId="6F846946" w14:textId="77777777" w:rsidR="00A1531D" w:rsidRPr="00F70554" w:rsidRDefault="00A1531D" w:rsidP="00A1531D">
      <w:r w:rsidRPr="00F70554">
        <w:t xml:space="preserve">Bradley, B. A., Blumenthal, D. M., Early, R., </w:t>
      </w:r>
      <w:proofErr w:type="spellStart"/>
      <w:r w:rsidRPr="00F70554">
        <w:t>Grosholz</w:t>
      </w:r>
      <w:proofErr w:type="spellEnd"/>
      <w:r w:rsidRPr="00F70554">
        <w:t xml:space="preserve">, E. D., Lawler, J. J., Miller, L. P., Sorte, C. J., Diez, J. M., Dukes, J. S., Ibanez, I., &amp; Olden, J. D. (2012). Global change, global trade, and the next wave of plant invasions. </w:t>
      </w:r>
      <w:r w:rsidRPr="00F70554">
        <w:rPr>
          <w:i/>
          <w:iCs/>
        </w:rPr>
        <w:t>Frontiers in Ecology and the Environment</w:t>
      </w:r>
      <w:r w:rsidRPr="00F70554">
        <w:t xml:space="preserve">, </w:t>
      </w:r>
      <w:r w:rsidRPr="00F70554">
        <w:rPr>
          <w:i/>
          <w:iCs/>
        </w:rPr>
        <w:t>10</w:t>
      </w:r>
      <w:r w:rsidRPr="00F70554">
        <w:t xml:space="preserve">(1), 20-28. </w:t>
      </w:r>
      <w:hyperlink r:id="rId40" w:history="1">
        <w:r w:rsidRPr="00F70554">
          <w:rPr>
            <w:rStyle w:val="Hyperlink"/>
          </w:rPr>
          <w:t>https://doi.org/10.1890/110145</w:t>
        </w:r>
      </w:hyperlink>
      <w:r w:rsidRPr="00F70554">
        <w:t xml:space="preserve"> </w:t>
      </w:r>
    </w:p>
    <w:p w14:paraId="7D438D95" w14:textId="77777777" w:rsidR="00456C7A" w:rsidRPr="00F70554" w:rsidRDefault="00456C7A" w:rsidP="00A1531D"/>
    <w:p w14:paraId="45C7A807" w14:textId="27410B80" w:rsidR="00A1531D" w:rsidRPr="00F70554" w:rsidRDefault="00A1531D" w:rsidP="00A1531D">
      <w:r w:rsidRPr="00F70554">
        <w:t xml:space="preserve">Buxton, R. T., Bennett, J. R., Reid, A. J., Shulman, C., Cooke, S. J., Francis, C. M., Nyboer, E. A., Pritchard, G., Binley, A. D., Avery-Gomm, S., Ban, N. C., Beazley, K. F., Bennett, E., Blight, L. K., Bortolotti, L. E., Camfield, A. F., Gadallah, F., Jacob, A. L., Naujokaitis-Lewis, I., . . . Smith, P. A. (2021). Key information needs to move from knowledge to action for biodiversity conservation in Canada. </w:t>
      </w:r>
      <w:r w:rsidRPr="00F70554">
        <w:rPr>
          <w:i/>
          <w:iCs/>
        </w:rPr>
        <w:t>Biological Conservation</w:t>
      </w:r>
      <w:r w:rsidRPr="00F70554">
        <w:t xml:space="preserve">, </w:t>
      </w:r>
      <w:r w:rsidRPr="00F70554">
        <w:rPr>
          <w:i/>
          <w:iCs/>
        </w:rPr>
        <w:t>256</w:t>
      </w:r>
      <w:r w:rsidRPr="00F70554">
        <w:t xml:space="preserve">, 108983. </w:t>
      </w:r>
      <w:hyperlink r:id="rId41" w:history="1">
        <w:r w:rsidR="00456C7A" w:rsidRPr="00F70554">
          <w:rPr>
            <w:rStyle w:val="Hyperlink"/>
          </w:rPr>
          <w:t>https://doi.org/10.1016/j.biocon.2021.108983</w:t>
        </w:r>
      </w:hyperlink>
    </w:p>
    <w:p w14:paraId="0260B3C3" w14:textId="77777777" w:rsidR="00456C7A" w:rsidRPr="00F70554" w:rsidRDefault="00456C7A" w:rsidP="00A1531D"/>
    <w:p w14:paraId="1785E94A" w14:textId="77777777" w:rsidR="00A1531D" w:rsidRPr="00F70554" w:rsidRDefault="00A1531D" w:rsidP="00A1531D">
      <w:r w:rsidRPr="00F70554">
        <w:t>Cerri, J., Carnevali, L., Monaco, A., Genovesi, P., and Bertolino, S. (2022</w:t>
      </w:r>
      <w:proofErr w:type="gramStart"/>
      <w:r w:rsidRPr="00F70554">
        <w:t>) .</w:t>
      </w:r>
      <w:proofErr w:type="gramEnd"/>
      <w:r w:rsidRPr="00F70554">
        <w:t xml:space="preserve">﻿Blacklists do not necessarily make people curious about invasive alien species. A case study with Bayesian structural time series and Wikipedia searches about invasive mammals in Italy. </w:t>
      </w:r>
      <w:proofErr w:type="spellStart"/>
      <w:r w:rsidRPr="00F70554">
        <w:rPr>
          <w:i/>
          <w:iCs/>
        </w:rPr>
        <w:t>NeoBiota</w:t>
      </w:r>
      <w:proofErr w:type="spellEnd"/>
      <w:r w:rsidRPr="00F70554">
        <w:t xml:space="preserve"> 71: 113-128. </w:t>
      </w:r>
      <w:hyperlink r:id="rId42" w:tgtFrame="_blank" w:history="1">
        <w:r w:rsidRPr="00F70554">
          <w:rPr>
            <w:rStyle w:val="Hyperlink"/>
          </w:rPr>
          <w:t>https://doi.org/10.3897/neobiota.71.69422</w:t>
        </w:r>
      </w:hyperlink>
    </w:p>
    <w:p w14:paraId="5100BDBB" w14:textId="77777777" w:rsidR="00456C7A" w:rsidRPr="00F70554" w:rsidRDefault="00456C7A" w:rsidP="00A1531D"/>
    <w:p w14:paraId="07538012" w14:textId="77777777" w:rsidR="00A1531D" w:rsidRPr="00F70554" w:rsidRDefault="00A1531D" w:rsidP="00A1531D">
      <w:r w:rsidRPr="00F70554">
        <w:t xml:space="preserve">Clarke., D.A., Clarkey, R.H., and McGeoch, M.A. 2025. How to Identify Priority Sites for Invasive Alien Species Policy and Management. Diversity and Distributions. </w:t>
      </w:r>
      <w:hyperlink r:id="rId43" w:history="1">
        <w:r w:rsidRPr="00F70554">
          <w:rPr>
            <w:rStyle w:val="Hyperlink"/>
          </w:rPr>
          <w:t>https://doi.org/10.1111/ddi.13970</w:t>
        </w:r>
      </w:hyperlink>
      <w:r w:rsidRPr="00F70554">
        <w:t xml:space="preserve"> </w:t>
      </w:r>
    </w:p>
    <w:p w14:paraId="6FC72F2C" w14:textId="77777777" w:rsidR="00456C7A" w:rsidRPr="00F70554" w:rsidRDefault="00456C7A" w:rsidP="00A1531D"/>
    <w:p w14:paraId="2964F141" w14:textId="77777777" w:rsidR="00A1531D" w:rsidRPr="00F70554" w:rsidRDefault="00A1531D" w:rsidP="00A1531D">
      <w:r w:rsidRPr="00F70554">
        <w:t xml:space="preserve">Convention on Biological Diversity and International Union for Conservation of Nature (IUCN). (2024). </w:t>
      </w:r>
      <w:r w:rsidRPr="00F70554">
        <w:rPr>
          <w:i/>
          <w:iCs/>
        </w:rPr>
        <w:t>Invasive Alien Species Toolkit for Target 6 of the Kunming-Montreal Global Biodiversity Framework</w:t>
      </w:r>
      <w:r w:rsidRPr="00F70554">
        <w:t xml:space="preserve">. The Secretariat of the Convention on Biological Diversity </w:t>
      </w:r>
    </w:p>
    <w:p w14:paraId="5DB92196" w14:textId="77777777" w:rsidR="00456C7A" w:rsidRPr="00F70554" w:rsidRDefault="00456C7A" w:rsidP="00A1531D"/>
    <w:p w14:paraId="208825BA" w14:textId="77777777" w:rsidR="00A1531D" w:rsidRPr="00F12734" w:rsidRDefault="00A1531D" w:rsidP="00A1531D">
      <w:pPr>
        <w:rPr>
          <w:lang w:val="es-ES"/>
        </w:rPr>
      </w:pPr>
      <w:r w:rsidRPr="00F12734">
        <w:t xml:space="preserve">DIAGNE, Christophe; Leroy, Boris; E. </w:t>
      </w:r>
      <w:proofErr w:type="spellStart"/>
      <w:r w:rsidRPr="00F12734">
        <w:t>Gozlan</w:t>
      </w:r>
      <w:proofErr w:type="spellEnd"/>
      <w:r w:rsidRPr="00F12734">
        <w:t xml:space="preserve">, Rodolphe; </w:t>
      </w:r>
      <w:proofErr w:type="spellStart"/>
      <w:r w:rsidRPr="00F12734">
        <w:t>Vaissière</w:t>
      </w:r>
      <w:proofErr w:type="spellEnd"/>
      <w:r w:rsidRPr="00F12734">
        <w:t xml:space="preserve">, Anne-Charlotte; </w:t>
      </w:r>
      <w:proofErr w:type="spellStart"/>
      <w:r w:rsidRPr="00F12734">
        <w:t>Assailly</w:t>
      </w:r>
      <w:proofErr w:type="spellEnd"/>
      <w:r w:rsidRPr="00F12734">
        <w:t xml:space="preserve">, Claire; </w:t>
      </w:r>
      <w:proofErr w:type="spellStart"/>
      <w:r w:rsidRPr="00F12734">
        <w:t>Nuninger</w:t>
      </w:r>
      <w:proofErr w:type="spellEnd"/>
      <w:r w:rsidRPr="00F12734">
        <w:t xml:space="preserve">, Lise; et al. </w:t>
      </w:r>
      <w:r w:rsidRPr="00F70554">
        <w:t xml:space="preserve">(2020). </w:t>
      </w:r>
      <w:proofErr w:type="spellStart"/>
      <w:r w:rsidRPr="00F70554">
        <w:t>InvaCost</w:t>
      </w:r>
      <w:proofErr w:type="spellEnd"/>
      <w:r w:rsidRPr="00F70554">
        <w:t xml:space="preserve">: Economic cost estimates associated with biological invasions </w:t>
      </w:r>
      <w:proofErr w:type="gramStart"/>
      <w:r w:rsidRPr="00F70554">
        <w:t>worldwide..</w:t>
      </w:r>
      <w:proofErr w:type="gramEnd"/>
      <w:r w:rsidRPr="00F70554">
        <w:t xml:space="preserve"> </w:t>
      </w:r>
      <w:proofErr w:type="spellStart"/>
      <w:r w:rsidRPr="00F70554">
        <w:t>figshare</w:t>
      </w:r>
      <w:proofErr w:type="spellEnd"/>
      <w:r w:rsidRPr="00F70554">
        <w:t xml:space="preserve">. </w:t>
      </w:r>
      <w:proofErr w:type="spellStart"/>
      <w:r w:rsidRPr="00F12734">
        <w:rPr>
          <w:lang w:val="es-ES"/>
        </w:rPr>
        <w:t>Dataset</w:t>
      </w:r>
      <w:proofErr w:type="spellEnd"/>
      <w:r w:rsidRPr="00F12734">
        <w:rPr>
          <w:lang w:val="es-ES"/>
        </w:rPr>
        <w:t xml:space="preserve">. </w:t>
      </w:r>
      <w:hyperlink r:id="rId44" w:history="1">
        <w:r w:rsidRPr="00F12734">
          <w:rPr>
            <w:rStyle w:val="Hyperlink"/>
            <w:lang w:val="es-ES"/>
          </w:rPr>
          <w:t>https://doi.org/10.6084/m9.figshare.12668570.v5</w:t>
        </w:r>
      </w:hyperlink>
    </w:p>
    <w:p w14:paraId="36486502" w14:textId="77777777" w:rsidR="00456C7A" w:rsidRPr="00F12734" w:rsidRDefault="00456C7A" w:rsidP="00A1531D">
      <w:pPr>
        <w:rPr>
          <w:lang w:val="es-ES"/>
        </w:rPr>
      </w:pPr>
    </w:p>
    <w:p w14:paraId="221C259E" w14:textId="06B6C892" w:rsidR="00A1531D" w:rsidRPr="00F70554" w:rsidRDefault="00A1531D" w:rsidP="00A1531D">
      <w:r w:rsidRPr="00F12734">
        <w:rPr>
          <w:lang w:val="es-ES"/>
        </w:rPr>
        <w:t>Figueroa, F.L., Vega, J., Flórez-Fernández, N. </w:t>
      </w:r>
      <w:r w:rsidRPr="00F12734">
        <w:rPr>
          <w:i/>
          <w:lang w:val="es-ES"/>
        </w:rPr>
        <w:t>et al.</w:t>
      </w:r>
      <w:r w:rsidRPr="00F12734">
        <w:rPr>
          <w:lang w:val="es-ES"/>
        </w:rPr>
        <w:t> </w:t>
      </w:r>
      <w:r w:rsidRPr="00F70554">
        <w:t>Challenges and opportunities of the exotic invasive macroalga </w:t>
      </w:r>
      <w:proofErr w:type="spellStart"/>
      <w:r w:rsidRPr="00F70554">
        <w:rPr>
          <w:i/>
          <w:iCs/>
        </w:rPr>
        <w:t>Rugulopteryx</w:t>
      </w:r>
      <w:proofErr w:type="spellEnd"/>
      <w:r w:rsidRPr="00F70554">
        <w:rPr>
          <w:i/>
          <w:iCs/>
        </w:rPr>
        <w:t xml:space="preserve"> </w:t>
      </w:r>
      <w:proofErr w:type="spellStart"/>
      <w:r w:rsidRPr="00F70554">
        <w:rPr>
          <w:i/>
          <w:iCs/>
        </w:rPr>
        <w:t>okamurae</w:t>
      </w:r>
      <w:proofErr w:type="spellEnd"/>
      <w:r w:rsidRPr="00F70554">
        <w:t xml:space="preserve"> (Phaeophyceae, </w:t>
      </w:r>
      <w:proofErr w:type="spellStart"/>
      <w:r w:rsidRPr="00F70554">
        <w:t>Heterokontophyta</w:t>
      </w:r>
      <w:proofErr w:type="spellEnd"/>
      <w:r w:rsidRPr="00F70554">
        <w:t>). </w:t>
      </w:r>
      <w:r w:rsidRPr="00F70554">
        <w:rPr>
          <w:i/>
          <w:iCs/>
        </w:rPr>
        <w:t xml:space="preserve">J Appl </w:t>
      </w:r>
      <w:proofErr w:type="spellStart"/>
      <w:r w:rsidRPr="00F70554">
        <w:rPr>
          <w:i/>
          <w:iCs/>
        </w:rPr>
        <w:t>Phycol</w:t>
      </w:r>
      <w:proofErr w:type="spellEnd"/>
      <w:r w:rsidRPr="00F70554">
        <w:t> </w:t>
      </w:r>
      <w:r w:rsidRPr="00F70554">
        <w:rPr>
          <w:b/>
          <w:bCs/>
        </w:rPr>
        <w:t>37</w:t>
      </w:r>
      <w:r w:rsidRPr="00F70554">
        <w:t xml:space="preserve">, 579–595 (2025). </w:t>
      </w:r>
      <w:hyperlink r:id="rId45" w:history="1">
        <w:r w:rsidR="00456C7A" w:rsidRPr="00F70554">
          <w:rPr>
            <w:rStyle w:val="Hyperlink"/>
          </w:rPr>
          <w:t>https://doi.org/10.1007/s10811-024-03404-w</w:t>
        </w:r>
      </w:hyperlink>
      <w:r w:rsidRPr="00F70554">
        <w:t xml:space="preserve"> </w:t>
      </w:r>
    </w:p>
    <w:p w14:paraId="4EEAB943" w14:textId="77777777" w:rsidR="00456C7A" w:rsidRPr="00F70554" w:rsidRDefault="00456C7A" w:rsidP="00A1531D"/>
    <w:p w14:paraId="2CDBD818" w14:textId="77777777" w:rsidR="00A1531D" w:rsidRPr="00F70554" w:rsidRDefault="00A1531D" w:rsidP="00A1531D">
      <w:r w:rsidRPr="00F70554">
        <w:rPr>
          <w:kern w:val="2"/>
          <w14:ligatures w14:val="standardContextual"/>
        </w:rPr>
        <w:t xml:space="preserve">Groom, Q. J., </w:t>
      </w:r>
      <w:proofErr w:type="spellStart"/>
      <w:r w:rsidRPr="00F70554">
        <w:rPr>
          <w:kern w:val="2"/>
          <w14:ligatures w14:val="standardContextual"/>
        </w:rPr>
        <w:t>Adriaens</w:t>
      </w:r>
      <w:proofErr w:type="spellEnd"/>
      <w:r w:rsidRPr="00F70554">
        <w:rPr>
          <w:kern w:val="2"/>
          <w14:ligatures w14:val="standardContextual"/>
        </w:rPr>
        <w:t xml:space="preserve">, T., Desmet, P., Simpson, A., De Wever, A., Bazos, I., Cardoso, A. C., Charles, L., Christopoulou, A., Gazda, A., </w:t>
      </w:r>
      <w:proofErr w:type="spellStart"/>
      <w:r w:rsidRPr="00F70554">
        <w:rPr>
          <w:kern w:val="2"/>
          <w14:ligatures w14:val="standardContextual"/>
        </w:rPr>
        <w:t>Helmisaari</w:t>
      </w:r>
      <w:proofErr w:type="spellEnd"/>
      <w:r w:rsidRPr="00F70554">
        <w:rPr>
          <w:kern w:val="2"/>
          <w14:ligatures w14:val="standardContextual"/>
        </w:rPr>
        <w:t xml:space="preserve">, H., </w:t>
      </w:r>
      <w:proofErr w:type="spellStart"/>
      <w:r w:rsidRPr="00F70554">
        <w:rPr>
          <w:kern w:val="2"/>
          <w14:ligatures w14:val="standardContextual"/>
        </w:rPr>
        <w:t>Hobern</w:t>
      </w:r>
      <w:proofErr w:type="spellEnd"/>
      <w:r w:rsidRPr="00F70554">
        <w:rPr>
          <w:kern w:val="2"/>
          <w14:ligatures w14:val="standardContextual"/>
        </w:rPr>
        <w:t xml:space="preserve">, D., Josefsson, M., Lucy, F., </w:t>
      </w:r>
      <w:proofErr w:type="spellStart"/>
      <w:r w:rsidRPr="00F70554">
        <w:rPr>
          <w:kern w:val="2"/>
          <w14:ligatures w14:val="standardContextual"/>
        </w:rPr>
        <w:t>Marisavljevic</w:t>
      </w:r>
      <w:proofErr w:type="spellEnd"/>
      <w:r w:rsidRPr="00F70554">
        <w:rPr>
          <w:kern w:val="2"/>
          <w14:ligatures w14:val="standardContextual"/>
        </w:rPr>
        <w:t xml:space="preserve">, D., </w:t>
      </w:r>
      <w:proofErr w:type="spellStart"/>
      <w:r w:rsidRPr="00F70554">
        <w:rPr>
          <w:kern w:val="2"/>
          <w14:ligatures w14:val="standardContextual"/>
        </w:rPr>
        <w:t>Oszako</w:t>
      </w:r>
      <w:proofErr w:type="spellEnd"/>
      <w:r w:rsidRPr="00F70554">
        <w:rPr>
          <w:kern w:val="2"/>
          <w14:ligatures w14:val="standardContextual"/>
        </w:rPr>
        <w:t xml:space="preserve">, T., </w:t>
      </w:r>
      <w:proofErr w:type="spellStart"/>
      <w:r w:rsidRPr="00F70554">
        <w:rPr>
          <w:kern w:val="2"/>
          <w14:ligatures w14:val="standardContextual"/>
        </w:rPr>
        <w:t>Pergl</w:t>
      </w:r>
      <w:proofErr w:type="spellEnd"/>
      <w:r w:rsidRPr="00F70554">
        <w:rPr>
          <w:kern w:val="2"/>
          <w14:ligatures w14:val="standardContextual"/>
        </w:rPr>
        <w:t xml:space="preserve">, J., </w:t>
      </w:r>
      <w:proofErr w:type="spellStart"/>
      <w:r w:rsidRPr="00F70554">
        <w:rPr>
          <w:kern w:val="2"/>
          <w14:ligatures w14:val="standardContextual"/>
        </w:rPr>
        <w:t>Prévot</w:t>
      </w:r>
      <w:proofErr w:type="spellEnd"/>
      <w:r w:rsidRPr="00F70554">
        <w:rPr>
          <w:kern w:val="2"/>
          <w14:ligatures w14:val="standardContextual"/>
        </w:rPr>
        <w:t xml:space="preserve">, C., Ravn, H. P., . . . Vanderhoeven, S. (2017). Seven Recommendations to Make Your Invasive Alien Species Data More Useful. </w:t>
      </w:r>
      <w:r w:rsidRPr="00F70554">
        <w:rPr>
          <w:i/>
          <w:iCs/>
          <w:kern w:val="2"/>
          <w14:ligatures w14:val="standardContextual"/>
        </w:rPr>
        <w:t>Frontiers in Applied Mathematics and Statistics</w:t>
      </w:r>
      <w:r w:rsidRPr="00F70554">
        <w:rPr>
          <w:kern w:val="2"/>
          <w14:ligatures w14:val="standardContextual"/>
        </w:rPr>
        <w:t xml:space="preserve">, </w:t>
      </w:r>
      <w:r w:rsidRPr="00F70554">
        <w:rPr>
          <w:i/>
          <w:iCs/>
          <w:kern w:val="2"/>
          <w14:ligatures w14:val="standardContextual"/>
        </w:rPr>
        <w:t>3</w:t>
      </w:r>
      <w:r w:rsidRPr="00F70554">
        <w:rPr>
          <w:kern w:val="2"/>
          <w14:ligatures w14:val="standardContextual"/>
        </w:rPr>
        <w:t xml:space="preserve">, 265016. </w:t>
      </w:r>
      <w:hyperlink r:id="rId46" w:history="1">
        <w:r w:rsidRPr="00F70554">
          <w:rPr>
            <w:rStyle w:val="Hyperlink"/>
          </w:rPr>
          <w:t>https://doi.org/10.3389/fams.2017.00013</w:t>
        </w:r>
      </w:hyperlink>
      <w:r w:rsidRPr="00F70554">
        <w:t xml:space="preserve"> </w:t>
      </w:r>
    </w:p>
    <w:p w14:paraId="770FB0CC" w14:textId="77777777" w:rsidR="00456C7A" w:rsidRPr="00F70554" w:rsidRDefault="00456C7A" w:rsidP="00A1531D"/>
    <w:p w14:paraId="08FDE551" w14:textId="77777777" w:rsidR="00A1531D" w:rsidRPr="00F70554" w:rsidRDefault="00A1531D" w:rsidP="00A1531D">
      <w:r w:rsidRPr="00F70554">
        <w:t xml:space="preserve">Groom Q, Desmet P, </w:t>
      </w:r>
      <w:proofErr w:type="spellStart"/>
      <w:r w:rsidRPr="00F70554">
        <w:t>Reyserhove</w:t>
      </w:r>
      <w:proofErr w:type="spellEnd"/>
      <w:r w:rsidRPr="00F70554">
        <w:t xml:space="preserve"> L, </w:t>
      </w:r>
      <w:proofErr w:type="spellStart"/>
      <w:r w:rsidRPr="00F70554">
        <w:t>Adriaens</w:t>
      </w:r>
      <w:proofErr w:type="spellEnd"/>
      <w:r w:rsidRPr="00F70554">
        <w:t xml:space="preserve"> T, </w:t>
      </w:r>
      <w:proofErr w:type="spellStart"/>
      <w:r w:rsidRPr="00F70554">
        <w:t>Oldoni</w:t>
      </w:r>
      <w:proofErr w:type="spellEnd"/>
      <w:r w:rsidRPr="00F70554">
        <w:t xml:space="preserve"> D, Vanderhoeven S, </w:t>
      </w:r>
      <w:proofErr w:type="spellStart"/>
      <w:r w:rsidRPr="00F70554">
        <w:t>Baskauf</w:t>
      </w:r>
      <w:proofErr w:type="spellEnd"/>
      <w:r w:rsidRPr="00F70554">
        <w:t xml:space="preserve"> SJ, Chapman A, McGeoch M, Walls R, Wieczorek J, Wilson </w:t>
      </w:r>
      <w:proofErr w:type="gramStart"/>
      <w:r w:rsidRPr="00F70554">
        <w:t>JR.U</w:t>
      </w:r>
      <w:proofErr w:type="gramEnd"/>
      <w:r w:rsidRPr="00F70554">
        <w:t xml:space="preserve">, </w:t>
      </w:r>
      <w:proofErr w:type="spellStart"/>
      <w:r w:rsidRPr="00F70554">
        <w:t>Zermoglio</w:t>
      </w:r>
      <w:proofErr w:type="spellEnd"/>
      <w:r w:rsidRPr="00F70554">
        <w:t xml:space="preserve"> PFF, Simpson A (2019) Improving Darwin Core for research and management of alien species. Biodiversity Information Science and Standards 3: e38084. </w:t>
      </w:r>
      <w:hyperlink r:id="rId47" w:tgtFrame="_blank" w:history="1">
        <w:r w:rsidRPr="00F70554">
          <w:rPr>
            <w:rStyle w:val="Hyperlink"/>
          </w:rPr>
          <w:t>https://doi.org/10.3897/biss.3.38084</w:t>
        </w:r>
      </w:hyperlink>
    </w:p>
    <w:p w14:paraId="394A36BD" w14:textId="77777777" w:rsidR="00456C7A" w:rsidRPr="00F70554" w:rsidRDefault="00456C7A" w:rsidP="00A1531D"/>
    <w:p w14:paraId="0F530AAD" w14:textId="77777777" w:rsidR="00A1531D" w:rsidRPr="00F70554" w:rsidRDefault="00A1531D" w:rsidP="00A1531D">
      <w:r w:rsidRPr="00F70554">
        <w:t>Hall, C. M. (2015). Tourism and biological exchange and invasions: a missing dimension in sustainable tourism? </w:t>
      </w:r>
      <w:r w:rsidRPr="00F70554">
        <w:rPr>
          <w:i/>
          <w:iCs/>
        </w:rPr>
        <w:t>Tourism Recreation Research</w:t>
      </w:r>
      <w:r w:rsidRPr="00F70554">
        <w:t>, </w:t>
      </w:r>
      <w:r w:rsidRPr="00F70554">
        <w:rPr>
          <w:i/>
          <w:iCs/>
        </w:rPr>
        <w:t>40</w:t>
      </w:r>
      <w:r w:rsidRPr="00F70554">
        <w:t xml:space="preserve">(1), 81–94. </w:t>
      </w:r>
      <w:hyperlink r:id="rId48" w:history="1">
        <w:r w:rsidRPr="00F70554">
          <w:rPr>
            <w:rStyle w:val="Hyperlink"/>
          </w:rPr>
          <w:t>https://doi.org/10.1080/02508281.2015.1005943</w:t>
        </w:r>
      </w:hyperlink>
    </w:p>
    <w:p w14:paraId="3728DECE" w14:textId="77777777" w:rsidR="00456C7A" w:rsidRPr="00F70554" w:rsidRDefault="00456C7A" w:rsidP="00A1531D"/>
    <w:p w14:paraId="7FCD55CD" w14:textId="77777777" w:rsidR="00A1531D" w:rsidRPr="00F70554" w:rsidRDefault="00A1531D" w:rsidP="00A1531D">
      <w:r w:rsidRPr="00F70554">
        <w:t xml:space="preserve">Hannah, K., Fuller, R. A., Smith, R. K., Sutherland, W. J., &amp; Amano, T. 2025. Language barriers in conservation science citation networks. </w:t>
      </w:r>
      <w:r w:rsidRPr="00F70554">
        <w:rPr>
          <w:i/>
          <w:iCs/>
        </w:rPr>
        <w:t>Conservation Biology</w:t>
      </w:r>
      <w:r w:rsidRPr="00F70554">
        <w:t xml:space="preserve">, e70051. </w:t>
      </w:r>
      <w:hyperlink r:id="rId49" w:history="1">
        <w:r w:rsidRPr="00F70554">
          <w:rPr>
            <w:rStyle w:val="Hyperlink"/>
          </w:rPr>
          <w:t>https://doi.org/10.1111/cobi.70051</w:t>
        </w:r>
      </w:hyperlink>
      <w:r w:rsidRPr="00F70554">
        <w:t xml:space="preserve"> </w:t>
      </w:r>
    </w:p>
    <w:p w14:paraId="03619A34" w14:textId="77777777" w:rsidR="00A1531D" w:rsidRPr="00F70554" w:rsidRDefault="00A1531D" w:rsidP="00A1531D">
      <w:r w:rsidRPr="00F70554">
        <w:t>Hayes, S., Lovelock, B., &amp; Carr, A. (2023). ‘They sure do have a pretty colour palette!’: the problematic promotion of invasive species as tourism icons. </w:t>
      </w:r>
      <w:r w:rsidRPr="00F70554">
        <w:rPr>
          <w:i/>
          <w:iCs/>
        </w:rPr>
        <w:t>Tourism Recreation Research</w:t>
      </w:r>
      <w:r w:rsidRPr="00F70554">
        <w:t>, </w:t>
      </w:r>
      <w:r w:rsidRPr="00F70554">
        <w:rPr>
          <w:i/>
          <w:iCs/>
        </w:rPr>
        <w:t>50</w:t>
      </w:r>
      <w:r w:rsidRPr="00F70554">
        <w:t xml:space="preserve">(1), 39–57. </w:t>
      </w:r>
      <w:hyperlink r:id="rId50" w:history="1">
        <w:r w:rsidRPr="00F70554">
          <w:rPr>
            <w:rStyle w:val="Hyperlink"/>
          </w:rPr>
          <w:t>https://doi.org/10.1080/02508281.2023.2199613</w:t>
        </w:r>
      </w:hyperlink>
    </w:p>
    <w:p w14:paraId="75C9542F" w14:textId="77777777" w:rsidR="00456C7A" w:rsidRPr="00F70554" w:rsidRDefault="00456C7A" w:rsidP="00A1531D"/>
    <w:p w14:paraId="526572C3" w14:textId="77777777" w:rsidR="00A1531D" w:rsidRPr="00F70554" w:rsidRDefault="00A1531D" w:rsidP="00A1531D">
      <w:r w:rsidRPr="00F70554">
        <w:rPr>
          <w:kern w:val="2"/>
          <w14:ligatures w14:val="standardContextual"/>
        </w:rPr>
        <w:lastRenderedPageBreak/>
        <w:t>Hulme, P.E. (2020). One Biosecurity: A unified concept to integrate human, animal, plant, and environmental health. Emerging Topics in Life Sciences, Vol 4,</w:t>
      </w:r>
      <w:r w:rsidRPr="00F70554">
        <w:t xml:space="preserve"> Issue 5 </w:t>
      </w:r>
      <w:hyperlink r:id="rId51" w:tgtFrame="_blank" w:history="1">
        <w:r w:rsidRPr="00F70554">
          <w:rPr>
            <w:rStyle w:val="Hyperlink"/>
          </w:rPr>
          <w:t>https://doi.org/10.1042/ETLS20200067</w:t>
        </w:r>
      </w:hyperlink>
    </w:p>
    <w:p w14:paraId="1CF82A16" w14:textId="77777777" w:rsidR="00456C7A" w:rsidRPr="00F70554" w:rsidRDefault="00456C7A" w:rsidP="00A1531D"/>
    <w:p w14:paraId="18F093AF" w14:textId="07AFDF2A" w:rsidR="00A1531D" w:rsidRPr="00F70554" w:rsidRDefault="00A1531D" w:rsidP="00A1531D">
      <w:r w:rsidRPr="00F70554">
        <w:t xml:space="preserve">Hulme, P.E. (2021). Unwelcome exchange: International trade as a direct and indirect driver of biological invasions worldwide. </w:t>
      </w:r>
      <w:r w:rsidRPr="00F70554">
        <w:rPr>
          <w:i/>
          <w:iCs/>
        </w:rPr>
        <w:t>One Earth</w:t>
      </w:r>
      <w:r w:rsidRPr="00F70554">
        <w:t xml:space="preserve">, </w:t>
      </w:r>
      <w:r w:rsidRPr="00F70554">
        <w:rPr>
          <w:i/>
          <w:iCs/>
        </w:rPr>
        <w:t>4</w:t>
      </w:r>
      <w:r w:rsidRPr="00F70554">
        <w:t xml:space="preserve">(5), 666-679. </w:t>
      </w:r>
      <w:hyperlink r:id="rId52" w:history="1">
        <w:r w:rsidR="00456C7A" w:rsidRPr="00F70554">
          <w:rPr>
            <w:rStyle w:val="Hyperlink"/>
          </w:rPr>
          <w:t>https://doi.org/10.1016/j.oneear.2021.04.015</w:t>
        </w:r>
      </w:hyperlink>
    </w:p>
    <w:p w14:paraId="64ECABAB" w14:textId="77777777" w:rsidR="00456C7A" w:rsidRPr="00F70554" w:rsidRDefault="00456C7A" w:rsidP="00A1531D"/>
    <w:p w14:paraId="605E692E" w14:textId="77777777" w:rsidR="00A1531D" w:rsidRPr="00F70554" w:rsidRDefault="00A1531D" w:rsidP="00A1531D">
      <w:r w:rsidRPr="00F70554">
        <w:t>Hulme, P.E. (2024) Networks of risk: international tourists as a biosecurity pathway into national parks. </w:t>
      </w:r>
      <w:proofErr w:type="spellStart"/>
      <w:r w:rsidRPr="00F70554">
        <w:rPr>
          <w:i/>
          <w:iCs/>
        </w:rPr>
        <w:t>Biol</w:t>
      </w:r>
      <w:proofErr w:type="spellEnd"/>
      <w:r w:rsidRPr="00F70554">
        <w:rPr>
          <w:i/>
          <w:iCs/>
        </w:rPr>
        <w:t xml:space="preserve"> Invasions</w:t>
      </w:r>
      <w:r w:rsidRPr="00F70554">
        <w:t> </w:t>
      </w:r>
      <w:r w:rsidRPr="00F70554">
        <w:rPr>
          <w:b/>
          <w:bCs/>
        </w:rPr>
        <w:t>26</w:t>
      </w:r>
      <w:r w:rsidRPr="00F70554">
        <w:t xml:space="preserve">, 4317–4330. </w:t>
      </w:r>
      <w:hyperlink r:id="rId53">
        <w:r w:rsidRPr="00F70554">
          <w:rPr>
            <w:rStyle w:val="Hyperlink"/>
          </w:rPr>
          <w:t>https://doi.org/10.1007/s10530-024-03448-6</w:t>
        </w:r>
      </w:hyperlink>
    </w:p>
    <w:p w14:paraId="04EE3AFE" w14:textId="77777777" w:rsidR="00456C7A" w:rsidRPr="00F70554" w:rsidRDefault="00456C7A" w:rsidP="00A1531D"/>
    <w:p w14:paraId="20F5E3ED" w14:textId="77777777" w:rsidR="00A1531D" w:rsidRPr="00F70554" w:rsidRDefault="00A1531D" w:rsidP="00A1531D">
      <w:r w:rsidRPr="00F70554">
        <w:t xml:space="preserve">Hulme, P. E., Ikeda, T., </w:t>
      </w:r>
      <w:proofErr w:type="spellStart"/>
      <w:r w:rsidRPr="00F70554">
        <w:t>Vandvik</w:t>
      </w:r>
      <w:proofErr w:type="spellEnd"/>
      <w:r w:rsidRPr="00F70554">
        <w:t xml:space="preserve">, V., Blanchard, R., Camacho-Cervantes, M., Herrera, I., Koyama, A., Morales, C. L., </w:t>
      </w:r>
      <w:proofErr w:type="spellStart"/>
      <w:r w:rsidRPr="00F70554">
        <w:t>Munishi</w:t>
      </w:r>
      <w:proofErr w:type="spellEnd"/>
      <w:r w:rsidRPr="00F70554">
        <w:t xml:space="preserve">, L. K., </w:t>
      </w:r>
      <w:proofErr w:type="spellStart"/>
      <w:r w:rsidRPr="00F70554">
        <w:t>Pallewatta</w:t>
      </w:r>
      <w:proofErr w:type="spellEnd"/>
      <w:r w:rsidRPr="00F70554">
        <w:t xml:space="preserve">, P. K. T. N. S., Per, E., </w:t>
      </w:r>
      <w:proofErr w:type="spellStart"/>
      <w:r w:rsidRPr="00F70554">
        <w:t>Pergl</w:t>
      </w:r>
      <w:proofErr w:type="spellEnd"/>
      <w:r w:rsidRPr="00F70554">
        <w:t xml:space="preserve">, J., Ricciardi, A., and Xavier, R. O. (2023). Chapter 3: Drivers affecting biological invasions. In: Thematic Assessment Report on Invasive Alien Species and their Control of the Intergovernmental Science-Policy Platform on Biodiversity and Ecosystem Services. Roy, H. E., </w:t>
      </w:r>
      <w:proofErr w:type="spellStart"/>
      <w:r w:rsidRPr="00F70554">
        <w:t>Pauchard</w:t>
      </w:r>
      <w:proofErr w:type="spellEnd"/>
      <w:r w:rsidRPr="00F70554">
        <w:t xml:space="preserve">, A., Stoett, P., and Renard Truong, T. (eds.). IPBES secretariat, Bonn, Germany. DOI: </w:t>
      </w:r>
      <w:hyperlink r:id="rId54">
        <w:r w:rsidRPr="00F70554">
          <w:rPr>
            <w:rStyle w:val="Hyperlink"/>
          </w:rPr>
          <w:t>https://doi.org/10.5281/zenodo.7430727</w:t>
        </w:r>
      </w:hyperlink>
    </w:p>
    <w:p w14:paraId="2613065E" w14:textId="77777777" w:rsidR="00456C7A" w:rsidRPr="00F70554" w:rsidRDefault="00456C7A" w:rsidP="00A1531D"/>
    <w:p w14:paraId="1435C940" w14:textId="77777777" w:rsidR="00A1531D" w:rsidRPr="00F70554" w:rsidRDefault="00A1531D" w:rsidP="009708CD">
      <w:pPr>
        <w:pStyle w:val="FootnoteText"/>
        <w:jc w:val="both"/>
        <w:rPr>
          <w:sz w:val="22"/>
          <w:szCs w:val="24"/>
        </w:rPr>
      </w:pPr>
      <w:r w:rsidRPr="00F70554">
        <w:rPr>
          <w:sz w:val="22"/>
          <w:szCs w:val="24"/>
        </w:rPr>
        <w:t xml:space="preserve">Humair, F., Humair, L., Kuhn, F., &amp; Kueffer, C. (2015). E-commerce trade in invasive plants. </w:t>
      </w:r>
      <w:r w:rsidRPr="00F70554">
        <w:rPr>
          <w:i/>
          <w:iCs/>
          <w:sz w:val="22"/>
          <w:szCs w:val="24"/>
        </w:rPr>
        <w:t>Conservation Biology</w:t>
      </w:r>
      <w:r w:rsidRPr="00F70554">
        <w:rPr>
          <w:sz w:val="22"/>
          <w:szCs w:val="24"/>
        </w:rPr>
        <w:t xml:space="preserve">, </w:t>
      </w:r>
      <w:r w:rsidRPr="00F70554">
        <w:rPr>
          <w:i/>
          <w:iCs/>
          <w:sz w:val="22"/>
          <w:szCs w:val="24"/>
        </w:rPr>
        <w:t>29</w:t>
      </w:r>
      <w:r w:rsidRPr="00F70554">
        <w:rPr>
          <w:sz w:val="22"/>
          <w:szCs w:val="24"/>
        </w:rPr>
        <w:t xml:space="preserve">(6), 1658-1665. </w:t>
      </w:r>
      <w:hyperlink r:id="rId55" w:history="1">
        <w:r w:rsidRPr="00F70554">
          <w:rPr>
            <w:rStyle w:val="Hyperlink"/>
            <w:sz w:val="22"/>
            <w:szCs w:val="24"/>
          </w:rPr>
          <w:t>https://doi.org/10.1111/cobi.12579</w:t>
        </w:r>
      </w:hyperlink>
    </w:p>
    <w:p w14:paraId="6E766108" w14:textId="77777777" w:rsidR="00A1531D" w:rsidRPr="00F70554" w:rsidRDefault="00A1531D" w:rsidP="009708CD">
      <w:pPr>
        <w:pStyle w:val="FootnoteText"/>
        <w:jc w:val="both"/>
        <w:rPr>
          <w:sz w:val="22"/>
          <w:szCs w:val="24"/>
        </w:rPr>
      </w:pPr>
    </w:p>
    <w:p w14:paraId="4E75665E" w14:textId="77777777" w:rsidR="00A1531D" w:rsidRPr="00F70554" w:rsidRDefault="00A1531D" w:rsidP="009708CD">
      <w:pPr>
        <w:pStyle w:val="FootnoteText"/>
        <w:jc w:val="both"/>
        <w:rPr>
          <w:sz w:val="22"/>
          <w:szCs w:val="24"/>
        </w:rPr>
      </w:pPr>
      <w:r w:rsidRPr="00F70554">
        <w:rPr>
          <w:sz w:val="22"/>
          <w:szCs w:val="24"/>
        </w:rPr>
        <w:t xml:space="preserve">IMO. (2018). Ballast Water Management Convention and BWMS Code with Guidelines for Implementation (2018 Edition). London, United Kingdom: International Maritime Organization. </w:t>
      </w:r>
      <w:hyperlink r:id="rId56" w:history="1">
        <w:r w:rsidRPr="00F70554">
          <w:rPr>
            <w:rStyle w:val="Hyperlink"/>
            <w:sz w:val="22"/>
            <w:szCs w:val="24"/>
          </w:rPr>
          <w:t>https://www.imo.org/en/OurWork/Environment/Pages/BWMConventionandGuidelines.aspx</w:t>
        </w:r>
      </w:hyperlink>
      <w:r w:rsidRPr="00F70554">
        <w:rPr>
          <w:sz w:val="22"/>
          <w:szCs w:val="24"/>
        </w:rPr>
        <w:t xml:space="preserve"> </w:t>
      </w:r>
    </w:p>
    <w:p w14:paraId="08E504BC" w14:textId="77777777" w:rsidR="00A1531D" w:rsidRPr="00F70554" w:rsidRDefault="00A1531D" w:rsidP="00A1531D">
      <w:pPr>
        <w:pStyle w:val="FootnoteText"/>
      </w:pPr>
    </w:p>
    <w:p w14:paraId="16A7FBAE" w14:textId="71A1F678" w:rsidR="00A1531D" w:rsidRPr="00F70554" w:rsidRDefault="00A1531D" w:rsidP="009708CD">
      <w:pPr>
        <w:pStyle w:val="FootnoteText"/>
      </w:pPr>
      <w:r w:rsidRPr="00F70554">
        <w:rPr>
          <w:sz w:val="22"/>
          <w:szCs w:val="22"/>
        </w:rPr>
        <w:t>IMO. (2023). 2023 Guidelines for the control and management of ships’ biofouling to minimize the transfer</w:t>
      </w:r>
      <w:r w:rsidR="00456C7A" w:rsidRPr="00F70554">
        <w:rPr>
          <w:sz w:val="22"/>
          <w:szCs w:val="22"/>
        </w:rPr>
        <w:t xml:space="preserve"> </w:t>
      </w:r>
      <w:r w:rsidRPr="00F70554">
        <w:rPr>
          <w:kern w:val="2"/>
          <w:sz w:val="22"/>
          <w:szCs w:val="22"/>
          <w14:ligatures w14:val="standardContextual"/>
        </w:rPr>
        <w:t xml:space="preserve">of invasive aquatic species. </w:t>
      </w:r>
      <w:hyperlink r:id="rId57" w:history="1">
        <w:r w:rsidRPr="00F70554">
          <w:rPr>
            <w:rStyle w:val="Hyperlink"/>
            <w:sz w:val="22"/>
            <w:szCs w:val="22"/>
          </w:rPr>
          <w:t>https://www.imo.org/en/OurWork/Environment/Pages/Biofouling.aspx</w:t>
        </w:r>
      </w:hyperlink>
    </w:p>
    <w:p w14:paraId="2B320F45" w14:textId="77777777" w:rsidR="00456C7A" w:rsidRPr="00F70554" w:rsidRDefault="00456C7A" w:rsidP="009708CD">
      <w:pPr>
        <w:pStyle w:val="FootnoteText"/>
      </w:pPr>
    </w:p>
    <w:p w14:paraId="456F0BCA" w14:textId="77777777" w:rsidR="00A1531D" w:rsidRPr="00F70554" w:rsidRDefault="00A1531D" w:rsidP="00A1531D">
      <w:r w:rsidRPr="00F70554">
        <w:t xml:space="preserve">IUCN (2020). IUCN EICAT Categories and Criteria. The Environmental Impact Classification for Alien Taxa First edition. Gland, Switzerland and Cambridge, UK: IUCN. X + </w:t>
      </w:r>
      <w:proofErr w:type="spellStart"/>
      <w:r w:rsidRPr="00F70554">
        <w:t>Xpp</w:t>
      </w:r>
      <w:proofErr w:type="spellEnd"/>
      <w:r w:rsidRPr="00F70554">
        <w:t>.</w:t>
      </w:r>
    </w:p>
    <w:p w14:paraId="6FBAF77B" w14:textId="77777777" w:rsidR="00562016" w:rsidRPr="00F70554" w:rsidRDefault="00562016" w:rsidP="00A1531D"/>
    <w:p w14:paraId="50242C75" w14:textId="19F8195D" w:rsidR="00A1531D" w:rsidRPr="00F70554" w:rsidRDefault="00A1531D" w:rsidP="00A1531D">
      <w:r w:rsidRPr="00F70554">
        <w:t xml:space="preserve">McCarthy, A. H., Peck, L. S., &amp; Aldridge, D. C. (2022). Ship traffic connects Antarctica’s fragile coasts to worldwide ecosystems. </w:t>
      </w:r>
      <w:r w:rsidRPr="00F70554">
        <w:rPr>
          <w:i/>
          <w:iCs/>
        </w:rPr>
        <w:t>Proceedings of the National Academy of Sciences</w:t>
      </w:r>
      <w:r w:rsidRPr="00F70554">
        <w:t xml:space="preserve">, </w:t>
      </w:r>
      <w:r w:rsidRPr="00F70554">
        <w:rPr>
          <w:i/>
          <w:iCs/>
        </w:rPr>
        <w:t>119</w:t>
      </w:r>
      <w:r w:rsidRPr="00F70554">
        <w:t xml:space="preserve">(3), e2110303118. </w:t>
      </w:r>
      <w:hyperlink r:id="rId58" w:history="1">
        <w:r w:rsidR="00562016" w:rsidRPr="00F70554">
          <w:rPr>
            <w:rStyle w:val="Hyperlink"/>
          </w:rPr>
          <w:t>https://doi.org/10.1073/pnas.2110303118</w:t>
        </w:r>
      </w:hyperlink>
    </w:p>
    <w:p w14:paraId="5C5FC063" w14:textId="77777777" w:rsidR="00562016" w:rsidRPr="00F70554" w:rsidRDefault="00562016" w:rsidP="00A1531D"/>
    <w:p w14:paraId="16CA69CF" w14:textId="77777777" w:rsidR="00A1531D" w:rsidRPr="00F70554" w:rsidRDefault="00A1531D" w:rsidP="00A1531D">
      <w:r w:rsidRPr="00F70554">
        <w:t xml:space="preserve">McGeoch, M. A., Buba, Y., </w:t>
      </w:r>
      <w:proofErr w:type="spellStart"/>
      <w:r w:rsidRPr="00F70554">
        <w:t>Arlé</w:t>
      </w:r>
      <w:proofErr w:type="spellEnd"/>
      <w:r w:rsidRPr="00F70554">
        <w:t xml:space="preserve">, E., Belmaker, J., Clarke, D. A., </w:t>
      </w:r>
      <w:proofErr w:type="spellStart"/>
      <w:r w:rsidRPr="00F70554">
        <w:t>Jetz</w:t>
      </w:r>
      <w:proofErr w:type="spellEnd"/>
      <w:r w:rsidRPr="00F70554">
        <w:t xml:space="preserve">, W., Li, R., </w:t>
      </w:r>
      <w:proofErr w:type="spellStart"/>
      <w:r w:rsidRPr="00F70554">
        <w:t>Seebens</w:t>
      </w:r>
      <w:proofErr w:type="spellEnd"/>
      <w:r w:rsidRPr="00F70554">
        <w:t xml:space="preserve">, H., Essl, F., Groom, Q., García-Berthou, E., Lenzner, B., Meyer, C., Vicente, J. R., U. Wilson, J. R., &amp; Winter, M. (2023). Invasion trends: An interpretable measure of change is needed to support policy targets. </w:t>
      </w:r>
      <w:r w:rsidRPr="00F70554">
        <w:rPr>
          <w:i/>
          <w:iCs/>
        </w:rPr>
        <w:t>Conservation Letters</w:t>
      </w:r>
      <w:r w:rsidRPr="00F70554">
        <w:t xml:space="preserve">, </w:t>
      </w:r>
      <w:r w:rsidRPr="00F70554">
        <w:rPr>
          <w:i/>
          <w:iCs/>
        </w:rPr>
        <w:t>16</w:t>
      </w:r>
      <w:r w:rsidRPr="00F70554">
        <w:t xml:space="preserve">(6), e12981. </w:t>
      </w:r>
      <w:hyperlink r:id="rId59">
        <w:r w:rsidRPr="00F70554">
          <w:rPr>
            <w:rStyle w:val="Hyperlink"/>
          </w:rPr>
          <w:t>https://doi.org/10.1111/conl.12981</w:t>
        </w:r>
      </w:hyperlink>
      <w:r w:rsidRPr="00F70554">
        <w:t xml:space="preserve"> </w:t>
      </w:r>
    </w:p>
    <w:p w14:paraId="40F16CB5" w14:textId="77777777" w:rsidR="00562016" w:rsidRPr="00F70554" w:rsidRDefault="00562016" w:rsidP="00A1531D"/>
    <w:p w14:paraId="6E49F3DA" w14:textId="77777777" w:rsidR="00A1531D" w:rsidRPr="00F70554" w:rsidRDefault="00A1531D" w:rsidP="00A1531D">
      <w:r w:rsidRPr="00F70554">
        <w:t xml:space="preserve">McGeoch, M. A., Ordonez, A., Howard, P. L., Groom, Q. J., Shrestha, B. B., Fernandez, M., Brugnoli, E., Bwalya, B., Byun, C., </w:t>
      </w:r>
      <w:proofErr w:type="spellStart"/>
      <w:r w:rsidRPr="00F70554">
        <w:t>Ksenofontov</w:t>
      </w:r>
      <w:proofErr w:type="spellEnd"/>
      <w:r w:rsidRPr="00F70554">
        <w:t xml:space="preserve">, S., </w:t>
      </w:r>
      <w:proofErr w:type="spellStart"/>
      <w:r w:rsidRPr="00F70554">
        <w:t>Ojaveer</w:t>
      </w:r>
      <w:proofErr w:type="spellEnd"/>
      <w:r w:rsidRPr="00F70554">
        <w:t xml:space="preserve">, H., </w:t>
      </w:r>
      <w:proofErr w:type="spellStart"/>
      <w:r w:rsidRPr="00F70554">
        <w:t>Simberloff</w:t>
      </w:r>
      <w:proofErr w:type="spellEnd"/>
      <w:r w:rsidRPr="00F70554">
        <w:t xml:space="preserve">, D., </w:t>
      </w:r>
      <w:proofErr w:type="spellStart"/>
      <w:r w:rsidRPr="00F70554">
        <w:t>Mungi</w:t>
      </w:r>
      <w:proofErr w:type="spellEnd"/>
      <w:r w:rsidRPr="00F70554">
        <w:t xml:space="preserve">, N. A., and Rono, B. (2023). Chapter 6: Governance and policy options for the management of biological invasions. In: Thematic Assessment Report on Invasive Alien Species and their Control of the Intergovernmental Science-Policy Platform on Biodiversity and Ecosystem Services. Roy, H. E., </w:t>
      </w:r>
      <w:proofErr w:type="spellStart"/>
      <w:r w:rsidRPr="00F70554">
        <w:t>Pauchard</w:t>
      </w:r>
      <w:proofErr w:type="spellEnd"/>
      <w:r w:rsidRPr="00F70554">
        <w:t xml:space="preserve">, A., Stoett, P., and Renard Truong, T. (eds.). IPBES secretariat, Bonn, Germany. </w:t>
      </w:r>
      <w:hyperlink r:id="rId60">
        <w:r w:rsidRPr="00F70554">
          <w:rPr>
            <w:rStyle w:val="Hyperlink"/>
          </w:rPr>
          <w:t>https://doi.org/10.5281/zenodo.7430747</w:t>
        </w:r>
      </w:hyperlink>
    </w:p>
    <w:p w14:paraId="5A2929D7" w14:textId="77777777" w:rsidR="00562016" w:rsidRPr="00F70554" w:rsidRDefault="00562016" w:rsidP="00A1531D"/>
    <w:p w14:paraId="261CE13E" w14:textId="77777777" w:rsidR="00A1531D" w:rsidRPr="00F12734" w:rsidRDefault="00A1531D" w:rsidP="00A1531D">
      <w:r w:rsidRPr="00F70554">
        <w:t xml:space="preserve">McGeoch, M.A. and Squires, Z. 2015. An Essential Biodiversity Variable approach to monitoring biological invasions: Guide for Countries. </w:t>
      </w:r>
      <w:r w:rsidRPr="00F12734">
        <w:t xml:space="preserve">GEO BON Technical Series 2, 13 pp. </w:t>
      </w:r>
      <w:hyperlink r:id="rId61">
        <w:r w:rsidRPr="00F12734">
          <w:t>http://www.geobon.org/Downloads/reports/GEOBON/2015/MonitoringBiologicalInvasions.pdf</w:t>
        </w:r>
      </w:hyperlink>
      <w:r w:rsidRPr="00F12734">
        <w:t xml:space="preserve"> </w:t>
      </w:r>
    </w:p>
    <w:p w14:paraId="3D866DC3" w14:textId="77777777" w:rsidR="00562016" w:rsidRPr="00F12734" w:rsidRDefault="00562016" w:rsidP="00A1531D">
      <w:pPr>
        <w:rPr>
          <w:rStyle w:val="Hyperlink"/>
        </w:rPr>
      </w:pPr>
    </w:p>
    <w:p w14:paraId="3CF9C27E" w14:textId="77777777" w:rsidR="00A1531D" w:rsidRPr="00F70554" w:rsidRDefault="00A1531D" w:rsidP="00A1531D">
      <w:proofErr w:type="spellStart"/>
      <w:r w:rsidRPr="00F12734">
        <w:rPr>
          <w:lang w:val="fr-FR"/>
        </w:rPr>
        <w:lastRenderedPageBreak/>
        <w:t>Milián</w:t>
      </w:r>
      <w:proofErr w:type="spellEnd"/>
      <w:r w:rsidRPr="00F12734">
        <w:rPr>
          <w:lang w:val="fr-FR"/>
        </w:rPr>
        <w:t xml:space="preserve">-García, Y., </w:t>
      </w:r>
      <w:proofErr w:type="spellStart"/>
      <w:r w:rsidRPr="00F12734">
        <w:rPr>
          <w:lang w:val="fr-FR"/>
        </w:rPr>
        <w:t>Pyne</w:t>
      </w:r>
      <w:proofErr w:type="spellEnd"/>
      <w:r w:rsidRPr="00F12734">
        <w:rPr>
          <w:lang w:val="fr-FR"/>
        </w:rPr>
        <w:t>, C., Chen, A. </w:t>
      </w:r>
      <w:r w:rsidRPr="001D795A">
        <w:rPr>
          <w:i/>
          <w:iCs/>
          <w:lang w:val="fr-FR"/>
        </w:rPr>
        <w:t>et al.</w:t>
      </w:r>
      <w:r w:rsidRPr="001D795A">
        <w:rPr>
          <w:lang w:val="fr-FR"/>
        </w:rPr>
        <w:t> </w:t>
      </w:r>
      <w:r w:rsidRPr="00F70554">
        <w:t xml:space="preserve">Uncovering the hidden within shipping containers: molecular </w:t>
      </w:r>
      <w:proofErr w:type="spellStart"/>
      <w:r w:rsidRPr="00F70554">
        <w:t>biosurveillance</w:t>
      </w:r>
      <w:proofErr w:type="spellEnd"/>
      <w:r w:rsidRPr="00F70554">
        <w:t xml:space="preserve"> confirms a pathway for introducing multiple regulated and invasive species. </w:t>
      </w:r>
      <w:proofErr w:type="spellStart"/>
      <w:r w:rsidRPr="00F70554">
        <w:rPr>
          <w:i/>
          <w:iCs/>
        </w:rPr>
        <w:t>Biol</w:t>
      </w:r>
      <w:proofErr w:type="spellEnd"/>
      <w:r w:rsidRPr="00F70554">
        <w:rPr>
          <w:i/>
          <w:iCs/>
        </w:rPr>
        <w:t xml:space="preserve"> Invasions</w:t>
      </w:r>
      <w:r w:rsidRPr="00F70554">
        <w:t> </w:t>
      </w:r>
      <w:r w:rsidRPr="00F70554">
        <w:rPr>
          <w:b/>
          <w:bCs/>
        </w:rPr>
        <w:t>27</w:t>
      </w:r>
      <w:r w:rsidRPr="00F70554">
        <w:t xml:space="preserve">, 91 (2025). </w:t>
      </w:r>
      <w:hyperlink r:id="rId62" w:history="1">
        <w:r w:rsidRPr="00F70554">
          <w:rPr>
            <w:rStyle w:val="Hyperlink"/>
          </w:rPr>
          <w:t>https://doi.org/10.1007/s10530-025-03549-w</w:t>
        </w:r>
      </w:hyperlink>
    </w:p>
    <w:p w14:paraId="43ED22DE" w14:textId="77777777" w:rsidR="00562016" w:rsidRPr="00F70554" w:rsidRDefault="00562016" w:rsidP="00A1531D"/>
    <w:p w14:paraId="54A733BD" w14:textId="77777777" w:rsidR="00A1531D" w:rsidRPr="00F70554" w:rsidRDefault="00A1531D" w:rsidP="00A1531D">
      <w:proofErr w:type="spellStart"/>
      <w:r w:rsidRPr="00F70554">
        <w:t>Mogollón</w:t>
      </w:r>
      <w:proofErr w:type="spellEnd"/>
      <w:r w:rsidRPr="00F70554">
        <w:t xml:space="preserve">, S.L., </w:t>
      </w:r>
      <w:proofErr w:type="spellStart"/>
      <w:r w:rsidRPr="00F70554">
        <w:t>Zilio</w:t>
      </w:r>
      <w:proofErr w:type="spellEnd"/>
      <w:r w:rsidRPr="00F70554">
        <w:t xml:space="preserve">, M.I., Buitrago, E.M., Caraballo, M.A., and </w:t>
      </w:r>
      <w:proofErr w:type="spellStart"/>
      <w:r w:rsidRPr="00F70554">
        <w:t>Tniguez</w:t>
      </w:r>
      <w:proofErr w:type="spellEnd"/>
      <w:r w:rsidRPr="00F70554">
        <w:t>, R. (2024). Economic impact of </w:t>
      </w:r>
      <w:proofErr w:type="spellStart"/>
      <w:r w:rsidRPr="00F70554">
        <w:rPr>
          <w:i/>
          <w:iCs/>
        </w:rPr>
        <w:t>Rugulopteryx</w:t>
      </w:r>
      <w:proofErr w:type="spellEnd"/>
      <w:r w:rsidRPr="00F70554">
        <w:rPr>
          <w:i/>
          <w:iCs/>
        </w:rPr>
        <w:t xml:space="preserve"> </w:t>
      </w:r>
      <w:proofErr w:type="spellStart"/>
      <w:r w:rsidRPr="00F70554">
        <w:rPr>
          <w:i/>
          <w:iCs/>
        </w:rPr>
        <w:t>okamurae</w:t>
      </w:r>
      <w:proofErr w:type="spellEnd"/>
      <w:r w:rsidRPr="00F70554">
        <w:t> (</w:t>
      </w:r>
      <w:proofErr w:type="spellStart"/>
      <w:r w:rsidRPr="00F70554">
        <w:t>Dictyotales</w:t>
      </w:r>
      <w:proofErr w:type="spellEnd"/>
      <w:r w:rsidRPr="00F70554">
        <w:t xml:space="preserve">, </w:t>
      </w:r>
      <w:proofErr w:type="spellStart"/>
      <w:r w:rsidRPr="00F70554">
        <w:t>Ochrophyta</w:t>
      </w:r>
      <w:proofErr w:type="spellEnd"/>
      <w:r w:rsidRPr="00F70554">
        <w:t>) along the Andalusian coastline: the case of Tarifa, Spain. </w:t>
      </w:r>
      <w:r w:rsidRPr="00F70554">
        <w:rPr>
          <w:i/>
          <w:iCs/>
        </w:rPr>
        <w:t xml:space="preserve">Wetlands </w:t>
      </w:r>
      <w:proofErr w:type="spellStart"/>
      <w:r w:rsidRPr="00F70554">
        <w:rPr>
          <w:i/>
          <w:iCs/>
        </w:rPr>
        <w:t>Ecol</w:t>
      </w:r>
      <w:proofErr w:type="spellEnd"/>
      <w:r w:rsidRPr="00F70554">
        <w:rPr>
          <w:i/>
          <w:iCs/>
        </w:rPr>
        <w:t xml:space="preserve"> Manage</w:t>
      </w:r>
      <w:r w:rsidRPr="00F70554">
        <w:t> </w:t>
      </w:r>
      <w:r w:rsidRPr="00F70554">
        <w:rPr>
          <w:b/>
          <w:bCs/>
        </w:rPr>
        <w:t>32</w:t>
      </w:r>
      <w:r w:rsidRPr="00F70554">
        <w:t xml:space="preserve">, 19–32. </w:t>
      </w:r>
      <w:hyperlink r:id="rId63" w:history="1">
        <w:r w:rsidRPr="00F70554">
          <w:rPr>
            <w:rStyle w:val="Hyperlink"/>
          </w:rPr>
          <w:t>https://doi.org/10.1007/s11273-023-09951-2</w:t>
        </w:r>
      </w:hyperlink>
    </w:p>
    <w:p w14:paraId="2BAAEB97" w14:textId="77777777" w:rsidR="00562016" w:rsidRPr="00F70554" w:rsidRDefault="00562016" w:rsidP="00A1531D"/>
    <w:p w14:paraId="2D78BCF1" w14:textId="77777777" w:rsidR="00A1531D" w:rsidRPr="00F70554" w:rsidRDefault="00A1531D" w:rsidP="00A1531D">
      <w:r w:rsidRPr="00F70554">
        <w:t xml:space="preserve">Millet, J.E., Accouche, W., van de </w:t>
      </w:r>
      <w:proofErr w:type="spellStart"/>
      <w:r w:rsidRPr="00F70554">
        <w:t>Commenacker</w:t>
      </w:r>
      <w:proofErr w:type="spellEnd"/>
      <w:r w:rsidRPr="00F70554">
        <w:t xml:space="preserve">, J., van Dinther, M.A.J.A., de Groene, A., Havemann, C.P., Retief, T.A., </w:t>
      </w:r>
      <w:proofErr w:type="spellStart"/>
      <w:r w:rsidRPr="00F70554">
        <w:t>Appoo</w:t>
      </w:r>
      <w:proofErr w:type="spellEnd"/>
      <w:r w:rsidRPr="00F70554">
        <w:t xml:space="preserve">, J., and Bristol, R.M. (2017). Conservation gains and missed opportunities 15 years after rodent eradications in the Seychelles. In: Veitch, M.N. Clout, A.R. Martin, J.C. Russell and C.J. West (eds.) (2019). Island invasives: scaling up to meet the challenge, pp. 580–587. Occasional Paper SSC no. 62. Gland, Switzerland: IUCN </w:t>
      </w:r>
      <w:hyperlink r:id="rId64" w:history="1">
        <w:r w:rsidRPr="00F70554">
          <w:rPr>
            <w:rStyle w:val="Hyperlink"/>
          </w:rPr>
          <w:t>https://portals.iucn.org/library/node/48358</w:t>
        </w:r>
      </w:hyperlink>
      <w:r w:rsidRPr="00F70554">
        <w:t xml:space="preserve"> </w:t>
      </w:r>
    </w:p>
    <w:p w14:paraId="19D618DA" w14:textId="77777777" w:rsidR="00562016" w:rsidRPr="00F70554" w:rsidRDefault="00562016" w:rsidP="00A1531D"/>
    <w:p w14:paraId="0BF536E1" w14:textId="77777777" w:rsidR="00A1531D" w:rsidRPr="00F70554" w:rsidRDefault="00A1531D" w:rsidP="00A1531D">
      <w:r w:rsidRPr="00F70554">
        <w:t>Osipova, E., Emslie-Smith, M., Osti, M., Murai, M., Åberg, U., Shadie, P. (2020). IUCN World Heritage Outlook 3: A conservation assessment of all natural World Heritage sites, November 2020. Gland, Switzerland: IUCN. x + 90pp.</w:t>
      </w:r>
    </w:p>
    <w:p w14:paraId="630D39CE" w14:textId="77777777" w:rsidR="00562016" w:rsidRPr="00F70554" w:rsidRDefault="00562016" w:rsidP="00A1531D"/>
    <w:p w14:paraId="59471A99" w14:textId="77777777" w:rsidR="00A1531D" w:rsidRPr="00F70554" w:rsidRDefault="00A1531D" w:rsidP="00A1531D">
      <w:r w:rsidRPr="00F70554">
        <w:t xml:space="preserve">Ramírez-Castañeda, V. (2020). Disadvantages in preparing and publishing scientific papers caused by the dominance of the English language in science: The case of Colombian researchers in biological sciences. </w:t>
      </w:r>
      <w:r w:rsidRPr="00F70554">
        <w:rPr>
          <w:i/>
          <w:iCs/>
        </w:rPr>
        <w:t>PLOS ONE</w:t>
      </w:r>
      <w:r w:rsidRPr="00F70554">
        <w:t xml:space="preserve">, </w:t>
      </w:r>
      <w:r w:rsidRPr="00F70554">
        <w:rPr>
          <w:i/>
          <w:iCs/>
        </w:rPr>
        <w:t>15</w:t>
      </w:r>
      <w:r w:rsidRPr="00F70554">
        <w:t xml:space="preserve">(9), e0238372. </w:t>
      </w:r>
      <w:hyperlink r:id="rId65" w:history="1">
        <w:r w:rsidRPr="00F70554">
          <w:rPr>
            <w:rStyle w:val="Hyperlink"/>
          </w:rPr>
          <w:t>https://doi.org/10.1371/journal.pone.0238372</w:t>
        </w:r>
      </w:hyperlink>
      <w:r w:rsidRPr="00F70554">
        <w:t xml:space="preserve"> </w:t>
      </w:r>
    </w:p>
    <w:p w14:paraId="7C0F8E73" w14:textId="77777777" w:rsidR="00562016" w:rsidRPr="00F70554" w:rsidRDefault="00562016" w:rsidP="00A1531D"/>
    <w:p w14:paraId="17D436A7" w14:textId="77777777" w:rsidR="00A1531D" w:rsidRPr="00F70554" w:rsidRDefault="00A1531D" w:rsidP="00A1531D">
      <w:pPr>
        <w:rPr>
          <w:rStyle w:val="Hyperlink"/>
        </w:rPr>
      </w:pPr>
      <w:r w:rsidRPr="00F70554">
        <w:t xml:space="preserve">Robinson AP, McNeill MR (2022) Biosecurity and post-arrival pathways in New Zealand: relating alien organism detections to tourism indicators. </w:t>
      </w:r>
      <w:proofErr w:type="spellStart"/>
      <w:r w:rsidRPr="00F70554">
        <w:t>NeoBiota</w:t>
      </w:r>
      <w:proofErr w:type="spellEnd"/>
      <w:r w:rsidRPr="00F70554">
        <w:t xml:space="preserve"> 71: 51-69. </w:t>
      </w:r>
      <w:hyperlink r:id="rId66">
        <w:r w:rsidRPr="00F70554">
          <w:rPr>
            <w:rStyle w:val="Hyperlink"/>
          </w:rPr>
          <w:t>https://doi.org/10.3897/neobiota.71.64618</w:t>
        </w:r>
      </w:hyperlink>
    </w:p>
    <w:p w14:paraId="43415AB1" w14:textId="77777777" w:rsidR="00A1531D" w:rsidRPr="00F70554" w:rsidRDefault="00A1531D" w:rsidP="00A1531D">
      <w:r w:rsidRPr="00F70554">
        <w:t>Ricciardi, A., </w:t>
      </w:r>
      <w:proofErr w:type="spellStart"/>
      <w:r w:rsidRPr="00F70554">
        <w:t>Iacarella</w:t>
      </w:r>
      <w:proofErr w:type="spellEnd"/>
      <w:r w:rsidRPr="00F70554">
        <w:t xml:space="preserve">, J.A., Aldridge, D.A, Backburn, T.M., Carlton, J.T., </w:t>
      </w:r>
      <w:proofErr w:type="gramStart"/>
      <w:r w:rsidRPr="00F70554">
        <w:t>et al..</w:t>
      </w:r>
      <w:proofErr w:type="gramEnd"/>
      <w:r w:rsidRPr="00F70554">
        <w:t xml:space="preserve"> (2021). Four priority areas to advance invasion science in the face of rapid environmental change. </w:t>
      </w:r>
      <w:r w:rsidRPr="00F70554">
        <w:rPr>
          <w:i/>
          <w:iCs/>
        </w:rPr>
        <w:t>Environmental Reviews</w:t>
      </w:r>
      <w:r w:rsidRPr="00F70554">
        <w:t>. </w:t>
      </w:r>
      <w:r w:rsidRPr="00F70554">
        <w:rPr>
          <w:b/>
          <w:bCs/>
        </w:rPr>
        <w:t>29</w:t>
      </w:r>
      <w:r w:rsidRPr="00F70554">
        <w:t>(2): 119-141. </w:t>
      </w:r>
      <w:hyperlink r:id="rId67" w:history="1">
        <w:r w:rsidRPr="00F70554">
          <w:rPr>
            <w:rStyle w:val="Hyperlink"/>
          </w:rPr>
          <w:t>https://doi.org/10.1139/er-2020-0088</w:t>
        </w:r>
      </w:hyperlink>
      <w:r w:rsidRPr="00F70554">
        <w:t xml:space="preserve"> </w:t>
      </w:r>
    </w:p>
    <w:p w14:paraId="6BBD35ED" w14:textId="77777777" w:rsidR="00562016" w:rsidRPr="00F70554" w:rsidRDefault="00562016" w:rsidP="00A1531D"/>
    <w:p w14:paraId="3D4110B7" w14:textId="77777777" w:rsidR="00A1531D" w:rsidRPr="00F70554" w:rsidRDefault="00A1531D" w:rsidP="00A1531D">
      <w:r w:rsidRPr="00F70554">
        <w:t xml:space="preserve">Roy, H. E., Bacher, S., Essl, F., </w:t>
      </w:r>
      <w:proofErr w:type="spellStart"/>
      <w:r w:rsidRPr="00F70554">
        <w:t>Adriaens</w:t>
      </w:r>
      <w:proofErr w:type="spellEnd"/>
      <w:r w:rsidRPr="00F70554">
        <w:t xml:space="preserve">, T., Aldridge, D. C., D. Bishop, J. D., Blackburn, T. M., </w:t>
      </w:r>
      <w:proofErr w:type="spellStart"/>
      <w:r w:rsidRPr="00F70554">
        <w:t>Branquart</w:t>
      </w:r>
      <w:proofErr w:type="spellEnd"/>
      <w:r w:rsidRPr="00F70554">
        <w:t xml:space="preserve">, E., Brodie, J., </w:t>
      </w:r>
      <w:proofErr w:type="spellStart"/>
      <w:r w:rsidRPr="00F70554">
        <w:t>Carboneras</w:t>
      </w:r>
      <w:proofErr w:type="spellEnd"/>
      <w:r w:rsidRPr="00F70554">
        <w:t xml:space="preserve">, C., Cottier-Cook, E. J., Copp, G. H., Dean, H. J., Eilenberg, J., Gallardo, B., Garcia, M., García-Berthou, E., Genovesi, P., Hulme, P. E., . . . </w:t>
      </w:r>
      <w:proofErr w:type="spellStart"/>
      <w:r w:rsidRPr="00F70554">
        <w:t>Rabitsch</w:t>
      </w:r>
      <w:proofErr w:type="spellEnd"/>
      <w:r w:rsidRPr="00F70554">
        <w:t xml:space="preserve">, W. (2019). Developing a list of invasive alien species likely to threaten biodiversity and ecosystems in the European Union. </w:t>
      </w:r>
      <w:r w:rsidRPr="00F70554">
        <w:rPr>
          <w:i/>
          <w:iCs/>
        </w:rPr>
        <w:t>Global Change Biology</w:t>
      </w:r>
      <w:r w:rsidRPr="00F70554">
        <w:t xml:space="preserve">, </w:t>
      </w:r>
      <w:r w:rsidRPr="00F70554">
        <w:rPr>
          <w:i/>
          <w:iCs/>
        </w:rPr>
        <w:t>25</w:t>
      </w:r>
      <w:r w:rsidRPr="00F70554">
        <w:t xml:space="preserve">(3), 1032-1048. </w:t>
      </w:r>
      <w:hyperlink r:id="rId68" w:history="1">
        <w:r w:rsidRPr="00F70554">
          <w:rPr>
            <w:rStyle w:val="Hyperlink"/>
          </w:rPr>
          <w:t>https://doi.org/10.1111/gcb.14527</w:t>
        </w:r>
      </w:hyperlink>
      <w:r w:rsidRPr="00F70554">
        <w:t xml:space="preserve"> </w:t>
      </w:r>
    </w:p>
    <w:p w14:paraId="3F2CE4D3" w14:textId="77777777" w:rsidR="00562016" w:rsidRPr="00F70554" w:rsidRDefault="00562016" w:rsidP="00A1531D"/>
    <w:p w14:paraId="042B2336" w14:textId="77777777" w:rsidR="00A1531D" w:rsidRPr="00F70554" w:rsidRDefault="00A1531D" w:rsidP="00A1531D">
      <w:r w:rsidRPr="00F70554">
        <w:t xml:space="preserve">Sankaran, K. V., Schwindt, E., Sheppard, A. W., Foxcroft, L. C., Vanderhoeven, S., Egawa, C., Peacock, L., Castillo, M. L., Zenni, R. D., Müllerová, J., González-Martínez, A. I., </w:t>
      </w:r>
      <w:proofErr w:type="spellStart"/>
      <w:r w:rsidRPr="00F70554">
        <w:t>Bukombe</w:t>
      </w:r>
      <w:proofErr w:type="spellEnd"/>
      <w:r w:rsidRPr="00F70554">
        <w:t xml:space="preserve">, J. K., Wanzala, W., and </w:t>
      </w:r>
      <w:proofErr w:type="spellStart"/>
      <w:r w:rsidRPr="00F70554">
        <w:t>Mangwa</w:t>
      </w:r>
      <w:proofErr w:type="spellEnd"/>
      <w:r w:rsidRPr="00F70554">
        <w:t xml:space="preserve">, D. C. (2023). Chapter 5: Management; challenges, opportunities and lessons learned. In: Thematic Assessment Report on Invasive Alien Species and their Control of the Intergovernmental Science-Policy Platform on Biodiversity and Ecosystem Services. Roy, H. E., </w:t>
      </w:r>
      <w:proofErr w:type="spellStart"/>
      <w:r w:rsidRPr="00F70554">
        <w:t>Pauchard</w:t>
      </w:r>
      <w:proofErr w:type="spellEnd"/>
      <w:r w:rsidRPr="00F70554">
        <w:t xml:space="preserve">, A., Stoett, P., and Renard Truong, T. (eds.). IPBES secretariat, Bonn, Germany. DOI: </w:t>
      </w:r>
      <w:hyperlink r:id="rId69" w:history="1">
        <w:r w:rsidRPr="00F70554">
          <w:rPr>
            <w:rStyle w:val="Hyperlink"/>
          </w:rPr>
          <w:t>https://doi.org/10.5281/zenodo.7430733</w:t>
        </w:r>
      </w:hyperlink>
    </w:p>
    <w:p w14:paraId="7311EF53" w14:textId="77777777" w:rsidR="00562016" w:rsidRPr="00F70554" w:rsidRDefault="00562016" w:rsidP="00A1531D"/>
    <w:p w14:paraId="05F28339" w14:textId="624C51A4" w:rsidR="00A1531D" w:rsidRPr="00F70554" w:rsidRDefault="00A1531D" w:rsidP="00A1531D">
      <w:proofErr w:type="spellStart"/>
      <w:r w:rsidRPr="00F70554">
        <w:t>Seebens</w:t>
      </w:r>
      <w:proofErr w:type="spellEnd"/>
      <w:r w:rsidRPr="00F70554">
        <w:t xml:space="preserve">, H., Blackburn, T. M., Dyer, E. E., Genovesi, P., Hulme, P. E., Jeschke, J. M., </w:t>
      </w:r>
      <w:proofErr w:type="spellStart"/>
      <w:r w:rsidRPr="00F70554">
        <w:t>Pagad</w:t>
      </w:r>
      <w:proofErr w:type="spellEnd"/>
      <w:r w:rsidRPr="00F70554">
        <w:t xml:space="preserve">, S., Pyšek, P., Winter, M., Arianoutsou, M., Bacher, S., Blasius, B., </w:t>
      </w:r>
      <w:proofErr w:type="spellStart"/>
      <w:r w:rsidRPr="00F70554">
        <w:t>Brundu</w:t>
      </w:r>
      <w:proofErr w:type="spellEnd"/>
      <w:r w:rsidRPr="00F70554">
        <w:t xml:space="preserve">, G., </w:t>
      </w:r>
      <w:proofErr w:type="spellStart"/>
      <w:r w:rsidRPr="00F70554">
        <w:t>Capinha</w:t>
      </w:r>
      <w:proofErr w:type="spellEnd"/>
      <w:r w:rsidRPr="00F70554">
        <w:t xml:space="preserve">, C., Dawson, W., Dullinger, S., Fuentes, N., Jäger, H., </w:t>
      </w:r>
      <w:proofErr w:type="spellStart"/>
      <w:r w:rsidRPr="00F70554">
        <w:t>Kartesz</w:t>
      </w:r>
      <w:proofErr w:type="spellEnd"/>
      <w:r w:rsidRPr="00F70554">
        <w:t xml:space="preserve">, J., . . . Essl, F. (2017). No saturation in the accumulation of alien species worldwide. </w:t>
      </w:r>
      <w:r w:rsidRPr="00F70554">
        <w:rPr>
          <w:i/>
          <w:iCs/>
        </w:rPr>
        <w:t>Nature Communications</w:t>
      </w:r>
      <w:r w:rsidRPr="00F70554">
        <w:t xml:space="preserve">, </w:t>
      </w:r>
      <w:r w:rsidRPr="00F70554">
        <w:rPr>
          <w:i/>
          <w:iCs/>
        </w:rPr>
        <w:t>8</w:t>
      </w:r>
      <w:r w:rsidRPr="00F70554">
        <w:t xml:space="preserve">(1), 1-9. </w:t>
      </w:r>
      <w:hyperlink r:id="rId70" w:history="1">
        <w:r w:rsidR="00562016" w:rsidRPr="00F70554">
          <w:rPr>
            <w:rStyle w:val="Hyperlink"/>
          </w:rPr>
          <w:t>https://doi.org/10.1038/ncomms14435</w:t>
        </w:r>
      </w:hyperlink>
    </w:p>
    <w:p w14:paraId="11929154" w14:textId="77777777" w:rsidR="00562016" w:rsidRPr="00F70554" w:rsidRDefault="00562016" w:rsidP="00A1531D"/>
    <w:p w14:paraId="43A0C273" w14:textId="77777777" w:rsidR="00A1531D" w:rsidRPr="00F70554" w:rsidRDefault="00A1531D" w:rsidP="00A1531D">
      <w:proofErr w:type="spellStart"/>
      <w:r w:rsidRPr="00F70554">
        <w:t>Seebens</w:t>
      </w:r>
      <w:proofErr w:type="spellEnd"/>
      <w:r w:rsidRPr="00F70554">
        <w:t xml:space="preserve">, H., Meyerson, L. A., </w:t>
      </w:r>
      <w:proofErr w:type="spellStart"/>
      <w:r w:rsidRPr="00F70554">
        <w:t>Rahlao</w:t>
      </w:r>
      <w:proofErr w:type="spellEnd"/>
      <w:r w:rsidRPr="00F70554">
        <w:t xml:space="preserve">, S. J., Lenzner, B., Tricarico, E., Aleksanyan, A., </w:t>
      </w:r>
      <w:proofErr w:type="spellStart"/>
      <w:r w:rsidRPr="00F70554">
        <w:t>Courchamp</w:t>
      </w:r>
      <w:proofErr w:type="spellEnd"/>
      <w:r w:rsidRPr="00F70554">
        <w:t xml:space="preserve">, F., Keskin, E., Saeedi, H., Tawake, A., and Pyšek, P. (2023). Chapter 2: Trends and status of alien and invasive alien species. In: Thematic Assessment Report on Invasive Alien Species and their Control of the Intergovernmental Science-Policy Platform on Biodiversity and Ecosystem Services. Roy, H. E., </w:t>
      </w:r>
      <w:proofErr w:type="spellStart"/>
      <w:r w:rsidRPr="00F70554">
        <w:t>Pauchard</w:t>
      </w:r>
      <w:proofErr w:type="spellEnd"/>
      <w:r w:rsidRPr="00F70554">
        <w:t xml:space="preserve">, A., Stoett, P., and Renard Truong, T. (eds.). IPBES secretariat, Bonn, Germany. DOI: </w:t>
      </w:r>
      <w:hyperlink r:id="rId71" w:history="1">
        <w:r w:rsidRPr="00F70554">
          <w:rPr>
            <w:rStyle w:val="Hyperlink"/>
          </w:rPr>
          <w:t>https://doi.org/10.5281/zenodo.7430725</w:t>
        </w:r>
      </w:hyperlink>
    </w:p>
    <w:p w14:paraId="1F062B24" w14:textId="77777777" w:rsidR="00BF05B5" w:rsidRPr="00F70554" w:rsidRDefault="00BF05B5" w:rsidP="00A1531D"/>
    <w:p w14:paraId="09509E15" w14:textId="77777777" w:rsidR="00A1531D" w:rsidRPr="00F70554" w:rsidRDefault="00A1531D" w:rsidP="00A1531D">
      <w:r w:rsidRPr="00F70554">
        <w:lastRenderedPageBreak/>
        <w:t xml:space="preserve">e Standards and Trade Development Facility (STDF). (2013). International trade and invasive alien species. </w:t>
      </w:r>
      <w:hyperlink r:id="rId72" w:history="1">
        <w:r w:rsidRPr="00F70554">
          <w:rPr>
            <w:rStyle w:val="Hyperlink"/>
          </w:rPr>
          <w:t>https://standardsfacility.org/sites/default/files/STDF_IAS_EN_0.pdf</w:t>
        </w:r>
      </w:hyperlink>
      <w:r w:rsidRPr="00F70554">
        <w:t xml:space="preserve"> </w:t>
      </w:r>
    </w:p>
    <w:p w14:paraId="4D3B74C9" w14:textId="77777777" w:rsidR="00BF05B5" w:rsidRPr="00F70554" w:rsidRDefault="00BF05B5" w:rsidP="00A1531D"/>
    <w:p w14:paraId="74CD391C" w14:textId="77777777" w:rsidR="00A1531D" w:rsidRPr="00F70554" w:rsidRDefault="00A1531D" w:rsidP="00A1531D">
      <w:r w:rsidRPr="00F70554">
        <w:t xml:space="preserve">Toomes, A., Moncayo, S., Stringham, O. C., Lassaline, C., Wood, L., Millington, M., Drake, C., Jense, C., Allen, A., Hill, K. G., García-Díaz, P., Mitchell, L., &amp; Cassey, P. (2023). A snapshot of online wildlife trade: Australian e-commerce trade of native and non-native pets. </w:t>
      </w:r>
      <w:r w:rsidRPr="00F70554">
        <w:rPr>
          <w:i/>
          <w:iCs/>
        </w:rPr>
        <w:t>Biological Conservation</w:t>
      </w:r>
      <w:r w:rsidRPr="00F70554">
        <w:t xml:space="preserve">, </w:t>
      </w:r>
      <w:r w:rsidRPr="00F70554">
        <w:rPr>
          <w:i/>
          <w:iCs/>
        </w:rPr>
        <w:t>282</w:t>
      </w:r>
      <w:r w:rsidRPr="00F70554">
        <w:t xml:space="preserve">, 110040. </w:t>
      </w:r>
      <w:hyperlink r:id="rId73" w:history="1">
        <w:r w:rsidRPr="00F70554">
          <w:rPr>
            <w:rStyle w:val="Hyperlink"/>
          </w:rPr>
          <w:t>https://doi.org/10.1016/j.biocon.2023.110040</w:t>
        </w:r>
      </w:hyperlink>
    </w:p>
    <w:p w14:paraId="629C55D1" w14:textId="77777777" w:rsidR="00BF05B5" w:rsidRPr="00F70554" w:rsidRDefault="00BF05B5" w:rsidP="00A1531D"/>
    <w:p w14:paraId="0014CAD5" w14:textId="4543D0B8" w:rsidR="00A1531D" w:rsidRPr="00F70554" w:rsidRDefault="00A1531D" w:rsidP="00A1531D">
      <w:r w:rsidRPr="00F70554">
        <w:t xml:space="preserve">Toral-Granda, M. V., Causton, C. E., Jäger, H., Trueman, M., Izurieta, J. C., Araujo, E., Cruz, M., Zander, K. K., Izurieta, A., &amp; Garnett, S. T. (2017). Alien species pathways to the Galapagos Islands, Ecuador. </w:t>
      </w:r>
      <w:r w:rsidRPr="00F70554">
        <w:rPr>
          <w:i/>
          <w:iCs/>
        </w:rPr>
        <w:t>PLOS ONE</w:t>
      </w:r>
      <w:r w:rsidRPr="00F70554">
        <w:t xml:space="preserve">, </w:t>
      </w:r>
      <w:r w:rsidRPr="00F70554">
        <w:rPr>
          <w:i/>
          <w:iCs/>
        </w:rPr>
        <w:t>12</w:t>
      </w:r>
      <w:r w:rsidRPr="00F70554">
        <w:t xml:space="preserve">(9), e0184379. </w:t>
      </w:r>
      <w:hyperlink r:id="rId74" w:history="1">
        <w:r w:rsidR="00BF05B5" w:rsidRPr="00F70554">
          <w:rPr>
            <w:rStyle w:val="Hyperlink"/>
          </w:rPr>
          <w:t>https://doi.org/10.1371/journal.pone.0184379</w:t>
        </w:r>
      </w:hyperlink>
    </w:p>
    <w:p w14:paraId="1370D742" w14:textId="77777777" w:rsidR="00BF05B5" w:rsidRPr="00F70554" w:rsidRDefault="00BF05B5" w:rsidP="00A1531D"/>
    <w:p w14:paraId="38B5F0F8" w14:textId="77777777" w:rsidR="00A1531D" w:rsidRPr="00F70554" w:rsidRDefault="00A1531D" w:rsidP="00A1531D">
      <w:r w:rsidRPr="00F70554">
        <w:t>Wallace, R.D., Bargeron, C.T. &amp; Reaser, J.K. Enabling decisions that make a difference: guidance for improving access to and analysis of invasive species information. </w:t>
      </w:r>
      <w:proofErr w:type="spellStart"/>
      <w:r w:rsidRPr="00F70554">
        <w:rPr>
          <w:i/>
          <w:iCs/>
        </w:rPr>
        <w:t>Biol</w:t>
      </w:r>
      <w:proofErr w:type="spellEnd"/>
      <w:r w:rsidRPr="00F70554">
        <w:rPr>
          <w:i/>
          <w:iCs/>
        </w:rPr>
        <w:t xml:space="preserve"> Invasions</w:t>
      </w:r>
      <w:r w:rsidRPr="00F70554">
        <w:t> </w:t>
      </w:r>
      <w:r w:rsidRPr="00F70554">
        <w:rPr>
          <w:b/>
          <w:bCs/>
        </w:rPr>
        <w:t>22</w:t>
      </w:r>
      <w:r w:rsidRPr="00F70554">
        <w:t xml:space="preserve">, 37–45 (2020). </w:t>
      </w:r>
      <w:hyperlink r:id="rId75" w:history="1">
        <w:r w:rsidRPr="00F70554">
          <w:rPr>
            <w:rStyle w:val="Hyperlink"/>
          </w:rPr>
          <w:t>https://doi.org/10.1007/s10530-019-02142-2</w:t>
        </w:r>
      </w:hyperlink>
    </w:p>
    <w:p w14:paraId="7ABF5B7A" w14:textId="77777777" w:rsidR="00BF05B5" w:rsidRPr="00F70554" w:rsidRDefault="00BF05B5" w:rsidP="00A1531D"/>
    <w:p w14:paraId="36EA3EA6" w14:textId="77777777" w:rsidR="00A1531D" w:rsidRPr="00F70554" w:rsidRDefault="00A1531D" w:rsidP="00A1531D">
      <w:r w:rsidRPr="00F70554">
        <w:t xml:space="preserve">Wilkinson, M. D., Dumontier, M., </w:t>
      </w:r>
      <w:proofErr w:type="spellStart"/>
      <w:r w:rsidRPr="00F70554">
        <w:t>Aalbersberg</w:t>
      </w:r>
      <w:proofErr w:type="spellEnd"/>
      <w:r w:rsidRPr="00F70554">
        <w:t xml:space="preserve">, </w:t>
      </w:r>
      <w:proofErr w:type="spellStart"/>
      <w:r w:rsidRPr="00F70554">
        <w:t>Ij</w:t>
      </w:r>
      <w:proofErr w:type="spellEnd"/>
      <w:r w:rsidRPr="00F70554">
        <w:t xml:space="preserve">. J., Appleton, G., Axton, M., Baak, A., Blomberg, N., </w:t>
      </w:r>
      <w:proofErr w:type="spellStart"/>
      <w:r w:rsidRPr="00F70554">
        <w:t>Boiten</w:t>
      </w:r>
      <w:proofErr w:type="spellEnd"/>
      <w:r w:rsidRPr="00F70554">
        <w:t xml:space="preserve">, J.-W., da Silva Santos, L. B., Bourne, P. E., Bouwman, J., Brookes, A. J., Clark, T., </w:t>
      </w:r>
      <w:proofErr w:type="spellStart"/>
      <w:r w:rsidRPr="00F70554">
        <w:t>Crosas</w:t>
      </w:r>
      <w:proofErr w:type="spellEnd"/>
      <w:r w:rsidRPr="00F70554">
        <w:t xml:space="preserve">, M., Dillo, I., Dumon, O., Edmunds, S., Evelo, C. T., </w:t>
      </w:r>
      <w:proofErr w:type="spellStart"/>
      <w:r w:rsidRPr="00F70554">
        <w:t>Finkers</w:t>
      </w:r>
      <w:proofErr w:type="spellEnd"/>
      <w:r w:rsidRPr="00F70554">
        <w:t>, R., … Mons, B. (2016). The FAIR Guiding Principles for scientific data management and stewardship. Scientific Data, 3(1), 160018. https://doi.org/10.1038/ sdata.2016.18</w:t>
      </w:r>
    </w:p>
    <w:p w14:paraId="49795683" w14:textId="77777777" w:rsidR="00BF05B5" w:rsidRPr="00F70554" w:rsidRDefault="00BF05B5" w:rsidP="00A1531D"/>
    <w:p w14:paraId="537244A3" w14:textId="77777777" w:rsidR="00A1531D" w:rsidRPr="00F70554" w:rsidRDefault="00A1531D" w:rsidP="00A1531D">
      <w:r w:rsidRPr="00F70554">
        <w:t xml:space="preserve">Witt, A.B.R., Kiambi, S., Beale, T. &amp; Van </w:t>
      </w:r>
      <w:proofErr w:type="spellStart"/>
      <w:r w:rsidRPr="00F70554">
        <w:t>Wilgen</w:t>
      </w:r>
      <w:proofErr w:type="spellEnd"/>
      <w:r w:rsidRPr="00F70554">
        <w:t xml:space="preserve">, B.W., 2017, ‘A preliminary assessment of the extent and potential impacts of alien plant invasions in the </w:t>
      </w:r>
      <w:proofErr w:type="spellStart"/>
      <w:r w:rsidRPr="00F70554">
        <w:t>SerengetiMara</w:t>
      </w:r>
      <w:proofErr w:type="spellEnd"/>
      <w:r w:rsidRPr="00F70554">
        <w:t xml:space="preserve"> ecosystem, East Africa’, </w:t>
      </w:r>
      <w:proofErr w:type="spellStart"/>
      <w:r w:rsidRPr="00F70554">
        <w:rPr>
          <w:i/>
          <w:iCs/>
        </w:rPr>
        <w:t>Koedoe</w:t>
      </w:r>
      <w:proofErr w:type="spellEnd"/>
      <w:r w:rsidRPr="00F70554">
        <w:rPr>
          <w:i/>
          <w:iCs/>
        </w:rPr>
        <w:t xml:space="preserve"> </w:t>
      </w:r>
      <w:r w:rsidRPr="00F70554">
        <w:t>59(1), a1426. https:// doi.org/10.4102/</w:t>
      </w:r>
      <w:proofErr w:type="spellStart"/>
      <w:r w:rsidRPr="00F70554">
        <w:t>koedoe</w:t>
      </w:r>
      <w:proofErr w:type="spellEnd"/>
      <w:r w:rsidRPr="00F70554">
        <w:t xml:space="preserve">. v59i1.1426 </w:t>
      </w:r>
    </w:p>
    <w:p w14:paraId="346B9534" w14:textId="5AB712C8" w:rsidR="001065E9" w:rsidRPr="00F70554" w:rsidRDefault="002C2886" w:rsidP="00CC0CE9">
      <w:pPr>
        <w:jc w:val="center"/>
      </w:pPr>
      <w:r w:rsidRPr="00F70554">
        <w:t>__________</w:t>
      </w:r>
    </w:p>
    <w:sectPr w:rsidR="001065E9" w:rsidRPr="00F70554" w:rsidSect="00F12734">
      <w:headerReference w:type="even" r:id="rId76"/>
      <w:headerReference w:type="default" r:id="rId77"/>
      <w:footerReference w:type="even" r:id="rId78"/>
      <w:footerReference w:type="default" r:id="rId7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7E7A3" w14:textId="77777777" w:rsidR="00471AA7" w:rsidRPr="00F70554" w:rsidRDefault="00471AA7" w:rsidP="00FA7135">
      <w:r w:rsidRPr="00F70554">
        <w:separator/>
      </w:r>
    </w:p>
  </w:endnote>
  <w:endnote w:type="continuationSeparator" w:id="0">
    <w:p w14:paraId="6DD9764F" w14:textId="77777777" w:rsidR="00471AA7" w:rsidRPr="00F70554" w:rsidRDefault="00471AA7" w:rsidP="00FA7135">
      <w:r w:rsidRPr="00F70554">
        <w:continuationSeparator/>
      </w:r>
    </w:p>
  </w:endnote>
  <w:endnote w:type="continuationNotice" w:id="1">
    <w:p w14:paraId="77C97FC4" w14:textId="77777777" w:rsidR="00471AA7" w:rsidRPr="00F70554" w:rsidRDefault="00471A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ontserrat">
    <w:charset w:val="00"/>
    <w:family w:val="auto"/>
    <w:pitch w:val="variable"/>
    <w:sig w:usb0="2000020F" w:usb1="00000003" w:usb2="00000000" w:usb3="00000000" w:csb0="00000197" w:csb1="00000000"/>
  </w:font>
  <w:font w:name="Montserrat-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C8F71" w14:textId="33F26C58" w:rsidR="000D59A2" w:rsidRDefault="002C5837" w:rsidP="00F12734">
    <w:pPr>
      <w:pStyle w:val="CBDFooter"/>
      <w:jc w:val="left"/>
    </w:pPr>
    <w:r w:rsidRPr="000A5356">
      <w:fldChar w:fldCharType="begin"/>
    </w:r>
    <w:r w:rsidRPr="000A5356">
      <w:instrText xml:space="preserve"> PAGE \* MERGEFORMAT </w:instrText>
    </w:r>
    <w:r w:rsidRPr="000A5356">
      <w:fldChar w:fldCharType="separate"/>
    </w:r>
    <w:r>
      <w:t>2</w:t>
    </w:r>
    <w:r w:rsidRPr="000A5356">
      <w:fldChar w:fldCharType="end"/>
    </w:r>
    <w:r w:rsidRPr="000A5356">
      <w:t>/</w:t>
    </w:r>
    <w:fldSimple w:instr=" NUMPAGES \* MERGEFORMAT ">
      <w:r>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E865" w14:textId="2D7F314A" w:rsidR="000D59A2" w:rsidRDefault="002C5837" w:rsidP="00F12734">
    <w:pPr>
      <w:pStyle w:val="CBDFooter"/>
      <w:jc w:val="right"/>
    </w:pPr>
    <w:r w:rsidRPr="000A5356">
      <w:fldChar w:fldCharType="begin"/>
    </w:r>
    <w:r w:rsidRPr="000A5356">
      <w:instrText xml:space="preserve"> PAGE \* MERGEFORMAT </w:instrText>
    </w:r>
    <w:r w:rsidRPr="000A5356">
      <w:fldChar w:fldCharType="separate"/>
    </w:r>
    <w:r>
      <w:t>2</w:t>
    </w:r>
    <w:r w:rsidRPr="000A5356">
      <w:fldChar w:fldCharType="end"/>
    </w:r>
    <w:r w:rsidRPr="000A5356">
      <w:t>/</w:t>
    </w:r>
    <w:fldSimple w:instr=" NUMPAGES \* MERGEFORMAT ">
      <w:r>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E33AA" w14:textId="2BAF0B07" w:rsidR="00A1531D" w:rsidRPr="00F75C4F" w:rsidRDefault="00BC7CF0" w:rsidP="00F12734">
    <w:pPr>
      <w:pStyle w:val="CBDFooter"/>
      <w:jc w:val="right"/>
    </w:pPr>
    <w:r w:rsidRPr="000A5356">
      <w:fldChar w:fldCharType="begin"/>
    </w:r>
    <w:r w:rsidRPr="000A5356">
      <w:instrText xml:space="preserve"> PAGE \* MERGEFORMAT </w:instrText>
    </w:r>
    <w:r w:rsidRPr="000A5356">
      <w:fldChar w:fldCharType="separate"/>
    </w:r>
    <w:r>
      <w:t>6</w:t>
    </w:r>
    <w:r w:rsidRPr="000A5356">
      <w:fldChar w:fldCharType="end"/>
    </w:r>
    <w:r w:rsidRPr="000A5356">
      <w:t>/</w:t>
    </w:r>
    <w:fldSimple w:instr=" NUMPAGES \* MERGEFORMAT ">
      <w:r>
        <w:t>34</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1B392" w14:textId="7A84519B" w:rsidR="00A1531D" w:rsidRPr="00F75C4F" w:rsidRDefault="00930265" w:rsidP="00F12734">
    <w:pPr>
      <w:pStyle w:val="CBDFooter"/>
      <w:jc w:val="right"/>
    </w:pPr>
    <w:r w:rsidRPr="000A5356">
      <w:fldChar w:fldCharType="begin"/>
    </w:r>
    <w:r w:rsidRPr="000A5356">
      <w:instrText xml:space="preserve"> PAGE \* MERGEFORMAT </w:instrText>
    </w:r>
    <w:r w:rsidRPr="000A5356">
      <w:fldChar w:fldCharType="separate"/>
    </w:r>
    <w:r>
      <w:t>14</w:t>
    </w:r>
    <w:r w:rsidRPr="000A5356">
      <w:fldChar w:fldCharType="end"/>
    </w:r>
    <w:r w:rsidRPr="000A5356">
      <w:t>/</w:t>
    </w:r>
    <w:fldSimple w:instr=" NUMPAGES \* MERGEFORMAT ">
      <w:r>
        <w:t>34</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82974" w14:textId="456A6E78" w:rsidR="00A1531D" w:rsidRPr="00F75C4F" w:rsidRDefault="00654BBA" w:rsidP="00F12734">
    <w:pPr>
      <w:pStyle w:val="CBDFooter"/>
      <w:jc w:val="right"/>
    </w:pPr>
    <w:r w:rsidRPr="000A5356">
      <w:fldChar w:fldCharType="begin"/>
    </w:r>
    <w:r w:rsidRPr="000A5356">
      <w:instrText xml:space="preserve"> PAGE \* MERGEFORMAT </w:instrText>
    </w:r>
    <w:r w:rsidRPr="000A5356">
      <w:fldChar w:fldCharType="separate"/>
    </w:r>
    <w:r>
      <w:t>14</w:t>
    </w:r>
    <w:r w:rsidRPr="000A5356">
      <w:fldChar w:fldCharType="end"/>
    </w:r>
    <w:r w:rsidRPr="000A5356">
      <w:t>/</w:t>
    </w:r>
    <w:fldSimple w:instr=" NUMPAGES \* MERGEFORMAT ">
      <w:r>
        <w:t>34</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088224"/>
      <w:docPartObj>
        <w:docPartGallery w:val="Page Numbers (Top of Page)"/>
        <w:docPartUnique/>
      </w:docPartObj>
    </w:sdtPr>
    <w:sdtEndPr/>
    <w:sdtContent>
      <w:p w14:paraId="18A00FD3" w14:textId="710BF5DD" w:rsidR="00C81618" w:rsidRPr="00C65DE4" w:rsidRDefault="002A16DE" w:rsidP="002A16DE">
        <w:pPr>
          <w:pStyle w:val="Footer"/>
        </w:pPr>
        <w:r w:rsidRPr="00C65DE4">
          <w:rPr>
            <w:szCs w:val="20"/>
          </w:rPr>
          <w:fldChar w:fldCharType="begin"/>
        </w:r>
        <w:r w:rsidRPr="00C65DE4">
          <w:rPr>
            <w:szCs w:val="20"/>
          </w:rPr>
          <w:instrText xml:space="preserve"> PAGE </w:instrText>
        </w:r>
        <w:r w:rsidRPr="00C65DE4">
          <w:rPr>
            <w:szCs w:val="20"/>
          </w:rPr>
          <w:fldChar w:fldCharType="separate"/>
        </w:r>
        <w:r w:rsidRPr="00C65DE4">
          <w:rPr>
            <w:szCs w:val="20"/>
          </w:rPr>
          <w:t>2</w:t>
        </w:r>
        <w:r w:rsidRPr="00C65DE4">
          <w:rPr>
            <w:szCs w:val="20"/>
          </w:rPr>
          <w:fldChar w:fldCharType="end"/>
        </w:r>
        <w:r w:rsidRPr="00C65DE4">
          <w:rPr>
            <w:szCs w:val="20"/>
          </w:rPr>
          <w:t>/</w:t>
        </w:r>
        <w:r w:rsidRPr="00C65DE4">
          <w:rPr>
            <w:szCs w:val="20"/>
          </w:rPr>
          <w:fldChar w:fldCharType="begin"/>
        </w:r>
        <w:r w:rsidRPr="00C65DE4">
          <w:rPr>
            <w:szCs w:val="20"/>
          </w:rPr>
          <w:instrText xml:space="preserve"> NUMPAGES  </w:instrText>
        </w:r>
        <w:r w:rsidRPr="00C65DE4">
          <w:rPr>
            <w:szCs w:val="20"/>
          </w:rPr>
          <w:fldChar w:fldCharType="separate"/>
        </w:r>
        <w:r w:rsidRPr="00C65DE4">
          <w:rPr>
            <w:szCs w:val="20"/>
          </w:rPr>
          <w:t>11</w:t>
        </w:r>
        <w:r w:rsidRPr="00C65DE4">
          <w:rPr>
            <w:szCs w:val="20"/>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4249BB50" w14:textId="670FD0B5" w:rsidR="00C81618" w:rsidRPr="00C65DE4" w:rsidRDefault="002A16DE" w:rsidP="005F3293">
        <w:pPr>
          <w:pStyle w:val="Footer"/>
          <w:jc w:val="right"/>
        </w:pPr>
        <w:r w:rsidRPr="00C65DE4">
          <w:rPr>
            <w:szCs w:val="20"/>
          </w:rPr>
          <w:fldChar w:fldCharType="begin"/>
        </w:r>
        <w:r w:rsidRPr="00C65DE4">
          <w:rPr>
            <w:szCs w:val="20"/>
          </w:rPr>
          <w:instrText xml:space="preserve"> PAGE </w:instrText>
        </w:r>
        <w:r w:rsidRPr="00C65DE4">
          <w:rPr>
            <w:szCs w:val="20"/>
          </w:rPr>
          <w:fldChar w:fldCharType="separate"/>
        </w:r>
        <w:r w:rsidRPr="00C65DE4">
          <w:rPr>
            <w:szCs w:val="20"/>
          </w:rPr>
          <w:t>2</w:t>
        </w:r>
        <w:r w:rsidRPr="00C65DE4">
          <w:rPr>
            <w:szCs w:val="20"/>
          </w:rPr>
          <w:fldChar w:fldCharType="end"/>
        </w:r>
        <w:r w:rsidRPr="00C65DE4">
          <w:rPr>
            <w:szCs w:val="20"/>
          </w:rPr>
          <w:t>/</w:t>
        </w:r>
        <w:r w:rsidRPr="00C65DE4">
          <w:rPr>
            <w:szCs w:val="20"/>
          </w:rPr>
          <w:fldChar w:fldCharType="begin"/>
        </w:r>
        <w:r w:rsidRPr="00C65DE4">
          <w:rPr>
            <w:szCs w:val="20"/>
          </w:rPr>
          <w:instrText xml:space="preserve"> NUMPAGES  </w:instrText>
        </w:r>
        <w:r w:rsidRPr="00C65DE4">
          <w:rPr>
            <w:szCs w:val="20"/>
          </w:rPr>
          <w:fldChar w:fldCharType="separate"/>
        </w:r>
        <w:r w:rsidRPr="00C65DE4">
          <w:rPr>
            <w:szCs w:val="20"/>
          </w:rPr>
          <w:t>11</w:t>
        </w:r>
        <w:r w:rsidRPr="00C65DE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9C3E0" w14:textId="77777777" w:rsidR="00471AA7" w:rsidRPr="00F70554" w:rsidRDefault="00471AA7" w:rsidP="00FA7135">
      <w:r w:rsidRPr="00F70554">
        <w:separator/>
      </w:r>
    </w:p>
  </w:footnote>
  <w:footnote w:type="continuationSeparator" w:id="0">
    <w:p w14:paraId="0256CB69" w14:textId="77777777" w:rsidR="00471AA7" w:rsidRPr="00F70554" w:rsidRDefault="00471AA7" w:rsidP="00FA7135">
      <w:r w:rsidRPr="00F70554">
        <w:continuationSeparator/>
      </w:r>
    </w:p>
  </w:footnote>
  <w:footnote w:type="continuationNotice" w:id="1">
    <w:p w14:paraId="0C1CB9C2" w14:textId="77777777" w:rsidR="00471AA7" w:rsidRPr="00F70554" w:rsidRDefault="00471AA7"/>
  </w:footnote>
  <w:footnote w:id="2">
    <w:p w14:paraId="5899E7A7" w14:textId="0D51F8BA" w:rsidR="00E72DE9" w:rsidRPr="00F12734" w:rsidRDefault="00E72DE9" w:rsidP="00E72DE9">
      <w:pPr>
        <w:pStyle w:val="FootnoteText"/>
      </w:pPr>
      <w:r w:rsidRPr="00F70554">
        <w:rPr>
          <w:rStyle w:val="FootnoteReference"/>
        </w:rPr>
        <w:t>*</w:t>
      </w:r>
      <w:r w:rsidRPr="00F70554">
        <w:t xml:space="preserve"> CBD/SBSTTA/27/1.</w:t>
      </w:r>
    </w:p>
  </w:footnote>
  <w:footnote w:id="3">
    <w:p w14:paraId="58784AAB" w14:textId="4FF05DAB" w:rsidR="00BA7BF1" w:rsidRPr="00F12734" w:rsidRDefault="00BA7BF1">
      <w:pPr>
        <w:pStyle w:val="FootnoteText"/>
      </w:pPr>
      <w:r w:rsidRPr="00F70554">
        <w:rPr>
          <w:rStyle w:val="FootnoteReference"/>
        </w:rPr>
        <w:footnoteRef/>
      </w:r>
      <w:r w:rsidRPr="00F70554">
        <w:t xml:space="preserve"> </w:t>
      </w:r>
      <w:hyperlink r:id="rId1" w:history="1">
        <w:r w:rsidR="004A0C93" w:rsidRPr="004A0C93">
          <w:rPr>
            <w:rStyle w:val="Hyperlink"/>
          </w:rPr>
          <w:t>See www.cbd.int/invasive/current/Webinars.shtml</w:t>
        </w:r>
      </w:hyperlink>
      <w:r w:rsidR="004A0C93">
        <w:t xml:space="preserve"> for a recording of the event</w:t>
      </w:r>
      <w:r w:rsidR="00957FA1" w:rsidRPr="00F70554">
        <w:t>.</w:t>
      </w:r>
    </w:p>
  </w:footnote>
  <w:footnote w:id="4">
    <w:p w14:paraId="7F1A71F9" w14:textId="494D4688" w:rsidR="006B7482" w:rsidRPr="00F12734" w:rsidRDefault="006B7482">
      <w:pPr>
        <w:pStyle w:val="FootnoteText"/>
      </w:pPr>
      <w:r w:rsidRPr="00F70554">
        <w:rPr>
          <w:rStyle w:val="FootnoteReference"/>
        </w:rPr>
        <w:footnoteRef/>
      </w:r>
      <w:r w:rsidRPr="00F70554">
        <w:t xml:space="preserve"> </w:t>
      </w:r>
      <w:r w:rsidR="003A43A1">
        <w:t>At</w:t>
      </w:r>
      <w:r w:rsidR="009260B0">
        <w:t xml:space="preserve"> </w:t>
      </w:r>
      <w:hyperlink r:id="rId2" w:history="1">
        <w:r w:rsidR="003A43A1">
          <w:rPr>
            <w:rStyle w:val="Hyperlink"/>
          </w:rPr>
          <w:t>www.cbd.int/meetings/IAS-OM-2025-01</w:t>
        </w:r>
      </w:hyperlink>
      <w:r w:rsidR="00F256A6">
        <w:t>.</w:t>
      </w:r>
    </w:p>
  </w:footnote>
  <w:footnote w:id="5">
    <w:p w14:paraId="2A3A6D41" w14:textId="04656E6F" w:rsidR="00BD4A59" w:rsidRPr="00F12734" w:rsidRDefault="00BD4A59">
      <w:pPr>
        <w:pStyle w:val="FootnoteText"/>
      </w:pPr>
      <w:r w:rsidRPr="00F70554">
        <w:rPr>
          <w:rStyle w:val="FootnoteReference"/>
        </w:rPr>
        <w:footnoteRef/>
      </w:r>
      <w:r w:rsidRPr="00F70554">
        <w:t xml:space="preserve"> </w:t>
      </w:r>
      <w:r w:rsidR="004015A8">
        <w:t xml:space="preserve">At </w:t>
      </w:r>
      <w:hyperlink r:id="rId3" w:history="1">
        <w:r w:rsidR="00D01F23" w:rsidRPr="00D01F23">
          <w:rPr>
            <w:rStyle w:val="Hyperlink"/>
          </w:rPr>
          <w:t>www.cbd.int/invasive/trainingias</w:t>
        </w:r>
      </w:hyperlink>
      <w:r w:rsidR="00F256A6">
        <w:t>.</w:t>
      </w:r>
    </w:p>
  </w:footnote>
  <w:footnote w:id="6">
    <w:p w14:paraId="1F07EA0F" w14:textId="7D7869C0" w:rsidR="004476F6" w:rsidRPr="00F12734" w:rsidRDefault="004476F6">
      <w:pPr>
        <w:pStyle w:val="FootnoteText"/>
        <w:rPr>
          <w:lang w:val="en-US"/>
        </w:rPr>
      </w:pPr>
      <w:r>
        <w:rPr>
          <w:rStyle w:val="FootnoteReference"/>
        </w:rPr>
        <w:t>*</w:t>
      </w:r>
      <w:r>
        <w:t xml:space="preserve"> </w:t>
      </w:r>
      <w:r w:rsidRPr="001F45B6">
        <w:t xml:space="preserve">The present </w:t>
      </w:r>
      <w:r>
        <w:t>annex</w:t>
      </w:r>
      <w:r w:rsidRPr="001F45B6">
        <w:t xml:space="preserve"> is being issued without formal editing</w:t>
      </w:r>
      <w:r>
        <w:t>.</w:t>
      </w:r>
    </w:p>
  </w:footnote>
  <w:footnote w:id="7">
    <w:p w14:paraId="1035352D" w14:textId="2A60AB06" w:rsidR="00182A8C" w:rsidRPr="00F70554" w:rsidRDefault="00182A8C">
      <w:pPr>
        <w:pStyle w:val="FootnoteText"/>
      </w:pPr>
      <w:r w:rsidRPr="00F70554">
        <w:rPr>
          <w:rStyle w:val="FootnoteReference"/>
        </w:rPr>
        <w:footnoteRef/>
      </w:r>
      <w:r w:rsidRPr="00F70554">
        <w:rPr>
          <w:szCs w:val="18"/>
        </w:rPr>
        <w:t xml:space="preserve"> </w:t>
      </w:r>
      <w:r w:rsidR="00102B8E" w:rsidRPr="00F70554">
        <w:rPr>
          <w:szCs w:val="18"/>
        </w:rPr>
        <w:t xml:space="preserve">The document was authored by Kevin G. Smith (IUCN), Aileen Mill (Newcastle University, IUCN SSC Invasive Species Specialist Group - ISSG), Piero Genovesi (IUCN SSC ISSG), Quentin Groom (Meise Botanic Garden), Shyama </w:t>
      </w:r>
      <w:proofErr w:type="spellStart"/>
      <w:r w:rsidR="00102B8E" w:rsidRPr="00F70554">
        <w:rPr>
          <w:szCs w:val="18"/>
        </w:rPr>
        <w:t>Pagad</w:t>
      </w:r>
      <w:proofErr w:type="spellEnd"/>
      <w:r w:rsidR="00102B8E" w:rsidRPr="00F70554">
        <w:rPr>
          <w:szCs w:val="18"/>
        </w:rPr>
        <w:t xml:space="preserve"> (IUCN SSC ISSG), Hanno </w:t>
      </w:r>
      <w:proofErr w:type="spellStart"/>
      <w:r w:rsidR="00102B8E" w:rsidRPr="00F70554">
        <w:rPr>
          <w:szCs w:val="18"/>
        </w:rPr>
        <w:t>Seebens</w:t>
      </w:r>
      <w:proofErr w:type="spellEnd"/>
      <w:r w:rsidR="00102B8E" w:rsidRPr="00F70554">
        <w:rPr>
          <w:szCs w:val="18"/>
        </w:rPr>
        <w:t xml:space="preserve"> (Justus Liebig University Giessen, SSC ISSG), and Tanara Renard Truong (Justus Liebig University Giessen, IUCN SSC ISSG). Contributors from </w:t>
      </w:r>
      <w:r w:rsidR="00102B8E" w:rsidRPr="00F12734">
        <w:rPr>
          <w:kern w:val="2"/>
          <w:szCs w:val="18"/>
          <w14:ligatures w14:val="standardContextual"/>
        </w:rPr>
        <w:t xml:space="preserve">Inter-Agency Liaison Group on Invasive Alien Species: Marianela Araya Quesada and Ana Isabel Gonzalez (SCBD); Roger Day, Harriet Hintz, Gareth Richards, and Arne Witt (CABI); </w:t>
      </w:r>
      <w:r w:rsidR="00102B8E" w:rsidRPr="00F12734">
        <w:rPr>
          <w:szCs w:val="18"/>
        </w:rPr>
        <w:t xml:space="preserve">Andrew Rodrigues (GBIF), Theofanis </w:t>
      </w:r>
      <w:proofErr w:type="spellStart"/>
      <w:r w:rsidR="00102B8E" w:rsidRPr="00F70554">
        <w:rPr>
          <w:szCs w:val="18"/>
        </w:rPr>
        <w:t>Karayannis</w:t>
      </w:r>
      <w:proofErr w:type="spellEnd"/>
      <w:r w:rsidR="00102B8E" w:rsidRPr="00F70554">
        <w:rPr>
          <w:szCs w:val="18"/>
        </w:rPr>
        <w:t xml:space="preserve"> (IMO);</w:t>
      </w:r>
      <w:r w:rsidR="00102B8E" w:rsidRPr="00F12734">
        <w:rPr>
          <w:szCs w:val="18"/>
        </w:rPr>
        <w:t xml:space="preserve"> </w:t>
      </w:r>
      <w:proofErr w:type="spellStart"/>
      <w:r w:rsidR="00102B8E" w:rsidRPr="00F70554">
        <w:rPr>
          <w:szCs w:val="18"/>
        </w:rPr>
        <w:t>Nydiane</w:t>
      </w:r>
      <w:proofErr w:type="spellEnd"/>
      <w:r w:rsidR="00102B8E" w:rsidRPr="00F70554">
        <w:rPr>
          <w:szCs w:val="18"/>
        </w:rPr>
        <w:t xml:space="preserve"> </w:t>
      </w:r>
      <w:proofErr w:type="spellStart"/>
      <w:r w:rsidR="00102B8E" w:rsidRPr="00F70554">
        <w:rPr>
          <w:szCs w:val="18"/>
        </w:rPr>
        <w:t>Razafindrahaingo</w:t>
      </w:r>
      <w:proofErr w:type="spellEnd"/>
      <w:r w:rsidR="00102B8E" w:rsidRPr="00F70554">
        <w:rPr>
          <w:szCs w:val="18"/>
        </w:rPr>
        <w:t xml:space="preserve"> (STDF); Sofia Gutierrez, and Dirk </w:t>
      </w:r>
      <w:proofErr w:type="spellStart"/>
      <w:r w:rsidR="00102B8E" w:rsidRPr="00F70554">
        <w:rPr>
          <w:szCs w:val="18"/>
        </w:rPr>
        <w:t>Glaesser</w:t>
      </w:r>
      <w:proofErr w:type="spellEnd"/>
      <w:r w:rsidR="00102B8E" w:rsidRPr="00F70554">
        <w:rPr>
          <w:szCs w:val="18"/>
        </w:rPr>
        <w:t xml:space="preserve"> (UN Tourism), and Isabel Calderon Moreno (WTO).</w:t>
      </w:r>
    </w:p>
  </w:footnote>
  <w:footnote w:id="8">
    <w:p w14:paraId="35EA8641" w14:textId="17CAE823" w:rsidR="00DA6347" w:rsidRPr="00F70554" w:rsidRDefault="00DA6347" w:rsidP="00DA6347">
      <w:pPr>
        <w:pStyle w:val="FootnoteText"/>
      </w:pPr>
      <w:r w:rsidRPr="00F70554">
        <w:rPr>
          <w:rStyle w:val="FootnoteReference"/>
        </w:rPr>
        <w:footnoteRef/>
      </w:r>
      <w:r w:rsidRPr="00F70554">
        <w:t xml:space="preserve"> </w:t>
      </w:r>
      <w:r w:rsidRPr="00F70554">
        <w:rPr>
          <w:szCs w:val="18"/>
        </w:rPr>
        <w:t xml:space="preserve"> IPBES (2023). Thematic Assessment Report on Invasive Alien Species and their Control of the Intergovernmental Science-Policy Platform on Biodiversity and Ecosystem Services. Roy, H. E., </w:t>
      </w:r>
      <w:proofErr w:type="spellStart"/>
      <w:r w:rsidRPr="00F70554">
        <w:rPr>
          <w:szCs w:val="18"/>
        </w:rPr>
        <w:t>Pauchard</w:t>
      </w:r>
      <w:proofErr w:type="spellEnd"/>
      <w:r w:rsidRPr="00F70554">
        <w:rPr>
          <w:szCs w:val="18"/>
        </w:rPr>
        <w:t xml:space="preserve">, A., Stoett, P., and Renard Truong, T. (eds.). IPBES secretariat, Bonn, Germany. DOI: </w:t>
      </w:r>
      <w:hyperlink r:id="rId4" w:history="1">
        <w:r w:rsidRPr="00F70554">
          <w:rPr>
            <w:rStyle w:val="Hyperlink"/>
            <w:szCs w:val="18"/>
          </w:rPr>
          <w:t>https://doi.org/10.5281/zenodo.7430682</w:t>
        </w:r>
      </w:hyperlink>
      <w:r w:rsidR="000B35DD">
        <w:t>.</w:t>
      </w:r>
    </w:p>
  </w:footnote>
  <w:footnote w:id="9">
    <w:p w14:paraId="0B4762E8"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Data is often defined as ‘raw’ facts, values or figures that are meaningless on their own. It can be quantitative (e.g. numbers, measurements) or qualitative (species names, labels). Information is data that has been processed, organised, or presented to provide context and meaning, often to inform decision-making.  </w:t>
      </w:r>
    </w:p>
  </w:footnote>
  <w:footnote w:id="10">
    <w:p w14:paraId="4CAA0F6F" w14:textId="46B6BD65" w:rsidR="00A1531D" w:rsidRPr="00F70554" w:rsidRDefault="00A1531D" w:rsidP="00A1531D">
      <w:pPr>
        <w:pStyle w:val="FootnoteText"/>
      </w:pPr>
      <w:r w:rsidRPr="00F70554">
        <w:rPr>
          <w:rStyle w:val="FootnoteReference"/>
          <w:szCs w:val="18"/>
        </w:rPr>
        <w:footnoteRef/>
      </w:r>
      <w:r w:rsidRPr="00F70554">
        <w:rPr>
          <w:szCs w:val="18"/>
        </w:rPr>
        <w:t xml:space="preserve"> CBD/COP/DEC/18/18 Invasive alien species </w:t>
      </w:r>
      <w:hyperlink r:id="rId5" w:history="1">
        <w:r w:rsidRPr="00F70554">
          <w:rPr>
            <w:rStyle w:val="Hyperlink"/>
            <w:szCs w:val="18"/>
          </w:rPr>
          <w:t>https://www.cbd.int/doc/decisions/cop-16/cop-16-dec-18-en.pdf</w:t>
        </w:r>
      </w:hyperlink>
      <w:r w:rsidR="000B35DD">
        <w:t>.</w:t>
      </w:r>
      <w:r w:rsidRPr="00F70554">
        <w:rPr>
          <w:szCs w:val="18"/>
        </w:rPr>
        <w:t xml:space="preserve"> </w:t>
      </w:r>
    </w:p>
  </w:footnote>
  <w:footnote w:id="11">
    <w:p w14:paraId="331EF529" w14:textId="77777777" w:rsidR="00A1531D" w:rsidRPr="00F12734" w:rsidRDefault="00A1531D" w:rsidP="00A1531D">
      <w:pPr>
        <w:pStyle w:val="FootnoteText"/>
      </w:pPr>
      <w:r w:rsidRPr="00F70554">
        <w:rPr>
          <w:rStyle w:val="FootnoteReference"/>
        </w:rPr>
        <w:footnoteRef/>
      </w:r>
      <w:r w:rsidRPr="00F12734">
        <w:t xml:space="preserve"> </w:t>
      </w:r>
      <w:r w:rsidRPr="00F12734">
        <w:rPr>
          <w:szCs w:val="18"/>
        </w:rPr>
        <w:t>Free, prior and informed consent” refers to the tripartite terminology of “prior and informed consent”, “free, prior and informed consent” and “approval and involvement”.</w:t>
      </w:r>
    </w:p>
  </w:footnote>
  <w:footnote w:id="12">
    <w:p w14:paraId="45AFE595" w14:textId="6520AF4E" w:rsidR="00A1531D" w:rsidRPr="00F12734" w:rsidRDefault="00A1531D" w:rsidP="00A1531D">
      <w:pPr>
        <w:pStyle w:val="FootnoteText"/>
      </w:pPr>
      <w:r w:rsidRPr="00F70554">
        <w:rPr>
          <w:rStyle w:val="FootnoteReference"/>
        </w:rPr>
        <w:footnoteRef/>
      </w:r>
      <w:r w:rsidRPr="00F12734">
        <w:t xml:space="preserve"> </w:t>
      </w:r>
      <w:r w:rsidRPr="00F12734">
        <w:rPr>
          <w:szCs w:val="18"/>
        </w:rPr>
        <w:t>See for example, Binley, A. D., Vincent, J. G., Rytwinski, T., et al. </w:t>
      </w:r>
      <w:r w:rsidRPr="00F70554">
        <w:rPr>
          <w:szCs w:val="18"/>
        </w:rPr>
        <w:t>(2024). Making the most of existing data in conservation research. Perspectives in Ecology and Conservation, 22(2), 122-128. </w:t>
      </w:r>
      <w:hyperlink r:id="rId6" w:history="1">
        <w:r w:rsidRPr="00F70554">
          <w:rPr>
            <w:szCs w:val="18"/>
          </w:rPr>
          <w:t>https://doi.org/10.1016/j.pecon.2023.11.004</w:t>
        </w:r>
      </w:hyperlink>
      <w:r w:rsidRPr="00F70554">
        <w:rPr>
          <w:szCs w:val="18"/>
        </w:rPr>
        <w:t xml:space="preserve"> and </w:t>
      </w:r>
      <w:r w:rsidRPr="00F12734">
        <w:rPr>
          <w:szCs w:val="18"/>
        </w:rPr>
        <w:t xml:space="preserve">Buxton, R. T., Bennett, J. R., Reid, A. J., et al. </w:t>
      </w:r>
      <w:r w:rsidRPr="00F70554">
        <w:rPr>
          <w:szCs w:val="18"/>
        </w:rPr>
        <w:t>(2021). Key information needs to move from knowledge to action for biodiversity conservation in Canada. Biological Conservation, 256, 108983. https://doi.org/10.1016/j.biocon.2021.108983</w:t>
      </w:r>
      <w:r w:rsidR="000B35DD">
        <w:rPr>
          <w:szCs w:val="18"/>
        </w:rPr>
        <w:t>.</w:t>
      </w:r>
    </w:p>
  </w:footnote>
  <w:footnote w:id="13">
    <w:p w14:paraId="08076E1B" w14:textId="3C579CFC" w:rsidR="00A1531D" w:rsidRPr="00F70554" w:rsidRDefault="00A1531D" w:rsidP="00A1531D">
      <w:pPr>
        <w:pStyle w:val="FootnoteText"/>
        <w:rPr>
          <w:szCs w:val="18"/>
        </w:rPr>
      </w:pPr>
      <w:r w:rsidRPr="00F70554">
        <w:rPr>
          <w:rStyle w:val="FootnoteReference"/>
          <w:szCs w:val="18"/>
        </w:rPr>
        <w:footnoteRef/>
      </w:r>
      <w:r w:rsidRPr="00F12734">
        <w:rPr>
          <w:szCs w:val="18"/>
        </w:rPr>
        <w:t xml:space="preserve"> Groom, Q.J., et al. </w:t>
      </w:r>
      <w:r w:rsidRPr="00F70554">
        <w:rPr>
          <w:szCs w:val="18"/>
        </w:rPr>
        <w:t xml:space="preserve">(2019) Improving Darwin Core for research and management of alien species. </w:t>
      </w:r>
      <w:r w:rsidRPr="00F70554">
        <w:rPr>
          <w:i/>
          <w:szCs w:val="18"/>
        </w:rPr>
        <w:t>Biodiversity Information Science and Standards</w:t>
      </w:r>
      <w:r w:rsidRPr="00F70554">
        <w:rPr>
          <w:szCs w:val="18"/>
        </w:rPr>
        <w:t xml:space="preserve"> 3: e38084. </w:t>
      </w:r>
      <w:hyperlink r:id="rId7" w:tgtFrame="_blank" w:history="1">
        <w:r w:rsidRPr="00F70554">
          <w:rPr>
            <w:rStyle w:val="Hyperlink"/>
            <w:szCs w:val="18"/>
          </w:rPr>
          <w:t>https://doi.org/10.3897/biss.3.38084</w:t>
        </w:r>
      </w:hyperlink>
      <w:r w:rsidR="00F256A6">
        <w:t>.</w:t>
      </w:r>
    </w:p>
  </w:footnote>
  <w:footnote w:id="14">
    <w:p w14:paraId="2017C7A5" w14:textId="7DF40A08" w:rsidR="00A1531D" w:rsidRPr="00F70554" w:rsidRDefault="00A1531D" w:rsidP="00A1531D">
      <w:pPr>
        <w:pStyle w:val="FootnoteText"/>
        <w:rPr>
          <w:szCs w:val="18"/>
        </w:rPr>
      </w:pPr>
      <w:r w:rsidRPr="00F70554">
        <w:rPr>
          <w:rStyle w:val="FootnoteReference"/>
          <w:szCs w:val="18"/>
        </w:rPr>
        <w:footnoteRef/>
      </w:r>
      <w:r w:rsidRPr="001D795A">
        <w:rPr>
          <w:szCs w:val="18"/>
          <w:lang w:val="fr-FR"/>
        </w:rPr>
        <w:t xml:space="preserve"> Groom, Q.J., et al. </w:t>
      </w:r>
      <w:r w:rsidRPr="00F70554">
        <w:rPr>
          <w:szCs w:val="18"/>
        </w:rPr>
        <w:t xml:space="preserve">(2017). Seven Recommendations to Make Your Invasive Alien Species Data More Useful. </w:t>
      </w:r>
      <w:r w:rsidRPr="00F70554">
        <w:rPr>
          <w:i/>
          <w:szCs w:val="18"/>
        </w:rPr>
        <w:t>Frontiers in Applied Mathematics and Statistics</w:t>
      </w:r>
      <w:r w:rsidRPr="00F70554">
        <w:rPr>
          <w:szCs w:val="18"/>
        </w:rPr>
        <w:t xml:space="preserve">, </w:t>
      </w:r>
      <w:r w:rsidRPr="00F70554">
        <w:rPr>
          <w:i/>
          <w:szCs w:val="18"/>
        </w:rPr>
        <w:t>3</w:t>
      </w:r>
      <w:r w:rsidRPr="00F70554">
        <w:rPr>
          <w:szCs w:val="18"/>
        </w:rPr>
        <w:t xml:space="preserve">, 265016. </w:t>
      </w:r>
      <w:hyperlink r:id="rId8" w:history="1">
        <w:r w:rsidRPr="00F70554">
          <w:rPr>
            <w:rStyle w:val="Hyperlink"/>
            <w:szCs w:val="18"/>
          </w:rPr>
          <w:t>https://doi.org/10.3389/fams.2017.00013</w:t>
        </w:r>
      </w:hyperlink>
      <w:r w:rsidR="000B35DD">
        <w:t>.</w:t>
      </w:r>
      <w:r w:rsidRPr="00F70554">
        <w:rPr>
          <w:szCs w:val="18"/>
        </w:rPr>
        <w:t xml:space="preserve"> </w:t>
      </w:r>
    </w:p>
  </w:footnote>
  <w:footnote w:id="15">
    <w:p w14:paraId="0C5D3911" w14:textId="30E6019D" w:rsidR="00A82966" w:rsidRPr="00F70554" w:rsidRDefault="00A82966">
      <w:pPr>
        <w:pStyle w:val="FootnoteText"/>
      </w:pPr>
      <w:r w:rsidRPr="00F70554">
        <w:rPr>
          <w:rStyle w:val="FootnoteReference"/>
        </w:rPr>
        <w:footnoteRef/>
      </w:r>
      <w:r w:rsidRPr="00F70554">
        <w:t xml:space="preserve"> The breakdown of </w:t>
      </w:r>
      <w:r w:rsidR="00CB505B" w:rsidRPr="00F70554">
        <w:t>T</w:t>
      </w:r>
      <w:r w:rsidRPr="00F70554">
        <w:t>arget 6, as well as the emphasis on certain phrases</w:t>
      </w:r>
      <w:r w:rsidR="00CB505B" w:rsidRPr="00F70554">
        <w:t>,</w:t>
      </w:r>
      <w:r w:rsidRPr="00F70554">
        <w:t xml:space="preserve"> are the authors’ own.</w:t>
      </w:r>
    </w:p>
  </w:footnote>
  <w:footnote w:id="16">
    <w:p w14:paraId="4B52C382"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Convention on Biological Diversity and International Union for Conservation of Nature (IUCN). (2024). Invasive</w:t>
      </w:r>
    </w:p>
    <w:p w14:paraId="41231F67" w14:textId="77777777" w:rsidR="00A1531D" w:rsidRPr="00F70554" w:rsidRDefault="00A1531D" w:rsidP="00A1531D">
      <w:pPr>
        <w:pStyle w:val="FootnoteText"/>
        <w:rPr>
          <w:szCs w:val="18"/>
        </w:rPr>
      </w:pPr>
      <w:r w:rsidRPr="00F70554">
        <w:rPr>
          <w:szCs w:val="18"/>
        </w:rPr>
        <w:t>Alien Species Toolkit for Target 6 of the Kunming-Montreal Global Biodiversity Framework. The Secretariat of</w:t>
      </w:r>
    </w:p>
    <w:p w14:paraId="7B788FB3" w14:textId="6C1E1F90" w:rsidR="00A1531D" w:rsidRPr="00F70554" w:rsidRDefault="00A1531D" w:rsidP="00A1531D">
      <w:pPr>
        <w:pStyle w:val="FootnoteText"/>
      </w:pPr>
      <w:r w:rsidRPr="00F70554">
        <w:rPr>
          <w:szCs w:val="18"/>
        </w:rPr>
        <w:t xml:space="preserve">the Convention on Biological Diversity. </w:t>
      </w:r>
      <w:hyperlink r:id="rId9" w:history="1">
        <w:r w:rsidRPr="00F70554">
          <w:rPr>
            <w:rStyle w:val="Hyperlink"/>
            <w:szCs w:val="18"/>
          </w:rPr>
          <w:t>https://www.cbd.int/invasive/cbdtoolkit</w:t>
        </w:r>
      </w:hyperlink>
      <w:r w:rsidR="00F256A6">
        <w:t>.</w:t>
      </w:r>
      <w:r w:rsidRPr="00F70554">
        <w:rPr>
          <w:szCs w:val="18"/>
        </w:rPr>
        <w:t xml:space="preserve"> </w:t>
      </w:r>
    </w:p>
  </w:footnote>
  <w:footnote w:id="17">
    <w:p w14:paraId="5B2DCBB3" w14:textId="323F1501" w:rsidR="00A1531D" w:rsidRPr="00F70554" w:rsidRDefault="00A1531D" w:rsidP="00A1531D">
      <w:pPr>
        <w:pStyle w:val="FootnoteText"/>
        <w:rPr>
          <w:szCs w:val="18"/>
        </w:rPr>
      </w:pPr>
      <w:r w:rsidRPr="00F70554">
        <w:rPr>
          <w:rStyle w:val="FootnoteReference"/>
          <w:szCs w:val="18"/>
        </w:rPr>
        <w:footnoteRef/>
      </w:r>
      <w:r w:rsidRPr="001D795A">
        <w:rPr>
          <w:szCs w:val="18"/>
          <w:lang w:val="fr-FR"/>
        </w:rPr>
        <w:t xml:space="preserve"> Groom, Q.J., et al. </w:t>
      </w:r>
      <w:r w:rsidRPr="00F70554">
        <w:rPr>
          <w:szCs w:val="18"/>
        </w:rPr>
        <w:t>(2019) Improving Darwin Core for research and management of alien species</w:t>
      </w:r>
      <w:r w:rsidRPr="00F70554">
        <w:rPr>
          <w:i/>
          <w:szCs w:val="18"/>
        </w:rPr>
        <w:t>. Biodiversity Information Science and Standards</w:t>
      </w:r>
      <w:r w:rsidRPr="00F70554">
        <w:rPr>
          <w:szCs w:val="18"/>
        </w:rPr>
        <w:t xml:space="preserve"> 3: e38084. </w:t>
      </w:r>
      <w:hyperlink r:id="rId10" w:tgtFrame="_blank" w:history="1">
        <w:r w:rsidRPr="00F70554">
          <w:rPr>
            <w:rStyle w:val="Hyperlink"/>
            <w:szCs w:val="18"/>
          </w:rPr>
          <w:t>https://doi.org/10.3897/biss.3.38084</w:t>
        </w:r>
      </w:hyperlink>
      <w:r w:rsidR="001020A5">
        <w:t>.</w:t>
      </w:r>
    </w:p>
  </w:footnote>
  <w:footnote w:id="18">
    <w:p w14:paraId="06EC6DAB" w14:textId="185C6F4E" w:rsidR="00A1531D" w:rsidRPr="00F70554" w:rsidRDefault="00A1531D" w:rsidP="00A1531D">
      <w:pPr>
        <w:pStyle w:val="FootnoteText"/>
        <w:rPr>
          <w:szCs w:val="18"/>
        </w:rPr>
      </w:pPr>
      <w:r w:rsidRPr="00F70554">
        <w:rPr>
          <w:rStyle w:val="FootnoteReference"/>
          <w:szCs w:val="18"/>
        </w:rPr>
        <w:footnoteRef/>
      </w:r>
      <w:r w:rsidRPr="001D795A">
        <w:rPr>
          <w:szCs w:val="18"/>
          <w:lang w:val="fr-FR"/>
        </w:rPr>
        <w:t xml:space="preserve"> </w:t>
      </w:r>
      <w:proofErr w:type="spellStart"/>
      <w:r w:rsidRPr="001D795A">
        <w:rPr>
          <w:szCs w:val="18"/>
          <w:lang w:val="fr-FR"/>
        </w:rPr>
        <w:t>McGeoch</w:t>
      </w:r>
      <w:proofErr w:type="spellEnd"/>
      <w:r w:rsidRPr="001D795A">
        <w:rPr>
          <w:szCs w:val="18"/>
          <w:lang w:val="fr-FR"/>
        </w:rPr>
        <w:t xml:space="preserve">, M.A., et al. </w:t>
      </w:r>
      <w:r w:rsidRPr="00F70554">
        <w:rPr>
          <w:szCs w:val="18"/>
        </w:rPr>
        <w:t xml:space="preserve">(2023). Invasion trends: An interpretable measure of change is needed to support policy targets. </w:t>
      </w:r>
      <w:r w:rsidRPr="00F70554">
        <w:rPr>
          <w:i/>
          <w:szCs w:val="18"/>
        </w:rPr>
        <w:t>Conservation Letters</w:t>
      </w:r>
      <w:r w:rsidRPr="00F70554">
        <w:rPr>
          <w:szCs w:val="18"/>
        </w:rPr>
        <w:t xml:space="preserve">, </w:t>
      </w:r>
      <w:r w:rsidRPr="00F70554">
        <w:rPr>
          <w:i/>
          <w:szCs w:val="18"/>
        </w:rPr>
        <w:t>16</w:t>
      </w:r>
      <w:r w:rsidRPr="00F70554">
        <w:rPr>
          <w:szCs w:val="18"/>
        </w:rPr>
        <w:t xml:space="preserve">(6), e12981. </w:t>
      </w:r>
      <w:hyperlink r:id="rId11" w:history="1">
        <w:r w:rsidRPr="00F70554">
          <w:rPr>
            <w:rStyle w:val="Hyperlink"/>
            <w:szCs w:val="18"/>
          </w:rPr>
          <w:t>https://doi.org/10.1111/conl.12981</w:t>
        </w:r>
      </w:hyperlink>
      <w:r w:rsidR="001020A5">
        <w:t>.</w:t>
      </w:r>
      <w:r w:rsidRPr="00F70554">
        <w:rPr>
          <w:szCs w:val="18"/>
        </w:rPr>
        <w:t xml:space="preserve"> </w:t>
      </w:r>
    </w:p>
  </w:footnote>
  <w:footnote w:id="19">
    <w:p w14:paraId="3737F238" w14:textId="6CA46565"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CABI Compendium: Invasive species </w:t>
      </w:r>
      <w:hyperlink r:id="rId12" w:history="1">
        <w:r w:rsidRPr="00F70554">
          <w:rPr>
            <w:rStyle w:val="Hyperlink"/>
            <w:szCs w:val="18"/>
          </w:rPr>
          <w:t>https://www.cabidigitallibrary.org/product/QI</w:t>
        </w:r>
      </w:hyperlink>
      <w:r w:rsidR="001020A5">
        <w:t>.</w:t>
      </w:r>
      <w:r w:rsidRPr="00F70554">
        <w:rPr>
          <w:szCs w:val="18"/>
        </w:rPr>
        <w:t xml:space="preserve"> </w:t>
      </w:r>
    </w:p>
  </w:footnote>
  <w:footnote w:id="20">
    <w:p w14:paraId="7854118D" w14:textId="658041C2" w:rsidR="00A1531D" w:rsidRPr="00F70554" w:rsidRDefault="00A1531D" w:rsidP="00A1531D">
      <w:pPr>
        <w:pStyle w:val="FootnoteText"/>
        <w:rPr>
          <w:b/>
          <w:szCs w:val="18"/>
        </w:rPr>
      </w:pPr>
      <w:r w:rsidRPr="00F70554">
        <w:rPr>
          <w:rStyle w:val="FootnoteReference"/>
          <w:szCs w:val="18"/>
        </w:rPr>
        <w:footnoteRef/>
      </w:r>
      <w:r w:rsidRPr="00F70554">
        <w:rPr>
          <w:szCs w:val="18"/>
        </w:rPr>
        <w:t xml:space="preserve"> GBIF </w:t>
      </w:r>
      <w:hyperlink r:id="rId13" w:history="1">
        <w:r w:rsidRPr="00F70554">
          <w:rPr>
            <w:rStyle w:val="Hyperlink"/>
            <w:szCs w:val="18"/>
          </w:rPr>
          <w:t>https://www.gbif.org/</w:t>
        </w:r>
      </w:hyperlink>
      <w:r w:rsidRPr="00F70554">
        <w:rPr>
          <w:szCs w:val="18"/>
        </w:rPr>
        <w:t xml:space="preserve"> and GBIF GRIIS </w:t>
      </w:r>
      <w:hyperlink r:id="rId14" w:history="1">
        <w:r w:rsidRPr="00F70554">
          <w:rPr>
            <w:rStyle w:val="Hyperlink"/>
            <w:szCs w:val="18"/>
          </w:rPr>
          <w:t>https://www.gbif.org/dataset/search?project_id=GRIIS</w:t>
        </w:r>
      </w:hyperlink>
      <w:r w:rsidR="001020A5">
        <w:t>.</w:t>
      </w:r>
      <w:r w:rsidRPr="00F70554">
        <w:rPr>
          <w:szCs w:val="18"/>
        </w:rPr>
        <w:t xml:space="preserve"> </w:t>
      </w:r>
    </w:p>
  </w:footnote>
  <w:footnote w:id="21">
    <w:p w14:paraId="4C324BCD" w14:textId="774E0425"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Global Register of Introduced and Invasive Species (GRIIS) </w:t>
      </w:r>
      <w:hyperlink r:id="rId15" w:history="1">
        <w:r w:rsidRPr="00F70554">
          <w:rPr>
            <w:rStyle w:val="Hyperlink"/>
            <w:szCs w:val="18"/>
          </w:rPr>
          <w:t>https://griis.org/</w:t>
        </w:r>
      </w:hyperlink>
      <w:r w:rsidR="001020A5">
        <w:t>.</w:t>
      </w:r>
      <w:r w:rsidRPr="00F70554">
        <w:rPr>
          <w:szCs w:val="18"/>
        </w:rPr>
        <w:t xml:space="preserve"> </w:t>
      </w:r>
    </w:p>
  </w:footnote>
  <w:footnote w:id="22">
    <w:p w14:paraId="4092E1CC" w14:textId="424A5431"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IUCN Global Invasive Species Database (GISD) </w:t>
      </w:r>
      <w:hyperlink r:id="rId16" w:history="1">
        <w:r w:rsidRPr="00F70554">
          <w:rPr>
            <w:rStyle w:val="Hyperlink"/>
            <w:szCs w:val="18"/>
          </w:rPr>
          <w:t>https://www.iucngisd.org/gisd/</w:t>
        </w:r>
      </w:hyperlink>
      <w:r w:rsidR="001020A5">
        <w:rPr>
          <w:szCs w:val="18"/>
        </w:rPr>
        <w:t>.</w:t>
      </w:r>
    </w:p>
  </w:footnote>
  <w:footnote w:id="23">
    <w:p w14:paraId="5DED1F48" w14:textId="388CBAA9" w:rsidR="00A1531D" w:rsidRPr="00F70554" w:rsidRDefault="00A1531D" w:rsidP="00A1531D">
      <w:pPr>
        <w:pStyle w:val="FootnoteText"/>
      </w:pPr>
      <w:r w:rsidRPr="00F70554">
        <w:rPr>
          <w:rStyle w:val="FootnoteReference"/>
          <w:szCs w:val="18"/>
        </w:rPr>
        <w:footnoteRef/>
      </w:r>
      <w:r w:rsidRPr="00F70554">
        <w:rPr>
          <w:szCs w:val="18"/>
        </w:rPr>
        <w:t xml:space="preserve"> IPPC regulated Pest List </w:t>
      </w:r>
      <w:hyperlink r:id="rId17" w:history="1">
        <w:r w:rsidR="001020A5" w:rsidRPr="005D3E84">
          <w:rPr>
            <w:rStyle w:val="Hyperlink"/>
            <w:szCs w:val="18"/>
          </w:rPr>
          <w:t>https://www.ippc.int/en/countries/jamaica/reportingobligation/2014/03/regulated-pest-list/</w:t>
        </w:r>
      </w:hyperlink>
      <w:r w:rsidR="001020A5">
        <w:rPr>
          <w:szCs w:val="18"/>
        </w:rPr>
        <w:t xml:space="preserve">. </w:t>
      </w:r>
    </w:p>
  </w:footnote>
  <w:footnote w:id="24">
    <w:p w14:paraId="6CD5F4A1" w14:textId="0BEB2A06" w:rsidR="00A1531D" w:rsidRPr="001D795A" w:rsidRDefault="00A1531D" w:rsidP="00A1531D">
      <w:pPr>
        <w:pStyle w:val="FootnoteText"/>
        <w:rPr>
          <w:szCs w:val="18"/>
          <w:lang w:val="fr-FR"/>
        </w:rPr>
      </w:pPr>
      <w:r w:rsidRPr="00F70554">
        <w:rPr>
          <w:rStyle w:val="FootnoteReference"/>
          <w:szCs w:val="18"/>
        </w:rPr>
        <w:footnoteRef/>
      </w:r>
      <w:r w:rsidRPr="00F70554">
        <w:rPr>
          <w:szCs w:val="18"/>
        </w:rPr>
        <w:t xml:space="preserve"> </w:t>
      </w:r>
      <w:proofErr w:type="spellStart"/>
      <w:r w:rsidRPr="00F70554">
        <w:rPr>
          <w:szCs w:val="18"/>
        </w:rPr>
        <w:t>Seebens</w:t>
      </w:r>
      <w:proofErr w:type="spellEnd"/>
      <w:r w:rsidRPr="00F70554">
        <w:rPr>
          <w:szCs w:val="18"/>
        </w:rPr>
        <w:t xml:space="preserve">, H., et al. (2017). No saturation in the accumulation of alien species worldwide. </w:t>
      </w:r>
      <w:r w:rsidRPr="001D795A">
        <w:rPr>
          <w:i/>
          <w:szCs w:val="18"/>
          <w:lang w:val="fr-FR"/>
        </w:rPr>
        <w:t>Nature Communications</w:t>
      </w:r>
      <w:r w:rsidRPr="001D795A">
        <w:rPr>
          <w:szCs w:val="18"/>
          <w:lang w:val="fr-FR"/>
        </w:rPr>
        <w:t xml:space="preserve">, </w:t>
      </w:r>
      <w:r w:rsidRPr="001D795A">
        <w:rPr>
          <w:i/>
          <w:szCs w:val="18"/>
          <w:lang w:val="fr-FR"/>
        </w:rPr>
        <w:t>8</w:t>
      </w:r>
      <w:r w:rsidRPr="001D795A">
        <w:rPr>
          <w:szCs w:val="18"/>
          <w:lang w:val="fr-FR"/>
        </w:rPr>
        <w:t xml:space="preserve">(1), 1-9. </w:t>
      </w:r>
      <w:hyperlink r:id="rId18" w:history="1">
        <w:r w:rsidRPr="001D795A">
          <w:rPr>
            <w:rStyle w:val="Hyperlink"/>
            <w:szCs w:val="18"/>
            <w:lang w:val="fr-FR"/>
          </w:rPr>
          <w:t>https://doi.org/10.1038/ncomms14435</w:t>
        </w:r>
      </w:hyperlink>
      <w:r w:rsidR="001020A5" w:rsidRPr="00F12734">
        <w:rPr>
          <w:lang w:val="fr-FR"/>
        </w:rPr>
        <w:t>.</w:t>
      </w:r>
      <w:r w:rsidRPr="001D795A">
        <w:rPr>
          <w:szCs w:val="18"/>
          <w:lang w:val="fr-FR"/>
        </w:rPr>
        <w:t xml:space="preserve"> </w:t>
      </w:r>
    </w:p>
  </w:footnote>
  <w:footnote w:id="25">
    <w:p w14:paraId="6716BEC5" w14:textId="2143EB2F" w:rsidR="00A1531D" w:rsidRPr="00F70554" w:rsidRDefault="00A1531D" w:rsidP="00A1531D">
      <w:pPr>
        <w:pStyle w:val="FootnoteText"/>
        <w:rPr>
          <w:szCs w:val="18"/>
        </w:rPr>
      </w:pPr>
      <w:r w:rsidRPr="00F70554">
        <w:rPr>
          <w:rStyle w:val="FootnoteReference"/>
          <w:szCs w:val="18"/>
        </w:rPr>
        <w:footnoteRef/>
      </w:r>
      <w:r w:rsidRPr="001D795A">
        <w:rPr>
          <w:szCs w:val="18"/>
          <w:lang w:val="fr-FR"/>
        </w:rPr>
        <w:t xml:space="preserve"> </w:t>
      </w:r>
      <w:proofErr w:type="spellStart"/>
      <w:r w:rsidRPr="001D795A">
        <w:rPr>
          <w:szCs w:val="18"/>
          <w:lang w:val="fr-FR"/>
        </w:rPr>
        <w:t>Bacher</w:t>
      </w:r>
      <w:proofErr w:type="spellEnd"/>
      <w:r w:rsidRPr="001D795A">
        <w:rPr>
          <w:szCs w:val="18"/>
          <w:lang w:val="fr-FR"/>
        </w:rPr>
        <w:t xml:space="preserve">, S., et al. </w:t>
      </w:r>
      <w:r w:rsidRPr="00F70554">
        <w:rPr>
          <w:szCs w:val="18"/>
        </w:rPr>
        <w:t xml:space="preserve">(2025). Global Impacts Dataset of Invasive Alien Species (GIDIAS). </w:t>
      </w:r>
      <w:r w:rsidRPr="00F70554">
        <w:rPr>
          <w:i/>
          <w:szCs w:val="18"/>
        </w:rPr>
        <w:t>Scientific Data</w:t>
      </w:r>
      <w:r w:rsidRPr="00F70554">
        <w:rPr>
          <w:szCs w:val="18"/>
        </w:rPr>
        <w:t xml:space="preserve">, </w:t>
      </w:r>
      <w:r w:rsidRPr="00F70554">
        <w:rPr>
          <w:i/>
          <w:szCs w:val="18"/>
        </w:rPr>
        <w:t>12</w:t>
      </w:r>
      <w:r w:rsidRPr="00F70554">
        <w:rPr>
          <w:szCs w:val="18"/>
        </w:rPr>
        <w:t xml:space="preserve">(1), 1-10. </w:t>
      </w:r>
      <w:hyperlink r:id="rId19" w:history="1">
        <w:r w:rsidRPr="00F70554">
          <w:rPr>
            <w:rStyle w:val="Hyperlink"/>
            <w:szCs w:val="18"/>
          </w:rPr>
          <w:t>https://doi.org/10.1038/s41597-025-05184-5</w:t>
        </w:r>
      </w:hyperlink>
      <w:r w:rsidR="001020A5">
        <w:t>.</w:t>
      </w:r>
      <w:r w:rsidRPr="00F70554">
        <w:rPr>
          <w:szCs w:val="18"/>
        </w:rPr>
        <w:t xml:space="preserve"> </w:t>
      </w:r>
    </w:p>
  </w:footnote>
  <w:footnote w:id="26">
    <w:p w14:paraId="6EA17630" w14:textId="24A2F1B5" w:rsidR="00A1531D" w:rsidRPr="00F70554" w:rsidRDefault="00A1531D" w:rsidP="00A1531D">
      <w:pPr>
        <w:pStyle w:val="FootnoteText"/>
      </w:pPr>
      <w:r w:rsidRPr="00F70554">
        <w:rPr>
          <w:rStyle w:val="FootnoteReference"/>
          <w:szCs w:val="18"/>
        </w:rPr>
        <w:footnoteRef/>
      </w:r>
      <w:r w:rsidRPr="00F70554">
        <w:rPr>
          <w:szCs w:val="18"/>
        </w:rPr>
        <w:t xml:space="preserve"> Costello, M.J., et al. (2025). World Register of Introduced Marine Species (</w:t>
      </w:r>
      <w:proofErr w:type="spellStart"/>
      <w:r w:rsidRPr="00F70554">
        <w:rPr>
          <w:szCs w:val="18"/>
        </w:rPr>
        <w:t>WRiMS</w:t>
      </w:r>
      <w:proofErr w:type="spellEnd"/>
      <w:r w:rsidRPr="00F70554">
        <w:rPr>
          <w:szCs w:val="18"/>
        </w:rPr>
        <w:t xml:space="preserve">). </w:t>
      </w:r>
      <w:hyperlink r:id="rId20" w:history="1">
        <w:r w:rsidRPr="00F70554">
          <w:rPr>
            <w:rStyle w:val="Hyperlink"/>
            <w:szCs w:val="18"/>
          </w:rPr>
          <w:t>https://www.marinespecies.org/introduced/</w:t>
        </w:r>
      </w:hyperlink>
      <w:r w:rsidR="001020A5">
        <w:rPr>
          <w:szCs w:val="18"/>
        </w:rPr>
        <w:t>.</w:t>
      </w:r>
    </w:p>
  </w:footnote>
  <w:footnote w:id="27">
    <w:p w14:paraId="433FFB7C" w14:textId="132184BF"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For </w:t>
      </w:r>
      <w:proofErr w:type="gramStart"/>
      <w:r w:rsidRPr="00F70554">
        <w:rPr>
          <w:szCs w:val="18"/>
        </w:rPr>
        <w:t>example</w:t>
      </w:r>
      <w:proofErr w:type="gramEnd"/>
      <w:r w:rsidRPr="00F70554">
        <w:rPr>
          <w:szCs w:val="18"/>
        </w:rPr>
        <w:t xml:space="preserve"> for the European Union, see Roy, H. E., et al. (2019). Developing a list of invasive alien species likely to threaten biodiversity and ecosystems in the European Union. </w:t>
      </w:r>
      <w:r w:rsidRPr="00F70554">
        <w:rPr>
          <w:i/>
          <w:szCs w:val="18"/>
        </w:rPr>
        <w:t>Global Change Biology</w:t>
      </w:r>
      <w:r w:rsidRPr="00F70554">
        <w:rPr>
          <w:szCs w:val="18"/>
        </w:rPr>
        <w:t xml:space="preserve">, </w:t>
      </w:r>
      <w:r w:rsidRPr="00F70554">
        <w:rPr>
          <w:i/>
          <w:szCs w:val="18"/>
        </w:rPr>
        <w:t>25</w:t>
      </w:r>
      <w:r w:rsidRPr="00F70554">
        <w:rPr>
          <w:szCs w:val="18"/>
        </w:rPr>
        <w:t xml:space="preserve">(3), 1032-1048. </w:t>
      </w:r>
      <w:hyperlink r:id="rId21" w:history="1">
        <w:r w:rsidRPr="00F70554">
          <w:rPr>
            <w:rStyle w:val="Hyperlink"/>
            <w:szCs w:val="18"/>
          </w:rPr>
          <w:t>https://doi.org/10.1111/gcb.14527</w:t>
        </w:r>
      </w:hyperlink>
      <w:r w:rsidR="00D12549">
        <w:t>.</w:t>
      </w:r>
      <w:r w:rsidRPr="00F70554">
        <w:rPr>
          <w:szCs w:val="18"/>
        </w:rPr>
        <w:t xml:space="preserve"> </w:t>
      </w:r>
    </w:p>
  </w:footnote>
  <w:footnote w:id="28">
    <w:p w14:paraId="089F9B31" w14:textId="47F0DBDF"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CABI Horizon scanning Tool </w:t>
      </w:r>
      <w:hyperlink r:id="rId22" w:history="1">
        <w:r w:rsidRPr="00F70554">
          <w:rPr>
            <w:rStyle w:val="Hyperlink"/>
            <w:szCs w:val="18"/>
          </w:rPr>
          <w:t>https://www.cabi.org/HorizonScanningTool/</w:t>
        </w:r>
      </w:hyperlink>
      <w:r w:rsidR="00D12549">
        <w:t>.</w:t>
      </w:r>
      <w:r w:rsidRPr="00F70554">
        <w:rPr>
          <w:szCs w:val="18"/>
        </w:rPr>
        <w:t xml:space="preserve"> </w:t>
      </w:r>
    </w:p>
  </w:footnote>
  <w:footnote w:id="29">
    <w:p w14:paraId="6E1163CA" w14:textId="3FA01452" w:rsidR="00A1531D" w:rsidRPr="00F12734" w:rsidRDefault="00A1531D" w:rsidP="00A1531D">
      <w:pPr>
        <w:pStyle w:val="FootnoteText"/>
      </w:pPr>
      <w:r w:rsidRPr="00F70554">
        <w:rPr>
          <w:rStyle w:val="FootnoteReference"/>
        </w:rPr>
        <w:footnoteRef/>
      </w:r>
      <w:r w:rsidRPr="00F12734">
        <w:t xml:space="preserve"> </w:t>
      </w:r>
      <w:r w:rsidRPr="00F12734">
        <w:rPr>
          <w:szCs w:val="18"/>
        </w:rPr>
        <w:t>IUCN Environmental Impact Classification for Alien Taxa,</w:t>
      </w:r>
      <w:r w:rsidRPr="00F12734">
        <w:rPr>
          <w:kern w:val="18"/>
          <w:szCs w:val="18"/>
        </w:rPr>
        <w:t xml:space="preserve"> </w:t>
      </w:r>
      <w:hyperlink r:id="rId23" w:history="1">
        <w:r w:rsidRPr="00F12734">
          <w:rPr>
            <w:rStyle w:val="Hyperlink"/>
            <w:color w:val="0070C0"/>
            <w:kern w:val="18"/>
            <w:szCs w:val="16"/>
          </w:rPr>
          <w:t>https://ipbes.net/policy-support/tools-instruments/environmental-impact-classification-alien-taxa-eicat</w:t>
        </w:r>
      </w:hyperlink>
      <w:r w:rsidR="006C4C85">
        <w:t>.</w:t>
      </w:r>
    </w:p>
  </w:footnote>
  <w:footnote w:id="30">
    <w:p w14:paraId="2C2E370B" w14:textId="1A1F8506" w:rsidR="00A1531D" w:rsidRPr="00F70554" w:rsidRDefault="00A1531D" w:rsidP="00A1531D">
      <w:pPr>
        <w:pStyle w:val="FootnoteText"/>
        <w:rPr>
          <w:szCs w:val="18"/>
        </w:rPr>
      </w:pPr>
      <w:r w:rsidRPr="00F70554">
        <w:rPr>
          <w:rStyle w:val="FootnoteReference"/>
          <w:szCs w:val="18"/>
        </w:rPr>
        <w:footnoteRef/>
      </w:r>
      <w:r w:rsidRPr="00F12734">
        <w:rPr>
          <w:szCs w:val="18"/>
        </w:rPr>
        <w:t xml:space="preserve"> Diagne, C., et al. (2020). </w:t>
      </w:r>
      <w:proofErr w:type="spellStart"/>
      <w:r w:rsidRPr="00F70554">
        <w:rPr>
          <w:szCs w:val="18"/>
        </w:rPr>
        <w:t>InvaCost</w:t>
      </w:r>
      <w:proofErr w:type="spellEnd"/>
      <w:r w:rsidRPr="00F70554">
        <w:rPr>
          <w:szCs w:val="18"/>
        </w:rPr>
        <w:t xml:space="preserve">: Economic cost estimates associated with biological invasions </w:t>
      </w:r>
      <w:proofErr w:type="gramStart"/>
      <w:r w:rsidRPr="00F70554">
        <w:rPr>
          <w:szCs w:val="18"/>
        </w:rPr>
        <w:t>worldwide..</w:t>
      </w:r>
      <w:proofErr w:type="gramEnd"/>
      <w:r w:rsidRPr="00F70554">
        <w:rPr>
          <w:szCs w:val="18"/>
        </w:rPr>
        <w:t xml:space="preserve"> </w:t>
      </w:r>
      <w:proofErr w:type="spellStart"/>
      <w:r w:rsidRPr="00F70554">
        <w:rPr>
          <w:szCs w:val="18"/>
        </w:rPr>
        <w:t>figshare</w:t>
      </w:r>
      <w:proofErr w:type="spellEnd"/>
      <w:r w:rsidRPr="00F70554">
        <w:rPr>
          <w:szCs w:val="18"/>
        </w:rPr>
        <w:t xml:space="preserve">. Dataset. </w:t>
      </w:r>
      <w:hyperlink r:id="rId24" w:history="1">
        <w:r w:rsidRPr="00F70554">
          <w:rPr>
            <w:rStyle w:val="Hyperlink"/>
            <w:szCs w:val="18"/>
          </w:rPr>
          <w:t>https://doi.org/10.6084/m9.figshare.12668570.v5</w:t>
        </w:r>
      </w:hyperlink>
    </w:p>
  </w:footnote>
  <w:footnote w:id="31">
    <w:p w14:paraId="040261D0" w14:textId="4C8D0EF3"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IUCN Red List of Threatened </w:t>
      </w:r>
      <w:proofErr w:type="spellStart"/>
      <w:r w:rsidRPr="00F70554">
        <w:rPr>
          <w:szCs w:val="18"/>
        </w:rPr>
        <w:t>Species</w:t>
      </w:r>
      <w:r w:rsidRPr="00F70554">
        <w:rPr>
          <w:szCs w:val="18"/>
          <w:vertAlign w:val="superscript"/>
        </w:rPr>
        <w:t>TM</w:t>
      </w:r>
      <w:proofErr w:type="spellEnd"/>
      <w:r w:rsidRPr="00F70554">
        <w:rPr>
          <w:szCs w:val="18"/>
        </w:rPr>
        <w:t xml:space="preserve"> </w:t>
      </w:r>
      <w:hyperlink r:id="rId25" w:history="1">
        <w:r w:rsidRPr="00F70554">
          <w:rPr>
            <w:rStyle w:val="Hyperlink"/>
            <w:szCs w:val="18"/>
          </w:rPr>
          <w:t>https://www.iucnredlist.org/</w:t>
        </w:r>
      </w:hyperlink>
      <w:r w:rsidR="00D12549">
        <w:t>.</w:t>
      </w:r>
      <w:r w:rsidRPr="00F70554">
        <w:rPr>
          <w:szCs w:val="18"/>
        </w:rPr>
        <w:t xml:space="preserve"> </w:t>
      </w:r>
    </w:p>
  </w:footnote>
  <w:footnote w:id="32">
    <w:p w14:paraId="6A6F209B" w14:textId="1C9F9DE1"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IUCN Red Listo f Ecosystems </w:t>
      </w:r>
      <w:hyperlink r:id="rId26" w:history="1">
        <w:r w:rsidRPr="00F70554">
          <w:rPr>
            <w:rStyle w:val="Hyperlink"/>
            <w:szCs w:val="18"/>
          </w:rPr>
          <w:t>https://www.iucnrle.org/</w:t>
        </w:r>
      </w:hyperlink>
      <w:r w:rsidR="00D12549">
        <w:t>.</w:t>
      </w:r>
      <w:r w:rsidRPr="00F70554">
        <w:rPr>
          <w:szCs w:val="18"/>
        </w:rPr>
        <w:t xml:space="preserve"> </w:t>
      </w:r>
    </w:p>
  </w:footnote>
  <w:footnote w:id="33">
    <w:p w14:paraId="4442D56A" w14:textId="59CBBC60"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IUCN World Heritage Outlook </w:t>
      </w:r>
      <w:hyperlink r:id="rId27" w:history="1">
        <w:r w:rsidRPr="00F70554">
          <w:rPr>
            <w:rStyle w:val="Hyperlink"/>
            <w:szCs w:val="18"/>
          </w:rPr>
          <w:t>https://worldheritageoutlook.iucn.org/</w:t>
        </w:r>
      </w:hyperlink>
      <w:r w:rsidR="00D12549">
        <w:t>.</w:t>
      </w:r>
      <w:r w:rsidRPr="00F70554">
        <w:rPr>
          <w:szCs w:val="18"/>
        </w:rPr>
        <w:t xml:space="preserve"> </w:t>
      </w:r>
    </w:p>
  </w:footnote>
  <w:footnote w:id="34">
    <w:p w14:paraId="53022E0E" w14:textId="125A45B8"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Key Biodiversity Areas </w:t>
      </w:r>
      <w:hyperlink r:id="rId28" w:history="1">
        <w:r w:rsidRPr="00F70554">
          <w:rPr>
            <w:rStyle w:val="Hyperlink"/>
            <w:szCs w:val="18"/>
          </w:rPr>
          <w:t>https://www.keybiodiversityareas.org/</w:t>
        </w:r>
      </w:hyperlink>
      <w:r w:rsidR="00D12549">
        <w:t>.</w:t>
      </w:r>
      <w:r w:rsidRPr="00F70554">
        <w:rPr>
          <w:szCs w:val="18"/>
        </w:rPr>
        <w:t xml:space="preserve"> </w:t>
      </w:r>
    </w:p>
  </w:footnote>
  <w:footnote w:id="35">
    <w:p w14:paraId="15ADB42B" w14:textId="463EE99B" w:rsidR="00A1531D" w:rsidRPr="00F70554" w:rsidRDefault="00A1531D" w:rsidP="00A1531D">
      <w:pPr>
        <w:pStyle w:val="FootnoteText"/>
      </w:pPr>
      <w:r w:rsidRPr="00F70554">
        <w:rPr>
          <w:rStyle w:val="FootnoteReference"/>
          <w:szCs w:val="18"/>
        </w:rPr>
        <w:footnoteRef/>
      </w:r>
      <w:r w:rsidRPr="00F70554">
        <w:rPr>
          <w:szCs w:val="18"/>
        </w:rPr>
        <w:t xml:space="preserve"> UN WCMC and IUCN Protected Planet </w:t>
      </w:r>
      <w:hyperlink r:id="rId29" w:history="1">
        <w:r w:rsidRPr="00F70554">
          <w:rPr>
            <w:rStyle w:val="Hyperlink"/>
            <w:szCs w:val="18"/>
          </w:rPr>
          <w:t>https://www.protectedplanet.net/en</w:t>
        </w:r>
      </w:hyperlink>
      <w:r w:rsidR="00D12549">
        <w:rPr>
          <w:szCs w:val="18"/>
        </w:rPr>
        <w:t>.</w:t>
      </w:r>
    </w:p>
  </w:footnote>
  <w:footnote w:id="36">
    <w:p w14:paraId="43E58A5F" w14:textId="77777777" w:rsidR="00A1531D" w:rsidRPr="003A7E03" w:rsidRDefault="00A1531D" w:rsidP="00A1531D">
      <w:pPr>
        <w:pStyle w:val="FootnoteText"/>
      </w:pPr>
      <w:r w:rsidRPr="00F70554">
        <w:rPr>
          <w:rStyle w:val="FootnoteReference"/>
          <w:szCs w:val="18"/>
        </w:rPr>
        <w:footnoteRef/>
      </w:r>
      <w:r w:rsidRPr="003A7E03">
        <w:rPr>
          <w:szCs w:val="18"/>
        </w:rPr>
        <w:t xml:space="preserve"> CABI PRA Tool </w:t>
      </w:r>
      <w:hyperlink r:id="rId30" w:history="1">
        <w:r w:rsidRPr="003A7E03">
          <w:rPr>
            <w:rStyle w:val="Hyperlink"/>
            <w:szCs w:val="18"/>
          </w:rPr>
          <w:t>https://www.cabi.org/PRA-tool</w:t>
        </w:r>
      </w:hyperlink>
      <w:r w:rsidRPr="003A7E03">
        <w:rPr>
          <w:szCs w:val="18"/>
        </w:rPr>
        <w:t xml:space="preserve"> </w:t>
      </w:r>
    </w:p>
  </w:footnote>
  <w:footnote w:id="37">
    <w:p w14:paraId="57FA338E" w14:textId="77777777" w:rsidR="00A1531D" w:rsidRPr="00F70554" w:rsidRDefault="00A1531D" w:rsidP="00A1531D">
      <w:pPr>
        <w:pStyle w:val="FootnoteText"/>
        <w:rPr>
          <w:szCs w:val="18"/>
        </w:rPr>
      </w:pPr>
      <w:r w:rsidRPr="00F70554">
        <w:rPr>
          <w:rStyle w:val="FootnoteReference"/>
          <w:szCs w:val="18"/>
        </w:rPr>
        <w:footnoteRef/>
      </w:r>
      <w:r w:rsidRPr="003A7E03">
        <w:rPr>
          <w:szCs w:val="18"/>
        </w:rPr>
        <w:t xml:space="preserve"> Bacher, S., et al. </w:t>
      </w:r>
      <w:r w:rsidRPr="00F70554">
        <w:rPr>
          <w:szCs w:val="18"/>
        </w:rPr>
        <w:t xml:space="preserve">(2018). Socio-economic impact classification of alien taxa (SEICAT). </w:t>
      </w:r>
      <w:r w:rsidRPr="00F70554">
        <w:rPr>
          <w:i/>
          <w:szCs w:val="18"/>
        </w:rPr>
        <w:t>Methods in Ecology and Evolution</w:t>
      </w:r>
      <w:r w:rsidRPr="00F70554">
        <w:rPr>
          <w:szCs w:val="18"/>
        </w:rPr>
        <w:t xml:space="preserve">, </w:t>
      </w:r>
      <w:r w:rsidRPr="00F70554">
        <w:rPr>
          <w:i/>
          <w:szCs w:val="18"/>
        </w:rPr>
        <w:t>9</w:t>
      </w:r>
      <w:r w:rsidRPr="00F70554">
        <w:rPr>
          <w:szCs w:val="18"/>
        </w:rPr>
        <w:t xml:space="preserve">(1), 159-168. </w:t>
      </w:r>
      <w:hyperlink r:id="rId31" w:history="1">
        <w:r w:rsidRPr="00F70554">
          <w:rPr>
            <w:rStyle w:val="Hyperlink"/>
            <w:szCs w:val="18"/>
          </w:rPr>
          <w:t>https://doi.org/10.1111/2041-210X.12844</w:t>
        </w:r>
      </w:hyperlink>
      <w:r w:rsidRPr="00F70554">
        <w:rPr>
          <w:szCs w:val="18"/>
        </w:rPr>
        <w:t xml:space="preserve"> </w:t>
      </w:r>
    </w:p>
  </w:footnote>
  <w:footnote w:id="38">
    <w:p w14:paraId="3498AEA5" w14:textId="77777777" w:rsidR="00A1531D" w:rsidRPr="00F70554" w:rsidRDefault="00A1531D" w:rsidP="00A1531D">
      <w:pPr>
        <w:pStyle w:val="FootnoteText"/>
      </w:pPr>
      <w:r w:rsidRPr="00F70554">
        <w:rPr>
          <w:rStyle w:val="FootnoteReference"/>
          <w:szCs w:val="18"/>
        </w:rPr>
        <w:footnoteRef/>
      </w:r>
      <w:r w:rsidRPr="00F70554">
        <w:rPr>
          <w:szCs w:val="18"/>
        </w:rPr>
        <w:t xml:space="preserve"> For example, see the Pacific Island Ecosystem at Risks (PIER) </w:t>
      </w:r>
      <w:hyperlink r:id="rId32" w:history="1">
        <w:r w:rsidRPr="00F70554">
          <w:rPr>
            <w:rStyle w:val="Hyperlink"/>
            <w:szCs w:val="18"/>
          </w:rPr>
          <w:t>http://www.hear.org/pier/</w:t>
        </w:r>
      </w:hyperlink>
      <w:r w:rsidRPr="00F70554">
        <w:rPr>
          <w:szCs w:val="18"/>
        </w:rPr>
        <w:t xml:space="preserve">, and the risk assessment produced for the EU </w:t>
      </w:r>
      <w:hyperlink r:id="rId33" w:history="1">
        <w:r w:rsidRPr="00F70554">
          <w:rPr>
            <w:rStyle w:val="Hyperlink"/>
            <w:szCs w:val="18"/>
          </w:rPr>
          <w:t>https://environment.ec.europa.eu/topics/nature-and-biodiversity/invasive-alien-species_en</w:t>
        </w:r>
      </w:hyperlink>
      <w:r w:rsidRPr="00F70554">
        <w:rPr>
          <w:szCs w:val="18"/>
        </w:rPr>
        <w:t xml:space="preserve"> </w:t>
      </w:r>
    </w:p>
  </w:footnote>
  <w:footnote w:id="39">
    <w:p w14:paraId="6070C489"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See, for example, Clarke., D.A., Clarkey, R.H., and McGeoch, M.A. 2025. How to Identify Priority Sites for Invasive Alien Species Policy and Management. </w:t>
      </w:r>
      <w:r w:rsidRPr="00F70554">
        <w:rPr>
          <w:i/>
          <w:szCs w:val="18"/>
        </w:rPr>
        <w:t>Diversity and Distributions</w:t>
      </w:r>
      <w:r w:rsidRPr="00F70554">
        <w:rPr>
          <w:szCs w:val="18"/>
        </w:rPr>
        <w:t xml:space="preserve">. </w:t>
      </w:r>
      <w:hyperlink r:id="rId34" w:history="1">
        <w:r w:rsidRPr="00F70554">
          <w:rPr>
            <w:rStyle w:val="Hyperlink"/>
            <w:szCs w:val="18"/>
          </w:rPr>
          <w:t>https://doi.org/10.1111/ddi.13970</w:t>
        </w:r>
      </w:hyperlink>
      <w:r w:rsidRPr="00F70554">
        <w:rPr>
          <w:szCs w:val="18"/>
        </w:rPr>
        <w:t xml:space="preserve"> </w:t>
      </w:r>
    </w:p>
  </w:footnote>
  <w:footnote w:id="40">
    <w:p w14:paraId="61309861" w14:textId="77777777" w:rsidR="00A1531D" w:rsidRPr="00F70554" w:rsidRDefault="00A1531D" w:rsidP="00A1531D">
      <w:pPr>
        <w:pStyle w:val="FootnoteText"/>
      </w:pPr>
      <w:r w:rsidRPr="00F70554">
        <w:rPr>
          <w:rStyle w:val="FootnoteReference"/>
          <w:szCs w:val="18"/>
        </w:rPr>
        <w:footnoteRef/>
      </w:r>
      <w:r w:rsidRPr="00F70554">
        <w:rPr>
          <w:szCs w:val="18"/>
        </w:rPr>
        <w:t xml:space="preserve"> For example, as done for Great Britain, see Booy, O., Mill, A.C., Roy, H.E. </w:t>
      </w:r>
      <w:r w:rsidRPr="00F70554">
        <w:rPr>
          <w:i/>
          <w:iCs/>
          <w:szCs w:val="18"/>
        </w:rPr>
        <w:t>et al.</w:t>
      </w:r>
      <w:r w:rsidRPr="00F70554">
        <w:rPr>
          <w:szCs w:val="18"/>
        </w:rPr>
        <w:t> Risk management to prioritise the eradication of new and emerging invasive non-native species. </w:t>
      </w:r>
      <w:proofErr w:type="spellStart"/>
      <w:r w:rsidRPr="00F70554">
        <w:rPr>
          <w:i/>
          <w:iCs/>
          <w:szCs w:val="18"/>
        </w:rPr>
        <w:t>Biol</w:t>
      </w:r>
      <w:proofErr w:type="spellEnd"/>
      <w:r w:rsidRPr="00F70554">
        <w:rPr>
          <w:i/>
          <w:iCs/>
          <w:szCs w:val="18"/>
        </w:rPr>
        <w:t xml:space="preserve"> Invasions</w:t>
      </w:r>
      <w:r w:rsidRPr="00F70554">
        <w:rPr>
          <w:szCs w:val="18"/>
        </w:rPr>
        <w:t> </w:t>
      </w:r>
      <w:r w:rsidRPr="00F70554">
        <w:rPr>
          <w:b/>
          <w:bCs/>
          <w:szCs w:val="18"/>
        </w:rPr>
        <w:t>19</w:t>
      </w:r>
      <w:r w:rsidRPr="00F70554">
        <w:rPr>
          <w:szCs w:val="18"/>
        </w:rPr>
        <w:t xml:space="preserve">, 2401–2417 (2017). </w:t>
      </w:r>
      <w:hyperlink r:id="rId35" w:history="1">
        <w:r w:rsidRPr="00F70554">
          <w:rPr>
            <w:rStyle w:val="Hyperlink"/>
            <w:szCs w:val="18"/>
          </w:rPr>
          <w:t>https://doi.org/10.1007/s10530-017-1451-z</w:t>
        </w:r>
      </w:hyperlink>
      <w:r w:rsidRPr="00F70554">
        <w:rPr>
          <w:szCs w:val="18"/>
        </w:rPr>
        <w:t xml:space="preserve">, and the European Union, see Booy, O., Robertson, P. A., Moore, N., </w:t>
      </w:r>
      <w:r w:rsidRPr="00F70554">
        <w:rPr>
          <w:i/>
          <w:iCs/>
          <w:szCs w:val="18"/>
        </w:rPr>
        <w:t>et al.</w:t>
      </w:r>
      <w:r w:rsidRPr="00F70554">
        <w:rPr>
          <w:szCs w:val="18"/>
        </w:rPr>
        <w:t xml:space="preserve"> (2020). Using structured eradication feasibility assessment to prioritize the management of new and emerging invasive alien species in Europe. </w:t>
      </w:r>
      <w:r w:rsidRPr="00F70554">
        <w:rPr>
          <w:i/>
          <w:iCs/>
          <w:szCs w:val="18"/>
        </w:rPr>
        <w:t>Global Change Biology</w:t>
      </w:r>
      <w:r w:rsidRPr="00F70554">
        <w:rPr>
          <w:szCs w:val="18"/>
        </w:rPr>
        <w:t xml:space="preserve">, </w:t>
      </w:r>
      <w:r w:rsidRPr="00F70554">
        <w:rPr>
          <w:i/>
          <w:iCs/>
          <w:szCs w:val="18"/>
        </w:rPr>
        <w:t>26</w:t>
      </w:r>
      <w:r w:rsidRPr="00F70554">
        <w:rPr>
          <w:szCs w:val="18"/>
        </w:rPr>
        <w:t xml:space="preserve">(11), 6235-6250. </w:t>
      </w:r>
      <w:hyperlink r:id="rId36" w:history="1">
        <w:r w:rsidRPr="00F70554">
          <w:rPr>
            <w:rStyle w:val="Hyperlink"/>
            <w:szCs w:val="18"/>
          </w:rPr>
          <w:t>https://doi.org/10.1111/gcb.15280</w:t>
        </w:r>
      </w:hyperlink>
    </w:p>
  </w:footnote>
  <w:footnote w:id="41">
    <w:p w14:paraId="2052AE90" w14:textId="77777777" w:rsidR="00A1531D" w:rsidRPr="00F70554" w:rsidRDefault="00A1531D" w:rsidP="00A1531D">
      <w:pPr>
        <w:pStyle w:val="FootnoteText"/>
      </w:pPr>
      <w:r w:rsidRPr="00F70554">
        <w:rPr>
          <w:rStyle w:val="FootnoteReference"/>
          <w:szCs w:val="18"/>
        </w:rPr>
        <w:footnoteRef/>
      </w:r>
      <w:r w:rsidRPr="00F70554">
        <w:rPr>
          <w:szCs w:val="18"/>
        </w:rPr>
        <w:t xml:space="preserve"> IUCN resources on prevention and pathways, identification and surveillance, and management </w:t>
      </w:r>
      <w:hyperlink r:id="rId37" w:history="1">
        <w:r w:rsidRPr="00F70554">
          <w:rPr>
            <w:rStyle w:val="Hyperlink"/>
            <w:szCs w:val="18"/>
          </w:rPr>
          <w:t>https://iucn.org/our-work/topic/invasive-alien-species/invasive-alien-species-external-resources</w:t>
        </w:r>
      </w:hyperlink>
      <w:r w:rsidRPr="00F70554">
        <w:rPr>
          <w:szCs w:val="18"/>
        </w:rPr>
        <w:t xml:space="preserve"> </w:t>
      </w:r>
    </w:p>
  </w:footnote>
  <w:footnote w:id="42">
    <w:p w14:paraId="1EFF7E51"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w:t>
      </w:r>
      <w:r w:rsidRPr="00F12734">
        <w:rPr>
          <w:szCs w:val="18"/>
        </w:rPr>
        <w:t>International Maritime Organization</w:t>
      </w:r>
      <w:r w:rsidRPr="00F70554">
        <w:rPr>
          <w:szCs w:val="18"/>
        </w:rPr>
        <w:t>. (2023). 2023 Guidelines for the control and management of ships’ biofouling to minimize the transfer</w:t>
      </w:r>
    </w:p>
    <w:p w14:paraId="4A9D9F26" w14:textId="77777777" w:rsidR="00A1531D" w:rsidRPr="00F70554" w:rsidRDefault="00A1531D" w:rsidP="00A1531D">
      <w:pPr>
        <w:pStyle w:val="FootnoteText"/>
        <w:rPr>
          <w:szCs w:val="18"/>
        </w:rPr>
      </w:pPr>
      <w:r w:rsidRPr="00F70554">
        <w:rPr>
          <w:szCs w:val="18"/>
        </w:rPr>
        <w:t xml:space="preserve">of invasive aquatic species. </w:t>
      </w:r>
      <w:hyperlink r:id="rId38" w:history="1">
        <w:r w:rsidRPr="00F70554">
          <w:rPr>
            <w:rStyle w:val="Hyperlink"/>
            <w:szCs w:val="18"/>
          </w:rPr>
          <w:t>https://www.imo.org/en/OurWork/Environment/Pages/Biofouling.aspx</w:t>
        </w:r>
      </w:hyperlink>
    </w:p>
  </w:footnote>
  <w:footnote w:id="43">
    <w:p w14:paraId="1BEF57B6"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w:t>
      </w:r>
      <w:r w:rsidRPr="00F12734">
        <w:rPr>
          <w:szCs w:val="18"/>
        </w:rPr>
        <w:t>International Maritime Organization</w:t>
      </w:r>
      <w:r w:rsidRPr="00F70554">
        <w:rPr>
          <w:szCs w:val="18"/>
        </w:rPr>
        <w:t xml:space="preserve">. Ballast Water Management Convention and associated guidance </w:t>
      </w:r>
      <w:hyperlink r:id="rId39" w:history="1">
        <w:r w:rsidRPr="00F70554">
          <w:rPr>
            <w:rStyle w:val="Hyperlink"/>
            <w:szCs w:val="18"/>
          </w:rPr>
          <w:t>https://www.imo.org/en/OurWork/Environment/Pages/BallastWaterManagement.aspx</w:t>
        </w:r>
      </w:hyperlink>
    </w:p>
  </w:footnote>
  <w:footnote w:id="44">
    <w:p w14:paraId="4804B1F7"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w:t>
      </w:r>
      <w:r w:rsidRPr="00F12734">
        <w:rPr>
          <w:szCs w:val="18"/>
        </w:rPr>
        <w:t xml:space="preserve">International Plant Protection Convention Secretariat, </w:t>
      </w:r>
      <w:r w:rsidRPr="00F70554">
        <w:rPr>
          <w:szCs w:val="18"/>
        </w:rPr>
        <w:t xml:space="preserve">ISPMs </w:t>
      </w:r>
      <w:hyperlink r:id="rId40" w:history="1">
        <w:r w:rsidRPr="00F70554">
          <w:rPr>
            <w:rStyle w:val="Hyperlink"/>
            <w:szCs w:val="18"/>
          </w:rPr>
          <w:t>https://www.ippc.int/en/core-activities/standards-setting/ispms/</w:t>
        </w:r>
      </w:hyperlink>
      <w:r w:rsidRPr="00F70554">
        <w:rPr>
          <w:szCs w:val="18"/>
        </w:rPr>
        <w:t xml:space="preserve"> </w:t>
      </w:r>
    </w:p>
  </w:footnote>
  <w:footnote w:id="45">
    <w:p w14:paraId="772C2A31"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w:t>
      </w:r>
      <w:r w:rsidRPr="00F12734">
        <w:rPr>
          <w:szCs w:val="18"/>
        </w:rPr>
        <w:t xml:space="preserve">International Plant Protection Convention Secretariat, </w:t>
      </w:r>
      <w:r w:rsidRPr="00F70554">
        <w:rPr>
          <w:szCs w:val="18"/>
        </w:rPr>
        <w:t xml:space="preserve">Sea Container Cleanliness guidance </w:t>
      </w:r>
      <w:hyperlink r:id="rId41">
        <w:r w:rsidRPr="00F70554">
          <w:rPr>
            <w:rStyle w:val="Hyperlink"/>
            <w:szCs w:val="18"/>
          </w:rPr>
          <w:t>https://www.ippc.int/en/centre-of-excellence/phytosanitary-system/sea-containers/</w:t>
        </w:r>
      </w:hyperlink>
      <w:r w:rsidRPr="00F70554">
        <w:rPr>
          <w:szCs w:val="18"/>
        </w:rPr>
        <w:t xml:space="preserve"> </w:t>
      </w:r>
    </w:p>
  </w:footnote>
  <w:footnote w:id="46">
    <w:p w14:paraId="745B955B" w14:textId="77777777" w:rsidR="00A1531D" w:rsidRPr="00F12734" w:rsidRDefault="00A1531D" w:rsidP="00A1531D">
      <w:pPr>
        <w:pStyle w:val="FootnoteText"/>
        <w:rPr>
          <w:b/>
          <w:bCs/>
          <w:lang w:val="fr-FR"/>
        </w:rPr>
      </w:pPr>
      <w:r w:rsidRPr="00F70554">
        <w:rPr>
          <w:rStyle w:val="FootnoteReference"/>
          <w:szCs w:val="18"/>
        </w:rPr>
        <w:footnoteRef/>
      </w:r>
      <w:r w:rsidRPr="00F12734">
        <w:rPr>
          <w:szCs w:val="18"/>
          <w:lang w:val="fr-FR"/>
        </w:rPr>
        <w:t xml:space="preserve"> CTU Code </w:t>
      </w:r>
      <w:hyperlink r:id="rId42" w:history="1">
        <w:r w:rsidRPr="00F12734">
          <w:rPr>
            <w:rStyle w:val="Hyperlink"/>
            <w:szCs w:val="18"/>
            <w:lang w:val="fr-FR"/>
          </w:rPr>
          <w:t>https://www.imo.org/en/ourwork/safety/pages/ctu-code.aspx</w:t>
        </w:r>
      </w:hyperlink>
      <w:r w:rsidRPr="00F12734">
        <w:rPr>
          <w:szCs w:val="18"/>
          <w:lang w:val="fr-FR"/>
        </w:rPr>
        <w:t xml:space="preserve"> </w:t>
      </w:r>
    </w:p>
  </w:footnote>
  <w:footnote w:id="47">
    <w:p w14:paraId="787DB220" w14:textId="6BE40B4F" w:rsidR="00A1531D" w:rsidRPr="00F12734" w:rsidRDefault="00A1531D" w:rsidP="00A1531D">
      <w:pPr>
        <w:pStyle w:val="FootnoteText"/>
        <w:rPr>
          <w:lang w:val="fr-FR"/>
        </w:rPr>
      </w:pPr>
      <w:r w:rsidRPr="00F70554">
        <w:rPr>
          <w:rStyle w:val="FootnoteReference"/>
          <w:szCs w:val="18"/>
        </w:rPr>
        <w:footnoteRef/>
      </w:r>
      <w:r w:rsidRPr="00F12734">
        <w:rPr>
          <w:szCs w:val="18"/>
          <w:lang w:val="fr-FR"/>
        </w:rPr>
        <w:t xml:space="preserve"> IUCN </w:t>
      </w:r>
      <w:proofErr w:type="spellStart"/>
      <w:r w:rsidRPr="00F12734">
        <w:rPr>
          <w:szCs w:val="18"/>
          <w:lang w:val="fr-FR"/>
        </w:rPr>
        <w:t>resources</w:t>
      </w:r>
      <w:proofErr w:type="spellEnd"/>
      <w:r w:rsidRPr="00F12734">
        <w:rPr>
          <w:szCs w:val="18"/>
          <w:lang w:val="fr-FR"/>
        </w:rPr>
        <w:t xml:space="preserve"> on </w:t>
      </w:r>
      <w:proofErr w:type="spellStart"/>
      <w:r w:rsidRPr="00F12734">
        <w:rPr>
          <w:szCs w:val="18"/>
          <w:lang w:val="fr-FR"/>
        </w:rPr>
        <w:t>prevention</w:t>
      </w:r>
      <w:proofErr w:type="spellEnd"/>
      <w:r w:rsidRPr="00F12734">
        <w:rPr>
          <w:szCs w:val="18"/>
          <w:lang w:val="fr-FR"/>
        </w:rPr>
        <w:t xml:space="preserve"> and </w:t>
      </w:r>
      <w:proofErr w:type="spellStart"/>
      <w:r w:rsidRPr="00F12734">
        <w:rPr>
          <w:szCs w:val="18"/>
          <w:lang w:val="fr-FR"/>
        </w:rPr>
        <w:t>pathways</w:t>
      </w:r>
      <w:proofErr w:type="spellEnd"/>
      <w:r w:rsidRPr="00F12734">
        <w:rPr>
          <w:szCs w:val="18"/>
          <w:lang w:val="fr-FR"/>
        </w:rPr>
        <w:t xml:space="preserve">, identification and surveillance, and management </w:t>
      </w:r>
      <w:hyperlink r:id="rId43" w:history="1">
        <w:r w:rsidRPr="00F12734">
          <w:rPr>
            <w:rStyle w:val="Hyperlink"/>
            <w:szCs w:val="18"/>
            <w:lang w:val="fr-FR"/>
          </w:rPr>
          <w:t>https://iucn.org/our-work/topic/invasive-alien-species/invasive-alien-species-external-resources</w:t>
        </w:r>
      </w:hyperlink>
      <w:r w:rsidR="00837B1E" w:rsidRPr="00F12734">
        <w:rPr>
          <w:lang w:val="fr-FR"/>
        </w:rPr>
        <w:t>.</w:t>
      </w:r>
      <w:r w:rsidRPr="00F12734">
        <w:rPr>
          <w:szCs w:val="18"/>
          <w:lang w:val="fr-FR"/>
        </w:rPr>
        <w:t xml:space="preserve"> </w:t>
      </w:r>
    </w:p>
  </w:footnote>
  <w:footnote w:id="48">
    <w:p w14:paraId="09276F63" w14:textId="1A73180B" w:rsidR="00A1531D" w:rsidRPr="00F70554" w:rsidRDefault="00A1531D" w:rsidP="00A1531D">
      <w:pPr>
        <w:pStyle w:val="FootnoteText"/>
      </w:pPr>
      <w:r w:rsidRPr="00F70554">
        <w:rPr>
          <w:rStyle w:val="FootnoteReference"/>
          <w:szCs w:val="18"/>
        </w:rPr>
        <w:footnoteRef/>
      </w:r>
      <w:r w:rsidRPr="00F70554">
        <w:rPr>
          <w:szCs w:val="18"/>
        </w:rPr>
        <w:t xml:space="preserve"> World Organisation for Animal Health standards </w:t>
      </w:r>
      <w:hyperlink r:id="rId44">
        <w:r w:rsidRPr="00F70554">
          <w:rPr>
            <w:rStyle w:val="Hyperlink"/>
            <w:szCs w:val="18"/>
          </w:rPr>
          <w:t>https://www.woah.org/en/what-we-do/standards/</w:t>
        </w:r>
      </w:hyperlink>
      <w:r w:rsidR="00837B1E">
        <w:t>.</w:t>
      </w:r>
      <w:r w:rsidRPr="00F70554">
        <w:rPr>
          <w:szCs w:val="18"/>
        </w:rPr>
        <w:t xml:space="preserve"> </w:t>
      </w:r>
    </w:p>
  </w:footnote>
  <w:footnote w:id="49">
    <w:p w14:paraId="48E8E2E2" w14:textId="54DC6BBA" w:rsidR="00A1531D" w:rsidRPr="00F70554" w:rsidRDefault="00A1531D" w:rsidP="00A1531D">
      <w:pPr>
        <w:pStyle w:val="FootnoteText"/>
      </w:pPr>
      <w:r w:rsidRPr="00F70554">
        <w:rPr>
          <w:rStyle w:val="FootnoteReference"/>
        </w:rPr>
        <w:footnoteRef/>
      </w:r>
      <w:r w:rsidRPr="00F70554">
        <w:t xml:space="preserve"> WTO E-ping platform </w:t>
      </w:r>
      <w:hyperlink r:id="rId45" w:history="1">
        <w:r w:rsidRPr="00F70554">
          <w:rPr>
            <w:rStyle w:val="Hyperlink"/>
          </w:rPr>
          <w:t>https://eping.wto.org/</w:t>
        </w:r>
      </w:hyperlink>
      <w:r w:rsidR="00837B1E">
        <w:t>.</w:t>
      </w:r>
      <w:r w:rsidRPr="00F70554">
        <w:t xml:space="preserve"> </w:t>
      </w:r>
    </w:p>
  </w:footnote>
  <w:footnote w:id="50">
    <w:p w14:paraId="2954E19A" w14:textId="1E3E1367" w:rsidR="00A1531D" w:rsidRPr="00F70554" w:rsidRDefault="00A1531D" w:rsidP="00A1531D">
      <w:pPr>
        <w:pStyle w:val="FootnoteText"/>
      </w:pPr>
      <w:r w:rsidRPr="00F70554">
        <w:rPr>
          <w:rStyle w:val="FootnoteReference"/>
          <w:szCs w:val="18"/>
        </w:rPr>
        <w:footnoteRef/>
      </w:r>
      <w:r w:rsidRPr="00F70554">
        <w:rPr>
          <w:szCs w:val="18"/>
        </w:rPr>
        <w:t xml:space="preserve"> IUCN resources on prevention and pathways, identification and surveillance, and management </w:t>
      </w:r>
      <w:hyperlink r:id="rId46" w:history="1">
        <w:r w:rsidRPr="00F70554">
          <w:rPr>
            <w:rStyle w:val="Hyperlink"/>
            <w:szCs w:val="18"/>
          </w:rPr>
          <w:t>https://iucn.org/our-work/topic/invasive-alien-species/invasive-alien-species-external-resources</w:t>
        </w:r>
      </w:hyperlink>
      <w:r w:rsidR="00837B1E">
        <w:t>.</w:t>
      </w:r>
      <w:r w:rsidRPr="00F70554">
        <w:rPr>
          <w:szCs w:val="18"/>
        </w:rPr>
        <w:t xml:space="preserve"> </w:t>
      </w:r>
    </w:p>
  </w:footnote>
  <w:footnote w:id="51">
    <w:p w14:paraId="385FA132" w14:textId="394153C9"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For </w:t>
      </w:r>
      <w:proofErr w:type="gramStart"/>
      <w:r w:rsidRPr="00F70554">
        <w:rPr>
          <w:szCs w:val="18"/>
        </w:rPr>
        <w:t>example</w:t>
      </w:r>
      <w:proofErr w:type="gramEnd"/>
      <w:r w:rsidRPr="00F70554">
        <w:rPr>
          <w:szCs w:val="18"/>
        </w:rPr>
        <w:t xml:space="preserve"> GBIF Alert which is an </w:t>
      </w:r>
      <w:proofErr w:type="gramStart"/>
      <w:r w:rsidRPr="00F70554">
        <w:rPr>
          <w:szCs w:val="18"/>
        </w:rPr>
        <w:t>open source</w:t>
      </w:r>
      <w:proofErr w:type="gramEnd"/>
      <w:r w:rsidRPr="00F70554">
        <w:rPr>
          <w:szCs w:val="18"/>
        </w:rPr>
        <w:t xml:space="preserve"> tool demonstrates how to use GBIF.org as a system for notifying users of newly available occurrence records for any species or location of interest. </w:t>
      </w:r>
      <w:hyperlink r:id="rId47" w:history="1">
        <w:r w:rsidRPr="00F70554">
          <w:rPr>
            <w:rStyle w:val="Hyperlink"/>
            <w:szCs w:val="18"/>
          </w:rPr>
          <w:t>https://gbif-alert-demo.thebinaryforest.net/</w:t>
        </w:r>
      </w:hyperlink>
      <w:r w:rsidR="00930265">
        <w:t>.</w:t>
      </w:r>
      <w:r w:rsidRPr="00F70554">
        <w:rPr>
          <w:szCs w:val="18"/>
        </w:rPr>
        <w:t xml:space="preserve"> </w:t>
      </w:r>
    </w:p>
  </w:footnote>
  <w:footnote w:id="52">
    <w:p w14:paraId="47B7C33F" w14:textId="1A90EFB0" w:rsidR="00A1531D" w:rsidRPr="00F70554" w:rsidRDefault="00A1531D" w:rsidP="00A1531D">
      <w:pPr>
        <w:pStyle w:val="FootnoteText"/>
      </w:pPr>
      <w:r w:rsidRPr="00F70554">
        <w:rPr>
          <w:rStyle w:val="FootnoteReference"/>
          <w:szCs w:val="18"/>
        </w:rPr>
        <w:footnoteRef/>
      </w:r>
      <w:r w:rsidRPr="00F70554">
        <w:rPr>
          <w:szCs w:val="18"/>
        </w:rPr>
        <w:t xml:space="preserve"> IUCN resources on prevention and pathways, identification and surveillance, and management </w:t>
      </w:r>
      <w:hyperlink r:id="rId48" w:history="1">
        <w:r w:rsidRPr="00F70554">
          <w:rPr>
            <w:rStyle w:val="Hyperlink"/>
            <w:szCs w:val="18"/>
          </w:rPr>
          <w:t>https://iucn.org/our-work/topic/invasive-alien-species/invasive-alien-species-external-resources</w:t>
        </w:r>
      </w:hyperlink>
      <w:r w:rsidR="00837B1E">
        <w:t>.</w:t>
      </w:r>
      <w:r w:rsidRPr="00F70554">
        <w:rPr>
          <w:szCs w:val="18"/>
        </w:rPr>
        <w:t xml:space="preserve"> </w:t>
      </w:r>
    </w:p>
  </w:footnote>
  <w:footnote w:id="53">
    <w:p w14:paraId="6FCA17AF" w14:textId="77777777" w:rsidR="00A1531D" w:rsidRPr="00F70554" w:rsidRDefault="00A1531D" w:rsidP="00A1531D">
      <w:pPr>
        <w:pStyle w:val="FootnoteText"/>
      </w:pPr>
      <w:r w:rsidRPr="00F70554">
        <w:rPr>
          <w:rStyle w:val="FootnoteReference"/>
        </w:rPr>
        <w:footnoteRef/>
      </w:r>
      <w:r w:rsidRPr="00F70554">
        <w:t xml:space="preserve"> CABI Pest Alerts, email alerts containing recent literature reports for a specific country or region. https://plantwiseplusknowledgebank.org/pestalert-signup</w:t>
      </w:r>
    </w:p>
  </w:footnote>
  <w:footnote w:id="54">
    <w:p w14:paraId="36FB7F93" w14:textId="059F48FE" w:rsidR="00A1531D" w:rsidRPr="00F70554" w:rsidRDefault="00A1531D" w:rsidP="00A1531D">
      <w:pPr>
        <w:pStyle w:val="FootnoteText"/>
      </w:pPr>
      <w:r w:rsidRPr="00F70554">
        <w:rPr>
          <w:rStyle w:val="FootnoteReference"/>
        </w:rPr>
        <w:footnoteRef/>
      </w:r>
      <w:r w:rsidRPr="00F70554">
        <w:t xml:space="preserve"> For example, see Pacific Invasive Ant Toolkit EDRR </w:t>
      </w:r>
      <w:hyperlink r:id="rId49" w:history="1">
        <w:r w:rsidRPr="00F70554">
          <w:rPr>
            <w:rStyle w:val="Hyperlink"/>
          </w:rPr>
          <w:t>https://piat.org.nz/index.php?page=early-detection-and-rapid-response</w:t>
        </w:r>
      </w:hyperlink>
      <w:r w:rsidRPr="00F70554">
        <w:t>, US department of the Interior EDRR approach https://www.doi.gov/invasivespecies/early-detection-and-rapid-response</w:t>
      </w:r>
      <w:r w:rsidR="00837B1E">
        <w:t>.</w:t>
      </w:r>
    </w:p>
  </w:footnote>
  <w:footnote w:id="55">
    <w:p w14:paraId="6959EC90" w14:textId="7694C283" w:rsidR="00A1531D" w:rsidRPr="00F70554" w:rsidRDefault="00A1531D" w:rsidP="00A1531D">
      <w:pPr>
        <w:pStyle w:val="FootnoteText"/>
      </w:pPr>
      <w:r w:rsidRPr="00F70554">
        <w:rPr>
          <w:rStyle w:val="FootnoteReference"/>
          <w:szCs w:val="18"/>
        </w:rPr>
        <w:footnoteRef/>
      </w:r>
      <w:r w:rsidRPr="00F70554">
        <w:rPr>
          <w:szCs w:val="18"/>
        </w:rPr>
        <w:t xml:space="preserve"> GEO BON Essential variables for invasive species monitoring </w:t>
      </w:r>
      <w:hyperlink r:id="rId50" w:history="1">
        <w:r w:rsidRPr="00F70554">
          <w:rPr>
            <w:rStyle w:val="Hyperlink"/>
            <w:szCs w:val="18"/>
          </w:rPr>
          <w:t>https://invasionevs.com/</w:t>
        </w:r>
      </w:hyperlink>
      <w:r w:rsidR="00930265">
        <w:rPr>
          <w:szCs w:val="18"/>
        </w:rPr>
        <w:t>.</w:t>
      </w:r>
    </w:p>
  </w:footnote>
  <w:footnote w:id="56">
    <w:p w14:paraId="39D53910" w14:textId="77777777" w:rsidR="00A1531D" w:rsidRPr="00F12734" w:rsidRDefault="00A1531D" w:rsidP="00A1531D">
      <w:pPr>
        <w:pStyle w:val="FootnoteText"/>
        <w:rPr>
          <w:szCs w:val="18"/>
        </w:rPr>
      </w:pPr>
      <w:r w:rsidRPr="00F70554">
        <w:rPr>
          <w:rStyle w:val="FootnoteReference"/>
          <w:szCs w:val="18"/>
        </w:rPr>
        <w:footnoteRef/>
      </w:r>
      <w:r w:rsidRPr="00F70554">
        <w:rPr>
          <w:szCs w:val="18"/>
        </w:rPr>
        <w:t xml:space="preserve">Molloy, J.C. (2011). The Open Knowledge Foundation: Open Data Means Better Science. </w:t>
      </w:r>
      <w:proofErr w:type="spellStart"/>
      <w:r w:rsidRPr="00F70554">
        <w:rPr>
          <w:szCs w:val="18"/>
        </w:rPr>
        <w:t>PloS</w:t>
      </w:r>
      <w:proofErr w:type="spellEnd"/>
      <w:r w:rsidRPr="00F70554">
        <w:rPr>
          <w:szCs w:val="18"/>
        </w:rPr>
        <w:t xml:space="preserve"> Biology. </w:t>
      </w:r>
      <w:r w:rsidRPr="00F12734">
        <w:rPr>
          <w:szCs w:val="18"/>
        </w:rPr>
        <w:t xml:space="preserve">9(12): e1001195. </w:t>
      </w:r>
      <w:hyperlink r:id="rId51" w:history="1">
        <w:r w:rsidRPr="00F12734">
          <w:rPr>
            <w:rStyle w:val="Hyperlink"/>
            <w:szCs w:val="18"/>
          </w:rPr>
          <w:t>https://doi.org/10.1371/journal.pbio.1001195</w:t>
        </w:r>
      </w:hyperlink>
    </w:p>
  </w:footnote>
  <w:footnote w:id="57">
    <w:p w14:paraId="43FAF21B" w14:textId="5BEB3013" w:rsidR="00A1531D" w:rsidRPr="00F70554" w:rsidRDefault="00A1531D" w:rsidP="00A1531D">
      <w:pPr>
        <w:pStyle w:val="FootnoteText"/>
        <w:rPr>
          <w:szCs w:val="18"/>
        </w:rPr>
      </w:pPr>
      <w:r w:rsidRPr="00F70554">
        <w:rPr>
          <w:rStyle w:val="FootnoteReference"/>
          <w:szCs w:val="18"/>
        </w:rPr>
        <w:footnoteRef/>
      </w:r>
      <w:r w:rsidRPr="00F12734">
        <w:rPr>
          <w:szCs w:val="18"/>
        </w:rPr>
        <w:t xml:space="preserve"> </w:t>
      </w:r>
      <w:r w:rsidRPr="00F12734">
        <w:rPr>
          <w:rFonts w:cstheme="minorHAnsi"/>
          <w:color w:val="222222"/>
          <w:szCs w:val="18"/>
          <w:shd w:val="clear" w:color="auto" w:fill="FFFFFF"/>
        </w:rPr>
        <w:t xml:space="preserve">Wilkinson, M., Dumontier, M., </w:t>
      </w:r>
      <w:proofErr w:type="spellStart"/>
      <w:r w:rsidRPr="00F12734">
        <w:rPr>
          <w:rFonts w:cstheme="minorHAnsi"/>
          <w:color w:val="222222"/>
          <w:szCs w:val="18"/>
          <w:shd w:val="clear" w:color="auto" w:fill="FFFFFF"/>
        </w:rPr>
        <w:t>Aalbersberg</w:t>
      </w:r>
      <w:proofErr w:type="spellEnd"/>
      <w:r w:rsidRPr="00F12734">
        <w:rPr>
          <w:rFonts w:cstheme="minorHAnsi"/>
          <w:color w:val="222222"/>
          <w:szCs w:val="18"/>
          <w:shd w:val="clear" w:color="auto" w:fill="FFFFFF"/>
        </w:rPr>
        <w:t>, I. </w:t>
      </w:r>
      <w:r w:rsidRPr="00F12734">
        <w:rPr>
          <w:rFonts w:cstheme="minorHAnsi"/>
          <w:i/>
          <w:color w:val="222222"/>
          <w:szCs w:val="18"/>
          <w:shd w:val="clear" w:color="auto" w:fill="FFFFFF"/>
        </w:rPr>
        <w:t>et al.</w:t>
      </w:r>
      <w:r w:rsidRPr="00F12734">
        <w:rPr>
          <w:rFonts w:cstheme="minorHAnsi"/>
          <w:color w:val="222222"/>
          <w:szCs w:val="18"/>
          <w:shd w:val="clear" w:color="auto" w:fill="FFFFFF"/>
        </w:rPr>
        <w:t> </w:t>
      </w:r>
      <w:r w:rsidRPr="00F70554">
        <w:rPr>
          <w:rFonts w:cstheme="minorHAnsi"/>
          <w:color w:val="222222"/>
          <w:szCs w:val="18"/>
          <w:shd w:val="clear" w:color="auto" w:fill="FFFFFF"/>
        </w:rPr>
        <w:t>(2016</w:t>
      </w:r>
      <w:r w:rsidR="00F91F94" w:rsidRPr="00F70554">
        <w:rPr>
          <w:rFonts w:cstheme="minorHAnsi"/>
          <w:color w:val="222222"/>
          <w:szCs w:val="18"/>
          <w:shd w:val="clear" w:color="auto" w:fill="FFFFFF"/>
        </w:rPr>
        <w:t>). The</w:t>
      </w:r>
      <w:r w:rsidRPr="00F70554">
        <w:rPr>
          <w:rFonts w:cstheme="minorHAnsi"/>
          <w:color w:val="222222"/>
          <w:szCs w:val="18"/>
          <w:shd w:val="clear" w:color="auto" w:fill="FFFFFF"/>
        </w:rPr>
        <w:t xml:space="preserve"> FAIR Guiding Principles for scientific data management and stewardship. </w:t>
      </w:r>
      <w:r w:rsidRPr="00F70554">
        <w:rPr>
          <w:rFonts w:cstheme="minorHAnsi"/>
          <w:i/>
          <w:color w:val="222222"/>
          <w:szCs w:val="18"/>
          <w:shd w:val="clear" w:color="auto" w:fill="FFFFFF"/>
        </w:rPr>
        <w:t>Sci Data</w:t>
      </w:r>
      <w:r w:rsidRPr="00F70554">
        <w:rPr>
          <w:rFonts w:cstheme="minorHAnsi"/>
          <w:color w:val="222222"/>
          <w:szCs w:val="18"/>
          <w:shd w:val="clear" w:color="auto" w:fill="FFFFFF"/>
        </w:rPr>
        <w:t> </w:t>
      </w:r>
      <w:r w:rsidRPr="00F70554">
        <w:rPr>
          <w:rFonts w:cstheme="minorHAnsi"/>
          <w:b/>
          <w:color w:val="222222"/>
          <w:szCs w:val="18"/>
          <w:shd w:val="clear" w:color="auto" w:fill="FFFFFF"/>
        </w:rPr>
        <w:t>3</w:t>
      </w:r>
      <w:r w:rsidRPr="00F70554">
        <w:rPr>
          <w:rFonts w:cstheme="minorHAnsi"/>
          <w:color w:val="222222"/>
          <w:szCs w:val="18"/>
          <w:shd w:val="clear" w:color="auto" w:fill="FFFFFF"/>
        </w:rPr>
        <w:t>, 160018. https://doi.org/10.1038/sdata.2016.18</w:t>
      </w:r>
    </w:p>
  </w:footnote>
  <w:footnote w:id="58">
    <w:p w14:paraId="0D26C0BE" w14:textId="36920EA1"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Darwin Core data </w:t>
      </w:r>
      <w:proofErr w:type="gramStart"/>
      <w:r w:rsidRPr="00F70554">
        <w:rPr>
          <w:szCs w:val="18"/>
        </w:rPr>
        <w:t>standard  is</w:t>
      </w:r>
      <w:proofErr w:type="gramEnd"/>
      <w:r w:rsidRPr="00F70554">
        <w:rPr>
          <w:szCs w:val="18"/>
        </w:rPr>
        <w:t xml:space="preserve"> maintained by </w:t>
      </w:r>
      <w:hyperlink r:id="rId52" w:history="1">
        <w:r w:rsidRPr="00F70554">
          <w:rPr>
            <w:rStyle w:val="Hyperlink"/>
            <w:szCs w:val="18"/>
          </w:rPr>
          <w:t>Darwin Core maintenance group</w:t>
        </w:r>
      </w:hyperlink>
      <w:r w:rsidRPr="00F70554">
        <w:rPr>
          <w:szCs w:val="18"/>
        </w:rPr>
        <w:t xml:space="preserve">. It includes a glossary of terms intended to facilitate the sharing of information about biological diversity by providing identifiers, labels, and definitions. Darwin Core is primarily based on taxa, their occurrence in nature as documented by observations, specimens, samples, and related information - </w:t>
      </w:r>
      <w:hyperlink r:id="rId53" w:anchor="darwin-core-list-of-terms" w:history="1">
        <w:r w:rsidRPr="00F70554">
          <w:rPr>
            <w:rStyle w:val="Hyperlink"/>
            <w:szCs w:val="18"/>
          </w:rPr>
          <w:t>https://www.tdwg.org/standards/dwc/#darwin-core-list-of-terms</w:t>
        </w:r>
      </w:hyperlink>
      <w:r w:rsidRPr="00F70554">
        <w:rPr>
          <w:szCs w:val="18"/>
        </w:rPr>
        <w:t xml:space="preserve"> </w:t>
      </w:r>
    </w:p>
  </w:footnote>
  <w:footnote w:id="59">
    <w:p w14:paraId="22BCDEB7" w14:textId="77777777" w:rsidR="00A1531D" w:rsidRPr="00F70554" w:rsidRDefault="00A1531D" w:rsidP="00A1531D">
      <w:pPr>
        <w:pStyle w:val="FootnoteText"/>
        <w:rPr>
          <w:szCs w:val="18"/>
        </w:rPr>
      </w:pPr>
      <w:r w:rsidRPr="00F70554">
        <w:rPr>
          <w:rStyle w:val="FootnoteReference"/>
          <w:szCs w:val="18"/>
        </w:rPr>
        <w:footnoteRef/>
      </w:r>
      <w:r w:rsidRPr="001D795A">
        <w:rPr>
          <w:szCs w:val="18"/>
          <w:lang w:val="fr-FR"/>
        </w:rPr>
        <w:t xml:space="preserve"> Groom, Q.J., et al. </w:t>
      </w:r>
      <w:r w:rsidRPr="00F70554">
        <w:rPr>
          <w:szCs w:val="18"/>
        </w:rPr>
        <w:t>(2019). Improving Darwin Core for research and management of alien species</w:t>
      </w:r>
      <w:r w:rsidRPr="00F70554">
        <w:rPr>
          <w:i/>
          <w:szCs w:val="18"/>
        </w:rPr>
        <w:t>. Biodiversity Information Science and Standards</w:t>
      </w:r>
      <w:r w:rsidRPr="00F70554">
        <w:rPr>
          <w:szCs w:val="18"/>
        </w:rPr>
        <w:t xml:space="preserve"> 3: e38084. </w:t>
      </w:r>
      <w:hyperlink r:id="rId54" w:history="1">
        <w:r w:rsidRPr="00F70554">
          <w:rPr>
            <w:rStyle w:val="Hyperlink"/>
            <w:szCs w:val="18"/>
          </w:rPr>
          <w:t>https://doi.org/10.3897/biss.3.38084</w:t>
        </w:r>
      </w:hyperlink>
    </w:p>
  </w:footnote>
  <w:footnote w:id="60">
    <w:p w14:paraId="42B8D3F8" w14:textId="77777777" w:rsidR="00A1531D" w:rsidRPr="00F70554" w:rsidRDefault="00A1531D" w:rsidP="00A1531D">
      <w:pPr>
        <w:pStyle w:val="FootnoteText"/>
      </w:pPr>
      <w:r w:rsidRPr="00F70554">
        <w:rPr>
          <w:rStyle w:val="FootnoteReference"/>
          <w:szCs w:val="18"/>
        </w:rPr>
        <w:footnoteRef/>
      </w:r>
      <w:r w:rsidRPr="00F70554">
        <w:rPr>
          <w:szCs w:val="18"/>
        </w:rPr>
        <w:t xml:space="preserve"> RDA. (2019). International Indigenous Data Sovereignty IG. Research Data Alliance. https://www.rd-alliance.org/ groups/international-indigenous-</w:t>
      </w:r>
      <w:proofErr w:type="spellStart"/>
      <w:r w:rsidRPr="00F70554">
        <w:rPr>
          <w:szCs w:val="18"/>
        </w:rPr>
        <w:t>datasovereignty</w:t>
      </w:r>
      <w:proofErr w:type="spellEnd"/>
      <w:r w:rsidRPr="00F70554">
        <w:rPr>
          <w:szCs w:val="18"/>
        </w:rPr>
        <w:t>-</w:t>
      </w:r>
      <w:proofErr w:type="spellStart"/>
      <w:r w:rsidRPr="00F70554">
        <w:rPr>
          <w:szCs w:val="18"/>
        </w:rPr>
        <w:t>ig</w:t>
      </w:r>
      <w:proofErr w:type="spellEnd"/>
    </w:p>
  </w:footnote>
  <w:footnote w:id="61">
    <w:p w14:paraId="47A8A17E" w14:textId="77777777" w:rsidR="00A1531D" w:rsidRPr="00F70554" w:rsidRDefault="00A1531D" w:rsidP="00A1531D">
      <w:pPr>
        <w:pStyle w:val="NoSpacing"/>
        <w:rPr>
          <w:rStyle w:val="Hyperlink"/>
          <w:sz w:val="18"/>
          <w:szCs w:val="18"/>
        </w:rPr>
      </w:pPr>
      <w:r w:rsidRPr="00F70554">
        <w:rPr>
          <w:rStyle w:val="FootnoteReference"/>
          <w:kern w:val="2"/>
          <w:sz w:val="18"/>
          <w:szCs w:val="18"/>
          <w14:ligatures w14:val="standardContextual"/>
        </w:rPr>
        <w:footnoteRef/>
      </w:r>
      <w:r w:rsidRPr="00F70554">
        <w:rPr>
          <w:rStyle w:val="FootnoteReference"/>
          <w:rFonts w:asciiTheme="majorHAnsi" w:eastAsiaTheme="majorEastAsia" w:hAnsiTheme="majorHAnsi" w:cstheme="majorBidi"/>
          <w:color w:val="0F4761" w:themeColor="accent1" w:themeShade="BF"/>
          <w:sz w:val="18"/>
          <w:szCs w:val="18"/>
        </w:rPr>
        <w:t xml:space="preserve"> </w:t>
      </w:r>
      <w:r w:rsidRPr="00F70554">
        <w:rPr>
          <w:kern w:val="2"/>
          <w:sz w:val="18"/>
          <w:szCs w:val="18"/>
          <w14:ligatures w14:val="standardContextual"/>
        </w:rPr>
        <w:t xml:space="preserve">For example, Conservation Evidence </w:t>
      </w:r>
      <w:hyperlink r:id="rId55" w:history="1">
        <w:r w:rsidRPr="00F70554">
          <w:rPr>
            <w:rStyle w:val="Hyperlink"/>
            <w:sz w:val="16"/>
            <w:szCs w:val="16"/>
          </w:rPr>
          <w:t>https://www.conservationevidence.com/</w:t>
        </w:r>
      </w:hyperlink>
      <w:r w:rsidRPr="00F70554">
        <w:rPr>
          <w:rStyle w:val="Hyperlink"/>
          <w:sz w:val="16"/>
          <w:szCs w:val="16"/>
        </w:rPr>
        <w:t xml:space="preserve"> </w:t>
      </w:r>
    </w:p>
  </w:footnote>
  <w:footnote w:id="62">
    <w:p w14:paraId="2B4834CB" w14:textId="77777777" w:rsidR="00A1531D" w:rsidRPr="00F12734" w:rsidRDefault="00A1531D" w:rsidP="00A1531D">
      <w:pPr>
        <w:pStyle w:val="FootnoteText"/>
        <w:rPr>
          <w:szCs w:val="18"/>
          <w:lang w:val="fr-FR"/>
        </w:rPr>
      </w:pPr>
      <w:r w:rsidRPr="00F70554">
        <w:rPr>
          <w:rStyle w:val="FootnoteReference"/>
          <w:szCs w:val="18"/>
        </w:rPr>
        <w:footnoteRef/>
      </w:r>
      <w:r w:rsidRPr="00F12734">
        <w:rPr>
          <w:szCs w:val="18"/>
          <w:lang w:val="fr-FR"/>
        </w:rPr>
        <w:t xml:space="preserve"> ISO Codes </w:t>
      </w:r>
      <w:hyperlink r:id="rId56" w:history="1">
        <w:r w:rsidRPr="00F12734">
          <w:rPr>
            <w:rStyle w:val="Hyperlink"/>
            <w:szCs w:val="18"/>
            <w:lang w:val="fr-FR"/>
          </w:rPr>
          <w:t>https://www.iso.org/iso-3166-country-codes.html</w:t>
        </w:r>
      </w:hyperlink>
      <w:r w:rsidRPr="00F12734">
        <w:rPr>
          <w:szCs w:val="18"/>
          <w:lang w:val="fr-FR"/>
        </w:rPr>
        <w:t xml:space="preserve"> </w:t>
      </w:r>
    </w:p>
  </w:footnote>
  <w:footnote w:id="63">
    <w:p w14:paraId="0C1E174E" w14:textId="77777777" w:rsidR="00A1531D" w:rsidRPr="00F70554" w:rsidRDefault="00A1531D" w:rsidP="00A1531D">
      <w:pPr>
        <w:pStyle w:val="FootnoteText"/>
      </w:pPr>
      <w:r w:rsidRPr="00F70554">
        <w:rPr>
          <w:rStyle w:val="FootnoteReference"/>
          <w:szCs w:val="18"/>
        </w:rPr>
        <w:footnoteRef/>
      </w:r>
      <w:r w:rsidRPr="00F70554">
        <w:rPr>
          <w:szCs w:val="18"/>
        </w:rPr>
        <w:t xml:space="preserve"> Catalogue of Life </w:t>
      </w:r>
      <w:hyperlink r:id="rId57" w:history="1">
        <w:r w:rsidRPr="00F70554">
          <w:rPr>
            <w:rStyle w:val="Hyperlink"/>
            <w:szCs w:val="18"/>
          </w:rPr>
          <w:t>https://www.catalogueoflife.org</w:t>
        </w:r>
      </w:hyperlink>
      <w:r w:rsidRPr="00F70554">
        <w:rPr>
          <w:szCs w:val="18"/>
        </w:rPr>
        <w:t xml:space="preserve"> </w:t>
      </w:r>
    </w:p>
  </w:footnote>
  <w:footnote w:id="64">
    <w:p w14:paraId="7970D0B7" w14:textId="77777777" w:rsidR="00A1531D" w:rsidRPr="00F70554" w:rsidRDefault="00A1531D" w:rsidP="00A1531D">
      <w:pPr>
        <w:pStyle w:val="FootnoteText"/>
      </w:pPr>
      <w:r w:rsidRPr="00F70554">
        <w:rPr>
          <w:rStyle w:val="FootnoteReference"/>
          <w:szCs w:val="18"/>
        </w:rPr>
        <w:footnoteRef/>
      </w:r>
      <w:r w:rsidRPr="00F70554">
        <w:rPr>
          <w:szCs w:val="18"/>
        </w:rPr>
        <w:t xml:space="preserve"> </w:t>
      </w:r>
      <w:proofErr w:type="spellStart"/>
      <w:r w:rsidRPr="00F70554">
        <w:rPr>
          <w:szCs w:val="18"/>
        </w:rPr>
        <w:t>Darwain</w:t>
      </w:r>
      <w:proofErr w:type="spellEnd"/>
      <w:r w:rsidRPr="00F70554">
        <w:rPr>
          <w:szCs w:val="18"/>
        </w:rPr>
        <w:t xml:space="preserve"> Core Humbolt extension </w:t>
      </w:r>
      <w:hyperlink r:id="rId58" w:history="1">
        <w:r w:rsidRPr="00F70554">
          <w:rPr>
            <w:rStyle w:val="Hyperlink"/>
            <w:szCs w:val="18"/>
          </w:rPr>
          <w:t>https://www.tdwg.org/community/osr/humboldt-extension/</w:t>
        </w:r>
      </w:hyperlink>
      <w:r w:rsidRPr="00F70554">
        <w:rPr>
          <w:szCs w:val="18"/>
        </w:rPr>
        <w:t xml:space="preserve"> </w:t>
      </w:r>
    </w:p>
  </w:footnote>
  <w:footnote w:id="65">
    <w:p w14:paraId="78040453" w14:textId="77777777" w:rsidR="00A1531D" w:rsidRPr="00F70554" w:rsidRDefault="00A1531D" w:rsidP="00A1531D">
      <w:pPr>
        <w:pStyle w:val="FootnoteText"/>
      </w:pPr>
      <w:r w:rsidRPr="00F70554">
        <w:rPr>
          <w:rStyle w:val="FootnoteReference"/>
          <w:szCs w:val="18"/>
        </w:rPr>
        <w:footnoteRef/>
      </w:r>
      <w:r w:rsidRPr="00F70554">
        <w:rPr>
          <w:szCs w:val="18"/>
        </w:rPr>
        <w:t xml:space="preserve"> IUCN Red List Habitat Classification Scheme </w:t>
      </w:r>
      <w:hyperlink r:id="rId59" w:history="1">
        <w:r w:rsidRPr="00F70554">
          <w:rPr>
            <w:rStyle w:val="Hyperlink"/>
            <w:szCs w:val="18"/>
          </w:rPr>
          <w:t>https://www.iucnredlist.org/resources/habitat-classification-scheme</w:t>
        </w:r>
      </w:hyperlink>
      <w:r w:rsidRPr="00F70554">
        <w:rPr>
          <w:szCs w:val="18"/>
        </w:rPr>
        <w:t xml:space="preserve"> </w:t>
      </w:r>
    </w:p>
  </w:footnote>
  <w:footnote w:id="66">
    <w:p w14:paraId="4D26CA21" w14:textId="77777777" w:rsidR="00A1531D" w:rsidRPr="00F70554" w:rsidRDefault="00A1531D" w:rsidP="00A1531D">
      <w:pPr>
        <w:pStyle w:val="FootnoteText"/>
        <w:rPr>
          <w:szCs w:val="18"/>
        </w:rPr>
      </w:pPr>
      <w:r w:rsidRPr="00F70554">
        <w:rPr>
          <w:rStyle w:val="FootnoteReference"/>
        </w:rPr>
        <w:footnoteRef/>
      </w:r>
      <w:r w:rsidRPr="00F70554">
        <w:t xml:space="preserve"> </w:t>
      </w:r>
      <w:r w:rsidRPr="00F70554">
        <w:rPr>
          <w:szCs w:val="18"/>
        </w:rPr>
        <w:t xml:space="preserve">IUCN Global Ecosystem Typology </w:t>
      </w:r>
      <w:hyperlink r:id="rId60" w:history="1">
        <w:r w:rsidRPr="00F70554">
          <w:rPr>
            <w:rStyle w:val="Hyperlink"/>
            <w:szCs w:val="18"/>
          </w:rPr>
          <w:t>https://global-ecosystems.org/</w:t>
        </w:r>
      </w:hyperlink>
      <w:r w:rsidRPr="00F70554">
        <w:rPr>
          <w:szCs w:val="18"/>
        </w:rPr>
        <w:t xml:space="preserve"> </w:t>
      </w:r>
    </w:p>
  </w:footnote>
  <w:footnote w:id="67">
    <w:p w14:paraId="64253611"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World Geographic Scheme for Recording Plant Distributions </w:t>
      </w:r>
      <w:hyperlink r:id="rId61" w:history="1">
        <w:r w:rsidRPr="00F70554">
          <w:rPr>
            <w:rStyle w:val="Hyperlink"/>
            <w:szCs w:val="18"/>
          </w:rPr>
          <w:t>https://www.tdwg.org/standards/wgsrpd/</w:t>
        </w:r>
      </w:hyperlink>
      <w:r w:rsidRPr="00F70554">
        <w:rPr>
          <w:szCs w:val="18"/>
        </w:rPr>
        <w:t xml:space="preserve"> </w:t>
      </w:r>
    </w:p>
  </w:footnote>
  <w:footnote w:id="68">
    <w:p w14:paraId="02982177" w14:textId="77777777" w:rsidR="00A1531D" w:rsidRPr="00F70554" w:rsidRDefault="00A1531D" w:rsidP="00A1531D">
      <w:pPr>
        <w:pStyle w:val="FootnoteText"/>
      </w:pPr>
      <w:r w:rsidRPr="00F70554">
        <w:rPr>
          <w:rStyle w:val="FootnoteReference"/>
          <w:szCs w:val="18"/>
        </w:rPr>
        <w:footnoteRef/>
      </w:r>
      <w:r w:rsidRPr="00F70554">
        <w:rPr>
          <w:szCs w:val="18"/>
        </w:rPr>
        <w:t xml:space="preserve"> Standard country or area code for statistical use </w:t>
      </w:r>
      <w:hyperlink r:id="rId62" w:history="1">
        <w:r w:rsidRPr="00F70554">
          <w:rPr>
            <w:rStyle w:val="Hyperlink"/>
            <w:szCs w:val="18"/>
          </w:rPr>
          <w:t>https://unstats.un.org/unsd/methodology/m49/</w:t>
        </w:r>
      </w:hyperlink>
      <w:r w:rsidRPr="00F70554">
        <w:rPr>
          <w:szCs w:val="18"/>
        </w:rPr>
        <w:t xml:space="preserve"> </w:t>
      </w:r>
    </w:p>
  </w:footnote>
  <w:footnote w:id="69">
    <w:p w14:paraId="21488C4D"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w:t>
      </w:r>
      <w:r w:rsidRPr="00F70554">
        <w:rPr>
          <w:rFonts w:eastAsia="Times New Roman" w:cstheme="minorHAnsi"/>
          <w:szCs w:val="18"/>
        </w:rPr>
        <w:t>UNEP/CBD/SBSTTA/18/9/Add.1</w:t>
      </w:r>
      <w:r w:rsidRPr="00F70554">
        <w:rPr>
          <w:rFonts w:cstheme="minorHAnsi"/>
          <w:szCs w:val="18"/>
        </w:rPr>
        <w:t xml:space="preserve"> </w:t>
      </w:r>
      <w:r w:rsidRPr="00F70554">
        <w:rPr>
          <w:rFonts w:eastAsia="Times New Roman" w:cstheme="minorHAnsi"/>
          <w:szCs w:val="18"/>
        </w:rPr>
        <w:t xml:space="preserve">Pathways of introduction of invasive species, their prioritization and management </w:t>
      </w:r>
      <w:hyperlink r:id="rId63" w:history="1">
        <w:r w:rsidRPr="00F70554">
          <w:rPr>
            <w:rStyle w:val="Hyperlink"/>
            <w:rFonts w:cstheme="minorHAnsi"/>
            <w:szCs w:val="18"/>
          </w:rPr>
          <w:t>https://www.cbd.int/doc/meetings/sbstta/sbstta-18/official/sbstta-18-09-add1-en.pdf</w:t>
        </w:r>
      </w:hyperlink>
    </w:p>
  </w:footnote>
  <w:footnote w:id="70">
    <w:p w14:paraId="07FB0FC7" w14:textId="313F11B7" w:rsidR="00062948" w:rsidRPr="00F70554" w:rsidRDefault="00062948">
      <w:pPr>
        <w:pStyle w:val="FootnoteText"/>
      </w:pPr>
      <w:r w:rsidRPr="00F70554">
        <w:rPr>
          <w:rStyle w:val="FootnoteReference"/>
        </w:rPr>
        <w:footnoteRef/>
      </w:r>
      <w:r w:rsidRPr="00F70554">
        <w:t xml:space="preserve"> </w:t>
      </w:r>
      <w:hyperlink r:id="rId64" w:history="1">
        <w:r w:rsidR="00477FE7" w:rsidRPr="00F70554">
          <w:rPr>
            <w:rStyle w:val="Hyperlink"/>
          </w:rPr>
          <w:t>https://ourworldindata.org/grapher/global-first-records-of-established-alien-species</w:t>
        </w:r>
      </w:hyperlink>
      <w:r w:rsidR="00477FE7" w:rsidRPr="00F70554">
        <w:t xml:space="preserve"> </w:t>
      </w:r>
    </w:p>
  </w:footnote>
  <w:footnote w:id="71">
    <w:p w14:paraId="29DAD2DC" w14:textId="4B95AEA0" w:rsidR="00062948" w:rsidRPr="00F70554" w:rsidRDefault="00062948">
      <w:pPr>
        <w:pStyle w:val="FootnoteText"/>
      </w:pPr>
      <w:r w:rsidRPr="00F70554">
        <w:rPr>
          <w:rStyle w:val="FootnoteReference"/>
        </w:rPr>
        <w:footnoteRef/>
      </w:r>
      <w:r w:rsidRPr="00F70554">
        <w:t xml:space="preserve"> </w:t>
      </w:r>
      <w:hyperlink r:id="rId65" w:history="1">
        <w:r w:rsidR="00D05952" w:rsidRPr="00F70554">
          <w:rPr>
            <w:rStyle w:val="Hyperlink"/>
            <w:sz w:val="16"/>
            <w:szCs w:val="18"/>
          </w:rPr>
          <w:t>https://springernature.figshare.com/articles/dataset/Global_Impacts_Dataset_of_Invasive_Alien_Species_GIDIAS_/27908838</w:t>
        </w:r>
      </w:hyperlink>
      <w:r w:rsidR="00D05952" w:rsidRPr="00F70554">
        <w:rPr>
          <w:sz w:val="16"/>
          <w:szCs w:val="18"/>
        </w:rPr>
        <w:t xml:space="preserve"> </w:t>
      </w:r>
    </w:p>
  </w:footnote>
  <w:footnote w:id="72">
    <w:p w14:paraId="7AEA4A46" w14:textId="77777777" w:rsidR="00A1531D" w:rsidRPr="00F12734" w:rsidRDefault="00A1531D" w:rsidP="00A1531D">
      <w:pPr>
        <w:pStyle w:val="FootnoteText"/>
      </w:pPr>
      <w:r w:rsidRPr="00F70554">
        <w:rPr>
          <w:rStyle w:val="FootnoteReference"/>
          <w:szCs w:val="18"/>
        </w:rPr>
        <w:footnoteRef/>
      </w:r>
      <w:r w:rsidRPr="00F12734">
        <w:rPr>
          <w:szCs w:val="18"/>
        </w:rPr>
        <w:t xml:space="preserve"> Online forum on invasive alien species 2025 </w:t>
      </w:r>
      <w:hyperlink r:id="rId66" w:history="1">
        <w:r w:rsidRPr="00F12734">
          <w:rPr>
            <w:rStyle w:val="Hyperlink"/>
            <w:szCs w:val="18"/>
          </w:rPr>
          <w:t>https://www.cbd.int/invasive/current/forum2025</w:t>
        </w:r>
      </w:hyperlink>
      <w:r w:rsidRPr="00F12734">
        <w:rPr>
          <w:szCs w:val="18"/>
        </w:rPr>
        <w:t xml:space="preserve"> </w:t>
      </w:r>
    </w:p>
  </w:footnote>
  <w:footnote w:id="73">
    <w:p w14:paraId="09304F60" w14:textId="77777777" w:rsidR="00A1531D" w:rsidRPr="00F12734" w:rsidRDefault="00A1531D" w:rsidP="00A1531D">
      <w:pPr>
        <w:pStyle w:val="FootnoteText"/>
        <w:rPr>
          <w:szCs w:val="18"/>
        </w:rPr>
      </w:pPr>
      <w:r w:rsidRPr="00F70554">
        <w:rPr>
          <w:rStyle w:val="FootnoteReference"/>
          <w:szCs w:val="18"/>
        </w:rPr>
        <w:footnoteRef/>
      </w:r>
      <w:r w:rsidRPr="00F12734">
        <w:rPr>
          <w:szCs w:val="18"/>
        </w:rPr>
        <w:t xml:space="preserve"> GEOBON EBV Data Portal </w:t>
      </w:r>
      <w:hyperlink r:id="rId67" w:history="1">
        <w:r w:rsidRPr="00F12734">
          <w:rPr>
            <w:rStyle w:val="Hyperlink"/>
            <w:szCs w:val="18"/>
          </w:rPr>
          <w:t>https://portal.geobon.org/datasets</w:t>
        </w:r>
      </w:hyperlink>
      <w:r w:rsidRPr="00F12734">
        <w:rPr>
          <w:szCs w:val="18"/>
        </w:rPr>
        <w:t xml:space="preserve"> </w:t>
      </w:r>
    </w:p>
  </w:footnote>
  <w:footnote w:id="74">
    <w:p w14:paraId="1D61D7BD" w14:textId="77777777" w:rsidR="00A1531D" w:rsidRPr="00F12734" w:rsidRDefault="00A1531D" w:rsidP="00A1531D">
      <w:pPr>
        <w:pStyle w:val="FootnoteText"/>
        <w:rPr>
          <w:szCs w:val="18"/>
        </w:rPr>
      </w:pPr>
      <w:r w:rsidRPr="00F70554">
        <w:rPr>
          <w:rStyle w:val="FootnoteReference"/>
          <w:szCs w:val="18"/>
        </w:rPr>
        <w:footnoteRef/>
      </w:r>
      <w:r w:rsidRPr="00F12734">
        <w:rPr>
          <w:szCs w:val="18"/>
        </w:rPr>
        <w:t xml:space="preserve"> BON in a BOX </w:t>
      </w:r>
      <w:hyperlink r:id="rId68" w:history="1">
        <w:r w:rsidRPr="00F12734">
          <w:rPr>
            <w:rStyle w:val="Hyperlink"/>
            <w:szCs w:val="18"/>
          </w:rPr>
          <w:t>https://boninabox.geobon.org/about</w:t>
        </w:r>
      </w:hyperlink>
      <w:r w:rsidRPr="00F12734">
        <w:rPr>
          <w:szCs w:val="18"/>
        </w:rPr>
        <w:t xml:space="preserve"> </w:t>
      </w:r>
    </w:p>
  </w:footnote>
  <w:footnote w:id="75">
    <w:p w14:paraId="4D9E3A89"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GBIF API Reference </w:t>
      </w:r>
      <w:hyperlink r:id="rId69" w:history="1">
        <w:r w:rsidRPr="00F70554">
          <w:rPr>
            <w:rStyle w:val="Hyperlink"/>
            <w:rFonts w:ascii="Segoe UI" w:eastAsia="Segoe UI" w:hAnsi="Segoe UI" w:cs="Segoe UI"/>
            <w:szCs w:val="18"/>
          </w:rPr>
          <w:t>https://techdocs.gbif.org/en/openapi/</w:t>
        </w:r>
      </w:hyperlink>
    </w:p>
  </w:footnote>
  <w:footnote w:id="76">
    <w:p w14:paraId="4A38818B"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GBIF Data Processing </w:t>
      </w:r>
      <w:hyperlink r:id="rId70" w:history="1">
        <w:r w:rsidRPr="00F70554">
          <w:rPr>
            <w:rStyle w:val="Hyperlink"/>
            <w:rFonts w:ascii="Segoe UI" w:eastAsia="Segoe UI" w:hAnsi="Segoe UI" w:cs="Segoe UI"/>
            <w:szCs w:val="18"/>
          </w:rPr>
          <w:t>https://techdocs.gbif.org/en/data-processing/</w:t>
        </w:r>
      </w:hyperlink>
    </w:p>
  </w:footnote>
  <w:footnote w:id="77">
    <w:p w14:paraId="74CEA149" w14:textId="1C48174C"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Groom et al. 2019. Improving Darwin Core for research and management of alien species. Biodiversity </w:t>
      </w:r>
      <w:r w:rsidR="003B7FDD" w:rsidRPr="00F70554">
        <w:rPr>
          <w:szCs w:val="18"/>
        </w:rPr>
        <w:t>Information</w:t>
      </w:r>
      <w:r w:rsidRPr="00F70554">
        <w:rPr>
          <w:szCs w:val="18"/>
        </w:rPr>
        <w:t xml:space="preserve"> Science and Standards 3.e38084 </w:t>
      </w:r>
      <w:hyperlink r:id="rId71" w:history="1">
        <w:r w:rsidRPr="00F70554">
          <w:rPr>
            <w:rStyle w:val="Hyperlink"/>
            <w:szCs w:val="18"/>
          </w:rPr>
          <w:t>https://doi.org/10.3897/biss.3.38084</w:t>
        </w:r>
      </w:hyperlink>
      <w:r w:rsidRPr="00F70554">
        <w:rPr>
          <w:szCs w:val="18"/>
        </w:rPr>
        <w:t xml:space="preserve"> </w:t>
      </w:r>
    </w:p>
  </w:footnote>
  <w:footnote w:id="78">
    <w:p w14:paraId="360E6E06" w14:textId="77777777" w:rsidR="00A1531D" w:rsidRPr="00F70554" w:rsidRDefault="00A1531D" w:rsidP="00A1531D">
      <w:pPr>
        <w:pStyle w:val="FootnoteText"/>
      </w:pPr>
      <w:r w:rsidRPr="00F70554">
        <w:rPr>
          <w:rStyle w:val="FootnoteReference"/>
          <w:szCs w:val="18"/>
        </w:rPr>
        <w:footnoteRef/>
      </w:r>
      <w:r w:rsidRPr="00F70554">
        <w:rPr>
          <w:szCs w:val="18"/>
        </w:rPr>
        <w:t xml:space="preserve"> https://www.biocase.org/</w:t>
      </w:r>
    </w:p>
  </w:footnote>
  <w:footnote w:id="79">
    <w:p w14:paraId="629FA36F"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Invasive Species Discovery Tool </w:t>
      </w:r>
      <w:hyperlink r:id="rId72" w:anchor="/" w:history="1">
        <w:r w:rsidRPr="00F70554">
          <w:rPr>
            <w:rStyle w:val="Hyperlink"/>
            <w:szCs w:val="18"/>
          </w:rPr>
          <w:t>https://www.cabidigitallibrary.org/journal/cabicompendium/isdt#/</w:t>
        </w:r>
      </w:hyperlink>
      <w:r w:rsidRPr="00F70554">
        <w:rPr>
          <w:szCs w:val="18"/>
        </w:rPr>
        <w:t xml:space="preserve"> </w:t>
      </w:r>
    </w:p>
  </w:footnote>
  <w:footnote w:id="80">
    <w:p w14:paraId="214DCF90" w14:textId="77777777" w:rsidR="00A1531D" w:rsidRPr="00F70554" w:rsidRDefault="00A1531D" w:rsidP="00A1531D">
      <w:pPr>
        <w:pStyle w:val="FootnoteText"/>
      </w:pPr>
      <w:r w:rsidRPr="00F70554">
        <w:rPr>
          <w:rStyle w:val="FootnoteReference"/>
          <w:szCs w:val="18"/>
        </w:rPr>
        <w:footnoteRef/>
      </w:r>
      <w:r w:rsidRPr="00F70554">
        <w:rPr>
          <w:szCs w:val="18"/>
        </w:rPr>
        <w:t xml:space="preserve"> research4life </w:t>
      </w:r>
      <w:hyperlink r:id="rId73" w:history="1">
        <w:r w:rsidRPr="00F70554">
          <w:rPr>
            <w:rStyle w:val="Hyperlink"/>
            <w:szCs w:val="18"/>
          </w:rPr>
          <w:t>https://www.research4life.org/</w:t>
        </w:r>
      </w:hyperlink>
      <w:r w:rsidRPr="00F70554">
        <w:rPr>
          <w:szCs w:val="18"/>
        </w:rPr>
        <w:t xml:space="preserve"> </w:t>
      </w:r>
    </w:p>
  </w:footnote>
  <w:footnote w:id="81">
    <w:p w14:paraId="412092EA" w14:textId="77777777" w:rsidR="00A1531D" w:rsidRPr="00F70554" w:rsidRDefault="00A1531D" w:rsidP="00A1531D">
      <w:pPr>
        <w:pStyle w:val="FootnoteText"/>
        <w:rPr>
          <w:szCs w:val="18"/>
        </w:rPr>
      </w:pPr>
      <w:r w:rsidRPr="00F70554">
        <w:rPr>
          <w:rStyle w:val="FootnoteReference"/>
        </w:rPr>
        <w:footnoteRef/>
      </w:r>
      <w:r w:rsidRPr="00F12734">
        <w:t xml:space="preserve"> </w:t>
      </w:r>
      <w:proofErr w:type="spellStart"/>
      <w:r w:rsidRPr="00F12734">
        <w:rPr>
          <w:szCs w:val="18"/>
        </w:rPr>
        <w:t>Seebens</w:t>
      </w:r>
      <w:proofErr w:type="spellEnd"/>
      <w:r w:rsidRPr="00F12734">
        <w:rPr>
          <w:szCs w:val="18"/>
        </w:rPr>
        <w:t xml:space="preserve">, H., et al. </w:t>
      </w:r>
      <w:r w:rsidRPr="00F70554">
        <w:rPr>
          <w:szCs w:val="18"/>
        </w:rPr>
        <w:t xml:space="preserve">(2023). Chapter 2: Trends and status of alien and invasive alien species. In: Thematic Assessment Report on Invasive Alien Species and their Control of the Intergovernmental Science-Policy Platform on Biodiversity and Ecosystem Services. Roy, H. E., </w:t>
      </w:r>
      <w:proofErr w:type="spellStart"/>
      <w:r w:rsidRPr="00F70554">
        <w:rPr>
          <w:szCs w:val="18"/>
        </w:rPr>
        <w:t>Pauchard</w:t>
      </w:r>
      <w:proofErr w:type="spellEnd"/>
      <w:r w:rsidRPr="00F70554">
        <w:rPr>
          <w:szCs w:val="18"/>
        </w:rPr>
        <w:t xml:space="preserve">, A., Stoett, P., and Renard Truong, T. (eds.). IPBES secretariat, Bonn, Germany. DOI: </w:t>
      </w:r>
      <w:hyperlink r:id="rId74" w:history="1">
        <w:r w:rsidRPr="00F70554">
          <w:rPr>
            <w:rStyle w:val="Hyperlink"/>
            <w:szCs w:val="18"/>
          </w:rPr>
          <w:t>https://doi.org/10.5281/zenodo.7430725</w:t>
        </w:r>
      </w:hyperlink>
    </w:p>
  </w:footnote>
  <w:footnote w:id="82">
    <w:p w14:paraId="19B0FF6A"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For example, through Creative Commons </w:t>
      </w:r>
      <w:hyperlink r:id="rId75" w:history="1">
        <w:r w:rsidRPr="00F70554">
          <w:rPr>
            <w:rStyle w:val="Hyperlink"/>
            <w:szCs w:val="18"/>
          </w:rPr>
          <w:t>https://creativecommons.org/share-your-work/cclicenses/</w:t>
        </w:r>
      </w:hyperlink>
      <w:r w:rsidRPr="00F70554">
        <w:rPr>
          <w:szCs w:val="18"/>
        </w:rPr>
        <w:t xml:space="preserve"> </w:t>
      </w:r>
    </w:p>
  </w:footnote>
  <w:footnote w:id="83">
    <w:p w14:paraId="36434845" w14:textId="77777777" w:rsidR="00A1531D" w:rsidRPr="00F70554" w:rsidRDefault="00A1531D" w:rsidP="00A1531D">
      <w:pPr>
        <w:pStyle w:val="FootnoteText"/>
        <w:rPr>
          <w:szCs w:val="18"/>
        </w:rPr>
      </w:pPr>
      <w:r w:rsidRPr="00F70554">
        <w:rPr>
          <w:rStyle w:val="FootnoteReference"/>
        </w:rPr>
        <w:footnoteRef/>
      </w:r>
      <w:r w:rsidRPr="00F12734">
        <w:rPr>
          <w:lang w:val="fr-FR"/>
        </w:rPr>
        <w:t xml:space="preserve"> </w:t>
      </w:r>
      <w:proofErr w:type="spellStart"/>
      <w:r w:rsidRPr="00F12734">
        <w:rPr>
          <w:szCs w:val="18"/>
          <w:lang w:val="fr-FR"/>
        </w:rPr>
        <w:t>Sankaran</w:t>
      </w:r>
      <w:proofErr w:type="spellEnd"/>
      <w:r w:rsidRPr="00F12734">
        <w:rPr>
          <w:szCs w:val="18"/>
          <w:lang w:val="fr-FR"/>
        </w:rPr>
        <w:t xml:space="preserve">, K.V. et al. </w:t>
      </w:r>
      <w:r w:rsidRPr="00F70554">
        <w:rPr>
          <w:szCs w:val="18"/>
        </w:rPr>
        <w:t xml:space="preserve">(2023). Chapter 5: Management; challenges, opportunities and lessons learned. In: Thematic Assessment Report on Invasive Alien Species and their Control of the Intergovernmental Science-Policy Platform on Biodiversity and Ecosystem Services. Roy, H. E., </w:t>
      </w:r>
      <w:proofErr w:type="spellStart"/>
      <w:r w:rsidRPr="00F70554">
        <w:rPr>
          <w:szCs w:val="18"/>
        </w:rPr>
        <w:t>Pauchard</w:t>
      </w:r>
      <w:proofErr w:type="spellEnd"/>
      <w:r w:rsidRPr="00F70554">
        <w:rPr>
          <w:szCs w:val="18"/>
        </w:rPr>
        <w:t xml:space="preserve">, A., Stoett, P., and Renard Truong, T. (eds.). IPBES secretariat, Bonn, Germany. DOI: </w:t>
      </w:r>
      <w:hyperlink r:id="rId76" w:history="1">
        <w:r w:rsidRPr="00F70554">
          <w:rPr>
            <w:rStyle w:val="Hyperlink"/>
            <w:szCs w:val="18"/>
          </w:rPr>
          <w:t>https://doi.org/10.5281/zenodo.7430733</w:t>
        </w:r>
      </w:hyperlink>
    </w:p>
  </w:footnote>
  <w:footnote w:id="84">
    <w:p w14:paraId="4E3852D6"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For example, research grade data on introduced species is available through platforms such as </w:t>
      </w:r>
      <w:proofErr w:type="spellStart"/>
      <w:r w:rsidRPr="00F70554">
        <w:rPr>
          <w:szCs w:val="18"/>
        </w:rPr>
        <w:t>iNaturalist</w:t>
      </w:r>
      <w:proofErr w:type="spellEnd"/>
      <w:r w:rsidRPr="00F70554">
        <w:rPr>
          <w:szCs w:val="18"/>
        </w:rPr>
        <w:t xml:space="preserve"> </w:t>
      </w:r>
      <w:hyperlink r:id="rId77" w:history="1">
        <w:r w:rsidRPr="00F70554">
          <w:rPr>
            <w:rStyle w:val="Hyperlink"/>
            <w:szCs w:val="18"/>
          </w:rPr>
          <w:t>https://www.inaturalist.org/</w:t>
        </w:r>
      </w:hyperlink>
      <w:r w:rsidRPr="00F70554">
        <w:rPr>
          <w:szCs w:val="18"/>
        </w:rPr>
        <w:t xml:space="preserve"> </w:t>
      </w:r>
    </w:p>
  </w:footnote>
  <w:footnote w:id="85">
    <w:p w14:paraId="61CEB86D" w14:textId="77777777" w:rsidR="00A1531D" w:rsidRPr="00F70554" w:rsidRDefault="00A1531D" w:rsidP="00A1531D">
      <w:pPr>
        <w:pStyle w:val="FootnoteText"/>
      </w:pPr>
      <w:r w:rsidRPr="00F70554">
        <w:rPr>
          <w:rStyle w:val="FootnoteReference"/>
        </w:rPr>
        <w:footnoteRef/>
      </w:r>
      <w:r w:rsidRPr="00F70554">
        <w:t xml:space="preserve"> </w:t>
      </w:r>
      <w:r w:rsidRPr="00F70554">
        <w:rPr>
          <w:szCs w:val="18"/>
        </w:rPr>
        <w:t xml:space="preserve">Bacher, S., et al. (2025). Global Impacts Dataset of Invasive Alien Species (GIDIAS). </w:t>
      </w:r>
      <w:r w:rsidRPr="00F70554">
        <w:rPr>
          <w:i/>
          <w:szCs w:val="18"/>
        </w:rPr>
        <w:t>Scientific Data</w:t>
      </w:r>
      <w:r w:rsidRPr="00F70554">
        <w:rPr>
          <w:szCs w:val="18"/>
        </w:rPr>
        <w:t xml:space="preserve">, </w:t>
      </w:r>
      <w:r w:rsidRPr="00F70554">
        <w:rPr>
          <w:i/>
          <w:szCs w:val="18"/>
        </w:rPr>
        <w:t>12</w:t>
      </w:r>
      <w:r w:rsidRPr="00F70554">
        <w:rPr>
          <w:szCs w:val="18"/>
        </w:rPr>
        <w:t xml:space="preserve">(1), 1-10. </w:t>
      </w:r>
      <w:hyperlink r:id="rId78" w:history="1">
        <w:r w:rsidRPr="00F70554">
          <w:rPr>
            <w:rStyle w:val="Hyperlink"/>
            <w:szCs w:val="18"/>
          </w:rPr>
          <w:t>https://doi.org/10.1038/s41597-025-05184-5</w:t>
        </w:r>
      </w:hyperlink>
    </w:p>
  </w:footnote>
  <w:footnote w:id="86">
    <w:p w14:paraId="528621E3" w14:textId="77777777" w:rsidR="00A1531D" w:rsidRPr="00F70554" w:rsidRDefault="00A1531D" w:rsidP="00A1531D">
      <w:pPr>
        <w:pStyle w:val="FootnoteText"/>
      </w:pPr>
      <w:r w:rsidRPr="00F70554">
        <w:rPr>
          <w:rStyle w:val="FootnoteReference"/>
          <w:szCs w:val="18"/>
        </w:rPr>
        <w:footnoteRef/>
      </w:r>
      <w:r w:rsidRPr="00F70554">
        <w:rPr>
          <w:szCs w:val="18"/>
        </w:rPr>
        <w:t xml:space="preserve"> For example, the Database on Island Invasive Species Eradications </w:t>
      </w:r>
      <w:hyperlink r:id="rId79" w:history="1">
        <w:r w:rsidRPr="00F70554">
          <w:rPr>
            <w:rStyle w:val="Hyperlink"/>
            <w:szCs w:val="18"/>
          </w:rPr>
          <w:t>https://diise.islandconservation.org/</w:t>
        </w:r>
      </w:hyperlink>
      <w:r w:rsidRPr="00F70554">
        <w:rPr>
          <w:szCs w:val="18"/>
        </w:rPr>
        <w:t xml:space="preserve"> </w:t>
      </w:r>
    </w:p>
  </w:footnote>
  <w:footnote w:id="87">
    <w:p w14:paraId="4DBA6D0F" w14:textId="77777777" w:rsidR="00AC4386" w:rsidRPr="00F70554" w:rsidRDefault="00AC4386" w:rsidP="00AC4386">
      <w:pPr>
        <w:pStyle w:val="FootnoteText"/>
        <w:rPr>
          <w:szCs w:val="18"/>
        </w:rPr>
      </w:pPr>
      <w:r w:rsidRPr="00F70554">
        <w:rPr>
          <w:rStyle w:val="FootnoteReference"/>
          <w:szCs w:val="18"/>
        </w:rPr>
        <w:footnoteRef/>
      </w:r>
      <w:r w:rsidRPr="00F70554">
        <w:rPr>
          <w:szCs w:val="18"/>
        </w:rPr>
        <w:t xml:space="preserve"> World Tourism Organization (2025), World Tourism Barometer, volume 23, issue 2, May 2025, UN Tourism, Madrid, DOI: </w:t>
      </w:r>
      <w:hyperlink r:id="rId80" w:history="1">
        <w:r w:rsidRPr="00F70554">
          <w:rPr>
            <w:rStyle w:val="Hyperlink"/>
            <w:szCs w:val="18"/>
          </w:rPr>
          <w:t>https://doi.org/10.18111/wtobarometereng</w:t>
        </w:r>
      </w:hyperlink>
    </w:p>
  </w:footnote>
  <w:footnote w:id="88">
    <w:p w14:paraId="03F6AC26" w14:textId="77777777" w:rsidR="00AC4386" w:rsidRPr="00F70554" w:rsidRDefault="00AC4386" w:rsidP="00AC4386">
      <w:pPr>
        <w:pStyle w:val="FootnoteText"/>
        <w:rPr>
          <w:szCs w:val="18"/>
        </w:rPr>
      </w:pPr>
      <w:r w:rsidRPr="00F70554">
        <w:rPr>
          <w:rStyle w:val="FootnoteReference"/>
          <w:szCs w:val="18"/>
        </w:rPr>
        <w:footnoteRef/>
      </w:r>
      <w:r w:rsidRPr="001D795A">
        <w:rPr>
          <w:szCs w:val="18"/>
          <w:lang w:val="fr-FR"/>
        </w:rPr>
        <w:t xml:space="preserve"> </w:t>
      </w:r>
      <w:proofErr w:type="spellStart"/>
      <w:r w:rsidRPr="001D795A">
        <w:rPr>
          <w:szCs w:val="18"/>
          <w:lang w:val="fr-FR"/>
        </w:rPr>
        <w:t>Hulme</w:t>
      </w:r>
      <w:proofErr w:type="spellEnd"/>
      <w:r w:rsidRPr="001D795A">
        <w:rPr>
          <w:szCs w:val="18"/>
          <w:lang w:val="fr-FR"/>
        </w:rPr>
        <w:t xml:space="preserve">, P.E., et al. </w:t>
      </w:r>
      <w:r w:rsidRPr="00F70554">
        <w:rPr>
          <w:szCs w:val="18"/>
        </w:rPr>
        <w:t xml:space="preserve">(2023). Chapter 3: Drivers affecting biological invasions. In: Thematic Assessment Report on Invasive Alien Species and their Control of the Intergovernmental Science-Policy Platform on Biodiversity and Ecosystem Services. Roy, H. E., </w:t>
      </w:r>
      <w:proofErr w:type="spellStart"/>
      <w:r w:rsidRPr="00F70554">
        <w:rPr>
          <w:szCs w:val="18"/>
        </w:rPr>
        <w:t>Pauchard</w:t>
      </w:r>
      <w:proofErr w:type="spellEnd"/>
      <w:r w:rsidRPr="00F70554">
        <w:rPr>
          <w:szCs w:val="18"/>
        </w:rPr>
        <w:t xml:space="preserve">, A., Stoett, P., and Renard Truong, T. (eds.). IPBES secretariat, Bonn, Germany. DOI: </w:t>
      </w:r>
      <w:hyperlink r:id="rId81" w:history="1">
        <w:r w:rsidRPr="00F70554">
          <w:rPr>
            <w:rStyle w:val="Hyperlink"/>
            <w:szCs w:val="18"/>
          </w:rPr>
          <w:t>https://doi.org/10.5281/zenodo.7430727</w:t>
        </w:r>
      </w:hyperlink>
    </w:p>
  </w:footnote>
  <w:footnote w:id="89">
    <w:p w14:paraId="2936DD29" w14:textId="77777777" w:rsidR="00AC4386" w:rsidRPr="00F70554" w:rsidRDefault="00AC4386" w:rsidP="00AC4386">
      <w:pPr>
        <w:pStyle w:val="FootnoteText"/>
      </w:pPr>
      <w:r w:rsidRPr="00F70554">
        <w:rPr>
          <w:rStyle w:val="FootnoteReference"/>
          <w:szCs w:val="18"/>
        </w:rPr>
        <w:footnoteRef/>
      </w:r>
      <w:r w:rsidRPr="00F70554">
        <w:rPr>
          <w:szCs w:val="18"/>
        </w:rPr>
        <w:t xml:space="preserve"> Hall, C. M. (2015). Tourism and biological exchange and invasions: a missing dimension in sustainable tourism? </w:t>
      </w:r>
      <w:r w:rsidRPr="00F70554">
        <w:rPr>
          <w:i/>
          <w:iCs/>
          <w:szCs w:val="18"/>
        </w:rPr>
        <w:t>Tourism Recreation Research</w:t>
      </w:r>
      <w:r w:rsidRPr="00F70554">
        <w:rPr>
          <w:szCs w:val="18"/>
        </w:rPr>
        <w:t>, </w:t>
      </w:r>
      <w:r w:rsidRPr="00F70554">
        <w:rPr>
          <w:i/>
          <w:iCs/>
          <w:szCs w:val="18"/>
        </w:rPr>
        <w:t>40</w:t>
      </w:r>
      <w:r w:rsidRPr="00F70554">
        <w:rPr>
          <w:szCs w:val="18"/>
        </w:rPr>
        <w:t xml:space="preserve">(1), 81–94. </w:t>
      </w:r>
      <w:hyperlink r:id="rId82" w:history="1">
        <w:r w:rsidRPr="00F70554">
          <w:rPr>
            <w:rStyle w:val="Hyperlink"/>
            <w:szCs w:val="18"/>
          </w:rPr>
          <w:t>https://doi.org/10.1080/02508281.2015.1005943</w:t>
        </w:r>
      </w:hyperlink>
    </w:p>
  </w:footnote>
  <w:footnote w:id="90">
    <w:p w14:paraId="38CF3FF1" w14:textId="77777777" w:rsidR="00AC4386" w:rsidRPr="00F70554" w:rsidRDefault="00AC4386" w:rsidP="00AC4386">
      <w:pPr>
        <w:pStyle w:val="FootnoteText"/>
        <w:rPr>
          <w:szCs w:val="18"/>
        </w:rPr>
      </w:pPr>
      <w:r w:rsidRPr="00F70554">
        <w:rPr>
          <w:rStyle w:val="FootnoteReference"/>
          <w:szCs w:val="18"/>
        </w:rPr>
        <w:footnoteRef/>
      </w:r>
      <w:r w:rsidRPr="00F70554">
        <w:rPr>
          <w:szCs w:val="18"/>
        </w:rPr>
        <w:t xml:space="preserve"> Toral-Granda, M.V., et al. (2017). Alien species pathways to the Galapagos Islands, Ecuador. </w:t>
      </w:r>
      <w:r w:rsidRPr="00F70554">
        <w:rPr>
          <w:i/>
          <w:iCs/>
          <w:szCs w:val="18"/>
        </w:rPr>
        <w:t>PLOS ONE</w:t>
      </w:r>
      <w:r w:rsidRPr="00F70554">
        <w:rPr>
          <w:szCs w:val="18"/>
        </w:rPr>
        <w:t xml:space="preserve">, </w:t>
      </w:r>
      <w:r w:rsidRPr="00F70554">
        <w:rPr>
          <w:i/>
          <w:iCs/>
          <w:szCs w:val="18"/>
        </w:rPr>
        <w:t>12</w:t>
      </w:r>
      <w:r w:rsidRPr="00F70554">
        <w:rPr>
          <w:szCs w:val="18"/>
        </w:rPr>
        <w:t xml:space="preserve">(9), e0184379. </w:t>
      </w:r>
      <w:hyperlink r:id="rId83" w:history="1">
        <w:r w:rsidRPr="00F70554">
          <w:rPr>
            <w:rStyle w:val="Hyperlink"/>
            <w:szCs w:val="18"/>
          </w:rPr>
          <w:t>https://doi.org/10.1371/journal.pone.0184379</w:t>
        </w:r>
      </w:hyperlink>
      <w:r w:rsidRPr="00F70554">
        <w:rPr>
          <w:szCs w:val="18"/>
        </w:rPr>
        <w:t xml:space="preserve"> </w:t>
      </w:r>
    </w:p>
  </w:footnote>
  <w:footnote w:id="91">
    <w:p w14:paraId="01D4D66C" w14:textId="77777777" w:rsidR="00AC4386" w:rsidRPr="00F70554" w:rsidRDefault="00AC4386" w:rsidP="00AC4386">
      <w:pPr>
        <w:pStyle w:val="FootnoteText"/>
      </w:pPr>
      <w:r w:rsidRPr="00F70554">
        <w:rPr>
          <w:rStyle w:val="FootnoteReference"/>
          <w:szCs w:val="18"/>
        </w:rPr>
        <w:footnoteRef/>
      </w:r>
      <w:r w:rsidRPr="00F70554">
        <w:rPr>
          <w:szCs w:val="18"/>
        </w:rPr>
        <w:t xml:space="preserve"> Anderson, L. G., </w:t>
      </w:r>
      <w:proofErr w:type="spellStart"/>
      <w:r w:rsidRPr="00F70554">
        <w:rPr>
          <w:szCs w:val="18"/>
        </w:rPr>
        <w:t>Rocliffe</w:t>
      </w:r>
      <w:proofErr w:type="spellEnd"/>
      <w:r w:rsidRPr="00F70554">
        <w:rPr>
          <w:szCs w:val="18"/>
        </w:rPr>
        <w:t xml:space="preserve">, S., Haddaway, N. R., &amp; Dunn, A. M. (2015). The Role of Tourism and Recreation in the Spread of Non-Native Species: A Systematic Review and Meta-Analysis. </w:t>
      </w:r>
      <w:r w:rsidRPr="00F70554">
        <w:rPr>
          <w:i/>
          <w:iCs/>
          <w:szCs w:val="18"/>
        </w:rPr>
        <w:t>PLOS ONE</w:t>
      </w:r>
      <w:r w:rsidRPr="00F70554">
        <w:rPr>
          <w:szCs w:val="18"/>
        </w:rPr>
        <w:t xml:space="preserve">, </w:t>
      </w:r>
      <w:r w:rsidRPr="00F70554">
        <w:rPr>
          <w:i/>
          <w:iCs/>
          <w:szCs w:val="18"/>
        </w:rPr>
        <w:t>10</w:t>
      </w:r>
      <w:r w:rsidRPr="00F70554">
        <w:rPr>
          <w:szCs w:val="18"/>
        </w:rPr>
        <w:t xml:space="preserve">(10), e0140833. </w:t>
      </w:r>
      <w:hyperlink r:id="rId84" w:history="1">
        <w:r w:rsidRPr="00F70554">
          <w:rPr>
            <w:rStyle w:val="Hyperlink"/>
            <w:szCs w:val="18"/>
          </w:rPr>
          <w:t>https://doi.org/10.1371/journal.pone.0140833</w:t>
        </w:r>
      </w:hyperlink>
      <w:r w:rsidRPr="00F70554">
        <w:rPr>
          <w:szCs w:val="18"/>
        </w:rPr>
        <w:t xml:space="preserve"> </w:t>
      </w:r>
    </w:p>
  </w:footnote>
  <w:footnote w:id="92">
    <w:p w14:paraId="5D32A6DA" w14:textId="77777777" w:rsidR="00AC4386" w:rsidRPr="00F70554" w:rsidRDefault="00AC4386" w:rsidP="00AC4386">
      <w:pPr>
        <w:pStyle w:val="FootnoteText"/>
      </w:pPr>
      <w:r w:rsidRPr="00F70554">
        <w:rPr>
          <w:rStyle w:val="FootnoteReference"/>
          <w:szCs w:val="18"/>
        </w:rPr>
        <w:footnoteRef/>
      </w:r>
      <w:r w:rsidRPr="00F70554">
        <w:rPr>
          <w:szCs w:val="18"/>
        </w:rPr>
        <w:t xml:space="preserve"> UNESCO. Natural World Heritage Sites </w:t>
      </w:r>
      <w:hyperlink r:id="rId85" w:anchor="threatened-paradise" w:history="1">
        <w:r w:rsidRPr="00F70554">
          <w:rPr>
            <w:rStyle w:val="Hyperlink"/>
            <w:szCs w:val="18"/>
          </w:rPr>
          <w:t>https://whc.unesco.org/en/natural-world-heritage/#threatened-paradise</w:t>
        </w:r>
      </w:hyperlink>
      <w:r w:rsidRPr="00F70554">
        <w:rPr>
          <w:szCs w:val="18"/>
        </w:rPr>
        <w:t xml:space="preserve"> </w:t>
      </w:r>
    </w:p>
  </w:footnote>
  <w:footnote w:id="93">
    <w:p w14:paraId="7B37ED2F" w14:textId="77777777" w:rsidR="00AC4386" w:rsidRPr="00F70554" w:rsidRDefault="00AC4386" w:rsidP="00AC4386">
      <w:pPr>
        <w:pStyle w:val="FootnoteText"/>
      </w:pPr>
      <w:r w:rsidRPr="00F70554">
        <w:rPr>
          <w:rStyle w:val="FootnoteReference"/>
          <w:szCs w:val="18"/>
        </w:rPr>
        <w:footnoteRef/>
      </w:r>
      <w:r w:rsidRPr="00F70554">
        <w:rPr>
          <w:szCs w:val="18"/>
        </w:rPr>
        <w:t xml:space="preserve"> Osipova, E., et al. (2020). IUCN World Heritage Outlook 3: A conservation assessment of all natural World Heritage sites, November 2020. Gland, Switzerland: IUCN. </w:t>
      </w:r>
      <w:hyperlink r:id="rId86" w:history="1">
        <w:r w:rsidRPr="00F70554">
          <w:rPr>
            <w:rStyle w:val="Hyperlink"/>
            <w:szCs w:val="18"/>
          </w:rPr>
          <w:t>https://portals.iucn.org/library/sites/library/files/documents/2020-035-En.pdf</w:t>
        </w:r>
      </w:hyperlink>
      <w:r w:rsidRPr="00F70554">
        <w:rPr>
          <w:szCs w:val="18"/>
        </w:rPr>
        <w:t xml:space="preserve"> </w:t>
      </w:r>
    </w:p>
  </w:footnote>
  <w:footnote w:id="94">
    <w:p w14:paraId="2B931BD0" w14:textId="77777777" w:rsidR="00AC4386" w:rsidRPr="00F12734" w:rsidRDefault="00AC4386" w:rsidP="00AC4386">
      <w:pPr>
        <w:pStyle w:val="FootnoteText"/>
        <w:rPr>
          <w:lang w:val="es-ES"/>
        </w:rPr>
      </w:pPr>
      <w:r w:rsidRPr="00F70554">
        <w:rPr>
          <w:rStyle w:val="FootnoteReference"/>
          <w:szCs w:val="18"/>
        </w:rPr>
        <w:footnoteRef/>
      </w:r>
      <w:r w:rsidRPr="001D795A">
        <w:rPr>
          <w:szCs w:val="18"/>
          <w:lang w:val="fr-FR"/>
        </w:rPr>
        <w:t xml:space="preserve"> Witt, A.B.R., et al. </w:t>
      </w:r>
      <w:r w:rsidRPr="00F70554">
        <w:rPr>
          <w:szCs w:val="18"/>
        </w:rPr>
        <w:t xml:space="preserve">(2017). A preliminary assessment of the extent and potential impacts of alien plant invasions in the Serengeti Mara ecosystem, East Africa. </w:t>
      </w:r>
      <w:proofErr w:type="spellStart"/>
      <w:r w:rsidRPr="00F12734">
        <w:rPr>
          <w:i/>
          <w:szCs w:val="18"/>
          <w:lang w:val="es-ES"/>
        </w:rPr>
        <w:t>Koedoe</w:t>
      </w:r>
      <w:proofErr w:type="spellEnd"/>
      <w:r w:rsidRPr="00F12734">
        <w:rPr>
          <w:i/>
          <w:szCs w:val="18"/>
          <w:lang w:val="es-ES"/>
        </w:rPr>
        <w:t xml:space="preserve"> </w:t>
      </w:r>
      <w:r w:rsidRPr="00F12734">
        <w:rPr>
          <w:szCs w:val="18"/>
          <w:lang w:val="es-ES"/>
        </w:rPr>
        <w:t xml:space="preserve">59(1), a1426. </w:t>
      </w:r>
      <w:hyperlink r:id="rId87" w:history="1">
        <w:r w:rsidRPr="00F12734">
          <w:rPr>
            <w:rStyle w:val="Hyperlink"/>
            <w:szCs w:val="18"/>
            <w:lang w:val="es-ES"/>
          </w:rPr>
          <w:t>https://doi.org/10.4102/koedoe.v59i1.1426</w:t>
        </w:r>
      </w:hyperlink>
      <w:r w:rsidRPr="00F12734">
        <w:rPr>
          <w:szCs w:val="18"/>
          <w:lang w:val="es-ES"/>
        </w:rPr>
        <w:t xml:space="preserve"> </w:t>
      </w:r>
    </w:p>
  </w:footnote>
  <w:footnote w:id="95">
    <w:p w14:paraId="459EB83A" w14:textId="77777777" w:rsidR="00AC4386" w:rsidRPr="001D795A" w:rsidRDefault="00AC4386" w:rsidP="00AC4386">
      <w:pPr>
        <w:pStyle w:val="FootnoteText"/>
        <w:rPr>
          <w:lang w:val="fr-FR"/>
        </w:rPr>
      </w:pPr>
      <w:r w:rsidRPr="00F70554">
        <w:rPr>
          <w:rStyle w:val="FootnoteReference"/>
          <w:szCs w:val="18"/>
        </w:rPr>
        <w:footnoteRef/>
      </w:r>
      <w:r w:rsidRPr="00F12734">
        <w:rPr>
          <w:szCs w:val="18"/>
          <w:lang w:val="es-ES"/>
        </w:rPr>
        <w:t xml:space="preserve"> Figueroa, F.L., Vega, J., Flórez-Fernández, N. </w:t>
      </w:r>
      <w:r w:rsidRPr="00F12734">
        <w:rPr>
          <w:i/>
          <w:szCs w:val="18"/>
          <w:lang w:val="es-ES"/>
        </w:rPr>
        <w:t>et al.</w:t>
      </w:r>
      <w:r w:rsidRPr="00F12734">
        <w:rPr>
          <w:szCs w:val="18"/>
          <w:lang w:val="es-ES"/>
        </w:rPr>
        <w:t> </w:t>
      </w:r>
      <w:r w:rsidRPr="00F70554">
        <w:rPr>
          <w:szCs w:val="18"/>
        </w:rPr>
        <w:t>Challenges and opportunities of the exotic invasive macroalga </w:t>
      </w:r>
      <w:proofErr w:type="spellStart"/>
      <w:r w:rsidRPr="00F70554">
        <w:rPr>
          <w:i/>
          <w:szCs w:val="18"/>
        </w:rPr>
        <w:t>Rugulopteryx</w:t>
      </w:r>
      <w:proofErr w:type="spellEnd"/>
      <w:r w:rsidRPr="00F70554">
        <w:rPr>
          <w:i/>
          <w:szCs w:val="18"/>
        </w:rPr>
        <w:t xml:space="preserve"> </w:t>
      </w:r>
      <w:proofErr w:type="spellStart"/>
      <w:r w:rsidRPr="00F70554">
        <w:rPr>
          <w:i/>
          <w:szCs w:val="18"/>
        </w:rPr>
        <w:t>okamurae</w:t>
      </w:r>
      <w:proofErr w:type="spellEnd"/>
      <w:r w:rsidRPr="00F70554">
        <w:rPr>
          <w:szCs w:val="18"/>
        </w:rPr>
        <w:t xml:space="preserve"> (Phaeophyceae, </w:t>
      </w:r>
      <w:proofErr w:type="spellStart"/>
      <w:r w:rsidRPr="00F70554">
        <w:rPr>
          <w:szCs w:val="18"/>
        </w:rPr>
        <w:t>Heterokontophyta</w:t>
      </w:r>
      <w:proofErr w:type="spellEnd"/>
      <w:r w:rsidRPr="00F70554">
        <w:rPr>
          <w:szCs w:val="18"/>
        </w:rPr>
        <w:t>). </w:t>
      </w:r>
      <w:r w:rsidRPr="001D795A">
        <w:rPr>
          <w:i/>
          <w:szCs w:val="18"/>
          <w:lang w:val="fr-FR"/>
        </w:rPr>
        <w:t xml:space="preserve">J </w:t>
      </w:r>
      <w:proofErr w:type="spellStart"/>
      <w:r w:rsidRPr="001D795A">
        <w:rPr>
          <w:i/>
          <w:szCs w:val="18"/>
          <w:lang w:val="fr-FR"/>
        </w:rPr>
        <w:t>Appl</w:t>
      </w:r>
      <w:proofErr w:type="spellEnd"/>
      <w:r w:rsidRPr="001D795A">
        <w:rPr>
          <w:i/>
          <w:szCs w:val="18"/>
          <w:lang w:val="fr-FR"/>
        </w:rPr>
        <w:t xml:space="preserve"> </w:t>
      </w:r>
      <w:proofErr w:type="spellStart"/>
      <w:r w:rsidRPr="001D795A">
        <w:rPr>
          <w:i/>
          <w:szCs w:val="18"/>
          <w:lang w:val="fr-FR"/>
        </w:rPr>
        <w:t>Phycol</w:t>
      </w:r>
      <w:proofErr w:type="spellEnd"/>
      <w:r w:rsidRPr="001D795A">
        <w:rPr>
          <w:szCs w:val="18"/>
          <w:lang w:val="fr-FR"/>
        </w:rPr>
        <w:t> </w:t>
      </w:r>
      <w:r w:rsidRPr="001D795A">
        <w:rPr>
          <w:b/>
          <w:szCs w:val="18"/>
          <w:lang w:val="fr-FR"/>
        </w:rPr>
        <w:t>37</w:t>
      </w:r>
      <w:r w:rsidRPr="001D795A">
        <w:rPr>
          <w:szCs w:val="18"/>
          <w:lang w:val="fr-FR"/>
        </w:rPr>
        <w:t xml:space="preserve">, 579–595 (2025). </w:t>
      </w:r>
      <w:hyperlink r:id="rId88" w:history="1">
        <w:r w:rsidRPr="001D795A">
          <w:rPr>
            <w:rStyle w:val="Hyperlink"/>
            <w:szCs w:val="18"/>
            <w:lang w:val="fr-FR"/>
          </w:rPr>
          <w:t>https://doi.org/10.1007/s10811-024-03404-w</w:t>
        </w:r>
      </w:hyperlink>
      <w:r w:rsidRPr="001D795A">
        <w:rPr>
          <w:szCs w:val="18"/>
          <w:lang w:val="fr-FR"/>
        </w:rPr>
        <w:t xml:space="preserve"> </w:t>
      </w:r>
    </w:p>
  </w:footnote>
  <w:footnote w:id="96">
    <w:p w14:paraId="750E75B7" w14:textId="77777777" w:rsidR="00AC4386" w:rsidRPr="00F12734" w:rsidRDefault="00AC4386" w:rsidP="00AC4386">
      <w:pPr>
        <w:pStyle w:val="FootnoteText"/>
        <w:rPr>
          <w:lang w:val="en-CA"/>
        </w:rPr>
      </w:pPr>
      <w:r w:rsidRPr="00F70554">
        <w:rPr>
          <w:rStyle w:val="FootnoteReference"/>
        </w:rPr>
        <w:footnoteRef/>
      </w:r>
      <w:r w:rsidRPr="001D795A">
        <w:rPr>
          <w:lang w:val="fr-FR"/>
        </w:rPr>
        <w:t xml:space="preserve"> </w:t>
      </w:r>
      <w:proofErr w:type="spellStart"/>
      <w:r w:rsidRPr="001D795A">
        <w:rPr>
          <w:szCs w:val="18"/>
          <w:lang w:val="fr-FR"/>
        </w:rPr>
        <w:t>Mogollón</w:t>
      </w:r>
      <w:proofErr w:type="spellEnd"/>
      <w:r w:rsidRPr="001D795A">
        <w:rPr>
          <w:szCs w:val="18"/>
          <w:lang w:val="fr-FR"/>
        </w:rPr>
        <w:t xml:space="preserve">, S.L </w:t>
      </w:r>
      <w:r w:rsidRPr="001D795A">
        <w:rPr>
          <w:iCs/>
          <w:szCs w:val="18"/>
          <w:lang w:val="fr-FR"/>
        </w:rPr>
        <w:t>et al.</w:t>
      </w:r>
      <w:r w:rsidRPr="001D795A">
        <w:rPr>
          <w:szCs w:val="18"/>
          <w:lang w:val="fr-FR"/>
        </w:rPr>
        <w:t> </w:t>
      </w:r>
      <w:r w:rsidRPr="00F70554">
        <w:rPr>
          <w:szCs w:val="18"/>
        </w:rPr>
        <w:t>(2024). Economic impact of </w:t>
      </w:r>
      <w:proofErr w:type="spellStart"/>
      <w:r w:rsidRPr="00F70554">
        <w:rPr>
          <w:i/>
          <w:iCs/>
          <w:szCs w:val="18"/>
        </w:rPr>
        <w:t>Rugulopteryx</w:t>
      </w:r>
      <w:proofErr w:type="spellEnd"/>
      <w:r w:rsidRPr="00F70554">
        <w:rPr>
          <w:i/>
          <w:iCs/>
          <w:szCs w:val="18"/>
        </w:rPr>
        <w:t xml:space="preserve"> </w:t>
      </w:r>
      <w:proofErr w:type="spellStart"/>
      <w:r w:rsidRPr="00F70554">
        <w:rPr>
          <w:i/>
          <w:iCs/>
          <w:szCs w:val="18"/>
        </w:rPr>
        <w:t>okamurae</w:t>
      </w:r>
      <w:proofErr w:type="spellEnd"/>
      <w:r w:rsidRPr="00F70554">
        <w:rPr>
          <w:szCs w:val="18"/>
        </w:rPr>
        <w:t> (</w:t>
      </w:r>
      <w:proofErr w:type="spellStart"/>
      <w:r w:rsidRPr="00F70554">
        <w:rPr>
          <w:szCs w:val="18"/>
        </w:rPr>
        <w:t>Dictyotales</w:t>
      </w:r>
      <w:proofErr w:type="spellEnd"/>
      <w:r w:rsidRPr="00F70554">
        <w:rPr>
          <w:szCs w:val="18"/>
        </w:rPr>
        <w:t xml:space="preserve">, </w:t>
      </w:r>
      <w:proofErr w:type="spellStart"/>
      <w:r w:rsidRPr="00F70554">
        <w:rPr>
          <w:szCs w:val="18"/>
        </w:rPr>
        <w:t>Ochrophyta</w:t>
      </w:r>
      <w:proofErr w:type="spellEnd"/>
      <w:r w:rsidRPr="00F70554">
        <w:rPr>
          <w:szCs w:val="18"/>
        </w:rPr>
        <w:t>) along the Andalusian coastline: the case of Tarifa, Spain. </w:t>
      </w:r>
      <w:r w:rsidRPr="00F12734">
        <w:rPr>
          <w:i/>
          <w:iCs/>
          <w:szCs w:val="18"/>
          <w:lang w:val="en-CA"/>
        </w:rPr>
        <w:t xml:space="preserve">Wetlands </w:t>
      </w:r>
      <w:proofErr w:type="spellStart"/>
      <w:r w:rsidRPr="00F12734">
        <w:rPr>
          <w:i/>
          <w:iCs/>
          <w:szCs w:val="18"/>
          <w:lang w:val="en-CA"/>
        </w:rPr>
        <w:t>Ecol</w:t>
      </w:r>
      <w:proofErr w:type="spellEnd"/>
      <w:r w:rsidRPr="00F12734">
        <w:rPr>
          <w:i/>
          <w:iCs/>
          <w:szCs w:val="18"/>
          <w:lang w:val="en-CA"/>
        </w:rPr>
        <w:t xml:space="preserve"> Manage</w:t>
      </w:r>
      <w:r w:rsidRPr="00F12734">
        <w:rPr>
          <w:szCs w:val="18"/>
          <w:lang w:val="en-CA"/>
        </w:rPr>
        <w:t> </w:t>
      </w:r>
      <w:r w:rsidRPr="00F12734">
        <w:rPr>
          <w:b/>
          <w:bCs/>
          <w:szCs w:val="18"/>
          <w:lang w:val="en-CA"/>
        </w:rPr>
        <w:t>32</w:t>
      </w:r>
      <w:r w:rsidRPr="00F12734">
        <w:rPr>
          <w:szCs w:val="18"/>
          <w:lang w:val="en-CA"/>
        </w:rPr>
        <w:t xml:space="preserve">, 19–32. </w:t>
      </w:r>
      <w:hyperlink r:id="rId89" w:history="1">
        <w:r w:rsidRPr="00F12734">
          <w:rPr>
            <w:rStyle w:val="Hyperlink"/>
            <w:szCs w:val="18"/>
            <w:lang w:val="en-CA"/>
          </w:rPr>
          <w:t>https://doi.org/10.1007/s11273-023-09951-2</w:t>
        </w:r>
      </w:hyperlink>
      <w:r w:rsidRPr="00F12734">
        <w:rPr>
          <w:szCs w:val="18"/>
          <w:lang w:val="en-CA"/>
        </w:rPr>
        <w:t xml:space="preserve"> </w:t>
      </w:r>
    </w:p>
  </w:footnote>
  <w:footnote w:id="97">
    <w:p w14:paraId="46C6D5DB" w14:textId="77777777" w:rsidR="00AC4386" w:rsidRPr="00F70554" w:rsidRDefault="00AC4386" w:rsidP="00AC4386">
      <w:pPr>
        <w:rPr>
          <w:sz w:val="18"/>
          <w:szCs w:val="18"/>
        </w:rPr>
      </w:pPr>
      <w:r w:rsidRPr="00F70554">
        <w:rPr>
          <w:rStyle w:val="FootnoteReference"/>
        </w:rPr>
        <w:footnoteRef/>
      </w:r>
      <w:r w:rsidRPr="00F12734">
        <w:rPr>
          <w:lang w:val="en-CA"/>
        </w:rPr>
        <w:t xml:space="preserve"> </w:t>
      </w:r>
      <w:r w:rsidRPr="00F12734">
        <w:rPr>
          <w:sz w:val="18"/>
          <w:szCs w:val="18"/>
          <w:lang w:val="en-CA"/>
        </w:rPr>
        <w:t xml:space="preserve">Millet, J.E., et al. </w:t>
      </w:r>
      <w:r w:rsidRPr="00F70554">
        <w:rPr>
          <w:sz w:val="18"/>
          <w:szCs w:val="18"/>
        </w:rPr>
        <w:t xml:space="preserve">(2017). Conservation gains and missed opportunities 15 years after rodent eradications in the Seychelles. In: Veitch, M.N. Clout, A.R. Martin, J.C. Russell and C.J. West (eds.) (2019). Island invasives: scaling up to meet the challenge, pp. 580–587. Occasional Paper SSC no. 62. Gland, Switzerland: IUCN </w:t>
      </w:r>
      <w:hyperlink r:id="rId90" w:history="1">
        <w:r w:rsidRPr="00F70554">
          <w:rPr>
            <w:rStyle w:val="Hyperlink"/>
            <w:sz w:val="18"/>
            <w:szCs w:val="18"/>
          </w:rPr>
          <w:t>https://portals.iucn.org/library/node/48358</w:t>
        </w:r>
      </w:hyperlink>
      <w:r w:rsidRPr="00F70554">
        <w:rPr>
          <w:sz w:val="18"/>
          <w:szCs w:val="18"/>
        </w:rPr>
        <w:t xml:space="preserve"> </w:t>
      </w:r>
    </w:p>
  </w:footnote>
  <w:footnote w:id="98">
    <w:p w14:paraId="55070D72" w14:textId="77777777" w:rsidR="00AC4386" w:rsidRPr="00F70554" w:rsidRDefault="00AC4386" w:rsidP="00AC4386">
      <w:pPr>
        <w:pStyle w:val="FootnoteText"/>
      </w:pPr>
      <w:r w:rsidRPr="00F70554">
        <w:rPr>
          <w:rStyle w:val="FootnoteReference"/>
          <w:szCs w:val="18"/>
        </w:rPr>
        <w:footnoteRef/>
      </w:r>
      <w:r w:rsidRPr="00F70554">
        <w:rPr>
          <w:szCs w:val="18"/>
        </w:rPr>
        <w:t xml:space="preserve"> For example, World Tourism Organization (2024) Nature Positive: Travel and tourism in action https://www.e-unwto.org/doi/epdf/10.18111/9789284425020 </w:t>
      </w:r>
    </w:p>
  </w:footnote>
  <w:footnote w:id="99">
    <w:p w14:paraId="0A9BB4EB" w14:textId="77777777" w:rsidR="00AC4386" w:rsidRPr="00F70554" w:rsidRDefault="00AC4386" w:rsidP="00AC4386">
      <w:pPr>
        <w:pStyle w:val="FootnoteText"/>
      </w:pPr>
      <w:r w:rsidRPr="00F70554">
        <w:rPr>
          <w:rStyle w:val="FootnoteReference"/>
          <w:szCs w:val="18"/>
        </w:rPr>
        <w:footnoteRef/>
      </w:r>
      <w:r w:rsidRPr="00F70554">
        <w:rPr>
          <w:szCs w:val="18"/>
        </w:rPr>
        <w:t xml:space="preserve"> USDA Don’t pack a pest campaign </w:t>
      </w:r>
      <w:hyperlink r:id="rId91" w:history="1">
        <w:r w:rsidRPr="00F70554">
          <w:rPr>
            <w:rStyle w:val="Hyperlink"/>
            <w:szCs w:val="18"/>
          </w:rPr>
          <w:t>https://www.dontpackapest.com/</w:t>
        </w:r>
      </w:hyperlink>
      <w:r w:rsidRPr="00F70554">
        <w:rPr>
          <w:szCs w:val="18"/>
        </w:rPr>
        <w:t xml:space="preserve"> </w:t>
      </w:r>
    </w:p>
  </w:footnote>
  <w:footnote w:id="100">
    <w:p w14:paraId="1278616F" w14:textId="77777777" w:rsidR="00AC4386" w:rsidRPr="00F70554" w:rsidRDefault="00AC4386" w:rsidP="00AC4386">
      <w:pPr>
        <w:pStyle w:val="FootnoteText"/>
      </w:pPr>
      <w:r w:rsidRPr="00F70554">
        <w:rPr>
          <w:rStyle w:val="FootnoteReference"/>
          <w:szCs w:val="18"/>
        </w:rPr>
        <w:footnoteRef/>
      </w:r>
      <w:r w:rsidRPr="00F70554">
        <w:rPr>
          <w:szCs w:val="18"/>
        </w:rPr>
        <w:t xml:space="preserve"> Hulme, P.E. (2024). Networks of risk: international tourists as a biosecurity pathway into national parks. </w:t>
      </w:r>
      <w:proofErr w:type="spellStart"/>
      <w:r w:rsidRPr="00F70554">
        <w:rPr>
          <w:i/>
          <w:iCs/>
          <w:szCs w:val="18"/>
        </w:rPr>
        <w:t>Biol</w:t>
      </w:r>
      <w:proofErr w:type="spellEnd"/>
      <w:r w:rsidRPr="00F70554">
        <w:rPr>
          <w:i/>
          <w:iCs/>
          <w:szCs w:val="18"/>
        </w:rPr>
        <w:t xml:space="preserve"> Invasions</w:t>
      </w:r>
      <w:r w:rsidRPr="00F70554">
        <w:rPr>
          <w:szCs w:val="18"/>
        </w:rPr>
        <w:t> </w:t>
      </w:r>
      <w:r w:rsidRPr="00F70554">
        <w:rPr>
          <w:b/>
          <w:bCs/>
          <w:szCs w:val="18"/>
        </w:rPr>
        <w:t>26</w:t>
      </w:r>
      <w:r w:rsidRPr="00F70554">
        <w:rPr>
          <w:szCs w:val="18"/>
        </w:rPr>
        <w:t xml:space="preserve">, 4317–4330. </w:t>
      </w:r>
      <w:hyperlink r:id="rId92">
        <w:r w:rsidRPr="00F70554">
          <w:rPr>
            <w:rStyle w:val="Hyperlink"/>
            <w:szCs w:val="18"/>
          </w:rPr>
          <w:t>https://doi.org/10.1007/s10530-024-03448-6</w:t>
        </w:r>
      </w:hyperlink>
    </w:p>
  </w:footnote>
  <w:footnote w:id="101">
    <w:p w14:paraId="2F3E8C6F" w14:textId="77777777" w:rsidR="00AC4386" w:rsidRPr="00F70554" w:rsidRDefault="00AC4386" w:rsidP="00AC4386">
      <w:pPr>
        <w:pStyle w:val="FootnoteText"/>
      </w:pPr>
      <w:r w:rsidRPr="00F70554">
        <w:rPr>
          <w:rStyle w:val="FootnoteReference"/>
          <w:szCs w:val="18"/>
        </w:rPr>
        <w:footnoteRef/>
      </w:r>
      <w:r w:rsidRPr="00F70554">
        <w:rPr>
          <w:szCs w:val="18"/>
        </w:rPr>
        <w:t xml:space="preserve"> Check – Clean – Dry campaigns e.g. Great Britain </w:t>
      </w:r>
      <w:hyperlink r:id="rId93" w:history="1">
        <w:r w:rsidRPr="00F70554">
          <w:rPr>
            <w:rStyle w:val="Hyperlink"/>
            <w:szCs w:val="18"/>
          </w:rPr>
          <w:t>https://www.nonnativespecies.org/what-can-i-do/check-clean-dry</w:t>
        </w:r>
      </w:hyperlink>
      <w:r w:rsidRPr="00F70554">
        <w:rPr>
          <w:szCs w:val="18"/>
        </w:rPr>
        <w:t xml:space="preserve">; Republic of Ireland </w:t>
      </w:r>
      <w:hyperlink r:id="rId94" w:history="1">
        <w:r w:rsidRPr="00F70554">
          <w:rPr>
            <w:rStyle w:val="Hyperlink"/>
            <w:szCs w:val="18"/>
          </w:rPr>
          <w:t>https://invasives.ie/biosecurity/check-clean-dry</w:t>
        </w:r>
      </w:hyperlink>
      <w:r w:rsidRPr="00F70554">
        <w:rPr>
          <w:szCs w:val="18"/>
        </w:rPr>
        <w:t xml:space="preserve">; New Zealand </w:t>
      </w:r>
      <w:hyperlink r:id="rId95" w:history="1">
        <w:r w:rsidRPr="00F70554">
          <w:rPr>
            <w:rStyle w:val="Hyperlink"/>
            <w:szCs w:val="18"/>
          </w:rPr>
          <w:t>https://www.mpi.govt.nz/outdoor-activities/boating-and-water-activities-preventing-the-spread-of-pests-weeds-and-diseases/check-clean-dry/</w:t>
        </w:r>
      </w:hyperlink>
      <w:r w:rsidRPr="00F70554">
        <w:rPr>
          <w:szCs w:val="18"/>
        </w:rPr>
        <w:t xml:space="preserve"> </w:t>
      </w:r>
    </w:p>
  </w:footnote>
  <w:footnote w:id="102">
    <w:p w14:paraId="0D9E3F24" w14:textId="77777777" w:rsidR="00AC4386" w:rsidRPr="00F70554" w:rsidRDefault="00AC4386" w:rsidP="00AC4386">
      <w:pPr>
        <w:pStyle w:val="FootnoteText"/>
        <w:rPr>
          <w:szCs w:val="18"/>
        </w:rPr>
      </w:pPr>
      <w:r w:rsidRPr="00F70554">
        <w:rPr>
          <w:rStyle w:val="FootnoteReference"/>
        </w:rPr>
        <w:footnoteRef/>
      </w:r>
      <w:r w:rsidRPr="00F70554">
        <w:t xml:space="preserve"> </w:t>
      </w:r>
      <w:proofErr w:type="spellStart"/>
      <w:r w:rsidRPr="00F70554">
        <w:rPr>
          <w:szCs w:val="18"/>
        </w:rPr>
        <w:t>PlayCleanGo</w:t>
      </w:r>
      <w:proofErr w:type="spellEnd"/>
      <w:r w:rsidRPr="00F70554">
        <w:rPr>
          <w:szCs w:val="18"/>
        </w:rPr>
        <w:t xml:space="preserve"> Stop Invasive Species </w:t>
      </w:r>
      <w:proofErr w:type="gramStart"/>
      <w:r w:rsidRPr="00F70554">
        <w:rPr>
          <w:szCs w:val="18"/>
        </w:rPr>
        <w:t>In</w:t>
      </w:r>
      <w:proofErr w:type="gramEnd"/>
      <w:r w:rsidRPr="00F70554">
        <w:rPr>
          <w:szCs w:val="18"/>
        </w:rPr>
        <w:t xml:space="preserve"> Your Tracks campaign </w:t>
      </w:r>
      <w:hyperlink r:id="rId96" w:history="1">
        <w:r w:rsidRPr="00F70554">
          <w:rPr>
            <w:rStyle w:val="Hyperlink"/>
            <w:szCs w:val="18"/>
          </w:rPr>
          <w:t>https://playcleango.org/</w:t>
        </w:r>
      </w:hyperlink>
      <w:r w:rsidRPr="00F70554">
        <w:rPr>
          <w:szCs w:val="18"/>
        </w:rPr>
        <w:t xml:space="preserve"> </w:t>
      </w:r>
    </w:p>
  </w:footnote>
  <w:footnote w:id="103">
    <w:p w14:paraId="0AE90021" w14:textId="77777777" w:rsidR="00AC4386" w:rsidRPr="00F70554" w:rsidRDefault="00AC4386" w:rsidP="00AC4386">
      <w:pPr>
        <w:pStyle w:val="FootnoteText"/>
      </w:pPr>
      <w:r w:rsidRPr="00F70554">
        <w:rPr>
          <w:rStyle w:val="FootnoteReference"/>
          <w:szCs w:val="18"/>
        </w:rPr>
        <w:footnoteRef/>
      </w:r>
      <w:r w:rsidRPr="00F70554">
        <w:rPr>
          <w:szCs w:val="18"/>
        </w:rPr>
        <w:t xml:space="preserve"> European Commission Beware of Aliens campaign </w:t>
      </w:r>
      <w:hyperlink r:id="rId97" w:history="1">
        <w:r w:rsidRPr="00F70554">
          <w:rPr>
            <w:rStyle w:val="Hyperlink"/>
            <w:szCs w:val="18"/>
          </w:rPr>
          <w:t>https://easin.jrc.ec.europa.eu/easin/bewareofaliens</w:t>
        </w:r>
      </w:hyperlink>
      <w:r w:rsidRPr="00F70554">
        <w:rPr>
          <w:szCs w:val="18"/>
        </w:rPr>
        <w:t xml:space="preserve"> </w:t>
      </w:r>
    </w:p>
  </w:footnote>
  <w:footnote w:id="104">
    <w:p w14:paraId="1460F58C"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Evolution of trade under the WTO: handy statistics</w:t>
      </w:r>
    </w:p>
    <w:p w14:paraId="66B8AA3D" w14:textId="77777777" w:rsidR="00A1531D" w:rsidRPr="00F70554" w:rsidRDefault="00A1531D" w:rsidP="00A1531D">
      <w:pPr>
        <w:pStyle w:val="FootnoteText"/>
      </w:pPr>
      <w:hyperlink r:id="rId98" w:anchor="fnt-1" w:history="1">
        <w:r w:rsidRPr="00F70554">
          <w:rPr>
            <w:rStyle w:val="Hyperlink"/>
            <w:szCs w:val="18"/>
          </w:rPr>
          <w:t>https://www.wto.org/english/res_e/statis_e/trade_evolution_e/evolution_trade_wto_e.htm#fnt-1</w:t>
        </w:r>
      </w:hyperlink>
      <w:r w:rsidRPr="00F70554">
        <w:rPr>
          <w:szCs w:val="18"/>
        </w:rPr>
        <w:t xml:space="preserve"> </w:t>
      </w:r>
    </w:p>
  </w:footnote>
  <w:footnote w:id="105">
    <w:p w14:paraId="5567D0B5" w14:textId="77777777" w:rsidR="00A1531D" w:rsidRPr="00F70554" w:rsidRDefault="00A1531D" w:rsidP="00A1531D">
      <w:pPr>
        <w:pStyle w:val="FootnoteText"/>
      </w:pPr>
      <w:r w:rsidRPr="00F70554">
        <w:rPr>
          <w:rStyle w:val="FootnoteReference"/>
          <w:szCs w:val="18"/>
        </w:rPr>
        <w:footnoteRef/>
      </w:r>
      <w:r w:rsidRPr="00F70554">
        <w:rPr>
          <w:szCs w:val="18"/>
        </w:rPr>
        <w:t xml:space="preserve"> Hulme, P.E. (2021). Unwelcome exchange: International trade as a direct and indirect driver of biological invasions worldwide. </w:t>
      </w:r>
      <w:r w:rsidRPr="00F70554">
        <w:rPr>
          <w:i/>
          <w:iCs/>
          <w:szCs w:val="18"/>
        </w:rPr>
        <w:t>One Earth</w:t>
      </w:r>
      <w:r w:rsidRPr="00F70554">
        <w:rPr>
          <w:szCs w:val="18"/>
        </w:rPr>
        <w:t xml:space="preserve">, </w:t>
      </w:r>
      <w:r w:rsidRPr="00F70554">
        <w:rPr>
          <w:i/>
          <w:iCs/>
          <w:szCs w:val="18"/>
        </w:rPr>
        <w:t>4</w:t>
      </w:r>
      <w:r w:rsidRPr="00F70554">
        <w:rPr>
          <w:szCs w:val="18"/>
        </w:rPr>
        <w:t xml:space="preserve">(5), 666-679. </w:t>
      </w:r>
      <w:hyperlink r:id="rId99" w:history="1">
        <w:r w:rsidRPr="00F70554">
          <w:rPr>
            <w:rStyle w:val="Hyperlink"/>
            <w:szCs w:val="18"/>
          </w:rPr>
          <w:t>https://doi.org/10.1016/j.oneear.2021.04.015</w:t>
        </w:r>
      </w:hyperlink>
      <w:r w:rsidRPr="00F70554">
        <w:rPr>
          <w:szCs w:val="18"/>
        </w:rPr>
        <w:t xml:space="preserve"> </w:t>
      </w:r>
    </w:p>
  </w:footnote>
  <w:footnote w:id="106">
    <w:p w14:paraId="0ABE94D6" w14:textId="77777777" w:rsidR="00A1531D" w:rsidRPr="00F70554" w:rsidRDefault="00A1531D" w:rsidP="00A1531D">
      <w:pPr>
        <w:pStyle w:val="FootnoteText"/>
      </w:pPr>
      <w:r w:rsidRPr="00F70554">
        <w:rPr>
          <w:rStyle w:val="FootnoteReference"/>
          <w:szCs w:val="18"/>
        </w:rPr>
        <w:footnoteRef/>
      </w:r>
      <w:r w:rsidRPr="00F70554">
        <w:rPr>
          <w:szCs w:val="18"/>
        </w:rPr>
        <w:t xml:space="preserve"> Hulme, P.E. (2021). Unwelcome exchange: International trade as a direct and indirect driver of biological invasions worldwide. </w:t>
      </w:r>
      <w:r w:rsidRPr="00F70554">
        <w:rPr>
          <w:i/>
          <w:iCs/>
          <w:szCs w:val="18"/>
        </w:rPr>
        <w:t>One Earth</w:t>
      </w:r>
      <w:r w:rsidRPr="00F70554">
        <w:rPr>
          <w:szCs w:val="18"/>
        </w:rPr>
        <w:t xml:space="preserve">, </w:t>
      </w:r>
      <w:r w:rsidRPr="00F70554">
        <w:rPr>
          <w:i/>
          <w:iCs/>
          <w:szCs w:val="18"/>
        </w:rPr>
        <w:t>4</w:t>
      </w:r>
      <w:r w:rsidRPr="00F70554">
        <w:rPr>
          <w:szCs w:val="18"/>
        </w:rPr>
        <w:t xml:space="preserve">(5), 666-679. </w:t>
      </w:r>
      <w:hyperlink r:id="rId100" w:history="1">
        <w:r w:rsidRPr="00F70554">
          <w:rPr>
            <w:rStyle w:val="Hyperlink"/>
            <w:szCs w:val="18"/>
          </w:rPr>
          <w:t>https://doi.org/10.1016/j.oneear.2021.04.015</w:t>
        </w:r>
      </w:hyperlink>
      <w:r w:rsidRPr="00F70554">
        <w:rPr>
          <w:szCs w:val="18"/>
        </w:rPr>
        <w:t xml:space="preserve"> </w:t>
      </w:r>
    </w:p>
  </w:footnote>
  <w:footnote w:id="107">
    <w:p w14:paraId="4C608A7E"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Bradley, B.A., et al. (2012). Global change, global trade, and the next wave of plant invasions. </w:t>
      </w:r>
      <w:r w:rsidRPr="00F70554">
        <w:rPr>
          <w:i/>
          <w:iCs/>
          <w:szCs w:val="18"/>
        </w:rPr>
        <w:t>Frontiers in Ecology and the Environment</w:t>
      </w:r>
      <w:r w:rsidRPr="00F70554">
        <w:rPr>
          <w:szCs w:val="18"/>
        </w:rPr>
        <w:t xml:space="preserve">, </w:t>
      </w:r>
      <w:r w:rsidRPr="00F70554">
        <w:rPr>
          <w:i/>
          <w:iCs/>
          <w:szCs w:val="18"/>
        </w:rPr>
        <w:t>10</w:t>
      </w:r>
      <w:r w:rsidRPr="00F70554">
        <w:rPr>
          <w:szCs w:val="18"/>
        </w:rPr>
        <w:t>(1), 20-28. https://doi.org/10.1890/110145</w:t>
      </w:r>
    </w:p>
  </w:footnote>
  <w:footnote w:id="108">
    <w:p w14:paraId="2EADD8D2" w14:textId="77777777" w:rsidR="00A1531D" w:rsidRPr="00F70554" w:rsidRDefault="00A1531D" w:rsidP="00A1531D">
      <w:pPr>
        <w:pStyle w:val="FootnoteText"/>
      </w:pPr>
      <w:r w:rsidRPr="00F70554">
        <w:rPr>
          <w:rStyle w:val="FootnoteReference"/>
        </w:rPr>
        <w:footnoteRef/>
      </w:r>
      <w:r w:rsidRPr="00F70554">
        <w:t xml:space="preserve"> </w:t>
      </w:r>
      <w:r w:rsidRPr="00F70554">
        <w:rPr>
          <w:szCs w:val="18"/>
        </w:rPr>
        <w:t xml:space="preserve">Humair, F. et al. (2015). E-commerce trade in invasive plants. </w:t>
      </w:r>
      <w:r w:rsidRPr="00F70554">
        <w:rPr>
          <w:i/>
          <w:iCs/>
          <w:szCs w:val="18"/>
        </w:rPr>
        <w:t>Conservation Biology</w:t>
      </w:r>
      <w:r w:rsidRPr="00F70554">
        <w:rPr>
          <w:szCs w:val="18"/>
        </w:rPr>
        <w:t xml:space="preserve">, </w:t>
      </w:r>
      <w:r w:rsidRPr="00F70554">
        <w:rPr>
          <w:i/>
          <w:iCs/>
          <w:szCs w:val="18"/>
        </w:rPr>
        <w:t>29</w:t>
      </w:r>
      <w:r w:rsidRPr="00F70554">
        <w:rPr>
          <w:szCs w:val="18"/>
        </w:rPr>
        <w:t>(6), 1658-1665. https://doi.org/10.1111/cobi.12579</w:t>
      </w:r>
    </w:p>
  </w:footnote>
  <w:footnote w:id="109">
    <w:p w14:paraId="5E63A9FB" w14:textId="77777777" w:rsidR="00A1531D" w:rsidRPr="001D795A" w:rsidRDefault="00A1531D" w:rsidP="00A1531D">
      <w:pPr>
        <w:pStyle w:val="FootnoteText"/>
        <w:rPr>
          <w:lang w:val="fr-FR"/>
        </w:rPr>
      </w:pPr>
      <w:r w:rsidRPr="00F70554">
        <w:rPr>
          <w:rStyle w:val="FootnoteReference"/>
        </w:rPr>
        <w:footnoteRef/>
      </w:r>
      <w:r w:rsidRPr="00F70554">
        <w:t xml:space="preserve"> </w:t>
      </w:r>
      <w:r w:rsidRPr="00F70554">
        <w:rPr>
          <w:szCs w:val="18"/>
        </w:rPr>
        <w:t xml:space="preserve">Toomes, A. et al. (2023). A snapshot of online wildlife trade: Australian e-commerce trade of native and non-native pets. </w:t>
      </w:r>
      <w:proofErr w:type="spellStart"/>
      <w:r w:rsidRPr="001D795A">
        <w:rPr>
          <w:i/>
          <w:iCs/>
          <w:szCs w:val="18"/>
          <w:lang w:val="fr-FR"/>
        </w:rPr>
        <w:t>Biological</w:t>
      </w:r>
      <w:proofErr w:type="spellEnd"/>
      <w:r w:rsidRPr="001D795A">
        <w:rPr>
          <w:i/>
          <w:iCs/>
          <w:szCs w:val="18"/>
          <w:lang w:val="fr-FR"/>
        </w:rPr>
        <w:t xml:space="preserve"> Conservation</w:t>
      </w:r>
      <w:r w:rsidRPr="001D795A">
        <w:rPr>
          <w:szCs w:val="18"/>
          <w:lang w:val="fr-FR"/>
        </w:rPr>
        <w:t xml:space="preserve">, </w:t>
      </w:r>
      <w:r w:rsidRPr="001D795A">
        <w:rPr>
          <w:i/>
          <w:iCs/>
          <w:szCs w:val="18"/>
          <w:lang w:val="fr-FR"/>
        </w:rPr>
        <w:t>282</w:t>
      </w:r>
      <w:r w:rsidRPr="001D795A">
        <w:rPr>
          <w:szCs w:val="18"/>
          <w:lang w:val="fr-FR"/>
        </w:rPr>
        <w:t xml:space="preserve">, 110040. </w:t>
      </w:r>
      <w:hyperlink r:id="rId101" w:history="1">
        <w:r w:rsidRPr="001D795A">
          <w:rPr>
            <w:rStyle w:val="Hyperlink"/>
            <w:szCs w:val="18"/>
            <w:lang w:val="fr-FR"/>
          </w:rPr>
          <w:t>https://doi.org/10.1016/j.biocon.2023.110040</w:t>
        </w:r>
      </w:hyperlink>
      <w:r w:rsidRPr="001D795A">
        <w:rPr>
          <w:szCs w:val="18"/>
          <w:lang w:val="fr-FR"/>
        </w:rPr>
        <w:t xml:space="preserve"> </w:t>
      </w:r>
    </w:p>
  </w:footnote>
  <w:footnote w:id="110">
    <w:p w14:paraId="307CFD24" w14:textId="77777777" w:rsidR="00A1531D" w:rsidRPr="00F70554" w:rsidRDefault="00A1531D" w:rsidP="00A1531D">
      <w:pPr>
        <w:pStyle w:val="FootnoteText"/>
      </w:pPr>
      <w:r w:rsidRPr="00F70554">
        <w:rPr>
          <w:rStyle w:val="FootnoteReference"/>
          <w:szCs w:val="18"/>
        </w:rPr>
        <w:footnoteRef/>
      </w:r>
      <w:r w:rsidRPr="001D795A">
        <w:rPr>
          <w:szCs w:val="18"/>
          <w:lang w:val="fr-FR"/>
        </w:rPr>
        <w:t xml:space="preserve"> </w:t>
      </w:r>
      <w:proofErr w:type="spellStart"/>
      <w:r w:rsidRPr="001D795A">
        <w:rPr>
          <w:szCs w:val="18"/>
          <w:lang w:val="fr-FR"/>
        </w:rPr>
        <w:t>Cerri</w:t>
      </w:r>
      <w:proofErr w:type="spellEnd"/>
      <w:r w:rsidRPr="001D795A">
        <w:rPr>
          <w:szCs w:val="18"/>
          <w:lang w:val="fr-FR"/>
        </w:rPr>
        <w:t xml:space="preserve">, J., et al. </w:t>
      </w:r>
      <w:r w:rsidRPr="00F70554">
        <w:rPr>
          <w:szCs w:val="18"/>
        </w:rPr>
        <w:t xml:space="preserve">(2022) ﻿Blacklists do not necessarily make people curious about invasive alien species. A case study with Bayesian structural time series and Wikipedia searches about invasive mammals in Italy. </w:t>
      </w:r>
      <w:proofErr w:type="spellStart"/>
      <w:r w:rsidRPr="00F70554">
        <w:rPr>
          <w:i/>
          <w:iCs/>
          <w:szCs w:val="18"/>
        </w:rPr>
        <w:t>NeoBiota</w:t>
      </w:r>
      <w:proofErr w:type="spellEnd"/>
      <w:r w:rsidRPr="00F70554">
        <w:rPr>
          <w:szCs w:val="18"/>
        </w:rPr>
        <w:t xml:space="preserve"> 71: 113-128. </w:t>
      </w:r>
      <w:hyperlink r:id="rId102" w:tgtFrame="_blank" w:history="1">
        <w:r w:rsidRPr="00F70554">
          <w:rPr>
            <w:rStyle w:val="Hyperlink"/>
            <w:szCs w:val="18"/>
          </w:rPr>
          <w:t>https://doi.org/10.3897/neobiota.71.69422</w:t>
        </w:r>
      </w:hyperlink>
    </w:p>
  </w:footnote>
  <w:footnote w:id="111">
    <w:p w14:paraId="46082AB0" w14:textId="77777777" w:rsidR="00A1531D" w:rsidRPr="00F70554" w:rsidRDefault="00A1531D" w:rsidP="00A1531D">
      <w:pPr>
        <w:pStyle w:val="FootnoteText"/>
      </w:pPr>
      <w:r w:rsidRPr="00F70554">
        <w:rPr>
          <w:rStyle w:val="FootnoteReference"/>
          <w:szCs w:val="18"/>
        </w:rPr>
        <w:footnoteRef/>
      </w:r>
      <w:r w:rsidRPr="00F70554">
        <w:rPr>
          <w:szCs w:val="18"/>
        </w:rPr>
        <w:t xml:space="preserve"> Hulme, P.E. (2020). One Biosecurity: A unified concept to integrate human, animal, plant, and environmental health. Emerging Topics in Life Sciences, Vol 4, Issue 5 </w:t>
      </w:r>
      <w:hyperlink r:id="rId103" w:tgtFrame="_blank" w:history="1">
        <w:r w:rsidRPr="00F70554">
          <w:rPr>
            <w:rStyle w:val="Hyperlink"/>
            <w:szCs w:val="18"/>
          </w:rPr>
          <w:t>https://doi.org/10.1042/ETLS20200067</w:t>
        </w:r>
      </w:hyperlink>
    </w:p>
  </w:footnote>
  <w:footnote w:id="112">
    <w:p w14:paraId="425A8F42" w14:textId="77777777" w:rsidR="00A1531D" w:rsidRPr="00F70554" w:rsidRDefault="00A1531D" w:rsidP="00A1531D">
      <w:pPr>
        <w:pStyle w:val="FootnoteText"/>
      </w:pPr>
      <w:r w:rsidRPr="00F70554">
        <w:rPr>
          <w:rStyle w:val="FootnoteReference"/>
          <w:szCs w:val="18"/>
        </w:rPr>
        <w:footnoteRef/>
      </w:r>
      <w:r w:rsidRPr="00F70554">
        <w:rPr>
          <w:szCs w:val="18"/>
        </w:rPr>
        <w:t xml:space="preserve"> Hulme, P.E. (2021). Unwelcome exchange: International trade as a direct and indirect driver of biological invasions worldwide. </w:t>
      </w:r>
      <w:r w:rsidRPr="00F70554">
        <w:rPr>
          <w:i/>
          <w:iCs/>
          <w:szCs w:val="18"/>
        </w:rPr>
        <w:t>One Earth</w:t>
      </w:r>
      <w:r w:rsidRPr="00F70554">
        <w:rPr>
          <w:szCs w:val="18"/>
        </w:rPr>
        <w:t xml:space="preserve">, </w:t>
      </w:r>
      <w:r w:rsidRPr="00F70554">
        <w:rPr>
          <w:i/>
          <w:iCs/>
          <w:szCs w:val="18"/>
        </w:rPr>
        <w:t>4</w:t>
      </w:r>
      <w:r w:rsidRPr="00F70554">
        <w:rPr>
          <w:szCs w:val="18"/>
        </w:rPr>
        <w:t xml:space="preserve">(5), 666-679. </w:t>
      </w:r>
      <w:hyperlink r:id="rId104" w:history="1">
        <w:r w:rsidRPr="00F70554">
          <w:rPr>
            <w:rStyle w:val="Hyperlink"/>
            <w:szCs w:val="18"/>
          </w:rPr>
          <w:t>https://doi.org/10.1016/j.oneear.2021.04.015</w:t>
        </w:r>
      </w:hyperlink>
      <w:r w:rsidRPr="00F70554">
        <w:rPr>
          <w:szCs w:val="18"/>
        </w:rPr>
        <w:t xml:space="preserve"> </w:t>
      </w:r>
    </w:p>
  </w:footnote>
  <w:footnote w:id="113">
    <w:p w14:paraId="2736B158"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WOAH standards </w:t>
      </w:r>
      <w:hyperlink r:id="rId105" w:history="1">
        <w:r w:rsidRPr="00F70554">
          <w:rPr>
            <w:rStyle w:val="Hyperlink"/>
            <w:szCs w:val="18"/>
          </w:rPr>
          <w:t>https://www.woah.org/en/what-we-do/standards/</w:t>
        </w:r>
      </w:hyperlink>
      <w:r w:rsidRPr="00F70554">
        <w:rPr>
          <w:szCs w:val="18"/>
        </w:rPr>
        <w:t xml:space="preserve"> </w:t>
      </w:r>
    </w:p>
  </w:footnote>
  <w:footnote w:id="114">
    <w:p w14:paraId="783E32B0" w14:textId="77777777" w:rsidR="00A1531D" w:rsidRPr="00F70554" w:rsidRDefault="00A1531D" w:rsidP="00A1531D">
      <w:pPr>
        <w:pStyle w:val="FootnoteText"/>
      </w:pPr>
      <w:r w:rsidRPr="00F70554">
        <w:rPr>
          <w:rStyle w:val="FootnoteReference"/>
          <w:szCs w:val="18"/>
        </w:rPr>
        <w:footnoteRef/>
      </w:r>
      <w:r w:rsidRPr="00F70554">
        <w:rPr>
          <w:szCs w:val="18"/>
        </w:rPr>
        <w:t xml:space="preserve"> IPPC international Standards for Phytosanitary Measures (ISPMs) </w:t>
      </w:r>
      <w:hyperlink r:id="rId106" w:history="1">
        <w:r w:rsidRPr="00F70554">
          <w:rPr>
            <w:rStyle w:val="Hyperlink"/>
            <w:szCs w:val="18"/>
          </w:rPr>
          <w:t>https://www.ippc.int/en/core-activities/standards-setting/isp</w:t>
        </w:r>
      </w:hyperlink>
      <w:r w:rsidRPr="00F70554">
        <w:rPr>
          <w:szCs w:val="18"/>
        </w:rPr>
        <w:t xml:space="preserve"> </w:t>
      </w:r>
    </w:p>
  </w:footnote>
  <w:footnote w:id="115">
    <w:p w14:paraId="052B9336" w14:textId="77777777" w:rsidR="00A1531D" w:rsidRPr="00F70554" w:rsidRDefault="00A1531D" w:rsidP="00A1531D">
      <w:pPr>
        <w:pStyle w:val="FootnoteText"/>
        <w:rPr>
          <w:szCs w:val="18"/>
        </w:rPr>
      </w:pPr>
      <w:r w:rsidRPr="00F70554">
        <w:rPr>
          <w:rStyle w:val="FootnoteReference"/>
          <w:szCs w:val="18"/>
        </w:rPr>
        <w:footnoteRef/>
      </w:r>
      <w:r w:rsidRPr="00F70554">
        <w:rPr>
          <w:szCs w:val="18"/>
        </w:rPr>
        <w:t xml:space="preserve"> WTO Sanitary and Phytosanitary measures https://www.wto.org/english/tratop_e/sps_e/sps_e.htm </w:t>
      </w:r>
    </w:p>
  </w:footnote>
  <w:footnote w:id="116">
    <w:p w14:paraId="73BB2919" w14:textId="77777777" w:rsidR="00A1531D" w:rsidRPr="00F70554" w:rsidRDefault="00A1531D" w:rsidP="00A1531D">
      <w:pPr>
        <w:pStyle w:val="FootnoteText"/>
      </w:pPr>
      <w:r w:rsidRPr="00F70554">
        <w:rPr>
          <w:rStyle w:val="FootnoteReference"/>
          <w:szCs w:val="18"/>
        </w:rPr>
        <w:footnoteRef/>
      </w:r>
      <w:r w:rsidRPr="00F70554">
        <w:rPr>
          <w:szCs w:val="18"/>
        </w:rPr>
        <w:t xml:space="preserve"> IPPC Sea container supply chains and cleanliness. </w:t>
      </w:r>
      <w:hyperlink r:id="rId107" w:history="1">
        <w:r w:rsidRPr="00F70554">
          <w:rPr>
            <w:rStyle w:val="Hyperlink"/>
            <w:szCs w:val="18"/>
          </w:rPr>
          <w:t>https://www.ippc.int/en/core-activities/capacity-development/sea-containers/</w:t>
        </w:r>
      </w:hyperlink>
      <w:r w:rsidRPr="00F70554">
        <w:rPr>
          <w:szCs w:val="18"/>
        </w:rPr>
        <w:t xml:space="preserve"> </w:t>
      </w:r>
    </w:p>
  </w:footnote>
  <w:footnote w:id="117">
    <w:p w14:paraId="6E24A3E8" w14:textId="77777777" w:rsidR="00A1531D" w:rsidRPr="00F12734" w:rsidRDefault="00A1531D" w:rsidP="00A1531D">
      <w:pPr>
        <w:pStyle w:val="FootnoteText"/>
        <w:rPr>
          <w:lang w:val="fr-FR"/>
        </w:rPr>
      </w:pPr>
      <w:r w:rsidRPr="00F70554">
        <w:rPr>
          <w:rStyle w:val="FootnoteReference"/>
          <w:szCs w:val="18"/>
        </w:rPr>
        <w:footnoteRef/>
      </w:r>
      <w:r w:rsidRPr="00F70554">
        <w:rPr>
          <w:szCs w:val="18"/>
        </w:rPr>
        <w:t xml:space="preserve"> STDF. (2013). International trade and invasive alien species. </w:t>
      </w:r>
      <w:hyperlink r:id="rId108" w:history="1">
        <w:r w:rsidRPr="00F12734">
          <w:rPr>
            <w:rStyle w:val="Hyperlink"/>
            <w:szCs w:val="18"/>
            <w:lang w:val="fr-FR"/>
          </w:rPr>
          <w:t>https://standardsfacility.org/sites/default/files/STDF_IAS_EN_0.pdf</w:t>
        </w:r>
      </w:hyperlink>
      <w:r w:rsidRPr="00F12734">
        <w:rPr>
          <w:szCs w:val="18"/>
          <w:lang w:val="fr-FR"/>
        </w:rPr>
        <w:t xml:space="preserve"> </w:t>
      </w:r>
    </w:p>
  </w:footnote>
  <w:footnote w:id="118">
    <w:p w14:paraId="0EB0F6FE" w14:textId="77777777" w:rsidR="00A1531D" w:rsidRPr="00F70554" w:rsidRDefault="00A1531D" w:rsidP="00A1531D">
      <w:pPr>
        <w:pStyle w:val="FootnoteText"/>
      </w:pPr>
      <w:r w:rsidRPr="00F70554">
        <w:rPr>
          <w:rStyle w:val="FootnoteReference"/>
          <w:szCs w:val="18"/>
        </w:rPr>
        <w:footnoteRef/>
      </w:r>
      <w:r w:rsidRPr="00F12734">
        <w:rPr>
          <w:szCs w:val="18"/>
          <w:lang w:val="fr-FR"/>
        </w:rPr>
        <w:t xml:space="preserve"> </w:t>
      </w:r>
      <w:proofErr w:type="spellStart"/>
      <w:r w:rsidRPr="00F12734">
        <w:rPr>
          <w:szCs w:val="18"/>
          <w:lang w:val="fr-FR"/>
        </w:rPr>
        <w:t>Milián</w:t>
      </w:r>
      <w:proofErr w:type="spellEnd"/>
      <w:r w:rsidRPr="00F12734">
        <w:rPr>
          <w:szCs w:val="18"/>
          <w:lang w:val="fr-FR"/>
        </w:rPr>
        <w:t>-García, Y. </w:t>
      </w:r>
      <w:r w:rsidRPr="00F12734">
        <w:rPr>
          <w:i/>
          <w:iCs/>
          <w:szCs w:val="18"/>
          <w:lang w:val="fr-FR"/>
        </w:rPr>
        <w:t>et al.</w:t>
      </w:r>
      <w:r w:rsidRPr="00F12734">
        <w:rPr>
          <w:szCs w:val="18"/>
          <w:lang w:val="fr-FR"/>
        </w:rPr>
        <w:t> </w:t>
      </w:r>
      <w:r w:rsidRPr="00F70554">
        <w:rPr>
          <w:szCs w:val="18"/>
        </w:rPr>
        <w:t xml:space="preserve">Uncovering the hidden within shipping containers: molecular </w:t>
      </w:r>
      <w:proofErr w:type="spellStart"/>
      <w:r w:rsidRPr="00F70554">
        <w:rPr>
          <w:szCs w:val="18"/>
        </w:rPr>
        <w:t>biosurveillance</w:t>
      </w:r>
      <w:proofErr w:type="spellEnd"/>
      <w:r w:rsidRPr="00F70554">
        <w:rPr>
          <w:szCs w:val="18"/>
        </w:rPr>
        <w:t xml:space="preserve"> confirms a pathway for introducing multiple regulated and invasive species. </w:t>
      </w:r>
      <w:proofErr w:type="spellStart"/>
      <w:r w:rsidRPr="00F70554">
        <w:rPr>
          <w:i/>
          <w:iCs/>
          <w:szCs w:val="18"/>
        </w:rPr>
        <w:t>Biol</w:t>
      </w:r>
      <w:proofErr w:type="spellEnd"/>
      <w:r w:rsidRPr="00F70554">
        <w:rPr>
          <w:i/>
          <w:iCs/>
          <w:szCs w:val="18"/>
        </w:rPr>
        <w:t xml:space="preserve"> Invasions</w:t>
      </w:r>
      <w:r w:rsidRPr="00F70554">
        <w:rPr>
          <w:szCs w:val="18"/>
        </w:rPr>
        <w:t> </w:t>
      </w:r>
      <w:r w:rsidRPr="00F70554">
        <w:rPr>
          <w:b/>
          <w:bCs/>
          <w:szCs w:val="18"/>
        </w:rPr>
        <w:t>27</w:t>
      </w:r>
      <w:r w:rsidRPr="00F70554">
        <w:rPr>
          <w:szCs w:val="18"/>
        </w:rPr>
        <w:t xml:space="preserve">, 91 (2025). </w:t>
      </w:r>
      <w:hyperlink r:id="rId109" w:history="1">
        <w:r w:rsidRPr="00F70554">
          <w:rPr>
            <w:rStyle w:val="Hyperlink"/>
            <w:szCs w:val="18"/>
          </w:rPr>
          <w:t>https://doi.org/10.1007/s10530-025-03549-w</w:t>
        </w:r>
      </w:hyperlink>
      <w:r w:rsidRPr="00F70554">
        <w:rPr>
          <w:szCs w:val="18"/>
        </w:rPr>
        <w:t xml:space="preserve"> </w:t>
      </w:r>
    </w:p>
  </w:footnote>
  <w:footnote w:id="119">
    <w:p w14:paraId="36001D8E" w14:textId="15D56321" w:rsidR="00A1531D" w:rsidRPr="00F70554" w:rsidRDefault="00A1531D" w:rsidP="00A1531D">
      <w:pPr>
        <w:pStyle w:val="FootnoteText"/>
      </w:pPr>
      <w:r w:rsidRPr="00F70554">
        <w:rPr>
          <w:rStyle w:val="FootnoteReference"/>
          <w:szCs w:val="18"/>
        </w:rPr>
        <w:footnoteRef/>
      </w:r>
      <w:r w:rsidRPr="00F70554">
        <w:rPr>
          <w:szCs w:val="18"/>
        </w:rPr>
        <w:t xml:space="preserve"> Including, Darwin core, IUCN EICAT, CBD pathways, impact mechanisms, see Table 2</w:t>
      </w:r>
      <w:r w:rsidR="00115834">
        <w:rPr>
          <w:szCs w:val="18"/>
        </w:rPr>
        <w:t>.</w:t>
      </w:r>
    </w:p>
  </w:footnote>
  <w:footnote w:id="120">
    <w:p w14:paraId="3D7A9BAA" w14:textId="77777777" w:rsidR="00A1531D" w:rsidRPr="00F70554" w:rsidRDefault="00A1531D" w:rsidP="00A1531D">
      <w:pPr>
        <w:pStyle w:val="FootnoteText"/>
      </w:pPr>
      <w:r w:rsidRPr="00F70554">
        <w:rPr>
          <w:rStyle w:val="FootnoteReference"/>
          <w:szCs w:val="18"/>
        </w:rPr>
        <w:footnoteRef/>
      </w:r>
      <w:r w:rsidRPr="00F70554">
        <w:rPr>
          <w:szCs w:val="18"/>
        </w:rPr>
        <w:t xml:space="preserve"> For example, sensitive data requiring the reduction of location resolution.</w:t>
      </w:r>
    </w:p>
  </w:footnote>
  <w:footnote w:id="121">
    <w:p w14:paraId="23B2A2C0" w14:textId="77777777" w:rsidR="00A1531D" w:rsidRPr="00F70554" w:rsidRDefault="00A1531D" w:rsidP="00A1531D">
      <w:pPr>
        <w:pStyle w:val="FootnoteText"/>
      </w:pPr>
      <w:r w:rsidRPr="00F70554">
        <w:rPr>
          <w:rStyle w:val="FootnoteReference"/>
        </w:rPr>
        <w:footnoteRef/>
      </w:r>
      <w:r w:rsidRPr="00F70554">
        <w:t xml:space="preserve"> </w:t>
      </w:r>
      <w:r w:rsidRPr="00F70554">
        <w:rPr>
          <w:szCs w:val="18"/>
        </w:rPr>
        <w:t xml:space="preserve">UK Government. Search Engine Optimisation for data publishers: Best practice guide </w:t>
      </w:r>
      <w:hyperlink r:id="rId110" w:anchor=":~:text=What%20it%20means%20*%20Enhance%20all%20textual,of%20people%20finding%20and%20using%20your%20data" w:history="1">
        <w:r w:rsidRPr="00F70554">
          <w:rPr>
            <w:rStyle w:val="Hyperlink"/>
            <w:szCs w:val="18"/>
          </w:rPr>
          <w:t>https://www.gov.uk/government/publications/search-engine-optimisation-for-publishers-best-practice-guide/search-engine-optimisation-seo-for-data-publishers-best-practice-guide#:~:text=What%20it%20means%20*%20Enhance%20all%20textual,of%20people%20finding%20and%20using%20your%20data</w:t>
        </w:r>
      </w:hyperlink>
      <w:r w:rsidRPr="00F70554">
        <w:rPr>
          <w:szCs w:val="18"/>
        </w:rPr>
        <w:t xml:space="preserve">. </w:t>
      </w:r>
    </w:p>
  </w:footnote>
  <w:footnote w:id="122">
    <w:p w14:paraId="68D4FFC8" w14:textId="5652928F" w:rsidR="00A1531D" w:rsidRPr="00F70554" w:rsidRDefault="00A1531D" w:rsidP="00A1531D">
      <w:pPr>
        <w:pStyle w:val="FootnoteText"/>
      </w:pPr>
      <w:r w:rsidRPr="00F70554">
        <w:rPr>
          <w:rStyle w:val="FootnoteReference"/>
          <w:szCs w:val="18"/>
        </w:rPr>
        <w:footnoteRef/>
      </w:r>
      <w:r w:rsidRPr="00F70554">
        <w:rPr>
          <w:szCs w:val="18"/>
        </w:rPr>
        <w:t xml:space="preserve"> Ramírez-Castañeda, V. (2020). Disadvantages in preparing and publishing scientific papers caused by the dominance of the English language in science: The case of Colombian researchers in biological sciences. </w:t>
      </w:r>
      <w:r w:rsidRPr="00F12734">
        <w:rPr>
          <w:i/>
          <w:iCs/>
          <w:szCs w:val="18"/>
        </w:rPr>
        <w:t>PLOS ONE</w:t>
      </w:r>
      <w:r w:rsidRPr="00F12734">
        <w:rPr>
          <w:szCs w:val="18"/>
        </w:rPr>
        <w:t xml:space="preserve">, </w:t>
      </w:r>
      <w:r w:rsidRPr="00F12734">
        <w:rPr>
          <w:i/>
          <w:iCs/>
          <w:szCs w:val="18"/>
        </w:rPr>
        <w:t>15</w:t>
      </w:r>
      <w:r w:rsidRPr="00F12734">
        <w:rPr>
          <w:szCs w:val="18"/>
        </w:rPr>
        <w:t xml:space="preserve">(9), e0238372. </w:t>
      </w:r>
      <w:hyperlink r:id="rId111" w:history="1">
        <w:r w:rsidRPr="00F70554">
          <w:rPr>
            <w:rStyle w:val="Hyperlink"/>
            <w:szCs w:val="18"/>
          </w:rPr>
          <w:t>https://doi.org/10.1371/journal.pone.0238372</w:t>
        </w:r>
      </w:hyperlink>
      <w:r w:rsidRPr="00F70554">
        <w:rPr>
          <w:szCs w:val="18"/>
        </w:rPr>
        <w:t xml:space="preserve"> </w:t>
      </w:r>
    </w:p>
  </w:footnote>
  <w:footnote w:id="123">
    <w:p w14:paraId="4E6590FE" w14:textId="77777777" w:rsidR="00A1531D" w:rsidRPr="00F70554" w:rsidRDefault="00A1531D" w:rsidP="00A1531D">
      <w:pPr>
        <w:pStyle w:val="FootnoteText"/>
      </w:pPr>
      <w:r w:rsidRPr="00F70554">
        <w:rPr>
          <w:rStyle w:val="FootnoteReference"/>
          <w:szCs w:val="18"/>
        </w:rPr>
        <w:footnoteRef/>
      </w:r>
      <w:r w:rsidRPr="00F70554">
        <w:rPr>
          <w:szCs w:val="18"/>
        </w:rPr>
        <w:t xml:space="preserve"> For example, the GBIF Alert System developed by the Research Institute for Nature and Forest (INBO) </w:t>
      </w:r>
      <w:hyperlink r:id="rId112" w:anchor="gbifalert" w:history="1">
        <w:r w:rsidRPr="00F70554">
          <w:rPr>
            <w:rStyle w:val="Hyperlink"/>
            <w:szCs w:val="18"/>
          </w:rPr>
          <w:t>https://www.gbif.org/news/EQgUzZ4YA75BSeLs1naI9/belgian-built-gbif-alert-system-wins-the-2023-ebbe-nielsen-challenge#gbifalert</w:t>
        </w:r>
      </w:hyperlink>
      <w:r w:rsidRPr="00F70554">
        <w:rPr>
          <w:szCs w:val="18"/>
        </w:rPr>
        <w:t xml:space="preserve"> </w:t>
      </w:r>
    </w:p>
  </w:footnote>
  <w:footnote w:id="124">
    <w:p w14:paraId="06EF5E77" w14:textId="0BD57B6B" w:rsidR="00A1531D" w:rsidRPr="00F70554" w:rsidRDefault="00A1531D" w:rsidP="00F12734">
      <w:r w:rsidRPr="00F70554">
        <w:rPr>
          <w:rStyle w:val="FootnoteReference"/>
        </w:rPr>
        <w:footnoteRef/>
      </w:r>
      <w:r w:rsidRPr="001D795A">
        <w:rPr>
          <w:lang w:val="fr-FR"/>
        </w:rPr>
        <w:t xml:space="preserve"> </w:t>
      </w:r>
      <w:proofErr w:type="spellStart"/>
      <w:r w:rsidRPr="001D795A">
        <w:rPr>
          <w:sz w:val="18"/>
          <w:szCs w:val="18"/>
          <w:lang w:val="fr-FR"/>
        </w:rPr>
        <w:t>Binley</w:t>
      </w:r>
      <w:proofErr w:type="spellEnd"/>
      <w:r w:rsidRPr="001D795A">
        <w:rPr>
          <w:sz w:val="18"/>
          <w:szCs w:val="18"/>
          <w:lang w:val="fr-FR"/>
        </w:rPr>
        <w:t>, A.D., et al. </w:t>
      </w:r>
      <w:r w:rsidRPr="00F70554">
        <w:rPr>
          <w:sz w:val="18"/>
          <w:szCs w:val="18"/>
        </w:rPr>
        <w:t>(2024). Making the most of existing data in conservation research. </w:t>
      </w:r>
      <w:r w:rsidRPr="00F70554">
        <w:rPr>
          <w:i/>
          <w:iCs/>
          <w:sz w:val="18"/>
          <w:szCs w:val="18"/>
        </w:rPr>
        <w:t>Perspectives in Ecology and Conservation</w:t>
      </w:r>
      <w:r w:rsidRPr="00F70554">
        <w:rPr>
          <w:sz w:val="18"/>
          <w:szCs w:val="18"/>
        </w:rPr>
        <w:t>, </w:t>
      </w:r>
      <w:r w:rsidRPr="00F70554">
        <w:rPr>
          <w:i/>
          <w:iCs/>
          <w:sz w:val="18"/>
          <w:szCs w:val="18"/>
        </w:rPr>
        <w:t>22</w:t>
      </w:r>
      <w:r w:rsidRPr="00F70554">
        <w:rPr>
          <w:sz w:val="18"/>
          <w:szCs w:val="18"/>
        </w:rPr>
        <w:t>(2), 122-128. </w:t>
      </w:r>
      <w:hyperlink r:id="rId113" w:history="1">
        <w:r w:rsidRPr="00F70554">
          <w:rPr>
            <w:rStyle w:val="Hyperlink"/>
            <w:sz w:val="18"/>
            <w:szCs w:val="18"/>
          </w:rPr>
          <w:t>https://doi.org/10.1016/j.pecon.2023.11.004</w:t>
        </w:r>
      </w:hyperlink>
    </w:p>
  </w:footnote>
  <w:footnote w:id="125">
    <w:p w14:paraId="2807B97F" w14:textId="77777777" w:rsidR="00A1531D" w:rsidRPr="00F70554" w:rsidRDefault="00A1531D" w:rsidP="00A1531D">
      <w:pPr>
        <w:pStyle w:val="FootnoteText"/>
      </w:pPr>
      <w:r w:rsidRPr="00F70554">
        <w:rPr>
          <w:rStyle w:val="FootnoteReference"/>
          <w:szCs w:val="18"/>
        </w:rPr>
        <w:footnoteRef/>
      </w:r>
      <w:r w:rsidRPr="00F70554">
        <w:rPr>
          <w:szCs w:val="18"/>
        </w:rPr>
        <w:t xml:space="preserve"> Convention on Biological Diversity Website on Invasive Alien Species </w:t>
      </w:r>
      <w:hyperlink r:id="rId114" w:history="1">
        <w:r w:rsidRPr="00F70554">
          <w:rPr>
            <w:rStyle w:val="Hyperlink"/>
            <w:szCs w:val="18"/>
          </w:rPr>
          <w:t>https://www.cbd.int/invasive</w:t>
        </w:r>
      </w:hyperlink>
      <w:r w:rsidRPr="00F70554">
        <w:rPr>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56C7" w14:textId="3AC339D5" w:rsidR="00957FA1" w:rsidRPr="00F70554" w:rsidRDefault="00957FA1">
    <w:pPr>
      <w:pStyle w:val="Header"/>
    </w:pPr>
    <w:r w:rsidRPr="00F12734">
      <w:t>CBD/SBSTTA/27/INF/3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066" w14:textId="532BC6EC" w:rsidR="002C5837" w:rsidRDefault="002C5837" w:rsidP="00F12734">
    <w:pPr>
      <w:pStyle w:val="Header"/>
      <w:jc w:val="right"/>
    </w:pPr>
    <w:r w:rsidRPr="00EB4E89">
      <w:t>CBD/SBSTTA/27/INF/3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1AE24" w14:textId="687CF95B" w:rsidR="00957FA1" w:rsidRPr="00DC7CFA" w:rsidRDefault="00957FA1" w:rsidP="00F12734">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F7685" w14:textId="40B02667" w:rsidR="00A1531D" w:rsidRPr="00F75C4F" w:rsidRDefault="000D59A2">
    <w:pPr>
      <w:pStyle w:val="Header"/>
    </w:pPr>
    <w:r w:rsidRPr="00EB4E89">
      <w:t>CBD/SBSTTA/27/INF/3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9467" w14:textId="73CD4428" w:rsidR="00A1531D" w:rsidRPr="00F75C4F" w:rsidRDefault="00930265" w:rsidP="00F12734">
    <w:pPr>
      <w:pStyle w:val="Header"/>
      <w:jc w:val="right"/>
    </w:pPr>
    <w:r w:rsidRPr="00EB4E89">
      <w:t>CBD/SBSTTA/27/INF/3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C736B" w14:textId="48C07A85" w:rsidR="00A1531D" w:rsidRPr="00F75C4F" w:rsidRDefault="00654BBA">
    <w:pPr>
      <w:pStyle w:val="Header"/>
    </w:pPr>
    <w:r w:rsidRPr="00EB4E89">
      <w:t>CBD/SBSTTA/27/INF/3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BDD9" w14:textId="05D7BDE7" w:rsidR="00C81618" w:rsidRPr="00C65DE4" w:rsidRDefault="00C81618" w:rsidP="005F3293">
    <w:pPr>
      <w:pStyle w:val="Header"/>
      <w:spacing w:after="240"/>
    </w:pPr>
    <w:r w:rsidRPr="00C65DE4">
      <w:t>CBD/SBSTTA/27/INF/</w:t>
    </w:r>
    <w:r w:rsidR="008B5EBE">
      <w:t>3</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F180" w14:textId="409D03FC" w:rsidR="00C81618" w:rsidRPr="00C65DE4" w:rsidRDefault="00C81618" w:rsidP="005F3293">
    <w:pPr>
      <w:pStyle w:val="Header"/>
      <w:spacing w:after="240"/>
      <w:jc w:val="right"/>
    </w:pPr>
    <w:r w:rsidRPr="00C65DE4">
      <w:t>CBD/SBSTTA/27/INF/</w:t>
    </w:r>
    <w:r w:rsidR="008B5EBE">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65E6EF5"/>
    <w:multiLevelType w:val="hybridMultilevel"/>
    <w:tmpl w:val="1E921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C734326"/>
    <w:multiLevelType w:val="hybridMultilevel"/>
    <w:tmpl w:val="03FAE5A8"/>
    <w:lvl w:ilvl="0" w:tplc="08090001">
      <w:start w:val="1"/>
      <w:numFmt w:val="bullet"/>
      <w:lvlText w:val=""/>
      <w:lvlJc w:val="left"/>
      <w:pPr>
        <w:tabs>
          <w:tab w:val="num" w:pos="720"/>
        </w:tabs>
        <w:ind w:left="720" w:hanging="360"/>
      </w:pPr>
      <w:rPr>
        <w:rFonts w:ascii="Symbol" w:hAnsi="Symbol" w:hint="default"/>
      </w:rPr>
    </w:lvl>
    <w:lvl w:ilvl="1" w:tplc="BAAE1B88">
      <w:start w:val="1"/>
      <w:numFmt w:val="lowerRoman"/>
      <w:lvlText w:val="%2."/>
      <w:lvlJc w:val="right"/>
      <w:pPr>
        <w:tabs>
          <w:tab w:val="num" w:pos="1440"/>
        </w:tabs>
        <w:ind w:left="1440" w:hanging="360"/>
      </w:pPr>
    </w:lvl>
    <w:lvl w:ilvl="2" w:tplc="F5E619E2">
      <w:start w:val="3"/>
      <w:numFmt w:val="bullet"/>
      <w:lvlText w:val="-"/>
      <w:lvlJc w:val="left"/>
      <w:pPr>
        <w:ind w:left="2160" w:hanging="360"/>
      </w:pPr>
      <w:rPr>
        <w:rFonts w:ascii="Calibri" w:eastAsiaTheme="minorHAnsi" w:hAnsi="Calibri" w:cs="Calibri" w:hint="default"/>
      </w:rPr>
    </w:lvl>
    <w:lvl w:ilvl="3" w:tplc="A2E265CA" w:tentative="1">
      <w:start w:val="1"/>
      <w:numFmt w:val="lowerRoman"/>
      <w:lvlText w:val="%4."/>
      <w:lvlJc w:val="right"/>
      <w:pPr>
        <w:tabs>
          <w:tab w:val="num" w:pos="2880"/>
        </w:tabs>
        <w:ind w:left="2880" w:hanging="360"/>
      </w:pPr>
    </w:lvl>
    <w:lvl w:ilvl="4" w:tplc="5A68B8E8" w:tentative="1">
      <w:start w:val="1"/>
      <w:numFmt w:val="lowerRoman"/>
      <w:lvlText w:val="%5."/>
      <w:lvlJc w:val="right"/>
      <w:pPr>
        <w:tabs>
          <w:tab w:val="num" w:pos="3600"/>
        </w:tabs>
        <w:ind w:left="3600" w:hanging="360"/>
      </w:pPr>
    </w:lvl>
    <w:lvl w:ilvl="5" w:tplc="463017C0" w:tentative="1">
      <w:start w:val="1"/>
      <w:numFmt w:val="lowerRoman"/>
      <w:lvlText w:val="%6."/>
      <w:lvlJc w:val="right"/>
      <w:pPr>
        <w:tabs>
          <w:tab w:val="num" w:pos="4320"/>
        </w:tabs>
        <w:ind w:left="4320" w:hanging="360"/>
      </w:pPr>
    </w:lvl>
    <w:lvl w:ilvl="6" w:tplc="A8EABED6" w:tentative="1">
      <w:start w:val="1"/>
      <w:numFmt w:val="lowerRoman"/>
      <w:lvlText w:val="%7."/>
      <w:lvlJc w:val="right"/>
      <w:pPr>
        <w:tabs>
          <w:tab w:val="num" w:pos="5040"/>
        </w:tabs>
        <w:ind w:left="5040" w:hanging="360"/>
      </w:pPr>
    </w:lvl>
    <w:lvl w:ilvl="7" w:tplc="B6EAB4E8" w:tentative="1">
      <w:start w:val="1"/>
      <w:numFmt w:val="lowerRoman"/>
      <w:lvlText w:val="%8."/>
      <w:lvlJc w:val="right"/>
      <w:pPr>
        <w:tabs>
          <w:tab w:val="num" w:pos="5760"/>
        </w:tabs>
        <w:ind w:left="5760" w:hanging="360"/>
      </w:pPr>
    </w:lvl>
    <w:lvl w:ilvl="8" w:tplc="9A5AED7C" w:tentative="1">
      <w:start w:val="1"/>
      <w:numFmt w:val="lowerRoman"/>
      <w:lvlText w:val="%9."/>
      <w:lvlJc w:val="right"/>
      <w:pPr>
        <w:tabs>
          <w:tab w:val="num" w:pos="6480"/>
        </w:tabs>
        <w:ind w:left="6480" w:hanging="360"/>
      </w:pPr>
    </w:lvl>
  </w:abstractNum>
  <w:abstractNum w:abstractNumId="17" w15:restartNumberingAfterBreak="0">
    <w:nsid w:val="0FA0170D"/>
    <w:multiLevelType w:val="multilevel"/>
    <w:tmpl w:val="222A08B4"/>
    <w:numStyleLink w:val="ListCBD"/>
  </w:abstractNum>
  <w:abstractNum w:abstractNumId="18" w15:restartNumberingAfterBreak="0">
    <w:nsid w:val="12144674"/>
    <w:multiLevelType w:val="hybridMultilevel"/>
    <w:tmpl w:val="7DD622C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3F597BD6"/>
    <w:multiLevelType w:val="multilevel"/>
    <w:tmpl w:val="63FE7D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4E880595"/>
    <w:multiLevelType w:val="multilevel"/>
    <w:tmpl w:val="222A08B4"/>
    <w:numStyleLink w:val="ListCBD"/>
  </w:abstractNum>
  <w:abstractNum w:abstractNumId="35" w15:restartNumberingAfterBreak="0">
    <w:nsid w:val="52A66A9D"/>
    <w:multiLevelType w:val="multilevel"/>
    <w:tmpl w:val="222A08B4"/>
    <w:numStyleLink w:val="ListCBD"/>
  </w:abstractNum>
  <w:abstractNum w:abstractNumId="3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BBD3C8E"/>
    <w:multiLevelType w:val="hybridMultilevel"/>
    <w:tmpl w:val="B5CE1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943BEE"/>
    <w:multiLevelType w:val="multilevel"/>
    <w:tmpl w:val="222A08B4"/>
    <w:numStyleLink w:val="ListCBD"/>
  </w:abstractNum>
  <w:abstractNum w:abstractNumId="41" w15:restartNumberingAfterBreak="0">
    <w:nsid w:val="5E5E7D7D"/>
    <w:multiLevelType w:val="hybridMultilevel"/>
    <w:tmpl w:val="DF0C6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15:restartNumberingAfterBreak="0">
    <w:nsid w:val="66C5563F"/>
    <w:multiLevelType w:val="hybridMultilevel"/>
    <w:tmpl w:val="FF561A7A"/>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8B70991"/>
    <w:multiLevelType w:val="multilevel"/>
    <w:tmpl w:val="222A08B4"/>
    <w:numStyleLink w:val="ListCBD"/>
  </w:abstractNum>
  <w:abstractNum w:abstractNumId="45" w15:restartNumberingAfterBreak="0">
    <w:nsid w:val="6CD030E2"/>
    <w:multiLevelType w:val="multilevel"/>
    <w:tmpl w:val="9B2C8FA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446960"/>
    <w:multiLevelType w:val="multilevel"/>
    <w:tmpl w:val="C1FEE98E"/>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A7814D0"/>
    <w:multiLevelType w:val="hybridMultilevel"/>
    <w:tmpl w:val="4E2A3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7521325">
    <w:abstractNumId w:val="48"/>
  </w:num>
  <w:num w:numId="2" w16cid:durableId="1888835227">
    <w:abstractNumId w:val="33"/>
  </w:num>
  <w:num w:numId="3" w16cid:durableId="1268004112">
    <w:abstractNumId w:val="46"/>
  </w:num>
  <w:num w:numId="4" w16cid:durableId="1627851340">
    <w:abstractNumId w:val="26"/>
  </w:num>
  <w:num w:numId="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5093693">
    <w:abstractNumId w:val="45"/>
  </w:num>
  <w:num w:numId="7" w16cid:durableId="965038358">
    <w:abstractNumId w:val="16"/>
  </w:num>
  <w:num w:numId="8" w16cid:durableId="1411805182">
    <w:abstractNumId w:val="30"/>
  </w:num>
  <w:num w:numId="9" w16cid:durableId="1190795030">
    <w:abstractNumId w:val="47"/>
  </w:num>
  <w:num w:numId="10" w16cid:durableId="1515919640">
    <w:abstractNumId w:val="41"/>
  </w:num>
  <w:num w:numId="11" w16cid:durableId="283535876">
    <w:abstractNumId w:val="18"/>
  </w:num>
  <w:num w:numId="12" w16cid:durableId="137190612">
    <w:abstractNumId w:val="43"/>
  </w:num>
  <w:num w:numId="13" w16cid:durableId="258802477">
    <w:abstractNumId w:val="50"/>
  </w:num>
  <w:num w:numId="14" w16cid:durableId="357660745">
    <w:abstractNumId w:val="39"/>
  </w:num>
  <w:num w:numId="15" w16cid:durableId="1551304170">
    <w:abstractNumId w:val="15"/>
  </w:num>
  <w:num w:numId="16" w16cid:durableId="16622717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5044361">
    <w:abstractNumId w:val="29"/>
  </w:num>
  <w:num w:numId="18" w16cid:durableId="166874118">
    <w:abstractNumId w:val="42"/>
  </w:num>
  <w:num w:numId="19" w16cid:durableId="560672902">
    <w:abstractNumId w:val="14"/>
  </w:num>
  <w:num w:numId="20" w16cid:durableId="1933662228">
    <w:abstractNumId w:val="28"/>
  </w:num>
  <w:num w:numId="21" w16cid:durableId="1991909117">
    <w:abstractNumId w:val="11"/>
  </w:num>
  <w:num w:numId="22" w16cid:durableId="1138956019">
    <w:abstractNumId w:val="21"/>
  </w:num>
  <w:num w:numId="23" w16cid:durableId="607395260">
    <w:abstractNumId w:val="9"/>
  </w:num>
  <w:num w:numId="24" w16cid:durableId="98110136">
    <w:abstractNumId w:val="7"/>
  </w:num>
  <w:num w:numId="25" w16cid:durableId="920676582">
    <w:abstractNumId w:val="6"/>
  </w:num>
  <w:num w:numId="26" w16cid:durableId="447286378">
    <w:abstractNumId w:val="5"/>
  </w:num>
  <w:num w:numId="27" w16cid:durableId="1532258362">
    <w:abstractNumId w:val="4"/>
  </w:num>
  <w:num w:numId="28" w16cid:durableId="1587106058">
    <w:abstractNumId w:val="8"/>
  </w:num>
  <w:num w:numId="29" w16cid:durableId="1646355732">
    <w:abstractNumId w:val="3"/>
  </w:num>
  <w:num w:numId="30" w16cid:durableId="2006930253">
    <w:abstractNumId w:val="2"/>
  </w:num>
  <w:num w:numId="31" w16cid:durableId="1811677887">
    <w:abstractNumId w:val="1"/>
  </w:num>
  <w:num w:numId="32" w16cid:durableId="537353487">
    <w:abstractNumId w:val="0"/>
  </w:num>
  <w:num w:numId="33" w16cid:durableId="2069499237">
    <w:abstractNumId w:val="44"/>
  </w:num>
  <w:num w:numId="34" w16cid:durableId="158270868">
    <w:abstractNumId w:val="49"/>
  </w:num>
  <w:num w:numId="35" w16cid:durableId="159275565">
    <w:abstractNumId w:val="23"/>
  </w:num>
  <w:num w:numId="36" w16cid:durableId="271714945">
    <w:abstractNumId w:val="24"/>
  </w:num>
  <w:num w:numId="37" w16cid:durableId="1638680439">
    <w:abstractNumId w:val="44"/>
    <w:lvlOverride w:ilvl="0">
      <w:startOverride w:val="1"/>
    </w:lvlOverride>
  </w:num>
  <w:num w:numId="38" w16cid:durableId="1865050652">
    <w:abstractNumId w:val="35"/>
  </w:num>
  <w:num w:numId="39" w16cid:durableId="152986975">
    <w:abstractNumId w:val="32"/>
  </w:num>
  <w:num w:numId="40" w16cid:durableId="1295136099">
    <w:abstractNumId w:val="38"/>
  </w:num>
  <w:num w:numId="41" w16cid:durableId="80179172">
    <w:abstractNumId w:val="37"/>
  </w:num>
  <w:num w:numId="42" w16cid:durableId="20679887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71076976">
    <w:abstractNumId w:val="17"/>
  </w:num>
  <w:num w:numId="44" w16cid:durableId="939752621">
    <w:abstractNumId w:val="34"/>
  </w:num>
  <w:num w:numId="45" w16cid:durableId="855196379">
    <w:abstractNumId w:val="20"/>
  </w:num>
  <w:num w:numId="46" w16cid:durableId="14668533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01917413">
    <w:abstractNumId w:val="22"/>
  </w:num>
  <w:num w:numId="48" w16cid:durableId="708722651">
    <w:abstractNumId w:val="10"/>
  </w:num>
  <w:num w:numId="49" w16cid:durableId="21364124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652312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8112374">
    <w:abstractNumId w:val="12"/>
  </w:num>
  <w:num w:numId="52" w16cid:durableId="1607615596">
    <w:abstractNumId w:val="25"/>
  </w:num>
  <w:num w:numId="53" w16cid:durableId="643118139">
    <w:abstractNumId w:val="25"/>
    <w:lvlOverride w:ilvl="0">
      <w:startOverride w:val="1"/>
    </w:lvlOverride>
  </w:num>
  <w:num w:numId="54" w16cid:durableId="820851909">
    <w:abstractNumId w:val="25"/>
    <w:lvlOverride w:ilvl="0">
      <w:startOverride w:val="1"/>
    </w:lvlOverride>
  </w:num>
  <w:num w:numId="55" w16cid:durableId="709648587">
    <w:abstractNumId w:val="25"/>
    <w:lvlOverride w:ilvl="0">
      <w:startOverride w:val="1"/>
    </w:lvlOverride>
  </w:num>
  <w:num w:numId="56" w16cid:durableId="1353799543">
    <w:abstractNumId w:val="27"/>
  </w:num>
  <w:num w:numId="57" w16cid:durableId="1570270110">
    <w:abstractNumId w:val="36"/>
  </w:num>
  <w:num w:numId="58" w16cid:durableId="2125995167">
    <w:abstractNumId w:val="31"/>
  </w:num>
  <w:num w:numId="59" w16cid:durableId="1945532808">
    <w:abstractNumId w:val="19"/>
  </w:num>
  <w:num w:numId="60" w16cid:durableId="6027644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032136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906494965">
    <w:abstractNumId w:val="13"/>
  </w:num>
  <w:num w:numId="63" w16cid:durableId="323945383">
    <w:abstractNumId w:val="40"/>
  </w:num>
  <w:num w:numId="64" w16cid:durableId="1684042070">
    <w:abstractNumId w:val="40"/>
  </w:num>
  <w:num w:numId="65" w16cid:durableId="226303495">
    <w:abstractNumId w:val="40"/>
  </w:num>
  <w:num w:numId="66" w16cid:durableId="711423065">
    <w:abstractNumId w:val="4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135"/>
    <w:rsid w:val="000004C6"/>
    <w:rsid w:val="00000EF2"/>
    <w:rsid w:val="000025C5"/>
    <w:rsid w:val="00002F3A"/>
    <w:rsid w:val="00004437"/>
    <w:rsid w:val="000044D5"/>
    <w:rsid w:val="0000664E"/>
    <w:rsid w:val="0000707D"/>
    <w:rsid w:val="000102F8"/>
    <w:rsid w:val="0001052D"/>
    <w:rsid w:val="00012041"/>
    <w:rsid w:val="0001206E"/>
    <w:rsid w:val="00012146"/>
    <w:rsid w:val="00012697"/>
    <w:rsid w:val="0001271E"/>
    <w:rsid w:val="000129FC"/>
    <w:rsid w:val="000131B0"/>
    <w:rsid w:val="000131F5"/>
    <w:rsid w:val="00013933"/>
    <w:rsid w:val="00013B4C"/>
    <w:rsid w:val="0001715E"/>
    <w:rsid w:val="000172E0"/>
    <w:rsid w:val="00020807"/>
    <w:rsid w:val="000208B7"/>
    <w:rsid w:val="000213D2"/>
    <w:rsid w:val="000218AA"/>
    <w:rsid w:val="000224DC"/>
    <w:rsid w:val="00022EFF"/>
    <w:rsid w:val="00023391"/>
    <w:rsid w:val="00023746"/>
    <w:rsid w:val="000238C9"/>
    <w:rsid w:val="00023945"/>
    <w:rsid w:val="00024288"/>
    <w:rsid w:val="000248B3"/>
    <w:rsid w:val="00024B0F"/>
    <w:rsid w:val="00024F3B"/>
    <w:rsid w:val="00025454"/>
    <w:rsid w:val="00025782"/>
    <w:rsid w:val="000269FC"/>
    <w:rsid w:val="00026B75"/>
    <w:rsid w:val="00026BA6"/>
    <w:rsid w:val="00027061"/>
    <w:rsid w:val="000276C9"/>
    <w:rsid w:val="00027AEE"/>
    <w:rsid w:val="00027ED8"/>
    <w:rsid w:val="0003083A"/>
    <w:rsid w:val="00030BB2"/>
    <w:rsid w:val="00031387"/>
    <w:rsid w:val="00031768"/>
    <w:rsid w:val="00032181"/>
    <w:rsid w:val="00033E76"/>
    <w:rsid w:val="00034A23"/>
    <w:rsid w:val="000368C3"/>
    <w:rsid w:val="0003694C"/>
    <w:rsid w:val="00037E2A"/>
    <w:rsid w:val="000404BE"/>
    <w:rsid w:val="00040D15"/>
    <w:rsid w:val="00041006"/>
    <w:rsid w:val="000439DC"/>
    <w:rsid w:val="00044A0D"/>
    <w:rsid w:val="00046D64"/>
    <w:rsid w:val="000472BA"/>
    <w:rsid w:val="000474E4"/>
    <w:rsid w:val="00050307"/>
    <w:rsid w:val="0005031B"/>
    <w:rsid w:val="0005075F"/>
    <w:rsid w:val="00050AA8"/>
    <w:rsid w:val="00050B44"/>
    <w:rsid w:val="00051015"/>
    <w:rsid w:val="00052C3B"/>
    <w:rsid w:val="00052DA6"/>
    <w:rsid w:val="00053365"/>
    <w:rsid w:val="00053431"/>
    <w:rsid w:val="000542A7"/>
    <w:rsid w:val="0005430C"/>
    <w:rsid w:val="000545E2"/>
    <w:rsid w:val="00054BC0"/>
    <w:rsid w:val="00054EF1"/>
    <w:rsid w:val="000556C3"/>
    <w:rsid w:val="000565FA"/>
    <w:rsid w:val="00056846"/>
    <w:rsid w:val="00057601"/>
    <w:rsid w:val="00060C2E"/>
    <w:rsid w:val="000612E2"/>
    <w:rsid w:val="00061573"/>
    <w:rsid w:val="000619DA"/>
    <w:rsid w:val="00062196"/>
    <w:rsid w:val="0006265A"/>
    <w:rsid w:val="00062948"/>
    <w:rsid w:val="00064470"/>
    <w:rsid w:val="00065E5C"/>
    <w:rsid w:val="000665E8"/>
    <w:rsid w:val="00066EBE"/>
    <w:rsid w:val="000673BE"/>
    <w:rsid w:val="000675FB"/>
    <w:rsid w:val="00070A52"/>
    <w:rsid w:val="00071330"/>
    <w:rsid w:val="00071341"/>
    <w:rsid w:val="00071B0B"/>
    <w:rsid w:val="000728CB"/>
    <w:rsid w:val="000736D6"/>
    <w:rsid w:val="00073751"/>
    <w:rsid w:val="000738EE"/>
    <w:rsid w:val="0007392F"/>
    <w:rsid w:val="00073CA6"/>
    <w:rsid w:val="000745AA"/>
    <w:rsid w:val="000752E2"/>
    <w:rsid w:val="00075B2D"/>
    <w:rsid w:val="0007624D"/>
    <w:rsid w:val="00076266"/>
    <w:rsid w:val="0007651F"/>
    <w:rsid w:val="00076578"/>
    <w:rsid w:val="00076918"/>
    <w:rsid w:val="00077CCE"/>
    <w:rsid w:val="00077E23"/>
    <w:rsid w:val="000811C8"/>
    <w:rsid w:val="000813DA"/>
    <w:rsid w:val="00082166"/>
    <w:rsid w:val="00082280"/>
    <w:rsid w:val="00082EED"/>
    <w:rsid w:val="00083120"/>
    <w:rsid w:val="00083650"/>
    <w:rsid w:val="00084875"/>
    <w:rsid w:val="000864AE"/>
    <w:rsid w:val="000865A7"/>
    <w:rsid w:val="00086829"/>
    <w:rsid w:val="0008688F"/>
    <w:rsid w:val="0008707C"/>
    <w:rsid w:val="0008796D"/>
    <w:rsid w:val="00087DA5"/>
    <w:rsid w:val="00087F1C"/>
    <w:rsid w:val="000917D7"/>
    <w:rsid w:val="00092B0F"/>
    <w:rsid w:val="000937DC"/>
    <w:rsid w:val="00093D7E"/>
    <w:rsid w:val="00094688"/>
    <w:rsid w:val="000946B2"/>
    <w:rsid w:val="000947A3"/>
    <w:rsid w:val="000947BD"/>
    <w:rsid w:val="00094D62"/>
    <w:rsid w:val="00095542"/>
    <w:rsid w:val="00096022"/>
    <w:rsid w:val="000977F2"/>
    <w:rsid w:val="00097B42"/>
    <w:rsid w:val="000A10C7"/>
    <w:rsid w:val="000A11C1"/>
    <w:rsid w:val="000A1725"/>
    <w:rsid w:val="000A1F60"/>
    <w:rsid w:val="000A2474"/>
    <w:rsid w:val="000A3164"/>
    <w:rsid w:val="000A38FB"/>
    <w:rsid w:val="000A44E4"/>
    <w:rsid w:val="000A59CF"/>
    <w:rsid w:val="000A6C1E"/>
    <w:rsid w:val="000A6E20"/>
    <w:rsid w:val="000A7179"/>
    <w:rsid w:val="000A7C79"/>
    <w:rsid w:val="000B0075"/>
    <w:rsid w:val="000B03CC"/>
    <w:rsid w:val="000B08F9"/>
    <w:rsid w:val="000B0DC9"/>
    <w:rsid w:val="000B1B31"/>
    <w:rsid w:val="000B35DD"/>
    <w:rsid w:val="000B3628"/>
    <w:rsid w:val="000B4502"/>
    <w:rsid w:val="000B53AC"/>
    <w:rsid w:val="000B5D9F"/>
    <w:rsid w:val="000B76A8"/>
    <w:rsid w:val="000B7785"/>
    <w:rsid w:val="000C0B54"/>
    <w:rsid w:val="000C1B35"/>
    <w:rsid w:val="000C1C93"/>
    <w:rsid w:val="000C26D3"/>
    <w:rsid w:val="000C296C"/>
    <w:rsid w:val="000C2C58"/>
    <w:rsid w:val="000C2FDC"/>
    <w:rsid w:val="000C37BD"/>
    <w:rsid w:val="000C385D"/>
    <w:rsid w:val="000C3E7A"/>
    <w:rsid w:val="000C4727"/>
    <w:rsid w:val="000C49D0"/>
    <w:rsid w:val="000C51EC"/>
    <w:rsid w:val="000C7577"/>
    <w:rsid w:val="000D138F"/>
    <w:rsid w:val="000D1787"/>
    <w:rsid w:val="000D1AE6"/>
    <w:rsid w:val="000D1B0A"/>
    <w:rsid w:val="000D3D8B"/>
    <w:rsid w:val="000D4091"/>
    <w:rsid w:val="000D455C"/>
    <w:rsid w:val="000D4F5D"/>
    <w:rsid w:val="000D5989"/>
    <w:rsid w:val="000D59A2"/>
    <w:rsid w:val="000D5C27"/>
    <w:rsid w:val="000D6339"/>
    <w:rsid w:val="000D6F46"/>
    <w:rsid w:val="000E07EA"/>
    <w:rsid w:val="000E0DE9"/>
    <w:rsid w:val="000E1A26"/>
    <w:rsid w:val="000E2807"/>
    <w:rsid w:val="000E2F36"/>
    <w:rsid w:val="000E39D5"/>
    <w:rsid w:val="000E3B13"/>
    <w:rsid w:val="000E4A27"/>
    <w:rsid w:val="000E6394"/>
    <w:rsid w:val="000E6AF5"/>
    <w:rsid w:val="000E7DB6"/>
    <w:rsid w:val="000F0EF8"/>
    <w:rsid w:val="000F1DDD"/>
    <w:rsid w:val="000F1FA1"/>
    <w:rsid w:val="000F44B2"/>
    <w:rsid w:val="000F4695"/>
    <w:rsid w:val="000F4806"/>
    <w:rsid w:val="000F4BF5"/>
    <w:rsid w:val="000F533F"/>
    <w:rsid w:val="000F585C"/>
    <w:rsid w:val="000F5A60"/>
    <w:rsid w:val="000F6D4F"/>
    <w:rsid w:val="000F781F"/>
    <w:rsid w:val="000F790C"/>
    <w:rsid w:val="001000A6"/>
    <w:rsid w:val="00100D89"/>
    <w:rsid w:val="001020A5"/>
    <w:rsid w:val="00102337"/>
    <w:rsid w:val="001026E1"/>
    <w:rsid w:val="001028FE"/>
    <w:rsid w:val="00102B8E"/>
    <w:rsid w:val="00103039"/>
    <w:rsid w:val="00103E5C"/>
    <w:rsid w:val="00105182"/>
    <w:rsid w:val="001057C5"/>
    <w:rsid w:val="00105D80"/>
    <w:rsid w:val="001065E9"/>
    <w:rsid w:val="00106C1D"/>
    <w:rsid w:val="00106DCD"/>
    <w:rsid w:val="00107822"/>
    <w:rsid w:val="00107A77"/>
    <w:rsid w:val="00107C64"/>
    <w:rsid w:val="0011043B"/>
    <w:rsid w:val="001111A6"/>
    <w:rsid w:val="0011161E"/>
    <w:rsid w:val="00111E71"/>
    <w:rsid w:val="0011255E"/>
    <w:rsid w:val="001129A4"/>
    <w:rsid w:val="00113B70"/>
    <w:rsid w:val="00113E5C"/>
    <w:rsid w:val="001140EF"/>
    <w:rsid w:val="00114189"/>
    <w:rsid w:val="001148A1"/>
    <w:rsid w:val="00114B96"/>
    <w:rsid w:val="00114F47"/>
    <w:rsid w:val="00115834"/>
    <w:rsid w:val="0011588D"/>
    <w:rsid w:val="00115B2A"/>
    <w:rsid w:val="00115C99"/>
    <w:rsid w:val="001161B6"/>
    <w:rsid w:val="00116C28"/>
    <w:rsid w:val="001179A0"/>
    <w:rsid w:val="00117B74"/>
    <w:rsid w:val="00121071"/>
    <w:rsid w:val="00121186"/>
    <w:rsid w:val="00122D85"/>
    <w:rsid w:val="00123525"/>
    <w:rsid w:val="00124916"/>
    <w:rsid w:val="0012510E"/>
    <w:rsid w:val="00125789"/>
    <w:rsid w:val="0012633C"/>
    <w:rsid w:val="00130D66"/>
    <w:rsid w:val="00130F1D"/>
    <w:rsid w:val="0013176F"/>
    <w:rsid w:val="00132367"/>
    <w:rsid w:val="001330B6"/>
    <w:rsid w:val="00133716"/>
    <w:rsid w:val="001338A8"/>
    <w:rsid w:val="001348AD"/>
    <w:rsid w:val="00134F31"/>
    <w:rsid w:val="001356E3"/>
    <w:rsid w:val="00135937"/>
    <w:rsid w:val="00135ACB"/>
    <w:rsid w:val="001366BA"/>
    <w:rsid w:val="00136D7F"/>
    <w:rsid w:val="00137391"/>
    <w:rsid w:val="00140F62"/>
    <w:rsid w:val="001411EA"/>
    <w:rsid w:val="0014134C"/>
    <w:rsid w:val="001414E7"/>
    <w:rsid w:val="00142623"/>
    <w:rsid w:val="00142905"/>
    <w:rsid w:val="00143250"/>
    <w:rsid w:val="00144549"/>
    <w:rsid w:val="00145A09"/>
    <w:rsid w:val="00145ECC"/>
    <w:rsid w:val="00146E6E"/>
    <w:rsid w:val="001473D8"/>
    <w:rsid w:val="0015039B"/>
    <w:rsid w:val="00150FFC"/>
    <w:rsid w:val="001513D5"/>
    <w:rsid w:val="00151A7C"/>
    <w:rsid w:val="00152DF9"/>
    <w:rsid w:val="00153BF2"/>
    <w:rsid w:val="001540D0"/>
    <w:rsid w:val="00154C64"/>
    <w:rsid w:val="00154D55"/>
    <w:rsid w:val="0015575E"/>
    <w:rsid w:val="00155BDD"/>
    <w:rsid w:val="00155C9E"/>
    <w:rsid w:val="00155DE1"/>
    <w:rsid w:val="00156411"/>
    <w:rsid w:val="00160158"/>
    <w:rsid w:val="001601FD"/>
    <w:rsid w:val="00160F82"/>
    <w:rsid w:val="0016103F"/>
    <w:rsid w:val="00162705"/>
    <w:rsid w:val="00162FF3"/>
    <w:rsid w:val="0016310D"/>
    <w:rsid w:val="00163A63"/>
    <w:rsid w:val="0016553C"/>
    <w:rsid w:val="00166765"/>
    <w:rsid w:val="00167690"/>
    <w:rsid w:val="001676B2"/>
    <w:rsid w:val="0017012C"/>
    <w:rsid w:val="00170B31"/>
    <w:rsid w:val="00170BAD"/>
    <w:rsid w:val="00170EF6"/>
    <w:rsid w:val="001711E2"/>
    <w:rsid w:val="00171CFF"/>
    <w:rsid w:val="001720F2"/>
    <w:rsid w:val="001721B2"/>
    <w:rsid w:val="0017457C"/>
    <w:rsid w:val="00174600"/>
    <w:rsid w:val="0017504A"/>
    <w:rsid w:val="0017512D"/>
    <w:rsid w:val="001752CA"/>
    <w:rsid w:val="00175E7B"/>
    <w:rsid w:val="00176199"/>
    <w:rsid w:val="00176329"/>
    <w:rsid w:val="0017714A"/>
    <w:rsid w:val="00177968"/>
    <w:rsid w:val="00177C37"/>
    <w:rsid w:val="001815EE"/>
    <w:rsid w:val="00181692"/>
    <w:rsid w:val="00181782"/>
    <w:rsid w:val="00181EB5"/>
    <w:rsid w:val="0018242D"/>
    <w:rsid w:val="001825D6"/>
    <w:rsid w:val="00182A8C"/>
    <w:rsid w:val="001831DA"/>
    <w:rsid w:val="0018329A"/>
    <w:rsid w:val="00183D56"/>
    <w:rsid w:val="0018486B"/>
    <w:rsid w:val="0018580C"/>
    <w:rsid w:val="00185E74"/>
    <w:rsid w:val="00187162"/>
    <w:rsid w:val="00187B64"/>
    <w:rsid w:val="00190F20"/>
    <w:rsid w:val="001910D9"/>
    <w:rsid w:val="00191151"/>
    <w:rsid w:val="00191632"/>
    <w:rsid w:val="001919DC"/>
    <w:rsid w:val="0019205E"/>
    <w:rsid w:val="0019267E"/>
    <w:rsid w:val="00192747"/>
    <w:rsid w:val="001927AE"/>
    <w:rsid w:val="00192899"/>
    <w:rsid w:val="001928A7"/>
    <w:rsid w:val="0019376D"/>
    <w:rsid w:val="00193958"/>
    <w:rsid w:val="001940B1"/>
    <w:rsid w:val="001945EE"/>
    <w:rsid w:val="00194B33"/>
    <w:rsid w:val="001957AB"/>
    <w:rsid w:val="00195A2C"/>
    <w:rsid w:val="00195DF7"/>
    <w:rsid w:val="00196988"/>
    <w:rsid w:val="00196D3A"/>
    <w:rsid w:val="001A09DA"/>
    <w:rsid w:val="001A2B5C"/>
    <w:rsid w:val="001A2CAA"/>
    <w:rsid w:val="001A2FA6"/>
    <w:rsid w:val="001A3086"/>
    <w:rsid w:val="001A3280"/>
    <w:rsid w:val="001A395C"/>
    <w:rsid w:val="001A3DD3"/>
    <w:rsid w:val="001A4DEE"/>
    <w:rsid w:val="001A5A37"/>
    <w:rsid w:val="001A79C9"/>
    <w:rsid w:val="001A79E6"/>
    <w:rsid w:val="001B027E"/>
    <w:rsid w:val="001B057A"/>
    <w:rsid w:val="001B0B83"/>
    <w:rsid w:val="001B10D7"/>
    <w:rsid w:val="001B1AE9"/>
    <w:rsid w:val="001B23ED"/>
    <w:rsid w:val="001B2DB5"/>
    <w:rsid w:val="001B3045"/>
    <w:rsid w:val="001B3BDD"/>
    <w:rsid w:val="001B3F9B"/>
    <w:rsid w:val="001B45FF"/>
    <w:rsid w:val="001B4775"/>
    <w:rsid w:val="001B5F37"/>
    <w:rsid w:val="001B5F66"/>
    <w:rsid w:val="001B60B1"/>
    <w:rsid w:val="001B63BA"/>
    <w:rsid w:val="001B7152"/>
    <w:rsid w:val="001B7775"/>
    <w:rsid w:val="001C13F9"/>
    <w:rsid w:val="001C1CB4"/>
    <w:rsid w:val="001C1F2B"/>
    <w:rsid w:val="001C21C5"/>
    <w:rsid w:val="001C2B0B"/>
    <w:rsid w:val="001C374E"/>
    <w:rsid w:val="001C44BA"/>
    <w:rsid w:val="001C491B"/>
    <w:rsid w:val="001C7DB8"/>
    <w:rsid w:val="001C7DF8"/>
    <w:rsid w:val="001D1E1F"/>
    <w:rsid w:val="001D2385"/>
    <w:rsid w:val="001D368F"/>
    <w:rsid w:val="001D3EBB"/>
    <w:rsid w:val="001D4245"/>
    <w:rsid w:val="001D4257"/>
    <w:rsid w:val="001D49A9"/>
    <w:rsid w:val="001D500B"/>
    <w:rsid w:val="001D630E"/>
    <w:rsid w:val="001D77F4"/>
    <w:rsid w:val="001D795A"/>
    <w:rsid w:val="001E0D32"/>
    <w:rsid w:val="001E1A85"/>
    <w:rsid w:val="001E3EF9"/>
    <w:rsid w:val="001E46F9"/>
    <w:rsid w:val="001E5367"/>
    <w:rsid w:val="001E60E9"/>
    <w:rsid w:val="001E7785"/>
    <w:rsid w:val="001F06B3"/>
    <w:rsid w:val="001F093D"/>
    <w:rsid w:val="001F09BA"/>
    <w:rsid w:val="001F116F"/>
    <w:rsid w:val="001F1CBA"/>
    <w:rsid w:val="001F2398"/>
    <w:rsid w:val="001F25B8"/>
    <w:rsid w:val="001F3C77"/>
    <w:rsid w:val="001F40A6"/>
    <w:rsid w:val="001F4655"/>
    <w:rsid w:val="001F489C"/>
    <w:rsid w:val="001F4B48"/>
    <w:rsid w:val="001F50DF"/>
    <w:rsid w:val="001F6496"/>
    <w:rsid w:val="001F66AB"/>
    <w:rsid w:val="001F6C40"/>
    <w:rsid w:val="001F7911"/>
    <w:rsid w:val="00200C37"/>
    <w:rsid w:val="0020136D"/>
    <w:rsid w:val="00201636"/>
    <w:rsid w:val="00201DFD"/>
    <w:rsid w:val="0020237B"/>
    <w:rsid w:val="002028EF"/>
    <w:rsid w:val="00202986"/>
    <w:rsid w:val="00202BC2"/>
    <w:rsid w:val="00202CA8"/>
    <w:rsid w:val="002032DE"/>
    <w:rsid w:val="00203DF0"/>
    <w:rsid w:val="00204412"/>
    <w:rsid w:val="00204ADA"/>
    <w:rsid w:val="00204C45"/>
    <w:rsid w:val="00204DD2"/>
    <w:rsid w:val="00207237"/>
    <w:rsid w:val="00210867"/>
    <w:rsid w:val="002121B2"/>
    <w:rsid w:val="002123F8"/>
    <w:rsid w:val="00213234"/>
    <w:rsid w:val="002132D8"/>
    <w:rsid w:val="002135F7"/>
    <w:rsid w:val="00213DD3"/>
    <w:rsid w:val="00213F3F"/>
    <w:rsid w:val="00214E3C"/>
    <w:rsid w:val="00214F3D"/>
    <w:rsid w:val="00215B97"/>
    <w:rsid w:val="00215DA2"/>
    <w:rsid w:val="002179CC"/>
    <w:rsid w:val="00217D3C"/>
    <w:rsid w:val="00217EB5"/>
    <w:rsid w:val="0022042B"/>
    <w:rsid w:val="002209B2"/>
    <w:rsid w:val="00222A48"/>
    <w:rsid w:val="0022374B"/>
    <w:rsid w:val="002248E1"/>
    <w:rsid w:val="0022518B"/>
    <w:rsid w:val="0022524B"/>
    <w:rsid w:val="002258E9"/>
    <w:rsid w:val="0022683F"/>
    <w:rsid w:val="002301B4"/>
    <w:rsid w:val="002310D0"/>
    <w:rsid w:val="00231F06"/>
    <w:rsid w:val="002324A7"/>
    <w:rsid w:val="002346AC"/>
    <w:rsid w:val="0023513E"/>
    <w:rsid w:val="002356EA"/>
    <w:rsid w:val="00236D2F"/>
    <w:rsid w:val="00236D53"/>
    <w:rsid w:val="002370BA"/>
    <w:rsid w:val="00241677"/>
    <w:rsid w:val="00241743"/>
    <w:rsid w:val="00242E1F"/>
    <w:rsid w:val="00243E31"/>
    <w:rsid w:val="0024511F"/>
    <w:rsid w:val="00245129"/>
    <w:rsid w:val="002454CC"/>
    <w:rsid w:val="0024574C"/>
    <w:rsid w:val="0024631A"/>
    <w:rsid w:val="00246362"/>
    <w:rsid w:val="0024641C"/>
    <w:rsid w:val="00246DA3"/>
    <w:rsid w:val="002470EE"/>
    <w:rsid w:val="00247344"/>
    <w:rsid w:val="00247FB9"/>
    <w:rsid w:val="0025005B"/>
    <w:rsid w:val="0025095B"/>
    <w:rsid w:val="00251298"/>
    <w:rsid w:val="002514C3"/>
    <w:rsid w:val="00252B99"/>
    <w:rsid w:val="00252C2E"/>
    <w:rsid w:val="00253B92"/>
    <w:rsid w:val="00253CF1"/>
    <w:rsid w:val="00253E31"/>
    <w:rsid w:val="00254270"/>
    <w:rsid w:val="00256452"/>
    <w:rsid w:val="00256A73"/>
    <w:rsid w:val="00257440"/>
    <w:rsid w:val="00257FB4"/>
    <w:rsid w:val="002609FE"/>
    <w:rsid w:val="002614B2"/>
    <w:rsid w:val="00261BB2"/>
    <w:rsid w:val="00261C06"/>
    <w:rsid w:val="00261F00"/>
    <w:rsid w:val="00265D27"/>
    <w:rsid w:val="00265D79"/>
    <w:rsid w:val="00266530"/>
    <w:rsid w:val="00270435"/>
    <w:rsid w:val="0027058B"/>
    <w:rsid w:val="0027206A"/>
    <w:rsid w:val="002728AA"/>
    <w:rsid w:val="00272BF3"/>
    <w:rsid w:val="00272D96"/>
    <w:rsid w:val="002738B2"/>
    <w:rsid w:val="00274437"/>
    <w:rsid w:val="00274680"/>
    <w:rsid w:val="00274FDC"/>
    <w:rsid w:val="002751A4"/>
    <w:rsid w:val="002759A4"/>
    <w:rsid w:val="00275AD7"/>
    <w:rsid w:val="00275DA3"/>
    <w:rsid w:val="00276086"/>
    <w:rsid w:val="0027627A"/>
    <w:rsid w:val="002772AF"/>
    <w:rsid w:val="00277D8D"/>
    <w:rsid w:val="00277EAD"/>
    <w:rsid w:val="00280181"/>
    <w:rsid w:val="00280659"/>
    <w:rsid w:val="002815B9"/>
    <w:rsid w:val="00282808"/>
    <w:rsid w:val="002828DE"/>
    <w:rsid w:val="0028320C"/>
    <w:rsid w:val="00283468"/>
    <w:rsid w:val="00283C0A"/>
    <w:rsid w:val="00284986"/>
    <w:rsid w:val="00284E0D"/>
    <w:rsid w:val="002854EE"/>
    <w:rsid w:val="00285635"/>
    <w:rsid w:val="00285A4A"/>
    <w:rsid w:val="00286839"/>
    <w:rsid w:val="00292535"/>
    <w:rsid w:val="002934C6"/>
    <w:rsid w:val="00293617"/>
    <w:rsid w:val="00293647"/>
    <w:rsid w:val="00293FAC"/>
    <w:rsid w:val="00295063"/>
    <w:rsid w:val="00295094"/>
    <w:rsid w:val="002953D5"/>
    <w:rsid w:val="002957B4"/>
    <w:rsid w:val="002958B7"/>
    <w:rsid w:val="002962E0"/>
    <w:rsid w:val="002971A8"/>
    <w:rsid w:val="00297BA7"/>
    <w:rsid w:val="002A081C"/>
    <w:rsid w:val="002A0E40"/>
    <w:rsid w:val="002A15DD"/>
    <w:rsid w:val="002A16DE"/>
    <w:rsid w:val="002A24E4"/>
    <w:rsid w:val="002A354C"/>
    <w:rsid w:val="002A3671"/>
    <w:rsid w:val="002A4C47"/>
    <w:rsid w:val="002A5270"/>
    <w:rsid w:val="002A5F1A"/>
    <w:rsid w:val="002A692E"/>
    <w:rsid w:val="002A77D5"/>
    <w:rsid w:val="002A792A"/>
    <w:rsid w:val="002B173F"/>
    <w:rsid w:val="002B1C0D"/>
    <w:rsid w:val="002B22BD"/>
    <w:rsid w:val="002B27D7"/>
    <w:rsid w:val="002B32C1"/>
    <w:rsid w:val="002B34D1"/>
    <w:rsid w:val="002B34D2"/>
    <w:rsid w:val="002B3579"/>
    <w:rsid w:val="002B3ADD"/>
    <w:rsid w:val="002B3F77"/>
    <w:rsid w:val="002B55A8"/>
    <w:rsid w:val="002B563F"/>
    <w:rsid w:val="002B5A4B"/>
    <w:rsid w:val="002B62AC"/>
    <w:rsid w:val="002B677D"/>
    <w:rsid w:val="002B6ADD"/>
    <w:rsid w:val="002C1D9F"/>
    <w:rsid w:val="002C2886"/>
    <w:rsid w:val="002C29C0"/>
    <w:rsid w:val="002C3AEE"/>
    <w:rsid w:val="002C449B"/>
    <w:rsid w:val="002C5837"/>
    <w:rsid w:val="002C6EC5"/>
    <w:rsid w:val="002C78C9"/>
    <w:rsid w:val="002C7DF1"/>
    <w:rsid w:val="002D111D"/>
    <w:rsid w:val="002D13A0"/>
    <w:rsid w:val="002D1497"/>
    <w:rsid w:val="002D1557"/>
    <w:rsid w:val="002D178B"/>
    <w:rsid w:val="002D2076"/>
    <w:rsid w:val="002D24D3"/>
    <w:rsid w:val="002D2A35"/>
    <w:rsid w:val="002D353F"/>
    <w:rsid w:val="002D4015"/>
    <w:rsid w:val="002D5E07"/>
    <w:rsid w:val="002D60A9"/>
    <w:rsid w:val="002D62DD"/>
    <w:rsid w:val="002D6660"/>
    <w:rsid w:val="002D6F32"/>
    <w:rsid w:val="002D70EC"/>
    <w:rsid w:val="002D7420"/>
    <w:rsid w:val="002D7849"/>
    <w:rsid w:val="002D7960"/>
    <w:rsid w:val="002E011C"/>
    <w:rsid w:val="002E05E6"/>
    <w:rsid w:val="002E08EF"/>
    <w:rsid w:val="002E0D50"/>
    <w:rsid w:val="002E0E23"/>
    <w:rsid w:val="002E0EDB"/>
    <w:rsid w:val="002E348E"/>
    <w:rsid w:val="002E360F"/>
    <w:rsid w:val="002E428E"/>
    <w:rsid w:val="002E4B8B"/>
    <w:rsid w:val="002E5203"/>
    <w:rsid w:val="002E54C1"/>
    <w:rsid w:val="002E5E87"/>
    <w:rsid w:val="002E6225"/>
    <w:rsid w:val="002E79E3"/>
    <w:rsid w:val="002F0127"/>
    <w:rsid w:val="002F042C"/>
    <w:rsid w:val="002F0ABA"/>
    <w:rsid w:val="002F0FA5"/>
    <w:rsid w:val="002F1FEE"/>
    <w:rsid w:val="002F26A3"/>
    <w:rsid w:val="002F2B52"/>
    <w:rsid w:val="002F2C72"/>
    <w:rsid w:val="002F3327"/>
    <w:rsid w:val="002F374E"/>
    <w:rsid w:val="002F3BE8"/>
    <w:rsid w:val="002F443E"/>
    <w:rsid w:val="002F4445"/>
    <w:rsid w:val="002F4842"/>
    <w:rsid w:val="002F4CB6"/>
    <w:rsid w:val="002F4D44"/>
    <w:rsid w:val="002F4E80"/>
    <w:rsid w:val="002F5F2A"/>
    <w:rsid w:val="002F6F35"/>
    <w:rsid w:val="002F72CB"/>
    <w:rsid w:val="003015A5"/>
    <w:rsid w:val="0030195E"/>
    <w:rsid w:val="00301F08"/>
    <w:rsid w:val="00302565"/>
    <w:rsid w:val="003032EA"/>
    <w:rsid w:val="003039B9"/>
    <w:rsid w:val="00303E62"/>
    <w:rsid w:val="00304B48"/>
    <w:rsid w:val="003055D0"/>
    <w:rsid w:val="00305C63"/>
    <w:rsid w:val="00306962"/>
    <w:rsid w:val="00306E03"/>
    <w:rsid w:val="0030715C"/>
    <w:rsid w:val="00310E00"/>
    <w:rsid w:val="0031194E"/>
    <w:rsid w:val="00312056"/>
    <w:rsid w:val="00312DAB"/>
    <w:rsid w:val="0031463C"/>
    <w:rsid w:val="003147F0"/>
    <w:rsid w:val="00315124"/>
    <w:rsid w:val="00315612"/>
    <w:rsid w:val="00316354"/>
    <w:rsid w:val="003165B5"/>
    <w:rsid w:val="0031682F"/>
    <w:rsid w:val="003174DF"/>
    <w:rsid w:val="003174F0"/>
    <w:rsid w:val="00317E8D"/>
    <w:rsid w:val="00320611"/>
    <w:rsid w:val="00321A23"/>
    <w:rsid w:val="00321DB4"/>
    <w:rsid w:val="0032241D"/>
    <w:rsid w:val="00322F31"/>
    <w:rsid w:val="00325DB0"/>
    <w:rsid w:val="00326140"/>
    <w:rsid w:val="00326B1F"/>
    <w:rsid w:val="00327309"/>
    <w:rsid w:val="00327529"/>
    <w:rsid w:val="003277D1"/>
    <w:rsid w:val="00332F64"/>
    <w:rsid w:val="0033395F"/>
    <w:rsid w:val="00334BE9"/>
    <w:rsid w:val="00334ED9"/>
    <w:rsid w:val="00335F07"/>
    <w:rsid w:val="00336F23"/>
    <w:rsid w:val="00337F45"/>
    <w:rsid w:val="003402F6"/>
    <w:rsid w:val="00341286"/>
    <w:rsid w:val="00341E37"/>
    <w:rsid w:val="003421EC"/>
    <w:rsid w:val="003423D2"/>
    <w:rsid w:val="00342690"/>
    <w:rsid w:val="003426F3"/>
    <w:rsid w:val="0034296E"/>
    <w:rsid w:val="00342A81"/>
    <w:rsid w:val="00342F14"/>
    <w:rsid w:val="0034406D"/>
    <w:rsid w:val="003453A5"/>
    <w:rsid w:val="00345D75"/>
    <w:rsid w:val="0034783F"/>
    <w:rsid w:val="003478A0"/>
    <w:rsid w:val="00347FE6"/>
    <w:rsid w:val="00350067"/>
    <w:rsid w:val="00350664"/>
    <w:rsid w:val="00350AF5"/>
    <w:rsid w:val="00351230"/>
    <w:rsid w:val="0035148D"/>
    <w:rsid w:val="00351657"/>
    <w:rsid w:val="003518DD"/>
    <w:rsid w:val="0035203E"/>
    <w:rsid w:val="00352483"/>
    <w:rsid w:val="00352DC5"/>
    <w:rsid w:val="00352FFD"/>
    <w:rsid w:val="00353676"/>
    <w:rsid w:val="00354211"/>
    <w:rsid w:val="00355514"/>
    <w:rsid w:val="00355B69"/>
    <w:rsid w:val="00355BA8"/>
    <w:rsid w:val="00356E58"/>
    <w:rsid w:val="00357AD7"/>
    <w:rsid w:val="00360485"/>
    <w:rsid w:val="00361173"/>
    <w:rsid w:val="003614FA"/>
    <w:rsid w:val="00363DDF"/>
    <w:rsid w:val="00364913"/>
    <w:rsid w:val="00364B45"/>
    <w:rsid w:val="00364D47"/>
    <w:rsid w:val="003653C5"/>
    <w:rsid w:val="00367C6A"/>
    <w:rsid w:val="003707E9"/>
    <w:rsid w:val="0037179C"/>
    <w:rsid w:val="003722B5"/>
    <w:rsid w:val="003732C2"/>
    <w:rsid w:val="003737A5"/>
    <w:rsid w:val="00374472"/>
    <w:rsid w:val="00374C5B"/>
    <w:rsid w:val="00374F44"/>
    <w:rsid w:val="00375071"/>
    <w:rsid w:val="00375573"/>
    <w:rsid w:val="00375575"/>
    <w:rsid w:val="00377071"/>
    <w:rsid w:val="00377488"/>
    <w:rsid w:val="00377680"/>
    <w:rsid w:val="00377E14"/>
    <w:rsid w:val="00377F3A"/>
    <w:rsid w:val="0038097F"/>
    <w:rsid w:val="00380B78"/>
    <w:rsid w:val="00380BBB"/>
    <w:rsid w:val="003818C9"/>
    <w:rsid w:val="00381A83"/>
    <w:rsid w:val="00382517"/>
    <w:rsid w:val="00382676"/>
    <w:rsid w:val="003826B4"/>
    <w:rsid w:val="003829E1"/>
    <w:rsid w:val="00382DF9"/>
    <w:rsid w:val="00383B42"/>
    <w:rsid w:val="00384451"/>
    <w:rsid w:val="003855AD"/>
    <w:rsid w:val="00385EB5"/>
    <w:rsid w:val="003862FF"/>
    <w:rsid w:val="00386428"/>
    <w:rsid w:val="00386721"/>
    <w:rsid w:val="003875CC"/>
    <w:rsid w:val="00387807"/>
    <w:rsid w:val="0039189C"/>
    <w:rsid w:val="00391B30"/>
    <w:rsid w:val="00391F4A"/>
    <w:rsid w:val="00392CBC"/>
    <w:rsid w:val="00392F66"/>
    <w:rsid w:val="003938C6"/>
    <w:rsid w:val="00394DA2"/>
    <w:rsid w:val="003959C7"/>
    <w:rsid w:val="00396721"/>
    <w:rsid w:val="0039758E"/>
    <w:rsid w:val="00397B91"/>
    <w:rsid w:val="00397C41"/>
    <w:rsid w:val="00397D36"/>
    <w:rsid w:val="003A03FE"/>
    <w:rsid w:val="003A0ABD"/>
    <w:rsid w:val="003A0DA6"/>
    <w:rsid w:val="003A0F85"/>
    <w:rsid w:val="003A13F9"/>
    <w:rsid w:val="003A3529"/>
    <w:rsid w:val="003A3E1A"/>
    <w:rsid w:val="003A43A1"/>
    <w:rsid w:val="003A646D"/>
    <w:rsid w:val="003A666F"/>
    <w:rsid w:val="003A66C5"/>
    <w:rsid w:val="003A721E"/>
    <w:rsid w:val="003A7416"/>
    <w:rsid w:val="003A7E03"/>
    <w:rsid w:val="003B06E6"/>
    <w:rsid w:val="003B0A97"/>
    <w:rsid w:val="003B0D87"/>
    <w:rsid w:val="003B0F5A"/>
    <w:rsid w:val="003B142B"/>
    <w:rsid w:val="003B142D"/>
    <w:rsid w:val="003B2B91"/>
    <w:rsid w:val="003B3B5F"/>
    <w:rsid w:val="003B4FEC"/>
    <w:rsid w:val="003B5528"/>
    <w:rsid w:val="003B5C33"/>
    <w:rsid w:val="003B5CF2"/>
    <w:rsid w:val="003B60DD"/>
    <w:rsid w:val="003B631B"/>
    <w:rsid w:val="003B6D02"/>
    <w:rsid w:val="003B760D"/>
    <w:rsid w:val="003B7B04"/>
    <w:rsid w:val="003B7B4F"/>
    <w:rsid w:val="003B7FDD"/>
    <w:rsid w:val="003C0A34"/>
    <w:rsid w:val="003C1C52"/>
    <w:rsid w:val="003C1EA6"/>
    <w:rsid w:val="003C4774"/>
    <w:rsid w:val="003C47A5"/>
    <w:rsid w:val="003C52AC"/>
    <w:rsid w:val="003C5F7C"/>
    <w:rsid w:val="003C5FC0"/>
    <w:rsid w:val="003C6B69"/>
    <w:rsid w:val="003C6C01"/>
    <w:rsid w:val="003C7239"/>
    <w:rsid w:val="003C72EB"/>
    <w:rsid w:val="003C7846"/>
    <w:rsid w:val="003D0729"/>
    <w:rsid w:val="003D0A06"/>
    <w:rsid w:val="003D243B"/>
    <w:rsid w:val="003D3E5B"/>
    <w:rsid w:val="003D3EDE"/>
    <w:rsid w:val="003D4829"/>
    <w:rsid w:val="003D4F7B"/>
    <w:rsid w:val="003D5382"/>
    <w:rsid w:val="003D57DF"/>
    <w:rsid w:val="003D5D46"/>
    <w:rsid w:val="003D5FFB"/>
    <w:rsid w:val="003D641E"/>
    <w:rsid w:val="003D65B2"/>
    <w:rsid w:val="003D6A84"/>
    <w:rsid w:val="003D7361"/>
    <w:rsid w:val="003E0239"/>
    <w:rsid w:val="003E1BC4"/>
    <w:rsid w:val="003E2600"/>
    <w:rsid w:val="003E3734"/>
    <w:rsid w:val="003E3BEA"/>
    <w:rsid w:val="003E4151"/>
    <w:rsid w:val="003E51FB"/>
    <w:rsid w:val="003E6B1A"/>
    <w:rsid w:val="003E75BC"/>
    <w:rsid w:val="003F06FB"/>
    <w:rsid w:val="003F2F73"/>
    <w:rsid w:val="003F34F4"/>
    <w:rsid w:val="003F4540"/>
    <w:rsid w:val="003F48B8"/>
    <w:rsid w:val="003F4A54"/>
    <w:rsid w:val="003F4ADC"/>
    <w:rsid w:val="003F556A"/>
    <w:rsid w:val="003F572D"/>
    <w:rsid w:val="003F71C0"/>
    <w:rsid w:val="003F7208"/>
    <w:rsid w:val="003F7DCE"/>
    <w:rsid w:val="004001F5"/>
    <w:rsid w:val="004015A8"/>
    <w:rsid w:val="0040229C"/>
    <w:rsid w:val="004022BB"/>
    <w:rsid w:val="0040236C"/>
    <w:rsid w:val="00402BB6"/>
    <w:rsid w:val="00402C5E"/>
    <w:rsid w:val="0040529B"/>
    <w:rsid w:val="00405B74"/>
    <w:rsid w:val="00405E66"/>
    <w:rsid w:val="004063CD"/>
    <w:rsid w:val="0040642F"/>
    <w:rsid w:val="00406ACE"/>
    <w:rsid w:val="00406D03"/>
    <w:rsid w:val="00407C54"/>
    <w:rsid w:val="0041092A"/>
    <w:rsid w:val="00410DB7"/>
    <w:rsid w:val="00411830"/>
    <w:rsid w:val="00411871"/>
    <w:rsid w:val="00411FA3"/>
    <w:rsid w:val="0041276F"/>
    <w:rsid w:val="00413A4C"/>
    <w:rsid w:val="00413BC1"/>
    <w:rsid w:val="004147D5"/>
    <w:rsid w:val="0041483E"/>
    <w:rsid w:val="00414DE1"/>
    <w:rsid w:val="004162F0"/>
    <w:rsid w:val="0041642E"/>
    <w:rsid w:val="00416B28"/>
    <w:rsid w:val="00421A16"/>
    <w:rsid w:val="004232F3"/>
    <w:rsid w:val="00423560"/>
    <w:rsid w:val="00423B03"/>
    <w:rsid w:val="00424A9B"/>
    <w:rsid w:val="00424D8D"/>
    <w:rsid w:val="00424FAE"/>
    <w:rsid w:val="00426051"/>
    <w:rsid w:val="004274EF"/>
    <w:rsid w:val="0042754F"/>
    <w:rsid w:val="00431165"/>
    <w:rsid w:val="004312FA"/>
    <w:rsid w:val="004328BD"/>
    <w:rsid w:val="00432B72"/>
    <w:rsid w:val="004334FB"/>
    <w:rsid w:val="00433C92"/>
    <w:rsid w:val="0043444D"/>
    <w:rsid w:val="00436583"/>
    <w:rsid w:val="00436DF0"/>
    <w:rsid w:val="00440E03"/>
    <w:rsid w:val="00441170"/>
    <w:rsid w:val="00442148"/>
    <w:rsid w:val="004421CD"/>
    <w:rsid w:val="00442285"/>
    <w:rsid w:val="004429A5"/>
    <w:rsid w:val="00443356"/>
    <w:rsid w:val="004435DB"/>
    <w:rsid w:val="00443AF0"/>
    <w:rsid w:val="00443B18"/>
    <w:rsid w:val="00443DC5"/>
    <w:rsid w:val="00443F69"/>
    <w:rsid w:val="00444608"/>
    <w:rsid w:val="0044478A"/>
    <w:rsid w:val="00445D1C"/>
    <w:rsid w:val="00445EA1"/>
    <w:rsid w:val="004467E2"/>
    <w:rsid w:val="00446A8F"/>
    <w:rsid w:val="00446E6E"/>
    <w:rsid w:val="004476F6"/>
    <w:rsid w:val="0045043B"/>
    <w:rsid w:val="004515FB"/>
    <w:rsid w:val="00451752"/>
    <w:rsid w:val="00451B51"/>
    <w:rsid w:val="00451FC8"/>
    <w:rsid w:val="00452AC0"/>
    <w:rsid w:val="00452F50"/>
    <w:rsid w:val="004534C7"/>
    <w:rsid w:val="004539F7"/>
    <w:rsid w:val="00453C78"/>
    <w:rsid w:val="00453F30"/>
    <w:rsid w:val="004547B9"/>
    <w:rsid w:val="00455477"/>
    <w:rsid w:val="00455C90"/>
    <w:rsid w:val="00455CBC"/>
    <w:rsid w:val="004566EA"/>
    <w:rsid w:val="00456C7A"/>
    <w:rsid w:val="004576AD"/>
    <w:rsid w:val="00457C27"/>
    <w:rsid w:val="00460447"/>
    <w:rsid w:val="00460A67"/>
    <w:rsid w:val="00460E3F"/>
    <w:rsid w:val="004621AA"/>
    <w:rsid w:val="004622B9"/>
    <w:rsid w:val="00462DA2"/>
    <w:rsid w:val="004637D5"/>
    <w:rsid w:val="00463C78"/>
    <w:rsid w:val="00464587"/>
    <w:rsid w:val="004645C3"/>
    <w:rsid w:val="004648FF"/>
    <w:rsid w:val="00464C8C"/>
    <w:rsid w:val="00465516"/>
    <w:rsid w:val="00466185"/>
    <w:rsid w:val="004676BC"/>
    <w:rsid w:val="00467FD1"/>
    <w:rsid w:val="00470133"/>
    <w:rsid w:val="00470695"/>
    <w:rsid w:val="00471AA7"/>
    <w:rsid w:val="00471C0D"/>
    <w:rsid w:val="00471D6C"/>
    <w:rsid w:val="00472079"/>
    <w:rsid w:val="00472112"/>
    <w:rsid w:val="00472153"/>
    <w:rsid w:val="004732D7"/>
    <w:rsid w:val="004733EE"/>
    <w:rsid w:val="00473A81"/>
    <w:rsid w:val="00475929"/>
    <w:rsid w:val="00475AA2"/>
    <w:rsid w:val="00476737"/>
    <w:rsid w:val="004768EB"/>
    <w:rsid w:val="00476D02"/>
    <w:rsid w:val="00477258"/>
    <w:rsid w:val="00477FE7"/>
    <w:rsid w:val="004808AB"/>
    <w:rsid w:val="00481376"/>
    <w:rsid w:val="0048238D"/>
    <w:rsid w:val="0048348E"/>
    <w:rsid w:val="0048369A"/>
    <w:rsid w:val="004838BC"/>
    <w:rsid w:val="00483B6D"/>
    <w:rsid w:val="0048556B"/>
    <w:rsid w:val="00485EB5"/>
    <w:rsid w:val="00486027"/>
    <w:rsid w:val="00487305"/>
    <w:rsid w:val="00487FD4"/>
    <w:rsid w:val="004908F7"/>
    <w:rsid w:val="00490A90"/>
    <w:rsid w:val="004910CF"/>
    <w:rsid w:val="00491229"/>
    <w:rsid w:val="0049160E"/>
    <w:rsid w:val="00491922"/>
    <w:rsid w:val="004926D3"/>
    <w:rsid w:val="00493031"/>
    <w:rsid w:val="004955FE"/>
    <w:rsid w:val="00495E73"/>
    <w:rsid w:val="00497361"/>
    <w:rsid w:val="00497D02"/>
    <w:rsid w:val="004A011F"/>
    <w:rsid w:val="004A0C93"/>
    <w:rsid w:val="004A1135"/>
    <w:rsid w:val="004A2954"/>
    <w:rsid w:val="004A3230"/>
    <w:rsid w:val="004A4054"/>
    <w:rsid w:val="004A4730"/>
    <w:rsid w:val="004A515D"/>
    <w:rsid w:val="004A578C"/>
    <w:rsid w:val="004A68B1"/>
    <w:rsid w:val="004A6B8F"/>
    <w:rsid w:val="004A6EE4"/>
    <w:rsid w:val="004A7337"/>
    <w:rsid w:val="004B052A"/>
    <w:rsid w:val="004B1118"/>
    <w:rsid w:val="004B17B1"/>
    <w:rsid w:val="004B326B"/>
    <w:rsid w:val="004B3396"/>
    <w:rsid w:val="004B39CF"/>
    <w:rsid w:val="004B428B"/>
    <w:rsid w:val="004B4C7A"/>
    <w:rsid w:val="004B515E"/>
    <w:rsid w:val="004B5574"/>
    <w:rsid w:val="004B5DA9"/>
    <w:rsid w:val="004B68C6"/>
    <w:rsid w:val="004B6B0A"/>
    <w:rsid w:val="004B707F"/>
    <w:rsid w:val="004B7459"/>
    <w:rsid w:val="004C0247"/>
    <w:rsid w:val="004C05EC"/>
    <w:rsid w:val="004C08BF"/>
    <w:rsid w:val="004C19C2"/>
    <w:rsid w:val="004C2983"/>
    <w:rsid w:val="004C2F62"/>
    <w:rsid w:val="004C2FDD"/>
    <w:rsid w:val="004C36F0"/>
    <w:rsid w:val="004C3BD4"/>
    <w:rsid w:val="004C40AC"/>
    <w:rsid w:val="004C42BF"/>
    <w:rsid w:val="004C6FC5"/>
    <w:rsid w:val="004C719B"/>
    <w:rsid w:val="004C755E"/>
    <w:rsid w:val="004C7B67"/>
    <w:rsid w:val="004D08CA"/>
    <w:rsid w:val="004D1015"/>
    <w:rsid w:val="004D16A8"/>
    <w:rsid w:val="004D2070"/>
    <w:rsid w:val="004D2529"/>
    <w:rsid w:val="004D3911"/>
    <w:rsid w:val="004D4BE5"/>
    <w:rsid w:val="004D4CB1"/>
    <w:rsid w:val="004D6000"/>
    <w:rsid w:val="004D60ED"/>
    <w:rsid w:val="004D64FF"/>
    <w:rsid w:val="004D6D3C"/>
    <w:rsid w:val="004D7B36"/>
    <w:rsid w:val="004E01FF"/>
    <w:rsid w:val="004E0A44"/>
    <w:rsid w:val="004E0FE1"/>
    <w:rsid w:val="004E1272"/>
    <w:rsid w:val="004E2447"/>
    <w:rsid w:val="004E462D"/>
    <w:rsid w:val="004E47E2"/>
    <w:rsid w:val="004E4891"/>
    <w:rsid w:val="004E5F1E"/>
    <w:rsid w:val="004E68A5"/>
    <w:rsid w:val="004E7178"/>
    <w:rsid w:val="004E7BEA"/>
    <w:rsid w:val="004E7DE9"/>
    <w:rsid w:val="004E7E3A"/>
    <w:rsid w:val="004F0091"/>
    <w:rsid w:val="004F01FD"/>
    <w:rsid w:val="004F02EA"/>
    <w:rsid w:val="004F045C"/>
    <w:rsid w:val="004F0D5D"/>
    <w:rsid w:val="004F11BB"/>
    <w:rsid w:val="004F28CA"/>
    <w:rsid w:val="004F2B9A"/>
    <w:rsid w:val="004F2BEB"/>
    <w:rsid w:val="004F2EA4"/>
    <w:rsid w:val="004F43C4"/>
    <w:rsid w:val="004F4CA9"/>
    <w:rsid w:val="004F50C5"/>
    <w:rsid w:val="004F5D66"/>
    <w:rsid w:val="004F5FF9"/>
    <w:rsid w:val="004F6065"/>
    <w:rsid w:val="004F6455"/>
    <w:rsid w:val="004F657F"/>
    <w:rsid w:val="004F7C0D"/>
    <w:rsid w:val="00500F9B"/>
    <w:rsid w:val="005012FC"/>
    <w:rsid w:val="00501E05"/>
    <w:rsid w:val="00503728"/>
    <w:rsid w:val="00504944"/>
    <w:rsid w:val="00504957"/>
    <w:rsid w:val="00506B87"/>
    <w:rsid w:val="00507DF8"/>
    <w:rsid w:val="005137D8"/>
    <w:rsid w:val="00513CE0"/>
    <w:rsid w:val="00514D5C"/>
    <w:rsid w:val="005155D7"/>
    <w:rsid w:val="00516708"/>
    <w:rsid w:val="00516BA0"/>
    <w:rsid w:val="00516BB6"/>
    <w:rsid w:val="00517050"/>
    <w:rsid w:val="00517479"/>
    <w:rsid w:val="00517F16"/>
    <w:rsid w:val="0052049A"/>
    <w:rsid w:val="00520E1C"/>
    <w:rsid w:val="005216A7"/>
    <w:rsid w:val="00521B35"/>
    <w:rsid w:val="005221E2"/>
    <w:rsid w:val="00522819"/>
    <w:rsid w:val="00522BD2"/>
    <w:rsid w:val="00522E18"/>
    <w:rsid w:val="00523150"/>
    <w:rsid w:val="0052343B"/>
    <w:rsid w:val="0052345A"/>
    <w:rsid w:val="0052369C"/>
    <w:rsid w:val="0052468B"/>
    <w:rsid w:val="00525297"/>
    <w:rsid w:val="005258C3"/>
    <w:rsid w:val="00525E5E"/>
    <w:rsid w:val="00526548"/>
    <w:rsid w:val="00527045"/>
    <w:rsid w:val="00527464"/>
    <w:rsid w:val="00527A3C"/>
    <w:rsid w:val="00527A6C"/>
    <w:rsid w:val="00527D1E"/>
    <w:rsid w:val="00530B4B"/>
    <w:rsid w:val="00531EA0"/>
    <w:rsid w:val="00533A27"/>
    <w:rsid w:val="00533C4D"/>
    <w:rsid w:val="005354A5"/>
    <w:rsid w:val="00535D4E"/>
    <w:rsid w:val="00536727"/>
    <w:rsid w:val="00536A8F"/>
    <w:rsid w:val="00536ECD"/>
    <w:rsid w:val="00537D0D"/>
    <w:rsid w:val="00541214"/>
    <w:rsid w:val="00541B42"/>
    <w:rsid w:val="005421FB"/>
    <w:rsid w:val="00542F19"/>
    <w:rsid w:val="0054444A"/>
    <w:rsid w:val="0054469B"/>
    <w:rsid w:val="00544A24"/>
    <w:rsid w:val="00546B02"/>
    <w:rsid w:val="00546BA1"/>
    <w:rsid w:val="00550828"/>
    <w:rsid w:val="00551381"/>
    <w:rsid w:val="005513C6"/>
    <w:rsid w:val="00552A17"/>
    <w:rsid w:val="00552CCF"/>
    <w:rsid w:val="00555CAE"/>
    <w:rsid w:val="00555E77"/>
    <w:rsid w:val="005560B1"/>
    <w:rsid w:val="0055716B"/>
    <w:rsid w:val="00557192"/>
    <w:rsid w:val="00560221"/>
    <w:rsid w:val="00560B0E"/>
    <w:rsid w:val="00560FA9"/>
    <w:rsid w:val="00561783"/>
    <w:rsid w:val="00561B08"/>
    <w:rsid w:val="00562016"/>
    <w:rsid w:val="00562460"/>
    <w:rsid w:val="00562919"/>
    <w:rsid w:val="00562B29"/>
    <w:rsid w:val="00562B4D"/>
    <w:rsid w:val="00562D6E"/>
    <w:rsid w:val="00562D7C"/>
    <w:rsid w:val="00562E62"/>
    <w:rsid w:val="00564866"/>
    <w:rsid w:val="0056550F"/>
    <w:rsid w:val="005658C7"/>
    <w:rsid w:val="005675D0"/>
    <w:rsid w:val="0056773A"/>
    <w:rsid w:val="0057054C"/>
    <w:rsid w:val="00571250"/>
    <w:rsid w:val="00571AD5"/>
    <w:rsid w:val="005721BB"/>
    <w:rsid w:val="005723B6"/>
    <w:rsid w:val="00572F9D"/>
    <w:rsid w:val="0057305C"/>
    <w:rsid w:val="00573342"/>
    <w:rsid w:val="00573702"/>
    <w:rsid w:val="00573E4D"/>
    <w:rsid w:val="0057438B"/>
    <w:rsid w:val="00574966"/>
    <w:rsid w:val="0057512C"/>
    <w:rsid w:val="005763D0"/>
    <w:rsid w:val="00577D34"/>
    <w:rsid w:val="00580DF1"/>
    <w:rsid w:val="005851A8"/>
    <w:rsid w:val="0058547C"/>
    <w:rsid w:val="00585F4D"/>
    <w:rsid w:val="005867E9"/>
    <w:rsid w:val="00587967"/>
    <w:rsid w:val="00587A4C"/>
    <w:rsid w:val="00587BEB"/>
    <w:rsid w:val="00590B71"/>
    <w:rsid w:val="005913B9"/>
    <w:rsid w:val="005916FA"/>
    <w:rsid w:val="00592DC0"/>
    <w:rsid w:val="00593003"/>
    <w:rsid w:val="005933B7"/>
    <w:rsid w:val="0059389D"/>
    <w:rsid w:val="00594434"/>
    <w:rsid w:val="00594A12"/>
    <w:rsid w:val="00595737"/>
    <w:rsid w:val="00595EAA"/>
    <w:rsid w:val="005973C0"/>
    <w:rsid w:val="00597D26"/>
    <w:rsid w:val="005A1065"/>
    <w:rsid w:val="005A164D"/>
    <w:rsid w:val="005A235E"/>
    <w:rsid w:val="005A2BD2"/>
    <w:rsid w:val="005A4301"/>
    <w:rsid w:val="005A4621"/>
    <w:rsid w:val="005A576E"/>
    <w:rsid w:val="005A5821"/>
    <w:rsid w:val="005A6FA6"/>
    <w:rsid w:val="005A7080"/>
    <w:rsid w:val="005A799A"/>
    <w:rsid w:val="005B070E"/>
    <w:rsid w:val="005B08FF"/>
    <w:rsid w:val="005B0F25"/>
    <w:rsid w:val="005B1458"/>
    <w:rsid w:val="005B18C7"/>
    <w:rsid w:val="005B1E0D"/>
    <w:rsid w:val="005B2B44"/>
    <w:rsid w:val="005B3DD8"/>
    <w:rsid w:val="005B3FF3"/>
    <w:rsid w:val="005B470D"/>
    <w:rsid w:val="005B49E5"/>
    <w:rsid w:val="005B4B57"/>
    <w:rsid w:val="005B554E"/>
    <w:rsid w:val="005B56A6"/>
    <w:rsid w:val="005B761F"/>
    <w:rsid w:val="005C11B0"/>
    <w:rsid w:val="005C1B45"/>
    <w:rsid w:val="005C1F47"/>
    <w:rsid w:val="005C2C7F"/>
    <w:rsid w:val="005C2DC9"/>
    <w:rsid w:val="005C3026"/>
    <w:rsid w:val="005C314F"/>
    <w:rsid w:val="005C3725"/>
    <w:rsid w:val="005C57B3"/>
    <w:rsid w:val="005C60CB"/>
    <w:rsid w:val="005C6605"/>
    <w:rsid w:val="005D00FC"/>
    <w:rsid w:val="005D027E"/>
    <w:rsid w:val="005D0464"/>
    <w:rsid w:val="005D0AD9"/>
    <w:rsid w:val="005D0B14"/>
    <w:rsid w:val="005D1400"/>
    <w:rsid w:val="005D1B04"/>
    <w:rsid w:val="005D25A4"/>
    <w:rsid w:val="005D2E9F"/>
    <w:rsid w:val="005D349F"/>
    <w:rsid w:val="005D44F6"/>
    <w:rsid w:val="005D4739"/>
    <w:rsid w:val="005D497F"/>
    <w:rsid w:val="005D4A40"/>
    <w:rsid w:val="005D59EA"/>
    <w:rsid w:val="005D67E4"/>
    <w:rsid w:val="005D72C0"/>
    <w:rsid w:val="005D7370"/>
    <w:rsid w:val="005D7F8B"/>
    <w:rsid w:val="005E0162"/>
    <w:rsid w:val="005E0564"/>
    <w:rsid w:val="005E16F6"/>
    <w:rsid w:val="005E1845"/>
    <w:rsid w:val="005E1B76"/>
    <w:rsid w:val="005E23F1"/>
    <w:rsid w:val="005E3033"/>
    <w:rsid w:val="005E3D22"/>
    <w:rsid w:val="005E3D26"/>
    <w:rsid w:val="005E3D9C"/>
    <w:rsid w:val="005E402F"/>
    <w:rsid w:val="005E40D0"/>
    <w:rsid w:val="005E4157"/>
    <w:rsid w:val="005E47F4"/>
    <w:rsid w:val="005E49B3"/>
    <w:rsid w:val="005E5854"/>
    <w:rsid w:val="005E5A65"/>
    <w:rsid w:val="005E600B"/>
    <w:rsid w:val="005E64A4"/>
    <w:rsid w:val="005E741B"/>
    <w:rsid w:val="005E7891"/>
    <w:rsid w:val="005F05C1"/>
    <w:rsid w:val="005F0E07"/>
    <w:rsid w:val="005F10AA"/>
    <w:rsid w:val="005F2362"/>
    <w:rsid w:val="005F25FF"/>
    <w:rsid w:val="005F3293"/>
    <w:rsid w:val="005F3390"/>
    <w:rsid w:val="005F3594"/>
    <w:rsid w:val="005F5203"/>
    <w:rsid w:val="005F5DC2"/>
    <w:rsid w:val="005F5DE4"/>
    <w:rsid w:val="005F729C"/>
    <w:rsid w:val="005F73C1"/>
    <w:rsid w:val="005F7BDD"/>
    <w:rsid w:val="0060022C"/>
    <w:rsid w:val="0060080E"/>
    <w:rsid w:val="006012AF"/>
    <w:rsid w:val="0060180F"/>
    <w:rsid w:val="00601B5B"/>
    <w:rsid w:val="006030FC"/>
    <w:rsid w:val="006039C2"/>
    <w:rsid w:val="00603FD6"/>
    <w:rsid w:val="006048D4"/>
    <w:rsid w:val="00605306"/>
    <w:rsid w:val="00605DB4"/>
    <w:rsid w:val="00606172"/>
    <w:rsid w:val="00606702"/>
    <w:rsid w:val="00606DA1"/>
    <w:rsid w:val="00610A64"/>
    <w:rsid w:val="006112D5"/>
    <w:rsid w:val="0061264E"/>
    <w:rsid w:val="00612FE4"/>
    <w:rsid w:val="00613114"/>
    <w:rsid w:val="00613DF8"/>
    <w:rsid w:val="006157BC"/>
    <w:rsid w:val="00617BCB"/>
    <w:rsid w:val="00617D1B"/>
    <w:rsid w:val="00617EC0"/>
    <w:rsid w:val="006201F0"/>
    <w:rsid w:val="006201F3"/>
    <w:rsid w:val="00620AF6"/>
    <w:rsid w:val="006215FE"/>
    <w:rsid w:val="0062250E"/>
    <w:rsid w:val="00624B12"/>
    <w:rsid w:val="00624C84"/>
    <w:rsid w:val="00625ADD"/>
    <w:rsid w:val="0062667E"/>
    <w:rsid w:val="00626ED8"/>
    <w:rsid w:val="00626F48"/>
    <w:rsid w:val="006275A8"/>
    <w:rsid w:val="00627DA0"/>
    <w:rsid w:val="00627EA0"/>
    <w:rsid w:val="00631ABE"/>
    <w:rsid w:val="00633909"/>
    <w:rsid w:val="00633CF2"/>
    <w:rsid w:val="0063439A"/>
    <w:rsid w:val="006343D8"/>
    <w:rsid w:val="00634DC6"/>
    <w:rsid w:val="0063506A"/>
    <w:rsid w:val="00635117"/>
    <w:rsid w:val="006355BD"/>
    <w:rsid w:val="0063617E"/>
    <w:rsid w:val="006365DC"/>
    <w:rsid w:val="006366F3"/>
    <w:rsid w:val="00636EC4"/>
    <w:rsid w:val="006376DB"/>
    <w:rsid w:val="00637760"/>
    <w:rsid w:val="006402DC"/>
    <w:rsid w:val="006417F3"/>
    <w:rsid w:val="00641821"/>
    <w:rsid w:val="006420AF"/>
    <w:rsid w:val="0064342E"/>
    <w:rsid w:val="00644212"/>
    <w:rsid w:val="00645C59"/>
    <w:rsid w:val="0064678A"/>
    <w:rsid w:val="00647217"/>
    <w:rsid w:val="00647738"/>
    <w:rsid w:val="0065011B"/>
    <w:rsid w:val="0065068A"/>
    <w:rsid w:val="00652002"/>
    <w:rsid w:val="006522DF"/>
    <w:rsid w:val="00654BBA"/>
    <w:rsid w:val="0065534B"/>
    <w:rsid w:val="00656E2D"/>
    <w:rsid w:val="00657668"/>
    <w:rsid w:val="00657A57"/>
    <w:rsid w:val="0066081F"/>
    <w:rsid w:val="00660BF8"/>
    <w:rsid w:val="00661142"/>
    <w:rsid w:val="00661286"/>
    <w:rsid w:val="00661AA3"/>
    <w:rsid w:val="00661C79"/>
    <w:rsid w:val="00661FEE"/>
    <w:rsid w:val="00662419"/>
    <w:rsid w:val="00662649"/>
    <w:rsid w:val="006639FF"/>
    <w:rsid w:val="006649B0"/>
    <w:rsid w:val="00664C69"/>
    <w:rsid w:val="006658BA"/>
    <w:rsid w:val="00665929"/>
    <w:rsid w:val="00665BA4"/>
    <w:rsid w:val="00665D12"/>
    <w:rsid w:val="00666B2B"/>
    <w:rsid w:val="00667B2E"/>
    <w:rsid w:val="00670643"/>
    <w:rsid w:val="00671E91"/>
    <w:rsid w:val="00672DC8"/>
    <w:rsid w:val="00673A69"/>
    <w:rsid w:val="00673AF3"/>
    <w:rsid w:val="0067566A"/>
    <w:rsid w:val="00675830"/>
    <w:rsid w:val="00676DB8"/>
    <w:rsid w:val="00677039"/>
    <w:rsid w:val="00677F68"/>
    <w:rsid w:val="00680195"/>
    <w:rsid w:val="006806C9"/>
    <w:rsid w:val="00680A08"/>
    <w:rsid w:val="0068157A"/>
    <w:rsid w:val="00682563"/>
    <w:rsid w:val="00682D4B"/>
    <w:rsid w:val="00683B1F"/>
    <w:rsid w:val="00684DED"/>
    <w:rsid w:val="00685524"/>
    <w:rsid w:val="00686D12"/>
    <w:rsid w:val="00687EFC"/>
    <w:rsid w:val="006901DA"/>
    <w:rsid w:val="00690E86"/>
    <w:rsid w:val="00691EB8"/>
    <w:rsid w:val="0069322F"/>
    <w:rsid w:val="006932A4"/>
    <w:rsid w:val="006946BD"/>
    <w:rsid w:val="00694D66"/>
    <w:rsid w:val="00696318"/>
    <w:rsid w:val="006A0E1D"/>
    <w:rsid w:val="006A2C88"/>
    <w:rsid w:val="006A4B07"/>
    <w:rsid w:val="006A548D"/>
    <w:rsid w:val="006A65AE"/>
    <w:rsid w:val="006A68F4"/>
    <w:rsid w:val="006A7CA4"/>
    <w:rsid w:val="006B0550"/>
    <w:rsid w:val="006B0BB2"/>
    <w:rsid w:val="006B0F08"/>
    <w:rsid w:val="006B15D5"/>
    <w:rsid w:val="006B1AA0"/>
    <w:rsid w:val="006B1B79"/>
    <w:rsid w:val="006B3BFE"/>
    <w:rsid w:val="006B55C0"/>
    <w:rsid w:val="006B5904"/>
    <w:rsid w:val="006B5CA3"/>
    <w:rsid w:val="006B5FC5"/>
    <w:rsid w:val="006B6721"/>
    <w:rsid w:val="006B6D3E"/>
    <w:rsid w:val="006B7482"/>
    <w:rsid w:val="006B7FA5"/>
    <w:rsid w:val="006C10D5"/>
    <w:rsid w:val="006C1416"/>
    <w:rsid w:val="006C29CB"/>
    <w:rsid w:val="006C2C52"/>
    <w:rsid w:val="006C2D60"/>
    <w:rsid w:val="006C2EF1"/>
    <w:rsid w:val="006C44E0"/>
    <w:rsid w:val="006C4C85"/>
    <w:rsid w:val="006C4EF7"/>
    <w:rsid w:val="006C56BF"/>
    <w:rsid w:val="006C6411"/>
    <w:rsid w:val="006C6BD0"/>
    <w:rsid w:val="006C7374"/>
    <w:rsid w:val="006C7E4E"/>
    <w:rsid w:val="006D0021"/>
    <w:rsid w:val="006D035B"/>
    <w:rsid w:val="006D0C89"/>
    <w:rsid w:val="006D16DD"/>
    <w:rsid w:val="006D25A4"/>
    <w:rsid w:val="006D2A0B"/>
    <w:rsid w:val="006D2CE5"/>
    <w:rsid w:val="006D359A"/>
    <w:rsid w:val="006D41FD"/>
    <w:rsid w:val="006D4762"/>
    <w:rsid w:val="006D55CE"/>
    <w:rsid w:val="006D57A3"/>
    <w:rsid w:val="006D5F7C"/>
    <w:rsid w:val="006D7F2E"/>
    <w:rsid w:val="006E05F8"/>
    <w:rsid w:val="006E0745"/>
    <w:rsid w:val="006E118E"/>
    <w:rsid w:val="006E22DD"/>
    <w:rsid w:val="006E2305"/>
    <w:rsid w:val="006E4B79"/>
    <w:rsid w:val="006E5453"/>
    <w:rsid w:val="006E5CBE"/>
    <w:rsid w:val="006E6BFC"/>
    <w:rsid w:val="006E7119"/>
    <w:rsid w:val="006E7992"/>
    <w:rsid w:val="006F08FC"/>
    <w:rsid w:val="006F0A32"/>
    <w:rsid w:val="006F1054"/>
    <w:rsid w:val="006F171C"/>
    <w:rsid w:val="006F1C95"/>
    <w:rsid w:val="006F2017"/>
    <w:rsid w:val="006F242D"/>
    <w:rsid w:val="006F410C"/>
    <w:rsid w:val="006F4402"/>
    <w:rsid w:val="006F4694"/>
    <w:rsid w:val="006F519C"/>
    <w:rsid w:val="006F6706"/>
    <w:rsid w:val="006F6C15"/>
    <w:rsid w:val="006F6D48"/>
    <w:rsid w:val="0070137D"/>
    <w:rsid w:val="007013BA"/>
    <w:rsid w:val="00702182"/>
    <w:rsid w:val="00702BE5"/>
    <w:rsid w:val="00702E6D"/>
    <w:rsid w:val="00704476"/>
    <w:rsid w:val="007055BF"/>
    <w:rsid w:val="007059E3"/>
    <w:rsid w:val="00705DAF"/>
    <w:rsid w:val="0070632A"/>
    <w:rsid w:val="007067D5"/>
    <w:rsid w:val="007067F6"/>
    <w:rsid w:val="00707A23"/>
    <w:rsid w:val="00710418"/>
    <w:rsid w:val="007115F2"/>
    <w:rsid w:val="00711B34"/>
    <w:rsid w:val="00711B5E"/>
    <w:rsid w:val="00711BBD"/>
    <w:rsid w:val="007124CD"/>
    <w:rsid w:val="007140F9"/>
    <w:rsid w:val="00714732"/>
    <w:rsid w:val="00714A60"/>
    <w:rsid w:val="00714EA2"/>
    <w:rsid w:val="007161A1"/>
    <w:rsid w:val="007173A1"/>
    <w:rsid w:val="007174B3"/>
    <w:rsid w:val="00717C1C"/>
    <w:rsid w:val="00721858"/>
    <w:rsid w:val="00721AC8"/>
    <w:rsid w:val="00721C83"/>
    <w:rsid w:val="00722480"/>
    <w:rsid w:val="0072305B"/>
    <w:rsid w:val="007234E1"/>
    <w:rsid w:val="00723E65"/>
    <w:rsid w:val="00724099"/>
    <w:rsid w:val="00724298"/>
    <w:rsid w:val="00724EA9"/>
    <w:rsid w:val="00726519"/>
    <w:rsid w:val="0072686B"/>
    <w:rsid w:val="00727D56"/>
    <w:rsid w:val="00727E73"/>
    <w:rsid w:val="0073086B"/>
    <w:rsid w:val="007328F6"/>
    <w:rsid w:val="00732D36"/>
    <w:rsid w:val="007331FB"/>
    <w:rsid w:val="00734769"/>
    <w:rsid w:val="00736C99"/>
    <w:rsid w:val="00736E16"/>
    <w:rsid w:val="007376CF"/>
    <w:rsid w:val="00740A1C"/>
    <w:rsid w:val="00741C6E"/>
    <w:rsid w:val="00741E3E"/>
    <w:rsid w:val="007428F4"/>
    <w:rsid w:val="0074299B"/>
    <w:rsid w:val="007433CD"/>
    <w:rsid w:val="00743456"/>
    <w:rsid w:val="0074394E"/>
    <w:rsid w:val="00743D50"/>
    <w:rsid w:val="00745EB7"/>
    <w:rsid w:val="007467C1"/>
    <w:rsid w:val="00750BD7"/>
    <w:rsid w:val="00751534"/>
    <w:rsid w:val="00751841"/>
    <w:rsid w:val="00754260"/>
    <w:rsid w:val="0075476A"/>
    <w:rsid w:val="00755963"/>
    <w:rsid w:val="00755D7E"/>
    <w:rsid w:val="0075657A"/>
    <w:rsid w:val="0075D0C8"/>
    <w:rsid w:val="0076033C"/>
    <w:rsid w:val="00760E53"/>
    <w:rsid w:val="00761471"/>
    <w:rsid w:val="00763673"/>
    <w:rsid w:val="007636CE"/>
    <w:rsid w:val="00765C38"/>
    <w:rsid w:val="0077135A"/>
    <w:rsid w:val="0077247E"/>
    <w:rsid w:val="00772D60"/>
    <w:rsid w:val="0077396B"/>
    <w:rsid w:val="0077403A"/>
    <w:rsid w:val="00774FF7"/>
    <w:rsid w:val="00775A27"/>
    <w:rsid w:val="00776B6F"/>
    <w:rsid w:val="00776C34"/>
    <w:rsid w:val="00777D63"/>
    <w:rsid w:val="00780DBF"/>
    <w:rsid w:val="00782D5B"/>
    <w:rsid w:val="00784727"/>
    <w:rsid w:val="00784D60"/>
    <w:rsid w:val="00785A16"/>
    <w:rsid w:val="00785FBD"/>
    <w:rsid w:val="0078705B"/>
    <w:rsid w:val="00787677"/>
    <w:rsid w:val="00787701"/>
    <w:rsid w:val="00787E47"/>
    <w:rsid w:val="007901F5"/>
    <w:rsid w:val="007907D2"/>
    <w:rsid w:val="007913B5"/>
    <w:rsid w:val="00792192"/>
    <w:rsid w:val="00793213"/>
    <w:rsid w:val="00793B14"/>
    <w:rsid w:val="00794CCF"/>
    <w:rsid w:val="00796711"/>
    <w:rsid w:val="00796AF8"/>
    <w:rsid w:val="00796F04"/>
    <w:rsid w:val="007A016A"/>
    <w:rsid w:val="007A0BEA"/>
    <w:rsid w:val="007A1276"/>
    <w:rsid w:val="007A422B"/>
    <w:rsid w:val="007A4E83"/>
    <w:rsid w:val="007A5BE1"/>
    <w:rsid w:val="007A614B"/>
    <w:rsid w:val="007A64A6"/>
    <w:rsid w:val="007A7E1C"/>
    <w:rsid w:val="007B0399"/>
    <w:rsid w:val="007B067B"/>
    <w:rsid w:val="007B0CED"/>
    <w:rsid w:val="007B0D52"/>
    <w:rsid w:val="007B0F71"/>
    <w:rsid w:val="007B10C3"/>
    <w:rsid w:val="007B13C9"/>
    <w:rsid w:val="007B13EA"/>
    <w:rsid w:val="007B17E3"/>
    <w:rsid w:val="007B1B55"/>
    <w:rsid w:val="007B1C35"/>
    <w:rsid w:val="007B1F3A"/>
    <w:rsid w:val="007B201E"/>
    <w:rsid w:val="007B2264"/>
    <w:rsid w:val="007B245F"/>
    <w:rsid w:val="007B331E"/>
    <w:rsid w:val="007B3DB6"/>
    <w:rsid w:val="007B5221"/>
    <w:rsid w:val="007B5E10"/>
    <w:rsid w:val="007B6BA4"/>
    <w:rsid w:val="007B6C56"/>
    <w:rsid w:val="007B79DF"/>
    <w:rsid w:val="007C05F6"/>
    <w:rsid w:val="007C0652"/>
    <w:rsid w:val="007C06A2"/>
    <w:rsid w:val="007C082B"/>
    <w:rsid w:val="007C13EC"/>
    <w:rsid w:val="007C2F2D"/>
    <w:rsid w:val="007C30C7"/>
    <w:rsid w:val="007C34D1"/>
    <w:rsid w:val="007C4644"/>
    <w:rsid w:val="007C4707"/>
    <w:rsid w:val="007C606F"/>
    <w:rsid w:val="007C7022"/>
    <w:rsid w:val="007C7F06"/>
    <w:rsid w:val="007D166D"/>
    <w:rsid w:val="007D1B30"/>
    <w:rsid w:val="007D1EB8"/>
    <w:rsid w:val="007D2796"/>
    <w:rsid w:val="007D320A"/>
    <w:rsid w:val="007D33D1"/>
    <w:rsid w:val="007D523F"/>
    <w:rsid w:val="007D62D2"/>
    <w:rsid w:val="007D649E"/>
    <w:rsid w:val="007D6A0C"/>
    <w:rsid w:val="007D71DC"/>
    <w:rsid w:val="007E040C"/>
    <w:rsid w:val="007E2FDF"/>
    <w:rsid w:val="007E33CF"/>
    <w:rsid w:val="007E390F"/>
    <w:rsid w:val="007E53D9"/>
    <w:rsid w:val="007E5551"/>
    <w:rsid w:val="007E7B45"/>
    <w:rsid w:val="007F04EB"/>
    <w:rsid w:val="007F318E"/>
    <w:rsid w:val="007F3B81"/>
    <w:rsid w:val="007F3E35"/>
    <w:rsid w:val="007F4629"/>
    <w:rsid w:val="007F487A"/>
    <w:rsid w:val="007F4A2F"/>
    <w:rsid w:val="007F57F4"/>
    <w:rsid w:val="007F7724"/>
    <w:rsid w:val="00800814"/>
    <w:rsid w:val="00800D4B"/>
    <w:rsid w:val="00802174"/>
    <w:rsid w:val="008057CB"/>
    <w:rsid w:val="00806BDA"/>
    <w:rsid w:val="00806E83"/>
    <w:rsid w:val="00807159"/>
    <w:rsid w:val="00807FB3"/>
    <w:rsid w:val="008101A3"/>
    <w:rsid w:val="008102BF"/>
    <w:rsid w:val="00810464"/>
    <w:rsid w:val="0081049E"/>
    <w:rsid w:val="00810656"/>
    <w:rsid w:val="008106A0"/>
    <w:rsid w:val="00810B1C"/>
    <w:rsid w:val="00810D4C"/>
    <w:rsid w:val="00810DCA"/>
    <w:rsid w:val="008117A6"/>
    <w:rsid w:val="00811B0C"/>
    <w:rsid w:val="0081257D"/>
    <w:rsid w:val="00813786"/>
    <w:rsid w:val="008147F3"/>
    <w:rsid w:val="00814D71"/>
    <w:rsid w:val="008152F0"/>
    <w:rsid w:val="008155F4"/>
    <w:rsid w:val="00815DA7"/>
    <w:rsid w:val="00815EEC"/>
    <w:rsid w:val="00816A61"/>
    <w:rsid w:val="00817233"/>
    <w:rsid w:val="008173A6"/>
    <w:rsid w:val="00820857"/>
    <w:rsid w:val="00821220"/>
    <w:rsid w:val="00821D19"/>
    <w:rsid w:val="008220F1"/>
    <w:rsid w:val="008243C4"/>
    <w:rsid w:val="00824749"/>
    <w:rsid w:val="00824C91"/>
    <w:rsid w:val="00824D6E"/>
    <w:rsid w:val="00824DCD"/>
    <w:rsid w:val="00824E68"/>
    <w:rsid w:val="00824FB2"/>
    <w:rsid w:val="0082602C"/>
    <w:rsid w:val="00826AF7"/>
    <w:rsid w:val="00826B04"/>
    <w:rsid w:val="008273A4"/>
    <w:rsid w:val="008273E0"/>
    <w:rsid w:val="00827899"/>
    <w:rsid w:val="0083005D"/>
    <w:rsid w:val="0083035D"/>
    <w:rsid w:val="00830953"/>
    <w:rsid w:val="00830AFA"/>
    <w:rsid w:val="00831638"/>
    <w:rsid w:val="00831A01"/>
    <w:rsid w:val="00832107"/>
    <w:rsid w:val="00832497"/>
    <w:rsid w:val="00832960"/>
    <w:rsid w:val="00833792"/>
    <w:rsid w:val="00834946"/>
    <w:rsid w:val="00835C49"/>
    <w:rsid w:val="0083679C"/>
    <w:rsid w:val="0083731D"/>
    <w:rsid w:val="00837860"/>
    <w:rsid w:val="00837B1E"/>
    <w:rsid w:val="008423D3"/>
    <w:rsid w:val="008426D2"/>
    <w:rsid w:val="008428FA"/>
    <w:rsid w:val="00842CF2"/>
    <w:rsid w:val="008434A5"/>
    <w:rsid w:val="00843C22"/>
    <w:rsid w:val="008443E2"/>
    <w:rsid w:val="008458D0"/>
    <w:rsid w:val="0084751C"/>
    <w:rsid w:val="008524EB"/>
    <w:rsid w:val="00852B31"/>
    <w:rsid w:val="0085302B"/>
    <w:rsid w:val="0085327E"/>
    <w:rsid w:val="008532A9"/>
    <w:rsid w:val="0085445C"/>
    <w:rsid w:val="00855284"/>
    <w:rsid w:val="00856D49"/>
    <w:rsid w:val="00857D87"/>
    <w:rsid w:val="00860A38"/>
    <w:rsid w:val="00860A5D"/>
    <w:rsid w:val="00860FF2"/>
    <w:rsid w:val="0086395C"/>
    <w:rsid w:val="00863971"/>
    <w:rsid w:val="00864181"/>
    <w:rsid w:val="00864730"/>
    <w:rsid w:val="00864DC7"/>
    <w:rsid w:val="008653A4"/>
    <w:rsid w:val="00870C3D"/>
    <w:rsid w:val="008717BF"/>
    <w:rsid w:val="0087193A"/>
    <w:rsid w:val="0087249A"/>
    <w:rsid w:val="008727D2"/>
    <w:rsid w:val="00872D6F"/>
    <w:rsid w:val="008732AC"/>
    <w:rsid w:val="00873DA8"/>
    <w:rsid w:val="00873FCC"/>
    <w:rsid w:val="00874476"/>
    <w:rsid w:val="00874B5F"/>
    <w:rsid w:val="00874E79"/>
    <w:rsid w:val="00874EB3"/>
    <w:rsid w:val="008758DD"/>
    <w:rsid w:val="00875964"/>
    <w:rsid w:val="00876E1B"/>
    <w:rsid w:val="00877018"/>
    <w:rsid w:val="0087744F"/>
    <w:rsid w:val="00877512"/>
    <w:rsid w:val="00882021"/>
    <w:rsid w:val="00882B58"/>
    <w:rsid w:val="008831F0"/>
    <w:rsid w:val="00883248"/>
    <w:rsid w:val="00883331"/>
    <w:rsid w:val="008836AF"/>
    <w:rsid w:val="00883748"/>
    <w:rsid w:val="00883BF4"/>
    <w:rsid w:val="00883DB5"/>
    <w:rsid w:val="00884C18"/>
    <w:rsid w:val="00884DEF"/>
    <w:rsid w:val="00885A61"/>
    <w:rsid w:val="0088634D"/>
    <w:rsid w:val="008865E6"/>
    <w:rsid w:val="00887071"/>
    <w:rsid w:val="0088711A"/>
    <w:rsid w:val="0088739A"/>
    <w:rsid w:val="00887AAE"/>
    <w:rsid w:val="00890F5E"/>
    <w:rsid w:val="00891609"/>
    <w:rsid w:val="00891951"/>
    <w:rsid w:val="00891AE8"/>
    <w:rsid w:val="00892C27"/>
    <w:rsid w:val="008938CF"/>
    <w:rsid w:val="00894D16"/>
    <w:rsid w:val="00895600"/>
    <w:rsid w:val="00895EE3"/>
    <w:rsid w:val="0089689A"/>
    <w:rsid w:val="008A04A3"/>
    <w:rsid w:val="008A08EC"/>
    <w:rsid w:val="008A477D"/>
    <w:rsid w:val="008A5441"/>
    <w:rsid w:val="008A6AB5"/>
    <w:rsid w:val="008A6D57"/>
    <w:rsid w:val="008A6F1C"/>
    <w:rsid w:val="008A72B6"/>
    <w:rsid w:val="008A7398"/>
    <w:rsid w:val="008A73CB"/>
    <w:rsid w:val="008A789F"/>
    <w:rsid w:val="008A7DAF"/>
    <w:rsid w:val="008A7DF9"/>
    <w:rsid w:val="008B088D"/>
    <w:rsid w:val="008B0AA2"/>
    <w:rsid w:val="008B2381"/>
    <w:rsid w:val="008B26EB"/>
    <w:rsid w:val="008B2725"/>
    <w:rsid w:val="008B295E"/>
    <w:rsid w:val="008B2F22"/>
    <w:rsid w:val="008B2F7C"/>
    <w:rsid w:val="008B447B"/>
    <w:rsid w:val="008B5EBE"/>
    <w:rsid w:val="008B658F"/>
    <w:rsid w:val="008B69B5"/>
    <w:rsid w:val="008B765D"/>
    <w:rsid w:val="008B7A9F"/>
    <w:rsid w:val="008B7BEE"/>
    <w:rsid w:val="008C0482"/>
    <w:rsid w:val="008C1044"/>
    <w:rsid w:val="008C18F9"/>
    <w:rsid w:val="008C26D4"/>
    <w:rsid w:val="008C34C1"/>
    <w:rsid w:val="008C3863"/>
    <w:rsid w:val="008C3C64"/>
    <w:rsid w:val="008C3ED1"/>
    <w:rsid w:val="008C4E47"/>
    <w:rsid w:val="008C5725"/>
    <w:rsid w:val="008C60F2"/>
    <w:rsid w:val="008C65E3"/>
    <w:rsid w:val="008C6FF0"/>
    <w:rsid w:val="008C730E"/>
    <w:rsid w:val="008C7956"/>
    <w:rsid w:val="008D07EA"/>
    <w:rsid w:val="008D0C83"/>
    <w:rsid w:val="008D0D08"/>
    <w:rsid w:val="008D0DD8"/>
    <w:rsid w:val="008D19C9"/>
    <w:rsid w:val="008D1BC3"/>
    <w:rsid w:val="008D1C0D"/>
    <w:rsid w:val="008D1ED7"/>
    <w:rsid w:val="008D218B"/>
    <w:rsid w:val="008D34E3"/>
    <w:rsid w:val="008D3E9D"/>
    <w:rsid w:val="008D4ED6"/>
    <w:rsid w:val="008D5FAC"/>
    <w:rsid w:val="008D732A"/>
    <w:rsid w:val="008D7506"/>
    <w:rsid w:val="008D7941"/>
    <w:rsid w:val="008E03A4"/>
    <w:rsid w:val="008E1782"/>
    <w:rsid w:val="008E2584"/>
    <w:rsid w:val="008E2BE7"/>
    <w:rsid w:val="008E31F5"/>
    <w:rsid w:val="008E38D1"/>
    <w:rsid w:val="008E3A06"/>
    <w:rsid w:val="008E4493"/>
    <w:rsid w:val="008E44FB"/>
    <w:rsid w:val="008E4BEB"/>
    <w:rsid w:val="008E7561"/>
    <w:rsid w:val="008F0137"/>
    <w:rsid w:val="008F064B"/>
    <w:rsid w:val="008F1959"/>
    <w:rsid w:val="008F19CE"/>
    <w:rsid w:val="008F242E"/>
    <w:rsid w:val="008F2907"/>
    <w:rsid w:val="008F404A"/>
    <w:rsid w:val="008F4F8C"/>
    <w:rsid w:val="008F51A8"/>
    <w:rsid w:val="008F70DF"/>
    <w:rsid w:val="008F7B20"/>
    <w:rsid w:val="0090156F"/>
    <w:rsid w:val="00901D3F"/>
    <w:rsid w:val="0090473A"/>
    <w:rsid w:val="00906080"/>
    <w:rsid w:val="009064FC"/>
    <w:rsid w:val="009068B5"/>
    <w:rsid w:val="009074E2"/>
    <w:rsid w:val="0091129D"/>
    <w:rsid w:val="009115E0"/>
    <w:rsid w:val="009116A3"/>
    <w:rsid w:val="00911DAC"/>
    <w:rsid w:val="00912710"/>
    <w:rsid w:val="00914FC3"/>
    <w:rsid w:val="00915D6D"/>
    <w:rsid w:val="00915E9D"/>
    <w:rsid w:val="00915F85"/>
    <w:rsid w:val="009205E5"/>
    <w:rsid w:val="0092062B"/>
    <w:rsid w:val="00920DBC"/>
    <w:rsid w:val="00921877"/>
    <w:rsid w:val="00922050"/>
    <w:rsid w:val="00922457"/>
    <w:rsid w:val="009225E8"/>
    <w:rsid w:val="00922894"/>
    <w:rsid w:val="00923896"/>
    <w:rsid w:val="0092389E"/>
    <w:rsid w:val="009241F1"/>
    <w:rsid w:val="00924378"/>
    <w:rsid w:val="00924958"/>
    <w:rsid w:val="0092555C"/>
    <w:rsid w:val="0092576E"/>
    <w:rsid w:val="0092599E"/>
    <w:rsid w:val="00925BB3"/>
    <w:rsid w:val="009260B0"/>
    <w:rsid w:val="009260F6"/>
    <w:rsid w:val="00927FD3"/>
    <w:rsid w:val="00930265"/>
    <w:rsid w:val="00930B27"/>
    <w:rsid w:val="0093163E"/>
    <w:rsid w:val="00933137"/>
    <w:rsid w:val="009332ED"/>
    <w:rsid w:val="009337D3"/>
    <w:rsid w:val="009337DB"/>
    <w:rsid w:val="00933ABB"/>
    <w:rsid w:val="0093432F"/>
    <w:rsid w:val="00934674"/>
    <w:rsid w:val="0093520A"/>
    <w:rsid w:val="00935284"/>
    <w:rsid w:val="0093744B"/>
    <w:rsid w:val="00940276"/>
    <w:rsid w:val="009407D1"/>
    <w:rsid w:val="00941ED7"/>
    <w:rsid w:val="009421BC"/>
    <w:rsid w:val="00942F7A"/>
    <w:rsid w:val="0094347A"/>
    <w:rsid w:val="00944695"/>
    <w:rsid w:val="009454AB"/>
    <w:rsid w:val="009456DC"/>
    <w:rsid w:val="00945D49"/>
    <w:rsid w:val="00946581"/>
    <w:rsid w:val="00950FB7"/>
    <w:rsid w:val="00951223"/>
    <w:rsid w:val="0095296D"/>
    <w:rsid w:val="00954435"/>
    <w:rsid w:val="00954968"/>
    <w:rsid w:val="00954AC6"/>
    <w:rsid w:val="00955019"/>
    <w:rsid w:val="00955638"/>
    <w:rsid w:val="00955A00"/>
    <w:rsid w:val="00955B4A"/>
    <w:rsid w:val="00957144"/>
    <w:rsid w:val="0095747F"/>
    <w:rsid w:val="009575DF"/>
    <w:rsid w:val="00957DB4"/>
    <w:rsid w:val="00957FA1"/>
    <w:rsid w:val="00961FE4"/>
    <w:rsid w:val="00962822"/>
    <w:rsid w:val="00962978"/>
    <w:rsid w:val="00962BAC"/>
    <w:rsid w:val="00963A84"/>
    <w:rsid w:val="0096474A"/>
    <w:rsid w:val="00964818"/>
    <w:rsid w:val="009657A4"/>
    <w:rsid w:val="009708CD"/>
    <w:rsid w:val="00972143"/>
    <w:rsid w:val="00972198"/>
    <w:rsid w:val="00972908"/>
    <w:rsid w:val="009739E1"/>
    <w:rsid w:val="00973A68"/>
    <w:rsid w:val="00973A8D"/>
    <w:rsid w:val="00973D15"/>
    <w:rsid w:val="00973D9A"/>
    <w:rsid w:val="0097491F"/>
    <w:rsid w:val="00974D34"/>
    <w:rsid w:val="00975097"/>
    <w:rsid w:val="00975927"/>
    <w:rsid w:val="0097653C"/>
    <w:rsid w:val="00977720"/>
    <w:rsid w:val="009804DF"/>
    <w:rsid w:val="00980D9C"/>
    <w:rsid w:val="00980EB1"/>
    <w:rsid w:val="0098340E"/>
    <w:rsid w:val="009841B0"/>
    <w:rsid w:val="00984CB3"/>
    <w:rsid w:val="009862A9"/>
    <w:rsid w:val="00986B0B"/>
    <w:rsid w:val="00986F96"/>
    <w:rsid w:val="009874C9"/>
    <w:rsid w:val="00987AA8"/>
    <w:rsid w:val="00990A34"/>
    <w:rsid w:val="00990E74"/>
    <w:rsid w:val="00991C71"/>
    <w:rsid w:val="00992022"/>
    <w:rsid w:val="00992B0C"/>
    <w:rsid w:val="00994DC6"/>
    <w:rsid w:val="0099611C"/>
    <w:rsid w:val="009964B2"/>
    <w:rsid w:val="009967BC"/>
    <w:rsid w:val="00996C9D"/>
    <w:rsid w:val="00997427"/>
    <w:rsid w:val="00997627"/>
    <w:rsid w:val="009976E6"/>
    <w:rsid w:val="009A0AA7"/>
    <w:rsid w:val="009A1F8A"/>
    <w:rsid w:val="009A2061"/>
    <w:rsid w:val="009A391C"/>
    <w:rsid w:val="009A3EB5"/>
    <w:rsid w:val="009A4901"/>
    <w:rsid w:val="009A4A6F"/>
    <w:rsid w:val="009A568E"/>
    <w:rsid w:val="009A639F"/>
    <w:rsid w:val="009A66A8"/>
    <w:rsid w:val="009B09B4"/>
    <w:rsid w:val="009B0A6E"/>
    <w:rsid w:val="009B0AEA"/>
    <w:rsid w:val="009B18A5"/>
    <w:rsid w:val="009B2292"/>
    <w:rsid w:val="009B25CA"/>
    <w:rsid w:val="009B2FAC"/>
    <w:rsid w:val="009B372B"/>
    <w:rsid w:val="009B3A93"/>
    <w:rsid w:val="009B4BAF"/>
    <w:rsid w:val="009B4DE5"/>
    <w:rsid w:val="009B5023"/>
    <w:rsid w:val="009B56A6"/>
    <w:rsid w:val="009B5795"/>
    <w:rsid w:val="009B6286"/>
    <w:rsid w:val="009B6EEA"/>
    <w:rsid w:val="009B7B89"/>
    <w:rsid w:val="009C0591"/>
    <w:rsid w:val="009C0BBB"/>
    <w:rsid w:val="009C0FDE"/>
    <w:rsid w:val="009C15C5"/>
    <w:rsid w:val="009C1962"/>
    <w:rsid w:val="009C3CED"/>
    <w:rsid w:val="009C40B2"/>
    <w:rsid w:val="009C4674"/>
    <w:rsid w:val="009C4C7B"/>
    <w:rsid w:val="009C52C6"/>
    <w:rsid w:val="009C5CB8"/>
    <w:rsid w:val="009C6444"/>
    <w:rsid w:val="009C6829"/>
    <w:rsid w:val="009C684B"/>
    <w:rsid w:val="009C6D37"/>
    <w:rsid w:val="009C738C"/>
    <w:rsid w:val="009C75D3"/>
    <w:rsid w:val="009C78AD"/>
    <w:rsid w:val="009C7CF8"/>
    <w:rsid w:val="009D004D"/>
    <w:rsid w:val="009D071C"/>
    <w:rsid w:val="009D0ED7"/>
    <w:rsid w:val="009D2CDE"/>
    <w:rsid w:val="009D35D3"/>
    <w:rsid w:val="009D3922"/>
    <w:rsid w:val="009D4001"/>
    <w:rsid w:val="009D4537"/>
    <w:rsid w:val="009D46C9"/>
    <w:rsid w:val="009D4746"/>
    <w:rsid w:val="009D4D8E"/>
    <w:rsid w:val="009D5501"/>
    <w:rsid w:val="009D6640"/>
    <w:rsid w:val="009D67D1"/>
    <w:rsid w:val="009D7CBB"/>
    <w:rsid w:val="009E058C"/>
    <w:rsid w:val="009E1A66"/>
    <w:rsid w:val="009E1B98"/>
    <w:rsid w:val="009E1EAA"/>
    <w:rsid w:val="009E1EB9"/>
    <w:rsid w:val="009E1EFE"/>
    <w:rsid w:val="009E2668"/>
    <w:rsid w:val="009E2A19"/>
    <w:rsid w:val="009E2EB8"/>
    <w:rsid w:val="009E2EF6"/>
    <w:rsid w:val="009E415B"/>
    <w:rsid w:val="009E4D19"/>
    <w:rsid w:val="009E50E3"/>
    <w:rsid w:val="009E5449"/>
    <w:rsid w:val="009E55EF"/>
    <w:rsid w:val="009E55FC"/>
    <w:rsid w:val="009E6E7C"/>
    <w:rsid w:val="009E7287"/>
    <w:rsid w:val="009E75A4"/>
    <w:rsid w:val="009F05AA"/>
    <w:rsid w:val="009F06AE"/>
    <w:rsid w:val="009F394D"/>
    <w:rsid w:val="009F3AA5"/>
    <w:rsid w:val="009F4E6E"/>
    <w:rsid w:val="009F4ED5"/>
    <w:rsid w:val="009F5B51"/>
    <w:rsid w:val="009F6461"/>
    <w:rsid w:val="009F662F"/>
    <w:rsid w:val="009F667C"/>
    <w:rsid w:val="009F67EB"/>
    <w:rsid w:val="00A0037B"/>
    <w:rsid w:val="00A023A6"/>
    <w:rsid w:val="00A0317A"/>
    <w:rsid w:val="00A0559B"/>
    <w:rsid w:val="00A10F09"/>
    <w:rsid w:val="00A14477"/>
    <w:rsid w:val="00A14A1F"/>
    <w:rsid w:val="00A14E47"/>
    <w:rsid w:val="00A1531D"/>
    <w:rsid w:val="00A158B9"/>
    <w:rsid w:val="00A16C1A"/>
    <w:rsid w:val="00A16DBC"/>
    <w:rsid w:val="00A17958"/>
    <w:rsid w:val="00A17E46"/>
    <w:rsid w:val="00A20939"/>
    <w:rsid w:val="00A21109"/>
    <w:rsid w:val="00A22006"/>
    <w:rsid w:val="00A2272B"/>
    <w:rsid w:val="00A22D2F"/>
    <w:rsid w:val="00A22ED8"/>
    <w:rsid w:val="00A234B1"/>
    <w:rsid w:val="00A2371B"/>
    <w:rsid w:val="00A246B1"/>
    <w:rsid w:val="00A25F0B"/>
    <w:rsid w:val="00A30B5D"/>
    <w:rsid w:val="00A32E2A"/>
    <w:rsid w:val="00A33976"/>
    <w:rsid w:val="00A33AB6"/>
    <w:rsid w:val="00A344DD"/>
    <w:rsid w:val="00A34949"/>
    <w:rsid w:val="00A34BC9"/>
    <w:rsid w:val="00A361F6"/>
    <w:rsid w:val="00A37541"/>
    <w:rsid w:val="00A37C2A"/>
    <w:rsid w:val="00A37FA0"/>
    <w:rsid w:val="00A40377"/>
    <w:rsid w:val="00A405E5"/>
    <w:rsid w:val="00A40DBC"/>
    <w:rsid w:val="00A40E85"/>
    <w:rsid w:val="00A41D14"/>
    <w:rsid w:val="00A43184"/>
    <w:rsid w:val="00A431F0"/>
    <w:rsid w:val="00A436C7"/>
    <w:rsid w:val="00A439B1"/>
    <w:rsid w:val="00A44109"/>
    <w:rsid w:val="00A445E7"/>
    <w:rsid w:val="00A4526A"/>
    <w:rsid w:val="00A45901"/>
    <w:rsid w:val="00A45933"/>
    <w:rsid w:val="00A459F4"/>
    <w:rsid w:val="00A4688D"/>
    <w:rsid w:val="00A46C35"/>
    <w:rsid w:val="00A473BA"/>
    <w:rsid w:val="00A4744A"/>
    <w:rsid w:val="00A47639"/>
    <w:rsid w:val="00A4790D"/>
    <w:rsid w:val="00A47AA0"/>
    <w:rsid w:val="00A47B57"/>
    <w:rsid w:val="00A5014F"/>
    <w:rsid w:val="00A50D11"/>
    <w:rsid w:val="00A5130F"/>
    <w:rsid w:val="00A52AD7"/>
    <w:rsid w:val="00A52F7D"/>
    <w:rsid w:val="00A533BF"/>
    <w:rsid w:val="00A54BF5"/>
    <w:rsid w:val="00A55345"/>
    <w:rsid w:val="00A55E94"/>
    <w:rsid w:val="00A560D7"/>
    <w:rsid w:val="00A56F4A"/>
    <w:rsid w:val="00A57BAF"/>
    <w:rsid w:val="00A57C58"/>
    <w:rsid w:val="00A57DF2"/>
    <w:rsid w:val="00A60247"/>
    <w:rsid w:val="00A602DD"/>
    <w:rsid w:val="00A60BA6"/>
    <w:rsid w:val="00A60EDA"/>
    <w:rsid w:val="00A61FC6"/>
    <w:rsid w:val="00A620E9"/>
    <w:rsid w:val="00A62255"/>
    <w:rsid w:val="00A640B2"/>
    <w:rsid w:val="00A64223"/>
    <w:rsid w:val="00A64A2B"/>
    <w:rsid w:val="00A64EB2"/>
    <w:rsid w:val="00A64EDB"/>
    <w:rsid w:val="00A651FF"/>
    <w:rsid w:val="00A655C3"/>
    <w:rsid w:val="00A66D3C"/>
    <w:rsid w:val="00A67753"/>
    <w:rsid w:val="00A7008B"/>
    <w:rsid w:val="00A707F7"/>
    <w:rsid w:val="00A70E9D"/>
    <w:rsid w:val="00A71C09"/>
    <w:rsid w:val="00A71CAA"/>
    <w:rsid w:val="00A72ADD"/>
    <w:rsid w:val="00A7392B"/>
    <w:rsid w:val="00A7412B"/>
    <w:rsid w:val="00A7495A"/>
    <w:rsid w:val="00A7577A"/>
    <w:rsid w:val="00A75D1F"/>
    <w:rsid w:val="00A75D23"/>
    <w:rsid w:val="00A770ED"/>
    <w:rsid w:val="00A779A2"/>
    <w:rsid w:val="00A81170"/>
    <w:rsid w:val="00A81525"/>
    <w:rsid w:val="00A8163D"/>
    <w:rsid w:val="00A81C5D"/>
    <w:rsid w:val="00A81CDC"/>
    <w:rsid w:val="00A82966"/>
    <w:rsid w:val="00A82A04"/>
    <w:rsid w:val="00A82B5E"/>
    <w:rsid w:val="00A8336E"/>
    <w:rsid w:val="00A83481"/>
    <w:rsid w:val="00A83AB7"/>
    <w:rsid w:val="00A840C3"/>
    <w:rsid w:val="00A84BDC"/>
    <w:rsid w:val="00A85236"/>
    <w:rsid w:val="00A86E5B"/>
    <w:rsid w:val="00A878F1"/>
    <w:rsid w:val="00A908CF"/>
    <w:rsid w:val="00A9211B"/>
    <w:rsid w:val="00A921C1"/>
    <w:rsid w:val="00A92255"/>
    <w:rsid w:val="00A93018"/>
    <w:rsid w:val="00A93988"/>
    <w:rsid w:val="00A946B2"/>
    <w:rsid w:val="00A94C66"/>
    <w:rsid w:val="00A96736"/>
    <w:rsid w:val="00A96D63"/>
    <w:rsid w:val="00A97077"/>
    <w:rsid w:val="00A97410"/>
    <w:rsid w:val="00A975D1"/>
    <w:rsid w:val="00A9763B"/>
    <w:rsid w:val="00A97AE7"/>
    <w:rsid w:val="00AA0812"/>
    <w:rsid w:val="00AA0B74"/>
    <w:rsid w:val="00AA0BEF"/>
    <w:rsid w:val="00AA1AC8"/>
    <w:rsid w:val="00AA2379"/>
    <w:rsid w:val="00AA283F"/>
    <w:rsid w:val="00AA35FF"/>
    <w:rsid w:val="00AA3746"/>
    <w:rsid w:val="00AA59E0"/>
    <w:rsid w:val="00AA5F70"/>
    <w:rsid w:val="00AA7911"/>
    <w:rsid w:val="00AB084B"/>
    <w:rsid w:val="00AB0B82"/>
    <w:rsid w:val="00AB1385"/>
    <w:rsid w:val="00AB17A4"/>
    <w:rsid w:val="00AB17D3"/>
    <w:rsid w:val="00AB1DCE"/>
    <w:rsid w:val="00AB1F68"/>
    <w:rsid w:val="00AB2160"/>
    <w:rsid w:val="00AB2D5E"/>
    <w:rsid w:val="00AB2F7F"/>
    <w:rsid w:val="00AB3376"/>
    <w:rsid w:val="00AB393B"/>
    <w:rsid w:val="00AB4778"/>
    <w:rsid w:val="00AB4CC1"/>
    <w:rsid w:val="00AB5234"/>
    <w:rsid w:val="00AB5BA9"/>
    <w:rsid w:val="00AB7E20"/>
    <w:rsid w:val="00AC21AC"/>
    <w:rsid w:val="00AC2C65"/>
    <w:rsid w:val="00AC3003"/>
    <w:rsid w:val="00AC38EC"/>
    <w:rsid w:val="00AC3D83"/>
    <w:rsid w:val="00AC3F8C"/>
    <w:rsid w:val="00AC4386"/>
    <w:rsid w:val="00AC46F9"/>
    <w:rsid w:val="00AC48C8"/>
    <w:rsid w:val="00AC4E3B"/>
    <w:rsid w:val="00AC5A92"/>
    <w:rsid w:val="00AC6079"/>
    <w:rsid w:val="00AC666E"/>
    <w:rsid w:val="00AC68E1"/>
    <w:rsid w:val="00AC68EE"/>
    <w:rsid w:val="00AC7443"/>
    <w:rsid w:val="00AC75A5"/>
    <w:rsid w:val="00AC760D"/>
    <w:rsid w:val="00AC7785"/>
    <w:rsid w:val="00AC7AFE"/>
    <w:rsid w:val="00AD12A3"/>
    <w:rsid w:val="00AD1D3F"/>
    <w:rsid w:val="00AD2BC7"/>
    <w:rsid w:val="00AD3BA0"/>
    <w:rsid w:val="00AD3E7B"/>
    <w:rsid w:val="00AD4F06"/>
    <w:rsid w:val="00AD53A2"/>
    <w:rsid w:val="00AD564F"/>
    <w:rsid w:val="00AD658C"/>
    <w:rsid w:val="00AD67B8"/>
    <w:rsid w:val="00AD709A"/>
    <w:rsid w:val="00AD7683"/>
    <w:rsid w:val="00AD7F01"/>
    <w:rsid w:val="00AE0541"/>
    <w:rsid w:val="00AE0A3C"/>
    <w:rsid w:val="00AE12E0"/>
    <w:rsid w:val="00AE2C00"/>
    <w:rsid w:val="00AE2C53"/>
    <w:rsid w:val="00AE39BD"/>
    <w:rsid w:val="00AE3B44"/>
    <w:rsid w:val="00AE3CBC"/>
    <w:rsid w:val="00AE4589"/>
    <w:rsid w:val="00AE4A0E"/>
    <w:rsid w:val="00AE6000"/>
    <w:rsid w:val="00AE6158"/>
    <w:rsid w:val="00AE6531"/>
    <w:rsid w:val="00AE678E"/>
    <w:rsid w:val="00AE6F3E"/>
    <w:rsid w:val="00AE713E"/>
    <w:rsid w:val="00AE7D8D"/>
    <w:rsid w:val="00AE7E79"/>
    <w:rsid w:val="00AF02AD"/>
    <w:rsid w:val="00AF0651"/>
    <w:rsid w:val="00AF136E"/>
    <w:rsid w:val="00AF17C2"/>
    <w:rsid w:val="00AF1CA2"/>
    <w:rsid w:val="00AF1F99"/>
    <w:rsid w:val="00AF33B8"/>
    <w:rsid w:val="00AF3CEA"/>
    <w:rsid w:val="00AF3D33"/>
    <w:rsid w:val="00AF4710"/>
    <w:rsid w:val="00AF4BE6"/>
    <w:rsid w:val="00AF58A1"/>
    <w:rsid w:val="00AF5A3E"/>
    <w:rsid w:val="00AF613E"/>
    <w:rsid w:val="00AF7090"/>
    <w:rsid w:val="00AF7183"/>
    <w:rsid w:val="00B00698"/>
    <w:rsid w:val="00B007C3"/>
    <w:rsid w:val="00B030B8"/>
    <w:rsid w:val="00B0380C"/>
    <w:rsid w:val="00B03F3B"/>
    <w:rsid w:val="00B0405F"/>
    <w:rsid w:val="00B05741"/>
    <w:rsid w:val="00B06CF7"/>
    <w:rsid w:val="00B070AB"/>
    <w:rsid w:val="00B07268"/>
    <w:rsid w:val="00B07367"/>
    <w:rsid w:val="00B07B09"/>
    <w:rsid w:val="00B10120"/>
    <w:rsid w:val="00B10B08"/>
    <w:rsid w:val="00B11DAA"/>
    <w:rsid w:val="00B1300A"/>
    <w:rsid w:val="00B1358F"/>
    <w:rsid w:val="00B13AE8"/>
    <w:rsid w:val="00B1432F"/>
    <w:rsid w:val="00B14DB6"/>
    <w:rsid w:val="00B151E4"/>
    <w:rsid w:val="00B153F5"/>
    <w:rsid w:val="00B1621F"/>
    <w:rsid w:val="00B163F5"/>
    <w:rsid w:val="00B1781E"/>
    <w:rsid w:val="00B21A6A"/>
    <w:rsid w:val="00B21E14"/>
    <w:rsid w:val="00B21FBF"/>
    <w:rsid w:val="00B223E9"/>
    <w:rsid w:val="00B22C19"/>
    <w:rsid w:val="00B22E50"/>
    <w:rsid w:val="00B22E65"/>
    <w:rsid w:val="00B2317F"/>
    <w:rsid w:val="00B2322E"/>
    <w:rsid w:val="00B24E23"/>
    <w:rsid w:val="00B254E8"/>
    <w:rsid w:val="00B256D9"/>
    <w:rsid w:val="00B25BC6"/>
    <w:rsid w:val="00B26655"/>
    <w:rsid w:val="00B27461"/>
    <w:rsid w:val="00B300AA"/>
    <w:rsid w:val="00B30A7C"/>
    <w:rsid w:val="00B314DB"/>
    <w:rsid w:val="00B326EC"/>
    <w:rsid w:val="00B32A40"/>
    <w:rsid w:val="00B33433"/>
    <w:rsid w:val="00B33C19"/>
    <w:rsid w:val="00B34C1E"/>
    <w:rsid w:val="00B358CB"/>
    <w:rsid w:val="00B36BE3"/>
    <w:rsid w:val="00B40850"/>
    <w:rsid w:val="00B40FEA"/>
    <w:rsid w:val="00B412AD"/>
    <w:rsid w:val="00B41FB6"/>
    <w:rsid w:val="00B42146"/>
    <w:rsid w:val="00B42DF0"/>
    <w:rsid w:val="00B42F6A"/>
    <w:rsid w:val="00B43360"/>
    <w:rsid w:val="00B43B9E"/>
    <w:rsid w:val="00B43FFB"/>
    <w:rsid w:val="00B44482"/>
    <w:rsid w:val="00B448C5"/>
    <w:rsid w:val="00B44F28"/>
    <w:rsid w:val="00B46FE9"/>
    <w:rsid w:val="00B4752D"/>
    <w:rsid w:val="00B47C9A"/>
    <w:rsid w:val="00B50499"/>
    <w:rsid w:val="00B5196A"/>
    <w:rsid w:val="00B535C3"/>
    <w:rsid w:val="00B53E75"/>
    <w:rsid w:val="00B5438B"/>
    <w:rsid w:val="00B54976"/>
    <w:rsid w:val="00B54E53"/>
    <w:rsid w:val="00B5653A"/>
    <w:rsid w:val="00B56E77"/>
    <w:rsid w:val="00B579E3"/>
    <w:rsid w:val="00B579E7"/>
    <w:rsid w:val="00B60CFC"/>
    <w:rsid w:val="00B61B54"/>
    <w:rsid w:val="00B62344"/>
    <w:rsid w:val="00B635FB"/>
    <w:rsid w:val="00B63AD7"/>
    <w:rsid w:val="00B63BFC"/>
    <w:rsid w:val="00B64846"/>
    <w:rsid w:val="00B64C97"/>
    <w:rsid w:val="00B64E53"/>
    <w:rsid w:val="00B65487"/>
    <w:rsid w:val="00B655F9"/>
    <w:rsid w:val="00B658AF"/>
    <w:rsid w:val="00B65E10"/>
    <w:rsid w:val="00B671D6"/>
    <w:rsid w:val="00B716AF"/>
    <w:rsid w:val="00B738F1"/>
    <w:rsid w:val="00B73DBE"/>
    <w:rsid w:val="00B742FD"/>
    <w:rsid w:val="00B74785"/>
    <w:rsid w:val="00B7498B"/>
    <w:rsid w:val="00B7540F"/>
    <w:rsid w:val="00B75900"/>
    <w:rsid w:val="00B75CEC"/>
    <w:rsid w:val="00B7633C"/>
    <w:rsid w:val="00B7641E"/>
    <w:rsid w:val="00B76E15"/>
    <w:rsid w:val="00B772BE"/>
    <w:rsid w:val="00B80096"/>
    <w:rsid w:val="00B80361"/>
    <w:rsid w:val="00B80B99"/>
    <w:rsid w:val="00B80F66"/>
    <w:rsid w:val="00B816C6"/>
    <w:rsid w:val="00B82318"/>
    <w:rsid w:val="00B840DB"/>
    <w:rsid w:val="00B84178"/>
    <w:rsid w:val="00B84349"/>
    <w:rsid w:val="00B84DCE"/>
    <w:rsid w:val="00B852BF"/>
    <w:rsid w:val="00B85B48"/>
    <w:rsid w:val="00B8663D"/>
    <w:rsid w:val="00B86CB5"/>
    <w:rsid w:val="00B879C3"/>
    <w:rsid w:val="00B87D7E"/>
    <w:rsid w:val="00B90C63"/>
    <w:rsid w:val="00B911F6"/>
    <w:rsid w:val="00B91214"/>
    <w:rsid w:val="00B91365"/>
    <w:rsid w:val="00B91BE3"/>
    <w:rsid w:val="00B921B9"/>
    <w:rsid w:val="00B946AF"/>
    <w:rsid w:val="00B94AD7"/>
    <w:rsid w:val="00B94BB1"/>
    <w:rsid w:val="00B957D6"/>
    <w:rsid w:val="00B95F26"/>
    <w:rsid w:val="00B971D9"/>
    <w:rsid w:val="00BA073C"/>
    <w:rsid w:val="00BA0774"/>
    <w:rsid w:val="00BA0993"/>
    <w:rsid w:val="00BA13B9"/>
    <w:rsid w:val="00BA19D9"/>
    <w:rsid w:val="00BA1A31"/>
    <w:rsid w:val="00BA1F33"/>
    <w:rsid w:val="00BA3DF6"/>
    <w:rsid w:val="00BA3E66"/>
    <w:rsid w:val="00BA45BC"/>
    <w:rsid w:val="00BA5263"/>
    <w:rsid w:val="00BA561C"/>
    <w:rsid w:val="00BA6FC4"/>
    <w:rsid w:val="00BA770E"/>
    <w:rsid w:val="00BA7801"/>
    <w:rsid w:val="00BA7986"/>
    <w:rsid w:val="00BA7BF1"/>
    <w:rsid w:val="00BB0095"/>
    <w:rsid w:val="00BB0A3A"/>
    <w:rsid w:val="00BB0DF0"/>
    <w:rsid w:val="00BB1141"/>
    <w:rsid w:val="00BB1A05"/>
    <w:rsid w:val="00BB2048"/>
    <w:rsid w:val="00BB27F7"/>
    <w:rsid w:val="00BB2CAB"/>
    <w:rsid w:val="00BB3CD5"/>
    <w:rsid w:val="00BB432F"/>
    <w:rsid w:val="00BB49E2"/>
    <w:rsid w:val="00BB4B3C"/>
    <w:rsid w:val="00BB4E5B"/>
    <w:rsid w:val="00BB5886"/>
    <w:rsid w:val="00BB6B34"/>
    <w:rsid w:val="00BB6FF7"/>
    <w:rsid w:val="00BB780F"/>
    <w:rsid w:val="00BB7BAA"/>
    <w:rsid w:val="00BC146C"/>
    <w:rsid w:val="00BC1B1A"/>
    <w:rsid w:val="00BC2350"/>
    <w:rsid w:val="00BC2FA4"/>
    <w:rsid w:val="00BC488A"/>
    <w:rsid w:val="00BC5E2B"/>
    <w:rsid w:val="00BC62D5"/>
    <w:rsid w:val="00BC6319"/>
    <w:rsid w:val="00BC6A86"/>
    <w:rsid w:val="00BC6C57"/>
    <w:rsid w:val="00BC7918"/>
    <w:rsid w:val="00BC7CF0"/>
    <w:rsid w:val="00BD0C58"/>
    <w:rsid w:val="00BD1353"/>
    <w:rsid w:val="00BD1426"/>
    <w:rsid w:val="00BD19DC"/>
    <w:rsid w:val="00BD2397"/>
    <w:rsid w:val="00BD33D2"/>
    <w:rsid w:val="00BD35E1"/>
    <w:rsid w:val="00BD36DA"/>
    <w:rsid w:val="00BD3D8B"/>
    <w:rsid w:val="00BD4A51"/>
    <w:rsid w:val="00BD4A59"/>
    <w:rsid w:val="00BD50C9"/>
    <w:rsid w:val="00BD531F"/>
    <w:rsid w:val="00BD62CD"/>
    <w:rsid w:val="00BD74E3"/>
    <w:rsid w:val="00BE00ED"/>
    <w:rsid w:val="00BE034D"/>
    <w:rsid w:val="00BE0683"/>
    <w:rsid w:val="00BE0943"/>
    <w:rsid w:val="00BE348A"/>
    <w:rsid w:val="00BE4142"/>
    <w:rsid w:val="00BE4487"/>
    <w:rsid w:val="00BE4591"/>
    <w:rsid w:val="00BE460B"/>
    <w:rsid w:val="00BE58F4"/>
    <w:rsid w:val="00BE65F9"/>
    <w:rsid w:val="00BE7160"/>
    <w:rsid w:val="00BE7A1C"/>
    <w:rsid w:val="00BF05B5"/>
    <w:rsid w:val="00BF09EB"/>
    <w:rsid w:val="00BF196D"/>
    <w:rsid w:val="00BF2B62"/>
    <w:rsid w:val="00BF3CE1"/>
    <w:rsid w:val="00BF436F"/>
    <w:rsid w:val="00BF522D"/>
    <w:rsid w:val="00BF6746"/>
    <w:rsid w:val="00BF6A92"/>
    <w:rsid w:val="00BF7243"/>
    <w:rsid w:val="00BF72CD"/>
    <w:rsid w:val="00BF7908"/>
    <w:rsid w:val="00BF7A73"/>
    <w:rsid w:val="00BF7D95"/>
    <w:rsid w:val="00C01445"/>
    <w:rsid w:val="00C015CD"/>
    <w:rsid w:val="00C015DA"/>
    <w:rsid w:val="00C01EC3"/>
    <w:rsid w:val="00C045AE"/>
    <w:rsid w:val="00C05153"/>
    <w:rsid w:val="00C052FB"/>
    <w:rsid w:val="00C063A3"/>
    <w:rsid w:val="00C06AF9"/>
    <w:rsid w:val="00C072C6"/>
    <w:rsid w:val="00C077F1"/>
    <w:rsid w:val="00C07AFB"/>
    <w:rsid w:val="00C10162"/>
    <w:rsid w:val="00C115F8"/>
    <w:rsid w:val="00C116C5"/>
    <w:rsid w:val="00C11B49"/>
    <w:rsid w:val="00C12363"/>
    <w:rsid w:val="00C123E0"/>
    <w:rsid w:val="00C128ED"/>
    <w:rsid w:val="00C13571"/>
    <w:rsid w:val="00C13599"/>
    <w:rsid w:val="00C13867"/>
    <w:rsid w:val="00C13DE2"/>
    <w:rsid w:val="00C13EE9"/>
    <w:rsid w:val="00C14ACE"/>
    <w:rsid w:val="00C154DD"/>
    <w:rsid w:val="00C159FE"/>
    <w:rsid w:val="00C16E1E"/>
    <w:rsid w:val="00C17377"/>
    <w:rsid w:val="00C1784F"/>
    <w:rsid w:val="00C20422"/>
    <w:rsid w:val="00C21C15"/>
    <w:rsid w:val="00C21C58"/>
    <w:rsid w:val="00C22148"/>
    <w:rsid w:val="00C22238"/>
    <w:rsid w:val="00C22722"/>
    <w:rsid w:val="00C22EDE"/>
    <w:rsid w:val="00C230A9"/>
    <w:rsid w:val="00C23823"/>
    <w:rsid w:val="00C23F7E"/>
    <w:rsid w:val="00C248FE"/>
    <w:rsid w:val="00C24F31"/>
    <w:rsid w:val="00C2530E"/>
    <w:rsid w:val="00C25CFB"/>
    <w:rsid w:val="00C2607A"/>
    <w:rsid w:val="00C262BF"/>
    <w:rsid w:val="00C26440"/>
    <w:rsid w:val="00C26C21"/>
    <w:rsid w:val="00C27545"/>
    <w:rsid w:val="00C27D7B"/>
    <w:rsid w:val="00C3061A"/>
    <w:rsid w:val="00C306BE"/>
    <w:rsid w:val="00C3219C"/>
    <w:rsid w:val="00C33C2E"/>
    <w:rsid w:val="00C33E19"/>
    <w:rsid w:val="00C33F85"/>
    <w:rsid w:val="00C3445F"/>
    <w:rsid w:val="00C36AC3"/>
    <w:rsid w:val="00C373B2"/>
    <w:rsid w:val="00C37F1A"/>
    <w:rsid w:val="00C406B5"/>
    <w:rsid w:val="00C4084C"/>
    <w:rsid w:val="00C42954"/>
    <w:rsid w:val="00C42EFE"/>
    <w:rsid w:val="00C43D84"/>
    <w:rsid w:val="00C43DE0"/>
    <w:rsid w:val="00C45102"/>
    <w:rsid w:val="00C45B43"/>
    <w:rsid w:val="00C45E53"/>
    <w:rsid w:val="00C45FD3"/>
    <w:rsid w:val="00C460E8"/>
    <w:rsid w:val="00C47118"/>
    <w:rsid w:val="00C47331"/>
    <w:rsid w:val="00C476EE"/>
    <w:rsid w:val="00C47ACA"/>
    <w:rsid w:val="00C47CAC"/>
    <w:rsid w:val="00C5159D"/>
    <w:rsid w:val="00C52378"/>
    <w:rsid w:val="00C52678"/>
    <w:rsid w:val="00C5290C"/>
    <w:rsid w:val="00C52D59"/>
    <w:rsid w:val="00C5541A"/>
    <w:rsid w:val="00C557AA"/>
    <w:rsid w:val="00C55B40"/>
    <w:rsid w:val="00C56355"/>
    <w:rsid w:val="00C563B6"/>
    <w:rsid w:val="00C56A2F"/>
    <w:rsid w:val="00C56E1E"/>
    <w:rsid w:val="00C56E73"/>
    <w:rsid w:val="00C607CC"/>
    <w:rsid w:val="00C613EB"/>
    <w:rsid w:val="00C61AF8"/>
    <w:rsid w:val="00C638C8"/>
    <w:rsid w:val="00C65CDE"/>
    <w:rsid w:val="00C65D85"/>
    <w:rsid w:val="00C65DE4"/>
    <w:rsid w:val="00C6623A"/>
    <w:rsid w:val="00C67430"/>
    <w:rsid w:val="00C67C60"/>
    <w:rsid w:val="00C67DD3"/>
    <w:rsid w:val="00C71268"/>
    <w:rsid w:val="00C71658"/>
    <w:rsid w:val="00C72163"/>
    <w:rsid w:val="00C722DB"/>
    <w:rsid w:val="00C72DAA"/>
    <w:rsid w:val="00C72F4E"/>
    <w:rsid w:val="00C73104"/>
    <w:rsid w:val="00C73838"/>
    <w:rsid w:val="00C75250"/>
    <w:rsid w:val="00C7527C"/>
    <w:rsid w:val="00C75D32"/>
    <w:rsid w:val="00C75FC5"/>
    <w:rsid w:val="00C76CB4"/>
    <w:rsid w:val="00C76D83"/>
    <w:rsid w:val="00C77526"/>
    <w:rsid w:val="00C77944"/>
    <w:rsid w:val="00C81618"/>
    <w:rsid w:val="00C8285A"/>
    <w:rsid w:val="00C82A26"/>
    <w:rsid w:val="00C837F3"/>
    <w:rsid w:val="00C83954"/>
    <w:rsid w:val="00C83BBC"/>
    <w:rsid w:val="00C84136"/>
    <w:rsid w:val="00C84BD3"/>
    <w:rsid w:val="00C85D0B"/>
    <w:rsid w:val="00C87A1A"/>
    <w:rsid w:val="00C87AAE"/>
    <w:rsid w:val="00C87B06"/>
    <w:rsid w:val="00C91DC5"/>
    <w:rsid w:val="00C93814"/>
    <w:rsid w:val="00C938B6"/>
    <w:rsid w:val="00C93AB2"/>
    <w:rsid w:val="00C9436F"/>
    <w:rsid w:val="00C94BD9"/>
    <w:rsid w:val="00C950B2"/>
    <w:rsid w:val="00C9586D"/>
    <w:rsid w:val="00C9594E"/>
    <w:rsid w:val="00C95A4C"/>
    <w:rsid w:val="00C9724E"/>
    <w:rsid w:val="00C9741D"/>
    <w:rsid w:val="00C978E9"/>
    <w:rsid w:val="00C978F8"/>
    <w:rsid w:val="00C97B05"/>
    <w:rsid w:val="00CA0BD2"/>
    <w:rsid w:val="00CA1272"/>
    <w:rsid w:val="00CA1623"/>
    <w:rsid w:val="00CA25E2"/>
    <w:rsid w:val="00CA2FAE"/>
    <w:rsid w:val="00CA3B39"/>
    <w:rsid w:val="00CA4E2D"/>
    <w:rsid w:val="00CA53DC"/>
    <w:rsid w:val="00CA6137"/>
    <w:rsid w:val="00CA6EAC"/>
    <w:rsid w:val="00CA7057"/>
    <w:rsid w:val="00CA7AB5"/>
    <w:rsid w:val="00CB0CB4"/>
    <w:rsid w:val="00CB14CC"/>
    <w:rsid w:val="00CB1D1A"/>
    <w:rsid w:val="00CB29B6"/>
    <w:rsid w:val="00CB3638"/>
    <w:rsid w:val="00CB41E2"/>
    <w:rsid w:val="00CB4FFB"/>
    <w:rsid w:val="00CB505B"/>
    <w:rsid w:val="00CB5268"/>
    <w:rsid w:val="00CB581C"/>
    <w:rsid w:val="00CB5EA7"/>
    <w:rsid w:val="00CB600A"/>
    <w:rsid w:val="00CB612A"/>
    <w:rsid w:val="00CB6457"/>
    <w:rsid w:val="00CC02F5"/>
    <w:rsid w:val="00CC0CE9"/>
    <w:rsid w:val="00CC0E66"/>
    <w:rsid w:val="00CC285C"/>
    <w:rsid w:val="00CC3501"/>
    <w:rsid w:val="00CC3A9E"/>
    <w:rsid w:val="00CC41AB"/>
    <w:rsid w:val="00CC4878"/>
    <w:rsid w:val="00CC4E45"/>
    <w:rsid w:val="00CC64E0"/>
    <w:rsid w:val="00CC7183"/>
    <w:rsid w:val="00CC74FE"/>
    <w:rsid w:val="00CC790A"/>
    <w:rsid w:val="00CC7F26"/>
    <w:rsid w:val="00CD1C47"/>
    <w:rsid w:val="00CD1E6E"/>
    <w:rsid w:val="00CD25F0"/>
    <w:rsid w:val="00CD25FC"/>
    <w:rsid w:val="00CD2D6D"/>
    <w:rsid w:val="00CD321F"/>
    <w:rsid w:val="00CD4750"/>
    <w:rsid w:val="00CD4941"/>
    <w:rsid w:val="00CD4C05"/>
    <w:rsid w:val="00CD4CA2"/>
    <w:rsid w:val="00CD58C9"/>
    <w:rsid w:val="00CD6921"/>
    <w:rsid w:val="00CD7DF7"/>
    <w:rsid w:val="00CE0B6F"/>
    <w:rsid w:val="00CE14DD"/>
    <w:rsid w:val="00CE17FC"/>
    <w:rsid w:val="00CE1FD6"/>
    <w:rsid w:val="00CE29DC"/>
    <w:rsid w:val="00CE3179"/>
    <w:rsid w:val="00CE449D"/>
    <w:rsid w:val="00CE5137"/>
    <w:rsid w:val="00CE5E3C"/>
    <w:rsid w:val="00CE64EF"/>
    <w:rsid w:val="00CE6963"/>
    <w:rsid w:val="00CE6FB5"/>
    <w:rsid w:val="00CE7860"/>
    <w:rsid w:val="00CF23CF"/>
    <w:rsid w:val="00CF2FA2"/>
    <w:rsid w:val="00CF317B"/>
    <w:rsid w:val="00CF41A8"/>
    <w:rsid w:val="00CF4B6D"/>
    <w:rsid w:val="00CF4DFC"/>
    <w:rsid w:val="00CF51D2"/>
    <w:rsid w:val="00CF5BC1"/>
    <w:rsid w:val="00CF5C16"/>
    <w:rsid w:val="00CF6050"/>
    <w:rsid w:val="00CF6B17"/>
    <w:rsid w:val="00CF74A9"/>
    <w:rsid w:val="00CF79CF"/>
    <w:rsid w:val="00D00979"/>
    <w:rsid w:val="00D01137"/>
    <w:rsid w:val="00D0118B"/>
    <w:rsid w:val="00D01375"/>
    <w:rsid w:val="00D0159D"/>
    <w:rsid w:val="00D017A1"/>
    <w:rsid w:val="00D01F23"/>
    <w:rsid w:val="00D020A0"/>
    <w:rsid w:val="00D0224F"/>
    <w:rsid w:val="00D02A9C"/>
    <w:rsid w:val="00D03487"/>
    <w:rsid w:val="00D036E1"/>
    <w:rsid w:val="00D037CD"/>
    <w:rsid w:val="00D03BB7"/>
    <w:rsid w:val="00D03D62"/>
    <w:rsid w:val="00D04123"/>
    <w:rsid w:val="00D0439B"/>
    <w:rsid w:val="00D05591"/>
    <w:rsid w:val="00D05952"/>
    <w:rsid w:val="00D05D3C"/>
    <w:rsid w:val="00D05D6D"/>
    <w:rsid w:val="00D06443"/>
    <w:rsid w:val="00D0782D"/>
    <w:rsid w:val="00D07B20"/>
    <w:rsid w:val="00D102F0"/>
    <w:rsid w:val="00D11FE6"/>
    <w:rsid w:val="00D12327"/>
    <w:rsid w:val="00D12549"/>
    <w:rsid w:val="00D13B40"/>
    <w:rsid w:val="00D143E3"/>
    <w:rsid w:val="00D14EE4"/>
    <w:rsid w:val="00D1719E"/>
    <w:rsid w:val="00D1799F"/>
    <w:rsid w:val="00D17DDE"/>
    <w:rsid w:val="00D202AD"/>
    <w:rsid w:val="00D2373D"/>
    <w:rsid w:val="00D23BB3"/>
    <w:rsid w:val="00D23DCE"/>
    <w:rsid w:val="00D23FD1"/>
    <w:rsid w:val="00D248EE"/>
    <w:rsid w:val="00D25266"/>
    <w:rsid w:val="00D31A26"/>
    <w:rsid w:val="00D31BF8"/>
    <w:rsid w:val="00D31E71"/>
    <w:rsid w:val="00D31ECB"/>
    <w:rsid w:val="00D31F83"/>
    <w:rsid w:val="00D31FB2"/>
    <w:rsid w:val="00D323D3"/>
    <w:rsid w:val="00D33281"/>
    <w:rsid w:val="00D34327"/>
    <w:rsid w:val="00D343C0"/>
    <w:rsid w:val="00D3484F"/>
    <w:rsid w:val="00D35220"/>
    <w:rsid w:val="00D35968"/>
    <w:rsid w:val="00D36532"/>
    <w:rsid w:val="00D36725"/>
    <w:rsid w:val="00D37E87"/>
    <w:rsid w:val="00D41A7C"/>
    <w:rsid w:val="00D42526"/>
    <w:rsid w:val="00D42D2E"/>
    <w:rsid w:val="00D43030"/>
    <w:rsid w:val="00D43673"/>
    <w:rsid w:val="00D43785"/>
    <w:rsid w:val="00D43B25"/>
    <w:rsid w:val="00D4455C"/>
    <w:rsid w:val="00D456A9"/>
    <w:rsid w:val="00D45D69"/>
    <w:rsid w:val="00D46143"/>
    <w:rsid w:val="00D46694"/>
    <w:rsid w:val="00D4759E"/>
    <w:rsid w:val="00D47C18"/>
    <w:rsid w:val="00D506B1"/>
    <w:rsid w:val="00D52701"/>
    <w:rsid w:val="00D52AAD"/>
    <w:rsid w:val="00D52B6C"/>
    <w:rsid w:val="00D54BD9"/>
    <w:rsid w:val="00D55DE5"/>
    <w:rsid w:val="00D565A1"/>
    <w:rsid w:val="00D56FC6"/>
    <w:rsid w:val="00D61878"/>
    <w:rsid w:val="00D62C51"/>
    <w:rsid w:val="00D62C5F"/>
    <w:rsid w:val="00D6319F"/>
    <w:rsid w:val="00D63930"/>
    <w:rsid w:val="00D65856"/>
    <w:rsid w:val="00D65E50"/>
    <w:rsid w:val="00D6697E"/>
    <w:rsid w:val="00D669A6"/>
    <w:rsid w:val="00D66D72"/>
    <w:rsid w:val="00D67C63"/>
    <w:rsid w:val="00D71B9F"/>
    <w:rsid w:val="00D72117"/>
    <w:rsid w:val="00D72535"/>
    <w:rsid w:val="00D72A12"/>
    <w:rsid w:val="00D75517"/>
    <w:rsid w:val="00D75FE7"/>
    <w:rsid w:val="00D773C4"/>
    <w:rsid w:val="00D77B21"/>
    <w:rsid w:val="00D77FED"/>
    <w:rsid w:val="00D8029B"/>
    <w:rsid w:val="00D803C4"/>
    <w:rsid w:val="00D8071A"/>
    <w:rsid w:val="00D81041"/>
    <w:rsid w:val="00D81F3D"/>
    <w:rsid w:val="00D8263D"/>
    <w:rsid w:val="00D832AB"/>
    <w:rsid w:val="00D840C9"/>
    <w:rsid w:val="00D84427"/>
    <w:rsid w:val="00D8559F"/>
    <w:rsid w:val="00D85C9A"/>
    <w:rsid w:val="00D86183"/>
    <w:rsid w:val="00D8681A"/>
    <w:rsid w:val="00D86BEE"/>
    <w:rsid w:val="00D86D3E"/>
    <w:rsid w:val="00D87A0D"/>
    <w:rsid w:val="00D87E5C"/>
    <w:rsid w:val="00D91F58"/>
    <w:rsid w:val="00D92C56"/>
    <w:rsid w:val="00D94652"/>
    <w:rsid w:val="00D9525D"/>
    <w:rsid w:val="00DA180E"/>
    <w:rsid w:val="00DA1892"/>
    <w:rsid w:val="00DA1AFE"/>
    <w:rsid w:val="00DA2294"/>
    <w:rsid w:val="00DA28FA"/>
    <w:rsid w:val="00DA46AB"/>
    <w:rsid w:val="00DA50B1"/>
    <w:rsid w:val="00DA5EAD"/>
    <w:rsid w:val="00DA60D2"/>
    <w:rsid w:val="00DA6347"/>
    <w:rsid w:val="00DA79CF"/>
    <w:rsid w:val="00DA7EC0"/>
    <w:rsid w:val="00DB0A25"/>
    <w:rsid w:val="00DB23EB"/>
    <w:rsid w:val="00DB26B9"/>
    <w:rsid w:val="00DB2D88"/>
    <w:rsid w:val="00DB410B"/>
    <w:rsid w:val="00DB46B3"/>
    <w:rsid w:val="00DB5560"/>
    <w:rsid w:val="00DB63B3"/>
    <w:rsid w:val="00DB71F8"/>
    <w:rsid w:val="00DB7765"/>
    <w:rsid w:val="00DC0161"/>
    <w:rsid w:val="00DC0368"/>
    <w:rsid w:val="00DC05A0"/>
    <w:rsid w:val="00DC05F1"/>
    <w:rsid w:val="00DC067B"/>
    <w:rsid w:val="00DC06CB"/>
    <w:rsid w:val="00DC0E68"/>
    <w:rsid w:val="00DC0F7A"/>
    <w:rsid w:val="00DC2704"/>
    <w:rsid w:val="00DC4437"/>
    <w:rsid w:val="00DC4E1E"/>
    <w:rsid w:val="00DC5961"/>
    <w:rsid w:val="00DC5F47"/>
    <w:rsid w:val="00DC6939"/>
    <w:rsid w:val="00DC7CFA"/>
    <w:rsid w:val="00DD0350"/>
    <w:rsid w:val="00DD0C68"/>
    <w:rsid w:val="00DD1492"/>
    <w:rsid w:val="00DD1624"/>
    <w:rsid w:val="00DD20D7"/>
    <w:rsid w:val="00DD20EC"/>
    <w:rsid w:val="00DD250D"/>
    <w:rsid w:val="00DD279F"/>
    <w:rsid w:val="00DD3161"/>
    <w:rsid w:val="00DD48C5"/>
    <w:rsid w:val="00DD4D0B"/>
    <w:rsid w:val="00DD4E54"/>
    <w:rsid w:val="00DD623A"/>
    <w:rsid w:val="00DD66EC"/>
    <w:rsid w:val="00DD6A0B"/>
    <w:rsid w:val="00DD79A7"/>
    <w:rsid w:val="00DE00AC"/>
    <w:rsid w:val="00DE0322"/>
    <w:rsid w:val="00DE0A62"/>
    <w:rsid w:val="00DE0B77"/>
    <w:rsid w:val="00DE23D8"/>
    <w:rsid w:val="00DE2A0A"/>
    <w:rsid w:val="00DE37AE"/>
    <w:rsid w:val="00DE3C7A"/>
    <w:rsid w:val="00DE3D23"/>
    <w:rsid w:val="00DE43E6"/>
    <w:rsid w:val="00DE45FB"/>
    <w:rsid w:val="00DE5382"/>
    <w:rsid w:val="00DE6DDA"/>
    <w:rsid w:val="00DE6E77"/>
    <w:rsid w:val="00DE7297"/>
    <w:rsid w:val="00DF078E"/>
    <w:rsid w:val="00DF12ED"/>
    <w:rsid w:val="00DF16F6"/>
    <w:rsid w:val="00DF1D75"/>
    <w:rsid w:val="00DF247B"/>
    <w:rsid w:val="00DF261E"/>
    <w:rsid w:val="00DF2FED"/>
    <w:rsid w:val="00DF36B1"/>
    <w:rsid w:val="00DF3FE1"/>
    <w:rsid w:val="00DF4537"/>
    <w:rsid w:val="00DF4E53"/>
    <w:rsid w:val="00DF51EC"/>
    <w:rsid w:val="00DF5D22"/>
    <w:rsid w:val="00DF629B"/>
    <w:rsid w:val="00DF6DB2"/>
    <w:rsid w:val="00DF6F07"/>
    <w:rsid w:val="00DF7E3C"/>
    <w:rsid w:val="00E00F96"/>
    <w:rsid w:val="00E0162E"/>
    <w:rsid w:val="00E035E7"/>
    <w:rsid w:val="00E03D9A"/>
    <w:rsid w:val="00E04524"/>
    <w:rsid w:val="00E045ED"/>
    <w:rsid w:val="00E053AC"/>
    <w:rsid w:val="00E0645F"/>
    <w:rsid w:val="00E06E04"/>
    <w:rsid w:val="00E07513"/>
    <w:rsid w:val="00E07B1E"/>
    <w:rsid w:val="00E10E30"/>
    <w:rsid w:val="00E114C3"/>
    <w:rsid w:val="00E11739"/>
    <w:rsid w:val="00E11AA3"/>
    <w:rsid w:val="00E11BE8"/>
    <w:rsid w:val="00E12995"/>
    <w:rsid w:val="00E12BD8"/>
    <w:rsid w:val="00E13141"/>
    <w:rsid w:val="00E13F15"/>
    <w:rsid w:val="00E13FBA"/>
    <w:rsid w:val="00E20367"/>
    <w:rsid w:val="00E20BD6"/>
    <w:rsid w:val="00E210B6"/>
    <w:rsid w:val="00E2150C"/>
    <w:rsid w:val="00E21C34"/>
    <w:rsid w:val="00E21ECD"/>
    <w:rsid w:val="00E22449"/>
    <w:rsid w:val="00E235DD"/>
    <w:rsid w:val="00E23920"/>
    <w:rsid w:val="00E23E9A"/>
    <w:rsid w:val="00E24242"/>
    <w:rsid w:val="00E2494D"/>
    <w:rsid w:val="00E2658E"/>
    <w:rsid w:val="00E30C5A"/>
    <w:rsid w:val="00E32E40"/>
    <w:rsid w:val="00E331A2"/>
    <w:rsid w:val="00E3527A"/>
    <w:rsid w:val="00E3568B"/>
    <w:rsid w:val="00E356F7"/>
    <w:rsid w:val="00E360E3"/>
    <w:rsid w:val="00E36464"/>
    <w:rsid w:val="00E368DA"/>
    <w:rsid w:val="00E37202"/>
    <w:rsid w:val="00E3750F"/>
    <w:rsid w:val="00E409A3"/>
    <w:rsid w:val="00E41147"/>
    <w:rsid w:val="00E420B8"/>
    <w:rsid w:val="00E421B6"/>
    <w:rsid w:val="00E4222F"/>
    <w:rsid w:val="00E42258"/>
    <w:rsid w:val="00E42480"/>
    <w:rsid w:val="00E42A10"/>
    <w:rsid w:val="00E42D42"/>
    <w:rsid w:val="00E432BD"/>
    <w:rsid w:val="00E43B27"/>
    <w:rsid w:val="00E43EF3"/>
    <w:rsid w:val="00E4419C"/>
    <w:rsid w:val="00E44B4B"/>
    <w:rsid w:val="00E45348"/>
    <w:rsid w:val="00E45C03"/>
    <w:rsid w:val="00E45C13"/>
    <w:rsid w:val="00E45CBA"/>
    <w:rsid w:val="00E45FB1"/>
    <w:rsid w:val="00E474DA"/>
    <w:rsid w:val="00E501EA"/>
    <w:rsid w:val="00E51D90"/>
    <w:rsid w:val="00E5225D"/>
    <w:rsid w:val="00E5611D"/>
    <w:rsid w:val="00E562C4"/>
    <w:rsid w:val="00E5732A"/>
    <w:rsid w:val="00E5745E"/>
    <w:rsid w:val="00E60335"/>
    <w:rsid w:val="00E60483"/>
    <w:rsid w:val="00E60558"/>
    <w:rsid w:val="00E61FB4"/>
    <w:rsid w:val="00E6262E"/>
    <w:rsid w:val="00E626F6"/>
    <w:rsid w:val="00E64054"/>
    <w:rsid w:val="00E6472A"/>
    <w:rsid w:val="00E65CEC"/>
    <w:rsid w:val="00E65DC8"/>
    <w:rsid w:val="00E66278"/>
    <w:rsid w:val="00E672B9"/>
    <w:rsid w:val="00E6796C"/>
    <w:rsid w:val="00E71277"/>
    <w:rsid w:val="00E712E3"/>
    <w:rsid w:val="00E7153F"/>
    <w:rsid w:val="00E71C2C"/>
    <w:rsid w:val="00E7200A"/>
    <w:rsid w:val="00E72DE9"/>
    <w:rsid w:val="00E732FE"/>
    <w:rsid w:val="00E73BF4"/>
    <w:rsid w:val="00E747CF"/>
    <w:rsid w:val="00E75C10"/>
    <w:rsid w:val="00E764E4"/>
    <w:rsid w:val="00E77246"/>
    <w:rsid w:val="00E77316"/>
    <w:rsid w:val="00E80A80"/>
    <w:rsid w:val="00E81553"/>
    <w:rsid w:val="00E81586"/>
    <w:rsid w:val="00E81ACC"/>
    <w:rsid w:val="00E81CDD"/>
    <w:rsid w:val="00E824AA"/>
    <w:rsid w:val="00E835BA"/>
    <w:rsid w:val="00E848F1"/>
    <w:rsid w:val="00E85EE3"/>
    <w:rsid w:val="00E86336"/>
    <w:rsid w:val="00E86879"/>
    <w:rsid w:val="00E87348"/>
    <w:rsid w:val="00E8788E"/>
    <w:rsid w:val="00E879B6"/>
    <w:rsid w:val="00E9004A"/>
    <w:rsid w:val="00E908FD"/>
    <w:rsid w:val="00E926F6"/>
    <w:rsid w:val="00E92D46"/>
    <w:rsid w:val="00E93150"/>
    <w:rsid w:val="00E93AE2"/>
    <w:rsid w:val="00E93B23"/>
    <w:rsid w:val="00E93E38"/>
    <w:rsid w:val="00E972C4"/>
    <w:rsid w:val="00EA0E10"/>
    <w:rsid w:val="00EA0E8E"/>
    <w:rsid w:val="00EA11A2"/>
    <w:rsid w:val="00EA1ADC"/>
    <w:rsid w:val="00EA22E8"/>
    <w:rsid w:val="00EA2521"/>
    <w:rsid w:val="00EA25B0"/>
    <w:rsid w:val="00EA38F9"/>
    <w:rsid w:val="00EA4C26"/>
    <w:rsid w:val="00EA6934"/>
    <w:rsid w:val="00EA7264"/>
    <w:rsid w:val="00EA7A70"/>
    <w:rsid w:val="00EB07A1"/>
    <w:rsid w:val="00EB09BE"/>
    <w:rsid w:val="00EB102A"/>
    <w:rsid w:val="00EB2047"/>
    <w:rsid w:val="00EB2571"/>
    <w:rsid w:val="00EB3598"/>
    <w:rsid w:val="00EB38FE"/>
    <w:rsid w:val="00EB3CF0"/>
    <w:rsid w:val="00EB415F"/>
    <w:rsid w:val="00EB5BC7"/>
    <w:rsid w:val="00EB6D98"/>
    <w:rsid w:val="00EB76C7"/>
    <w:rsid w:val="00EC0EEB"/>
    <w:rsid w:val="00EC16E1"/>
    <w:rsid w:val="00EC2656"/>
    <w:rsid w:val="00EC3130"/>
    <w:rsid w:val="00EC3624"/>
    <w:rsid w:val="00EC38B9"/>
    <w:rsid w:val="00EC39BF"/>
    <w:rsid w:val="00EC4A3E"/>
    <w:rsid w:val="00EC4E02"/>
    <w:rsid w:val="00EC58A7"/>
    <w:rsid w:val="00EC61F2"/>
    <w:rsid w:val="00EC63CE"/>
    <w:rsid w:val="00EC76CC"/>
    <w:rsid w:val="00ED000A"/>
    <w:rsid w:val="00ED028F"/>
    <w:rsid w:val="00ED16CC"/>
    <w:rsid w:val="00ED1C59"/>
    <w:rsid w:val="00ED1CA3"/>
    <w:rsid w:val="00ED213C"/>
    <w:rsid w:val="00ED22F8"/>
    <w:rsid w:val="00ED3AE2"/>
    <w:rsid w:val="00ED4794"/>
    <w:rsid w:val="00ED5201"/>
    <w:rsid w:val="00ED5717"/>
    <w:rsid w:val="00ED5A5B"/>
    <w:rsid w:val="00ED6499"/>
    <w:rsid w:val="00ED6C4B"/>
    <w:rsid w:val="00ED6CC6"/>
    <w:rsid w:val="00ED765D"/>
    <w:rsid w:val="00ED76DA"/>
    <w:rsid w:val="00EE0312"/>
    <w:rsid w:val="00EE048D"/>
    <w:rsid w:val="00EE0611"/>
    <w:rsid w:val="00EE1117"/>
    <w:rsid w:val="00EE1BA2"/>
    <w:rsid w:val="00EE23DB"/>
    <w:rsid w:val="00EE3ABB"/>
    <w:rsid w:val="00EE4F44"/>
    <w:rsid w:val="00EE50A5"/>
    <w:rsid w:val="00EE65B0"/>
    <w:rsid w:val="00EE6A99"/>
    <w:rsid w:val="00EE6BD1"/>
    <w:rsid w:val="00EE6F81"/>
    <w:rsid w:val="00EE745E"/>
    <w:rsid w:val="00EE79C9"/>
    <w:rsid w:val="00EE7A88"/>
    <w:rsid w:val="00EE7CF1"/>
    <w:rsid w:val="00EE7DEE"/>
    <w:rsid w:val="00EF020D"/>
    <w:rsid w:val="00EF038B"/>
    <w:rsid w:val="00EF0B6D"/>
    <w:rsid w:val="00EF0BAD"/>
    <w:rsid w:val="00EF13A2"/>
    <w:rsid w:val="00EF148D"/>
    <w:rsid w:val="00EF2A55"/>
    <w:rsid w:val="00EF2FF6"/>
    <w:rsid w:val="00EF3601"/>
    <w:rsid w:val="00EF363E"/>
    <w:rsid w:val="00EF45BD"/>
    <w:rsid w:val="00EF47B4"/>
    <w:rsid w:val="00EF5365"/>
    <w:rsid w:val="00EF6A0F"/>
    <w:rsid w:val="00F01AB8"/>
    <w:rsid w:val="00F0298D"/>
    <w:rsid w:val="00F02A3C"/>
    <w:rsid w:val="00F02A99"/>
    <w:rsid w:val="00F03CF9"/>
    <w:rsid w:val="00F03F52"/>
    <w:rsid w:val="00F04BCD"/>
    <w:rsid w:val="00F055BB"/>
    <w:rsid w:val="00F06658"/>
    <w:rsid w:val="00F066B2"/>
    <w:rsid w:val="00F06936"/>
    <w:rsid w:val="00F06B68"/>
    <w:rsid w:val="00F06DB5"/>
    <w:rsid w:val="00F06EA8"/>
    <w:rsid w:val="00F070A2"/>
    <w:rsid w:val="00F07561"/>
    <w:rsid w:val="00F077AC"/>
    <w:rsid w:val="00F10382"/>
    <w:rsid w:val="00F103D1"/>
    <w:rsid w:val="00F10496"/>
    <w:rsid w:val="00F108A6"/>
    <w:rsid w:val="00F11004"/>
    <w:rsid w:val="00F1196A"/>
    <w:rsid w:val="00F11AAE"/>
    <w:rsid w:val="00F124C2"/>
    <w:rsid w:val="00F12718"/>
    <w:rsid w:val="00F12734"/>
    <w:rsid w:val="00F1285B"/>
    <w:rsid w:val="00F135F3"/>
    <w:rsid w:val="00F13669"/>
    <w:rsid w:val="00F13A54"/>
    <w:rsid w:val="00F14E5E"/>
    <w:rsid w:val="00F15118"/>
    <w:rsid w:val="00F15700"/>
    <w:rsid w:val="00F15958"/>
    <w:rsid w:val="00F15F29"/>
    <w:rsid w:val="00F16B1A"/>
    <w:rsid w:val="00F17839"/>
    <w:rsid w:val="00F17B17"/>
    <w:rsid w:val="00F17E01"/>
    <w:rsid w:val="00F17E1F"/>
    <w:rsid w:val="00F17E37"/>
    <w:rsid w:val="00F204AD"/>
    <w:rsid w:val="00F2059A"/>
    <w:rsid w:val="00F206BD"/>
    <w:rsid w:val="00F20D02"/>
    <w:rsid w:val="00F216AC"/>
    <w:rsid w:val="00F22140"/>
    <w:rsid w:val="00F22382"/>
    <w:rsid w:val="00F2426B"/>
    <w:rsid w:val="00F249E4"/>
    <w:rsid w:val="00F2523A"/>
    <w:rsid w:val="00F25464"/>
    <w:rsid w:val="00F254AD"/>
    <w:rsid w:val="00F256A6"/>
    <w:rsid w:val="00F27381"/>
    <w:rsid w:val="00F27501"/>
    <w:rsid w:val="00F27F0D"/>
    <w:rsid w:val="00F300E6"/>
    <w:rsid w:val="00F30440"/>
    <w:rsid w:val="00F305C1"/>
    <w:rsid w:val="00F32AD7"/>
    <w:rsid w:val="00F32FFC"/>
    <w:rsid w:val="00F331BC"/>
    <w:rsid w:val="00F331F9"/>
    <w:rsid w:val="00F337D8"/>
    <w:rsid w:val="00F34221"/>
    <w:rsid w:val="00F34322"/>
    <w:rsid w:val="00F34550"/>
    <w:rsid w:val="00F35164"/>
    <w:rsid w:val="00F35FFA"/>
    <w:rsid w:val="00F365F1"/>
    <w:rsid w:val="00F3718B"/>
    <w:rsid w:val="00F37E02"/>
    <w:rsid w:val="00F40164"/>
    <w:rsid w:val="00F40542"/>
    <w:rsid w:val="00F41164"/>
    <w:rsid w:val="00F41426"/>
    <w:rsid w:val="00F41ADF"/>
    <w:rsid w:val="00F42DCD"/>
    <w:rsid w:val="00F43384"/>
    <w:rsid w:val="00F434AD"/>
    <w:rsid w:val="00F436AB"/>
    <w:rsid w:val="00F437F0"/>
    <w:rsid w:val="00F443BD"/>
    <w:rsid w:val="00F444C5"/>
    <w:rsid w:val="00F44924"/>
    <w:rsid w:val="00F45027"/>
    <w:rsid w:val="00F45771"/>
    <w:rsid w:val="00F45B46"/>
    <w:rsid w:val="00F471A4"/>
    <w:rsid w:val="00F47633"/>
    <w:rsid w:val="00F4779A"/>
    <w:rsid w:val="00F51104"/>
    <w:rsid w:val="00F515A7"/>
    <w:rsid w:val="00F51FA1"/>
    <w:rsid w:val="00F52E68"/>
    <w:rsid w:val="00F52EB0"/>
    <w:rsid w:val="00F542AF"/>
    <w:rsid w:val="00F542D3"/>
    <w:rsid w:val="00F54A2B"/>
    <w:rsid w:val="00F54A54"/>
    <w:rsid w:val="00F55D0C"/>
    <w:rsid w:val="00F61330"/>
    <w:rsid w:val="00F61A73"/>
    <w:rsid w:val="00F623FB"/>
    <w:rsid w:val="00F62E70"/>
    <w:rsid w:val="00F63E2A"/>
    <w:rsid w:val="00F669A1"/>
    <w:rsid w:val="00F67545"/>
    <w:rsid w:val="00F704A5"/>
    <w:rsid w:val="00F70554"/>
    <w:rsid w:val="00F70564"/>
    <w:rsid w:val="00F7117E"/>
    <w:rsid w:val="00F71633"/>
    <w:rsid w:val="00F71695"/>
    <w:rsid w:val="00F722CE"/>
    <w:rsid w:val="00F73DAA"/>
    <w:rsid w:val="00F74840"/>
    <w:rsid w:val="00F75CF2"/>
    <w:rsid w:val="00F75F8A"/>
    <w:rsid w:val="00F769F4"/>
    <w:rsid w:val="00F77090"/>
    <w:rsid w:val="00F7762D"/>
    <w:rsid w:val="00F801F7"/>
    <w:rsid w:val="00F8182C"/>
    <w:rsid w:val="00F81B05"/>
    <w:rsid w:val="00F8232E"/>
    <w:rsid w:val="00F82445"/>
    <w:rsid w:val="00F84F4F"/>
    <w:rsid w:val="00F86FBC"/>
    <w:rsid w:val="00F9052F"/>
    <w:rsid w:val="00F90B4E"/>
    <w:rsid w:val="00F90C28"/>
    <w:rsid w:val="00F90FC5"/>
    <w:rsid w:val="00F91A6B"/>
    <w:rsid w:val="00F91F94"/>
    <w:rsid w:val="00F921EC"/>
    <w:rsid w:val="00F92EDB"/>
    <w:rsid w:val="00F935C7"/>
    <w:rsid w:val="00F944A7"/>
    <w:rsid w:val="00F94FBF"/>
    <w:rsid w:val="00F96697"/>
    <w:rsid w:val="00F96DC6"/>
    <w:rsid w:val="00F97EE6"/>
    <w:rsid w:val="00F97F59"/>
    <w:rsid w:val="00FA28A3"/>
    <w:rsid w:val="00FA2CC1"/>
    <w:rsid w:val="00FA4723"/>
    <w:rsid w:val="00FA568B"/>
    <w:rsid w:val="00FA5ED7"/>
    <w:rsid w:val="00FA5EED"/>
    <w:rsid w:val="00FA6030"/>
    <w:rsid w:val="00FA6192"/>
    <w:rsid w:val="00FA6615"/>
    <w:rsid w:val="00FA678E"/>
    <w:rsid w:val="00FA6C4C"/>
    <w:rsid w:val="00FA7135"/>
    <w:rsid w:val="00FA7B3C"/>
    <w:rsid w:val="00FB09F1"/>
    <w:rsid w:val="00FB1B9E"/>
    <w:rsid w:val="00FB41D2"/>
    <w:rsid w:val="00FB5542"/>
    <w:rsid w:val="00FB5B1A"/>
    <w:rsid w:val="00FB68F2"/>
    <w:rsid w:val="00FB690C"/>
    <w:rsid w:val="00FB727E"/>
    <w:rsid w:val="00FB7478"/>
    <w:rsid w:val="00FB7AD6"/>
    <w:rsid w:val="00FC05EC"/>
    <w:rsid w:val="00FC0686"/>
    <w:rsid w:val="00FC1DC0"/>
    <w:rsid w:val="00FC2BE1"/>
    <w:rsid w:val="00FC383D"/>
    <w:rsid w:val="00FC4362"/>
    <w:rsid w:val="00FC5355"/>
    <w:rsid w:val="00FC6AD5"/>
    <w:rsid w:val="00FD0287"/>
    <w:rsid w:val="00FD0420"/>
    <w:rsid w:val="00FD05F5"/>
    <w:rsid w:val="00FD1428"/>
    <w:rsid w:val="00FD3344"/>
    <w:rsid w:val="00FD388B"/>
    <w:rsid w:val="00FD6115"/>
    <w:rsid w:val="00FD7CFB"/>
    <w:rsid w:val="00FE07CE"/>
    <w:rsid w:val="00FE0EA4"/>
    <w:rsid w:val="00FE0F80"/>
    <w:rsid w:val="00FE1DF0"/>
    <w:rsid w:val="00FE2221"/>
    <w:rsid w:val="00FE2C94"/>
    <w:rsid w:val="00FE33DD"/>
    <w:rsid w:val="00FE36A9"/>
    <w:rsid w:val="00FE3904"/>
    <w:rsid w:val="00FE3A10"/>
    <w:rsid w:val="00FE3CF8"/>
    <w:rsid w:val="00FE3E6D"/>
    <w:rsid w:val="00FE4110"/>
    <w:rsid w:val="00FE4D62"/>
    <w:rsid w:val="00FE5C32"/>
    <w:rsid w:val="00FE680D"/>
    <w:rsid w:val="00FE69FA"/>
    <w:rsid w:val="00FF15E0"/>
    <w:rsid w:val="00FF3916"/>
    <w:rsid w:val="00FF41B6"/>
    <w:rsid w:val="00FF43FE"/>
    <w:rsid w:val="00FF46F5"/>
    <w:rsid w:val="00FF5C2A"/>
    <w:rsid w:val="00FF60DC"/>
    <w:rsid w:val="00FF623F"/>
    <w:rsid w:val="00FF661A"/>
    <w:rsid w:val="00FF7184"/>
    <w:rsid w:val="00FF7F03"/>
    <w:rsid w:val="01838C56"/>
    <w:rsid w:val="02B0C209"/>
    <w:rsid w:val="02B68BCB"/>
    <w:rsid w:val="02F4CC86"/>
    <w:rsid w:val="03C9E4B7"/>
    <w:rsid w:val="03E60A48"/>
    <w:rsid w:val="041BE130"/>
    <w:rsid w:val="05E415B5"/>
    <w:rsid w:val="06BEF424"/>
    <w:rsid w:val="06E58ABB"/>
    <w:rsid w:val="08D4F349"/>
    <w:rsid w:val="09262D97"/>
    <w:rsid w:val="097CA72A"/>
    <w:rsid w:val="0A2567B5"/>
    <w:rsid w:val="0A7BA497"/>
    <w:rsid w:val="0AABB337"/>
    <w:rsid w:val="0BDBC4BE"/>
    <w:rsid w:val="0C674D02"/>
    <w:rsid w:val="0CF4C0CA"/>
    <w:rsid w:val="0F05BCCE"/>
    <w:rsid w:val="132883C4"/>
    <w:rsid w:val="14879844"/>
    <w:rsid w:val="1492FF07"/>
    <w:rsid w:val="183D9591"/>
    <w:rsid w:val="1AFE94F9"/>
    <w:rsid w:val="1B0FD047"/>
    <w:rsid w:val="1B892126"/>
    <w:rsid w:val="1BAE1991"/>
    <w:rsid w:val="1C1731A7"/>
    <w:rsid w:val="1CC32272"/>
    <w:rsid w:val="1D8EC26E"/>
    <w:rsid w:val="1F373F21"/>
    <w:rsid w:val="218E3573"/>
    <w:rsid w:val="23EC143A"/>
    <w:rsid w:val="248546C3"/>
    <w:rsid w:val="25E82504"/>
    <w:rsid w:val="27C105F0"/>
    <w:rsid w:val="27DE2A45"/>
    <w:rsid w:val="281EAB1E"/>
    <w:rsid w:val="28E8B7F1"/>
    <w:rsid w:val="28EFD253"/>
    <w:rsid w:val="2AC93209"/>
    <w:rsid w:val="2B6DBA9C"/>
    <w:rsid w:val="2D013758"/>
    <w:rsid w:val="2FB8692C"/>
    <w:rsid w:val="30D1E555"/>
    <w:rsid w:val="30DB82E8"/>
    <w:rsid w:val="32560262"/>
    <w:rsid w:val="341DFC69"/>
    <w:rsid w:val="34D53DCA"/>
    <w:rsid w:val="34F29023"/>
    <w:rsid w:val="35F0871E"/>
    <w:rsid w:val="36406EC9"/>
    <w:rsid w:val="37CA85E9"/>
    <w:rsid w:val="3839944E"/>
    <w:rsid w:val="388EF61D"/>
    <w:rsid w:val="389CD586"/>
    <w:rsid w:val="39D517F2"/>
    <w:rsid w:val="3B222BC8"/>
    <w:rsid w:val="3BD2D58A"/>
    <w:rsid w:val="3BD41572"/>
    <w:rsid w:val="3D193D3B"/>
    <w:rsid w:val="3DA22554"/>
    <w:rsid w:val="3DA2EC88"/>
    <w:rsid w:val="3DE34DEF"/>
    <w:rsid w:val="3E5AFAEF"/>
    <w:rsid w:val="3ECB62B7"/>
    <w:rsid w:val="3EF80010"/>
    <w:rsid w:val="3F2425CD"/>
    <w:rsid w:val="3F9300A7"/>
    <w:rsid w:val="41C50417"/>
    <w:rsid w:val="422EDC85"/>
    <w:rsid w:val="42AD31C4"/>
    <w:rsid w:val="42C0FC18"/>
    <w:rsid w:val="47121452"/>
    <w:rsid w:val="4735C695"/>
    <w:rsid w:val="47C7C9FB"/>
    <w:rsid w:val="48F8C9E3"/>
    <w:rsid w:val="4B01CD6C"/>
    <w:rsid w:val="4ECABAA0"/>
    <w:rsid w:val="4EF8159E"/>
    <w:rsid w:val="51E4F914"/>
    <w:rsid w:val="5290FB66"/>
    <w:rsid w:val="52CA7123"/>
    <w:rsid w:val="53310B22"/>
    <w:rsid w:val="5366A8A6"/>
    <w:rsid w:val="54293FB1"/>
    <w:rsid w:val="54CDCF71"/>
    <w:rsid w:val="55A42600"/>
    <w:rsid w:val="563F5B7D"/>
    <w:rsid w:val="568BA89F"/>
    <w:rsid w:val="56CD5529"/>
    <w:rsid w:val="572440C6"/>
    <w:rsid w:val="580A6321"/>
    <w:rsid w:val="59342EAC"/>
    <w:rsid w:val="599247C6"/>
    <w:rsid w:val="5BFEB89F"/>
    <w:rsid w:val="5C4D5FC3"/>
    <w:rsid w:val="5D67082A"/>
    <w:rsid w:val="5DACA6EE"/>
    <w:rsid w:val="5DB06620"/>
    <w:rsid w:val="5DCE9CAA"/>
    <w:rsid w:val="5F315A2D"/>
    <w:rsid w:val="6148D870"/>
    <w:rsid w:val="6274EEE6"/>
    <w:rsid w:val="63AEF613"/>
    <w:rsid w:val="642CD9F8"/>
    <w:rsid w:val="64B01C5D"/>
    <w:rsid w:val="67527708"/>
    <w:rsid w:val="67DFC386"/>
    <w:rsid w:val="68F0431F"/>
    <w:rsid w:val="6A62C92F"/>
    <w:rsid w:val="6B67E768"/>
    <w:rsid w:val="6DC2AA59"/>
    <w:rsid w:val="6F964EE7"/>
    <w:rsid w:val="7022C5C7"/>
    <w:rsid w:val="70F88548"/>
    <w:rsid w:val="7168D957"/>
    <w:rsid w:val="727FA2EB"/>
    <w:rsid w:val="73B36C5A"/>
    <w:rsid w:val="73F463A0"/>
    <w:rsid w:val="742BC9B0"/>
    <w:rsid w:val="74A0A4D2"/>
    <w:rsid w:val="7673E47C"/>
    <w:rsid w:val="767FB031"/>
    <w:rsid w:val="773DC2C2"/>
    <w:rsid w:val="778A52E0"/>
    <w:rsid w:val="778CD5BC"/>
    <w:rsid w:val="7985A428"/>
    <w:rsid w:val="79BF16BC"/>
    <w:rsid w:val="7AADD83E"/>
    <w:rsid w:val="7AAEC12A"/>
    <w:rsid w:val="7B390363"/>
    <w:rsid w:val="7C0F54D8"/>
    <w:rsid w:val="7D4ABABB"/>
    <w:rsid w:val="7FD1F117"/>
    <w:rsid w:val="7FE5F3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D8D8F2"/>
  <w15:chartTrackingRefBased/>
  <w15:docId w15:val="{B894A749-7E79-43C3-A01A-8364611F7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55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F70554"/>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F70554"/>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70554"/>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70554"/>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F70554"/>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F7055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F7055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F7055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F7055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55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F7055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F7055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F7055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F7055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F7055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F7055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F7055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F7055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F7055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F7055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F7055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F7055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F70554"/>
    <w:rPr>
      <w:vertAlign w:val="superscript"/>
      <w:lang w:val="en-GB"/>
    </w:rPr>
  </w:style>
  <w:style w:type="paragraph" w:customStyle="1" w:styleId="Footnote">
    <w:name w:val="Footnote"/>
    <w:basedOn w:val="FootnoteText"/>
    <w:semiHidden/>
    <w:qFormat/>
    <w:rsid w:val="00F70554"/>
    <w:rPr>
      <w:szCs w:val="18"/>
    </w:rPr>
  </w:style>
  <w:style w:type="paragraph" w:styleId="Header">
    <w:name w:val="header"/>
    <w:basedOn w:val="Normal"/>
    <w:link w:val="HeaderChar"/>
    <w:rsid w:val="00F7055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F7055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F70554"/>
    <w:pPr>
      <w:tabs>
        <w:tab w:val="center" w:pos="4680"/>
        <w:tab w:val="right" w:pos="9360"/>
      </w:tabs>
    </w:pPr>
    <w:rPr>
      <w:sz w:val="20"/>
    </w:rPr>
  </w:style>
  <w:style w:type="character" w:customStyle="1" w:styleId="FooterChar">
    <w:name w:val="Footer Char"/>
    <w:basedOn w:val="DefaultParagraphFont"/>
    <w:link w:val="Footer"/>
    <w:uiPriority w:val="99"/>
    <w:rsid w:val="00F7055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F70554"/>
    <w:pPr>
      <w:spacing w:after="240"/>
    </w:pPr>
    <w:rPr>
      <w:b/>
      <w:sz w:val="28"/>
    </w:rPr>
  </w:style>
  <w:style w:type="paragraph" w:customStyle="1" w:styleId="ABSymbol">
    <w:name w:val="AB_Symbol"/>
    <w:basedOn w:val="Normal"/>
    <w:qFormat/>
    <w:rsid w:val="00F7055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F70554"/>
    <w:pPr>
      <w:numPr>
        <w:numId w:val="63"/>
      </w:numPr>
      <w:tabs>
        <w:tab w:val="left" w:pos="3969"/>
      </w:tabs>
      <w:spacing w:before="120" w:after="120"/>
    </w:pPr>
  </w:style>
  <w:style w:type="paragraph" w:customStyle="1" w:styleId="AFCorNNormal">
    <w:name w:val="AF_CorNNormal"/>
    <w:basedOn w:val="Normal"/>
    <w:unhideWhenUsed/>
    <w:rsid w:val="00F70554"/>
    <w:pPr>
      <w:jc w:val="left"/>
    </w:pPr>
  </w:style>
  <w:style w:type="paragraph" w:customStyle="1" w:styleId="AEDistrNormal">
    <w:name w:val="AE_DistrNormal"/>
    <w:basedOn w:val="Normal"/>
    <w:unhideWhenUsed/>
    <w:rsid w:val="00F70554"/>
    <w:pPr>
      <w:jc w:val="left"/>
    </w:pPr>
  </w:style>
  <w:style w:type="paragraph" w:customStyle="1" w:styleId="AASmallLogo">
    <w:name w:val="AA_SmallLogo"/>
    <w:basedOn w:val="AEDistrNormal"/>
    <w:unhideWhenUsed/>
    <w:rsid w:val="00F70554"/>
    <w:pPr>
      <w:spacing w:before="40"/>
    </w:pPr>
    <w:rPr>
      <w:sz w:val="4"/>
    </w:rPr>
  </w:style>
  <w:style w:type="paragraph" w:customStyle="1" w:styleId="ACLargeLogo">
    <w:name w:val="AC_LargeLogo"/>
    <w:basedOn w:val="AFCorNNormal"/>
    <w:next w:val="AISpacer"/>
    <w:unhideWhenUsed/>
    <w:rsid w:val="00F7055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F7055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F7055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F7055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F70554"/>
    <w:rPr>
      <w:sz w:val="22"/>
      <w:szCs w:val="22"/>
      <w:lang w:val="en-GB"/>
    </w:rPr>
  </w:style>
  <w:style w:type="character" w:styleId="CommentReference">
    <w:name w:val="annotation reference"/>
    <w:basedOn w:val="DefaultParagraphFont"/>
    <w:uiPriority w:val="99"/>
    <w:semiHidden/>
    <w:unhideWhenUsed/>
    <w:rsid w:val="00F70554"/>
    <w:rPr>
      <w:sz w:val="16"/>
      <w:szCs w:val="16"/>
      <w:lang w:val="en-GB"/>
    </w:rPr>
  </w:style>
  <w:style w:type="paragraph" w:styleId="CommentText">
    <w:name w:val="annotation text"/>
    <w:basedOn w:val="Normal"/>
    <w:link w:val="CommentTextChar"/>
    <w:uiPriority w:val="99"/>
    <w:rsid w:val="00F70554"/>
    <w:rPr>
      <w:sz w:val="20"/>
      <w:szCs w:val="20"/>
    </w:rPr>
  </w:style>
  <w:style w:type="character" w:customStyle="1" w:styleId="CommentTextChar">
    <w:name w:val="Comment Text Char"/>
    <w:basedOn w:val="DefaultParagraphFont"/>
    <w:link w:val="CommentText"/>
    <w:uiPriority w:val="99"/>
    <w:rsid w:val="00F7055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F70554"/>
    <w:rPr>
      <w:b/>
      <w:bCs/>
    </w:rPr>
  </w:style>
  <w:style w:type="character" w:customStyle="1" w:styleId="CommentSubjectChar">
    <w:name w:val="Comment Subject Char"/>
    <w:basedOn w:val="CommentTextChar"/>
    <w:link w:val="CommentSubject"/>
    <w:uiPriority w:val="99"/>
    <w:semiHidden/>
    <w:rsid w:val="00F7055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F7055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F7055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F70554"/>
    <w:pPr>
      <w:contextualSpacing/>
    </w:pPr>
  </w:style>
  <w:style w:type="numbering" w:customStyle="1" w:styleId="ListCBD">
    <w:name w:val="ListCBD"/>
    <w:basedOn w:val="NoList"/>
    <w:uiPriority w:val="99"/>
    <w:rsid w:val="00F70554"/>
    <w:pPr>
      <w:numPr>
        <w:numId w:val="2"/>
      </w:numPr>
    </w:pPr>
  </w:style>
  <w:style w:type="numbering" w:customStyle="1" w:styleId="CBDHeadings">
    <w:name w:val="CBD_Headings"/>
    <w:basedOn w:val="ListCBD"/>
    <w:uiPriority w:val="99"/>
    <w:rsid w:val="00F70554"/>
    <w:pPr>
      <w:numPr>
        <w:numId w:val="3"/>
      </w:numPr>
    </w:pPr>
  </w:style>
  <w:style w:type="paragraph" w:customStyle="1" w:styleId="AISpacer">
    <w:name w:val="AI_Spacer"/>
    <w:next w:val="Normal"/>
    <w:unhideWhenUsed/>
    <w:qFormat/>
    <w:rsid w:val="00F7055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F70554"/>
    <w:pPr>
      <w:spacing w:before="120"/>
    </w:pPr>
  </w:style>
  <w:style w:type="paragraph" w:customStyle="1" w:styleId="AFCorNBold">
    <w:name w:val="AF_CorNBold"/>
    <w:basedOn w:val="AFCorNNormal"/>
    <w:next w:val="AFCorNNormal"/>
    <w:unhideWhenUsed/>
    <w:qFormat/>
    <w:rsid w:val="00F70554"/>
    <w:rPr>
      <w:b/>
    </w:rPr>
  </w:style>
  <w:style w:type="paragraph" w:customStyle="1" w:styleId="AFCorN12Bold">
    <w:name w:val="AF_CorN12Bold"/>
    <w:basedOn w:val="AFCorNNormal"/>
    <w:next w:val="AFCorNNormal"/>
    <w:unhideWhenUsed/>
    <w:qFormat/>
    <w:rsid w:val="00F70554"/>
    <w:rPr>
      <w:b/>
      <w:sz w:val="24"/>
    </w:rPr>
  </w:style>
  <w:style w:type="paragraph" w:customStyle="1" w:styleId="CBDAgendaItem">
    <w:name w:val="CBD_AgendaItem"/>
    <w:basedOn w:val="Normal"/>
    <w:qFormat/>
    <w:rsid w:val="00F70554"/>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F70554"/>
    <w:pPr>
      <w:spacing w:after="120"/>
      <w:ind w:left="1134" w:firstLine="567"/>
    </w:pPr>
  </w:style>
  <w:style w:type="paragraph" w:customStyle="1" w:styleId="CBDDesicionAnnex">
    <w:name w:val="CBD_DesicionAnnex"/>
    <w:basedOn w:val="CBDNormal"/>
    <w:next w:val="CBDDesicionText"/>
    <w:qFormat/>
    <w:rsid w:val="00F7055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F70554"/>
    <w:rPr>
      <w:rFonts w:ascii="Times New Roman" w:hAnsi="Times New Roman"/>
      <w:color w:val="467886" w:themeColor="hyperlink"/>
      <w:u w:val="single"/>
      <w:lang w:val="en-GB"/>
    </w:rPr>
  </w:style>
  <w:style w:type="paragraph" w:customStyle="1" w:styleId="CBDAnnex">
    <w:name w:val="CBD_Annex"/>
    <w:basedOn w:val="CBDNormal"/>
    <w:next w:val="CBDTitle"/>
    <w:qFormat/>
    <w:rsid w:val="00F70554"/>
    <w:pPr>
      <w:keepNext/>
      <w:keepLines/>
      <w:spacing w:after="240"/>
      <w:jc w:val="left"/>
    </w:pPr>
    <w:rPr>
      <w:b/>
      <w:sz w:val="28"/>
      <w:lang w:bidi="ar-SY"/>
    </w:rPr>
  </w:style>
  <w:style w:type="paragraph" w:customStyle="1" w:styleId="CBDSubTitle">
    <w:name w:val="CBD_SubTitle"/>
    <w:basedOn w:val="CBDNormal"/>
    <w:qFormat/>
    <w:rsid w:val="00F70554"/>
    <w:pPr>
      <w:keepNext/>
      <w:keepLines/>
      <w:spacing w:before="240" w:after="240"/>
      <w:ind w:left="567"/>
      <w:jc w:val="left"/>
    </w:pPr>
    <w:rPr>
      <w:b/>
    </w:rPr>
  </w:style>
  <w:style w:type="paragraph" w:customStyle="1" w:styleId="CBDTitle">
    <w:name w:val="CBD_Title"/>
    <w:basedOn w:val="CBDNormal"/>
    <w:next w:val="CBDSubTitle"/>
    <w:qFormat/>
    <w:rsid w:val="00F70554"/>
    <w:pPr>
      <w:keepNext/>
      <w:keepLines/>
      <w:spacing w:before="240" w:after="240"/>
      <w:ind w:left="567"/>
      <w:jc w:val="left"/>
    </w:pPr>
    <w:rPr>
      <w:b/>
      <w:sz w:val="28"/>
    </w:rPr>
  </w:style>
  <w:style w:type="paragraph" w:customStyle="1" w:styleId="AENormal">
    <w:name w:val="AE_Normal"/>
    <w:basedOn w:val="Normal"/>
    <w:rsid w:val="00F70554"/>
  </w:style>
  <w:style w:type="paragraph" w:customStyle="1" w:styleId="CBDH1">
    <w:name w:val="CBD_H1"/>
    <w:basedOn w:val="CBDNormal"/>
    <w:qFormat/>
    <w:rsid w:val="00F70554"/>
    <w:pPr>
      <w:keepNext/>
      <w:keepLines/>
      <w:spacing w:before="240" w:after="120"/>
      <w:ind w:left="567" w:hanging="567"/>
      <w:jc w:val="left"/>
      <w:outlineLvl w:val="0"/>
    </w:pPr>
    <w:rPr>
      <w:b/>
      <w:sz w:val="28"/>
    </w:rPr>
  </w:style>
  <w:style w:type="paragraph" w:customStyle="1" w:styleId="CBDH2">
    <w:name w:val="CBD_H2"/>
    <w:basedOn w:val="CBDNormal"/>
    <w:qFormat/>
    <w:rsid w:val="00F70554"/>
    <w:pPr>
      <w:keepNext/>
      <w:keepLines/>
      <w:ind w:left="567" w:hanging="567"/>
    </w:pPr>
    <w:rPr>
      <w:b/>
      <w:sz w:val="24"/>
    </w:rPr>
  </w:style>
  <w:style w:type="paragraph" w:customStyle="1" w:styleId="CBDFootnoteText">
    <w:name w:val="CBD_Footnote_Text"/>
    <w:basedOn w:val="CBDNormal"/>
    <w:qFormat/>
    <w:rsid w:val="00F70554"/>
    <w:pPr>
      <w:jc w:val="left"/>
    </w:pPr>
    <w:rPr>
      <w:sz w:val="18"/>
    </w:rPr>
  </w:style>
  <w:style w:type="paragraph" w:customStyle="1" w:styleId="CBDFooter">
    <w:name w:val="CBD_Footer"/>
    <w:basedOn w:val="CBDNormal"/>
    <w:qFormat/>
    <w:rsid w:val="00F70554"/>
    <w:rPr>
      <w:sz w:val="20"/>
    </w:rPr>
  </w:style>
  <w:style w:type="paragraph" w:customStyle="1" w:styleId="CBDHeader">
    <w:name w:val="CBD_Header"/>
    <w:basedOn w:val="CBDNormal"/>
    <w:next w:val="CBDFooter"/>
    <w:qFormat/>
    <w:rsid w:val="00F7055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F70554"/>
    <w:pPr>
      <w:keepNext/>
      <w:keepLines/>
      <w:spacing w:before="120" w:after="120"/>
      <w:ind w:left="567" w:hanging="567"/>
      <w:jc w:val="left"/>
    </w:pPr>
    <w:rPr>
      <w:b/>
    </w:rPr>
  </w:style>
  <w:style w:type="paragraph" w:customStyle="1" w:styleId="CBDH4">
    <w:name w:val="CBD_H4"/>
    <w:basedOn w:val="CBDNormal"/>
    <w:rsid w:val="00F70554"/>
    <w:pPr>
      <w:keepNext/>
      <w:keepLines/>
      <w:spacing w:before="120" w:after="120"/>
      <w:ind w:left="567" w:hanging="567"/>
      <w:jc w:val="left"/>
    </w:pPr>
    <w:rPr>
      <w:b/>
    </w:rPr>
  </w:style>
  <w:style w:type="paragraph" w:customStyle="1" w:styleId="CBDH5">
    <w:name w:val="CBD_H5"/>
    <w:basedOn w:val="CBDNormal"/>
    <w:qFormat/>
    <w:rsid w:val="00F70554"/>
    <w:pPr>
      <w:keepNext/>
      <w:keepLines/>
      <w:spacing w:before="120" w:after="120"/>
      <w:ind w:left="567" w:hanging="567"/>
      <w:jc w:val="left"/>
    </w:pPr>
    <w:rPr>
      <w:i/>
    </w:rPr>
  </w:style>
  <w:style w:type="paragraph" w:customStyle="1" w:styleId="CBDTableNormal">
    <w:name w:val="CBD_TableNormal"/>
    <w:basedOn w:val="CBDNormal"/>
    <w:qFormat/>
    <w:rsid w:val="00F70554"/>
    <w:pPr>
      <w:spacing w:before="40" w:after="80"/>
      <w:jc w:val="left"/>
    </w:pPr>
    <w:rPr>
      <w:sz w:val="20"/>
    </w:rPr>
  </w:style>
  <w:style w:type="paragraph" w:customStyle="1" w:styleId="CBDTableTitle">
    <w:name w:val="CBD_TableTitle"/>
    <w:basedOn w:val="CBDNormal"/>
    <w:qFormat/>
    <w:rsid w:val="00F70554"/>
    <w:pPr>
      <w:keepNext/>
      <w:keepLines/>
      <w:spacing w:before="120" w:after="60"/>
      <w:ind w:left="567"/>
      <w:jc w:val="left"/>
    </w:pPr>
    <w:rPr>
      <w:b/>
    </w:rPr>
  </w:style>
  <w:style w:type="paragraph" w:customStyle="1" w:styleId="CBDFigureTitle">
    <w:name w:val="CBD_FigureTitle"/>
    <w:basedOn w:val="CBDNormal"/>
    <w:next w:val="CBDNormalNoNumber"/>
    <w:qFormat/>
    <w:rsid w:val="00F70554"/>
    <w:pPr>
      <w:keepNext/>
      <w:keepLines/>
      <w:spacing w:before="120" w:after="60"/>
      <w:ind w:left="567"/>
      <w:jc w:val="left"/>
    </w:pPr>
    <w:rPr>
      <w:b/>
    </w:rPr>
  </w:style>
  <w:style w:type="paragraph" w:styleId="TOC1">
    <w:name w:val="toc 1"/>
    <w:basedOn w:val="CBDNormal"/>
    <w:next w:val="Normal"/>
    <w:autoRedefine/>
    <w:uiPriority w:val="39"/>
    <w:unhideWhenUsed/>
    <w:rsid w:val="00F7055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F7055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F7055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F7055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F7055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FA7135"/>
    <w:rPr>
      <w:color w:val="605E5C"/>
      <w:shd w:val="clear" w:color="auto" w:fill="E1DFDD"/>
      <w:lang w:val="en-GB"/>
    </w:rPr>
  </w:style>
  <w:style w:type="character" w:customStyle="1" w:styleId="hlite">
    <w:name w:val="hlite"/>
    <w:basedOn w:val="DefaultParagraphFont"/>
    <w:rsid w:val="00946581"/>
    <w:rPr>
      <w:lang w:val="en-GB"/>
    </w:rPr>
  </w:style>
  <w:style w:type="character" w:styleId="Mention">
    <w:name w:val="Mention"/>
    <w:basedOn w:val="DefaultParagraphFont"/>
    <w:uiPriority w:val="99"/>
    <w:unhideWhenUsed/>
    <w:rsid w:val="003A66C5"/>
    <w:rPr>
      <w:color w:val="2B579A"/>
      <w:shd w:val="clear" w:color="auto" w:fill="E1DFDD"/>
      <w:lang w:val="en-GB"/>
    </w:rPr>
  </w:style>
  <w:style w:type="character" w:customStyle="1" w:styleId="field">
    <w:name w:val="field"/>
    <w:basedOn w:val="DefaultParagraphFont"/>
    <w:rsid w:val="00312056"/>
    <w:rPr>
      <w:lang w:val="en-GB"/>
    </w:rPr>
  </w:style>
  <w:style w:type="paragraph" w:customStyle="1" w:styleId="CBDAgendaItemReport">
    <w:name w:val="CBD_AgendaItem_Report"/>
    <w:basedOn w:val="Normal"/>
    <w:qFormat/>
    <w:rsid w:val="00F70554"/>
    <w:pPr>
      <w:keepNext/>
      <w:keepLines/>
      <w:spacing w:before="240" w:after="120"/>
      <w:jc w:val="left"/>
    </w:pPr>
    <w:rPr>
      <w:b/>
      <w:sz w:val="24"/>
    </w:rPr>
  </w:style>
  <w:style w:type="paragraph" w:customStyle="1" w:styleId="CBDagendaItem0">
    <w:name w:val="CBD_agenda_Item"/>
    <w:basedOn w:val="CBDNormalNumber"/>
    <w:qFormat/>
    <w:rsid w:val="00F70554"/>
  </w:style>
  <w:style w:type="character" w:styleId="Hashtag">
    <w:name w:val="Hashtag"/>
    <w:basedOn w:val="DefaultParagraphFont"/>
    <w:uiPriority w:val="99"/>
    <w:semiHidden/>
    <w:unhideWhenUsed/>
    <w:rsid w:val="005354A5"/>
    <w:rPr>
      <w:color w:val="2B579A"/>
      <w:shd w:val="clear" w:color="auto" w:fill="E1DFDD"/>
      <w:lang w:val="en-GB"/>
    </w:rPr>
  </w:style>
  <w:style w:type="character" w:styleId="SmartHyperlink">
    <w:name w:val="Smart Hyperlink"/>
    <w:basedOn w:val="DefaultParagraphFont"/>
    <w:uiPriority w:val="99"/>
    <w:semiHidden/>
    <w:unhideWhenUsed/>
    <w:rsid w:val="005354A5"/>
    <w:rPr>
      <w:u w:val="dotted"/>
      <w:lang w:val="en-GB"/>
    </w:rPr>
  </w:style>
  <w:style w:type="character" w:styleId="SmartLink">
    <w:name w:val="Smart Link"/>
    <w:basedOn w:val="DefaultParagraphFont"/>
    <w:uiPriority w:val="99"/>
    <w:semiHidden/>
    <w:unhideWhenUsed/>
    <w:rsid w:val="005354A5"/>
    <w:rPr>
      <w:color w:val="0000FF"/>
      <w:u w:val="single"/>
      <w:shd w:val="clear" w:color="auto" w:fill="F3F2F1"/>
      <w:lang w:val="en-GB"/>
    </w:rPr>
  </w:style>
  <w:style w:type="paragraph" w:customStyle="1" w:styleId="Default">
    <w:name w:val="Default"/>
    <w:rsid w:val="00A1531D"/>
    <w:pPr>
      <w:autoSpaceDE w:val="0"/>
      <w:autoSpaceDN w:val="0"/>
      <w:adjustRightInd w:val="0"/>
      <w:spacing w:after="0" w:line="240" w:lineRule="auto"/>
    </w:pPr>
    <w:rPr>
      <w:rFonts w:ascii="Montserrat" w:hAnsi="Montserrat" w:cs="Montserrat"/>
      <w:color w:val="000000"/>
      <w:kern w:val="0"/>
      <w:lang w:val="en-GB"/>
      <w14:ligatures w14:val="none"/>
    </w:rPr>
  </w:style>
  <w:style w:type="paragraph" w:customStyle="1" w:styleId="Pa2">
    <w:name w:val="Pa2"/>
    <w:basedOn w:val="Default"/>
    <w:next w:val="Default"/>
    <w:uiPriority w:val="99"/>
    <w:rsid w:val="00A1531D"/>
    <w:pPr>
      <w:spacing w:line="181" w:lineRule="atLeast"/>
    </w:pPr>
    <w:rPr>
      <w:rFonts w:cstheme="minorBidi"/>
      <w:color w:val="auto"/>
    </w:rPr>
  </w:style>
  <w:style w:type="character" w:customStyle="1" w:styleId="A20">
    <w:name w:val="A20"/>
    <w:uiPriority w:val="99"/>
    <w:rsid w:val="00A1531D"/>
    <w:rPr>
      <w:rFonts w:cs="Montserrat"/>
      <w:color w:val="000000"/>
      <w:sz w:val="20"/>
      <w:szCs w:val="20"/>
      <w:lang w:val="en-GB"/>
    </w:rPr>
  </w:style>
  <w:style w:type="paragraph" w:customStyle="1" w:styleId="pf1">
    <w:name w:val="pf1"/>
    <w:basedOn w:val="Normal"/>
    <w:rsid w:val="00A1531D"/>
    <w:pPr>
      <w:tabs>
        <w:tab w:val="clear" w:pos="567"/>
        <w:tab w:val="clear" w:pos="1134"/>
        <w:tab w:val="clear" w:pos="1701"/>
        <w:tab w:val="clear" w:pos="2268"/>
      </w:tabs>
      <w:spacing w:before="100" w:beforeAutospacing="1" w:after="100" w:afterAutospacing="1"/>
      <w:ind w:left="300"/>
    </w:pPr>
    <w:rPr>
      <w:rFonts w:eastAsia="Times New Roman"/>
      <w:sz w:val="24"/>
      <w:szCs w:val="24"/>
      <w:lang w:eastAsia="en-GB"/>
    </w:rPr>
  </w:style>
  <w:style w:type="paragraph" w:customStyle="1" w:styleId="pf0">
    <w:name w:val="pf0"/>
    <w:basedOn w:val="Normal"/>
    <w:rsid w:val="00A1531D"/>
    <w:pPr>
      <w:tabs>
        <w:tab w:val="clear" w:pos="567"/>
        <w:tab w:val="clear" w:pos="1134"/>
        <w:tab w:val="clear" w:pos="1701"/>
        <w:tab w:val="clear" w:pos="2268"/>
      </w:tabs>
      <w:spacing w:before="100" w:beforeAutospacing="1" w:after="100" w:afterAutospacing="1"/>
    </w:pPr>
    <w:rPr>
      <w:rFonts w:eastAsia="Times New Roman"/>
      <w:sz w:val="24"/>
      <w:szCs w:val="24"/>
      <w:lang w:eastAsia="en-GB"/>
    </w:rPr>
  </w:style>
  <w:style w:type="character" w:customStyle="1" w:styleId="cf01">
    <w:name w:val="cf01"/>
    <w:basedOn w:val="DefaultParagraphFont"/>
    <w:rsid w:val="00A1531D"/>
    <w:rPr>
      <w:rFonts w:ascii="Segoe UI" w:hAnsi="Segoe UI" w:cs="Segoe UI" w:hint="default"/>
      <w:sz w:val="18"/>
      <w:szCs w:val="18"/>
      <w:lang w:val="en-GB"/>
    </w:rPr>
  </w:style>
  <w:style w:type="character" w:customStyle="1" w:styleId="fontstyle01">
    <w:name w:val="fontstyle01"/>
    <w:basedOn w:val="DefaultParagraphFont"/>
    <w:rsid w:val="00A1531D"/>
    <w:rPr>
      <w:rFonts w:ascii="Montserrat-Regular" w:hAnsi="Montserrat-Regular" w:hint="default"/>
      <w:b w:val="0"/>
      <w:bCs w:val="0"/>
      <w:i w:val="0"/>
      <w:iCs w:val="0"/>
      <w:color w:val="000000"/>
      <w:sz w:val="18"/>
      <w:szCs w:val="1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56D4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BDpara-item">
    <w:name w:val="CBD_para-item"/>
    <w:basedOn w:val="Normal"/>
    <w:qFormat/>
    <w:rsid w:val="00F70554"/>
    <w:pPr>
      <w:tabs>
        <w:tab w:val="clear" w:pos="567"/>
      </w:tabs>
      <w:spacing w:before="120" w:after="120"/>
      <w:ind w:left="1134" w:hanging="567"/>
      <w:jc w:val="left"/>
    </w:pPr>
  </w:style>
  <w:style w:type="paragraph" w:customStyle="1" w:styleId="CBDsubpara-item">
    <w:name w:val="CBD_subpara-item"/>
    <w:basedOn w:val="CBDpara-item"/>
    <w:qFormat/>
    <w:rsid w:val="00F70554"/>
    <w:pPr>
      <w:tabs>
        <w:tab w:val="clear" w:pos="1134"/>
      </w:tabs>
      <w:ind w:left="1701"/>
    </w:pPr>
  </w:style>
  <w:style w:type="paragraph" w:customStyle="1" w:styleId="CBDRecommendText">
    <w:name w:val="CBD_RecommendText"/>
    <w:basedOn w:val="Normal"/>
    <w:qFormat/>
    <w:rsid w:val="00F7055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658402">
      <w:bodyDiv w:val="1"/>
      <w:marLeft w:val="0"/>
      <w:marRight w:val="0"/>
      <w:marTop w:val="0"/>
      <w:marBottom w:val="0"/>
      <w:divBdr>
        <w:top w:val="none" w:sz="0" w:space="0" w:color="auto"/>
        <w:left w:val="none" w:sz="0" w:space="0" w:color="auto"/>
        <w:bottom w:val="none" w:sz="0" w:space="0" w:color="auto"/>
        <w:right w:val="none" w:sz="0" w:space="0" w:color="auto"/>
      </w:divBdr>
    </w:div>
    <w:div w:id="399791053">
      <w:bodyDiv w:val="1"/>
      <w:marLeft w:val="0"/>
      <w:marRight w:val="0"/>
      <w:marTop w:val="0"/>
      <w:marBottom w:val="0"/>
      <w:divBdr>
        <w:top w:val="none" w:sz="0" w:space="0" w:color="auto"/>
        <w:left w:val="none" w:sz="0" w:space="0" w:color="auto"/>
        <w:bottom w:val="none" w:sz="0" w:space="0" w:color="auto"/>
        <w:right w:val="none" w:sz="0" w:space="0" w:color="auto"/>
      </w:divBdr>
    </w:div>
    <w:div w:id="475880207">
      <w:bodyDiv w:val="1"/>
      <w:marLeft w:val="0"/>
      <w:marRight w:val="0"/>
      <w:marTop w:val="0"/>
      <w:marBottom w:val="0"/>
      <w:divBdr>
        <w:top w:val="none" w:sz="0" w:space="0" w:color="auto"/>
        <w:left w:val="none" w:sz="0" w:space="0" w:color="auto"/>
        <w:bottom w:val="none" w:sz="0" w:space="0" w:color="auto"/>
        <w:right w:val="none" w:sz="0" w:space="0" w:color="auto"/>
      </w:divBdr>
    </w:div>
    <w:div w:id="484974725">
      <w:bodyDiv w:val="1"/>
      <w:marLeft w:val="0"/>
      <w:marRight w:val="0"/>
      <w:marTop w:val="0"/>
      <w:marBottom w:val="0"/>
      <w:divBdr>
        <w:top w:val="none" w:sz="0" w:space="0" w:color="auto"/>
        <w:left w:val="none" w:sz="0" w:space="0" w:color="auto"/>
        <w:bottom w:val="none" w:sz="0" w:space="0" w:color="auto"/>
        <w:right w:val="none" w:sz="0" w:space="0" w:color="auto"/>
      </w:divBdr>
    </w:div>
    <w:div w:id="536166591">
      <w:bodyDiv w:val="1"/>
      <w:marLeft w:val="0"/>
      <w:marRight w:val="0"/>
      <w:marTop w:val="0"/>
      <w:marBottom w:val="0"/>
      <w:divBdr>
        <w:top w:val="none" w:sz="0" w:space="0" w:color="auto"/>
        <w:left w:val="none" w:sz="0" w:space="0" w:color="auto"/>
        <w:bottom w:val="none" w:sz="0" w:space="0" w:color="auto"/>
        <w:right w:val="none" w:sz="0" w:space="0" w:color="auto"/>
      </w:divBdr>
    </w:div>
    <w:div w:id="639578373">
      <w:bodyDiv w:val="1"/>
      <w:marLeft w:val="0"/>
      <w:marRight w:val="0"/>
      <w:marTop w:val="0"/>
      <w:marBottom w:val="0"/>
      <w:divBdr>
        <w:top w:val="none" w:sz="0" w:space="0" w:color="auto"/>
        <w:left w:val="none" w:sz="0" w:space="0" w:color="auto"/>
        <w:bottom w:val="none" w:sz="0" w:space="0" w:color="auto"/>
        <w:right w:val="none" w:sz="0" w:space="0" w:color="auto"/>
      </w:divBdr>
    </w:div>
    <w:div w:id="871844771">
      <w:bodyDiv w:val="1"/>
      <w:marLeft w:val="0"/>
      <w:marRight w:val="0"/>
      <w:marTop w:val="0"/>
      <w:marBottom w:val="0"/>
      <w:divBdr>
        <w:top w:val="none" w:sz="0" w:space="0" w:color="auto"/>
        <w:left w:val="none" w:sz="0" w:space="0" w:color="auto"/>
        <w:bottom w:val="none" w:sz="0" w:space="0" w:color="auto"/>
        <w:right w:val="none" w:sz="0" w:space="0" w:color="auto"/>
      </w:divBdr>
    </w:div>
    <w:div w:id="1157264282">
      <w:bodyDiv w:val="1"/>
      <w:marLeft w:val="0"/>
      <w:marRight w:val="0"/>
      <w:marTop w:val="0"/>
      <w:marBottom w:val="0"/>
      <w:divBdr>
        <w:top w:val="none" w:sz="0" w:space="0" w:color="auto"/>
        <w:left w:val="none" w:sz="0" w:space="0" w:color="auto"/>
        <w:bottom w:val="none" w:sz="0" w:space="0" w:color="auto"/>
        <w:right w:val="none" w:sz="0" w:space="0" w:color="auto"/>
      </w:divBdr>
    </w:div>
    <w:div w:id="1237935104">
      <w:bodyDiv w:val="1"/>
      <w:marLeft w:val="0"/>
      <w:marRight w:val="0"/>
      <w:marTop w:val="0"/>
      <w:marBottom w:val="0"/>
      <w:divBdr>
        <w:top w:val="none" w:sz="0" w:space="0" w:color="auto"/>
        <w:left w:val="none" w:sz="0" w:space="0" w:color="auto"/>
        <w:bottom w:val="none" w:sz="0" w:space="0" w:color="auto"/>
        <w:right w:val="none" w:sz="0" w:space="0" w:color="auto"/>
      </w:divBdr>
    </w:div>
    <w:div w:id="1317493318">
      <w:bodyDiv w:val="1"/>
      <w:marLeft w:val="0"/>
      <w:marRight w:val="0"/>
      <w:marTop w:val="0"/>
      <w:marBottom w:val="0"/>
      <w:divBdr>
        <w:top w:val="none" w:sz="0" w:space="0" w:color="auto"/>
        <w:left w:val="none" w:sz="0" w:space="0" w:color="auto"/>
        <w:bottom w:val="none" w:sz="0" w:space="0" w:color="auto"/>
        <w:right w:val="none" w:sz="0" w:space="0" w:color="auto"/>
      </w:divBdr>
    </w:div>
    <w:div w:id="1361517600">
      <w:bodyDiv w:val="1"/>
      <w:marLeft w:val="0"/>
      <w:marRight w:val="0"/>
      <w:marTop w:val="0"/>
      <w:marBottom w:val="0"/>
      <w:divBdr>
        <w:top w:val="none" w:sz="0" w:space="0" w:color="auto"/>
        <w:left w:val="none" w:sz="0" w:space="0" w:color="auto"/>
        <w:bottom w:val="none" w:sz="0" w:space="0" w:color="auto"/>
        <w:right w:val="none" w:sz="0" w:space="0" w:color="auto"/>
      </w:divBdr>
    </w:div>
    <w:div w:id="1371808999">
      <w:bodyDiv w:val="1"/>
      <w:marLeft w:val="0"/>
      <w:marRight w:val="0"/>
      <w:marTop w:val="0"/>
      <w:marBottom w:val="0"/>
      <w:divBdr>
        <w:top w:val="none" w:sz="0" w:space="0" w:color="auto"/>
        <w:left w:val="none" w:sz="0" w:space="0" w:color="auto"/>
        <w:bottom w:val="none" w:sz="0" w:space="0" w:color="auto"/>
        <w:right w:val="none" w:sz="0" w:space="0" w:color="auto"/>
      </w:divBdr>
    </w:div>
    <w:div w:id="1441411971">
      <w:bodyDiv w:val="1"/>
      <w:marLeft w:val="0"/>
      <w:marRight w:val="0"/>
      <w:marTop w:val="0"/>
      <w:marBottom w:val="0"/>
      <w:divBdr>
        <w:top w:val="none" w:sz="0" w:space="0" w:color="auto"/>
        <w:left w:val="none" w:sz="0" w:space="0" w:color="auto"/>
        <w:bottom w:val="none" w:sz="0" w:space="0" w:color="auto"/>
        <w:right w:val="none" w:sz="0" w:space="0" w:color="auto"/>
      </w:divBdr>
    </w:div>
    <w:div w:id="1522553070">
      <w:bodyDiv w:val="1"/>
      <w:marLeft w:val="0"/>
      <w:marRight w:val="0"/>
      <w:marTop w:val="0"/>
      <w:marBottom w:val="0"/>
      <w:divBdr>
        <w:top w:val="none" w:sz="0" w:space="0" w:color="auto"/>
        <w:left w:val="none" w:sz="0" w:space="0" w:color="auto"/>
        <w:bottom w:val="none" w:sz="0" w:space="0" w:color="auto"/>
        <w:right w:val="none" w:sz="0" w:space="0" w:color="auto"/>
      </w:divBdr>
    </w:div>
    <w:div w:id="1526089576">
      <w:bodyDiv w:val="1"/>
      <w:marLeft w:val="0"/>
      <w:marRight w:val="0"/>
      <w:marTop w:val="0"/>
      <w:marBottom w:val="0"/>
      <w:divBdr>
        <w:top w:val="none" w:sz="0" w:space="0" w:color="auto"/>
        <w:left w:val="none" w:sz="0" w:space="0" w:color="auto"/>
        <w:bottom w:val="none" w:sz="0" w:space="0" w:color="auto"/>
        <w:right w:val="none" w:sz="0" w:space="0" w:color="auto"/>
      </w:divBdr>
    </w:div>
    <w:div w:id="1726949412">
      <w:bodyDiv w:val="1"/>
      <w:marLeft w:val="0"/>
      <w:marRight w:val="0"/>
      <w:marTop w:val="0"/>
      <w:marBottom w:val="0"/>
      <w:divBdr>
        <w:top w:val="none" w:sz="0" w:space="0" w:color="auto"/>
        <w:left w:val="none" w:sz="0" w:space="0" w:color="auto"/>
        <w:bottom w:val="none" w:sz="0" w:space="0" w:color="auto"/>
        <w:right w:val="none" w:sz="0" w:space="0" w:color="auto"/>
      </w:divBdr>
    </w:div>
    <w:div w:id="1752120794">
      <w:bodyDiv w:val="1"/>
      <w:marLeft w:val="0"/>
      <w:marRight w:val="0"/>
      <w:marTop w:val="0"/>
      <w:marBottom w:val="0"/>
      <w:divBdr>
        <w:top w:val="none" w:sz="0" w:space="0" w:color="auto"/>
        <w:left w:val="none" w:sz="0" w:space="0" w:color="auto"/>
        <w:bottom w:val="none" w:sz="0" w:space="0" w:color="auto"/>
        <w:right w:val="none" w:sz="0" w:space="0" w:color="auto"/>
      </w:divBdr>
    </w:div>
    <w:div w:id="1903132599">
      <w:bodyDiv w:val="1"/>
      <w:marLeft w:val="0"/>
      <w:marRight w:val="0"/>
      <w:marTop w:val="0"/>
      <w:marBottom w:val="0"/>
      <w:divBdr>
        <w:top w:val="none" w:sz="0" w:space="0" w:color="auto"/>
        <w:left w:val="none" w:sz="0" w:space="0" w:color="auto"/>
        <w:bottom w:val="none" w:sz="0" w:space="0" w:color="auto"/>
        <w:right w:val="none" w:sz="0" w:space="0" w:color="auto"/>
      </w:divBdr>
    </w:div>
    <w:div w:id="1963073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image" Target="media/image4.png"/><Relationship Id="rId42" Type="http://schemas.openxmlformats.org/officeDocument/2006/relationships/hyperlink" Target="https://doi.org/10.3897/neobiota.71.69422" TargetMode="External"/><Relationship Id="rId47" Type="http://schemas.openxmlformats.org/officeDocument/2006/relationships/hyperlink" Target="https://doi.org/10.3897/biss.3.38084" TargetMode="External"/><Relationship Id="rId63" Type="http://schemas.openxmlformats.org/officeDocument/2006/relationships/hyperlink" Target="https://doi.org/10.1007/s11273-023-09951-2" TargetMode="External"/><Relationship Id="rId68" Type="http://schemas.openxmlformats.org/officeDocument/2006/relationships/hyperlink" Target="https://doi.org/10.1111/gcb.14527" TargetMode="External"/><Relationship Id="rId16" Type="http://schemas.openxmlformats.org/officeDocument/2006/relationships/header" Target="header1.xml"/><Relationship Id="rId11" Type="http://schemas.openxmlformats.org/officeDocument/2006/relationships/image" Target="media/image1.png"/><Relationship Id="rId32" Type="http://schemas.openxmlformats.org/officeDocument/2006/relationships/footer" Target="footer5.xml"/><Relationship Id="rId37" Type="http://schemas.openxmlformats.org/officeDocument/2006/relationships/hyperlink" Target="https://doi.org/10.1016/j.pecon.2023.11.004" TargetMode="External"/><Relationship Id="rId53" Type="http://schemas.openxmlformats.org/officeDocument/2006/relationships/hyperlink" Target="https://doi.org/10.1007/s10530-024-03448-6" TargetMode="External"/><Relationship Id="rId58" Type="http://schemas.openxmlformats.org/officeDocument/2006/relationships/hyperlink" Target="https://doi.org/10.1073/pnas.2110303118" TargetMode="External"/><Relationship Id="rId74" Type="http://schemas.openxmlformats.org/officeDocument/2006/relationships/hyperlink" Target="https://doi.org/10.1371/journal.pone.0184379" TargetMode="External"/><Relationship Id="rId79" Type="http://schemas.openxmlformats.org/officeDocument/2006/relationships/footer" Target="footer7.xml"/><Relationship Id="rId5" Type="http://schemas.openxmlformats.org/officeDocument/2006/relationships/numbering" Target="numbering.xml"/><Relationship Id="rId61" Type="http://schemas.openxmlformats.org/officeDocument/2006/relationships/hyperlink" Target="http://www.geobon.org/Downloads/reports/GEOBON/2015/MonitoringBiologicalInvasions.pdf" TargetMode="External"/><Relationship Id="rId82" Type="http://schemas.openxmlformats.org/officeDocument/2006/relationships/theme" Target="theme/theme1.xml"/><Relationship Id="rId19" Type="http://schemas.openxmlformats.org/officeDocument/2006/relationships/footer" Target="footer2.xml"/><Relationship Id="rId14" Type="http://schemas.openxmlformats.org/officeDocument/2006/relationships/hyperlink" Target="https://www.cbd.int/decisions/cop/?m=cop-16" TargetMode="External"/><Relationship Id="rId22" Type="http://schemas.openxmlformats.org/officeDocument/2006/relationships/image" Target="media/image5.png"/><Relationship Id="rId27" Type="http://schemas.openxmlformats.org/officeDocument/2006/relationships/hyperlink" Target="https://www.gbif.org/" TargetMode="External"/><Relationship Id="rId30" Type="http://schemas.openxmlformats.org/officeDocument/2006/relationships/hyperlink" Target="https://www.iucngisd.org/gisd/" TargetMode="External"/><Relationship Id="rId35" Type="http://schemas.openxmlformats.org/officeDocument/2006/relationships/hyperlink" Target="https://doi.org/10.1111/2041-210X.12844" TargetMode="External"/><Relationship Id="rId43" Type="http://schemas.openxmlformats.org/officeDocument/2006/relationships/hyperlink" Target="https://doi.org/10.1111/ddi.13970" TargetMode="External"/><Relationship Id="rId48" Type="http://schemas.openxmlformats.org/officeDocument/2006/relationships/hyperlink" Target="https://doi.org/10.1080/02508281.2015.1005943" TargetMode="External"/><Relationship Id="rId56" Type="http://schemas.openxmlformats.org/officeDocument/2006/relationships/hyperlink" Target="https://www.imo.org/en/OurWork/Environment/Pages/BWMConventionandGuidelines.aspx" TargetMode="External"/><Relationship Id="rId64" Type="http://schemas.openxmlformats.org/officeDocument/2006/relationships/hyperlink" Target="https://portals.iucn.org/library/node/48358" TargetMode="External"/><Relationship Id="rId69" Type="http://schemas.openxmlformats.org/officeDocument/2006/relationships/hyperlink" Target="https://doi.org/10.5281/zenodo.7430733" TargetMode="External"/><Relationship Id="rId77" Type="http://schemas.openxmlformats.org/officeDocument/2006/relationships/header" Target="header8.xml"/><Relationship Id="rId8" Type="http://schemas.openxmlformats.org/officeDocument/2006/relationships/webSettings" Target="webSettings.xml"/><Relationship Id="rId51" Type="http://schemas.openxmlformats.org/officeDocument/2006/relationships/hyperlink" Target="https://doi.org/10.1042/ETLS20200067" TargetMode="External"/><Relationship Id="rId72" Type="http://schemas.openxmlformats.org/officeDocument/2006/relationships/hyperlink" Target="https://standardsfacility.org/sites/default/files/STDF_IAS_EN_0.pdf"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header" Target="header5.xml"/><Relationship Id="rId33" Type="http://schemas.openxmlformats.org/officeDocument/2006/relationships/image" Target="media/image6.png"/><Relationship Id="rId38" Type="http://schemas.openxmlformats.org/officeDocument/2006/relationships/hyperlink" Target="https://doi.org/10.1007/s10530-017-1451-z" TargetMode="External"/><Relationship Id="rId46" Type="http://schemas.openxmlformats.org/officeDocument/2006/relationships/hyperlink" Target="https://doi.org/10.3389/fams.2017.00013" TargetMode="External"/><Relationship Id="rId59" Type="http://schemas.openxmlformats.org/officeDocument/2006/relationships/hyperlink" Target="https://doi.org/10.1111/conl.12981" TargetMode="External"/><Relationship Id="rId67" Type="http://schemas.openxmlformats.org/officeDocument/2006/relationships/hyperlink" Target="https://doi.org/10.1139/er-2020-0088" TargetMode="External"/><Relationship Id="rId20" Type="http://schemas.openxmlformats.org/officeDocument/2006/relationships/header" Target="header3.xml"/><Relationship Id="rId41" Type="http://schemas.openxmlformats.org/officeDocument/2006/relationships/hyperlink" Target="https://doi.org/10.1016/j.biocon.2021.108983" TargetMode="External"/><Relationship Id="rId54" Type="http://schemas.openxmlformats.org/officeDocument/2006/relationships/hyperlink" Target="https://doi.org/10.5281/zenodo.7430727" TargetMode="External"/><Relationship Id="rId62" Type="http://schemas.openxmlformats.org/officeDocument/2006/relationships/hyperlink" Target="https://doi.org/10.1007/s10530-025-03549-w" TargetMode="External"/><Relationship Id="rId70" Type="http://schemas.openxmlformats.org/officeDocument/2006/relationships/hyperlink" Target="https://doi.org/10.1038/ncomms14435" TargetMode="External"/><Relationship Id="rId75" Type="http://schemas.openxmlformats.org/officeDocument/2006/relationships/hyperlink" Target="https://doi.org/10.1007/s10530-019-02142-2"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eader" Target="header4.xml"/><Relationship Id="rId28" Type="http://schemas.openxmlformats.org/officeDocument/2006/relationships/hyperlink" Target="https://www.cabi.org/" TargetMode="External"/><Relationship Id="rId36" Type="http://schemas.openxmlformats.org/officeDocument/2006/relationships/hyperlink" Target="https://doi.org/10.1038/s41597-025-05184-5" TargetMode="External"/><Relationship Id="rId49" Type="http://schemas.openxmlformats.org/officeDocument/2006/relationships/hyperlink" Target="https://doi.org/10.1111/cobi.70051" TargetMode="External"/><Relationship Id="rId57" Type="http://schemas.openxmlformats.org/officeDocument/2006/relationships/hyperlink" Target="https://www.imo.org/en/OurWork/Environment/Pages/Biofouling.aspx" TargetMode="External"/><Relationship Id="rId10" Type="http://schemas.openxmlformats.org/officeDocument/2006/relationships/endnotes" Target="endnotes.xml"/><Relationship Id="rId31" Type="http://schemas.openxmlformats.org/officeDocument/2006/relationships/header" Target="header6.xml"/><Relationship Id="rId44" Type="http://schemas.openxmlformats.org/officeDocument/2006/relationships/hyperlink" Target="https://doi.org/10.6084/m9.figshare.12668570.v5" TargetMode="External"/><Relationship Id="rId52" Type="http://schemas.openxmlformats.org/officeDocument/2006/relationships/hyperlink" Target="https://doi.org/10.1016/j.oneear.2021.04.015" TargetMode="External"/><Relationship Id="rId60" Type="http://schemas.openxmlformats.org/officeDocument/2006/relationships/hyperlink" Target="https://doi.org/10.5281/zenodo.7430747" TargetMode="External"/><Relationship Id="rId65" Type="http://schemas.openxmlformats.org/officeDocument/2006/relationships/hyperlink" Target="https://doi.org/10.1371/journal.pone.0238372" TargetMode="External"/><Relationship Id="rId73" Type="http://schemas.openxmlformats.org/officeDocument/2006/relationships/hyperlink" Target="https://doi.org/10.1016/j.biocon.2023.110040" TargetMode="External"/><Relationship Id="rId78" Type="http://schemas.openxmlformats.org/officeDocument/2006/relationships/footer" Target="footer6.xml"/><Relationship Id="rId8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hyperlink" Target="https://doi.org/10.1111/gcb.15280" TargetMode="External"/><Relationship Id="rId34" Type="http://schemas.openxmlformats.org/officeDocument/2006/relationships/hyperlink" Target="https://doi.org/10.1371/journal.pone.0140833" TargetMode="External"/><Relationship Id="rId50" Type="http://schemas.openxmlformats.org/officeDocument/2006/relationships/hyperlink" Target="https://doi.org/10.1080/02508281.2023.2199613" TargetMode="External"/><Relationship Id="rId55" Type="http://schemas.openxmlformats.org/officeDocument/2006/relationships/hyperlink" Target="https://doi.org/10.1111/cobi.12579" TargetMode="External"/><Relationship Id="rId76" Type="http://schemas.openxmlformats.org/officeDocument/2006/relationships/header" Target="header7.xml"/><Relationship Id="rId7" Type="http://schemas.openxmlformats.org/officeDocument/2006/relationships/settings" Target="settings.xml"/><Relationship Id="rId71" Type="http://schemas.openxmlformats.org/officeDocument/2006/relationships/hyperlink" Target="https://doi.org/10.5281/zenodo.7430725" TargetMode="External"/><Relationship Id="rId2" Type="http://schemas.openxmlformats.org/officeDocument/2006/relationships/customXml" Target="../customXml/item2.xml"/><Relationship Id="rId29" Type="http://schemas.openxmlformats.org/officeDocument/2006/relationships/hyperlink" Target="https://griis.org/" TargetMode="External"/><Relationship Id="rId24" Type="http://schemas.openxmlformats.org/officeDocument/2006/relationships/footer" Target="footer3.xml"/><Relationship Id="rId40" Type="http://schemas.openxmlformats.org/officeDocument/2006/relationships/hyperlink" Target="https://doi.org/10.1890/110145" TargetMode="External"/><Relationship Id="rId45" Type="http://schemas.openxmlformats.org/officeDocument/2006/relationships/hyperlink" Target="https://doi.org/10.1007/s10811-024-03404-w" TargetMode="External"/><Relationship Id="rId66" Type="http://schemas.openxmlformats.org/officeDocument/2006/relationships/hyperlink" Target="https://doi.org/10.3897/neobiota.71.64618"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iucnrle.org/" TargetMode="External"/><Relationship Id="rId21" Type="http://schemas.openxmlformats.org/officeDocument/2006/relationships/hyperlink" Target="https://doi.org/10.1111/gcb.14527" TargetMode="External"/><Relationship Id="rId42" Type="http://schemas.openxmlformats.org/officeDocument/2006/relationships/hyperlink" Target="https://www.imo.org/en/ourwork/safety/pages/ctu-code.aspx" TargetMode="External"/><Relationship Id="rId47" Type="http://schemas.openxmlformats.org/officeDocument/2006/relationships/hyperlink" Target="https://gbif-alert-demo.thebinaryforest.net/" TargetMode="External"/><Relationship Id="rId63" Type="http://schemas.openxmlformats.org/officeDocument/2006/relationships/hyperlink" Target="https://www.cbd.int/doc/meetings/sbstta/sbstta-18/official/sbstta-18-09-add1-en.pdf" TargetMode="External"/><Relationship Id="rId68" Type="http://schemas.openxmlformats.org/officeDocument/2006/relationships/hyperlink" Target="https://boninabox.geobon.org/about" TargetMode="External"/><Relationship Id="rId84" Type="http://schemas.openxmlformats.org/officeDocument/2006/relationships/hyperlink" Target="https://doi.org/10.1371/journal.pone.0140833" TargetMode="External"/><Relationship Id="rId89" Type="http://schemas.openxmlformats.org/officeDocument/2006/relationships/hyperlink" Target="https://doi.org/10.1007/s11273-023-09951-2" TargetMode="External"/><Relationship Id="rId112" Type="http://schemas.openxmlformats.org/officeDocument/2006/relationships/hyperlink" Target="https://www.gbif.org/news/EQgUzZ4YA75BSeLs1naI9/belgian-built-gbif-alert-system-wins-the-2023-ebbe-nielsen-challenge" TargetMode="External"/><Relationship Id="rId16" Type="http://schemas.openxmlformats.org/officeDocument/2006/relationships/hyperlink" Target="https://www.iucngisd.org/gisd/" TargetMode="External"/><Relationship Id="rId107" Type="http://schemas.openxmlformats.org/officeDocument/2006/relationships/hyperlink" Target="https://www.ippc.int/en/core-activities/capacity-development/sea-containers/" TargetMode="External"/><Relationship Id="rId11" Type="http://schemas.openxmlformats.org/officeDocument/2006/relationships/hyperlink" Target="https://doi.org/10.1111/conl.12981" TargetMode="External"/><Relationship Id="rId32" Type="http://schemas.openxmlformats.org/officeDocument/2006/relationships/hyperlink" Target="http://www.hear.org/pier/" TargetMode="External"/><Relationship Id="rId37" Type="http://schemas.openxmlformats.org/officeDocument/2006/relationships/hyperlink" Target="https://iucn.org/our-work/topic/invasive-alien-species/invasive-alien-species-external-resources" TargetMode="External"/><Relationship Id="rId53" Type="http://schemas.openxmlformats.org/officeDocument/2006/relationships/hyperlink" Target="https://www.tdwg.org/standards/dwc/" TargetMode="External"/><Relationship Id="rId58" Type="http://schemas.openxmlformats.org/officeDocument/2006/relationships/hyperlink" Target="https://www.tdwg.org/community/osr/humboldt-extension/" TargetMode="External"/><Relationship Id="rId74" Type="http://schemas.openxmlformats.org/officeDocument/2006/relationships/hyperlink" Target="https://doi.org/10.5281/zenodo.7430725" TargetMode="External"/><Relationship Id="rId79" Type="http://schemas.openxmlformats.org/officeDocument/2006/relationships/hyperlink" Target="https://diise.islandconservation.org/" TargetMode="External"/><Relationship Id="rId102" Type="http://schemas.openxmlformats.org/officeDocument/2006/relationships/hyperlink" Target="https://doi.org/10.3897/neobiota.71.69422" TargetMode="External"/><Relationship Id="rId5" Type="http://schemas.openxmlformats.org/officeDocument/2006/relationships/hyperlink" Target="https://www.cbd.int/doc/decisions/cop-16/cop-16-dec-18-en.pdf" TargetMode="External"/><Relationship Id="rId90" Type="http://schemas.openxmlformats.org/officeDocument/2006/relationships/hyperlink" Target="https://portals.iucn.org/library/node/48358" TargetMode="External"/><Relationship Id="rId95" Type="http://schemas.openxmlformats.org/officeDocument/2006/relationships/hyperlink" Target="https://www.mpi.govt.nz/outdoor-activities/boating-and-water-activities-preventing-the-spread-of-pests-weeds-and-diseases/check-clean-dry/" TargetMode="External"/><Relationship Id="rId22" Type="http://schemas.openxmlformats.org/officeDocument/2006/relationships/hyperlink" Target="https://www.cabi.org/HorizonScanningTool/" TargetMode="External"/><Relationship Id="rId27" Type="http://schemas.openxmlformats.org/officeDocument/2006/relationships/hyperlink" Target="https://worldheritageoutlook.iucn.org/" TargetMode="External"/><Relationship Id="rId43" Type="http://schemas.openxmlformats.org/officeDocument/2006/relationships/hyperlink" Target="https://iucn.org/our-work/topic/invasive-alien-species/invasive-alien-species-external-resources" TargetMode="External"/><Relationship Id="rId48" Type="http://schemas.openxmlformats.org/officeDocument/2006/relationships/hyperlink" Target="https://iucn.org/our-work/topic/invasive-alien-species/invasive-alien-species-external-resources" TargetMode="External"/><Relationship Id="rId64" Type="http://schemas.openxmlformats.org/officeDocument/2006/relationships/hyperlink" Target="https://ourworldindata.org/grapher/global-first-records-of-established-alien-species" TargetMode="External"/><Relationship Id="rId69" Type="http://schemas.openxmlformats.org/officeDocument/2006/relationships/hyperlink" Target="https://techdocs.gbif.org/en/openapi/" TargetMode="External"/><Relationship Id="rId113" Type="http://schemas.openxmlformats.org/officeDocument/2006/relationships/hyperlink" Target="https://doi.org/10.1016/j.pecon.2023.11.004" TargetMode="External"/><Relationship Id="rId80" Type="http://schemas.openxmlformats.org/officeDocument/2006/relationships/hyperlink" Target="https://doi.org/10.18111/wtobarometereng" TargetMode="External"/><Relationship Id="rId85" Type="http://schemas.openxmlformats.org/officeDocument/2006/relationships/hyperlink" Target="https://whc.unesco.org/en/natural-world-heritage/" TargetMode="External"/><Relationship Id="rId12" Type="http://schemas.openxmlformats.org/officeDocument/2006/relationships/hyperlink" Target="https://www.cabidigitallibrary.org/product/QI" TargetMode="External"/><Relationship Id="rId17" Type="http://schemas.openxmlformats.org/officeDocument/2006/relationships/hyperlink" Target="https://www.ippc.int/en/countries/jamaica/reportingobligation/2014/03/regulated-pest-list/" TargetMode="External"/><Relationship Id="rId33" Type="http://schemas.openxmlformats.org/officeDocument/2006/relationships/hyperlink" Target="https://environment.ec.europa.eu/topics/nature-and-biodiversity/invasive-alien-species_en" TargetMode="External"/><Relationship Id="rId38" Type="http://schemas.openxmlformats.org/officeDocument/2006/relationships/hyperlink" Target="https://www.imo.org/en/OurWork/Environment/Pages/Biofouling.aspx" TargetMode="External"/><Relationship Id="rId59" Type="http://schemas.openxmlformats.org/officeDocument/2006/relationships/hyperlink" Target="https://www.iucnredlist.org/resources/habitat-classification-scheme" TargetMode="External"/><Relationship Id="rId103" Type="http://schemas.openxmlformats.org/officeDocument/2006/relationships/hyperlink" Target="https://doi.org/10.1042/ETLS20200067" TargetMode="External"/><Relationship Id="rId108" Type="http://schemas.openxmlformats.org/officeDocument/2006/relationships/hyperlink" Target="https://standardsfacility.org/sites/default/files/STDF_IAS_EN_0.pdf" TargetMode="External"/><Relationship Id="rId54" Type="http://schemas.openxmlformats.org/officeDocument/2006/relationships/hyperlink" Target="https://doi.org/10.3897/biss.3.38084" TargetMode="External"/><Relationship Id="rId70" Type="http://schemas.openxmlformats.org/officeDocument/2006/relationships/hyperlink" Target="https://techdocs.gbif.org/en/data-processing/" TargetMode="External"/><Relationship Id="rId75" Type="http://schemas.openxmlformats.org/officeDocument/2006/relationships/hyperlink" Target="https://creativecommons.org/share-your-work/cclicenses/" TargetMode="External"/><Relationship Id="rId91" Type="http://schemas.openxmlformats.org/officeDocument/2006/relationships/hyperlink" Target="https://www.dontpackapest.com/" TargetMode="External"/><Relationship Id="rId96" Type="http://schemas.openxmlformats.org/officeDocument/2006/relationships/hyperlink" Target="https://playcleango.org/" TargetMode="External"/><Relationship Id="rId1" Type="http://schemas.openxmlformats.org/officeDocument/2006/relationships/hyperlink" Target="https://unitednations.sharepoint.com/sites/MEA-CBD-EditingTeam/Shared%20Documents/Meeting%20documents/SBSTTA/SBSTTA-27/Information%20documents/See%20www.cbd.int/invasive/current/Webinars.shtml" TargetMode="External"/><Relationship Id="rId6" Type="http://schemas.openxmlformats.org/officeDocument/2006/relationships/hyperlink" Target="https://doi.org/10.1016/j.pecon.2023.11.004" TargetMode="External"/><Relationship Id="rId15" Type="http://schemas.openxmlformats.org/officeDocument/2006/relationships/hyperlink" Target="https://griis.org/" TargetMode="External"/><Relationship Id="rId23" Type="http://schemas.openxmlformats.org/officeDocument/2006/relationships/hyperlink" Target="https://ipbes.net/policy-support/tools-instruments/environmental-impact-classification-alien-taxa-eicat" TargetMode="External"/><Relationship Id="rId28" Type="http://schemas.openxmlformats.org/officeDocument/2006/relationships/hyperlink" Target="https://www.keybiodiversityareas.org/" TargetMode="External"/><Relationship Id="rId36" Type="http://schemas.openxmlformats.org/officeDocument/2006/relationships/hyperlink" Target="https://doi.org/10.1111/gcb.15280" TargetMode="External"/><Relationship Id="rId49" Type="http://schemas.openxmlformats.org/officeDocument/2006/relationships/hyperlink" Target="https://piat.org.nz/index.php?page=early-detection-and-rapid-response" TargetMode="External"/><Relationship Id="rId57" Type="http://schemas.openxmlformats.org/officeDocument/2006/relationships/hyperlink" Target="https://www.catalogueoflife.org" TargetMode="External"/><Relationship Id="rId106" Type="http://schemas.openxmlformats.org/officeDocument/2006/relationships/hyperlink" Target="https://www.ippc.int/en/core-activities/standards-setting/isp" TargetMode="External"/><Relationship Id="rId114" Type="http://schemas.openxmlformats.org/officeDocument/2006/relationships/hyperlink" Target="https://www.cbd.int/invasive" TargetMode="External"/><Relationship Id="rId10" Type="http://schemas.openxmlformats.org/officeDocument/2006/relationships/hyperlink" Target="https://doi.org/10.3897/biss.3.38084" TargetMode="External"/><Relationship Id="rId31" Type="http://schemas.openxmlformats.org/officeDocument/2006/relationships/hyperlink" Target="https://doi.org/10.1111/2041-210X.12844" TargetMode="External"/><Relationship Id="rId44" Type="http://schemas.openxmlformats.org/officeDocument/2006/relationships/hyperlink" Target="https://www.woah.org/en/what-we-do/standards/" TargetMode="External"/><Relationship Id="rId52" Type="http://schemas.openxmlformats.org/officeDocument/2006/relationships/hyperlink" Target="https://www.tdwg.org/community/dwc" TargetMode="External"/><Relationship Id="rId60" Type="http://schemas.openxmlformats.org/officeDocument/2006/relationships/hyperlink" Target="https://global-ecosystems.org/" TargetMode="External"/><Relationship Id="rId65" Type="http://schemas.openxmlformats.org/officeDocument/2006/relationships/hyperlink" Target="https://springernature.figshare.com/articles/dataset/Global_Impacts_Dataset_of_Invasive_Alien_Species_GIDIAS_/27908838" TargetMode="External"/><Relationship Id="rId73" Type="http://schemas.openxmlformats.org/officeDocument/2006/relationships/hyperlink" Target="https://www.research4life.org/" TargetMode="External"/><Relationship Id="rId78" Type="http://schemas.openxmlformats.org/officeDocument/2006/relationships/hyperlink" Target="https://doi.org/10.1038/s41597-025-05184-5" TargetMode="External"/><Relationship Id="rId81" Type="http://schemas.openxmlformats.org/officeDocument/2006/relationships/hyperlink" Target="https://doi.org/10.5281/zenodo.7430727" TargetMode="External"/><Relationship Id="rId86" Type="http://schemas.openxmlformats.org/officeDocument/2006/relationships/hyperlink" Target="https://portals.iucn.org/library/sites/library/files/documents/2020-035-En.pdf" TargetMode="External"/><Relationship Id="rId94" Type="http://schemas.openxmlformats.org/officeDocument/2006/relationships/hyperlink" Target="https://invasives.ie/biosecurity/check-clean-dry" TargetMode="External"/><Relationship Id="rId99" Type="http://schemas.openxmlformats.org/officeDocument/2006/relationships/hyperlink" Target="https://doi.org/10.1016/j.oneear.2021.04.015" TargetMode="External"/><Relationship Id="rId101" Type="http://schemas.openxmlformats.org/officeDocument/2006/relationships/hyperlink" Target="https://doi.org/10.1016/j.biocon.2023.110040" TargetMode="External"/><Relationship Id="rId4" Type="http://schemas.openxmlformats.org/officeDocument/2006/relationships/hyperlink" Target="https://doi.org/10.5281/zenodo.7430682" TargetMode="External"/><Relationship Id="rId9" Type="http://schemas.openxmlformats.org/officeDocument/2006/relationships/hyperlink" Target="https://www.cbd.int/invasive/cbdtoolkit" TargetMode="External"/><Relationship Id="rId13" Type="http://schemas.openxmlformats.org/officeDocument/2006/relationships/hyperlink" Target="https://www.gbif.org/" TargetMode="External"/><Relationship Id="rId18" Type="http://schemas.openxmlformats.org/officeDocument/2006/relationships/hyperlink" Target="https://doi.org/10.1038/ncomms14435" TargetMode="External"/><Relationship Id="rId39" Type="http://schemas.openxmlformats.org/officeDocument/2006/relationships/hyperlink" Target="https://www.imo.org/en/OurWork/Environment/Pages/BallastWaterManagement.aspx" TargetMode="External"/><Relationship Id="rId109" Type="http://schemas.openxmlformats.org/officeDocument/2006/relationships/hyperlink" Target="https://doi.org/10.1007/s10530-025-03549-w" TargetMode="External"/><Relationship Id="rId34" Type="http://schemas.openxmlformats.org/officeDocument/2006/relationships/hyperlink" Target="https://doi.org/10.1111/ddi.13970" TargetMode="External"/><Relationship Id="rId50" Type="http://schemas.openxmlformats.org/officeDocument/2006/relationships/hyperlink" Target="https://invasionevs.com/" TargetMode="External"/><Relationship Id="rId55" Type="http://schemas.openxmlformats.org/officeDocument/2006/relationships/hyperlink" Target="https://www.conservationevidence.com/" TargetMode="External"/><Relationship Id="rId76" Type="http://schemas.openxmlformats.org/officeDocument/2006/relationships/hyperlink" Target="https://doi.org/10.5281/zenodo.7430733" TargetMode="External"/><Relationship Id="rId97" Type="http://schemas.openxmlformats.org/officeDocument/2006/relationships/hyperlink" Target="https://easin.jrc.ec.europa.eu/easin/bewareofaliens" TargetMode="External"/><Relationship Id="rId104" Type="http://schemas.openxmlformats.org/officeDocument/2006/relationships/hyperlink" Target="https://doi.org/10.1016/j.oneear.2021.04.015" TargetMode="External"/><Relationship Id="rId7" Type="http://schemas.openxmlformats.org/officeDocument/2006/relationships/hyperlink" Target="https://doi.org/10.3897/biss.3.38084" TargetMode="External"/><Relationship Id="rId71" Type="http://schemas.openxmlformats.org/officeDocument/2006/relationships/hyperlink" Target="https://doi.org/10.3897/biss.3.38084" TargetMode="External"/><Relationship Id="rId92" Type="http://schemas.openxmlformats.org/officeDocument/2006/relationships/hyperlink" Target="https://doi.org/10.1007/s10530-024-03448-6" TargetMode="External"/><Relationship Id="rId2" Type="http://schemas.openxmlformats.org/officeDocument/2006/relationships/hyperlink" Target="https://www.cbd.int/meetings/IAS-OM-2025-01" TargetMode="External"/><Relationship Id="rId29" Type="http://schemas.openxmlformats.org/officeDocument/2006/relationships/hyperlink" Target="https://www.protectedplanet.net/en" TargetMode="External"/><Relationship Id="rId24" Type="http://schemas.openxmlformats.org/officeDocument/2006/relationships/hyperlink" Target="https://doi.org/10.6084/m9.figshare.12668570.v5" TargetMode="External"/><Relationship Id="rId40" Type="http://schemas.openxmlformats.org/officeDocument/2006/relationships/hyperlink" Target="https://www.ippc.int/en/core-activities/standards-setting/ispms/" TargetMode="External"/><Relationship Id="rId45" Type="http://schemas.openxmlformats.org/officeDocument/2006/relationships/hyperlink" Target="https://eping.wto.org/" TargetMode="External"/><Relationship Id="rId66" Type="http://schemas.openxmlformats.org/officeDocument/2006/relationships/hyperlink" Target="https://www.cbd.int/invasive/current/forum2025" TargetMode="External"/><Relationship Id="rId87" Type="http://schemas.openxmlformats.org/officeDocument/2006/relationships/hyperlink" Target="https://doi.org/10.4102/koedoe.v59i1.1426" TargetMode="External"/><Relationship Id="rId110" Type="http://schemas.openxmlformats.org/officeDocument/2006/relationships/hyperlink" Target="https://www.gov.uk/government/publications/search-engine-optimisation-for-publishers-best-practice-guide/search-engine-optimisation-seo-for-data-publishers-best-practice-guide" TargetMode="External"/><Relationship Id="rId61" Type="http://schemas.openxmlformats.org/officeDocument/2006/relationships/hyperlink" Target="https://www.tdwg.org/standards/wgsrpd/" TargetMode="External"/><Relationship Id="rId82" Type="http://schemas.openxmlformats.org/officeDocument/2006/relationships/hyperlink" Target="https://doi.org/10.1080/02508281.2015.1005943" TargetMode="External"/><Relationship Id="rId19" Type="http://schemas.openxmlformats.org/officeDocument/2006/relationships/hyperlink" Target="https://doi.org/10.1038/s41597-025-05184-5" TargetMode="External"/><Relationship Id="rId14" Type="http://schemas.openxmlformats.org/officeDocument/2006/relationships/hyperlink" Target="https://www.gbif.org/dataset/search?project_id=GRIIS" TargetMode="External"/><Relationship Id="rId30" Type="http://schemas.openxmlformats.org/officeDocument/2006/relationships/hyperlink" Target="https://www.cabi.org/PRA-tool" TargetMode="External"/><Relationship Id="rId35" Type="http://schemas.openxmlformats.org/officeDocument/2006/relationships/hyperlink" Target="https://doi.org/10.1007/s10530-017-1451-z" TargetMode="External"/><Relationship Id="rId56" Type="http://schemas.openxmlformats.org/officeDocument/2006/relationships/hyperlink" Target="https://www.iso.org/iso-3166-country-codes.html" TargetMode="External"/><Relationship Id="rId77" Type="http://schemas.openxmlformats.org/officeDocument/2006/relationships/hyperlink" Target="https://www.inaturalist.org/" TargetMode="External"/><Relationship Id="rId100" Type="http://schemas.openxmlformats.org/officeDocument/2006/relationships/hyperlink" Target="https://doi.org/10.1016/j.oneear.2021.04.015" TargetMode="External"/><Relationship Id="rId105" Type="http://schemas.openxmlformats.org/officeDocument/2006/relationships/hyperlink" Target="https://www.woah.org/en/what-we-do/standards/" TargetMode="External"/><Relationship Id="rId8" Type="http://schemas.openxmlformats.org/officeDocument/2006/relationships/hyperlink" Target="https://doi.org/10.3389/fams.2017.00013" TargetMode="External"/><Relationship Id="rId51" Type="http://schemas.openxmlformats.org/officeDocument/2006/relationships/hyperlink" Target="https://doi.org/10.1371/journal.pbio.1001195" TargetMode="External"/><Relationship Id="rId72" Type="http://schemas.openxmlformats.org/officeDocument/2006/relationships/hyperlink" Target="https://www.cabidigitallibrary.org/journal/cabicompendium/isdt" TargetMode="External"/><Relationship Id="rId93" Type="http://schemas.openxmlformats.org/officeDocument/2006/relationships/hyperlink" Target="https://www.nonnativespecies.org/what-can-i-do/check-clean-dry" TargetMode="External"/><Relationship Id="rId98" Type="http://schemas.openxmlformats.org/officeDocument/2006/relationships/hyperlink" Target="https://www.wto.org/english/res_e/statis_e/trade_evolution_e/evolution_trade_wto_e.htm" TargetMode="External"/><Relationship Id="rId3" Type="http://schemas.openxmlformats.org/officeDocument/2006/relationships/hyperlink" Target="https://unitednations.sharepoint.com/sites/MEA-CBD-EditingTeam/Shared%20Documents/Meeting%20documents/SBSTTA/SBSTTA-27/Information%20documents/www.cbd.int/invasive/trainingias" TargetMode="External"/><Relationship Id="rId25" Type="http://schemas.openxmlformats.org/officeDocument/2006/relationships/hyperlink" Target="https://www.iucnredlist.org/" TargetMode="External"/><Relationship Id="rId46" Type="http://schemas.openxmlformats.org/officeDocument/2006/relationships/hyperlink" Target="https://iucn.org/our-work/topic/invasive-alien-species/invasive-alien-species-external-resources" TargetMode="External"/><Relationship Id="rId67" Type="http://schemas.openxmlformats.org/officeDocument/2006/relationships/hyperlink" Target="https://portal.geobon.org/datasets" TargetMode="External"/><Relationship Id="rId20" Type="http://schemas.openxmlformats.org/officeDocument/2006/relationships/hyperlink" Target="https://www.marinespecies.org/introduced/" TargetMode="External"/><Relationship Id="rId41" Type="http://schemas.openxmlformats.org/officeDocument/2006/relationships/hyperlink" Target="https://www.ippc.int/en/centre-of-excellence/phytosanitary-system/sea-containers/" TargetMode="External"/><Relationship Id="rId62" Type="http://schemas.openxmlformats.org/officeDocument/2006/relationships/hyperlink" Target="https://unstats.un.org/unsd/methodology/m49/" TargetMode="External"/><Relationship Id="rId83" Type="http://schemas.openxmlformats.org/officeDocument/2006/relationships/hyperlink" Target="https://doi.org/10.1371/journal.pone.0184379" TargetMode="External"/><Relationship Id="rId88" Type="http://schemas.openxmlformats.org/officeDocument/2006/relationships/hyperlink" Target="https://doi.org/10.1007/s10811-024-03404-w" TargetMode="External"/><Relationship Id="rId111" Type="http://schemas.openxmlformats.org/officeDocument/2006/relationships/hyperlink" Target="https://doi.org/10.1371/journal.pone.023837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3F60EB8BB34F0BBEB816603C9CCB5A"/>
        <w:category>
          <w:name w:val="General"/>
          <w:gallery w:val="placeholder"/>
        </w:category>
        <w:types>
          <w:type w:val="bbPlcHdr"/>
        </w:types>
        <w:behaviors>
          <w:behavior w:val="content"/>
        </w:behaviors>
        <w:guid w:val="{B5FB77A6-E889-4E38-92C6-16ECFE46A8C8}"/>
      </w:docPartPr>
      <w:docPartBody>
        <w:p w:rsidR="0092615E" w:rsidRDefault="0092615E">
          <w:r w:rsidRPr="002A08D3">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ontserrat">
    <w:charset w:val="00"/>
    <w:family w:val="auto"/>
    <w:pitch w:val="variable"/>
    <w:sig w:usb0="2000020F" w:usb1="00000003" w:usb2="00000000" w:usb3="00000000" w:csb0="00000197" w:csb1="00000000"/>
  </w:font>
  <w:font w:name="Montserrat-Regular">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503"/>
    <w:rsid w:val="0001715E"/>
    <w:rsid w:val="000727B6"/>
    <w:rsid w:val="001535E0"/>
    <w:rsid w:val="00181692"/>
    <w:rsid w:val="001A09B4"/>
    <w:rsid w:val="001D368F"/>
    <w:rsid w:val="002123F8"/>
    <w:rsid w:val="002152AB"/>
    <w:rsid w:val="00241677"/>
    <w:rsid w:val="002738B2"/>
    <w:rsid w:val="002A1A5C"/>
    <w:rsid w:val="002E428E"/>
    <w:rsid w:val="0031682F"/>
    <w:rsid w:val="00344BEE"/>
    <w:rsid w:val="003A13F9"/>
    <w:rsid w:val="003E3734"/>
    <w:rsid w:val="00423BA7"/>
    <w:rsid w:val="004E07B6"/>
    <w:rsid w:val="004E7178"/>
    <w:rsid w:val="004F6455"/>
    <w:rsid w:val="00512434"/>
    <w:rsid w:val="00525297"/>
    <w:rsid w:val="00536727"/>
    <w:rsid w:val="005F3FC1"/>
    <w:rsid w:val="006039C2"/>
    <w:rsid w:val="006658BA"/>
    <w:rsid w:val="006D2CE5"/>
    <w:rsid w:val="006E7503"/>
    <w:rsid w:val="00711BBD"/>
    <w:rsid w:val="00730838"/>
    <w:rsid w:val="0077635F"/>
    <w:rsid w:val="00785A16"/>
    <w:rsid w:val="00794FBB"/>
    <w:rsid w:val="007C082B"/>
    <w:rsid w:val="007F3E35"/>
    <w:rsid w:val="0083005D"/>
    <w:rsid w:val="00832960"/>
    <w:rsid w:val="008434A5"/>
    <w:rsid w:val="008727D2"/>
    <w:rsid w:val="00874EB3"/>
    <w:rsid w:val="00883248"/>
    <w:rsid w:val="008958A9"/>
    <w:rsid w:val="008D0C83"/>
    <w:rsid w:val="008D43CC"/>
    <w:rsid w:val="008D4ED6"/>
    <w:rsid w:val="008F4F96"/>
    <w:rsid w:val="00906080"/>
    <w:rsid w:val="0092615E"/>
    <w:rsid w:val="009504F3"/>
    <w:rsid w:val="0096771E"/>
    <w:rsid w:val="009A4A71"/>
    <w:rsid w:val="009C7661"/>
    <w:rsid w:val="00A25F0B"/>
    <w:rsid w:val="00A34E87"/>
    <w:rsid w:val="00A64A2B"/>
    <w:rsid w:val="00AB1F68"/>
    <w:rsid w:val="00AE39BD"/>
    <w:rsid w:val="00AE3CBC"/>
    <w:rsid w:val="00B40EC2"/>
    <w:rsid w:val="00B42F6A"/>
    <w:rsid w:val="00BA5BE2"/>
    <w:rsid w:val="00BF2B62"/>
    <w:rsid w:val="00C06AF9"/>
    <w:rsid w:val="00CA4D4D"/>
    <w:rsid w:val="00CC0FFF"/>
    <w:rsid w:val="00DF1D75"/>
    <w:rsid w:val="00E0136D"/>
    <w:rsid w:val="00E0523C"/>
    <w:rsid w:val="00E2150C"/>
    <w:rsid w:val="00E238B2"/>
    <w:rsid w:val="00E359BB"/>
    <w:rsid w:val="00E95F19"/>
    <w:rsid w:val="00ED213C"/>
    <w:rsid w:val="00ED5053"/>
    <w:rsid w:val="00F35FFA"/>
    <w:rsid w:val="00F944A7"/>
    <w:rsid w:val="00FA05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615E"/>
    <w:rPr>
      <w:color w:val="666666"/>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F8D17F4C-5EE5-4C69-BCDC-CDC7C5B56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31</Pages>
  <Words>12532</Words>
  <Characters>77135</Characters>
  <Application>Microsoft Office Word</Application>
  <DocSecurity>0</DocSecurity>
  <Lines>642</Lines>
  <Paragraphs>178</Paragraphs>
  <ScaleCrop>false</ScaleCrop>
  <HeadingPairs>
    <vt:vector size="2" baseType="variant">
      <vt:variant>
        <vt:lpstr>Title</vt:lpstr>
      </vt:variant>
      <vt:variant>
        <vt:i4>1</vt:i4>
      </vt:variant>
    </vt:vector>
  </HeadingPairs>
  <TitlesOfParts>
    <vt:vector size="1" baseType="lpstr">
      <vt:lpstr>Activities undertaken in collaboration with the Inter-Agency Liaison Group on Invasive Alien Species</vt:lpstr>
    </vt:vector>
  </TitlesOfParts>
  <Company/>
  <LinksUpToDate>false</LinksUpToDate>
  <CharactersWithSpaces>89489</CharactersWithSpaces>
  <SharedDoc>false</SharedDoc>
  <HLinks>
    <vt:vector size="948" baseType="variant">
      <vt:variant>
        <vt:i4>3080247</vt:i4>
      </vt:variant>
      <vt:variant>
        <vt:i4>132</vt:i4>
      </vt:variant>
      <vt:variant>
        <vt:i4>0</vt:i4>
      </vt:variant>
      <vt:variant>
        <vt:i4>5</vt:i4>
      </vt:variant>
      <vt:variant>
        <vt:lpwstr>https://doi.org/10.1007/s10530-019-02142-2</vt:lpwstr>
      </vt:variant>
      <vt:variant>
        <vt:lpwstr/>
      </vt:variant>
      <vt:variant>
        <vt:i4>5111879</vt:i4>
      </vt:variant>
      <vt:variant>
        <vt:i4>129</vt:i4>
      </vt:variant>
      <vt:variant>
        <vt:i4>0</vt:i4>
      </vt:variant>
      <vt:variant>
        <vt:i4>5</vt:i4>
      </vt:variant>
      <vt:variant>
        <vt:lpwstr>https://doi.org/10.1371/journal.pone.0184379</vt:lpwstr>
      </vt:variant>
      <vt:variant>
        <vt:lpwstr/>
      </vt:variant>
      <vt:variant>
        <vt:i4>4653132</vt:i4>
      </vt:variant>
      <vt:variant>
        <vt:i4>126</vt:i4>
      </vt:variant>
      <vt:variant>
        <vt:i4>0</vt:i4>
      </vt:variant>
      <vt:variant>
        <vt:i4>5</vt:i4>
      </vt:variant>
      <vt:variant>
        <vt:lpwstr>https://doi.org/10.1016/j.biocon.2023.110040</vt:lpwstr>
      </vt:variant>
      <vt:variant>
        <vt:lpwstr/>
      </vt:variant>
      <vt:variant>
        <vt:i4>6226033</vt:i4>
      </vt:variant>
      <vt:variant>
        <vt:i4>123</vt:i4>
      </vt:variant>
      <vt:variant>
        <vt:i4>0</vt:i4>
      </vt:variant>
      <vt:variant>
        <vt:i4>5</vt:i4>
      </vt:variant>
      <vt:variant>
        <vt:lpwstr>https://standardsfacility.org/sites/default/files/STDF_IAS_EN_0.pdf</vt:lpwstr>
      </vt:variant>
      <vt:variant>
        <vt:lpwstr/>
      </vt:variant>
      <vt:variant>
        <vt:i4>8126513</vt:i4>
      </vt:variant>
      <vt:variant>
        <vt:i4>120</vt:i4>
      </vt:variant>
      <vt:variant>
        <vt:i4>0</vt:i4>
      </vt:variant>
      <vt:variant>
        <vt:i4>5</vt:i4>
      </vt:variant>
      <vt:variant>
        <vt:lpwstr>https://doi.org/10.5281/zenodo.7430725</vt:lpwstr>
      </vt:variant>
      <vt:variant>
        <vt:lpwstr/>
      </vt:variant>
      <vt:variant>
        <vt:i4>6946875</vt:i4>
      </vt:variant>
      <vt:variant>
        <vt:i4>117</vt:i4>
      </vt:variant>
      <vt:variant>
        <vt:i4>0</vt:i4>
      </vt:variant>
      <vt:variant>
        <vt:i4>5</vt:i4>
      </vt:variant>
      <vt:variant>
        <vt:lpwstr>https://doi.org/10.1038/ncomms14435</vt:lpwstr>
      </vt:variant>
      <vt:variant>
        <vt:lpwstr/>
      </vt:variant>
      <vt:variant>
        <vt:i4>7995440</vt:i4>
      </vt:variant>
      <vt:variant>
        <vt:i4>114</vt:i4>
      </vt:variant>
      <vt:variant>
        <vt:i4>0</vt:i4>
      </vt:variant>
      <vt:variant>
        <vt:i4>5</vt:i4>
      </vt:variant>
      <vt:variant>
        <vt:lpwstr>https://doi.org/10.5281/zenodo.7430733</vt:lpwstr>
      </vt:variant>
      <vt:variant>
        <vt:lpwstr/>
      </vt:variant>
      <vt:variant>
        <vt:i4>5832795</vt:i4>
      </vt:variant>
      <vt:variant>
        <vt:i4>111</vt:i4>
      </vt:variant>
      <vt:variant>
        <vt:i4>0</vt:i4>
      </vt:variant>
      <vt:variant>
        <vt:i4>5</vt:i4>
      </vt:variant>
      <vt:variant>
        <vt:lpwstr>https://doi.org/10.1111/gcb.14527</vt:lpwstr>
      </vt:variant>
      <vt:variant>
        <vt:lpwstr/>
      </vt:variant>
      <vt:variant>
        <vt:i4>4653074</vt:i4>
      </vt:variant>
      <vt:variant>
        <vt:i4>108</vt:i4>
      </vt:variant>
      <vt:variant>
        <vt:i4>0</vt:i4>
      </vt:variant>
      <vt:variant>
        <vt:i4>5</vt:i4>
      </vt:variant>
      <vt:variant>
        <vt:lpwstr>https://doi.org/10.1139/er-2020-0088</vt:lpwstr>
      </vt:variant>
      <vt:variant>
        <vt:lpwstr/>
      </vt:variant>
      <vt:variant>
        <vt:i4>852054</vt:i4>
      </vt:variant>
      <vt:variant>
        <vt:i4>105</vt:i4>
      </vt:variant>
      <vt:variant>
        <vt:i4>0</vt:i4>
      </vt:variant>
      <vt:variant>
        <vt:i4>5</vt:i4>
      </vt:variant>
      <vt:variant>
        <vt:lpwstr>https://doi.org/10.3897/neobiota.71.64618</vt:lpwstr>
      </vt:variant>
      <vt:variant>
        <vt:lpwstr/>
      </vt:variant>
      <vt:variant>
        <vt:i4>5111880</vt:i4>
      </vt:variant>
      <vt:variant>
        <vt:i4>102</vt:i4>
      </vt:variant>
      <vt:variant>
        <vt:i4>0</vt:i4>
      </vt:variant>
      <vt:variant>
        <vt:i4>5</vt:i4>
      </vt:variant>
      <vt:variant>
        <vt:lpwstr>https://doi.org/10.1371/journal.pone.0238372</vt:lpwstr>
      </vt:variant>
      <vt:variant>
        <vt:lpwstr/>
      </vt:variant>
      <vt:variant>
        <vt:i4>6619234</vt:i4>
      </vt:variant>
      <vt:variant>
        <vt:i4>99</vt:i4>
      </vt:variant>
      <vt:variant>
        <vt:i4>0</vt:i4>
      </vt:variant>
      <vt:variant>
        <vt:i4>5</vt:i4>
      </vt:variant>
      <vt:variant>
        <vt:lpwstr>https://portals.iucn.org/library/node/48358</vt:lpwstr>
      </vt:variant>
      <vt:variant>
        <vt:lpwstr/>
      </vt:variant>
      <vt:variant>
        <vt:i4>2752571</vt:i4>
      </vt:variant>
      <vt:variant>
        <vt:i4>96</vt:i4>
      </vt:variant>
      <vt:variant>
        <vt:i4>0</vt:i4>
      </vt:variant>
      <vt:variant>
        <vt:i4>5</vt:i4>
      </vt:variant>
      <vt:variant>
        <vt:lpwstr>https://doi.org/10.1007/s11273-023-09951-2</vt:lpwstr>
      </vt:variant>
      <vt:variant>
        <vt:lpwstr/>
      </vt:variant>
      <vt:variant>
        <vt:i4>6881333</vt:i4>
      </vt:variant>
      <vt:variant>
        <vt:i4>93</vt:i4>
      </vt:variant>
      <vt:variant>
        <vt:i4>0</vt:i4>
      </vt:variant>
      <vt:variant>
        <vt:i4>5</vt:i4>
      </vt:variant>
      <vt:variant>
        <vt:lpwstr>https://doi.org/10.1007/s10530-025-03549-w</vt:lpwstr>
      </vt:variant>
      <vt:variant>
        <vt:lpwstr/>
      </vt:variant>
      <vt:variant>
        <vt:i4>4587539</vt:i4>
      </vt:variant>
      <vt:variant>
        <vt:i4>90</vt:i4>
      </vt:variant>
      <vt:variant>
        <vt:i4>0</vt:i4>
      </vt:variant>
      <vt:variant>
        <vt:i4>5</vt:i4>
      </vt:variant>
      <vt:variant>
        <vt:lpwstr>http://www.geobon.org/Downloads/reports/GEOBON/2015/MonitoringBiologicalInvasions.pdf</vt:lpwstr>
      </vt:variant>
      <vt:variant>
        <vt:lpwstr/>
      </vt:variant>
      <vt:variant>
        <vt:i4>8257591</vt:i4>
      </vt:variant>
      <vt:variant>
        <vt:i4>87</vt:i4>
      </vt:variant>
      <vt:variant>
        <vt:i4>0</vt:i4>
      </vt:variant>
      <vt:variant>
        <vt:i4>5</vt:i4>
      </vt:variant>
      <vt:variant>
        <vt:lpwstr>https://doi.org/10.5281/zenodo.7430747</vt:lpwstr>
      </vt:variant>
      <vt:variant>
        <vt:lpwstr/>
      </vt:variant>
      <vt:variant>
        <vt:i4>2621555</vt:i4>
      </vt:variant>
      <vt:variant>
        <vt:i4>84</vt:i4>
      </vt:variant>
      <vt:variant>
        <vt:i4>0</vt:i4>
      </vt:variant>
      <vt:variant>
        <vt:i4>5</vt:i4>
      </vt:variant>
      <vt:variant>
        <vt:lpwstr>https://doi.org/10.1111/conl.12981</vt:lpwstr>
      </vt:variant>
      <vt:variant>
        <vt:lpwstr/>
      </vt:variant>
      <vt:variant>
        <vt:i4>3866726</vt:i4>
      </vt:variant>
      <vt:variant>
        <vt:i4>81</vt:i4>
      </vt:variant>
      <vt:variant>
        <vt:i4>0</vt:i4>
      </vt:variant>
      <vt:variant>
        <vt:i4>5</vt:i4>
      </vt:variant>
      <vt:variant>
        <vt:lpwstr>https://doi.org/10.1073/pnas.2110303118</vt:lpwstr>
      </vt:variant>
      <vt:variant>
        <vt:lpwstr/>
      </vt:variant>
      <vt:variant>
        <vt:i4>1966161</vt:i4>
      </vt:variant>
      <vt:variant>
        <vt:i4>78</vt:i4>
      </vt:variant>
      <vt:variant>
        <vt:i4>0</vt:i4>
      </vt:variant>
      <vt:variant>
        <vt:i4>5</vt:i4>
      </vt:variant>
      <vt:variant>
        <vt:lpwstr>https://www.imo.org/en/OurWork/Environment/Pages/Biofouling.aspx</vt:lpwstr>
      </vt:variant>
      <vt:variant>
        <vt:lpwstr/>
      </vt:variant>
      <vt:variant>
        <vt:i4>524356</vt:i4>
      </vt:variant>
      <vt:variant>
        <vt:i4>75</vt:i4>
      </vt:variant>
      <vt:variant>
        <vt:i4>0</vt:i4>
      </vt:variant>
      <vt:variant>
        <vt:i4>5</vt:i4>
      </vt:variant>
      <vt:variant>
        <vt:lpwstr>https://www.imo.org/en/OurWork/Environment/Pages/BWMConventionandGuidelines.aspx</vt:lpwstr>
      </vt:variant>
      <vt:variant>
        <vt:lpwstr/>
      </vt:variant>
      <vt:variant>
        <vt:i4>2687088</vt:i4>
      </vt:variant>
      <vt:variant>
        <vt:i4>72</vt:i4>
      </vt:variant>
      <vt:variant>
        <vt:i4>0</vt:i4>
      </vt:variant>
      <vt:variant>
        <vt:i4>5</vt:i4>
      </vt:variant>
      <vt:variant>
        <vt:lpwstr>https://doi.org/10.1111/cobi.12579</vt:lpwstr>
      </vt:variant>
      <vt:variant>
        <vt:lpwstr/>
      </vt:variant>
      <vt:variant>
        <vt:i4>8257585</vt:i4>
      </vt:variant>
      <vt:variant>
        <vt:i4>69</vt:i4>
      </vt:variant>
      <vt:variant>
        <vt:i4>0</vt:i4>
      </vt:variant>
      <vt:variant>
        <vt:i4>5</vt:i4>
      </vt:variant>
      <vt:variant>
        <vt:lpwstr>https://doi.org/10.5281/zenodo.7430727</vt:lpwstr>
      </vt:variant>
      <vt:variant>
        <vt:lpwstr/>
      </vt:variant>
      <vt:variant>
        <vt:i4>2687029</vt:i4>
      </vt:variant>
      <vt:variant>
        <vt:i4>66</vt:i4>
      </vt:variant>
      <vt:variant>
        <vt:i4>0</vt:i4>
      </vt:variant>
      <vt:variant>
        <vt:i4>5</vt:i4>
      </vt:variant>
      <vt:variant>
        <vt:lpwstr>https://doi.org/10.1007/s10530-024-03448-6</vt:lpwstr>
      </vt:variant>
      <vt:variant>
        <vt:lpwstr/>
      </vt:variant>
      <vt:variant>
        <vt:i4>5898333</vt:i4>
      </vt:variant>
      <vt:variant>
        <vt:i4>63</vt:i4>
      </vt:variant>
      <vt:variant>
        <vt:i4>0</vt:i4>
      </vt:variant>
      <vt:variant>
        <vt:i4>5</vt:i4>
      </vt:variant>
      <vt:variant>
        <vt:lpwstr>https://doi.org/10.1016/j.oneear.2021.04.015</vt:lpwstr>
      </vt:variant>
      <vt:variant>
        <vt:lpwstr/>
      </vt:variant>
      <vt:variant>
        <vt:i4>1507415</vt:i4>
      </vt:variant>
      <vt:variant>
        <vt:i4>60</vt:i4>
      </vt:variant>
      <vt:variant>
        <vt:i4>0</vt:i4>
      </vt:variant>
      <vt:variant>
        <vt:i4>5</vt:i4>
      </vt:variant>
      <vt:variant>
        <vt:lpwstr>https://doi.org/10.1042/ETLS20200067</vt:lpwstr>
      </vt:variant>
      <vt:variant>
        <vt:lpwstr/>
      </vt:variant>
      <vt:variant>
        <vt:i4>852047</vt:i4>
      </vt:variant>
      <vt:variant>
        <vt:i4>57</vt:i4>
      </vt:variant>
      <vt:variant>
        <vt:i4>0</vt:i4>
      </vt:variant>
      <vt:variant>
        <vt:i4>5</vt:i4>
      </vt:variant>
      <vt:variant>
        <vt:lpwstr>https://doi.org/10.1080/02508281.2023.2199613</vt:lpwstr>
      </vt:variant>
      <vt:variant>
        <vt:lpwstr/>
      </vt:variant>
      <vt:variant>
        <vt:i4>2228336</vt:i4>
      </vt:variant>
      <vt:variant>
        <vt:i4>54</vt:i4>
      </vt:variant>
      <vt:variant>
        <vt:i4>0</vt:i4>
      </vt:variant>
      <vt:variant>
        <vt:i4>5</vt:i4>
      </vt:variant>
      <vt:variant>
        <vt:lpwstr>https://doi.org/10.1111/cobi.70051</vt:lpwstr>
      </vt:variant>
      <vt:variant>
        <vt:lpwstr/>
      </vt:variant>
      <vt:variant>
        <vt:i4>393292</vt:i4>
      </vt:variant>
      <vt:variant>
        <vt:i4>51</vt:i4>
      </vt:variant>
      <vt:variant>
        <vt:i4>0</vt:i4>
      </vt:variant>
      <vt:variant>
        <vt:i4>5</vt:i4>
      </vt:variant>
      <vt:variant>
        <vt:lpwstr>https://doi.org/10.1080/02508281.2015.1005943</vt:lpwstr>
      </vt:variant>
      <vt:variant>
        <vt:lpwstr/>
      </vt:variant>
      <vt:variant>
        <vt:i4>393284</vt:i4>
      </vt:variant>
      <vt:variant>
        <vt:i4>48</vt:i4>
      </vt:variant>
      <vt:variant>
        <vt:i4>0</vt:i4>
      </vt:variant>
      <vt:variant>
        <vt:i4>5</vt:i4>
      </vt:variant>
      <vt:variant>
        <vt:lpwstr>https://doi.org/10.3897/biss.3.38084</vt:lpwstr>
      </vt:variant>
      <vt:variant>
        <vt:lpwstr/>
      </vt:variant>
      <vt:variant>
        <vt:i4>2556018</vt:i4>
      </vt:variant>
      <vt:variant>
        <vt:i4>45</vt:i4>
      </vt:variant>
      <vt:variant>
        <vt:i4>0</vt:i4>
      </vt:variant>
      <vt:variant>
        <vt:i4>5</vt:i4>
      </vt:variant>
      <vt:variant>
        <vt:lpwstr>https://doi.org/10.3389/fams.2017.00013</vt:lpwstr>
      </vt:variant>
      <vt:variant>
        <vt:lpwstr/>
      </vt:variant>
      <vt:variant>
        <vt:i4>6815795</vt:i4>
      </vt:variant>
      <vt:variant>
        <vt:i4>42</vt:i4>
      </vt:variant>
      <vt:variant>
        <vt:i4>0</vt:i4>
      </vt:variant>
      <vt:variant>
        <vt:i4>5</vt:i4>
      </vt:variant>
      <vt:variant>
        <vt:lpwstr>https://doi.org/10.1007/s10811-024-03404-w</vt:lpwstr>
      </vt:variant>
      <vt:variant>
        <vt:lpwstr/>
      </vt:variant>
      <vt:variant>
        <vt:i4>6750245</vt:i4>
      </vt:variant>
      <vt:variant>
        <vt:i4>39</vt:i4>
      </vt:variant>
      <vt:variant>
        <vt:i4>0</vt:i4>
      </vt:variant>
      <vt:variant>
        <vt:i4>5</vt:i4>
      </vt:variant>
      <vt:variant>
        <vt:lpwstr>https://doi.org/10.6084/m9.figshare.12668570.v5</vt:lpwstr>
      </vt:variant>
      <vt:variant>
        <vt:lpwstr/>
      </vt:variant>
      <vt:variant>
        <vt:i4>6029407</vt:i4>
      </vt:variant>
      <vt:variant>
        <vt:i4>36</vt:i4>
      </vt:variant>
      <vt:variant>
        <vt:i4>0</vt:i4>
      </vt:variant>
      <vt:variant>
        <vt:i4>5</vt:i4>
      </vt:variant>
      <vt:variant>
        <vt:lpwstr>https://doi.org/10.1111/ddi.13970</vt:lpwstr>
      </vt:variant>
      <vt:variant>
        <vt:lpwstr/>
      </vt:variant>
      <vt:variant>
        <vt:i4>196692</vt:i4>
      </vt:variant>
      <vt:variant>
        <vt:i4>33</vt:i4>
      </vt:variant>
      <vt:variant>
        <vt:i4>0</vt:i4>
      </vt:variant>
      <vt:variant>
        <vt:i4>5</vt:i4>
      </vt:variant>
      <vt:variant>
        <vt:lpwstr>https://doi.org/10.3897/neobiota.71.69422</vt:lpwstr>
      </vt:variant>
      <vt:variant>
        <vt:lpwstr/>
      </vt:variant>
      <vt:variant>
        <vt:i4>4980810</vt:i4>
      </vt:variant>
      <vt:variant>
        <vt:i4>30</vt:i4>
      </vt:variant>
      <vt:variant>
        <vt:i4>0</vt:i4>
      </vt:variant>
      <vt:variant>
        <vt:i4>5</vt:i4>
      </vt:variant>
      <vt:variant>
        <vt:lpwstr>https://doi.org/10.1016/j.biocon.2021.108983</vt:lpwstr>
      </vt:variant>
      <vt:variant>
        <vt:lpwstr/>
      </vt:variant>
      <vt:variant>
        <vt:i4>3080295</vt:i4>
      </vt:variant>
      <vt:variant>
        <vt:i4>27</vt:i4>
      </vt:variant>
      <vt:variant>
        <vt:i4>0</vt:i4>
      </vt:variant>
      <vt:variant>
        <vt:i4>5</vt:i4>
      </vt:variant>
      <vt:variant>
        <vt:lpwstr>https://doi.org/10.1890/110145</vt:lpwstr>
      </vt:variant>
      <vt:variant>
        <vt:lpwstr/>
      </vt:variant>
      <vt:variant>
        <vt:i4>5374044</vt:i4>
      </vt:variant>
      <vt:variant>
        <vt:i4>24</vt:i4>
      </vt:variant>
      <vt:variant>
        <vt:i4>0</vt:i4>
      </vt:variant>
      <vt:variant>
        <vt:i4>5</vt:i4>
      </vt:variant>
      <vt:variant>
        <vt:lpwstr>https://doi.org/10.1111/gcb.15280</vt:lpwstr>
      </vt:variant>
      <vt:variant>
        <vt:lpwstr/>
      </vt:variant>
      <vt:variant>
        <vt:i4>589849</vt:i4>
      </vt:variant>
      <vt:variant>
        <vt:i4>21</vt:i4>
      </vt:variant>
      <vt:variant>
        <vt:i4>0</vt:i4>
      </vt:variant>
      <vt:variant>
        <vt:i4>5</vt:i4>
      </vt:variant>
      <vt:variant>
        <vt:lpwstr>https://doi.org/10.1007/s10530-017-1451-z</vt:lpwstr>
      </vt:variant>
      <vt:variant>
        <vt:lpwstr/>
      </vt:variant>
      <vt:variant>
        <vt:i4>3407972</vt:i4>
      </vt:variant>
      <vt:variant>
        <vt:i4>18</vt:i4>
      </vt:variant>
      <vt:variant>
        <vt:i4>0</vt:i4>
      </vt:variant>
      <vt:variant>
        <vt:i4>5</vt:i4>
      </vt:variant>
      <vt:variant>
        <vt:lpwstr>https://doi.org/10.1016/j.pecon.2023.11.004</vt:lpwstr>
      </vt:variant>
      <vt:variant>
        <vt:lpwstr/>
      </vt:variant>
      <vt:variant>
        <vt:i4>2293819</vt:i4>
      </vt:variant>
      <vt:variant>
        <vt:i4>15</vt:i4>
      </vt:variant>
      <vt:variant>
        <vt:i4>0</vt:i4>
      </vt:variant>
      <vt:variant>
        <vt:i4>5</vt:i4>
      </vt:variant>
      <vt:variant>
        <vt:lpwstr>https://doi.org/10.1038/s41597-025-05184-5</vt:lpwstr>
      </vt:variant>
      <vt:variant>
        <vt:lpwstr/>
      </vt:variant>
      <vt:variant>
        <vt:i4>3735601</vt:i4>
      </vt:variant>
      <vt:variant>
        <vt:i4>12</vt:i4>
      </vt:variant>
      <vt:variant>
        <vt:i4>0</vt:i4>
      </vt:variant>
      <vt:variant>
        <vt:i4>5</vt:i4>
      </vt:variant>
      <vt:variant>
        <vt:lpwstr>https://doi.org/10.1111/2041-210X.12844</vt:lpwstr>
      </vt:variant>
      <vt:variant>
        <vt:lpwstr/>
      </vt:variant>
      <vt:variant>
        <vt:i4>4390983</vt:i4>
      </vt:variant>
      <vt:variant>
        <vt:i4>9</vt:i4>
      </vt:variant>
      <vt:variant>
        <vt:i4>0</vt:i4>
      </vt:variant>
      <vt:variant>
        <vt:i4>5</vt:i4>
      </vt:variant>
      <vt:variant>
        <vt:lpwstr>https://doi.org/10.1371/journal.pone.0140833</vt:lpwstr>
      </vt:variant>
      <vt:variant>
        <vt:lpwstr/>
      </vt:variant>
      <vt:variant>
        <vt:i4>7143456</vt:i4>
      </vt:variant>
      <vt:variant>
        <vt:i4>6</vt:i4>
      </vt:variant>
      <vt:variant>
        <vt:i4>0</vt:i4>
      </vt:variant>
      <vt:variant>
        <vt:i4>5</vt:i4>
      </vt:variant>
      <vt:variant>
        <vt:lpwstr>https://www.iucngisd.org/gisd/</vt:lpwstr>
      </vt:variant>
      <vt:variant>
        <vt:lpwstr/>
      </vt:variant>
      <vt:variant>
        <vt:i4>7929909</vt:i4>
      </vt:variant>
      <vt:variant>
        <vt:i4>3</vt:i4>
      </vt:variant>
      <vt:variant>
        <vt:i4>0</vt:i4>
      </vt:variant>
      <vt:variant>
        <vt:i4>5</vt:i4>
      </vt:variant>
      <vt:variant>
        <vt:lpwstr>https://griis.org/</vt:lpwstr>
      </vt:variant>
      <vt:variant>
        <vt:lpwstr/>
      </vt:variant>
      <vt:variant>
        <vt:i4>327753</vt:i4>
      </vt:variant>
      <vt:variant>
        <vt:i4>0</vt:i4>
      </vt:variant>
      <vt:variant>
        <vt:i4>0</vt:i4>
      </vt:variant>
      <vt:variant>
        <vt:i4>5</vt:i4>
      </vt:variant>
      <vt:variant>
        <vt:lpwstr>https://www.cbd.int/doc/decisions/cop-16/cop-16-dec-18-en.pdf</vt:lpwstr>
      </vt:variant>
      <vt:variant>
        <vt:lpwstr/>
      </vt:variant>
      <vt:variant>
        <vt:i4>4587584</vt:i4>
      </vt:variant>
      <vt:variant>
        <vt:i4>336</vt:i4>
      </vt:variant>
      <vt:variant>
        <vt:i4>0</vt:i4>
      </vt:variant>
      <vt:variant>
        <vt:i4>5</vt:i4>
      </vt:variant>
      <vt:variant>
        <vt:lpwstr>https://www.cbd.int/invasive</vt:lpwstr>
      </vt:variant>
      <vt:variant>
        <vt:lpwstr/>
      </vt:variant>
      <vt:variant>
        <vt:i4>3407972</vt:i4>
      </vt:variant>
      <vt:variant>
        <vt:i4>333</vt:i4>
      </vt:variant>
      <vt:variant>
        <vt:i4>0</vt:i4>
      </vt:variant>
      <vt:variant>
        <vt:i4>5</vt:i4>
      </vt:variant>
      <vt:variant>
        <vt:lpwstr>https://doi.org/10.1016/j.pecon.2023.11.004</vt:lpwstr>
      </vt:variant>
      <vt:variant>
        <vt:lpwstr/>
      </vt:variant>
      <vt:variant>
        <vt:i4>1048666</vt:i4>
      </vt:variant>
      <vt:variant>
        <vt:i4>330</vt:i4>
      </vt:variant>
      <vt:variant>
        <vt:i4>0</vt:i4>
      </vt:variant>
      <vt:variant>
        <vt:i4>5</vt:i4>
      </vt:variant>
      <vt:variant>
        <vt:lpwstr>https://www.gbif.org/news/EQgUzZ4YA75BSeLs1naI9/belgian-built-gbif-alert-system-wins-the-2023-ebbe-nielsen-challenge</vt:lpwstr>
      </vt:variant>
      <vt:variant>
        <vt:lpwstr>gbifalert</vt:lpwstr>
      </vt:variant>
      <vt:variant>
        <vt:i4>5111880</vt:i4>
      </vt:variant>
      <vt:variant>
        <vt:i4>327</vt:i4>
      </vt:variant>
      <vt:variant>
        <vt:i4>0</vt:i4>
      </vt:variant>
      <vt:variant>
        <vt:i4>5</vt:i4>
      </vt:variant>
      <vt:variant>
        <vt:lpwstr>https://doi.org/10.1371/journal.pone.0238372</vt:lpwstr>
      </vt:variant>
      <vt:variant>
        <vt:lpwstr/>
      </vt:variant>
      <vt:variant>
        <vt:i4>6553699</vt:i4>
      </vt:variant>
      <vt:variant>
        <vt:i4>324</vt:i4>
      </vt:variant>
      <vt:variant>
        <vt:i4>0</vt:i4>
      </vt:variant>
      <vt:variant>
        <vt:i4>5</vt:i4>
      </vt:variant>
      <vt:variant>
        <vt:lpwstr>https://www.gov.uk/government/publications/search-engine-optimisation-for-publishers-best-practice-guide/search-engine-optimisation-seo-for-data-publishers-best-practice-guide</vt:lpwstr>
      </vt:variant>
      <vt:variant>
        <vt:lpwstr>:~:text=What%20it%20means%20*%20Enhance%20all%20textual,of%20people%20finding%20and%20using%20your%20data</vt:lpwstr>
      </vt:variant>
      <vt:variant>
        <vt:i4>6881333</vt:i4>
      </vt:variant>
      <vt:variant>
        <vt:i4>321</vt:i4>
      </vt:variant>
      <vt:variant>
        <vt:i4>0</vt:i4>
      </vt:variant>
      <vt:variant>
        <vt:i4>5</vt:i4>
      </vt:variant>
      <vt:variant>
        <vt:lpwstr>https://doi.org/10.1007/s10530-025-03549-w</vt:lpwstr>
      </vt:variant>
      <vt:variant>
        <vt:lpwstr/>
      </vt:variant>
      <vt:variant>
        <vt:i4>6226033</vt:i4>
      </vt:variant>
      <vt:variant>
        <vt:i4>318</vt:i4>
      </vt:variant>
      <vt:variant>
        <vt:i4>0</vt:i4>
      </vt:variant>
      <vt:variant>
        <vt:i4>5</vt:i4>
      </vt:variant>
      <vt:variant>
        <vt:lpwstr>https://standardsfacility.org/sites/default/files/STDF_IAS_EN_0.pdf</vt:lpwstr>
      </vt:variant>
      <vt:variant>
        <vt:lpwstr/>
      </vt:variant>
      <vt:variant>
        <vt:i4>1638491</vt:i4>
      </vt:variant>
      <vt:variant>
        <vt:i4>315</vt:i4>
      </vt:variant>
      <vt:variant>
        <vt:i4>0</vt:i4>
      </vt:variant>
      <vt:variant>
        <vt:i4>5</vt:i4>
      </vt:variant>
      <vt:variant>
        <vt:lpwstr>https://www.ippc.int/en/core-activities/capacity-development/sea-containers/</vt:lpwstr>
      </vt:variant>
      <vt:variant>
        <vt:lpwstr/>
      </vt:variant>
      <vt:variant>
        <vt:i4>4849674</vt:i4>
      </vt:variant>
      <vt:variant>
        <vt:i4>312</vt:i4>
      </vt:variant>
      <vt:variant>
        <vt:i4>0</vt:i4>
      </vt:variant>
      <vt:variant>
        <vt:i4>5</vt:i4>
      </vt:variant>
      <vt:variant>
        <vt:lpwstr>https://www.ippc.int/en/core-activities/standards-setting/isp</vt:lpwstr>
      </vt:variant>
      <vt:variant>
        <vt:lpwstr/>
      </vt:variant>
      <vt:variant>
        <vt:i4>5439553</vt:i4>
      </vt:variant>
      <vt:variant>
        <vt:i4>309</vt:i4>
      </vt:variant>
      <vt:variant>
        <vt:i4>0</vt:i4>
      </vt:variant>
      <vt:variant>
        <vt:i4>5</vt:i4>
      </vt:variant>
      <vt:variant>
        <vt:lpwstr>https://www.woah.org/en/what-we-do/standards/</vt:lpwstr>
      </vt:variant>
      <vt:variant>
        <vt:lpwstr/>
      </vt:variant>
      <vt:variant>
        <vt:i4>5898333</vt:i4>
      </vt:variant>
      <vt:variant>
        <vt:i4>306</vt:i4>
      </vt:variant>
      <vt:variant>
        <vt:i4>0</vt:i4>
      </vt:variant>
      <vt:variant>
        <vt:i4>5</vt:i4>
      </vt:variant>
      <vt:variant>
        <vt:lpwstr>https://doi.org/10.1016/j.oneear.2021.04.015</vt:lpwstr>
      </vt:variant>
      <vt:variant>
        <vt:lpwstr/>
      </vt:variant>
      <vt:variant>
        <vt:i4>1507415</vt:i4>
      </vt:variant>
      <vt:variant>
        <vt:i4>303</vt:i4>
      </vt:variant>
      <vt:variant>
        <vt:i4>0</vt:i4>
      </vt:variant>
      <vt:variant>
        <vt:i4>5</vt:i4>
      </vt:variant>
      <vt:variant>
        <vt:lpwstr>https://doi.org/10.1042/ETLS20200067</vt:lpwstr>
      </vt:variant>
      <vt:variant>
        <vt:lpwstr/>
      </vt:variant>
      <vt:variant>
        <vt:i4>196692</vt:i4>
      </vt:variant>
      <vt:variant>
        <vt:i4>300</vt:i4>
      </vt:variant>
      <vt:variant>
        <vt:i4>0</vt:i4>
      </vt:variant>
      <vt:variant>
        <vt:i4>5</vt:i4>
      </vt:variant>
      <vt:variant>
        <vt:lpwstr>https://doi.org/10.3897/neobiota.71.69422</vt:lpwstr>
      </vt:variant>
      <vt:variant>
        <vt:lpwstr/>
      </vt:variant>
      <vt:variant>
        <vt:i4>4653132</vt:i4>
      </vt:variant>
      <vt:variant>
        <vt:i4>297</vt:i4>
      </vt:variant>
      <vt:variant>
        <vt:i4>0</vt:i4>
      </vt:variant>
      <vt:variant>
        <vt:i4>5</vt:i4>
      </vt:variant>
      <vt:variant>
        <vt:lpwstr>https://doi.org/10.1016/j.biocon.2023.110040</vt:lpwstr>
      </vt:variant>
      <vt:variant>
        <vt:lpwstr/>
      </vt:variant>
      <vt:variant>
        <vt:i4>5898333</vt:i4>
      </vt:variant>
      <vt:variant>
        <vt:i4>294</vt:i4>
      </vt:variant>
      <vt:variant>
        <vt:i4>0</vt:i4>
      </vt:variant>
      <vt:variant>
        <vt:i4>5</vt:i4>
      </vt:variant>
      <vt:variant>
        <vt:lpwstr>https://doi.org/10.1016/j.oneear.2021.04.015</vt:lpwstr>
      </vt:variant>
      <vt:variant>
        <vt:lpwstr/>
      </vt:variant>
      <vt:variant>
        <vt:i4>5898333</vt:i4>
      </vt:variant>
      <vt:variant>
        <vt:i4>291</vt:i4>
      </vt:variant>
      <vt:variant>
        <vt:i4>0</vt:i4>
      </vt:variant>
      <vt:variant>
        <vt:i4>5</vt:i4>
      </vt:variant>
      <vt:variant>
        <vt:lpwstr>https://doi.org/10.1016/j.oneear.2021.04.015</vt:lpwstr>
      </vt:variant>
      <vt:variant>
        <vt:lpwstr/>
      </vt:variant>
      <vt:variant>
        <vt:i4>4980848</vt:i4>
      </vt:variant>
      <vt:variant>
        <vt:i4>288</vt:i4>
      </vt:variant>
      <vt:variant>
        <vt:i4>0</vt:i4>
      </vt:variant>
      <vt:variant>
        <vt:i4>5</vt:i4>
      </vt:variant>
      <vt:variant>
        <vt:lpwstr>https://www.wto.org/english/res_e/statis_e/trade_evolution_e/evolution_trade_wto_e.htm</vt:lpwstr>
      </vt:variant>
      <vt:variant>
        <vt:lpwstr>fnt-1</vt:lpwstr>
      </vt:variant>
      <vt:variant>
        <vt:i4>2228322</vt:i4>
      </vt:variant>
      <vt:variant>
        <vt:i4>285</vt:i4>
      </vt:variant>
      <vt:variant>
        <vt:i4>0</vt:i4>
      </vt:variant>
      <vt:variant>
        <vt:i4>5</vt:i4>
      </vt:variant>
      <vt:variant>
        <vt:lpwstr>https://easin.jrc.ec.europa.eu/easin/bewareofaliens</vt:lpwstr>
      </vt:variant>
      <vt:variant>
        <vt:lpwstr/>
      </vt:variant>
      <vt:variant>
        <vt:i4>1900638</vt:i4>
      </vt:variant>
      <vt:variant>
        <vt:i4>282</vt:i4>
      </vt:variant>
      <vt:variant>
        <vt:i4>0</vt:i4>
      </vt:variant>
      <vt:variant>
        <vt:i4>5</vt:i4>
      </vt:variant>
      <vt:variant>
        <vt:lpwstr>https://playcleango.org/</vt:lpwstr>
      </vt:variant>
      <vt:variant>
        <vt:lpwstr/>
      </vt:variant>
      <vt:variant>
        <vt:i4>7143527</vt:i4>
      </vt:variant>
      <vt:variant>
        <vt:i4>279</vt:i4>
      </vt:variant>
      <vt:variant>
        <vt:i4>0</vt:i4>
      </vt:variant>
      <vt:variant>
        <vt:i4>5</vt:i4>
      </vt:variant>
      <vt:variant>
        <vt:lpwstr>https://www.mpi.govt.nz/outdoor-activities/boating-and-water-activities-preventing-the-spread-of-pests-weeds-and-diseases/check-clean-dry/</vt:lpwstr>
      </vt:variant>
      <vt:variant>
        <vt:lpwstr/>
      </vt:variant>
      <vt:variant>
        <vt:i4>4980811</vt:i4>
      </vt:variant>
      <vt:variant>
        <vt:i4>276</vt:i4>
      </vt:variant>
      <vt:variant>
        <vt:i4>0</vt:i4>
      </vt:variant>
      <vt:variant>
        <vt:i4>5</vt:i4>
      </vt:variant>
      <vt:variant>
        <vt:lpwstr>https://invasives.ie/biosecurity/check-clean-dry</vt:lpwstr>
      </vt:variant>
      <vt:variant>
        <vt:lpwstr/>
      </vt:variant>
      <vt:variant>
        <vt:i4>6422639</vt:i4>
      </vt:variant>
      <vt:variant>
        <vt:i4>273</vt:i4>
      </vt:variant>
      <vt:variant>
        <vt:i4>0</vt:i4>
      </vt:variant>
      <vt:variant>
        <vt:i4>5</vt:i4>
      </vt:variant>
      <vt:variant>
        <vt:lpwstr>https://www.nonnativespecies.org/what-can-i-do/check-clean-dry</vt:lpwstr>
      </vt:variant>
      <vt:variant>
        <vt:lpwstr/>
      </vt:variant>
      <vt:variant>
        <vt:i4>2687029</vt:i4>
      </vt:variant>
      <vt:variant>
        <vt:i4>270</vt:i4>
      </vt:variant>
      <vt:variant>
        <vt:i4>0</vt:i4>
      </vt:variant>
      <vt:variant>
        <vt:i4>5</vt:i4>
      </vt:variant>
      <vt:variant>
        <vt:lpwstr>https://doi.org/10.1007/s10530-024-03448-6</vt:lpwstr>
      </vt:variant>
      <vt:variant>
        <vt:lpwstr/>
      </vt:variant>
      <vt:variant>
        <vt:i4>3407911</vt:i4>
      </vt:variant>
      <vt:variant>
        <vt:i4>267</vt:i4>
      </vt:variant>
      <vt:variant>
        <vt:i4>0</vt:i4>
      </vt:variant>
      <vt:variant>
        <vt:i4>5</vt:i4>
      </vt:variant>
      <vt:variant>
        <vt:lpwstr>https://www.dontpackapest.com/</vt:lpwstr>
      </vt:variant>
      <vt:variant>
        <vt:lpwstr/>
      </vt:variant>
      <vt:variant>
        <vt:i4>6619234</vt:i4>
      </vt:variant>
      <vt:variant>
        <vt:i4>264</vt:i4>
      </vt:variant>
      <vt:variant>
        <vt:i4>0</vt:i4>
      </vt:variant>
      <vt:variant>
        <vt:i4>5</vt:i4>
      </vt:variant>
      <vt:variant>
        <vt:lpwstr>https://portals.iucn.org/library/node/48358</vt:lpwstr>
      </vt:variant>
      <vt:variant>
        <vt:lpwstr/>
      </vt:variant>
      <vt:variant>
        <vt:i4>2752571</vt:i4>
      </vt:variant>
      <vt:variant>
        <vt:i4>261</vt:i4>
      </vt:variant>
      <vt:variant>
        <vt:i4>0</vt:i4>
      </vt:variant>
      <vt:variant>
        <vt:i4>5</vt:i4>
      </vt:variant>
      <vt:variant>
        <vt:lpwstr>https://doi.org/10.1007/s11273-023-09951-2</vt:lpwstr>
      </vt:variant>
      <vt:variant>
        <vt:lpwstr/>
      </vt:variant>
      <vt:variant>
        <vt:i4>6815795</vt:i4>
      </vt:variant>
      <vt:variant>
        <vt:i4>258</vt:i4>
      </vt:variant>
      <vt:variant>
        <vt:i4>0</vt:i4>
      </vt:variant>
      <vt:variant>
        <vt:i4>5</vt:i4>
      </vt:variant>
      <vt:variant>
        <vt:lpwstr>https://doi.org/10.1007/s10811-024-03404-w</vt:lpwstr>
      </vt:variant>
      <vt:variant>
        <vt:lpwstr/>
      </vt:variant>
      <vt:variant>
        <vt:i4>327760</vt:i4>
      </vt:variant>
      <vt:variant>
        <vt:i4>255</vt:i4>
      </vt:variant>
      <vt:variant>
        <vt:i4>0</vt:i4>
      </vt:variant>
      <vt:variant>
        <vt:i4>5</vt:i4>
      </vt:variant>
      <vt:variant>
        <vt:lpwstr>https://doi.org/10.4102/koedoe.v59i1.1426</vt:lpwstr>
      </vt:variant>
      <vt:variant>
        <vt:lpwstr/>
      </vt:variant>
      <vt:variant>
        <vt:i4>6946855</vt:i4>
      </vt:variant>
      <vt:variant>
        <vt:i4>252</vt:i4>
      </vt:variant>
      <vt:variant>
        <vt:i4>0</vt:i4>
      </vt:variant>
      <vt:variant>
        <vt:i4>5</vt:i4>
      </vt:variant>
      <vt:variant>
        <vt:lpwstr>https://portals.iucn.org/library/sites/library/files/documents/2020-035-En.pdf</vt:lpwstr>
      </vt:variant>
      <vt:variant>
        <vt:lpwstr/>
      </vt:variant>
      <vt:variant>
        <vt:i4>8323189</vt:i4>
      </vt:variant>
      <vt:variant>
        <vt:i4>249</vt:i4>
      </vt:variant>
      <vt:variant>
        <vt:i4>0</vt:i4>
      </vt:variant>
      <vt:variant>
        <vt:i4>5</vt:i4>
      </vt:variant>
      <vt:variant>
        <vt:lpwstr>https://whc.unesco.org/en/natural-world-heritage/</vt:lpwstr>
      </vt:variant>
      <vt:variant>
        <vt:lpwstr>threatened-paradise</vt:lpwstr>
      </vt:variant>
      <vt:variant>
        <vt:i4>4390983</vt:i4>
      </vt:variant>
      <vt:variant>
        <vt:i4>246</vt:i4>
      </vt:variant>
      <vt:variant>
        <vt:i4>0</vt:i4>
      </vt:variant>
      <vt:variant>
        <vt:i4>5</vt:i4>
      </vt:variant>
      <vt:variant>
        <vt:lpwstr>https://doi.org/10.1371/journal.pone.0140833</vt:lpwstr>
      </vt:variant>
      <vt:variant>
        <vt:lpwstr/>
      </vt:variant>
      <vt:variant>
        <vt:i4>5111879</vt:i4>
      </vt:variant>
      <vt:variant>
        <vt:i4>243</vt:i4>
      </vt:variant>
      <vt:variant>
        <vt:i4>0</vt:i4>
      </vt:variant>
      <vt:variant>
        <vt:i4>5</vt:i4>
      </vt:variant>
      <vt:variant>
        <vt:lpwstr>https://doi.org/10.1371/journal.pone.0184379</vt:lpwstr>
      </vt:variant>
      <vt:variant>
        <vt:lpwstr/>
      </vt:variant>
      <vt:variant>
        <vt:i4>393292</vt:i4>
      </vt:variant>
      <vt:variant>
        <vt:i4>240</vt:i4>
      </vt:variant>
      <vt:variant>
        <vt:i4>0</vt:i4>
      </vt:variant>
      <vt:variant>
        <vt:i4>5</vt:i4>
      </vt:variant>
      <vt:variant>
        <vt:lpwstr>https://doi.org/10.1080/02508281.2015.1005943</vt:lpwstr>
      </vt:variant>
      <vt:variant>
        <vt:lpwstr/>
      </vt:variant>
      <vt:variant>
        <vt:i4>8257585</vt:i4>
      </vt:variant>
      <vt:variant>
        <vt:i4>237</vt:i4>
      </vt:variant>
      <vt:variant>
        <vt:i4>0</vt:i4>
      </vt:variant>
      <vt:variant>
        <vt:i4>5</vt:i4>
      </vt:variant>
      <vt:variant>
        <vt:lpwstr>https://doi.org/10.5281/zenodo.7430727</vt:lpwstr>
      </vt:variant>
      <vt:variant>
        <vt:lpwstr/>
      </vt:variant>
      <vt:variant>
        <vt:i4>1572893</vt:i4>
      </vt:variant>
      <vt:variant>
        <vt:i4>234</vt:i4>
      </vt:variant>
      <vt:variant>
        <vt:i4>0</vt:i4>
      </vt:variant>
      <vt:variant>
        <vt:i4>5</vt:i4>
      </vt:variant>
      <vt:variant>
        <vt:lpwstr>https://doi.org/10.18111/wtobarometereng</vt:lpwstr>
      </vt:variant>
      <vt:variant>
        <vt:lpwstr/>
      </vt:variant>
      <vt:variant>
        <vt:i4>5439514</vt:i4>
      </vt:variant>
      <vt:variant>
        <vt:i4>231</vt:i4>
      </vt:variant>
      <vt:variant>
        <vt:i4>0</vt:i4>
      </vt:variant>
      <vt:variant>
        <vt:i4>5</vt:i4>
      </vt:variant>
      <vt:variant>
        <vt:lpwstr>https://diise.islandconservation.org/</vt:lpwstr>
      </vt:variant>
      <vt:variant>
        <vt:lpwstr/>
      </vt:variant>
      <vt:variant>
        <vt:i4>2293819</vt:i4>
      </vt:variant>
      <vt:variant>
        <vt:i4>228</vt:i4>
      </vt:variant>
      <vt:variant>
        <vt:i4>0</vt:i4>
      </vt:variant>
      <vt:variant>
        <vt:i4>5</vt:i4>
      </vt:variant>
      <vt:variant>
        <vt:lpwstr>https://doi.org/10.1038/s41597-025-05184-5</vt:lpwstr>
      </vt:variant>
      <vt:variant>
        <vt:lpwstr/>
      </vt:variant>
      <vt:variant>
        <vt:i4>4980809</vt:i4>
      </vt:variant>
      <vt:variant>
        <vt:i4>225</vt:i4>
      </vt:variant>
      <vt:variant>
        <vt:i4>0</vt:i4>
      </vt:variant>
      <vt:variant>
        <vt:i4>5</vt:i4>
      </vt:variant>
      <vt:variant>
        <vt:lpwstr>https://www.inaturalist.org/</vt:lpwstr>
      </vt:variant>
      <vt:variant>
        <vt:lpwstr/>
      </vt:variant>
      <vt:variant>
        <vt:i4>7995440</vt:i4>
      </vt:variant>
      <vt:variant>
        <vt:i4>222</vt:i4>
      </vt:variant>
      <vt:variant>
        <vt:i4>0</vt:i4>
      </vt:variant>
      <vt:variant>
        <vt:i4>5</vt:i4>
      </vt:variant>
      <vt:variant>
        <vt:lpwstr>https://doi.org/10.5281/zenodo.7430733</vt:lpwstr>
      </vt:variant>
      <vt:variant>
        <vt:lpwstr/>
      </vt:variant>
      <vt:variant>
        <vt:i4>8257643</vt:i4>
      </vt:variant>
      <vt:variant>
        <vt:i4>219</vt:i4>
      </vt:variant>
      <vt:variant>
        <vt:i4>0</vt:i4>
      </vt:variant>
      <vt:variant>
        <vt:i4>5</vt:i4>
      </vt:variant>
      <vt:variant>
        <vt:lpwstr>https://creativecommons.org/share-your-work/cclicenses/</vt:lpwstr>
      </vt:variant>
      <vt:variant>
        <vt:lpwstr/>
      </vt:variant>
      <vt:variant>
        <vt:i4>8126513</vt:i4>
      </vt:variant>
      <vt:variant>
        <vt:i4>216</vt:i4>
      </vt:variant>
      <vt:variant>
        <vt:i4>0</vt:i4>
      </vt:variant>
      <vt:variant>
        <vt:i4>5</vt:i4>
      </vt:variant>
      <vt:variant>
        <vt:lpwstr>https://doi.org/10.5281/zenodo.7430725</vt:lpwstr>
      </vt:variant>
      <vt:variant>
        <vt:lpwstr/>
      </vt:variant>
      <vt:variant>
        <vt:i4>2818163</vt:i4>
      </vt:variant>
      <vt:variant>
        <vt:i4>213</vt:i4>
      </vt:variant>
      <vt:variant>
        <vt:i4>0</vt:i4>
      </vt:variant>
      <vt:variant>
        <vt:i4>5</vt:i4>
      </vt:variant>
      <vt:variant>
        <vt:lpwstr>https://www.research4life.org/</vt:lpwstr>
      </vt:variant>
      <vt:variant>
        <vt:lpwstr/>
      </vt:variant>
      <vt:variant>
        <vt:i4>7405644</vt:i4>
      </vt:variant>
      <vt:variant>
        <vt:i4>210</vt:i4>
      </vt:variant>
      <vt:variant>
        <vt:i4>0</vt:i4>
      </vt:variant>
      <vt:variant>
        <vt:i4>5</vt:i4>
      </vt:variant>
      <vt:variant>
        <vt:lpwstr>https://www.cabidigitallibrary.org/journal/cabicompendium/isdt</vt:lpwstr>
      </vt:variant>
      <vt:variant>
        <vt:lpwstr>/</vt:lpwstr>
      </vt:variant>
      <vt:variant>
        <vt:i4>393284</vt:i4>
      </vt:variant>
      <vt:variant>
        <vt:i4>207</vt:i4>
      </vt:variant>
      <vt:variant>
        <vt:i4>0</vt:i4>
      </vt:variant>
      <vt:variant>
        <vt:i4>5</vt:i4>
      </vt:variant>
      <vt:variant>
        <vt:lpwstr>https://doi.org/10.3897/biss.3.38084</vt:lpwstr>
      </vt:variant>
      <vt:variant>
        <vt:lpwstr/>
      </vt:variant>
      <vt:variant>
        <vt:i4>4325471</vt:i4>
      </vt:variant>
      <vt:variant>
        <vt:i4>204</vt:i4>
      </vt:variant>
      <vt:variant>
        <vt:i4>0</vt:i4>
      </vt:variant>
      <vt:variant>
        <vt:i4>5</vt:i4>
      </vt:variant>
      <vt:variant>
        <vt:lpwstr>https://techdocs.gbif.org/en/data-processing/</vt:lpwstr>
      </vt:variant>
      <vt:variant>
        <vt:lpwstr/>
      </vt:variant>
      <vt:variant>
        <vt:i4>1114198</vt:i4>
      </vt:variant>
      <vt:variant>
        <vt:i4>201</vt:i4>
      </vt:variant>
      <vt:variant>
        <vt:i4>0</vt:i4>
      </vt:variant>
      <vt:variant>
        <vt:i4>5</vt:i4>
      </vt:variant>
      <vt:variant>
        <vt:lpwstr>https://techdocs.gbif.org/en/openapi/</vt:lpwstr>
      </vt:variant>
      <vt:variant>
        <vt:lpwstr/>
      </vt:variant>
      <vt:variant>
        <vt:i4>2883643</vt:i4>
      </vt:variant>
      <vt:variant>
        <vt:i4>198</vt:i4>
      </vt:variant>
      <vt:variant>
        <vt:i4>0</vt:i4>
      </vt:variant>
      <vt:variant>
        <vt:i4>5</vt:i4>
      </vt:variant>
      <vt:variant>
        <vt:lpwstr>https://boninabox.geobon.org/about</vt:lpwstr>
      </vt:variant>
      <vt:variant>
        <vt:lpwstr/>
      </vt:variant>
      <vt:variant>
        <vt:i4>6553723</vt:i4>
      </vt:variant>
      <vt:variant>
        <vt:i4>195</vt:i4>
      </vt:variant>
      <vt:variant>
        <vt:i4>0</vt:i4>
      </vt:variant>
      <vt:variant>
        <vt:i4>5</vt:i4>
      </vt:variant>
      <vt:variant>
        <vt:lpwstr>https://portal.geobon.org/datasets</vt:lpwstr>
      </vt:variant>
      <vt:variant>
        <vt:lpwstr/>
      </vt:variant>
      <vt:variant>
        <vt:i4>3801139</vt:i4>
      </vt:variant>
      <vt:variant>
        <vt:i4>192</vt:i4>
      </vt:variant>
      <vt:variant>
        <vt:i4>0</vt:i4>
      </vt:variant>
      <vt:variant>
        <vt:i4>5</vt:i4>
      </vt:variant>
      <vt:variant>
        <vt:lpwstr>https://www.cbd.int/invasive/current/forum2025</vt:lpwstr>
      </vt:variant>
      <vt:variant>
        <vt:lpwstr/>
      </vt:variant>
      <vt:variant>
        <vt:i4>3604514</vt:i4>
      </vt:variant>
      <vt:variant>
        <vt:i4>189</vt:i4>
      </vt:variant>
      <vt:variant>
        <vt:i4>0</vt:i4>
      </vt:variant>
      <vt:variant>
        <vt:i4>5</vt:i4>
      </vt:variant>
      <vt:variant>
        <vt:lpwstr>https://www.cbd.int/doc/meetings/sbstta/sbstta-18/official/sbstta-18-09-add1-en.pdf</vt:lpwstr>
      </vt:variant>
      <vt:variant>
        <vt:lpwstr/>
      </vt:variant>
      <vt:variant>
        <vt:i4>4718595</vt:i4>
      </vt:variant>
      <vt:variant>
        <vt:i4>186</vt:i4>
      </vt:variant>
      <vt:variant>
        <vt:i4>0</vt:i4>
      </vt:variant>
      <vt:variant>
        <vt:i4>5</vt:i4>
      </vt:variant>
      <vt:variant>
        <vt:lpwstr>https://unstats.un.org/unsd/methodology/m49/</vt:lpwstr>
      </vt:variant>
      <vt:variant>
        <vt:lpwstr/>
      </vt:variant>
      <vt:variant>
        <vt:i4>7274609</vt:i4>
      </vt:variant>
      <vt:variant>
        <vt:i4>183</vt:i4>
      </vt:variant>
      <vt:variant>
        <vt:i4>0</vt:i4>
      </vt:variant>
      <vt:variant>
        <vt:i4>5</vt:i4>
      </vt:variant>
      <vt:variant>
        <vt:lpwstr>https://www.tdwg.org/standards/wgsrpd/</vt:lpwstr>
      </vt:variant>
      <vt:variant>
        <vt:lpwstr/>
      </vt:variant>
      <vt:variant>
        <vt:i4>6946937</vt:i4>
      </vt:variant>
      <vt:variant>
        <vt:i4>180</vt:i4>
      </vt:variant>
      <vt:variant>
        <vt:i4>0</vt:i4>
      </vt:variant>
      <vt:variant>
        <vt:i4>5</vt:i4>
      </vt:variant>
      <vt:variant>
        <vt:lpwstr>https://global-ecosystems.org/</vt:lpwstr>
      </vt:variant>
      <vt:variant>
        <vt:lpwstr/>
      </vt:variant>
      <vt:variant>
        <vt:i4>2293859</vt:i4>
      </vt:variant>
      <vt:variant>
        <vt:i4>177</vt:i4>
      </vt:variant>
      <vt:variant>
        <vt:i4>0</vt:i4>
      </vt:variant>
      <vt:variant>
        <vt:i4>5</vt:i4>
      </vt:variant>
      <vt:variant>
        <vt:lpwstr>https://www.iucnredlist.org/resources/habitat-classification-scheme</vt:lpwstr>
      </vt:variant>
      <vt:variant>
        <vt:lpwstr/>
      </vt:variant>
      <vt:variant>
        <vt:i4>3670060</vt:i4>
      </vt:variant>
      <vt:variant>
        <vt:i4>174</vt:i4>
      </vt:variant>
      <vt:variant>
        <vt:i4>0</vt:i4>
      </vt:variant>
      <vt:variant>
        <vt:i4>5</vt:i4>
      </vt:variant>
      <vt:variant>
        <vt:lpwstr>https://www.tdwg.org/community/osr/humboldt-extension/</vt:lpwstr>
      </vt:variant>
      <vt:variant>
        <vt:lpwstr/>
      </vt:variant>
      <vt:variant>
        <vt:i4>4456539</vt:i4>
      </vt:variant>
      <vt:variant>
        <vt:i4>171</vt:i4>
      </vt:variant>
      <vt:variant>
        <vt:i4>0</vt:i4>
      </vt:variant>
      <vt:variant>
        <vt:i4>5</vt:i4>
      </vt:variant>
      <vt:variant>
        <vt:lpwstr>https://www.catalogueoflife.org/</vt:lpwstr>
      </vt:variant>
      <vt:variant>
        <vt:lpwstr/>
      </vt:variant>
      <vt:variant>
        <vt:i4>8061038</vt:i4>
      </vt:variant>
      <vt:variant>
        <vt:i4>168</vt:i4>
      </vt:variant>
      <vt:variant>
        <vt:i4>0</vt:i4>
      </vt:variant>
      <vt:variant>
        <vt:i4>5</vt:i4>
      </vt:variant>
      <vt:variant>
        <vt:lpwstr>https://www.iso.org/iso-3166-country-codes.html</vt:lpwstr>
      </vt:variant>
      <vt:variant>
        <vt:lpwstr/>
      </vt:variant>
      <vt:variant>
        <vt:i4>5701646</vt:i4>
      </vt:variant>
      <vt:variant>
        <vt:i4>165</vt:i4>
      </vt:variant>
      <vt:variant>
        <vt:i4>0</vt:i4>
      </vt:variant>
      <vt:variant>
        <vt:i4>5</vt:i4>
      </vt:variant>
      <vt:variant>
        <vt:lpwstr>https://www.conservationevidence.com/</vt:lpwstr>
      </vt:variant>
      <vt:variant>
        <vt:lpwstr/>
      </vt:variant>
      <vt:variant>
        <vt:i4>393284</vt:i4>
      </vt:variant>
      <vt:variant>
        <vt:i4>162</vt:i4>
      </vt:variant>
      <vt:variant>
        <vt:i4>0</vt:i4>
      </vt:variant>
      <vt:variant>
        <vt:i4>5</vt:i4>
      </vt:variant>
      <vt:variant>
        <vt:lpwstr>https://doi.org/10.3897/biss.3.38084</vt:lpwstr>
      </vt:variant>
      <vt:variant>
        <vt:lpwstr/>
      </vt:variant>
      <vt:variant>
        <vt:i4>2097277</vt:i4>
      </vt:variant>
      <vt:variant>
        <vt:i4>159</vt:i4>
      </vt:variant>
      <vt:variant>
        <vt:i4>0</vt:i4>
      </vt:variant>
      <vt:variant>
        <vt:i4>5</vt:i4>
      </vt:variant>
      <vt:variant>
        <vt:lpwstr>https://www.tdwg.org/standards/dwc/</vt:lpwstr>
      </vt:variant>
      <vt:variant>
        <vt:lpwstr>darwin-core-list-of-terms</vt:lpwstr>
      </vt:variant>
      <vt:variant>
        <vt:i4>3080304</vt:i4>
      </vt:variant>
      <vt:variant>
        <vt:i4>156</vt:i4>
      </vt:variant>
      <vt:variant>
        <vt:i4>0</vt:i4>
      </vt:variant>
      <vt:variant>
        <vt:i4>5</vt:i4>
      </vt:variant>
      <vt:variant>
        <vt:lpwstr>https://www.tdwg.org/community/dwc</vt:lpwstr>
      </vt:variant>
      <vt:variant>
        <vt:lpwstr/>
      </vt:variant>
      <vt:variant>
        <vt:i4>5111882</vt:i4>
      </vt:variant>
      <vt:variant>
        <vt:i4>153</vt:i4>
      </vt:variant>
      <vt:variant>
        <vt:i4>0</vt:i4>
      </vt:variant>
      <vt:variant>
        <vt:i4>5</vt:i4>
      </vt:variant>
      <vt:variant>
        <vt:lpwstr>https://doi.org/10.1371/journal.pbio.1001195</vt:lpwstr>
      </vt:variant>
      <vt:variant>
        <vt:lpwstr/>
      </vt:variant>
      <vt:variant>
        <vt:i4>65627</vt:i4>
      </vt:variant>
      <vt:variant>
        <vt:i4>150</vt:i4>
      </vt:variant>
      <vt:variant>
        <vt:i4>0</vt:i4>
      </vt:variant>
      <vt:variant>
        <vt:i4>5</vt:i4>
      </vt:variant>
      <vt:variant>
        <vt:lpwstr>https://invasionevs.com/</vt:lpwstr>
      </vt:variant>
      <vt:variant>
        <vt:lpwstr/>
      </vt:variant>
      <vt:variant>
        <vt:i4>5701645</vt:i4>
      </vt:variant>
      <vt:variant>
        <vt:i4>147</vt:i4>
      </vt:variant>
      <vt:variant>
        <vt:i4>0</vt:i4>
      </vt:variant>
      <vt:variant>
        <vt:i4>5</vt:i4>
      </vt:variant>
      <vt:variant>
        <vt:lpwstr>https://piat.org.nz/index.php?page=early-detection-and-rapid-response</vt:lpwstr>
      </vt:variant>
      <vt:variant>
        <vt:lpwstr/>
      </vt:variant>
      <vt:variant>
        <vt:i4>4587539</vt:i4>
      </vt:variant>
      <vt:variant>
        <vt:i4>144</vt:i4>
      </vt:variant>
      <vt:variant>
        <vt:i4>0</vt:i4>
      </vt:variant>
      <vt:variant>
        <vt:i4>5</vt:i4>
      </vt:variant>
      <vt:variant>
        <vt:lpwstr>https://iucn.org/our-work/topic/invasive-alien-species/invasive-alien-species-external-resources</vt:lpwstr>
      </vt:variant>
      <vt:variant>
        <vt:lpwstr/>
      </vt:variant>
      <vt:variant>
        <vt:i4>5701726</vt:i4>
      </vt:variant>
      <vt:variant>
        <vt:i4>141</vt:i4>
      </vt:variant>
      <vt:variant>
        <vt:i4>0</vt:i4>
      </vt:variant>
      <vt:variant>
        <vt:i4>5</vt:i4>
      </vt:variant>
      <vt:variant>
        <vt:lpwstr>https://gbif-alert-demo.thebinaryforest.net/</vt:lpwstr>
      </vt:variant>
      <vt:variant>
        <vt:lpwstr/>
      </vt:variant>
      <vt:variant>
        <vt:i4>4587539</vt:i4>
      </vt:variant>
      <vt:variant>
        <vt:i4>138</vt:i4>
      </vt:variant>
      <vt:variant>
        <vt:i4>0</vt:i4>
      </vt:variant>
      <vt:variant>
        <vt:i4>5</vt:i4>
      </vt:variant>
      <vt:variant>
        <vt:lpwstr>https://iucn.org/our-work/topic/invasive-alien-species/invasive-alien-species-external-resources</vt:lpwstr>
      </vt:variant>
      <vt:variant>
        <vt:lpwstr/>
      </vt:variant>
      <vt:variant>
        <vt:i4>2490427</vt:i4>
      </vt:variant>
      <vt:variant>
        <vt:i4>135</vt:i4>
      </vt:variant>
      <vt:variant>
        <vt:i4>0</vt:i4>
      </vt:variant>
      <vt:variant>
        <vt:i4>5</vt:i4>
      </vt:variant>
      <vt:variant>
        <vt:lpwstr>https://eping.wto.org/</vt:lpwstr>
      </vt:variant>
      <vt:variant>
        <vt:lpwstr/>
      </vt:variant>
      <vt:variant>
        <vt:i4>5439553</vt:i4>
      </vt:variant>
      <vt:variant>
        <vt:i4>132</vt:i4>
      </vt:variant>
      <vt:variant>
        <vt:i4>0</vt:i4>
      </vt:variant>
      <vt:variant>
        <vt:i4>5</vt:i4>
      </vt:variant>
      <vt:variant>
        <vt:lpwstr>https://www.woah.org/en/what-we-do/standards/</vt:lpwstr>
      </vt:variant>
      <vt:variant>
        <vt:lpwstr/>
      </vt:variant>
      <vt:variant>
        <vt:i4>4587539</vt:i4>
      </vt:variant>
      <vt:variant>
        <vt:i4>129</vt:i4>
      </vt:variant>
      <vt:variant>
        <vt:i4>0</vt:i4>
      </vt:variant>
      <vt:variant>
        <vt:i4>5</vt:i4>
      </vt:variant>
      <vt:variant>
        <vt:lpwstr>https://iucn.org/our-work/topic/invasive-alien-species/invasive-alien-species-external-resources</vt:lpwstr>
      </vt:variant>
      <vt:variant>
        <vt:lpwstr/>
      </vt:variant>
      <vt:variant>
        <vt:i4>393230</vt:i4>
      </vt:variant>
      <vt:variant>
        <vt:i4>126</vt:i4>
      </vt:variant>
      <vt:variant>
        <vt:i4>0</vt:i4>
      </vt:variant>
      <vt:variant>
        <vt:i4>5</vt:i4>
      </vt:variant>
      <vt:variant>
        <vt:lpwstr>https://www.imo.org/en/ourwork/safety/pages/ctu-code.aspx</vt:lpwstr>
      </vt:variant>
      <vt:variant>
        <vt:lpwstr/>
      </vt:variant>
      <vt:variant>
        <vt:i4>5242887</vt:i4>
      </vt:variant>
      <vt:variant>
        <vt:i4>123</vt:i4>
      </vt:variant>
      <vt:variant>
        <vt:i4>0</vt:i4>
      </vt:variant>
      <vt:variant>
        <vt:i4>5</vt:i4>
      </vt:variant>
      <vt:variant>
        <vt:lpwstr>https://www.ippc.int/en/centre-of-excellence/phytosanitary-system/sea-containers/</vt:lpwstr>
      </vt:variant>
      <vt:variant>
        <vt:lpwstr/>
      </vt:variant>
      <vt:variant>
        <vt:i4>524297</vt:i4>
      </vt:variant>
      <vt:variant>
        <vt:i4>120</vt:i4>
      </vt:variant>
      <vt:variant>
        <vt:i4>0</vt:i4>
      </vt:variant>
      <vt:variant>
        <vt:i4>5</vt:i4>
      </vt:variant>
      <vt:variant>
        <vt:lpwstr>https://www.ippc.int/en/core-activities/standards-setting/ispms/</vt:lpwstr>
      </vt:variant>
      <vt:variant>
        <vt:lpwstr/>
      </vt:variant>
      <vt:variant>
        <vt:i4>393310</vt:i4>
      </vt:variant>
      <vt:variant>
        <vt:i4>117</vt:i4>
      </vt:variant>
      <vt:variant>
        <vt:i4>0</vt:i4>
      </vt:variant>
      <vt:variant>
        <vt:i4>5</vt:i4>
      </vt:variant>
      <vt:variant>
        <vt:lpwstr>https://www.imo.org/en/OurWork/Environment/Pages/BallastWaterManagement.aspx</vt:lpwstr>
      </vt:variant>
      <vt:variant>
        <vt:lpwstr/>
      </vt:variant>
      <vt:variant>
        <vt:i4>1966161</vt:i4>
      </vt:variant>
      <vt:variant>
        <vt:i4>114</vt:i4>
      </vt:variant>
      <vt:variant>
        <vt:i4>0</vt:i4>
      </vt:variant>
      <vt:variant>
        <vt:i4>5</vt:i4>
      </vt:variant>
      <vt:variant>
        <vt:lpwstr>https://www.imo.org/en/OurWork/Environment/Pages/Biofouling.aspx</vt:lpwstr>
      </vt:variant>
      <vt:variant>
        <vt:lpwstr/>
      </vt:variant>
      <vt:variant>
        <vt:i4>4587539</vt:i4>
      </vt:variant>
      <vt:variant>
        <vt:i4>111</vt:i4>
      </vt:variant>
      <vt:variant>
        <vt:i4>0</vt:i4>
      </vt:variant>
      <vt:variant>
        <vt:i4>5</vt:i4>
      </vt:variant>
      <vt:variant>
        <vt:lpwstr>https://iucn.org/our-work/topic/invasive-alien-species/invasive-alien-species-external-resources</vt:lpwstr>
      </vt:variant>
      <vt:variant>
        <vt:lpwstr/>
      </vt:variant>
      <vt:variant>
        <vt:i4>5374044</vt:i4>
      </vt:variant>
      <vt:variant>
        <vt:i4>108</vt:i4>
      </vt:variant>
      <vt:variant>
        <vt:i4>0</vt:i4>
      </vt:variant>
      <vt:variant>
        <vt:i4>5</vt:i4>
      </vt:variant>
      <vt:variant>
        <vt:lpwstr>https://doi.org/10.1111/gcb.15280</vt:lpwstr>
      </vt:variant>
      <vt:variant>
        <vt:lpwstr/>
      </vt:variant>
      <vt:variant>
        <vt:i4>589849</vt:i4>
      </vt:variant>
      <vt:variant>
        <vt:i4>105</vt:i4>
      </vt:variant>
      <vt:variant>
        <vt:i4>0</vt:i4>
      </vt:variant>
      <vt:variant>
        <vt:i4>5</vt:i4>
      </vt:variant>
      <vt:variant>
        <vt:lpwstr>https://doi.org/10.1007/s10530-017-1451-z</vt:lpwstr>
      </vt:variant>
      <vt:variant>
        <vt:lpwstr/>
      </vt:variant>
      <vt:variant>
        <vt:i4>6029407</vt:i4>
      </vt:variant>
      <vt:variant>
        <vt:i4>102</vt:i4>
      </vt:variant>
      <vt:variant>
        <vt:i4>0</vt:i4>
      </vt:variant>
      <vt:variant>
        <vt:i4>5</vt:i4>
      </vt:variant>
      <vt:variant>
        <vt:lpwstr>https://doi.org/10.1111/ddi.13970</vt:lpwstr>
      </vt:variant>
      <vt:variant>
        <vt:lpwstr/>
      </vt:variant>
      <vt:variant>
        <vt:i4>1179764</vt:i4>
      </vt:variant>
      <vt:variant>
        <vt:i4>99</vt:i4>
      </vt:variant>
      <vt:variant>
        <vt:i4>0</vt:i4>
      </vt:variant>
      <vt:variant>
        <vt:i4>5</vt:i4>
      </vt:variant>
      <vt:variant>
        <vt:lpwstr>https://environment.ec.europa.eu/topics/nature-and-biodiversity/invasive-alien-species_en</vt:lpwstr>
      </vt:variant>
      <vt:variant>
        <vt:lpwstr/>
      </vt:variant>
      <vt:variant>
        <vt:i4>4849754</vt:i4>
      </vt:variant>
      <vt:variant>
        <vt:i4>96</vt:i4>
      </vt:variant>
      <vt:variant>
        <vt:i4>0</vt:i4>
      </vt:variant>
      <vt:variant>
        <vt:i4>5</vt:i4>
      </vt:variant>
      <vt:variant>
        <vt:lpwstr>http://www.hear.org/pier/</vt:lpwstr>
      </vt:variant>
      <vt:variant>
        <vt:lpwstr/>
      </vt:variant>
      <vt:variant>
        <vt:i4>3735601</vt:i4>
      </vt:variant>
      <vt:variant>
        <vt:i4>93</vt:i4>
      </vt:variant>
      <vt:variant>
        <vt:i4>0</vt:i4>
      </vt:variant>
      <vt:variant>
        <vt:i4>5</vt:i4>
      </vt:variant>
      <vt:variant>
        <vt:lpwstr>https://doi.org/10.1111/2041-210X.12844</vt:lpwstr>
      </vt:variant>
      <vt:variant>
        <vt:lpwstr/>
      </vt:variant>
      <vt:variant>
        <vt:i4>4325378</vt:i4>
      </vt:variant>
      <vt:variant>
        <vt:i4>90</vt:i4>
      </vt:variant>
      <vt:variant>
        <vt:i4>0</vt:i4>
      </vt:variant>
      <vt:variant>
        <vt:i4>5</vt:i4>
      </vt:variant>
      <vt:variant>
        <vt:lpwstr>https://www.cabi.org/PRA-tool</vt:lpwstr>
      </vt:variant>
      <vt:variant>
        <vt:lpwstr/>
      </vt:variant>
      <vt:variant>
        <vt:i4>3538979</vt:i4>
      </vt:variant>
      <vt:variant>
        <vt:i4>87</vt:i4>
      </vt:variant>
      <vt:variant>
        <vt:i4>0</vt:i4>
      </vt:variant>
      <vt:variant>
        <vt:i4>5</vt:i4>
      </vt:variant>
      <vt:variant>
        <vt:lpwstr>https://www.protectedplanet.net/en</vt:lpwstr>
      </vt:variant>
      <vt:variant>
        <vt:lpwstr/>
      </vt:variant>
      <vt:variant>
        <vt:i4>5505028</vt:i4>
      </vt:variant>
      <vt:variant>
        <vt:i4>84</vt:i4>
      </vt:variant>
      <vt:variant>
        <vt:i4>0</vt:i4>
      </vt:variant>
      <vt:variant>
        <vt:i4>5</vt:i4>
      </vt:variant>
      <vt:variant>
        <vt:lpwstr>https://www.keybiodiversityareas.org/</vt:lpwstr>
      </vt:variant>
      <vt:variant>
        <vt:lpwstr/>
      </vt:variant>
      <vt:variant>
        <vt:i4>8192098</vt:i4>
      </vt:variant>
      <vt:variant>
        <vt:i4>81</vt:i4>
      </vt:variant>
      <vt:variant>
        <vt:i4>0</vt:i4>
      </vt:variant>
      <vt:variant>
        <vt:i4>5</vt:i4>
      </vt:variant>
      <vt:variant>
        <vt:lpwstr>https://worldheritageoutlook.iucn.org/</vt:lpwstr>
      </vt:variant>
      <vt:variant>
        <vt:lpwstr/>
      </vt:variant>
      <vt:variant>
        <vt:i4>4980821</vt:i4>
      </vt:variant>
      <vt:variant>
        <vt:i4>78</vt:i4>
      </vt:variant>
      <vt:variant>
        <vt:i4>0</vt:i4>
      </vt:variant>
      <vt:variant>
        <vt:i4>5</vt:i4>
      </vt:variant>
      <vt:variant>
        <vt:lpwstr>https://www.iucnrle.org/</vt:lpwstr>
      </vt:variant>
      <vt:variant>
        <vt:lpwstr/>
      </vt:variant>
      <vt:variant>
        <vt:i4>5898313</vt:i4>
      </vt:variant>
      <vt:variant>
        <vt:i4>75</vt:i4>
      </vt:variant>
      <vt:variant>
        <vt:i4>0</vt:i4>
      </vt:variant>
      <vt:variant>
        <vt:i4>5</vt:i4>
      </vt:variant>
      <vt:variant>
        <vt:lpwstr>https://www.iucnredlist.org/</vt:lpwstr>
      </vt:variant>
      <vt:variant>
        <vt:lpwstr/>
      </vt:variant>
      <vt:variant>
        <vt:i4>6750245</vt:i4>
      </vt:variant>
      <vt:variant>
        <vt:i4>72</vt:i4>
      </vt:variant>
      <vt:variant>
        <vt:i4>0</vt:i4>
      </vt:variant>
      <vt:variant>
        <vt:i4>5</vt:i4>
      </vt:variant>
      <vt:variant>
        <vt:lpwstr>https://doi.org/10.6084/m9.figshare.12668570.v5</vt:lpwstr>
      </vt:variant>
      <vt:variant>
        <vt:lpwstr/>
      </vt:variant>
      <vt:variant>
        <vt:i4>6553704</vt:i4>
      </vt:variant>
      <vt:variant>
        <vt:i4>69</vt:i4>
      </vt:variant>
      <vt:variant>
        <vt:i4>0</vt:i4>
      </vt:variant>
      <vt:variant>
        <vt:i4>5</vt:i4>
      </vt:variant>
      <vt:variant>
        <vt:lpwstr>https://ipbes.net/policy-support/tools-instruments/environmental-impact-classification-alien-taxa-eicat</vt:lpwstr>
      </vt:variant>
      <vt:variant>
        <vt:lpwstr/>
      </vt:variant>
      <vt:variant>
        <vt:i4>4587602</vt:i4>
      </vt:variant>
      <vt:variant>
        <vt:i4>66</vt:i4>
      </vt:variant>
      <vt:variant>
        <vt:i4>0</vt:i4>
      </vt:variant>
      <vt:variant>
        <vt:i4>5</vt:i4>
      </vt:variant>
      <vt:variant>
        <vt:lpwstr>https://www.cabi.org/HorizonScanningTool/</vt:lpwstr>
      </vt:variant>
      <vt:variant>
        <vt:lpwstr/>
      </vt:variant>
      <vt:variant>
        <vt:i4>5832795</vt:i4>
      </vt:variant>
      <vt:variant>
        <vt:i4>63</vt:i4>
      </vt:variant>
      <vt:variant>
        <vt:i4>0</vt:i4>
      </vt:variant>
      <vt:variant>
        <vt:i4>5</vt:i4>
      </vt:variant>
      <vt:variant>
        <vt:lpwstr>https://doi.org/10.1111/gcb.14527</vt:lpwstr>
      </vt:variant>
      <vt:variant>
        <vt:lpwstr/>
      </vt:variant>
      <vt:variant>
        <vt:i4>6226007</vt:i4>
      </vt:variant>
      <vt:variant>
        <vt:i4>60</vt:i4>
      </vt:variant>
      <vt:variant>
        <vt:i4>0</vt:i4>
      </vt:variant>
      <vt:variant>
        <vt:i4>5</vt:i4>
      </vt:variant>
      <vt:variant>
        <vt:lpwstr>https://www.marinespecies.org/introduced/</vt:lpwstr>
      </vt:variant>
      <vt:variant>
        <vt:lpwstr/>
      </vt:variant>
      <vt:variant>
        <vt:i4>2293819</vt:i4>
      </vt:variant>
      <vt:variant>
        <vt:i4>57</vt:i4>
      </vt:variant>
      <vt:variant>
        <vt:i4>0</vt:i4>
      </vt:variant>
      <vt:variant>
        <vt:i4>5</vt:i4>
      </vt:variant>
      <vt:variant>
        <vt:lpwstr>https://doi.org/10.1038/s41597-025-05184-5</vt:lpwstr>
      </vt:variant>
      <vt:variant>
        <vt:lpwstr/>
      </vt:variant>
      <vt:variant>
        <vt:i4>6946875</vt:i4>
      </vt:variant>
      <vt:variant>
        <vt:i4>54</vt:i4>
      </vt:variant>
      <vt:variant>
        <vt:i4>0</vt:i4>
      </vt:variant>
      <vt:variant>
        <vt:i4>5</vt:i4>
      </vt:variant>
      <vt:variant>
        <vt:lpwstr>https://doi.org/10.1038/ncomms14435</vt:lpwstr>
      </vt:variant>
      <vt:variant>
        <vt:lpwstr/>
      </vt:variant>
      <vt:variant>
        <vt:i4>7143456</vt:i4>
      </vt:variant>
      <vt:variant>
        <vt:i4>51</vt:i4>
      </vt:variant>
      <vt:variant>
        <vt:i4>0</vt:i4>
      </vt:variant>
      <vt:variant>
        <vt:i4>5</vt:i4>
      </vt:variant>
      <vt:variant>
        <vt:lpwstr>https://www.iucngisd.org/gisd/</vt:lpwstr>
      </vt:variant>
      <vt:variant>
        <vt:lpwstr/>
      </vt:variant>
      <vt:variant>
        <vt:i4>7929909</vt:i4>
      </vt:variant>
      <vt:variant>
        <vt:i4>48</vt:i4>
      </vt:variant>
      <vt:variant>
        <vt:i4>0</vt:i4>
      </vt:variant>
      <vt:variant>
        <vt:i4>5</vt:i4>
      </vt:variant>
      <vt:variant>
        <vt:lpwstr>https://griis.org/</vt:lpwstr>
      </vt:variant>
      <vt:variant>
        <vt:lpwstr/>
      </vt:variant>
      <vt:variant>
        <vt:i4>2097225</vt:i4>
      </vt:variant>
      <vt:variant>
        <vt:i4>45</vt:i4>
      </vt:variant>
      <vt:variant>
        <vt:i4>0</vt:i4>
      </vt:variant>
      <vt:variant>
        <vt:i4>5</vt:i4>
      </vt:variant>
      <vt:variant>
        <vt:lpwstr>https://www.gbif.org/dataset/search?project_id=GRIIS</vt:lpwstr>
      </vt:variant>
      <vt:variant>
        <vt:lpwstr/>
      </vt:variant>
      <vt:variant>
        <vt:i4>4456466</vt:i4>
      </vt:variant>
      <vt:variant>
        <vt:i4>42</vt:i4>
      </vt:variant>
      <vt:variant>
        <vt:i4>0</vt:i4>
      </vt:variant>
      <vt:variant>
        <vt:i4>5</vt:i4>
      </vt:variant>
      <vt:variant>
        <vt:lpwstr>https://www.gbif.org/</vt:lpwstr>
      </vt:variant>
      <vt:variant>
        <vt:lpwstr/>
      </vt:variant>
      <vt:variant>
        <vt:i4>5242906</vt:i4>
      </vt:variant>
      <vt:variant>
        <vt:i4>39</vt:i4>
      </vt:variant>
      <vt:variant>
        <vt:i4>0</vt:i4>
      </vt:variant>
      <vt:variant>
        <vt:i4>5</vt:i4>
      </vt:variant>
      <vt:variant>
        <vt:lpwstr>https://www.cabidigitallibrary.org/product/QI</vt:lpwstr>
      </vt:variant>
      <vt:variant>
        <vt:lpwstr/>
      </vt:variant>
      <vt:variant>
        <vt:i4>2621555</vt:i4>
      </vt:variant>
      <vt:variant>
        <vt:i4>36</vt:i4>
      </vt:variant>
      <vt:variant>
        <vt:i4>0</vt:i4>
      </vt:variant>
      <vt:variant>
        <vt:i4>5</vt:i4>
      </vt:variant>
      <vt:variant>
        <vt:lpwstr>https://doi.org/10.1111/conl.12981</vt:lpwstr>
      </vt:variant>
      <vt:variant>
        <vt:lpwstr/>
      </vt:variant>
      <vt:variant>
        <vt:i4>393284</vt:i4>
      </vt:variant>
      <vt:variant>
        <vt:i4>33</vt:i4>
      </vt:variant>
      <vt:variant>
        <vt:i4>0</vt:i4>
      </vt:variant>
      <vt:variant>
        <vt:i4>5</vt:i4>
      </vt:variant>
      <vt:variant>
        <vt:lpwstr>https://doi.org/10.3897/biss.3.38084</vt:lpwstr>
      </vt:variant>
      <vt:variant>
        <vt:lpwstr/>
      </vt:variant>
      <vt:variant>
        <vt:i4>2818173</vt:i4>
      </vt:variant>
      <vt:variant>
        <vt:i4>30</vt:i4>
      </vt:variant>
      <vt:variant>
        <vt:i4>0</vt:i4>
      </vt:variant>
      <vt:variant>
        <vt:i4>5</vt:i4>
      </vt:variant>
      <vt:variant>
        <vt:lpwstr>https://www.cbd.int/invasive/cbdtoolkit</vt:lpwstr>
      </vt:variant>
      <vt:variant>
        <vt:lpwstr/>
      </vt:variant>
      <vt:variant>
        <vt:i4>2556018</vt:i4>
      </vt:variant>
      <vt:variant>
        <vt:i4>27</vt:i4>
      </vt:variant>
      <vt:variant>
        <vt:i4>0</vt:i4>
      </vt:variant>
      <vt:variant>
        <vt:i4>5</vt:i4>
      </vt:variant>
      <vt:variant>
        <vt:lpwstr>https://doi.org/10.3389/fams.2017.00013</vt:lpwstr>
      </vt:variant>
      <vt:variant>
        <vt:lpwstr/>
      </vt:variant>
      <vt:variant>
        <vt:i4>393284</vt:i4>
      </vt:variant>
      <vt:variant>
        <vt:i4>24</vt:i4>
      </vt:variant>
      <vt:variant>
        <vt:i4>0</vt:i4>
      </vt:variant>
      <vt:variant>
        <vt:i4>5</vt:i4>
      </vt:variant>
      <vt:variant>
        <vt:lpwstr>https://doi.org/10.3897/biss.3.38084</vt:lpwstr>
      </vt:variant>
      <vt:variant>
        <vt:lpwstr/>
      </vt:variant>
      <vt:variant>
        <vt:i4>3407972</vt:i4>
      </vt:variant>
      <vt:variant>
        <vt:i4>21</vt:i4>
      </vt:variant>
      <vt:variant>
        <vt:i4>0</vt:i4>
      </vt:variant>
      <vt:variant>
        <vt:i4>5</vt:i4>
      </vt:variant>
      <vt:variant>
        <vt:lpwstr>https://doi.org/10.1016/j.pecon.2023.11.004</vt:lpwstr>
      </vt:variant>
      <vt:variant>
        <vt:lpwstr/>
      </vt:variant>
      <vt:variant>
        <vt:i4>327753</vt:i4>
      </vt:variant>
      <vt:variant>
        <vt:i4>18</vt:i4>
      </vt:variant>
      <vt:variant>
        <vt:i4>0</vt:i4>
      </vt:variant>
      <vt:variant>
        <vt:i4>5</vt:i4>
      </vt:variant>
      <vt:variant>
        <vt:lpwstr>https://www.cbd.int/doc/decisions/cop-16/cop-16-dec-18-en.pdf</vt:lpwstr>
      </vt:variant>
      <vt:variant>
        <vt:lpwstr/>
      </vt:variant>
      <vt:variant>
        <vt:i4>7995451</vt:i4>
      </vt:variant>
      <vt:variant>
        <vt:i4>15</vt:i4>
      </vt:variant>
      <vt:variant>
        <vt:i4>0</vt:i4>
      </vt:variant>
      <vt:variant>
        <vt:i4>5</vt:i4>
      </vt:variant>
      <vt:variant>
        <vt:lpwstr>https://doi.org/10.5281/zenodo.7430682</vt:lpwstr>
      </vt:variant>
      <vt:variant>
        <vt:lpwstr/>
      </vt:variant>
      <vt:variant>
        <vt:i4>4784155</vt:i4>
      </vt:variant>
      <vt:variant>
        <vt:i4>9</vt:i4>
      </vt:variant>
      <vt:variant>
        <vt:i4>0</vt:i4>
      </vt:variant>
      <vt:variant>
        <vt:i4>5</vt:i4>
      </vt:variant>
      <vt:variant>
        <vt:lpwstr>https://www.cbd.int/invasive/trainingias</vt:lpwstr>
      </vt:variant>
      <vt:variant>
        <vt:lpwstr/>
      </vt:variant>
      <vt:variant>
        <vt:i4>2359423</vt:i4>
      </vt:variant>
      <vt:variant>
        <vt:i4>6</vt:i4>
      </vt:variant>
      <vt:variant>
        <vt:i4>0</vt:i4>
      </vt:variant>
      <vt:variant>
        <vt:i4>5</vt:i4>
      </vt:variant>
      <vt:variant>
        <vt:lpwstr>https://www.cbd.int/meetings/IAS-OM-2025-01</vt:lpwstr>
      </vt:variant>
      <vt:variant>
        <vt:lpwstr/>
      </vt:variant>
      <vt:variant>
        <vt:i4>6553648</vt:i4>
      </vt:variant>
      <vt:variant>
        <vt:i4>3</vt:i4>
      </vt:variant>
      <vt:variant>
        <vt:i4>0</vt:i4>
      </vt:variant>
      <vt:variant>
        <vt:i4>5</vt:i4>
      </vt:variant>
      <vt:variant>
        <vt:lpwstr>https://www.cbd.int/invasive/current/Webinars.shtml</vt:lpwstr>
      </vt:variant>
      <vt:variant>
        <vt:lpwstr/>
      </vt:variant>
      <vt:variant>
        <vt:i4>327753</vt:i4>
      </vt:variant>
      <vt:variant>
        <vt:i4>0</vt:i4>
      </vt:variant>
      <vt:variant>
        <vt:i4>0</vt:i4>
      </vt:variant>
      <vt:variant>
        <vt:i4>5</vt:i4>
      </vt:variant>
      <vt:variant>
        <vt:lpwstr>https://www.cbd.int/doc/decisions/cop-16/cop-16-dec-18-en.pdf</vt:lpwstr>
      </vt:variant>
      <vt:variant>
        <vt:lpwstr/>
      </vt:variant>
      <vt:variant>
        <vt:i4>983110</vt:i4>
      </vt:variant>
      <vt:variant>
        <vt:i4>0</vt:i4>
      </vt:variant>
      <vt:variant>
        <vt:i4>0</vt:i4>
      </vt:variant>
      <vt:variant>
        <vt:i4>5</vt:i4>
      </vt:variant>
      <vt:variant>
        <vt:lpwstr>https://www.cbd.int/doc/c/b53d/3fe1/ade3fe0f3545dfadcf156c00/cop-16-inf-28-en.pdf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Activities undertaken in collaboration with the Inter-Agency Liaison Group on Invasive Alien Species</dc:title>
  <dc:subject/>
  <dc:creator>Secretariat of the Convention on Biological Diversity</dc:creator>
  <cp:keywords>Subsidiary Body on Scientific, Technical and Technological Advice, twenty-seventh meeting</cp:keywords>
  <dc:description/>
  <cp:lastModifiedBy>Veronique Lefebvre</cp:lastModifiedBy>
  <cp:revision>4</cp:revision>
  <dcterms:created xsi:type="dcterms:W3CDTF">2025-09-26T20:08:00Z</dcterms:created>
  <dcterms:modified xsi:type="dcterms:W3CDTF">2025-09-26T20:10:00Z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y fmtid="{D5CDD505-2E9C-101B-9397-08002B2CF9AE}" pid="10" name="GrammarlyDocumentId">
    <vt:lpwstr>cd57b8da-9d73-4fe7-af17-3ba5f8b017eb</vt:lpwstr>
  </property>
</Properties>
</file>