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BC705C" w14:paraId="66DF5B2A" w14:textId="77777777" w:rsidTr="00F2049D">
        <w:trPr>
          <w:trHeight w:val="709"/>
        </w:trPr>
        <w:tc>
          <w:tcPr>
            <w:tcW w:w="976" w:type="dxa"/>
            <w:tcBorders>
              <w:bottom w:val="single" w:sz="12" w:space="0" w:color="auto"/>
            </w:tcBorders>
          </w:tcPr>
          <w:p w14:paraId="6C7A329D" w14:textId="77777777" w:rsidR="00207A6E" w:rsidRPr="007B3E88" w:rsidRDefault="00207A6E" w:rsidP="007B3E88">
            <w:pPr>
              <w:suppressLineNumbers/>
              <w:suppressAutoHyphens/>
              <w:kinsoku w:val="0"/>
              <w:overflowPunct w:val="0"/>
              <w:autoSpaceDE w:val="0"/>
              <w:autoSpaceDN w:val="0"/>
              <w:rPr>
                <w:kern w:val="22"/>
              </w:rPr>
            </w:pPr>
            <w:r w:rsidRPr="007B3E88">
              <w:rPr>
                <w:noProof/>
                <w:kern w:val="22"/>
                <w:lang w:eastAsia="zh-CN"/>
              </w:rPr>
              <w:drawing>
                <wp:inline distT="0" distB="0" distL="0" distR="0" wp14:anchorId="486BD634" wp14:editId="6C0552E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6F4AB65" w14:textId="77777777" w:rsidR="00207A6E" w:rsidRPr="007B3E88" w:rsidRDefault="00207A6E" w:rsidP="007B3E88">
            <w:pPr>
              <w:suppressLineNumbers/>
              <w:suppressAutoHyphens/>
              <w:kinsoku w:val="0"/>
              <w:overflowPunct w:val="0"/>
              <w:autoSpaceDE w:val="0"/>
              <w:autoSpaceDN w:val="0"/>
              <w:rPr>
                <w:kern w:val="22"/>
              </w:rPr>
            </w:pPr>
            <w:r w:rsidRPr="007B3E88">
              <w:rPr>
                <w:noProof/>
                <w:kern w:val="22"/>
                <w:lang w:eastAsia="zh-CN"/>
              </w:rPr>
              <w:drawing>
                <wp:inline distT="0" distB="0" distL="0" distR="0" wp14:anchorId="234AECE5" wp14:editId="0C6ED9D9">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600CFF" w14:textId="77777777" w:rsidR="00207A6E" w:rsidRPr="007B3E88" w:rsidRDefault="00207A6E" w:rsidP="007B3E88">
            <w:pPr>
              <w:suppressLineNumbers/>
              <w:suppressAutoHyphens/>
              <w:kinsoku w:val="0"/>
              <w:overflowPunct w:val="0"/>
              <w:autoSpaceDE w:val="0"/>
              <w:autoSpaceDN w:val="0"/>
              <w:jc w:val="right"/>
              <w:rPr>
                <w:rFonts w:ascii="Arial" w:hAnsi="Arial" w:cs="Arial"/>
                <w:b/>
                <w:kern w:val="22"/>
                <w:sz w:val="32"/>
                <w:szCs w:val="32"/>
              </w:rPr>
            </w:pPr>
            <w:r w:rsidRPr="007B3E88">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BC705C" w14:paraId="38F0CEB2" w14:textId="77777777" w:rsidTr="00ED0506">
        <w:trPr>
          <w:trHeight w:val="2232"/>
        </w:trPr>
        <w:tc>
          <w:tcPr>
            <w:tcW w:w="6227" w:type="dxa"/>
            <w:tcBorders>
              <w:top w:val="nil"/>
              <w:bottom w:val="single" w:sz="36" w:space="0" w:color="000000"/>
            </w:tcBorders>
          </w:tcPr>
          <w:p w14:paraId="21B953DE" w14:textId="77777777" w:rsidR="00F16F02" w:rsidRPr="00BC705C" w:rsidRDefault="00F16F02" w:rsidP="007B3E88">
            <w:pPr>
              <w:suppressLineNumbers/>
              <w:suppressAutoHyphens/>
              <w:kinsoku w:val="0"/>
              <w:overflowPunct w:val="0"/>
              <w:autoSpaceDE w:val="0"/>
              <w:autoSpaceDN w:val="0"/>
              <w:rPr>
                <w:snapToGrid w:val="0"/>
                <w:kern w:val="22"/>
              </w:rPr>
            </w:pPr>
          </w:p>
          <w:p w14:paraId="5DD33DEB" w14:textId="77777777" w:rsidR="00F16F02" w:rsidRPr="00BC705C" w:rsidRDefault="00F16F02" w:rsidP="007B3E88">
            <w:pPr>
              <w:suppressLineNumbers/>
              <w:suppressAutoHyphens/>
              <w:kinsoku w:val="0"/>
              <w:overflowPunct w:val="0"/>
              <w:autoSpaceDE w:val="0"/>
              <w:autoSpaceDN w:val="0"/>
              <w:rPr>
                <w:snapToGrid w:val="0"/>
                <w:kern w:val="22"/>
              </w:rPr>
            </w:pPr>
            <w:r w:rsidRPr="0052476E">
              <w:rPr>
                <w:noProof/>
                <w:kern w:val="22"/>
                <w:lang w:eastAsia="zh-CN"/>
              </w:rPr>
              <w:drawing>
                <wp:inline distT="0" distB="0" distL="0" distR="0" wp14:anchorId="13A80658" wp14:editId="30080D6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0BFB4B26" w14:textId="77777777" w:rsidR="00F16F02" w:rsidRPr="00BC705C" w:rsidRDefault="00F16F02" w:rsidP="007B3E88">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14:paraId="427E9E10" w14:textId="77777777" w:rsidR="00F16F02" w:rsidRPr="00F52EA3" w:rsidRDefault="00F16F02" w:rsidP="007B3E88">
            <w:pPr>
              <w:suppressLineNumbers/>
              <w:suppressAutoHyphens/>
              <w:kinsoku w:val="0"/>
              <w:overflowPunct w:val="0"/>
              <w:autoSpaceDE w:val="0"/>
              <w:autoSpaceDN w:val="0"/>
              <w:ind w:left="63"/>
              <w:rPr>
                <w:snapToGrid w:val="0"/>
                <w:kern w:val="22"/>
                <w:szCs w:val="22"/>
              </w:rPr>
            </w:pPr>
            <w:r w:rsidRPr="00F52EA3">
              <w:rPr>
                <w:snapToGrid w:val="0"/>
                <w:kern w:val="22"/>
                <w:szCs w:val="22"/>
              </w:rPr>
              <w:t>Distr.</w:t>
            </w:r>
          </w:p>
          <w:p w14:paraId="0E829A91" w14:textId="77777777" w:rsidR="00F16F02" w:rsidRPr="00F52EA3" w:rsidRDefault="00F16F02" w:rsidP="007B3E88">
            <w:pPr>
              <w:suppressLineNumbers/>
              <w:suppressAutoHyphens/>
              <w:kinsoku w:val="0"/>
              <w:overflowPunct w:val="0"/>
              <w:autoSpaceDE w:val="0"/>
              <w:autoSpaceDN w:val="0"/>
              <w:ind w:left="63"/>
              <w:rPr>
                <w:snapToGrid w:val="0"/>
                <w:kern w:val="22"/>
                <w:szCs w:val="22"/>
              </w:rPr>
            </w:pPr>
            <w:r w:rsidRPr="00F52EA3">
              <w:rPr>
                <w:snapToGrid w:val="0"/>
                <w:kern w:val="22"/>
                <w:szCs w:val="22"/>
              </w:rPr>
              <w:t>GENERAL</w:t>
            </w:r>
          </w:p>
          <w:p w14:paraId="43705C7B" w14:textId="77777777" w:rsidR="00F16F02" w:rsidRPr="00F15134" w:rsidRDefault="00F16F02" w:rsidP="007B3E88">
            <w:pPr>
              <w:suppressLineNumbers/>
              <w:suppressAutoHyphens/>
              <w:kinsoku w:val="0"/>
              <w:overflowPunct w:val="0"/>
              <w:autoSpaceDE w:val="0"/>
              <w:autoSpaceDN w:val="0"/>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898B02D" w14:textId="77777777" w:rsidR="00F16F02" w:rsidRPr="00F52EA3" w:rsidRDefault="0067362A" w:rsidP="007B3E88">
                <w:pPr>
                  <w:suppressLineNumbers/>
                  <w:suppressAutoHyphens/>
                  <w:kinsoku w:val="0"/>
                  <w:overflowPunct w:val="0"/>
                  <w:autoSpaceDE w:val="0"/>
                  <w:autoSpaceDN w:val="0"/>
                  <w:ind w:left="63"/>
                  <w:rPr>
                    <w:snapToGrid w:val="0"/>
                    <w:kern w:val="22"/>
                    <w:szCs w:val="22"/>
                  </w:rPr>
                </w:pPr>
                <w:r w:rsidRPr="00F52EA3">
                  <w:rPr>
                    <w:snapToGrid w:val="0"/>
                    <w:kern w:val="22"/>
                    <w:szCs w:val="22"/>
                    <w:lang w:val="en-CA"/>
                  </w:rPr>
                  <w:t>CBD/SBSTTA/22/6</w:t>
                </w:r>
              </w:p>
            </w:sdtContent>
          </w:sdt>
          <w:p w14:paraId="24AB91DB" w14:textId="77777777" w:rsidR="00F16F02" w:rsidRPr="00FF7000" w:rsidRDefault="003E73EE" w:rsidP="007B3E88">
            <w:pPr>
              <w:suppressLineNumbers/>
              <w:suppressAutoHyphens/>
              <w:kinsoku w:val="0"/>
              <w:overflowPunct w:val="0"/>
              <w:autoSpaceDE w:val="0"/>
              <w:autoSpaceDN w:val="0"/>
              <w:ind w:left="63"/>
              <w:rPr>
                <w:snapToGrid w:val="0"/>
                <w:kern w:val="22"/>
                <w:szCs w:val="22"/>
              </w:rPr>
            </w:pPr>
            <w:r w:rsidRPr="00F52EA3">
              <w:rPr>
                <w:snapToGrid w:val="0"/>
                <w:kern w:val="22"/>
                <w:szCs w:val="22"/>
              </w:rPr>
              <w:t xml:space="preserve">22 March </w:t>
            </w:r>
            <w:r w:rsidR="00D15589" w:rsidRPr="00FF7000">
              <w:rPr>
                <w:snapToGrid w:val="0"/>
                <w:kern w:val="22"/>
                <w:szCs w:val="22"/>
              </w:rPr>
              <w:t>2018</w:t>
            </w:r>
          </w:p>
          <w:p w14:paraId="65073A6D" w14:textId="77777777" w:rsidR="00F16F02" w:rsidRPr="00F15134" w:rsidRDefault="00F16F02" w:rsidP="007B3E88">
            <w:pPr>
              <w:suppressLineNumbers/>
              <w:suppressAutoHyphens/>
              <w:kinsoku w:val="0"/>
              <w:overflowPunct w:val="0"/>
              <w:autoSpaceDE w:val="0"/>
              <w:autoSpaceDN w:val="0"/>
              <w:ind w:left="63"/>
              <w:rPr>
                <w:snapToGrid w:val="0"/>
                <w:kern w:val="22"/>
                <w:szCs w:val="22"/>
              </w:rPr>
            </w:pPr>
          </w:p>
          <w:p w14:paraId="61594675" w14:textId="77777777" w:rsidR="00F16F02" w:rsidRPr="007B3E88" w:rsidRDefault="00F16F02" w:rsidP="007B3E88">
            <w:pPr>
              <w:suppressLineNumbers/>
              <w:suppressAutoHyphens/>
              <w:kinsoku w:val="0"/>
              <w:overflowPunct w:val="0"/>
              <w:autoSpaceDE w:val="0"/>
              <w:autoSpaceDN w:val="0"/>
              <w:ind w:left="63"/>
              <w:rPr>
                <w:snapToGrid w:val="0"/>
                <w:kern w:val="22"/>
                <w:szCs w:val="22"/>
                <w:u w:val="single"/>
              </w:rPr>
            </w:pPr>
            <w:r w:rsidRPr="00FF3FEA">
              <w:rPr>
                <w:snapToGrid w:val="0"/>
                <w:kern w:val="22"/>
                <w:szCs w:val="22"/>
              </w:rPr>
              <w:t>ORIGINAL:  ENGLISH</w:t>
            </w:r>
          </w:p>
        </w:tc>
      </w:tr>
    </w:tbl>
    <w:bookmarkStart w:id="0" w:name="Meeting"/>
    <w:p w14:paraId="0936547D" w14:textId="227927CB" w:rsidR="00CA6B87" w:rsidRPr="00BE1E85" w:rsidRDefault="007B3E88" w:rsidP="007B3E88">
      <w:pPr>
        <w:pStyle w:val="meetingname"/>
        <w:suppressLineNumbers/>
        <w:suppressAutoHyphens/>
        <w:kinsoku w:val="0"/>
        <w:overflowPunct w:val="0"/>
        <w:autoSpaceDE w:val="0"/>
        <w:autoSpaceDN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7B3E88">
            <w:rPr>
              <w:kern w:val="22"/>
              <w:szCs w:val="22"/>
            </w:rPr>
            <w:t>SUBSIDIARY BODY ON SCIENTIFIC, TECHNICAL AND TECHNOLOGICAL ADVICE</w:t>
          </w:r>
        </w:sdtContent>
      </w:sdt>
      <w:bookmarkEnd w:id="0"/>
    </w:p>
    <w:p w14:paraId="04540061" w14:textId="77777777" w:rsidR="00D51069" w:rsidRPr="00BE1E85" w:rsidRDefault="00D51069" w:rsidP="007B3E88">
      <w:pPr>
        <w:suppressLineNumbers/>
        <w:suppressAutoHyphens/>
        <w:kinsoku w:val="0"/>
        <w:overflowPunct w:val="0"/>
        <w:autoSpaceDE w:val="0"/>
        <w:autoSpaceDN w:val="0"/>
        <w:rPr>
          <w:snapToGrid w:val="0"/>
          <w:kern w:val="22"/>
          <w:szCs w:val="22"/>
          <w:lang w:eastAsia="nb-NO"/>
        </w:rPr>
      </w:pPr>
      <w:r w:rsidRPr="00BE1E85">
        <w:rPr>
          <w:snapToGrid w:val="0"/>
          <w:kern w:val="22"/>
          <w:szCs w:val="22"/>
          <w:lang w:eastAsia="nb-NO"/>
        </w:rPr>
        <w:t>Twenty-</w:t>
      </w:r>
      <w:r w:rsidR="00FB3B70" w:rsidRPr="00BE1E85">
        <w:rPr>
          <w:snapToGrid w:val="0"/>
          <w:kern w:val="22"/>
          <w:szCs w:val="22"/>
          <w:lang w:eastAsia="nb-NO"/>
        </w:rPr>
        <w:t>second</w:t>
      </w:r>
      <w:r w:rsidRPr="00BE1E85">
        <w:rPr>
          <w:snapToGrid w:val="0"/>
          <w:kern w:val="22"/>
          <w:szCs w:val="22"/>
          <w:lang w:eastAsia="nb-NO"/>
        </w:rPr>
        <w:t xml:space="preserve"> meeting</w:t>
      </w:r>
    </w:p>
    <w:p w14:paraId="259F28DC" w14:textId="77777777" w:rsidR="00CA6B87" w:rsidRPr="00BE1E85" w:rsidRDefault="00D51069" w:rsidP="007B3E88">
      <w:pPr>
        <w:suppressLineNumbers/>
        <w:suppressAutoHyphens/>
        <w:kinsoku w:val="0"/>
        <w:overflowPunct w:val="0"/>
        <w:autoSpaceDE w:val="0"/>
        <w:autoSpaceDN w:val="0"/>
        <w:rPr>
          <w:snapToGrid w:val="0"/>
          <w:kern w:val="22"/>
          <w:szCs w:val="22"/>
          <w:lang w:eastAsia="nb-NO"/>
        </w:rPr>
      </w:pPr>
      <w:r w:rsidRPr="00BE1E85">
        <w:rPr>
          <w:snapToGrid w:val="0"/>
          <w:kern w:val="22"/>
          <w:szCs w:val="22"/>
          <w:lang w:eastAsia="nb-NO"/>
        </w:rPr>
        <w:t>Montreal</w:t>
      </w:r>
      <w:r w:rsidR="00CA6B87" w:rsidRPr="00BE1E85">
        <w:rPr>
          <w:snapToGrid w:val="0"/>
          <w:kern w:val="22"/>
          <w:szCs w:val="22"/>
          <w:lang w:eastAsia="nb-NO"/>
        </w:rPr>
        <w:t xml:space="preserve">, </w:t>
      </w:r>
      <w:r w:rsidRPr="00BE1E85">
        <w:rPr>
          <w:snapToGrid w:val="0"/>
          <w:kern w:val="22"/>
          <w:szCs w:val="22"/>
          <w:lang w:eastAsia="nb-NO"/>
        </w:rPr>
        <w:t xml:space="preserve">Canada, </w:t>
      </w:r>
      <w:r w:rsidR="00D15589" w:rsidRPr="00BE1E85">
        <w:rPr>
          <w:snapToGrid w:val="0"/>
          <w:kern w:val="22"/>
          <w:szCs w:val="22"/>
          <w:lang w:eastAsia="nb-NO"/>
        </w:rPr>
        <w:t>2-7 July 2018</w:t>
      </w:r>
    </w:p>
    <w:p w14:paraId="65EF4C6C" w14:textId="77777777" w:rsidR="00CA6B87" w:rsidRPr="00BE1E85" w:rsidRDefault="00D51069" w:rsidP="007B3E88">
      <w:pPr>
        <w:suppressLineNumbers/>
        <w:suppressAutoHyphens/>
        <w:kinsoku w:val="0"/>
        <w:overflowPunct w:val="0"/>
        <w:autoSpaceDE w:val="0"/>
        <w:autoSpaceDN w:val="0"/>
        <w:rPr>
          <w:snapToGrid w:val="0"/>
          <w:kern w:val="22"/>
          <w:szCs w:val="22"/>
          <w:lang w:eastAsia="nb-NO"/>
        </w:rPr>
      </w:pPr>
      <w:r w:rsidRPr="00BE1E85">
        <w:rPr>
          <w:snapToGrid w:val="0"/>
          <w:kern w:val="22"/>
          <w:szCs w:val="22"/>
          <w:lang w:eastAsia="nb-NO"/>
        </w:rPr>
        <w:t>I</w:t>
      </w:r>
      <w:r w:rsidR="00CA6B87" w:rsidRPr="00BE1E85">
        <w:rPr>
          <w:snapToGrid w:val="0"/>
          <w:kern w:val="22"/>
          <w:szCs w:val="22"/>
          <w:lang w:eastAsia="nb-NO"/>
        </w:rPr>
        <w:t xml:space="preserve">tem </w:t>
      </w:r>
      <w:r w:rsidR="0067362A" w:rsidRPr="00BE1E85">
        <w:rPr>
          <w:snapToGrid w:val="0"/>
          <w:kern w:val="22"/>
          <w:szCs w:val="22"/>
          <w:lang w:eastAsia="nb-NO"/>
        </w:rPr>
        <w:t xml:space="preserve">7 </w:t>
      </w:r>
      <w:r w:rsidRPr="00BE1E85">
        <w:rPr>
          <w:snapToGrid w:val="0"/>
          <w:kern w:val="22"/>
          <w:szCs w:val="22"/>
          <w:lang w:eastAsia="nb-NO"/>
        </w:rPr>
        <w:t>of the provisional agenda</w:t>
      </w:r>
      <w:r w:rsidRPr="007B3E88">
        <w:rPr>
          <w:rStyle w:val="FootnoteReference"/>
          <w:snapToGrid w:val="0"/>
          <w:kern w:val="22"/>
          <w:sz w:val="22"/>
          <w:szCs w:val="22"/>
          <w:u w:val="none"/>
          <w:lang w:eastAsia="nb-NO"/>
        </w:rPr>
        <w:footnoteReference w:customMarkFollows="1" w:id="1"/>
        <w:t>*</w:t>
      </w:r>
    </w:p>
    <w:p w14:paraId="2853B689" w14:textId="41184219" w:rsidR="00406BC6" w:rsidRPr="007B3E88" w:rsidRDefault="007B3E88" w:rsidP="007B3E88">
      <w:pPr>
        <w:pStyle w:val="Heading1"/>
        <w:suppressLineNumbers/>
        <w:tabs>
          <w:tab w:val="clear" w:pos="720"/>
        </w:tabs>
        <w:suppressAutoHyphens/>
        <w:kinsoku w:val="0"/>
        <w:overflowPunct w:val="0"/>
        <w:autoSpaceDE w:val="0"/>
        <w:autoSpaceDN w:val="0"/>
        <w:rPr>
          <w:snapToGrid w:val="0"/>
          <w:kern w:val="22"/>
          <w:szCs w:val="22"/>
          <w:lang w:val="en-US"/>
        </w:rPr>
      </w:pPr>
      <w:sdt>
        <w:sdtPr>
          <w:rPr>
            <w:bCs/>
            <w:snapToGrid w:val="0"/>
            <w:kern w:val="22"/>
            <w:szCs w:val="22"/>
          </w:rPr>
          <w:alias w:val="Title"/>
          <w:tag w:val=""/>
          <w:id w:val="1728192591"/>
          <w:placeholder>
            <w:docPart w:val="97D82C77193D4DCEB52E502FD008E7DA"/>
          </w:placeholder>
          <w:dataBinding w:prefixMappings="xmlns:ns0='http://purl.org/dc/elements/1.1/' xmlns:ns1='http://schemas.openxmlformats.org/package/2006/metadata/core-properties' " w:xpath="/ns1:coreProperties[1]/ns0:title[1]" w:storeItemID="{6C3C8BC8-F283-45AE-878A-BAB7291924A1}"/>
          <w:text/>
        </w:sdtPr>
        <w:sdtEndPr/>
        <w:sdtContent>
          <w:r w:rsidR="00F40894" w:rsidRPr="007B3E88">
            <w:rPr>
              <w:bCs/>
              <w:snapToGrid w:val="0"/>
              <w:kern w:val="22"/>
              <w:szCs w:val="22"/>
            </w:rPr>
            <w:t>Protected areas and other</w:t>
          </w:r>
          <w:r w:rsidR="002203F9" w:rsidRPr="007B3E88">
            <w:rPr>
              <w:bCs/>
              <w:snapToGrid w:val="0"/>
              <w:kern w:val="22"/>
              <w:szCs w:val="22"/>
            </w:rPr>
            <w:t xml:space="preserve"> effective area-based conservation</w:t>
          </w:r>
          <w:r w:rsidR="00F40894" w:rsidRPr="007B3E88">
            <w:rPr>
              <w:bCs/>
              <w:snapToGrid w:val="0"/>
              <w:kern w:val="22"/>
              <w:szCs w:val="22"/>
            </w:rPr>
            <w:t> measures</w:t>
          </w:r>
        </w:sdtContent>
      </w:sdt>
    </w:p>
    <w:p w14:paraId="2E8E5D71" w14:textId="77777777" w:rsidR="00C85EA4" w:rsidRPr="007B3E88" w:rsidRDefault="00C85EA4" w:rsidP="007B3E88">
      <w:pPr>
        <w:pStyle w:val="Heading2"/>
        <w:keepNext w:val="0"/>
        <w:suppressLineNumbers/>
        <w:tabs>
          <w:tab w:val="clear" w:pos="720"/>
        </w:tabs>
        <w:suppressAutoHyphens/>
        <w:kinsoku w:val="0"/>
        <w:overflowPunct w:val="0"/>
        <w:autoSpaceDE w:val="0"/>
        <w:autoSpaceDN w:val="0"/>
        <w:rPr>
          <w:b w:val="0"/>
          <w:i/>
          <w:kern w:val="22"/>
          <w:szCs w:val="22"/>
          <w:lang w:val="en-US"/>
        </w:rPr>
      </w:pPr>
      <w:r w:rsidRPr="007B3E88">
        <w:rPr>
          <w:b w:val="0"/>
          <w:i/>
          <w:kern w:val="22"/>
          <w:szCs w:val="22"/>
          <w:lang w:val="en-US"/>
        </w:rPr>
        <w:t>Note by the Executive Secretary</w:t>
      </w:r>
    </w:p>
    <w:p w14:paraId="26A39051" w14:textId="77777777" w:rsidR="00CF42EB" w:rsidRPr="00BE1E85" w:rsidRDefault="005364AB" w:rsidP="007B3E88">
      <w:pPr>
        <w:pStyle w:val="Heading1"/>
        <w:keepNext/>
        <w:suppressLineNumbers/>
        <w:tabs>
          <w:tab w:val="clear" w:pos="720"/>
        </w:tabs>
        <w:suppressAutoHyphens/>
        <w:kinsoku w:val="0"/>
        <w:overflowPunct w:val="0"/>
        <w:autoSpaceDE w:val="0"/>
        <w:autoSpaceDN w:val="0"/>
        <w:rPr>
          <w:snapToGrid w:val="0"/>
          <w:kern w:val="22"/>
          <w:szCs w:val="22"/>
        </w:rPr>
      </w:pPr>
      <w:r w:rsidRPr="00BE1E85">
        <w:rPr>
          <w:snapToGrid w:val="0"/>
          <w:kern w:val="22"/>
          <w:szCs w:val="22"/>
        </w:rPr>
        <w:t>Introduction</w:t>
      </w:r>
    </w:p>
    <w:p w14:paraId="304CBD30" w14:textId="5054E226" w:rsidR="00BA6AD8" w:rsidRPr="006A64B0" w:rsidRDefault="00610BEF" w:rsidP="007B3E88">
      <w:pPr>
        <w:pStyle w:val="Para1"/>
        <w:suppressLineNumbers/>
        <w:tabs>
          <w:tab w:val="clear" w:pos="360"/>
        </w:tabs>
        <w:suppressAutoHyphens/>
        <w:kinsoku w:val="0"/>
        <w:overflowPunct w:val="0"/>
        <w:autoSpaceDE w:val="0"/>
        <w:autoSpaceDN w:val="0"/>
        <w:spacing w:before="0"/>
        <w:rPr>
          <w:kern w:val="22"/>
          <w:szCs w:val="22"/>
        </w:rPr>
      </w:pPr>
      <w:r w:rsidRPr="007B3E88">
        <w:rPr>
          <w:rFonts w:eastAsia="Calibri"/>
          <w:kern w:val="22"/>
          <w:szCs w:val="22"/>
        </w:rPr>
        <w:t xml:space="preserve">In </w:t>
      </w:r>
      <w:r w:rsidR="00BC141E">
        <w:rPr>
          <w:rFonts w:eastAsia="Calibri"/>
          <w:kern w:val="22"/>
          <w:szCs w:val="22"/>
        </w:rPr>
        <w:t>Conference of the Partie</w:t>
      </w:r>
      <w:bookmarkStart w:id="1" w:name="_GoBack"/>
      <w:bookmarkEnd w:id="1"/>
      <w:r w:rsidR="00BC141E">
        <w:rPr>
          <w:rFonts w:eastAsia="Calibri"/>
          <w:kern w:val="22"/>
          <w:szCs w:val="22"/>
        </w:rPr>
        <w:t>s</w:t>
      </w:r>
      <w:r w:rsidR="00BC141E" w:rsidRPr="00E6753A">
        <w:rPr>
          <w:rFonts w:eastAsia="Calibri"/>
          <w:kern w:val="22"/>
          <w:szCs w:val="22"/>
        </w:rPr>
        <w:t xml:space="preserve"> </w:t>
      </w:r>
      <w:r w:rsidR="00840860" w:rsidRPr="00E6753A">
        <w:rPr>
          <w:rFonts w:eastAsia="Calibri"/>
          <w:kern w:val="22"/>
          <w:szCs w:val="22"/>
        </w:rPr>
        <w:t xml:space="preserve">decision </w:t>
      </w:r>
      <w:hyperlink r:id="rId11" w:history="1">
        <w:r w:rsidR="00840860" w:rsidRPr="00E6753A">
          <w:rPr>
            <w:rStyle w:val="Hyperlink"/>
            <w:rFonts w:eastAsia="Calibri"/>
            <w:kern w:val="22"/>
            <w:szCs w:val="22"/>
          </w:rPr>
          <w:t>XIII/2</w:t>
        </w:r>
      </w:hyperlink>
      <w:r w:rsidR="00840860">
        <w:rPr>
          <w:rFonts w:eastAsia="Calibri"/>
          <w:kern w:val="22"/>
          <w:szCs w:val="22"/>
        </w:rPr>
        <w:t xml:space="preserve">, </w:t>
      </w:r>
      <w:r w:rsidR="00A73650" w:rsidRPr="007B3E88">
        <w:rPr>
          <w:rFonts w:eastAsia="Calibri"/>
          <w:kern w:val="22"/>
          <w:szCs w:val="22"/>
        </w:rPr>
        <w:t>paragra</w:t>
      </w:r>
      <w:r w:rsidR="00D6350C" w:rsidRPr="007B3E88">
        <w:rPr>
          <w:rFonts w:eastAsia="Calibri"/>
          <w:kern w:val="22"/>
          <w:szCs w:val="22"/>
        </w:rPr>
        <w:t>ph</w:t>
      </w:r>
      <w:r w:rsidR="0067362A" w:rsidRPr="007B3E88">
        <w:rPr>
          <w:rFonts w:eastAsia="Calibri"/>
          <w:kern w:val="22"/>
          <w:szCs w:val="22"/>
        </w:rPr>
        <w:t xml:space="preserve"> </w:t>
      </w:r>
      <w:r w:rsidR="00A73650" w:rsidRPr="007B3E88">
        <w:rPr>
          <w:rFonts w:eastAsia="Calibri"/>
          <w:kern w:val="22"/>
          <w:szCs w:val="22"/>
        </w:rPr>
        <w:t>9(a</w:t>
      </w:r>
      <w:r w:rsidR="00E80560" w:rsidRPr="007B3E88">
        <w:rPr>
          <w:rFonts w:eastAsia="Calibri"/>
          <w:kern w:val="22"/>
          <w:szCs w:val="22"/>
        </w:rPr>
        <w:t>)</w:t>
      </w:r>
      <w:r w:rsidR="00840860">
        <w:rPr>
          <w:rFonts w:eastAsia="Calibri"/>
          <w:kern w:val="22"/>
          <w:szCs w:val="22"/>
        </w:rPr>
        <w:t>,</w:t>
      </w:r>
      <w:r w:rsidR="005364AB" w:rsidRPr="007B3E88">
        <w:rPr>
          <w:rFonts w:eastAsia="Calibri"/>
          <w:kern w:val="22"/>
          <w:szCs w:val="22"/>
        </w:rPr>
        <w:t xml:space="preserve"> Parties, other Governments, relevant partners, regional agencies, bilateral and multilateral funding agencies, in conjunction with</w:t>
      </w:r>
      <w:r w:rsidR="005364AB" w:rsidRPr="007B3E88">
        <w:rPr>
          <w:rFonts w:eastAsia="Calibri"/>
          <w:i/>
          <w:kern w:val="22"/>
          <w:szCs w:val="22"/>
        </w:rPr>
        <w:t xml:space="preserve"> </w:t>
      </w:r>
      <w:r w:rsidR="005364AB" w:rsidRPr="007B3E88">
        <w:rPr>
          <w:rFonts w:eastAsia="Calibri"/>
          <w:kern w:val="22"/>
          <w:szCs w:val="22"/>
        </w:rPr>
        <w:t>the Secretariat of the Convention on Biological Diversity, taking into account information provided by, and in consultation with Parties and other Governments</w:t>
      </w:r>
      <w:r w:rsidR="00CF42EB" w:rsidRPr="007B3E88">
        <w:rPr>
          <w:rFonts w:eastAsia="Calibri"/>
          <w:kern w:val="22"/>
          <w:szCs w:val="22"/>
        </w:rPr>
        <w:t>,</w:t>
      </w:r>
      <w:r w:rsidR="005364AB" w:rsidRPr="007B3E88">
        <w:rPr>
          <w:rFonts w:eastAsia="Calibri"/>
          <w:kern w:val="22"/>
          <w:szCs w:val="22"/>
        </w:rPr>
        <w:t xml:space="preserve"> </w:t>
      </w:r>
      <w:r w:rsidR="00063ED6">
        <w:rPr>
          <w:rFonts w:eastAsia="Calibri"/>
          <w:kern w:val="22"/>
          <w:szCs w:val="22"/>
        </w:rPr>
        <w:t>were</w:t>
      </w:r>
      <w:r w:rsidR="002B49AF" w:rsidRPr="007B3E88">
        <w:rPr>
          <w:rFonts w:eastAsia="Calibri"/>
          <w:kern w:val="22"/>
          <w:szCs w:val="22"/>
        </w:rPr>
        <w:t xml:space="preserve"> invited </w:t>
      </w:r>
      <w:r w:rsidR="005364AB" w:rsidRPr="007B3E88">
        <w:rPr>
          <w:rFonts w:eastAsia="Calibri"/>
          <w:kern w:val="22"/>
          <w:szCs w:val="22"/>
        </w:rPr>
        <w:t>to undertake a review of experiences</w:t>
      </w:r>
      <w:r w:rsidR="00CF42EB" w:rsidRPr="007B3E88">
        <w:rPr>
          <w:rFonts w:eastAsia="Calibri"/>
          <w:kern w:val="22"/>
          <w:szCs w:val="22"/>
        </w:rPr>
        <w:t xml:space="preserve"> on</w:t>
      </w:r>
      <w:r w:rsidR="008B52D8" w:rsidRPr="007B3E88">
        <w:rPr>
          <w:rFonts w:eastAsia="Calibri"/>
          <w:kern w:val="22"/>
          <w:szCs w:val="22"/>
        </w:rPr>
        <w:t>: (</w:t>
      </w:r>
      <w:r w:rsidR="00A02391" w:rsidRPr="007B3E88">
        <w:rPr>
          <w:rFonts w:eastAsia="Calibri"/>
          <w:kern w:val="22"/>
          <w:szCs w:val="22"/>
        </w:rPr>
        <w:t>a</w:t>
      </w:r>
      <w:r w:rsidR="008B52D8" w:rsidRPr="007B3E88">
        <w:rPr>
          <w:rFonts w:eastAsia="Calibri"/>
          <w:kern w:val="22"/>
          <w:szCs w:val="22"/>
        </w:rPr>
        <w:t xml:space="preserve">) </w:t>
      </w:r>
      <w:r w:rsidR="005C4500" w:rsidRPr="007B3E88">
        <w:rPr>
          <w:rFonts w:eastAsia="Calibri"/>
          <w:kern w:val="22"/>
          <w:szCs w:val="22"/>
        </w:rPr>
        <w:t>p</w:t>
      </w:r>
      <w:r w:rsidR="008B52D8" w:rsidRPr="007B3E88">
        <w:rPr>
          <w:rFonts w:eastAsia="Calibri"/>
          <w:kern w:val="22"/>
          <w:szCs w:val="22"/>
        </w:rPr>
        <w:t xml:space="preserve">rotected areas and other effective area-based conservation measures, taking into account the work of </w:t>
      </w:r>
      <w:r w:rsidR="008B52D8" w:rsidRPr="007B3E88">
        <w:rPr>
          <w:bCs/>
          <w:kern w:val="22"/>
          <w:szCs w:val="22"/>
        </w:rPr>
        <w:t>the</w:t>
      </w:r>
      <w:r w:rsidR="008B52D8" w:rsidRPr="007B3E88">
        <w:rPr>
          <w:bCs/>
          <w:i/>
          <w:iCs/>
          <w:kern w:val="22"/>
          <w:szCs w:val="22"/>
        </w:rPr>
        <w:t xml:space="preserve"> </w:t>
      </w:r>
      <w:r w:rsidR="008B52D8" w:rsidRPr="007B3E88">
        <w:rPr>
          <w:bCs/>
          <w:kern w:val="22"/>
          <w:szCs w:val="22"/>
        </w:rPr>
        <w:t xml:space="preserve">International Union for Conservation of Nature </w:t>
      </w:r>
      <w:r w:rsidR="008B52D8" w:rsidRPr="007B3E88">
        <w:rPr>
          <w:rFonts w:eastAsia="Calibri"/>
          <w:kern w:val="22"/>
          <w:szCs w:val="22"/>
        </w:rPr>
        <w:t>and other appropriate expert bodies; (</w:t>
      </w:r>
      <w:r w:rsidR="00A02391" w:rsidRPr="007B3E88">
        <w:rPr>
          <w:rFonts w:eastAsia="Calibri"/>
          <w:kern w:val="22"/>
          <w:szCs w:val="22"/>
        </w:rPr>
        <w:t>b</w:t>
      </w:r>
      <w:r w:rsidR="008B52D8" w:rsidRPr="007B3E88">
        <w:rPr>
          <w:rFonts w:eastAsia="Calibri"/>
          <w:kern w:val="22"/>
          <w:szCs w:val="22"/>
        </w:rPr>
        <w:t>)</w:t>
      </w:r>
      <w:r w:rsidR="00063ED6">
        <w:rPr>
          <w:rFonts w:eastAsia="Calibri"/>
          <w:kern w:val="22"/>
          <w:szCs w:val="22"/>
        </w:rPr>
        <w:t> </w:t>
      </w:r>
      <w:r w:rsidR="005C4500" w:rsidRPr="006A64B0">
        <w:rPr>
          <w:rFonts w:eastAsia="Calibri"/>
          <w:kern w:val="22"/>
          <w:szCs w:val="22"/>
        </w:rPr>
        <w:t>a</w:t>
      </w:r>
      <w:r w:rsidR="008B52D8" w:rsidRPr="00FF41CD">
        <w:rPr>
          <w:rFonts w:eastAsia="Calibri"/>
          <w:kern w:val="22"/>
          <w:szCs w:val="22"/>
        </w:rPr>
        <w:t>dditional measures to enh</w:t>
      </w:r>
      <w:r w:rsidR="008B52D8" w:rsidRPr="005D36C5">
        <w:rPr>
          <w:rFonts w:eastAsia="Calibri"/>
          <w:kern w:val="22"/>
          <w:szCs w:val="22"/>
        </w:rPr>
        <w:t>ance integration of protected areas and other effective area</w:t>
      </w:r>
      <w:r w:rsidR="008B52D8" w:rsidRPr="005D36C5">
        <w:rPr>
          <w:rFonts w:eastAsia="Calibri"/>
          <w:kern w:val="22"/>
          <w:szCs w:val="22"/>
        </w:rPr>
        <w:noBreakHyphen/>
        <w:t>based conservation measures into the wider land- and seascapes; (</w:t>
      </w:r>
      <w:r w:rsidR="00A02391" w:rsidRPr="005D36C5">
        <w:rPr>
          <w:rFonts w:eastAsia="Calibri"/>
          <w:kern w:val="22"/>
          <w:szCs w:val="22"/>
        </w:rPr>
        <w:t>c</w:t>
      </w:r>
      <w:r w:rsidR="008B52D8" w:rsidRPr="005D36C5">
        <w:rPr>
          <w:rFonts w:eastAsia="Calibri"/>
          <w:kern w:val="22"/>
          <w:szCs w:val="22"/>
        </w:rPr>
        <w:t xml:space="preserve">) </w:t>
      </w:r>
      <w:r w:rsidR="005C4500" w:rsidRPr="005D36C5">
        <w:rPr>
          <w:rFonts w:eastAsia="Calibri"/>
          <w:kern w:val="22"/>
          <w:szCs w:val="22"/>
        </w:rPr>
        <w:t>m</w:t>
      </w:r>
      <w:r w:rsidR="008B52D8" w:rsidRPr="005D36C5">
        <w:rPr>
          <w:rFonts w:eastAsia="Calibri"/>
          <w:kern w:val="22"/>
          <w:szCs w:val="22"/>
        </w:rPr>
        <w:t xml:space="preserve">ainstreaming of protected areas and other effective area-based conservation measures across sectors to contribute, </w:t>
      </w:r>
      <w:r w:rsidR="008B52D8" w:rsidRPr="007B3E88">
        <w:rPr>
          <w:rFonts w:eastAsia="Calibri"/>
          <w:kern w:val="22"/>
          <w:szCs w:val="22"/>
        </w:rPr>
        <w:t>inter alia</w:t>
      </w:r>
      <w:r w:rsidR="008B52D8" w:rsidRPr="006A64B0">
        <w:rPr>
          <w:rFonts w:eastAsia="Calibri"/>
          <w:kern w:val="22"/>
          <w:szCs w:val="22"/>
        </w:rPr>
        <w:t>, to the Sustainable Development Goals and as natural solutions to combat climate change; and (</w:t>
      </w:r>
      <w:r w:rsidR="00A02391" w:rsidRPr="00FF41CD">
        <w:rPr>
          <w:rFonts w:eastAsia="Calibri"/>
          <w:kern w:val="22"/>
          <w:szCs w:val="22"/>
        </w:rPr>
        <w:t>d</w:t>
      </w:r>
      <w:r w:rsidR="008B52D8" w:rsidRPr="005D36C5">
        <w:rPr>
          <w:rFonts w:eastAsia="Calibri"/>
          <w:kern w:val="22"/>
          <w:szCs w:val="22"/>
        </w:rPr>
        <w:t xml:space="preserve">) </w:t>
      </w:r>
      <w:r w:rsidR="005C4500" w:rsidRPr="005D36C5">
        <w:rPr>
          <w:rFonts w:eastAsia="Calibri"/>
          <w:kern w:val="22"/>
          <w:szCs w:val="22"/>
        </w:rPr>
        <w:t>e</w:t>
      </w:r>
      <w:r w:rsidR="008B52D8" w:rsidRPr="005D36C5">
        <w:rPr>
          <w:rFonts w:eastAsia="Calibri"/>
          <w:kern w:val="22"/>
          <w:szCs w:val="22"/>
        </w:rPr>
        <w:t>ffective governance models for management of protected areas, including equity, taking into account work being undertaken under Article 8(j).</w:t>
      </w:r>
      <w:r w:rsidR="0067362A" w:rsidRPr="005D36C5">
        <w:rPr>
          <w:rFonts w:eastAsia="Calibri"/>
          <w:kern w:val="22"/>
          <w:szCs w:val="22"/>
        </w:rPr>
        <w:t xml:space="preserve"> </w:t>
      </w:r>
      <w:r w:rsidR="007B11DA" w:rsidRPr="005D36C5">
        <w:rPr>
          <w:rFonts w:eastAsia="Calibri"/>
          <w:kern w:val="22"/>
          <w:szCs w:val="22"/>
        </w:rPr>
        <w:t>T</w:t>
      </w:r>
      <w:r w:rsidR="005364AB" w:rsidRPr="005D36C5">
        <w:rPr>
          <w:rFonts w:eastAsia="Calibri"/>
          <w:kern w:val="22"/>
          <w:szCs w:val="22"/>
        </w:rPr>
        <w:t>he Conference of the Parties requested the Executive Secretary</w:t>
      </w:r>
      <w:r w:rsidR="00C729D6" w:rsidRPr="005D36C5">
        <w:rPr>
          <w:rFonts w:eastAsia="Calibri"/>
          <w:kern w:val="22"/>
          <w:szCs w:val="22"/>
        </w:rPr>
        <w:t xml:space="preserve"> to</w:t>
      </w:r>
      <w:r w:rsidR="00BA6AD8" w:rsidRPr="006A64B0">
        <w:rPr>
          <w:rFonts w:eastAsia="Calibri"/>
          <w:kern w:val="22"/>
          <w:szCs w:val="22"/>
        </w:rPr>
        <w:t xml:space="preserve"> </w:t>
      </w:r>
      <w:r w:rsidR="005364AB" w:rsidRPr="006A64B0">
        <w:rPr>
          <w:rFonts w:eastAsia="Calibri"/>
          <w:kern w:val="22"/>
          <w:szCs w:val="22"/>
        </w:rPr>
        <w:t>develop voluntary guidance on the elements listed in paragraph 9(a)</w:t>
      </w:r>
      <w:r w:rsidR="00063ED6">
        <w:rPr>
          <w:rFonts w:eastAsia="Calibri"/>
          <w:kern w:val="22"/>
          <w:szCs w:val="22"/>
        </w:rPr>
        <w:t>,</w:t>
      </w:r>
      <w:r w:rsidR="00C729D6" w:rsidRPr="006A64B0">
        <w:rPr>
          <w:rFonts w:eastAsia="Calibri"/>
          <w:kern w:val="22"/>
          <w:szCs w:val="22"/>
        </w:rPr>
        <w:t xml:space="preserve"> </w:t>
      </w:r>
      <w:r w:rsidR="00BA6AD8" w:rsidRPr="006A64B0">
        <w:rPr>
          <w:rFonts w:eastAsia="Calibri"/>
          <w:kern w:val="22"/>
          <w:szCs w:val="22"/>
        </w:rPr>
        <w:t xml:space="preserve">to </w:t>
      </w:r>
      <w:r w:rsidR="005364AB" w:rsidRPr="006A64B0">
        <w:rPr>
          <w:rFonts w:eastAsia="Calibri"/>
          <w:kern w:val="22"/>
          <w:szCs w:val="22"/>
        </w:rPr>
        <w:t>organize a technical expert workshop or workshops to provide scientific and technical advice on definition, management approaches and identification of other effective area-based conservation measures and their role in achieving Aichi Biodivers</w:t>
      </w:r>
      <w:r w:rsidR="00D6350C" w:rsidRPr="006A64B0">
        <w:rPr>
          <w:rFonts w:eastAsia="Calibri"/>
          <w:kern w:val="22"/>
          <w:szCs w:val="22"/>
        </w:rPr>
        <w:t>ity Target 11</w:t>
      </w:r>
      <w:r w:rsidR="00063ED6">
        <w:rPr>
          <w:rFonts w:eastAsia="Calibri"/>
          <w:kern w:val="22"/>
          <w:szCs w:val="22"/>
        </w:rPr>
        <w:t>,</w:t>
      </w:r>
      <w:r w:rsidR="00C729D6" w:rsidRPr="006A64B0">
        <w:rPr>
          <w:rFonts w:eastAsia="Calibri"/>
          <w:kern w:val="22"/>
          <w:szCs w:val="22"/>
        </w:rPr>
        <w:t xml:space="preserve"> and </w:t>
      </w:r>
      <w:r w:rsidR="00BA6AD8" w:rsidRPr="006A64B0">
        <w:rPr>
          <w:rFonts w:eastAsia="Calibri"/>
          <w:kern w:val="22"/>
          <w:szCs w:val="22"/>
        </w:rPr>
        <w:t xml:space="preserve">to </w:t>
      </w:r>
      <w:r w:rsidR="005364AB" w:rsidRPr="006A64B0">
        <w:rPr>
          <w:rFonts w:eastAsia="Calibri"/>
          <w:kern w:val="22"/>
          <w:szCs w:val="22"/>
        </w:rPr>
        <w:t>report on progress to the Subsidiary Body on Scientific, Technical and Technological Advice.</w:t>
      </w:r>
      <w:r w:rsidR="007B11DA" w:rsidRPr="006A64B0">
        <w:rPr>
          <w:rStyle w:val="FootnoteReference"/>
          <w:rFonts w:eastAsia="Calibri"/>
          <w:kern w:val="22"/>
          <w:sz w:val="22"/>
          <w:szCs w:val="22"/>
          <w:u w:val="none"/>
          <w:vertAlign w:val="superscript"/>
        </w:rPr>
        <w:footnoteReference w:id="2"/>
      </w:r>
      <w:r w:rsidR="000B48D9" w:rsidRPr="006A64B0">
        <w:rPr>
          <w:kern w:val="22"/>
          <w:szCs w:val="22"/>
        </w:rPr>
        <w:t xml:space="preserve"> </w:t>
      </w:r>
      <w:r w:rsidR="004F0719" w:rsidRPr="007B3E88">
        <w:rPr>
          <w:kern w:val="22"/>
          <w:szCs w:val="22"/>
        </w:rPr>
        <w:t>To fulfil</w:t>
      </w:r>
      <w:r w:rsidR="00C729D6" w:rsidRPr="007B3E88">
        <w:rPr>
          <w:kern w:val="22"/>
          <w:szCs w:val="22"/>
        </w:rPr>
        <w:t xml:space="preserve"> these </w:t>
      </w:r>
      <w:r w:rsidR="0067362A" w:rsidRPr="007B3E88">
        <w:rPr>
          <w:kern w:val="22"/>
          <w:szCs w:val="22"/>
        </w:rPr>
        <w:t>requests, the</w:t>
      </w:r>
      <w:r w:rsidR="00E80560" w:rsidRPr="007B3E88">
        <w:rPr>
          <w:kern w:val="22"/>
          <w:szCs w:val="22"/>
        </w:rPr>
        <w:t xml:space="preserve"> Secretariat worked in conjunction with relevant partners and organizations to facilitate the </w:t>
      </w:r>
      <w:r w:rsidR="008B52D8" w:rsidRPr="007B3E88">
        <w:rPr>
          <w:kern w:val="22"/>
          <w:szCs w:val="22"/>
        </w:rPr>
        <w:t>preparation</w:t>
      </w:r>
      <w:r w:rsidR="00E80560" w:rsidRPr="007B3E88">
        <w:rPr>
          <w:kern w:val="22"/>
          <w:szCs w:val="22"/>
        </w:rPr>
        <w:t xml:space="preserve"> of information documents </w:t>
      </w:r>
      <w:r w:rsidR="00BA6AD8" w:rsidRPr="007B3E88">
        <w:rPr>
          <w:kern w:val="22"/>
          <w:szCs w:val="22"/>
        </w:rPr>
        <w:t xml:space="preserve">and voluntary </w:t>
      </w:r>
      <w:r w:rsidR="00E80560" w:rsidRPr="007B3E88">
        <w:rPr>
          <w:kern w:val="22"/>
          <w:szCs w:val="22"/>
        </w:rPr>
        <w:t>guidance</w:t>
      </w:r>
      <w:r w:rsidR="0067362A" w:rsidRPr="007B3E88">
        <w:rPr>
          <w:kern w:val="22"/>
          <w:szCs w:val="22"/>
        </w:rPr>
        <w:t>,</w:t>
      </w:r>
      <w:r w:rsidR="00C729D6" w:rsidRPr="007B3E88">
        <w:rPr>
          <w:kern w:val="22"/>
          <w:szCs w:val="22"/>
        </w:rPr>
        <w:t xml:space="preserve"> and organized technical </w:t>
      </w:r>
      <w:r w:rsidR="0067362A" w:rsidRPr="007B3E88">
        <w:rPr>
          <w:kern w:val="22"/>
          <w:szCs w:val="22"/>
        </w:rPr>
        <w:t xml:space="preserve">expert </w:t>
      </w:r>
      <w:r w:rsidR="00C729D6" w:rsidRPr="007B3E88">
        <w:rPr>
          <w:kern w:val="22"/>
          <w:szCs w:val="22"/>
        </w:rPr>
        <w:t>workshop</w:t>
      </w:r>
      <w:r w:rsidR="002F571A" w:rsidRPr="007B3E88">
        <w:rPr>
          <w:kern w:val="22"/>
          <w:szCs w:val="22"/>
        </w:rPr>
        <w:t>s</w:t>
      </w:r>
      <w:r w:rsidR="008B3D32" w:rsidRPr="007B3E88">
        <w:rPr>
          <w:kern w:val="22"/>
          <w:szCs w:val="22"/>
        </w:rPr>
        <w:t>.</w:t>
      </w:r>
    </w:p>
    <w:p w14:paraId="0B02A0CC" w14:textId="4A1A38B4" w:rsidR="00DC78D2" w:rsidRPr="007B3E88" w:rsidRDefault="00263277" w:rsidP="007B3E88">
      <w:pPr>
        <w:pStyle w:val="Para1"/>
        <w:suppressLineNumbers/>
        <w:tabs>
          <w:tab w:val="clear" w:pos="360"/>
        </w:tabs>
        <w:suppressAutoHyphens/>
        <w:kinsoku w:val="0"/>
        <w:overflowPunct w:val="0"/>
        <w:autoSpaceDE w:val="0"/>
        <w:autoSpaceDN w:val="0"/>
        <w:rPr>
          <w:kern w:val="22"/>
          <w:szCs w:val="22"/>
        </w:rPr>
      </w:pPr>
      <w:r>
        <w:rPr>
          <w:color w:val="000000"/>
          <w:kern w:val="22"/>
          <w:szCs w:val="22"/>
        </w:rPr>
        <w:t>A</w:t>
      </w:r>
      <w:r w:rsidR="00DC78D2" w:rsidRPr="00FF41CD">
        <w:rPr>
          <w:color w:val="000000"/>
          <w:kern w:val="22"/>
          <w:szCs w:val="22"/>
        </w:rPr>
        <w:t>t its thirteenth meeting,</w:t>
      </w:r>
      <w:r w:rsidR="00494AF1" w:rsidRPr="007B3E88">
        <w:rPr>
          <w:rStyle w:val="FootnoteReference"/>
          <w:color w:val="000000"/>
          <w:kern w:val="22"/>
          <w:sz w:val="22"/>
          <w:szCs w:val="22"/>
          <w:u w:val="none"/>
          <w:vertAlign w:val="superscript"/>
        </w:rPr>
        <w:footnoteReference w:id="3"/>
      </w:r>
      <w:r w:rsidR="00DC78D2" w:rsidRPr="006A64B0">
        <w:rPr>
          <w:color w:val="000000"/>
          <w:kern w:val="22"/>
          <w:szCs w:val="22"/>
        </w:rPr>
        <w:t xml:space="preserve"> </w:t>
      </w:r>
      <w:r>
        <w:rPr>
          <w:color w:val="000000"/>
          <w:kern w:val="22"/>
          <w:szCs w:val="22"/>
        </w:rPr>
        <w:t>t</w:t>
      </w:r>
      <w:r w:rsidRPr="00FF41CD">
        <w:rPr>
          <w:color w:val="000000"/>
          <w:kern w:val="22"/>
          <w:szCs w:val="22"/>
        </w:rPr>
        <w:t>he Conference of the Parties</w:t>
      </w:r>
      <w:r w:rsidRPr="006A64B0">
        <w:rPr>
          <w:color w:val="000000"/>
          <w:kern w:val="22"/>
          <w:szCs w:val="22"/>
        </w:rPr>
        <w:t xml:space="preserve"> </w:t>
      </w:r>
      <w:r w:rsidR="00DC78D2" w:rsidRPr="006A64B0">
        <w:rPr>
          <w:color w:val="000000"/>
          <w:kern w:val="22"/>
          <w:szCs w:val="22"/>
        </w:rPr>
        <w:t>recog</w:t>
      </w:r>
      <w:r w:rsidR="00DC78D2" w:rsidRPr="00FF41CD">
        <w:rPr>
          <w:color w:val="000000"/>
          <w:kern w:val="22"/>
          <w:szCs w:val="22"/>
        </w:rPr>
        <w:t xml:space="preserve">nized the </w:t>
      </w:r>
      <w:r w:rsidR="00DC78D2" w:rsidRPr="00FF41CD">
        <w:rPr>
          <w:color w:val="000000"/>
          <w:kern w:val="22"/>
          <w:szCs w:val="22"/>
        </w:rPr>
        <w:lastRenderedPageBreak/>
        <w:t>importance of building linkages among existing efforts on various area-based conservation measures within the framework of cross-sectoral and integrated marine spatial planning and implementation in support of achieving Aichi Biodiversity Targets in marine and coastal areas</w:t>
      </w:r>
      <w:r w:rsidR="00DC78D2" w:rsidRPr="005D36C5">
        <w:rPr>
          <w:color w:val="000000"/>
          <w:kern w:val="22"/>
          <w:szCs w:val="22"/>
        </w:rPr>
        <w:t>.</w:t>
      </w:r>
      <w:r w:rsidR="00C26975" w:rsidRPr="007B3E88">
        <w:rPr>
          <w:rStyle w:val="FootnoteReference"/>
          <w:color w:val="000000"/>
          <w:kern w:val="22"/>
          <w:sz w:val="22"/>
          <w:szCs w:val="22"/>
          <w:u w:val="none"/>
          <w:vertAlign w:val="superscript"/>
        </w:rPr>
        <w:footnoteReference w:id="4"/>
      </w:r>
      <w:r w:rsidR="00DC78D2" w:rsidRPr="006A64B0">
        <w:rPr>
          <w:color w:val="000000"/>
          <w:kern w:val="22"/>
          <w:szCs w:val="22"/>
        </w:rPr>
        <w:t xml:space="preserve"> The Conference of the Parties then </w:t>
      </w:r>
      <w:r w:rsidR="00DC78D2" w:rsidRPr="00FF41CD">
        <w:rPr>
          <w:color w:val="000000"/>
          <w:kern w:val="22"/>
          <w:szCs w:val="22"/>
          <w:lang w:eastAsia="ko-KR"/>
        </w:rPr>
        <w:t>r</w:t>
      </w:r>
      <w:r w:rsidR="00DC78D2" w:rsidRPr="00FF41CD">
        <w:rPr>
          <w:color w:val="000000"/>
          <w:kern w:val="22"/>
          <w:szCs w:val="22"/>
        </w:rPr>
        <w:t>equested</w:t>
      </w:r>
      <w:r w:rsidR="00DC78D2" w:rsidRPr="005D36C5">
        <w:rPr>
          <w:i/>
          <w:color w:val="000000"/>
          <w:kern w:val="22"/>
          <w:szCs w:val="22"/>
        </w:rPr>
        <w:t xml:space="preserve"> </w:t>
      </w:r>
      <w:r w:rsidR="00DC78D2" w:rsidRPr="005D36C5">
        <w:rPr>
          <w:color w:val="000000"/>
          <w:kern w:val="22"/>
          <w:szCs w:val="22"/>
        </w:rPr>
        <w:t>the Executive Secretary</w:t>
      </w:r>
      <w:r w:rsidR="00E83695" w:rsidRPr="005D36C5">
        <w:rPr>
          <w:color w:val="000000"/>
          <w:kern w:val="22"/>
          <w:szCs w:val="22"/>
        </w:rPr>
        <w:t>:</w:t>
      </w:r>
      <w:r w:rsidR="005379C8" w:rsidRPr="005D36C5">
        <w:rPr>
          <w:color w:val="000000"/>
          <w:kern w:val="22"/>
          <w:szCs w:val="22"/>
        </w:rPr>
        <w:t xml:space="preserve"> (</w:t>
      </w:r>
      <w:r w:rsidR="00BC17D0" w:rsidRPr="005D36C5">
        <w:rPr>
          <w:color w:val="000000"/>
          <w:kern w:val="22"/>
          <w:szCs w:val="22"/>
        </w:rPr>
        <w:t>a</w:t>
      </w:r>
      <w:r w:rsidR="005379C8" w:rsidRPr="005D36C5">
        <w:rPr>
          <w:color w:val="000000"/>
          <w:kern w:val="22"/>
          <w:szCs w:val="22"/>
        </w:rPr>
        <w:t xml:space="preserve">) </w:t>
      </w:r>
      <w:r w:rsidR="00BC17D0" w:rsidRPr="007B3E88">
        <w:rPr>
          <w:kern w:val="22"/>
          <w:szCs w:val="22"/>
        </w:rPr>
        <w:t>t</w:t>
      </w:r>
      <w:r w:rsidR="00DC78D2" w:rsidRPr="007B3E88">
        <w:rPr>
          <w:kern w:val="22"/>
          <w:szCs w:val="22"/>
        </w:rPr>
        <w:t>o compile national experiences and lessons learned on the development, and effective and equitable management, of ecologically representative and well</w:t>
      </w:r>
      <w:r w:rsidR="00BC17D0" w:rsidRPr="007B3E88">
        <w:rPr>
          <w:kern w:val="22"/>
          <w:szCs w:val="22"/>
        </w:rPr>
        <w:noBreakHyphen/>
      </w:r>
      <w:r w:rsidR="00DC78D2" w:rsidRPr="007B3E88">
        <w:rPr>
          <w:kern w:val="22"/>
          <w:szCs w:val="22"/>
        </w:rPr>
        <w:t>connected systems of marine protected areas and other</w:t>
      </w:r>
      <w:r w:rsidR="005379C8" w:rsidRPr="007B3E88">
        <w:rPr>
          <w:kern w:val="22"/>
          <w:szCs w:val="22"/>
        </w:rPr>
        <w:t xml:space="preserve"> </w:t>
      </w:r>
      <w:r w:rsidR="001A6F0E" w:rsidRPr="007B3E88">
        <w:rPr>
          <w:kern w:val="22"/>
          <w:szCs w:val="22"/>
        </w:rPr>
        <w:t>effective area-based conservation measures</w:t>
      </w:r>
      <w:r w:rsidR="00DC78D2" w:rsidRPr="007B3E88">
        <w:rPr>
          <w:kern w:val="22"/>
          <w:szCs w:val="22"/>
        </w:rPr>
        <w:t>, and their integration into the wider landscapes and seascapes, as</w:t>
      </w:r>
      <w:r w:rsidR="005379C8" w:rsidRPr="007B3E88">
        <w:rPr>
          <w:kern w:val="22"/>
          <w:szCs w:val="22"/>
        </w:rPr>
        <w:t xml:space="preserve"> an input to an expert workshop</w:t>
      </w:r>
      <w:r w:rsidR="00E83695" w:rsidRPr="007B3E88">
        <w:rPr>
          <w:kern w:val="22"/>
          <w:szCs w:val="22"/>
        </w:rPr>
        <w:t>;</w:t>
      </w:r>
      <w:r w:rsidR="005379C8" w:rsidRPr="007B3E88">
        <w:rPr>
          <w:kern w:val="22"/>
          <w:szCs w:val="22"/>
        </w:rPr>
        <w:t xml:space="preserve"> (</w:t>
      </w:r>
      <w:r w:rsidR="00BC17D0" w:rsidRPr="007B3E88">
        <w:rPr>
          <w:kern w:val="22"/>
          <w:szCs w:val="22"/>
        </w:rPr>
        <w:t>b</w:t>
      </w:r>
      <w:r w:rsidR="005379C8" w:rsidRPr="007B3E88">
        <w:rPr>
          <w:kern w:val="22"/>
          <w:szCs w:val="22"/>
        </w:rPr>
        <w:t xml:space="preserve">) </w:t>
      </w:r>
      <w:r w:rsidR="00BC17D0" w:rsidRPr="007B3E88">
        <w:rPr>
          <w:kern w:val="22"/>
          <w:szCs w:val="22"/>
        </w:rPr>
        <w:t>t</w:t>
      </w:r>
      <w:r w:rsidR="00DC78D2" w:rsidRPr="007B3E88">
        <w:rPr>
          <w:kern w:val="22"/>
          <w:szCs w:val="22"/>
        </w:rPr>
        <w:t xml:space="preserve">o organize an expert workshop to consolidate scientific and technical information on various approaches for, and their effectiveness in, assessing the contribution to the achievement of Target 11 of marine protected areas and </w:t>
      </w:r>
      <w:r w:rsidR="001A6F0E" w:rsidRPr="007B3E88">
        <w:rPr>
          <w:kern w:val="22"/>
          <w:szCs w:val="22"/>
        </w:rPr>
        <w:t>other effective area-based conservation measures</w:t>
      </w:r>
      <w:r w:rsidR="00DC78D2" w:rsidRPr="007B3E88">
        <w:rPr>
          <w:kern w:val="22"/>
          <w:szCs w:val="22"/>
        </w:rPr>
        <w:t xml:space="preserve"> as well as their integration into the wider landscapes and seascapes, also considering the implementation of Target 5 of </w:t>
      </w:r>
      <w:r w:rsidR="005379C8" w:rsidRPr="007B3E88">
        <w:rPr>
          <w:kern w:val="22"/>
          <w:szCs w:val="22"/>
        </w:rPr>
        <w:t>Sustainable Development Goal 14</w:t>
      </w:r>
      <w:r w:rsidR="00E83695" w:rsidRPr="007B3E88">
        <w:rPr>
          <w:kern w:val="22"/>
          <w:szCs w:val="22"/>
        </w:rPr>
        <w:t>; and (</w:t>
      </w:r>
      <w:r w:rsidR="00BC17D0" w:rsidRPr="007B3E88">
        <w:rPr>
          <w:kern w:val="22"/>
          <w:szCs w:val="22"/>
        </w:rPr>
        <w:t>c</w:t>
      </w:r>
      <w:r w:rsidR="00E83695" w:rsidRPr="007B3E88">
        <w:rPr>
          <w:kern w:val="22"/>
          <w:szCs w:val="22"/>
        </w:rPr>
        <w:t>)</w:t>
      </w:r>
      <w:r w:rsidR="004F0719" w:rsidRPr="007B3E88">
        <w:rPr>
          <w:kern w:val="22"/>
          <w:szCs w:val="22"/>
        </w:rPr>
        <w:t> </w:t>
      </w:r>
      <w:r w:rsidR="00BC17D0" w:rsidRPr="007B3E88">
        <w:rPr>
          <w:kern w:val="22"/>
          <w:szCs w:val="22"/>
        </w:rPr>
        <w:t>t</w:t>
      </w:r>
      <w:r w:rsidR="00DC78D2" w:rsidRPr="007B3E88">
        <w:rPr>
          <w:kern w:val="22"/>
          <w:szCs w:val="22"/>
        </w:rPr>
        <w:t>o submit the compilation of information referred to above and the report of the expert workshop for consideration by the Subsidiary Body on Scientific, Technical and Technological Advice at a future meeting held prior to the fourteenth meeting o</w:t>
      </w:r>
      <w:r w:rsidR="00F82FD3" w:rsidRPr="007B3E88">
        <w:rPr>
          <w:kern w:val="22"/>
          <w:szCs w:val="22"/>
        </w:rPr>
        <w:t>f the Conference of the Parties.</w:t>
      </w:r>
    </w:p>
    <w:p w14:paraId="7EDF7B16" w14:textId="419F6144" w:rsidR="00BA6AD8" w:rsidRPr="007B3E88" w:rsidRDefault="00257D3A" w:rsidP="007B3E88">
      <w:pPr>
        <w:pStyle w:val="Para1"/>
        <w:suppressLineNumbers/>
        <w:tabs>
          <w:tab w:val="clear" w:pos="360"/>
        </w:tabs>
        <w:suppressAutoHyphens/>
        <w:kinsoku w:val="0"/>
        <w:overflowPunct w:val="0"/>
        <w:autoSpaceDE w:val="0"/>
        <w:autoSpaceDN w:val="0"/>
        <w:rPr>
          <w:kern w:val="22"/>
          <w:szCs w:val="22"/>
        </w:rPr>
      </w:pPr>
      <w:r>
        <w:rPr>
          <w:rFonts w:eastAsia="Calibri"/>
          <w:kern w:val="22"/>
          <w:szCs w:val="22"/>
        </w:rPr>
        <w:t>Pursuant to</w:t>
      </w:r>
      <w:r w:rsidR="00B41282" w:rsidRPr="006A64B0">
        <w:rPr>
          <w:rFonts w:eastAsia="Calibri"/>
          <w:kern w:val="22"/>
          <w:szCs w:val="22"/>
        </w:rPr>
        <w:t xml:space="preserve"> requests contained in </w:t>
      </w:r>
      <w:r w:rsidR="006B6F0C" w:rsidRPr="005D36C5">
        <w:rPr>
          <w:rFonts w:eastAsia="Calibri"/>
          <w:kern w:val="22"/>
          <w:szCs w:val="22"/>
        </w:rPr>
        <w:t xml:space="preserve">decision </w:t>
      </w:r>
      <w:hyperlink r:id="rId12" w:history="1">
        <w:r w:rsidR="006B6F0C" w:rsidRPr="00230BDD">
          <w:rPr>
            <w:rStyle w:val="Hyperlink"/>
            <w:rFonts w:eastAsia="Calibri"/>
            <w:szCs w:val="22"/>
          </w:rPr>
          <w:t>XIII/2</w:t>
        </w:r>
      </w:hyperlink>
      <w:r w:rsidR="006B6F0C" w:rsidRPr="00230BDD">
        <w:rPr>
          <w:kern w:val="22"/>
          <w:szCs w:val="22"/>
        </w:rPr>
        <w:t>,</w:t>
      </w:r>
      <w:r w:rsidR="006B6F0C">
        <w:rPr>
          <w:kern w:val="22"/>
          <w:szCs w:val="22"/>
        </w:rPr>
        <w:t xml:space="preserve"> </w:t>
      </w:r>
      <w:r w:rsidR="00B41282" w:rsidRPr="006A64B0">
        <w:rPr>
          <w:rFonts w:eastAsia="Calibri"/>
          <w:kern w:val="22"/>
          <w:szCs w:val="22"/>
        </w:rPr>
        <w:t xml:space="preserve">paragraphs 9 </w:t>
      </w:r>
      <w:r w:rsidR="00BA6AD8" w:rsidRPr="005D36C5">
        <w:rPr>
          <w:rFonts w:eastAsia="Calibri"/>
          <w:kern w:val="22"/>
          <w:szCs w:val="22"/>
        </w:rPr>
        <w:t>(a</w:t>
      </w:r>
      <w:r w:rsidR="00C90241">
        <w:rPr>
          <w:rFonts w:eastAsia="Calibri"/>
          <w:kern w:val="22"/>
          <w:szCs w:val="22"/>
        </w:rPr>
        <w:t>)</w:t>
      </w:r>
      <w:r w:rsidR="00B41282" w:rsidRPr="005D36C5">
        <w:rPr>
          <w:rFonts w:eastAsia="Calibri"/>
          <w:kern w:val="22"/>
          <w:szCs w:val="22"/>
        </w:rPr>
        <w:t>(i-iv) and 10 (a)</w:t>
      </w:r>
      <w:r w:rsidR="006B6F0C">
        <w:rPr>
          <w:rFonts w:eastAsia="Calibri"/>
          <w:kern w:val="22"/>
          <w:szCs w:val="22"/>
        </w:rPr>
        <w:t>,</w:t>
      </w:r>
      <w:r w:rsidR="00B41282" w:rsidRPr="005D36C5">
        <w:rPr>
          <w:rFonts w:eastAsia="Calibri"/>
          <w:kern w:val="22"/>
          <w:szCs w:val="22"/>
        </w:rPr>
        <w:t xml:space="preserve"> </w:t>
      </w:r>
      <w:r w:rsidR="00B41282" w:rsidRPr="007B3E88">
        <w:rPr>
          <w:kern w:val="22"/>
          <w:szCs w:val="22"/>
        </w:rPr>
        <w:t>the Secretariat issued a notif</w:t>
      </w:r>
      <w:r w:rsidR="00F82FD3" w:rsidRPr="007B3E88">
        <w:rPr>
          <w:kern w:val="22"/>
          <w:szCs w:val="22"/>
        </w:rPr>
        <w:t>i</w:t>
      </w:r>
      <w:r w:rsidR="00B41282" w:rsidRPr="007B3E88">
        <w:rPr>
          <w:kern w:val="22"/>
          <w:szCs w:val="22"/>
        </w:rPr>
        <w:t>cation (</w:t>
      </w:r>
      <w:hyperlink r:id="rId13" w:history="1">
        <w:r w:rsidR="00B41282" w:rsidRPr="007B3E88">
          <w:rPr>
            <w:rStyle w:val="Hyperlink"/>
            <w:kern w:val="22"/>
            <w:szCs w:val="22"/>
          </w:rPr>
          <w:t>2017-065</w:t>
        </w:r>
      </w:hyperlink>
      <w:r w:rsidR="00B41282" w:rsidRPr="007B3E88">
        <w:rPr>
          <w:kern w:val="22"/>
          <w:szCs w:val="22"/>
        </w:rPr>
        <w:t xml:space="preserve">) requesting information. </w:t>
      </w:r>
      <w:r w:rsidR="00461A5A">
        <w:rPr>
          <w:kern w:val="22"/>
          <w:szCs w:val="22"/>
        </w:rPr>
        <w:t>A total of 16</w:t>
      </w:r>
      <w:r w:rsidR="00461A5A" w:rsidRPr="007B3E88">
        <w:rPr>
          <w:kern w:val="22"/>
          <w:szCs w:val="22"/>
        </w:rPr>
        <w:t xml:space="preserve"> </w:t>
      </w:r>
      <w:r w:rsidR="00B41282" w:rsidRPr="007B3E88">
        <w:rPr>
          <w:kern w:val="22"/>
          <w:szCs w:val="22"/>
        </w:rPr>
        <w:t>Parties</w:t>
      </w:r>
      <w:r w:rsidR="00461A5A">
        <w:rPr>
          <w:kern w:val="22"/>
          <w:szCs w:val="22"/>
        </w:rPr>
        <w:t>,</w:t>
      </w:r>
      <w:r w:rsidR="00B41282" w:rsidRPr="007B3E88">
        <w:rPr>
          <w:kern w:val="22"/>
          <w:szCs w:val="22"/>
        </w:rPr>
        <w:t xml:space="preserve"> including the European Union</w:t>
      </w:r>
      <w:r w:rsidR="00461A5A">
        <w:rPr>
          <w:kern w:val="22"/>
          <w:szCs w:val="22"/>
        </w:rPr>
        <w:t>,</w:t>
      </w:r>
      <w:r w:rsidR="00B41282" w:rsidRPr="007B3E88">
        <w:rPr>
          <w:kern w:val="22"/>
          <w:szCs w:val="22"/>
        </w:rPr>
        <w:t xml:space="preserve"> and six organizations</w:t>
      </w:r>
      <w:r w:rsidR="00BA6AD8" w:rsidRPr="007B3E88">
        <w:rPr>
          <w:kern w:val="22"/>
          <w:szCs w:val="22"/>
        </w:rPr>
        <w:t xml:space="preserve"> provided information.</w:t>
      </w:r>
    </w:p>
    <w:p w14:paraId="5E81F80C" w14:textId="6C8899B1" w:rsidR="00242F8D" w:rsidRPr="007B3E88" w:rsidRDefault="002C2345" w:rsidP="007B3E88">
      <w:pPr>
        <w:pStyle w:val="Para1"/>
        <w:suppressLineNumbers/>
        <w:tabs>
          <w:tab w:val="clear" w:pos="360"/>
        </w:tabs>
        <w:suppressAutoHyphens/>
        <w:kinsoku w:val="0"/>
        <w:overflowPunct w:val="0"/>
        <w:autoSpaceDE w:val="0"/>
        <w:autoSpaceDN w:val="0"/>
        <w:rPr>
          <w:kern w:val="22"/>
          <w:szCs w:val="22"/>
        </w:rPr>
      </w:pPr>
      <w:r w:rsidRPr="007B3E88">
        <w:rPr>
          <w:kern w:val="22"/>
          <w:szCs w:val="22"/>
        </w:rPr>
        <w:t>I</w:t>
      </w:r>
      <w:r w:rsidR="00D740E7" w:rsidRPr="007B3E88">
        <w:rPr>
          <w:kern w:val="22"/>
          <w:szCs w:val="22"/>
        </w:rPr>
        <w:t xml:space="preserve">n line with </w:t>
      </w:r>
      <w:r w:rsidR="00F82FD3" w:rsidRPr="007B3E88">
        <w:rPr>
          <w:kern w:val="22"/>
          <w:szCs w:val="22"/>
        </w:rPr>
        <w:t>paragraphs 9(a</w:t>
      </w:r>
      <w:r w:rsidR="00C90241">
        <w:rPr>
          <w:kern w:val="22"/>
          <w:szCs w:val="22"/>
        </w:rPr>
        <w:t>)</w:t>
      </w:r>
      <w:r w:rsidR="00F82FD3" w:rsidRPr="007B3E88">
        <w:rPr>
          <w:kern w:val="22"/>
          <w:szCs w:val="22"/>
        </w:rPr>
        <w:t>(ii-iii), the</w:t>
      </w:r>
      <w:r w:rsidR="0083083D" w:rsidRPr="007B3E88">
        <w:rPr>
          <w:kern w:val="22"/>
          <w:szCs w:val="22"/>
        </w:rPr>
        <w:t xml:space="preserve"> </w:t>
      </w:r>
      <w:r w:rsidR="007268EB" w:rsidRPr="007B3E88">
        <w:rPr>
          <w:kern w:val="22"/>
          <w:szCs w:val="22"/>
        </w:rPr>
        <w:t>S</w:t>
      </w:r>
      <w:r w:rsidR="0083083D" w:rsidRPr="007B3E88">
        <w:rPr>
          <w:kern w:val="22"/>
          <w:szCs w:val="22"/>
        </w:rPr>
        <w:t>ecretariat</w:t>
      </w:r>
      <w:r w:rsidR="00D56C7E" w:rsidRPr="007B3E88">
        <w:rPr>
          <w:kern w:val="22"/>
          <w:szCs w:val="22"/>
        </w:rPr>
        <w:t>, in collaboration with the United Nations Development Programme</w:t>
      </w:r>
      <w:r w:rsidR="00D56C7E" w:rsidRPr="007B3E88">
        <w:rPr>
          <w:rStyle w:val="FootnoteReference"/>
          <w:kern w:val="22"/>
          <w:sz w:val="22"/>
          <w:szCs w:val="22"/>
          <w:u w:val="none"/>
          <w:vertAlign w:val="superscript"/>
        </w:rPr>
        <w:t>,</w:t>
      </w:r>
      <w:r w:rsidR="00BC17D0" w:rsidRPr="007B3E88">
        <w:rPr>
          <w:rStyle w:val="FootnoteReference"/>
          <w:kern w:val="22"/>
          <w:sz w:val="22"/>
          <w:szCs w:val="22"/>
          <w:u w:val="none"/>
          <w:vertAlign w:val="superscript"/>
        </w:rPr>
        <w:footnoteReference w:id="5"/>
      </w:r>
      <w:r w:rsidR="0083083D" w:rsidRPr="007B3E88">
        <w:rPr>
          <w:kern w:val="22"/>
          <w:szCs w:val="22"/>
        </w:rPr>
        <w:t xml:space="preserve"> prepared </w:t>
      </w:r>
      <w:r w:rsidRPr="007B3E88">
        <w:rPr>
          <w:kern w:val="22"/>
          <w:szCs w:val="22"/>
        </w:rPr>
        <w:t xml:space="preserve">voluntary guidance for consideration by </w:t>
      </w:r>
      <w:r w:rsidRPr="006A64B0">
        <w:rPr>
          <w:rFonts w:eastAsia="Calibri"/>
          <w:kern w:val="22"/>
          <w:szCs w:val="22"/>
        </w:rPr>
        <w:t>the Subsidiary Body on Scientific, Technical a</w:t>
      </w:r>
      <w:r w:rsidRPr="005D36C5">
        <w:rPr>
          <w:rFonts w:eastAsia="Calibri"/>
          <w:kern w:val="22"/>
          <w:szCs w:val="22"/>
        </w:rPr>
        <w:t xml:space="preserve">nd Technological Advice and </w:t>
      </w:r>
      <w:r w:rsidR="0083083D" w:rsidRPr="007B3E88">
        <w:rPr>
          <w:kern w:val="22"/>
          <w:szCs w:val="22"/>
        </w:rPr>
        <w:t xml:space="preserve">information </w:t>
      </w:r>
      <w:r w:rsidR="00F52538" w:rsidRPr="007B3E88">
        <w:rPr>
          <w:kern w:val="22"/>
          <w:szCs w:val="22"/>
        </w:rPr>
        <w:t>document</w:t>
      </w:r>
      <w:r w:rsidR="00BA6AD8" w:rsidRPr="007B3E88">
        <w:rPr>
          <w:kern w:val="22"/>
          <w:szCs w:val="22"/>
        </w:rPr>
        <w:t>s</w:t>
      </w:r>
      <w:r w:rsidR="00D42986" w:rsidRPr="007B3E88">
        <w:rPr>
          <w:kern w:val="22"/>
          <w:szCs w:val="22"/>
        </w:rPr>
        <w:t xml:space="preserve"> </w:t>
      </w:r>
      <w:r w:rsidRPr="007B3E88">
        <w:rPr>
          <w:kern w:val="22"/>
          <w:szCs w:val="22"/>
        </w:rPr>
        <w:t>on integration of protected areas and other effective area-based conservation measures into wider land- and seascapes and mainstreaming them across sectors</w:t>
      </w:r>
      <w:r w:rsidR="00BA6AD8" w:rsidRPr="007B3E88">
        <w:rPr>
          <w:kern w:val="22"/>
          <w:szCs w:val="22"/>
        </w:rPr>
        <w:t>.</w:t>
      </w:r>
      <w:r w:rsidR="00871157" w:rsidRPr="007B3E88">
        <w:rPr>
          <w:rStyle w:val="FootnoteReference"/>
          <w:kern w:val="22"/>
          <w:sz w:val="22"/>
          <w:szCs w:val="22"/>
          <w:u w:val="none"/>
          <w:vertAlign w:val="superscript"/>
        </w:rPr>
        <w:footnoteReference w:id="6"/>
      </w:r>
    </w:p>
    <w:p w14:paraId="3B15C458" w14:textId="1D0D230A" w:rsidR="00242F8D" w:rsidRPr="007B3E88" w:rsidRDefault="002C2345" w:rsidP="007B3E88">
      <w:pPr>
        <w:pStyle w:val="Para1"/>
        <w:suppressLineNumbers/>
        <w:tabs>
          <w:tab w:val="clear" w:pos="360"/>
        </w:tabs>
        <w:suppressAutoHyphens/>
        <w:kinsoku w:val="0"/>
        <w:overflowPunct w:val="0"/>
        <w:autoSpaceDE w:val="0"/>
        <w:autoSpaceDN w:val="0"/>
        <w:rPr>
          <w:kern w:val="22"/>
          <w:szCs w:val="22"/>
        </w:rPr>
      </w:pPr>
      <w:r w:rsidRPr="007B3E88">
        <w:rPr>
          <w:kern w:val="22"/>
          <w:szCs w:val="22"/>
        </w:rPr>
        <w:t>I</w:t>
      </w:r>
      <w:r w:rsidR="00D740E7" w:rsidRPr="007B3E88">
        <w:rPr>
          <w:kern w:val="22"/>
          <w:szCs w:val="22"/>
        </w:rPr>
        <w:t>n line with paragraph 9(a</w:t>
      </w:r>
      <w:r w:rsidR="00E97CE8">
        <w:rPr>
          <w:kern w:val="22"/>
          <w:szCs w:val="22"/>
        </w:rPr>
        <w:t>)</w:t>
      </w:r>
      <w:r w:rsidR="00D740E7" w:rsidRPr="007B3E88">
        <w:rPr>
          <w:kern w:val="22"/>
          <w:szCs w:val="22"/>
        </w:rPr>
        <w:t>(iv), the</w:t>
      </w:r>
      <w:r w:rsidR="00242F8D" w:rsidRPr="007B3E88">
        <w:rPr>
          <w:kern w:val="22"/>
          <w:szCs w:val="22"/>
        </w:rPr>
        <w:t xml:space="preserve"> Secretariat</w:t>
      </w:r>
      <w:r w:rsidR="00D56C7E" w:rsidRPr="007B3E88">
        <w:rPr>
          <w:kern w:val="22"/>
          <w:szCs w:val="22"/>
        </w:rPr>
        <w:t xml:space="preserve">, </w:t>
      </w:r>
      <w:r w:rsidR="00DA2AF0" w:rsidRPr="007B3E88">
        <w:rPr>
          <w:kern w:val="22"/>
          <w:szCs w:val="22"/>
        </w:rPr>
        <w:t xml:space="preserve">within the framework of the Memorandum of Understanding with the </w:t>
      </w:r>
      <w:hyperlink r:id="rId14" w:history="1">
        <w:r w:rsidR="00DA2AF0" w:rsidRPr="007B3E88">
          <w:rPr>
            <w:rStyle w:val="Hyperlink"/>
            <w:kern w:val="22"/>
            <w:szCs w:val="22"/>
          </w:rPr>
          <w:t>German Ministry of Economic Cooperation and Development</w:t>
        </w:r>
      </w:hyperlink>
      <w:r w:rsidR="00DA2AF0" w:rsidRPr="007B3E88">
        <w:rPr>
          <w:kern w:val="22"/>
          <w:szCs w:val="22"/>
        </w:rPr>
        <w:t xml:space="preserve"> (BMZ) and </w:t>
      </w:r>
      <w:r w:rsidR="00D56C7E" w:rsidRPr="007B3E88">
        <w:rPr>
          <w:kern w:val="22"/>
          <w:szCs w:val="22"/>
        </w:rPr>
        <w:t xml:space="preserve">in collaboration with the </w:t>
      </w:r>
      <w:hyperlink r:id="rId15" w:history="1">
        <w:r w:rsidR="002168AD" w:rsidRPr="007B3E88">
          <w:rPr>
            <w:rStyle w:val="Hyperlink"/>
            <w:kern w:val="22"/>
            <w:szCs w:val="22"/>
            <w:lang w:val="de-DE"/>
          </w:rPr>
          <w:t>Deutsche Gesellschaft fü</w:t>
        </w:r>
        <w:r w:rsidR="00D56C7E" w:rsidRPr="007B3E88">
          <w:rPr>
            <w:rStyle w:val="Hyperlink"/>
            <w:kern w:val="22"/>
            <w:szCs w:val="22"/>
            <w:lang w:val="de-DE"/>
          </w:rPr>
          <w:t>r Internationale Zusammenarbeit</w:t>
        </w:r>
      </w:hyperlink>
      <w:r w:rsidR="00D56C7E" w:rsidRPr="007B3E88">
        <w:rPr>
          <w:kern w:val="22"/>
          <w:szCs w:val="22"/>
        </w:rPr>
        <w:t xml:space="preserve"> (GIZ) GmbH,</w:t>
      </w:r>
      <w:r w:rsidR="00BC17D0" w:rsidRPr="007B3E88">
        <w:rPr>
          <w:rStyle w:val="FootnoteReference"/>
          <w:snapToGrid/>
          <w:kern w:val="22"/>
          <w:sz w:val="22"/>
          <w:szCs w:val="22"/>
          <w:u w:val="none"/>
          <w:vertAlign w:val="superscript"/>
        </w:rPr>
        <w:footnoteReference w:id="7"/>
      </w:r>
      <w:r w:rsidR="00242F8D" w:rsidRPr="007B3E88">
        <w:rPr>
          <w:kern w:val="22"/>
          <w:szCs w:val="22"/>
        </w:rPr>
        <w:t xml:space="preserve"> prepared </w:t>
      </w:r>
      <w:r w:rsidRPr="007B3E88">
        <w:rPr>
          <w:kern w:val="22"/>
          <w:szCs w:val="22"/>
        </w:rPr>
        <w:t xml:space="preserve">voluntary guidance for consideration by </w:t>
      </w:r>
      <w:r w:rsidRPr="006A64B0">
        <w:rPr>
          <w:rFonts w:eastAsia="Calibri"/>
          <w:kern w:val="22"/>
          <w:szCs w:val="22"/>
        </w:rPr>
        <w:t>the Subsidiary Body on Scientific, Technical</w:t>
      </w:r>
      <w:r w:rsidRPr="005D36C5">
        <w:rPr>
          <w:rFonts w:eastAsia="Calibri"/>
          <w:kern w:val="22"/>
          <w:szCs w:val="22"/>
        </w:rPr>
        <w:t xml:space="preserve"> and Technological Advice and </w:t>
      </w:r>
      <w:r w:rsidR="0097067A" w:rsidRPr="005D36C5">
        <w:rPr>
          <w:rFonts w:eastAsia="Calibri"/>
          <w:kern w:val="22"/>
          <w:szCs w:val="22"/>
        </w:rPr>
        <w:t xml:space="preserve">an </w:t>
      </w:r>
      <w:r w:rsidR="00242F8D" w:rsidRPr="007B3E88">
        <w:rPr>
          <w:kern w:val="22"/>
          <w:szCs w:val="22"/>
        </w:rPr>
        <w:t>information documen</w:t>
      </w:r>
      <w:r w:rsidR="00D740E7" w:rsidRPr="007B3E88">
        <w:rPr>
          <w:kern w:val="22"/>
          <w:szCs w:val="22"/>
        </w:rPr>
        <w:t xml:space="preserve">t </w:t>
      </w:r>
      <w:r w:rsidRPr="007B3E88">
        <w:rPr>
          <w:kern w:val="22"/>
          <w:szCs w:val="22"/>
        </w:rPr>
        <w:t>on effective governance models for management of protected areas, including equity</w:t>
      </w:r>
      <w:r w:rsidR="00242F8D" w:rsidRPr="007B3E88">
        <w:rPr>
          <w:kern w:val="22"/>
          <w:szCs w:val="22"/>
        </w:rPr>
        <w:t>.</w:t>
      </w:r>
      <w:r w:rsidR="00976AA3" w:rsidRPr="007B3E88">
        <w:rPr>
          <w:rStyle w:val="FootnoteReference"/>
          <w:kern w:val="22"/>
          <w:sz w:val="22"/>
          <w:szCs w:val="22"/>
          <w:u w:val="none"/>
          <w:vertAlign w:val="superscript"/>
        </w:rPr>
        <w:footnoteReference w:id="8"/>
      </w:r>
    </w:p>
    <w:p w14:paraId="4D1A3198" w14:textId="5CDA9B6E" w:rsidR="00D740E7" w:rsidRPr="007B3E88" w:rsidRDefault="00136682" w:rsidP="007B3E88">
      <w:pPr>
        <w:pStyle w:val="Para1"/>
        <w:suppressLineNumbers/>
        <w:tabs>
          <w:tab w:val="clear" w:pos="360"/>
        </w:tabs>
        <w:suppressAutoHyphens/>
        <w:kinsoku w:val="0"/>
        <w:overflowPunct w:val="0"/>
        <w:autoSpaceDE w:val="0"/>
        <w:autoSpaceDN w:val="0"/>
        <w:rPr>
          <w:rFonts w:eastAsia="Calibri"/>
          <w:i/>
          <w:kern w:val="22"/>
          <w:szCs w:val="22"/>
        </w:rPr>
      </w:pPr>
      <w:r w:rsidRPr="00CC1127">
        <w:rPr>
          <w:rFonts w:eastAsia="Calibri"/>
          <w:kern w:val="22"/>
          <w:szCs w:val="22"/>
        </w:rPr>
        <w:t>Pursuant to</w:t>
      </w:r>
      <w:r w:rsidR="00242F8D" w:rsidRPr="007B3E88">
        <w:rPr>
          <w:rFonts w:eastAsia="Calibri"/>
          <w:kern w:val="22"/>
          <w:szCs w:val="22"/>
        </w:rPr>
        <w:t xml:space="preserve"> </w:t>
      </w:r>
      <w:r w:rsidR="00636BA8" w:rsidRPr="00CC1127">
        <w:rPr>
          <w:kern w:val="22"/>
          <w:szCs w:val="22"/>
        </w:rPr>
        <w:t xml:space="preserve">decision </w:t>
      </w:r>
      <w:hyperlink r:id="rId16" w:history="1">
        <w:r w:rsidR="00636BA8" w:rsidRPr="00CC1127">
          <w:rPr>
            <w:rStyle w:val="Hyperlink"/>
            <w:kern w:val="22"/>
            <w:szCs w:val="22"/>
          </w:rPr>
          <w:t>XIII/2</w:t>
        </w:r>
      </w:hyperlink>
      <w:r w:rsidR="00636BA8" w:rsidRPr="00CC1127">
        <w:rPr>
          <w:kern w:val="22"/>
          <w:szCs w:val="22"/>
        </w:rPr>
        <w:t xml:space="preserve">, </w:t>
      </w:r>
      <w:r w:rsidR="00242F8D" w:rsidRPr="007B3E88">
        <w:rPr>
          <w:kern w:val="22"/>
          <w:szCs w:val="22"/>
        </w:rPr>
        <w:t xml:space="preserve">paragraph 10(b), </w:t>
      </w:r>
      <w:r w:rsidR="00DD2EBF" w:rsidRPr="00CC1127">
        <w:rPr>
          <w:rFonts w:eastAsia="Calibri"/>
          <w:kern w:val="22"/>
          <w:szCs w:val="22"/>
        </w:rPr>
        <w:t xml:space="preserve">and </w:t>
      </w:r>
      <w:r w:rsidR="00F52970" w:rsidRPr="007B3E88">
        <w:rPr>
          <w:rFonts w:eastAsia="Calibri"/>
          <w:kern w:val="22"/>
          <w:szCs w:val="22"/>
        </w:rPr>
        <w:t>with financial support from the Government of Italy,</w:t>
      </w:r>
      <w:r w:rsidR="00242F8D" w:rsidRPr="007B3E88">
        <w:rPr>
          <w:rFonts w:eastAsia="Calibri"/>
          <w:kern w:val="22"/>
          <w:szCs w:val="22"/>
        </w:rPr>
        <w:t xml:space="preserve"> </w:t>
      </w:r>
      <w:r w:rsidR="00DD2EBF" w:rsidRPr="00CC1127">
        <w:rPr>
          <w:rFonts w:eastAsia="Calibri"/>
          <w:kern w:val="22"/>
          <w:szCs w:val="22"/>
        </w:rPr>
        <w:t xml:space="preserve">the Executive Secretary </w:t>
      </w:r>
      <w:r w:rsidR="00242F8D" w:rsidRPr="007B3E88">
        <w:rPr>
          <w:rFonts w:eastAsia="Calibri"/>
          <w:kern w:val="22"/>
          <w:szCs w:val="22"/>
        </w:rPr>
        <w:t>organized the Technical Expert Workshop on Other Effective Area-based Conservation Measures for Achieving Aichi Biodiversity Target 11</w:t>
      </w:r>
      <w:r w:rsidRPr="00CC1127">
        <w:rPr>
          <w:rFonts w:eastAsia="Calibri"/>
          <w:kern w:val="22"/>
          <w:szCs w:val="22"/>
        </w:rPr>
        <w:t>, which was held</w:t>
      </w:r>
      <w:r w:rsidR="00242F8D" w:rsidRPr="007B3E88">
        <w:rPr>
          <w:rFonts w:eastAsia="Calibri"/>
          <w:kern w:val="22"/>
          <w:szCs w:val="22"/>
        </w:rPr>
        <w:t xml:space="preserve"> in Montreal, Canada</w:t>
      </w:r>
      <w:r w:rsidR="00EA6692" w:rsidRPr="00CC1127">
        <w:rPr>
          <w:rFonts w:eastAsia="Calibri"/>
          <w:kern w:val="22"/>
          <w:szCs w:val="22"/>
        </w:rPr>
        <w:t>,</w:t>
      </w:r>
      <w:r w:rsidR="00242F8D" w:rsidRPr="007B3E88">
        <w:rPr>
          <w:rFonts w:eastAsia="Calibri"/>
          <w:kern w:val="22"/>
          <w:szCs w:val="22"/>
        </w:rPr>
        <w:t xml:space="preserve"> from 6</w:t>
      </w:r>
      <w:r w:rsidR="00DC7FC7" w:rsidRPr="007B3E88">
        <w:rPr>
          <w:rFonts w:eastAsia="Calibri"/>
          <w:kern w:val="22"/>
          <w:szCs w:val="22"/>
        </w:rPr>
        <w:t xml:space="preserve"> to </w:t>
      </w:r>
      <w:r w:rsidR="00242F8D" w:rsidRPr="007B3E88">
        <w:rPr>
          <w:rFonts w:eastAsia="Calibri"/>
          <w:kern w:val="22"/>
          <w:szCs w:val="22"/>
        </w:rPr>
        <w:t xml:space="preserve">9 February 2018. </w:t>
      </w:r>
      <w:r w:rsidR="00242F8D" w:rsidRPr="007B3E88">
        <w:rPr>
          <w:kern w:val="22"/>
          <w:szCs w:val="22"/>
        </w:rPr>
        <w:t xml:space="preserve">In line with decision </w:t>
      </w:r>
      <w:hyperlink r:id="rId17" w:history="1">
        <w:r w:rsidR="00242F8D" w:rsidRPr="007B3E88">
          <w:rPr>
            <w:rStyle w:val="Hyperlink"/>
            <w:kern w:val="22"/>
            <w:szCs w:val="22"/>
          </w:rPr>
          <w:t>XIII/9</w:t>
        </w:r>
      </w:hyperlink>
      <w:r w:rsidR="005379C8" w:rsidRPr="007B3E88">
        <w:rPr>
          <w:kern w:val="22"/>
          <w:szCs w:val="22"/>
        </w:rPr>
        <w:t xml:space="preserve">, as noted in paragraph </w:t>
      </w:r>
      <w:r w:rsidR="00610BEF" w:rsidRPr="007B3E88">
        <w:rPr>
          <w:kern w:val="22"/>
          <w:szCs w:val="22"/>
        </w:rPr>
        <w:t>3</w:t>
      </w:r>
      <w:r w:rsidR="00242F8D" w:rsidRPr="007B3E88">
        <w:rPr>
          <w:kern w:val="22"/>
          <w:szCs w:val="22"/>
        </w:rPr>
        <w:t>, the Expert Workshop on Marine Protected Areas and Other Effective Area-based Conservation Measures for Achieving Aichi Biodiversity Target 11 in Marine and Coastal Areas was also convened in parallel</w:t>
      </w:r>
      <w:r w:rsidR="009F074F" w:rsidRPr="007B3E88">
        <w:rPr>
          <w:kern w:val="22"/>
          <w:szCs w:val="22"/>
        </w:rPr>
        <w:t>,</w:t>
      </w:r>
      <w:r w:rsidR="00242F8D" w:rsidRPr="007B3E88">
        <w:rPr>
          <w:kern w:val="22"/>
          <w:szCs w:val="22"/>
        </w:rPr>
        <w:t xml:space="preserve"> </w:t>
      </w:r>
      <w:r w:rsidR="00242F8D" w:rsidRPr="007B3E88">
        <w:rPr>
          <w:color w:val="000000"/>
          <w:kern w:val="22"/>
          <w:szCs w:val="22"/>
        </w:rPr>
        <w:t>with joint sessions</w:t>
      </w:r>
      <w:r w:rsidR="009F074F" w:rsidRPr="007B3E88">
        <w:rPr>
          <w:color w:val="000000"/>
          <w:kern w:val="22"/>
          <w:szCs w:val="22"/>
        </w:rPr>
        <w:t xml:space="preserve"> on relevant topics in order to facilitate</w:t>
      </w:r>
      <w:r w:rsidR="00242F8D" w:rsidRPr="007B3E88">
        <w:rPr>
          <w:color w:val="000000"/>
          <w:kern w:val="22"/>
          <w:szCs w:val="22"/>
        </w:rPr>
        <w:t xml:space="preserve"> optimum integration for achieving the objectives of both workshops.</w:t>
      </w:r>
      <w:r w:rsidR="00242F8D" w:rsidRPr="007B3E88">
        <w:rPr>
          <w:rFonts w:eastAsia="Calibri"/>
          <w:kern w:val="22"/>
          <w:szCs w:val="22"/>
        </w:rPr>
        <w:t xml:space="preserve"> </w:t>
      </w:r>
      <w:r w:rsidR="00C90052" w:rsidRPr="007B3E88">
        <w:rPr>
          <w:kern w:val="22"/>
          <w:szCs w:val="22"/>
        </w:rPr>
        <w:t xml:space="preserve">The marine workshop was hosted by the Government of Canada, and convened with financial support from the Governments of Canada and Norway. </w:t>
      </w:r>
      <w:r w:rsidR="00242F8D" w:rsidRPr="007B3E88">
        <w:rPr>
          <w:rFonts w:eastAsia="Calibri"/>
          <w:kern w:val="22"/>
          <w:szCs w:val="22"/>
        </w:rPr>
        <w:t xml:space="preserve">The reports of the workshops are submitted as </w:t>
      </w:r>
      <w:r w:rsidR="009F074F" w:rsidRPr="007B3E88">
        <w:rPr>
          <w:rFonts w:eastAsia="Calibri"/>
          <w:kern w:val="22"/>
          <w:szCs w:val="22"/>
        </w:rPr>
        <w:t>i</w:t>
      </w:r>
      <w:r w:rsidR="00242F8D" w:rsidRPr="007B3E88">
        <w:rPr>
          <w:rFonts w:eastAsia="Calibri"/>
          <w:kern w:val="22"/>
          <w:szCs w:val="22"/>
        </w:rPr>
        <w:t>nformation documents.</w:t>
      </w:r>
      <w:r w:rsidR="004F0719" w:rsidRPr="007B3E88">
        <w:rPr>
          <w:rStyle w:val="FootnoteReference"/>
          <w:rFonts w:eastAsia="Calibri"/>
          <w:kern w:val="22"/>
          <w:sz w:val="22"/>
          <w:szCs w:val="22"/>
          <w:u w:val="none"/>
          <w:vertAlign w:val="superscript"/>
        </w:rPr>
        <w:footnoteReference w:id="9"/>
      </w:r>
      <w:r w:rsidR="00242F8D" w:rsidRPr="007B3E88">
        <w:rPr>
          <w:rFonts w:eastAsia="Calibri"/>
          <w:kern w:val="22"/>
          <w:szCs w:val="22"/>
        </w:rPr>
        <w:t xml:space="preserve"> The conclusions of these workshops with respect to voluntary guidance on definition, management approaches and identification of other effective area-based conservation measures is provided in </w:t>
      </w:r>
      <w:r w:rsidR="00DC7FC7" w:rsidRPr="007B3E88">
        <w:rPr>
          <w:rFonts w:eastAsia="Calibri"/>
          <w:kern w:val="22"/>
          <w:szCs w:val="22"/>
        </w:rPr>
        <w:t>a</w:t>
      </w:r>
      <w:r w:rsidR="00242F8D" w:rsidRPr="007B3E88">
        <w:rPr>
          <w:rFonts w:eastAsia="Calibri"/>
          <w:kern w:val="22"/>
          <w:szCs w:val="22"/>
        </w:rPr>
        <w:t xml:space="preserve">nnex III </w:t>
      </w:r>
      <w:r w:rsidR="00DC7FC7" w:rsidRPr="007B3E88">
        <w:rPr>
          <w:rFonts w:eastAsia="Calibri"/>
          <w:kern w:val="22"/>
          <w:szCs w:val="22"/>
        </w:rPr>
        <w:t xml:space="preserve">to the present </w:t>
      </w:r>
      <w:r w:rsidR="00F66613" w:rsidRPr="00CC1127">
        <w:rPr>
          <w:rFonts w:eastAsia="Calibri"/>
          <w:kern w:val="22"/>
          <w:szCs w:val="22"/>
        </w:rPr>
        <w:t>document</w:t>
      </w:r>
      <w:r w:rsidR="00242F8D" w:rsidRPr="007B3E88">
        <w:rPr>
          <w:rFonts w:eastAsia="Calibri"/>
          <w:kern w:val="22"/>
          <w:szCs w:val="22"/>
        </w:rPr>
        <w:t xml:space="preserve">. Conclusions </w:t>
      </w:r>
      <w:r w:rsidR="009F074F" w:rsidRPr="007B3E88">
        <w:rPr>
          <w:rFonts w:eastAsia="Calibri"/>
          <w:kern w:val="22"/>
          <w:szCs w:val="22"/>
        </w:rPr>
        <w:t xml:space="preserve">related to issues discussed at the </w:t>
      </w:r>
      <w:r w:rsidR="009F074F" w:rsidRPr="00CC1127">
        <w:rPr>
          <w:rFonts w:eastAsia="Calibri"/>
          <w:kern w:val="22"/>
          <w:szCs w:val="22"/>
        </w:rPr>
        <w:t xml:space="preserve">Expert Workshop </w:t>
      </w:r>
      <w:r w:rsidR="00242F8D" w:rsidRPr="007B3E88">
        <w:rPr>
          <w:rFonts w:eastAsia="Calibri"/>
          <w:kern w:val="22"/>
          <w:szCs w:val="22"/>
        </w:rPr>
        <w:t xml:space="preserve">on </w:t>
      </w:r>
      <w:r w:rsidR="00242F8D" w:rsidRPr="007B3E88">
        <w:rPr>
          <w:kern w:val="22"/>
          <w:szCs w:val="22"/>
        </w:rPr>
        <w:t xml:space="preserve">Marine Protected Areas and Other Effective Area-based Conservation Measures for Achieving Aichi Biodiversity Target 11 in Marine and Coastal </w:t>
      </w:r>
      <w:r w:rsidR="009F074F" w:rsidRPr="007B3E88">
        <w:rPr>
          <w:kern w:val="22"/>
          <w:szCs w:val="22"/>
        </w:rPr>
        <w:t xml:space="preserve">Areas </w:t>
      </w:r>
      <w:r w:rsidR="00242F8D" w:rsidRPr="007B3E88">
        <w:rPr>
          <w:rFonts w:eastAsia="Calibri"/>
          <w:kern w:val="22"/>
          <w:szCs w:val="22"/>
        </w:rPr>
        <w:t xml:space="preserve">are provided in </w:t>
      </w:r>
      <w:r w:rsidR="00C90052" w:rsidRPr="007B3E88">
        <w:rPr>
          <w:rFonts w:eastAsia="Calibri"/>
          <w:kern w:val="22"/>
          <w:szCs w:val="22"/>
        </w:rPr>
        <w:t>annex IV</w:t>
      </w:r>
      <w:r w:rsidR="00242F8D" w:rsidRPr="007B3E88">
        <w:rPr>
          <w:rFonts w:eastAsia="Calibri"/>
          <w:kern w:val="22"/>
          <w:szCs w:val="22"/>
        </w:rPr>
        <w:t>.</w:t>
      </w:r>
    </w:p>
    <w:p w14:paraId="64001797" w14:textId="715160B3" w:rsidR="00864B12" w:rsidRPr="007B3E88" w:rsidRDefault="00864B12" w:rsidP="007B3E88">
      <w:pPr>
        <w:pStyle w:val="Para1"/>
        <w:keepNext/>
        <w:numPr>
          <w:ilvl w:val="0"/>
          <w:numId w:val="0"/>
        </w:numPr>
        <w:suppressLineNumbers/>
        <w:suppressAutoHyphens/>
        <w:kinsoku w:val="0"/>
        <w:overflowPunct w:val="0"/>
        <w:autoSpaceDE w:val="0"/>
        <w:autoSpaceDN w:val="0"/>
        <w:jc w:val="center"/>
        <w:rPr>
          <w:b/>
          <w:kern w:val="22"/>
          <w:szCs w:val="22"/>
        </w:rPr>
      </w:pPr>
      <w:r w:rsidRPr="007B3E88">
        <w:rPr>
          <w:b/>
          <w:kern w:val="22"/>
          <w:szCs w:val="22"/>
        </w:rPr>
        <w:t>SUGGESTED RECOMMENDATIONS</w:t>
      </w:r>
    </w:p>
    <w:p w14:paraId="7295F80C" w14:textId="4989BAFA" w:rsidR="00864B12" w:rsidRPr="007B3E88" w:rsidRDefault="00864B12" w:rsidP="007B3E88">
      <w:pPr>
        <w:pStyle w:val="Para1"/>
        <w:keepNext/>
        <w:numPr>
          <w:ilvl w:val="0"/>
          <w:numId w:val="0"/>
        </w:numPr>
        <w:suppressLineNumbers/>
        <w:suppressAutoHyphens/>
        <w:kinsoku w:val="0"/>
        <w:overflowPunct w:val="0"/>
        <w:autoSpaceDE w:val="0"/>
        <w:autoSpaceDN w:val="0"/>
        <w:ind w:firstLine="810"/>
        <w:rPr>
          <w:i/>
          <w:kern w:val="22"/>
          <w:szCs w:val="22"/>
        </w:rPr>
      </w:pPr>
      <w:r w:rsidRPr="007B3E88">
        <w:rPr>
          <w:i/>
          <w:kern w:val="22"/>
          <w:szCs w:val="22"/>
        </w:rPr>
        <w:t>The Subsidiary Body on Scientific, Technical and Technological Advice</w:t>
      </w:r>
    </w:p>
    <w:p w14:paraId="7E59D400" w14:textId="09A30F09" w:rsidR="00864B12" w:rsidRPr="007B3E88" w:rsidRDefault="00864B12" w:rsidP="007B3E88">
      <w:pPr>
        <w:pStyle w:val="Para1"/>
        <w:numPr>
          <w:ilvl w:val="3"/>
          <w:numId w:val="8"/>
        </w:numPr>
        <w:suppressLineNumbers/>
        <w:suppressAutoHyphens/>
        <w:kinsoku w:val="0"/>
        <w:overflowPunct w:val="0"/>
        <w:autoSpaceDE w:val="0"/>
        <w:autoSpaceDN w:val="0"/>
        <w:spacing w:before="0"/>
        <w:ind w:left="0" w:firstLine="810"/>
        <w:rPr>
          <w:kern w:val="22"/>
          <w:szCs w:val="22"/>
        </w:rPr>
      </w:pPr>
      <w:r w:rsidRPr="007B3E88">
        <w:rPr>
          <w:i/>
          <w:kern w:val="22"/>
          <w:szCs w:val="22"/>
        </w:rPr>
        <w:t xml:space="preserve">Welcomes </w:t>
      </w:r>
      <w:r w:rsidRPr="007B3E88">
        <w:rPr>
          <w:kern w:val="22"/>
          <w:szCs w:val="22"/>
        </w:rPr>
        <w:t xml:space="preserve">the voluntary guidance on </w:t>
      </w:r>
      <w:r w:rsidR="008F15C5">
        <w:rPr>
          <w:kern w:val="22"/>
          <w:szCs w:val="22"/>
        </w:rPr>
        <w:t xml:space="preserve">the </w:t>
      </w:r>
      <w:r w:rsidRPr="007B3E88">
        <w:rPr>
          <w:kern w:val="22"/>
          <w:szCs w:val="22"/>
        </w:rPr>
        <w:t xml:space="preserve">integration of protected areas and other effective area-based conservation measures into the wider land- and seascapes and mainstreaming </w:t>
      </w:r>
      <w:r w:rsidR="008F15C5">
        <w:rPr>
          <w:kern w:val="22"/>
          <w:szCs w:val="22"/>
        </w:rPr>
        <w:t>across</w:t>
      </w:r>
      <w:r w:rsidRPr="007B3E88">
        <w:rPr>
          <w:kern w:val="22"/>
          <w:szCs w:val="22"/>
        </w:rPr>
        <w:t xml:space="preserve"> sectors</w:t>
      </w:r>
      <w:r w:rsidR="003E46DC">
        <w:rPr>
          <w:kern w:val="22"/>
          <w:szCs w:val="22"/>
        </w:rPr>
        <w:t>,</w:t>
      </w:r>
      <w:r w:rsidRPr="007B3E88">
        <w:rPr>
          <w:kern w:val="22"/>
          <w:szCs w:val="22"/>
        </w:rPr>
        <w:t xml:space="preserve"> as well as the voluntary guidance on governance and equity</w:t>
      </w:r>
      <w:r w:rsidR="003E46DC">
        <w:rPr>
          <w:kern w:val="22"/>
          <w:szCs w:val="22"/>
        </w:rPr>
        <w:t>,</w:t>
      </w:r>
      <w:r w:rsidR="00460B97" w:rsidRPr="007B3E88">
        <w:rPr>
          <w:kern w:val="22"/>
          <w:szCs w:val="22"/>
        </w:rPr>
        <w:t xml:space="preserve"> contained in </w:t>
      </w:r>
      <w:r w:rsidR="009B7000" w:rsidRPr="007B3E88">
        <w:rPr>
          <w:kern w:val="22"/>
          <w:szCs w:val="22"/>
        </w:rPr>
        <w:t>annex</w:t>
      </w:r>
      <w:r w:rsidR="003E46DC">
        <w:rPr>
          <w:kern w:val="22"/>
          <w:szCs w:val="22"/>
        </w:rPr>
        <w:t>es I and</w:t>
      </w:r>
      <w:r w:rsidR="00460B97" w:rsidRPr="007B3E88">
        <w:rPr>
          <w:kern w:val="22"/>
          <w:szCs w:val="22"/>
        </w:rPr>
        <w:t xml:space="preserve"> II</w:t>
      </w:r>
      <w:r w:rsidR="003E46DC">
        <w:rPr>
          <w:kern w:val="22"/>
          <w:szCs w:val="22"/>
        </w:rPr>
        <w:t>, respectively,</w:t>
      </w:r>
      <w:r w:rsidR="00460B97" w:rsidRPr="007B3E88">
        <w:rPr>
          <w:kern w:val="22"/>
          <w:szCs w:val="22"/>
        </w:rPr>
        <w:t xml:space="preserve"> </w:t>
      </w:r>
      <w:r w:rsidR="009B7000" w:rsidRPr="007B3E88">
        <w:rPr>
          <w:kern w:val="22"/>
          <w:szCs w:val="22"/>
        </w:rPr>
        <w:t>to</w:t>
      </w:r>
      <w:r w:rsidR="00460B97" w:rsidRPr="007B3E88">
        <w:rPr>
          <w:kern w:val="22"/>
          <w:szCs w:val="22"/>
        </w:rPr>
        <w:t xml:space="preserve"> the present </w:t>
      </w:r>
      <w:r w:rsidR="009B7000" w:rsidRPr="007B3E88">
        <w:rPr>
          <w:kern w:val="22"/>
          <w:szCs w:val="22"/>
        </w:rPr>
        <w:t>draft recommendation</w:t>
      </w:r>
      <w:r w:rsidRPr="007B3E88">
        <w:rPr>
          <w:kern w:val="22"/>
          <w:szCs w:val="22"/>
        </w:rPr>
        <w:t>;</w:t>
      </w:r>
      <w:bookmarkStart w:id="2" w:name="_Ref509910957"/>
      <w:r w:rsidR="00DC7FC7" w:rsidRPr="007B3E88">
        <w:rPr>
          <w:rStyle w:val="FootnoteReference"/>
          <w:kern w:val="22"/>
          <w:sz w:val="22"/>
          <w:szCs w:val="22"/>
          <w:u w:val="none"/>
          <w:vertAlign w:val="superscript"/>
        </w:rPr>
        <w:footnoteReference w:id="10"/>
      </w:r>
      <w:bookmarkEnd w:id="2"/>
    </w:p>
    <w:p w14:paraId="5726F6B7" w14:textId="2DB7A185" w:rsidR="00864B12" w:rsidRPr="007B3E88" w:rsidRDefault="00864B12" w:rsidP="007B3E88">
      <w:pPr>
        <w:pStyle w:val="Para1"/>
        <w:numPr>
          <w:ilvl w:val="3"/>
          <w:numId w:val="8"/>
        </w:numPr>
        <w:suppressLineNumbers/>
        <w:suppressAutoHyphens/>
        <w:kinsoku w:val="0"/>
        <w:overflowPunct w:val="0"/>
        <w:autoSpaceDE w:val="0"/>
        <w:autoSpaceDN w:val="0"/>
        <w:spacing w:before="0"/>
        <w:ind w:left="0" w:firstLine="810"/>
        <w:rPr>
          <w:kern w:val="22"/>
          <w:szCs w:val="22"/>
        </w:rPr>
      </w:pPr>
      <w:r w:rsidRPr="007B3E88">
        <w:rPr>
          <w:i/>
          <w:kern w:val="22"/>
          <w:szCs w:val="22"/>
        </w:rPr>
        <w:t>Adopts</w:t>
      </w:r>
      <w:r w:rsidRPr="007B3E88">
        <w:rPr>
          <w:kern w:val="22"/>
          <w:szCs w:val="22"/>
        </w:rPr>
        <w:t xml:space="preserve"> the scientific and technical advice </w:t>
      </w:r>
      <w:r w:rsidRPr="006A64B0">
        <w:rPr>
          <w:rFonts w:eastAsia="Calibri"/>
          <w:kern w:val="22"/>
          <w:szCs w:val="22"/>
        </w:rPr>
        <w:t>o</w:t>
      </w:r>
      <w:r w:rsidRPr="005D36C5">
        <w:rPr>
          <w:rFonts w:eastAsia="Calibri"/>
          <w:kern w:val="22"/>
          <w:szCs w:val="22"/>
        </w:rPr>
        <w:t>n definition, management approaches and identification of other effective area-based conservation measures and their role in achieving Aichi Biodiversity Target</w:t>
      </w:r>
      <w:r w:rsidR="008B348C" w:rsidRPr="005D36C5">
        <w:rPr>
          <w:rFonts w:eastAsia="Calibri"/>
          <w:kern w:val="22"/>
          <w:szCs w:val="22"/>
        </w:rPr>
        <w:t xml:space="preserve"> </w:t>
      </w:r>
      <w:r w:rsidRPr="005D36C5">
        <w:rPr>
          <w:rFonts w:eastAsia="Calibri"/>
          <w:kern w:val="22"/>
          <w:szCs w:val="22"/>
        </w:rPr>
        <w:t xml:space="preserve">11 </w:t>
      </w:r>
      <w:r w:rsidR="00460B97" w:rsidRPr="007B3E88">
        <w:rPr>
          <w:kern w:val="22"/>
          <w:szCs w:val="22"/>
        </w:rPr>
        <w:t>c</w:t>
      </w:r>
      <w:r w:rsidRPr="007B3E88">
        <w:rPr>
          <w:kern w:val="22"/>
          <w:szCs w:val="22"/>
        </w:rPr>
        <w:t xml:space="preserve">ontained in </w:t>
      </w:r>
      <w:r w:rsidR="00460B97" w:rsidRPr="007B3E88">
        <w:rPr>
          <w:kern w:val="22"/>
          <w:szCs w:val="22"/>
        </w:rPr>
        <w:t>a</w:t>
      </w:r>
      <w:r w:rsidR="00364304" w:rsidRPr="007B3E88">
        <w:rPr>
          <w:kern w:val="22"/>
          <w:szCs w:val="22"/>
        </w:rPr>
        <w:t>nnex</w:t>
      </w:r>
      <w:r w:rsidRPr="007B3E88">
        <w:rPr>
          <w:kern w:val="22"/>
          <w:szCs w:val="22"/>
        </w:rPr>
        <w:t xml:space="preserve"> III </w:t>
      </w:r>
      <w:r w:rsidR="00460B97" w:rsidRPr="007B3E88">
        <w:rPr>
          <w:kern w:val="22"/>
          <w:szCs w:val="22"/>
        </w:rPr>
        <w:t xml:space="preserve">to the present </w:t>
      </w:r>
      <w:r w:rsidR="009B7000" w:rsidRPr="007B3E88">
        <w:rPr>
          <w:kern w:val="22"/>
          <w:szCs w:val="22"/>
        </w:rPr>
        <w:t>draft recommendation</w:t>
      </w:r>
      <w:r w:rsidR="00460B97" w:rsidRPr="007B3E88">
        <w:rPr>
          <w:kern w:val="22"/>
          <w:szCs w:val="22"/>
        </w:rPr>
        <w:t>.</w:t>
      </w:r>
      <w:bookmarkStart w:id="3" w:name="_Ref510776373"/>
      <w:r w:rsidR="007222A4" w:rsidRPr="007B3E88">
        <w:rPr>
          <w:rStyle w:val="FootnoteReference"/>
          <w:kern w:val="22"/>
          <w:sz w:val="22"/>
          <w:szCs w:val="22"/>
          <w:u w:val="none"/>
          <w:vertAlign w:val="superscript"/>
        </w:rPr>
        <w:footnoteReference w:id="11"/>
      </w:r>
      <w:bookmarkEnd w:id="3"/>
    </w:p>
    <w:p w14:paraId="2EDDA941" w14:textId="413580DC" w:rsidR="00864B12" w:rsidRPr="007B3E88" w:rsidRDefault="00864B12" w:rsidP="007B3E88">
      <w:pPr>
        <w:pStyle w:val="Para1"/>
        <w:numPr>
          <w:ilvl w:val="0"/>
          <w:numId w:val="0"/>
        </w:numPr>
        <w:suppressLineNumbers/>
        <w:suppressAutoHyphens/>
        <w:kinsoku w:val="0"/>
        <w:overflowPunct w:val="0"/>
        <w:autoSpaceDE w:val="0"/>
        <w:autoSpaceDN w:val="0"/>
        <w:spacing w:before="0"/>
        <w:ind w:firstLine="720"/>
        <w:rPr>
          <w:kern w:val="22"/>
          <w:szCs w:val="22"/>
        </w:rPr>
      </w:pPr>
      <w:r w:rsidRPr="007B3E88">
        <w:rPr>
          <w:kern w:val="22"/>
          <w:szCs w:val="22"/>
        </w:rPr>
        <w:t>The Subsidiary Body on Scientific, Technical and Technological Advice recommend</w:t>
      </w:r>
      <w:r w:rsidR="00520967">
        <w:rPr>
          <w:kern w:val="22"/>
          <w:szCs w:val="22"/>
        </w:rPr>
        <w:t>s</w:t>
      </w:r>
      <w:r w:rsidRPr="007B3E88">
        <w:rPr>
          <w:kern w:val="22"/>
          <w:szCs w:val="22"/>
        </w:rPr>
        <w:t xml:space="preserve"> that the Conference of the Parties at its fourteenth meeting adopt a decision along the following lines:</w:t>
      </w:r>
    </w:p>
    <w:p w14:paraId="08B2F603" w14:textId="3C9D3FB4" w:rsidR="00864B12" w:rsidRPr="007B3E88" w:rsidRDefault="008147BE" w:rsidP="007B3E88">
      <w:pPr>
        <w:pStyle w:val="Para1"/>
        <w:keepNext/>
        <w:numPr>
          <w:ilvl w:val="0"/>
          <w:numId w:val="0"/>
        </w:numPr>
        <w:suppressLineNumbers/>
        <w:suppressAutoHyphens/>
        <w:kinsoku w:val="0"/>
        <w:overflowPunct w:val="0"/>
        <w:autoSpaceDE w:val="0"/>
        <w:autoSpaceDN w:val="0"/>
        <w:spacing w:before="0"/>
        <w:ind w:left="720" w:firstLine="720"/>
        <w:rPr>
          <w:i/>
          <w:kern w:val="22"/>
          <w:szCs w:val="22"/>
        </w:rPr>
      </w:pPr>
      <w:r>
        <w:rPr>
          <w:i/>
          <w:kern w:val="22"/>
          <w:szCs w:val="22"/>
        </w:rPr>
        <w:t xml:space="preserve">The </w:t>
      </w:r>
      <w:r w:rsidR="00864B12" w:rsidRPr="007B3E88">
        <w:rPr>
          <w:i/>
          <w:kern w:val="22"/>
          <w:szCs w:val="22"/>
        </w:rPr>
        <w:t>Conference of the Parties</w:t>
      </w:r>
    </w:p>
    <w:p w14:paraId="54948AEF" w14:textId="3C2BAF58" w:rsidR="00864B12"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kern w:val="22"/>
          <w:szCs w:val="22"/>
        </w:rPr>
        <w:t>1.</w:t>
      </w:r>
      <w:r w:rsidRPr="007B3E88">
        <w:rPr>
          <w:kern w:val="22"/>
          <w:szCs w:val="22"/>
        </w:rPr>
        <w:tab/>
      </w:r>
      <w:r w:rsidR="00C36979" w:rsidRPr="007B3E88">
        <w:rPr>
          <w:i/>
          <w:kern w:val="22"/>
          <w:szCs w:val="22"/>
        </w:rPr>
        <w:t>Welcomes</w:t>
      </w:r>
      <w:r w:rsidR="00864B12" w:rsidRPr="007B3E88">
        <w:rPr>
          <w:kern w:val="22"/>
          <w:szCs w:val="22"/>
        </w:rPr>
        <w:t xml:space="preserve"> the voluntary guidance on integration of protected areas and other effective areas-based conservation measures into the wider land- and seascapes and on mainstreaming these into sectors</w:t>
      </w:r>
      <w:r w:rsidR="00D82985" w:rsidRPr="006A3F97">
        <w:rPr>
          <w:kern w:val="22"/>
          <w:szCs w:val="22"/>
        </w:rPr>
        <w:t>,</w:t>
      </w:r>
      <w:r w:rsidR="00864B12" w:rsidRPr="007B3E88">
        <w:rPr>
          <w:kern w:val="22"/>
          <w:szCs w:val="22"/>
        </w:rPr>
        <w:t xml:space="preserve"> as well as the voluntary guidance on governance and equity</w:t>
      </w:r>
      <w:r w:rsidR="00720322">
        <w:rPr>
          <w:kern w:val="22"/>
          <w:szCs w:val="22"/>
        </w:rPr>
        <w:t>,</w:t>
      </w:r>
      <w:r w:rsidR="00864B12" w:rsidRPr="007B3E88">
        <w:rPr>
          <w:kern w:val="22"/>
          <w:szCs w:val="22"/>
        </w:rPr>
        <w:t xml:space="preserve"> </w:t>
      </w:r>
      <w:r w:rsidR="00F71F6A" w:rsidRPr="007B3E88">
        <w:rPr>
          <w:kern w:val="22"/>
          <w:szCs w:val="22"/>
        </w:rPr>
        <w:t xml:space="preserve">contained </w:t>
      </w:r>
      <w:r w:rsidR="00864B12" w:rsidRPr="007B3E88">
        <w:rPr>
          <w:kern w:val="22"/>
          <w:szCs w:val="22"/>
        </w:rPr>
        <w:t xml:space="preserve">in </w:t>
      </w:r>
      <w:r w:rsidR="00460B97" w:rsidRPr="007B3E88">
        <w:rPr>
          <w:kern w:val="22"/>
          <w:szCs w:val="22"/>
        </w:rPr>
        <w:t>a</w:t>
      </w:r>
      <w:r w:rsidR="00364304" w:rsidRPr="007B3E88">
        <w:rPr>
          <w:kern w:val="22"/>
          <w:szCs w:val="22"/>
        </w:rPr>
        <w:t xml:space="preserve">nnexes </w:t>
      </w:r>
      <w:r w:rsidR="00864B12" w:rsidRPr="007B3E88">
        <w:rPr>
          <w:kern w:val="22"/>
          <w:szCs w:val="22"/>
        </w:rPr>
        <w:t>I</w:t>
      </w:r>
      <w:r w:rsidR="00364304" w:rsidRPr="007B3E88">
        <w:rPr>
          <w:kern w:val="22"/>
          <w:szCs w:val="22"/>
        </w:rPr>
        <w:t xml:space="preserve"> and I</w:t>
      </w:r>
      <w:r w:rsidR="00864B12" w:rsidRPr="007B3E88">
        <w:rPr>
          <w:kern w:val="22"/>
          <w:szCs w:val="22"/>
        </w:rPr>
        <w:t>I</w:t>
      </w:r>
      <w:r w:rsidR="00720322">
        <w:rPr>
          <w:kern w:val="22"/>
          <w:szCs w:val="22"/>
        </w:rPr>
        <w:t>, respectively,</w:t>
      </w:r>
      <w:r w:rsidR="00864B12" w:rsidRPr="007B3E88">
        <w:rPr>
          <w:kern w:val="22"/>
          <w:szCs w:val="22"/>
        </w:rPr>
        <w:t xml:space="preserve"> </w:t>
      </w:r>
      <w:r w:rsidR="00B46A2A">
        <w:rPr>
          <w:kern w:val="22"/>
          <w:szCs w:val="22"/>
        </w:rPr>
        <w:t>to</w:t>
      </w:r>
      <w:r w:rsidR="00B46A2A" w:rsidRPr="007B3E88">
        <w:rPr>
          <w:kern w:val="22"/>
          <w:szCs w:val="22"/>
        </w:rPr>
        <w:t xml:space="preserve"> </w:t>
      </w:r>
      <w:r w:rsidR="00864B12" w:rsidRPr="007B3E88">
        <w:rPr>
          <w:kern w:val="22"/>
          <w:szCs w:val="22"/>
        </w:rPr>
        <w:t>th</w:t>
      </w:r>
      <w:r w:rsidR="00460B97" w:rsidRPr="007B3E88">
        <w:rPr>
          <w:kern w:val="22"/>
          <w:szCs w:val="22"/>
        </w:rPr>
        <w:t>e present</w:t>
      </w:r>
      <w:r w:rsidR="00864B12" w:rsidRPr="007B3E88">
        <w:rPr>
          <w:kern w:val="22"/>
          <w:szCs w:val="22"/>
        </w:rPr>
        <w:t xml:space="preserve"> </w:t>
      </w:r>
      <w:r w:rsidR="009B7000" w:rsidRPr="007B3E88">
        <w:rPr>
          <w:kern w:val="22"/>
          <w:szCs w:val="22"/>
        </w:rPr>
        <w:t>draft decision</w:t>
      </w:r>
      <w:r w:rsidR="00864B12" w:rsidRPr="007B3E88">
        <w:rPr>
          <w:kern w:val="22"/>
          <w:szCs w:val="22"/>
        </w:rPr>
        <w:t>;</w:t>
      </w:r>
      <w:r w:rsidR="009B7000" w:rsidRPr="007B3E88">
        <w:rPr>
          <w:kern w:val="22"/>
          <w:szCs w:val="22"/>
          <w:vertAlign w:val="superscript"/>
        </w:rPr>
        <w:fldChar w:fldCharType="begin"/>
      </w:r>
      <w:r w:rsidR="009B7000" w:rsidRPr="007B3E88">
        <w:rPr>
          <w:kern w:val="22"/>
          <w:szCs w:val="22"/>
          <w:vertAlign w:val="superscript"/>
        </w:rPr>
        <w:instrText xml:space="preserve"> NOTEREF _Ref509910957 \h  \* MERGEFORMAT </w:instrText>
      </w:r>
      <w:r w:rsidR="009B7000" w:rsidRPr="007B3E88">
        <w:rPr>
          <w:kern w:val="22"/>
          <w:szCs w:val="22"/>
          <w:vertAlign w:val="superscript"/>
        </w:rPr>
      </w:r>
      <w:r w:rsidR="009B7000" w:rsidRPr="007B3E88">
        <w:rPr>
          <w:kern w:val="22"/>
          <w:szCs w:val="22"/>
          <w:vertAlign w:val="superscript"/>
        </w:rPr>
        <w:fldChar w:fldCharType="separate"/>
      </w:r>
      <w:r w:rsidR="00F51C48">
        <w:rPr>
          <w:kern w:val="22"/>
          <w:szCs w:val="22"/>
          <w:vertAlign w:val="superscript"/>
        </w:rPr>
        <w:t>9</w:t>
      </w:r>
      <w:r w:rsidR="009B7000" w:rsidRPr="007B3E88">
        <w:rPr>
          <w:kern w:val="22"/>
          <w:szCs w:val="22"/>
          <w:vertAlign w:val="superscript"/>
        </w:rPr>
        <w:fldChar w:fldCharType="end"/>
      </w:r>
    </w:p>
    <w:p w14:paraId="61A2D55A" w14:textId="4A0EC484" w:rsidR="00864B12"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i/>
          <w:kern w:val="22"/>
          <w:szCs w:val="22"/>
        </w:rPr>
      </w:pPr>
      <w:r w:rsidRPr="007B3E88">
        <w:rPr>
          <w:kern w:val="22"/>
          <w:szCs w:val="22"/>
        </w:rPr>
        <w:t>2.</w:t>
      </w:r>
      <w:r w:rsidRPr="007B3E88">
        <w:rPr>
          <w:kern w:val="22"/>
          <w:szCs w:val="22"/>
        </w:rPr>
        <w:tab/>
      </w:r>
      <w:r w:rsidR="00864B12" w:rsidRPr="007B3E88">
        <w:rPr>
          <w:i/>
          <w:kern w:val="22"/>
          <w:szCs w:val="22"/>
        </w:rPr>
        <w:t>Adopts</w:t>
      </w:r>
      <w:r w:rsidR="00864B12" w:rsidRPr="007B3E88">
        <w:rPr>
          <w:kern w:val="22"/>
          <w:szCs w:val="22"/>
        </w:rPr>
        <w:t xml:space="preserve"> the scientific and technical advice </w:t>
      </w:r>
      <w:r w:rsidR="00864B12" w:rsidRPr="006A3F97">
        <w:rPr>
          <w:rFonts w:eastAsia="Calibri"/>
          <w:kern w:val="22"/>
          <w:szCs w:val="22"/>
        </w:rPr>
        <w:t>on definition, management approaches and identification of other effective area-based conservation measures and their role in achieving Aichi Biodiversity Target</w:t>
      </w:r>
      <w:r w:rsidR="005D2DB3" w:rsidRPr="006A3F97">
        <w:rPr>
          <w:rFonts w:eastAsia="Calibri"/>
          <w:kern w:val="22"/>
          <w:szCs w:val="22"/>
        </w:rPr>
        <w:t xml:space="preserve"> </w:t>
      </w:r>
      <w:r w:rsidR="00864B12" w:rsidRPr="006A3F97">
        <w:rPr>
          <w:rFonts w:eastAsia="Calibri"/>
          <w:kern w:val="22"/>
          <w:szCs w:val="22"/>
        </w:rPr>
        <w:t>11</w:t>
      </w:r>
      <w:r w:rsidR="008E54C9">
        <w:rPr>
          <w:rFonts w:eastAsia="Calibri"/>
          <w:kern w:val="22"/>
          <w:szCs w:val="22"/>
        </w:rPr>
        <w:t>,</w:t>
      </w:r>
      <w:r w:rsidR="00864B12" w:rsidRPr="006A3F97">
        <w:rPr>
          <w:rFonts w:eastAsia="Calibri"/>
          <w:kern w:val="22"/>
          <w:szCs w:val="22"/>
        </w:rPr>
        <w:t xml:space="preserve"> </w:t>
      </w:r>
      <w:r w:rsidR="00460B97" w:rsidRPr="007B3E88">
        <w:rPr>
          <w:kern w:val="22"/>
          <w:szCs w:val="22"/>
        </w:rPr>
        <w:t>c</w:t>
      </w:r>
      <w:r w:rsidR="00864B12" w:rsidRPr="007B3E88">
        <w:rPr>
          <w:kern w:val="22"/>
          <w:szCs w:val="22"/>
        </w:rPr>
        <w:t xml:space="preserve">ontained in </w:t>
      </w:r>
      <w:r w:rsidR="00D82C9F" w:rsidRPr="007B3E88">
        <w:rPr>
          <w:kern w:val="22"/>
          <w:szCs w:val="22"/>
        </w:rPr>
        <w:t>annex</w:t>
      </w:r>
      <w:r w:rsidR="00864B12" w:rsidRPr="007B3E88">
        <w:rPr>
          <w:kern w:val="22"/>
          <w:szCs w:val="22"/>
        </w:rPr>
        <w:t xml:space="preserve"> III </w:t>
      </w:r>
      <w:r w:rsidR="00D82C9F" w:rsidRPr="007B3E88">
        <w:rPr>
          <w:kern w:val="22"/>
          <w:szCs w:val="22"/>
        </w:rPr>
        <w:t xml:space="preserve">to </w:t>
      </w:r>
      <w:r w:rsidR="00864B12" w:rsidRPr="007B3E88">
        <w:rPr>
          <w:kern w:val="22"/>
          <w:szCs w:val="22"/>
        </w:rPr>
        <w:t>th</w:t>
      </w:r>
      <w:r w:rsidR="00460B97" w:rsidRPr="007B3E88">
        <w:rPr>
          <w:kern w:val="22"/>
          <w:szCs w:val="22"/>
        </w:rPr>
        <w:t>e present</w:t>
      </w:r>
      <w:r w:rsidR="00864B12" w:rsidRPr="007B3E88">
        <w:rPr>
          <w:kern w:val="22"/>
          <w:szCs w:val="22"/>
        </w:rPr>
        <w:t xml:space="preserve"> </w:t>
      </w:r>
      <w:r w:rsidR="009B7000" w:rsidRPr="007B3E88">
        <w:rPr>
          <w:kern w:val="22"/>
          <w:szCs w:val="22"/>
        </w:rPr>
        <w:t>draft decision</w:t>
      </w:r>
      <w:r w:rsidR="00864B12" w:rsidRPr="007B3E88">
        <w:rPr>
          <w:kern w:val="22"/>
          <w:szCs w:val="22"/>
        </w:rPr>
        <w:t>;</w:t>
      </w:r>
      <w:r w:rsidR="00AF2752" w:rsidRPr="007B3E88">
        <w:rPr>
          <w:kern w:val="22"/>
          <w:szCs w:val="22"/>
          <w:vertAlign w:val="superscript"/>
        </w:rPr>
        <w:fldChar w:fldCharType="begin"/>
      </w:r>
      <w:r w:rsidR="00AF2752" w:rsidRPr="007B3E88">
        <w:rPr>
          <w:kern w:val="22"/>
          <w:szCs w:val="22"/>
          <w:vertAlign w:val="superscript"/>
        </w:rPr>
        <w:instrText xml:space="preserve"> NOTEREF _Ref510776373 \h </w:instrText>
      </w:r>
      <w:r w:rsidR="00AF2752">
        <w:rPr>
          <w:kern w:val="22"/>
          <w:szCs w:val="22"/>
          <w:vertAlign w:val="superscript"/>
        </w:rPr>
        <w:instrText xml:space="preserve"> \* MERGEFORMAT </w:instrText>
      </w:r>
      <w:r w:rsidR="00AF2752" w:rsidRPr="007B3E88">
        <w:rPr>
          <w:kern w:val="22"/>
          <w:szCs w:val="22"/>
          <w:vertAlign w:val="superscript"/>
        </w:rPr>
      </w:r>
      <w:r w:rsidR="00AF2752" w:rsidRPr="007B3E88">
        <w:rPr>
          <w:kern w:val="22"/>
          <w:szCs w:val="22"/>
          <w:vertAlign w:val="superscript"/>
        </w:rPr>
        <w:fldChar w:fldCharType="separate"/>
      </w:r>
      <w:r w:rsidR="00AF2752" w:rsidRPr="007B3E88">
        <w:rPr>
          <w:kern w:val="22"/>
          <w:szCs w:val="22"/>
          <w:vertAlign w:val="superscript"/>
        </w:rPr>
        <w:t>10</w:t>
      </w:r>
      <w:r w:rsidR="00AF2752" w:rsidRPr="007B3E88">
        <w:rPr>
          <w:kern w:val="22"/>
          <w:szCs w:val="22"/>
          <w:vertAlign w:val="superscript"/>
        </w:rPr>
        <w:fldChar w:fldCharType="end"/>
      </w:r>
      <w:r w:rsidR="008F6C3B" w:rsidRPr="007B3E88">
        <w:rPr>
          <w:kern w:val="22"/>
          <w:szCs w:val="22"/>
          <w:vertAlign w:val="superscript"/>
        </w:rPr>
        <w:fldChar w:fldCharType="begin"/>
      </w:r>
      <w:r w:rsidR="008F6C3B" w:rsidRPr="007B3E88">
        <w:rPr>
          <w:kern w:val="22"/>
          <w:szCs w:val="22"/>
          <w:vertAlign w:val="superscript"/>
        </w:rPr>
        <w:instrText xml:space="preserve"> NOTEREF _GoBack \h </w:instrText>
      </w:r>
      <w:r w:rsidR="008F6C3B">
        <w:rPr>
          <w:kern w:val="22"/>
          <w:szCs w:val="22"/>
          <w:vertAlign w:val="superscript"/>
        </w:rPr>
        <w:instrText xml:space="preserve"> \* MERGEFORMAT </w:instrText>
      </w:r>
      <w:r w:rsidR="008F6C3B" w:rsidRPr="007B3E88">
        <w:rPr>
          <w:kern w:val="22"/>
          <w:szCs w:val="22"/>
          <w:vertAlign w:val="superscript"/>
        </w:rPr>
      </w:r>
      <w:r w:rsidR="008F6C3B" w:rsidRPr="007B3E88">
        <w:rPr>
          <w:kern w:val="22"/>
          <w:szCs w:val="22"/>
          <w:vertAlign w:val="superscript"/>
        </w:rPr>
        <w:fldChar w:fldCharType="end"/>
      </w:r>
    </w:p>
    <w:p w14:paraId="3EDFD86E" w14:textId="56BF3E54" w:rsidR="00864B12"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kern w:val="22"/>
          <w:szCs w:val="22"/>
        </w:rPr>
        <w:t>3.</w:t>
      </w:r>
      <w:r w:rsidRPr="007B3E88">
        <w:rPr>
          <w:kern w:val="22"/>
          <w:szCs w:val="22"/>
        </w:rPr>
        <w:tab/>
      </w:r>
      <w:r w:rsidR="00C36979" w:rsidRPr="007B3E88">
        <w:rPr>
          <w:i/>
          <w:kern w:val="22"/>
          <w:szCs w:val="22"/>
        </w:rPr>
        <w:t>Urge</w:t>
      </w:r>
      <w:r w:rsidR="00460B97" w:rsidRPr="007B3E88">
        <w:rPr>
          <w:i/>
          <w:kern w:val="22"/>
          <w:szCs w:val="22"/>
        </w:rPr>
        <w:t>s</w:t>
      </w:r>
      <w:r w:rsidR="00C36979" w:rsidRPr="007B3E88">
        <w:rPr>
          <w:i/>
          <w:kern w:val="22"/>
          <w:szCs w:val="22"/>
        </w:rPr>
        <w:t xml:space="preserve"> </w:t>
      </w:r>
      <w:r w:rsidR="00864B12" w:rsidRPr="007B3E88">
        <w:rPr>
          <w:kern w:val="22"/>
          <w:szCs w:val="22"/>
        </w:rPr>
        <w:t>Parties to apply the voluntary guidance on integration and mainstreaming, and governance and equity of protected areas</w:t>
      </w:r>
      <w:r w:rsidR="00C36979" w:rsidRPr="007B3E88">
        <w:rPr>
          <w:kern w:val="22"/>
          <w:szCs w:val="22"/>
        </w:rPr>
        <w:t xml:space="preserve"> and other effective area-based conservation measures</w:t>
      </w:r>
      <w:r w:rsidR="00864B12" w:rsidRPr="007B3E88">
        <w:rPr>
          <w:kern w:val="22"/>
          <w:szCs w:val="22"/>
        </w:rPr>
        <w:t>, as appropriate, in accordance with their national circumstances, relevant national legislation, policies programmes and applicable international law;</w:t>
      </w:r>
    </w:p>
    <w:p w14:paraId="2C7EBBAB" w14:textId="41F1BD23" w:rsidR="00C36979"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kern w:val="22"/>
          <w:szCs w:val="22"/>
        </w:rPr>
        <w:t>4.</w:t>
      </w:r>
      <w:r w:rsidRPr="007B3E88">
        <w:rPr>
          <w:kern w:val="22"/>
          <w:szCs w:val="22"/>
        </w:rPr>
        <w:tab/>
      </w:r>
      <w:r w:rsidR="00C36979" w:rsidRPr="007B3E88">
        <w:rPr>
          <w:i/>
          <w:kern w:val="22"/>
          <w:szCs w:val="22"/>
        </w:rPr>
        <w:t xml:space="preserve">Invites </w:t>
      </w:r>
      <w:r w:rsidR="00C36979" w:rsidRPr="007B3E88">
        <w:rPr>
          <w:kern w:val="22"/>
          <w:szCs w:val="22"/>
        </w:rPr>
        <w:t>Parties to apply the scientific and technical advice on other effective area-based conservation measures</w:t>
      </w:r>
      <w:r w:rsidR="007311A7" w:rsidRPr="007B3E88">
        <w:rPr>
          <w:kern w:val="22"/>
          <w:szCs w:val="22"/>
        </w:rPr>
        <w:t>,</w:t>
      </w:r>
      <w:r w:rsidR="00C36979" w:rsidRPr="007B3E88">
        <w:rPr>
          <w:kern w:val="22"/>
          <w:szCs w:val="22"/>
        </w:rPr>
        <w:t xml:space="preserve"> including</w:t>
      </w:r>
      <w:r w:rsidR="005D2DB3" w:rsidRPr="007B3E88">
        <w:rPr>
          <w:kern w:val="22"/>
          <w:szCs w:val="22"/>
        </w:rPr>
        <w:t xml:space="preserve"> by</w:t>
      </w:r>
      <w:r w:rsidR="00C36979" w:rsidRPr="007B3E88">
        <w:rPr>
          <w:kern w:val="22"/>
          <w:szCs w:val="22"/>
        </w:rPr>
        <w:t>:</w:t>
      </w:r>
    </w:p>
    <w:p w14:paraId="14F26272" w14:textId="01C6FB4E" w:rsidR="00C36979" w:rsidRPr="007B3E88" w:rsidRDefault="00C36979" w:rsidP="007B3E88">
      <w:pPr>
        <w:pStyle w:val="Para1"/>
        <w:numPr>
          <w:ilvl w:val="6"/>
          <w:numId w:val="54"/>
        </w:numPr>
        <w:suppressLineNumbers/>
        <w:suppressAutoHyphens/>
        <w:kinsoku w:val="0"/>
        <w:overflowPunct w:val="0"/>
        <w:autoSpaceDE w:val="0"/>
        <w:autoSpaceDN w:val="0"/>
        <w:spacing w:before="0"/>
        <w:ind w:left="720" w:firstLine="720"/>
        <w:rPr>
          <w:kern w:val="22"/>
          <w:szCs w:val="22"/>
        </w:rPr>
      </w:pPr>
      <w:r w:rsidRPr="007B3E88">
        <w:rPr>
          <w:kern w:val="22"/>
          <w:szCs w:val="22"/>
        </w:rPr>
        <w:t>I</w:t>
      </w:r>
      <w:r w:rsidR="0016231C" w:rsidRPr="007B3E88">
        <w:rPr>
          <w:kern w:val="22"/>
          <w:szCs w:val="22"/>
        </w:rPr>
        <w:t xml:space="preserve">dentifying </w:t>
      </w:r>
      <w:r w:rsidR="00D82C9F" w:rsidRPr="007B3E88">
        <w:rPr>
          <w:kern w:val="22"/>
          <w:szCs w:val="22"/>
        </w:rPr>
        <w:t>other effective area-based conservation measures</w:t>
      </w:r>
      <w:r w:rsidR="00D82C9F" w:rsidRPr="007B3E88" w:rsidDel="00D82C9F">
        <w:rPr>
          <w:kern w:val="22"/>
          <w:szCs w:val="22"/>
        </w:rPr>
        <w:t xml:space="preserve"> </w:t>
      </w:r>
      <w:r w:rsidR="0016231C" w:rsidRPr="007B3E88">
        <w:rPr>
          <w:kern w:val="22"/>
          <w:szCs w:val="22"/>
        </w:rPr>
        <w:t>and their diverse options within their jurisdiction</w:t>
      </w:r>
      <w:r w:rsidRPr="007B3E88">
        <w:rPr>
          <w:kern w:val="22"/>
          <w:szCs w:val="22"/>
        </w:rPr>
        <w:t>;</w:t>
      </w:r>
    </w:p>
    <w:p w14:paraId="31B7624B" w14:textId="72B55313" w:rsidR="00C36979" w:rsidRPr="007B3E88" w:rsidRDefault="00C36979" w:rsidP="007B3E88">
      <w:pPr>
        <w:pStyle w:val="Para1"/>
        <w:numPr>
          <w:ilvl w:val="6"/>
          <w:numId w:val="54"/>
        </w:numPr>
        <w:suppressLineNumbers/>
        <w:suppressAutoHyphens/>
        <w:kinsoku w:val="0"/>
        <w:overflowPunct w:val="0"/>
        <w:autoSpaceDE w:val="0"/>
        <w:autoSpaceDN w:val="0"/>
        <w:spacing w:before="0"/>
        <w:ind w:left="720" w:firstLine="720"/>
        <w:rPr>
          <w:kern w:val="22"/>
          <w:szCs w:val="22"/>
        </w:rPr>
      </w:pPr>
      <w:r w:rsidRPr="007B3E88">
        <w:rPr>
          <w:kern w:val="22"/>
          <w:szCs w:val="22"/>
        </w:rPr>
        <w:t>Shar</w:t>
      </w:r>
      <w:r w:rsidR="0097067A" w:rsidRPr="007B3E88">
        <w:rPr>
          <w:kern w:val="22"/>
          <w:szCs w:val="22"/>
        </w:rPr>
        <w:t>ing</w:t>
      </w:r>
      <w:r w:rsidR="0016231C" w:rsidRPr="007B3E88">
        <w:rPr>
          <w:kern w:val="22"/>
          <w:szCs w:val="22"/>
        </w:rPr>
        <w:t xml:space="preserve"> this information with Parties, other Governments and organi</w:t>
      </w:r>
      <w:r w:rsidR="00D82C9F" w:rsidRPr="007B3E88">
        <w:rPr>
          <w:kern w:val="22"/>
          <w:szCs w:val="22"/>
        </w:rPr>
        <w:t>z</w:t>
      </w:r>
      <w:r w:rsidR="0016231C" w:rsidRPr="007B3E88">
        <w:rPr>
          <w:kern w:val="22"/>
          <w:szCs w:val="22"/>
        </w:rPr>
        <w:t xml:space="preserve">ations via the </w:t>
      </w:r>
      <w:r w:rsidR="00D82C9F" w:rsidRPr="007B3E88">
        <w:rPr>
          <w:kern w:val="22"/>
          <w:szCs w:val="22"/>
        </w:rPr>
        <w:t>c</w:t>
      </w:r>
      <w:r w:rsidR="0016231C" w:rsidRPr="007B3E88">
        <w:rPr>
          <w:kern w:val="22"/>
          <w:szCs w:val="22"/>
        </w:rPr>
        <w:t>learing</w:t>
      </w:r>
      <w:r w:rsidR="00D82C9F" w:rsidRPr="007B3E88">
        <w:rPr>
          <w:kern w:val="22"/>
          <w:szCs w:val="22"/>
        </w:rPr>
        <w:t>-h</w:t>
      </w:r>
      <w:r w:rsidR="0016231C" w:rsidRPr="007B3E88">
        <w:rPr>
          <w:kern w:val="22"/>
          <w:szCs w:val="22"/>
        </w:rPr>
        <w:t xml:space="preserve">ouse </w:t>
      </w:r>
      <w:r w:rsidR="00D82C9F" w:rsidRPr="007B3E88">
        <w:rPr>
          <w:kern w:val="22"/>
          <w:szCs w:val="22"/>
        </w:rPr>
        <w:t>m</w:t>
      </w:r>
      <w:r w:rsidR="0016231C" w:rsidRPr="007B3E88">
        <w:rPr>
          <w:kern w:val="22"/>
          <w:szCs w:val="22"/>
        </w:rPr>
        <w:t xml:space="preserve">echanism </w:t>
      </w:r>
      <w:r w:rsidR="00D82C9F" w:rsidRPr="007B3E88">
        <w:rPr>
          <w:kern w:val="22"/>
          <w:szCs w:val="22"/>
        </w:rPr>
        <w:t xml:space="preserve">of the Convention on Biological Diversity </w:t>
      </w:r>
      <w:r w:rsidR="0016231C" w:rsidRPr="007B3E88">
        <w:rPr>
          <w:kern w:val="22"/>
          <w:szCs w:val="22"/>
        </w:rPr>
        <w:t>and the Executive Secretary;</w:t>
      </w:r>
    </w:p>
    <w:p w14:paraId="63429788" w14:textId="4C8569E1" w:rsidR="00537C10" w:rsidRPr="007B3E88" w:rsidRDefault="00C36979" w:rsidP="007B3E88">
      <w:pPr>
        <w:pStyle w:val="Para1"/>
        <w:numPr>
          <w:ilvl w:val="6"/>
          <w:numId w:val="54"/>
        </w:numPr>
        <w:suppressLineNumbers/>
        <w:suppressAutoHyphens/>
        <w:kinsoku w:val="0"/>
        <w:overflowPunct w:val="0"/>
        <w:autoSpaceDE w:val="0"/>
        <w:autoSpaceDN w:val="0"/>
        <w:spacing w:before="0"/>
        <w:ind w:left="720" w:firstLine="720"/>
        <w:rPr>
          <w:kern w:val="22"/>
          <w:szCs w:val="22"/>
        </w:rPr>
      </w:pPr>
      <w:r w:rsidRPr="007B3E88">
        <w:rPr>
          <w:kern w:val="22"/>
          <w:szCs w:val="22"/>
        </w:rPr>
        <w:t>Submit</w:t>
      </w:r>
      <w:r w:rsidR="0097067A" w:rsidRPr="007B3E88">
        <w:rPr>
          <w:kern w:val="22"/>
          <w:szCs w:val="22"/>
        </w:rPr>
        <w:t>ting</w:t>
      </w:r>
      <w:r w:rsidR="0016231C" w:rsidRPr="007B3E88">
        <w:rPr>
          <w:kern w:val="22"/>
          <w:szCs w:val="22"/>
        </w:rPr>
        <w:t xml:space="preserve"> data on national </w:t>
      </w:r>
      <w:r w:rsidR="00D82C9F" w:rsidRPr="007B3E88">
        <w:rPr>
          <w:kern w:val="22"/>
          <w:szCs w:val="22"/>
        </w:rPr>
        <w:t>other effective area-based conservation measures</w:t>
      </w:r>
      <w:r w:rsidR="00D82C9F" w:rsidRPr="007B3E88" w:rsidDel="00D82C9F">
        <w:rPr>
          <w:kern w:val="22"/>
          <w:szCs w:val="22"/>
        </w:rPr>
        <w:t xml:space="preserve"> </w:t>
      </w:r>
      <w:r w:rsidR="0016231C" w:rsidRPr="007B3E88">
        <w:rPr>
          <w:kern w:val="22"/>
          <w:szCs w:val="22"/>
        </w:rPr>
        <w:t xml:space="preserve">to </w:t>
      </w:r>
      <w:r w:rsidR="0016231C" w:rsidRPr="006A3F97">
        <w:rPr>
          <w:bCs/>
          <w:kern w:val="22"/>
          <w:szCs w:val="22"/>
        </w:rPr>
        <w:t>the</w:t>
      </w:r>
      <w:r w:rsidR="0016231C" w:rsidRPr="006A3F97">
        <w:rPr>
          <w:bCs/>
          <w:i/>
          <w:iCs/>
          <w:kern w:val="22"/>
          <w:szCs w:val="22"/>
        </w:rPr>
        <w:t xml:space="preserve"> </w:t>
      </w:r>
      <w:r w:rsidR="005D2DB3" w:rsidRPr="007B3E88">
        <w:rPr>
          <w:bCs/>
          <w:iCs/>
          <w:kern w:val="22"/>
          <w:szCs w:val="22"/>
        </w:rPr>
        <w:t>United Nations Environment Programme’s</w:t>
      </w:r>
      <w:r w:rsidR="005D2DB3" w:rsidRPr="006A3F97">
        <w:rPr>
          <w:bCs/>
          <w:i/>
          <w:iCs/>
          <w:kern w:val="22"/>
          <w:szCs w:val="22"/>
        </w:rPr>
        <w:t xml:space="preserve"> </w:t>
      </w:r>
      <w:r w:rsidR="0016231C" w:rsidRPr="006A3F97">
        <w:rPr>
          <w:kern w:val="22"/>
          <w:szCs w:val="22"/>
        </w:rPr>
        <w:t>World Conservation Monitoring Centre</w:t>
      </w:r>
      <w:r w:rsidR="0016231C" w:rsidRPr="006A3F97">
        <w:rPr>
          <w:bCs/>
          <w:kern w:val="22"/>
          <w:szCs w:val="22"/>
        </w:rPr>
        <w:t xml:space="preserve"> </w:t>
      </w:r>
      <w:r w:rsidR="002E4A5E">
        <w:rPr>
          <w:bCs/>
          <w:kern w:val="22"/>
          <w:szCs w:val="22"/>
        </w:rPr>
        <w:t xml:space="preserve">in order </w:t>
      </w:r>
      <w:r w:rsidR="00D82C9F" w:rsidRPr="006A3F97">
        <w:rPr>
          <w:bCs/>
          <w:kern w:val="22"/>
          <w:szCs w:val="22"/>
        </w:rPr>
        <w:t>to</w:t>
      </w:r>
      <w:r w:rsidR="0016231C" w:rsidRPr="006A3F97">
        <w:rPr>
          <w:bCs/>
          <w:kern w:val="22"/>
          <w:szCs w:val="22"/>
        </w:rPr>
        <w:t xml:space="preserve"> updat</w:t>
      </w:r>
      <w:r w:rsidR="00D82C9F" w:rsidRPr="006A3F97">
        <w:rPr>
          <w:bCs/>
          <w:kern w:val="22"/>
          <w:szCs w:val="22"/>
        </w:rPr>
        <w:t>e</w:t>
      </w:r>
      <w:r w:rsidR="0016231C" w:rsidRPr="006A3F97">
        <w:rPr>
          <w:bCs/>
          <w:kern w:val="22"/>
          <w:szCs w:val="22"/>
        </w:rPr>
        <w:t xml:space="preserve"> the World Database on Protected Areas</w:t>
      </w:r>
      <w:r w:rsidR="00A327B8" w:rsidRPr="006A3F97">
        <w:rPr>
          <w:kern w:val="22"/>
          <w:szCs w:val="22"/>
        </w:rPr>
        <w:t>;</w:t>
      </w:r>
    </w:p>
    <w:p w14:paraId="0CBC36C5" w14:textId="353BB0E2" w:rsidR="00537C10"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kern w:val="22"/>
          <w:szCs w:val="22"/>
        </w:rPr>
        <w:t>5.</w:t>
      </w:r>
      <w:r w:rsidRPr="007B3E88">
        <w:rPr>
          <w:kern w:val="22"/>
          <w:szCs w:val="22"/>
        </w:rPr>
        <w:tab/>
      </w:r>
      <w:r w:rsidR="00537C10" w:rsidRPr="007B3E88">
        <w:rPr>
          <w:i/>
          <w:iCs/>
          <w:kern w:val="22"/>
          <w:szCs w:val="22"/>
        </w:rPr>
        <w:t>Encourages</w:t>
      </w:r>
      <w:r w:rsidR="00537C10" w:rsidRPr="007B3E88">
        <w:rPr>
          <w:kern w:val="22"/>
          <w:szCs w:val="22"/>
        </w:rPr>
        <w:t xml:space="preserve"> Parties, other Governments, relevant organizations and indigenous peoples and local communities to take into account the considerations</w:t>
      </w:r>
      <w:r w:rsidR="00537C10" w:rsidRPr="007B3E88">
        <w:rPr>
          <w:kern w:val="22"/>
          <w:szCs w:val="22"/>
          <w:lang w:eastAsia="ko-KR"/>
        </w:rPr>
        <w:t xml:space="preserve">, as compiled in </w:t>
      </w:r>
      <w:r w:rsidR="00DA570A" w:rsidRPr="006A3F97">
        <w:rPr>
          <w:kern w:val="22"/>
          <w:szCs w:val="22"/>
          <w:lang w:eastAsia="ko-KR"/>
        </w:rPr>
        <w:t>the</w:t>
      </w:r>
      <w:r w:rsidR="00537C10" w:rsidRPr="007B3E88">
        <w:rPr>
          <w:kern w:val="22"/>
          <w:szCs w:val="22"/>
          <w:lang w:eastAsia="ko-KR"/>
        </w:rPr>
        <w:t xml:space="preserve"> note</w:t>
      </w:r>
      <w:r w:rsidR="00DA570A" w:rsidRPr="006A3F97">
        <w:rPr>
          <w:kern w:val="22"/>
          <w:szCs w:val="22"/>
          <w:lang w:eastAsia="ko-KR"/>
        </w:rPr>
        <w:t xml:space="preserve"> by the Executive Secretary</w:t>
      </w:r>
      <w:r w:rsidR="00537C10" w:rsidRPr="007B3E88">
        <w:rPr>
          <w:kern w:val="22"/>
          <w:szCs w:val="22"/>
          <w:lang w:eastAsia="ko-KR"/>
        </w:rPr>
        <w:t>,</w:t>
      </w:r>
      <w:r w:rsidR="00A15C45" w:rsidRPr="002145A3">
        <w:rPr>
          <w:rStyle w:val="FootnoteReference"/>
          <w:kern w:val="22"/>
          <w:sz w:val="22"/>
          <w:szCs w:val="22"/>
          <w:u w:val="none"/>
          <w:vertAlign w:val="superscript"/>
        </w:rPr>
        <w:footnoteReference w:id="12"/>
      </w:r>
      <w:r w:rsidR="00537C10" w:rsidRPr="007B3E88">
        <w:rPr>
          <w:kern w:val="22"/>
          <w:szCs w:val="22"/>
        </w:rPr>
        <w:t xml:space="preserve"> in achieving Aichi Biodiversity Target 11 in marine and coastal areas in their efforts to achieve all elements of Aichi Biodiversity Target 11 in marine and coastal areas;</w:t>
      </w:r>
    </w:p>
    <w:p w14:paraId="2B8DC86F" w14:textId="784F9D14" w:rsidR="00C36979"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bCs/>
          <w:kern w:val="22"/>
          <w:szCs w:val="22"/>
        </w:rPr>
        <w:t>6.</w:t>
      </w:r>
      <w:r w:rsidRPr="007B3E88">
        <w:rPr>
          <w:bCs/>
          <w:kern w:val="22"/>
          <w:szCs w:val="22"/>
        </w:rPr>
        <w:tab/>
      </w:r>
      <w:r w:rsidR="00C36979" w:rsidRPr="006A3F97">
        <w:rPr>
          <w:bCs/>
          <w:i/>
          <w:iCs/>
          <w:kern w:val="22"/>
          <w:szCs w:val="22"/>
        </w:rPr>
        <w:t xml:space="preserve">Invites </w:t>
      </w:r>
      <w:r w:rsidR="00C36979" w:rsidRPr="006A3F97">
        <w:rPr>
          <w:bCs/>
          <w:kern w:val="22"/>
          <w:szCs w:val="22"/>
        </w:rPr>
        <w:t>the</w:t>
      </w:r>
      <w:r w:rsidR="00C36979" w:rsidRPr="006A3F97">
        <w:rPr>
          <w:bCs/>
          <w:i/>
          <w:iCs/>
          <w:kern w:val="22"/>
          <w:szCs w:val="22"/>
        </w:rPr>
        <w:t xml:space="preserve"> </w:t>
      </w:r>
      <w:r w:rsidR="00C36979" w:rsidRPr="006A3F97">
        <w:rPr>
          <w:bCs/>
          <w:kern w:val="22"/>
          <w:szCs w:val="22"/>
        </w:rPr>
        <w:t>International Union for Conservation of Nature and the</w:t>
      </w:r>
      <w:r w:rsidR="00C36979" w:rsidRPr="006A3F97">
        <w:rPr>
          <w:kern w:val="22"/>
          <w:szCs w:val="22"/>
        </w:rPr>
        <w:t xml:space="preserve"> World Conservation Monitoring Centre</w:t>
      </w:r>
      <w:r w:rsidR="00C36979" w:rsidRPr="006A3F97">
        <w:rPr>
          <w:bCs/>
          <w:kern w:val="22"/>
          <w:szCs w:val="22"/>
        </w:rPr>
        <w:t xml:space="preserve"> </w:t>
      </w:r>
      <w:r w:rsidR="005D2DB3" w:rsidRPr="006A3F97">
        <w:rPr>
          <w:bCs/>
          <w:kern w:val="22"/>
          <w:szCs w:val="22"/>
        </w:rPr>
        <w:t xml:space="preserve">to </w:t>
      </w:r>
      <w:r w:rsidR="00E22514" w:rsidRPr="006A3F97">
        <w:rPr>
          <w:bCs/>
          <w:kern w:val="22"/>
          <w:szCs w:val="22"/>
        </w:rPr>
        <w:t xml:space="preserve">upgrade the World Database on Protected Areas by providing a section on </w:t>
      </w:r>
      <w:r w:rsidR="00D82C9F" w:rsidRPr="007B3E88">
        <w:rPr>
          <w:kern w:val="22"/>
          <w:szCs w:val="22"/>
        </w:rPr>
        <w:t>other effective area-based conservation measures</w:t>
      </w:r>
      <w:r w:rsidR="00D82C9F" w:rsidRPr="006A3F97" w:rsidDel="00D82C9F">
        <w:rPr>
          <w:bCs/>
          <w:kern w:val="22"/>
          <w:szCs w:val="22"/>
        </w:rPr>
        <w:t xml:space="preserve"> </w:t>
      </w:r>
      <w:r w:rsidR="00E22514" w:rsidRPr="006A3F97">
        <w:rPr>
          <w:bCs/>
          <w:kern w:val="22"/>
          <w:szCs w:val="22"/>
        </w:rPr>
        <w:t xml:space="preserve">and </w:t>
      </w:r>
      <w:r w:rsidR="00C36979" w:rsidRPr="006A3F97">
        <w:rPr>
          <w:bCs/>
          <w:kern w:val="22"/>
          <w:szCs w:val="22"/>
        </w:rPr>
        <w:t xml:space="preserve">to work with Parties and other Governments on </w:t>
      </w:r>
      <w:r w:rsidR="009577EE">
        <w:rPr>
          <w:bCs/>
          <w:kern w:val="22"/>
          <w:szCs w:val="22"/>
        </w:rPr>
        <w:t xml:space="preserve">the basis of </w:t>
      </w:r>
      <w:r w:rsidR="00C36979" w:rsidRPr="006A3F97">
        <w:rPr>
          <w:bCs/>
          <w:kern w:val="22"/>
          <w:szCs w:val="22"/>
        </w:rPr>
        <w:t xml:space="preserve">their analysis of </w:t>
      </w:r>
      <w:r w:rsidR="00D82C9F" w:rsidRPr="007B3E88">
        <w:rPr>
          <w:kern w:val="22"/>
          <w:szCs w:val="22"/>
        </w:rPr>
        <w:t>other effective area-based conservation measures</w:t>
      </w:r>
      <w:r w:rsidR="00D82C9F" w:rsidRPr="006A3F97" w:rsidDel="00D82C9F">
        <w:rPr>
          <w:bCs/>
          <w:kern w:val="22"/>
          <w:szCs w:val="22"/>
        </w:rPr>
        <w:t xml:space="preserve"> </w:t>
      </w:r>
      <w:r w:rsidR="00C36979" w:rsidRPr="006A3F97">
        <w:rPr>
          <w:bCs/>
          <w:kern w:val="22"/>
          <w:szCs w:val="22"/>
        </w:rPr>
        <w:t xml:space="preserve">at </w:t>
      </w:r>
      <w:r w:rsidR="00D90DB8">
        <w:rPr>
          <w:bCs/>
          <w:kern w:val="22"/>
          <w:szCs w:val="22"/>
        </w:rPr>
        <w:t xml:space="preserve">the </w:t>
      </w:r>
      <w:r w:rsidR="00C36979" w:rsidRPr="006A3F97">
        <w:rPr>
          <w:bCs/>
          <w:kern w:val="22"/>
          <w:szCs w:val="22"/>
        </w:rPr>
        <w:t xml:space="preserve">national level </w:t>
      </w:r>
      <w:r w:rsidR="00D90DB8">
        <w:rPr>
          <w:bCs/>
          <w:kern w:val="22"/>
          <w:szCs w:val="22"/>
        </w:rPr>
        <w:t xml:space="preserve">in order </w:t>
      </w:r>
      <w:r w:rsidR="00C36979" w:rsidRPr="006A3F97">
        <w:rPr>
          <w:bCs/>
          <w:kern w:val="22"/>
          <w:szCs w:val="22"/>
        </w:rPr>
        <w:t>to update the World Database on Protected Areas</w:t>
      </w:r>
      <w:r w:rsidR="00E22514" w:rsidRPr="006A3F97">
        <w:rPr>
          <w:bCs/>
          <w:kern w:val="22"/>
          <w:szCs w:val="22"/>
        </w:rPr>
        <w:t xml:space="preserve"> accordingly</w:t>
      </w:r>
      <w:r w:rsidR="00C36979" w:rsidRPr="006A3F97">
        <w:rPr>
          <w:bCs/>
          <w:kern w:val="22"/>
          <w:szCs w:val="22"/>
        </w:rPr>
        <w:t>;</w:t>
      </w:r>
    </w:p>
    <w:p w14:paraId="794F0BE2" w14:textId="2DF4CF35" w:rsidR="00864B12"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sidRPr="007B3E88">
        <w:rPr>
          <w:iCs/>
          <w:kern w:val="22"/>
          <w:szCs w:val="22"/>
        </w:rPr>
        <w:t>7.</w:t>
      </w:r>
      <w:r w:rsidRPr="007B3E88">
        <w:rPr>
          <w:iCs/>
          <w:kern w:val="22"/>
          <w:szCs w:val="22"/>
        </w:rPr>
        <w:tab/>
      </w:r>
      <w:r w:rsidR="00864B12" w:rsidRPr="007B3E88">
        <w:rPr>
          <w:i/>
          <w:kern w:val="22"/>
          <w:szCs w:val="22"/>
        </w:rPr>
        <w:t>Requests</w:t>
      </w:r>
      <w:r w:rsidR="00864B12" w:rsidRPr="007B3E88">
        <w:rPr>
          <w:kern w:val="22"/>
          <w:szCs w:val="22"/>
        </w:rPr>
        <w:t xml:space="preserve"> the Executive Secretary, in collaboration with partners, Parties, other Governments, and relevant organizations:</w:t>
      </w:r>
    </w:p>
    <w:p w14:paraId="6887DAD4" w14:textId="3977800E" w:rsidR="00864B12" w:rsidRPr="007B3E88" w:rsidRDefault="00A94E5A" w:rsidP="007B3E88">
      <w:pPr>
        <w:pStyle w:val="Para1"/>
        <w:numPr>
          <w:ilvl w:val="0"/>
          <w:numId w:val="24"/>
        </w:numPr>
        <w:suppressLineNumbers/>
        <w:suppressAutoHyphens/>
        <w:kinsoku w:val="0"/>
        <w:overflowPunct w:val="0"/>
        <w:autoSpaceDE w:val="0"/>
        <w:autoSpaceDN w:val="0"/>
        <w:spacing w:before="0"/>
        <w:ind w:left="720" w:firstLine="720"/>
        <w:rPr>
          <w:kern w:val="22"/>
          <w:szCs w:val="22"/>
        </w:rPr>
      </w:pPr>
      <w:r>
        <w:rPr>
          <w:kern w:val="22"/>
          <w:szCs w:val="22"/>
        </w:rPr>
        <w:t>To p</w:t>
      </w:r>
      <w:r w:rsidR="00864B12" w:rsidRPr="007B3E88">
        <w:rPr>
          <w:kern w:val="22"/>
          <w:szCs w:val="22"/>
        </w:rPr>
        <w:t>rovide capacity</w:t>
      </w:r>
      <w:r w:rsidR="005D2DB3" w:rsidRPr="007B3E88">
        <w:rPr>
          <w:kern w:val="22"/>
          <w:szCs w:val="22"/>
        </w:rPr>
        <w:t>-</w:t>
      </w:r>
      <w:r w:rsidR="00864B12" w:rsidRPr="007B3E88">
        <w:rPr>
          <w:kern w:val="22"/>
          <w:szCs w:val="22"/>
        </w:rPr>
        <w:t>building to enable the application of the guidance developed in response to paragraphs 9(a</w:t>
      </w:r>
      <w:r w:rsidR="00266216">
        <w:rPr>
          <w:kern w:val="22"/>
          <w:szCs w:val="22"/>
        </w:rPr>
        <w:t>)</w:t>
      </w:r>
      <w:r w:rsidR="00864B12" w:rsidRPr="007B3E88">
        <w:rPr>
          <w:kern w:val="22"/>
          <w:szCs w:val="22"/>
        </w:rPr>
        <w:t xml:space="preserve">(i-iv), 10(a) and 10(b) of decision </w:t>
      </w:r>
      <w:hyperlink r:id="rId18" w:history="1">
        <w:r w:rsidR="00864B12" w:rsidRPr="007B3E88">
          <w:rPr>
            <w:rStyle w:val="Hyperlink"/>
            <w:kern w:val="22"/>
            <w:szCs w:val="22"/>
          </w:rPr>
          <w:t>XIII/2</w:t>
        </w:r>
      </w:hyperlink>
      <w:r w:rsidR="00864B12" w:rsidRPr="007B3E88">
        <w:rPr>
          <w:kern w:val="22"/>
          <w:szCs w:val="22"/>
        </w:rPr>
        <w:t>;</w:t>
      </w:r>
    </w:p>
    <w:p w14:paraId="3EE2EF6D" w14:textId="23A9C6AC" w:rsidR="00864B12" w:rsidRPr="007B3E88" w:rsidRDefault="00153684" w:rsidP="007B3E88">
      <w:pPr>
        <w:pStyle w:val="Para1"/>
        <w:numPr>
          <w:ilvl w:val="0"/>
          <w:numId w:val="24"/>
        </w:numPr>
        <w:suppressLineNumbers/>
        <w:suppressAutoHyphens/>
        <w:kinsoku w:val="0"/>
        <w:overflowPunct w:val="0"/>
        <w:autoSpaceDE w:val="0"/>
        <w:autoSpaceDN w:val="0"/>
        <w:spacing w:before="0"/>
        <w:ind w:left="720" w:firstLine="720"/>
        <w:rPr>
          <w:kern w:val="22"/>
          <w:szCs w:val="22"/>
        </w:rPr>
      </w:pPr>
      <w:r>
        <w:rPr>
          <w:kern w:val="22"/>
          <w:szCs w:val="22"/>
        </w:rPr>
        <w:t>To s</w:t>
      </w:r>
      <w:r w:rsidR="00864B12" w:rsidRPr="007B3E88">
        <w:rPr>
          <w:kern w:val="22"/>
          <w:szCs w:val="22"/>
        </w:rPr>
        <w:t xml:space="preserve">ystematically collect information on </w:t>
      </w:r>
      <w:r w:rsidR="00D82C9F" w:rsidRPr="007B3E88">
        <w:rPr>
          <w:kern w:val="22"/>
          <w:szCs w:val="22"/>
        </w:rPr>
        <w:t>other effective area-based conservation measures</w:t>
      </w:r>
      <w:r w:rsidR="00864B12" w:rsidRPr="007B3E88">
        <w:rPr>
          <w:kern w:val="22"/>
          <w:szCs w:val="22"/>
        </w:rPr>
        <w:t>, to facilitate mapping and showcase their contribution to Aichi Biodiversity Target 11</w:t>
      </w:r>
      <w:r w:rsidR="00537C10" w:rsidRPr="007B3E88">
        <w:rPr>
          <w:kern w:val="22"/>
          <w:szCs w:val="22"/>
        </w:rPr>
        <w:t xml:space="preserve"> and </w:t>
      </w:r>
      <w:r w:rsidR="00B56FA4">
        <w:rPr>
          <w:kern w:val="22"/>
          <w:szCs w:val="22"/>
        </w:rPr>
        <w:t xml:space="preserve">to </w:t>
      </w:r>
      <w:r w:rsidR="00537C10" w:rsidRPr="007B3E88">
        <w:rPr>
          <w:kern w:val="22"/>
          <w:szCs w:val="22"/>
        </w:rPr>
        <w:t>disseminate this information through the clearing-house mechanism of the Convention</w:t>
      </w:r>
      <w:r w:rsidR="00537C10" w:rsidRPr="007B3E88">
        <w:rPr>
          <w:kern w:val="22"/>
          <w:szCs w:val="22"/>
          <w:lang w:eastAsia="ko-KR"/>
        </w:rPr>
        <w:t xml:space="preserve"> and relevant publication</w:t>
      </w:r>
      <w:r w:rsidR="00B56FA4">
        <w:rPr>
          <w:kern w:val="22"/>
          <w:szCs w:val="22"/>
          <w:lang w:eastAsia="ko-KR"/>
        </w:rPr>
        <w:t>s</w:t>
      </w:r>
      <w:r w:rsidR="00FB2BE8">
        <w:rPr>
          <w:kern w:val="22"/>
          <w:szCs w:val="22"/>
        </w:rPr>
        <w:t>;</w:t>
      </w:r>
    </w:p>
    <w:p w14:paraId="04B9FB38" w14:textId="1A761FAB" w:rsidR="00864B12" w:rsidRPr="007B3E88"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rPr>
      </w:pPr>
      <w:r>
        <w:rPr>
          <w:kern w:val="22"/>
          <w:szCs w:val="22"/>
        </w:rPr>
        <w:t>8.</w:t>
      </w:r>
      <w:r>
        <w:rPr>
          <w:kern w:val="22"/>
          <w:szCs w:val="22"/>
        </w:rPr>
        <w:tab/>
      </w:r>
      <w:r w:rsidR="00864B12" w:rsidRPr="007B3E88">
        <w:rPr>
          <w:i/>
          <w:kern w:val="22"/>
          <w:szCs w:val="22"/>
        </w:rPr>
        <w:t>Encourages</w:t>
      </w:r>
      <w:r w:rsidR="00864B12" w:rsidRPr="007B3E88">
        <w:rPr>
          <w:kern w:val="22"/>
          <w:szCs w:val="22"/>
        </w:rPr>
        <w:t xml:space="preserve"> Parties to share case studies/best practices and examples of management approaches, governance types and effectiveness</w:t>
      </w:r>
      <w:r w:rsidR="00802C23" w:rsidRPr="00802C23">
        <w:rPr>
          <w:kern w:val="22"/>
          <w:szCs w:val="22"/>
        </w:rPr>
        <w:t xml:space="preserve"> </w:t>
      </w:r>
      <w:r w:rsidR="00802C23">
        <w:rPr>
          <w:kern w:val="22"/>
          <w:szCs w:val="22"/>
        </w:rPr>
        <w:t xml:space="preserve">related to </w:t>
      </w:r>
      <w:r w:rsidR="00D772EF" w:rsidRPr="00EE2781">
        <w:rPr>
          <w:kern w:val="22"/>
          <w:szCs w:val="22"/>
        </w:rPr>
        <w:t xml:space="preserve">other </w:t>
      </w:r>
      <w:r w:rsidR="00802C23" w:rsidRPr="00B109F2">
        <w:rPr>
          <w:kern w:val="22"/>
          <w:szCs w:val="22"/>
        </w:rPr>
        <w:t>effective area-based conservation measures</w:t>
      </w:r>
      <w:r w:rsidR="00864B12" w:rsidRPr="007B3E88">
        <w:rPr>
          <w:kern w:val="22"/>
          <w:szCs w:val="22"/>
        </w:rPr>
        <w:t xml:space="preserve">, including experiences </w:t>
      </w:r>
      <w:r w:rsidR="0081174F">
        <w:rPr>
          <w:kern w:val="22"/>
          <w:szCs w:val="22"/>
        </w:rPr>
        <w:t>with</w:t>
      </w:r>
      <w:r w:rsidR="0081174F" w:rsidRPr="007B3E88">
        <w:rPr>
          <w:kern w:val="22"/>
          <w:szCs w:val="22"/>
        </w:rPr>
        <w:t xml:space="preserve"> </w:t>
      </w:r>
      <w:r w:rsidR="00864B12" w:rsidRPr="007B3E88">
        <w:rPr>
          <w:kern w:val="22"/>
          <w:szCs w:val="22"/>
        </w:rPr>
        <w:t xml:space="preserve">the application of the guidance, through the </w:t>
      </w:r>
      <w:r w:rsidR="00FA248F" w:rsidRPr="007B3E88">
        <w:rPr>
          <w:kern w:val="22"/>
          <w:szCs w:val="22"/>
        </w:rPr>
        <w:t>c</w:t>
      </w:r>
      <w:r w:rsidR="00864B12" w:rsidRPr="007B3E88">
        <w:rPr>
          <w:kern w:val="22"/>
          <w:szCs w:val="22"/>
        </w:rPr>
        <w:t>learing</w:t>
      </w:r>
      <w:r w:rsidR="00FA248F" w:rsidRPr="007B3E88">
        <w:rPr>
          <w:kern w:val="22"/>
          <w:szCs w:val="22"/>
        </w:rPr>
        <w:t>-h</w:t>
      </w:r>
      <w:r w:rsidR="00864B12" w:rsidRPr="007B3E88">
        <w:rPr>
          <w:kern w:val="22"/>
          <w:szCs w:val="22"/>
        </w:rPr>
        <w:t xml:space="preserve">ouse </w:t>
      </w:r>
      <w:r w:rsidR="00FA248F" w:rsidRPr="007B3E88">
        <w:rPr>
          <w:kern w:val="22"/>
          <w:szCs w:val="22"/>
        </w:rPr>
        <w:t>m</w:t>
      </w:r>
      <w:r w:rsidR="00864B12" w:rsidRPr="007B3E88">
        <w:rPr>
          <w:kern w:val="22"/>
          <w:szCs w:val="22"/>
        </w:rPr>
        <w:t xml:space="preserve">echanism </w:t>
      </w:r>
      <w:r w:rsidR="0081174F" w:rsidRPr="00A45232">
        <w:rPr>
          <w:kern w:val="22"/>
          <w:szCs w:val="22"/>
        </w:rPr>
        <w:t>o</w:t>
      </w:r>
      <w:r w:rsidR="0081174F">
        <w:rPr>
          <w:kern w:val="22"/>
          <w:szCs w:val="22"/>
        </w:rPr>
        <w:t>f</w:t>
      </w:r>
      <w:r w:rsidR="0081174F" w:rsidRPr="00A45232">
        <w:rPr>
          <w:kern w:val="22"/>
          <w:szCs w:val="22"/>
        </w:rPr>
        <w:t xml:space="preserve"> the Convention</w:t>
      </w:r>
      <w:r w:rsidR="0081174F" w:rsidRPr="006A64B0">
        <w:rPr>
          <w:kern w:val="22"/>
          <w:szCs w:val="22"/>
        </w:rPr>
        <w:t xml:space="preserve"> </w:t>
      </w:r>
      <w:r w:rsidR="00864B12" w:rsidRPr="007B3E88">
        <w:rPr>
          <w:kern w:val="22"/>
          <w:szCs w:val="22"/>
        </w:rPr>
        <w:t>and other means.</w:t>
      </w:r>
    </w:p>
    <w:p w14:paraId="6DE73A9B" w14:textId="77777777" w:rsidR="00864B12" w:rsidRPr="007B3E88" w:rsidRDefault="00864B12" w:rsidP="007B3E88">
      <w:pPr>
        <w:pStyle w:val="Para1"/>
        <w:numPr>
          <w:ilvl w:val="0"/>
          <w:numId w:val="0"/>
        </w:numPr>
        <w:suppressLineNumbers/>
        <w:suppressAutoHyphens/>
        <w:kinsoku w:val="0"/>
        <w:overflowPunct w:val="0"/>
        <w:autoSpaceDE w:val="0"/>
        <w:autoSpaceDN w:val="0"/>
        <w:rPr>
          <w:kern w:val="22"/>
          <w:szCs w:val="22"/>
        </w:rPr>
      </w:pPr>
    </w:p>
    <w:p w14:paraId="5AC02D0A" w14:textId="77777777" w:rsidR="00864B12" w:rsidRPr="007B3E88" w:rsidRDefault="00864B12" w:rsidP="007B3E88">
      <w:pPr>
        <w:suppressLineNumbers/>
        <w:suppressAutoHyphens/>
        <w:kinsoku w:val="0"/>
        <w:overflowPunct w:val="0"/>
        <w:autoSpaceDE w:val="0"/>
        <w:autoSpaceDN w:val="0"/>
        <w:jc w:val="left"/>
        <w:rPr>
          <w:snapToGrid w:val="0"/>
          <w:kern w:val="22"/>
          <w:szCs w:val="22"/>
        </w:rPr>
      </w:pPr>
      <w:r w:rsidRPr="007B3E88">
        <w:rPr>
          <w:kern w:val="22"/>
          <w:szCs w:val="22"/>
        </w:rPr>
        <w:br w:type="page"/>
      </w:r>
    </w:p>
    <w:p w14:paraId="48877C85" w14:textId="40A99C24" w:rsidR="00FA248F" w:rsidRPr="007B3E88" w:rsidRDefault="00FA248F" w:rsidP="007B3E88">
      <w:pPr>
        <w:pStyle w:val="Heading1"/>
        <w:suppressLineNumbers/>
        <w:tabs>
          <w:tab w:val="clear" w:pos="720"/>
        </w:tabs>
        <w:suppressAutoHyphens/>
        <w:kinsoku w:val="0"/>
        <w:overflowPunct w:val="0"/>
        <w:autoSpaceDE w:val="0"/>
        <w:autoSpaceDN w:val="0"/>
        <w:spacing w:before="0"/>
        <w:rPr>
          <w:b w:val="0"/>
          <w:i/>
          <w:kern w:val="22"/>
          <w:szCs w:val="22"/>
        </w:rPr>
      </w:pPr>
      <w:r w:rsidRPr="007B3E88">
        <w:rPr>
          <w:b w:val="0"/>
          <w:i/>
          <w:caps w:val="0"/>
          <w:kern w:val="22"/>
          <w:szCs w:val="22"/>
        </w:rPr>
        <w:t xml:space="preserve">Annex </w:t>
      </w:r>
      <w:r w:rsidR="00864B12" w:rsidRPr="007B3E88">
        <w:rPr>
          <w:b w:val="0"/>
          <w:i/>
          <w:kern w:val="22"/>
          <w:szCs w:val="22"/>
        </w:rPr>
        <w:t>I</w:t>
      </w:r>
    </w:p>
    <w:p w14:paraId="10C0E6E4" w14:textId="574EE398" w:rsidR="00864B12" w:rsidRPr="005D36C5" w:rsidRDefault="00864B12" w:rsidP="007B3E88">
      <w:pPr>
        <w:pStyle w:val="Heading1"/>
        <w:keepNext/>
        <w:suppressLineNumbers/>
        <w:tabs>
          <w:tab w:val="clear" w:pos="720"/>
        </w:tabs>
        <w:suppressAutoHyphens/>
        <w:kinsoku w:val="0"/>
        <w:overflowPunct w:val="0"/>
        <w:autoSpaceDE w:val="0"/>
        <w:autoSpaceDN w:val="0"/>
        <w:rPr>
          <w:rFonts w:eastAsia="Calibri"/>
          <w:snapToGrid w:val="0"/>
          <w:kern w:val="22"/>
          <w:szCs w:val="22"/>
        </w:rPr>
      </w:pPr>
      <w:r w:rsidRPr="007B3E88">
        <w:rPr>
          <w:kern w:val="22"/>
          <w:szCs w:val="22"/>
        </w:rPr>
        <w:t xml:space="preserve">Voluntary </w:t>
      </w:r>
      <w:r w:rsidR="00FF3FEA" w:rsidRPr="007B3E88">
        <w:rPr>
          <w:kern w:val="22"/>
          <w:szCs w:val="22"/>
        </w:rPr>
        <w:t xml:space="preserve">guidance </w:t>
      </w:r>
      <w:r w:rsidRPr="007B3E88">
        <w:rPr>
          <w:kern w:val="22"/>
          <w:szCs w:val="22"/>
        </w:rPr>
        <w:t xml:space="preserve">on the </w:t>
      </w:r>
      <w:r w:rsidR="00FF3FEA" w:rsidRPr="007B3E88">
        <w:rPr>
          <w:kern w:val="22"/>
          <w:szCs w:val="22"/>
        </w:rPr>
        <w:t xml:space="preserve">integration </w:t>
      </w:r>
      <w:r w:rsidRPr="007B3E88">
        <w:rPr>
          <w:kern w:val="22"/>
          <w:szCs w:val="22"/>
        </w:rPr>
        <w:t xml:space="preserve">of </w:t>
      </w:r>
      <w:r w:rsidR="00FF3FEA" w:rsidRPr="007B3E88">
        <w:rPr>
          <w:kern w:val="22"/>
          <w:szCs w:val="22"/>
        </w:rPr>
        <w:t xml:space="preserve">protected areas </w:t>
      </w:r>
      <w:r w:rsidRPr="007B3E88">
        <w:rPr>
          <w:kern w:val="22"/>
          <w:szCs w:val="22"/>
        </w:rPr>
        <w:t xml:space="preserve">and </w:t>
      </w:r>
      <w:r w:rsidR="00FF3FEA" w:rsidRPr="007B3E88">
        <w:rPr>
          <w:kern w:val="22"/>
          <w:szCs w:val="22"/>
        </w:rPr>
        <w:t>other effective area</w:t>
      </w:r>
      <w:r w:rsidRPr="007B3E88">
        <w:rPr>
          <w:kern w:val="22"/>
          <w:szCs w:val="22"/>
        </w:rPr>
        <w:t xml:space="preserve">-based </w:t>
      </w:r>
      <w:r w:rsidR="00FF3FEA" w:rsidRPr="007B3E88">
        <w:rPr>
          <w:kern w:val="22"/>
          <w:szCs w:val="22"/>
        </w:rPr>
        <w:t xml:space="preserve">conservation measures </w:t>
      </w:r>
      <w:r w:rsidRPr="007B3E88">
        <w:rPr>
          <w:kern w:val="22"/>
          <w:szCs w:val="22"/>
        </w:rPr>
        <w:t xml:space="preserve">into wider </w:t>
      </w:r>
      <w:r w:rsidR="00FF3FEA" w:rsidRPr="007B3E88">
        <w:rPr>
          <w:kern w:val="22"/>
          <w:szCs w:val="22"/>
        </w:rPr>
        <w:t>land</w:t>
      </w:r>
      <w:r w:rsidRPr="007B3E88">
        <w:rPr>
          <w:kern w:val="22"/>
          <w:szCs w:val="22"/>
        </w:rPr>
        <w:t xml:space="preserve">- and </w:t>
      </w:r>
      <w:r w:rsidR="00FF3FEA" w:rsidRPr="007B3E88">
        <w:rPr>
          <w:kern w:val="22"/>
          <w:szCs w:val="22"/>
        </w:rPr>
        <w:t xml:space="preserve">seascapes </w:t>
      </w:r>
      <w:r w:rsidRPr="007B3E88">
        <w:rPr>
          <w:kern w:val="22"/>
          <w:szCs w:val="22"/>
        </w:rPr>
        <w:t xml:space="preserve">and </w:t>
      </w:r>
      <w:r w:rsidR="00FF3FEA" w:rsidRPr="007B3E88">
        <w:rPr>
          <w:kern w:val="22"/>
          <w:szCs w:val="22"/>
        </w:rPr>
        <w:t xml:space="preserve">mainstreaming </w:t>
      </w:r>
      <w:r w:rsidRPr="007B3E88">
        <w:rPr>
          <w:kern w:val="22"/>
          <w:szCs w:val="22"/>
        </w:rPr>
        <w:t xml:space="preserve">across sectors </w:t>
      </w:r>
      <w:r w:rsidRPr="006A64B0">
        <w:rPr>
          <w:rFonts w:eastAsia="Calibri"/>
          <w:snapToGrid w:val="0"/>
          <w:kern w:val="22"/>
          <w:szCs w:val="22"/>
        </w:rPr>
        <w:t>to contribute, inter</w:t>
      </w:r>
      <w:r w:rsidR="00D36F78" w:rsidRPr="005D36C5">
        <w:rPr>
          <w:rFonts w:eastAsia="Calibri"/>
          <w:snapToGrid w:val="0"/>
          <w:kern w:val="22"/>
          <w:szCs w:val="22"/>
        </w:rPr>
        <w:t> </w:t>
      </w:r>
      <w:r w:rsidRPr="005D36C5">
        <w:rPr>
          <w:rFonts w:eastAsia="Calibri"/>
          <w:snapToGrid w:val="0"/>
          <w:kern w:val="22"/>
          <w:szCs w:val="22"/>
        </w:rPr>
        <w:t>alia,</w:t>
      </w:r>
      <w:r w:rsidR="00D36F78" w:rsidRPr="005D36C5">
        <w:rPr>
          <w:rFonts w:eastAsia="Calibri"/>
          <w:snapToGrid w:val="0"/>
          <w:kern w:val="22"/>
          <w:szCs w:val="22"/>
        </w:rPr>
        <w:t> </w:t>
      </w:r>
      <w:r w:rsidRPr="005D36C5">
        <w:rPr>
          <w:rFonts w:eastAsia="Calibri"/>
          <w:snapToGrid w:val="0"/>
          <w:kern w:val="22"/>
          <w:szCs w:val="22"/>
        </w:rPr>
        <w:t>to the Sustainable Development Goals</w:t>
      </w:r>
    </w:p>
    <w:p w14:paraId="536673DF" w14:textId="77777777" w:rsidR="00242F8D" w:rsidRPr="007B3E88" w:rsidRDefault="00FA248F" w:rsidP="007B3E88">
      <w:pPr>
        <w:pStyle w:val="Para1"/>
        <w:keepNext/>
        <w:numPr>
          <w:ilvl w:val="0"/>
          <w:numId w:val="56"/>
        </w:numPr>
        <w:suppressLineNumbers/>
        <w:tabs>
          <w:tab w:val="left" w:pos="360"/>
        </w:tabs>
        <w:suppressAutoHyphens/>
        <w:kinsoku w:val="0"/>
        <w:overflowPunct w:val="0"/>
        <w:autoSpaceDE w:val="0"/>
        <w:autoSpaceDN w:val="0"/>
        <w:ind w:left="0" w:firstLine="0"/>
        <w:jc w:val="center"/>
        <w:rPr>
          <w:b/>
          <w:kern w:val="22"/>
          <w:szCs w:val="22"/>
        </w:rPr>
      </w:pPr>
      <w:r w:rsidRPr="007B3E88">
        <w:rPr>
          <w:b/>
          <w:kern w:val="22"/>
          <w:szCs w:val="22"/>
        </w:rPr>
        <w:t>CONTEXT</w:t>
      </w:r>
    </w:p>
    <w:p w14:paraId="1C7810F3" w14:textId="7D5ABB43" w:rsidR="00966FAF" w:rsidRPr="007B3E88" w:rsidRDefault="00291A64"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rPr>
      </w:pPr>
      <w:r w:rsidRPr="007B3E88">
        <w:rPr>
          <w:kern w:val="22"/>
          <w:szCs w:val="22"/>
        </w:rPr>
        <w:t>The integration of protected areas into wider landscapes, seascapes and sectors</w:t>
      </w:r>
      <w:r w:rsidR="00C230CC">
        <w:rPr>
          <w:kern w:val="22"/>
          <w:szCs w:val="22"/>
        </w:rPr>
        <w:t xml:space="preserve"> is made up of</w:t>
      </w:r>
      <w:r w:rsidRPr="007B3E88">
        <w:rPr>
          <w:kern w:val="22"/>
          <w:szCs w:val="22"/>
        </w:rPr>
        <w:t xml:space="preserve"> several components. </w:t>
      </w:r>
      <w:r w:rsidR="003E73EE" w:rsidRPr="007B3E88">
        <w:rPr>
          <w:kern w:val="22"/>
          <w:szCs w:val="22"/>
        </w:rPr>
        <w:t xml:space="preserve">The first </w:t>
      </w:r>
      <w:r w:rsidRPr="007B3E88">
        <w:rPr>
          <w:kern w:val="22"/>
          <w:szCs w:val="22"/>
        </w:rPr>
        <w:t>is habitat fragmentation</w:t>
      </w:r>
      <w:r w:rsidR="00C230CC">
        <w:rPr>
          <w:kern w:val="22"/>
          <w:szCs w:val="22"/>
        </w:rPr>
        <w:t>,</w:t>
      </w:r>
      <w:r w:rsidR="003E73EE" w:rsidRPr="007B3E88">
        <w:rPr>
          <w:kern w:val="22"/>
          <w:szCs w:val="22"/>
        </w:rPr>
        <w:t xml:space="preserve"> which</w:t>
      </w:r>
      <w:r w:rsidR="003A27ED" w:rsidRPr="007B3E88">
        <w:rPr>
          <w:kern w:val="22"/>
          <w:szCs w:val="22"/>
        </w:rPr>
        <w:t xml:space="preserve"> can have profound impacts on the functioning and integrity of complex ecological systems. </w:t>
      </w:r>
      <w:r w:rsidR="001625BD" w:rsidRPr="007B3E88">
        <w:rPr>
          <w:kern w:val="22"/>
          <w:szCs w:val="22"/>
        </w:rPr>
        <w:t>However,</w:t>
      </w:r>
      <w:r w:rsidR="003A27ED" w:rsidRPr="007B3E88">
        <w:rPr>
          <w:kern w:val="22"/>
          <w:szCs w:val="22"/>
        </w:rPr>
        <w:t xml:space="preserve"> the rate and extent of fragmentation, especially of forests, is immense. A recent study found that 70 per</w:t>
      </w:r>
      <w:r w:rsidR="00FA248F" w:rsidRPr="007B3E88">
        <w:rPr>
          <w:kern w:val="22"/>
          <w:szCs w:val="22"/>
        </w:rPr>
        <w:t xml:space="preserve"> </w:t>
      </w:r>
      <w:r w:rsidR="003A27ED" w:rsidRPr="007B3E88">
        <w:rPr>
          <w:kern w:val="22"/>
          <w:szCs w:val="22"/>
        </w:rPr>
        <w:t>cent of the global forest cover is only within 1 kilometr</w:t>
      </w:r>
      <w:r w:rsidR="00871157" w:rsidRPr="007B3E88">
        <w:rPr>
          <w:kern w:val="22"/>
          <w:szCs w:val="22"/>
        </w:rPr>
        <w:t>e</w:t>
      </w:r>
      <w:r w:rsidR="003A27ED" w:rsidRPr="007B3E88">
        <w:rPr>
          <w:kern w:val="22"/>
          <w:szCs w:val="22"/>
        </w:rPr>
        <w:t xml:space="preserve"> of a forest edge (such as a road, or converted land use, such as agriculture), reducing biodiversity by as much as 75 per</w:t>
      </w:r>
      <w:r w:rsidR="00714C32" w:rsidRPr="007B3E88">
        <w:rPr>
          <w:kern w:val="22"/>
          <w:szCs w:val="22"/>
        </w:rPr>
        <w:t xml:space="preserve"> </w:t>
      </w:r>
      <w:r w:rsidR="003A27ED" w:rsidRPr="007B3E88">
        <w:rPr>
          <w:kern w:val="22"/>
          <w:szCs w:val="22"/>
        </w:rPr>
        <w:t>cent and imperilling ecosystem functioning</w:t>
      </w:r>
      <w:r w:rsidR="00FA248F" w:rsidRPr="007B3E88">
        <w:rPr>
          <w:kern w:val="22"/>
          <w:szCs w:val="22"/>
        </w:rPr>
        <w:t>.</w:t>
      </w:r>
      <w:r w:rsidR="003A27ED" w:rsidRPr="007B3E88">
        <w:rPr>
          <w:rStyle w:val="FootnoteReference"/>
          <w:kern w:val="22"/>
          <w:sz w:val="22"/>
          <w:szCs w:val="22"/>
          <w:u w:val="none"/>
          <w:vertAlign w:val="superscript"/>
        </w:rPr>
        <w:footnoteReference w:id="13"/>
      </w:r>
      <w:r w:rsidR="003A27ED" w:rsidRPr="007B3E88">
        <w:rPr>
          <w:kern w:val="22"/>
          <w:szCs w:val="22"/>
          <w:vertAlign w:val="superscript"/>
        </w:rPr>
        <w:t xml:space="preserve"> </w:t>
      </w:r>
      <w:r w:rsidR="003E73EE" w:rsidRPr="007B3E88">
        <w:rPr>
          <w:kern w:val="22"/>
          <w:szCs w:val="22"/>
        </w:rPr>
        <w:t>I</w:t>
      </w:r>
      <w:r w:rsidR="003A27ED" w:rsidRPr="007B3E88">
        <w:rPr>
          <w:kern w:val="22"/>
          <w:szCs w:val="22"/>
        </w:rPr>
        <w:t>ntact habitat is increasing</w:t>
      </w:r>
      <w:r w:rsidR="003E73EE" w:rsidRPr="007B3E88">
        <w:rPr>
          <w:kern w:val="22"/>
          <w:szCs w:val="22"/>
        </w:rPr>
        <w:t>ly</w:t>
      </w:r>
      <w:r w:rsidR="003A27ED" w:rsidRPr="007B3E88">
        <w:rPr>
          <w:kern w:val="22"/>
          <w:szCs w:val="22"/>
        </w:rPr>
        <w:t xml:space="preserve"> recognized as essential for the functioning of larger ecological systems, as well as for ecosystem services, including water, carbon sequestration and human health.</w:t>
      </w:r>
      <w:r w:rsidR="003A27ED" w:rsidRPr="007B3E88">
        <w:rPr>
          <w:rStyle w:val="FootnoteReference"/>
          <w:kern w:val="22"/>
          <w:sz w:val="22"/>
          <w:szCs w:val="22"/>
          <w:u w:val="none"/>
          <w:vertAlign w:val="superscript"/>
        </w:rPr>
        <w:footnoteReference w:id="14"/>
      </w:r>
    </w:p>
    <w:p w14:paraId="452EF313" w14:textId="54BC5D3C" w:rsidR="001A0F69" w:rsidRPr="007B3E88" w:rsidRDefault="003A27ED"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rPr>
      </w:pPr>
      <w:r w:rsidRPr="007B3E88">
        <w:rPr>
          <w:kern w:val="22"/>
          <w:szCs w:val="22"/>
        </w:rPr>
        <w:t xml:space="preserve">In </w:t>
      </w:r>
      <w:r w:rsidR="005211CD" w:rsidRPr="007B3E88">
        <w:rPr>
          <w:kern w:val="22"/>
          <w:szCs w:val="22"/>
        </w:rPr>
        <w:t xml:space="preserve">the </w:t>
      </w:r>
      <w:r w:rsidR="00714C32" w:rsidRPr="007B3E88">
        <w:rPr>
          <w:kern w:val="22"/>
          <w:szCs w:val="22"/>
        </w:rPr>
        <w:t>p</w:t>
      </w:r>
      <w:r w:rsidR="005211CD" w:rsidRPr="007B3E88">
        <w:rPr>
          <w:kern w:val="22"/>
          <w:szCs w:val="22"/>
        </w:rPr>
        <w:t xml:space="preserve">rogramme of </w:t>
      </w:r>
      <w:r w:rsidR="00714C32" w:rsidRPr="007B3E88">
        <w:rPr>
          <w:kern w:val="22"/>
          <w:szCs w:val="22"/>
        </w:rPr>
        <w:t>w</w:t>
      </w:r>
      <w:r w:rsidR="005211CD" w:rsidRPr="007B3E88">
        <w:rPr>
          <w:kern w:val="22"/>
          <w:szCs w:val="22"/>
        </w:rPr>
        <w:t xml:space="preserve">ork on </w:t>
      </w:r>
      <w:r w:rsidR="00714C32" w:rsidRPr="007B3E88">
        <w:rPr>
          <w:kern w:val="22"/>
          <w:szCs w:val="22"/>
        </w:rPr>
        <w:t>p</w:t>
      </w:r>
      <w:r w:rsidR="005211CD" w:rsidRPr="007B3E88">
        <w:rPr>
          <w:kern w:val="22"/>
          <w:szCs w:val="22"/>
        </w:rPr>
        <w:t xml:space="preserve">rotected </w:t>
      </w:r>
      <w:r w:rsidR="00714C32" w:rsidRPr="007B3E88">
        <w:rPr>
          <w:kern w:val="22"/>
          <w:szCs w:val="22"/>
        </w:rPr>
        <w:t>a</w:t>
      </w:r>
      <w:r w:rsidR="005211CD" w:rsidRPr="007B3E88">
        <w:rPr>
          <w:kern w:val="22"/>
          <w:szCs w:val="22"/>
        </w:rPr>
        <w:t>reas, Goal 1.2 states that “By 2015, all protected areas and protected area systems are integrated into the wider land- and seascape, and relevant sectors, by applying the ecosystem approach and taking into account ecological connectivity</w:t>
      </w:r>
      <w:r w:rsidR="001625BD" w:rsidRPr="007B3E88" w:rsidDel="003E73EE">
        <w:rPr>
          <w:kern w:val="22"/>
          <w:szCs w:val="22"/>
        </w:rPr>
        <w:t xml:space="preserve"> </w:t>
      </w:r>
      <w:r w:rsidR="005211CD" w:rsidRPr="007B3E88">
        <w:rPr>
          <w:kern w:val="22"/>
          <w:szCs w:val="22"/>
        </w:rPr>
        <w:t>and the concept, where appropriate, of ecological networks</w:t>
      </w:r>
      <w:r w:rsidR="001A0F69" w:rsidRPr="007B3E88">
        <w:rPr>
          <w:kern w:val="22"/>
          <w:szCs w:val="22"/>
        </w:rPr>
        <w:t>.</w:t>
      </w:r>
      <w:r w:rsidR="005211CD" w:rsidRPr="007B3E88">
        <w:rPr>
          <w:kern w:val="22"/>
          <w:szCs w:val="22"/>
        </w:rPr>
        <w:t xml:space="preserve">” </w:t>
      </w:r>
      <w:r w:rsidR="001A0F69" w:rsidRPr="007B3E88">
        <w:rPr>
          <w:kern w:val="22"/>
          <w:szCs w:val="22"/>
        </w:rPr>
        <w:t>I</w:t>
      </w:r>
      <w:r w:rsidR="005211CD" w:rsidRPr="007B3E88">
        <w:rPr>
          <w:kern w:val="22"/>
          <w:szCs w:val="22"/>
        </w:rPr>
        <w:t>n decision</w:t>
      </w:r>
      <w:r w:rsidRPr="007B3E88">
        <w:rPr>
          <w:kern w:val="22"/>
          <w:szCs w:val="22"/>
        </w:rPr>
        <w:t xml:space="preserve"> </w:t>
      </w:r>
      <w:hyperlink r:id="rId19" w:history="1">
        <w:r w:rsidRPr="007B3E88">
          <w:rPr>
            <w:rStyle w:val="Hyperlink"/>
            <w:kern w:val="22"/>
            <w:szCs w:val="22"/>
          </w:rPr>
          <w:t>X/</w:t>
        </w:r>
        <w:r w:rsidR="005211CD" w:rsidRPr="007B3E88">
          <w:rPr>
            <w:rStyle w:val="Hyperlink"/>
            <w:kern w:val="22"/>
            <w:szCs w:val="22"/>
          </w:rPr>
          <w:t>6</w:t>
        </w:r>
      </w:hyperlink>
      <w:r w:rsidRPr="007B3E88">
        <w:rPr>
          <w:kern w:val="22"/>
          <w:szCs w:val="22"/>
        </w:rPr>
        <w:t xml:space="preserve">, </w:t>
      </w:r>
      <w:r w:rsidR="001A0F69" w:rsidRPr="007B3E88">
        <w:rPr>
          <w:kern w:val="22"/>
          <w:szCs w:val="22"/>
        </w:rPr>
        <w:t xml:space="preserve">the </w:t>
      </w:r>
      <w:r w:rsidR="00EA025F" w:rsidRPr="007B3E88">
        <w:rPr>
          <w:kern w:val="22"/>
          <w:szCs w:val="22"/>
        </w:rPr>
        <w:t>Conference of the Parties</w:t>
      </w:r>
      <w:r w:rsidR="001A0F69" w:rsidRPr="007B3E88">
        <w:rPr>
          <w:kern w:val="22"/>
          <w:szCs w:val="22"/>
        </w:rPr>
        <w:t xml:space="preserve">, </w:t>
      </w:r>
      <w:r w:rsidR="00BA4C40" w:rsidRPr="002145A3">
        <w:rPr>
          <w:kern w:val="22"/>
          <w:szCs w:val="22"/>
        </w:rPr>
        <w:t>among other</w:t>
      </w:r>
      <w:r w:rsidR="00BA4C40">
        <w:rPr>
          <w:kern w:val="22"/>
          <w:szCs w:val="22"/>
        </w:rPr>
        <w:t xml:space="preserve"> things</w:t>
      </w:r>
      <w:r w:rsidR="001A0F69" w:rsidRPr="007B3E88">
        <w:rPr>
          <w:kern w:val="22"/>
          <w:szCs w:val="22"/>
        </w:rPr>
        <w:t xml:space="preserve">, highlighted </w:t>
      </w:r>
      <w:r w:rsidR="00C827FA">
        <w:rPr>
          <w:kern w:val="22"/>
          <w:szCs w:val="22"/>
        </w:rPr>
        <w:t>for</w:t>
      </w:r>
      <w:r w:rsidR="00C827FA" w:rsidRPr="007B3E88">
        <w:rPr>
          <w:kern w:val="22"/>
          <w:szCs w:val="22"/>
        </w:rPr>
        <w:t xml:space="preserve"> </w:t>
      </w:r>
      <w:r w:rsidR="00AB7371" w:rsidRPr="007B3E88">
        <w:rPr>
          <w:kern w:val="22"/>
          <w:szCs w:val="22"/>
        </w:rPr>
        <w:t xml:space="preserve">Parties </w:t>
      </w:r>
      <w:r w:rsidR="001A0F69" w:rsidRPr="007B3E88">
        <w:rPr>
          <w:kern w:val="22"/>
          <w:szCs w:val="22"/>
        </w:rPr>
        <w:t xml:space="preserve">the importance </w:t>
      </w:r>
      <w:r w:rsidR="001625BD" w:rsidRPr="007B3E88">
        <w:rPr>
          <w:kern w:val="22"/>
          <w:szCs w:val="22"/>
        </w:rPr>
        <w:t xml:space="preserve">of </w:t>
      </w:r>
      <w:r w:rsidR="00C827FA">
        <w:rPr>
          <w:kern w:val="22"/>
          <w:szCs w:val="22"/>
        </w:rPr>
        <w:t>integrating</w:t>
      </w:r>
      <w:r w:rsidR="00C827FA" w:rsidRPr="007B3E88">
        <w:rPr>
          <w:kern w:val="22"/>
          <w:szCs w:val="22"/>
        </w:rPr>
        <w:t xml:space="preserve"> </w:t>
      </w:r>
      <w:r w:rsidR="001A0F69" w:rsidRPr="007B3E88">
        <w:rPr>
          <w:kern w:val="22"/>
          <w:szCs w:val="22"/>
        </w:rPr>
        <w:t xml:space="preserve">biodiversity into poverty eradication and development, and in decision </w:t>
      </w:r>
      <w:hyperlink r:id="rId20" w:history="1">
        <w:r w:rsidR="001A0F69" w:rsidRPr="007B3E88">
          <w:rPr>
            <w:rStyle w:val="Hyperlink"/>
            <w:kern w:val="22"/>
            <w:szCs w:val="22"/>
          </w:rPr>
          <w:t>XIII/3</w:t>
        </w:r>
      </w:hyperlink>
      <w:r w:rsidR="001A0F69" w:rsidRPr="007B3E88">
        <w:rPr>
          <w:kern w:val="22"/>
          <w:szCs w:val="22"/>
        </w:rPr>
        <w:t xml:space="preserve">, </w:t>
      </w:r>
      <w:r w:rsidR="004D4510" w:rsidRPr="004D4510">
        <w:rPr>
          <w:kern w:val="22"/>
          <w:szCs w:val="22"/>
        </w:rPr>
        <w:t>among other things</w:t>
      </w:r>
      <w:r w:rsidR="001A0F69" w:rsidRPr="007B3E88">
        <w:rPr>
          <w:kern w:val="22"/>
          <w:szCs w:val="22"/>
        </w:rPr>
        <w:t>, stressed the importance of mainstreaming and integrating biodiversity within and across sectors.</w:t>
      </w:r>
      <w:r w:rsidR="00CD56F0" w:rsidRPr="007B3E88">
        <w:rPr>
          <w:kern w:val="22"/>
          <w:szCs w:val="22"/>
        </w:rPr>
        <w:t xml:space="preserve"> In decision </w:t>
      </w:r>
      <w:hyperlink r:id="rId21" w:history="1">
        <w:r w:rsidR="00CD56F0" w:rsidRPr="007B3E88">
          <w:rPr>
            <w:rStyle w:val="Hyperlink"/>
            <w:kern w:val="22"/>
            <w:szCs w:val="22"/>
          </w:rPr>
          <w:t>X/31</w:t>
        </w:r>
      </w:hyperlink>
      <w:r w:rsidR="00CD56F0" w:rsidRPr="007B3E88">
        <w:rPr>
          <w:kern w:val="22"/>
          <w:szCs w:val="22"/>
        </w:rPr>
        <w:t xml:space="preserve">, </w:t>
      </w:r>
      <w:r w:rsidR="00EA025F" w:rsidRPr="007B3E88">
        <w:rPr>
          <w:kern w:val="22"/>
          <w:szCs w:val="22"/>
        </w:rPr>
        <w:t>the Conference of the Parties, among other</w:t>
      </w:r>
      <w:r w:rsidR="00BA4C40">
        <w:rPr>
          <w:kern w:val="22"/>
          <w:szCs w:val="22"/>
        </w:rPr>
        <w:t xml:space="preserve"> things</w:t>
      </w:r>
      <w:r w:rsidR="00EA025F" w:rsidRPr="007B3E88">
        <w:rPr>
          <w:kern w:val="22"/>
          <w:szCs w:val="22"/>
        </w:rPr>
        <w:t>, invited Parties</w:t>
      </w:r>
      <w:r w:rsidR="001625BD" w:rsidRPr="007B3E88">
        <w:rPr>
          <w:kern w:val="22"/>
          <w:szCs w:val="22"/>
        </w:rPr>
        <w:t xml:space="preserve"> </w:t>
      </w:r>
      <w:r w:rsidR="00EA025F" w:rsidRPr="007B3E88">
        <w:rPr>
          <w:kern w:val="22"/>
          <w:szCs w:val="22"/>
        </w:rPr>
        <w:t>to facilitate the integration of protected areas in national and economic development plans, where they exist</w:t>
      </w:r>
      <w:r w:rsidR="001625BD" w:rsidRPr="007B3E88">
        <w:rPr>
          <w:kern w:val="22"/>
          <w:szCs w:val="22"/>
        </w:rPr>
        <w:t>.</w:t>
      </w:r>
    </w:p>
    <w:p w14:paraId="352FED9B" w14:textId="5951A4FB" w:rsidR="001A0F69" w:rsidRPr="007B3E88" w:rsidRDefault="001A0F69"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rPr>
      </w:pPr>
      <w:r w:rsidRPr="007B3E88">
        <w:rPr>
          <w:kern w:val="22"/>
          <w:szCs w:val="22"/>
        </w:rPr>
        <w:t>Protected area integration can be defined as: “the process of ensuring that the design and management of protected areas, corridors and the surrounding matrix fosters a connected</w:t>
      </w:r>
      <w:r w:rsidR="001625BD" w:rsidRPr="007B3E88">
        <w:rPr>
          <w:kern w:val="22"/>
          <w:szCs w:val="22"/>
        </w:rPr>
        <w:t>, functional ecological network</w:t>
      </w:r>
      <w:r w:rsidRPr="007B3E88">
        <w:rPr>
          <w:kern w:val="22"/>
          <w:szCs w:val="22"/>
        </w:rPr>
        <w:t>.”</w:t>
      </w:r>
      <w:r w:rsidR="004658AB" w:rsidRPr="007B3E88">
        <w:rPr>
          <w:rStyle w:val="FootnoteReference"/>
          <w:kern w:val="22"/>
          <w:sz w:val="22"/>
          <w:szCs w:val="22"/>
          <w:u w:val="none"/>
          <w:vertAlign w:val="superscript"/>
        </w:rPr>
        <w:footnoteReference w:id="15"/>
      </w:r>
      <w:r w:rsidR="004658AB" w:rsidRPr="007B3E88">
        <w:rPr>
          <w:kern w:val="22"/>
          <w:szCs w:val="22"/>
        </w:rPr>
        <w:t xml:space="preserve"> Protected area mainstreaming can be defined as</w:t>
      </w:r>
      <w:r w:rsidR="004605FB" w:rsidRPr="007B3E88">
        <w:rPr>
          <w:kern w:val="22"/>
          <w:szCs w:val="22"/>
        </w:rPr>
        <w:t xml:space="preserve"> the integration of the values, impacts and dependencies of the biodiversity and ecosystem services provided by protected areas into key sectors, such as agriculture, fisheries, forestry, mining, energy, tourism and transportation.</w:t>
      </w:r>
    </w:p>
    <w:p w14:paraId="0ABB14A6" w14:textId="72B2B11F" w:rsidR="004605FB" w:rsidRPr="007B3E88" w:rsidRDefault="004605FB"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rPr>
      </w:pPr>
      <w:r w:rsidRPr="007B3E88">
        <w:rPr>
          <w:kern w:val="22"/>
          <w:szCs w:val="22"/>
        </w:rPr>
        <w:t>Protected areas safeguard the biodiversity and ecosystems that underpin the Sustainable Development Goals.</w:t>
      </w:r>
      <w:r w:rsidRPr="007B3E88">
        <w:rPr>
          <w:rStyle w:val="FootnoteReference"/>
          <w:kern w:val="22"/>
          <w:sz w:val="22"/>
          <w:szCs w:val="22"/>
          <w:u w:val="none"/>
          <w:vertAlign w:val="superscript"/>
        </w:rPr>
        <w:footnoteReference w:id="16"/>
      </w:r>
      <w:r w:rsidR="00DA024B" w:rsidRPr="007B3E88">
        <w:rPr>
          <w:kern w:val="22"/>
          <w:szCs w:val="22"/>
        </w:rPr>
        <w:t xml:space="preserve"> Protected areas are especially important in achieving goals related to poverty alleviation, water security, carbon sequestration, climate change adaptation, economic development and disaster risk reduction. Protected areas are an essential strategy for the emerging field of nature-based solutions to various global </w:t>
      </w:r>
      <w:r w:rsidR="008341A5" w:rsidRPr="007B3E88">
        <w:rPr>
          <w:kern w:val="22"/>
          <w:szCs w:val="22"/>
        </w:rPr>
        <w:t>challenges</w:t>
      </w:r>
      <w:r w:rsidR="00DA024B" w:rsidRPr="007B3E88">
        <w:rPr>
          <w:kern w:val="22"/>
          <w:szCs w:val="22"/>
        </w:rPr>
        <w:t>, such as water security.</w:t>
      </w:r>
      <w:r w:rsidR="00DA024B" w:rsidRPr="007B3E88">
        <w:rPr>
          <w:rStyle w:val="FootnoteReference"/>
          <w:kern w:val="22"/>
          <w:sz w:val="22"/>
          <w:szCs w:val="22"/>
          <w:u w:val="none"/>
          <w:vertAlign w:val="superscript"/>
        </w:rPr>
        <w:footnoteReference w:id="17"/>
      </w:r>
      <w:r w:rsidR="00DA024B" w:rsidRPr="007B3E88">
        <w:rPr>
          <w:kern w:val="22"/>
          <w:szCs w:val="22"/>
        </w:rPr>
        <w:t xml:space="preserve"> </w:t>
      </w:r>
      <w:r w:rsidR="008341A5" w:rsidRPr="007B3E88">
        <w:rPr>
          <w:kern w:val="22"/>
          <w:szCs w:val="22"/>
        </w:rPr>
        <w:t>They</w:t>
      </w:r>
      <w:r w:rsidR="00DA024B" w:rsidRPr="007B3E88">
        <w:rPr>
          <w:kern w:val="22"/>
          <w:szCs w:val="22"/>
        </w:rPr>
        <w:t xml:space="preserve"> are particularly important as a nature</w:t>
      </w:r>
      <w:r w:rsidR="00714C32" w:rsidRPr="007B3E88">
        <w:rPr>
          <w:kern w:val="22"/>
          <w:szCs w:val="22"/>
        </w:rPr>
        <w:noBreakHyphen/>
      </w:r>
      <w:r w:rsidR="00DA024B" w:rsidRPr="007B3E88">
        <w:rPr>
          <w:kern w:val="22"/>
          <w:szCs w:val="22"/>
        </w:rPr>
        <w:t>based solution for climate mitigation</w:t>
      </w:r>
      <w:r w:rsidR="00DA024B" w:rsidRPr="007B3E88">
        <w:rPr>
          <w:rStyle w:val="FootnoteReference"/>
          <w:kern w:val="22"/>
          <w:sz w:val="22"/>
          <w:szCs w:val="22"/>
          <w:u w:val="none"/>
          <w:vertAlign w:val="superscript"/>
        </w:rPr>
        <w:footnoteReference w:id="18"/>
      </w:r>
      <w:r w:rsidR="00DA024B" w:rsidRPr="007B3E88">
        <w:rPr>
          <w:kern w:val="22"/>
          <w:szCs w:val="22"/>
        </w:rPr>
        <w:t xml:space="preserve"> and climate adaptation.</w:t>
      </w:r>
      <w:r w:rsidR="00DA024B" w:rsidRPr="007B3E88">
        <w:rPr>
          <w:rStyle w:val="FootnoteReference"/>
          <w:kern w:val="22"/>
          <w:sz w:val="22"/>
          <w:szCs w:val="22"/>
          <w:u w:val="none"/>
          <w:vertAlign w:val="superscript"/>
        </w:rPr>
        <w:footnoteReference w:id="19"/>
      </w:r>
      <w:r w:rsidR="00DA024B" w:rsidRPr="007B3E88">
        <w:rPr>
          <w:kern w:val="22"/>
          <w:szCs w:val="22"/>
        </w:rPr>
        <w:t xml:space="preserve"> Nature provides at least a third of climate solutions if </w:t>
      </w:r>
      <w:r w:rsidR="003242A6">
        <w:rPr>
          <w:kern w:val="22"/>
          <w:szCs w:val="22"/>
        </w:rPr>
        <w:t>the planet is</w:t>
      </w:r>
      <w:r w:rsidR="00DA024B" w:rsidRPr="007B3E88">
        <w:rPr>
          <w:kern w:val="22"/>
          <w:szCs w:val="22"/>
        </w:rPr>
        <w:t xml:space="preserve"> to stay under 1.5</w:t>
      </w:r>
      <w:r w:rsidR="00DA024B" w:rsidRPr="007B3E88">
        <w:rPr>
          <w:kern w:val="22"/>
          <w:szCs w:val="22"/>
          <w:vertAlign w:val="superscript"/>
        </w:rPr>
        <w:t>o</w:t>
      </w:r>
      <w:r w:rsidR="00DA024B" w:rsidRPr="007B3E88">
        <w:rPr>
          <w:kern w:val="22"/>
          <w:szCs w:val="22"/>
        </w:rPr>
        <w:t xml:space="preserve"> C, and protected areas are an essential strategy </w:t>
      </w:r>
      <w:r w:rsidR="003242A6">
        <w:rPr>
          <w:kern w:val="22"/>
          <w:szCs w:val="22"/>
        </w:rPr>
        <w:t>for</w:t>
      </w:r>
      <w:r w:rsidR="003242A6" w:rsidRPr="007B3E88">
        <w:rPr>
          <w:kern w:val="22"/>
          <w:szCs w:val="22"/>
        </w:rPr>
        <w:t xml:space="preserve"> </w:t>
      </w:r>
      <w:r w:rsidR="00DA024B" w:rsidRPr="007B3E88">
        <w:rPr>
          <w:kern w:val="22"/>
          <w:szCs w:val="22"/>
        </w:rPr>
        <w:t>achiev</w:t>
      </w:r>
      <w:r w:rsidR="003242A6">
        <w:rPr>
          <w:kern w:val="22"/>
          <w:szCs w:val="22"/>
        </w:rPr>
        <w:t>ing</w:t>
      </w:r>
      <w:r w:rsidR="00DA024B" w:rsidRPr="007B3E88">
        <w:rPr>
          <w:kern w:val="22"/>
          <w:szCs w:val="22"/>
        </w:rPr>
        <w:t xml:space="preserve"> this goal.</w:t>
      </w:r>
    </w:p>
    <w:p w14:paraId="4613E6C4" w14:textId="149F07F6" w:rsidR="00CD56F0" w:rsidRPr="007B3E88" w:rsidRDefault="00CD56F0"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rPr>
      </w:pPr>
      <w:r w:rsidRPr="007B3E88">
        <w:rPr>
          <w:kern w:val="22"/>
          <w:szCs w:val="22"/>
        </w:rPr>
        <w:t xml:space="preserve">Despite these advances, the progress of protected area integration and mainstreaming remains slow, with very few countries identifying specific strategies within their </w:t>
      </w:r>
      <w:r w:rsidR="002C3BF7" w:rsidRPr="007B3E88">
        <w:rPr>
          <w:kern w:val="22"/>
          <w:szCs w:val="22"/>
        </w:rPr>
        <w:t>n</w:t>
      </w:r>
      <w:r w:rsidRPr="007B3E88">
        <w:rPr>
          <w:kern w:val="22"/>
          <w:szCs w:val="22"/>
        </w:rPr>
        <w:t xml:space="preserve">ational </w:t>
      </w:r>
      <w:r w:rsidR="002C3BF7" w:rsidRPr="007B3E88">
        <w:rPr>
          <w:kern w:val="22"/>
          <w:szCs w:val="22"/>
        </w:rPr>
        <w:t>b</w:t>
      </w:r>
      <w:r w:rsidRPr="007B3E88">
        <w:rPr>
          <w:kern w:val="22"/>
          <w:szCs w:val="22"/>
        </w:rPr>
        <w:t xml:space="preserve">iodiversity </w:t>
      </w:r>
      <w:r w:rsidR="002C3BF7" w:rsidRPr="007B3E88">
        <w:rPr>
          <w:kern w:val="22"/>
          <w:szCs w:val="22"/>
        </w:rPr>
        <w:t>s</w:t>
      </w:r>
      <w:r w:rsidRPr="007B3E88">
        <w:rPr>
          <w:kern w:val="22"/>
          <w:szCs w:val="22"/>
        </w:rPr>
        <w:t xml:space="preserve">trategies and </w:t>
      </w:r>
      <w:r w:rsidR="002C3BF7" w:rsidRPr="007B3E88">
        <w:rPr>
          <w:kern w:val="22"/>
          <w:szCs w:val="22"/>
        </w:rPr>
        <w:t>a</w:t>
      </w:r>
      <w:r w:rsidRPr="007B3E88">
        <w:rPr>
          <w:kern w:val="22"/>
          <w:szCs w:val="22"/>
        </w:rPr>
        <w:t xml:space="preserve">ction </w:t>
      </w:r>
      <w:r w:rsidR="002C3BF7" w:rsidRPr="007B3E88">
        <w:rPr>
          <w:kern w:val="22"/>
          <w:szCs w:val="22"/>
        </w:rPr>
        <w:t>p</w:t>
      </w:r>
      <w:r w:rsidRPr="007B3E88">
        <w:rPr>
          <w:kern w:val="22"/>
          <w:szCs w:val="22"/>
        </w:rPr>
        <w:t>lans.</w:t>
      </w:r>
      <w:r w:rsidRPr="007B3E88">
        <w:rPr>
          <w:rStyle w:val="FootnoteReference"/>
          <w:kern w:val="22"/>
          <w:sz w:val="22"/>
          <w:szCs w:val="22"/>
          <w:u w:val="none"/>
          <w:vertAlign w:val="superscript"/>
        </w:rPr>
        <w:footnoteReference w:id="20"/>
      </w:r>
      <w:r w:rsidRPr="007B3E88">
        <w:rPr>
          <w:kern w:val="22"/>
          <w:szCs w:val="22"/>
        </w:rPr>
        <w:t xml:space="preserve"> Urgent action is required by Parties to make progress on both of these aims.</w:t>
      </w:r>
    </w:p>
    <w:p w14:paraId="0488CB78" w14:textId="77777777" w:rsidR="00291A64" w:rsidRPr="007B3E88" w:rsidRDefault="00FA248F" w:rsidP="007B3E88">
      <w:pPr>
        <w:pStyle w:val="Para1"/>
        <w:keepNext/>
        <w:numPr>
          <w:ilvl w:val="0"/>
          <w:numId w:val="56"/>
        </w:numPr>
        <w:suppressLineNumbers/>
        <w:tabs>
          <w:tab w:val="left" w:pos="360"/>
        </w:tabs>
        <w:suppressAutoHyphens/>
        <w:kinsoku w:val="0"/>
        <w:overflowPunct w:val="0"/>
        <w:autoSpaceDE w:val="0"/>
        <w:autoSpaceDN w:val="0"/>
        <w:ind w:left="0" w:firstLine="0"/>
        <w:jc w:val="center"/>
        <w:rPr>
          <w:b/>
          <w:kern w:val="22"/>
          <w:szCs w:val="22"/>
        </w:rPr>
      </w:pPr>
      <w:r w:rsidRPr="007B3E88">
        <w:rPr>
          <w:b/>
          <w:kern w:val="22"/>
          <w:szCs w:val="22"/>
        </w:rPr>
        <w:t>VOLUNTARY GUIDANCE</w:t>
      </w:r>
    </w:p>
    <w:p w14:paraId="0EF25B0B" w14:textId="215BE400" w:rsidR="001F3DD5" w:rsidRPr="007B3E88" w:rsidRDefault="00242F8D" w:rsidP="007B3E88">
      <w:pPr>
        <w:pStyle w:val="Para10"/>
        <w:keepNext/>
        <w:suppressLineNumbers/>
        <w:suppressAutoHyphens/>
        <w:kinsoku w:val="0"/>
        <w:overflowPunct w:val="0"/>
        <w:autoSpaceDE w:val="0"/>
        <w:autoSpaceDN w:val="0"/>
        <w:ind w:left="1440" w:hanging="720"/>
        <w:jc w:val="left"/>
        <w:rPr>
          <w:rFonts w:cs="Times New Roman"/>
          <w:b/>
          <w:bCs w:val="0"/>
          <w:iCs/>
          <w:kern w:val="22"/>
          <w:lang w:eastAsia="ja-JP" w:bidi="th-TH"/>
        </w:rPr>
      </w:pPr>
      <w:r w:rsidRPr="007B3E88">
        <w:rPr>
          <w:rFonts w:cs="Times New Roman"/>
          <w:b/>
          <w:bCs w:val="0"/>
          <w:iCs/>
          <w:kern w:val="22"/>
          <w:lang w:eastAsia="ja-JP" w:bidi="th-TH"/>
        </w:rPr>
        <w:t>A</w:t>
      </w:r>
      <w:r w:rsidR="005D2DB3" w:rsidRPr="007B3E88">
        <w:rPr>
          <w:rFonts w:cs="Times New Roman"/>
          <w:b/>
          <w:bCs w:val="0"/>
          <w:iCs/>
          <w:kern w:val="22"/>
          <w:lang w:eastAsia="ja-JP" w:bidi="th-TH"/>
        </w:rPr>
        <w:t>.</w:t>
      </w:r>
      <w:r w:rsidR="00C503C1" w:rsidRPr="007B3E88">
        <w:rPr>
          <w:rFonts w:cs="Times New Roman"/>
          <w:b/>
          <w:bCs w:val="0"/>
          <w:iCs/>
          <w:kern w:val="22"/>
          <w:lang w:eastAsia="ja-JP" w:bidi="th-TH"/>
        </w:rPr>
        <w:tab/>
      </w:r>
      <w:r w:rsidR="001F3DD5" w:rsidRPr="007B3E88">
        <w:rPr>
          <w:rFonts w:cs="Times New Roman"/>
          <w:b/>
          <w:bCs w:val="0"/>
          <w:iCs/>
          <w:kern w:val="22"/>
          <w:lang w:eastAsia="ja-JP" w:bidi="th-TH"/>
        </w:rPr>
        <w:t xml:space="preserve">Suggested steps for enhancing and supporting </w:t>
      </w:r>
      <w:r w:rsidR="00A5618C" w:rsidRPr="007B3E88">
        <w:rPr>
          <w:rFonts w:cs="Times New Roman"/>
          <w:b/>
          <w:bCs w:val="0"/>
          <w:iCs/>
          <w:kern w:val="22"/>
          <w:lang w:eastAsia="ja-JP" w:bidi="th-TH"/>
        </w:rPr>
        <w:t>integration into landscapes, seascapes and sectors</w:t>
      </w:r>
    </w:p>
    <w:p w14:paraId="029B5B10" w14:textId="6C517444" w:rsidR="005F3781" w:rsidRPr="007B3E88" w:rsidRDefault="005F3781"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lang w:eastAsia="ja-JP" w:bidi="th-TH"/>
        </w:rPr>
        <w:t>Review national visions, goals and targets</w:t>
      </w:r>
      <w:r w:rsidRPr="007B3E88">
        <w:rPr>
          <w:bCs/>
          <w:kern w:val="22"/>
          <w:szCs w:val="22"/>
          <w:lang w:eastAsia="ja-JP" w:bidi="th-TH"/>
        </w:rPr>
        <w:t xml:space="preserve"> </w:t>
      </w:r>
      <w:r w:rsidRPr="007B3E88">
        <w:rPr>
          <w:kern w:val="22"/>
          <w:szCs w:val="22"/>
          <w:lang w:eastAsia="ja-JP" w:bidi="th-TH"/>
        </w:rPr>
        <w:t xml:space="preserve">to ensure that they include elements of protected area integration, including </w:t>
      </w:r>
      <w:r w:rsidR="00494AF1" w:rsidRPr="007B3E88">
        <w:rPr>
          <w:kern w:val="22"/>
          <w:szCs w:val="22"/>
          <w:lang w:eastAsia="ja-JP" w:bidi="th-TH"/>
        </w:rPr>
        <w:t xml:space="preserve">increasing </w:t>
      </w:r>
      <w:r w:rsidRPr="007B3E88">
        <w:rPr>
          <w:kern w:val="22"/>
          <w:szCs w:val="22"/>
          <w:lang w:eastAsia="ja-JP" w:bidi="th-TH"/>
        </w:rPr>
        <w:t>habitat connectivity and decreasing habitat fragmentation at the landscape and seascape scale</w:t>
      </w:r>
      <w:r w:rsidR="002C3BF7" w:rsidRPr="007B3E88">
        <w:rPr>
          <w:kern w:val="22"/>
          <w:szCs w:val="22"/>
          <w:lang w:eastAsia="ja-JP" w:bidi="th-TH"/>
        </w:rPr>
        <w:t>;</w:t>
      </w:r>
    </w:p>
    <w:p w14:paraId="1D0132C8" w14:textId="1E8D9772" w:rsidR="005F3781" w:rsidRPr="007B3E88" w:rsidRDefault="005F3781"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Identify key species, ecosystems and ecological processes</w:t>
      </w:r>
      <w:r w:rsidRPr="007B3E88">
        <w:rPr>
          <w:kern w:val="22"/>
          <w:szCs w:val="22"/>
        </w:rPr>
        <w:t xml:space="preserve"> for which fragmentation is a key issue and which can benefit from improved connectivity, including those species, ecosystems and ecological </w:t>
      </w:r>
      <w:r w:rsidRPr="007B3E88">
        <w:rPr>
          <w:kern w:val="22"/>
          <w:szCs w:val="22"/>
          <w:lang w:eastAsia="ja-JP" w:bidi="th-TH"/>
        </w:rPr>
        <w:t>processes</w:t>
      </w:r>
      <w:r w:rsidRPr="007B3E88">
        <w:rPr>
          <w:kern w:val="22"/>
          <w:szCs w:val="22"/>
        </w:rPr>
        <w:t xml:space="preserve"> </w:t>
      </w:r>
      <w:r w:rsidR="000D2B1D">
        <w:rPr>
          <w:kern w:val="22"/>
          <w:szCs w:val="22"/>
        </w:rPr>
        <w:t xml:space="preserve">that are </w:t>
      </w:r>
      <w:r w:rsidRPr="007B3E88">
        <w:rPr>
          <w:kern w:val="22"/>
          <w:szCs w:val="22"/>
        </w:rPr>
        <w:t>vulnerable to the impacts of climate change</w:t>
      </w:r>
      <w:r w:rsidR="002C3BF7" w:rsidRPr="007B3E88">
        <w:rPr>
          <w:kern w:val="22"/>
          <w:szCs w:val="22"/>
        </w:rPr>
        <w:t>;</w:t>
      </w:r>
    </w:p>
    <w:p w14:paraId="5205DE73" w14:textId="5C661BAF" w:rsidR="00291A64" w:rsidRPr="007B3E88" w:rsidRDefault="00291A64"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Identify and prioritize important areas to improve connectivity</w:t>
      </w:r>
      <w:r w:rsidRPr="007B3E88">
        <w:rPr>
          <w:kern w:val="22"/>
          <w:szCs w:val="22"/>
        </w:rPr>
        <w:t xml:space="preserve"> and to mitigate the impacts of fragmentation of landscapes and seascapes, including areas that create barriers and bottlenecks for </w:t>
      </w:r>
      <w:r w:rsidRPr="007B3E88">
        <w:rPr>
          <w:kern w:val="22"/>
          <w:szCs w:val="22"/>
          <w:lang w:eastAsia="ja-JP" w:bidi="th-TH"/>
        </w:rPr>
        <w:t>annual</w:t>
      </w:r>
      <w:r w:rsidRPr="007B3E88">
        <w:rPr>
          <w:kern w:val="22"/>
          <w:szCs w:val="22"/>
        </w:rPr>
        <w:t xml:space="preserve"> and seasonal species movement, for various life stages, and for climate adaptation</w:t>
      </w:r>
      <w:r w:rsidR="006F77F2">
        <w:rPr>
          <w:kern w:val="22"/>
          <w:szCs w:val="22"/>
        </w:rPr>
        <w:t>,</w:t>
      </w:r>
      <w:r w:rsidRPr="007B3E88">
        <w:rPr>
          <w:kern w:val="22"/>
          <w:szCs w:val="22"/>
        </w:rPr>
        <w:t xml:space="preserve"> and areas </w:t>
      </w:r>
      <w:r w:rsidR="006F77F2">
        <w:rPr>
          <w:kern w:val="22"/>
          <w:szCs w:val="22"/>
        </w:rPr>
        <w:t xml:space="preserve">that are </w:t>
      </w:r>
      <w:r w:rsidRPr="007B3E88">
        <w:rPr>
          <w:kern w:val="22"/>
          <w:szCs w:val="22"/>
        </w:rPr>
        <w:t>important for maintaining ecosystem functioning (e.g., riverine flood</w:t>
      </w:r>
      <w:r w:rsidR="00F45F51" w:rsidRPr="007B3E88">
        <w:rPr>
          <w:kern w:val="22"/>
          <w:szCs w:val="22"/>
        </w:rPr>
        <w:t xml:space="preserve"> plains</w:t>
      </w:r>
      <w:r w:rsidRPr="007B3E88">
        <w:rPr>
          <w:kern w:val="22"/>
          <w:szCs w:val="22"/>
        </w:rPr>
        <w:t>)</w:t>
      </w:r>
      <w:r w:rsidR="002C3BF7" w:rsidRPr="007B3E88">
        <w:rPr>
          <w:kern w:val="22"/>
          <w:szCs w:val="22"/>
        </w:rPr>
        <w:t>;</w:t>
      </w:r>
    </w:p>
    <w:p w14:paraId="4633D0AC" w14:textId="5CDB18E5" w:rsidR="005F3781" w:rsidRPr="007B3E88" w:rsidRDefault="005F3781"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 xml:space="preserve">Conduct </w:t>
      </w:r>
      <w:r w:rsidR="005E5C42" w:rsidRPr="007B3E88">
        <w:rPr>
          <w:bCs/>
          <w:i/>
          <w:iCs/>
          <w:kern w:val="22"/>
          <w:szCs w:val="22"/>
        </w:rPr>
        <w:t xml:space="preserve">a </w:t>
      </w:r>
      <w:r w:rsidRPr="007B3E88">
        <w:rPr>
          <w:bCs/>
          <w:i/>
          <w:iCs/>
          <w:kern w:val="22"/>
          <w:szCs w:val="22"/>
        </w:rPr>
        <w:t xml:space="preserve">national </w:t>
      </w:r>
      <w:r w:rsidR="00291A64" w:rsidRPr="007B3E88">
        <w:rPr>
          <w:bCs/>
          <w:i/>
          <w:iCs/>
          <w:kern w:val="22"/>
          <w:szCs w:val="22"/>
        </w:rPr>
        <w:t>review</w:t>
      </w:r>
      <w:r w:rsidRPr="007B3E88">
        <w:rPr>
          <w:kern w:val="22"/>
          <w:szCs w:val="22"/>
        </w:rPr>
        <w:t xml:space="preserve"> o</w:t>
      </w:r>
      <w:r w:rsidR="00FA4057">
        <w:rPr>
          <w:kern w:val="22"/>
          <w:szCs w:val="22"/>
        </w:rPr>
        <w:t>f</w:t>
      </w:r>
      <w:r w:rsidRPr="007B3E88">
        <w:rPr>
          <w:kern w:val="22"/>
          <w:szCs w:val="22"/>
        </w:rPr>
        <w:t xml:space="preserve"> the status and trends of landscape and seascape habitat fragmentation and connectivity for key species, ecosystems and ecological processes</w:t>
      </w:r>
      <w:r w:rsidR="00291A64" w:rsidRPr="007B3E88">
        <w:rPr>
          <w:kern w:val="22"/>
          <w:szCs w:val="22"/>
        </w:rPr>
        <w:t>, including a review of the role of protected areas in maintaining landscape and seascape connectivity, and any key gaps</w:t>
      </w:r>
      <w:r w:rsidR="002C3BF7" w:rsidRPr="007B3E88">
        <w:rPr>
          <w:kern w:val="22"/>
          <w:szCs w:val="22"/>
        </w:rPr>
        <w:t>;</w:t>
      </w:r>
    </w:p>
    <w:p w14:paraId="4CD929BB" w14:textId="4C96843C" w:rsidR="00291A64" w:rsidRPr="007B3E88" w:rsidRDefault="00291A64"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Identify and prioritize the sectors</w:t>
      </w:r>
      <w:r w:rsidRPr="007B3E88">
        <w:rPr>
          <w:kern w:val="22"/>
          <w:szCs w:val="22"/>
        </w:rPr>
        <w:t xml:space="preserve"> most responsible for habitat fragmentation, including transportation, agriculture, energy, infrastructure</w:t>
      </w:r>
      <w:r w:rsidR="00FA0A9C">
        <w:rPr>
          <w:kern w:val="22"/>
          <w:szCs w:val="22"/>
        </w:rPr>
        <w:t xml:space="preserve"> and</w:t>
      </w:r>
      <w:r w:rsidRPr="007B3E88">
        <w:rPr>
          <w:kern w:val="22"/>
          <w:szCs w:val="22"/>
        </w:rPr>
        <w:t xml:space="preserve"> urban development</w:t>
      </w:r>
      <w:r w:rsidR="00F45F51" w:rsidRPr="007B3E88">
        <w:rPr>
          <w:kern w:val="22"/>
          <w:szCs w:val="22"/>
        </w:rPr>
        <w:t xml:space="preserve">, and develop strategies to engage them in </w:t>
      </w:r>
      <w:r w:rsidR="00F45F51" w:rsidRPr="007B3E88">
        <w:rPr>
          <w:kern w:val="22"/>
          <w:szCs w:val="22"/>
          <w:lang w:eastAsia="ja-JP" w:bidi="th-TH"/>
        </w:rPr>
        <w:t>developing</w:t>
      </w:r>
      <w:r w:rsidR="00F45F51" w:rsidRPr="007B3E88">
        <w:rPr>
          <w:kern w:val="22"/>
          <w:szCs w:val="22"/>
        </w:rPr>
        <w:t xml:space="preserve"> strategies </w:t>
      </w:r>
      <w:r w:rsidR="00FA0A9C">
        <w:rPr>
          <w:kern w:val="22"/>
          <w:szCs w:val="22"/>
        </w:rPr>
        <w:t>for</w:t>
      </w:r>
      <w:r w:rsidR="00FA0A9C" w:rsidRPr="007B3E88">
        <w:rPr>
          <w:kern w:val="22"/>
          <w:szCs w:val="22"/>
        </w:rPr>
        <w:t xml:space="preserve"> </w:t>
      </w:r>
      <w:r w:rsidR="00F45F51" w:rsidRPr="007B3E88">
        <w:rPr>
          <w:kern w:val="22"/>
          <w:szCs w:val="22"/>
        </w:rPr>
        <w:t>mitigat</w:t>
      </w:r>
      <w:r w:rsidR="00FA0A9C">
        <w:rPr>
          <w:kern w:val="22"/>
          <w:szCs w:val="22"/>
        </w:rPr>
        <w:t>ing</w:t>
      </w:r>
      <w:r w:rsidR="00F45F51" w:rsidRPr="007B3E88">
        <w:rPr>
          <w:kern w:val="22"/>
          <w:szCs w:val="22"/>
        </w:rPr>
        <w:t xml:space="preserve"> </w:t>
      </w:r>
      <w:r w:rsidR="002F2863">
        <w:rPr>
          <w:kern w:val="22"/>
          <w:szCs w:val="22"/>
        </w:rPr>
        <w:t xml:space="preserve">the </w:t>
      </w:r>
      <w:r w:rsidR="00F45F51" w:rsidRPr="007B3E88">
        <w:rPr>
          <w:kern w:val="22"/>
          <w:szCs w:val="22"/>
        </w:rPr>
        <w:t>impacts on protected areas</w:t>
      </w:r>
      <w:r w:rsidR="002C3BF7" w:rsidRPr="007B3E88">
        <w:rPr>
          <w:kern w:val="22"/>
          <w:szCs w:val="22"/>
        </w:rPr>
        <w:t>;</w:t>
      </w:r>
    </w:p>
    <w:p w14:paraId="4222BD34" w14:textId="5C17DD32" w:rsidR="00291A64" w:rsidRPr="007B3E88" w:rsidRDefault="00291A64"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 xml:space="preserve">Review and adapt </w:t>
      </w:r>
      <w:r w:rsidR="007136B8" w:rsidRPr="007B3E88">
        <w:rPr>
          <w:bCs/>
          <w:i/>
          <w:iCs/>
          <w:kern w:val="22"/>
          <w:szCs w:val="22"/>
        </w:rPr>
        <w:t>landscape and seascape plans and frameworks</w:t>
      </w:r>
      <w:r w:rsidR="00A97040" w:rsidRPr="007B3E88">
        <w:rPr>
          <w:bCs/>
          <w:i/>
          <w:iCs/>
          <w:kern w:val="22"/>
          <w:szCs w:val="22"/>
        </w:rPr>
        <w:t xml:space="preserve"> (both within and across sectors)</w:t>
      </w:r>
      <w:r w:rsidR="007136B8" w:rsidRPr="007B3E88">
        <w:rPr>
          <w:bCs/>
          <w:i/>
          <w:iCs/>
          <w:kern w:val="22"/>
          <w:szCs w:val="22"/>
        </w:rPr>
        <w:t xml:space="preserve">, including, for example, </w:t>
      </w:r>
      <w:r w:rsidRPr="007B3E88">
        <w:rPr>
          <w:bCs/>
          <w:i/>
          <w:iCs/>
          <w:kern w:val="22"/>
          <w:szCs w:val="22"/>
        </w:rPr>
        <w:t>land</w:t>
      </w:r>
      <w:r w:rsidR="005939C7" w:rsidRPr="007B3E88">
        <w:rPr>
          <w:bCs/>
          <w:i/>
          <w:iCs/>
          <w:kern w:val="22"/>
          <w:szCs w:val="22"/>
        </w:rPr>
        <w:t>-</w:t>
      </w:r>
      <w:r w:rsidR="001625BD" w:rsidRPr="007B3E88">
        <w:rPr>
          <w:bCs/>
          <w:i/>
          <w:iCs/>
          <w:kern w:val="22"/>
          <w:szCs w:val="22"/>
        </w:rPr>
        <w:t>use</w:t>
      </w:r>
      <w:r w:rsidRPr="007B3E88">
        <w:rPr>
          <w:bCs/>
          <w:i/>
          <w:iCs/>
          <w:kern w:val="22"/>
          <w:szCs w:val="22"/>
        </w:rPr>
        <w:t xml:space="preserve"> and </w:t>
      </w:r>
      <w:r w:rsidR="001625BD" w:rsidRPr="007B3E88">
        <w:rPr>
          <w:bCs/>
          <w:i/>
          <w:iCs/>
          <w:kern w:val="22"/>
          <w:szCs w:val="22"/>
        </w:rPr>
        <w:t>marine spatial</w:t>
      </w:r>
      <w:r w:rsidRPr="007B3E88">
        <w:rPr>
          <w:bCs/>
          <w:i/>
          <w:iCs/>
          <w:kern w:val="22"/>
          <w:szCs w:val="22"/>
        </w:rPr>
        <w:t xml:space="preserve"> plans</w:t>
      </w:r>
      <w:r w:rsidR="00A97040" w:rsidRPr="007B3E88">
        <w:rPr>
          <w:bCs/>
          <w:i/>
          <w:iCs/>
          <w:kern w:val="22"/>
          <w:szCs w:val="22"/>
        </w:rPr>
        <w:t>,</w:t>
      </w:r>
      <w:r w:rsidRPr="007B3E88">
        <w:rPr>
          <w:bCs/>
          <w:i/>
          <w:iCs/>
          <w:kern w:val="22"/>
          <w:szCs w:val="22"/>
        </w:rPr>
        <w:t xml:space="preserve"> and sectoral plans</w:t>
      </w:r>
      <w:r w:rsidRPr="007B3E88">
        <w:rPr>
          <w:kern w:val="22"/>
          <w:szCs w:val="22"/>
        </w:rPr>
        <w:t xml:space="preserve">, </w:t>
      </w:r>
      <w:r w:rsidR="002F2863">
        <w:rPr>
          <w:kern w:val="22"/>
          <w:szCs w:val="22"/>
          <w:lang w:eastAsia="ja-JP" w:bidi="th-TH"/>
        </w:rPr>
        <w:t>such as</w:t>
      </w:r>
      <w:r w:rsidRPr="007B3E88">
        <w:rPr>
          <w:kern w:val="22"/>
          <w:szCs w:val="22"/>
        </w:rPr>
        <w:t xml:space="preserve"> subnational land</w:t>
      </w:r>
      <w:r w:rsidR="00FA248F" w:rsidRPr="007B3E88">
        <w:rPr>
          <w:kern w:val="22"/>
          <w:szCs w:val="22"/>
        </w:rPr>
        <w:t>-</w:t>
      </w:r>
      <w:r w:rsidRPr="007B3E88">
        <w:rPr>
          <w:kern w:val="22"/>
          <w:szCs w:val="22"/>
        </w:rPr>
        <w:t xml:space="preserve">use plans, integrated watershed plans, integrated </w:t>
      </w:r>
      <w:r w:rsidR="00451E4E" w:rsidRPr="007B3E88">
        <w:rPr>
          <w:kern w:val="22"/>
          <w:szCs w:val="22"/>
        </w:rPr>
        <w:t xml:space="preserve">marine and </w:t>
      </w:r>
      <w:r w:rsidRPr="007B3E88">
        <w:rPr>
          <w:kern w:val="22"/>
          <w:szCs w:val="22"/>
        </w:rPr>
        <w:t xml:space="preserve">coastal </w:t>
      </w:r>
      <w:r w:rsidR="00451E4E" w:rsidRPr="007B3E88">
        <w:rPr>
          <w:kern w:val="22"/>
          <w:szCs w:val="22"/>
        </w:rPr>
        <w:t xml:space="preserve">area </w:t>
      </w:r>
      <w:r w:rsidRPr="007B3E88">
        <w:rPr>
          <w:kern w:val="22"/>
          <w:szCs w:val="22"/>
        </w:rPr>
        <w:t>management plans, transportation plans,</w:t>
      </w:r>
      <w:r w:rsidR="00947DE8">
        <w:rPr>
          <w:kern w:val="22"/>
          <w:szCs w:val="22"/>
        </w:rPr>
        <w:t xml:space="preserve"> and</w:t>
      </w:r>
      <w:r w:rsidRPr="007B3E88">
        <w:rPr>
          <w:kern w:val="22"/>
          <w:szCs w:val="22"/>
        </w:rPr>
        <w:t xml:space="preserve"> water-related plans, in order to improve connectivity and complementarity and reduce fragmentation and impacts</w:t>
      </w:r>
      <w:r w:rsidR="002C3BF7" w:rsidRPr="007B3E88">
        <w:rPr>
          <w:kern w:val="22"/>
          <w:szCs w:val="22"/>
        </w:rPr>
        <w:t>;</w:t>
      </w:r>
    </w:p>
    <w:p w14:paraId="49C15EAA" w14:textId="0DA8CD1A" w:rsidR="00291A64" w:rsidRPr="007B3E88" w:rsidRDefault="005211CD" w:rsidP="007B3E88">
      <w:pPr>
        <w:pStyle w:val="Para1"/>
        <w:numPr>
          <w:ilvl w:val="0"/>
          <w:numId w:val="43"/>
        </w:numPr>
        <w:suppressLineNumbers/>
        <w:suppressAutoHyphens/>
        <w:kinsoku w:val="0"/>
        <w:overflowPunct w:val="0"/>
        <w:autoSpaceDE w:val="0"/>
        <w:autoSpaceDN w:val="0"/>
        <w:ind w:left="0" w:firstLine="720"/>
        <w:rPr>
          <w:kern w:val="22"/>
          <w:szCs w:val="22"/>
        </w:rPr>
      </w:pPr>
      <w:r w:rsidRPr="007B3E88">
        <w:rPr>
          <w:bCs/>
          <w:i/>
          <w:iCs/>
          <w:kern w:val="22"/>
          <w:szCs w:val="22"/>
        </w:rPr>
        <w:t>Prioritize and implement measures</w:t>
      </w:r>
      <w:r w:rsidRPr="007B3E88">
        <w:rPr>
          <w:kern w:val="22"/>
          <w:szCs w:val="22"/>
        </w:rPr>
        <w:t xml:space="preserve"> to decrease habitat fragmentation within landscapes and </w:t>
      </w:r>
      <w:r w:rsidRPr="007B3E88">
        <w:rPr>
          <w:kern w:val="22"/>
          <w:szCs w:val="22"/>
          <w:lang w:eastAsia="ja-JP" w:bidi="th-TH"/>
        </w:rPr>
        <w:t>seascapes</w:t>
      </w:r>
      <w:r w:rsidRPr="007B3E88">
        <w:rPr>
          <w:kern w:val="22"/>
          <w:szCs w:val="22"/>
        </w:rPr>
        <w:t xml:space="preserve"> and to increase connectivity, including the creation of new protected areas</w:t>
      </w:r>
      <w:r w:rsidR="001625BD" w:rsidRPr="007B3E88">
        <w:rPr>
          <w:kern w:val="22"/>
          <w:szCs w:val="22"/>
        </w:rPr>
        <w:t xml:space="preserve"> and </w:t>
      </w:r>
      <w:r w:rsidR="00947DE8">
        <w:rPr>
          <w:kern w:val="22"/>
          <w:szCs w:val="22"/>
        </w:rPr>
        <w:t xml:space="preserve">the </w:t>
      </w:r>
      <w:r w:rsidR="001625BD" w:rsidRPr="007B3E88">
        <w:rPr>
          <w:kern w:val="22"/>
          <w:szCs w:val="22"/>
        </w:rPr>
        <w:t xml:space="preserve">identification of other effective area-based conservation measures, as well as indigenous and community conserved areas, </w:t>
      </w:r>
      <w:r w:rsidRPr="007B3E88">
        <w:rPr>
          <w:kern w:val="22"/>
          <w:szCs w:val="22"/>
        </w:rPr>
        <w:t xml:space="preserve">that can serve as stepping stones between habitats, the creation of conservation corridors to connect key habitats, the creation of buffer zones to mitigate the impacts of various sectors, to enhance the protected </w:t>
      </w:r>
      <w:r w:rsidR="0001271D" w:rsidRPr="007B3E88">
        <w:rPr>
          <w:kern w:val="22"/>
          <w:szCs w:val="22"/>
        </w:rPr>
        <w:t xml:space="preserve">and conserved </w:t>
      </w:r>
      <w:r w:rsidRPr="007B3E88">
        <w:rPr>
          <w:kern w:val="22"/>
          <w:szCs w:val="22"/>
        </w:rPr>
        <w:t>area</w:t>
      </w:r>
      <w:r w:rsidR="0001271D" w:rsidRPr="007B3E88">
        <w:rPr>
          <w:kern w:val="22"/>
          <w:szCs w:val="22"/>
        </w:rPr>
        <w:t>s</w:t>
      </w:r>
      <w:r w:rsidRPr="007B3E88">
        <w:rPr>
          <w:kern w:val="22"/>
          <w:szCs w:val="22"/>
        </w:rPr>
        <w:t xml:space="preserve"> estate, and the promotion of sectoral practices that reduce and mitigate their impacts on biodiversity, such as organic agriculture</w:t>
      </w:r>
      <w:r w:rsidR="00924E97">
        <w:rPr>
          <w:kern w:val="22"/>
          <w:szCs w:val="22"/>
        </w:rPr>
        <w:t xml:space="preserve"> and</w:t>
      </w:r>
      <w:r w:rsidRPr="007B3E88">
        <w:rPr>
          <w:kern w:val="22"/>
          <w:szCs w:val="22"/>
        </w:rPr>
        <w:t xml:space="preserve"> long-rotation forestry.</w:t>
      </w:r>
    </w:p>
    <w:p w14:paraId="1A597361" w14:textId="55F587A2" w:rsidR="001F3DD5" w:rsidRPr="007B3E88" w:rsidRDefault="00242F8D" w:rsidP="007B3E88">
      <w:pPr>
        <w:pStyle w:val="Para10"/>
        <w:keepNext/>
        <w:suppressLineNumbers/>
        <w:suppressAutoHyphens/>
        <w:kinsoku w:val="0"/>
        <w:overflowPunct w:val="0"/>
        <w:autoSpaceDE w:val="0"/>
        <w:autoSpaceDN w:val="0"/>
        <w:ind w:left="1440" w:hanging="720"/>
        <w:jc w:val="left"/>
        <w:rPr>
          <w:rFonts w:cs="Times New Roman"/>
          <w:b/>
          <w:bCs w:val="0"/>
          <w:iCs/>
          <w:kern w:val="22"/>
          <w:lang w:eastAsia="ja-JP" w:bidi="th-TH"/>
        </w:rPr>
      </w:pPr>
      <w:r w:rsidRPr="007B3E88">
        <w:rPr>
          <w:rFonts w:cs="Times New Roman"/>
          <w:b/>
          <w:bCs w:val="0"/>
          <w:iCs/>
          <w:kern w:val="22"/>
          <w:lang w:eastAsia="ja-JP" w:bidi="th-TH"/>
        </w:rPr>
        <w:t>B</w:t>
      </w:r>
      <w:r w:rsidR="005D2DB3" w:rsidRPr="007B3E88">
        <w:rPr>
          <w:rFonts w:cs="Times New Roman"/>
          <w:b/>
          <w:bCs w:val="0"/>
          <w:iCs/>
          <w:kern w:val="22"/>
          <w:lang w:eastAsia="ja-JP" w:bidi="th-TH"/>
        </w:rPr>
        <w:t>.</w:t>
      </w:r>
      <w:r w:rsidR="00A577C7">
        <w:rPr>
          <w:rFonts w:cs="Times New Roman"/>
          <w:b/>
          <w:bCs w:val="0"/>
          <w:iCs/>
          <w:kern w:val="22"/>
          <w:lang w:eastAsia="ja-JP" w:bidi="th-TH"/>
        </w:rPr>
        <w:tab/>
      </w:r>
      <w:r w:rsidR="001F3DD5" w:rsidRPr="007B3E88">
        <w:rPr>
          <w:rFonts w:cs="Times New Roman"/>
          <w:b/>
          <w:bCs w:val="0"/>
          <w:iCs/>
          <w:kern w:val="22"/>
          <w:lang w:eastAsia="ja-JP" w:bidi="th-TH"/>
        </w:rPr>
        <w:t xml:space="preserve">Suggested steps for enhancing and supporting </w:t>
      </w:r>
      <w:r w:rsidR="006413E3">
        <w:rPr>
          <w:rFonts w:cs="Times New Roman"/>
          <w:b/>
          <w:bCs w:val="0"/>
          <w:iCs/>
          <w:kern w:val="22"/>
          <w:lang w:eastAsia="ja-JP" w:bidi="th-TH"/>
        </w:rPr>
        <w:t xml:space="preserve">the </w:t>
      </w:r>
      <w:r w:rsidR="005939C7" w:rsidRPr="007B3E88">
        <w:rPr>
          <w:rFonts w:cs="Times New Roman"/>
          <w:b/>
          <w:bCs w:val="0"/>
          <w:iCs/>
          <w:kern w:val="22"/>
          <w:lang w:eastAsia="ja-JP" w:bidi="th-TH"/>
        </w:rPr>
        <w:t>mainstreaming of protected</w:t>
      </w:r>
      <w:r w:rsidR="0001271D" w:rsidRPr="007B3E88">
        <w:rPr>
          <w:rFonts w:cs="Times New Roman"/>
          <w:b/>
          <w:bCs w:val="0"/>
          <w:iCs/>
          <w:kern w:val="22"/>
          <w:lang w:eastAsia="ja-JP" w:bidi="th-TH"/>
        </w:rPr>
        <w:t xml:space="preserve"> areas</w:t>
      </w:r>
      <w:r w:rsidR="005939C7" w:rsidRPr="007B3E88">
        <w:rPr>
          <w:rFonts w:cs="Times New Roman"/>
          <w:b/>
          <w:bCs w:val="0"/>
          <w:iCs/>
          <w:kern w:val="22"/>
          <w:lang w:eastAsia="ja-JP" w:bidi="th-TH"/>
        </w:rPr>
        <w:t xml:space="preserve"> and </w:t>
      </w:r>
      <w:r w:rsidR="0001271D" w:rsidRPr="007B3E88">
        <w:rPr>
          <w:rFonts w:cs="Times New Roman"/>
          <w:b/>
          <w:bCs w:val="0"/>
          <w:iCs/>
          <w:kern w:val="22"/>
          <w:lang w:eastAsia="ja-JP" w:bidi="th-TH"/>
        </w:rPr>
        <w:t>other effective area</w:t>
      </w:r>
      <w:r w:rsidR="006413E3">
        <w:rPr>
          <w:rFonts w:cs="Times New Roman"/>
          <w:b/>
          <w:bCs w:val="0"/>
          <w:iCs/>
          <w:kern w:val="22"/>
          <w:lang w:eastAsia="ja-JP" w:bidi="th-TH"/>
        </w:rPr>
        <w:t>-</w:t>
      </w:r>
      <w:r w:rsidR="0001271D" w:rsidRPr="007B3E88">
        <w:rPr>
          <w:rFonts w:cs="Times New Roman"/>
          <w:b/>
          <w:bCs w:val="0"/>
          <w:iCs/>
          <w:kern w:val="22"/>
          <w:lang w:eastAsia="ja-JP" w:bidi="th-TH"/>
        </w:rPr>
        <w:t>based conservation measures across</w:t>
      </w:r>
      <w:r w:rsidR="005939C7" w:rsidRPr="007B3E88">
        <w:rPr>
          <w:rFonts w:cs="Times New Roman"/>
          <w:b/>
          <w:bCs w:val="0"/>
          <w:iCs/>
          <w:kern w:val="22"/>
          <w:lang w:eastAsia="ja-JP" w:bidi="th-TH"/>
        </w:rPr>
        <w:t xml:space="preserve"> sectors</w:t>
      </w:r>
    </w:p>
    <w:p w14:paraId="74AC1EFC" w14:textId="6706E6B5" w:rsidR="00CD56F0" w:rsidRPr="007B3E88" w:rsidRDefault="00F45F51"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lang w:eastAsia="ja-JP" w:bidi="th-TH"/>
        </w:rPr>
        <w:t xml:space="preserve">Identify, map and prioritize </w:t>
      </w:r>
      <w:r w:rsidR="00CD56F0" w:rsidRPr="007B3E88">
        <w:rPr>
          <w:bCs/>
          <w:i/>
          <w:iCs/>
          <w:kern w:val="22"/>
          <w:szCs w:val="22"/>
          <w:lang w:eastAsia="ja-JP" w:bidi="th-TH"/>
        </w:rPr>
        <w:t xml:space="preserve">areas important for </w:t>
      </w:r>
      <w:r w:rsidR="00DA024B" w:rsidRPr="007B3E88">
        <w:rPr>
          <w:bCs/>
          <w:i/>
          <w:iCs/>
          <w:kern w:val="22"/>
          <w:szCs w:val="22"/>
          <w:lang w:eastAsia="ja-JP" w:bidi="th-TH"/>
        </w:rPr>
        <w:t>essential ecosystem services</w:t>
      </w:r>
      <w:r w:rsidR="00DA024B" w:rsidRPr="007B3E88">
        <w:rPr>
          <w:bCs/>
          <w:kern w:val="22"/>
          <w:szCs w:val="22"/>
          <w:lang w:eastAsia="ja-JP" w:bidi="th-TH"/>
        </w:rPr>
        <w:t xml:space="preserve">, </w:t>
      </w:r>
      <w:r w:rsidR="00DA024B" w:rsidRPr="007B3E88">
        <w:rPr>
          <w:kern w:val="22"/>
          <w:szCs w:val="22"/>
          <w:lang w:eastAsia="ja-JP" w:bidi="th-TH"/>
        </w:rPr>
        <w:t xml:space="preserve">including </w:t>
      </w:r>
      <w:r w:rsidR="00CD56F0" w:rsidRPr="007B3E88">
        <w:rPr>
          <w:kern w:val="22"/>
          <w:szCs w:val="22"/>
          <w:lang w:eastAsia="ja-JP" w:bidi="th-TH"/>
        </w:rPr>
        <w:t>ecosystems</w:t>
      </w:r>
      <w:r w:rsidR="00DA024B" w:rsidRPr="007B3E88">
        <w:rPr>
          <w:kern w:val="22"/>
          <w:szCs w:val="22"/>
          <w:lang w:eastAsia="ja-JP" w:bidi="th-TH"/>
        </w:rPr>
        <w:t xml:space="preserve"> </w:t>
      </w:r>
      <w:r w:rsidR="00626E45">
        <w:rPr>
          <w:kern w:val="22"/>
          <w:szCs w:val="22"/>
          <w:lang w:eastAsia="ja-JP" w:bidi="th-TH"/>
        </w:rPr>
        <w:t xml:space="preserve">that are </w:t>
      </w:r>
      <w:r w:rsidR="00DA024B" w:rsidRPr="007B3E88">
        <w:rPr>
          <w:kern w:val="22"/>
          <w:szCs w:val="22"/>
          <w:lang w:eastAsia="ja-JP" w:bidi="th-TH"/>
        </w:rPr>
        <w:t xml:space="preserve">important for food (e.g., </w:t>
      </w:r>
      <w:r w:rsidR="00CD56F0" w:rsidRPr="007B3E88">
        <w:rPr>
          <w:kern w:val="22"/>
          <w:szCs w:val="22"/>
          <w:lang w:eastAsia="ja-JP" w:bidi="th-TH"/>
        </w:rPr>
        <w:t>mangroves for fisheries)</w:t>
      </w:r>
      <w:r w:rsidR="00524053">
        <w:rPr>
          <w:kern w:val="22"/>
          <w:szCs w:val="22"/>
          <w:lang w:eastAsia="ja-JP" w:bidi="th-TH"/>
        </w:rPr>
        <w:t>,</w:t>
      </w:r>
      <w:r w:rsidR="00CD56F0" w:rsidRPr="007B3E88">
        <w:rPr>
          <w:kern w:val="22"/>
          <w:szCs w:val="22"/>
          <w:lang w:eastAsia="ja-JP" w:bidi="th-TH"/>
        </w:rPr>
        <w:t xml:space="preserve"> for climate mitigation (e.g., carbon-dense ecosystems</w:t>
      </w:r>
      <w:r w:rsidR="00524053">
        <w:rPr>
          <w:kern w:val="22"/>
          <w:szCs w:val="22"/>
          <w:lang w:eastAsia="ja-JP" w:bidi="th-TH"/>
        </w:rPr>
        <w:t>,</w:t>
      </w:r>
      <w:r w:rsidR="00CD56F0" w:rsidRPr="007B3E88">
        <w:rPr>
          <w:kern w:val="22"/>
          <w:szCs w:val="22"/>
          <w:lang w:eastAsia="ja-JP" w:bidi="th-TH"/>
        </w:rPr>
        <w:t xml:space="preserve"> such as forests, peatlands, mangroves)</w:t>
      </w:r>
      <w:r w:rsidR="00524053">
        <w:rPr>
          <w:kern w:val="22"/>
          <w:szCs w:val="22"/>
          <w:lang w:eastAsia="ja-JP" w:bidi="th-TH"/>
        </w:rPr>
        <w:t>,</w:t>
      </w:r>
      <w:r w:rsidR="00CD56F0" w:rsidRPr="007B3E88">
        <w:rPr>
          <w:kern w:val="22"/>
          <w:szCs w:val="22"/>
          <w:lang w:eastAsia="ja-JP" w:bidi="th-TH"/>
        </w:rPr>
        <w:t xml:space="preserve"> for water security (e.g., mountains, forests, wetlands and grasses that provide both surface and groundwater)</w:t>
      </w:r>
      <w:r w:rsidR="00CF13AF">
        <w:rPr>
          <w:kern w:val="22"/>
          <w:szCs w:val="22"/>
          <w:lang w:eastAsia="ja-JP" w:bidi="th-TH"/>
        </w:rPr>
        <w:t>,</w:t>
      </w:r>
      <w:r w:rsidR="00CD56F0" w:rsidRPr="007B3E88">
        <w:rPr>
          <w:kern w:val="22"/>
          <w:szCs w:val="22"/>
          <w:lang w:eastAsia="ja-JP" w:bidi="th-TH"/>
        </w:rPr>
        <w:t xml:space="preserve"> for poverty alleviation (e.g., ecosystems that provide subsistence, livelihoods and employment)</w:t>
      </w:r>
      <w:r w:rsidR="00CF13AF">
        <w:rPr>
          <w:kern w:val="22"/>
          <w:szCs w:val="22"/>
          <w:lang w:eastAsia="ja-JP" w:bidi="th-TH"/>
        </w:rPr>
        <w:t>,</w:t>
      </w:r>
      <w:r w:rsidR="00CD56F0" w:rsidRPr="007B3E88">
        <w:rPr>
          <w:kern w:val="22"/>
          <w:szCs w:val="22"/>
          <w:lang w:eastAsia="ja-JP" w:bidi="th-TH"/>
        </w:rPr>
        <w:t xml:space="preserve"> and for disaster risk reduction (e.g., ecosystems that buffer impacts from coastal storms, such as reefs, seagrass beds, floodplains)</w:t>
      </w:r>
      <w:r w:rsidR="002C3BF7" w:rsidRPr="007B3E88">
        <w:rPr>
          <w:kern w:val="22"/>
          <w:szCs w:val="22"/>
          <w:lang w:eastAsia="ja-JP" w:bidi="th-TH"/>
        </w:rPr>
        <w:t>;</w:t>
      </w:r>
    </w:p>
    <w:p w14:paraId="0A2DA615" w14:textId="009AC415" w:rsidR="00CD56F0" w:rsidRPr="007B3E88" w:rsidRDefault="00F45F51"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rPr>
        <w:t>Review and update sectoral plans</w:t>
      </w:r>
      <w:r w:rsidRPr="007B3E88">
        <w:rPr>
          <w:bCs/>
          <w:kern w:val="22"/>
          <w:szCs w:val="22"/>
        </w:rPr>
        <w:t xml:space="preserve"> </w:t>
      </w:r>
      <w:r w:rsidRPr="007B3E88">
        <w:rPr>
          <w:kern w:val="22"/>
          <w:szCs w:val="22"/>
        </w:rPr>
        <w:t xml:space="preserve">to ensure that the many values provided by protected areas are </w:t>
      </w:r>
      <w:r w:rsidRPr="007B3E88">
        <w:rPr>
          <w:kern w:val="22"/>
          <w:szCs w:val="22"/>
          <w:lang w:eastAsia="ja-JP" w:bidi="th-TH"/>
        </w:rPr>
        <w:t>recognized</w:t>
      </w:r>
      <w:r w:rsidRPr="007B3E88">
        <w:rPr>
          <w:kern w:val="22"/>
          <w:szCs w:val="22"/>
        </w:rPr>
        <w:t xml:space="preserve"> and incorporated into sectoral plans;</w:t>
      </w:r>
    </w:p>
    <w:p w14:paraId="144922E9" w14:textId="5C0EB55B" w:rsidR="00F45F51" w:rsidRPr="007B3E88" w:rsidRDefault="00F45F51"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rPr>
        <w:t>Develop targeted communications campaigns</w:t>
      </w:r>
      <w:r w:rsidRPr="007B3E88">
        <w:rPr>
          <w:kern w:val="22"/>
          <w:szCs w:val="22"/>
        </w:rPr>
        <w:t xml:space="preserve"> aimed at the various sectors</w:t>
      </w:r>
      <w:r w:rsidR="008A79CC" w:rsidRPr="008A79CC">
        <w:rPr>
          <w:kern w:val="22"/>
          <w:szCs w:val="22"/>
        </w:rPr>
        <w:t xml:space="preserve">, </w:t>
      </w:r>
      <w:r w:rsidR="00E83718">
        <w:rPr>
          <w:kern w:val="22"/>
          <w:szCs w:val="22"/>
        </w:rPr>
        <w:t xml:space="preserve">both </w:t>
      </w:r>
      <w:r w:rsidR="008A79CC" w:rsidRPr="008A79CC">
        <w:rPr>
          <w:kern w:val="22"/>
          <w:szCs w:val="22"/>
        </w:rPr>
        <w:t>government and private,</w:t>
      </w:r>
      <w:r w:rsidRPr="007B3E88">
        <w:rPr>
          <w:kern w:val="22"/>
          <w:szCs w:val="22"/>
        </w:rPr>
        <w:t xml:space="preserve"> that depend upon the biodiversity and ecosystems services </w:t>
      </w:r>
      <w:r w:rsidR="00471711" w:rsidRPr="008A79CC">
        <w:rPr>
          <w:kern w:val="22"/>
          <w:szCs w:val="22"/>
        </w:rPr>
        <w:t>provided</w:t>
      </w:r>
      <w:r w:rsidR="00471711" w:rsidRPr="007B3E88">
        <w:rPr>
          <w:kern w:val="22"/>
          <w:szCs w:val="22"/>
        </w:rPr>
        <w:t xml:space="preserve"> </w:t>
      </w:r>
      <w:r w:rsidRPr="007B3E88">
        <w:rPr>
          <w:kern w:val="22"/>
          <w:szCs w:val="22"/>
        </w:rPr>
        <w:t xml:space="preserve">by protected areas, including agriculture, fisheries, forestry, water, tourism, national and subnational security, development, and climate change, with the objective of increasing awareness of the value of nature </w:t>
      </w:r>
      <w:r w:rsidRPr="007B3E88">
        <w:rPr>
          <w:kern w:val="22"/>
          <w:szCs w:val="22"/>
          <w:lang w:eastAsia="ja-JP" w:bidi="th-TH"/>
        </w:rPr>
        <w:t>for</w:t>
      </w:r>
      <w:r w:rsidRPr="007B3E88">
        <w:rPr>
          <w:kern w:val="22"/>
          <w:szCs w:val="22"/>
        </w:rPr>
        <w:t xml:space="preserve"> their sectors</w:t>
      </w:r>
      <w:r w:rsidR="002C3BF7" w:rsidRPr="007B3E88">
        <w:rPr>
          <w:kern w:val="22"/>
          <w:szCs w:val="22"/>
        </w:rPr>
        <w:t>;</w:t>
      </w:r>
    </w:p>
    <w:p w14:paraId="54CD0FB9" w14:textId="3B504EFB" w:rsidR="00E5458F" w:rsidRPr="007B3E88" w:rsidRDefault="00F45F51"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rPr>
        <w:t xml:space="preserve">Review </w:t>
      </w:r>
      <w:r w:rsidR="00E5458F" w:rsidRPr="007B3E88">
        <w:rPr>
          <w:bCs/>
          <w:i/>
          <w:iCs/>
          <w:kern w:val="22"/>
          <w:szCs w:val="22"/>
        </w:rPr>
        <w:t xml:space="preserve">and revise </w:t>
      </w:r>
      <w:r w:rsidRPr="007B3E88">
        <w:rPr>
          <w:bCs/>
          <w:i/>
          <w:iCs/>
          <w:kern w:val="22"/>
          <w:szCs w:val="22"/>
        </w:rPr>
        <w:t>existing policy and finance frameworks</w:t>
      </w:r>
      <w:r w:rsidRPr="007B3E88">
        <w:rPr>
          <w:kern w:val="22"/>
          <w:szCs w:val="22"/>
        </w:rPr>
        <w:t xml:space="preserve"> to identify </w:t>
      </w:r>
      <w:r w:rsidR="00E5458F" w:rsidRPr="007B3E88">
        <w:rPr>
          <w:kern w:val="22"/>
          <w:szCs w:val="22"/>
        </w:rPr>
        <w:t>opportunities to improve the enabling policy and finance environment for sectoral mainstreaming</w:t>
      </w:r>
      <w:r w:rsidR="002C3BF7" w:rsidRPr="007B3E88">
        <w:rPr>
          <w:kern w:val="22"/>
          <w:szCs w:val="22"/>
        </w:rPr>
        <w:t>;</w:t>
      </w:r>
    </w:p>
    <w:p w14:paraId="59E10632" w14:textId="08D84389" w:rsidR="00F45F51" w:rsidRPr="007B3E88" w:rsidRDefault="00E5458F"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rPr>
        <w:t>Encourage innovative finance</w:t>
      </w:r>
      <w:r w:rsidRPr="007B3E88">
        <w:rPr>
          <w:kern w:val="22"/>
          <w:szCs w:val="22"/>
        </w:rPr>
        <w:t xml:space="preserve">, including impact investors, insurance companies and others, to identify and finance new protected areas, and restoration of key degraded protected areas to deliver on </w:t>
      </w:r>
      <w:r w:rsidRPr="007B3E88">
        <w:rPr>
          <w:kern w:val="22"/>
          <w:szCs w:val="22"/>
          <w:lang w:eastAsia="ja-JP" w:bidi="th-TH"/>
        </w:rPr>
        <w:t>essential</w:t>
      </w:r>
      <w:r w:rsidRPr="007B3E88">
        <w:rPr>
          <w:kern w:val="22"/>
          <w:szCs w:val="22"/>
        </w:rPr>
        <w:t xml:space="preserve"> ecosystem services</w:t>
      </w:r>
      <w:r w:rsidR="002C3BF7" w:rsidRPr="007B3E88">
        <w:rPr>
          <w:kern w:val="22"/>
          <w:szCs w:val="22"/>
        </w:rPr>
        <w:t>;</w:t>
      </w:r>
    </w:p>
    <w:p w14:paraId="76C85A3D" w14:textId="37EFF6DE" w:rsidR="001F3DD5" w:rsidRPr="007B3E88" w:rsidRDefault="00F45F51" w:rsidP="007B3E88">
      <w:pPr>
        <w:pStyle w:val="Para1"/>
        <w:numPr>
          <w:ilvl w:val="0"/>
          <w:numId w:val="44"/>
        </w:numPr>
        <w:suppressLineNumbers/>
        <w:suppressAutoHyphens/>
        <w:kinsoku w:val="0"/>
        <w:overflowPunct w:val="0"/>
        <w:autoSpaceDE w:val="0"/>
        <w:autoSpaceDN w:val="0"/>
        <w:ind w:left="0" w:firstLine="720"/>
        <w:rPr>
          <w:kern w:val="22"/>
          <w:szCs w:val="22"/>
        </w:rPr>
      </w:pPr>
      <w:r w:rsidRPr="007B3E88">
        <w:rPr>
          <w:bCs/>
          <w:i/>
          <w:iCs/>
          <w:kern w:val="22"/>
          <w:szCs w:val="22"/>
        </w:rPr>
        <w:t xml:space="preserve">Assess and update </w:t>
      </w:r>
      <w:r w:rsidR="00BE62F5">
        <w:rPr>
          <w:bCs/>
          <w:i/>
          <w:iCs/>
          <w:kern w:val="22"/>
          <w:szCs w:val="22"/>
        </w:rPr>
        <w:t xml:space="preserve">the </w:t>
      </w:r>
      <w:r w:rsidRPr="007B3E88">
        <w:rPr>
          <w:bCs/>
          <w:i/>
          <w:iCs/>
          <w:kern w:val="22"/>
          <w:szCs w:val="22"/>
        </w:rPr>
        <w:t xml:space="preserve">capacities </w:t>
      </w:r>
      <w:r w:rsidRPr="007B3E88">
        <w:rPr>
          <w:i/>
          <w:iCs/>
          <w:kern w:val="22"/>
          <w:szCs w:val="22"/>
        </w:rPr>
        <w:t>required</w:t>
      </w:r>
      <w:r w:rsidRPr="007B3E88">
        <w:rPr>
          <w:kern w:val="22"/>
          <w:szCs w:val="22"/>
        </w:rPr>
        <w:t xml:space="preserve"> to improve the mainstreaming of protected areas, including capacities related to creating enabling policy environments</w:t>
      </w:r>
      <w:r w:rsidR="000D298F">
        <w:rPr>
          <w:kern w:val="22"/>
          <w:szCs w:val="22"/>
        </w:rPr>
        <w:t>,</w:t>
      </w:r>
      <w:r w:rsidRPr="007B3E88">
        <w:rPr>
          <w:kern w:val="22"/>
          <w:szCs w:val="22"/>
        </w:rPr>
        <w:t xml:space="preserve"> </w:t>
      </w:r>
      <w:r w:rsidR="00E5458F" w:rsidRPr="007B3E88">
        <w:rPr>
          <w:kern w:val="22"/>
          <w:szCs w:val="22"/>
        </w:rPr>
        <w:t xml:space="preserve">to spatial mapping of essential </w:t>
      </w:r>
      <w:r w:rsidR="00E5458F" w:rsidRPr="007B3E88">
        <w:rPr>
          <w:kern w:val="22"/>
          <w:szCs w:val="22"/>
          <w:lang w:eastAsia="ja-JP" w:bidi="th-TH"/>
        </w:rPr>
        <w:t>ecosystem</w:t>
      </w:r>
      <w:r w:rsidR="00E5458F" w:rsidRPr="007B3E88">
        <w:rPr>
          <w:kern w:val="22"/>
          <w:szCs w:val="22"/>
        </w:rPr>
        <w:t xml:space="preserve"> services</w:t>
      </w:r>
      <w:r w:rsidR="000D298F">
        <w:rPr>
          <w:kern w:val="22"/>
          <w:szCs w:val="22"/>
        </w:rPr>
        <w:t>,</w:t>
      </w:r>
      <w:r w:rsidR="00E5458F" w:rsidRPr="007B3E88">
        <w:rPr>
          <w:kern w:val="22"/>
          <w:szCs w:val="22"/>
        </w:rPr>
        <w:t xml:space="preserve"> and </w:t>
      </w:r>
      <w:r w:rsidRPr="007B3E88">
        <w:rPr>
          <w:kern w:val="22"/>
          <w:szCs w:val="22"/>
        </w:rPr>
        <w:t>to assessing the economic values of ecosystem services</w:t>
      </w:r>
      <w:r w:rsidR="00E5458F" w:rsidRPr="007B3E88">
        <w:rPr>
          <w:kern w:val="22"/>
          <w:szCs w:val="22"/>
        </w:rPr>
        <w:t>.</w:t>
      </w:r>
    </w:p>
    <w:p w14:paraId="7F3AC13B" w14:textId="77777777" w:rsidR="00242F8D" w:rsidRPr="007B3E88" w:rsidRDefault="00242F8D" w:rsidP="007B3E88">
      <w:pPr>
        <w:suppressLineNumbers/>
        <w:suppressAutoHyphens/>
        <w:kinsoku w:val="0"/>
        <w:overflowPunct w:val="0"/>
        <w:autoSpaceDE w:val="0"/>
        <w:autoSpaceDN w:val="0"/>
        <w:jc w:val="left"/>
        <w:rPr>
          <w:b/>
          <w:caps/>
          <w:kern w:val="22"/>
          <w:szCs w:val="22"/>
        </w:rPr>
      </w:pPr>
      <w:r w:rsidRPr="007B3E88">
        <w:rPr>
          <w:kern w:val="22"/>
          <w:szCs w:val="22"/>
        </w:rPr>
        <w:br w:type="page"/>
      </w:r>
    </w:p>
    <w:p w14:paraId="0C13E401" w14:textId="0BDE8781" w:rsidR="00C2619C" w:rsidRPr="007B3E88" w:rsidRDefault="00C2619C" w:rsidP="007B3E88">
      <w:pPr>
        <w:pStyle w:val="Heading1"/>
        <w:suppressLineNumbers/>
        <w:tabs>
          <w:tab w:val="clear" w:pos="720"/>
        </w:tabs>
        <w:suppressAutoHyphens/>
        <w:kinsoku w:val="0"/>
        <w:overflowPunct w:val="0"/>
        <w:autoSpaceDE w:val="0"/>
        <w:autoSpaceDN w:val="0"/>
        <w:spacing w:before="0"/>
        <w:rPr>
          <w:b w:val="0"/>
          <w:i/>
          <w:kern w:val="22"/>
          <w:szCs w:val="22"/>
        </w:rPr>
      </w:pPr>
      <w:r w:rsidRPr="007B3E88">
        <w:rPr>
          <w:b w:val="0"/>
          <w:i/>
          <w:caps w:val="0"/>
          <w:kern w:val="22"/>
          <w:szCs w:val="22"/>
        </w:rPr>
        <w:t xml:space="preserve">Annex </w:t>
      </w:r>
      <w:r w:rsidR="00242F8D" w:rsidRPr="007B3E88">
        <w:rPr>
          <w:b w:val="0"/>
          <w:i/>
          <w:kern w:val="22"/>
          <w:szCs w:val="22"/>
        </w:rPr>
        <w:t>II</w:t>
      </w:r>
    </w:p>
    <w:p w14:paraId="721EBFAB" w14:textId="73012611" w:rsidR="00C45393" w:rsidRPr="007B3E88" w:rsidRDefault="00C45393" w:rsidP="007B3E88">
      <w:pPr>
        <w:pStyle w:val="Heading1"/>
        <w:suppressLineNumbers/>
        <w:tabs>
          <w:tab w:val="clear" w:pos="720"/>
        </w:tabs>
        <w:suppressAutoHyphens/>
        <w:kinsoku w:val="0"/>
        <w:overflowPunct w:val="0"/>
        <w:autoSpaceDE w:val="0"/>
        <w:autoSpaceDN w:val="0"/>
        <w:spacing w:before="120"/>
        <w:rPr>
          <w:rFonts w:eastAsia="Calibri"/>
          <w:snapToGrid w:val="0"/>
          <w:kern w:val="22"/>
          <w:szCs w:val="22"/>
        </w:rPr>
      </w:pPr>
      <w:r w:rsidRPr="007B3E88">
        <w:rPr>
          <w:kern w:val="22"/>
          <w:szCs w:val="22"/>
        </w:rPr>
        <w:t xml:space="preserve">Voluntary </w:t>
      </w:r>
      <w:r w:rsidR="002B35A1" w:rsidRPr="007B3E88">
        <w:rPr>
          <w:kern w:val="22"/>
          <w:szCs w:val="22"/>
        </w:rPr>
        <w:t xml:space="preserve">guidance </w:t>
      </w:r>
      <w:r w:rsidRPr="007B3E88">
        <w:rPr>
          <w:kern w:val="22"/>
          <w:szCs w:val="22"/>
        </w:rPr>
        <w:t xml:space="preserve">on </w:t>
      </w:r>
      <w:r w:rsidR="002B35A1" w:rsidRPr="007B3E88">
        <w:rPr>
          <w:rFonts w:eastAsia="Calibri"/>
          <w:snapToGrid w:val="0"/>
          <w:kern w:val="22"/>
          <w:szCs w:val="22"/>
        </w:rPr>
        <w:t xml:space="preserve">effective </w:t>
      </w:r>
      <w:r w:rsidR="00F52538" w:rsidRPr="007B3E88">
        <w:rPr>
          <w:rFonts w:eastAsia="Calibri"/>
          <w:snapToGrid w:val="0"/>
          <w:kern w:val="22"/>
          <w:szCs w:val="22"/>
        </w:rPr>
        <w:t>governance models for management of protected areas, including equity, taking into account work being</w:t>
      </w:r>
      <w:r w:rsidR="00DF0B22">
        <w:rPr>
          <w:rFonts w:eastAsia="Calibri"/>
          <w:snapToGrid w:val="0"/>
          <w:kern w:val="22"/>
          <w:szCs w:val="22"/>
        </w:rPr>
        <w:t> </w:t>
      </w:r>
      <w:r w:rsidR="00F52538" w:rsidRPr="007B3E88">
        <w:rPr>
          <w:rFonts w:eastAsia="Calibri"/>
          <w:snapToGrid w:val="0"/>
          <w:kern w:val="22"/>
          <w:szCs w:val="22"/>
        </w:rPr>
        <w:t>undertaken under Article 8(</w:t>
      </w:r>
      <w:r w:rsidR="000B2595" w:rsidRPr="006A64B0">
        <w:rPr>
          <w:rFonts w:eastAsia="Calibri"/>
          <w:caps w:val="0"/>
          <w:snapToGrid w:val="0"/>
          <w:kern w:val="22"/>
          <w:szCs w:val="22"/>
        </w:rPr>
        <w:t>j</w:t>
      </w:r>
      <w:r w:rsidR="00F52538" w:rsidRPr="007B3E88">
        <w:rPr>
          <w:rFonts w:eastAsia="Calibri"/>
          <w:snapToGrid w:val="0"/>
          <w:kern w:val="22"/>
          <w:szCs w:val="22"/>
        </w:rPr>
        <w:t>)</w:t>
      </w:r>
    </w:p>
    <w:p w14:paraId="20AC0400" w14:textId="77777777" w:rsidR="00242F8D" w:rsidRPr="007B3E88" w:rsidRDefault="00242F8D" w:rsidP="007B3E88">
      <w:pPr>
        <w:pStyle w:val="Heading1"/>
        <w:numPr>
          <w:ilvl w:val="0"/>
          <w:numId w:val="68"/>
        </w:numPr>
        <w:suppressLineNumbers/>
        <w:suppressAutoHyphens/>
        <w:kinsoku w:val="0"/>
        <w:overflowPunct w:val="0"/>
        <w:autoSpaceDE w:val="0"/>
        <w:autoSpaceDN w:val="0"/>
        <w:spacing w:before="120"/>
        <w:rPr>
          <w:kern w:val="22"/>
          <w:szCs w:val="22"/>
        </w:rPr>
      </w:pPr>
      <w:r w:rsidRPr="007B3E88">
        <w:rPr>
          <w:kern w:val="22"/>
          <w:szCs w:val="22"/>
        </w:rPr>
        <w:t>Context</w:t>
      </w:r>
    </w:p>
    <w:p w14:paraId="022237AA" w14:textId="3700BF99" w:rsidR="00C914FA" w:rsidRPr="007B3E88" w:rsidRDefault="00C914FA" w:rsidP="007B3E88">
      <w:pPr>
        <w:pStyle w:val="Para1"/>
        <w:numPr>
          <w:ilvl w:val="0"/>
          <w:numId w:val="53"/>
        </w:numPr>
        <w:suppressLineNumbers/>
        <w:suppressAutoHyphens/>
        <w:kinsoku w:val="0"/>
        <w:overflowPunct w:val="0"/>
        <w:autoSpaceDE w:val="0"/>
        <w:autoSpaceDN w:val="0"/>
        <w:ind w:left="0" w:firstLine="0"/>
        <w:rPr>
          <w:kern w:val="22"/>
          <w:szCs w:val="22"/>
        </w:rPr>
      </w:pPr>
      <w:r w:rsidRPr="007B3E88">
        <w:rPr>
          <w:kern w:val="22"/>
          <w:szCs w:val="22"/>
          <w:lang w:eastAsia="ja-JP" w:bidi="th-TH"/>
        </w:rPr>
        <w:t xml:space="preserve">Governance </w:t>
      </w:r>
      <w:r w:rsidR="00D37E28" w:rsidRPr="007B3E88">
        <w:rPr>
          <w:kern w:val="22"/>
          <w:szCs w:val="22"/>
          <w:lang w:eastAsia="ja-JP" w:bidi="th-TH"/>
        </w:rPr>
        <w:t xml:space="preserve">is </w:t>
      </w:r>
      <w:r w:rsidR="00494AF1" w:rsidRPr="007B3E88">
        <w:rPr>
          <w:kern w:val="22"/>
          <w:szCs w:val="22"/>
          <w:lang w:eastAsia="ja-JP" w:bidi="th-TH"/>
        </w:rPr>
        <w:t xml:space="preserve">a key factor for protected areas to succeed in conserving </w:t>
      </w:r>
      <w:r w:rsidRPr="007B3E88">
        <w:rPr>
          <w:kern w:val="22"/>
          <w:szCs w:val="22"/>
          <w:lang w:eastAsia="ja-JP" w:bidi="th-TH"/>
        </w:rPr>
        <w:t xml:space="preserve">biodiversity </w:t>
      </w:r>
      <w:r w:rsidR="00494AF1" w:rsidRPr="007B3E88">
        <w:rPr>
          <w:kern w:val="22"/>
          <w:szCs w:val="22"/>
          <w:lang w:eastAsia="ja-JP" w:bidi="th-TH"/>
        </w:rPr>
        <w:t xml:space="preserve">and supporting </w:t>
      </w:r>
      <w:r w:rsidRPr="007B3E88">
        <w:rPr>
          <w:kern w:val="22"/>
          <w:szCs w:val="22"/>
          <w:lang w:eastAsia="ja-JP" w:bidi="th-TH"/>
        </w:rPr>
        <w:t>sustainable livelihoods.</w:t>
      </w:r>
      <w:r w:rsidRPr="007B3E88">
        <w:rPr>
          <w:rFonts w:eastAsia="Batang"/>
          <w:iCs/>
          <w:kern w:val="22"/>
          <w:szCs w:val="22"/>
          <w:lang w:eastAsia="ja-JP" w:bidi="th-TH"/>
        </w:rPr>
        <w:t xml:space="preserve"> Enhancing protected area </w:t>
      </w:r>
      <w:r w:rsidRPr="007B3E88">
        <w:rPr>
          <w:kern w:val="22"/>
          <w:szCs w:val="22"/>
          <w:lang w:eastAsia="ja-JP" w:bidi="th-TH"/>
        </w:rPr>
        <w:t>governance in terms of diversity, quality, effectiveness and equity can facilitate the achievement of Aichi Biodiversity Target 11 and help face ongoing local and global challenges</w:t>
      </w:r>
      <w:r w:rsidR="00C2619C" w:rsidRPr="007B3E88">
        <w:rPr>
          <w:kern w:val="22"/>
          <w:szCs w:val="22"/>
          <w:lang w:eastAsia="ja-JP" w:bidi="th-TH"/>
        </w:rPr>
        <w:t>.</w:t>
      </w:r>
      <w:r w:rsidR="00CF422B" w:rsidRPr="007B3E88">
        <w:rPr>
          <w:rStyle w:val="FootnoteReference"/>
          <w:rFonts w:eastAsia="Batang"/>
          <w:iCs/>
          <w:kern w:val="22"/>
          <w:sz w:val="22"/>
          <w:szCs w:val="22"/>
          <w:u w:val="none"/>
          <w:vertAlign w:val="superscript"/>
          <w:lang w:eastAsia="ja-JP" w:bidi="th-TH"/>
        </w:rPr>
        <w:footnoteReference w:id="21"/>
      </w:r>
      <w:r w:rsidRPr="007B3E88">
        <w:rPr>
          <w:kern w:val="22"/>
          <w:szCs w:val="22"/>
          <w:lang w:eastAsia="ja-JP" w:bidi="th-TH"/>
        </w:rPr>
        <w:t xml:space="preserve"> </w:t>
      </w:r>
      <w:r w:rsidRPr="007B3E88">
        <w:rPr>
          <w:rFonts w:eastAsia="Batang"/>
          <w:bCs/>
          <w:iCs/>
          <w:kern w:val="22"/>
          <w:szCs w:val="22"/>
          <w:lang w:eastAsia="ja-JP" w:bidi="th-TH"/>
        </w:rPr>
        <w:t xml:space="preserve">The achievement of the coverage, </w:t>
      </w:r>
      <w:r w:rsidR="00D37E28" w:rsidRPr="007B3E88">
        <w:rPr>
          <w:rFonts w:eastAsia="Batang"/>
          <w:bCs/>
          <w:iCs/>
          <w:kern w:val="22"/>
          <w:szCs w:val="22"/>
          <w:lang w:eastAsia="ja-JP" w:bidi="th-TH"/>
        </w:rPr>
        <w:t xml:space="preserve">representativeness, connectivity and </w:t>
      </w:r>
      <w:r w:rsidR="0075369D" w:rsidRPr="007B3E88">
        <w:rPr>
          <w:rFonts w:eastAsia="Batang"/>
          <w:bCs/>
          <w:iCs/>
          <w:kern w:val="22"/>
          <w:szCs w:val="22"/>
          <w:lang w:eastAsia="ja-JP" w:bidi="th-TH"/>
        </w:rPr>
        <w:t xml:space="preserve">qualitative </w:t>
      </w:r>
      <w:r w:rsidR="00D37E28" w:rsidRPr="007B3E88">
        <w:rPr>
          <w:rFonts w:eastAsia="Batang"/>
          <w:bCs/>
          <w:iCs/>
          <w:kern w:val="22"/>
          <w:szCs w:val="22"/>
          <w:lang w:eastAsia="ja-JP" w:bidi="th-TH"/>
        </w:rPr>
        <w:t xml:space="preserve">elements of Target 11 </w:t>
      </w:r>
      <w:r w:rsidRPr="007B3E88">
        <w:rPr>
          <w:rFonts w:eastAsia="Batang"/>
          <w:bCs/>
          <w:iCs/>
          <w:kern w:val="22"/>
          <w:szCs w:val="22"/>
          <w:lang w:eastAsia="ja-JP" w:bidi="th-TH"/>
        </w:rPr>
        <w:t>can be facilitated by recogni</w:t>
      </w:r>
      <w:r w:rsidR="00C2619C" w:rsidRPr="007B3E88">
        <w:rPr>
          <w:rFonts w:eastAsia="Batang"/>
          <w:bCs/>
          <w:iCs/>
          <w:kern w:val="22"/>
          <w:szCs w:val="22"/>
          <w:lang w:eastAsia="ja-JP" w:bidi="th-TH"/>
        </w:rPr>
        <w:t>z</w:t>
      </w:r>
      <w:r w:rsidRPr="007B3E88">
        <w:rPr>
          <w:rFonts w:eastAsia="Batang"/>
          <w:bCs/>
          <w:iCs/>
          <w:kern w:val="22"/>
          <w:szCs w:val="22"/>
          <w:lang w:eastAsia="ja-JP" w:bidi="th-TH"/>
        </w:rPr>
        <w:t xml:space="preserve">ing the role and contributions of </w:t>
      </w:r>
      <w:r w:rsidR="006B1E00">
        <w:rPr>
          <w:rFonts w:eastAsia="Batang"/>
          <w:bCs/>
          <w:iCs/>
          <w:kern w:val="22"/>
          <w:szCs w:val="22"/>
          <w:lang w:eastAsia="ja-JP" w:bidi="th-TH"/>
        </w:rPr>
        <w:t xml:space="preserve">a </w:t>
      </w:r>
      <w:r w:rsidRPr="007B3E88">
        <w:rPr>
          <w:rFonts w:eastAsia="Batang"/>
          <w:bCs/>
          <w:iCs/>
          <w:kern w:val="22"/>
          <w:szCs w:val="22"/>
          <w:lang w:eastAsia="ja-JP" w:bidi="th-TH"/>
        </w:rPr>
        <w:t>diversity of actors and approaches for area-based conservation. Such diversity broadens the ownership, potentially promoting collaboration and reducing conflic</w:t>
      </w:r>
      <w:r w:rsidR="00F80CD8" w:rsidRPr="007B3E88">
        <w:rPr>
          <w:rFonts w:eastAsia="Batang"/>
          <w:bCs/>
          <w:iCs/>
          <w:kern w:val="22"/>
          <w:szCs w:val="22"/>
          <w:lang w:eastAsia="ja-JP" w:bidi="th-TH"/>
        </w:rPr>
        <w:t>t</w:t>
      </w:r>
      <w:r w:rsidRPr="007B3E88">
        <w:rPr>
          <w:rFonts w:eastAsia="Batang"/>
          <w:bCs/>
          <w:iCs/>
          <w:kern w:val="22"/>
          <w:szCs w:val="22"/>
          <w:lang w:eastAsia="ja-JP" w:bidi="th-TH"/>
        </w:rPr>
        <w:t xml:space="preserve"> </w:t>
      </w:r>
      <w:r w:rsidR="0054235E">
        <w:rPr>
          <w:rFonts w:eastAsia="Batang"/>
          <w:bCs/>
          <w:iCs/>
          <w:kern w:val="22"/>
          <w:szCs w:val="22"/>
          <w:lang w:eastAsia="ja-JP" w:bidi="th-TH"/>
        </w:rPr>
        <w:t>as well as</w:t>
      </w:r>
      <w:r w:rsidR="0054235E" w:rsidRPr="007B3E88">
        <w:rPr>
          <w:rFonts w:eastAsia="Batang"/>
          <w:bCs/>
          <w:iCs/>
          <w:kern w:val="22"/>
          <w:szCs w:val="22"/>
          <w:lang w:eastAsia="ja-JP" w:bidi="th-TH"/>
        </w:rPr>
        <w:t xml:space="preserve"> </w:t>
      </w:r>
      <w:r w:rsidR="00045F1C" w:rsidRPr="007B3E88">
        <w:rPr>
          <w:rFonts w:eastAsia="Batang"/>
          <w:bCs/>
          <w:iCs/>
          <w:kern w:val="22"/>
          <w:szCs w:val="22"/>
          <w:lang w:eastAsia="ja-JP" w:bidi="th-TH"/>
        </w:rPr>
        <w:t>facilitating</w:t>
      </w:r>
      <w:r w:rsidR="00F80CD8" w:rsidRPr="007B3E88">
        <w:rPr>
          <w:rFonts w:eastAsia="Batang"/>
          <w:bCs/>
          <w:iCs/>
          <w:kern w:val="22"/>
          <w:szCs w:val="22"/>
          <w:lang w:eastAsia="ja-JP" w:bidi="th-TH"/>
        </w:rPr>
        <w:t xml:space="preserve"> </w:t>
      </w:r>
      <w:r w:rsidR="00045F1C" w:rsidRPr="007B3E88">
        <w:rPr>
          <w:rFonts w:eastAsia="Batang"/>
          <w:bCs/>
          <w:iCs/>
          <w:kern w:val="22"/>
          <w:szCs w:val="22"/>
          <w:lang w:eastAsia="ja-JP" w:bidi="th-TH"/>
        </w:rPr>
        <w:t xml:space="preserve">resilience </w:t>
      </w:r>
      <w:r w:rsidRPr="007B3E88">
        <w:rPr>
          <w:rFonts w:eastAsia="Batang"/>
          <w:bCs/>
          <w:iCs/>
          <w:kern w:val="22"/>
          <w:szCs w:val="22"/>
          <w:lang w:eastAsia="ja-JP" w:bidi="th-TH"/>
        </w:rPr>
        <w:t>in the face of change.</w:t>
      </w:r>
    </w:p>
    <w:p w14:paraId="75BE290E" w14:textId="77777777" w:rsidR="001F3AF2" w:rsidRPr="007B3E88" w:rsidRDefault="00C914FA" w:rsidP="007B3E88">
      <w:pPr>
        <w:pStyle w:val="Para1"/>
        <w:numPr>
          <w:ilvl w:val="0"/>
          <w:numId w:val="53"/>
        </w:numPr>
        <w:suppressLineNumbers/>
        <w:suppressAutoHyphens/>
        <w:kinsoku w:val="0"/>
        <w:overflowPunct w:val="0"/>
        <w:autoSpaceDE w:val="0"/>
        <w:autoSpaceDN w:val="0"/>
        <w:ind w:left="0" w:firstLine="0"/>
        <w:rPr>
          <w:kern w:val="22"/>
          <w:szCs w:val="22"/>
        </w:rPr>
      </w:pPr>
      <w:r w:rsidRPr="007B3E88">
        <w:rPr>
          <w:rFonts w:eastAsia="Batang"/>
          <w:bCs/>
          <w:iCs/>
          <w:kern w:val="22"/>
          <w:szCs w:val="22"/>
          <w:lang w:eastAsia="ja-JP" w:bidi="th-TH"/>
        </w:rPr>
        <w:t xml:space="preserve">Governance arrangements for protected and conserved areas that are tailored to their specific context, socially inclusive, respectful of rights, and effective in delivering conservation and livelihood outcomes </w:t>
      </w:r>
      <w:r w:rsidR="009E4E77" w:rsidRPr="007B3E88">
        <w:rPr>
          <w:rFonts w:eastAsia="Batang"/>
          <w:bCs/>
          <w:iCs/>
          <w:kern w:val="22"/>
          <w:szCs w:val="22"/>
          <w:lang w:eastAsia="ja-JP" w:bidi="th-TH"/>
        </w:rPr>
        <w:t>tend to</w:t>
      </w:r>
      <w:r w:rsidR="00F9574C" w:rsidRPr="007B3E88">
        <w:rPr>
          <w:rFonts w:eastAsia="Batang"/>
          <w:bCs/>
          <w:iCs/>
          <w:kern w:val="22"/>
          <w:szCs w:val="22"/>
          <w:lang w:eastAsia="ja-JP" w:bidi="th-TH"/>
        </w:rPr>
        <w:t xml:space="preserve"> </w:t>
      </w:r>
      <w:r w:rsidRPr="007B3E88">
        <w:rPr>
          <w:rFonts w:eastAsia="Batang"/>
          <w:bCs/>
          <w:iCs/>
          <w:kern w:val="22"/>
          <w:szCs w:val="22"/>
          <w:lang w:eastAsia="ja-JP" w:bidi="th-TH"/>
        </w:rPr>
        <w:t xml:space="preserve">increase the legitimacy of protected </w:t>
      </w:r>
      <w:r w:rsidR="00D45281" w:rsidRPr="007B3E88">
        <w:rPr>
          <w:rFonts w:eastAsia="Batang"/>
          <w:bCs/>
          <w:iCs/>
          <w:kern w:val="22"/>
          <w:szCs w:val="22"/>
          <w:lang w:eastAsia="ja-JP" w:bidi="th-TH"/>
        </w:rPr>
        <w:t>and</w:t>
      </w:r>
      <w:r w:rsidRPr="007B3E88">
        <w:rPr>
          <w:rFonts w:eastAsia="Batang"/>
          <w:bCs/>
          <w:iCs/>
          <w:kern w:val="22"/>
          <w:szCs w:val="22"/>
          <w:lang w:eastAsia="ja-JP" w:bidi="th-TH"/>
        </w:rPr>
        <w:t xml:space="preserve"> conserved</w:t>
      </w:r>
      <w:r w:rsidR="000E1998" w:rsidRPr="007B3E88">
        <w:rPr>
          <w:rFonts w:eastAsia="Batang"/>
          <w:bCs/>
          <w:iCs/>
          <w:kern w:val="22"/>
          <w:szCs w:val="22"/>
          <w:lang w:eastAsia="ja-JP" w:bidi="th-TH"/>
        </w:rPr>
        <w:t xml:space="preserve"> </w:t>
      </w:r>
      <w:r w:rsidRPr="007B3E88">
        <w:rPr>
          <w:rFonts w:eastAsia="Batang"/>
          <w:bCs/>
          <w:iCs/>
          <w:kern w:val="22"/>
          <w:szCs w:val="22"/>
          <w:lang w:eastAsia="ja-JP" w:bidi="th-TH"/>
        </w:rPr>
        <w:t xml:space="preserve">areas </w:t>
      </w:r>
      <w:r w:rsidR="00045F1C" w:rsidRPr="007B3E88">
        <w:rPr>
          <w:rFonts w:eastAsia="Batang"/>
          <w:bCs/>
          <w:iCs/>
          <w:kern w:val="22"/>
          <w:szCs w:val="22"/>
          <w:lang w:eastAsia="ja-JP" w:bidi="th-TH"/>
        </w:rPr>
        <w:t>for</w:t>
      </w:r>
      <w:r w:rsidRPr="007B3E88">
        <w:rPr>
          <w:rFonts w:eastAsia="Batang"/>
          <w:bCs/>
          <w:iCs/>
          <w:kern w:val="22"/>
          <w:szCs w:val="22"/>
          <w:lang w:eastAsia="ja-JP" w:bidi="th-TH"/>
        </w:rPr>
        <w:t xml:space="preserve"> indigenous peoples and local communities</w:t>
      </w:r>
      <w:r w:rsidR="009E4E77" w:rsidRPr="007B3E88">
        <w:rPr>
          <w:rFonts w:eastAsia="Batang"/>
          <w:bCs/>
          <w:iCs/>
          <w:kern w:val="22"/>
          <w:szCs w:val="22"/>
          <w:lang w:eastAsia="ja-JP" w:bidi="th-TH"/>
        </w:rPr>
        <w:t>,</w:t>
      </w:r>
      <w:r w:rsidRPr="007B3E88">
        <w:rPr>
          <w:rFonts w:eastAsia="Batang"/>
          <w:bCs/>
          <w:iCs/>
          <w:kern w:val="22"/>
          <w:szCs w:val="22"/>
          <w:lang w:eastAsia="ja-JP" w:bidi="th-TH"/>
        </w:rPr>
        <w:t xml:space="preserve"> and </w:t>
      </w:r>
      <w:r w:rsidR="009E4E77" w:rsidRPr="007B3E88">
        <w:rPr>
          <w:rFonts w:eastAsia="Batang"/>
          <w:bCs/>
          <w:iCs/>
          <w:kern w:val="22"/>
          <w:szCs w:val="22"/>
          <w:lang w:eastAsia="ja-JP" w:bidi="th-TH"/>
        </w:rPr>
        <w:t xml:space="preserve">society </w:t>
      </w:r>
      <w:r w:rsidRPr="007B3E88">
        <w:rPr>
          <w:rFonts w:eastAsia="Batang"/>
          <w:bCs/>
          <w:iCs/>
          <w:kern w:val="22"/>
          <w:szCs w:val="22"/>
          <w:lang w:eastAsia="ja-JP" w:bidi="th-TH"/>
        </w:rPr>
        <w:t>at large.</w:t>
      </w:r>
    </w:p>
    <w:p w14:paraId="1B39F60D" w14:textId="68462F4B" w:rsidR="008F5BDC" w:rsidRPr="007B3E88" w:rsidRDefault="00C914FA" w:rsidP="007B3E88">
      <w:pPr>
        <w:pStyle w:val="Para1"/>
        <w:numPr>
          <w:ilvl w:val="0"/>
          <w:numId w:val="53"/>
        </w:numPr>
        <w:suppressLineNumbers/>
        <w:suppressAutoHyphens/>
        <w:kinsoku w:val="0"/>
        <w:overflowPunct w:val="0"/>
        <w:autoSpaceDE w:val="0"/>
        <w:autoSpaceDN w:val="0"/>
        <w:ind w:left="0" w:firstLine="0"/>
        <w:rPr>
          <w:kern w:val="22"/>
          <w:szCs w:val="22"/>
        </w:rPr>
      </w:pPr>
      <w:r w:rsidRPr="007B3E88">
        <w:rPr>
          <w:kern w:val="22"/>
          <w:szCs w:val="22"/>
          <w:lang w:eastAsia="ja-JP" w:bidi="th-TH"/>
        </w:rPr>
        <w:t xml:space="preserve">In decision </w:t>
      </w:r>
      <w:hyperlink r:id="rId22" w:history="1">
        <w:r w:rsidRPr="007B3E88">
          <w:rPr>
            <w:rStyle w:val="Hyperlink"/>
            <w:kern w:val="22"/>
            <w:szCs w:val="22"/>
          </w:rPr>
          <w:t>X/31</w:t>
        </w:r>
      </w:hyperlink>
      <w:r w:rsidRPr="007B3E88">
        <w:rPr>
          <w:kern w:val="22"/>
          <w:szCs w:val="22"/>
          <w:lang w:eastAsia="ja-JP" w:bidi="th-TH"/>
        </w:rPr>
        <w:t xml:space="preserve">, the </w:t>
      </w:r>
      <w:r w:rsidR="00C2619C" w:rsidRPr="007B3E88">
        <w:rPr>
          <w:kern w:val="22"/>
          <w:szCs w:val="22"/>
          <w:lang w:eastAsia="ja-JP" w:bidi="th-TH"/>
        </w:rPr>
        <w:t>Conference of the Parties</w:t>
      </w:r>
      <w:r w:rsidRPr="007B3E88">
        <w:rPr>
          <w:kern w:val="22"/>
          <w:szCs w:val="22"/>
          <w:lang w:eastAsia="ja-JP" w:bidi="th-TH"/>
        </w:rPr>
        <w:t xml:space="preserve">, </w:t>
      </w:r>
      <w:r w:rsidR="00C34E0E">
        <w:rPr>
          <w:kern w:val="22"/>
          <w:szCs w:val="22"/>
          <w:lang w:eastAsia="ja-JP" w:bidi="th-TH"/>
        </w:rPr>
        <w:t>among other things</w:t>
      </w:r>
      <w:r w:rsidRPr="007B3E88">
        <w:rPr>
          <w:kern w:val="22"/>
          <w:szCs w:val="22"/>
          <w:lang w:eastAsia="ja-JP" w:bidi="th-TH"/>
        </w:rPr>
        <w:t>, identified</w:t>
      </w:r>
      <w:r w:rsidR="00D45281" w:rsidRPr="007B3E88">
        <w:rPr>
          <w:kern w:val="22"/>
          <w:szCs w:val="22"/>
          <w:lang w:eastAsia="ja-JP" w:bidi="th-TH"/>
        </w:rPr>
        <w:t xml:space="preserve"> Element 2 on governance, participation, equity and benefit-sharing of</w:t>
      </w:r>
      <w:r w:rsidRPr="007B3E88">
        <w:rPr>
          <w:kern w:val="22"/>
          <w:szCs w:val="22"/>
          <w:lang w:eastAsia="ja-JP" w:bidi="th-TH"/>
        </w:rPr>
        <w:t xml:space="preserve"> the </w:t>
      </w:r>
      <w:r w:rsidR="00C2619C" w:rsidRPr="007B3E88">
        <w:rPr>
          <w:kern w:val="22"/>
          <w:szCs w:val="22"/>
          <w:lang w:eastAsia="ja-JP" w:bidi="th-TH"/>
        </w:rPr>
        <w:t>p</w:t>
      </w:r>
      <w:r w:rsidRPr="007B3E88">
        <w:rPr>
          <w:kern w:val="22"/>
          <w:szCs w:val="22"/>
          <w:lang w:eastAsia="ja-JP" w:bidi="th-TH"/>
        </w:rPr>
        <w:t>rogra</w:t>
      </w:r>
      <w:r w:rsidR="00D45281" w:rsidRPr="007B3E88">
        <w:rPr>
          <w:kern w:val="22"/>
          <w:szCs w:val="22"/>
          <w:lang w:eastAsia="ja-JP" w:bidi="th-TH"/>
        </w:rPr>
        <w:t xml:space="preserve">mme of </w:t>
      </w:r>
      <w:r w:rsidR="00C2619C" w:rsidRPr="007B3E88">
        <w:rPr>
          <w:kern w:val="22"/>
          <w:szCs w:val="22"/>
          <w:lang w:eastAsia="ja-JP" w:bidi="th-TH"/>
        </w:rPr>
        <w:t>w</w:t>
      </w:r>
      <w:r w:rsidR="00D45281" w:rsidRPr="007B3E88">
        <w:rPr>
          <w:kern w:val="22"/>
          <w:szCs w:val="22"/>
          <w:lang w:eastAsia="ja-JP" w:bidi="th-TH"/>
        </w:rPr>
        <w:t xml:space="preserve">ork on </w:t>
      </w:r>
      <w:r w:rsidR="00C2619C" w:rsidRPr="007B3E88">
        <w:rPr>
          <w:kern w:val="22"/>
          <w:szCs w:val="22"/>
          <w:lang w:eastAsia="ja-JP" w:bidi="th-TH"/>
        </w:rPr>
        <w:t>p</w:t>
      </w:r>
      <w:r w:rsidR="00D45281" w:rsidRPr="007B3E88">
        <w:rPr>
          <w:kern w:val="22"/>
          <w:szCs w:val="22"/>
          <w:lang w:eastAsia="ja-JP" w:bidi="th-TH"/>
        </w:rPr>
        <w:t xml:space="preserve">rotected </w:t>
      </w:r>
      <w:r w:rsidR="00C2619C" w:rsidRPr="007B3E88">
        <w:rPr>
          <w:kern w:val="22"/>
          <w:szCs w:val="22"/>
          <w:lang w:eastAsia="ja-JP" w:bidi="th-TH"/>
        </w:rPr>
        <w:t>a</w:t>
      </w:r>
      <w:r w:rsidR="00D45281" w:rsidRPr="007B3E88">
        <w:rPr>
          <w:kern w:val="22"/>
          <w:szCs w:val="22"/>
          <w:lang w:eastAsia="ja-JP" w:bidi="th-TH"/>
        </w:rPr>
        <w:t xml:space="preserve">reas </w:t>
      </w:r>
      <w:r w:rsidR="0004123F" w:rsidRPr="007B3E88">
        <w:rPr>
          <w:kern w:val="22"/>
          <w:szCs w:val="22"/>
          <w:lang w:eastAsia="ja-JP" w:bidi="th-TH"/>
        </w:rPr>
        <w:t>as a priority issue in need of greater attention</w:t>
      </w:r>
      <w:r w:rsidR="0075369D" w:rsidRPr="007B3E88">
        <w:rPr>
          <w:kern w:val="22"/>
          <w:szCs w:val="22"/>
          <w:lang w:eastAsia="ja-JP" w:bidi="th-TH"/>
        </w:rPr>
        <w:t>.</w:t>
      </w:r>
      <w:r w:rsidR="009E1A01" w:rsidRPr="007B3E88">
        <w:rPr>
          <w:rStyle w:val="FootnoteReference"/>
          <w:rFonts w:eastAsia="Batang"/>
          <w:iCs/>
          <w:kern w:val="22"/>
          <w:sz w:val="22"/>
          <w:szCs w:val="22"/>
          <w:u w:val="none"/>
          <w:vertAlign w:val="superscript"/>
          <w:lang w:eastAsia="ja-JP" w:bidi="th-TH"/>
        </w:rPr>
        <w:footnoteReference w:id="22"/>
      </w:r>
      <w:r w:rsidRPr="007B3E88">
        <w:rPr>
          <w:kern w:val="22"/>
          <w:szCs w:val="22"/>
          <w:lang w:eastAsia="ja-JP" w:bidi="th-TH"/>
        </w:rPr>
        <w:t xml:space="preserve"> Since then, Parties have </w:t>
      </w:r>
      <w:r w:rsidR="00ED5439" w:rsidRPr="007B3E88">
        <w:rPr>
          <w:kern w:val="22"/>
          <w:szCs w:val="22"/>
          <w:lang w:eastAsia="ja-JP" w:bidi="th-TH"/>
        </w:rPr>
        <w:t>gained experience</w:t>
      </w:r>
      <w:r w:rsidR="007268EB" w:rsidRPr="007B3E88">
        <w:rPr>
          <w:kern w:val="22"/>
          <w:szCs w:val="22"/>
          <w:lang w:eastAsia="ja-JP" w:bidi="th-TH"/>
        </w:rPr>
        <w:t xml:space="preserve">, </w:t>
      </w:r>
      <w:r w:rsidR="00C2619C" w:rsidRPr="007B3E88">
        <w:rPr>
          <w:kern w:val="22"/>
          <w:szCs w:val="22"/>
          <w:lang w:eastAsia="ja-JP" w:bidi="th-TH"/>
        </w:rPr>
        <w:t xml:space="preserve">and </w:t>
      </w:r>
      <w:r w:rsidR="007268EB" w:rsidRPr="007B3E88">
        <w:rPr>
          <w:kern w:val="22"/>
          <w:szCs w:val="22"/>
          <w:lang w:eastAsia="ja-JP" w:bidi="th-TH"/>
        </w:rPr>
        <w:t xml:space="preserve">methodologies </w:t>
      </w:r>
      <w:r w:rsidRPr="007B3E88">
        <w:rPr>
          <w:kern w:val="22"/>
          <w:szCs w:val="22"/>
          <w:lang w:eastAsia="ja-JP" w:bidi="th-TH"/>
        </w:rPr>
        <w:t xml:space="preserve">and tools have been developed to assess governance and design action plans. </w:t>
      </w:r>
      <w:r w:rsidR="00ED5439" w:rsidRPr="007B3E88">
        <w:rPr>
          <w:kern w:val="22"/>
          <w:szCs w:val="22"/>
          <w:lang w:eastAsia="ja-JP" w:bidi="th-TH"/>
        </w:rPr>
        <w:t>These have led to</w:t>
      </w:r>
      <w:r w:rsidRPr="007B3E88">
        <w:rPr>
          <w:kern w:val="22"/>
          <w:szCs w:val="22"/>
          <w:lang w:eastAsia="ja-JP" w:bidi="th-TH"/>
        </w:rPr>
        <w:t xml:space="preserve"> </w:t>
      </w:r>
      <w:r w:rsidR="008B0C4D">
        <w:rPr>
          <w:kern w:val="22"/>
          <w:szCs w:val="22"/>
          <w:lang w:eastAsia="ja-JP" w:bidi="th-TH"/>
        </w:rPr>
        <w:t xml:space="preserve">an </w:t>
      </w:r>
      <w:r w:rsidRPr="007B3E88">
        <w:rPr>
          <w:kern w:val="22"/>
          <w:szCs w:val="22"/>
          <w:lang w:eastAsia="ja-JP" w:bidi="th-TH"/>
        </w:rPr>
        <w:t>increased understanding of essential concepts</w:t>
      </w:r>
      <w:r w:rsidR="00ED5439" w:rsidRPr="007B3E88">
        <w:rPr>
          <w:kern w:val="22"/>
          <w:szCs w:val="22"/>
          <w:lang w:eastAsia="ja-JP" w:bidi="th-TH"/>
        </w:rPr>
        <w:t>, particularly</w:t>
      </w:r>
      <w:r w:rsidR="00045F1C" w:rsidRPr="007B3E88">
        <w:rPr>
          <w:kern w:val="22"/>
          <w:szCs w:val="22"/>
          <w:lang w:eastAsia="ja-JP" w:bidi="th-TH"/>
        </w:rPr>
        <w:t xml:space="preserve"> </w:t>
      </w:r>
      <w:r w:rsidRPr="007B3E88">
        <w:rPr>
          <w:kern w:val="22"/>
          <w:szCs w:val="22"/>
          <w:lang w:eastAsia="ja-JP" w:bidi="th-TH"/>
        </w:rPr>
        <w:t>equity</w:t>
      </w:r>
      <w:r w:rsidR="00F80CD8" w:rsidRPr="007B3E88">
        <w:rPr>
          <w:kern w:val="22"/>
          <w:szCs w:val="22"/>
          <w:lang w:eastAsia="ja-JP" w:bidi="th-TH"/>
        </w:rPr>
        <w:t>.</w:t>
      </w:r>
      <w:r w:rsidR="006658B1" w:rsidRPr="007B3E88">
        <w:rPr>
          <w:rStyle w:val="FootnoteReference"/>
          <w:kern w:val="22"/>
          <w:sz w:val="22"/>
          <w:szCs w:val="22"/>
          <w:u w:val="none"/>
          <w:vertAlign w:val="superscript"/>
          <w:lang w:eastAsia="ja-JP" w:bidi="th-TH"/>
        </w:rPr>
        <w:footnoteReference w:id="23"/>
      </w:r>
    </w:p>
    <w:p w14:paraId="19A113C9" w14:textId="5AC654CA" w:rsidR="0034156B" w:rsidRPr="006A64B0" w:rsidRDefault="00C2619C" w:rsidP="007B3E88">
      <w:pPr>
        <w:pStyle w:val="Heading2"/>
        <w:suppressLineNumbers/>
        <w:pBdr>
          <w:top w:val="nil"/>
          <w:left w:val="nil"/>
          <w:bottom w:val="nil"/>
          <w:right w:val="nil"/>
          <w:between w:val="nil"/>
          <w:bar w:val="nil"/>
        </w:pBdr>
        <w:tabs>
          <w:tab w:val="clear" w:pos="720"/>
        </w:tabs>
        <w:suppressAutoHyphens/>
        <w:kinsoku w:val="0"/>
        <w:overflowPunct w:val="0"/>
        <w:autoSpaceDE w:val="0"/>
        <w:autoSpaceDN w:val="0"/>
        <w:rPr>
          <w:kern w:val="22"/>
          <w:szCs w:val="22"/>
        </w:rPr>
      </w:pPr>
      <w:r w:rsidRPr="007B3E88">
        <w:rPr>
          <w:kern w:val="22"/>
          <w:szCs w:val="22"/>
        </w:rPr>
        <w:t>A</w:t>
      </w:r>
      <w:r w:rsidR="00DD6DF6" w:rsidRPr="006A64B0">
        <w:rPr>
          <w:kern w:val="22"/>
          <w:szCs w:val="22"/>
        </w:rPr>
        <w:t>.</w:t>
      </w:r>
      <w:r w:rsidRPr="007B3E88">
        <w:rPr>
          <w:kern w:val="22"/>
          <w:szCs w:val="22"/>
        </w:rPr>
        <w:tab/>
      </w:r>
      <w:r w:rsidR="00DD6DF6" w:rsidRPr="007B3E88">
        <w:rPr>
          <w:kern w:val="22"/>
          <w:szCs w:val="22"/>
        </w:rPr>
        <w:t>Voluntary</w:t>
      </w:r>
      <w:r w:rsidR="00A20E7F" w:rsidRPr="007B3E88">
        <w:rPr>
          <w:kern w:val="22"/>
          <w:szCs w:val="22"/>
        </w:rPr>
        <w:t xml:space="preserve"> </w:t>
      </w:r>
      <w:r w:rsidR="00530542">
        <w:rPr>
          <w:kern w:val="22"/>
          <w:szCs w:val="22"/>
        </w:rPr>
        <w:t>g</w:t>
      </w:r>
      <w:r w:rsidR="00C914FA" w:rsidRPr="007B3E88">
        <w:rPr>
          <w:kern w:val="22"/>
          <w:szCs w:val="22"/>
        </w:rPr>
        <w:t xml:space="preserve">uidance on </w:t>
      </w:r>
      <w:r w:rsidR="00530542">
        <w:rPr>
          <w:kern w:val="22"/>
          <w:szCs w:val="22"/>
        </w:rPr>
        <w:t>g</w:t>
      </w:r>
      <w:r w:rsidR="009E1A01" w:rsidRPr="007B3E88">
        <w:rPr>
          <w:kern w:val="22"/>
          <w:szCs w:val="22"/>
        </w:rPr>
        <w:t xml:space="preserve">overnance </w:t>
      </w:r>
      <w:r w:rsidR="00530542">
        <w:rPr>
          <w:kern w:val="22"/>
          <w:szCs w:val="22"/>
        </w:rPr>
        <w:t>d</w:t>
      </w:r>
      <w:r w:rsidR="00C914FA" w:rsidRPr="007B3E88">
        <w:rPr>
          <w:kern w:val="22"/>
          <w:szCs w:val="22"/>
        </w:rPr>
        <w:t>iversity</w:t>
      </w:r>
    </w:p>
    <w:p w14:paraId="5380CF4C" w14:textId="0B51F82C" w:rsidR="00C914FA" w:rsidRPr="007B3E88" w:rsidRDefault="00C914FA"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sidRPr="007B3E88">
        <w:rPr>
          <w:kern w:val="22"/>
          <w:szCs w:val="22"/>
          <w:lang w:eastAsia="ja-JP" w:bidi="th-TH"/>
        </w:rPr>
        <w:t>The C</w:t>
      </w:r>
      <w:r w:rsidR="00A20E7F" w:rsidRPr="007B3E88">
        <w:rPr>
          <w:kern w:val="22"/>
          <w:szCs w:val="22"/>
          <w:lang w:eastAsia="ja-JP" w:bidi="th-TH"/>
        </w:rPr>
        <w:t xml:space="preserve">onvention on Biological Diversity </w:t>
      </w:r>
      <w:r w:rsidRPr="007B3E88">
        <w:rPr>
          <w:kern w:val="22"/>
          <w:szCs w:val="22"/>
          <w:lang w:eastAsia="ja-JP" w:bidi="th-TH"/>
        </w:rPr>
        <w:t>and the International Union for Conservation of Nature (IUCN) distinguish four broad governance types for protected and conserved areas</w:t>
      </w:r>
      <w:r w:rsidR="001147EE" w:rsidRPr="007B3E88">
        <w:rPr>
          <w:kern w:val="22"/>
          <w:szCs w:val="22"/>
          <w:lang w:eastAsia="ja-JP" w:bidi="th-TH"/>
        </w:rPr>
        <w:t xml:space="preserve"> according to which actors have</w:t>
      </w:r>
      <w:r w:rsidR="00D45281" w:rsidRPr="007B3E88">
        <w:rPr>
          <w:kern w:val="22"/>
          <w:szCs w:val="22"/>
          <w:lang w:eastAsia="ja-JP" w:bidi="th-TH"/>
        </w:rPr>
        <w:t xml:space="preserve"> </w:t>
      </w:r>
      <w:r w:rsidRPr="007B3E88">
        <w:rPr>
          <w:kern w:val="22"/>
          <w:szCs w:val="22"/>
          <w:lang w:eastAsia="ja-JP" w:bidi="th-TH"/>
        </w:rPr>
        <w:t xml:space="preserve">authority and </w:t>
      </w:r>
      <w:r w:rsidR="00E60352">
        <w:rPr>
          <w:kern w:val="22"/>
          <w:szCs w:val="22"/>
          <w:lang w:eastAsia="ja-JP" w:bidi="th-TH"/>
        </w:rPr>
        <w:t xml:space="preserve">a </w:t>
      </w:r>
      <w:r w:rsidRPr="007B3E88">
        <w:rPr>
          <w:kern w:val="22"/>
          <w:szCs w:val="22"/>
          <w:lang w:eastAsia="ja-JP" w:bidi="th-TH"/>
        </w:rPr>
        <w:t>responsibility</w:t>
      </w:r>
      <w:r w:rsidR="00ED5439" w:rsidRPr="007B3E88">
        <w:rPr>
          <w:kern w:val="22"/>
          <w:szCs w:val="22"/>
          <w:lang w:eastAsia="ja-JP" w:bidi="th-TH"/>
        </w:rPr>
        <w:t xml:space="preserve"> </w:t>
      </w:r>
      <w:r w:rsidRPr="007B3E88">
        <w:rPr>
          <w:kern w:val="22"/>
          <w:szCs w:val="22"/>
          <w:lang w:eastAsia="ja-JP" w:bidi="th-TH"/>
        </w:rPr>
        <w:t>to make and enforce decisions: (a)</w:t>
      </w:r>
      <w:r w:rsidR="00A211F1">
        <w:rPr>
          <w:kern w:val="22"/>
          <w:szCs w:val="22"/>
          <w:lang w:eastAsia="ja-JP" w:bidi="th-TH"/>
        </w:rPr>
        <w:t> </w:t>
      </w:r>
      <w:r w:rsidRPr="007B3E88">
        <w:rPr>
          <w:kern w:val="22"/>
          <w:szCs w:val="22"/>
          <w:lang w:eastAsia="ja-JP" w:bidi="th-TH"/>
        </w:rPr>
        <w:t>governance by government; (b)</w:t>
      </w:r>
      <w:r w:rsidR="00C2619C" w:rsidRPr="007B3E88">
        <w:rPr>
          <w:kern w:val="22"/>
          <w:szCs w:val="22"/>
          <w:lang w:eastAsia="ja-JP" w:bidi="th-TH"/>
        </w:rPr>
        <w:t> </w:t>
      </w:r>
      <w:r w:rsidR="00ED5439" w:rsidRPr="007B3E88">
        <w:rPr>
          <w:kern w:val="22"/>
          <w:szCs w:val="22"/>
          <w:lang w:eastAsia="ja-JP" w:bidi="th-TH"/>
        </w:rPr>
        <w:t xml:space="preserve">shared </w:t>
      </w:r>
      <w:r w:rsidRPr="007B3E88">
        <w:rPr>
          <w:kern w:val="22"/>
          <w:szCs w:val="22"/>
          <w:lang w:eastAsia="ja-JP" w:bidi="th-TH"/>
        </w:rPr>
        <w:t xml:space="preserve">governance </w:t>
      </w:r>
      <w:r w:rsidR="00ED5439" w:rsidRPr="007B3E88">
        <w:rPr>
          <w:kern w:val="22"/>
          <w:szCs w:val="22"/>
          <w:lang w:eastAsia="ja-JP" w:bidi="th-TH"/>
        </w:rPr>
        <w:t xml:space="preserve">(by </w:t>
      </w:r>
      <w:r w:rsidRPr="007B3E88">
        <w:rPr>
          <w:kern w:val="22"/>
          <w:szCs w:val="22"/>
          <w:lang w:eastAsia="ja-JP" w:bidi="th-TH"/>
        </w:rPr>
        <w:t>various actors together</w:t>
      </w:r>
      <w:r w:rsidRPr="007B3E88">
        <w:rPr>
          <w:rStyle w:val="FootnoteReference"/>
          <w:rFonts w:eastAsia="Batang"/>
          <w:iCs/>
          <w:kern w:val="22"/>
          <w:sz w:val="22"/>
          <w:szCs w:val="22"/>
          <w:u w:val="none"/>
          <w:vertAlign w:val="superscript"/>
          <w:lang w:eastAsia="ja-JP" w:bidi="th-TH"/>
        </w:rPr>
        <w:footnoteReference w:id="24"/>
      </w:r>
      <w:r w:rsidR="00ED5439" w:rsidRPr="007B3E88">
        <w:rPr>
          <w:kern w:val="22"/>
          <w:szCs w:val="22"/>
          <w:lang w:eastAsia="ja-JP" w:bidi="th-TH"/>
        </w:rPr>
        <w:t>)</w:t>
      </w:r>
      <w:r w:rsidR="0034156B" w:rsidRPr="007B3E88">
        <w:rPr>
          <w:kern w:val="22"/>
          <w:szCs w:val="22"/>
          <w:lang w:eastAsia="ja-JP" w:bidi="th-TH"/>
        </w:rPr>
        <w:t>;</w:t>
      </w:r>
      <w:r w:rsidRPr="007B3E88">
        <w:rPr>
          <w:kern w:val="22"/>
          <w:szCs w:val="22"/>
          <w:lang w:eastAsia="ja-JP" w:bidi="th-TH"/>
        </w:rPr>
        <w:t xml:space="preserve"> (c)</w:t>
      </w:r>
      <w:r w:rsidR="00A211F1">
        <w:rPr>
          <w:kern w:val="22"/>
          <w:szCs w:val="22"/>
          <w:lang w:eastAsia="ja-JP" w:bidi="th-TH"/>
        </w:rPr>
        <w:t> </w:t>
      </w:r>
      <w:r w:rsidRPr="007B3E88">
        <w:rPr>
          <w:kern w:val="22"/>
          <w:szCs w:val="22"/>
          <w:lang w:eastAsia="ja-JP" w:bidi="th-TH"/>
        </w:rPr>
        <w:t>governance by private individuals or organi</w:t>
      </w:r>
      <w:r w:rsidR="00C2619C" w:rsidRPr="007B3E88">
        <w:rPr>
          <w:kern w:val="22"/>
          <w:szCs w:val="22"/>
          <w:lang w:eastAsia="ja-JP" w:bidi="th-TH"/>
        </w:rPr>
        <w:t>z</w:t>
      </w:r>
      <w:r w:rsidRPr="007B3E88">
        <w:rPr>
          <w:kern w:val="22"/>
          <w:szCs w:val="22"/>
          <w:lang w:eastAsia="ja-JP" w:bidi="th-TH"/>
        </w:rPr>
        <w:t>ations (</w:t>
      </w:r>
      <w:r w:rsidR="00B42301" w:rsidRPr="007B3E88">
        <w:rPr>
          <w:kern w:val="22"/>
          <w:szCs w:val="22"/>
          <w:lang w:eastAsia="ja-JP" w:bidi="th-TH"/>
        </w:rPr>
        <w:t xml:space="preserve">often land owners and in the form of </w:t>
      </w:r>
      <w:r w:rsidRPr="007B3E88">
        <w:rPr>
          <w:kern w:val="22"/>
          <w:szCs w:val="22"/>
          <w:lang w:eastAsia="ja-JP" w:bidi="th-TH"/>
        </w:rPr>
        <w:t xml:space="preserve">privately protected areas </w:t>
      </w:r>
      <w:r w:rsidR="00FE0E67">
        <w:rPr>
          <w:kern w:val="22"/>
          <w:szCs w:val="22"/>
          <w:lang w:eastAsia="ja-JP" w:bidi="th-TH"/>
        </w:rPr>
        <w:t>(</w:t>
      </w:r>
      <w:r w:rsidRPr="007B3E88">
        <w:rPr>
          <w:kern w:val="22"/>
          <w:szCs w:val="22"/>
          <w:lang w:eastAsia="ja-JP" w:bidi="th-TH"/>
        </w:rPr>
        <w:t>PPAs</w:t>
      </w:r>
      <w:r w:rsidR="00FE0E67">
        <w:rPr>
          <w:kern w:val="22"/>
          <w:szCs w:val="22"/>
          <w:lang w:eastAsia="ja-JP" w:bidi="th-TH"/>
        </w:rPr>
        <w:t>)</w:t>
      </w:r>
      <w:r w:rsidRPr="007B3E88">
        <w:rPr>
          <w:kern w:val="22"/>
          <w:szCs w:val="22"/>
          <w:lang w:eastAsia="ja-JP" w:bidi="th-TH"/>
        </w:rPr>
        <w:t>); and (d)</w:t>
      </w:r>
      <w:r w:rsidR="00A211F1">
        <w:rPr>
          <w:kern w:val="22"/>
          <w:szCs w:val="22"/>
          <w:lang w:eastAsia="ja-JP" w:bidi="th-TH"/>
        </w:rPr>
        <w:t> </w:t>
      </w:r>
      <w:r w:rsidRPr="007B3E88">
        <w:rPr>
          <w:kern w:val="22"/>
          <w:szCs w:val="22"/>
          <w:lang w:eastAsia="ja-JP" w:bidi="th-TH"/>
        </w:rPr>
        <w:t>governance by indigenous peoples and/or local communities (often referred to as ICCAs</w:t>
      </w:r>
      <w:r w:rsidRPr="007B3E88">
        <w:rPr>
          <w:rStyle w:val="FootnoteReference"/>
          <w:rFonts w:eastAsia="Batang"/>
          <w:iCs/>
          <w:kern w:val="22"/>
          <w:sz w:val="22"/>
          <w:szCs w:val="22"/>
          <w:u w:val="none"/>
          <w:vertAlign w:val="superscript"/>
          <w:lang w:eastAsia="ja-JP" w:bidi="th-TH"/>
        </w:rPr>
        <w:footnoteReference w:id="25"/>
      </w:r>
      <w:r w:rsidRPr="007B3E88">
        <w:rPr>
          <w:kern w:val="22"/>
          <w:szCs w:val="22"/>
          <w:lang w:eastAsia="ja-JP" w:bidi="th-TH"/>
        </w:rPr>
        <w:t xml:space="preserve"> or Indigenous Protected Areas (IPAs)).</w:t>
      </w:r>
    </w:p>
    <w:p w14:paraId="0F9D892E" w14:textId="28E854C8" w:rsidR="00F80CD8" w:rsidRPr="007B3E88" w:rsidRDefault="006F0022"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Pr>
          <w:kern w:val="22"/>
          <w:szCs w:val="22"/>
          <w:lang w:eastAsia="ja-JP" w:bidi="th-TH"/>
        </w:rPr>
        <w:t>D</w:t>
      </w:r>
      <w:r w:rsidRPr="00C533FC">
        <w:rPr>
          <w:kern w:val="22"/>
          <w:szCs w:val="22"/>
          <w:lang w:eastAsia="ja-JP" w:bidi="th-TH"/>
        </w:rPr>
        <w:t xml:space="preserve">iversity </w:t>
      </w:r>
      <w:r>
        <w:rPr>
          <w:kern w:val="22"/>
          <w:szCs w:val="22"/>
          <w:lang w:eastAsia="ja-JP" w:bidi="th-TH"/>
        </w:rPr>
        <w:t>of g</w:t>
      </w:r>
      <w:r w:rsidR="00C914FA" w:rsidRPr="007B3E88">
        <w:rPr>
          <w:kern w:val="22"/>
          <w:szCs w:val="22"/>
          <w:lang w:eastAsia="ja-JP" w:bidi="th-TH"/>
        </w:rPr>
        <w:t>overnance pertains primarily to the existence of a range of different governance types and sub-types, in terms of both legal provisions and practices, and their complementarity in achieving</w:t>
      </w:r>
      <w:r w:rsidR="0034156B" w:rsidRPr="007B3E88">
        <w:rPr>
          <w:kern w:val="22"/>
          <w:szCs w:val="22"/>
          <w:lang w:eastAsia="ja-JP" w:bidi="th-TH"/>
        </w:rPr>
        <w:t xml:space="preserve"> </w:t>
      </w:r>
      <w:r w:rsidR="00C914FA" w:rsidRPr="007B3E88">
        <w:rPr>
          <w:kern w:val="22"/>
          <w:szCs w:val="22"/>
          <w:lang w:eastAsia="ja-JP" w:bidi="th-TH"/>
        </w:rPr>
        <w:t>in</w:t>
      </w:r>
      <w:r w:rsidR="002A381F">
        <w:rPr>
          <w:kern w:val="22"/>
          <w:szCs w:val="22"/>
          <w:lang w:eastAsia="ja-JP" w:bidi="th-TH"/>
        </w:rPr>
        <w:t> </w:t>
      </w:r>
      <w:r w:rsidR="00C914FA" w:rsidRPr="007B3E88">
        <w:rPr>
          <w:kern w:val="22"/>
          <w:szCs w:val="22"/>
          <w:lang w:eastAsia="ja-JP" w:bidi="th-TH"/>
        </w:rPr>
        <w:t xml:space="preserve">situ conservation. The concept of governance type is also relevant for the question whether a given type is appropriate </w:t>
      </w:r>
      <w:r w:rsidR="00AC087C" w:rsidRPr="007B3E88">
        <w:rPr>
          <w:kern w:val="22"/>
          <w:szCs w:val="22"/>
          <w:lang w:eastAsia="ja-JP" w:bidi="th-TH"/>
        </w:rPr>
        <w:t>to a</w:t>
      </w:r>
      <w:r w:rsidR="00C914FA" w:rsidRPr="007B3E88">
        <w:rPr>
          <w:kern w:val="22"/>
          <w:szCs w:val="22"/>
          <w:lang w:eastAsia="ja-JP" w:bidi="th-TH"/>
        </w:rPr>
        <w:t xml:space="preserve"> </w:t>
      </w:r>
      <w:r w:rsidR="00356FDD" w:rsidRPr="007B3E88">
        <w:rPr>
          <w:kern w:val="22"/>
          <w:szCs w:val="22"/>
          <w:lang w:eastAsia="ja-JP" w:bidi="th-TH"/>
        </w:rPr>
        <w:t xml:space="preserve">specific </w:t>
      </w:r>
      <w:r w:rsidR="00C914FA" w:rsidRPr="007B3E88">
        <w:rPr>
          <w:kern w:val="22"/>
          <w:szCs w:val="22"/>
          <w:lang w:eastAsia="ja-JP" w:bidi="th-TH"/>
        </w:rPr>
        <w:t>context</w:t>
      </w:r>
      <w:r w:rsidR="00C2619C" w:rsidRPr="007B3E88">
        <w:rPr>
          <w:rStyle w:val="FootnoteReference"/>
          <w:rFonts w:eastAsia="Batang"/>
          <w:iCs/>
          <w:sz w:val="22"/>
          <w:szCs w:val="22"/>
          <w:u w:val="none"/>
        </w:rPr>
        <w:t>.</w:t>
      </w:r>
      <w:r w:rsidR="00DD25E4" w:rsidRPr="007B3E88">
        <w:rPr>
          <w:rStyle w:val="FootnoteReference"/>
          <w:rFonts w:eastAsia="Batang"/>
          <w:iCs/>
          <w:kern w:val="22"/>
          <w:sz w:val="22"/>
          <w:szCs w:val="22"/>
          <w:u w:val="none"/>
          <w:vertAlign w:val="superscript"/>
          <w:lang w:eastAsia="ja-JP" w:bidi="th-TH"/>
        </w:rPr>
        <w:footnoteReference w:id="26"/>
      </w:r>
    </w:p>
    <w:p w14:paraId="29A452C6" w14:textId="6A44C91C" w:rsidR="00A20E7F" w:rsidRPr="007B3E88" w:rsidRDefault="001147EE"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sidRPr="007B3E88">
        <w:rPr>
          <w:kern w:val="22"/>
          <w:szCs w:val="22"/>
          <w:lang w:eastAsia="ja-JP" w:bidi="th-TH"/>
        </w:rPr>
        <w:t xml:space="preserve">In line with decisions </w:t>
      </w:r>
      <w:hyperlink r:id="rId23" w:history="1">
        <w:r w:rsidRPr="007B3E88">
          <w:rPr>
            <w:rStyle w:val="Hyperlink"/>
            <w:szCs w:val="22"/>
          </w:rPr>
          <w:t>VII/28</w:t>
        </w:r>
      </w:hyperlink>
      <w:r w:rsidRPr="007B3E88">
        <w:rPr>
          <w:kern w:val="22"/>
          <w:szCs w:val="22"/>
          <w:lang w:eastAsia="ja-JP" w:bidi="th-TH"/>
        </w:rPr>
        <w:t xml:space="preserve"> and</w:t>
      </w:r>
      <w:r w:rsidR="00C914FA" w:rsidRPr="007B3E88">
        <w:rPr>
          <w:kern w:val="22"/>
          <w:szCs w:val="22"/>
          <w:lang w:eastAsia="ja-JP" w:bidi="th-TH"/>
        </w:rPr>
        <w:t xml:space="preserve"> </w:t>
      </w:r>
      <w:r w:rsidR="00DF0B22" w:rsidRPr="007B3E88">
        <w:rPr>
          <w:szCs w:val="22"/>
        </w:rPr>
        <w:t>X/31</w:t>
      </w:r>
      <w:r w:rsidR="00C914FA" w:rsidRPr="007B3E88">
        <w:rPr>
          <w:kern w:val="22"/>
          <w:szCs w:val="22"/>
          <w:lang w:eastAsia="ja-JP" w:bidi="th-TH"/>
        </w:rPr>
        <w:t xml:space="preserve">, this </w:t>
      </w:r>
      <w:r w:rsidR="00D45281" w:rsidRPr="007B3E88">
        <w:rPr>
          <w:kern w:val="22"/>
          <w:szCs w:val="22"/>
          <w:lang w:eastAsia="ja-JP" w:bidi="th-TH"/>
        </w:rPr>
        <w:t xml:space="preserve">voluntary </w:t>
      </w:r>
      <w:r w:rsidR="00C914FA" w:rsidRPr="007B3E88">
        <w:rPr>
          <w:kern w:val="22"/>
          <w:szCs w:val="22"/>
          <w:lang w:eastAsia="ja-JP" w:bidi="th-TH"/>
        </w:rPr>
        <w:t>guidance suggests steps that can be followed in relation to the recognition, support</w:t>
      </w:r>
      <w:r w:rsidRPr="007B3E88">
        <w:rPr>
          <w:kern w:val="22"/>
          <w:szCs w:val="22"/>
          <w:lang w:eastAsia="ja-JP" w:bidi="th-TH"/>
        </w:rPr>
        <w:t xml:space="preserve">, </w:t>
      </w:r>
      <w:r w:rsidR="00787540" w:rsidRPr="007B3E88">
        <w:rPr>
          <w:kern w:val="22"/>
          <w:szCs w:val="22"/>
          <w:lang w:eastAsia="ja-JP" w:bidi="th-TH"/>
        </w:rPr>
        <w:t>verification and</w:t>
      </w:r>
      <w:r w:rsidR="00F558FC" w:rsidRPr="007B3E88">
        <w:rPr>
          <w:kern w:val="22"/>
          <w:szCs w:val="22"/>
          <w:lang w:eastAsia="ja-JP" w:bidi="th-TH"/>
        </w:rPr>
        <w:t xml:space="preserve"> </w:t>
      </w:r>
      <w:r w:rsidR="00C914FA" w:rsidRPr="007B3E88">
        <w:rPr>
          <w:kern w:val="22"/>
          <w:szCs w:val="22"/>
          <w:lang w:eastAsia="ja-JP" w:bidi="th-TH"/>
        </w:rPr>
        <w:t>coordination, tracking, monitoring and reporting of areas voluntarily conserved by indigenous peoples and local communities, private landowners and other actors. Particularly in the case of territories and areas under</w:t>
      </w:r>
      <w:r w:rsidR="00B42301" w:rsidRPr="007B3E88">
        <w:rPr>
          <w:kern w:val="22"/>
          <w:szCs w:val="22"/>
          <w:lang w:eastAsia="ja-JP" w:bidi="th-TH"/>
        </w:rPr>
        <w:t xml:space="preserve"> </w:t>
      </w:r>
      <w:r w:rsidR="00381963">
        <w:rPr>
          <w:kern w:val="22"/>
          <w:szCs w:val="22"/>
          <w:lang w:eastAsia="ja-JP" w:bidi="th-TH"/>
        </w:rPr>
        <w:t>the</w:t>
      </w:r>
      <w:r w:rsidR="00381963" w:rsidRPr="007B3E88">
        <w:rPr>
          <w:kern w:val="22"/>
          <w:szCs w:val="22"/>
          <w:lang w:eastAsia="ja-JP" w:bidi="th-TH"/>
        </w:rPr>
        <w:t xml:space="preserve"> </w:t>
      </w:r>
      <w:r w:rsidR="00C914FA" w:rsidRPr="007B3E88">
        <w:rPr>
          <w:kern w:val="22"/>
          <w:szCs w:val="22"/>
          <w:lang w:eastAsia="ja-JP" w:bidi="th-TH"/>
        </w:rPr>
        <w:t>governance</w:t>
      </w:r>
      <w:r w:rsidR="00381963">
        <w:rPr>
          <w:kern w:val="22"/>
          <w:szCs w:val="22"/>
          <w:lang w:eastAsia="ja-JP" w:bidi="th-TH"/>
        </w:rPr>
        <w:t xml:space="preserve"> of </w:t>
      </w:r>
      <w:r w:rsidR="00381963" w:rsidRPr="002145A3">
        <w:rPr>
          <w:kern w:val="22"/>
          <w:szCs w:val="22"/>
          <w:lang w:eastAsia="ja-JP" w:bidi="th-TH"/>
        </w:rPr>
        <w:t>indigenous peoples and local communities</w:t>
      </w:r>
      <w:r w:rsidR="00DD25E4" w:rsidRPr="007B3E88">
        <w:rPr>
          <w:kern w:val="22"/>
          <w:szCs w:val="22"/>
          <w:lang w:eastAsia="ja-JP" w:bidi="th-TH"/>
        </w:rPr>
        <w:t xml:space="preserve">, </w:t>
      </w:r>
      <w:r w:rsidR="00C914FA" w:rsidRPr="007B3E88">
        <w:rPr>
          <w:kern w:val="22"/>
          <w:szCs w:val="22"/>
          <w:lang w:eastAsia="ja-JP" w:bidi="th-TH"/>
        </w:rPr>
        <w:t xml:space="preserve">such steps should only be taken with their free, prior and informed consent, and based on respect </w:t>
      </w:r>
      <w:r w:rsidR="00721734">
        <w:rPr>
          <w:kern w:val="22"/>
          <w:szCs w:val="22"/>
          <w:lang w:eastAsia="ja-JP" w:bidi="th-TH"/>
        </w:rPr>
        <w:t>for their</w:t>
      </w:r>
      <w:r w:rsidR="00C914FA" w:rsidRPr="007B3E88">
        <w:rPr>
          <w:kern w:val="22"/>
          <w:szCs w:val="22"/>
          <w:lang w:eastAsia="ja-JP" w:bidi="th-TH"/>
        </w:rPr>
        <w:t xml:space="preserve"> rights, knowledge and institutions. </w:t>
      </w:r>
      <w:r w:rsidR="00C34AE8">
        <w:rPr>
          <w:kern w:val="22"/>
          <w:szCs w:val="22"/>
          <w:lang w:eastAsia="ja-JP" w:bidi="th-TH"/>
        </w:rPr>
        <w:t>In addition</w:t>
      </w:r>
      <w:r w:rsidR="00C914FA" w:rsidRPr="007B3E88">
        <w:rPr>
          <w:kern w:val="22"/>
          <w:szCs w:val="22"/>
          <w:lang w:eastAsia="ja-JP" w:bidi="th-TH"/>
        </w:rPr>
        <w:t>, in the case of areas conserved by private landowners</w:t>
      </w:r>
      <w:r w:rsidR="00C34AE8">
        <w:rPr>
          <w:kern w:val="22"/>
          <w:szCs w:val="22"/>
          <w:lang w:eastAsia="ja-JP" w:bidi="th-TH"/>
        </w:rPr>
        <w:t>,</w:t>
      </w:r>
      <w:r w:rsidR="00C914FA" w:rsidRPr="007B3E88">
        <w:rPr>
          <w:kern w:val="22"/>
          <w:szCs w:val="22"/>
          <w:lang w:eastAsia="ja-JP" w:bidi="th-TH"/>
        </w:rPr>
        <w:t xml:space="preserve"> such steps should only be taken with their approval and on the </w:t>
      </w:r>
      <w:r w:rsidR="00C34AE8">
        <w:rPr>
          <w:kern w:val="22"/>
          <w:szCs w:val="22"/>
          <w:lang w:eastAsia="ja-JP" w:bidi="th-TH"/>
        </w:rPr>
        <w:t xml:space="preserve">basis of </w:t>
      </w:r>
      <w:r w:rsidR="00C914FA" w:rsidRPr="007B3E88">
        <w:rPr>
          <w:kern w:val="22"/>
          <w:szCs w:val="22"/>
          <w:lang w:eastAsia="ja-JP" w:bidi="th-TH"/>
        </w:rPr>
        <w:t xml:space="preserve">respect </w:t>
      </w:r>
      <w:r w:rsidR="00C34AE8">
        <w:rPr>
          <w:kern w:val="22"/>
          <w:szCs w:val="22"/>
          <w:lang w:eastAsia="ja-JP" w:bidi="th-TH"/>
        </w:rPr>
        <w:t>for</w:t>
      </w:r>
      <w:r w:rsidR="00C34AE8" w:rsidRPr="007B3E88">
        <w:rPr>
          <w:kern w:val="22"/>
          <w:szCs w:val="22"/>
          <w:lang w:eastAsia="ja-JP" w:bidi="th-TH"/>
        </w:rPr>
        <w:t xml:space="preserve"> </w:t>
      </w:r>
      <w:r w:rsidR="00C914FA" w:rsidRPr="007B3E88">
        <w:rPr>
          <w:kern w:val="22"/>
          <w:szCs w:val="22"/>
          <w:lang w:eastAsia="ja-JP" w:bidi="th-TH"/>
        </w:rPr>
        <w:t>the owners’ rights and knowledge</w:t>
      </w:r>
      <w:r w:rsidR="00C2619C" w:rsidRPr="007B3E88">
        <w:rPr>
          <w:rStyle w:val="FootnoteReference"/>
          <w:rFonts w:eastAsia="Batang"/>
          <w:iCs/>
          <w:sz w:val="22"/>
          <w:szCs w:val="22"/>
          <w:u w:val="none"/>
        </w:rPr>
        <w:t>.</w:t>
      </w:r>
      <w:r w:rsidR="00C914FA" w:rsidRPr="007B3E88">
        <w:rPr>
          <w:rStyle w:val="FootnoteReference"/>
          <w:rFonts w:eastAsia="Batang"/>
          <w:iCs/>
          <w:kern w:val="22"/>
          <w:sz w:val="22"/>
          <w:szCs w:val="22"/>
          <w:u w:val="none"/>
          <w:vertAlign w:val="superscript"/>
          <w:lang w:eastAsia="ja-JP" w:bidi="th-TH"/>
        </w:rPr>
        <w:footnoteReference w:id="27"/>
      </w:r>
    </w:p>
    <w:p w14:paraId="20083E17" w14:textId="77777777" w:rsidR="00C914FA" w:rsidRPr="007B3E88" w:rsidRDefault="00C914FA" w:rsidP="007B3E88">
      <w:pPr>
        <w:pStyle w:val="Para1"/>
        <w:numPr>
          <w:ilvl w:val="0"/>
          <w:numId w:val="53"/>
        </w:numPr>
        <w:suppressLineNumbers/>
        <w:suppressAutoHyphens/>
        <w:kinsoku w:val="0"/>
        <w:overflowPunct w:val="0"/>
        <w:autoSpaceDE w:val="0"/>
        <w:autoSpaceDN w:val="0"/>
        <w:ind w:left="0" w:firstLine="0"/>
        <w:rPr>
          <w:kern w:val="22"/>
          <w:lang w:eastAsia="ja-JP" w:bidi="th-TH"/>
        </w:rPr>
      </w:pPr>
      <w:r w:rsidRPr="007B3E88">
        <w:rPr>
          <w:kern w:val="22"/>
          <w:szCs w:val="22"/>
          <w:lang w:eastAsia="ja-JP" w:bidi="th-TH"/>
        </w:rPr>
        <w:t>Suggested steps for enhancing and supporting governance diversity in national or subnational systems of protected and conserved areas include:</w:t>
      </w:r>
    </w:p>
    <w:p w14:paraId="7742A8C2" w14:textId="37C1057F" w:rsidR="00C914FA" w:rsidRPr="005D36C5" w:rsidRDefault="00C914FA"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Develop a high-level policy or vision statement in consultation with stakeholders</w:t>
      </w:r>
      <w:r w:rsidRPr="005D36C5">
        <w:rPr>
          <w:rFonts w:cs="Times New Roman"/>
          <w:kern w:val="22"/>
          <w:lang w:eastAsia="ja-JP" w:bidi="th-TH"/>
        </w:rPr>
        <w:t xml:space="preserve"> that acknowledges a diversity of conservation actors and their contributions to national or subnational system</w:t>
      </w:r>
      <w:r w:rsidR="00EE6392" w:rsidRPr="005D36C5">
        <w:rPr>
          <w:rFonts w:cs="Times New Roman"/>
          <w:kern w:val="22"/>
          <w:lang w:eastAsia="ja-JP" w:bidi="th-TH"/>
        </w:rPr>
        <w:t>s</w:t>
      </w:r>
      <w:r w:rsidRPr="005D36C5">
        <w:rPr>
          <w:rFonts w:cs="Times New Roman"/>
          <w:kern w:val="22"/>
          <w:lang w:eastAsia="ja-JP" w:bidi="th-TH"/>
        </w:rPr>
        <w:t xml:space="preserve"> of protected and conserved areas. Such a statement </w:t>
      </w:r>
      <w:r w:rsidR="00AD60F1">
        <w:rPr>
          <w:rFonts w:cs="Times New Roman"/>
          <w:kern w:val="22"/>
          <w:lang w:eastAsia="ja-JP" w:bidi="th-TH"/>
        </w:rPr>
        <w:t xml:space="preserve">would </w:t>
      </w:r>
      <w:r w:rsidRPr="005D36C5">
        <w:rPr>
          <w:rFonts w:cs="Times New Roman"/>
          <w:kern w:val="22"/>
          <w:lang w:eastAsia="ja-JP" w:bidi="th-TH"/>
        </w:rPr>
        <w:t xml:space="preserve">help to </w:t>
      </w:r>
      <w:r w:rsidR="00AD60F1">
        <w:rPr>
          <w:rFonts w:cs="Times New Roman"/>
          <w:kern w:val="22"/>
          <w:lang w:eastAsia="ja-JP" w:bidi="th-TH"/>
        </w:rPr>
        <w:t>create</w:t>
      </w:r>
      <w:r w:rsidR="00AD60F1" w:rsidRPr="005D36C5">
        <w:rPr>
          <w:rFonts w:cs="Times New Roman"/>
          <w:kern w:val="22"/>
          <w:lang w:eastAsia="ja-JP" w:bidi="th-TH"/>
        </w:rPr>
        <w:t xml:space="preserve"> </w:t>
      </w:r>
      <w:r w:rsidRPr="005D36C5">
        <w:rPr>
          <w:rFonts w:cs="Times New Roman"/>
          <w:kern w:val="22"/>
          <w:lang w:eastAsia="ja-JP" w:bidi="th-TH"/>
        </w:rPr>
        <w:t xml:space="preserve">the framework for subsequent legislative adaptations. It may </w:t>
      </w:r>
      <w:r w:rsidR="00F032B8">
        <w:rPr>
          <w:rFonts w:cs="Times New Roman"/>
          <w:kern w:val="22"/>
          <w:lang w:eastAsia="ja-JP" w:bidi="th-TH"/>
        </w:rPr>
        <w:t xml:space="preserve">also </w:t>
      </w:r>
      <w:r w:rsidRPr="005D36C5">
        <w:rPr>
          <w:rFonts w:cs="Times New Roman"/>
          <w:kern w:val="22"/>
          <w:lang w:eastAsia="ja-JP" w:bidi="th-TH"/>
        </w:rPr>
        <w:t xml:space="preserve">provide encouragement </w:t>
      </w:r>
      <w:r w:rsidR="00F032B8">
        <w:rPr>
          <w:rFonts w:cs="Times New Roman"/>
          <w:kern w:val="22"/>
          <w:lang w:eastAsia="ja-JP" w:bidi="th-TH"/>
        </w:rPr>
        <w:t>for</w:t>
      </w:r>
      <w:r w:rsidR="00F032B8" w:rsidRPr="005D36C5">
        <w:rPr>
          <w:rFonts w:cs="Times New Roman"/>
          <w:kern w:val="22"/>
          <w:lang w:eastAsia="ja-JP" w:bidi="th-TH"/>
        </w:rPr>
        <w:t xml:space="preserve"> </w:t>
      </w:r>
      <w:r w:rsidRPr="007B3E88">
        <w:rPr>
          <w:rFonts w:cs="Times New Roman"/>
          <w:kern w:val="22"/>
          <w:lang w:eastAsia="ja-JP" w:bidi="th-TH"/>
        </w:rPr>
        <w:t>in</w:t>
      </w:r>
      <w:r w:rsidR="006658B1" w:rsidRPr="006A64B0">
        <w:rPr>
          <w:rFonts w:cs="Times New Roman"/>
          <w:kern w:val="22"/>
          <w:lang w:eastAsia="ja-JP" w:bidi="th-TH"/>
        </w:rPr>
        <w:t xml:space="preserve"> </w:t>
      </w:r>
      <w:r w:rsidRPr="007B3E88">
        <w:rPr>
          <w:rFonts w:cs="Times New Roman"/>
          <w:kern w:val="22"/>
          <w:lang w:eastAsia="ja-JP" w:bidi="th-TH"/>
        </w:rPr>
        <w:t>situ</w:t>
      </w:r>
      <w:r w:rsidRPr="006A64B0">
        <w:rPr>
          <w:rFonts w:cs="Times New Roman"/>
          <w:kern w:val="22"/>
          <w:lang w:eastAsia="ja-JP" w:bidi="th-TH"/>
        </w:rPr>
        <w:t xml:space="preserve"> conservation initiatives of actors</w:t>
      </w:r>
      <w:r w:rsidR="00D02FE4" w:rsidRPr="005D36C5">
        <w:rPr>
          <w:rFonts w:cs="Times New Roman"/>
          <w:kern w:val="22"/>
          <w:lang w:eastAsia="ja-JP" w:bidi="th-TH"/>
        </w:rPr>
        <w:t>;</w:t>
      </w:r>
      <w:r w:rsidR="00853BE9" w:rsidRPr="007B3E88">
        <w:rPr>
          <w:rStyle w:val="FootnoteReference"/>
          <w:rFonts w:eastAsia="Batang" w:cs="Times New Roman"/>
          <w:bCs w:val="0"/>
          <w:iCs/>
          <w:snapToGrid w:val="0"/>
          <w:kern w:val="22"/>
          <w:sz w:val="22"/>
          <w:u w:val="none"/>
          <w:vertAlign w:val="superscript"/>
          <w:lang w:eastAsia="ja-JP" w:bidi="th-TH"/>
        </w:rPr>
        <w:footnoteReference w:id="28"/>
      </w:r>
    </w:p>
    <w:p w14:paraId="5351015A" w14:textId="02FCB77A" w:rsidR="00C914FA" w:rsidRPr="005D36C5" w:rsidRDefault="00C914FA"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Facilitate the coordinated management of multiple sites</w:t>
      </w:r>
      <w:r w:rsidRPr="005D36C5">
        <w:rPr>
          <w:rFonts w:cs="Times New Roman"/>
          <w:kern w:val="22"/>
          <w:lang w:eastAsia="ja-JP" w:bidi="th-TH"/>
        </w:rPr>
        <w:t xml:space="preserve"> of different governance types to achieve conservation objectives at larger landscape and seascape scales by appropriate means</w:t>
      </w:r>
      <w:r w:rsidR="00D02FE4" w:rsidRPr="005D36C5">
        <w:rPr>
          <w:rFonts w:cs="Times New Roman"/>
          <w:kern w:val="22"/>
          <w:lang w:eastAsia="ja-JP" w:bidi="th-TH"/>
        </w:rPr>
        <w:t>;</w:t>
      </w:r>
    </w:p>
    <w:p w14:paraId="65ADC2AB" w14:textId="0B11F4BD" w:rsidR="00A25D8E" w:rsidRPr="006A64B0"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 xml:space="preserve">Clarify and determine </w:t>
      </w:r>
      <w:r w:rsidR="00176193">
        <w:rPr>
          <w:rFonts w:cs="Times New Roman"/>
          <w:bCs w:val="0"/>
          <w:i/>
          <w:iCs/>
          <w:kern w:val="22"/>
          <w:lang w:eastAsia="ja-JP" w:bidi="th-TH"/>
        </w:rPr>
        <w:t xml:space="preserve">the </w:t>
      </w:r>
      <w:r w:rsidRPr="007B3E88">
        <w:rPr>
          <w:rFonts w:cs="Times New Roman"/>
          <w:bCs w:val="0"/>
          <w:i/>
          <w:iCs/>
          <w:kern w:val="22"/>
          <w:lang w:eastAsia="ja-JP" w:bidi="th-TH"/>
        </w:rPr>
        <w:t>institutional mandates, roles and responsibilities</w:t>
      </w:r>
      <w:r w:rsidRPr="006A64B0">
        <w:rPr>
          <w:rFonts w:cs="Times New Roman"/>
          <w:kern w:val="22"/>
          <w:lang w:eastAsia="ja-JP" w:bidi="th-TH"/>
        </w:rPr>
        <w:t xml:space="preserve"> of all relevant </w:t>
      </w:r>
      <w:r w:rsidR="005A3AF6">
        <w:rPr>
          <w:rFonts w:cs="Times New Roman"/>
          <w:kern w:val="22"/>
          <w:lang w:eastAsia="ja-JP" w:bidi="th-TH"/>
        </w:rPr>
        <w:t>S</w:t>
      </w:r>
      <w:r w:rsidRPr="006A64B0">
        <w:rPr>
          <w:rFonts w:cs="Times New Roman"/>
          <w:kern w:val="22"/>
          <w:lang w:eastAsia="ja-JP" w:bidi="th-TH"/>
        </w:rPr>
        <w:t>tate and non-</w:t>
      </w:r>
      <w:r w:rsidR="005A3AF6">
        <w:rPr>
          <w:rFonts w:cs="Times New Roman"/>
          <w:kern w:val="22"/>
          <w:lang w:eastAsia="ja-JP" w:bidi="th-TH"/>
        </w:rPr>
        <w:t>S</w:t>
      </w:r>
      <w:r w:rsidRPr="006A64B0">
        <w:rPr>
          <w:rFonts w:cs="Times New Roman"/>
          <w:kern w:val="22"/>
          <w:lang w:eastAsia="ja-JP" w:bidi="th-TH"/>
        </w:rPr>
        <w:t>tate actors recogni</w:t>
      </w:r>
      <w:r w:rsidR="00D02FE4" w:rsidRPr="006A64B0">
        <w:rPr>
          <w:rFonts w:cs="Times New Roman"/>
          <w:kern w:val="22"/>
          <w:lang w:eastAsia="ja-JP" w:bidi="th-TH"/>
        </w:rPr>
        <w:t>z</w:t>
      </w:r>
      <w:r w:rsidRPr="006A64B0">
        <w:rPr>
          <w:rFonts w:cs="Times New Roman"/>
          <w:kern w:val="22"/>
          <w:lang w:eastAsia="ja-JP" w:bidi="th-TH"/>
        </w:rPr>
        <w:t>ed in the national or subnational protected and conserved areas system, in coordination with other (subnational, sectoral) jurisdictions where applicable</w:t>
      </w:r>
      <w:r w:rsidR="00D02FE4" w:rsidRPr="006A64B0">
        <w:rPr>
          <w:rFonts w:cs="Times New Roman"/>
          <w:kern w:val="22"/>
          <w:lang w:eastAsia="ja-JP" w:bidi="th-TH"/>
        </w:rPr>
        <w:t>;</w:t>
      </w:r>
    </w:p>
    <w:p w14:paraId="56120651" w14:textId="05E84AD3" w:rsidR="00A25D8E" w:rsidRPr="005D36C5"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Conduct a system-level governance assessment as a collaborative multi-stakeholder process</w:t>
      </w:r>
      <w:r w:rsidRPr="006A64B0">
        <w:rPr>
          <w:rFonts w:cs="Times New Roman"/>
          <w:kern w:val="22"/>
          <w:lang w:eastAsia="ja-JP" w:bidi="th-TH"/>
        </w:rPr>
        <w:t>. In large part, such an assessment serves as a gap analysis between an existing national or subnational protected area network and the potentially achievable area-based conservation</w:t>
      </w:r>
      <w:r w:rsidR="007268EB" w:rsidRPr="006A64B0">
        <w:rPr>
          <w:rFonts w:cs="Times New Roman"/>
          <w:kern w:val="22"/>
          <w:lang w:eastAsia="ja-JP" w:bidi="th-TH"/>
        </w:rPr>
        <w:t>,</w:t>
      </w:r>
      <w:r w:rsidRPr="006A64B0">
        <w:rPr>
          <w:rFonts w:cs="Times New Roman"/>
          <w:kern w:val="22"/>
          <w:lang w:eastAsia="ja-JP" w:bidi="th-TH"/>
        </w:rPr>
        <w:t xml:space="preserve"> if areas presently protected or conserved </w:t>
      </w:r>
      <w:r w:rsidRPr="006A64B0">
        <w:rPr>
          <w:rFonts w:cs="Times New Roman"/>
          <w:i/>
          <w:kern w:val="22"/>
          <w:lang w:eastAsia="ja-JP" w:bidi="th-TH"/>
        </w:rPr>
        <w:t>de facto</w:t>
      </w:r>
      <w:r w:rsidRPr="006A64B0">
        <w:rPr>
          <w:rFonts w:cs="Times New Roman"/>
          <w:kern w:val="22"/>
          <w:lang w:eastAsia="ja-JP" w:bidi="th-TH"/>
        </w:rPr>
        <w:t xml:space="preserve"> by various actors and approaches were recogni</w:t>
      </w:r>
      <w:r w:rsidR="00D02FE4" w:rsidRPr="006A64B0">
        <w:rPr>
          <w:rFonts w:cs="Times New Roman"/>
          <w:kern w:val="22"/>
          <w:lang w:eastAsia="ja-JP" w:bidi="th-TH"/>
        </w:rPr>
        <w:t>z</w:t>
      </w:r>
      <w:r w:rsidRPr="006A64B0">
        <w:rPr>
          <w:rFonts w:cs="Times New Roman"/>
          <w:kern w:val="22"/>
          <w:lang w:eastAsia="ja-JP" w:bidi="th-TH"/>
        </w:rPr>
        <w:t>ed, encouraged and supported to take or share responsibility;</w:t>
      </w:r>
      <w:r w:rsidRPr="007B3E88">
        <w:rPr>
          <w:rStyle w:val="FootnoteReference"/>
          <w:rFonts w:eastAsia="Batang" w:cs="Times New Roman"/>
          <w:bCs w:val="0"/>
          <w:iCs/>
          <w:snapToGrid w:val="0"/>
          <w:kern w:val="22"/>
          <w:sz w:val="22"/>
          <w:u w:val="none"/>
          <w:vertAlign w:val="superscript"/>
          <w:lang w:eastAsia="ja-JP" w:bidi="th-TH"/>
        </w:rPr>
        <w:footnoteReference w:id="29"/>
      </w:r>
      <w:r w:rsidRPr="007B3E88">
        <w:rPr>
          <w:rStyle w:val="FootnoteReference"/>
          <w:rFonts w:eastAsia="Batang"/>
          <w:bCs w:val="0"/>
          <w:iCs/>
          <w:snapToGrid w:val="0"/>
          <w:sz w:val="22"/>
          <w:u w:val="none"/>
          <w:vertAlign w:val="superscript"/>
        </w:rPr>
        <w:t>,</w:t>
      </w:r>
      <w:r w:rsidRPr="007B3E88">
        <w:rPr>
          <w:rStyle w:val="FootnoteReference"/>
          <w:rFonts w:eastAsia="Batang" w:cs="Times New Roman"/>
          <w:bCs w:val="0"/>
          <w:iCs/>
          <w:snapToGrid w:val="0"/>
          <w:kern w:val="22"/>
          <w:sz w:val="22"/>
          <w:u w:val="none"/>
          <w:vertAlign w:val="superscript"/>
          <w:lang w:eastAsia="ja-JP" w:bidi="th-TH"/>
        </w:rPr>
        <w:footnoteReference w:id="30"/>
      </w:r>
    </w:p>
    <w:p w14:paraId="0C89365C" w14:textId="678F39D2" w:rsidR="00A25D8E" w:rsidRPr="005D36C5"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Facilitate the coordinated monitoring and reporting</w:t>
      </w:r>
      <w:r w:rsidRPr="005D36C5">
        <w:rPr>
          <w:rFonts w:cs="Times New Roman"/>
          <w:kern w:val="22"/>
          <w:lang w:eastAsia="ja-JP" w:bidi="th-TH"/>
        </w:rPr>
        <w:t>, on protected and conserved areas under different governance types by appropriate means and in accordance with national legislation, including to the World Database on Protected Areas, and taking appropriate account of their contributions</w:t>
      </w:r>
      <w:r w:rsidR="007268EB" w:rsidRPr="005D36C5">
        <w:rPr>
          <w:rFonts w:cs="Times New Roman"/>
          <w:kern w:val="22"/>
          <w:lang w:eastAsia="ja-JP" w:bidi="th-TH"/>
        </w:rPr>
        <w:t xml:space="preserve"> to the elements of Target 11</w:t>
      </w:r>
      <w:r w:rsidR="00D02FE4" w:rsidRPr="005D36C5">
        <w:rPr>
          <w:rFonts w:cs="Times New Roman"/>
          <w:kern w:val="22"/>
          <w:lang w:eastAsia="ja-JP" w:bidi="th-TH"/>
        </w:rPr>
        <w:t>;</w:t>
      </w:r>
    </w:p>
    <w:p w14:paraId="06F70E3D" w14:textId="49B24A6A" w:rsidR="00A25D8E" w:rsidRPr="005D36C5"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Review and adapt the policy, legal and regulatory framework for protected and conserved areas</w:t>
      </w:r>
      <w:r w:rsidRPr="006A64B0">
        <w:rPr>
          <w:rFonts w:cs="Times New Roman"/>
          <w:kern w:val="22"/>
          <w:lang w:eastAsia="ja-JP" w:bidi="th-TH"/>
        </w:rPr>
        <w:t xml:space="preserve"> on the basis of the opportunities identified in the assessment and in line with decision </w:t>
      </w:r>
      <w:r w:rsidR="005642B5" w:rsidRPr="007B3E88">
        <w:rPr>
          <w:rFonts w:cs="Times New Roman"/>
        </w:rPr>
        <w:t>X/31</w:t>
      </w:r>
      <w:r w:rsidRPr="006A64B0">
        <w:rPr>
          <w:rFonts w:cs="Times New Roman"/>
          <w:kern w:val="22"/>
          <w:lang w:eastAsia="ja-JP" w:bidi="th-TH"/>
        </w:rPr>
        <w:t xml:space="preserve"> to incentivi</w:t>
      </w:r>
      <w:r w:rsidR="00D02FE4" w:rsidRPr="005D36C5">
        <w:rPr>
          <w:rFonts w:cs="Times New Roman"/>
          <w:kern w:val="22"/>
          <w:lang w:eastAsia="ja-JP" w:bidi="th-TH"/>
        </w:rPr>
        <w:t>z</w:t>
      </w:r>
      <w:r w:rsidRPr="005D36C5">
        <w:rPr>
          <w:rFonts w:cs="Times New Roman"/>
          <w:kern w:val="22"/>
          <w:lang w:eastAsia="ja-JP" w:bidi="th-TH"/>
        </w:rPr>
        <w:t>e and legally recogni</w:t>
      </w:r>
      <w:r w:rsidR="00D02FE4" w:rsidRPr="005D36C5">
        <w:rPr>
          <w:rFonts w:cs="Times New Roman"/>
          <w:kern w:val="22"/>
          <w:lang w:eastAsia="ja-JP" w:bidi="th-TH"/>
        </w:rPr>
        <w:t>z</w:t>
      </w:r>
      <w:r w:rsidRPr="005D36C5">
        <w:rPr>
          <w:rFonts w:cs="Times New Roman"/>
          <w:kern w:val="22"/>
          <w:lang w:eastAsia="ja-JP" w:bidi="th-TH"/>
        </w:rPr>
        <w:t>e different governance types</w:t>
      </w:r>
      <w:r w:rsidR="00D02FE4" w:rsidRPr="005D36C5">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31"/>
      </w:r>
    </w:p>
    <w:p w14:paraId="4EE9F115" w14:textId="288048EB" w:rsidR="00A25D8E" w:rsidRPr="005D36C5"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Support and secure the protection status</w:t>
      </w:r>
      <w:r w:rsidRPr="005D36C5">
        <w:rPr>
          <w:rFonts w:cs="Times New Roman"/>
          <w:kern w:val="22"/>
          <w:lang w:eastAsia="ja-JP" w:bidi="th-TH"/>
        </w:rPr>
        <w:t xml:space="preserve"> of the protected and conserved areas </w:t>
      </w:r>
      <w:r w:rsidR="004D1419">
        <w:rPr>
          <w:rFonts w:cs="Times New Roman"/>
          <w:kern w:val="22"/>
          <w:lang w:eastAsia="ja-JP" w:bidi="th-TH"/>
        </w:rPr>
        <w:t>under</w:t>
      </w:r>
      <w:r w:rsidR="004D1419" w:rsidRPr="005D36C5">
        <w:rPr>
          <w:rFonts w:cs="Times New Roman"/>
          <w:kern w:val="22"/>
          <w:lang w:eastAsia="ja-JP" w:bidi="th-TH"/>
        </w:rPr>
        <w:t xml:space="preserve"> </w:t>
      </w:r>
      <w:r w:rsidRPr="005D36C5">
        <w:rPr>
          <w:rFonts w:cs="Times New Roman"/>
          <w:kern w:val="22"/>
          <w:lang w:eastAsia="ja-JP" w:bidi="th-TH"/>
        </w:rPr>
        <w:t>all governance types through appropriate means</w:t>
      </w:r>
      <w:r w:rsidR="00D02FE4" w:rsidRPr="005D36C5">
        <w:rPr>
          <w:rFonts w:cs="Times New Roman"/>
          <w:kern w:val="22"/>
          <w:lang w:eastAsia="ja-JP" w:bidi="th-TH"/>
        </w:rPr>
        <w:t>;</w:t>
      </w:r>
    </w:p>
    <w:p w14:paraId="7FD291EF" w14:textId="5C7A1AA3" w:rsidR="00A25D8E" w:rsidRPr="006A64B0"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Support national associations or alliances</w:t>
      </w:r>
      <w:r w:rsidRPr="006A64B0">
        <w:rPr>
          <w:rFonts w:cs="Times New Roman"/>
          <w:kern w:val="22"/>
          <w:lang w:eastAsia="ja-JP" w:bidi="th-TH"/>
        </w:rPr>
        <w:t xml:space="preserve"> of protected and conserved areas according to governance types (e.g., ICCA alliance, PPA association) to provide peer support mechanisms</w:t>
      </w:r>
      <w:r w:rsidR="00D02FE4" w:rsidRPr="006A64B0">
        <w:rPr>
          <w:rFonts w:cs="Times New Roman"/>
          <w:kern w:val="22"/>
          <w:lang w:eastAsia="ja-JP" w:bidi="th-TH"/>
        </w:rPr>
        <w:t>;</w:t>
      </w:r>
    </w:p>
    <w:p w14:paraId="4C357FD3" w14:textId="535CD30E" w:rsidR="00A25D8E" w:rsidRPr="006A64B0" w:rsidRDefault="00A25D8E"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eastAsia="ja-JP" w:bidi="th-TH"/>
        </w:rPr>
      </w:pPr>
      <w:r w:rsidRPr="007B3E88">
        <w:rPr>
          <w:rFonts w:cs="Times New Roman"/>
          <w:bCs w:val="0"/>
          <w:i/>
          <w:iCs/>
          <w:kern w:val="22"/>
          <w:lang w:eastAsia="ja-JP" w:bidi="th-TH"/>
        </w:rPr>
        <w:t>Verify the contribution of such areas</w:t>
      </w:r>
      <w:r w:rsidRPr="006A64B0">
        <w:rPr>
          <w:rFonts w:cs="Times New Roman"/>
          <w:kern w:val="22"/>
          <w:lang w:eastAsia="ja-JP" w:bidi="th-TH"/>
        </w:rPr>
        <w:t xml:space="preserve"> to the overall achievement of the country’s system of protected areas in terms of coverage and conservation status by mapping and other appropriate means.</w:t>
      </w:r>
    </w:p>
    <w:p w14:paraId="2AB5789E" w14:textId="2B1992E2" w:rsidR="00C914FA" w:rsidRPr="007B3E88" w:rsidRDefault="00C2619C" w:rsidP="007B3E88">
      <w:pPr>
        <w:pStyle w:val="Heading2"/>
        <w:suppressLineNumbers/>
        <w:pBdr>
          <w:top w:val="nil"/>
          <w:left w:val="nil"/>
          <w:bottom w:val="nil"/>
          <w:right w:val="nil"/>
          <w:between w:val="nil"/>
          <w:bar w:val="nil"/>
        </w:pBdr>
        <w:tabs>
          <w:tab w:val="clear" w:pos="720"/>
          <w:tab w:val="left" w:pos="450"/>
        </w:tabs>
        <w:suppressAutoHyphens/>
        <w:kinsoku w:val="0"/>
        <w:overflowPunct w:val="0"/>
        <w:autoSpaceDE w:val="0"/>
        <w:autoSpaceDN w:val="0"/>
        <w:rPr>
          <w:kern w:val="22"/>
          <w:szCs w:val="22"/>
        </w:rPr>
      </w:pPr>
      <w:r w:rsidRPr="007B3E88">
        <w:rPr>
          <w:kern w:val="22"/>
          <w:szCs w:val="22"/>
        </w:rPr>
        <w:t>B</w:t>
      </w:r>
      <w:r w:rsidR="001147EE" w:rsidRPr="007B3E88">
        <w:rPr>
          <w:kern w:val="22"/>
          <w:szCs w:val="22"/>
        </w:rPr>
        <w:t>.</w:t>
      </w:r>
      <w:r w:rsidR="001147EE" w:rsidRPr="007B3E88">
        <w:rPr>
          <w:kern w:val="22"/>
          <w:szCs w:val="22"/>
        </w:rPr>
        <w:tab/>
      </w:r>
      <w:r w:rsidR="00A25D8E" w:rsidRPr="007B3E88">
        <w:rPr>
          <w:kern w:val="22"/>
          <w:szCs w:val="22"/>
        </w:rPr>
        <w:t xml:space="preserve">Voluntary </w:t>
      </w:r>
      <w:r w:rsidR="005D4A91" w:rsidRPr="006A64B0">
        <w:rPr>
          <w:kern w:val="22"/>
          <w:szCs w:val="22"/>
        </w:rPr>
        <w:t>guidance on effective and equitable governance models</w:t>
      </w:r>
    </w:p>
    <w:p w14:paraId="0EE1187F" w14:textId="1A3A3F81" w:rsidR="00E43D22" w:rsidRPr="007B3E88" w:rsidRDefault="00C914FA"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sidRPr="007B3E88">
        <w:rPr>
          <w:kern w:val="22"/>
          <w:szCs w:val="22"/>
          <w:lang w:eastAsia="ja-JP" w:bidi="th-TH"/>
        </w:rPr>
        <w:t xml:space="preserve">Effective and equitable governance models for protected and conserved areas are arrangements for decision-making and implementation of decisions in which “good governance” principles are adopted and applied. Good governance principles should be applied </w:t>
      </w:r>
      <w:r w:rsidR="00BF18B9" w:rsidRPr="007B3E88">
        <w:rPr>
          <w:kern w:val="22"/>
          <w:szCs w:val="22"/>
          <w:lang w:eastAsia="ja-JP" w:bidi="th-TH"/>
        </w:rPr>
        <w:t xml:space="preserve">irrespective </w:t>
      </w:r>
      <w:r w:rsidRPr="007B3E88">
        <w:rPr>
          <w:kern w:val="22"/>
          <w:szCs w:val="22"/>
          <w:lang w:eastAsia="ja-JP" w:bidi="th-TH"/>
        </w:rPr>
        <w:t>of governance type. Based on the good governance principles developed by U</w:t>
      </w:r>
      <w:r w:rsidR="00D02FE4" w:rsidRPr="007B3E88">
        <w:rPr>
          <w:kern w:val="22"/>
          <w:szCs w:val="22"/>
          <w:lang w:eastAsia="ja-JP" w:bidi="th-TH"/>
        </w:rPr>
        <w:t xml:space="preserve">nited </w:t>
      </w:r>
      <w:r w:rsidRPr="007B3E88">
        <w:rPr>
          <w:kern w:val="22"/>
          <w:szCs w:val="22"/>
          <w:lang w:eastAsia="ja-JP" w:bidi="th-TH"/>
        </w:rPr>
        <w:t>N</w:t>
      </w:r>
      <w:r w:rsidR="00D02FE4" w:rsidRPr="007B3E88">
        <w:rPr>
          <w:kern w:val="22"/>
          <w:szCs w:val="22"/>
          <w:lang w:eastAsia="ja-JP" w:bidi="th-TH"/>
        </w:rPr>
        <w:t>ations</w:t>
      </w:r>
      <w:r w:rsidRPr="007B3E88">
        <w:rPr>
          <w:kern w:val="22"/>
          <w:szCs w:val="22"/>
          <w:lang w:eastAsia="ja-JP" w:bidi="th-TH"/>
        </w:rPr>
        <w:t xml:space="preserve"> agencies and other organi</w:t>
      </w:r>
      <w:r w:rsidR="00D92063">
        <w:rPr>
          <w:kern w:val="22"/>
          <w:szCs w:val="22"/>
          <w:lang w:eastAsia="ja-JP" w:bidi="th-TH"/>
        </w:rPr>
        <w:t>z</w:t>
      </w:r>
      <w:r w:rsidRPr="007B3E88">
        <w:rPr>
          <w:kern w:val="22"/>
          <w:szCs w:val="22"/>
          <w:lang w:eastAsia="ja-JP" w:bidi="th-TH"/>
        </w:rPr>
        <w:t>ations, IUCN has suggested governance principles and considerations for the context of protected and conserved areas as guidance for decisions to be taken and implemented legitimately, competently, inclusively, fairly, with a sense of vision, accountably and while respecting rights.</w:t>
      </w:r>
      <w:r w:rsidRPr="007B3E88">
        <w:rPr>
          <w:szCs w:val="22"/>
        </w:rPr>
        <w:footnoteReference w:id="32"/>
      </w:r>
    </w:p>
    <w:p w14:paraId="6C758478" w14:textId="6BC138CB" w:rsidR="00AB5C14" w:rsidRPr="00126D41" w:rsidRDefault="00C914FA"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sidRPr="007B3E88">
        <w:rPr>
          <w:kern w:val="22"/>
          <w:szCs w:val="22"/>
          <w:lang w:eastAsia="ja-JP" w:bidi="th-TH"/>
        </w:rPr>
        <w:t xml:space="preserve">The concept of equity is one element of good governance. Equity can be broken down into three dimensions: recognition, procedure and distribution: “Recognition” is the acknowledgement of and respect for </w:t>
      </w:r>
      <w:r w:rsidR="00256ABE" w:rsidRPr="007B3E88">
        <w:rPr>
          <w:kern w:val="22"/>
          <w:szCs w:val="22"/>
          <w:lang w:eastAsia="ja-JP" w:bidi="th-TH"/>
        </w:rPr>
        <w:t xml:space="preserve">the </w:t>
      </w:r>
      <w:r w:rsidRPr="007B3E88">
        <w:rPr>
          <w:kern w:val="22"/>
          <w:szCs w:val="22"/>
          <w:lang w:eastAsia="ja-JP" w:bidi="th-TH"/>
        </w:rPr>
        <w:t xml:space="preserve">rights </w:t>
      </w:r>
      <w:r w:rsidR="00EE6392" w:rsidRPr="007B3E88">
        <w:rPr>
          <w:kern w:val="22"/>
          <w:szCs w:val="22"/>
          <w:lang w:eastAsia="ja-JP" w:bidi="th-TH"/>
        </w:rPr>
        <w:t xml:space="preserve">and </w:t>
      </w:r>
      <w:r w:rsidR="00256ABE" w:rsidRPr="007B3E88">
        <w:rPr>
          <w:kern w:val="22"/>
          <w:szCs w:val="22"/>
          <w:lang w:eastAsia="ja-JP" w:bidi="th-TH"/>
        </w:rPr>
        <w:t xml:space="preserve">the </w:t>
      </w:r>
      <w:r w:rsidR="00EE6392" w:rsidRPr="007B3E88">
        <w:rPr>
          <w:kern w:val="22"/>
          <w:szCs w:val="22"/>
          <w:lang w:eastAsia="ja-JP" w:bidi="th-TH"/>
        </w:rPr>
        <w:t xml:space="preserve">diversity of identities, </w:t>
      </w:r>
      <w:r w:rsidRPr="007B3E88">
        <w:rPr>
          <w:kern w:val="22"/>
          <w:szCs w:val="22"/>
          <w:lang w:eastAsia="ja-JP" w:bidi="th-TH"/>
        </w:rPr>
        <w:t xml:space="preserve">values, </w:t>
      </w:r>
      <w:r w:rsidR="00EE6392" w:rsidRPr="007B3E88">
        <w:rPr>
          <w:kern w:val="22"/>
          <w:szCs w:val="22"/>
          <w:lang w:eastAsia="ja-JP" w:bidi="th-TH"/>
        </w:rPr>
        <w:t>knowledge systems and institutions</w:t>
      </w:r>
      <w:r w:rsidRPr="007B3E88">
        <w:rPr>
          <w:kern w:val="22"/>
          <w:szCs w:val="22"/>
          <w:lang w:eastAsia="ja-JP" w:bidi="th-TH"/>
        </w:rPr>
        <w:t xml:space="preserve"> of rights</w:t>
      </w:r>
      <w:r w:rsidR="00F26A79" w:rsidRPr="007B3E88">
        <w:rPr>
          <w:kern w:val="22"/>
          <w:szCs w:val="22"/>
          <w:lang w:eastAsia="ja-JP" w:bidi="th-TH"/>
        </w:rPr>
        <w:t xml:space="preserve"> </w:t>
      </w:r>
      <w:r w:rsidRPr="007B3E88">
        <w:rPr>
          <w:kern w:val="22"/>
          <w:szCs w:val="22"/>
          <w:lang w:eastAsia="ja-JP" w:bidi="th-TH"/>
        </w:rPr>
        <w:t>holders</w:t>
      </w:r>
      <w:r w:rsidR="00256ABE" w:rsidRPr="007B3E88">
        <w:rPr>
          <w:rStyle w:val="FootnoteReference"/>
          <w:kern w:val="22"/>
          <w:sz w:val="22"/>
          <w:szCs w:val="22"/>
          <w:u w:val="none"/>
          <w:vertAlign w:val="superscript"/>
          <w:lang w:eastAsia="ja-JP" w:bidi="th-TH"/>
        </w:rPr>
        <w:footnoteReference w:id="33"/>
      </w:r>
      <w:r w:rsidRPr="007B3E88">
        <w:rPr>
          <w:kern w:val="22"/>
          <w:szCs w:val="22"/>
          <w:lang w:eastAsia="ja-JP" w:bidi="th-TH"/>
        </w:rPr>
        <w:t xml:space="preserve"> and stakeholde</w:t>
      </w:r>
      <w:r w:rsidR="00EE6392" w:rsidRPr="007B3E88">
        <w:rPr>
          <w:kern w:val="22"/>
          <w:szCs w:val="22"/>
          <w:lang w:eastAsia="ja-JP" w:bidi="th-TH"/>
        </w:rPr>
        <w:t>rs</w:t>
      </w:r>
      <w:r w:rsidRPr="007B3E88">
        <w:rPr>
          <w:kern w:val="22"/>
          <w:szCs w:val="22"/>
          <w:lang w:eastAsia="ja-JP" w:bidi="th-TH"/>
        </w:rPr>
        <w:t>; “Procedure” refers to inclusiveness of rule</w:t>
      </w:r>
      <w:r w:rsidR="00A318BA" w:rsidRPr="00126D41">
        <w:rPr>
          <w:kern w:val="22"/>
          <w:szCs w:val="22"/>
          <w:lang w:eastAsia="ja-JP" w:bidi="th-TH"/>
        </w:rPr>
        <w:softHyphen/>
      </w:r>
      <w:r w:rsidR="00A318BA" w:rsidRPr="00126D41">
        <w:rPr>
          <w:kern w:val="22"/>
          <w:szCs w:val="22"/>
          <w:lang w:eastAsia="ja-JP" w:bidi="th-TH"/>
        </w:rPr>
        <w:softHyphen/>
      </w:r>
      <w:r w:rsidR="00A318BA" w:rsidRPr="00126D41">
        <w:rPr>
          <w:kern w:val="22"/>
          <w:szCs w:val="22"/>
          <w:lang w:eastAsia="ja-JP" w:bidi="th-TH"/>
        </w:rPr>
        <w:noBreakHyphen/>
      </w:r>
      <w:r w:rsidRPr="007B3E88">
        <w:rPr>
          <w:kern w:val="22"/>
          <w:szCs w:val="22"/>
          <w:lang w:eastAsia="ja-JP" w:bidi="th-TH"/>
        </w:rPr>
        <w:t xml:space="preserve"> and decision</w:t>
      </w:r>
      <w:r w:rsidR="00D02FE4" w:rsidRPr="007B3E88">
        <w:rPr>
          <w:kern w:val="22"/>
          <w:szCs w:val="22"/>
          <w:lang w:eastAsia="ja-JP" w:bidi="th-TH"/>
        </w:rPr>
        <w:t>-</w:t>
      </w:r>
      <w:r w:rsidRPr="007B3E88">
        <w:rPr>
          <w:kern w:val="22"/>
          <w:szCs w:val="22"/>
          <w:lang w:eastAsia="ja-JP" w:bidi="th-TH"/>
        </w:rPr>
        <w:t>making; “Distribution” implies that costs and benefits resulting from the management of protected areas must be equitably shared among different actors.</w:t>
      </w:r>
      <w:r w:rsidR="00AB5C14" w:rsidRPr="007B3E88">
        <w:rPr>
          <w:kern w:val="22"/>
          <w:szCs w:val="22"/>
          <w:lang w:eastAsia="ja-JP" w:bidi="th-TH"/>
        </w:rPr>
        <w:t xml:space="preserve"> </w:t>
      </w:r>
      <w:r w:rsidR="00583869" w:rsidRPr="00126D41">
        <w:rPr>
          <w:kern w:val="22"/>
          <w:szCs w:val="22"/>
          <w:lang w:eastAsia="ja-JP" w:bidi="th-TH"/>
        </w:rPr>
        <w:t>The f</w:t>
      </w:r>
      <w:r w:rsidR="00AB5C14" w:rsidRPr="007B3E88">
        <w:rPr>
          <w:kern w:val="22"/>
          <w:szCs w:val="22"/>
          <w:lang w:eastAsia="ja-JP" w:bidi="th-TH"/>
        </w:rPr>
        <w:t>igure</w:t>
      </w:r>
      <w:r w:rsidR="00583869" w:rsidRPr="00126D41">
        <w:rPr>
          <w:kern w:val="22"/>
          <w:szCs w:val="22"/>
          <w:lang w:eastAsia="ja-JP" w:bidi="th-TH"/>
        </w:rPr>
        <w:t xml:space="preserve"> below</w:t>
      </w:r>
      <w:r w:rsidR="00AB5C14" w:rsidRPr="007B3E88">
        <w:rPr>
          <w:kern w:val="22"/>
          <w:szCs w:val="22"/>
          <w:lang w:eastAsia="ja-JP" w:bidi="th-TH"/>
        </w:rPr>
        <w:t xml:space="preserve"> shows the three dimensions. </w:t>
      </w:r>
      <w:r w:rsidRPr="007B3E88">
        <w:rPr>
          <w:kern w:val="22"/>
          <w:szCs w:val="22"/>
          <w:lang w:eastAsia="ja-JP" w:bidi="th-TH"/>
        </w:rPr>
        <w:t>A recently developed framework for advancing equity in the context of protected areas</w:t>
      </w:r>
      <w:r w:rsidRPr="007B3E88">
        <w:rPr>
          <w:rStyle w:val="FootnoteReference"/>
          <w:rFonts w:eastAsia="Batang"/>
          <w:iCs/>
          <w:kern w:val="22"/>
          <w:sz w:val="22"/>
          <w:szCs w:val="22"/>
          <w:u w:val="none"/>
          <w:vertAlign w:val="superscript"/>
          <w:lang w:eastAsia="ja-JP" w:bidi="th-TH"/>
        </w:rPr>
        <w:footnoteReference w:id="34"/>
      </w:r>
      <w:r w:rsidR="00D46031" w:rsidRPr="007B3E88">
        <w:rPr>
          <w:kern w:val="22"/>
          <w:szCs w:val="22"/>
          <w:vertAlign w:val="superscript"/>
          <w:lang w:eastAsia="ja-JP" w:bidi="th-TH"/>
        </w:rPr>
        <w:t>,</w:t>
      </w:r>
      <w:r w:rsidR="00D46031" w:rsidRPr="007B3E88">
        <w:rPr>
          <w:rStyle w:val="FootnoteReference"/>
          <w:rFonts w:eastAsia="Batang"/>
          <w:iCs/>
          <w:kern w:val="22"/>
          <w:sz w:val="22"/>
          <w:szCs w:val="22"/>
          <w:u w:val="none"/>
          <w:vertAlign w:val="superscript"/>
          <w:lang w:eastAsia="ja-JP" w:bidi="th-TH"/>
        </w:rPr>
        <w:footnoteReference w:id="35"/>
      </w:r>
      <w:r w:rsidR="00C46475" w:rsidRPr="007B3E88">
        <w:rPr>
          <w:kern w:val="22"/>
          <w:szCs w:val="22"/>
          <w:lang w:eastAsia="ja-JP" w:bidi="th-TH"/>
        </w:rPr>
        <w:t xml:space="preserve"> </w:t>
      </w:r>
      <w:r w:rsidRPr="007B3E88">
        <w:rPr>
          <w:kern w:val="22"/>
          <w:szCs w:val="22"/>
          <w:lang w:eastAsia="ja-JP" w:bidi="th-TH"/>
        </w:rPr>
        <w:t>proposes a set of principles against which the three dimensions can be assessed.</w:t>
      </w:r>
    </w:p>
    <w:p w14:paraId="57609E82" w14:textId="5C3B0FC4" w:rsidR="00D92063" w:rsidRPr="007B3E88" w:rsidRDefault="00D92063" w:rsidP="007B3E88">
      <w:pPr>
        <w:pStyle w:val="Para1"/>
        <w:keepNext/>
        <w:keepLines/>
        <w:numPr>
          <w:ilvl w:val="0"/>
          <w:numId w:val="0"/>
        </w:numPr>
        <w:suppressLineNumbers/>
        <w:suppressAutoHyphens/>
        <w:kinsoku w:val="0"/>
        <w:overflowPunct w:val="0"/>
        <w:autoSpaceDE w:val="0"/>
        <w:autoSpaceDN w:val="0"/>
        <w:jc w:val="left"/>
        <w:rPr>
          <w:b/>
          <w:bCs/>
          <w:kern w:val="22"/>
          <w:szCs w:val="22"/>
          <w:lang w:eastAsia="ja-JP" w:bidi="th-TH"/>
        </w:rPr>
      </w:pPr>
      <w:r w:rsidRPr="00F26A79">
        <w:rPr>
          <w:b/>
          <w:bCs/>
          <w:kern w:val="22"/>
          <w:szCs w:val="22"/>
        </w:rPr>
        <w:t>Figure.</w:t>
      </w:r>
      <w:r w:rsidRPr="007B3E88">
        <w:rPr>
          <w:b/>
          <w:bCs/>
          <w:kern w:val="22"/>
          <w:szCs w:val="22"/>
        </w:rPr>
        <w:t xml:space="preserve"> The three dimensions of equity embedded within a set of enabling conditions</w:t>
      </w:r>
    </w:p>
    <w:p w14:paraId="7367E29B" w14:textId="77777777" w:rsidR="00AB5C14" w:rsidRPr="006A64B0" w:rsidRDefault="00AB5C14" w:rsidP="007B3E88">
      <w:pPr>
        <w:pStyle w:val="Para10"/>
        <w:keepLines/>
        <w:suppressLineNumbers/>
        <w:suppressAutoHyphens/>
        <w:kinsoku w:val="0"/>
        <w:overflowPunct w:val="0"/>
        <w:autoSpaceDE w:val="0"/>
        <w:autoSpaceDN w:val="0"/>
        <w:ind w:left="2160"/>
        <w:rPr>
          <w:rFonts w:cs="Times New Roman"/>
          <w:kern w:val="22"/>
          <w:lang w:eastAsia="ja-JP" w:bidi="th-TH"/>
        </w:rPr>
      </w:pPr>
      <w:r w:rsidRPr="007B3E88">
        <w:rPr>
          <w:rFonts w:cs="Times New Roman"/>
          <w:noProof/>
          <w:kern w:val="22"/>
          <w:lang w:eastAsia="zh-CN"/>
        </w:rPr>
        <w:drawing>
          <wp:inline distT="0" distB="0" distL="0" distR="0" wp14:anchorId="3FF6DB12" wp14:editId="7C3F1348">
            <wp:extent cx="2571750" cy="2049624"/>
            <wp:effectExtent l="0" t="0" r="0" b="8255"/>
            <wp:docPr id="3"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736D4D9D" w14:textId="170CCCCD" w:rsidR="00AB5C14" w:rsidRPr="007B3E88" w:rsidRDefault="00D92063" w:rsidP="007B3E88">
      <w:pPr>
        <w:pStyle w:val="Default"/>
        <w:keepLines/>
        <w:suppressLineNumbers/>
        <w:suppressAutoHyphens/>
        <w:kinsoku w:val="0"/>
        <w:overflowPunct w:val="0"/>
        <w:rPr>
          <w:rFonts w:ascii="Times New Roman" w:hAnsi="Times New Roman"/>
          <w:bCs/>
          <w:kern w:val="22"/>
          <w:sz w:val="20"/>
          <w:szCs w:val="20"/>
          <w:lang w:val="en-GB"/>
        </w:rPr>
      </w:pPr>
      <w:r w:rsidRPr="007B3E88">
        <w:rPr>
          <w:rFonts w:ascii="Times New Roman" w:hAnsi="Times New Roman"/>
          <w:bCs/>
          <w:i/>
          <w:iCs/>
          <w:kern w:val="22"/>
          <w:sz w:val="20"/>
          <w:szCs w:val="20"/>
          <w:lang w:val="en-GB"/>
        </w:rPr>
        <w:t>Source</w:t>
      </w:r>
      <w:r w:rsidRPr="007B3E88">
        <w:rPr>
          <w:rFonts w:ascii="Times New Roman" w:hAnsi="Times New Roman"/>
          <w:bCs/>
          <w:kern w:val="22"/>
          <w:sz w:val="20"/>
          <w:szCs w:val="20"/>
          <w:lang w:val="en-GB"/>
        </w:rPr>
        <w:t xml:space="preserve">: </w:t>
      </w:r>
      <w:r w:rsidR="00AB5C14" w:rsidRPr="007B3E88">
        <w:rPr>
          <w:rFonts w:ascii="Times New Roman" w:hAnsi="Times New Roman"/>
          <w:bCs/>
          <w:kern w:val="22"/>
          <w:sz w:val="20"/>
          <w:szCs w:val="20"/>
          <w:lang w:val="en-GB"/>
        </w:rPr>
        <w:t>Adapted from McDermott et al. (2013)</w:t>
      </w:r>
      <w:r w:rsidR="00DD5F47" w:rsidRPr="007B3E88">
        <w:rPr>
          <w:rFonts w:ascii="Times New Roman" w:hAnsi="Times New Roman"/>
          <w:bCs/>
          <w:kern w:val="22"/>
          <w:sz w:val="20"/>
          <w:szCs w:val="20"/>
          <w:lang w:val="en-GB"/>
        </w:rPr>
        <w:t>.</w:t>
      </w:r>
      <w:r w:rsidRPr="007B3E88">
        <w:rPr>
          <w:rFonts w:ascii="Times New Roman" w:eastAsia="Times New Roman" w:hAnsi="Times New Roman"/>
          <w:i/>
          <w:snapToGrid w:val="0"/>
          <w:color w:val="auto"/>
          <w:kern w:val="18"/>
          <w:sz w:val="20"/>
          <w:szCs w:val="20"/>
          <w:lang w:val="en-GB"/>
        </w:rPr>
        <w:t xml:space="preserve"> </w:t>
      </w:r>
      <w:r w:rsidRPr="007B3E88">
        <w:rPr>
          <w:rFonts w:ascii="Times New Roman" w:hAnsi="Times New Roman"/>
          <w:bCs/>
          <w:iCs/>
          <w:kern w:val="22"/>
          <w:sz w:val="20"/>
          <w:szCs w:val="20"/>
          <w:lang w:val="en-GB"/>
        </w:rPr>
        <w:t>Examining equity: A multidimensional framework for assessing equity in payments for ecosystem service</w:t>
      </w:r>
      <w:r w:rsidRPr="007B3E88">
        <w:rPr>
          <w:rFonts w:ascii="Times New Roman" w:hAnsi="Times New Roman"/>
          <w:bCs/>
          <w:i/>
          <w:kern w:val="22"/>
          <w:sz w:val="20"/>
          <w:szCs w:val="20"/>
          <w:lang w:val="en-GB"/>
        </w:rPr>
        <w:t xml:space="preserve">.  </w:t>
      </w:r>
      <w:r w:rsidRPr="007B3E88">
        <w:rPr>
          <w:rFonts w:ascii="Times New Roman" w:hAnsi="Times New Roman"/>
          <w:bCs/>
          <w:i/>
          <w:iCs/>
          <w:kern w:val="22"/>
          <w:sz w:val="20"/>
          <w:szCs w:val="20"/>
          <w:lang w:val="en-GB"/>
        </w:rPr>
        <w:t>Environmental Science and Policy</w:t>
      </w:r>
      <w:r w:rsidRPr="007B3E88">
        <w:rPr>
          <w:rFonts w:ascii="Times New Roman" w:hAnsi="Times New Roman"/>
          <w:bCs/>
          <w:kern w:val="22"/>
          <w:sz w:val="20"/>
          <w:szCs w:val="20"/>
          <w:lang w:val="en-GB"/>
        </w:rPr>
        <w:t xml:space="preserve"> 33: 416-427</w:t>
      </w:r>
      <w:r w:rsidR="00AB5C14" w:rsidRPr="007B3E88">
        <w:rPr>
          <w:rFonts w:ascii="Times New Roman" w:hAnsi="Times New Roman"/>
          <w:bCs/>
          <w:kern w:val="22"/>
          <w:sz w:val="20"/>
          <w:szCs w:val="20"/>
          <w:vertAlign w:val="superscript"/>
          <w:lang w:val="en-GB"/>
        </w:rPr>
        <w:t xml:space="preserve"> </w:t>
      </w:r>
      <w:r w:rsidR="00AB5C14" w:rsidRPr="007B3E88">
        <w:rPr>
          <w:rFonts w:ascii="Times New Roman" w:hAnsi="Times New Roman"/>
          <w:bCs/>
          <w:kern w:val="22"/>
          <w:sz w:val="20"/>
          <w:szCs w:val="20"/>
          <w:lang w:val="en-GB"/>
        </w:rPr>
        <w:t>and Pascual et al. (2014)</w:t>
      </w:r>
      <w:r w:rsidR="00A74169" w:rsidRPr="007B3E88">
        <w:rPr>
          <w:rFonts w:ascii="Times New Roman" w:hAnsi="Times New Roman"/>
          <w:bCs/>
          <w:kern w:val="22"/>
          <w:sz w:val="20"/>
          <w:szCs w:val="20"/>
          <w:lang w:val="en-GB"/>
        </w:rPr>
        <w:t>.</w:t>
      </w:r>
      <w:r w:rsidR="00A74169" w:rsidRPr="007B3E88">
        <w:rPr>
          <w:sz w:val="20"/>
          <w:szCs w:val="20"/>
        </w:rPr>
        <w:t xml:space="preserve"> </w:t>
      </w:r>
      <w:r w:rsidR="00A74169" w:rsidRPr="007B3E88">
        <w:rPr>
          <w:rFonts w:ascii="Times New Roman" w:hAnsi="Times New Roman"/>
          <w:bCs/>
          <w:kern w:val="22"/>
          <w:sz w:val="20"/>
          <w:szCs w:val="20"/>
          <w:lang w:val="en-GB"/>
        </w:rPr>
        <w:t xml:space="preserve">Social equity matters in payments for ecosystem services. </w:t>
      </w:r>
      <w:r w:rsidR="00A74169" w:rsidRPr="007B3E88">
        <w:rPr>
          <w:rFonts w:ascii="Times New Roman" w:hAnsi="Times New Roman"/>
          <w:bCs/>
          <w:i/>
          <w:iCs/>
          <w:kern w:val="22"/>
          <w:sz w:val="20"/>
          <w:szCs w:val="20"/>
          <w:lang w:val="en-GB"/>
        </w:rPr>
        <w:t>Bioscience</w:t>
      </w:r>
      <w:r w:rsidR="00A74169" w:rsidRPr="007B3E88">
        <w:rPr>
          <w:rFonts w:ascii="Times New Roman" w:hAnsi="Times New Roman"/>
          <w:bCs/>
          <w:kern w:val="22"/>
          <w:sz w:val="20"/>
          <w:szCs w:val="20"/>
          <w:lang w:val="en-GB"/>
        </w:rPr>
        <w:t xml:space="preserve"> 64(11) 1027-1036</w:t>
      </w:r>
      <w:r w:rsidRPr="007B3E88">
        <w:rPr>
          <w:rFonts w:ascii="Times New Roman" w:hAnsi="Times New Roman"/>
          <w:bCs/>
          <w:kern w:val="22"/>
          <w:sz w:val="20"/>
          <w:szCs w:val="20"/>
          <w:lang w:val="en-GB"/>
        </w:rPr>
        <w:t>.</w:t>
      </w:r>
    </w:p>
    <w:p w14:paraId="298270BC" w14:textId="611985C6" w:rsidR="00D76DC5" w:rsidRPr="007B3E88" w:rsidRDefault="00CF1CFA" w:rsidP="007B3E88">
      <w:pPr>
        <w:pStyle w:val="Para1"/>
        <w:numPr>
          <w:ilvl w:val="0"/>
          <w:numId w:val="53"/>
        </w:numPr>
        <w:suppressLineNumbers/>
        <w:suppressAutoHyphens/>
        <w:kinsoku w:val="0"/>
        <w:overflowPunct w:val="0"/>
        <w:autoSpaceDE w:val="0"/>
        <w:autoSpaceDN w:val="0"/>
        <w:ind w:left="0" w:firstLine="0"/>
        <w:rPr>
          <w:kern w:val="22"/>
          <w:szCs w:val="22"/>
          <w:lang w:eastAsia="ja-JP" w:bidi="th-TH"/>
        </w:rPr>
      </w:pPr>
      <w:r w:rsidRPr="007B3E88">
        <w:rPr>
          <w:kern w:val="22"/>
          <w:szCs w:val="22"/>
          <w:lang w:eastAsia="ja-JP" w:bidi="th-TH"/>
        </w:rPr>
        <w:t xml:space="preserve">Good governance implies that potential negative impacts, particularly on the human well-being of vulnerable and natural resource-dependent people, are assessed, monitored and avoided or mitigated, and positive impacts enhanced. The governance type and the arrangements for decision-making and implementation need to be tailored to the specific context in such a way </w:t>
      </w:r>
      <w:r w:rsidR="003063A1">
        <w:rPr>
          <w:kern w:val="22"/>
          <w:szCs w:val="22"/>
          <w:lang w:eastAsia="ja-JP" w:bidi="th-TH"/>
        </w:rPr>
        <w:t xml:space="preserve">as to ensure </w:t>
      </w:r>
      <w:r w:rsidRPr="007B3E88">
        <w:rPr>
          <w:kern w:val="22"/>
          <w:szCs w:val="22"/>
          <w:lang w:eastAsia="ja-JP" w:bidi="th-TH"/>
        </w:rPr>
        <w:t>that rights</w:t>
      </w:r>
      <w:r w:rsidR="001147EE" w:rsidRPr="007B3E88">
        <w:rPr>
          <w:kern w:val="22"/>
          <w:szCs w:val="22"/>
          <w:lang w:eastAsia="ja-JP" w:bidi="th-TH"/>
        </w:rPr>
        <w:t xml:space="preserve"> </w:t>
      </w:r>
      <w:r w:rsidRPr="007B3E88">
        <w:rPr>
          <w:kern w:val="22"/>
          <w:szCs w:val="22"/>
          <w:lang w:eastAsia="ja-JP" w:bidi="th-TH"/>
        </w:rPr>
        <w:t xml:space="preserve">holders and stakeholders </w:t>
      </w:r>
      <w:r w:rsidR="003063A1">
        <w:rPr>
          <w:kern w:val="22"/>
          <w:szCs w:val="22"/>
          <w:lang w:eastAsia="ja-JP" w:bidi="th-TH"/>
        </w:rPr>
        <w:t xml:space="preserve">that are </w:t>
      </w:r>
      <w:r w:rsidRPr="007B3E88">
        <w:rPr>
          <w:kern w:val="22"/>
          <w:szCs w:val="22"/>
          <w:lang w:eastAsia="ja-JP" w:bidi="th-TH"/>
        </w:rPr>
        <w:t>impacted by the protected area can participate</w:t>
      </w:r>
      <w:r w:rsidR="003063A1" w:rsidRPr="003063A1">
        <w:rPr>
          <w:kern w:val="22"/>
          <w:szCs w:val="22"/>
          <w:lang w:eastAsia="ja-JP" w:bidi="th-TH"/>
        </w:rPr>
        <w:t xml:space="preserve"> </w:t>
      </w:r>
      <w:r w:rsidR="003063A1" w:rsidRPr="004C655B">
        <w:rPr>
          <w:kern w:val="22"/>
          <w:szCs w:val="22"/>
          <w:lang w:eastAsia="ja-JP" w:bidi="th-TH"/>
        </w:rPr>
        <w:t>effectively</w:t>
      </w:r>
      <w:r w:rsidRPr="007B3E88">
        <w:rPr>
          <w:kern w:val="22"/>
          <w:szCs w:val="22"/>
          <w:lang w:eastAsia="ja-JP" w:bidi="th-TH"/>
        </w:rPr>
        <w:t>.</w:t>
      </w:r>
    </w:p>
    <w:p w14:paraId="0C2BB145" w14:textId="2B2DEAB4" w:rsidR="00C914FA" w:rsidRPr="007B3E88" w:rsidRDefault="00C914FA" w:rsidP="007B3E88">
      <w:pPr>
        <w:pStyle w:val="Para1"/>
        <w:numPr>
          <w:ilvl w:val="0"/>
          <w:numId w:val="53"/>
        </w:numPr>
        <w:suppressLineNumbers/>
        <w:suppressAutoHyphens/>
        <w:kinsoku w:val="0"/>
        <w:overflowPunct w:val="0"/>
        <w:autoSpaceDE w:val="0"/>
        <w:autoSpaceDN w:val="0"/>
        <w:ind w:left="0" w:firstLine="0"/>
        <w:rPr>
          <w:iCs/>
          <w:kern w:val="22"/>
          <w:lang w:eastAsia="ja-JP" w:bidi="th-TH"/>
        </w:rPr>
      </w:pPr>
      <w:r w:rsidRPr="007B3E88">
        <w:rPr>
          <w:iCs/>
          <w:kern w:val="22"/>
          <w:lang w:eastAsia="ja-JP" w:bidi="th-TH"/>
        </w:rPr>
        <w:t xml:space="preserve">Elements of effective and </w:t>
      </w:r>
      <w:r w:rsidRPr="007B3E88">
        <w:rPr>
          <w:iCs/>
          <w:kern w:val="22"/>
          <w:szCs w:val="22"/>
          <w:lang w:eastAsia="ja-JP" w:bidi="th-TH"/>
        </w:rPr>
        <w:t>equitable</w:t>
      </w:r>
      <w:r w:rsidRPr="007B3E88">
        <w:rPr>
          <w:iCs/>
          <w:kern w:val="22"/>
          <w:lang w:eastAsia="ja-JP" w:bidi="th-TH"/>
        </w:rPr>
        <w:t xml:space="preserve"> governance models for protected and conserved areas may include</w:t>
      </w:r>
      <w:r w:rsidR="00CF1CFA" w:rsidRPr="007B3E88">
        <w:rPr>
          <w:iCs/>
          <w:kern w:val="22"/>
          <w:lang w:eastAsia="ja-JP" w:bidi="th-TH"/>
        </w:rPr>
        <w:t>:</w:t>
      </w:r>
    </w:p>
    <w:p w14:paraId="033C56CC" w14:textId="28A2BC25" w:rsidR="00C914FA" w:rsidRPr="007B3E88"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6A64B0">
        <w:rPr>
          <w:rFonts w:cs="Times New Roman"/>
          <w:kern w:val="22"/>
          <w:lang w:eastAsia="ja-JP" w:bidi="th-TH"/>
        </w:rPr>
        <w:t xml:space="preserve">Appropriate procedures and mechanisms for the full and effective participation of </w:t>
      </w:r>
      <w:r w:rsidR="00256ABE" w:rsidRPr="005D36C5">
        <w:rPr>
          <w:rFonts w:cs="Times New Roman"/>
          <w:kern w:val="22"/>
          <w:lang w:eastAsia="ja-JP" w:bidi="th-TH"/>
        </w:rPr>
        <w:t>indigenous peoples and local communities</w:t>
      </w:r>
      <w:r w:rsidR="00D02FE4" w:rsidRPr="005D36C5">
        <w:rPr>
          <w:rFonts w:cs="Times New Roman"/>
          <w:kern w:val="22"/>
          <w:lang w:eastAsia="ja-JP" w:bidi="th-TH"/>
        </w:rPr>
        <w:t>,</w:t>
      </w:r>
      <w:r w:rsidR="00846C8A" w:rsidRPr="007B3E88">
        <w:rPr>
          <w:rStyle w:val="FootnoteReference"/>
          <w:rFonts w:eastAsia="Batang" w:cs="Times New Roman"/>
          <w:bCs w:val="0"/>
          <w:iCs/>
          <w:snapToGrid w:val="0"/>
          <w:kern w:val="22"/>
          <w:sz w:val="22"/>
          <w:u w:val="none"/>
          <w:vertAlign w:val="superscript"/>
          <w:lang w:eastAsia="ja-JP" w:bidi="th-TH"/>
        </w:rPr>
        <w:footnoteReference w:id="36"/>
      </w:r>
      <w:r w:rsidR="00846C8A" w:rsidRPr="005D36C5">
        <w:rPr>
          <w:rFonts w:cs="Times New Roman"/>
          <w:kern w:val="22"/>
          <w:lang w:eastAsia="ja-JP" w:bidi="th-TH"/>
        </w:rPr>
        <w:t xml:space="preserve"> ensuring gender equality</w:t>
      </w:r>
      <w:r w:rsidRPr="005D36C5">
        <w:rPr>
          <w:rFonts w:cs="Times New Roman"/>
          <w:kern w:val="22"/>
          <w:lang w:eastAsia="ja-JP" w:bidi="th-TH"/>
        </w:rPr>
        <w:t xml:space="preserve"> in full respect of their rights and recognition of their responsibilities, and ensuring legitimate representation</w:t>
      </w:r>
      <w:r w:rsidR="009547DA">
        <w:rPr>
          <w:rFonts w:cs="Times New Roman"/>
          <w:kern w:val="22"/>
          <w:lang w:eastAsia="ja-JP" w:bidi="th-TH"/>
        </w:rPr>
        <w:t>,</w:t>
      </w:r>
      <w:r w:rsidRPr="005D36C5">
        <w:rPr>
          <w:rFonts w:cs="Times New Roman"/>
          <w:kern w:val="22"/>
          <w:lang w:eastAsia="ja-JP" w:bidi="th-TH"/>
        </w:rPr>
        <w:t xml:space="preserve"> including in the establishment, governance, planning, monitoring and reporting of protected and conserved areas on their traditional territories (lands and waters);</w:t>
      </w:r>
      <w:r w:rsidRPr="007B3E88">
        <w:rPr>
          <w:rStyle w:val="FootnoteReference"/>
          <w:rFonts w:eastAsia="Batang" w:cs="Times New Roman"/>
          <w:bCs w:val="0"/>
          <w:iCs/>
          <w:snapToGrid w:val="0"/>
          <w:kern w:val="22"/>
          <w:sz w:val="22"/>
          <w:u w:val="none"/>
          <w:vertAlign w:val="superscript"/>
          <w:lang w:eastAsia="ja-JP" w:bidi="th-TH"/>
        </w:rPr>
        <w:footnoteReference w:id="37"/>
      </w:r>
    </w:p>
    <w:p w14:paraId="38143BEE" w14:textId="0D5FB6AA" w:rsidR="00256ABE" w:rsidRPr="005D36C5" w:rsidRDefault="00256ABE"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7B3E88">
        <w:rPr>
          <w:rFonts w:eastAsia="Batang" w:cs="Times New Roman"/>
          <w:bCs w:val="0"/>
          <w:iCs/>
          <w:snapToGrid w:val="0"/>
          <w:kern w:val="22"/>
        </w:rPr>
        <w:t>A</w:t>
      </w:r>
      <w:r w:rsidRPr="006A64B0">
        <w:rPr>
          <w:rFonts w:eastAsia="Batang" w:cs="Times New Roman"/>
          <w:bCs w:val="0"/>
          <w:iCs/>
          <w:snapToGrid w:val="0"/>
          <w:kern w:val="22"/>
        </w:rPr>
        <w:t>ppropriate procedures and mechanisms for the effective participation of and/or coor</w:t>
      </w:r>
      <w:r w:rsidRPr="005D36C5">
        <w:rPr>
          <w:rFonts w:eastAsia="Batang" w:cs="Times New Roman"/>
          <w:bCs w:val="0"/>
          <w:iCs/>
          <w:snapToGrid w:val="0"/>
          <w:kern w:val="22"/>
        </w:rPr>
        <w:t>dination with other stakeholders;</w:t>
      </w:r>
    </w:p>
    <w:p w14:paraId="3CDA8276" w14:textId="781D1974" w:rsidR="00C914FA" w:rsidRPr="006A64B0"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7B3E88">
        <w:rPr>
          <w:rFonts w:cs="Times New Roman"/>
          <w:kern w:val="22"/>
          <w:lang w:eastAsia="ja-JP" w:bidi="th-TH"/>
        </w:rPr>
        <w:t>Appropriate procedures and mechanisms to recogni</w:t>
      </w:r>
      <w:r w:rsidR="00AF53F5" w:rsidRPr="007B3E88">
        <w:rPr>
          <w:rFonts w:cs="Times New Roman"/>
          <w:kern w:val="22"/>
          <w:lang w:eastAsia="ja-JP" w:bidi="th-TH"/>
        </w:rPr>
        <w:t>z</w:t>
      </w:r>
      <w:r w:rsidRPr="007B3E88">
        <w:rPr>
          <w:rFonts w:cs="Times New Roman"/>
          <w:kern w:val="22"/>
          <w:lang w:eastAsia="ja-JP" w:bidi="th-TH"/>
        </w:rPr>
        <w:t>e and accommodate customary tenure and governance systems in protected area</w:t>
      </w:r>
      <w:r w:rsidR="007268EB" w:rsidRPr="007B3E88">
        <w:rPr>
          <w:rFonts w:cs="Times New Roman"/>
          <w:kern w:val="22"/>
          <w:lang w:eastAsia="ja-JP" w:bidi="th-TH"/>
        </w:rPr>
        <w:t>s</w:t>
      </w:r>
      <w:r w:rsidRPr="007B3E88">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38"/>
      </w:r>
      <w:r w:rsidRPr="007B3E88">
        <w:rPr>
          <w:rFonts w:cs="Times New Roman"/>
          <w:kern w:val="22"/>
          <w:lang w:eastAsia="ja-JP" w:bidi="th-TH"/>
        </w:rPr>
        <w:t xml:space="preserve"> including customary practices and customary sustainable use, in line with the Plan of Action on Customary Sustainable Use;</w:t>
      </w:r>
      <w:r w:rsidRPr="007B3E88">
        <w:rPr>
          <w:rStyle w:val="FootnoteReference"/>
          <w:rFonts w:eastAsia="Batang" w:cs="Times New Roman"/>
          <w:bCs w:val="0"/>
          <w:iCs/>
          <w:snapToGrid w:val="0"/>
          <w:kern w:val="22"/>
          <w:sz w:val="22"/>
          <w:u w:val="none"/>
          <w:vertAlign w:val="superscript"/>
          <w:lang w:eastAsia="ja-JP" w:bidi="th-TH"/>
        </w:rPr>
        <w:footnoteReference w:id="39"/>
      </w:r>
    </w:p>
    <w:p w14:paraId="25CBC51C" w14:textId="0F665F85" w:rsidR="00C914FA" w:rsidRPr="005D36C5"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Appropriate mechanisms for transparency and accountability, taking into consideration internationally agreed standards and best practices</w:t>
      </w:r>
      <w:r w:rsidR="00AF53F5" w:rsidRPr="005D36C5">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0"/>
      </w:r>
    </w:p>
    <w:p w14:paraId="15557E4B" w14:textId="77777777" w:rsidR="00C914FA" w:rsidRPr="005D36C5"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Appropriate procedures and mechanisms for fair dispute or conflict resolution;</w:t>
      </w:r>
    </w:p>
    <w:p w14:paraId="0BDAC2CA" w14:textId="6C46CC98" w:rsidR="00C914FA" w:rsidRPr="005D36C5"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Provisions for equitable sharing</w:t>
      </w:r>
      <w:r w:rsidR="00C959AC" w:rsidRPr="00C959AC">
        <w:rPr>
          <w:rFonts w:cs="Times New Roman"/>
          <w:kern w:val="22"/>
          <w:lang w:eastAsia="ja-JP" w:bidi="th-TH"/>
        </w:rPr>
        <w:t xml:space="preserve"> </w:t>
      </w:r>
      <w:r w:rsidR="00C959AC">
        <w:rPr>
          <w:rFonts w:cs="Times New Roman"/>
          <w:kern w:val="22"/>
          <w:lang w:eastAsia="ja-JP" w:bidi="th-TH"/>
        </w:rPr>
        <w:t xml:space="preserve">of </w:t>
      </w:r>
      <w:r w:rsidR="00C959AC" w:rsidRPr="005D36C5">
        <w:rPr>
          <w:rFonts w:cs="Times New Roman"/>
          <w:kern w:val="22"/>
          <w:lang w:eastAsia="ja-JP" w:bidi="th-TH"/>
        </w:rPr>
        <w:t>benefit</w:t>
      </w:r>
      <w:r w:rsidR="00C959AC">
        <w:rPr>
          <w:rFonts w:cs="Times New Roman"/>
          <w:kern w:val="22"/>
          <w:lang w:eastAsia="ja-JP" w:bidi="th-TH"/>
        </w:rPr>
        <w:t>s</w:t>
      </w:r>
      <w:r w:rsidR="00C959AC" w:rsidRPr="005D36C5">
        <w:rPr>
          <w:rFonts w:cs="Times New Roman"/>
          <w:kern w:val="22"/>
          <w:lang w:eastAsia="ja-JP" w:bidi="th-TH"/>
        </w:rPr>
        <w:t xml:space="preserve"> and cost</w:t>
      </w:r>
      <w:r w:rsidR="00C959AC">
        <w:rPr>
          <w:rFonts w:cs="Times New Roman"/>
          <w:kern w:val="22"/>
          <w:lang w:eastAsia="ja-JP" w:bidi="th-TH"/>
        </w:rPr>
        <w:t>s</w:t>
      </w:r>
      <w:r w:rsidRPr="005D36C5">
        <w:rPr>
          <w:rFonts w:cs="Times New Roman"/>
          <w:kern w:val="22"/>
          <w:lang w:eastAsia="ja-JP" w:bidi="th-TH"/>
        </w:rPr>
        <w:t>, including through</w:t>
      </w:r>
      <w:r w:rsidR="00AD0365">
        <w:rPr>
          <w:rFonts w:cs="Times New Roman"/>
          <w:kern w:val="22"/>
          <w:lang w:eastAsia="ja-JP" w:bidi="th-TH"/>
        </w:rPr>
        <w:t>:</w:t>
      </w:r>
      <w:r w:rsidRPr="005D36C5">
        <w:rPr>
          <w:rFonts w:cs="Times New Roman"/>
          <w:kern w:val="22"/>
          <w:lang w:eastAsia="ja-JP" w:bidi="th-TH"/>
        </w:rPr>
        <w:t xml:space="preserve"> </w:t>
      </w:r>
      <w:r w:rsidR="00AD0365">
        <w:rPr>
          <w:rFonts w:cs="Times New Roman"/>
          <w:kern w:val="22"/>
          <w:lang w:eastAsia="ja-JP" w:bidi="th-TH"/>
        </w:rPr>
        <w:t>(i) </w:t>
      </w:r>
      <w:r w:rsidRPr="005D36C5">
        <w:rPr>
          <w:rFonts w:cs="Times New Roman"/>
          <w:kern w:val="22"/>
          <w:lang w:eastAsia="ja-JP" w:bidi="th-TH"/>
        </w:rPr>
        <w:t xml:space="preserve">assessing </w:t>
      </w:r>
      <w:r w:rsidR="00AD0365">
        <w:rPr>
          <w:rFonts w:cs="Times New Roman"/>
          <w:kern w:val="22"/>
          <w:lang w:eastAsia="ja-JP" w:bidi="th-TH"/>
        </w:rPr>
        <w:t xml:space="preserve">the </w:t>
      </w:r>
      <w:r w:rsidRPr="005D36C5">
        <w:rPr>
          <w:rFonts w:cs="Times New Roman"/>
          <w:kern w:val="22"/>
          <w:lang w:eastAsia="ja-JP" w:bidi="th-TH"/>
        </w:rPr>
        <w:t>economic and socio</w:t>
      </w:r>
      <w:r w:rsidRPr="006A64B0">
        <w:rPr>
          <w:rFonts w:cs="Times New Roman"/>
          <w:kern w:val="22"/>
          <w:lang w:eastAsia="ja-JP" w:bidi="th-TH"/>
        </w:rPr>
        <w:t xml:space="preserve">cultural costs and benefits associated with </w:t>
      </w:r>
      <w:r w:rsidR="00AD0365">
        <w:rPr>
          <w:rFonts w:cs="Times New Roman"/>
          <w:kern w:val="22"/>
          <w:lang w:eastAsia="ja-JP" w:bidi="th-TH"/>
        </w:rPr>
        <w:t xml:space="preserve">the </w:t>
      </w:r>
      <w:r w:rsidRPr="006A64B0">
        <w:rPr>
          <w:rFonts w:cs="Times New Roman"/>
          <w:kern w:val="22"/>
          <w:lang w:eastAsia="ja-JP" w:bidi="th-TH"/>
        </w:rPr>
        <w:t>establishment and management</w:t>
      </w:r>
      <w:r w:rsidR="00AD0365" w:rsidRPr="00AD0365">
        <w:rPr>
          <w:rFonts w:cs="Times New Roman"/>
          <w:kern w:val="22"/>
          <w:lang w:eastAsia="ja-JP" w:bidi="th-TH"/>
        </w:rPr>
        <w:t xml:space="preserve"> </w:t>
      </w:r>
      <w:r w:rsidR="00AD0365">
        <w:rPr>
          <w:rFonts w:cs="Times New Roman"/>
          <w:kern w:val="22"/>
          <w:lang w:eastAsia="ja-JP" w:bidi="th-TH"/>
        </w:rPr>
        <w:t xml:space="preserve">of </w:t>
      </w:r>
      <w:r w:rsidR="00AD0365" w:rsidRPr="006A64B0">
        <w:rPr>
          <w:rFonts w:cs="Times New Roman"/>
          <w:kern w:val="22"/>
          <w:lang w:eastAsia="ja-JP" w:bidi="th-TH"/>
        </w:rPr>
        <w:t>protected areas</w:t>
      </w:r>
      <w:r w:rsidRPr="006A64B0">
        <w:rPr>
          <w:rFonts w:cs="Times New Roman"/>
          <w:kern w:val="22"/>
          <w:lang w:eastAsia="ja-JP" w:bidi="th-TH"/>
        </w:rPr>
        <w:t xml:space="preserve">; </w:t>
      </w:r>
      <w:r w:rsidR="00AD0365">
        <w:rPr>
          <w:rFonts w:cs="Times New Roman"/>
          <w:kern w:val="22"/>
          <w:lang w:eastAsia="ja-JP" w:bidi="th-TH"/>
        </w:rPr>
        <w:t>(ii) </w:t>
      </w:r>
      <w:r w:rsidRPr="006A64B0">
        <w:rPr>
          <w:rFonts w:cs="Times New Roman"/>
          <w:kern w:val="22"/>
          <w:lang w:eastAsia="ja-JP" w:bidi="th-TH"/>
        </w:rPr>
        <w:t xml:space="preserve">mitigating, avoiding or compensating for costs; and </w:t>
      </w:r>
      <w:r w:rsidR="00AD0365">
        <w:rPr>
          <w:rFonts w:cs="Times New Roman"/>
          <w:kern w:val="22"/>
          <w:lang w:eastAsia="ja-JP" w:bidi="th-TH"/>
        </w:rPr>
        <w:t>(iii) </w:t>
      </w:r>
      <w:r w:rsidRPr="006A64B0">
        <w:rPr>
          <w:rFonts w:cs="Times New Roman"/>
          <w:kern w:val="22"/>
          <w:lang w:eastAsia="ja-JP" w:bidi="th-TH"/>
        </w:rPr>
        <w:t>equitably sharing benefits</w:t>
      </w:r>
      <w:r w:rsidRPr="007B3E88">
        <w:rPr>
          <w:rStyle w:val="FootnoteReference"/>
          <w:rFonts w:eastAsia="Batang" w:cs="Times New Roman"/>
          <w:bCs w:val="0"/>
          <w:iCs/>
          <w:snapToGrid w:val="0"/>
          <w:kern w:val="22"/>
          <w:sz w:val="22"/>
          <w:u w:val="none"/>
          <w:vertAlign w:val="superscript"/>
          <w:lang w:eastAsia="ja-JP" w:bidi="th-TH"/>
        </w:rPr>
        <w:footnoteReference w:id="41"/>
      </w:r>
      <w:r w:rsidRPr="006A64B0">
        <w:rPr>
          <w:rFonts w:cs="Times New Roman"/>
          <w:kern w:val="22"/>
          <w:vertAlign w:val="superscript"/>
          <w:lang w:eastAsia="ja-JP" w:bidi="th-TH"/>
        </w:rPr>
        <w:t xml:space="preserve"> </w:t>
      </w:r>
      <w:r w:rsidRPr="005D36C5">
        <w:rPr>
          <w:rFonts w:cs="Times New Roman"/>
          <w:kern w:val="22"/>
          <w:lang w:eastAsia="ja-JP" w:bidi="th-TH"/>
        </w:rPr>
        <w:t>based on criteria agreed among rights</w:t>
      </w:r>
      <w:r w:rsidR="00F26A79">
        <w:rPr>
          <w:rFonts w:cs="Times New Roman"/>
          <w:kern w:val="22"/>
          <w:lang w:eastAsia="ja-JP" w:bidi="th-TH"/>
        </w:rPr>
        <w:t xml:space="preserve"> </w:t>
      </w:r>
      <w:r w:rsidRPr="005D36C5">
        <w:rPr>
          <w:rFonts w:cs="Times New Roman"/>
          <w:kern w:val="22"/>
          <w:lang w:eastAsia="ja-JP" w:bidi="th-TH"/>
        </w:rPr>
        <w:t>holders and stakeholders</w:t>
      </w:r>
      <w:r w:rsidR="00AF53F5" w:rsidRPr="005D36C5">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2"/>
      </w:r>
    </w:p>
    <w:p w14:paraId="626F740E" w14:textId="77777777" w:rsidR="00C914FA" w:rsidRPr="005D36C5"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Safeguards that ensure the impartial and effective implementation of the rule of law;</w:t>
      </w:r>
    </w:p>
    <w:p w14:paraId="68C43186" w14:textId="3F704C0F" w:rsidR="00C914FA" w:rsidRPr="006A64B0"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 xml:space="preserve">A monitoring system that covers governance issues, including impacts on </w:t>
      </w:r>
      <w:r w:rsidR="005C43A3">
        <w:rPr>
          <w:rFonts w:cs="Times New Roman"/>
          <w:kern w:val="22"/>
          <w:lang w:eastAsia="ja-JP" w:bidi="th-TH"/>
        </w:rPr>
        <w:t>the</w:t>
      </w:r>
      <w:r w:rsidR="005C43A3" w:rsidRPr="005D36C5">
        <w:rPr>
          <w:rFonts w:cs="Times New Roman"/>
          <w:kern w:val="22"/>
          <w:lang w:eastAsia="ja-JP" w:bidi="th-TH"/>
        </w:rPr>
        <w:t xml:space="preserve"> </w:t>
      </w:r>
      <w:r w:rsidRPr="005D36C5">
        <w:rPr>
          <w:rFonts w:cs="Times New Roman"/>
          <w:kern w:val="22"/>
          <w:lang w:eastAsia="ja-JP" w:bidi="th-TH"/>
        </w:rPr>
        <w:t>well</w:t>
      </w:r>
      <w:r w:rsidR="00AF53F5" w:rsidRPr="005D36C5">
        <w:rPr>
          <w:rFonts w:cs="Times New Roman"/>
          <w:kern w:val="22"/>
          <w:lang w:eastAsia="ja-JP" w:bidi="th-TH"/>
        </w:rPr>
        <w:noBreakHyphen/>
      </w:r>
      <w:r w:rsidRPr="005D36C5">
        <w:rPr>
          <w:rFonts w:cs="Times New Roman"/>
          <w:kern w:val="22"/>
          <w:lang w:eastAsia="ja-JP" w:bidi="th-TH"/>
        </w:rPr>
        <w:t>being of indigenous peoples and local communities;</w:t>
      </w:r>
    </w:p>
    <w:p w14:paraId="49ACC5DC" w14:textId="158C6C59" w:rsidR="00F0698A" w:rsidRPr="005D36C5" w:rsidRDefault="00C914FA" w:rsidP="007B3E88">
      <w:pPr>
        <w:pStyle w:val="Para10"/>
        <w:numPr>
          <w:ilvl w:val="0"/>
          <w:numId w:val="106"/>
        </w:numPr>
        <w:suppressLineNumbers/>
        <w:suppressAutoHyphens/>
        <w:kinsoku w:val="0"/>
        <w:overflowPunct w:val="0"/>
        <w:autoSpaceDE w:val="0"/>
        <w:autoSpaceDN w:val="0"/>
        <w:ind w:left="0" w:firstLine="720"/>
        <w:rPr>
          <w:rFonts w:cs="Times New Roman"/>
          <w:kern w:val="22"/>
          <w:lang w:eastAsia="ja-JP" w:bidi="th-TH"/>
        </w:rPr>
      </w:pPr>
      <w:r w:rsidRPr="006A64B0">
        <w:rPr>
          <w:rFonts w:cs="Times New Roman"/>
          <w:kern w:val="22"/>
          <w:lang w:eastAsia="ja-JP" w:bidi="th-TH"/>
        </w:rPr>
        <w:t xml:space="preserve">Consistency with Articles 8(j) and 10(c) and related provisions, principles and guidelines, including through respecting, preserving, and maintaining </w:t>
      </w:r>
      <w:r w:rsidR="00CB328B">
        <w:rPr>
          <w:rFonts w:cs="Times New Roman"/>
          <w:kern w:val="22"/>
          <w:lang w:eastAsia="ja-JP" w:bidi="th-TH"/>
        </w:rPr>
        <w:t xml:space="preserve">the </w:t>
      </w:r>
      <w:r w:rsidRPr="006A64B0">
        <w:rPr>
          <w:rFonts w:cs="Times New Roman"/>
          <w:kern w:val="22"/>
          <w:lang w:eastAsia="ja-JP" w:bidi="th-TH"/>
        </w:rPr>
        <w:t>traditional knowledge</w:t>
      </w:r>
      <w:r w:rsidR="00CB328B" w:rsidRPr="00CB328B">
        <w:rPr>
          <w:rFonts w:cs="Times New Roman"/>
          <w:kern w:val="22"/>
          <w:lang w:eastAsia="ja-JP" w:bidi="th-TH"/>
        </w:rPr>
        <w:t xml:space="preserve"> </w:t>
      </w:r>
      <w:r w:rsidR="00CB328B">
        <w:rPr>
          <w:rFonts w:cs="Times New Roman"/>
          <w:kern w:val="22"/>
          <w:lang w:eastAsia="ja-JP" w:bidi="th-TH"/>
        </w:rPr>
        <w:t xml:space="preserve">of </w:t>
      </w:r>
      <w:r w:rsidR="00CB328B" w:rsidRPr="006A64B0">
        <w:rPr>
          <w:rFonts w:cs="Times New Roman"/>
          <w:kern w:val="22"/>
          <w:lang w:eastAsia="ja-JP" w:bidi="th-TH"/>
        </w:rPr>
        <w:t>indigenous peoples and local communities</w:t>
      </w:r>
      <w:r w:rsidRPr="006A64B0">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3"/>
      </w:r>
      <w:r w:rsidRPr="006A64B0">
        <w:rPr>
          <w:rFonts w:cs="Times New Roman"/>
          <w:kern w:val="22"/>
          <w:lang w:eastAsia="ja-JP" w:bidi="th-TH"/>
        </w:rPr>
        <w:t xml:space="preserve"> and respecting their right to customary sustainable use of biodiversity.</w:t>
      </w:r>
    </w:p>
    <w:p w14:paraId="28150E37" w14:textId="47254163" w:rsidR="00C914FA" w:rsidRPr="007B3E88" w:rsidRDefault="00C914FA" w:rsidP="007B3E88">
      <w:pPr>
        <w:pStyle w:val="Para1"/>
        <w:numPr>
          <w:ilvl w:val="0"/>
          <w:numId w:val="53"/>
        </w:numPr>
        <w:suppressLineNumbers/>
        <w:suppressAutoHyphens/>
        <w:kinsoku w:val="0"/>
        <w:overflowPunct w:val="0"/>
        <w:autoSpaceDE w:val="0"/>
        <w:autoSpaceDN w:val="0"/>
        <w:ind w:left="0" w:firstLine="0"/>
        <w:rPr>
          <w:kern w:val="22"/>
          <w:lang w:eastAsia="ja-JP" w:bidi="th-TH"/>
        </w:rPr>
      </w:pPr>
      <w:r w:rsidRPr="007B3E88">
        <w:rPr>
          <w:kern w:val="22"/>
          <w:lang w:eastAsia="ja-JP" w:bidi="th-TH"/>
        </w:rPr>
        <w:t>Suggested actions that could be taken by Parties to enable and support effective and equitable governance models tailored to their context for protected areas under their mandate include:</w:t>
      </w:r>
    </w:p>
    <w:p w14:paraId="4ACF092E" w14:textId="6CD8C7DA" w:rsidR="00C914FA" w:rsidRPr="005D36C5"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6A64B0">
        <w:rPr>
          <w:rFonts w:cs="Times New Roman"/>
          <w:kern w:val="22"/>
          <w:lang w:eastAsia="ja-JP" w:bidi="th-TH"/>
        </w:rPr>
        <w:t>Conduct</w:t>
      </w:r>
      <w:r w:rsidR="00EA79B3">
        <w:rPr>
          <w:rFonts w:cs="Times New Roman"/>
          <w:kern w:val="22"/>
          <w:lang w:eastAsia="ja-JP" w:bidi="th-TH"/>
        </w:rPr>
        <w:t>,</w:t>
      </w:r>
      <w:r w:rsidR="00EA79B3" w:rsidRPr="00EA79B3">
        <w:rPr>
          <w:rFonts w:cs="Times New Roman"/>
          <w:kern w:val="22"/>
          <w:lang w:eastAsia="ja-JP" w:bidi="th-TH"/>
        </w:rPr>
        <w:t xml:space="preserve"> </w:t>
      </w:r>
      <w:r w:rsidR="00EA79B3" w:rsidRPr="006A64B0">
        <w:rPr>
          <w:rFonts w:cs="Times New Roman"/>
          <w:kern w:val="22"/>
          <w:lang w:eastAsia="ja-JP" w:bidi="th-TH"/>
        </w:rPr>
        <w:t>in consultation with relevant rights</w:t>
      </w:r>
      <w:r w:rsidR="00EA79B3">
        <w:rPr>
          <w:rFonts w:cs="Times New Roman"/>
          <w:kern w:val="22"/>
          <w:lang w:eastAsia="ja-JP" w:bidi="th-TH"/>
        </w:rPr>
        <w:t xml:space="preserve"> </w:t>
      </w:r>
      <w:r w:rsidR="00EA79B3" w:rsidRPr="006A64B0">
        <w:rPr>
          <w:rFonts w:cs="Times New Roman"/>
          <w:kern w:val="22"/>
          <w:lang w:eastAsia="ja-JP" w:bidi="th-TH"/>
        </w:rPr>
        <w:t>holders and stakeholders</w:t>
      </w:r>
      <w:r w:rsidR="00EA79B3">
        <w:rPr>
          <w:rFonts w:cs="Times New Roman"/>
          <w:kern w:val="22"/>
          <w:lang w:eastAsia="ja-JP" w:bidi="th-TH"/>
        </w:rPr>
        <w:t>,</w:t>
      </w:r>
      <w:r w:rsidRPr="006A64B0">
        <w:rPr>
          <w:rFonts w:cs="Times New Roman"/>
          <w:kern w:val="22"/>
          <w:lang w:eastAsia="ja-JP" w:bidi="th-TH"/>
        </w:rPr>
        <w:t xml:space="preserve"> a review of protected area policy and legislation against good governance principles</w:t>
      </w:r>
      <w:r w:rsidR="00EA79B3">
        <w:rPr>
          <w:rFonts w:cs="Times New Roman"/>
          <w:kern w:val="22"/>
          <w:lang w:eastAsia="ja-JP" w:bidi="th-TH"/>
        </w:rPr>
        <w:t>,</w:t>
      </w:r>
      <w:r w:rsidRPr="006A64B0">
        <w:rPr>
          <w:rFonts w:cs="Times New Roman"/>
          <w:kern w:val="22"/>
          <w:lang w:eastAsia="ja-JP" w:bidi="th-TH"/>
        </w:rPr>
        <w:t xml:space="preserve"> including equity</w:t>
      </w:r>
      <w:r w:rsidR="00EA79B3">
        <w:rPr>
          <w:rFonts w:cs="Times New Roman"/>
          <w:kern w:val="22"/>
          <w:lang w:eastAsia="ja-JP" w:bidi="th-TH"/>
        </w:rPr>
        <w:t>,</w:t>
      </w:r>
      <w:r w:rsidRPr="006A64B0">
        <w:rPr>
          <w:rFonts w:cs="Times New Roman"/>
          <w:kern w:val="22"/>
          <w:lang w:eastAsia="ja-JP" w:bidi="th-TH"/>
        </w:rPr>
        <w:t xml:space="preserve"> and taking into consideration relevant internationally agreed standar</w:t>
      </w:r>
      <w:r w:rsidRPr="005D36C5">
        <w:rPr>
          <w:rFonts w:cs="Times New Roman"/>
          <w:kern w:val="22"/>
          <w:lang w:eastAsia="ja-JP" w:bidi="th-TH"/>
        </w:rPr>
        <w:t>ds and guidance</w:t>
      </w:r>
      <w:r w:rsidR="00AF53F5" w:rsidRPr="005D36C5">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4"/>
      </w:r>
      <w:r w:rsidRPr="005D36C5">
        <w:rPr>
          <w:rFonts w:cs="Times New Roman"/>
          <w:kern w:val="22"/>
          <w:lang w:eastAsia="ja-JP" w:bidi="th-TH"/>
        </w:rPr>
        <w:t xml:space="preserve"> Such a review can be conducted as part of a system-level governance assessment</w:t>
      </w:r>
      <w:r w:rsidR="007268EB" w:rsidRPr="005D36C5">
        <w:rPr>
          <w:rFonts w:cs="Times New Roman"/>
          <w:kern w:val="22"/>
          <w:lang w:eastAsia="ja-JP" w:bidi="th-TH"/>
        </w:rPr>
        <w:t>;</w:t>
      </w:r>
    </w:p>
    <w:p w14:paraId="03A00235" w14:textId="5377D4D4" w:rsidR="00C914FA" w:rsidRPr="006A64B0"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Facilitate and engage in site-level governance assessments in participatory multi</w:t>
      </w:r>
      <w:r w:rsidR="00AF53F5" w:rsidRPr="005D36C5">
        <w:rPr>
          <w:rFonts w:cs="Times New Roman"/>
          <w:kern w:val="22"/>
          <w:lang w:eastAsia="ja-JP" w:bidi="th-TH"/>
        </w:rPr>
        <w:noBreakHyphen/>
      </w:r>
      <w:r w:rsidRPr="005D36C5">
        <w:rPr>
          <w:rFonts w:cs="Times New Roman"/>
          <w:kern w:val="22"/>
          <w:lang w:eastAsia="ja-JP" w:bidi="th-TH"/>
        </w:rPr>
        <w:t xml:space="preserve">stakeholder processes, take actions for improvement at </w:t>
      </w:r>
      <w:r w:rsidR="00FC6AA3">
        <w:rPr>
          <w:rFonts w:cs="Times New Roman"/>
          <w:kern w:val="22"/>
          <w:lang w:eastAsia="ja-JP" w:bidi="th-TH"/>
        </w:rPr>
        <w:t xml:space="preserve">the </w:t>
      </w:r>
      <w:r w:rsidRPr="005D36C5">
        <w:rPr>
          <w:rFonts w:cs="Times New Roman"/>
          <w:kern w:val="22"/>
          <w:lang w:eastAsia="ja-JP" w:bidi="th-TH"/>
        </w:rPr>
        <w:t>site level and draw</w:t>
      </w:r>
      <w:r w:rsidRPr="006A64B0">
        <w:rPr>
          <w:rFonts w:cs="Times New Roman"/>
          <w:kern w:val="22"/>
          <w:lang w:eastAsia="ja-JP" w:bidi="th-TH"/>
        </w:rPr>
        <w:t xml:space="preserve"> lessons for the policy level</w:t>
      </w:r>
      <w:r w:rsidR="007268EB" w:rsidRPr="006A64B0">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5"/>
      </w:r>
    </w:p>
    <w:p w14:paraId="2C814C39" w14:textId="79D0F5EA" w:rsidR="00C914FA" w:rsidRPr="005D40EF"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5D40EF">
        <w:rPr>
          <w:rFonts w:cs="Times New Roman"/>
          <w:kern w:val="22"/>
          <w:lang w:eastAsia="ja-JP" w:bidi="th-TH"/>
        </w:rPr>
        <w:t xml:space="preserve">Adapt protected area policy and legislation for their establishment, governance, planning, management and reporting as appropriate on the basis of the review and its results and taking into consideration elements </w:t>
      </w:r>
      <w:r w:rsidR="00FF06A6" w:rsidRPr="007B3E88">
        <w:rPr>
          <w:rFonts w:cs="Times New Roman"/>
          <w:kern w:val="22"/>
          <w:lang w:eastAsia="ja-JP" w:bidi="th-TH"/>
        </w:rPr>
        <w:t xml:space="preserve">indicated </w:t>
      </w:r>
      <w:r w:rsidR="00FD084E" w:rsidRPr="005D40EF">
        <w:rPr>
          <w:rFonts w:cs="Times New Roman"/>
          <w:kern w:val="22"/>
          <w:lang w:eastAsia="ja-JP" w:bidi="th-TH"/>
        </w:rPr>
        <w:t xml:space="preserve">under paragraph </w:t>
      </w:r>
      <w:r w:rsidR="00FF06A6" w:rsidRPr="007B3E88">
        <w:rPr>
          <w:rFonts w:cs="Times New Roman"/>
          <w:kern w:val="22"/>
          <w:lang w:eastAsia="ja-JP" w:bidi="th-TH"/>
        </w:rPr>
        <w:t>11</w:t>
      </w:r>
      <w:r w:rsidR="00FD084E" w:rsidRPr="005D40EF">
        <w:rPr>
          <w:rFonts w:cs="Times New Roman"/>
          <w:kern w:val="22"/>
          <w:lang w:eastAsia="ja-JP" w:bidi="th-TH"/>
        </w:rPr>
        <w:t xml:space="preserve"> above</w:t>
      </w:r>
      <w:r w:rsidR="007268EB" w:rsidRPr="005D40EF">
        <w:rPr>
          <w:rFonts w:cs="Times New Roman"/>
          <w:kern w:val="22"/>
          <w:lang w:eastAsia="ja-JP" w:bidi="th-TH"/>
        </w:rPr>
        <w:t>;</w:t>
      </w:r>
    </w:p>
    <w:p w14:paraId="7755FD8C" w14:textId="47518B7D" w:rsidR="00C914FA" w:rsidRPr="006A64B0"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 xml:space="preserve">Facilitate assessment and monitoring of economic and sociocultural costs and benefits associated with </w:t>
      </w:r>
      <w:r w:rsidR="00F6337D">
        <w:rPr>
          <w:rFonts w:cs="Times New Roman"/>
          <w:kern w:val="22"/>
          <w:lang w:eastAsia="ja-JP" w:bidi="th-TH"/>
        </w:rPr>
        <w:t xml:space="preserve">the </w:t>
      </w:r>
      <w:r w:rsidRPr="005D36C5">
        <w:rPr>
          <w:rFonts w:cs="Times New Roman"/>
          <w:kern w:val="22"/>
          <w:lang w:eastAsia="ja-JP" w:bidi="th-TH"/>
        </w:rPr>
        <w:t>establishment and management</w:t>
      </w:r>
      <w:r w:rsidR="00F6337D" w:rsidRPr="00F6337D">
        <w:rPr>
          <w:rFonts w:cs="Times New Roman"/>
          <w:kern w:val="22"/>
          <w:lang w:eastAsia="ja-JP" w:bidi="th-TH"/>
        </w:rPr>
        <w:t xml:space="preserve"> </w:t>
      </w:r>
      <w:r w:rsidR="00F6337D">
        <w:rPr>
          <w:rFonts w:cs="Times New Roman"/>
          <w:kern w:val="22"/>
          <w:lang w:eastAsia="ja-JP" w:bidi="th-TH"/>
        </w:rPr>
        <w:t xml:space="preserve">of </w:t>
      </w:r>
      <w:r w:rsidR="00F6337D" w:rsidRPr="005D36C5">
        <w:rPr>
          <w:rFonts w:cs="Times New Roman"/>
          <w:kern w:val="22"/>
          <w:lang w:eastAsia="ja-JP" w:bidi="th-TH"/>
        </w:rPr>
        <w:t>protected areas</w:t>
      </w:r>
      <w:r w:rsidRPr="005D36C5">
        <w:rPr>
          <w:rFonts w:cs="Times New Roman"/>
          <w:kern w:val="22"/>
          <w:lang w:eastAsia="ja-JP" w:bidi="th-TH"/>
        </w:rPr>
        <w:t>, and avoid, mitigate or compensate for costs while enhancing and equitably distributing benefits</w:t>
      </w:r>
      <w:r w:rsidR="007268EB" w:rsidRPr="006A64B0">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6"/>
      </w:r>
    </w:p>
    <w:p w14:paraId="38ECD1B4" w14:textId="1E611EBE" w:rsidR="00C914FA" w:rsidRPr="006A64B0"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Establish or strengthen national policies for access to genetic resources within protected areas and the fair and equitable sharing of benefits arising from their utilization</w:t>
      </w:r>
      <w:r w:rsidR="007268EB" w:rsidRPr="005D36C5">
        <w:rPr>
          <w:rFonts w:cs="Times New Roman"/>
          <w:kern w:val="22"/>
          <w:lang w:eastAsia="ja-JP" w:bidi="th-TH"/>
        </w:rPr>
        <w:t>;</w:t>
      </w:r>
      <w:r w:rsidRPr="007B3E88">
        <w:rPr>
          <w:rStyle w:val="FootnoteReference"/>
          <w:rFonts w:eastAsia="Batang" w:cs="Times New Roman"/>
          <w:bCs w:val="0"/>
          <w:iCs/>
          <w:snapToGrid w:val="0"/>
          <w:sz w:val="22"/>
          <w:u w:val="none"/>
          <w:vertAlign w:val="superscript"/>
        </w:rPr>
        <w:footnoteReference w:id="47"/>
      </w:r>
    </w:p>
    <w:p w14:paraId="7035CB51" w14:textId="0EE51AD2" w:rsidR="00C914FA" w:rsidRPr="005D36C5"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Facilitate and engage in capacity-building initiatives on governance and equity for protected and conserved areas</w:t>
      </w:r>
      <w:r w:rsidR="007268EB" w:rsidRPr="005D36C5">
        <w:rPr>
          <w:rFonts w:cs="Times New Roman"/>
          <w:kern w:val="22"/>
          <w:lang w:eastAsia="ja-JP" w:bidi="th-TH"/>
        </w:rPr>
        <w:t>;</w:t>
      </w:r>
    </w:p>
    <w:p w14:paraId="72AE422A" w14:textId="44607D3D" w:rsidR="00C914FA" w:rsidRPr="006A64B0" w:rsidRDefault="00C914FA" w:rsidP="007B3E88">
      <w:pPr>
        <w:pStyle w:val="Para10"/>
        <w:numPr>
          <w:ilvl w:val="0"/>
          <w:numId w:val="109"/>
        </w:numPr>
        <w:suppressLineNumbers/>
        <w:suppressAutoHyphens/>
        <w:kinsoku w:val="0"/>
        <w:overflowPunct w:val="0"/>
        <w:autoSpaceDE w:val="0"/>
        <w:autoSpaceDN w:val="0"/>
        <w:ind w:left="0" w:firstLine="720"/>
        <w:rPr>
          <w:rFonts w:cs="Times New Roman"/>
          <w:kern w:val="22"/>
          <w:lang w:eastAsia="ja-JP" w:bidi="th-TH"/>
        </w:rPr>
      </w:pPr>
      <w:r w:rsidRPr="007B3E88">
        <w:rPr>
          <w:rFonts w:cs="Times New Roman"/>
          <w:bCs w:val="0"/>
          <w:kern w:val="22"/>
          <w:lang w:eastAsia="ja-JP" w:bidi="th-TH"/>
        </w:rPr>
        <w:t>Facilitate appropriate funding to secure effective participation of all rights</w:t>
      </w:r>
      <w:r w:rsidR="00D505AE" w:rsidRPr="007B3E88">
        <w:rPr>
          <w:rFonts w:cs="Times New Roman"/>
          <w:bCs w:val="0"/>
          <w:kern w:val="22"/>
          <w:lang w:eastAsia="ja-JP" w:bidi="th-TH"/>
        </w:rPr>
        <w:t xml:space="preserve"> </w:t>
      </w:r>
      <w:r w:rsidRPr="007B3E88">
        <w:rPr>
          <w:rFonts w:cs="Times New Roman"/>
          <w:bCs w:val="0"/>
          <w:kern w:val="22"/>
          <w:lang w:eastAsia="ja-JP" w:bidi="th-TH"/>
        </w:rPr>
        <w:t>holders and stakeholders.</w:t>
      </w:r>
    </w:p>
    <w:p w14:paraId="222D3281" w14:textId="63874B28" w:rsidR="00C914FA" w:rsidRPr="007B3E88" w:rsidRDefault="00C914FA" w:rsidP="007B3E88">
      <w:pPr>
        <w:pStyle w:val="Para1"/>
        <w:numPr>
          <w:ilvl w:val="0"/>
          <w:numId w:val="53"/>
        </w:numPr>
        <w:suppressLineNumbers/>
        <w:suppressAutoHyphens/>
        <w:kinsoku w:val="0"/>
        <w:overflowPunct w:val="0"/>
        <w:autoSpaceDE w:val="0"/>
        <w:autoSpaceDN w:val="0"/>
        <w:ind w:left="0" w:firstLine="0"/>
        <w:rPr>
          <w:kern w:val="22"/>
          <w:lang w:eastAsia="ja-JP" w:bidi="th-TH"/>
        </w:rPr>
      </w:pPr>
      <w:r w:rsidRPr="007B3E88">
        <w:rPr>
          <w:kern w:val="22"/>
          <w:lang w:eastAsia="ja-JP" w:bidi="th-TH"/>
        </w:rPr>
        <w:t xml:space="preserve">Suggested actions that could be taken by other actors governing protected areas to enhance </w:t>
      </w:r>
      <w:r w:rsidR="00DF3AE9">
        <w:rPr>
          <w:kern w:val="22"/>
          <w:lang w:eastAsia="ja-JP" w:bidi="th-TH"/>
        </w:rPr>
        <w:t xml:space="preserve">the </w:t>
      </w:r>
      <w:r w:rsidRPr="007B3E88">
        <w:rPr>
          <w:kern w:val="22"/>
          <w:lang w:eastAsia="ja-JP" w:bidi="th-TH"/>
        </w:rPr>
        <w:t>effectiveness and equity</w:t>
      </w:r>
      <w:r w:rsidR="00DF3AE9" w:rsidRPr="00DF3AE9">
        <w:rPr>
          <w:kern w:val="22"/>
          <w:lang w:eastAsia="ja-JP" w:bidi="th-TH"/>
        </w:rPr>
        <w:t xml:space="preserve"> </w:t>
      </w:r>
      <w:r w:rsidR="00DF3AE9">
        <w:rPr>
          <w:kern w:val="22"/>
          <w:lang w:eastAsia="ja-JP" w:bidi="th-TH"/>
        </w:rPr>
        <w:t xml:space="preserve">of </w:t>
      </w:r>
      <w:r w:rsidR="00DF3AE9" w:rsidRPr="00170C51">
        <w:rPr>
          <w:kern w:val="22"/>
          <w:lang w:eastAsia="ja-JP" w:bidi="th-TH"/>
        </w:rPr>
        <w:t>governance</w:t>
      </w:r>
      <w:r w:rsidR="00E92D93" w:rsidRPr="00E92D93">
        <w:rPr>
          <w:kern w:val="22"/>
          <w:lang w:eastAsia="ja-JP" w:bidi="th-TH"/>
        </w:rPr>
        <w:t xml:space="preserve"> </w:t>
      </w:r>
      <w:r w:rsidR="00E92D93" w:rsidRPr="002145A3">
        <w:rPr>
          <w:kern w:val="22"/>
          <w:lang w:eastAsia="ja-JP" w:bidi="th-TH"/>
        </w:rPr>
        <w:t>include</w:t>
      </w:r>
      <w:r w:rsidRPr="007B3E88">
        <w:rPr>
          <w:kern w:val="22"/>
          <w:lang w:eastAsia="ja-JP" w:bidi="th-TH"/>
        </w:rPr>
        <w:t>:</w:t>
      </w:r>
    </w:p>
    <w:p w14:paraId="3AF75269" w14:textId="585B181E" w:rsidR="00C914FA" w:rsidRPr="005D36C5" w:rsidRDefault="00C914FA" w:rsidP="007B3E88">
      <w:pPr>
        <w:pStyle w:val="Para10"/>
        <w:numPr>
          <w:ilvl w:val="0"/>
          <w:numId w:val="110"/>
        </w:numPr>
        <w:suppressLineNumbers/>
        <w:suppressAutoHyphens/>
        <w:kinsoku w:val="0"/>
        <w:overflowPunct w:val="0"/>
        <w:autoSpaceDE w:val="0"/>
        <w:autoSpaceDN w:val="0"/>
        <w:ind w:left="0" w:firstLine="720"/>
        <w:rPr>
          <w:rFonts w:cs="Times New Roman"/>
          <w:kern w:val="22"/>
          <w:lang w:eastAsia="ja-JP" w:bidi="th-TH"/>
        </w:rPr>
      </w:pPr>
      <w:r w:rsidRPr="006A64B0">
        <w:rPr>
          <w:rFonts w:cs="Times New Roman"/>
          <w:kern w:val="22"/>
          <w:lang w:eastAsia="ja-JP" w:bidi="th-TH"/>
        </w:rPr>
        <w:t>Conduct site-level governance and equity assessments in ways that are inclusive of rights</w:t>
      </w:r>
      <w:r w:rsidR="00CA63A7" w:rsidRPr="005D36C5">
        <w:rPr>
          <w:rFonts w:cs="Times New Roman"/>
          <w:kern w:val="22"/>
          <w:lang w:eastAsia="ja-JP" w:bidi="th-TH"/>
        </w:rPr>
        <w:t xml:space="preserve"> </w:t>
      </w:r>
      <w:r w:rsidRPr="005D36C5">
        <w:rPr>
          <w:rFonts w:cs="Times New Roman"/>
          <w:kern w:val="22"/>
          <w:lang w:eastAsia="ja-JP" w:bidi="th-TH"/>
        </w:rPr>
        <w:t>holders and stakeholders</w:t>
      </w:r>
      <w:r w:rsidR="004429F8">
        <w:rPr>
          <w:rFonts w:cs="Times New Roman"/>
          <w:kern w:val="22"/>
          <w:lang w:eastAsia="ja-JP" w:bidi="th-TH"/>
        </w:rPr>
        <w:t>,</w:t>
      </w:r>
      <w:r w:rsidRPr="005D36C5">
        <w:rPr>
          <w:rFonts w:cs="Times New Roman"/>
          <w:kern w:val="22"/>
          <w:lang w:eastAsia="ja-JP" w:bidi="th-TH"/>
        </w:rPr>
        <w:t xml:space="preserve"> and take action</w:t>
      </w:r>
      <w:r w:rsidR="004429F8">
        <w:rPr>
          <w:rFonts w:cs="Times New Roman"/>
          <w:kern w:val="22"/>
          <w:lang w:eastAsia="ja-JP" w:bidi="th-TH"/>
        </w:rPr>
        <w:t xml:space="preserve"> aimed at</w:t>
      </w:r>
      <w:r w:rsidRPr="005D36C5">
        <w:rPr>
          <w:rFonts w:cs="Times New Roman"/>
          <w:kern w:val="22"/>
          <w:lang w:eastAsia="ja-JP" w:bidi="th-TH"/>
        </w:rPr>
        <w:t xml:space="preserve"> improvement;</w:t>
      </w:r>
    </w:p>
    <w:p w14:paraId="3D214DED" w14:textId="0F3C2C60" w:rsidR="00C914FA" w:rsidRPr="005D36C5" w:rsidRDefault="00C914FA" w:rsidP="007B3E88">
      <w:pPr>
        <w:pStyle w:val="Para10"/>
        <w:numPr>
          <w:ilvl w:val="0"/>
          <w:numId w:val="110"/>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Assess, monitor and mitigate any negative impacts arising from the establishment and/or maintenance of a protected or conserved area and enhance positive ones</w:t>
      </w:r>
      <w:r w:rsidR="004D526F" w:rsidRPr="005D36C5">
        <w:rPr>
          <w:rFonts w:cs="Times New Roman"/>
          <w:kern w:val="22"/>
          <w:lang w:eastAsia="ja-JP" w:bidi="th-TH"/>
        </w:rPr>
        <w:t>;</w:t>
      </w:r>
      <w:r w:rsidRPr="007B3E88">
        <w:rPr>
          <w:rStyle w:val="FootnoteReference"/>
          <w:rFonts w:eastAsia="Batang" w:cs="Times New Roman"/>
          <w:bCs w:val="0"/>
          <w:iCs/>
          <w:snapToGrid w:val="0"/>
          <w:kern w:val="22"/>
          <w:sz w:val="22"/>
          <w:u w:val="none"/>
          <w:vertAlign w:val="superscript"/>
          <w:lang w:eastAsia="ja-JP" w:bidi="th-TH"/>
        </w:rPr>
        <w:footnoteReference w:id="48"/>
      </w:r>
    </w:p>
    <w:p w14:paraId="41B75763" w14:textId="77777777" w:rsidR="00C914FA" w:rsidRPr="005D36C5" w:rsidRDefault="00C914FA" w:rsidP="007B3E88">
      <w:pPr>
        <w:pStyle w:val="Para10"/>
        <w:numPr>
          <w:ilvl w:val="0"/>
          <w:numId w:val="110"/>
        </w:numPr>
        <w:suppressLineNumbers/>
        <w:suppressAutoHyphens/>
        <w:kinsoku w:val="0"/>
        <w:overflowPunct w:val="0"/>
        <w:autoSpaceDE w:val="0"/>
        <w:autoSpaceDN w:val="0"/>
        <w:ind w:left="0" w:firstLine="720"/>
        <w:rPr>
          <w:rFonts w:cs="Times New Roman"/>
          <w:kern w:val="22"/>
          <w:lang w:eastAsia="ja-JP" w:bidi="th-TH"/>
        </w:rPr>
      </w:pPr>
      <w:r w:rsidRPr="005D36C5">
        <w:rPr>
          <w:rFonts w:cs="Times New Roman"/>
          <w:kern w:val="22"/>
          <w:lang w:eastAsia="ja-JP" w:bidi="th-TH"/>
        </w:rPr>
        <w:t>Engage in capacity-building initiatives on governance and equity fo</w:t>
      </w:r>
      <w:r w:rsidR="00787540" w:rsidRPr="005D36C5">
        <w:rPr>
          <w:rFonts w:cs="Times New Roman"/>
          <w:kern w:val="22"/>
          <w:lang w:eastAsia="ja-JP" w:bidi="th-TH"/>
        </w:rPr>
        <w:t>r protected and conserved areas.</w:t>
      </w:r>
    </w:p>
    <w:p w14:paraId="31A04616" w14:textId="77777777" w:rsidR="00787540" w:rsidRPr="006A64B0" w:rsidRDefault="00787540" w:rsidP="007B3E88">
      <w:pPr>
        <w:pStyle w:val="Para10"/>
        <w:suppressLineNumbers/>
        <w:suppressAutoHyphens/>
        <w:kinsoku w:val="0"/>
        <w:overflowPunct w:val="0"/>
        <w:autoSpaceDE w:val="0"/>
        <w:autoSpaceDN w:val="0"/>
        <w:rPr>
          <w:rFonts w:cs="Times New Roman"/>
          <w:kern w:val="22"/>
          <w:lang w:eastAsia="ja-JP" w:bidi="th-TH"/>
        </w:rPr>
      </w:pPr>
    </w:p>
    <w:p w14:paraId="6CAD7AA7" w14:textId="77777777" w:rsidR="00242F8D" w:rsidRPr="007B3E88" w:rsidRDefault="00242F8D" w:rsidP="007B3E88">
      <w:pPr>
        <w:suppressLineNumbers/>
        <w:suppressAutoHyphens/>
        <w:kinsoku w:val="0"/>
        <w:overflowPunct w:val="0"/>
        <w:autoSpaceDE w:val="0"/>
        <w:autoSpaceDN w:val="0"/>
        <w:jc w:val="left"/>
        <w:rPr>
          <w:b/>
          <w:snapToGrid w:val="0"/>
          <w:kern w:val="22"/>
          <w:szCs w:val="22"/>
        </w:rPr>
      </w:pPr>
      <w:r w:rsidRPr="007B3E88">
        <w:rPr>
          <w:b/>
          <w:kern w:val="22"/>
          <w:szCs w:val="22"/>
        </w:rPr>
        <w:br w:type="page"/>
      </w:r>
    </w:p>
    <w:p w14:paraId="56474F81" w14:textId="127F0A7D" w:rsidR="004D526F" w:rsidRPr="007B3E88" w:rsidRDefault="004D526F" w:rsidP="007B3E88">
      <w:pPr>
        <w:pStyle w:val="Para1"/>
        <w:numPr>
          <w:ilvl w:val="0"/>
          <w:numId w:val="0"/>
        </w:numPr>
        <w:suppressLineNumbers/>
        <w:suppressAutoHyphens/>
        <w:kinsoku w:val="0"/>
        <w:overflowPunct w:val="0"/>
        <w:autoSpaceDE w:val="0"/>
        <w:autoSpaceDN w:val="0"/>
        <w:spacing w:before="0"/>
        <w:jc w:val="center"/>
        <w:rPr>
          <w:i/>
          <w:kern w:val="22"/>
          <w:szCs w:val="22"/>
        </w:rPr>
      </w:pPr>
      <w:r w:rsidRPr="007B3E88">
        <w:rPr>
          <w:i/>
          <w:kern w:val="22"/>
          <w:szCs w:val="22"/>
        </w:rPr>
        <w:t xml:space="preserve">Annex </w:t>
      </w:r>
      <w:r w:rsidR="00242F8D" w:rsidRPr="007B3E88">
        <w:rPr>
          <w:i/>
          <w:kern w:val="22"/>
          <w:szCs w:val="22"/>
        </w:rPr>
        <w:t>III</w:t>
      </w:r>
    </w:p>
    <w:p w14:paraId="08C1E501" w14:textId="377A6D5F" w:rsidR="005D6096" w:rsidRPr="007B3E88" w:rsidRDefault="005D4A91" w:rsidP="007B3E88">
      <w:pPr>
        <w:pStyle w:val="HEADING"/>
        <w:keepNext w:val="0"/>
        <w:suppressLineNumbers/>
        <w:suppressAutoHyphens/>
        <w:kinsoku w:val="0"/>
        <w:overflowPunct w:val="0"/>
        <w:autoSpaceDE w:val="0"/>
        <w:autoSpaceDN w:val="0"/>
        <w:rPr>
          <w:b w:val="0"/>
          <w:kern w:val="22"/>
          <w:szCs w:val="22"/>
        </w:rPr>
      </w:pPr>
      <w:r w:rsidRPr="007B3E88">
        <w:rPr>
          <w:kern w:val="22"/>
          <w:szCs w:val="22"/>
        </w:rPr>
        <w:t xml:space="preserve">Scientific and technical advice on definition, management approaches and identification of other effective area-based conservation measures and their role in achieving Aichi Biodiversity Target 11 (decision </w:t>
      </w:r>
      <w:hyperlink r:id="rId26" w:history="1">
        <w:r w:rsidRPr="007B3E88">
          <w:rPr>
            <w:rStyle w:val="Hyperlink"/>
            <w:kern w:val="22"/>
            <w:szCs w:val="22"/>
          </w:rPr>
          <w:t>XIII/2</w:t>
        </w:r>
      </w:hyperlink>
      <w:r w:rsidRPr="007B3E88">
        <w:rPr>
          <w:kern w:val="22"/>
          <w:szCs w:val="22"/>
        </w:rPr>
        <w:t>, para</w:t>
      </w:r>
      <w:r w:rsidR="004D526F" w:rsidRPr="007B3E88">
        <w:rPr>
          <w:kern w:val="22"/>
          <w:szCs w:val="22"/>
        </w:rPr>
        <w:t>.</w:t>
      </w:r>
      <w:r w:rsidRPr="007B3E88">
        <w:rPr>
          <w:kern w:val="22"/>
          <w:szCs w:val="22"/>
        </w:rPr>
        <w:t xml:space="preserve"> 10(b)</w:t>
      </w:r>
      <w:r w:rsidR="005D6096" w:rsidRPr="007B3E88">
        <w:rPr>
          <w:kern w:val="22"/>
          <w:szCs w:val="22"/>
        </w:rPr>
        <w:t>)</w:t>
      </w:r>
    </w:p>
    <w:p w14:paraId="117B0260" w14:textId="6EC2A3BC" w:rsidR="005D6096" w:rsidRPr="007B3E88" w:rsidRDefault="005D6096" w:rsidP="007B3E88">
      <w:pPr>
        <w:pStyle w:val="Heading1"/>
        <w:numPr>
          <w:ilvl w:val="0"/>
          <w:numId w:val="38"/>
        </w:numPr>
        <w:suppressLineNumbers/>
        <w:tabs>
          <w:tab w:val="clear" w:pos="720"/>
          <w:tab w:val="left" w:pos="450"/>
        </w:tabs>
        <w:suppressAutoHyphens/>
        <w:kinsoku w:val="0"/>
        <w:overflowPunct w:val="0"/>
        <w:autoSpaceDE w:val="0"/>
        <w:autoSpaceDN w:val="0"/>
        <w:ind w:left="0" w:firstLine="0"/>
        <w:rPr>
          <w:bCs/>
          <w:kern w:val="22"/>
          <w:szCs w:val="22"/>
        </w:rPr>
      </w:pPr>
      <w:r w:rsidRPr="007B3E88">
        <w:rPr>
          <w:bCs/>
          <w:kern w:val="22"/>
          <w:szCs w:val="22"/>
        </w:rPr>
        <w:t>Definition</w:t>
      </w:r>
    </w:p>
    <w:p w14:paraId="3716DA64" w14:textId="54F6B0DF" w:rsidR="006F4C0F" w:rsidRPr="007B3E88" w:rsidRDefault="005D6096" w:rsidP="007B3E88">
      <w:pPr>
        <w:pStyle w:val="Heading3"/>
        <w:keepNext w:val="0"/>
        <w:suppressLineNumbers/>
        <w:shd w:val="clear" w:color="auto" w:fill="FFFFFF"/>
        <w:tabs>
          <w:tab w:val="clear" w:pos="567"/>
        </w:tabs>
        <w:suppressAutoHyphens/>
        <w:kinsoku w:val="0"/>
        <w:overflowPunct w:val="0"/>
        <w:autoSpaceDE w:val="0"/>
        <w:autoSpaceDN w:val="0"/>
        <w:spacing w:before="0"/>
        <w:ind w:left="720"/>
        <w:contextualSpacing/>
        <w:jc w:val="both"/>
        <w:rPr>
          <w:b/>
          <w:bCs/>
          <w:color w:val="000000" w:themeColor="text1"/>
          <w:kern w:val="22"/>
          <w:szCs w:val="22"/>
        </w:rPr>
      </w:pPr>
      <w:r w:rsidRPr="007B3E88">
        <w:rPr>
          <w:color w:val="000000" w:themeColor="text1"/>
          <w:kern w:val="22"/>
          <w:szCs w:val="22"/>
        </w:rPr>
        <w:t>“Other effective area-based conservation measure” means “A geographically defined area other than a Protected Area, which is governed and managed in ways that achieve positive and sustained outcomes for the in</w:t>
      </w:r>
      <w:r w:rsidR="00407E0C">
        <w:rPr>
          <w:color w:val="000000" w:themeColor="text1"/>
          <w:kern w:val="22"/>
          <w:szCs w:val="22"/>
        </w:rPr>
        <w:t> </w:t>
      </w:r>
      <w:r w:rsidRPr="007B3E88">
        <w:rPr>
          <w:color w:val="000000" w:themeColor="text1"/>
          <w:kern w:val="22"/>
          <w:szCs w:val="22"/>
        </w:rPr>
        <w:t>situ conservation of biodiversity</w:t>
      </w:r>
      <w:r w:rsidR="008A0E80" w:rsidRPr="007B3E88">
        <w:rPr>
          <w:color w:val="000000" w:themeColor="text1"/>
          <w:kern w:val="22"/>
          <w:szCs w:val="22"/>
        </w:rPr>
        <w:t>,</w:t>
      </w:r>
      <w:r w:rsidR="00473134" w:rsidRPr="007B3E88">
        <w:rPr>
          <w:rStyle w:val="FootnoteReference"/>
          <w:color w:val="000000" w:themeColor="text1"/>
          <w:kern w:val="22"/>
          <w:sz w:val="22"/>
          <w:szCs w:val="22"/>
          <w:u w:val="none"/>
          <w:vertAlign w:val="superscript"/>
        </w:rPr>
        <w:footnoteReference w:id="49"/>
      </w:r>
      <w:r w:rsidRPr="007B3E88">
        <w:rPr>
          <w:color w:val="000000" w:themeColor="text1"/>
          <w:kern w:val="22"/>
          <w:szCs w:val="22"/>
        </w:rPr>
        <w:t xml:space="preserve"> with associated ecosystem services and cultural and spiritual values”.</w:t>
      </w:r>
    </w:p>
    <w:p w14:paraId="02C50D0B" w14:textId="77777777" w:rsidR="005D6096" w:rsidRPr="007B3E88" w:rsidRDefault="00CA63A7" w:rsidP="007B3E88">
      <w:pPr>
        <w:pStyle w:val="Heading1"/>
        <w:keepNext/>
        <w:suppressLineNumbers/>
        <w:tabs>
          <w:tab w:val="clear" w:pos="720"/>
          <w:tab w:val="left" w:pos="540"/>
        </w:tabs>
        <w:suppressAutoHyphens/>
        <w:kinsoku w:val="0"/>
        <w:overflowPunct w:val="0"/>
        <w:autoSpaceDE w:val="0"/>
        <w:autoSpaceDN w:val="0"/>
        <w:rPr>
          <w:rFonts w:eastAsia="Calibri"/>
          <w:kern w:val="22"/>
          <w:szCs w:val="22"/>
        </w:rPr>
      </w:pPr>
      <w:r w:rsidRPr="007B3E88">
        <w:rPr>
          <w:rFonts w:eastAsia="Calibri"/>
          <w:kern w:val="22"/>
          <w:szCs w:val="22"/>
        </w:rPr>
        <w:t>B.</w:t>
      </w:r>
      <w:r w:rsidRPr="007B3E88">
        <w:rPr>
          <w:rFonts w:eastAsia="Calibri"/>
          <w:kern w:val="22"/>
          <w:szCs w:val="22"/>
        </w:rPr>
        <w:tab/>
      </w:r>
      <w:r w:rsidR="005D6096" w:rsidRPr="007B3E88">
        <w:rPr>
          <w:rFonts w:eastAsia="Calibri"/>
          <w:kern w:val="22"/>
          <w:szCs w:val="22"/>
        </w:rPr>
        <w:t>Guiding Principles</w:t>
      </w:r>
    </w:p>
    <w:p w14:paraId="5C9202E3" w14:textId="16EC3108" w:rsidR="00CA63A7" w:rsidRPr="007B3E88" w:rsidRDefault="00CA63A7" w:rsidP="007B3E88">
      <w:pPr>
        <w:pStyle w:val="Para1"/>
        <w:numPr>
          <w:ilvl w:val="0"/>
          <w:numId w:val="0"/>
        </w:numPr>
        <w:suppressLineNumbers/>
        <w:suppressAutoHyphens/>
        <w:kinsoku w:val="0"/>
        <w:overflowPunct w:val="0"/>
        <w:autoSpaceDE w:val="0"/>
        <w:autoSpaceDN w:val="0"/>
        <w:rPr>
          <w:kern w:val="22"/>
          <w:szCs w:val="22"/>
        </w:rPr>
      </w:pPr>
      <w:r w:rsidRPr="007B3E88">
        <w:rPr>
          <w:kern w:val="22"/>
          <w:szCs w:val="22"/>
        </w:rPr>
        <w:t>Guiding general principles should be applied in a flexible way and on a case-by-case basis.</w:t>
      </w:r>
    </w:p>
    <w:p w14:paraId="68859887" w14:textId="70EDE59D" w:rsidR="005D6096" w:rsidRPr="007B3E88" w:rsidRDefault="00A571FD"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rPr>
      </w:pPr>
      <w:r w:rsidRPr="007B3E88">
        <w:rPr>
          <w:color w:val="000000" w:themeColor="text1"/>
          <w:kern w:val="22"/>
          <w:szCs w:val="22"/>
        </w:rPr>
        <w:t>Other effective area-based conservation measure</w:t>
      </w:r>
      <w:r w:rsidR="00554891">
        <w:rPr>
          <w:color w:val="000000" w:themeColor="text1"/>
          <w:kern w:val="22"/>
          <w:szCs w:val="22"/>
        </w:rPr>
        <w:t>s</w:t>
      </w:r>
      <w:r w:rsidRPr="007B3E88">
        <w:rPr>
          <w:color w:val="000000" w:themeColor="text1"/>
          <w:kern w:val="22"/>
          <w:szCs w:val="22"/>
        </w:rPr>
        <w:t xml:space="preserve"> (</w:t>
      </w:r>
      <w:r w:rsidR="005D6096" w:rsidRPr="007B3E88">
        <w:rPr>
          <w:color w:val="000000" w:themeColor="text1"/>
          <w:kern w:val="22"/>
          <w:szCs w:val="22"/>
        </w:rPr>
        <w:t>OECMs</w:t>
      </w:r>
      <w:r w:rsidRPr="007B3E88">
        <w:rPr>
          <w:color w:val="000000" w:themeColor="text1"/>
          <w:kern w:val="22"/>
          <w:szCs w:val="22"/>
        </w:rPr>
        <w:t>)</w:t>
      </w:r>
      <w:r w:rsidR="005D6096" w:rsidRPr="007B3E88">
        <w:rPr>
          <w:color w:val="000000" w:themeColor="text1"/>
          <w:kern w:val="22"/>
          <w:szCs w:val="22"/>
        </w:rPr>
        <w:t xml:space="preserve"> have a biodiversity value, which is the basis for their consideration to achieve Target 11 of Strategic Goal C of the Strategic Plan for </w:t>
      </w:r>
      <w:r w:rsidR="008A0E80" w:rsidRPr="007B3E88">
        <w:rPr>
          <w:color w:val="000000" w:themeColor="text1"/>
          <w:kern w:val="22"/>
          <w:szCs w:val="22"/>
        </w:rPr>
        <w:t>B</w:t>
      </w:r>
      <w:r w:rsidR="005D6096" w:rsidRPr="007B3E88">
        <w:rPr>
          <w:color w:val="000000" w:themeColor="text1"/>
          <w:kern w:val="22"/>
          <w:szCs w:val="22"/>
        </w:rPr>
        <w:t>iodiversity 2011 and 2020</w:t>
      </w:r>
      <w:r w:rsidR="008A0E80" w:rsidRPr="007B3E88">
        <w:rPr>
          <w:color w:val="000000" w:themeColor="text1"/>
          <w:kern w:val="22"/>
          <w:szCs w:val="22"/>
        </w:rPr>
        <w:t>;</w:t>
      </w:r>
    </w:p>
    <w:p w14:paraId="6839709F" w14:textId="0154BF0C"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rPr>
      </w:pPr>
      <w:r w:rsidRPr="007B3E88">
        <w:rPr>
          <w:color w:val="000000" w:themeColor="text1"/>
          <w:kern w:val="22"/>
          <w:szCs w:val="22"/>
        </w:rPr>
        <w:t>OECMs reflect an opportunity to provide in</w:t>
      </w:r>
      <w:r w:rsidR="009778E3" w:rsidRPr="006A64B0">
        <w:rPr>
          <w:color w:val="000000" w:themeColor="text1"/>
          <w:kern w:val="22"/>
          <w:szCs w:val="22"/>
        </w:rPr>
        <w:t xml:space="preserve"> </w:t>
      </w:r>
      <w:r w:rsidRPr="007B3E88">
        <w:rPr>
          <w:color w:val="000000" w:themeColor="text1"/>
          <w:kern w:val="22"/>
          <w:szCs w:val="22"/>
        </w:rPr>
        <w:t>situ conservation of biodiversity over the long</w:t>
      </w:r>
      <w:r w:rsidR="00B26AA9">
        <w:rPr>
          <w:color w:val="000000" w:themeColor="text1"/>
          <w:kern w:val="22"/>
          <w:szCs w:val="22"/>
        </w:rPr>
        <w:t xml:space="preserve"> </w:t>
      </w:r>
      <w:r w:rsidRPr="007B3E88">
        <w:rPr>
          <w:color w:val="000000" w:themeColor="text1"/>
          <w:kern w:val="22"/>
          <w:szCs w:val="22"/>
        </w:rPr>
        <w:t>term. They may allow for sustainable human activity while offering a clear benefit to biodiversity conservation and avoiding negative impacts on biodiversity. By recognizing an area, there is an incentive for sustaining existing biodiversity values and improving biodiversity conservation outcomes</w:t>
      </w:r>
      <w:r w:rsidR="008A0E80" w:rsidRPr="007B3E88">
        <w:rPr>
          <w:color w:val="000000" w:themeColor="text1"/>
          <w:kern w:val="22"/>
          <w:szCs w:val="22"/>
        </w:rPr>
        <w:t>;</w:t>
      </w:r>
    </w:p>
    <w:p w14:paraId="7EA26E15" w14:textId="2B31D74C"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rPr>
      </w:pPr>
      <w:r w:rsidRPr="007B3E88">
        <w:rPr>
          <w:color w:val="000000" w:themeColor="text1"/>
          <w:kern w:val="22"/>
          <w:szCs w:val="22"/>
        </w:rPr>
        <w:t xml:space="preserve">OECMs deliver biodiversity outcomes </w:t>
      </w:r>
      <w:r w:rsidR="00A11A1F">
        <w:rPr>
          <w:color w:val="000000" w:themeColor="text1"/>
          <w:kern w:val="22"/>
          <w:szCs w:val="22"/>
        </w:rPr>
        <w:t xml:space="preserve">that are </w:t>
      </w:r>
      <w:r w:rsidRPr="007B3E88">
        <w:rPr>
          <w:color w:val="000000" w:themeColor="text1"/>
          <w:kern w:val="22"/>
          <w:szCs w:val="22"/>
        </w:rPr>
        <w:t>comparable with and complementary to those of protected areas</w:t>
      </w:r>
      <w:r w:rsidR="008A0E80" w:rsidRPr="007B3E88">
        <w:rPr>
          <w:color w:val="000000" w:themeColor="text1"/>
          <w:kern w:val="22"/>
          <w:szCs w:val="22"/>
        </w:rPr>
        <w:t>;</w:t>
      </w:r>
    </w:p>
    <w:p w14:paraId="3866122B" w14:textId="29C5FD3D"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OECMs demonstrate positive biodiversity outcomes by preventing, reducing or eliminating existing, or reasonably anticipated main threats, and strengthening existing protections. OECM management is consistent with the ecosystem approach and the precautionary principle, providing the ability to adapt to achieve biodiversity outcomes, including long-term</w:t>
      </w:r>
      <w:r w:rsidR="00060ACF">
        <w:rPr>
          <w:color w:val="000000" w:themeColor="text1"/>
          <w:kern w:val="22"/>
          <w:szCs w:val="22"/>
        </w:rPr>
        <w:t xml:space="preserve"> outcomes</w:t>
      </w:r>
      <w:r w:rsidRPr="007B3E88">
        <w:rPr>
          <w:color w:val="000000" w:themeColor="text1"/>
          <w:kern w:val="22"/>
          <w:szCs w:val="22"/>
        </w:rPr>
        <w:t xml:space="preserve">, </w:t>
      </w:r>
      <w:r w:rsidR="00060ACF">
        <w:rPr>
          <w:color w:val="000000" w:themeColor="text1"/>
          <w:kern w:val="22"/>
          <w:szCs w:val="22"/>
        </w:rPr>
        <w:t xml:space="preserve">and </w:t>
      </w:r>
      <w:r w:rsidRPr="007B3E88">
        <w:rPr>
          <w:color w:val="000000" w:themeColor="text1"/>
          <w:kern w:val="22"/>
          <w:szCs w:val="22"/>
        </w:rPr>
        <w:t>including the ability to manage a new threat</w:t>
      </w:r>
      <w:r w:rsidR="008A0E80" w:rsidRPr="007B3E88">
        <w:rPr>
          <w:color w:val="000000" w:themeColor="text1"/>
          <w:kern w:val="22"/>
          <w:szCs w:val="22"/>
        </w:rPr>
        <w:t>;</w:t>
      </w:r>
    </w:p>
    <w:p w14:paraId="3ED3BCE2" w14:textId="2B90D6B4"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rPr>
      </w:pPr>
      <w:r w:rsidRPr="007B3E88">
        <w:rPr>
          <w:color w:val="000000" w:themeColor="text1"/>
          <w:kern w:val="22"/>
          <w:szCs w:val="22"/>
        </w:rPr>
        <w:t xml:space="preserve">OECMs help deliver greater representativeness and connectivity in protected area systems and thus may help address larger and pervasive threats and enhance resilience, including </w:t>
      </w:r>
      <w:r w:rsidR="00392241">
        <w:rPr>
          <w:color w:val="000000" w:themeColor="text1"/>
          <w:kern w:val="22"/>
          <w:szCs w:val="22"/>
        </w:rPr>
        <w:t xml:space="preserve">with regard </w:t>
      </w:r>
      <w:r w:rsidRPr="007B3E88">
        <w:rPr>
          <w:color w:val="000000" w:themeColor="text1"/>
          <w:kern w:val="22"/>
          <w:szCs w:val="22"/>
        </w:rPr>
        <w:t>to climate change</w:t>
      </w:r>
      <w:r w:rsidR="008A0E80" w:rsidRPr="007B3E88">
        <w:rPr>
          <w:color w:val="000000" w:themeColor="text1"/>
          <w:kern w:val="22"/>
          <w:szCs w:val="22"/>
        </w:rPr>
        <w:t>;</w:t>
      </w:r>
    </w:p>
    <w:p w14:paraId="5C020BF5" w14:textId="3C239A89"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6A64B0">
        <w:rPr>
          <w:rFonts w:eastAsia="Calibri"/>
          <w:color w:val="000000" w:themeColor="text1"/>
          <w:kern w:val="22"/>
          <w:szCs w:val="22"/>
        </w:rPr>
        <w:t>Definition and criteria for identification of OECMs is applicable across all ecosystems</w:t>
      </w:r>
      <w:r w:rsidR="003C6984">
        <w:rPr>
          <w:rFonts w:eastAsia="Calibri"/>
          <w:color w:val="000000" w:themeColor="text1"/>
          <w:kern w:val="22"/>
          <w:szCs w:val="22"/>
        </w:rPr>
        <w:t>,</w:t>
      </w:r>
      <w:r w:rsidRPr="006A64B0">
        <w:rPr>
          <w:rFonts w:eastAsia="Calibri"/>
          <w:color w:val="000000" w:themeColor="text1"/>
          <w:kern w:val="22"/>
          <w:szCs w:val="22"/>
        </w:rPr>
        <w:t xml:space="preserve"> and identification should be on case</w:t>
      </w:r>
      <w:r w:rsidR="00FC612E">
        <w:rPr>
          <w:rFonts w:eastAsia="Calibri"/>
          <w:color w:val="000000" w:themeColor="text1"/>
          <w:kern w:val="22"/>
          <w:szCs w:val="22"/>
        </w:rPr>
        <w:t>-</w:t>
      </w:r>
      <w:r w:rsidRPr="006A64B0">
        <w:rPr>
          <w:rFonts w:eastAsia="Calibri"/>
          <w:color w:val="000000" w:themeColor="text1"/>
          <w:kern w:val="22"/>
          <w:szCs w:val="22"/>
        </w:rPr>
        <w:t>by</w:t>
      </w:r>
      <w:r w:rsidR="00FC612E">
        <w:rPr>
          <w:rFonts w:eastAsia="Calibri"/>
          <w:color w:val="000000" w:themeColor="text1"/>
          <w:kern w:val="22"/>
          <w:szCs w:val="22"/>
        </w:rPr>
        <w:t>-</w:t>
      </w:r>
      <w:r w:rsidRPr="006A64B0">
        <w:rPr>
          <w:rFonts w:eastAsia="Calibri"/>
          <w:color w:val="000000" w:themeColor="text1"/>
          <w:kern w:val="22"/>
          <w:szCs w:val="22"/>
        </w:rPr>
        <w:t>case basis</w:t>
      </w:r>
      <w:r w:rsidR="008A0E80" w:rsidRPr="005D36C5">
        <w:rPr>
          <w:rFonts w:eastAsia="Calibri"/>
          <w:color w:val="000000" w:themeColor="text1"/>
          <w:kern w:val="22"/>
          <w:szCs w:val="22"/>
        </w:rPr>
        <w:t>;</w:t>
      </w:r>
    </w:p>
    <w:p w14:paraId="55919862" w14:textId="219B2151"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 xml:space="preserve">Recognition of OECMs in areas within the territories of </w:t>
      </w:r>
      <w:r w:rsidR="00697B41">
        <w:rPr>
          <w:color w:val="000000" w:themeColor="text1"/>
          <w:kern w:val="22"/>
          <w:szCs w:val="22"/>
        </w:rPr>
        <w:t>indigenous peoples and local communities</w:t>
      </w:r>
      <w:r w:rsidR="00697B41" w:rsidRPr="007B3E88">
        <w:rPr>
          <w:color w:val="000000" w:themeColor="text1"/>
          <w:kern w:val="22"/>
          <w:szCs w:val="22"/>
        </w:rPr>
        <w:t xml:space="preserve"> </w:t>
      </w:r>
      <w:r w:rsidRPr="007B3E88">
        <w:rPr>
          <w:color w:val="000000" w:themeColor="text1"/>
          <w:kern w:val="22"/>
          <w:szCs w:val="22"/>
        </w:rPr>
        <w:t xml:space="preserve">should be on the basis of self-identification and require their </w:t>
      </w:r>
      <w:r w:rsidR="008A0E80" w:rsidRPr="007B3E88">
        <w:rPr>
          <w:color w:val="000000" w:themeColor="text1"/>
          <w:kern w:val="22"/>
          <w:szCs w:val="22"/>
        </w:rPr>
        <w:t>f</w:t>
      </w:r>
      <w:r w:rsidRPr="007B3E88">
        <w:rPr>
          <w:color w:val="000000" w:themeColor="text1"/>
          <w:kern w:val="22"/>
          <w:szCs w:val="22"/>
        </w:rPr>
        <w:t>ree, prior and informed consent</w:t>
      </w:r>
      <w:r w:rsidR="008A0E80" w:rsidRPr="007B3E88">
        <w:rPr>
          <w:color w:val="000000" w:themeColor="text1"/>
          <w:kern w:val="22"/>
          <w:szCs w:val="22"/>
        </w:rPr>
        <w:t>;</w:t>
      </w:r>
    </w:p>
    <w:p w14:paraId="4D8FD466" w14:textId="5759EFD9"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Recognition of OECMs should follow appropriate consultation with relevant governance authorities, stakeholders and the public</w:t>
      </w:r>
      <w:r w:rsidR="008A0E80" w:rsidRPr="007B3E88">
        <w:rPr>
          <w:color w:val="000000" w:themeColor="text1"/>
          <w:kern w:val="22"/>
          <w:szCs w:val="22"/>
        </w:rPr>
        <w:t>;</w:t>
      </w:r>
    </w:p>
    <w:p w14:paraId="21D41D01" w14:textId="05BEC177"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 xml:space="preserve">Areas conserved for cultural and spiritual values, and governance and management that respect and </w:t>
      </w:r>
      <w:r w:rsidR="00CF1AE6">
        <w:rPr>
          <w:color w:val="000000" w:themeColor="text1"/>
          <w:kern w:val="22"/>
          <w:szCs w:val="22"/>
        </w:rPr>
        <w:t>are</w:t>
      </w:r>
      <w:r w:rsidRPr="007B3E88">
        <w:rPr>
          <w:color w:val="000000" w:themeColor="text1"/>
          <w:kern w:val="22"/>
          <w:szCs w:val="22"/>
        </w:rPr>
        <w:t xml:space="preserve"> informed by cultural and spiritual values, often result in positive biodiversity outcomes</w:t>
      </w:r>
      <w:r w:rsidR="008A0E80" w:rsidRPr="007B3E88">
        <w:rPr>
          <w:color w:val="000000" w:themeColor="text1"/>
          <w:kern w:val="22"/>
          <w:szCs w:val="22"/>
        </w:rPr>
        <w:t>;</w:t>
      </w:r>
    </w:p>
    <w:p w14:paraId="616981EF" w14:textId="0210B2BF"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OECMs recognize, promote and make visible the roles of different governance systems and actors in biodiversity conservation</w:t>
      </w:r>
      <w:r w:rsidR="00FC3DBE" w:rsidRPr="007B3E88">
        <w:rPr>
          <w:color w:val="000000" w:themeColor="text1"/>
          <w:kern w:val="22"/>
          <w:szCs w:val="22"/>
        </w:rPr>
        <w:t>;</w:t>
      </w:r>
    </w:p>
    <w:p w14:paraId="27AA8E1C" w14:textId="55A60BEC"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Incentives to ensure effectiveness can include a range of social and ecological benefits, including empowerment of indigenous peoples and local communities</w:t>
      </w:r>
      <w:r w:rsidR="00473134" w:rsidRPr="007B3E88">
        <w:rPr>
          <w:color w:val="000000" w:themeColor="text1"/>
          <w:kern w:val="22"/>
          <w:szCs w:val="22"/>
        </w:rPr>
        <w:t>;</w:t>
      </w:r>
    </w:p>
    <w:p w14:paraId="551A8B4F" w14:textId="10537A66" w:rsidR="005D6096" w:rsidRPr="007B3E88" w:rsidRDefault="005D6096" w:rsidP="007B3E88">
      <w:pPr>
        <w:pStyle w:val="ListParagraph"/>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rPr>
      </w:pPr>
      <w:r w:rsidRPr="007B3E88">
        <w:rPr>
          <w:color w:val="000000" w:themeColor="text1"/>
          <w:kern w:val="22"/>
          <w:szCs w:val="22"/>
        </w:rPr>
        <w:t>The best available scientific information, including indigenous and local knowledge, should be used for recognizing OECMs, delimiting their location and size, informing management approaches and measuring performance.</w:t>
      </w:r>
    </w:p>
    <w:p w14:paraId="27080E76" w14:textId="5E2441F7" w:rsidR="00FC3DBE" w:rsidRPr="007B3E88" w:rsidRDefault="003B017B" w:rsidP="007B3E88">
      <w:pPr>
        <w:pStyle w:val="Heading1"/>
        <w:keepNext/>
        <w:suppressLineNumbers/>
        <w:suppressAutoHyphens/>
        <w:kinsoku w:val="0"/>
        <w:overflowPunct w:val="0"/>
        <w:autoSpaceDE w:val="0"/>
        <w:autoSpaceDN w:val="0"/>
        <w:spacing w:before="120" w:after="0"/>
        <w:rPr>
          <w:bCs/>
          <w:kern w:val="22"/>
          <w:szCs w:val="22"/>
        </w:rPr>
      </w:pPr>
      <w:r w:rsidRPr="007B3E88">
        <w:rPr>
          <w:bCs/>
          <w:kern w:val="22"/>
          <w:szCs w:val="22"/>
        </w:rPr>
        <w:t>C.</w:t>
      </w:r>
      <w:r w:rsidRPr="007B3E88">
        <w:rPr>
          <w:bCs/>
          <w:kern w:val="22"/>
          <w:szCs w:val="22"/>
        </w:rPr>
        <w:tab/>
        <w:t>Criteria for identification</w:t>
      </w:r>
    </w:p>
    <w:p w14:paraId="48C20C17" w14:textId="77777777" w:rsidR="002603C9" w:rsidRPr="007B3E88" w:rsidRDefault="002603C9" w:rsidP="007B3E88">
      <w:pPr>
        <w:pStyle w:val="Heading2"/>
        <w:suppressLineNumbers/>
        <w:tabs>
          <w:tab w:val="clear" w:pos="720"/>
        </w:tabs>
        <w:suppressAutoHyphens/>
        <w:kinsoku w:val="0"/>
        <w:overflowPunct w:val="0"/>
        <w:autoSpaceDE w:val="0"/>
        <w:autoSpaceDN w:val="0"/>
        <w:spacing w:before="0" w:after="0"/>
        <w:rPr>
          <w:kern w:val="22"/>
          <w:szCs w:val="22"/>
        </w:rPr>
      </w:pPr>
    </w:p>
    <w:tbl>
      <w:tblPr>
        <w:tblStyle w:val="TableGrid"/>
        <w:tblW w:w="9331" w:type="dxa"/>
        <w:jc w:val="center"/>
        <w:tblLook w:val="04A0" w:firstRow="1" w:lastRow="0" w:firstColumn="1" w:lastColumn="0" w:noHBand="0" w:noVBand="1"/>
      </w:tblPr>
      <w:tblGrid>
        <w:gridCol w:w="1730"/>
        <w:gridCol w:w="7601"/>
      </w:tblGrid>
      <w:tr w:rsidR="00EA1588" w:rsidRPr="00A3709F" w14:paraId="6D66B19E" w14:textId="77777777" w:rsidTr="007B3E88">
        <w:trPr>
          <w:cantSplit/>
          <w:jc w:val="center"/>
        </w:trPr>
        <w:tc>
          <w:tcPr>
            <w:tcW w:w="9331" w:type="dxa"/>
            <w:gridSpan w:val="2"/>
            <w:shd w:val="clear" w:color="auto" w:fill="BFBFBF" w:themeFill="background1" w:themeFillShade="BF"/>
          </w:tcPr>
          <w:p w14:paraId="5476D217" w14:textId="77777777" w:rsidR="003B017B" w:rsidRPr="007B3E88" w:rsidRDefault="003B017B" w:rsidP="007B3E88">
            <w:pPr>
              <w:suppressLineNumbers/>
              <w:suppressAutoHyphens/>
              <w:kinsoku w:val="0"/>
              <w:overflowPunct w:val="0"/>
              <w:autoSpaceDE w:val="0"/>
              <w:autoSpaceDN w:val="0"/>
              <w:jc w:val="left"/>
              <w:rPr>
                <w:rFonts w:ascii="Times New Roman" w:hAnsi="Times New Roman" w:cs="Times New Roman"/>
                <w:b/>
                <w:kern w:val="22"/>
                <w:szCs w:val="22"/>
              </w:rPr>
            </w:pPr>
            <w:r w:rsidRPr="007B3E88">
              <w:rPr>
                <w:b/>
                <w:kern w:val="22"/>
                <w:szCs w:val="22"/>
              </w:rPr>
              <w:t>Criterion A: Area is not currently recognized as a protected area</w:t>
            </w:r>
          </w:p>
        </w:tc>
      </w:tr>
      <w:tr w:rsidR="00EA1588" w:rsidRPr="00A3709F" w14:paraId="78D5E4C9" w14:textId="77777777" w:rsidTr="007B3E88">
        <w:trPr>
          <w:cantSplit/>
          <w:jc w:val="center"/>
        </w:trPr>
        <w:tc>
          <w:tcPr>
            <w:tcW w:w="1611" w:type="dxa"/>
          </w:tcPr>
          <w:p w14:paraId="17B8DE81" w14:textId="107C44F9" w:rsidR="003B017B" w:rsidRPr="007B3E88" w:rsidRDefault="003B017B" w:rsidP="007B3E88">
            <w:pPr>
              <w:pStyle w:val="Heading3"/>
              <w:keepNext w:val="0"/>
              <w:suppressLineNumbers/>
              <w:tabs>
                <w:tab w:val="clear" w:pos="567"/>
              </w:tabs>
              <w:suppressAutoHyphens/>
              <w:kinsoku w:val="0"/>
              <w:overflowPunct w:val="0"/>
              <w:autoSpaceDE w:val="0"/>
              <w:autoSpaceDN w:val="0"/>
              <w:spacing w:before="0" w:after="0"/>
              <w:jc w:val="left"/>
              <w:outlineLvl w:val="2"/>
              <w:rPr>
                <w:rFonts w:ascii="Times New Roman" w:hAnsi="Times New Roman" w:cs="Times New Roman"/>
                <w:b/>
                <w:bCs/>
                <w:i w:val="0"/>
                <w:kern w:val="22"/>
                <w:szCs w:val="22"/>
              </w:rPr>
            </w:pPr>
            <w:r w:rsidRPr="007B3E88">
              <w:rPr>
                <w:b/>
                <w:i w:val="0"/>
                <w:kern w:val="22"/>
                <w:szCs w:val="22"/>
              </w:rPr>
              <w:t xml:space="preserve">Not a </w:t>
            </w:r>
            <w:r w:rsidR="00633F6D" w:rsidRPr="007B3E88">
              <w:rPr>
                <w:b/>
                <w:i w:val="0"/>
                <w:kern w:val="22"/>
                <w:szCs w:val="22"/>
              </w:rPr>
              <w:t>p</w:t>
            </w:r>
            <w:r w:rsidRPr="007B3E88">
              <w:rPr>
                <w:b/>
                <w:i w:val="0"/>
                <w:kern w:val="22"/>
                <w:szCs w:val="22"/>
              </w:rPr>
              <w:t xml:space="preserve">rotected </w:t>
            </w:r>
            <w:r w:rsidR="00633F6D" w:rsidRPr="007B3E88">
              <w:rPr>
                <w:b/>
                <w:i w:val="0"/>
                <w:kern w:val="22"/>
                <w:szCs w:val="22"/>
              </w:rPr>
              <w:t>a</w:t>
            </w:r>
            <w:r w:rsidRPr="007B3E88">
              <w:rPr>
                <w:b/>
                <w:i w:val="0"/>
                <w:kern w:val="22"/>
                <w:szCs w:val="22"/>
              </w:rPr>
              <w:t>rea</w:t>
            </w:r>
          </w:p>
        </w:tc>
        <w:tc>
          <w:tcPr>
            <w:tcW w:w="7720" w:type="dxa"/>
          </w:tcPr>
          <w:p w14:paraId="2A3CC81E"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The area is not currently recognized or reported as a protected area or part of a protected area; it may have been established for another purpose.</w:t>
            </w:r>
          </w:p>
        </w:tc>
      </w:tr>
      <w:tr w:rsidR="00EA1588" w:rsidRPr="00A3709F" w14:paraId="45D16120" w14:textId="77777777" w:rsidTr="007B3E88">
        <w:trPr>
          <w:cantSplit/>
          <w:jc w:val="center"/>
        </w:trPr>
        <w:tc>
          <w:tcPr>
            <w:tcW w:w="9331" w:type="dxa"/>
            <w:gridSpan w:val="2"/>
            <w:shd w:val="clear" w:color="auto" w:fill="BFBFBF" w:themeFill="background1" w:themeFillShade="BF"/>
          </w:tcPr>
          <w:p w14:paraId="40B6F492" w14:textId="0A6EBFBB" w:rsidR="003B017B" w:rsidRPr="007B3E88" w:rsidRDefault="003B017B" w:rsidP="007B3E88">
            <w:pPr>
              <w:suppressLineNumbers/>
              <w:suppressAutoHyphens/>
              <w:kinsoku w:val="0"/>
              <w:overflowPunct w:val="0"/>
              <w:autoSpaceDE w:val="0"/>
              <w:autoSpaceDN w:val="0"/>
              <w:ind w:left="162" w:hanging="162"/>
              <w:jc w:val="left"/>
              <w:rPr>
                <w:rFonts w:ascii="Times New Roman" w:hAnsi="Times New Roman" w:cs="Times New Roman"/>
                <w:b/>
                <w:kern w:val="22"/>
                <w:szCs w:val="22"/>
              </w:rPr>
            </w:pPr>
            <w:r w:rsidRPr="007B3E88">
              <w:rPr>
                <w:b/>
                <w:kern w:val="22"/>
                <w:szCs w:val="22"/>
              </w:rPr>
              <w:t>Criterion B: Area is governed and managed</w:t>
            </w:r>
          </w:p>
        </w:tc>
      </w:tr>
      <w:tr w:rsidR="00EA1588" w:rsidRPr="00A3709F" w14:paraId="08E88876" w14:textId="77777777" w:rsidTr="007B3E88">
        <w:trPr>
          <w:cantSplit/>
          <w:jc w:val="center"/>
        </w:trPr>
        <w:tc>
          <w:tcPr>
            <w:tcW w:w="1611" w:type="dxa"/>
          </w:tcPr>
          <w:p w14:paraId="0C87EB89" w14:textId="77777777" w:rsidR="003B017B" w:rsidRPr="007B3E88" w:rsidRDefault="003B017B" w:rsidP="007B3E88">
            <w:pPr>
              <w:suppressLineNumbers/>
              <w:suppressAutoHyphens/>
              <w:kinsoku w:val="0"/>
              <w:overflowPunct w:val="0"/>
              <w:autoSpaceDE w:val="0"/>
              <w:autoSpaceDN w:val="0"/>
              <w:jc w:val="left"/>
              <w:rPr>
                <w:rFonts w:ascii="Times New Roman" w:hAnsi="Times New Roman" w:cs="Times New Roman"/>
                <w:b/>
                <w:kern w:val="22"/>
                <w:szCs w:val="22"/>
              </w:rPr>
            </w:pPr>
            <w:r w:rsidRPr="007B3E88">
              <w:rPr>
                <w:b/>
                <w:kern w:val="22"/>
                <w:szCs w:val="22"/>
              </w:rPr>
              <w:t>Geographically defined space</w:t>
            </w:r>
          </w:p>
        </w:tc>
        <w:tc>
          <w:tcPr>
            <w:tcW w:w="7720" w:type="dxa"/>
          </w:tcPr>
          <w:p w14:paraId="55639141"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kern w:val="22"/>
                <w:szCs w:val="22"/>
              </w:rPr>
            </w:pPr>
            <w:r w:rsidRPr="007B3E88">
              <w:rPr>
                <w:i w:val="0"/>
                <w:kern w:val="22"/>
                <w:szCs w:val="22"/>
              </w:rPr>
              <w:t>Size and area are described, including in three dimensions where necessary.</w:t>
            </w:r>
          </w:p>
          <w:p w14:paraId="67C84413"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kern w:val="22"/>
                <w:szCs w:val="22"/>
              </w:rPr>
            </w:pPr>
            <w:r w:rsidRPr="007B3E88">
              <w:rPr>
                <w:rFonts w:ascii="Times New Roman" w:hAnsi="Times New Roman"/>
                <w:i w:val="0"/>
                <w:kern w:val="22"/>
                <w:szCs w:val="22"/>
              </w:rPr>
              <w:t>Boundaries</w:t>
            </w:r>
            <w:r w:rsidRPr="007B3E88">
              <w:rPr>
                <w:rFonts w:ascii="Times New Roman" w:hAnsi="Times New Roman"/>
                <w:kern w:val="22"/>
                <w:szCs w:val="22"/>
              </w:rPr>
              <w:t xml:space="preserve"> </w:t>
            </w:r>
            <w:r w:rsidRPr="007B3E88">
              <w:rPr>
                <w:rFonts w:ascii="Times New Roman" w:hAnsi="Times New Roman"/>
                <w:i w:val="0"/>
                <w:kern w:val="22"/>
                <w:szCs w:val="22"/>
              </w:rPr>
              <w:t>are described.</w:t>
            </w:r>
          </w:p>
        </w:tc>
      </w:tr>
      <w:tr w:rsidR="00EA1588" w:rsidRPr="00A3709F" w14:paraId="0132162E" w14:textId="77777777" w:rsidTr="007B3E88">
        <w:trPr>
          <w:cantSplit/>
          <w:jc w:val="center"/>
        </w:trPr>
        <w:tc>
          <w:tcPr>
            <w:tcW w:w="1611" w:type="dxa"/>
          </w:tcPr>
          <w:p w14:paraId="5BC7DE7F" w14:textId="55BE100C" w:rsidR="003B017B" w:rsidRPr="007B3E88" w:rsidRDefault="003B017B" w:rsidP="007B3E88">
            <w:pPr>
              <w:suppressLineNumbers/>
              <w:suppressAutoHyphens/>
              <w:kinsoku w:val="0"/>
              <w:overflowPunct w:val="0"/>
              <w:autoSpaceDE w:val="0"/>
              <w:autoSpaceDN w:val="0"/>
              <w:jc w:val="left"/>
              <w:rPr>
                <w:rFonts w:ascii="Times New Roman" w:hAnsi="Times New Roman" w:cs="Times New Roman"/>
                <w:b/>
                <w:kern w:val="22"/>
                <w:szCs w:val="22"/>
              </w:rPr>
            </w:pPr>
            <w:r w:rsidRPr="007B3E88">
              <w:rPr>
                <w:b/>
                <w:kern w:val="22"/>
                <w:szCs w:val="22"/>
              </w:rPr>
              <w:t>Legitimate governance authorities</w:t>
            </w:r>
          </w:p>
        </w:tc>
        <w:tc>
          <w:tcPr>
            <w:tcW w:w="7720" w:type="dxa"/>
          </w:tcPr>
          <w:p w14:paraId="1DAFA0DB" w14:textId="2F07205B" w:rsidR="003B017B" w:rsidRPr="007B3E88" w:rsidRDefault="003B017B" w:rsidP="007B3E88">
            <w:pPr>
              <w:pStyle w:val="ListParagraph"/>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rPr>
            </w:pPr>
            <w:r w:rsidRPr="007B3E88">
              <w:rPr>
                <w:kern w:val="22"/>
                <w:szCs w:val="22"/>
              </w:rPr>
              <w:t>Governance has legitimate authority and is appropriate for achieving in</w:t>
            </w:r>
            <w:r w:rsidR="00081E54" w:rsidRPr="007B3E88">
              <w:rPr>
                <w:kern w:val="22"/>
                <w:szCs w:val="22"/>
              </w:rPr>
              <w:t> </w:t>
            </w:r>
            <w:r w:rsidRPr="007B3E88">
              <w:rPr>
                <w:kern w:val="22"/>
                <w:szCs w:val="22"/>
              </w:rPr>
              <w:t>situ conservation of biodiversity within the area.</w:t>
            </w:r>
          </w:p>
          <w:p w14:paraId="75BAA88E" w14:textId="1CA64517" w:rsidR="003B017B" w:rsidRPr="007B3E88" w:rsidRDefault="003B017B" w:rsidP="007B3E88">
            <w:pPr>
              <w:pStyle w:val="ListParagraph"/>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rPr>
            </w:pPr>
            <w:r w:rsidRPr="007B3E88">
              <w:rPr>
                <w:kern w:val="22"/>
                <w:szCs w:val="22"/>
              </w:rPr>
              <w:t xml:space="preserve">Governance by </w:t>
            </w:r>
            <w:r w:rsidR="0082205C" w:rsidRPr="007B3E88">
              <w:rPr>
                <w:kern w:val="22"/>
                <w:szCs w:val="22"/>
              </w:rPr>
              <w:t>indigenous peoples and local communities</w:t>
            </w:r>
            <w:r w:rsidR="0082205C" w:rsidRPr="007B3E88" w:rsidDel="0082205C">
              <w:rPr>
                <w:kern w:val="22"/>
                <w:szCs w:val="22"/>
              </w:rPr>
              <w:t xml:space="preserve"> </w:t>
            </w:r>
            <w:r w:rsidRPr="007B3E88">
              <w:rPr>
                <w:kern w:val="22"/>
                <w:szCs w:val="22"/>
              </w:rPr>
              <w:t>is self-identified and peer</w:t>
            </w:r>
            <w:r w:rsidR="00473134" w:rsidRPr="007B3E88">
              <w:rPr>
                <w:kern w:val="22"/>
                <w:szCs w:val="22"/>
              </w:rPr>
              <w:t> </w:t>
            </w:r>
            <w:r w:rsidRPr="007B3E88">
              <w:rPr>
                <w:kern w:val="22"/>
                <w:szCs w:val="22"/>
              </w:rPr>
              <w:t>reviewed</w:t>
            </w:r>
            <w:r w:rsidR="00AA6F81" w:rsidRPr="007B3E88">
              <w:rPr>
                <w:kern w:val="22"/>
                <w:szCs w:val="22"/>
              </w:rPr>
              <w:t>.</w:t>
            </w:r>
          </w:p>
          <w:p w14:paraId="14E135DE" w14:textId="77777777" w:rsidR="003B017B" w:rsidRPr="007B3E88" w:rsidRDefault="003B017B" w:rsidP="007B3E88">
            <w:pPr>
              <w:pStyle w:val="ListParagraph"/>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rPr>
            </w:pPr>
            <w:r w:rsidRPr="007B3E88">
              <w:rPr>
                <w:kern w:val="22"/>
                <w:szCs w:val="22"/>
              </w:rPr>
              <w:t>Governance reflects the equity considerations adopted in the Convention.</w:t>
            </w:r>
          </w:p>
          <w:p w14:paraId="1EDC36E1" w14:textId="147A87B6" w:rsidR="003B017B" w:rsidRPr="007B3E88" w:rsidRDefault="003B017B" w:rsidP="007B3E88">
            <w:pPr>
              <w:pStyle w:val="ListParagraph"/>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rPr>
            </w:pPr>
            <w:r w:rsidRPr="007B3E88">
              <w:rPr>
                <w:kern w:val="22"/>
                <w:szCs w:val="22"/>
              </w:rPr>
              <w:t>Governance may be by a single authority or through collaboration among relevant authorities and provides the ability to address threats</w:t>
            </w:r>
            <w:r w:rsidR="008D0439" w:rsidRPr="007B3E88">
              <w:rPr>
                <w:kern w:val="22"/>
                <w:szCs w:val="22"/>
              </w:rPr>
              <w:t xml:space="preserve"> collectively</w:t>
            </w:r>
            <w:r w:rsidRPr="007B3E88">
              <w:rPr>
                <w:kern w:val="22"/>
                <w:szCs w:val="22"/>
              </w:rPr>
              <w:t>.</w:t>
            </w:r>
          </w:p>
        </w:tc>
      </w:tr>
      <w:tr w:rsidR="00EA1588" w:rsidRPr="00A3709F" w14:paraId="354BCAE6" w14:textId="77777777" w:rsidTr="007B3E88">
        <w:trPr>
          <w:cantSplit/>
          <w:jc w:val="center"/>
        </w:trPr>
        <w:tc>
          <w:tcPr>
            <w:tcW w:w="1611" w:type="dxa"/>
          </w:tcPr>
          <w:p w14:paraId="79899E47" w14:textId="77777777" w:rsidR="003B017B" w:rsidRPr="007B3E88" w:rsidRDefault="003B017B" w:rsidP="007B3E88">
            <w:pPr>
              <w:suppressLineNumbers/>
              <w:suppressAutoHyphens/>
              <w:kinsoku w:val="0"/>
              <w:overflowPunct w:val="0"/>
              <w:autoSpaceDE w:val="0"/>
              <w:autoSpaceDN w:val="0"/>
              <w:jc w:val="left"/>
              <w:rPr>
                <w:rFonts w:ascii="Times New Roman" w:hAnsi="Times New Roman" w:cs="Times New Roman"/>
                <w:b/>
                <w:kern w:val="22"/>
                <w:szCs w:val="22"/>
              </w:rPr>
            </w:pPr>
            <w:r w:rsidRPr="007B3E88">
              <w:rPr>
                <w:b/>
                <w:kern w:val="22"/>
                <w:szCs w:val="22"/>
              </w:rPr>
              <w:t>Managed</w:t>
            </w:r>
          </w:p>
        </w:tc>
        <w:tc>
          <w:tcPr>
            <w:tcW w:w="7720" w:type="dxa"/>
          </w:tcPr>
          <w:p w14:paraId="2F89F325" w14:textId="3BB511B5"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iCs w:val="0"/>
                <w:kern w:val="22"/>
                <w:szCs w:val="22"/>
              </w:rPr>
            </w:pPr>
            <w:r w:rsidRPr="007B3E88">
              <w:rPr>
                <w:i w:val="0"/>
                <w:kern w:val="22"/>
                <w:szCs w:val="22"/>
              </w:rPr>
              <w:t>Relevant authorities are identified and involved in management and responsible authorities are identified.</w:t>
            </w:r>
          </w:p>
          <w:p w14:paraId="5A41A04A" w14:textId="2C751643"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iCs w:val="0"/>
                <w:kern w:val="22"/>
                <w:szCs w:val="22"/>
              </w:rPr>
            </w:pPr>
            <w:r w:rsidRPr="007B3E88">
              <w:rPr>
                <w:i w:val="0"/>
                <w:kern w:val="22"/>
                <w:szCs w:val="22"/>
              </w:rPr>
              <w:t>A management system is in place that contributes to sustaining the in</w:t>
            </w:r>
            <w:r w:rsidR="00501D35" w:rsidRPr="007B3E88">
              <w:rPr>
                <w:i w:val="0"/>
                <w:kern w:val="22"/>
                <w:szCs w:val="22"/>
              </w:rPr>
              <w:t> </w:t>
            </w:r>
            <w:r w:rsidRPr="007B3E88">
              <w:rPr>
                <w:i w:val="0"/>
                <w:kern w:val="22"/>
                <w:szCs w:val="22"/>
              </w:rPr>
              <w:t>situ conservation of biodiversity.</w:t>
            </w:r>
          </w:p>
          <w:p w14:paraId="22AF2C86" w14:textId="16BFE60E"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kern w:val="22"/>
                <w:szCs w:val="22"/>
              </w:rPr>
            </w:pPr>
            <w:r w:rsidRPr="007B3E88">
              <w:rPr>
                <w:i w:val="0"/>
                <w:kern w:val="22"/>
                <w:szCs w:val="22"/>
              </w:rPr>
              <w:t>Management is consistent with the ecosystem approach with the ability to adapt to achieve biodiversity outcomes, including long-term</w:t>
            </w:r>
            <w:r w:rsidR="000249B0" w:rsidRPr="007B3E88">
              <w:rPr>
                <w:i w:val="0"/>
                <w:kern w:val="22"/>
                <w:szCs w:val="22"/>
              </w:rPr>
              <w:t xml:space="preserve"> outcomes</w:t>
            </w:r>
            <w:r w:rsidRPr="007B3E88">
              <w:rPr>
                <w:i w:val="0"/>
                <w:kern w:val="22"/>
                <w:szCs w:val="22"/>
              </w:rPr>
              <w:t xml:space="preserve">, </w:t>
            </w:r>
            <w:r w:rsidR="000249B0" w:rsidRPr="007B3E88">
              <w:rPr>
                <w:i w:val="0"/>
                <w:kern w:val="22"/>
                <w:szCs w:val="22"/>
              </w:rPr>
              <w:t xml:space="preserve">and </w:t>
            </w:r>
            <w:r w:rsidRPr="007B3E88">
              <w:rPr>
                <w:i w:val="0"/>
                <w:kern w:val="22"/>
                <w:szCs w:val="22"/>
              </w:rPr>
              <w:t>including the ability to manage a new threat.</w:t>
            </w:r>
          </w:p>
        </w:tc>
      </w:tr>
      <w:tr w:rsidR="00EA1588" w:rsidRPr="00A3709F" w14:paraId="04BC5272" w14:textId="77777777" w:rsidTr="007B3E88">
        <w:trPr>
          <w:cantSplit/>
          <w:jc w:val="center"/>
        </w:trPr>
        <w:tc>
          <w:tcPr>
            <w:tcW w:w="9331" w:type="dxa"/>
            <w:gridSpan w:val="2"/>
            <w:shd w:val="clear" w:color="auto" w:fill="BFBFBF" w:themeFill="background1" w:themeFillShade="BF"/>
          </w:tcPr>
          <w:p w14:paraId="37B3B891" w14:textId="77777777" w:rsidR="003B017B" w:rsidRPr="007B3E88" w:rsidRDefault="003B017B" w:rsidP="007B3E88">
            <w:pPr>
              <w:suppressLineNumbers/>
              <w:suppressAutoHyphens/>
              <w:kinsoku w:val="0"/>
              <w:overflowPunct w:val="0"/>
              <w:autoSpaceDE w:val="0"/>
              <w:autoSpaceDN w:val="0"/>
              <w:ind w:left="162" w:hanging="162"/>
              <w:jc w:val="left"/>
              <w:rPr>
                <w:rFonts w:ascii="Times New Roman" w:hAnsi="Times New Roman" w:cs="Times New Roman"/>
                <w:b/>
                <w:bCs/>
                <w:kern w:val="22"/>
                <w:szCs w:val="22"/>
              </w:rPr>
            </w:pPr>
            <w:r w:rsidRPr="007B3E88">
              <w:rPr>
                <w:b/>
                <w:kern w:val="22"/>
                <w:szCs w:val="22"/>
              </w:rPr>
              <w:t>Criterion C: Achieves sustained and effective contribution to in situ conservation of biodiversity</w:t>
            </w:r>
          </w:p>
        </w:tc>
      </w:tr>
      <w:tr w:rsidR="00EA1588" w:rsidRPr="00A3709F" w14:paraId="3F987ED0" w14:textId="77777777" w:rsidTr="007B3E88">
        <w:trPr>
          <w:cantSplit/>
          <w:jc w:val="center"/>
        </w:trPr>
        <w:tc>
          <w:tcPr>
            <w:tcW w:w="1611" w:type="dxa"/>
          </w:tcPr>
          <w:p w14:paraId="47B382A1" w14:textId="77777777" w:rsidR="003B017B" w:rsidRPr="007B3E88" w:rsidRDefault="003B017B" w:rsidP="007B3E88">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rPr>
            </w:pPr>
            <w:r w:rsidRPr="007B3E88">
              <w:rPr>
                <w:b/>
                <w:i w:val="0"/>
                <w:kern w:val="22"/>
                <w:szCs w:val="22"/>
              </w:rPr>
              <w:t>Effective</w:t>
            </w:r>
          </w:p>
        </w:tc>
        <w:tc>
          <w:tcPr>
            <w:tcW w:w="7720" w:type="dxa"/>
          </w:tcPr>
          <w:p w14:paraId="4CA74290" w14:textId="5AE9705D"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The area achieves, or is expected to achieve, positive and sustained outcomes for the in</w:t>
            </w:r>
            <w:r w:rsidR="00473134" w:rsidRPr="007B3E88">
              <w:rPr>
                <w:i w:val="0"/>
                <w:kern w:val="22"/>
                <w:szCs w:val="22"/>
              </w:rPr>
              <w:t> </w:t>
            </w:r>
            <w:r w:rsidRPr="007B3E88">
              <w:rPr>
                <w:i w:val="0"/>
                <w:kern w:val="22"/>
                <w:szCs w:val="22"/>
              </w:rPr>
              <w:t>situ conservation of biodiversity.</w:t>
            </w:r>
          </w:p>
          <w:p w14:paraId="47B1739E" w14:textId="4888925A"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Current threats are well understood</w:t>
            </w:r>
            <w:r w:rsidR="00AA6F81" w:rsidRPr="007B3E88">
              <w:rPr>
                <w:i w:val="0"/>
                <w:kern w:val="22"/>
                <w:szCs w:val="22"/>
              </w:rPr>
              <w:t>.</w:t>
            </w:r>
          </w:p>
          <w:p w14:paraId="7DAD3E0D"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Significant threats are addressed effectively.</w:t>
            </w:r>
          </w:p>
          <w:p w14:paraId="7A3267C3" w14:textId="3A63561F"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Mechanisms, such as policy frameworks and regulations, are in place to recogni</w:t>
            </w:r>
            <w:r w:rsidR="00471E77" w:rsidRPr="007B3E88">
              <w:rPr>
                <w:i w:val="0"/>
                <w:kern w:val="22"/>
                <w:szCs w:val="22"/>
              </w:rPr>
              <w:t>z</w:t>
            </w:r>
            <w:r w:rsidRPr="007B3E88">
              <w:rPr>
                <w:i w:val="0"/>
                <w:kern w:val="22"/>
                <w:szCs w:val="22"/>
              </w:rPr>
              <w:t>e and respond to new threats.</w:t>
            </w:r>
          </w:p>
          <w:p w14:paraId="7AC3AB88" w14:textId="5F1BFEA3"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 xml:space="preserve">To the extent possible, management inside and outside the OECM </w:t>
            </w:r>
            <w:r w:rsidR="007134F2" w:rsidRPr="007B3E88">
              <w:rPr>
                <w:i w:val="0"/>
                <w:kern w:val="22"/>
                <w:szCs w:val="22"/>
              </w:rPr>
              <w:t xml:space="preserve">is </w:t>
            </w:r>
            <w:r w:rsidRPr="007B3E88">
              <w:rPr>
                <w:i w:val="0"/>
                <w:kern w:val="22"/>
                <w:szCs w:val="22"/>
              </w:rPr>
              <w:t>integrated.</w:t>
            </w:r>
          </w:p>
        </w:tc>
      </w:tr>
      <w:tr w:rsidR="00EA1588" w:rsidRPr="00A3709F" w14:paraId="4D4C3167" w14:textId="77777777" w:rsidTr="007B3E88">
        <w:trPr>
          <w:cantSplit/>
          <w:jc w:val="center"/>
        </w:trPr>
        <w:tc>
          <w:tcPr>
            <w:tcW w:w="1611" w:type="dxa"/>
          </w:tcPr>
          <w:p w14:paraId="5845B585" w14:textId="50049A17" w:rsidR="003B017B" w:rsidRPr="007B3E88" w:rsidRDefault="003B017B" w:rsidP="007B3E88">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rPr>
            </w:pPr>
            <w:r w:rsidRPr="007B3E88">
              <w:rPr>
                <w:b/>
                <w:i w:val="0"/>
                <w:kern w:val="22"/>
                <w:szCs w:val="22"/>
              </w:rPr>
              <w:t>Sustained over long</w:t>
            </w:r>
            <w:r w:rsidR="00AA6F81" w:rsidRPr="007B3E88">
              <w:rPr>
                <w:b/>
                <w:i w:val="0"/>
                <w:kern w:val="22"/>
                <w:szCs w:val="22"/>
              </w:rPr>
              <w:t xml:space="preserve"> </w:t>
            </w:r>
            <w:r w:rsidRPr="007B3E88">
              <w:rPr>
                <w:b/>
                <w:i w:val="0"/>
                <w:kern w:val="22"/>
                <w:szCs w:val="22"/>
              </w:rPr>
              <w:t>term</w:t>
            </w:r>
          </w:p>
        </w:tc>
        <w:tc>
          <w:tcPr>
            <w:tcW w:w="7720" w:type="dxa"/>
          </w:tcPr>
          <w:p w14:paraId="0551A5DB" w14:textId="7CD89BD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The OECM is in place for the long term or is likely to be.</w:t>
            </w:r>
          </w:p>
          <w:p w14:paraId="285483AC" w14:textId="22173AA8" w:rsidR="003B017B" w:rsidRPr="007B3E88" w:rsidRDefault="00B01CAF"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w:t>
            </w:r>
            <w:r w:rsidR="003B017B" w:rsidRPr="007B3E88">
              <w:rPr>
                <w:i w:val="0"/>
                <w:kern w:val="22"/>
                <w:szCs w:val="22"/>
              </w:rPr>
              <w:t>Sustained</w:t>
            </w:r>
            <w:r w:rsidRPr="007B3E88">
              <w:rPr>
                <w:i w:val="0"/>
                <w:kern w:val="22"/>
                <w:szCs w:val="22"/>
              </w:rPr>
              <w:t>”</w:t>
            </w:r>
            <w:r w:rsidR="003B017B" w:rsidRPr="007B3E88">
              <w:rPr>
                <w:i w:val="0"/>
                <w:kern w:val="22"/>
                <w:szCs w:val="22"/>
              </w:rPr>
              <w:t xml:space="preserve"> pertains to the continuity of governance and management and </w:t>
            </w:r>
            <w:r w:rsidRPr="007B3E88">
              <w:rPr>
                <w:i w:val="0"/>
                <w:kern w:val="22"/>
                <w:szCs w:val="22"/>
              </w:rPr>
              <w:t>“</w:t>
            </w:r>
            <w:r w:rsidR="003B017B" w:rsidRPr="007B3E88">
              <w:rPr>
                <w:i w:val="0"/>
                <w:kern w:val="22"/>
                <w:szCs w:val="22"/>
              </w:rPr>
              <w:t>long</w:t>
            </w:r>
            <w:r w:rsidR="00AA6F81" w:rsidRPr="007B3E88">
              <w:rPr>
                <w:i w:val="0"/>
                <w:kern w:val="22"/>
                <w:szCs w:val="22"/>
              </w:rPr>
              <w:t xml:space="preserve"> </w:t>
            </w:r>
            <w:r w:rsidR="003B017B" w:rsidRPr="007B3E88">
              <w:rPr>
                <w:i w:val="0"/>
                <w:kern w:val="22"/>
                <w:szCs w:val="22"/>
              </w:rPr>
              <w:t>term</w:t>
            </w:r>
            <w:r w:rsidRPr="007B3E88">
              <w:rPr>
                <w:i w:val="0"/>
                <w:kern w:val="22"/>
                <w:szCs w:val="22"/>
              </w:rPr>
              <w:t>”</w:t>
            </w:r>
            <w:r w:rsidR="003B017B" w:rsidRPr="007B3E88">
              <w:rPr>
                <w:i w:val="0"/>
                <w:kern w:val="22"/>
                <w:szCs w:val="22"/>
              </w:rPr>
              <w:t xml:space="preserve"> pertains to the outcome.</w:t>
            </w:r>
          </w:p>
        </w:tc>
      </w:tr>
      <w:tr w:rsidR="00EA1588" w:rsidRPr="00A3709F" w14:paraId="1288338F" w14:textId="77777777" w:rsidTr="007B3E88">
        <w:trPr>
          <w:cantSplit/>
          <w:jc w:val="center"/>
        </w:trPr>
        <w:tc>
          <w:tcPr>
            <w:tcW w:w="1611" w:type="dxa"/>
          </w:tcPr>
          <w:p w14:paraId="29B696AE" w14:textId="4AA96EF0" w:rsidR="003B017B" w:rsidRPr="007B3E88" w:rsidRDefault="002603C9" w:rsidP="007B3E88">
            <w:pPr>
              <w:suppressLineNumbers/>
              <w:suppressAutoHyphens/>
              <w:kinsoku w:val="0"/>
              <w:overflowPunct w:val="0"/>
              <w:autoSpaceDE w:val="0"/>
              <w:autoSpaceDN w:val="0"/>
              <w:jc w:val="left"/>
              <w:rPr>
                <w:rFonts w:ascii="Times New Roman" w:hAnsi="Times New Roman" w:cs="Times New Roman"/>
                <w:kern w:val="22"/>
                <w:szCs w:val="22"/>
              </w:rPr>
            </w:pPr>
            <w:r w:rsidRPr="007B3E88">
              <w:rPr>
                <w:b/>
                <w:color w:val="000000" w:themeColor="text1"/>
                <w:kern w:val="22"/>
                <w:szCs w:val="22"/>
              </w:rPr>
              <w:t xml:space="preserve">Information and </w:t>
            </w:r>
            <w:r w:rsidR="00AA6F81" w:rsidRPr="007B3E88">
              <w:rPr>
                <w:b/>
                <w:color w:val="000000" w:themeColor="text1"/>
                <w:kern w:val="22"/>
                <w:szCs w:val="22"/>
              </w:rPr>
              <w:t>m</w:t>
            </w:r>
            <w:r w:rsidRPr="007B3E88">
              <w:rPr>
                <w:b/>
                <w:color w:val="000000" w:themeColor="text1"/>
                <w:kern w:val="22"/>
                <w:szCs w:val="22"/>
              </w:rPr>
              <w:t>onitoring</w:t>
            </w:r>
          </w:p>
        </w:tc>
        <w:tc>
          <w:tcPr>
            <w:tcW w:w="7720" w:type="dxa"/>
          </w:tcPr>
          <w:p w14:paraId="5CBF685A"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kern w:val="22"/>
                <w:szCs w:val="22"/>
              </w:rPr>
            </w:pPr>
            <w:r w:rsidRPr="007B3E88">
              <w:rPr>
                <w:i w:val="0"/>
                <w:kern w:val="22"/>
                <w:szCs w:val="22"/>
              </w:rPr>
              <w:t>Identification of an OECM should, to the extent possible, document the known biodiversity attributes, including cultural and/or spiritual values, of the area and the governance and management in place as a baseline for assessing effectiveness.</w:t>
            </w:r>
          </w:p>
          <w:p w14:paraId="3613280D" w14:textId="6111BF3B"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rPr>
                <w:rFonts w:ascii="Times New Roman" w:hAnsi="Times New Roman" w:cs="Times New Roman"/>
                <w:i w:val="0"/>
                <w:kern w:val="22"/>
                <w:szCs w:val="22"/>
              </w:rPr>
            </w:pPr>
            <w:r w:rsidRPr="007B3E88">
              <w:rPr>
                <w:i w:val="0"/>
                <w:kern w:val="22"/>
                <w:szCs w:val="22"/>
              </w:rPr>
              <w:t>A monitoring system informs management measures with respect to biodiversity.</w:t>
            </w:r>
          </w:p>
          <w:p w14:paraId="17F44F05"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60"/>
              <w:ind w:left="403"/>
              <w:jc w:val="left"/>
              <w:rPr>
                <w:rFonts w:ascii="Times New Roman" w:hAnsi="Times New Roman" w:cs="Times New Roman"/>
                <w:i w:val="0"/>
                <w:kern w:val="22"/>
                <w:szCs w:val="22"/>
              </w:rPr>
            </w:pPr>
            <w:r w:rsidRPr="007B3E88">
              <w:rPr>
                <w:i w:val="0"/>
                <w:kern w:val="22"/>
                <w:szCs w:val="22"/>
              </w:rPr>
              <w:t>Processes should be in place to evaluate the effectiveness of governance and management, including with respect to equity.</w:t>
            </w:r>
          </w:p>
        </w:tc>
      </w:tr>
      <w:tr w:rsidR="00EA1588" w:rsidRPr="00A3709F" w14:paraId="2EA43369" w14:textId="77777777" w:rsidTr="007B3E88">
        <w:trPr>
          <w:cantSplit/>
          <w:jc w:val="center"/>
        </w:trPr>
        <w:tc>
          <w:tcPr>
            <w:tcW w:w="9331" w:type="dxa"/>
            <w:gridSpan w:val="2"/>
            <w:shd w:val="clear" w:color="auto" w:fill="BFBFBF" w:themeFill="background1" w:themeFillShade="BF"/>
          </w:tcPr>
          <w:p w14:paraId="0E2EA608" w14:textId="77777777" w:rsidR="003B017B" w:rsidRPr="007B3E88" w:rsidRDefault="003B017B" w:rsidP="007B3E88">
            <w:pPr>
              <w:pStyle w:val="Heading3"/>
              <w:suppressLineNumbers/>
              <w:suppressAutoHyphens/>
              <w:kinsoku w:val="0"/>
              <w:overflowPunct w:val="0"/>
              <w:autoSpaceDE w:val="0"/>
              <w:autoSpaceDN w:val="0"/>
              <w:spacing w:before="0" w:after="0"/>
              <w:ind w:left="259" w:hanging="259"/>
              <w:jc w:val="left"/>
              <w:outlineLvl w:val="2"/>
              <w:rPr>
                <w:rFonts w:ascii="Times New Roman" w:hAnsi="Times New Roman" w:cs="Times New Roman"/>
                <w:b/>
                <w:bCs/>
                <w:i w:val="0"/>
                <w:kern w:val="22"/>
                <w:szCs w:val="22"/>
              </w:rPr>
            </w:pPr>
            <w:r w:rsidRPr="007B3E88">
              <w:rPr>
                <w:b/>
                <w:i w:val="0"/>
                <w:kern w:val="22"/>
                <w:szCs w:val="22"/>
              </w:rPr>
              <w:t>Criterion D: Associated ecosystem services and cultural and spiritual values</w:t>
            </w:r>
          </w:p>
        </w:tc>
      </w:tr>
      <w:tr w:rsidR="00EA1588" w:rsidRPr="00A3709F" w14:paraId="2234BEE1" w14:textId="77777777" w:rsidTr="007B3E88">
        <w:trPr>
          <w:cantSplit/>
          <w:jc w:val="center"/>
        </w:trPr>
        <w:tc>
          <w:tcPr>
            <w:tcW w:w="1611" w:type="dxa"/>
          </w:tcPr>
          <w:p w14:paraId="6C5506F4" w14:textId="77777777" w:rsidR="003B017B" w:rsidRPr="007B3E88" w:rsidRDefault="003B017B" w:rsidP="007B3E88">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rPr>
            </w:pPr>
            <w:r w:rsidRPr="007B3E88">
              <w:rPr>
                <w:b/>
                <w:i w:val="0"/>
                <w:kern w:val="22"/>
                <w:szCs w:val="22"/>
              </w:rPr>
              <w:t>Ecosystem services</w:t>
            </w:r>
          </w:p>
        </w:tc>
        <w:tc>
          <w:tcPr>
            <w:tcW w:w="7720" w:type="dxa"/>
          </w:tcPr>
          <w:p w14:paraId="14F8A73E" w14:textId="26C801A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 xml:space="preserve">Ecosystem services are supported, particularly those of importance to </w:t>
            </w:r>
            <w:r w:rsidR="00F252A0" w:rsidRPr="007B3E88">
              <w:rPr>
                <w:i w:val="0"/>
                <w:kern w:val="22"/>
                <w:szCs w:val="22"/>
              </w:rPr>
              <w:t>i</w:t>
            </w:r>
            <w:r w:rsidRPr="007B3E88">
              <w:rPr>
                <w:i w:val="0"/>
                <w:kern w:val="22"/>
                <w:szCs w:val="22"/>
              </w:rPr>
              <w:t>ndigenous peoples and local communities, taking into account interactions and trade-offs among ecosystem services, with a view to ensuring positive biodiversity outcomes and equity.</w:t>
            </w:r>
          </w:p>
        </w:tc>
      </w:tr>
      <w:tr w:rsidR="00EA1588" w:rsidRPr="00A3709F" w14:paraId="6CC6EF71" w14:textId="77777777" w:rsidTr="007B3E88">
        <w:trPr>
          <w:cantSplit/>
          <w:jc w:val="center"/>
        </w:trPr>
        <w:tc>
          <w:tcPr>
            <w:tcW w:w="1611" w:type="dxa"/>
          </w:tcPr>
          <w:p w14:paraId="5C8B90E8" w14:textId="77777777" w:rsidR="003B017B" w:rsidRPr="007B3E88" w:rsidRDefault="003B017B" w:rsidP="007B3E88">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rPr>
            </w:pPr>
            <w:r w:rsidRPr="007B3E88">
              <w:rPr>
                <w:b/>
                <w:i w:val="0"/>
                <w:kern w:val="22"/>
                <w:szCs w:val="22"/>
              </w:rPr>
              <w:t>Cultural and spiritual values</w:t>
            </w:r>
          </w:p>
        </w:tc>
        <w:tc>
          <w:tcPr>
            <w:tcW w:w="7720" w:type="dxa"/>
          </w:tcPr>
          <w:p w14:paraId="714305F2" w14:textId="77777777"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Governance and management measures identify, respect and uphold the cultural and spiritual significance and values of the area.</w:t>
            </w:r>
          </w:p>
          <w:p w14:paraId="334803CF" w14:textId="61F42989" w:rsidR="003B017B" w:rsidRPr="007B3E88" w:rsidRDefault="003B017B" w:rsidP="007B3E88">
            <w:pPr>
              <w:pStyle w:val="Heading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rPr>
            </w:pPr>
            <w:r w:rsidRPr="007B3E88">
              <w:rPr>
                <w:i w:val="0"/>
                <w:kern w:val="22"/>
                <w:szCs w:val="22"/>
              </w:rPr>
              <w:t>Governance and management measures respect and uphold the knowledge, practices and institutions that are fundamental for the in</w:t>
            </w:r>
            <w:r w:rsidR="00473134" w:rsidRPr="007B3E88">
              <w:rPr>
                <w:i w:val="0"/>
                <w:kern w:val="22"/>
                <w:szCs w:val="22"/>
              </w:rPr>
              <w:t> </w:t>
            </w:r>
            <w:r w:rsidRPr="007B3E88">
              <w:rPr>
                <w:i w:val="0"/>
                <w:kern w:val="22"/>
                <w:szCs w:val="22"/>
              </w:rPr>
              <w:t>situ conservation of biodiversity.</w:t>
            </w:r>
          </w:p>
        </w:tc>
      </w:tr>
    </w:tbl>
    <w:p w14:paraId="66FFE247" w14:textId="2E401DD3" w:rsidR="005D6096" w:rsidRPr="007B3E88" w:rsidRDefault="00AA6F81" w:rsidP="007B3E88">
      <w:pPr>
        <w:pStyle w:val="Heading1"/>
        <w:keepNext/>
        <w:suppressLineNumbers/>
        <w:tabs>
          <w:tab w:val="clear" w:pos="720"/>
          <w:tab w:val="left" w:pos="360"/>
        </w:tabs>
        <w:suppressAutoHyphens/>
        <w:kinsoku w:val="0"/>
        <w:overflowPunct w:val="0"/>
        <w:autoSpaceDE w:val="0"/>
        <w:autoSpaceDN w:val="0"/>
        <w:spacing w:line="226" w:lineRule="auto"/>
        <w:rPr>
          <w:bCs/>
          <w:kern w:val="22"/>
          <w:szCs w:val="22"/>
        </w:rPr>
      </w:pPr>
      <w:r w:rsidRPr="007B3E88">
        <w:rPr>
          <w:bCs/>
          <w:kern w:val="22"/>
          <w:szCs w:val="22"/>
        </w:rPr>
        <w:t>D.</w:t>
      </w:r>
      <w:r w:rsidRPr="007B3E88">
        <w:rPr>
          <w:bCs/>
          <w:kern w:val="22"/>
          <w:szCs w:val="22"/>
        </w:rPr>
        <w:tab/>
      </w:r>
      <w:r w:rsidR="005D6096" w:rsidRPr="007B3E88">
        <w:rPr>
          <w:bCs/>
          <w:kern w:val="22"/>
          <w:szCs w:val="22"/>
        </w:rPr>
        <w:t xml:space="preserve">Further </w:t>
      </w:r>
      <w:r w:rsidR="00CE19B2" w:rsidRPr="007B3E88">
        <w:rPr>
          <w:bCs/>
          <w:kern w:val="22"/>
          <w:szCs w:val="22"/>
        </w:rPr>
        <w:t>c</w:t>
      </w:r>
      <w:r w:rsidR="005D6096" w:rsidRPr="007B3E88">
        <w:rPr>
          <w:bCs/>
          <w:kern w:val="22"/>
          <w:szCs w:val="22"/>
        </w:rPr>
        <w:t>onsiderations</w:t>
      </w:r>
    </w:p>
    <w:p w14:paraId="0198AC17" w14:textId="6CC4F49A" w:rsidR="005D6096" w:rsidRPr="007B3E88" w:rsidRDefault="005D6096" w:rsidP="007B3E88">
      <w:pPr>
        <w:pStyle w:val="ListParagraph"/>
        <w:keepNext/>
        <w:numPr>
          <w:ilvl w:val="6"/>
          <w:numId w:val="39"/>
        </w:numPr>
        <w:suppressLineNumbers/>
        <w:tabs>
          <w:tab w:val="left" w:pos="360"/>
        </w:tabs>
        <w:suppressAutoHyphens/>
        <w:kinsoku w:val="0"/>
        <w:overflowPunct w:val="0"/>
        <w:autoSpaceDE w:val="0"/>
        <w:autoSpaceDN w:val="0"/>
        <w:spacing w:line="226" w:lineRule="auto"/>
        <w:ind w:left="0" w:firstLine="0"/>
        <w:jc w:val="center"/>
        <w:rPr>
          <w:i/>
          <w:kern w:val="22"/>
          <w:szCs w:val="22"/>
        </w:rPr>
      </w:pPr>
      <w:r w:rsidRPr="007B3E88">
        <w:rPr>
          <w:i/>
          <w:kern w:val="22"/>
          <w:szCs w:val="22"/>
        </w:rPr>
        <w:t xml:space="preserve">Management </w:t>
      </w:r>
      <w:r w:rsidR="00CE19B2" w:rsidRPr="00A3709F">
        <w:rPr>
          <w:i/>
          <w:kern w:val="22"/>
          <w:szCs w:val="22"/>
        </w:rPr>
        <w:t>a</w:t>
      </w:r>
      <w:r w:rsidRPr="007B3E88">
        <w:rPr>
          <w:i/>
          <w:kern w:val="22"/>
          <w:szCs w:val="22"/>
        </w:rPr>
        <w:t>pproaches</w:t>
      </w:r>
    </w:p>
    <w:p w14:paraId="238B2139" w14:textId="4ACA8FED" w:rsidR="005D6096" w:rsidRPr="007B3E88" w:rsidRDefault="005D6096" w:rsidP="007B3E88">
      <w:pPr>
        <w:pStyle w:val="ListParagraph"/>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OECMs are diverse in terms of purpose, design, governance, participants and management, especially as they consider associated cultural and spiritual values. Accordingly, management approaches for OECMs are and will be diverse</w:t>
      </w:r>
      <w:r w:rsidR="00471E77" w:rsidRPr="007B3E88">
        <w:rPr>
          <w:kern w:val="22"/>
          <w:szCs w:val="22"/>
        </w:rPr>
        <w:t>;</w:t>
      </w:r>
    </w:p>
    <w:p w14:paraId="2B865496" w14:textId="660D21B8" w:rsidR="005D6096" w:rsidRPr="007B3E88" w:rsidRDefault="005D6096" w:rsidP="007B3E88">
      <w:pPr>
        <w:pStyle w:val="ListParagraph"/>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Some OECMs are established, recognized or managed to intentionally sustain in</w:t>
      </w:r>
      <w:r w:rsidR="004B5D59">
        <w:rPr>
          <w:kern w:val="22"/>
          <w:szCs w:val="22"/>
        </w:rPr>
        <w:t> </w:t>
      </w:r>
      <w:r w:rsidRPr="007B3E88">
        <w:rPr>
          <w:kern w:val="22"/>
          <w:szCs w:val="22"/>
        </w:rPr>
        <w:t>situ conservation of biodiversity. This purpose is either the primary management objective, or part of a set of intended management objectives</w:t>
      </w:r>
      <w:r w:rsidR="00473134" w:rsidRPr="007B3E88">
        <w:rPr>
          <w:kern w:val="22"/>
          <w:szCs w:val="22"/>
        </w:rPr>
        <w:t>;</w:t>
      </w:r>
    </w:p>
    <w:p w14:paraId="5B67BFE7" w14:textId="19B8590A" w:rsidR="005D6096" w:rsidRPr="007B3E88" w:rsidRDefault="005D6096" w:rsidP="007B3E88">
      <w:pPr>
        <w:pStyle w:val="ListParagraph"/>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Some OECMs may be established, recognized or managed primarily for purposes other than in</w:t>
      </w:r>
      <w:r w:rsidR="00473134" w:rsidRPr="007B3E88">
        <w:rPr>
          <w:kern w:val="22"/>
          <w:szCs w:val="22"/>
        </w:rPr>
        <w:t> </w:t>
      </w:r>
      <w:r w:rsidRPr="007B3E88">
        <w:rPr>
          <w:kern w:val="22"/>
          <w:szCs w:val="22"/>
        </w:rPr>
        <w:t>situ conservation of biodiversity. Thus their contribution to in</w:t>
      </w:r>
      <w:r w:rsidR="00107207">
        <w:rPr>
          <w:kern w:val="22"/>
          <w:szCs w:val="22"/>
        </w:rPr>
        <w:t> </w:t>
      </w:r>
      <w:r w:rsidRPr="007B3E88">
        <w:rPr>
          <w:kern w:val="22"/>
          <w:szCs w:val="22"/>
        </w:rPr>
        <w:t xml:space="preserve">situ conservation of biodiversity is a co-benefit to their primary intended management objective or purpose. However, where </w:t>
      </w:r>
      <w:r w:rsidR="00107207">
        <w:rPr>
          <w:kern w:val="22"/>
          <w:szCs w:val="22"/>
        </w:rPr>
        <w:t xml:space="preserve">a </w:t>
      </w:r>
      <w:r w:rsidRPr="007B3E88">
        <w:rPr>
          <w:kern w:val="22"/>
          <w:szCs w:val="22"/>
        </w:rPr>
        <w:t>contribution to in</w:t>
      </w:r>
      <w:r w:rsidR="00107207">
        <w:rPr>
          <w:kern w:val="22"/>
          <w:szCs w:val="22"/>
        </w:rPr>
        <w:t> </w:t>
      </w:r>
      <w:r w:rsidRPr="007B3E88">
        <w:rPr>
          <w:kern w:val="22"/>
          <w:szCs w:val="22"/>
        </w:rPr>
        <w:t>situ conservation of biodiversity is incidental to the primary stated purpose of the OECM, it is desirable that this contribution become a recognized objective of the management of the OECM</w:t>
      </w:r>
      <w:r w:rsidR="00473134" w:rsidRPr="007B3E88">
        <w:rPr>
          <w:kern w:val="22"/>
          <w:szCs w:val="22"/>
        </w:rPr>
        <w:t>;</w:t>
      </w:r>
    </w:p>
    <w:p w14:paraId="67D45041" w14:textId="5A0EF5A4" w:rsidR="005D6096" w:rsidRPr="007B3E88" w:rsidRDefault="005D6096" w:rsidP="007B3E88">
      <w:pPr>
        <w:pStyle w:val="ListParagraph"/>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lang w:eastAsia="en-CA"/>
        </w:rPr>
      </w:pPr>
      <w:r w:rsidRPr="007B3E88">
        <w:rPr>
          <w:kern w:val="22"/>
          <w:szCs w:val="22"/>
        </w:rPr>
        <w:t>In all cases where in</w:t>
      </w:r>
      <w:r w:rsidR="00107207">
        <w:rPr>
          <w:kern w:val="22"/>
          <w:szCs w:val="22"/>
        </w:rPr>
        <w:t> </w:t>
      </w:r>
      <w:r w:rsidRPr="007B3E88">
        <w:rPr>
          <w:kern w:val="22"/>
          <w:szCs w:val="22"/>
        </w:rPr>
        <w:t>situ conservation of biodiversity is recognized as a management objective, specific management measures should be defined and enabled.</w:t>
      </w:r>
    </w:p>
    <w:p w14:paraId="5717BB28" w14:textId="0AF26DBF" w:rsidR="005D6096" w:rsidRPr="007B3E88" w:rsidRDefault="00E84B4F" w:rsidP="007B3E88">
      <w:pPr>
        <w:pStyle w:val="ListParagraph"/>
        <w:keepNext/>
        <w:suppressLineNumbers/>
        <w:tabs>
          <w:tab w:val="left" w:pos="360"/>
        </w:tabs>
        <w:suppressAutoHyphens/>
        <w:kinsoku w:val="0"/>
        <w:overflowPunct w:val="0"/>
        <w:autoSpaceDE w:val="0"/>
        <w:autoSpaceDN w:val="0"/>
        <w:spacing w:before="120" w:after="120" w:line="226" w:lineRule="auto"/>
        <w:ind w:left="0"/>
        <w:contextualSpacing w:val="0"/>
        <w:jc w:val="center"/>
        <w:rPr>
          <w:i/>
          <w:caps/>
          <w:kern w:val="22"/>
          <w:szCs w:val="22"/>
        </w:rPr>
      </w:pPr>
      <w:r w:rsidRPr="007B3E88">
        <w:rPr>
          <w:i/>
          <w:kern w:val="22"/>
          <w:szCs w:val="22"/>
        </w:rPr>
        <w:t>2.</w:t>
      </w:r>
      <w:r w:rsidRPr="007B3E88">
        <w:rPr>
          <w:i/>
          <w:kern w:val="22"/>
          <w:szCs w:val="22"/>
        </w:rPr>
        <w:tab/>
      </w:r>
      <w:r w:rsidR="005D6096" w:rsidRPr="007B3E88">
        <w:rPr>
          <w:i/>
          <w:kern w:val="22"/>
          <w:szCs w:val="22"/>
        </w:rPr>
        <w:t xml:space="preserve">Role in </w:t>
      </w:r>
      <w:r w:rsidR="00AF2B77" w:rsidRPr="007B3E88">
        <w:rPr>
          <w:i/>
          <w:kern w:val="22"/>
          <w:szCs w:val="22"/>
        </w:rPr>
        <w:t>a</w:t>
      </w:r>
      <w:r w:rsidR="005D6096" w:rsidRPr="007B3E88">
        <w:rPr>
          <w:i/>
          <w:kern w:val="22"/>
          <w:szCs w:val="22"/>
        </w:rPr>
        <w:t>chieving Aichi Biodiversity Target 11</w:t>
      </w:r>
    </w:p>
    <w:p w14:paraId="2BEA7433" w14:textId="020D84E0" w:rsidR="005D6096" w:rsidRPr="007B3E88" w:rsidRDefault="005D6096" w:rsidP="007B3E88">
      <w:pPr>
        <w:pStyle w:val="ListParagraph"/>
        <w:numPr>
          <w:ilvl w:val="0"/>
          <w:numId w:val="89"/>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By definition, OECMs contribute to both quantitative (i.e. the 17% and 10% coverage elements) and qualitative elements (i.e. representativity, coverage of areas important for biodiversity, connectivity and integration in wider landscapes and seascapes, management effectiveness and equity) of Aichi Biodiversity Target 11</w:t>
      </w:r>
      <w:r w:rsidR="00473134" w:rsidRPr="007B3E88">
        <w:rPr>
          <w:kern w:val="22"/>
          <w:szCs w:val="22"/>
        </w:rPr>
        <w:t>;</w:t>
      </w:r>
    </w:p>
    <w:p w14:paraId="5C788631" w14:textId="0885779B" w:rsidR="008F5BDC" w:rsidRPr="007B3E88" w:rsidRDefault="005D6096" w:rsidP="007B3E88">
      <w:pPr>
        <w:pStyle w:val="ListParagraph"/>
        <w:numPr>
          <w:ilvl w:val="0"/>
          <w:numId w:val="89"/>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 xml:space="preserve">Since OECMs are diverse in terms of purpose, design, governance, and management, they will often also contribute to other Aichi </w:t>
      </w:r>
      <w:r w:rsidR="00473134" w:rsidRPr="007B3E88">
        <w:rPr>
          <w:kern w:val="22"/>
          <w:szCs w:val="22"/>
        </w:rPr>
        <w:t>B</w:t>
      </w:r>
      <w:r w:rsidRPr="007B3E88">
        <w:rPr>
          <w:kern w:val="22"/>
          <w:szCs w:val="22"/>
        </w:rPr>
        <w:t xml:space="preserve">iodiversity </w:t>
      </w:r>
      <w:r w:rsidR="00473134" w:rsidRPr="007B3E88">
        <w:rPr>
          <w:kern w:val="22"/>
          <w:szCs w:val="22"/>
        </w:rPr>
        <w:t>T</w:t>
      </w:r>
      <w:r w:rsidRPr="007B3E88">
        <w:rPr>
          <w:kern w:val="22"/>
          <w:szCs w:val="22"/>
        </w:rPr>
        <w:t>argets, targets of the 2030 Agenda for Sustainable Development, and the objectives or targets of other multilateral environmental agreements.</w:t>
      </w:r>
      <w:r w:rsidRPr="007B3E88">
        <w:rPr>
          <w:rStyle w:val="FootnoteReference"/>
          <w:kern w:val="22"/>
          <w:sz w:val="22"/>
          <w:szCs w:val="22"/>
          <w:u w:val="none"/>
          <w:vertAlign w:val="superscript"/>
        </w:rPr>
        <w:footnoteReference w:id="50"/>
      </w:r>
    </w:p>
    <w:p w14:paraId="0321E7CB" w14:textId="496B2B54" w:rsidR="005D6096" w:rsidRPr="007B3E88" w:rsidRDefault="005D6096" w:rsidP="007B3E88">
      <w:pPr>
        <w:pStyle w:val="ListParagraph"/>
        <w:keepNext/>
        <w:numPr>
          <w:ilvl w:val="0"/>
          <w:numId w:val="40"/>
        </w:numPr>
        <w:suppressLineNumbers/>
        <w:tabs>
          <w:tab w:val="left" w:pos="360"/>
        </w:tabs>
        <w:suppressAutoHyphens/>
        <w:kinsoku w:val="0"/>
        <w:overflowPunct w:val="0"/>
        <w:autoSpaceDE w:val="0"/>
        <w:autoSpaceDN w:val="0"/>
        <w:spacing w:before="120" w:after="120" w:line="226" w:lineRule="auto"/>
        <w:ind w:left="0" w:firstLine="0"/>
        <w:contextualSpacing w:val="0"/>
        <w:jc w:val="center"/>
        <w:rPr>
          <w:i/>
          <w:kern w:val="22"/>
          <w:szCs w:val="22"/>
        </w:rPr>
      </w:pPr>
      <w:r w:rsidRPr="007B3E88">
        <w:rPr>
          <w:i/>
          <w:kern w:val="22"/>
          <w:szCs w:val="22"/>
        </w:rPr>
        <w:t>Additional guidance</w:t>
      </w:r>
    </w:p>
    <w:p w14:paraId="36A85CB3" w14:textId="0A0EDCEE"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kern w:val="22"/>
          <w:szCs w:val="22"/>
        </w:rPr>
      </w:pPr>
      <w:r w:rsidRPr="007B3E88">
        <w:rPr>
          <w:kern w:val="22"/>
          <w:szCs w:val="22"/>
        </w:rPr>
        <w:t xml:space="preserve">Further screening and evaluation tools need to be developed in </w:t>
      </w:r>
      <w:r w:rsidR="00E17969" w:rsidRPr="007B3E88">
        <w:rPr>
          <w:kern w:val="22"/>
          <w:szCs w:val="22"/>
        </w:rPr>
        <w:t xml:space="preserve">the </w:t>
      </w:r>
      <w:r w:rsidRPr="007B3E88">
        <w:rPr>
          <w:kern w:val="22"/>
          <w:szCs w:val="22"/>
        </w:rPr>
        <w:t xml:space="preserve">light of experiences </w:t>
      </w:r>
      <w:r w:rsidR="00F32C2D">
        <w:rPr>
          <w:kern w:val="22"/>
          <w:szCs w:val="22"/>
        </w:rPr>
        <w:t>acquired</w:t>
      </w:r>
      <w:r w:rsidR="00F32C2D" w:rsidRPr="007B3E88">
        <w:rPr>
          <w:kern w:val="22"/>
          <w:szCs w:val="22"/>
        </w:rPr>
        <w:t xml:space="preserve"> </w:t>
      </w:r>
      <w:r w:rsidRPr="007B3E88">
        <w:rPr>
          <w:kern w:val="22"/>
          <w:szCs w:val="22"/>
        </w:rPr>
        <w:t>as a result of the application of this guidance</w:t>
      </w:r>
      <w:r w:rsidR="00473134" w:rsidRPr="007B3E88">
        <w:rPr>
          <w:kern w:val="22"/>
          <w:szCs w:val="22"/>
        </w:rPr>
        <w:t>;</w:t>
      </w:r>
    </w:p>
    <w:p w14:paraId="73F92035" w14:textId="0946B0EB"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themeColor="text1"/>
          <w:kern w:val="22"/>
          <w:szCs w:val="22"/>
        </w:rPr>
      </w:pPr>
      <w:r w:rsidRPr="007B3E88">
        <w:rPr>
          <w:color w:val="000000"/>
          <w:kern w:val="22"/>
          <w:szCs w:val="22"/>
        </w:rPr>
        <w:t xml:space="preserve">Monitoring </w:t>
      </w:r>
      <w:r w:rsidR="00F32C2D">
        <w:rPr>
          <w:color w:val="000000"/>
          <w:kern w:val="22"/>
          <w:szCs w:val="22"/>
        </w:rPr>
        <w:t xml:space="preserve">the </w:t>
      </w:r>
      <w:r w:rsidRPr="007B3E88">
        <w:rPr>
          <w:color w:val="000000"/>
          <w:kern w:val="22"/>
          <w:szCs w:val="22"/>
        </w:rPr>
        <w:t>effectiveness of OECMs need</w:t>
      </w:r>
      <w:r w:rsidR="00F32C2D">
        <w:rPr>
          <w:color w:val="000000"/>
          <w:kern w:val="22"/>
          <w:szCs w:val="22"/>
        </w:rPr>
        <w:t>s</w:t>
      </w:r>
      <w:r w:rsidRPr="007B3E88">
        <w:rPr>
          <w:color w:val="000000"/>
          <w:kern w:val="22"/>
          <w:szCs w:val="22"/>
        </w:rPr>
        <w:t xml:space="preserve"> more guidance, information sharing, networking and sharing of available tools</w:t>
      </w:r>
      <w:r w:rsidR="00DF4190">
        <w:rPr>
          <w:color w:val="000000"/>
          <w:kern w:val="22"/>
          <w:szCs w:val="22"/>
        </w:rPr>
        <w:t>,</w:t>
      </w:r>
      <w:r w:rsidRPr="007B3E88">
        <w:rPr>
          <w:color w:val="000000"/>
          <w:kern w:val="22"/>
          <w:szCs w:val="22"/>
        </w:rPr>
        <w:t xml:space="preserve"> and development of new tools where necessary. This guidance could include</w:t>
      </w:r>
      <w:r w:rsidR="00AA4CF0">
        <w:rPr>
          <w:color w:val="000000"/>
          <w:kern w:val="22"/>
          <w:szCs w:val="22"/>
        </w:rPr>
        <w:t>:</w:t>
      </w:r>
      <w:r w:rsidRPr="007B3E88">
        <w:rPr>
          <w:color w:val="000000"/>
          <w:kern w:val="22"/>
          <w:szCs w:val="22"/>
        </w:rPr>
        <w:t xml:space="preserve"> </w:t>
      </w:r>
      <w:r w:rsidR="00AA4CF0">
        <w:rPr>
          <w:color w:val="000000"/>
          <w:kern w:val="22"/>
          <w:szCs w:val="22"/>
        </w:rPr>
        <w:t>(i) </w:t>
      </w:r>
      <w:r w:rsidRPr="007B3E88">
        <w:rPr>
          <w:color w:val="000000" w:themeColor="text1"/>
          <w:kern w:val="22"/>
          <w:szCs w:val="22"/>
        </w:rPr>
        <w:t>baseline data</w:t>
      </w:r>
      <w:r w:rsidR="00AA4CF0">
        <w:rPr>
          <w:color w:val="000000" w:themeColor="text1"/>
          <w:kern w:val="22"/>
          <w:szCs w:val="22"/>
        </w:rPr>
        <w:t>,</w:t>
      </w:r>
      <w:r w:rsidRPr="007B3E88">
        <w:rPr>
          <w:color w:val="000000" w:themeColor="text1"/>
          <w:kern w:val="22"/>
          <w:szCs w:val="22"/>
        </w:rPr>
        <w:t xml:space="preserve"> </w:t>
      </w:r>
      <w:r w:rsidR="00AA4CF0">
        <w:rPr>
          <w:color w:val="000000" w:themeColor="text1"/>
          <w:kern w:val="22"/>
          <w:szCs w:val="22"/>
        </w:rPr>
        <w:t>such as</w:t>
      </w:r>
      <w:r w:rsidR="00AA4CF0" w:rsidRPr="007B3E88">
        <w:rPr>
          <w:color w:val="000000" w:themeColor="text1"/>
          <w:kern w:val="22"/>
          <w:szCs w:val="22"/>
        </w:rPr>
        <w:t xml:space="preserve"> </w:t>
      </w:r>
      <w:r w:rsidRPr="007B3E88">
        <w:rPr>
          <w:color w:val="000000" w:themeColor="text1"/>
          <w:kern w:val="22"/>
          <w:szCs w:val="22"/>
        </w:rPr>
        <w:t xml:space="preserve">documentation of the biodiversity values and elements; </w:t>
      </w:r>
      <w:r w:rsidR="00AA4CF0">
        <w:rPr>
          <w:color w:val="000000" w:themeColor="text1"/>
          <w:kern w:val="22"/>
          <w:szCs w:val="22"/>
        </w:rPr>
        <w:t>(ii) </w:t>
      </w:r>
      <w:r w:rsidRPr="007B3E88">
        <w:rPr>
          <w:color w:val="000000" w:themeColor="text1"/>
          <w:kern w:val="22"/>
          <w:szCs w:val="22"/>
        </w:rPr>
        <w:t xml:space="preserve">ongoing community-based monitoring and incorporation of traditional knowledge; </w:t>
      </w:r>
      <w:r w:rsidR="00AA4CF0">
        <w:rPr>
          <w:color w:val="000000" w:themeColor="text1"/>
          <w:kern w:val="22"/>
          <w:szCs w:val="22"/>
        </w:rPr>
        <w:t>(iii) </w:t>
      </w:r>
      <w:r w:rsidRPr="007B3E88">
        <w:rPr>
          <w:color w:val="000000" w:themeColor="text1"/>
          <w:kern w:val="22"/>
          <w:szCs w:val="22"/>
        </w:rPr>
        <w:t>monitoring over the long term</w:t>
      </w:r>
      <w:r w:rsidR="00AA4CF0">
        <w:rPr>
          <w:color w:val="000000" w:themeColor="text1"/>
          <w:kern w:val="22"/>
          <w:szCs w:val="22"/>
        </w:rPr>
        <w:t>,</w:t>
      </w:r>
      <w:r w:rsidRPr="007B3E88">
        <w:rPr>
          <w:color w:val="000000" w:themeColor="text1"/>
          <w:kern w:val="22"/>
          <w:szCs w:val="22"/>
        </w:rPr>
        <w:t xml:space="preserve"> including how to sustain biodiversity and improve in</w:t>
      </w:r>
      <w:r w:rsidR="00C66774">
        <w:rPr>
          <w:color w:val="000000" w:themeColor="text1"/>
          <w:kern w:val="22"/>
          <w:szCs w:val="22"/>
        </w:rPr>
        <w:t> </w:t>
      </w:r>
      <w:r w:rsidRPr="007B3E88">
        <w:rPr>
          <w:color w:val="000000" w:themeColor="text1"/>
          <w:kern w:val="22"/>
          <w:szCs w:val="22"/>
        </w:rPr>
        <w:t>situ conservation</w:t>
      </w:r>
      <w:r w:rsidR="00AA4CF0">
        <w:rPr>
          <w:color w:val="000000" w:themeColor="text1"/>
          <w:kern w:val="22"/>
          <w:szCs w:val="22"/>
        </w:rPr>
        <w:t>;</w:t>
      </w:r>
      <w:r w:rsidRPr="007B3E88">
        <w:rPr>
          <w:color w:val="000000" w:themeColor="text1"/>
          <w:kern w:val="22"/>
          <w:szCs w:val="22"/>
        </w:rPr>
        <w:t xml:space="preserve"> and </w:t>
      </w:r>
      <w:r w:rsidR="00AA4CF0">
        <w:rPr>
          <w:color w:val="000000" w:themeColor="text1"/>
          <w:kern w:val="22"/>
          <w:szCs w:val="22"/>
        </w:rPr>
        <w:t>(iv) </w:t>
      </w:r>
      <w:r w:rsidRPr="007B3E88">
        <w:rPr>
          <w:color w:val="000000" w:themeColor="text1"/>
          <w:kern w:val="22"/>
          <w:szCs w:val="22"/>
        </w:rPr>
        <w:t>monitoring of governance and management systems that contribute to the biodiversity outcomes</w:t>
      </w:r>
      <w:r w:rsidR="00E17969" w:rsidRPr="007B3E88">
        <w:rPr>
          <w:color w:val="000000" w:themeColor="text1"/>
          <w:kern w:val="22"/>
          <w:szCs w:val="22"/>
        </w:rPr>
        <w:t>;</w:t>
      </w:r>
    </w:p>
    <w:p w14:paraId="375581A6" w14:textId="330FAC62"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rPr>
      </w:pPr>
      <w:r w:rsidRPr="007B3E88">
        <w:rPr>
          <w:color w:val="000000"/>
          <w:kern w:val="22"/>
          <w:szCs w:val="22"/>
        </w:rPr>
        <w:t xml:space="preserve">Manuals for reporting in the World Database on Protected Areas, the registry of territories and areas conserved by </w:t>
      </w:r>
      <w:r w:rsidR="001E3D7F">
        <w:rPr>
          <w:color w:val="000000"/>
          <w:kern w:val="22"/>
          <w:szCs w:val="22"/>
        </w:rPr>
        <w:t>i</w:t>
      </w:r>
      <w:r w:rsidRPr="007B3E88">
        <w:rPr>
          <w:color w:val="000000"/>
          <w:kern w:val="22"/>
          <w:szCs w:val="22"/>
        </w:rPr>
        <w:t xml:space="preserve">ndigenous peoples and local communities maintained by </w:t>
      </w:r>
      <w:r w:rsidR="0019412B">
        <w:rPr>
          <w:color w:val="000000"/>
          <w:kern w:val="22"/>
          <w:szCs w:val="22"/>
        </w:rPr>
        <w:t>the</w:t>
      </w:r>
      <w:r w:rsidR="0019412B" w:rsidRPr="0019412B">
        <w:t xml:space="preserve"> </w:t>
      </w:r>
      <w:r w:rsidR="0019412B">
        <w:t>United Nations Environment Programme’s World Conservation Monitoring Centre</w:t>
      </w:r>
      <w:r w:rsidRPr="007B3E88">
        <w:rPr>
          <w:color w:val="000000"/>
          <w:kern w:val="22"/>
          <w:szCs w:val="22"/>
        </w:rPr>
        <w:t>, and other guidance documents of the Convention on Biological Diversity and, as appropriate, sectoral agencies provide useful guidance for reporting OECMs</w:t>
      </w:r>
      <w:r w:rsidR="00E17969" w:rsidRPr="007B3E88">
        <w:rPr>
          <w:color w:val="000000"/>
          <w:kern w:val="22"/>
          <w:szCs w:val="22"/>
        </w:rPr>
        <w:t>;</w:t>
      </w:r>
    </w:p>
    <w:p w14:paraId="665B8276" w14:textId="05ADA986"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themeColor="text1"/>
          <w:kern w:val="22"/>
          <w:szCs w:val="22"/>
        </w:rPr>
      </w:pPr>
      <w:r w:rsidRPr="007B3E88">
        <w:rPr>
          <w:kern w:val="22"/>
          <w:szCs w:val="22"/>
        </w:rPr>
        <w:t>While the contribution of OECMs to the quantitative elements of Target 11 are relatively straightforward to assess, further studies and guidance are needed to better understand and communicate how their contribution to qualitative elements of Target 11 can be enhanced</w:t>
      </w:r>
      <w:r w:rsidR="00E17969" w:rsidRPr="007B3E88">
        <w:rPr>
          <w:kern w:val="22"/>
          <w:szCs w:val="22"/>
        </w:rPr>
        <w:t>;</w:t>
      </w:r>
    </w:p>
    <w:p w14:paraId="5FA8DBCE" w14:textId="724D23DD"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rPr>
      </w:pPr>
      <w:r w:rsidRPr="007B3E88">
        <w:rPr>
          <w:kern w:val="22"/>
          <w:szCs w:val="22"/>
        </w:rPr>
        <w:t>Further studies to better understand and communicate the full range of OECM contributions to other targets, and engagement with other sectors</w:t>
      </w:r>
      <w:r w:rsidR="00E17969" w:rsidRPr="007B3E88">
        <w:rPr>
          <w:kern w:val="22"/>
          <w:szCs w:val="22"/>
        </w:rPr>
        <w:t>;</w:t>
      </w:r>
    </w:p>
    <w:p w14:paraId="6C056019" w14:textId="1465B93E" w:rsidR="005D6096"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rPr>
      </w:pPr>
      <w:r w:rsidRPr="007B3E88">
        <w:rPr>
          <w:color w:val="000000"/>
          <w:kern w:val="22"/>
          <w:szCs w:val="22"/>
        </w:rPr>
        <w:t>Further guidance is needed concerning the size of individual areas, and areas that are part of networks, needed to achieve biodiversity outcomes</w:t>
      </w:r>
      <w:r w:rsidR="00E17969" w:rsidRPr="007B3E88">
        <w:rPr>
          <w:color w:val="000000"/>
          <w:kern w:val="22"/>
          <w:szCs w:val="22"/>
        </w:rPr>
        <w:t>;</w:t>
      </w:r>
    </w:p>
    <w:p w14:paraId="750BEC14" w14:textId="1E25C662" w:rsidR="00C90052" w:rsidRPr="007B3E88" w:rsidRDefault="005D6096" w:rsidP="007B3E88">
      <w:pPr>
        <w:pStyle w:val="ListParagraph"/>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rPr>
      </w:pPr>
      <w:r w:rsidRPr="007B3E88">
        <w:rPr>
          <w:color w:val="000000"/>
          <w:kern w:val="22"/>
          <w:szCs w:val="22"/>
        </w:rPr>
        <w:t xml:space="preserve">Further guidance is needed on how OECMs of </w:t>
      </w:r>
      <w:r w:rsidR="002438E0">
        <w:rPr>
          <w:color w:val="000000"/>
          <w:kern w:val="22"/>
          <w:szCs w:val="22"/>
        </w:rPr>
        <w:t>indigenous people and local communitie</w:t>
      </w:r>
      <w:r w:rsidR="002438E0" w:rsidRPr="007B3E88">
        <w:rPr>
          <w:color w:val="000000"/>
          <w:kern w:val="22"/>
          <w:szCs w:val="22"/>
        </w:rPr>
        <w:t xml:space="preserve">s </w:t>
      </w:r>
      <w:r w:rsidRPr="007B3E88">
        <w:rPr>
          <w:color w:val="000000"/>
          <w:kern w:val="22"/>
          <w:szCs w:val="22"/>
        </w:rPr>
        <w:t>are recognized and supported.</w:t>
      </w:r>
      <w:r w:rsidR="00C90052" w:rsidRPr="007B3E88">
        <w:rPr>
          <w:color w:val="000000"/>
          <w:kern w:val="22"/>
          <w:szCs w:val="22"/>
        </w:rPr>
        <w:br w:type="page"/>
      </w:r>
    </w:p>
    <w:p w14:paraId="656CB03A" w14:textId="77777777" w:rsidR="00C90052" w:rsidRPr="007B3E88" w:rsidRDefault="00C90052" w:rsidP="007B3E88">
      <w:pPr>
        <w:pStyle w:val="Para1"/>
        <w:numPr>
          <w:ilvl w:val="0"/>
          <w:numId w:val="0"/>
        </w:numPr>
        <w:suppressLineNumbers/>
        <w:suppressAutoHyphens/>
        <w:kinsoku w:val="0"/>
        <w:overflowPunct w:val="0"/>
        <w:autoSpaceDE w:val="0"/>
        <w:autoSpaceDN w:val="0"/>
        <w:spacing w:before="0"/>
        <w:jc w:val="center"/>
        <w:rPr>
          <w:i/>
          <w:kern w:val="22"/>
          <w:szCs w:val="22"/>
        </w:rPr>
      </w:pPr>
      <w:r w:rsidRPr="007B3E88">
        <w:rPr>
          <w:i/>
          <w:kern w:val="22"/>
          <w:szCs w:val="22"/>
        </w:rPr>
        <w:t>Annex IV</w:t>
      </w:r>
    </w:p>
    <w:p w14:paraId="673A106B" w14:textId="3EFD701A" w:rsidR="00C90052" w:rsidRPr="001C1C8F" w:rsidRDefault="00C90052" w:rsidP="007B3E88">
      <w:pPr>
        <w:keepNext/>
        <w:suppressLineNumbers/>
        <w:suppressAutoHyphens/>
        <w:kinsoku w:val="0"/>
        <w:overflowPunct w:val="0"/>
        <w:autoSpaceDE w:val="0"/>
        <w:autoSpaceDN w:val="0"/>
        <w:spacing w:before="120"/>
        <w:jc w:val="center"/>
        <w:rPr>
          <w:b/>
          <w:kern w:val="22"/>
          <w:szCs w:val="22"/>
        </w:rPr>
      </w:pPr>
      <w:r w:rsidRPr="006A64B0">
        <w:rPr>
          <w:b/>
          <w:kern w:val="22"/>
          <w:szCs w:val="22"/>
        </w:rPr>
        <w:t>CONSIDERATIONS</w:t>
      </w:r>
      <w:r w:rsidRPr="007B3E88">
        <w:rPr>
          <w:b/>
          <w:kern w:val="22"/>
          <w:szCs w:val="22"/>
        </w:rPr>
        <w:t xml:space="preserve"> </w:t>
      </w:r>
      <w:r w:rsidRPr="006A64B0">
        <w:rPr>
          <w:b/>
          <w:kern w:val="22"/>
          <w:szCs w:val="22"/>
        </w:rPr>
        <w:t>IN ACHIEVING AICHI BIODIVERSITY TARGET</w:t>
      </w:r>
      <w:r w:rsidR="00704A95">
        <w:rPr>
          <w:b/>
          <w:kern w:val="22"/>
          <w:szCs w:val="22"/>
        </w:rPr>
        <w:t> </w:t>
      </w:r>
      <w:r w:rsidRPr="006A64B0">
        <w:rPr>
          <w:b/>
          <w:kern w:val="22"/>
          <w:szCs w:val="22"/>
        </w:rPr>
        <w:t xml:space="preserve">11 </w:t>
      </w:r>
      <w:r w:rsidRPr="001C1C8F">
        <w:rPr>
          <w:b/>
          <w:kern w:val="22"/>
          <w:szCs w:val="22"/>
        </w:rPr>
        <w:t>IN</w:t>
      </w:r>
      <w:r w:rsidR="00704A95">
        <w:rPr>
          <w:b/>
          <w:kern w:val="22"/>
          <w:szCs w:val="22"/>
        </w:rPr>
        <w:t> </w:t>
      </w:r>
      <w:r w:rsidRPr="001C1C8F">
        <w:rPr>
          <w:b/>
          <w:kern w:val="22"/>
          <w:szCs w:val="22"/>
        </w:rPr>
        <w:t>MARINE</w:t>
      </w:r>
      <w:r w:rsidR="00704A95">
        <w:rPr>
          <w:b/>
          <w:kern w:val="22"/>
          <w:szCs w:val="22"/>
        </w:rPr>
        <w:t> </w:t>
      </w:r>
      <w:r w:rsidRPr="001C1C8F">
        <w:rPr>
          <w:b/>
          <w:kern w:val="22"/>
          <w:szCs w:val="22"/>
        </w:rPr>
        <w:t>AND</w:t>
      </w:r>
      <w:r w:rsidR="00704A95">
        <w:rPr>
          <w:b/>
          <w:kern w:val="22"/>
          <w:szCs w:val="22"/>
        </w:rPr>
        <w:t> </w:t>
      </w:r>
      <w:r w:rsidRPr="001C1C8F">
        <w:rPr>
          <w:b/>
          <w:kern w:val="22"/>
          <w:szCs w:val="22"/>
        </w:rPr>
        <w:t>COASTAL AREAS</w:t>
      </w:r>
    </w:p>
    <w:p w14:paraId="3994C285" w14:textId="63DDBA11" w:rsidR="00C90052" w:rsidRPr="007B3E88" w:rsidRDefault="00E17969" w:rsidP="007B3E88">
      <w:pPr>
        <w:pStyle w:val="Heading2longmultiline"/>
        <w:keepNext/>
        <w:suppressLineNumbers/>
        <w:suppressAutoHyphens/>
        <w:kinsoku w:val="0"/>
        <w:overflowPunct w:val="0"/>
        <w:autoSpaceDE w:val="0"/>
        <w:autoSpaceDN w:val="0"/>
        <w:ind w:hanging="1047"/>
        <w:rPr>
          <w:b w:val="0"/>
          <w:kern w:val="22"/>
          <w:szCs w:val="22"/>
        </w:rPr>
      </w:pPr>
      <w:r w:rsidRPr="007B3E88">
        <w:rPr>
          <w:kern w:val="22"/>
          <w:szCs w:val="22"/>
        </w:rPr>
        <w:t>A.</w:t>
      </w:r>
      <w:r w:rsidRPr="007B3E88">
        <w:rPr>
          <w:kern w:val="22"/>
          <w:szCs w:val="22"/>
        </w:rPr>
        <w:tab/>
      </w:r>
      <w:r w:rsidR="00C90052" w:rsidRPr="007B3E88">
        <w:rPr>
          <w:kern w:val="22"/>
          <w:szCs w:val="22"/>
        </w:rPr>
        <w:t>Unique aspects of the marine environment with relevance to area-based conservation</w:t>
      </w:r>
      <w:r w:rsidR="00C90052" w:rsidRPr="007B3E88">
        <w:rPr>
          <w:kern w:val="22"/>
          <w:szCs w:val="22"/>
          <w:lang w:eastAsia="ko-KR"/>
        </w:rPr>
        <w:t>/management</w:t>
      </w:r>
      <w:r w:rsidR="00C90052" w:rsidRPr="007B3E88">
        <w:rPr>
          <w:kern w:val="22"/>
          <w:szCs w:val="22"/>
        </w:rPr>
        <w:t xml:space="preserve"> measures</w:t>
      </w:r>
    </w:p>
    <w:p w14:paraId="1AF74681" w14:textId="1BC27714" w:rsidR="00C90052" w:rsidRPr="006A64B0" w:rsidRDefault="00503DE0" w:rsidP="007B3E88">
      <w:pPr>
        <w:suppressLineNumbers/>
        <w:suppressAutoHyphens/>
        <w:kinsoku w:val="0"/>
        <w:overflowPunct w:val="0"/>
        <w:autoSpaceDE w:val="0"/>
        <w:autoSpaceDN w:val="0"/>
        <w:spacing w:before="120" w:after="120"/>
        <w:rPr>
          <w:bCs/>
          <w:iCs/>
          <w:kern w:val="22"/>
          <w:szCs w:val="22"/>
        </w:rPr>
      </w:pPr>
      <w:r w:rsidRPr="001C1C8F">
        <w:rPr>
          <w:bCs/>
          <w:iCs/>
          <w:kern w:val="22"/>
          <w:szCs w:val="22"/>
        </w:rPr>
        <w:t>1</w:t>
      </w:r>
      <w:r w:rsidR="00C90052" w:rsidRPr="005D36C5">
        <w:rPr>
          <w:bCs/>
          <w:iCs/>
          <w:kern w:val="22"/>
          <w:szCs w:val="22"/>
        </w:rPr>
        <w:t>.</w:t>
      </w:r>
      <w:r w:rsidR="00C90052" w:rsidRPr="005D36C5">
        <w:rPr>
          <w:bCs/>
          <w:iCs/>
          <w:kern w:val="22"/>
          <w:szCs w:val="22"/>
        </w:rPr>
        <w:tab/>
        <w:t>While there are similar tools and approaches for area-based conservation</w:t>
      </w:r>
      <w:r w:rsidR="00C90052" w:rsidRPr="005D36C5">
        <w:rPr>
          <w:bCs/>
          <w:iCs/>
          <w:kern w:val="22"/>
          <w:szCs w:val="22"/>
          <w:lang w:eastAsia="ko-KR"/>
        </w:rPr>
        <w:t>/management</w:t>
      </w:r>
      <w:r w:rsidR="00C90052" w:rsidRPr="005D36C5">
        <w:rPr>
          <w:bCs/>
          <w:iCs/>
          <w:kern w:val="22"/>
          <w:szCs w:val="22"/>
        </w:rPr>
        <w:t xml:space="preserve"> in marine and terrestrial areas, there exist a number of inherent differences between the marine and terrestrial environments that affect the application of area-based conservation measures. The</w:t>
      </w:r>
      <w:r w:rsidR="00C90052" w:rsidRPr="005D36C5">
        <w:rPr>
          <w:bCs/>
          <w:iCs/>
          <w:kern w:val="22"/>
          <w:szCs w:val="22"/>
          <w:lang w:eastAsia="ko-KR"/>
        </w:rPr>
        <w:t xml:space="preserve"> above-noted</w:t>
      </w:r>
      <w:r w:rsidR="00C90052" w:rsidRPr="006A64B0">
        <w:rPr>
          <w:bCs/>
          <w:iCs/>
          <w:kern w:val="22"/>
          <w:szCs w:val="22"/>
        </w:rPr>
        <w:t xml:space="preserve"> background materials for the workshop and the workshop discussions identified a number of these unique aspects, which include the following:</w:t>
      </w:r>
    </w:p>
    <w:p w14:paraId="1B5882B4" w14:textId="0E5F07BF"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6A64B0">
        <w:rPr>
          <w:bCs/>
          <w:iCs/>
          <w:kern w:val="22"/>
          <w:szCs w:val="22"/>
        </w:rPr>
        <w:t>T</w:t>
      </w:r>
      <w:r w:rsidR="00E31020">
        <w:rPr>
          <w:bCs/>
          <w:iCs/>
          <w:kern w:val="22"/>
          <w:szCs w:val="22"/>
        </w:rPr>
        <w:t>he t</w:t>
      </w:r>
      <w:r w:rsidRPr="006A64B0">
        <w:rPr>
          <w:bCs/>
          <w:iCs/>
          <w:kern w:val="22"/>
          <w:szCs w:val="22"/>
        </w:rPr>
        <w:t>hree-dimensional nature of the marine environment</w:t>
      </w:r>
      <w:r w:rsidRPr="006A64B0">
        <w:rPr>
          <w:bCs/>
          <w:iCs/>
          <w:kern w:val="22"/>
          <w:szCs w:val="22"/>
          <w:lang w:eastAsia="ko-KR"/>
        </w:rPr>
        <w:t xml:space="preserve"> (with maximum depth of almost 11</w:t>
      </w:r>
      <w:r w:rsidR="009778E3" w:rsidRPr="006A64B0">
        <w:rPr>
          <w:bCs/>
          <w:iCs/>
          <w:kern w:val="22"/>
          <w:szCs w:val="22"/>
          <w:lang w:eastAsia="ko-KR"/>
        </w:rPr>
        <w:t> </w:t>
      </w:r>
      <w:r w:rsidRPr="006A64B0">
        <w:rPr>
          <w:bCs/>
          <w:iCs/>
          <w:kern w:val="22"/>
          <w:szCs w:val="22"/>
          <w:lang w:eastAsia="ko-KR"/>
        </w:rPr>
        <w:t>km in deep ocean)</w:t>
      </w:r>
      <w:r w:rsidRPr="006A64B0">
        <w:rPr>
          <w:bCs/>
          <w:iCs/>
          <w:kern w:val="22"/>
          <w:szCs w:val="22"/>
        </w:rPr>
        <w:t>, which is heavily influenced by changes in physicochemical properties, including pressure, salinity and light;</w:t>
      </w:r>
    </w:p>
    <w:p w14:paraId="2D9B03F1"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6A64B0">
        <w:rPr>
          <w:bCs/>
          <w:iCs/>
          <w:kern w:val="22"/>
          <w:szCs w:val="22"/>
        </w:rPr>
        <w:t>Dynamic nature of the marine environment, which is influenced by, for example, currents and tides, and facilitates connectivity among ecosystems and habitats;</w:t>
      </w:r>
    </w:p>
    <w:p w14:paraId="2EF2F225"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6A64B0">
        <w:rPr>
          <w:bCs/>
          <w:iCs/>
          <w:kern w:val="22"/>
          <w:szCs w:val="22"/>
        </w:rPr>
        <w:t>Nature of habitat fragmentation and connectivity in the marine environment;</w:t>
      </w:r>
    </w:p>
    <w:p w14:paraId="394034C2"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6A64B0">
        <w:rPr>
          <w:bCs/>
          <w:iCs/>
          <w:kern w:val="22"/>
          <w:szCs w:val="22"/>
        </w:rPr>
        <w:t>Lack of visibility and/or remoteness of the features being conserved;</w:t>
      </w:r>
    </w:p>
    <w:p w14:paraId="6F34BC9B" w14:textId="6EB8D6D1" w:rsidR="00C90052" w:rsidRPr="005D36C5"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Primary production</w:t>
      </w:r>
      <w:r w:rsidRPr="006A64B0">
        <w:rPr>
          <w:bCs/>
          <w:iCs/>
          <w:kern w:val="22"/>
          <w:szCs w:val="22"/>
        </w:rPr>
        <w:t xml:space="preserve"> in the marine environment is </w:t>
      </w:r>
      <w:r w:rsidRPr="001C1C8F">
        <w:rPr>
          <w:bCs/>
          <w:iCs/>
          <w:kern w:val="22"/>
          <w:szCs w:val="22"/>
          <w:lang w:eastAsia="ko-KR"/>
        </w:rPr>
        <w:t xml:space="preserve">often </w:t>
      </w:r>
      <w:r w:rsidRPr="005D36C5">
        <w:rPr>
          <w:bCs/>
          <w:iCs/>
          <w:kern w:val="22"/>
          <w:szCs w:val="22"/>
        </w:rPr>
        <w:t xml:space="preserve">limited to the coastal zone for habitat forming species with phytoplankton distributed through the pelagic photic zone, while the standing stock in terrestrial environments is widespread and structural. There is also </w:t>
      </w:r>
      <w:r w:rsidR="00742226">
        <w:rPr>
          <w:bCs/>
          <w:iCs/>
          <w:kern w:val="22"/>
          <w:szCs w:val="22"/>
        </w:rPr>
        <w:t xml:space="preserve">a </w:t>
      </w:r>
      <w:r w:rsidRPr="005D36C5">
        <w:rPr>
          <w:bCs/>
          <w:iCs/>
          <w:kern w:val="22"/>
          <w:szCs w:val="22"/>
        </w:rPr>
        <w:t>higher turnover in the primary production of the marine environment, which varies with annual cycles, tied to temperature and currents;</w:t>
      </w:r>
    </w:p>
    <w:p w14:paraId="5534871C" w14:textId="77777777" w:rsidR="00C90052" w:rsidRPr="005D36C5"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5D36C5">
        <w:rPr>
          <w:bCs/>
          <w:iCs/>
          <w:kern w:val="22"/>
          <w:szCs w:val="22"/>
        </w:rPr>
        <w:t>In terrestrial environments, the atmosphere is well mixed at a much broader scale, whereas mixing in marine environments can change within significantly smaller scales;</w:t>
      </w:r>
    </w:p>
    <w:p w14:paraId="5B30204D" w14:textId="4416051D"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6A64B0">
        <w:rPr>
          <w:bCs/>
          <w:iCs/>
          <w:kern w:val="22"/>
          <w:szCs w:val="22"/>
        </w:rPr>
        <w:t xml:space="preserve">Climate change impacts will affect marine and terrestrial areas much differently, as coastal areas are subject to erosion and storm surge, and protection efforts can be lost as </w:t>
      </w:r>
      <w:r w:rsidR="00134F63">
        <w:rPr>
          <w:bCs/>
          <w:iCs/>
          <w:kern w:val="22"/>
          <w:szCs w:val="22"/>
        </w:rPr>
        <w:t>a</w:t>
      </w:r>
      <w:r w:rsidRPr="006A64B0">
        <w:rPr>
          <w:bCs/>
          <w:iCs/>
          <w:kern w:val="22"/>
          <w:szCs w:val="22"/>
        </w:rPr>
        <w:t xml:space="preserve"> result of one large weather event. The pervasive impact of ocean acidification can impact the entire standing stock of primary productivity in one marine area, having knock-on effects throughout the food web;</w:t>
      </w:r>
    </w:p>
    <w:p w14:paraId="60540FB9"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Differences in resilience and recovery rates of biodiversity and ecosystems;</w:t>
      </w:r>
    </w:p>
    <w:p w14:paraId="13EC1FAD"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Differences in approaches and challenges in monitoring and data collection;</w:t>
      </w:r>
    </w:p>
    <w:p w14:paraId="6487DFCD" w14:textId="77777777"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Potentially different legal regimes for different portions of the same marine areas (e.g., seabed and water column in marine areas beyond national jurisdiction);</w:t>
      </w:r>
    </w:p>
    <w:p w14:paraId="4BA19EE7" w14:textId="1BCF06AC"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Frequent lack of clear ownership of specific areas in the marine environment, with multiple users and stakeholders, often with overlapping and sometimes competing interests</w:t>
      </w:r>
      <w:r w:rsidR="008C06BA" w:rsidRPr="007B3E88">
        <w:rPr>
          <w:bCs/>
          <w:kern w:val="22"/>
          <w:szCs w:val="22"/>
        </w:rPr>
        <w:t>;</w:t>
      </w:r>
      <w:r w:rsidRPr="007B3E88">
        <w:rPr>
          <w:bCs/>
          <w:kern w:val="22"/>
          <w:szCs w:val="22"/>
        </w:rPr>
        <w:t xml:space="preserve"> </w:t>
      </w:r>
    </w:p>
    <w:p w14:paraId="1259DF2F" w14:textId="703FC5DB" w:rsidR="00C90052" w:rsidRPr="006A64B0"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Frequent occurrence of multiple regulatory authorities with competence in a given area;</w:t>
      </w:r>
    </w:p>
    <w:p w14:paraId="1CD3CAB2" w14:textId="75191578" w:rsidR="00C90052" w:rsidRPr="005D36C5" w:rsidRDefault="00C90052" w:rsidP="007B3E88">
      <w:pPr>
        <w:pStyle w:val="ListParagraph"/>
        <w:numPr>
          <w:ilvl w:val="0"/>
          <w:numId w:val="91"/>
        </w:numPr>
        <w:suppressLineNumbers/>
        <w:suppressAutoHyphens/>
        <w:kinsoku w:val="0"/>
        <w:overflowPunct w:val="0"/>
        <w:autoSpaceDE w:val="0"/>
        <w:autoSpaceDN w:val="0"/>
        <w:spacing w:after="120"/>
        <w:ind w:left="0" w:firstLine="720"/>
        <w:contextualSpacing w:val="0"/>
        <w:rPr>
          <w:bCs/>
          <w:iCs/>
          <w:kern w:val="22"/>
          <w:szCs w:val="22"/>
        </w:rPr>
      </w:pPr>
      <w:r w:rsidRPr="007B3E88">
        <w:rPr>
          <w:bCs/>
          <w:kern w:val="22"/>
          <w:szCs w:val="22"/>
        </w:rPr>
        <w:t xml:space="preserve">Expectation of resource-based “outcomes”: </w:t>
      </w:r>
      <w:r w:rsidR="008C06BA" w:rsidRPr="007B3E88">
        <w:rPr>
          <w:bCs/>
          <w:iCs/>
          <w:kern w:val="22"/>
          <w:szCs w:val="22"/>
        </w:rPr>
        <w:t>f</w:t>
      </w:r>
      <w:r w:rsidRPr="001C1C8F">
        <w:rPr>
          <w:bCs/>
          <w:iCs/>
          <w:kern w:val="22"/>
          <w:szCs w:val="22"/>
        </w:rPr>
        <w:t>rom an economic perspective, area-based conservation measu</w:t>
      </w:r>
      <w:r w:rsidRPr="005D36C5">
        <w:rPr>
          <w:bCs/>
          <w:iCs/>
          <w:kern w:val="22"/>
          <w:szCs w:val="22"/>
        </w:rPr>
        <w:t>res in the marine environment are expected, in many cases</w:t>
      </w:r>
      <w:r w:rsidR="007A0CF4" w:rsidRPr="005D36C5">
        <w:rPr>
          <w:bCs/>
          <w:iCs/>
          <w:kern w:val="22"/>
          <w:szCs w:val="22"/>
        </w:rPr>
        <w:t>,</w:t>
      </w:r>
      <w:r w:rsidRPr="005D36C5">
        <w:rPr>
          <w:bCs/>
          <w:iCs/>
          <w:kern w:val="22"/>
          <w:szCs w:val="22"/>
        </w:rPr>
        <w:t xml:space="preserve"> to improve fisher</w:t>
      </w:r>
      <w:r w:rsidR="005D6FA0">
        <w:rPr>
          <w:bCs/>
          <w:iCs/>
          <w:kern w:val="22"/>
          <w:szCs w:val="22"/>
        </w:rPr>
        <w:t>y</w:t>
      </w:r>
      <w:r w:rsidRPr="005D36C5">
        <w:rPr>
          <w:bCs/>
          <w:iCs/>
          <w:kern w:val="22"/>
          <w:szCs w:val="22"/>
        </w:rPr>
        <w:t xml:space="preserve"> resources and restore productivity. In terrestrial environments, the focus is largely on protecting animals without the expectation that they can be harvested once populations increase</w:t>
      </w:r>
      <w:r w:rsidRPr="005D36C5">
        <w:rPr>
          <w:bCs/>
          <w:iCs/>
          <w:kern w:val="22"/>
          <w:szCs w:val="22"/>
          <w:lang w:eastAsia="ko-KR"/>
        </w:rPr>
        <w:t>.</w:t>
      </w:r>
    </w:p>
    <w:p w14:paraId="0413C01F" w14:textId="02255F54" w:rsidR="00C90052" w:rsidRPr="007B3E88" w:rsidRDefault="00503DE0" w:rsidP="007B3E88">
      <w:pPr>
        <w:pStyle w:val="Heading2"/>
        <w:suppressLineNumbers/>
        <w:suppressAutoHyphens/>
        <w:kinsoku w:val="0"/>
        <w:overflowPunct w:val="0"/>
        <w:autoSpaceDE w:val="0"/>
        <w:autoSpaceDN w:val="0"/>
        <w:rPr>
          <w:b w:val="0"/>
          <w:bCs w:val="0"/>
          <w:kern w:val="22"/>
          <w:szCs w:val="22"/>
        </w:rPr>
      </w:pPr>
      <w:r w:rsidRPr="007B3E88">
        <w:rPr>
          <w:kern w:val="22"/>
          <w:szCs w:val="22"/>
        </w:rPr>
        <w:t>B.</w:t>
      </w:r>
      <w:r w:rsidRPr="007B3E88">
        <w:rPr>
          <w:kern w:val="22"/>
          <w:szCs w:val="22"/>
        </w:rPr>
        <w:tab/>
      </w:r>
      <w:r w:rsidR="00C90052" w:rsidRPr="007B3E88">
        <w:rPr>
          <w:kern w:val="22"/>
          <w:szCs w:val="22"/>
        </w:rPr>
        <w:t>Main types of area-based conservation measures in marine and coastal areas</w:t>
      </w:r>
    </w:p>
    <w:p w14:paraId="04BE143F" w14:textId="5E59942E" w:rsidR="00C90052" w:rsidRPr="006A64B0" w:rsidRDefault="00503DE0" w:rsidP="007B3E88">
      <w:pPr>
        <w:suppressLineNumbers/>
        <w:suppressAutoHyphens/>
        <w:kinsoku w:val="0"/>
        <w:overflowPunct w:val="0"/>
        <w:autoSpaceDE w:val="0"/>
        <w:autoSpaceDN w:val="0"/>
        <w:spacing w:before="120" w:after="120"/>
        <w:rPr>
          <w:bCs/>
          <w:iCs/>
          <w:kern w:val="22"/>
          <w:szCs w:val="22"/>
        </w:rPr>
      </w:pPr>
      <w:r w:rsidRPr="001C1C8F">
        <w:rPr>
          <w:bCs/>
          <w:iCs/>
          <w:kern w:val="22"/>
          <w:szCs w:val="22"/>
        </w:rPr>
        <w:t>2</w:t>
      </w:r>
      <w:r w:rsidR="00C90052" w:rsidRPr="005D36C5">
        <w:rPr>
          <w:bCs/>
          <w:iCs/>
          <w:kern w:val="22"/>
          <w:szCs w:val="22"/>
        </w:rPr>
        <w:t>.</w:t>
      </w:r>
      <w:r w:rsidR="00C90052" w:rsidRPr="005D36C5">
        <w:rPr>
          <w:bCs/>
          <w:iCs/>
          <w:kern w:val="22"/>
          <w:szCs w:val="22"/>
        </w:rPr>
        <w:tab/>
        <w:t>There exist a number of different types of area-based conservation</w:t>
      </w:r>
      <w:r w:rsidR="00C90052" w:rsidRPr="005D36C5">
        <w:rPr>
          <w:bCs/>
          <w:iCs/>
          <w:kern w:val="22"/>
          <w:szCs w:val="22"/>
          <w:lang w:eastAsia="ko-KR"/>
        </w:rPr>
        <w:t>/management</w:t>
      </w:r>
      <w:r w:rsidR="00C90052" w:rsidRPr="005D36C5">
        <w:rPr>
          <w:bCs/>
          <w:iCs/>
          <w:kern w:val="22"/>
          <w:szCs w:val="22"/>
        </w:rPr>
        <w:t xml:space="preserve"> measures that are applied in marine and coastal areas. Such areas can be categorized in different ways and are not necessarily mutually exclusive. These area-based conservation</w:t>
      </w:r>
      <w:r w:rsidR="00C90052" w:rsidRPr="005D36C5">
        <w:rPr>
          <w:bCs/>
          <w:iCs/>
          <w:kern w:val="22"/>
          <w:szCs w:val="22"/>
          <w:lang w:eastAsia="ko-KR"/>
        </w:rPr>
        <w:t>/management</w:t>
      </w:r>
      <w:r w:rsidR="00C90052" w:rsidRPr="006A64B0">
        <w:rPr>
          <w:bCs/>
          <w:iCs/>
          <w:kern w:val="22"/>
          <w:szCs w:val="22"/>
        </w:rPr>
        <w:t xml:space="preserve"> measures can be generally categorized as:</w:t>
      </w:r>
    </w:p>
    <w:p w14:paraId="0B1B6418" w14:textId="77777777" w:rsidR="00C90052" w:rsidRPr="007B3E88" w:rsidRDefault="00C90052" w:rsidP="007B3E88">
      <w:pPr>
        <w:pStyle w:val="ListParagraph"/>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bCs/>
          <w:i/>
          <w:iCs/>
          <w:kern w:val="22"/>
          <w:szCs w:val="22"/>
        </w:rPr>
        <w:t>Marine and coastal protected areas</w:t>
      </w:r>
      <w:r w:rsidRPr="006A64B0">
        <w:rPr>
          <w:bCs/>
          <w:iCs/>
          <w:kern w:val="22"/>
          <w:szCs w:val="22"/>
        </w:rPr>
        <w:t xml:space="preserve">: Article 2 of the Convention defines a “protected area” as a geographically defined area which is designated or regulated and managed to achieve specific </w:t>
      </w:r>
      <w:r w:rsidRPr="007B3E88">
        <w:rPr>
          <w:bCs/>
          <w:iCs/>
          <w:kern w:val="22"/>
          <w:szCs w:val="22"/>
        </w:rPr>
        <w:t>conservation objectives;</w:t>
      </w:r>
    </w:p>
    <w:p w14:paraId="34DBB0D4" w14:textId="2D967EA8" w:rsidR="00C90052" w:rsidRPr="007B3E88" w:rsidRDefault="00C90052" w:rsidP="007B3E88">
      <w:pPr>
        <w:pStyle w:val="ListParagraph"/>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bCs/>
          <w:i/>
          <w:iCs/>
          <w:kern w:val="22"/>
          <w:szCs w:val="22"/>
        </w:rPr>
        <w:t>Areas managed by indigenous peoples and local communities</w:t>
      </w:r>
      <w:r w:rsidRPr="007B3E88">
        <w:rPr>
          <w:bCs/>
          <w:iCs/>
          <w:kern w:val="22"/>
          <w:szCs w:val="22"/>
        </w:rPr>
        <w:t xml:space="preserve">: </w:t>
      </w:r>
      <w:r w:rsidR="008C06BA" w:rsidRPr="007B3E88">
        <w:rPr>
          <w:kern w:val="22"/>
          <w:szCs w:val="22"/>
        </w:rPr>
        <w:t>i</w:t>
      </w:r>
      <w:r w:rsidRPr="007B3E88">
        <w:rPr>
          <w:kern w:val="22"/>
          <w:szCs w:val="22"/>
        </w:rPr>
        <w:t xml:space="preserve">n these types of approaches, some or all of the management authority is often ceded to the </w:t>
      </w:r>
      <w:r w:rsidRPr="007B3E88">
        <w:rPr>
          <w:bCs/>
          <w:iCs/>
          <w:kern w:val="22"/>
          <w:szCs w:val="22"/>
        </w:rPr>
        <w:t>indigenous peoples and local communities</w:t>
      </w:r>
      <w:r w:rsidRPr="007B3E88">
        <w:rPr>
          <w:kern w:val="22"/>
          <w:szCs w:val="22"/>
        </w:rPr>
        <w:t>, and conservation objectives are often tied to food security and access to resources for indigenous peoples and local communities;</w:t>
      </w:r>
    </w:p>
    <w:p w14:paraId="6B1B9320" w14:textId="5AD2A5CF" w:rsidR="00C90052" w:rsidRPr="007B3E88" w:rsidRDefault="00C90052" w:rsidP="007B3E88">
      <w:pPr>
        <w:pStyle w:val="ListParagraph"/>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u w:val="single"/>
        </w:rPr>
      </w:pPr>
      <w:r w:rsidRPr="007B3E88">
        <w:rPr>
          <w:bCs/>
          <w:i/>
          <w:iCs/>
          <w:kern w:val="22"/>
          <w:szCs w:val="22"/>
        </w:rPr>
        <w:t>Area-based fisheries management measures</w:t>
      </w:r>
      <w:r w:rsidRPr="007B3E88">
        <w:rPr>
          <w:bCs/>
          <w:iCs/>
          <w:kern w:val="22"/>
          <w:szCs w:val="22"/>
        </w:rPr>
        <w:t xml:space="preserve">: </w:t>
      </w:r>
      <w:r w:rsidR="008C06BA" w:rsidRPr="007B3E88">
        <w:rPr>
          <w:kern w:val="22"/>
          <w:szCs w:val="22"/>
        </w:rPr>
        <w:t>t</w:t>
      </w:r>
      <w:r w:rsidRPr="007B3E88">
        <w:rPr>
          <w:kern w:val="22"/>
          <w:szCs w:val="22"/>
        </w:rPr>
        <w:t>hese are formally established, spatially</w:t>
      </w:r>
      <w:r w:rsidR="003B2C28">
        <w:rPr>
          <w:kern w:val="22"/>
          <w:szCs w:val="22"/>
        </w:rPr>
        <w:t xml:space="preserve"> </w:t>
      </w:r>
      <w:r w:rsidRPr="007B3E88">
        <w:rPr>
          <w:kern w:val="22"/>
          <w:szCs w:val="22"/>
        </w:rPr>
        <w:t>defined fishery management and/or conservation measures, implemented to achieve one or more intended fishery outcomes. The outcomes of these measures are commonly related to sustainable use of the fishery. However, they can also often include protection of, or reduction of impact on, biodiversity, habitats, or ecosystem structure and function;</w:t>
      </w:r>
    </w:p>
    <w:p w14:paraId="1BE811DD" w14:textId="6F5BEB96" w:rsidR="00C90052" w:rsidRPr="007B3E88" w:rsidRDefault="00C90052" w:rsidP="007B3E88">
      <w:pPr>
        <w:pStyle w:val="ListParagraph"/>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u w:val="single"/>
        </w:rPr>
      </w:pPr>
      <w:r w:rsidRPr="007B3E88">
        <w:rPr>
          <w:bCs/>
          <w:i/>
          <w:iCs/>
          <w:kern w:val="22"/>
          <w:szCs w:val="22"/>
        </w:rPr>
        <w:t xml:space="preserve">Other sectoral area-based </w:t>
      </w:r>
      <w:r w:rsidRPr="007B3E88">
        <w:rPr>
          <w:bCs/>
          <w:i/>
          <w:iCs/>
          <w:kern w:val="22"/>
          <w:szCs w:val="22"/>
          <w:lang w:eastAsia="ko-KR"/>
        </w:rPr>
        <w:t xml:space="preserve">management </w:t>
      </w:r>
      <w:r w:rsidRPr="007B3E88">
        <w:rPr>
          <w:bCs/>
          <w:i/>
          <w:iCs/>
          <w:kern w:val="22"/>
          <w:szCs w:val="22"/>
        </w:rPr>
        <w:t>approaches</w:t>
      </w:r>
      <w:r w:rsidRPr="006A64B0">
        <w:rPr>
          <w:bCs/>
          <w:iCs/>
          <w:kern w:val="22"/>
          <w:szCs w:val="22"/>
        </w:rPr>
        <w:t xml:space="preserve">: </w:t>
      </w:r>
      <w:r w:rsidR="008C06BA" w:rsidRPr="006A64B0">
        <w:rPr>
          <w:bCs/>
          <w:iCs/>
          <w:kern w:val="22"/>
          <w:szCs w:val="22"/>
        </w:rPr>
        <w:t>t</w:t>
      </w:r>
      <w:r w:rsidRPr="007B6A6E">
        <w:rPr>
          <w:bCs/>
          <w:iCs/>
          <w:kern w:val="22"/>
          <w:szCs w:val="22"/>
        </w:rPr>
        <w:t xml:space="preserve">here are a range of area-based measures applied in other sectors </w:t>
      </w:r>
      <w:r w:rsidRPr="007B3E88">
        <w:rPr>
          <w:bCs/>
          <w:iCs/>
          <w:kern w:val="22"/>
          <w:szCs w:val="22"/>
        </w:rPr>
        <w:t xml:space="preserve">at different scales and for different purposes. These include, for example, </w:t>
      </w:r>
      <w:r w:rsidRPr="007B3E88">
        <w:rPr>
          <w:kern w:val="22"/>
          <w:szCs w:val="22"/>
        </w:rPr>
        <w:t>Particularly Sensitive Sea Areas (</w:t>
      </w:r>
      <w:r w:rsidRPr="007B3E88">
        <w:rPr>
          <w:color w:val="000000"/>
          <w:kern w:val="22"/>
          <w:szCs w:val="22"/>
          <w:shd w:val="clear" w:color="auto" w:fill="FFFFFF"/>
        </w:rPr>
        <w:t>areas designated by the International Maritime Organization for protection from damage by international maritime activities because of ecological, socioeconomic or scientific significance)</w:t>
      </w:r>
      <w:r w:rsidRPr="007B3E88">
        <w:rPr>
          <w:kern w:val="22"/>
          <w:szCs w:val="22"/>
        </w:rPr>
        <w:t>, Areas of Particular Environmental Interest (areas of the seafloor designated by the International Seabed Authority for protection from damage by deep-seabed mining because of biodiversity and ecosystem structure and function), as well as conservation measures in other sectors.</w:t>
      </w:r>
      <w:bookmarkStart w:id="4" w:name="_Toc378368361"/>
    </w:p>
    <w:bookmarkEnd w:id="4"/>
    <w:p w14:paraId="33D3D94F" w14:textId="682BE8E7" w:rsidR="00C90052" w:rsidRPr="007B3E88" w:rsidRDefault="00503DE0" w:rsidP="007B3E88">
      <w:pPr>
        <w:pStyle w:val="Heading2longmultiline"/>
        <w:keepNext/>
        <w:suppressLineNumbers/>
        <w:suppressAutoHyphens/>
        <w:kinsoku w:val="0"/>
        <w:overflowPunct w:val="0"/>
        <w:autoSpaceDE w:val="0"/>
        <w:autoSpaceDN w:val="0"/>
        <w:ind w:left="2131" w:right="994" w:hanging="1051"/>
        <w:rPr>
          <w:b w:val="0"/>
          <w:iCs w:val="0"/>
          <w:kern w:val="22"/>
          <w:szCs w:val="22"/>
        </w:rPr>
      </w:pPr>
      <w:r w:rsidRPr="007B3E88">
        <w:rPr>
          <w:kern w:val="22"/>
          <w:szCs w:val="22"/>
        </w:rPr>
        <w:t>C.</w:t>
      </w:r>
      <w:r w:rsidRPr="007B3E88">
        <w:rPr>
          <w:kern w:val="22"/>
          <w:szCs w:val="22"/>
        </w:rPr>
        <w:tab/>
      </w:r>
      <w:r w:rsidR="00C90052" w:rsidRPr="007B3E88">
        <w:rPr>
          <w:kern w:val="22"/>
          <w:szCs w:val="22"/>
        </w:rPr>
        <w:t>Approaches for accelerating progress towards Aichi Biodiversity Target 11 in marine and coastal areas</w:t>
      </w:r>
    </w:p>
    <w:p w14:paraId="61446A6A" w14:textId="5AC905C7" w:rsidR="00C90052" w:rsidRPr="007B3E88" w:rsidRDefault="00503DE0" w:rsidP="007B3E88">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3</w:t>
      </w:r>
      <w:r w:rsidR="00C90052" w:rsidRPr="007B3E88">
        <w:rPr>
          <w:rFonts w:eastAsiaTheme="minorEastAsia"/>
          <w:color w:val="000000"/>
          <w:kern w:val="22"/>
          <w:szCs w:val="22"/>
          <w:lang w:eastAsia="ko-KR"/>
        </w:rPr>
        <w:t>.</w:t>
      </w:r>
      <w:r w:rsidR="00C90052" w:rsidRPr="007B3E88">
        <w:rPr>
          <w:rFonts w:eastAsiaTheme="minorEastAsia"/>
          <w:color w:val="000000"/>
          <w:kern w:val="22"/>
          <w:szCs w:val="22"/>
          <w:lang w:eastAsia="ko-KR"/>
        </w:rPr>
        <w:tab/>
      </w:r>
      <w:r w:rsidR="00C90052" w:rsidRPr="007B3E88">
        <w:rPr>
          <w:bCs/>
          <w:kern w:val="22"/>
          <w:szCs w:val="22"/>
        </w:rPr>
        <w:t xml:space="preserve">The workshop discussions </w:t>
      </w:r>
      <w:r w:rsidR="00C90052" w:rsidRPr="007B3E88">
        <w:rPr>
          <w:rFonts w:eastAsiaTheme="minorEastAsia"/>
          <w:color w:val="000000"/>
          <w:kern w:val="22"/>
          <w:szCs w:val="22"/>
          <w:lang w:eastAsia="ko-KR"/>
        </w:rPr>
        <w:t>highlighted the following approaches to accelerate national progress in achieving Aichi Biodiversity Target 11 in marine and coastal areas, recognizing that these are not exhaustive and that there are other sources of guidance on these issues:</w:t>
      </w:r>
    </w:p>
    <w:p w14:paraId="2F9C8BCF" w14:textId="6CEF8A04" w:rsidR="00C90052" w:rsidRPr="007B3E88" w:rsidRDefault="00503DE0" w:rsidP="007B3E88">
      <w:pPr>
        <w:pStyle w:val="Heading3"/>
        <w:suppressLineNumbers/>
        <w:tabs>
          <w:tab w:val="clear" w:pos="567"/>
          <w:tab w:val="left" w:pos="360"/>
        </w:tabs>
        <w:suppressAutoHyphens/>
        <w:kinsoku w:val="0"/>
        <w:overflowPunct w:val="0"/>
        <w:autoSpaceDE w:val="0"/>
        <w:autoSpaceDN w:val="0"/>
        <w:rPr>
          <w:kern w:val="22"/>
          <w:szCs w:val="22"/>
        </w:rPr>
      </w:pPr>
      <w:r w:rsidRPr="007B3E88">
        <w:rPr>
          <w:kern w:val="22"/>
          <w:szCs w:val="22"/>
          <w:lang w:eastAsia="ko-KR"/>
        </w:rPr>
        <w:t>1.</w:t>
      </w:r>
      <w:r w:rsidRPr="007B3E88">
        <w:rPr>
          <w:kern w:val="22"/>
          <w:szCs w:val="22"/>
          <w:lang w:eastAsia="ko-KR"/>
        </w:rPr>
        <w:tab/>
      </w:r>
      <w:r w:rsidR="00C90052" w:rsidRPr="007B3E88">
        <w:rPr>
          <w:kern w:val="22"/>
          <w:szCs w:val="22"/>
          <w:lang w:eastAsia="ko-KR"/>
        </w:rPr>
        <w:t>P</w:t>
      </w:r>
      <w:r w:rsidR="00C90052" w:rsidRPr="007B3E88">
        <w:rPr>
          <w:kern w:val="22"/>
          <w:szCs w:val="22"/>
        </w:rPr>
        <w:t>roviding an adequate base of information</w:t>
      </w:r>
    </w:p>
    <w:p w14:paraId="23AC3DE5" w14:textId="77777777" w:rsidR="00C90052" w:rsidRPr="007B3E88" w:rsidRDefault="00C90052" w:rsidP="007B3E88">
      <w:pPr>
        <w:pStyle w:val="ListParagraph"/>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rPr>
      </w:pPr>
      <w:r w:rsidRPr="007B3E88">
        <w:rPr>
          <w:rFonts w:eastAsia="Malgun Gothic"/>
          <w:bCs/>
          <w:kern w:val="22"/>
          <w:szCs w:val="22"/>
        </w:rPr>
        <w:t>Identify the information that is needed to address qualitative elements, including information on biodiversity, ecosystems and biogeography as well as information on current threats to biodiversity and potential threats from new and emerging pressures;</w:t>
      </w:r>
    </w:p>
    <w:p w14:paraId="21CF4ECA" w14:textId="3C8EBCC8" w:rsidR="00C90052" w:rsidRPr="007B3E88" w:rsidRDefault="00C90052" w:rsidP="007B3E88">
      <w:pPr>
        <w:pStyle w:val="ListParagraph"/>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rPr>
      </w:pPr>
      <w:r w:rsidRPr="007B3E88">
        <w:rPr>
          <w:rFonts w:eastAsia="Malgun Gothic"/>
          <w:bCs/>
          <w:kern w:val="22"/>
          <w:szCs w:val="22"/>
        </w:rPr>
        <w:t>Synthesize and harmonize various types of information, with the free, prior and informed consent of knowledge-holders, including information on ecologically or biologically significant marine areas (EBSAs), Key Biodiversity Areas (KBAs), vulnerable marine ecosystems (VMEs), Particularly Sensitive Sea Areas (PSSAs), Important Marine Mammal Areas (IMMAs);</w:t>
      </w:r>
    </w:p>
    <w:p w14:paraId="290E51A2" w14:textId="4AED0BEA" w:rsidR="00C90052" w:rsidRPr="007B3E88" w:rsidRDefault="00C90052" w:rsidP="007B3E88">
      <w:pPr>
        <w:pStyle w:val="ListParagraph"/>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rPr>
      </w:pPr>
      <w:r w:rsidRPr="007B3E88">
        <w:rPr>
          <w:rFonts w:eastAsia="Malgun Gothic"/>
          <w:bCs/>
          <w:kern w:val="22"/>
          <w:szCs w:val="22"/>
        </w:rPr>
        <w:t>Develop and/or improve mechanism(s) for standardizing, exchanging and integrating information (e.g., clearing-house mechanisms, the Global Ocean Observing System</w:t>
      </w:r>
      <w:r w:rsidRPr="007B3E88">
        <w:rPr>
          <w:bCs/>
          <w:kern w:val="22"/>
          <w:szCs w:val="22"/>
        </w:rPr>
        <w:t xml:space="preserve"> and other monitoring systems</w:t>
      </w:r>
      <w:r w:rsidRPr="007B3E88">
        <w:rPr>
          <w:rFonts w:eastAsia="Malgun Gothic"/>
          <w:bCs/>
          <w:kern w:val="22"/>
          <w:szCs w:val="22"/>
        </w:rPr>
        <w:t>)</w:t>
      </w:r>
      <w:r w:rsidR="00F40894" w:rsidRPr="007B3E88">
        <w:rPr>
          <w:rFonts w:eastAsia="Malgun Gothic"/>
          <w:bCs/>
          <w:kern w:val="22"/>
          <w:szCs w:val="22"/>
        </w:rPr>
        <w:t>.</w:t>
      </w:r>
    </w:p>
    <w:p w14:paraId="349A3190" w14:textId="77777777" w:rsidR="00C90052" w:rsidRPr="007B3E88" w:rsidRDefault="00C90052" w:rsidP="007B3E88">
      <w:pPr>
        <w:pStyle w:val="Heading3"/>
        <w:numPr>
          <w:ilvl w:val="6"/>
          <w:numId w:val="39"/>
        </w:numPr>
        <w:suppressLineNumbers/>
        <w:tabs>
          <w:tab w:val="clear" w:pos="567"/>
          <w:tab w:val="left" w:pos="360"/>
        </w:tabs>
        <w:suppressAutoHyphens/>
        <w:kinsoku w:val="0"/>
        <w:overflowPunct w:val="0"/>
        <w:autoSpaceDE w:val="0"/>
        <w:autoSpaceDN w:val="0"/>
        <w:ind w:left="0" w:firstLine="0"/>
        <w:rPr>
          <w:kern w:val="22"/>
          <w:szCs w:val="22"/>
        </w:rPr>
      </w:pPr>
      <w:r w:rsidRPr="007B3E88">
        <w:rPr>
          <w:kern w:val="22"/>
          <w:szCs w:val="22"/>
          <w:lang w:eastAsia="ko-KR"/>
        </w:rPr>
        <w:t>S</w:t>
      </w:r>
      <w:r w:rsidRPr="007B3E88">
        <w:rPr>
          <w:kern w:val="22"/>
          <w:szCs w:val="22"/>
        </w:rPr>
        <w:t>takeholder engagement</w:t>
      </w:r>
    </w:p>
    <w:p w14:paraId="1A6C3D67" w14:textId="77777777" w:rsidR="00C90052" w:rsidRPr="007B3E88" w:rsidRDefault="00C90052"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rPr>
      </w:pPr>
      <w:r w:rsidRPr="007B3E88">
        <w:rPr>
          <w:rFonts w:eastAsia="Malgun Gothic"/>
          <w:bCs/>
          <w:kern w:val="22"/>
          <w:szCs w:val="22"/>
        </w:rPr>
        <w:t>Identify relevant stakeholders, considering livelihoods, cultural and spiritual specificities at various scales;</w:t>
      </w:r>
    </w:p>
    <w:p w14:paraId="457C54F6" w14:textId="77777777" w:rsidR="00C90052" w:rsidRPr="007B3E88" w:rsidRDefault="00C90052"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rPr>
      </w:pPr>
      <w:r w:rsidRPr="007B3E88">
        <w:rPr>
          <w:rFonts w:eastAsia="Malgun Gothic"/>
          <w:bCs/>
          <w:kern w:val="22"/>
          <w:szCs w:val="22"/>
        </w:rPr>
        <w:t>Develop and foster communities of practice and stakeholder networks that will facilitate mutual learning and exchange and also support governance, monitoring, enforcement, reporting and assessment;</w:t>
      </w:r>
    </w:p>
    <w:p w14:paraId="4DD43237" w14:textId="02EEDFE3" w:rsidR="00C90052" w:rsidRPr="007B3E88" w:rsidRDefault="00C90052"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rPr>
      </w:pPr>
      <w:r w:rsidRPr="007B3E88">
        <w:rPr>
          <w:rFonts w:eastAsia="Malgun Gothic"/>
          <w:bCs/>
          <w:kern w:val="22"/>
          <w:szCs w:val="22"/>
        </w:rPr>
        <w:t>Build a common understanding across stakeholders of the objectives and expected outcomes;</w:t>
      </w:r>
    </w:p>
    <w:p w14:paraId="60974171" w14:textId="210FACB5" w:rsidR="00C90052" w:rsidRPr="007B3E88" w:rsidRDefault="00C90052"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rPr>
      </w:pPr>
      <w:r w:rsidRPr="007B3E88">
        <w:rPr>
          <w:rFonts w:eastAsia="Malgun Gothic"/>
          <w:bCs/>
          <w:kern w:val="22"/>
          <w:szCs w:val="22"/>
        </w:rPr>
        <w:t xml:space="preserve">Foster and support strong social and communication skills in managers and practitioners of </w:t>
      </w:r>
      <w:r w:rsidRPr="006A64B0">
        <w:rPr>
          <w:rFonts w:eastAsia="Malgun Gothic"/>
          <w:snapToGrid w:val="0"/>
          <w:color w:val="000000"/>
          <w:kern w:val="22"/>
          <w:szCs w:val="22"/>
        </w:rPr>
        <w:t>marine protected areas and other effective area-based conservation measures</w:t>
      </w:r>
      <w:r w:rsidR="00F40894" w:rsidRPr="007B6A6E">
        <w:rPr>
          <w:rFonts w:eastAsia="Malgun Gothic"/>
          <w:snapToGrid w:val="0"/>
          <w:color w:val="000000"/>
          <w:kern w:val="22"/>
          <w:szCs w:val="22"/>
        </w:rPr>
        <w:t>.</w:t>
      </w:r>
    </w:p>
    <w:p w14:paraId="667D334D" w14:textId="17A9D4AB" w:rsidR="00C90052" w:rsidRPr="007B3E88" w:rsidRDefault="00564E6F" w:rsidP="007B3E88">
      <w:pPr>
        <w:keepNext/>
        <w:suppressLineNumbers/>
        <w:tabs>
          <w:tab w:val="left" w:pos="360"/>
        </w:tabs>
        <w:suppressAutoHyphens/>
        <w:kinsoku w:val="0"/>
        <w:overflowPunct w:val="0"/>
        <w:autoSpaceDE w:val="0"/>
        <w:autoSpaceDN w:val="0"/>
        <w:spacing w:before="120" w:after="120"/>
        <w:jc w:val="center"/>
        <w:rPr>
          <w:i/>
          <w:kern w:val="22"/>
          <w:szCs w:val="22"/>
        </w:rPr>
      </w:pPr>
      <w:r w:rsidRPr="007B3E88">
        <w:rPr>
          <w:i/>
          <w:kern w:val="22"/>
          <w:szCs w:val="22"/>
          <w:lang w:eastAsia="ko-KR"/>
        </w:rPr>
        <w:t>3.</w:t>
      </w:r>
      <w:r w:rsidRPr="007B3E88">
        <w:rPr>
          <w:i/>
          <w:kern w:val="22"/>
          <w:szCs w:val="22"/>
          <w:lang w:eastAsia="ko-KR"/>
        </w:rPr>
        <w:tab/>
      </w:r>
      <w:r w:rsidR="00C90052" w:rsidRPr="007B3E88">
        <w:rPr>
          <w:i/>
          <w:kern w:val="22"/>
          <w:szCs w:val="22"/>
          <w:lang w:eastAsia="ko-KR"/>
        </w:rPr>
        <w:t>G</w:t>
      </w:r>
      <w:r w:rsidR="00C90052" w:rsidRPr="007B3E88">
        <w:rPr>
          <w:i/>
          <w:kern w:val="22"/>
          <w:szCs w:val="22"/>
        </w:rPr>
        <w:t>overnance, monitoring and enforcement</w:t>
      </w:r>
    </w:p>
    <w:p w14:paraId="6C2603AF" w14:textId="77777777"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Identify the policies and management measures in place, including those outside of the protected/conserved areas;</w:t>
      </w:r>
    </w:p>
    <w:p w14:paraId="0968544D" w14:textId="77777777"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Make better use of new developments in open source data (e.g., satellite information);</w:t>
      </w:r>
    </w:p>
    <w:p w14:paraId="0276CE0A" w14:textId="396A2B35"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 xml:space="preserve">Build and/or strengthen global monitoring mechanisms and partnerships to reduce </w:t>
      </w:r>
      <w:r w:rsidR="00F9257C">
        <w:rPr>
          <w:bCs/>
          <w:kern w:val="22"/>
          <w:szCs w:val="22"/>
        </w:rPr>
        <w:t xml:space="preserve">the </w:t>
      </w:r>
      <w:r w:rsidRPr="007B3E88">
        <w:rPr>
          <w:bCs/>
          <w:kern w:val="22"/>
          <w:szCs w:val="22"/>
        </w:rPr>
        <w:t>overall costs of monitoring;</w:t>
      </w:r>
    </w:p>
    <w:p w14:paraId="22CB14B9" w14:textId="77777777"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Engage indigenous peoples and local communities, as well as respected local leaders, in monitoring and enforcement, and enhance the capacity of local communities to conduct monitoring;</w:t>
      </w:r>
    </w:p>
    <w:p w14:paraId="63E6D4CC" w14:textId="77777777"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kern w:val="22"/>
          <w:szCs w:val="22"/>
        </w:rPr>
        <w:t>Enhance the capacity of scientists to use indigenous and local knowledge, respecting the appropriate cultural contexts;</w:t>
      </w:r>
    </w:p>
    <w:p w14:paraId="297E93EA" w14:textId="77777777"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Build the capacities of managers and practitioners;</w:t>
      </w:r>
    </w:p>
    <w:p w14:paraId="77FD50DF" w14:textId="716159CB"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 xml:space="preserve">Facilitate collaboration, communication and exchange of best practices </w:t>
      </w:r>
      <w:r w:rsidR="00C023EE">
        <w:rPr>
          <w:bCs/>
          <w:kern w:val="22"/>
          <w:szCs w:val="22"/>
        </w:rPr>
        <w:t>among</w:t>
      </w:r>
      <w:r w:rsidRPr="007B3E88">
        <w:rPr>
          <w:bCs/>
          <w:kern w:val="22"/>
          <w:szCs w:val="22"/>
        </w:rPr>
        <w:t xml:space="preserve"> managers and practitioners;</w:t>
      </w:r>
    </w:p>
    <w:p w14:paraId="4C14652F" w14:textId="36FA1C3B"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Identify gaps and barriers to effective governance and compliance;</w:t>
      </w:r>
    </w:p>
    <w:p w14:paraId="457AA4C0" w14:textId="63048FD6"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 xml:space="preserve">Make use of existing standards and indicators, and improve the visibility and uptake of various global and regional standards to facilitate common approaches across </w:t>
      </w:r>
      <w:r w:rsidR="00D167D2">
        <w:rPr>
          <w:bCs/>
          <w:kern w:val="22"/>
          <w:szCs w:val="22"/>
        </w:rPr>
        <w:t xml:space="preserve">different </w:t>
      </w:r>
      <w:r w:rsidRPr="007B3E88">
        <w:rPr>
          <w:bCs/>
          <w:kern w:val="22"/>
          <w:szCs w:val="22"/>
        </w:rPr>
        <w:t>scales</w:t>
      </w:r>
      <w:r w:rsidR="00F40894" w:rsidRPr="007B3E88">
        <w:rPr>
          <w:bCs/>
          <w:kern w:val="22"/>
          <w:szCs w:val="22"/>
        </w:rPr>
        <w:t>;</w:t>
      </w:r>
    </w:p>
    <w:p w14:paraId="0D0F2A14" w14:textId="3419C885" w:rsidR="00C90052" w:rsidRPr="007B3E88" w:rsidRDefault="00C90052" w:rsidP="007B3E88">
      <w:pPr>
        <w:pStyle w:val="ListParagraph"/>
        <w:numPr>
          <w:ilvl w:val="0"/>
          <w:numId w:val="95"/>
        </w:numPr>
        <w:suppressLineNumbers/>
        <w:suppressAutoHyphens/>
        <w:kinsoku w:val="0"/>
        <w:overflowPunct w:val="0"/>
        <w:autoSpaceDE w:val="0"/>
        <w:autoSpaceDN w:val="0"/>
        <w:spacing w:before="120" w:after="120"/>
        <w:ind w:left="0" w:firstLine="720"/>
        <w:contextualSpacing w:val="0"/>
        <w:rPr>
          <w:bCs/>
          <w:kern w:val="22"/>
          <w:szCs w:val="22"/>
        </w:rPr>
      </w:pPr>
      <w:r w:rsidRPr="007B3E88">
        <w:rPr>
          <w:bCs/>
          <w:kern w:val="22"/>
          <w:szCs w:val="22"/>
        </w:rPr>
        <w:t>Recognize and support the role of indigenous peoples and local communities in governance, monitoring and enforcement</w:t>
      </w:r>
      <w:r w:rsidR="00F40894" w:rsidRPr="006A64B0">
        <w:rPr>
          <w:bCs/>
          <w:kern w:val="22"/>
          <w:szCs w:val="22"/>
        </w:rPr>
        <w:t>.</w:t>
      </w:r>
    </w:p>
    <w:p w14:paraId="0B950152" w14:textId="184B8E14" w:rsidR="00C90052" w:rsidRPr="007B3E88" w:rsidRDefault="00C90052" w:rsidP="007B3E88">
      <w:pPr>
        <w:pStyle w:val="ListParagraph"/>
        <w:keepNext/>
        <w:numPr>
          <w:ilvl w:val="1"/>
          <w:numId w:val="39"/>
        </w:numPr>
        <w:suppressLineNumbers/>
        <w:suppressAutoHyphens/>
        <w:kinsoku w:val="0"/>
        <w:overflowPunct w:val="0"/>
        <w:autoSpaceDE w:val="0"/>
        <w:autoSpaceDN w:val="0"/>
        <w:spacing w:before="120" w:after="120"/>
        <w:ind w:left="1440" w:hanging="720"/>
        <w:contextualSpacing w:val="0"/>
        <w:jc w:val="left"/>
        <w:rPr>
          <w:i/>
          <w:kern w:val="22"/>
          <w:szCs w:val="22"/>
        </w:rPr>
      </w:pPr>
      <w:r w:rsidRPr="007B3E88">
        <w:rPr>
          <w:i/>
          <w:kern w:val="22"/>
          <w:szCs w:val="22"/>
          <w:lang w:eastAsia="ko-KR"/>
        </w:rPr>
        <w:t>A</w:t>
      </w:r>
      <w:r w:rsidRPr="007B3E88">
        <w:rPr>
          <w:i/>
          <w:kern w:val="22"/>
          <w:szCs w:val="22"/>
        </w:rPr>
        <w:t>ssessing and reporting progress in achieving the qualitative aspects of Aichi Biodiversity Target 11</w:t>
      </w:r>
    </w:p>
    <w:p w14:paraId="0414561E" w14:textId="77777777" w:rsidR="00C90052" w:rsidRPr="007B3E88" w:rsidRDefault="00C90052" w:rsidP="007B3E88">
      <w:pPr>
        <w:keepNext/>
        <w:suppressLineNumbers/>
        <w:suppressAutoHyphens/>
        <w:kinsoku w:val="0"/>
        <w:overflowPunct w:val="0"/>
        <w:autoSpaceDE w:val="0"/>
        <w:autoSpaceDN w:val="0"/>
        <w:spacing w:before="120" w:after="120"/>
        <w:jc w:val="left"/>
        <w:rPr>
          <w:i/>
          <w:iCs/>
          <w:kern w:val="22"/>
          <w:szCs w:val="22"/>
        </w:rPr>
      </w:pPr>
      <w:r w:rsidRPr="007B3E88">
        <w:rPr>
          <w:i/>
          <w:iCs/>
          <w:kern w:val="22"/>
          <w:szCs w:val="22"/>
        </w:rPr>
        <w:t>Assessment</w:t>
      </w:r>
    </w:p>
    <w:p w14:paraId="1B386AAF" w14:textId="5C2E5BEC"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bCs/>
          <w:kern w:val="22"/>
          <w:szCs w:val="22"/>
        </w:rPr>
        <w:t xml:space="preserve">Ensure the appropriate conditions are in place to facilitate assessment and analysis (e.g., </w:t>
      </w:r>
      <w:r w:rsidRPr="007B3E88">
        <w:rPr>
          <w:rFonts w:eastAsia="Malgun Gothic"/>
          <w:kern w:val="22"/>
          <w:szCs w:val="22"/>
        </w:rPr>
        <w:t>legal basis, policies, conservation objectives and expertise);</w:t>
      </w:r>
    </w:p>
    <w:p w14:paraId="5E616E60" w14:textId="77777777"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kern w:val="22"/>
          <w:szCs w:val="22"/>
        </w:rPr>
        <w:t>Develop a common understanding of what effectiveness means across stakeholder groups, in line with the objectives of the protected/conserved areas;</w:t>
      </w:r>
    </w:p>
    <w:p w14:paraId="5AD4388F" w14:textId="77777777"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rFonts w:eastAsia="Malgun Gothic"/>
          <w:kern w:val="22"/>
          <w:szCs w:val="22"/>
        </w:rPr>
      </w:pPr>
      <w:r w:rsidRPr="007B3E88">
        <w:rPr>
          <w:kern w:val="22"/>
          <w:szCs w:val="22"/>
        </w:rPr>
        <w:t xml:space="preserve">Develop clear, reliable and measurable indicators for assessing the </w:t>
      </w:r>
      <w:r w:rsidRPr="007B3E88">
        <w:rPr>
          <w:rFonts w:eastAsia="Malgun Gothic"/>
          <w:bCs/>
          <w:kern w:val="22"/>
          <w:szCs w:val="22"/>
        </w:rPr>
        <w:t>effectiveness of the protected/conserved areas</w:t>
      </w:r>
      <w:r w:rsidRPr="007B3E88">
        <w:rPr>
          <w:kern w:val="22"/>
          <w:szCs w:val="22"/>
        </w:rPr>
        <w:t xml:space="preserve"> in achieving their objectives;</w:t>
      </w:r>
    </w:p>
    <w:p w14:paraId="1A8A9E11" w14:textId="77777777"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Develop standardized approaches for assessment across mechanisms/processes;</w:t>
      </w:r>
    </w:p>
    <w:p w14:paraId="52DEBD07" w14:textId="26AC75CE"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 xml:space="preserve">Assess protected/conserved areas at the network scale </w:t>
      </w:r>
      <w:r w:rsidR="00AF4414">
        <w:rPr>
          <w:bCs/>
          <w:kern w:val="22"/>
          <w:szCs w:val="22"/>
        </w:rPr>
        <w:t>and</w:t>
      </w:r>
      <w:r w:rsidRPr="007B3E88">
        <w:rPr>
          <w:bCs/>
          <w:kern w:val="22"/>
          <w:szCs w:val="22"/>
        </w:rPr>
        <w:t xml:space="preserve"> at the level of individual areas;</w:t>
      </w:r>
    </w:p>
    <w:p w14:paraId="4606A0FD" w14:textId="413015B6" w:rsidR="00C90052" w:rsidRPr="007B3E88" w:rsidRDefault="00C90052" w:rsidP="007B3E88">
      <w:pPr>
        <w:numPr>
          <w:ilvl w:val="0"/>
          <w:numId w:val="96"/>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Develop and foster communities of practice to support assessment;</w:t>
      </w:r>
    </w:p>
    <w:p w14:paraId="4797AF20" w14:textId="77777777" w:rsidR="00C90052" w:rsidRPr="007B3E88" w:rsidRDefault="00C90052" w:rsidP="007B3E88">
      <w:pPr>
        <w:keepNext/>
        <w:suppressLineNumbers/>
        <w:suppressAutoHyphens/>
        <w:kinsoku w:val="0"/>
        <w:overflowPunct w:val="0"/>
        <w:autoSpaceDE w:val="0"/>
        <w:autoSpaceDN w:val="0"/>
        <w:spacing w:before="120" w:after="120"/>
        <w:jc w:val="left"/>
        <w:rPr>
          <w:i/>
          <w:iCs/>
          <w:kern w:val="22"/>
          <w:szCs w:val="22"/>
        </w:rPr>
      </w:pPr>
      <w:r w:rsidRPr="007B3E88">
        <w:rPr>
          <w:i/>
          <w:iCs/>
          <w:kern w:val="22"/>
          <w:szCs w:val="22"/>
        </w:rPr>
        <w:t>Reporting</w:t>
      </w:r>
    </w:p>
    <w:p w14:paraId="2126382B"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Improve the frequency and accuracy of reporting, including by maximizing the use of existing reporting mechanisms (e.g., CBD national reports, IPBES reports, European Union reports);</w:t>
      </w:r>
    </w:p>
    <w:p w14:paraId="52457F6B"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Enhance the visibility of reporting to encourage analysis by a range of experts across disciplines;</w:t>
      </w:r>
    </w:p>
    <w:p w14:paraId="4F3615BF"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Ensure that management is effectively informed by reporting and analysis through appropriate feedback mechanisms in order to facilitate adaptive management;</w:t>
      </w:r>
    </w:p>
    <w:p w14:paraId="68ED0D1C"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 xml:space="preserve">Build the capacity of developing countries to undertake reporting and </w:t>
      </w:r>
      <w:r w:rsidRPr="007B3E88">
        <w:rPr>
          <w:kern w:val="22"/>
          <w:szCs w:val="22"/>
        </w:rPr>
        <w:t>management effectiveness analyses;</w:t>
      </w:r>
    </w:p>
    <w:p w14:paraId="691CEB5F" w14:textId="6CBDB198"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Build the political will to support timely and effective reporting, including through specific government commitments for regular and adequate reporting;</w:t>
      </w:r>
    </w:p>
    <w:p w14:paraId="157E938D"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Engage indigenous peoples and local communities in reporting and assessment;</w:t>
      </w:r>
    </w:p>
    <w:p w14:paraId="33EF3B40" w14:textId="44530330"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bCs/>
          <w:kern w:val="22"/>
          <w:szCs w:val="22"/>
        </w:rPr>
      </w:pPr>
      <w:r w:rsidRPr="007B3E88">
        <w:rPr>
          <w:bCs/>
          <w:kern w:val="22"/>
          <w:szCs w:val="22"/>
        </w:rPr>
        <w:t>Develop standardized approaches to reporting across mechanisms/processes;</w:t>
      </w:r>
    </w:p>
    <w:p w14:paraId="7BC0D479" w14:textId="77777777" w:rsidR="00C90052" w:rsidRPr="007B3E88" w:rsidRDefault="00C90052" w:rsidP="007B3E88">
      <w:pPr>
        <w:numPr>
          <w:ilvl w:val="0"/>
          <w:numId w:val="97"/>
        </w:numPr>
        <w:suppressLineNumbers/>
        <w:suppressAutoHyphens/>
        <w:kinsoku w:val="0"/>
        <w:overflowPunct w:val="0"/>
        <w:autoSpaceDE w:val="0"/>
        <w:autoSpaceDN w:val="0"/>
        <w:spacing w:before="120" w:after="120"/>
        <w:ind w:left="0" w:firstLine="720"/>
        <w:rPr>
          <w:rFonts w:eastAsia="Malgun Gothic"/>
          <w:bCs/>
          <w:kern w:val="22"/>
          <w:szCs w:val="22"/>
        </w:rPr>
      </w:pPr>
      <w:r w:rsidRPr="007B3E88">
        <w:rPr>
          <w:rFonts w:eastAsia="Malgun Gothic"/>
          <w:bCs/>
          <w:kern w:val="22"/>
          <w:szCs w:val="22"/>
        </w:rPr>
        <w:t>Develop and foster communities of practice to support reporting.</w:t>
      </w:r>
    </w:p>
    <w:p w14:paraId="2FA41813" w14:textId="3FAE22BA" w:rsidR="00C90052" w:rsidRPr="007B3E88" w:rsidRDefault="00564E6F" w:rsidP="007B3E88">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4</w:t>
      </w:r>
      <w:r w:rsidR="00C90052" w:rsidRPr="007B3E88">
        <w:rPr>
          <w:rFonts w:eastAsiaTheme="minorEastAsia"/>
          <w:color w:val="000000"/>
          <w:kern w:val="22"/>
          <w:szCs w:val="22"/>
          <w:lang w:eastAsia="ko-KR"/>
        </w:rPr>
        <w:t>.</w:t>
      </w:r>
      <w:r w:rsidR="00C90052" w:rsidRPr="007B3E88">
        <w:rPr>
          <w:rFonts w:eastAsiaTheme="minorEastAsia"/>
          <w:color w:val="000000"/>
          <w:kern w:val="22"/>
          <w:szCs w:val="22"/>
          <w:lang w:eastAsia="ko-KR"/>
        </w:rPr>
        <w:tab/>
      </w:r>
      <w:r w:rsidR="00C90052" w:rsidRPr="007B3E88">
        <w:rPr>
          <w:bCs/>
          <w:kern w:val="22"/>
          <w:szCs w:val="22"/>
        </w:rPr>
        <w:t xml:space="preserve">The workshop discussions </w:t>
      </w:r>
      <w:r w:rsidR="00C90052" w:rsidRPr="007B3E88">
        <w:rPr>
          <w:rFonts w:eastAsiaTheme="minorEastAsia"/>
          <w:color w:val="000000"/>
          <w:kern w:val="22"/>
          <w:szCs w:val="22"/>
          <w:lang w:eastAsia="ko-KR"/>
        </w:rPr>
        <w:t xml:space="preserve">highlighted the following approaches to accelerate national progress in achieving Aichi Target 11 in marine and coastal areas, in particular with regard to ensuring the effective integration of </w:t>
      </w:r>
      <w:r w:rsidR="00C90052" w:rsidRPr="006A64B0">
        <w:rPr>
          <w:rFonts w:eastAsia="Malgun Gothic"/>
          <w:snapToGrid w:val="0"/>
          <w:color w:val="000000"/>
          <w:kern w:val="22"/>
          <w:szCs w:val="22"/>
        </w:rPr>
        <w:t xml:space="preserve">marine protected areas and other effective area-based conservation measures </w:t>
      </w:r>
      <w:r w:rsidR="00C90052" w:rsidRPr="007B3E88">
        <w:rPr>
          <w:rFonts w:eastAsiaTheme="minorEastAsia"/>
          <w:color w:val="000000"/>
          <w:kern w:val="22"/>
          <w:szCs w:val="22"/>
          <w:lang w:eastAsia="ko-KR"/>
        </w:rPr>
        <w:t>into wider landscapes and seascapes, recognizing that these are not exhaustive and that there are other sources of guidance on these issues:</w:t>
      </w:r>
    </w:p>
    <w:p w14:paraId="453C5CF4" w14:textId="16770EB1"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kern w:val="22"/>
          <w:szCs w:val="22"/>
        </w:rPr>
        <w:t xml:space="preserve">Identify how </w:t>
      </w:r>
      <w:r w:rsidRPr="006A64B0">
        <w:rPr>
          <w:rFonts w:eastAsia="Malgun Gothic"/>
          <w:snapToGrid w:val="0"/>
          <w:color w:val="000000"/>
          <w:kern w:val="22"/>
          <w:szCs w:val="22"/>
        </w:rPr>
        <w:t xml:space="preserve">marine protected areas and other effective area-based conservation measures </w:t>
      </w:r>
      <w:r w:rsidRPr="007B3E88">
        <w:rPr>
          <w:rFonts w:eastAsia="Malgun Gothic"/>
          <w:kern w:val="22"/>
          <w:szCs w:val="22"/>
        </w:rPr>
        <w:t>fit into and enhance landscape and seascape planning frameworks, including marine spatial planning, integrated coastal management, and systematic conservation planning;</w:t>
      </w:r>
    </w:p>
    <w:p w14:paraId="37C6E47E" w14:textId="707B5CF6"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kern w:val="22"/>
          <w:szCs w:val="22"/>
        </w:rPr>
        <w:t xml:space="preserve">Assess what information is needed </w:t>
      </w:r>
      <w:r w:rsidRPr="007B3E88">
        <w:rPr>
          <w:rFonts w:eastAsia="Malgun Gothic"/>
          <w:kern w:val="22"/>
          <w:szCs w:val="22"/>
        </w:rPr>
        <w:t xml:space="preserve">and </w:t>
      </w:r>
      <w:r w:rsidRPr="007B3E88">
        <w:rPr>
          <w:kern w:val="22"/>
          <w:szCs w:val="22"/>
        </w:rPr>
        <w:t xml:space="preserve">identify the best scale(s) for collecting information, including on: </w:t>
      </w:r>
      <w:r w:rsidRPr="007B3E88">
        <w:rPr>
          <w:rFonts w:eastAsia="Malgun Gothic"/>
          <w:kern w:val="22"/>
          <w:szCs w:val="22"/>
        </w:rPr>
        <w:t>e</w:t>
      </w:r>
      <w:r w:rsidRPr="007B3E88">
        <w:rPr>
          <w:kern w:val="22"/>
          <w:szCs w:val="22"/>
        </w:rPr>
        <w:t>xisting legal and policy frameworks; ecological and biological features, and areas of specific conservation interest;</w:t>
      </w:r>
      <w:r w:rsidRPr="007B3E88">
        <w:rPr>
          <w:rFonts w:eastAsia="Malgun Gothic"/>
          <w:kern w:val="22"/>
          <w:szCs w:val="22"/>
        </w:rPr>
        <w:t xml:space="preserve"> u</w:t>
      </w:r>
      <w:r w:rsidRPr="007B3E88">
        <w:rPr>
          <w:kern w:val="22"/>
          <w:szCs w:val="22"/>
        </w:rPr>
        <w:t>ses and activities in the wider landscape and seascape and in specific areas of conservation interest, relevant stakeholders active in or with interest in the wider landscape and seascape, and potential interactions among human uses;</w:t>
      </w:r>
      <w:r w:rsidRPr="007B3E88">
        <w:rPr>
          <w:rFonts w:eastAsia="Malgun Gothic"/>
          <w:kern w:val="22"/>
          <w:szCs w:val="22"/>
        </w:rPr>
        <w:t xml:space="preserve"> c</w:t>
      </w:r>
      <w:r w:rsidRPr="007B3E88">
        <w:rPr>
          <w:kern w:val="22"/>
          <w:szCs w:val="22"/>
        </w:rPr>
        <w:t>umulative impacts across a range of spatial scales, and responses and resilience/vulnerability of systems to increasing human use and natural forces; and connectivity within and outside the landscape and seascape;</w:t>
      </w:r>
    </w:p>
    <w:p w14:paraId="6438862B" w14:textId="47AA4034"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kern w:val="22"/>
          <w:szCs w:val="22"/>
        </w:rPr>
        <w:t>Identify available sources of data and information (</w:t>
      </w:r>
      <w:r w:rsidRPr="007B3E88">
        <w:rPr>
          <w:kern w:val="22"/>
          <w:szCs w:val="22"/>
        </w:rPr>
        <w:t>including traditional and local knowledge)</w:t>
      </w:r>
      <w:r w:rsidRPr="007B3E88">
        <w:rPr>
          <w:rFonts w:eastAsia="Malgun Gothic"/>
          <w:kern w:val="22"/>
          <w:szCs w:val="22"/>
        </w:rPr>
        <w:t xml:space="preserve">, identify information gaps and </w:t>
      </w:r>
      <w:r w:rsidRPr="007B3E88">
        <w:rPr>
          <w:kern w:val="22"/>
          <w:szCs w:val="22"/>
        </w:rPr>
        <w:t>compile available data, models and other relevant information, and develop and/or improve user-friendly, open-source, efficient and transparent tools for data visualization and integration;</w:t>
      </w:r>
    </w:p>
    <w:p w14:paraId="67801C00" w14:textId="77777777"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kern w:val="22"/>
          <w:szCs w:val="22"/>
        </w:rPr>
        <w:t>Recognize and understand diverse value systems;</w:t>
      </w:r>
    </w:p>
    <w:p w14:paraId="38BF19EC" w14:textId="77777777"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kern w:val="22"/>
          <w:szCs w:val="22"/>
        </w:rPr>
        <w:t>Ensure the full and effective engagement of indigenous peoples and local communities;</w:t>
      </w:r>
    </w:p>
    <w:p w14:paraId="1652381F" w14:textId="77777777"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kern w:val="22"/>
          <w:szCs w:val="22"/>
        </w:rPr>
        <w:t xml:space="preserve">Develop a common understanding among stakeholders regarding the objectives of integrating marine protected </w:t>
      </w:r>
      <w:r w:rsidRPr="006A64B0">
        <w:rPr>
          <w:rFonts w:eastAsia="Malgun Gothic"/>
          <w:snapToGrid w:val="0"/>
          <w:color w:val="000000"/>
          <w:kern w:val="22"/>
          <w:szCs w:val="22"/>
        </w:rPr>
        <w:t xml:space="preserve">areas and other effective area-based conservation measures </w:t>
      </w:r>
      <w:r w:rsidRPr="007B3E88">
        <w:rPr>
          <w:rFonts w:eastAsia="Malgun Gothic"/>
          <w:kern w:val="22"/>
          <w:szCs w:val="22"/>
        </w:rPr>
        <w:t>into the wider landscape and seascape;</w:t>
      </w:r>
    </w:p>
    <w:p w14:paraId="6B3FB861" w14:textId="386B25EA"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rFonts w:eastAsia="Malgun Gothic"/>
          <w:kern w:val="22"/>
          <w:szCs w:val="22"/>
        </w:rPr>
        <w:t xml:space="preserve">Ensure that all activities are accountable for their impacts, both within and outside </w:t>
      </w:r>
      <w:r w:rsidRPr="006A64B0">
        <w:rPr>
          <w:rFonts w:eastAsia="Malgun Gothic"/>
          <w:snapToGrid w:val="0"/>
          <w:color w:val="000000"/>
          <w:kern w:val="22"/>
          <w:szCs w:val="22"/>
        </w:rPr>
        <w:t>marine protected areas and other effective area-based conservation measures</w:t>
      </w:r>
      <w:r w:rsidRPr="007B3E88">
        <w:rPr>
          <w:rFonts w:eastAsia="Malgun Gothic"/>
          <w:kern w:val="22"/>
          <w:szCs w:val="22"/>
        </w:rPr>
        <w:t>;</w:t>
      </w:r>
    </w:p>
    <w:p w14:paraId="06914725" w14:textId="77777777" w:rsidR="00C90052" w:rsidRPr="007B3E88" w:rsidRDefault="00C90052"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rPr>
      </w:pPr>
      <w:r w:rsidRPr="007B3E88">
        <w:rPr>
          <w:kern w:val="22"/>
          <w:szCs w:val="22"/>
        </w:rPr>
        <w:t xml:space="preserve">Develop clear, reliable, and measurable indicators for assessing the </w:t>
      </w:r>
      <w:r w:rsidRPr="007B3E88">
        <w:rPr>
          <w:rFonts w:eastAsia="Malgun Gothic"/>
          <w:bCs/>
          <w:kern w:val="22"/>
          <w:szCs w:val="22"/>
        </w:rPr>
        <w:t xml:space="preserve">effectiveness of the </w:t>
      </w:r>
      <w:r w:rsidRPr="00DC1BF1">
        <w:rPr>
          <w:rFonts w:eastAsia="Malgun Gothic"/>
          <w:snapToGrid w:val="0"/>
          <w:color w:val="000000"/>
          <w:kern w:val="22"/>
          <w:szCs w:val="22"/>
        </w:rPr>
        <w:t xml:space="preserve">marine protected areas and other effective area-based conservation measures </w:t>
      </w:r>
      <w:r w:rsidRPr="007B3E88">
        <w:rPr>
          <w:kern w:val="22"/>
          <w:szCs w:val="22"/>
        </w:rPr>
        <w:t xml:space="preserve">in achieving their objectives, and for </w:t>
      </w:r>
      <w:r w:rsidRPr="007B3E88">
        <w:rPr>
          <w:rFonts w:eastAsia="Malgun Gothic"/>
          <w:kern w:val="22"/>
          <w:szCs w:val="22"/>
        </w:rPr>
        <w:t xml:space="preserve">assessing the status of the </w:t>
      </w:r>
      <w:r w:rsidRPr="007B3E88">
        <w:rPr>
          <w:rFonts w:eastAsia="Malgun Gothic"/>
          <w:bCs/>
          <w:kern w:val="22"/>
          <w:szCs w:val="22"/>
        </w:rPr>
        <w:t>wider landscape and seascape;</w:t>
      </w:r>
    </w:p>
    <w:p w14:paraId="0E630B1F" w14:textId="0A984C9B" w:rsidR="00C90052" w:rsidRPr="007B3E88" w:rsidRDefault="00564E6F" w:rsidP="007B3E88">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5</w:t>
      </w:r>
      <w:r w:rsidR="00C90052" w:rsidRPr="007B3E88">
        <w:rPr>
          <w:rFonts w:eastAsiaTheme="minorEastAsia"/>
          <w:color w:val="000000"/>
          <w:kern w:val="22"/>
          <w:szCs w:val="22"/>
          <w:lang w:eastAsia="ko-KR"/>
        </w:rPr>
        <w:t>.</w:t>
      </w:r>
      <w:r w:rsidR="00C90052" w:rsidRPr="007B3E88">
        <w:rPr>
          <w:rFonts w:eastAsiaTheme="minorEastAsia"/>
          <w:color w:val="000000"/>
          <w:kern w:val="22"/>
          <w:szCs w:val="22"/>
          <w:lang w:eastAsia="ko-KR"/>
        </w:rPr>
        <w:tab/>
      </w:r>
      <w:r w:rsidR="00C90052" w:rsidRPr="007B3E88">
        <w:rPr>
          <w:bCs/>
          <w:kern w:val="22"/>
          <w:szCs w:val="22"/>
        </w:rPr>
        <w:t xml:space="preserve">The workshop discussions </w:t>
      </w:r>
      <w:r w:rsidR="00C90052" w:rsidRPr="007B3E88">
        <w:rPr>
          <w:rFonts w:eastAsiaTheme="minorEastAsia"/>
          <w:color w:val="000000"/>
          <w:kern w:val="22"/>
          <w:szCs w:val="22"/>
          <w:lang w:eastAsia="ko-KR"/>
        </w:rPr>
        <w:t xml:space="preserve">highlighted the following approaches </w:t>
      </w:r>
      <w:r w:rsidR="0081200C">
        <w:rPr>
          <w:rFonts w:eastAsiaTheme="minorEastAsia"/>
          <w:color w:val="000000"/>
          <w:kern w:val="22"/>
          <w:szCs w:val="22"/>
          <w:lang w:eastAsia="ko-KR"/>
        </w:rPr>
        <w:t>for</w:t>
      </w:r>
      <w:r w:rsidR="00C90052" w:rsidRPr="007B3E88">
        <w:rPr>
          <w:rFonts w:eastAsiaTheme="minorEastAsia"/>
          <w:color w:val="000000"/>
          <w:kern w:val="22"/>
          <w:szCs w:val="22"/>
          <w:lang w:eastAsia="ko-KR"/>
        </w:rPr>
        <w:t xml:space="preserve"> manag</w:t>
      </w:r>
      <w:r w:rsidR="0081200C">
        <w:rPr>
          <w:rFonts w:eastAsiaTheme="minorEastAsia"/>
          <w:color w:val="000000"/>
          <w:kern w:val="22"/>
          <w:szCs w:val="22"/>
          <w:lang w:eastAsia="ko-KR"/>
        </w:rPr>
        <w:t>ing</w:t>
      </w:r>
      <w:r w:rsidR="00C90052" w:rsidRPr="007B3E88">
        <w:rPr>
          <w:rFonts w:eastAsiaTheme="minorEastAsia"/>
          <w:color w:val="000000"/>
          <w:kern w:val="22"/>
          <w:szCs w:val="22"/>
          <w:lang w:eastAsia="ko-KR"/>
        </w:rPr>
        <w:t xml:space="preserve"> the wider landscape and seascape </w:t>
      </w:r>
      <w:r w:rsidR="0081200C">
        <w:rPr>
          <w:rFonts w:eastAsiaTheme="minorEastAsia"/>
          <w:color w:val="000000"/>
          <w:kern w:val="22"/>
          <w:szCs w:val="22"/>
          <w:lang w:eastAsia="ko-KR"/>
        </w:rPr>
        <w:t xml:space="preserve">in order </w:t>
      </w:r>
      <w:r w:rsidR="00C90052" w:rsidRPr="007B3E88">
        <w:rPr>
          <w:rFonts w:eastAsiaTheme="minorEastAsia"/>
          <w:color w:val="000000"/>
          <w:kern w:val="22"/>
          <w:szCs w:val="22"/>
          <w:lang w:eastAsia="ko-KR"/>
        </w:rPr>
        <w:t xml:space="preserve">to ensure that </w:t>
      </w:r>
      <w:r w:rsidR="00C90052" w:rsidRPr="006A64B0">
        <w:rPr>
          <w:rFonts w:eastAsia="Malgun Gothic"/>
          <w:snapToGrid w:val="0"/>
          <w:color w:val="000000"/>
          <w:kern w:val="22"/>
          <w:szCs w:val="22"/>
        </w:rPr>
        <w:t xml:space="preserve">marine protected areas and other effective area-based conservation measures </w:t>
      </w:r>
      <w:r w:rsidR="00C90052" w:rsidRPr="007B3E88">
        <w:rPr>
          <w:rFonts w:eastAsiaTheme="minorEastAsia"/>
          <w:color w:val="000000"/>
          <w:kern w:val="22"/>
          <w:szCs w:val="22"/>
          <w:lang w:eastAsia="ko-KR"/>
        </w:rPr>
        <w:t>are effective, recognizing that these are not exhaustive and that there are other sources of guidance on these issues:</w:t>
      </w:r>
    </w:p>
    <w:p w14:paraId="08AE4BFA" w14:textId="77777777" w:rsidR="00C90052" w:rsidRPr="007B3E88" w:rsidRDefault="00C90052" w:rsidP="007B3E88">
      <w:pPr>
        <w:pStyle w:val="ListParagraph"/>
        <w:numPr>
          <w:ilvl w:val="0"/>
          <w:numId w:val="99"/>
        </w:numPr>
        <w:suppressLineNumbers/>
        <w:suppressAutoHyphens/>
        <w:kinsoku w:val="0"/>
        <w:overflowPunct w:val="0"/>
        <w:autoSpaceDE w:val="0"/>
        <w:autoSpaceDN w:val="0"/>
        <w:ind w:left="0" w:firstLine="720"/>
        <w:rPr>
          <w:kern w:val="22"/>
          <w:szCs w:val="22"/>
        </w:rPr>
      </w:pPr>
      <w:r w:rsidRPr="007B3E88">
        <w:rPr>
          <w:kern w:val="22"/>
          <w:szCs w:val="22"/>
        </w:rPr>
        <w:t>Develop and/or enhance integrated governance and management to support landscape and seascape planning, and coordinate planning, objective-setting, and governance across geographic scales;</w:t>
      </w:r>
    </w:p>
    <w:p w14:paraId="21A573A3"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Develop and/or refine decision-support tools for landscape and seascape planning;</w:t>
      </w:r>
    </w:p>
    <w:p w14:paraId="6352086F"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Ensure that relevant legislation is in place and enforced;</w:t>
      </w:r>
    </w:p>
    <w:p w14:paraId="5D1A6A75"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Understand and assess the status of use and management of the wider landscape and seascape and identify areas in need of enhanced protection;</w:t>
      </w:r>
    </w:p>
    <w:p w14:paraId="5972E611"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 xml:space="preserve">Conduct threat assessments, and use a mitigation </w:t>
      </w:r>
      <w:r w:rsidRPr="007B3E88">
        <w:rPr>
          <w:rFonts w:eastAsia="Malgun Gothic"/>
          <w:kern w:val="22"/>
          <w:szCs w:val="22"/>
        </w:rPr>
        <w:t>hierarchy;</w:t>
      </w:r>
    </w:p>
    <w:p w14:paraId="27F0F2AB"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Evaluate the relative compatibility and/or incompatibility of existing and proposed uses, as well as the interactions and impacts of broader environmental change (e.g., climate change);</w:t>
      </w:r>
    </w:p>
    <w:p w14:paraId="619A5173"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Understand conflicts and displacement of livelihoods and identify relevant approaches to provide alternative livelihoods and compensation;</w:t>
      </w:r>
    </w:p>
    <w:p w14:paraId="7833A5FB"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Communicate with and involve relevant stakeholders across the wider landscape and seascape in an accessible, effective and appropriate manner;</w:t>
      </w:r>
    </w:p>
    <w:p w14:paraId="70737C07"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Ensure that planning and management is in line with the range of cultures and value systems in the wider landscape and seascape;</w:t>
      </w:r>
    </w:p>
    <w:p w14:paraId="1969FD79" w14:textId="77777777"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Identify and engage local/national leaders and champions;</w:t>
      </w:r>
    </w:p>
    <w:p w14:paraId="122DD836" w14:textId="0FBF9584" w:rsidR="00C90052" w:rsidRPr="007B3E88" w:rsidRDefault="00C90052" w:rsidP="007B3E88">
      <w:pPr>
        <w:numPr>
          <w:ilvl w:val="0"/>
          <w:numId w:val="99"/>
        </w:numPr>
        <w:suppressLineNumbers/>
        <w:suppressAutoHyphens/>
        <w:kinsoku w:val="0"/>
        <w:overflowPunct w:val="0"/>
        <w:autoSpaceDE w:val="0"/>
        <w:autoSpaceDN w:val="0"/>
        <w:spacing w:before="120" w:after="120"/>
        <w:ind w:left="0" w:firstLine="720"/>
        <w:rPr>
          <w:kern w:val="22"/>
          <w:szCs w:val="22"/>
        </w:rPr>
      </w:pPr>
      <w:r w:rsidRPr="007B3E88">
        <w:rPr>
          <w:kern w:val="22"/>
          <w:szCs w:val="22"/>
        </w:rPr>
        <w:t xml:space="preserve">Build and/or enhance capacity to support </w:t>
      </w:r>
      <w:r w:rsidRPr="007B3E88">
        <w:rPr>
          <w:bCs/>
          <w:kern w:val="22"/>
          <w:szCs w:val="22"/>
        </w:rPr>
        <w:t>wider landscape and seascape</w:t>
      </w:r>
      <w:r w:rsidRPr="007B3E88">
        <w:rPr>
          <w:kern w:val="22"/>
          <w:szCs w:val="22"/>
        </w:rPr>
        <w:t xml:space="preserve"> planning.</w:t>
      </w:r>
    </w:p>
    <w:p w14:paraId="4FC64F6A" w14:textId="43D79174" w:rsidR="00C90052" w:rsidRPr="007B3E88" w:rsidRDefault="00564E6F" w:rsidP="007B3E88">
      <w:pPr>
        <w:keepNext/>
        <w:suppressLineNumbers/>
        <w:suppressAutoHyphens/>
        <w:kinsoku w:val="0"/>
        <w:overflowPunct w:val="0"/>
        <w:autoSpaceDE w:val="0"/>
        <w:autoSpaceDN w:val="0"/>
        <w:spacing w:before="120" w:after="120"/>
        <w:ind w:left="1627" w:hanging="720"/>
        <w:jc w:val="left"/>
        <w:rPr>
          <w:b/>
          <w:iCs/>
          <w:kern w:val="22"/>
          <w:szCs w:val="22"/>
        </w:rPr>
      </w:pPr>
      <w:r w:rsidRPr="007B3E88">
        <w:rPr>
          <w:b/>
          <w:iCs/>
          <w:kern w:val="22"/>
          <w:szCs w:val="22"/>
          <w:lang w:eastAsia="ko-KR"/>
        </w:rPr>
        <w:t>D.</w:t>
      </w:r>
      <w:r w:rsidRPr="007B3E88">
        <w:rPr>
          <w:b/>
          <w:iCs/>
          <w:kern w:val="22"/>
          <w:szCs w:val="22"/>
          <w:lang w:eastAsia="ko-KR"/>
        </w:rPr>
        <w:tab/>
      </w:r>
      <w:r w:rsidR="00C90052" w:rsidRPr="007B3E88">
        <w:rPr>
          <w:b/>
          <w:iCs/>
          <w:kern w:val="22"/>
          <w:szCs w:val="22"/>
        </w:rPr>
        <w:t>Lessons from experiences in the use of various types of area-based conservation</w:t>
      </w:r>
      <w:r w:rsidR="00C90052" w:rsidRPr="007B3E88">
        <w:rPr>
          <w:b/>
          <w:iCs/>
          <w:kern w:val="22"/>
          <w:szCs w:val="22"/>
          <w:lang w:eastAsia="ko-KR"/>
        </w:rPr>
        <w:t>/management</w:t>
      </w:r>
      <w:r w:rsidR="00C90052" w:rsidRPr="007B3E88">
        <w:rPr>
          <w:b/>
          <w:iCs/>
          <w:kern w:val="22"/>
          <w:szCs w:val="22"/>
        </w:rPr>
        <w:t xml:space="preserve"> measures in marine and coastal areas</w:t>
      </w:r>
    </w:p>
    <w:p w14:paraId="05E17186" w14:textId="5945B92C" w:rsidR="00C90052" w:rsidRPr="007B3E88" w:rsidRDefault="00C90052" w:rsidP="007B3E88">
      <w:pPr>
        <w:suppressLineNumbers/>
        <w:suppressAutoHyphens/>
        <w:kinsoku w:val="0"/>
        <w:overflowPunct w:val="0"/>
        <w:autoSpaceDE w:val="0"/>
        <w:autoSpaceDN w:val="0"/>
        <w:spacing w:before="120" w:after="120"/>
        <w:rPr>
          <w:b/>
          <w:iCs/>
          <w:kern w:val="22"/>
          <w:szCs w:val="22"/>
          <w:u w:val="single"/>
        </w:rPr>
      </w:pPr>
      <w:r w:rsidRPr="007B3E88">
        <w:rPr>
          <w:kern w:val="22"/>
          <w:szCs w:val="22"/>
        </w:rPr>
        <w:t>12.</w:t>
      </w:r>
      <w:r w:rsidRPr="007B3E88">
        <w:rPr>
          <w:kern w:val="22"/>
          <w:szCs w:val="22"/>
        </w:rPr>
        <w:tab/>
        <w:t xml:space="preserve">Through the background information documents and theme presentations delivered at the workshop, the following </w:t>
      </w:r>
      <w:r w:rsidRPr="007B3E88">
        <w:rPr>
          <w:iCs/>
          <w:kern w:val="22"/>
          <w:szCs w:val="22"/>
        </w:rPr>
        <w:t>lessons from experiences in various types of area-based conservation</w:t>
      </w:r>
      <w:r w:rsidRPr="007B3E88">
        <w:rPr>
          <w:iCs/>
          <w:kern w:val="22"/>
          <w:szCs w:val="22"/>
          <w:lang w:eastAsia="ko-KR"/>
        </w:rPr>
        <w:t>/</w:t>
      </w:r>
      <w:r w:rsidR="00DF1A90">
        <w:rPr>
          <w:iCs/>
          <w:kern w:val="22"/>
          <w:szCs w:val="22"/>
          <w:lang w:eastAsia="ko-KR"/>
        </w:rPr>
        <w:softHyphen/>
      </w:r>
      <w:r w:rsidRPr="007B3E88">
        <w:rPr>
          <w:iCs/>
          <w:kern w:val="22"/>
          <w:szCs w:val="22"/>
          <w:lang w:eastAsia="ko-KR"/>
        </w:rPr>
        <w:t>management</w:t>
      </w:r>
      <w:r w:rsidRPr="007B3E88">
        <w:rPr>
          <w:iCs/>
          <w:kern w:val="22"/>
          <w:szCs w:val="22"/>
        </w:rPr>
        <w:t xml:space="preserve"> measures in marine and coastal areas </w:t>
      </w:r>
      <w:r w:rsidRPr="007B3E88">
        <w:rPr>
          <w:kern w:val="22"/>
          <w:szCs w:val="22"/>
        </w:rPr>
        <w:t>were highlighted:</w:t>
      </w:r>
    </w:p>
    <w:p w14:paraId="34CCD741" w14:textId="3FF3DC94"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kern w:val="22"/>
          <w:szCs w:val="22"/>
        </w:rPr>
      </w:pPr>
      <w:r w:rsidRPr="007B3E88">
        <w:rPr>
          <w:kern w:val="22"/>
          <w:szCs w:val="22"/>
        </w:rPr>
        <w:t xml:space="preserve">For various types of </w:t>
      </w:r>
      <w:r w:rsidRPr="007B3E88">
        <w:rPr>
          <w:iCs/>
          <w:kern w:val="22"/>
          <w:szCs w:val="22"/>
        </w:rPr>
        <w:t>area-based conservation</w:t>
      </w:r>
      <w:r w:rsidRPr="007B3E88">
        <w:rPr>
          <w:iCs/>
          <w:kern w:val="22"/>
          <w:szCs w:val="22"/>
          <w:lang w:eastAsia="ko-KR"/>
        </w:rPr>
        <w:t>/management</w:t>
      </w:r>
      <w:r w:rsidRPr="007B3E88">
        <w:rPr>
          <w:iCs/>
          <w:kern w:val="22"/>
          <w:szCs w:val="22"/>
        </w:rPr>
        <w:t xml:space="preserve"> measures </w:t>
      </w:r>
      <w:r w:rsidRPr="007B3E88">
        <w:rPr>
          <w:kern w:val="22"/>
          <w:szCs w:val="22"/>
        </w:rPr>
        <w:t>(with differences in area, duration and degree of restriction), performance in terms of protecting biodiversity can be highly variable and is often due to the ecological, socioeconomic, and governance context of the area, and the nature of implementation of the measure;</w:t>
      </w:r>
    </w:p>
    <w:p w14:paraId="316AAD95" w14:textId="0F15E41C"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kern w:val="22"/>
          <w:szCs w:val="22"/>
        </w:rPr>
      </w:pPr>
      <w:r w:rsidRPr="007B3E88">
        <w:rPr>
          <w:kern w:val="22"/>
          <w:szCs w:val="22"/>
        </w:rPr>
        <w:t>Although increases in the area, duration and degree of restriction will generally increase the protection of many biodiversity component</w:t>
      </w:r>
      <w:r w:rsidR="00C148A4">
        <w:rPr>
          <w:kern w:val="22"/>
          <w:szCs w:val="22"/>
        </w:rPr>
        <w:t>s</w:t>
      </w:r>
      <w:r w:rsidRPr="007B3E88">
        <w:rPr>
          <w:kern w:val="22"/>
          <w:szCs w:val="22"/>
        </w:rPr>
        <w:t>, the ecosystem impacts of the human activities displaced by the exclusions may also increase in the areas where those activities continue. Effective overall conservation planning needs to include all these considerations;</w:t>
      </w:r>
    </w:p>
    <w:p w14:paraId="64920637" w14:textId="55DCD200"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kern w:val="22"/>
          <w:szCs w:val="22"/>
        </w:rPr>
      </w:pPr>
      <w:r w:rsidRPr="007B3E88">
        <w:rPr>
          <w:kern w:val="22"/>
          <w:szCs w:val="22"/>
        </w:rPr>
        <w:t>Well-designed and implemented measures can be effective even if the areas are not large and with permanent restrictions, and poorly designed or implemented measures can be ineffective, regardless of their scale</w:t>
      </w:r>
      <w:r w:rsidR="00F40894" w:rsidRPr="007B3E88">
        <w:rPr>
          <w:kern w:val="22"/>
          <w:szCs w:val="22"/>
        </w:rPr>
        <w:t>;</w:t>
      </w:r>
    </w:p>
    <w:p w14:paraId="51056B0F" w14:textId="77777777"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iCs/>
          <w:kern w:val="22"/>
          <w:szCs w:val="22"/>
          <w:u w:val="single"/>
        </w:rPr>
      </w:pPr>
      <w:r w:rsidRPr="007B3E88">
        <w:rPr>
          <w:kern w:val="22"/>
          <w:szCs w:val="22"/>
        </w:rPr>
        <w:t xml:space="preserve">Evaluation of the effectiveness of </w:t>
      </w:r>
      <w:r w:rsidRPr="007B3E88">
        <w:rPr>
          <w:iCs/>
          <w:kern w:val="22"/>
          <w:szCs w:val="22"/>
        </w:rPr>
        <w:t xml:space="preserve">area-based conservation measures </w:t>
      </w:r>
      <w:r w:rsidRPr="007B3E88">
        <w:rPr>
          <w:kern w:val="22"/>
          <w:szCs w:val="22"/>
        </w:rPr>
        <w:t>should be done on a case-by-case basis, taking into account the characteristics of the measure(s) being implemented and the context in which it is implemented;</w:t>
      </w:r>
    </w:p>
    <w:p w14:paraId="57E8FAAF" w14:textId="77777777"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bCs/>
          <w:iCs/>
          <w:kern w:val="22"/>
          <w:szCs w:val="22"/>
        </w:rPr>
        <w:t xml:space="preserve">The key features of the area to consider in the evaluation of specific applications of an </w:t>
      </w:r>
      <w:r w:rsidRPr="007B3E88">
        <w:rPr>
          <w:iCs/>
          <w:kern w:val="22"/>
          <w:szCs w:val="22"/>
        </w:rPr>
        <w:t>area-based conservation</w:t>
      </w:r>
      <w:r w:rsidRPr="007B3E88">
        <w:rPr>
          <w:iCs/>
          <w:kern w:val="22"/>
          <w:szCs w:val="22"/>
          <w:lang w:eastAsia="ko-KR"/>
        </w:rPr>
        <w:t>/management</w:t>
      </w:r>
      <w:r w:rsidRPr="007B3E88">
        <w:rPr>
          <w:iCs/>
          <w:kern w:val="22"/>
          <w:szCs w:val="22"/>
        </w:rPr>
        <w:t xml:space="preserve"> measure </w:t>
      </w:r>
      <w:r w:rsidRPr="007B3E88">
        <w:rPr>
          <w:bCs/>
          <w:iCs/>
          <w:kern w:val="22"/>
          <w:szCs w:val="22"/>
        </w:rPr>
        <w:t>include:</w:t>
      </w:r>
    </w:p>
    <w:p w14:paraId="1FE5FC6B" w14:textId="77777777" w:rsidR="00C90052" w:rsidRPr="007B3E88" w:rsidRDefault="00C90052" w:rsidP="007B3E88">
      <w:pPr>
        <w:pStyle w:val="ListParagraph"/>
        <w:numPr>
          <w:ilvl w:val="1"/>
          <w:numId w:val="101"/>
        </w:numPr>
        <w:suppressLineNumbers/>
        <w:suppressAutoHyphens/>
        <w:kinsoku w:val="0"/>
        <w:overflowPunct w:val="0"/>
        <w:autoSpaceDE w:val="0"/>
        <w:autoSpaceDN w:val="0"/>
        <w:spacing w:before="120" w:after="120"/>
        <w:ind w:hanging="450"/>
        <w:contextualSpacing w:val="0"/>
        <w:rPr>
          <w:bCs/>
          <w:iCs/>
          <w:kern w:val="22"/>
          <w:szCs w:val="22"/>
        </w:rPr>
      </w:pPr>
      <w:r w:rsidRPr="007B3E88">
        <w:rPr>
          <w:bCs/>
          <w:iCs/>
          <w:kern w:val="22"/>
          <w:szCs w:val="22"/>
        </w:rPr>
        <w:t>The ecological components of special conservation concern in both the specific area and the larger region, and how the measure could contribute to their conservation;</w:t>
      </w:r>
    </w:p>
    <w:p w14:paraId="55115D7A" w14:textId="77777777" w:rsidR="00C90052" w:rsidRPr="007B3E88" w:rsidRDefault="00C90052" w:rsidP="007B3E88">
      <w:pPr>
        <w:pStyle w:val="ListParagraph"/>
        <w:numPr>
          <w:ilvl w:val="1"/>
          <w:numId w:val="101"/>
        </w:numPr>
        <w:suppressLineNumbers/>
        <w:suppressAutoHyphens/>
        <w:kinsoku w:val="0"/>
        <w:overflowPunct w:val="0"/>
        <w:autoSpaceDE w:val="0"/>
        <w:autoSpaceDN w:val="0"/>
        <w:spacing w:before="120" w:after="120"/>
        <w:ind w:hanging="450"/>
        <w:contextualSpacing w:val="0"/>
        <w:rPr>
          <w:bCs/>
          <w:iCs/>
          <w:kern w:val="22"/>
          <w:szCs w:val="22"/>
        </w:rPr>
      </w:pPr>
      <w:r w:rsidRPr="007B3E88">
        <w:rPr>
          <w:bCs/>
          <w:iCs/>
          <w:kern w:val="22"/>
          <w:szCs w:val="22"/>
        </w:rPr>
        <w:t>The size, duration, extent of restrictions and placement of the area;</w:t>
      </w:r>
    </w:p>
    <w:p w14:paraId="163BEB89" w14:textId="056BAAAF" w:rsidR="00C90052" w:rsidRPr="007B3E88" w:rsidRDefault="00C90052" w:rsidP="007B3E88">
      <w:pPr>
        <w:pStyle w:val="ListParagraph"/>
        <w:numPr>
          <w:ilvl w:val="1"/>
          <w:numId w:val="101"/>
        </w:numPr>
        <w:suppressLineNumbers/>
        <w:suppressAutoHyphens/>
        <w:kinsoku w:val="0"/>
        <w:overflowPunct w:val="0"/>
        <w:autoSpaceDE w:val="0"/>
        <w:autoSpaceDN w:val="0"/>
        <w:spacing w:before="120" w:after="120"/>
        <w:ind w:hanging="450"/>
        <w:contextualSpacing w:val="0"/>
        <w:rPr>
          <w:bCs/>
          <w:iCs/>
          <w:kern w:val="22"/>
          <w:szCs w:val="22"/>
        </w:rPr>
      </w:pPr>
      <w:r w:rsidRPr="007B3E88">
        <w:rPr>
          <w:bCs/>
          <w:iCs/>
          <w:kern w:val="22"/>
          <w:szCs w:val="22"/>
        </w:rPr>
        <w:t xml:space="preserve">The ability of the management authority to implement the measure if adopted, and monitor and provide enforcement in </w:t>
      </w:r>
      <w:r w:rsidR="00DD5441">
        <w:rPr>
          <w:bCs/>
          <w:iCs/>
          <w:kern w:val="22"/>
          <w:szCs w:val="22"/>
        </w:rPr>
        <w:t xml:space="preserve">the </w:t>
      </w:r>
      <w:r w:rsidRPr="007B3E88">
        <w:rPr>
          <w:bCs/>
          <w:iCs/>
          <w:kern w:val="22"/>
          <w:szCs w:val="22"/>
        </w:rPr>
        <w:t>area while the measure is in place;</w:t>
      </w:r>
    </w:p>
    <w:p w14:paraId="13C7B4EC" w14:textId="77777777" w:rsidR="00C90052" w:rsidRPr="007B3E88" w:rsidRDefault="00C90052" w:rsidP="007B3E88">
      <w:pPr>
        <w:pStyle w:val="ListParagraph"/>
        <w:numPr>
          <w:ilvl w:val="1"/>
          <w:numId w:val="101"/>
        </w:numPr>
        <w:suppressLineNumbers/>
        <w:suppressAutoHyphens/>
        <w:kinsoku w:val="0"/>
        <w:overflowPunct w:val="0"/>
        <w:autoSpaceDE w:val="0"/>
        <w:autoSpaceDN w:val="0"/>
        <w:spacing w:before="120" w:after="120"/>
        <w:ind w:hanging="450"/>
        <w:contextualSpacing w:val="0"/>
        <w:rPr>
          <w:bCs/>
          <w:iCs/>
          <w:kern w:val="22"/>
          <w:szCs w:val="22"/>
        </w:rPr>
      </w:pPr>
      <w:r w:rsidRPr="007B3E88">
        <w:rPr>
          <w:bCs/>
          <w:iCs/>
          <w:kern w:val="22"/>
          <w:szCs w:val="22"/>
        </w:rPr>
        <w:t>The potential contributions the measure could make to sustainable use, in addition to conservation;</w:t>
      </w:r>
    </w:p>
    <w:p w14:paraId="6F748684" w14:textId="703A5DBD"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kern w:val="22"/>
          <w:szCs w:val="22"/>
        </w:rPr>
        <w:t xml:space="preserve">Important </w:t>
      </w:r>
      <w:r w:rsidRPr="007B3E88">
        <w:rPr>
          <w:bCs/>
          <w:iCs/>
          <w:kern w:val="22"/>
          <w:szCs w:val="22"/>
        </w:rPr>
        <w:t>attributes</w:t>
      </w:r>
      <w:r w:rsidRPr="007B3E88">
        <w:rPr>
          <w:kern w:val="22"/>
          <w:szCs w:val="22"/>
        </w:rPr>
        <w:t xml:space="preserve"> of the context in which the measure would be applied that also should be taken into account in the case-by-case evaluations include:</w:t>
      </w:r>
    </w:p>
    <w:p w14:paraId="64596C6A" w14:textId="27CEE420" w:rsidR="00C90052" w:rsidRPr="007B3E88" w:rsidRDefault="00C90052" w:rsidP="007B3E88">
      <w:pPr>
        <w:pStyle w:val="ListParagraph"/>
        <w:numPr>
          <w:ilvl w:val="1"/>
          <w:numId w:val="102"/>
        </w:numPr>
        <w:suppressLineNumbers/>
        <w:suppressAutoHyphens/>
        <w:kinsoku w:val="0"/>
        <w:overflowPunct w:val="0"/>
        <w:autoSpaceDE w:val="0"/>
        <w:autoSpaceDN w:val="0"/>
        <w:spacing w:before="120" w:after="120"/>
        <w:ind w:hanging="540"/>
        <w:contextualSpacing w:val="0"/>
        <w:rPr>
          <w:bCs/>
          <w:iCs/>
          <w:kern w:val="22"/>
          <w:szCs w:val="22"/>
        </w:rPr>
      </w:pPr>
      <w:r w:rsidRPr="007B3E88">
        <w:rPr>
          <w:kern w:val="22"/>
          <w:szCs w:val="22"/>
        </w:rPr>
        <w:t xml:space="preserve">The extent to which the measure </w:t>
      </w:r>
      <w:r w:rsidR="008632DF">
        <w:rPr>
          <w:kern w:val="22"/>
          <w:szCs w:val="22"/>
        </w:rPr>
        <w:t>was</w:t>
      </w:r>
      <w:r w:rsidRPr="007B3E88">
        <w:rPr>
          <w:kern w:val="22"/>
          <w:szCs w:val="22"/>
        </w:rPr>
        <w:t xml:space="preserve"> developed within the ecosystem approach, and </w:t>
      </w:r>
      <w:r w:rsidR="008632DF">
        <w:rPr>
          <w:kern w:val="22"/>
          <w:szCs w:val="22"/>
        </w:rPr>
        <w:t>is</w:t>
      </w:r>
      <w:r w:rsidRPr="007B3E88">
        <w:rPr>
          <w:kern w:val="22"/>
          <w:szCs w:val="22"/>
        </w:rPr>
        <w:t xml:space="preserve"> well integrated with the other measures being used;</w:t>
      </w:r>
    </w:p>
    <w:p w14:paraId="55A0FF17" w14:textId="2AD33B84" w:rsidR="00C90052" w:rsidRPr="007B3E88" w:rsidRDefault="00C90052" w:rsidP="007B3E88">
      <w:pPr>
        <w:pStyle w:val="ListParagraph"/>
        <w:numPr>
          <w:ilvl w:val="1"/>
          <w:numId w:val="102"/>
        </w:numPr>
        <w:suppressLineNumbers/>
        <w:suppressAutoHyphens/>
        <w:kinsoku w:val="0"/>
        <w:overflowPunct w:val="0"/>
        <w:autoSpaceDE w:val="0"/>
        <w:autoSpaceDN w:val="0"/>
        <w:spacing w:before="120" w:after="120"/>
        <w:ind w:hanging="540"/>
        <w:contextualSpacing w:val="0"/>
        <w:rPr>
          <w:bCs/>
          <w:iCs/>
          <w:kern w:val="22"/>
          <w:szCs w:val="22"/>
        </w:rPr>
      </w:pPr>
      <w:r w:rsidRPr="007B3E88">
        <w:rPr>
          <w:kern w:val="22"/>
          <w:szCs w:val="22"/>
        </w:rPr>
        <w:t>The extent to which the measure</w:t>
      </w:r>
      <w:r w:rsidR="00B016E9">
        <w:rPr>
          <w:kern w:val="22"/>
          <w:szCs w:val="22"/>
        </w:rPr>
        <w:t xml:space="preserve"> was</w:t>
      </w:r>
      <w:r w:rsidRPr="007B3E88">
        <w:rPr>
          <w:kern w:val="22"/>
          <w:szCs w:val="22"/>
        </w:rPr>
        <w:t xml:space="preserve"> developed using the best scientific information and indigenous and local knowledge available, and an appropriate application of precaution;</w:t>
      </w:r>
    </w:p>
    <w:p w14:paraId="1C66F45E" w14:textId="049F03FC" w:rsidR="00C90052" w:rsidRPr="007B3E88" w:rsidRDefault="00C90052" w:rsidP="007B3E88">
      <w:pPr>
        <w:pStyle w:val="ListParagraph"/>
        <w:numPr>
          <w:ilvl w:val="1"/>
          <w:numId w:val="102"/>
        </w:numPr>
        <w:suppressLineNumbers/>
        <w:suppressAutoHyphens/>
        <w:kinsoku w:val="0"/>
        <w:overflowPunct w:val="0"/>
        <w:autoSpaceDE w:val="0"/>
        <w:autoSpaceDN w:val="0"/>
        <w:spacing w:before="120" w:after="120"/>
        <w:ind w:hanging="540"/>
        <w:contextualSpacing w:val="0"/>
        <w:rPr>
          <w:bCs/>
          <w:iCs/>
          <w:kern w:val="22"/>
          <w:szCs w:val="22"/>
        </w:rPr>
      </w:pPr>
      <w:r w:rsidRPr="007B3E88">
        <w:rPr>
          <w:kern w:val="22"/>
          <w:szCs w:val="22"/>
        </w:rPr>
        <w:t>The degree of protection that the measure offers to the biodiversity components of high priority, taking into account other actual or potential threats in the same area, and, when relevant, outside the area;</w:t>
      </w:r>
    </w:p>
    <w:p w14:paraId="34B979EA" w14:textId="63688388" w:rsidR="00C90052" w:rsidRPr="007B3E88" w:rsidRDefault="00C90052" w:rsidP="007B3E88">
      <w:pPr>
        <w:pStyle w:val="ListParagraph"/>
        <w:numPr>
          <w:ilvl w:val="1"/>
          <w:numId w:val="102"/>
        </w:numPr>
        <w:suppressLineNumbers/>
        <w:suppressAutoHyphens/>
        <w:kinsoku w:val="0"/>
        <w:overflowPunct w:val="0"/>
        <w:autoSpaceDE w:val="0"/>
        <w:autoSpaceDN w:val="0"/>
        <w:spacing w:before="120" w:after="120"/>
        <w:ind w:hanging="540"/>
        <w:contextualSpacing w:val="0"/>
        <w:rPr>
          <w:bCs/>
          <w:iCs/>
          <w:kern w:val="22"/>
          <w:szCs w:val="22"/>
        </w:rPr>
      </w:pPr>
      <w:r w:rsidRPr="007B3E88">
        <w:rPr>
          <w:kern w:val="22"/>
          <w:szCs w:val="22"/>
        </w:rPr>
        <w:t>The governance processes leading to development and adoption of the measure, and their implications for compliance and cooperation with the measure.</w:t>
      </w:r>
    </w:p>
    <w:p w14:paraId="4A86CF96" w14:textId="5B685824"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kern w:val="22"/>
          <w:szCs w:val="22"/>
        </w:rPr>
        <w:t xml:space="preserve">It is </w:t>
      </w:r>
      <w:r w:rsidRPr="007B3E88">
        <w:rPr>
          <w:bCs/>
          <w:iCs/>
          <w:kern w:val="22"/>
          <w:szCs w:val="22"/>
        </w:rPr>
        <w:t>important</w:t>
      </w:r>
      <w:r w:rsidRPr="007B3E88">
        <w:rPr>
          <w:kern w:val="22"/>
          <w:szCs w:val="22"/>
        </w:rPr>
        <w:t xml:space="preserve"> that conservation outcomes are supported by strong evidence, and that flexibility is provided </w:t>
      </w:r>
      <w:r w:rsidR="00834BE3">
        <w:rPr>
          <w:kern w:val="22"/>
          <w:szCs w:val="22"/>
        </w:rPr>
        <w:t xml:space="preserve">in order </w:t>
      </w:r>
      <w:r w:rsidRPr="007B3E88">
        <w:rPr>
          <w:kern w:val="22"/>
          <w:szCs w:val="22"/>
        </w:rPr>
        <w:t>to design context-specific measures that address more than one objective rather than rely</w:t>
      </w:r>
      <w:r w:rsidR="00834BE3">
        <w:rPr>
          <w:kern w:val="22"/>
          <w:szCs w:val="22"/>
        </w:rPr>
        <w:t>ing</w:t>
      </w:r>
      <w:r w:rsidRPr="007B3E88">
        <w:rPr>
          <w:kern w:val="22"/>
          <w:szCs w:val="22"/>
        </w:rPr>
        <w:t xml:space="preserve"> on prescriptive input requirements;</w:t>
      </w:r>
    </w:p>
    <w:p w14:paraId="30D69592" w14:textId="0D281C76" w:rsidR="00C90052" w:rsidRPr="007B3E88" w:rsidRDefault="00C90052" w:rsidP="007B3E88">
      <w:pPr>
        <w:pStyle w:val="ListParagraph"/>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rPr>
      </w:pPr>
      <w:r w:rsidRPr="007B3E88">
        <w:rPr>
          <w:kern w:val="22"/>
          <w:szCs w:val="22"/>
        </w:rPr>
        <w:t xml:space="preserve">It is </w:t>
      </w:r>
      <w:r w:rsidRPr="007B3E88">
        <w:rPr>
          <w:bCs/>
          <w:iCs/>
          <w:kern w:val="22"/>
          <w:szCs w:val="22"/>
        </w:rPr>
        <w:t>important</w:t>
      </w:r>
      <w:r w:rsidRPr="007B3E88">
        <w:rPr>
          <w:kern w:val="22"/>
          <w:szCs w:val="22"/>
        </w:rPr>
        <w:t xml:space="preserve"> that adequate monitoring and evaluation frameworks are built into the design of </w:t>
      </w:r>
      <w:r w:rsidRPr="007B3E88">
        <w:rPr>
          <w:iCs/>
          <w:kern w:val="22"/>
          <w:szCs w:val="22"/>
        </w:rPr>
        <w:t>area-based conservation</w:t>
      </w:r>
      <w:r w:rsidRPr="007B3E88">
        <w:rPr>
          <w:iCs/>
          <w:kern w:val="22"/>
          <w:szCs w:val="22"/>
          <w:lang w:eastAsia="ko-KR"/>
        </w:rPr>
        <w:t>/management</w:t>
      </w:r>
      <w:r w:rsidRPr="007B3E88">
        <w:rPr>
          <w:iCs/>
          <w:kern w:val="22"/>
          <w:szCs w:val="22"/>
        </w:rPr>
        <w:t xml:space="preserve"> measures </w:t>
      </w:r>
      <w:r w:rsidR="00834BE3">
        <w:rPr>
          <w:iCs/>
          <w:kern w:val="22"/>
          <w:szCs w:val="22"/>
        </w:rPr>
        <w:t xml:space="preserve">in order </w:t>
      </w:r>
      <w:r w:rsidRPr="007B3E88">
        <w:rPr>
          <w:kern w:val="22"/>
          <w:szCs w:val="22"/>
        </w:rPr>
        <w:t>to build reliable evidence that they are achieving conservation outcomes.</w:t>
      </w:r>
    </w:p>
    <w:p w14:paraId="3334C0FB" w14:textId="2847C80E" w:rsidR="00AB1DAA" w:rsidRPr="007B3E88" w:rsidRDefault="00564E6F" w:rsidP="007B3E88">
      <w:pPr>
        <w:pStyle w:val="Para1"/>
        <w:numPr>
          <w:ilvl w:val="0"/>
          <w:numId w:val="0"/>
        </w:numPr>
        <w:suppressLineNumbers/>
        <w:suppressAutoHyphens/>
        <w:kinsoku w:val="0"/>
        <w:overflowPunct w:val="0"/>
        <w:autoSpaceDE w:val="0"/>
        <w:autoSpaceDN w:val="0"/>
        <w:jc w:val="center"/>
        <w:rPr>
          <w:kern w:val="22"/>
          <w:szCs w:val="22"/>
        </w:rPr>
      </w:pPr>
      <w:r w:rsidRPr="007B3E88">
        <w:rPr>
          <w:kern w:val="22"/>
          <w:szCs w:val="22"/>
        </w:rPr>
        <w:t>__________</w:t>
      </w:r>
    </w:p>
    <w:p w14:paraId="5DCACEC9" w14:textId="77777777" w:rsidR="00736BC2" w:rsidRPr="006A64B0" w:rsidRDefault="00736BC2" w:rsidP="007B3E88">
      <w:pPr>
        <w:pStyle w:val="Para1"/>
        <w:numPr>
          <w:ilvl w:val="0"/>
          <w:numId w:val="0"/>
        </w:numPr>
        <w:suppressLineNumbers/>
        <w:suppressAutoHyphens/>
        <w:kinsoku w:val="0"/>
        <w:overflowPunct w:val="0"/>
        <w:autoSpaceDE w:val="0"/>
        <w:autoSpaceDN w:val="0"/>
        <w:spacing w:before="0" w:after="0"/>
        <w:rPr>
          <w:kern w:val="22"/>
          <w:szCs w:val="22"/>
        </w:rPr>
      </w:pPr>
    </w:p>
    <w:sectPr w:rsidR="00736BC2" w:rsidRPr="006A64B0" w:rsidSect="00831BF6">
      <w:headerReference w:type="even" r:id="rId27"/>
      <w:headerReference w:type="default" r:id="rId28"/>
      <w:footerReference w:type="even" r:id="rId29"/>
      <w:footerReference w:type="first" r:id="rId30"/>
      <w:pgSz w:w="12240" w:h="15840" w:code="1"/>
      <w:pgMar w:top="567" w:right="1440" w:bottom="1134" w:left="153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27C1" w14:textId="77777777" w:rsidR="000E42FD" w:rsidRDefault="000E42FD">
      <w:r>
        <w:separator/>
      </w:r>
    </w:p>
  </w:endnote>
  <w:endnote w:type="continuationSeparator" w:id="0">
    <w:p w14:paraId="7B38E13E" w14:textId="77777777" w:rsidR="000E42FD" w:rsidRDefault="000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239C" w14:textId="77777777" w:rsidR="000E42FD" w:rsidRDefault="000E42FD" w:rsidP="007B3E88">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1417" w14:textId="77777777" w:rsidR="000E42FD" w:rsidRDefault="000E42FD" w:rsidP="007B3E88">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22C7" w14:textId="77777777" w:rsidR="000E42FD" w:rsidRDefault="000E42FD">
      <w:r>
        <w:separator/>
      </w:r>
    </w:p>
  </w:footnote>
  <w:footnote w:type="continuationSeparator" w:id="0">
    <w:p w14:paraId="43894271" w14:textId="77777777" w:rsidR="000E42FD" w:rsidRDefault="000E42FD">
      <w:r>
        <w:continuationSeparator/>
      </w:r>
    </w:p>
  </w:footnote>
  <w:footnote w:id="1">
    <w:p w14:paraId="0F4A16E1" w14:textId="79DBE399"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rPr>
        <w:t>*</w:t>
      </w:r>
      <w:r w:rsidRPr="007B3E88">
        <w:rPr>
          <w:snapToGrid w:val="0"/>
          <w:kern w:val="18"/>
          <w:szCs w:val="18"/>
        </w:rPr>
        <w:t xml:space="preserve"> </w:t>
      </w:r>
      <w:hyperlink r:id="rId1" w:history="1">
        <w:r w:rsidRPr="007B3E88">
          <w:rPr>
            <w:rStyle w:val="Hyperlink"/>
            <w:snapToGrid w:val="0"/>
            <w:kern w:val="18"/>
            <w:szCs w:val="18"/>
          </w:rPr>
          <w:t>CBD/SBSTTA/22/1</w:t>
        </w:r>
      </w:hyperlink>
      <w:r w:rsidRPr="007B3E88">
        <w:rPr>
          <w:snapToGrid w:val="0"/>
          <w:kern w:val="18"/>
          <w:szCs w:val="18"/>
          <w:lang w:val="en-US"/>
        </w:rPr>
        <w:t>.</w:t>
      </w:r>
    </w:p>
  </w:footnote>
  <w:footnote w:id="2">
    <w:p w14:paraId="285C7162" w14:textId="2BAE426B"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rPr>
        <w:t xml:space="preserve"> </w:t>
      </w:r>
      <w:r w:rsidRPr="007B3E88">
        <w:rPr>
          <w:snapToGrid w:val="0"/>
          <w:kern w:val="18"/>
          <w:szCs w:val="18"/>
          <w:lang w:val="en-US"/>
        </w:rPr>
        <w:t xml:space="preserve">In decision </w:t>
      </w:r>
      <w:r w:rsidRPr="007B3E88">
        <w:rPr>
          <w:snapToGrid w:val="0"/>
          <w:kern w:val="18"/>
          <w:szCs w:val="18"/>
        </w:rPr>
        <w:t>XIII/2</w:t>
      </w:r>
      <w:r w:rsidRPr="007B3E88">
        <w:rPr>
          <w:snapToGrid w:val="0"/>
          <w:kern w:val="18"/>
          <w:szCs w:val="18"/>
          <w:lang w:val="en-US"/>
        </w:rPr>
        <w:t xml:space="preserve">, paragraphs </w:t>
      </w:r>
      <w:r w:rsidRPr="007B3E88">
        <w:rPr>
          <w:rFonts w:eastAsia="Calibri"/>
          <w:snapToGrid w:val="0"/>
          <w:kern w:val="18"/>
          <w:szCs w:val="18"/>
        </w:rPr>
        <w:t>10(a), 10(b), and 10(c) respectively.</w:t>
      </w:r>
    </w:p>
  </w:footnote>
  <w:footnote w:id="3">
    <w:p w14:paraId="0A873E67" w14:textId="3FB8E216"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rPr>
        <w:t xml:space="preserve"> Recalling</w:t>
      </w:r>
      <w:r w:rsidRPr="007B3E88">
        <w:rPr>
          <w:snapToGrid w:val="0"/>
          <w:color w:val="000000"/>
          <w:kern w:val="18"/>
          <w:szCs w:val="18"/>
        </w:rPr>
        <w:t xml:space="preserve"> </w:t>
      </w:r>
      <w:hyperlink r:id="rId2" w:history="1">
        <w:r w:rsidRPr="009B350E">
          <w:rPr>
            <w:rStyle w:val="Hyperlink"/>
            <w:snapToGrid w:val="0"/>
            <w:kern w:val="18"/>
            <w:szCs w:val="18"/>
          </w:rPr>
          <w:t>decision X/29</w:t>
        </w:r>
      </w:hyperlink>
      <w:r w:rsidRPr="009B350E">
        <w:rPr>
          <w:snapToGrid w:val="0"/>
          <w:color w:val="000000"/>
          <w:kern w:val="18"/>
          <w:szCs w:val="18"/>
        </w:rPr>
        <w:t xml:space="preserve">, </w:t>
      </w:r>
      <w:r w:rsidRPr="007B3E88">
        <w:rPr>
          <w:snapToGrid w:val="0"/>
          <w:color w:val="000000"/>
          <w:kern w:val="18"/>
          <w:szCs w:val="18"/>
        </w:rPr>
        <w:t>paragraph 76</w:t>
      </w:r>
      <w:r w:rsidRPr="009B350E">
        <w:rPr>
          <w:snapToGrid w:val="0"/>
          <w:color w:val="000000"/>
          <w:kern w:val="18"/>
          <w:szCs w:val="18"/>
        </w:rPr>
        <w:t>,</w:t>
      </w:r>
      <w:r w:rsidRPr="007B3E88">
        <w:rPr>
          <w:snapToGrid w:val="0"/>
          <w:color w:val="000000"/>
          <w:kern w:val="18"/>
          <w:szCs w:val="18"/>
        </w:rPr>
        <w:t xml:space="preserve"> and </w:t>
      </w:r>
      <w:hyperlink r:id="rId3" w:history="1">
        <w:r w:rsidRPr="009B350E">
          <w:rPr>
            <w:rStyle w:val="Hyperlink"/>
            <w:snapToGrid w:val="0"/>
            <w:kern w:val="18"/>
            <w:szCs w:val="18"/>
          </w:rPr>
          <w:t>decision XI/24</w:t>
        </w:r>
      </w:hyperlink>
      <w:r w:rsidRPr="009B350E">
        <w:rPr>
          <w:snapToGrid w:val="0"/>
          <w:color w:val="000000"/>
          <w:kern w:val="18"/>
          <w:szCs w:val="18"/>
        </w:rPr>
        <w:t xml:space="preserve">, </w:t>
      </w:r>
      <w:r w:rsidRPr="007B3E88">
        <w:rPr>
          <w:snapToGrid w:val="0"/>
          <w:color w:val="000000"/>
          <w:kern w:val="18"/>
          <w:szCs w:val="18"/>
        </w:rPr>
        <w:t>paragraph 1(b).</w:t>
      </w:r>
    </w:p>
  </w:footnote>
  <w:footnote w:id="4">
    <w:p w14:paraId="7D76868D" w14:textId="32C64766"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w:t>
      </w:r>
      <w:r w:rsidRPr="009B350E">
        <w:rPr>
          <w:snapToGrid w:val="0"/>
          <w:kern w:val="18"/>
          <w:szCs w:val="18"/>
        </w:rPr>
        <w:t xml:space="preserve">See </w:t>
      </w:r>
      <w:hyperlink r:id="rId4" w:history="1">
        <w:r w:rsidRPr="009B350E">
          <w:rPr>
            <w:rStyle w:val="Hyperlink"/>
            <w:snapToGrid w:val="0"/>
            <w:kern w:val="18"/>
            <w:szCs w:val="18"/>
          </w:rPr>
          <w:t>decision XIII/9</w:t>
        </w:r>
      </w:hyperlink>
      <w:r w:rsidRPr="007B3E88">
        <w:rPr>
          <w:snapToGrid w:val="0"/>
          <w:color w:val="000000"/>
          <w:kern w:val="18"/>
          <w:szCs w:val="18"/>
        </w:rPr>
        <w:t>.</w:t>
      </w:r>
    </w:p>
  </w:footnote>
  <w:footnote w:id="5">
    <w:p w14:paraId="4714DA24" w14:textId="1B958764"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Taking into account submissions received in response to notification 2017-065</w:t>
      </w:r>
      <w:r w:rsidRPr="009B350E">
        <w:rPr>
          <w:snapToGrid w:val="0"/>
          <w:kern w:val="18"/>
          <w:szCs w:val="18"/>
        </w:rPr>
        <w:t xml:space="preserve"> and</w:t>
      </w:r>
      <w:r w:rsidRPr="007B3E88">
        <w:rPr>
          <w:snapToGrid w:val="0"/>
          <w:kern w:val="18"/>
          <w:szCs w:val="18"/>
        </w:rPr>
        <w:t xml:space="preserve"> other available information as well as noting lessons learned from the relevant biodiversity-related conventions and agreements.</w:t>
      </w:r>
    </w:p>
  </w:footnote>
  <w:footnote w:id="6">
    <w:p w14:paraId="14B9138B" w14:textId="2345A001"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CBD/SBSTTA/22/INF/6 and CBD/SBSTTA/22/INF/7.</w:t>
      </w:r>
    </w:p>
  </w:footnote>
  <w:footnote w:id="7">
    <w:p w14:paraId="060167EE" w14:textId="307DC40E"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Taking into account submissions received in response to notification (2017-065), </w:t>
      </w:r>
      <w:r w:rsidRPr="007B3E88">
        <w:rPr>
          <w:snapToGrid w:val="0"/>
          <w:kern w:val="18"/>
          <w:szCs w:val="18"/>
          <w:lang w:eastAsia="ja-JP" w:bidi="th-TH"/>
        </w:rPr>
        <w:t xml:space="preserve">decision X/31, </w:t>
      </w:r>
      <w:r w:rsidRPr="007B3E88">
        <w:rPr>
          <w:snapToGrid w:val="0"/>
          <w:kern w:val="18"/>
          <w:szCs w:val="18"/>
        </w:rPr>
        <w:t>other available information, and noting lessons learned from the relevant biodiversity-related conventions and agreements.</w:t>
      </w:r>
    </w:p>
  </w:footnote>
  <w:footnote w:id="8">
    <w:p w14:paraId="3CA3EDA6" w14:textId="376A8C9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CBD/SBSTTA/22/INF/8.</w:t>
      </w:r>
    </w:p>
  </w:footnote>
  <w:footnote w:id="9">
    <w:p w14:paraId="76D0F9B1" w14:textId="6D338CFC"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rPr>
        <w:t xml:space="preserve"> </w:t>
      </w:r>
      <w:r w:rsidRPr="007B3E88">
        <w:rPr>
          <w:snapToGrid w:val="0"/>
          <w:kern w:val="18"/>
          <w:szCs w:val="18"/>
          <w:lang w:val="en-US"/>
        </w:rPr>
        <w:t>CBD/PA/EM/2018/1/2 and CBD/MCB/EM/2018/1/3.</w:t>
      </w:r>
    </w:p>
  </w:footnote>
  <w:footnote w:id="10">
    <w:p w14:paraId="7EFCC88F" w14:textId="559A2401"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CBD/SBSTTA/22/6</w:t>
      </w:r>
      <w:r w:rsidR="00E7540B" w:rsidRPr="009B350E">
        <w:rPr>
          <w:snapToGrid w:val="0"/>
          <w:kern w:val="18"/>
          <w:szCs w:val="18"/>
        </w:rPr>
        <w:t>, annexes I and II</w:t>
      </w:r>
      <w:r w:rsidRPr="007B3E88">
        <w:rPr>
          <w:snapToGrid w:val="0"/>
          <w:kern w:val="18"/>
          <w:szCs w:val="18"/>
        </w:rPr>
        <w:t>.</w:t>
      </w:r>
    </w:p>
  </w:footnote>
  <w:footnote w:id="11">
    <w:p w14:paraId="1EB25168" w14:textId="39997E40" w:rsidR="007222A4" w:rsidRPr="007B3E88" w:rsidRDefault="007222A4" w:rsidP="007B3E88">
      <w:pPr>
        <w:pStyle w:val="FootnoteText"/>
        <w:suppressLineNumbers/>
        <w:suppressAutoHyphens/>
        <w:kinsoku w:val="0"/>
        <w:overflowPunct w:val="0"/>
        <w:autoSpaceDE w:val="0"/>
        <w:autoSpaceDN w:val="0"/>
        <w:adjustRightInd w:val="0"/>
        <w:snapToGrid w:val="0"/>
        <w:ind w:firstLine="0"/>
        <w:jc w:val="left"/>
        <w:rPr>
          <w:szCs w:val="18"/>
          <w:lang w:val="en-US"/>
        </w:rPr>
      </w:pPr>
      <w:r w:rsidRPr="007B3E88">
        <w:rPr>
          <w:rStyle w:val="FootnoteReference"/>
          <w:szCs w:val="18"/>
          <w:u w:val="none"/>
          <w:vertAlign w:val="superscript"/>
        </w:rPr>
        <w:footnoteRef/>
      </w:r>
      <w:r w:rsidRPr="007B3E88">
        <w:rPr>
          <w:szCs w:val="18"/>
        </w:rPr>
        <w:t xml:space="preserve"> </w:t>
      </w:r>
      <w:r w:rsidRPr="009B350E">
        <w:rPr>
          <w:snapToGrid w:val="0"/>
          <w:kern w:val="18"/>
          <w:szCs w:val="18"/>
        </w:rPr>
        <w:t>CBD/SBSTTA/22/6, annex III.</w:t>
      </w:r>
    </w:p>
  </w:footnote>
  <w:footnote w:id="12">
    <w:p w14:paraId="0C76D32C" w14:textId="5FFE1392"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zCs w:val="18"/>
          <w:lang w:val="en-US"/>
        </w:rPr>
      </w:pPr>
      <w:r w:rsidRPr="007B3E88">
        <w:rPr>
          <w:rStyle w:val="FootnoteReference"/>
          <w:szCs w:val="18"/>
          <w:u w:val="none"/>
          <w:vertAlign w:val="superscript"/>
        </w:rPr>
        <w:footnoteRef/>
      </w:r>
      <w:r w:rsidRPr="007B3E88">
        <w:rPr>
          <w:szCs w:val="18"/>
        </w:rPr>
        <w:t xml:space="preserve"> </w:t>
      </w:r>
      <w:r w:rsidRPr="009B350E">
        <w:rPr>
          <w:snapToGrid w:val="0"/>
          <w:kern w:val="18"/>
          <w:szCs w:val="18"/>
        </w:rPr>
        <w:t>CBD/SBSTTA/22/6.</w:t>
      </w:r>
    </w:p>
  </w:footnote>
  <w:footnote w:id="13">
    <w:p w14:paraId="42A71182"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rPr>
        <w:t xml:space="preserve"> Hadded, N.M. et al. 2015. Habitat fragmentation and its lasting impact on Earth’s ecosystems. </w:t>
      </w:r>
      <w:r w:rsidRPr="007B3E88">
        <w:rPr>
          <w:snapToGrid w:val="0"/>
          <w:kern w:val="18"/>
          <w:szCs w:val="18"/>
          <w:lang w:val="en-CA"/>
        </w:rPr>
        <w:t xml:space="preserve">Science Advances: 1(2): e1500052, Mar 2015. </w:t>
      </w:r>
      <w:hyperlink r:id="rId5" w:history="1">
        <w:r w:rsidRPr="007B3E88">
          <w:rPr>
            <w:rStyle w:val="Hyperlink"/>
            <w:snapToGrid w:val="0"/>
            <w:kern w:val="18"/>
            <w:szCs w:val="18"/>
            <w:lang w:val="en-US"/>
          </w:rPr>
          <w:t>https://www.ncbi.nlm.nih.gov/pmc/articles/PMC4643828/</w:t>
        </w:r>
      </w:hyperlink>
      <w:r w:rsidRPr="007B3E88">
        <w:rPr>
          <w:snapToGrid w:val="0"/>
          <w:kern w:val="18"/>
          <w:szCs w:val="18"/>
          <w:lang w:val="en-US"/>
        </w:rPr>
        <w:t xml:space="preserve"> </w:t>
      </w:r>
    </w:p>
  </w:footnote>
  <w:footnote w:id="14">
    <w:p w14:paraId="1E576FEF"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Watson, J. et al. 2018. The exceptional value of intact forest ecosystems. Nature Ecology and Evolution 2, 599-610.</w:t>
      </w:r>
    </w:p>
  </w:footnote>
  <w:footnote w:id="15">
    <w:p w14:paraId="2D5F3CDD" w14:textId="3D1FACC7" w:rsidR="000E42FD" w:rsidRPr="007B3E88" w:rsidRDefault="000E42FD" w:rsidP="007B3E88">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n-US"/>
        </w:rPr>
      </w:pPr>
      <w:r w:rsidRPr="007B3E88">
        <w:rPr>
          <w:rStyle w:val="FootnoteReference"/>
          <w:snapToGrid w:val="0"/>
          <w:kern w:val="18"/>
          <w:szCs w:val="18"/>
          <w:u w:val="none"/>
          <w:vertAlign w:val="superscript"/>
        </w:rPr>
        <w:footnoteRef/>
      </w:r>
      <w:r w:rsidRPr="007B3E88">
        <w:rPr>
          <w:snapToGrid w:val="0"/>
          <w:kern w:val="18"/>
          <w:sz w:val="18"/>
          <w:szCs w:val="18"/>
        </w:rPr>
        <w:t xml:space="preserve"> </w:t>
      </w:r>
      <w:r w:rsidRPr="007B3E88">
        <w:rPr>
          <w:snapToGrid w:val="0"/>
          <w:kern w:val="18"/>
          <w:sz w:val="18"/>
          <w:szCs w:val="18"/>
          <w:lang w:val="en-US"/>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16">
    <w:p w14:paraId="39AEBE48"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See for example CBD. 2016. Biodiversity and the 2030 Agenda. Montreal: Secretariat of the Convention on Biological Diversity. Available at https://www.cbd.int/development/doc/biodiversity-2030-agenda-policy-brief-en.pdf</w:t>
      </w:r>
    </w:p>
  </w:footnote>
  <w:footnote w:id="17">
    <w:p w14:paraId="7FC69B61" w14:textId="5E4EECD4"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See for example: United Nations Development Programme. 2018. Nature for water, Nature for life: Nature-based solutions for achieving the Global Goals. New York, UNDP; available at </w:t>
      </w:r>
      <w:hyperlink r:id="rId6" w:history="1">
        <w:r w:rsidRPr="007B3E88">
          <w:rPr>
            <w:rStyle w:val="Hyperlink"/>
            <w:snapToGrid w:val="0"/>
            <w:kern w:val="18"/>
            <w:szCs w:val="18"/>
          </w:rPr>
          <w:t>www.natureforlife.world</w:t>
        </w:r>
      </w:hyperlink>
      <w:r w:rsidRPr="009B350E">
        <w:rPr>
          <w:snapToGrid w:val="0"/>
          <w:kern w:val="18"/>
          <w:szCs w:val="18"/>
        </w:rPr>
        <w:t>.</w:t>
      </w:r>
    </w:p>
  </w:footnote>
  <w:footnote w:id="18">
    <w:p w14:paraId="0143E688"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See Bronson et al., 2017. Natural Climate Solutions. PNAS: 114(44): 11645-11650 available at: </w:t>
      </w:r>
      <w:hyperlink r:id="rId7" w:history="1">
        <w:r w:rsidRPr="007B3E88">
          <w:rPr>
            <w:rStyle w:val="Hyperlink"/>
            <w:snapToGrid w:val="0"/>
            <w:kern w:val="18"/>
            <w:szCs w:val="18"/>
          </w:rPr>
          <w:t>http://www.pnas.org/content/114/44/11645</w:t>
        </w:r>
      </w:hyperlink>
      <w:r w:rsidRPr="007B3E88">
        <w:rPr>
          <w:snapToGrid w:val="0"/>
          <w:kern w:val="18"/>
          <w:szCs w:val="18"/>
        </w:rPr>
        <w:t>.</w:t>
      </w:r>
    </w:p>
  </w:footnote>
  <w:footnote w:id="19">
    <w:p w14:paraId="24EFA07C"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lang w:val="en-CA"/>
        </w:rPr>
        <w:t xml:space="preserve"> Dudley, N. et al. 2009. </w:t>
      </w:r>
      <w:r w:rsidRPr="007B3E88">
        <w:rPr>
          <w:snapToGrid w:val="0"/>
          <w:kern w:val="18"/>
          <w:szCs w:val="18"/>
          <w:lang w:val="en-US"/>
        </w:rPr>
        <w:t>Natural Solutions – Protected Areas: Helping People Cope with Climate Change. Switzerland: IUCN. Available at: https://www.iucn.org/content/natural-solutions-protected-areas-helping-people-cope-climate-change.</w:t>
      </w:r>
    </w:p>
  </w:footnote>
  <w:footnote w:id="20">
    <w:p w14:paraId="17EC8DEA" w14:textId="7E01B59D"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snapToGrid w:val="0"/>
          <w:kern w:val="18"/>
          <w:vertAlign w:val="superscript"/>
          <w:lang w:eastAsia="ja-JP" w:bidi="th-TH"/>
        </w:rPr>
        <w:footnoteRef/>
      </w:r>
      <w:r w:rsidRPr="007B3E88">
        <w:rPr>
          <w:snapToGrid w:val="0"/>
          <w:kern w:val="18"/>
          <w:szCs w:val="18"/>
        </w:rPr>
        <w:t xml:space="preserve"> See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10017, available at: </w:t>
      </w:r>
      <w:hyperlink r:id="rId8" w:history="1">
        <w:r w:rsidRPr="007B3E88">
          <w:rPr>
            <w:rStyle w:val="Hyperlink"/>
            <w:snapToGrid w:val="0"/>
            <w:kern w:val="18"/>
            <w:szCs w:val="18"/>
          </w:rPr>
          <w:t>https://www.cbd.int/doc/nbsap/NBSAPs-catalysts-SDGs.pdf</w:t>
        </w:r>
      </w:hyperlink>
    </w:p>
  </w:footnote>
  <w:footnote w:id="21">
    <w:p w14:paraId="690D1951" w14:textId="52FCF0D0"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CA"/>
        </w:rPr>
        <w:t xml:space="preserve"> </w:t>
      </w:r>
      <w:r w:rsidRPr="007B3E88">
        <w:rPr>
          <w:rFonts w:eastAsia="Batang"/>
          <w:iCs/>
          <w:snapToGrid w:val="0"/>
          <w:kern w:val="18"/>
          <w:szCs w:val="18"/>
          <w:lang w:eastAsia="ja-JP" w:bidi="th-TH"/>
        </w:rPr>
        <w:t xml:space="preserve">Several studies, including a recent analysis of 165 protected areas from </w:t>
      </w:r>
      <w:r w:rsidRPr="009B350E">
        <w:rPr>
          <w:rFonts w:eastAsia="Batang"/>
          <w:iCs/>
          <w:snapToGrid w:val="0"/>
          <w:kern w:val="18"/>
          <w:szCs w:val="18"/>
          <w:lang w:eastAsia="ja-JP" w:bidi="th-TH"/>
        </w:rPr>
        <w:t xml:space="preserve">around </w:t>
      </w:r>
      <w:r w:rsidRPr="007B3E88">
        <w:rPr>
          <w:rFonts w:eastAsia="Batang"/>
          <w:iCs/>
          <w:snapToGrid w:val="0"/>
          <w:kern w:val="18"/>
          <w:szCs w:val="18"/>
          <w:lang w:eastAsia="ja-JP" w:bidi="th-TH"/>
        </w:rPr>
        <w:t xml:space="preserve">the world, have found that those sites where </w:t>
      </w:r>
      <w:r w:rsidRPr="007B3E88">
        <w:rPr>
          <w:rFonts w:eastAsia="Batang"/>
          <w:i/>
          <w:iCs/>
          <w:snapToGrid w:val="0"/>
          <w:kern w:val="18"/>
          <w:szCs w:val="18"/>
          <w:lang w:eastAsia="ja-JP" w:bidi="th-TH"/>
        </w:rPr>
        <w:t>local people</w:t>
      </w:r>
      <w:r w:rsidRPr="007B3E88">
        <w:rPr>
          <w:rFonts w:eastAsia="Batang"/>
          <w:iCs/>
          <w:snapToGrid w:val="0"/>
          <w:kern w:val="18"/>
          <w:szCs w:val="18"/>
          <w:lang w:eastAsia="ja-JP" w:bidi="th-TH"/>
        </w:rPr>
        <w:t xml:space="preserve"> are directly engaged and benefit from the conservation efforts are more effective with respect to both biodiversity conservation and socio-economic development. </w:t>
      </w:r>
      <w:r w:rsidRPr="007B3E88">
        <w:rPr>
          <w:snapToGrid w:val="0"/>
          <w:kern w:val="18"/>
          <w:szCs w:val="18"/>
          <w:lang w:val="en-CA"/>
        </w:rPr>
        <w:t xml:space="preserve">Oldekop, J.A., et al. </w:t>
      </w:r>
      <w:r w:rsidRPr="007B3E88">
        <w:rPr>
          <w:snapToGrid w:val="0"/>
          <w:kern w:val="18"/>
          <w:szCs w:val="18"/>
          <w:lang w:val="en-US"/>
        </w:rPr>
        <w:t xml:space="preserve">(2015). A global assessment of the social and conservation outcomes of protected areas </w:t>
      </w:r>
      <w:r w:rsidRPr="009B350E">
        <w:rPr>
          <w:snapToGrid w:val="0"/>
          <w:kern w:val="18"/>
          <w:szCs w:val="18"/>
          <w:lang w:val="en-US"/>
        </w:rPr>
        <w:t>–</w:t>
      </w:r>
      <w:r w:rsidRPr="007B3E88">
        <w:rPr>
          <w:snapToGrid w:val="0"/>
          <w:kern w:val="18"/>
          <w:szCs w:val="18"/>
          <w:lang w:val="en-US"/>
        </w:rPr>
        <w:t xml:space="preserve"> </w:t>
      </w:r>
      <w:r w:rsidRPr="007B3E88">
        <w:rPr>
          <w:i/>
          <w:iCs/>
          <w:snapToGrid w:val="0"/>
          <w:kern w:val="18"/>
          <w:szCs w:val="18"/>
          <w:lang w:val="en-US"/>
        </w:rPr>
        <w:t>Conservation Biology</w:t>
      </w:r>
      <w:r w:rsidRPr="007B3E88">
        <w:rPr>
          <w:snapToGrid w:val="0"/>
          <w:kern w:val="18"/>
          <w:szCs w:val="18"/>
          <w:lang w:val="en-US"/>
        </w:rPr>
        <w:t>, 30(1): 133</w:t>
      </w:r>
      <w:r w:rsidRPr="009B350E">
        <w:rPr>
          <w:snapToGrid w:val="0"/>
          <w:kern w:val="18"/>
          <w:szCs w:val="18"/>
          <w:lang w:val="en-US"/>
        </w:rPr>
        <w:t>-</w:t>
      </w:r>
      <w:r w:rsidRPr="007B3E88">
        <w:rPr>
          <w:snapToGrid w:val="0"/>
          <w:kern w:val="18"/>
          <w:szCs w:val="18"/>
          <w:lang w:val="en-US"/>
        </w:rPr>
        <w:t>141.</w:t>
      </w:r>
    </w:p>
  </w:footnote>
  <w:footnote w:id="22">
    <w:p w14:paraId="36912FAD" w14:textId="4CAF3793"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ja-JP" w:bidi="th-TH"/>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rPr>
        <w:t xml:space="preserve"> </w:t>
      </w:r>
      <w:r w:rsidRPr="007B3E88">
        <w:rPr>
          <w:snapToGrid w:val="0"/>
          <w:kern w:val="18"/>
          <w:szCs w:val="18"/>
          <w:lang w:eastAsia="ja-JP" w:bidi="th-TH"/>
        </w:rPr>
        <w:t>In this same decision, Parties were invited to establish clear mechanisms and processes for equitable cost and benefit-sharing and for full and effective participation of indigenous and local communities, related to protected areas, in accordance with national laws and applicable international obligations; as well as to recognize the role of indigenous and local community conserved areas (ICCAs) and conserved areas of other stakeholders in biodiversity conservation, collaborative management and diversification of governance types.</w:t>
      </w:r>
    </w:p>
  </w:footnote>
  <w:footnote w:id="23">
    <w:p w14:paraId="6FE7A39B" w14:textId="5CE733CA"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w:t>
      </w:r>
      <w:r w:rsidRPr="007B3E88">
        <w:rPr>
          <w:snapToGrid w:val="0"/>
          <w:kern w:val="18"/>
          <w:szCs w:val="18"/>
          <w:lang w:eastAsia="ja-JP" w:bidi="th-TH"/>
        </w:rPr>
        <w:t>CBD/SBSTTA/22/INF/8.</w:t>
      </w:r>
    </w:p>
  </w:footnote>
  <w:footnote w:id="24">
    <w:p w14:paraId="7ADEC993" w14:textId="6EDBD4A4"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Such as between </w:t>
      </w:r>
      <w:r w:rsidRPr="009B350E">
        <w:rPr>
          <w:snapToGrid w:val="0"/>
          <w:kern w:val="18"/>
          <w:szCs w:val="18"/>
          <w:lang w:val="en-US"/>
        </w:rPr>
        <w:t xml:space="preserve">indigenous peoples and local communities </w:t>
      </w:r>
      <w:r w:rsidRPr="007B3E88">
        <w:rPr>
          <w:snapToGrid w:val="0"/>
          <w:kern w:val="18"/>
          <w:szCs w:val="18"/>
          <w:lang w:val="en-US"/>
        </w:rPr>
        <w:t>and Governments or between private individuals and Governments.</w:t>
      </w:r>
    </w:p>
  </w:footnote>
  <w:footnote w:id="25">
    <w:p w14:paraId="4FE8026A" w14:textId="09EC7195"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u w:val="none"/>
          <w:vertAlign w:val="superscript"/>
          <w:lang w:eastAsia="ja-JP" w:bidi="th-TH"/>
        </w:rPr>
        <w:footnoteRef/>
      </w:r>
      <w:r w:rsidRPr="007B3E88">
        <w:rPr>
          <w:snapToGrid w:val="0"/>
          <w:kern w:val="18"/>
          <w:szCs w:val="18"/>
          <w:lang w:val="en-US"/>
        </w:rPr>
        <w:t xml:space="preserve"> The acronym </w:t>
      </w:r>
      <w:r w:rsidRPr="009B350E">
        <w:rPr>
          <w:snapToGrid w:val="0"/>
          <w:kern w:val="18"/>
          <w:szCs w:val="18"/>
          <w:lang w:val="en-US"/>
        </w:rPr>
        <w:t>“</w:t>
      </w:r>
      <w:r w:rsidRPr="007B3E88">
        <w:rPr>
          <w:snapToGrid w:val="0"/>
          <w:kern w:val="18"/>
          <w:szCs w:val="18"/>
          <w:lang w:val="en-US"/>
        </w:rPr>
        <w:t>ICCAs</w:t>
      </w:r>
      <w:r w:rsidRPr="009B350E">
        <w:rPr>
          <w:snapToGrid w:val="0"/>
          <w:kern w:val="18"/>
          <w:szCs w:val="18"/>
          <w:lang w:val="en-US"/>
        </w:rPr>
        <w:t>”</w:t>
      </w:r>
      <w:r w:rsidRPr="007B3E88">
        <w:rPr>
          <w:snapToGrid w:val="0"/>
          <w:kern w:val="18"/>
          <w:szCs w:val="18"/>
          <w:lang w:val="en-US"/>
        </w:rPr>
        <w:t xml:space="preserve"> refers to “territories and areas conserved by indigenous peoples and local communities”</w:t>
      </w:r>
      <w:r w:rsidRPr="009B350E">
        <w:rPr>
          <w:snapToGrid w:val="0"/>
          <w:kern w:val="18"/>
          <w:szCs w:val="18"/>
          <w:lang w:val="en-US"/>
        </w:rPr>
        <w:t>.</w:t>
      </w:r>
    </w:p>
  </w:footnote>
  <w:footnote w:id="26">
    <w:p w14:paraId="12B179A6" w14:textId="64768CD7" w:rsidR="000E42FD" w:rsidRPr="007B3E88" w:rsidRDefault="000E42FD"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eastAsia="ja-JP" w:bidi="th-TH"/>
        </w:rPr>
      </w:pPr>
      <w:r w:rsidRPr="007B3E88">
        <w:rPr>
          <w:rStyle w:val="FootnoteReference"/>
          <w:rFonts w:eastAsia="Batang" w:cs="Times New Roman"/>
          <w:bCs w:val="0"/>
          <w:iCs/>
          <w:snapToGrid w:val="0"/>
          <w:kern w:val="18"/>
          <w:szCs w:val="18"/>
          <w:u w:val="none"/>
          <w:vertAlign w:val="superscript"/>
          <w:lang w:eastAsia="ja-JP" w:bidi="th-TH"/>
        </w:rPr>
        <w:footnoteRef/>
      </w:r>
      <w:r w:rsidRPr="007B3E88">
        <w:rPr>
          <w:rFonts w:cs="Times New Roman"/>
          <w:snapToGrid w:val="0"/>
          <w:kern w:val="18"/>
          <w:sz w:val="18"/>
          <w:szCs w:val="18"/>
        </w:rPr>
        <w:t xml:space="preserve"> </w:t>
      </w:r>
      <w:r w:rsidRPr="007B3E88">
        <w:rPr>
          <w:rFonts w:cs="Times New Roman"/>
          <w:snapToGrid w:val="0"/>
          <w:kern w:val="18"/>
          <w:sz w:val="18"/>
          <w:szCs w:val="18"/>
          <w:lang w:eastAsia="ja-JP" w:bidi="th-TH"/>
        </w:rPr>
        <w:t xml:space="preserve">This is because governance type is about which actor or actors are in the lead for initiating </w:t>
      </w:r>
      <w:r w:rsidRPr="009B350E">
        <w:rPr>
          <w:rFonts w:cs="Times New Roman"/>
          <w:snapToGrid w:val="0"/>
          <w:kern w:val="18"/>
          <w:sz w:val="18"/>
          <w:szCs w:val="18"/>
          <w:lang w:eastAsia="ja-JP" w:bidi="th-TH"/>
        </w:rPr>
        <w:t xml:space="preserve">the </w:t>
      </w:r>
      <w:r w:rsidRPr="007B3E88">
        <w:rPr>
          <w:rFonts w:cs="Times New Roman"/>
          <w:snapToGrid w:val="0"/>
          <w:kern w:val="18"/>
          <w:sz w:val="18"/>
          <w:szCs w:val="18"/>
          <w:lang w:eastAsia="ja-JP" w:bidi="th-TH"/>
        </w:rPr>
        <w:t>establishment of, and holding of authority and responsibility for</w:t>
      </w:r>
      <w:r w:rsidRPr="009B350E">
        <w:rPr>
          <w:rFonts w:cs="Times New Roman"/>
          <w:snapToGrid w:val="0"/>
          <w:kern w:val="18"/>
          <w:sz w:val="18"/>
          <w:szCs w:val="18"/>
          <w:lang w:eastAsia="ja-JP" w:bidi="th-TH"/>
        </w:rPr>
        <w:t>,</w:t>
      </w:r>
      <w:r w:rsidRPr="007B3E88">
        <w:rPr>
          <w:rFonts w:cs="Times New Roman"/>
          <w:snapToGrid w:val="0"/>
          <w:kern w:val="18"/>
          <w:sz w:val="18"/>
          <w:szCs w:val="18"/>
          <w:lang w:eastAsia="ja-JP" w:bidi="th-TH"/>
        </w:rPr>
        <w:t xml:space="preserve"> protected or conserved areas and varies with different contexts of tenure and stakeholder aspirations.</w:t>
      </w:r>
    </w:p>
  </w:footnote>
  <w:footnote w:id="27">
    <w:p w14:paraId="3D948050" w14:textId="44BB58EE"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Useful guidance includes: </w:t>
      </w:r>
      <w:hyperlink r:id="rId9" w:history="1">
        <w:r w:rsidRPr="007B3E88">
          <w:rPr>
            <w:rStyle w:val="Hyperlink"/>
            <w:snapToGrid w:val="0"/>
            <w:kern w:val="18"/>
            <w:szCs w:val="18"/>
            <w:lang w:val="en-US"/>
          </w:rPr>
          <w:t>CBD Technical Series No. 64</w:t>
        </w:r>
      </w:hyperlink>
      <w:r w:rsidRPr="007B3E88">
        <w:rPr>
          <w:snapToGrid w:val="0"/>
          <w:kern w:val="18"/>
          <w:szCs w:val="18"/>
          <w:lang w:val="en-US"/>
        </w:rPr>
        <w:t xml:space="preserve">, the </w:t>
      </w:r>
      <w:hyperlink r:id="rId10" w:history="1">
        <w:r w:rsidRPr="007B3E88">
          <w:rPr>
            <w:rStyle w:val="Hyperlink"/>
            <w:snapToGrid w:val="0"/>
            <w:kern w:val="18"/>
            <w:szCs w:val="18"/>
            <w:lang w:val="en-US"/>
          </w:rPr>
          <w:t>U</w:t>
        </w:r>
        <w:r w:rsidRPr="009B350E">
          <w:rPr>
            <w:rStyle w:val="Hyperlink"/>
            <w:snapToGrid w:val="0"/>
            <w:kern w:val="18"/>
            <w:szCs w:val="18"/>
            <w:lang w:val="en-US"/>
          </w:rPr>
          <w:t xml:space="preserve">nited </w:t>
        </w:r>
        <w:r w:rsidRPr="007B3E88">
          <w:rPr>
            <w:rStyle w:val="Hyperlink"/>
            <w:snapToGrid w:val="0"/>
            <w:kern w:val="18"/>
            <w:szCs w:val="18"/>
            <w:lang w:val="en-US"/>
          </w:rPr>
          <w:t>N</w:t>
        </w:r>
        <w:r w:rsidRPr="009B350E">
          <w:rPr>
            <w:rStyle w:val="Hyperlink"/>
            <w:snapToGrid w:val="0"/>
            <w:kern w:val="18"/>
            <w:szCs w:val="18"/>
            <w:lang w:val="en-US"/>
          </w:rPr>
          <w:t>ations</w:t>
        </w:r>
        <w:r w:rsidRPr="007B3E88">
          <w:rPr>
            <w:rStyle w:val="Hyperlink"/>
            <w:snapToGrid w:val="0"/>
            <w:kern w:val="18"/>
            <w:szCs w:val="18"/>
            <w:lang w:val="en-US"/>
          </w:rPr>
          <w:t xml:space="preserve"> Declaration on the Rights of Indigenous Peoples</w:t>
        </w:r>
      </w:hyperlink>
      <w:r w:rsidRPr="007B3E88">
        <w:rPr>
          <w:snapToGrid w:val="0"/>
          <w:kern w:val="18"/>
          <w:szCs w:val="18"/>
          <w:lang w:val="en-US"/>
        </w:rPr>
        <w:t>; Sue Stolton, Kent H. Redford and Nigel Dudley (2014). </w:t>
      </w:r>
      <w:hyperlink r:id="rId11" w:history="1">
        <w:r w:rsidRPr="007B3E88">
          <w:rPr>
            <w:rStyle w:val="Hyperlink"/>
            <w:i/>
            <w:iCs/>
            <w:snapToGrid w:val="0"/>
            <w:kern w:val="18"/>
            <w:szCs w:val="18"/>
            <w:lang w:val="en-US"/>
          </w:rPr>
          <w:t>The Futures of Privately Protected Areas</w:t>
        </w:r>
        <w:r w:rsidRPr="007B3E88">
          <w:rPr>
            <w:rStyle w:val="Hyperlink"/>
            <w:snapToGrid w:val="0"/>
            <w:kern w:val="18"/>
            <w:szCs w:val="18"/>
            <w:lang w:val="en-US"/>
          </w:rPr>
          <w:t>.</w:t>
        </w:r>
      </w:hyperlink>
      <w:r w:rsidRPr="007B3E88">
        <w:rPr>
          <w:snapToGrid w:val="0"/>
          <w:kern w:val="18"/>
          <w:szCs w:val="18"/>
          <w:lang w:val="en-US"/>
        </w:rPr>
        <w:t xml:space="preserve"> Gland, Switzerland</w:t>
      </w:r>
      <w:r w:rsidRPr="009B350E">
        <w:rPr>
          <w:snapToGrid w:val="0"/>
          <w:kern w:val="18"/>
          <w:szCs w:val="18"/>
          <w:lang w:val="en-US"/>
        </w:rPr>
        <w:t>,</w:t>
      </w:r>
      <w:r w:rsidRPr="007B3E88">
        <w:rPr>
          <w:snapToGrid w:val="0"/>
          <w:kern w:val="18"/>
          <w:szCs w:val="18"/>
          <w:lang w:val="en-US"/>
        </w:rPr>
        <w:t xml:space="preserve"> IUCN</w:t>
      </w:r>
      <w:r w:rsidRPr="009B350E">
        <w:rPr>
          <w:snapToGrid w:val="0"/>
          <w:kern w:val="18"/>
          <w:szCs w:val="18"/>
          <w:lang w:val="en-US"/>
        </w:rPr>
        <w:t>.</w:t>
      </w:r>
    </w:p>
  </w:footnote>
  <w:footnote w:id="28">
    <w:p w14:paraId="050B60F2" w14:textId="08D62870"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rPr>
        <w:t xml:space="preserve"> Actors </w:t>
      </w:r>
      <w:r w:rsidRPr="007B3E88">
        <w:rPr>
          <w:snapToGrid w:val="0"/>
          <w:kern w:val="18"/>
          <w:szCs w:val="18"/>
          <w:lang w:eastAsia="ja-JP" w:bidi="th-TH"/>
        </w:rPr>
        <w:t>such as subnational governments, local governments, landowners, small farmers, non-governmental organi</w:t>
      </w:r>
      <w:r w:rsidRPr="009B350E">
        <w:rPr>
          <w:snapToGrid w:val="0"/>
          <w:kern w:val="18"/>
          <w:szCs w:val="18"/>
          <w:lang w:eastAsia="ja-JP" w:bidi="th-TH"/>
        </w:rPr>
        <w:t>z</w:t>
      </w:r>
      <w:r w:rsidRPr="007B3E88">
        <w:rPr>
          <w:snapToGrid w:val="0"/>
          <w:kern w:val="18"/>
          <w:szCs w:val="18"/>
          <w:lang w:eastAsia="ja-JP" w:bidi="th-TH"/>
        </w:rPr>
        <w:t>ations and other private entities, and indigenous peoples and local communities.</w:t>
      </w:r>
    </w:p>
  </w:footnote>
  <w:footnote w:id="29">
    <w:p w14:paraId="2092DC43" w14:textId="1ADA0FA1" w:rsidR="000E42FD" w:rsidRPr="007B3E88" w:rsidRDefault="000E42FD"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rPr>
      </w:pPr>
      <w:r w:rsidRPr="007B3E88">
        <w:rPr>
          <w:rStyle w:val="FootnoteReference"/>
          <w:rFonts w:eastAsia="Batang" w:cs="Times New Roman"/>
          <w:bCs w:val="0"/>
          <w:iCs/>
          <w:snapToGrid w:val="0"/>
          <w:kern w:val="18"/>
          <w:szCs w:val="18"/>
          <w:u w:val="none"/>
          <w:vertAlign w:val="superscript"/>
          <w:lang w:eastAsia="ja-JP" w:bidi="th-TH"/>
        </w:rPr>
        <w:footnoteRef/>
      </w:r>
      <w:r w:rsidRPr="007B3E88">
        <w:rPr>
          <w:rFonts w:cs="Times New Roman"/>
          <w:snapToGrid w:val="0"/>
          <w:kern w:val="18"/>
          <w:sz w:val="18"/>
          <w:szCs w:val="18"/>
          <w:lang w:val="en-US"/>
        </w:rPr>
        <w:t xml:space="preserve"> Useful guidance includes: </w:t>
      </w:r>
      <w:hyperlink r:id="rId12" w:history="1">
        <w:r w:rsidRPr="007B3E88">
          <w:rPr>
            <w:rStyle w:val="Hyperlink"/>
            <w:rFonts w:cs="Times New Roman"/>
            <w:snapToGrid w:val="0"/>
            <w:kern w:val="18"/>
            <w:sz w:val="18"/>
            <w:szCs w:val="18"/>
            <w:lang w:val="en-US"/>
          </w:rPr>
          <w:t>IUCN Best Practice Guidelines No. 20</w:t>
        </w:r>
      </w:hyperlink>
      <w:r w:rsidRPr="007B3E88">
        <w:rPr>
          <w:rFonts w:cs="Times New Roman"/>
          <w:snapToGrid w:val="0"/>
          <w:kern w:val="18"/>
          <w:sz w:val="18"/>
          <w:szCs w:val="18"/>
          <w:lang w:val="en-US"/>
        </w:rPr>
        <w:t>: Governance of Protected Areas: from Understanding to Action (2013).</w:t>
      </w:r>
    </w:p>
  </w:footnote>
  <w:footnote w:id="30">
    <w:p w14:paraId="3D18C098" w14:textId="35801D1F" w:rsidR="000E42FD" w:rsidRPr="007B3E88" w:rsidRDefault="000E42FD"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eastAsia="ja-JP" w:bidi="th-TH"/>
        </w:rPr>
      </w:pPr>
      <w:r w:rsidRPr="007B3E88">
        <w:rPr>
          <w:rStyle w:val="FootnoteReference"/>
          <w:rFonts w:eastAsia="Batang" w:cs="Times New Roman"/>
          <w:bCs w:val="0"/>
          <w:iCs/>
          <w:snapToGrid w:val="0"/>
          <w:kern w:val="18"/>
          <w:szCs w:val="18"/>
          <w:u w:val="none"/>
          <w:vertAlign w:val="superscript"/>
          <w:lang w:eastAsia="ja-JP" w:bidi="th-TH"/>
        </w:rPr>
        <w:footnoteRef/>
      </w:r>
      <w:r w:rsidRPr="007B3E88">
        <w:rPr>
          <w:rFonts w:cs="Times New Roman"/>
          <w:snapToGrid w:val="0"/>
          <w:kern w:val="18"/>
          <w:sz w:val="18"/>
          <w:szCs w:val="18"/>
        </w:rPr>
        <w:t xml:space="preserve"> </w:t>
      </w:r>
      <w:r w:rsidRPr="007B3E88">
        <w:rPr>
          <w:rFonts w:cs="Times New Roman"/>
          <w:snapToGrid w:val="0"/>
          <w:kern w:val="18"/>
          <w:sz w:val="18"/>
          <w:szCs w:val="18"/>
          <w:lang w:eastAsia="ja-JP" w:bidi="th-TH"/>
        </w:rPr>
        <w:t>Such an assessment also helps identify areas of particular importance for biodiversity, their conservation and protection status, and how and by whom they are governed, indicating opportunities for potential contributions to existing networks. Considerations of economic, social and cultural costs and benefits should be taken into account.</w:t>
      </w:r>
    </w:p>
  </w:footnote>
  <w:footnote w:id="31">
    <w:p w14:paraId="79A16148" w14:textId="1FB867FB"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w:t>
      </w:r>
      <w:r w:rsidRPr="007B3E88">
        <w:rPr>
          <w:snapToGrid w:val="0"/>
          <w:kern w:val="18"/>
          <w:szCs w:val="18"/>
          <w:lang w:eastAsia="ja-JP" w:bidi="th-TH"/>
        </w:rPr>
        <w:t>A substantial body of guidance as well as experiences from a number of Parties are available for interested Governments and other stakeholders</w:t>
      </w:r>
      <w:r w:rsidRPr="009B350E">
        <w:rPr>
          <w:snapToGrid w:val="0"/>
          <w:kern w:val="18"/>
          <w:szCs w:val="18"/>
          <w:lang w:eastAsia="ja-JP" w:bidi="th-TH"/>
        </w:rPr>
        <w:t>.</w:t>
      </w:r>
      <w:r w:rsidRPr="007B3E88">
        <w:rPr>
          <w:snapToGrid w:val="0"/>
          <w:kern w:val="18"/>
          <w:szCs w:val="18"/>
          <w:lang w:eastAsia="ja-JP" w:bidi="th-TH"/>
        </w:rPr>
        <w:t xml:space="preserve"> </w:t>
      </w:r>
      <w:r w:rsidRPr="007B3E88">
        <w:rPr>
          <w:snapToGrid w:val="0"/>
          <w:kern w:val="18"/>
          <w:szCs w:val="18"/>
          <w:lang w:val="en-US"/>
        </w:rPr>
        <w:t xml:space="preserve">Useful guidance includes: </w:t>
      </w:r>
      <w:hyperlink r:id="rId13" w:history="1">
        <w:r w:rsidRPr="007B3E88">
          <w:rPr>
            <w:rStyle w:val="Hyperlink"/>
            <w:snapToGrid w:val="0"/>
            <w:kern w:val="18"/>
            <w:szCs w:val="18"/>
            <w:lang w:val="en-US"/>
          </w:rPr>
          <w:t>CBD Technical Series No.64</w:t>
        </w:r>
      </w:hyperlink>
      <w:r w:rsidRPr="007B3E88">
        <w:rPr>
          <w:snapToGrid w:val="0"/>
          <w:kern w:val="18"/>
          <w:szCs w:val="18"/>
          <w:lang w:val="en-US"/>
        </w:rPr>
        <w:t>, Sue Stolton, Kent H. Redford and Nigel Dudley (2014). </w:t>
      </w:r>
      <w:hyperlink r:id="rId14" w:history="1">
        <w:r w:rsidRPr="007B3E88">
          <w:rPr>
            <w:rStyle w:val="Hyperlink"/>
            <w:i/>
            <w:iCs/>
            <w:snapToGrid w:val="0"/>
            <w:kern w:val="18"/>
            <w:szCs w:val="18"/>
            <w:lang w:val="en-US"/>
          </w:rPr>
          <w:t>The Futures of Privately Protected Areas</w:t>
        </w:r>
        <w:r w:rsidRPr="007B3E88">
          <w:rPr>
            <w:rStyle w:val="Hyperlink"/>
            <w:snapToGrid w:val="0"/>
            <w:kern w:val="18"/>
            <w:szCs w:val="18"/>
            <w:lang w:val="en-US"/>
          </w:rPr>
          <w:t>.</w:t>
        </w:r>
      </w:hyperlink>
      <w:r w:rsidRPr="007B3E88">
        <w:rPr>
          <w:snapToGrid w:val="0"/>
          <w:kern w:val="18"/>
          <w:szCs w:val="18"/>
          <w:lang w:val="en-US"/>
        </w:rPr>
        <w:t xml:space="preserve"> Gland, Switzerland</w:t>
      </w:r>
      <w:r w:rsidRPr="009B350E">
        <w:rPr>
          <w:snapToGrid w:val="0"/>
          <w:kern w:val="18"/>
          <w:szCs w:val="18"/>
          <w:lang w:val="en-US"/>
        </w:rPr>
        <w:t>,</w:t>
      </w:r>
      <w:r w:rsidRPr="007B3E88">
        <w:rPr>
          <w:snapToGrid w:val="0"/>
          <w:kern w:val="18"/>
          <w:szCs w:val="18"/>
          <w:lang w:val="en-US"/>
        </w:rPr>
        <w:t xml:space="preserve"> IUCN; and information document CBD/SBSTTA/22/INF/8.</w:t>
      </w:r>
    </w:p>
  </w:footnote>
  <w:footnote w:id="32">
    <w:p w14:paraId="3F1DEDBC"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w:t>
      </w:r>
      <w:hyperlink r:id="rId15" w:history="1">
        <w:r w:rsidRPr="007B3E88">
          <w:rPr>
            <w:rStyle w:val="Hyperlink"/>
            <w:snapToGrid w:val="0"/>
            <w:kern w:val="18"/>
            <w:szCs w:val="18"/>
            <w:lang w:val="en-US"/>
          </w:rPr>
          <w:t>IUCN Best Practice Guidelines No. 20</w:t>
        </w:r>
      </w:hyperlink>
    </w:p>
  </w:footnote>
  <w:footnote w:id="33">
    <w:p w14:paraId="1C8DBFAD" w14:textId="4D81291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In the context of protected areas, “rights</w:t>
      </w:r>
      <w:r w:rsidRPr="009B350E">
        <w:rPr>
          <w:snapToGrid w:val="0"/>
          <w:kern w:val="18"/>
          <w:szCs w:val="18"/>
        </w:rPr>
        <w:t xml:space="preserve"> </w:t>
      </w:r>
      <w:r w:rsidRPr="007B3E88">
        <w:rPr>
          <w:snapToGrid w:val="0"/>
          <w:kern w:val="18"/>
          <w:szCs w:val="18"/>
        </w:rPr>
        <w:t>holders” are actors with legal or customary rights to natural resources and land. “Stakeholders” are actors with interest and concerns over natural resources and land.</w:t>
      </w:r>
    </w:p>
  </w:footnote>
  <w:footnote w:id="34">
    <w:p w14:paraId="7A361265" w14:textId="0079D41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Schreckenberg, K., et.al. (2016): </w:t>
      </w:r>
      <w:hyperlink r:id="rId16" w:history="1">
        <w:r w:rsidRPr="007B3E88">
          <w:rPr>
            <w:rStyle w:val="Hyperlink"/>
            <w:snapToGrid w:val="0"/>
            <w:kern w:val="18"/>
            <w:szCs w:val="18"/>
            <w:lang w:val="en-US"/>
          </w:rPr>
          <w:t>Unpacking Equity for Protected Area Conservation</w:t>
        </w:r>
      </w:hyperlink>
      <w:r w:rsidRPr="007B3E88">
        <w:rPr>
          <w:snapToGrid w:val="0"/>
          <w:kern w:val="18"/>
          <w:szCs w:val="18"/>
          <w:lang w:val="en-US"/>
        </w:rPr>
        <w:t xml:space="preserve">, </w:t>
      </w:r>
      <w:r w:rsidRPr="007B3E88">
        <w:rPr>
          <w:i/>
          <w:iCs/>
          <w:snapToGrid w:val="0"/>
          <w:kern w:val="18"/>
          <w:szCs w:val="18"/>
          <w:lang w:val="en-US"/>
        </w:rPr>
        <w:t>PARKS Journal</w:t>
      </w:r>
      <w:r w:rsidRPr="007B3E88">
        <w:rPr>
          <w:snapToGrid w:val="0"/>
          <w:kern w:val="18"/>
          <w:szCs w:val="18"/>
          <w:lang w:val="en-US"/>
        </w:rPr>
        <w:t>.</w:t>
      </w:r>
    </w:p>
  </w:footnote>
  <w:footnote w:id="35">
    <w:p w14:paraId="076CA960" w14:textId="1261912E"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rPr>
        <w:t xml:space="preserve"> </w:t>
      </w:r>
      <w:r w:rsidR="005D3E5C">
        <w:rPr>
          <w:snapToGrid w:val="0"/>
          <w:kern w:val="18"/>
          <w:szCs w:val="18"/>
        </w:rPr>
        <w:t>“</w:t>
      </w:r>
      <w:r w:rsidRPr="007B3E88">
        <w:rPr>
          <w:snapToGrid w:val="0"/>
          <w:kern w:val="18"/>
          <w:szCs w:val="18"/>
        </w:rPr>
        <w:t xml:space="preserve">Protected </w:t>
      </w:r>
      <w:r w:rsidRPr="009B350E">
        <w:rPr>
          <w:snapToGrid w:val="0"/>
          <w:kern w:val="18"/>
          <w:szCs w:val="18"/>
        </w:rPr>
        <w:t>a</w:t>
      </w:r>
      <w:r w:rsidRPr="007B3E88">
        <w:rPr>
          <w:snapToGrid w:val="0"/>
          <w:kern w:val="18"/>
          <w:szCs w:val="18"/>
        </w:rPr>
        <w:t>reas</w:t>
      </w:r>
      <w:r w:rsidR="005D3E5C">
        <w:rPr>
          <w:snapToGrid w:val="0"/>
          <w:kern w:val="18"/>
          <w:szCs w:val="18"/>
        </w:rPr>
        <w:t>:</w:t>
      </w:r>
      <w:r w:rsidRPr="007B3E88">
        <w:rPr>
          <w:snapToGrid w:val="0"/>
          <w:kern w:val="18"/>
          <w:szCs w:val="18"/>
        </w:rPr>
        <w:t xml:space="preserve"> facilitating the achievement of Aichi Biodiversity Target 11</w:t>
      </w:r>
      <w:r w:rsidR="005D3E5C">
        <w:rPr>
          <w:snapToGrid w:val="0"/>
          <w:kern w:val="18"/>
          <w:szCs w:val="18"/>
        </w:rPr>
        <w:t>”</w:t>
      </w:r>
      <w:r w:rsidRPr="007B3E88">
        <w:rPr>
          <w:snapToGrid w:val="0"/>
          <w:kern w:val="18"/>
          <w:szCs w:val="18"/>
        </w:rPr>
        <w:t xml:space="preserve"> (</w:t>
      </w:r>
      <w:hyperlink r:id="rId17" w:history="1">
        <w:r w:rsidRPr="007B3E88">
          <w:rPr>
            <w:rStyle w:val="Hyperlink"/>
            <w:snapToGrid w:val="0"/>
            <w:kern w:val="18"/>
            <w:szCs w:val="18"/>
          </w:rPr>
          <w:t>UNEP/CBD/COP/13/INF/17</w:t>
        </w:r>
      </w:hyperlink>
      <w:r w:rsidRPr="007B3E88">
        <w:rPr>
          <w:snapToGrid w:val="0"/>
          <w:kern w:val="18"/>
          <w:szCs w:val="18"/>
        </w:rPr>
        <w:t>).</w:t>
      </w:r>
    </w:p>
  </w:footnote>
  <w:footnote w:id="36">
    <w:p w14:paraId="1EBAECD1" w14:textId="5A4B96AC"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Effective participation of other stakeholders applies to public entities, governing the protected area, whereas coordination with other stakeholders applies to non-state actors, governing the protected area.</w:t>
      </w:r>
    </w:p>
  </w:footnote>
  <w:footnote w:id="37">
    <w:p w14:paraId="041BCAB2" w14:textId="20E0279E"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See also decision </w:t>
      </w:r>
      <w:hyperlink r:id="rId18" w:history="1">
        <w:r w:rsidRPr="007B3E88">
          <w:rPr>
            <w:rStyle w:val="Hyperlink"/>
            <w:snapToGrid w:val="0"/>
            <w:kern w:val="18"/>
            <w:szCs w:val="18"/>
            <w:lang w:val="en-US"/>
          </w:rPr>
          <w:t>VII/28</w:t>
        </w:r>
      </w:hyperlink>
      <w:r w:rsidRPr="007B3E88">
        <w:rPr>
          <w:snapToGrid w:val="0"/>
          <w:kern w:val="18"/>
          <w:szCs w:val="18"/>
          <w:lang w:val="en-US"/>
        </w:rPr>
        <w:t>: “notes that the establishment, management and monitoring of protected areas should take place with the full and effective participation of, and full respect for the rights of, indigenous and local communities consistent with national law and applicable international obligations”.</w:t>
      </w:r>
    </w:p>
  </w:footnote>
  <w:footnote w:id="38">
    <w:p w14:paraId="393BCE0E" w14:textId="525C97C9"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Useful guidance includes: </w:t>
      </w:r>
      <w:hyperlink r:id="rId19" w:history="1">
        <w:r w:rsidRPr="007B3E88">
          <w:rPr>
            <w:rStyle w:val="Hyperlink"/>
            <w:snapToGrid w:val="0"/>
            <w:kern w:val="18"/>
            <w:szCs w:val="18"/>
            <w:lang w:val="en-US"/>
          </w:rPr>
          <w:t>FAO Voluntary Guidelines on the Responsible Governance of Tenure</w:t>
        </w:r>
      </w:hyperlink>
      <w:r w:rsidRPr="007B3E88">
        <w:rPr>
          <w:snapToGrid w:val="0"/>
          <w:kern w:val="18"/>
          <w:szCs w:val="18"/>
          <w:lang w:val="en-US"/>
        </w:rPr>
        <w:t xml:space="preserve"> (2012); </w:t>
      </w:r>
      <w:hyperlink r:id="rId20" w:history="1">
        <w:r w:rsidRPr="007B3E88">
          <w:rPr>
            <w:rStyle w:val="Hyperlink"/>
            <w:snapToGrid w:val="0"/>
            <w:kern w:val="18"/>
            <w:szCs w:val="18"/>
            <w:lang w:val="en-US"/>
          </w:rPr>
          <w:t>CBD Technical Series No.</w:t>
        </w:r>
        <w:r w:rsidRPr="009B350E">
          <w:rPr>
            <w:rStyle w:val="Hyperlink"/>
            <w:snapToGrid w:val="0"/>
            <w:kern w:val="18"/>
            <w:szCs w:val="18"/>
            <w:lang w:val="en-US"/>
          </w:rPr>
          <w:t> </w:t>
        </w:r>
        <w:r w:rsidRPr="007B3E88">
          <w:rPr>
            <w:rStyle w:val="Hyperlink"/>
            <w:snapToGrid w:val="0"/>
            <w:kern w:val="18"/>
            <w:szCs w:val="18"/>
            <w:lang w:val="en-US"/>
          </w:rPr>
          <w:t>64</w:t>
        </w:r>
      </w:hyperlink>
      <w:r w:rsidRPr="009B350E">
        <w:rPr>
          <w:rStyle w:val="Hyperlink"/>
          <w:snapToGrid w:val="0"/>
          <w:kern w:val="18"/>
          <w:szCs w:val="18"/>
          <w:lang w:val="en-US"/>
        </w:rPr>
        <w:t>.</w:t>
      </w:r>
    </w:p>
  </w:footnote>
  <w:footnote w:id="39">
    <w:p w14:paraId="465CBC30" w14:textId="1548C738"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Decision </w:t>
      </w:r>
      <w:hyperlink r:id="rId21" w:history="1">
        <w:r w:rsidRPr="007B3E88">
          <w:rPr>
            <w:rStyle w:val="Hyperlink"/>
            <w:snapToGrid w:val="0"/>
            <w:kern w:val="18"/>
          </w:rPr>
          <w:t>XII/12</w:t>
        </w:r>
      </w:hyperlink>
      <w:r w:rsidRPr="007B3E88">
        <w:rPr>
          <w:snapToGrid w:val="0"/>
          <w:kern w:val="18"/>
          <w:szCs w:val="18"/>
          <w:lang w:val="en-US"/>
        </w:rPr>
        <w:t xml:space="preserve">, </w:t>
      </w:r>
      <w:hyperlink r:id="rId22" w:history="1">
        <w:r w:rsidRPr="007B3E88">
          <w:rPr>
            <w:rStyle w:val="Hyperlink"/>
            <w:snapToGrid w:val="0"/>
            <w:kern w:val="18"/>
            <w:szCs w:val="18"/>
            <w:lang w:val="en-US"/>
          </w:rPr>
          <w:t>annex</w:t>
        </w:r>
      </w:hyperlink>
      <w:r w:rsidRPr="007B3E88">
        <w:rPr>
          <w:snapToGrid w:val="0"/>
          <w:kern w:val="18"/>
          <w:szCs w:val="18"/>
          <w:lang w:val="en-US"/>
        </w:rPr>
        <w:t xml:space="preserve">, </w:t>
      </w:r>
      <w:r w:rsidRPr="007B3E88">
        <w:rPr>
          <w:snapToGrid w:val="0"/>
          <w:kern w:val="18"/>
          <w:szCs w:val="18"/>
          <w:lang w:val="en-US" w:eastAsia="ja-JP" w:bidi="th-TH"/>
        </w:rPr>
        <w:t>particularly task III related to protected areas.</w:t>
      </w:r>
    </w:p>
  </w:footnote>
  <w:footnote w:id="40">
    <w:p w14:paraId="6EAC53C1" w14:textId="240F643F"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Useful guidance includes: </w:t>
      </w:r>
      <w:r w:rsidRPr="007B3E88">
        <w:rPr>
          <w:snapToGrid w:val="0"/>
          <w:kern w:val="18"/>
          <w:szCs w:val="18"/>
          <w:lang w:val="en"/>
        </w:rPr>
        <w:t>United Nations Economic Commission for Europe</w:t>
      </w:r>
      <w:r w:rsidRPr="009B350E">
        <w:rPr>
          <w:snapToGrid w:val="0"/>
          <w:kern w:val="18"/>
          <w:szCs w:val="18"/>
          <w:lang w:val="en"/>
        </w:rPr>
        <w:t>,</w:t>
      </w:r>
      <w:r w:rsidRPr="007B3E88">
        <w:rPr>
          <w:snapToGrid w:val="0"/>
          <w:kern w:val="18"/>
          <w:szCs w:val="18"/>
          <w:lang w:val="en"/>
        </w:rPr>
        <w:t xml:space="preserve"> </w:t>
      </w:r>
      <w:hyperlink r:id="rId23" w:tgtFrame="_blank" w:history="1">
        <w:r w:rsidRPr="007B3E88">
          <w:rPr>
            <w:rStyle w:val="Hyperlink"/>
            <w:snapToGrid w:val="0"/>
            <w:kern w:val="18"/>
            <w:szCs w:val="18"/>
            <w:lang w:val="en"/>
          </w:rPr>
          <w:t>Convention on Access to Information, Public Participation in Decision-Making and Access to Justice in Environmental Matters</w:t>
        </w:r>
      </w:hyperlink>
      <w:r w:rsidRPr="007B3E88">
        <w:rPr>
          <w:snapToGrid w:val="0"/>
          <w:kern w:val="18"/>
          <w:szCs w:val="18"/>
          <w:lang w:val="en"/>
        </w:rPr>
        <w:t xml:space="preserve"> (“Aarhus Convention”)</w:t>
      </w:r>
      <w:r w:rsidRPr="009B350E">
        <w:rPr>
          <w:snapToGrid w:val="0"/>
          <w:kern w:val="18"/>
          <w:szCs w:val="18"/>
          <w:lang w:val="en"/>
        </w:rPr>
        <w:t>.</w:t>
      </w:r>
    </w:p>
  </w:footnote>
  <w:footnote w:id="41">
    <w:p w14:paraId="6415F68B" w14:textId="2BDBEC2C" w:rsidR="000E42FD" w:rsidRPr="007B3E88" w:rsidRDefault="000E42FD"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en-US"/>
        </w:rPr>
      </w:pPr>
      <w:r w:rsidRPr="007B3E88">
        <w:rPr>
          <w:rStyle w:val="FootnoteReference"/>
          <w:rFonts w:eastAsia="Batang" w:cs="Times New Roman"/>
          <w:bCs w:val="0"/>
          <w:iCs/>
          <w:snapToGrid w:val="0"/>
          <w:kern w:val="18"/>
          <w:szCs w:val="18"/>
          <w:u w:val="none"/>
          <w:vertAlign w:val="superscript"/>
          <w:lang w:eastAsia="ja-JP" w:bidi="th-TH"/>
        </w:rPr>
        <w:footnoteRef/>
      </w:r>
      <w:r w:rsidRPr="007B3E88">
        <w:rPr>
          <w:rFonts w:cs="Times New Roman"/>
          <w:snapToGrid w:val="0"/>
          <w:kern w:val="18"/>
          <w:sz w:val="18"/>
          <w:szCs w:val="18"/>
        </w:rPr>
        <w:t xml:space="preserve"> Decision </w:t>
      </w:r>
      <w:hyperlink r:id="rId24" w:history="1">
        <w:r w:rsidRPr="007B3E88">
          <w:rPr>
            <w:rStyle w:val="Hyperlink"/>
            <w:rFonts w:cs="Times New Roman"/>
            <w:snapToGrid w:val="0"/>
            <w:kern w:val="18"/>
            <w:sz w:val="18"/>
            <w:szCs w:val="18"/>
          </w:rPr>
          <w:t>VII/28</w:t>
        </w:r>
      </w:hyperlink>
      <w:r w:rsidRPr="007B3E88">
        <w:rPr>
          <w:rFonts w:cs="Times New Roman"/>
          <w:snapToGrid w:val="0"/>
          <w:kern w:val="18"/>
          <w:sz w:val="18"/>
          <w:szCs w:val="18"/>
        </w:rPr>
        <w:t xml:space="preserve">, Suggested Activity 2.1.1; </w:t>
      </w:r>
      <w:r w:rsidRPr="007B3E88">
        <w:rPr>
          <w:rFonts w:cs="Times New Roman"/>
          <w:snapToGrid w:val="0"/>
          <w:kern w:val="18"/>
          <w:sz w:val="18"/>
          <w:szCs w:val="18"/>
          <w:lang w:val="en-US"/>
        </w:rPr>
        <w:t xml:space="preserve">Decision </w:t>
      </w:r>
      <w:hyperlink r:id="rId25" w:history="1">
        <w:r w:rsidRPr="007B3E88">
          <w:rPr>
            <w:rStyle w:val="Hyperlink"/>
            <w:snapToGrid w:val="0"/>
            <w:kern w:val="18"/>
          </w:rPr>
          <w:t>IX/18</w:t>
        </w:r>
      </w:hyperlink>
      <w:r w:rsidRPr="007B3E88">
        <w:rPr>
          <w:rFonts w:cs="Times New Roman"/>
          <w:snapToGrid w:val="0"/>
          <w:kern w:val="18"/>
          <w:sz w:val="18"/>
          <w:szCs w:val="18"/>
          <w:lang w:val="en-US"/>
        </w:rPr>
        <w:t xml:space="preserve"> A, paragraph 6(e); Decision </w:t>
      </w:r>
      <w:hyperlink r:id="rId26" w:history="1">
        <w:r w:rsidRPr="007B3E88">
          <w:rPr>
            <w:rStyle w:val="Hyperlink"/>
            <w:rFonts w:cs="Times New Roman"/>
            <w:snapToGrid w:val="0"/>
            <w:kern w:val="18"/>
            <w:sz w:val="18"/>
            <w:szCs w:val="18"/>
            <w:lang w:val="en-US"/>
          </w:rPr>
          <w:t>X/31</w:t>
        </w:r>
      </w:hyperlink>
      <w:r w:rsidRPr="007B3E88">
        <w:rPr>
          <w:rFonts w:cs="Times New Roman"/>
          <w:snapToGrid w:val="0"/>
          <w:kern w:val="18"/>
          <w:sz w:val="18"/>
          <w:szCs w:val="18"/>
          <w:lang w:val="en-US"/>
        </w:rPr>
        <w:t>, paras</w:t>
      </w:r>
      <w:r w:rsidRPr="009B350E">
        <w:rPr>
          <w:rFonts w:cs="Times New Roman"/>
          <w:snapToGrid w:val="0"/>
          <w:kern w:val="18"/>
          <w:sz w:val="18"/>
          <w:szCs w:val="18"/>
          <w:lang w:val="en-US"/>
        </w:rPr>
        <w:t>.</w:t>
      </w:r>
      <w:r w:rsidRPr="007B3E88">
        <w:rPr>
          <w:rFonts w:cs="Times New Roman"/>
          <w:snapToGrid w:val="0"/>
          <w:kern w:val="18"/>
          <w:sz w:val="18"/>
          <w:szCs w:val="18"/>
          <w:lang w:val="en-US"/>
        </w:rPr>
        <w:t xml:space="preserve"> 31(a) and 32(d).</w:t>
      </w:r>
    </w:p>
  </w:footnote>
  <w:footnote w:id="42">
    <w:p w14:paraId="39A00DD6"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w:t>
      </w:r>
      <w:r w:rsidRPr="007B3E88">
        <w:rPr>
          <w:rFonts w:eastAsia="MS Mincho"/>
          <w:bCs/>
          <w:snapToGrid w:val="0"/>
          <w:kern w:val="18"/>
          <w:szCs w:val="18"/>
        </w:rPr>
        <w:t>Franks, P et al. (2018) Understanding and assessing equity in protected area conservation: a matter of governance, rights, social impacts and human wellbeing. IIED Issue Paper. IIED, London.</w:t>
      </w:r>
    </w:p>
  </w:footnote>
  <w:footnote w:id="43">
    <w:p w14:paraId="4C3F8E54" w14:textId="68C35729"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kern w:val="18"/>
          <w:szCs w:val="18"/>
          <w:lang w:val="en-US"/>
        </w:rPr>
        <w:t xml:space="preserve"> Decision </w:t>
      </w:r>
      <w:hyperlink r:id="rId27" w:history="1">
        <w:r w:rsidRPr="007B3E88">
          <w:rPr>
            <w:rStyle w:val="Hyperlink"/>
            <w:snapToGrid w:val="0"/>
            <w:kern w:val="18"/>
            <w:szCs w:val="18"/>
            <w:lang w:val="en-US"/>
          </w:rPr>
          <w:t>VII/28</w:t>
        </w:r>
      </w:hyperlink>
      <w:r w:rsidRPr="007B3E88">
        <w:rPr>
          <w:snapToGrid w:val="0"/>
          <w:kern w:val="18"/>
          <w:szCs w:val="18"/>
          <w:lang w:val="en-US"/>
        </w:rPr>
        <w:t xml:space="preserve">, Suggested activity 1.1.7 of Goal 1 of the </w:t>
      </w:r>
      <w:hyperlink r:id="rId28" w:history="1">
        <w:r w:rsidRPr="009B350E">
          <w:rPr>
            <w:rStyle w:val="Hyperlink"/>
            <w:snapToGrid w:val="0"/>
            <w:kern w:val="18"/>
            <w:szCs w:val="18"/>
            <w:lang w:val="en-US"/>
          </w:rPr>
          <w:t>Programme of Work on Protected Areas</w:t>
        </w:r>
      </w:hyperlink>
      <w:r w:rsidRPr="007B3E88">
        <w:rPr>
          <w:snapToGrid w:val="0"/>
          <w:kern w:val="18"/>
          <w:szCs w:val="18"/>
          <w:lang w:val="en-US"/>
        </w:rPr>
        <w:t>.</w:t>
      </w:r>
    </w:p>
  </w:footnote>
  <w:footnote w:id="44">
    <w:p w14:paraId="3D440036" w14:textId="1F30BC35"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rStyle w:val="FootnoteReference"/>
          <w:rFonts w:eastAsia="Batang"/>
          <w:iCs/>
          <w:snapToGrid w:val="0"/>
          <w:kern w:val="18"/>
          <w:szCs w:val="18"/>
          <w:u w:val="none"/>
          <w:vertAlign w:val="superscript"/>
          <w:lang w:eastAsia="ja-JP" w:bidi="th-TH"/>
        </w:rPr>
        <w:t xml:space="preserve"> </w:t>
      </w:r>
      <w:r w:rsidRPr="007B3E88">
        <w:rPr>
          <w:snapToGrid w:val="0"/>
          <w:kern w:val="18"/>
          <w:szCs w:val="18"/>
          <w:lang w:val="en-US"/>
        </w:rPr>
        <w:t xml:space="preserve">Useful guidance includes: </w:t>
      </w:r>
      <w:r w:rsidRPr="007B3E88">
        <w:rPr>
          <w:snapToGrid w:val="0"/>
          <w:kern w:val="18"/>
          <w:szCs w:val="18"/>
          <w:lang w:val="en"/>
        </w:rPr>
        <w:t xml:space="preserve">United Nations Economic Commission for Europe (UNECE) </w:t>
      </w:r>
      <w:hyperlink r:id="rId29" w:tgtFrame="_blank" w:history="1">
        <w:r w:rsidRPr="007B3E88">
          <w:rPr>
            <w:rStyle w:val="Hyperlink"/>
            <w:snapToGrid w:val="0"/>
            <w:kern w:val="18"/>
            <w:szCs w:val="18"/>
            <w:lang w:val="en"/>
          </w:rPr>
          <w:t>Convention on Access to Information, Public Participation in Decision-Making and Access to Justice in Environmental Matters</w:t>
        </w:r>
      </w:hyperlink>
      <w:r w:rsidRPr="007B3E88">
        <w:rPr>
          <w:snapToGrid w:val="0"/>
          <w:kern w:val="18"/>
          <w:szCs w:val="18"/>
          <w:lang w:val="en"/>
        </w:rPr>
        <w:t xml:space="preserve"> (“Aarhus Convention”); </w:t>
      </w:r>
      <w:hyperlink r:id="rId30" w:history="1">
        <w:r w:rsidRPr="007B3E88">
          <w:rPr>
            <w:rStyle w:val="Hyperlink"/>
            <w:snapToGrid w:val="0"/>
            <w:kern w:val="18"/>
            <w:szCs w:val="18"/>
            <w:lang w:val="en-US"/>
          </w:rPr>
          <w:t>FAO Voluntary Guidelines on the Responsible Governance of Tenure</w:t>
        </w:r>
      </w:hyperlink>
      <w:r w:rsidRPr="007B3E88">
        <w:rPr>
          <w:snapToGrid w:val="0"/>
          <w:kern w:val="18"/>
          <w:szCs w:val="18"/>
          <w:lang w:val="en-US"/>
        </w:rPr>
        <w:t xml:space="preserve"> (2012); CBD Plan of Action on Customary Sustainable Use (Decision XII/12, </w:t>
      </w:r>
      <w:hyperlink r:id="rId31" w:history="1">
        <w:r w:rsidRPr="007B3E88">
          <w:rPr>
            <w:rStyle w:val="Hyperlink"/>
            <w:snapToGrid w:val="0"/>
            <w:kern w:val="18"/>
            <w:szCs w:val="18"/>
            <w:lang w:val="en-US"/>
          </w:rPr>
          <w:t>annex</w:t>
        </w:r>
      </w:hyperlink>
      <w:r w:rsidRPr="007B3E88">
        <w:rPr>
          <w:snapToGrid w:val="0"/>
          <w:kern w:val="18"/>
          <w:szCs w:val="18"/>
          <w:lang w:val="en-US"/>
        </w:rPr>
        <w:t xml:space="preserve">); Akwé Kon Guidelines; </w:t>
      </w:r>
      <w:hyperlink r:id="rId32" w:history="1">
        <w:r w:rsidRPr="007B3E88">
          <w:rPr>
            <w:rStyle w:val="Hyperlink"/>
            <w:snapToGrid w:val="0"/>
            <w:kern w:val="18"/>
            <w:szCs w:val="18"/>
            <w:lang w:val="en-US"/>
          </w:rPr>
          <w:t>United Nations Declaration on the Rights of Indigenous Peoples</w:t>
        </w:r>
      </w:hyperlink>
      <w:r w:rsidRPr="007B3E88">
        <w:rPr>
          <w:snapToGrid w:val="0"/>
          <w:kern w:val="18"/>
          <w:szCs w:val="18"/>
          <w:lang w:val="en-US"/>
        </w:rPr>
        <w:t>; FAO Voluntary Guidelines on Small-scale Fisheries.</w:t>
      </w:r>
    </w:p>
  </w:footnote>
  <w:footnote w:id="45">
    <w:p w14:paraId="74C8ED55"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en-CA"/>
        </w:rPr>
      </w:pPr>
      <w:r w:rsidRPr="007B3E88">
        <w:rPr>
          <w:rStyle w:val="FootnoteReference"/>
          <w:rFonts w:eastAsia="Batang"/>
          <w:iCs/>
          <w:snapToGrid w:val="0"/>
          <w:kern w:val="18"/>
          <w:szCs w:val="18"/>
          <w:u w:val="none"/>
          <w:vertAlign w:val="superscript"/>
          <w:lang w:eastAsia="ja-JP" w:bidi="th-TH"/>
        </w:rPr>
        <w:footnoteRef/>
      </w:r>
      <w:r w:rsidRPr="007B3E88">
        <w:rPr>
          <w:snapToGrid w:val="0"/>
          <w:color w:val="000000" w:themeColor="text1"/>
          <w:kern w:val="18"/>
          <w:szCs w:val="18"/>
          <w:lang w:val="en-US"/>
        </w:rPr>
        <w:t xml:space="preserve"> Useful guidance includes: Site-level governance assessment methodology (IIED, forthcoming) - </w:t>
      </w:r>
      <w:r w:rsidRPr="007B3E88">
        <w:rPr>
          <w:snapToGrid w:val="0"/>
          <w:color w:val="000000" w:themeColor="text1"/>
          <w:kern w:val="18"/>
          <w:szCs w:val="18"/>
          <w:lang w:eastAsia="ja-JP" w:bidi="th-TH"/>
        </w:rPr>
        <w:t>Site-level assessments help to understand governance in practice and to identify options for improvement and/or for better tailoring governance type and decision-making arrangements to the local context.</w:t>
      </w:r>
    </w:p>
  </w:footnote>
  <w:footnote w:id="46">
    <w:p w14:paraId="5B45CE4A" w14:textId="77777777" w:rsidR="000E42FD" w:rsidRPr="007B3E88" w:rsidRDefault="000E42FD" w:rsidP="007B3E88">
      <w:pPr>
        <w:keepLines/>
        <w:suppressLineNumbers/>
        <w:suppressAutoHyphens/>
        <w:kinsoku w:val="0"/>
        <w:overflowPunct w:val="0"/>
        <w:autoSpaceDE w:val="0"/>
        <w:autoSpaceDN w:val="0"/>
        <w:adjustRightInd w:val="0"/>
        <w:snapToGrid w:val="0"/>
        <w:spacing w:after="60"/>
        <w:jc w:val="left"/>
        <w:outlineLvl w:val="1"/>
        <w:rPr>
          <w:rStyle w:val="FootnoteReference"/>
          <w:snapToGrid w:val="0"/>
          <w:color w:val="000000" w:themeColor="text1"/>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rStyle w:val="FootnoteReference"/>
          <w:rFonts w:eastAsia="Batang"/>
          <w:iCs/>
          <w:snapToGrid w:val="0"/>
          <w:kern w:val="18"/>
          <w:szCs w:val="18"/>
          <w:u w:val="none"/>
          <w:vertAlign w:val="superscript"/>
          <w:lang w:eastAsia="ja-JP" w:bidi="th-TH"/>
        </w:rPr>
        <w:t xml:space="preserve"> </w:t>
      </w:r>
      <w:r w:rsidRPr="007B3E88">
        <w:rPr>
          <w:snapToGrid w:val="0"/>
          <w:color w:val="000000" w:themeColor="text1"/>
          <w:kern w:val="18"/>
          <w:sz w:val="18"/>
          <w:szCs w:val="18"/>
          <w:lang w:val="en-US"/>
        </w:rPr>
        <w:t>Useful guidance includes: Franks, P and Small, R (2016) Social Assessment for Protected Areas (SAPA). Methodology Manual for SAPA Facilitators. IIED, London.</w:t>
      </w:r>
    </w:p>
  </w:footnote>
  <w:footnote w:id="47">
    <w:p w14:paraId="2007C2D4" w14:textId="3F66183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rStyle w:val="FootnoteReference"/>
          <w:rFonts w:eastAsia="Batang"/>
          <w:iCs/>
          <w:snapToGrid w:val="0"/>
          <w:kern w:val="18"/>
          <w:szCs w:val="18"/>
          <w:u w:val="none"/>
          <w:vertAlign w:val="superscript"/>
          <w:lang w:eastAsia="ja-JP" w:bidi="th-TH"/>
        </w:rPr>
        <w:t xml:space="preserve"> </w:t>
      </w:r>
      <w:r w:rsidRPr="007B3E88">
        <w:rPr>
          <w:snapToGrid w:val="0"/>
          <w:color w:val="000000" w:themeColor="text1"/>
          <w:kern w:val="18"/>
          <w:szCs w:val="18"/>
          <w:lang w:val="en-US"/>
        </w:rPr>
        <w:t xml:space="preserve">Decision VII/28, Suggested Activity </w:t>
      </w:r>
      <w:r w:rsidRPr="007B3E88">
        <w:rPr>
          <w:snapToGrid w:val="0"/>
          <w:color w:val="000000" w:themeColor="text1"/>
          <w:kern w:val="18"/>
          <w:szCs w:val="18"/>
          <w:shd w:val="clear" w:color="auto" w:fill="FFFFFF"/>
          <w:lang w:val="en-US"/>
        </w:rPr>
        <w:t>2.1.6</w:t>
      </w:r>
      <w:r w:rsidRPr="007B3E88">
        <w:rPr>
          <w:snapToGrid w:val="0"/>
          <w:color w:val="000000" w:themeColor="text1"/>
          <w:kern w:val="18"/>
          <w:szCs w:val="18"/>
          <w:lang w:val="en-US"/>
        </w:rPr>
        <w:t>.</w:t>
      </w:r>
    </w:p>
  </w:footnote>
  <w:footnote w:id="48">
    <w:p w14:paraId="64C9FF9A" w14:textId="77777777"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rStyle w:val="FootnoteReference"/>
          <w:snapToGrid w:val="0"/>
          <w:color w:val="000000" w:themeColor="text1"/>
          <w:kern w:val="18"/>
          <w:szCs w:val="18"/>
          <w:lang w:val="en-US"/>
        </w:rPr>
      </w:pPr>
      <w:r w:rsidRPr="007B3E88">
        <w:rPr>
          <w:rStyle w:val="FootnoteReference"/>
          <w:rFonts w:eastAsia="Batang"/>
          <w:iCs/>
          <w:snapToGrid w:val="0"/>
          <w:kern w:val="18"/>
          <w:szCs w:val="18"/>
          <w:u w:val="none"/>
          <w:vertAlign w:val="superscript"/>
          <w:lang w:eastAsia="ja-JP" w:bidi="th-TH"/>
        </w:rPr>
        <w:footnoteRef/>
      </w:r>
      <w:r w:rsidRPr="007B3E88">
        <w:rPr>
          <w:snapToGrid w:val="0"/>
          <w:color w:val="000000" w:themeColor="text1"/>
          <w:kern w:val="18"/>
          <w:szCs w:val="18"/>
          <w:lang w:val="en-US"/>
        </w:rPr>
        <w:t xml:space="preserve"> Useful guidance includes: Social Assessment for Protected Areas (SAPA).</w:t>
      </w:r>
    </w:p>
  </w:footnote>
  <w:footnote w:id="49">
    <w:p w14:paraId="34A48CF3" w14:textId="675C3878"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snapToGrid w:val="0"/>
          <w:kern w:val="18"/>
          <w:szCs w:val="18"/>
          <w:u w:val="none"/>
          <w:vertAlign w:val="superscript"/>
        </w:rPr>
        <w:footnoteRef/>
      </w:r>
      <w:r w:rsidRPr="007B3E88">
        <w:rPr>
          <w:snapToGrid w:val="0"/>
          <w:kern w:val="18"/>
          <w:szCs w:val="18"/>
        </w:rPr>
        <w:t xml:space="preserve"> As defined by Article 2 of the Convention on Biological Diversity and in line with the provisions of the Convention.</w:t>
      </w:r>
    </w:p>
  </w:footnote>
  <w:footnote w:id="50">
    <w:p w14:paraId="548F5AAB" w14:textId="616E9406" w:rsidR="000E42FD" w:rsidRPr="007B3E88" w:rsidRDefault="000E42FD" w:rsidP="007B3E8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u w:val="none"/>
          <w:vertAlign w:val="superscript"/>
        </w:rPr>
        <w:footnoteRef/>
      </w:r>
      <w:r w:rsidRPr="007B3E88">
        <w:rPr>
          <w:snapToGrid w:val="0"/>
          <w:kern w:val="18"/>
          <w:szCs w:val="18"/>
        </w:rPr>
        <w:t xml:space="preserve"> CBD/PA/EM/2018/1/INF/4 provides many examples of these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528922085"/>
      <w:placeholder>
        <w:docPart w:val="B17D16F9E5CA45A085D2E46E731FA84D"/>
      </w:placeholder>
      <w:dataBinding w:prefixMappings="xmlns:ns0='http://purl.org/dc/elements/1.1/' xmlns:ns1='http://schemas.openxmlformats.org/package/2006/metadata/core-properties' " w:xpath="/ns1:coreProperties[1]/ns0:subject[1]" w:storeItemID="{6C3C8BC8-F283-45AE-878A-BAB7291924A1}"/>
      <w:text/>
    </w:sdtPr>
    <w:sdtEndPr/>
    <w:sdtContent>
      <w:p w14:paraId="74EFFE8C" w14:textId="77777777" w:rsidR="000E42FD" w:rsidRPr="007B3E88" w:rsidRDefault="000E42FD" w:rsidP="007B3E88">
        <w:pPr>
          <w:suppressLineNumbers/>
          <w:suppressAutoHyphens/>
          <w:kinsoku w:val="0"/>
          <w:overflowPunct w:val="0"/>
          <w:autoSpaceDE w:val="0"/>
          <w:autoSpaceDN w:val="0"/>
          <w:jc w:val="left"/>
          <w:rPr>
            <w:noProof/>
            <w:snapToGrid w:val="0"/>
            <w:kern w:val="22"/>
            <w:szCs w:val="22"/>
          </w:rPr>
        </w:pPr>
        <w:r w:rsidRPr="007B3E88">
          <w:rPr>
            <w:noProof/>
            <w:snapToGrid w:val="0"/>
            <w:kern w:val="22"/>
            <w:szCs w:val="22"/>
          </w:rPr>
          <w:t>CBD/SBSTTA/22/6</w:t>
        </w:r>
      </w:p>
    </w:sdtContent>
  </w:sdt>
  <w:p w14:paraId="1E380C6C" w14:textId="365DBB06" w:rsidR="000E42FD" w:rsidRPr="00D144C5" w:rsidRDefault="000E42FD" w:rsidP="007B3E88">
    <w:pPr>
      <w:pStyle w:val="Header"/>
      <w:suppressLineNumbers/>
      <w:tabs>
        <w:tab w:val="clear" w:pos="4320"/>
        <w:tab w:val="clear" w:pos="8640"/>
      </w:tabs>
      <w:suppressAutoHyphens/>
      <w:kinsoku w:val="0"/>
      <w:overflowPunct w:val="0"/>
      <w:autoSpaceDE w:val="0"/>
      <w:autoSpaceDN w:val="0"/>
      <w:jc w:val="left"/>
      <w:rPr>
        <w:noProof/>
      </w:rPr>
    </w:pPr>
    <w:r w:rsidRPr="007B3E88">
      <w:rPr>
        <w:noProof/>
      </w:rPr>
      <w:t xml:space="preserve">Page </w:t>
    </w:r>
    <w:r w:rsidRPr="007B3E88">
      <w:rPr>
        <w:noProof/>
      </w:rPr>
      <w:fldChar w:fldCharType="begin"/>
    </w:r>
    <w:r w:rsidRPr="007B3E88">
      <w:rPr>
        <w:noProof/>
      </w:rPr>
      <w:instrText xml:space="preserve"> PAGE   \* MERGEFORMAT </w:instrText>
    </w:r>
    <w:r w:rsidRPr="00F26A79">
      <w:rPr>
        <w:noProof/>
      </w:rPr>
      <w:fldChar w:fldCharType="separate"/>
    </w:r>
    <w:r w:rsidR="007B3E88">
      <w:rPr>
        <w:noProof/>
      </w:rPr>
      <w:t>22</w:t>
    </w:r>
    <w:r w:rsidRPr="00F26A79">
      <w:rPr>
        <w:noProof/>
      </w:rPr>
      <w:fldChar w:fldCharType="end"/>
    </w:r>
  </w:p>
  <w:p w14:paraId="1413763F" w14:textId="77777777" w:rsidR="000E42FD" w:rsidRPr="007B3E88" w:rsidRDefault="000E42FD" w:rsidP="007B3E88">
    <w:pPr>
      <w:pStyle w:val="Header"/>
      <w:suppressLineNumbers/>
      <w:tabs>
        <w:tab w:val="clear" w:pos="4320"/>
        <w:tab w:val="clear" w:pos="8640"/>
      </w:tabs>
      <w:suppressAutoHyphen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1962015940"/>
      <w:placeholder>
        <w:docPart w:val="F6E74B58D00647BBA932B34B429E4A77"/>
      </w:placeholder>
      <w:dataBinding w:prefixMappings="xmlns:ns0='http://purl.org/dc/elements/1.1/' xmlns:ns1='http://schemas.openxmlformats.org/package/2006/metadata/core-properties' " w:xpath="/ns1:coreProperties[1]/ns0:subject[1]" w:storeItemID="{6C3C8BC8-F283-45AE-878A-BAB7291924A1}"/>
      <w:text/>
    </w:sdtPr>
    <w:sdtEndPr/>
    <w:sdtContent>
      <w:p w14:paraId="2BFCCF81" w14:textId="77777777" w:rsidR="000E42FD" w:rsidRPr="002145A3" w:rsidRDefault="000E42FD" w:rsidP="007B3E88">
        <w:pPr>
          <w:suppressLineNumbers/>
          <w:suppressAutoHyphens/>
          <w:kinsoku w:val="0"/>
          <w:overflowPunct w:val="0"/>
          <w:autoSpaceDE w:val="0"/>
          <w:autoSpaceDN w:val="0"/>
          <w:jc w:val="right"/>
          <w:rPr>
            <w:noProof/>
            <w:snapToGrid w:val="0"/>
            <w:kern w:val="22"/>
            <w:szCs w:val="22"/>
          </w:rPr>
        </w:pPr>
        <w:r w:rsidRPr="002145A3">
          <w:rPr>
            <w:noProof/>
            <w:snapToGrid w:val="0"/>
            <w:kern w:val="22"/>
            <w:szCs w:val="22"/>
          </w:rPr>
          <w:t>CBD/SBSTTA/22/6</w:t>
        </w:r>
      </w:p>
    </w:sdtContent>
  </w:sdt>
  <w:p w14:paraId="1CB13FB0" w14:textId="65E9FBA0" w:rsidR="000E42FD" w:rsidRPr="002145A3" w:rsidRDefault="000E42FD" w:rsidP="007B3E88">
    <w:pPr>
      <w:pStyle w:val="Header"/>
      <w:suppressLineNumbers/>
      <w:tabs>
        <w:tab w:val="clear" w:pos="4320"/>
        <w:tab w:val="clear" w:pos="8640"/>
      </w:tabs>
      <w:suppressAutoHyphens/>
      <w:kinsoku w:val="0"/>
      <w:overflowPunct w:val="0"/>
      <w:autoSpaceDE w:val="0"/>
      <w:autoSpaceDN w:val="0"/>
      <w:jc w:val="right"/>
      <w:rPr>
        <w:noProof/>
      </w:rPr>
    </w:pPr>
    <w:r w:rsidRPr="002145A3">
      <w:rPr>
        <w:noProof/>
      </w:rPr>
      <w:t xml:space="preserve">Page </w:t>
    </w:r>
    <w:r w:rsidRPr="002145A3">
      <w:rPr>
        <w:noProof/>
      </w:rPr>
      <w:fldChar w:fldCharType="begin"/>
    </w:r>
    <w:r w:rsidRPr="002145A3">
      <w:rPr>
        <w:noProof/>
      </w:rPr>
      <w:instrText xml:space="preserve"> PAGE   \* MERGEFORMAT </w:instrText>
    </w:r>
    <w:r w:rsidRPr="002145A3">
      <w:rPr>
        <w:noProof/>
      </w:rPr>
      <w:fldChar w:fldCharType="separate"/>
    </w:r>
    <w:r w:rsidR="007B3E88">
      <w:rPr>
        <w:noProof/>
      </w:rPr>
      <w:t>21</w:t>
    </w:r>
    <w:r w:rsidRPr="002145A3">
      <w:rPr>
        <w:noProof/>
      </w:rPr>
      <w:fldChar w:fldCharType="end"/>
    </w:r>
  </w:p>
  <w:p w14:paraId="5084F5F5" w14:textId="77777777" w:rsidR="000E42FD" w:rsidRDefault="000E42FD" w:rsidP="007B3E88">
    <w:pPr>
      <w:pStyle w:val="Header"/>
      <w:suppressLineNumbers/>
      <w:tabs>
        <w:tab w:val="clear" w:pos="4320"/>
        <w:tab w:val="clear" w:pos="8640"/>
      </w:tabs>
      <w:suppressAutoHyphens/>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211"/>
    <w:multiLevelType w:val="multilevel"/>
    <w:tmpl w:val="4FBC6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95EBC"/>
    <w:multiLevelType w:val="hybridMultilevel"/>
    <w:tmpl w:val="A54834C6"/>
    <w:lvl w:ilvl="0" w:tplc="05DC2F0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5DE3294"/>
    <w:multiLevelType w:val="hybridMultilevel"/>
    <w:tmpl w:val="B1549B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E557FE"/>
    <w:multiLevelType w:val="hybridMultilevel"/>
    <w:tmpl w:val="DE76E3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208A0"/>
    <w:multiLevelType w:val="hybridMultilevel"/>
    <w:tmpl w:val="3DC87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2A4B37"/>
    <w:multiLevelType w:val="hybridMultilevel"/>
    <w:tmpl w:val="9DA40CBA"/>
    <w:lvl w:ilvl="0" w:tplc="E44255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140093"/>
    <w:multiLevelType w:val="hybridMultilevel"/>
    <w:tmpl w:val="547EC718"/>
    <w:lvl w:ilvl="0" w:tplc="10090015">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0C804E8D"/>
    <w:multiLevelType w:val="hybridMultilevel"/>
    <w:tmpl w:val="7326F5B2"/>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D6AA3"/>
    <w:multiLevelType w:val="hybridMultilevel"/>
    <w:tmpl w:val="730E4BA8"/>
    <w:lvl w:ilvl="0" w:tplc="59989720">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0CFC5229"/>
    <w:multiLevelType w:val="hybridMultilevel"/>
    <w:tmpl w:val="717E6C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B7D54"/>
    <w:multiLevelType w:val="hybridMultilevel"/>
    <w:tmpl w:val="B052B418"/>
    <w:lvl w:ilvl="0" w:tplc="1009000D">
      <w:start w:val="1"/>
      <w:numFmt w:val="bullet"/>
      <w:lvlText w:val=""/>
      <w:lvlJc w:val="left"/>
      <w:pPr>
        <w:ind w:left="1545" w:hanging="360"/>
      </w:pPr>
      <w:rPr>
        <w:rFonts w:ascii="Wingdings" w:hAnsi="Wingding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11" w15:restartNumberingAfterBreak="0">
    <w:nsid w:val="0E673492"/>
    <w:multiLevelType w:val="hybridMultilevel"/>
    <w:tmpl w:val="54F01722"/>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66F06"/>
    <w:multiLevelType w:val="hybridMultilevel"/>
    <w:tmpl w:val="F24AACBA"/>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164F"/>
    <w:multiLevelType w:val="hybridMultilevel"/>
    <w:tmpl w:val="0DC2232E"/>
    <w:lvl w:ilvl="0" w:tplc="8DB600F2">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43EBD"/>
    <w:multiLevelType w:val="hybridMultilevel"/>
    <w:tmpl w:val="2670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8EB36BE"/>
    <w:multiLevelType w:val="hybridMultilevel"/>
    <w:tmpl w:val="A9105AA6"/>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7" w15:restartNumberingAfterBreak="0">
    <w:nsid w:val="192A0D63"/>
    <w:multiLevelType w:val="hybridMultilevel"/>
    <w:tmpl w:val="73F6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24818"/>
    <w:multiLevelType w:val="hybridMultilevel"/>
    <w:tmpl w:val="59E29F54"/>
    <w:lvl w:ilvl="0" w:tplc="E18C58B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BAC3AE9"/>
    <w:multiLevelType w:val="hybridMultilevel"/>
    <w:tmpl w:val="9A30CA10"/>
    <w:lvl w:ilvl="0" w:tplc="CAB40D4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454B5"/>
    <w:multiLevelType w:val="hybridMultilevel"/>
    <w:tmpl w:val="C74C2B22"/>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DFF675F"/>
    <w:multiLevelType w:val="hybridMultilevel"/>
    <w:tmpl w:val="6C80F374"/>
    <w:lvl w:ilvl="0" w:tplc="B374F714">
      <w:start w:val="1"/>
      <w:numFmt w:val="lowerLetter"/>
      <w:lvlText w:val="%1)"/>
      <w:lvlJc w:val="left"/>
      <w:pPr>
        <w:ind w:left="1545" w:hanging="360"/>
      </w:pPr>
      <w:rPr>
        <w:rFont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22"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FAB2C7D"/>
    <w:multiLevelType w:val="hybridMultilevel"/>
    <w:tmpl w:val="C91E3A4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044DA0"/>
    <w:multiLevelType w:val="hybridMultilevel"/>
    <w:tmpl w:val="658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4C1B03"/>
    <w:multiLevelType w:val="hybridMultilevel"/>
    <w:tmpl w:val="DB84F3EA"/>
    <w:lvl w:ilvl="0" w:tplc="5BC2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925B0"/>
    <w:multiLevelType w:val="hybridMultilevel"/>
    <w:tmpl w:val="5F407408"/>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48D6BC3"/>
    <w:multiLevelType w:val="hybridMultilevel"/>
    <w:tmpl w:val="4F6A0800"/>
    <w:lvl w:ilvl="0" w:tplc="B9A47D50">
      <w:start w:val="1"/>
      <w:numFmt w:val="lowerLetter"/>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26097197"/>
    <w:multiLevelType w:val="hybridMultilevel"/>
    <w:tmpl w:val="8DFED0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CAB40D4C">
      <w:start w:val="1"/>
      <w:numFmt w:val="lowerLetter"/>
      <w:lvlText w:val="(%5)"/>
      <w:lvlJc w:val="left"/>
      <w:pPr>
        <w:ind w:left="3960" w:hanging="360"/>
      </w:pPr>
      <w:rPr>
        <w:rFonts w:hint="default"/>
        <w:b w:val="0"/>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836566E"/>
    <w:multiLevelType w:val="hybridMultilevel"/>
    <w:tmpl w:val="1B060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134B5"/>
    <w:multiLevelType w:val="hybridMultilevel"/>
    <w:tmpl w:val="1652A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9E034F5"/>
    <w:multiLevelType w:val="hybridMultilevel"/>
    <w:tmpl w:val="CE96FB82"/>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B56A1"/>
    <w:multiLevelType w:val="hybridMultilevel"/>
    <w:tmpl w:val="4C6074EC"/>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2B9371B4"/>
    <w:multiLevelType w:val="hybridMultilevel"/>
    <w:tmpl w:val="ADF4F2FA"/>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A5106B"/>
    <w:multiLevelType w:val="hybridMultilevel"/>
    <w:tmpl w:val="2E200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C4C1CDD"/>
    <w:multiLevelType w:val="hybridMultilevel"/>
    <w:tmpl w:val="E5D47BD4"/>
    <w:lvl w:ilvl="0" w:tplc="F8B6F3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2E523048"/>
    <w:multiLevelType w:val="hybridMultilevel"/>
    <w:tmpl w:val="B47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A2E29"/>
    <w:multiLevelType w:val="hybridMultilevel"/>
    <w:tmpl w:val="4290E452"/>
    <w:lvl w:ilvl="0" w:tplc="CAB40D4C">
      <w:start w:val="1"/>
      <w:numFmt w:val="lowerLetter"/>
      <w:lvlText w:val="(%1)"/>
      <w:lvlJc w:val="left"/>
      <w:pPr>
        <w:ind w:left="1080" w:hanging="360"/>
      </w:pPr>
      <w:rPr>
        <w:rFonts w:hint="default"/>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3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314D2490"/>
    <w:multiLevelType w:val="hybridMultilevel"/>
    <w:tmpl w:val="D33C4B3C"/>
    <w:lvl w:ilvl="0" w:tplc="CAB40D4C">
      <w:start w:val="1"/>
      <w:numFmt w:val="lowerLetter"/>
      <w:lvlText w:val="(%1)"/>
      <w:lvlJc w:val="left"/>
      <w:pPr>
        <w:ind w:left="1301" w:hanging="360"/>
      </w:pPr>
      <w:rPr>
        <w:rFonts w:hint="default"/>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41" w15:restartNumberingAfterBreak="0">
    <w:nsid w:val="32040269"/>
    <w:multiLevelType w:val="hybridMultilevel"/>
    <w:tmpl w:val="476C6E28"/>
    <w:lvl w:ilvl="0" w:tplc="CAB40D4C">
      <w:start w:val="1"/>
      <w:numFmt w:val="lowerLetter"/>
      <w:lvlText w:val="(%1)"/>
      <w:lvlJc w:val="left"/>
      <w:pPr>
        <w:ind w:left="1301" w:hanging="360"/>
      </w:pPr>
      <w:rPr>
        <w:rFonts w:hint="default"/>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42" w15:restartNumberingAfterBreak="0">
    <w:nsid w:val="34432D50"/>
    <w:multiLevelType w:val="hybridMultilevel"/>
    <w:tmpl w:val="D7B243C0"/>
    <w:lvl w:ilvl="0" w:tplc="3BD6F7CC">
      <w:start w:val="3"/>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3BB42288"/>
    <w:multiLevelType w:val="hybridMultilevel"/>
    <w:tmpl w:val="034A9B74"/>
    <w:lvl w:ilvl="0" w:tplc="CAB40D4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BF6E23"/>
    <w:multiLevelType w:val="hybridMultilevel"/>
    <w:tmpl w:val="DC484D6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80F76"/>
    <w:multiLevelType w:val="hybridMultilevel"/>
    <w:tmpl w:val="901E7C1E"/>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3FC777A2"/>
    <w:multiLevelType w:val="hybridMultilevel"/>
    <w:tmpl w:val="CDD6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40A12900"/>
    <w:multiLevelType w:val="hybridMultilevel"/>
    <w:tmpl w:val="1B5CD76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0B92AFC"/>
    <w:multiLevelType w:val="hybridMultilevel"/>
    <w:tmpl w:val="88EAE1A4"/>
    <w:lvl w:ilvl="0" w:tplc="8000263C">
      <w:start w:val="1"/>
      <w:numFmt w:val="lowerRoman"/>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49" w15:restartNumberingAfterBreak="0">
    <w:nsid w:val="415C2EF6"/>
    <w:multiLevelType w:val="hybridMultilevel"/>
    <w:tmpl w:val="A082082C"/>
    <w:lvl w:ilvl="0" w:tplc="04090019">
      <w:start w:val="1"/>
      <w:numFmt w:val="lowerLetter"/>
      <w:lvlText w:val="%1."/>
      <w:lvlJc w:val="left"/>
      <w:pPr>
        <w:ind w:left="1080" w:hanging="360"/>
      </w:pPr>
      <w:rPr>
        <w:rFonts w:hint="default"/>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50" w15:restartNumberingAfterBreak="0">
    <w:nsid w:val="41C20279"/>
    <w:multiLevelType w:val="hybridMultilevel"/>
    <w:tmpl w:val="292CF288"/>
    <w:lvl w:ilvl="0" w:tplc="A4CEE060">
      <w:start w:val="5"/>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1CE365A"/>
    <w:multiLevelType w:val="hybridMultilevel"/>
    <w:tmpl w:val="B112B4A0"/>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6B56EB"/>
    <w:multiLevelType w:val="hybridMultilevel"/>
    <w:tmpl w:val="5DF025FC"/>
    <w:lvl w:ilvl="0" w:tplc="10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456B656A"/>
    <w:multiLevelType w:val="hybridMultilevel"/>
    <w:tmpl w:val="5DF025FC"/>
    <w:lvl w:ilvl="0" w:tplc="10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EC085D"/>
    <w:multiLevelType w:val="hybridMultilevel"/>
    <w:tmpl w:val="F6CC9534"/>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5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185F4B"/>
    <w:multiLevelType w:val="hybridMultilevel"/>
    <w:tmpl w:val="04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9237B26"/>
    <w:multiLevelType w:val="hybridMultilevel"/>
    <w:tmpl w:val="6F987D20"/>
    <w:lvl w:ilvl="0" w:tplc="CAB40D4C">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B391CCE"/>
    <w:multiLevelType w:val="multilevel"/>
    <w:tmpl w:val="87E82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BD1528F"/>
    <w:multiLevelType w:val="hybridMultilevel"/>
    <w:tmpl w:val="E41235BC"/>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CAB40D4C">
      <w:start w:val="1"/>
      <w:numFmt w:val="lowerLetter"/>
      <w:lvlText w:val="(%7)"/>
      <w:lvlJc w:val="left"/>
      <w:pPr>
        <w:ind w:left="360" w:hanging="360"/>
      </w:pPr>
      <w:rPr>
        <w:rFonts w:hint="default"/>
        <w:b w:val="0"/>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1" w15:restartNumberingAfterBreak="0">
    <w:nsid w:val="4E0442B4"/>
    <w:multiLevelType w:val="multilevel"/>
    <w:tmpl w:val="393C32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EA84285"/>
    <w:multiLevelType w:val="hybridMultilevel"/>
    <w:tmpl w:val="7B504470"/>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6E01FD"/>
    <w:multiLevelType w:val="hybridMultilevel"/>
    <w:tmpl w:val="F3105904"/>
    <w:lvl w:ilvl="0" w:tplc="8000263C">
      <w:start w:val="1"/>
      <w:numFmt w:val="lowerRoman"/>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64" w15:restartNumberingAfterBreak="0">
    <w:nsid w:val="4FEE1E3A"/>
    <w:multiLevelType w:val="hybridMultilevel"/>
    <w:tmpl w:val="CB868248"/>
    <w:lvl w:ilvl="0" w:tplc="D94601E4">
      <w:start w:val="1"/>
      <w:numFmt w:val="lowerLetter"/>
      <w:lvlText w:val="(%1)"/>
      <w:lvlJc w:val="left"/>
      <w:pPr>
        <w:ind w:left="990" w:hanging="360"/>
      </w:pPr>
      <w:rPr>
        <w:rFonts w:hint="default"/>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516250B4"/>
    <w:multiLevelType w:val="hybridMultilevel"/>
    <w:tmpl w:val="2FA41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550E3625"/>
    <w:multiLevelType w:val="hybridMultilevel"/>
    <w:tmpl w:val="F126C4CC"/>
    <w:lvl w:ilvl="0" w:tplc="D17C0CAE">
      <w:start w:val="1"/>
      <w:numFmt w:val="lowerLetter"/>
      <w:lvlText w:val="(%1)"/>
      <w:lvlJc w:val="right"/>
      <w:pPr>
        <w:ind w:left="1440" w:hanging="360"/>
      </w:pPr>
      <w:rPr>
        <w:rFonts w:hint="default"/>
      </w:rPr>
    </w:lvl>
    <w:lvl w:ilvl="1" w:tplc="89B464BC">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5E0C87"/>
    <w:multiLevelType w:val="hybridMultilevel"/>
    <w:tmpl w:val="ACF23240"/>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9" w15:restartNumberingAfterBreak="0">
    <w:nsid w:val="5FCA1B57"/>
    <w:multiLevelType w:val="hybridMultilevel"/>
    <w:tmpl w:val="161EDA5E"/>
    <w:lvl w:ilvl="0" w:tplc="C1CE791C">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00264FB"/>
    <w:multiLevelType w:val="hybridMultilevel"/>
    <w:tmpl w:val="9DAEA40C"/>
    <w:lvl w:ilvl="0" w:tplc="D1820B6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040310B"/>
    <w:multiLevelType w:val="hybridMultilevel"/>
    <w:tmpl w:val="3A34612A"/>
    <w:lvl w:ilvl="0" w:tplc="BEAEAF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5D44361"/>
    <w:multiLevelType w:val="hybridMultilevel"/>
    <w:tmpl w:val="25CEB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7736667"/>
    <w:multiLevelType w:val="hybridMultilevel"/>
    <w:tmpl w:val="CF8CDFF6"/>
    <w:lvl w:ilvl="0" w:tplc="66728D0E">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67C778D1"/>
    <w:multiLevelType w:val="hybridMultilevel"/>
    <w:tmpl w:val="F724A9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9070B0C"/>
    <w:multiLevelType w:val="hybridMultilevel"/>
    <w:tmpl w:val="E94A78F2"/>
    <w:lvl w:ilvl="0" w:tplc="4BFC5A32">
      <w:start w:val="1"/>
      <w:numFmt w:val="lowerLetter"/>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76" w15:restartNumberingAfterBreak="0">
    <w:nsid w:val="6A342DCE"/>
    <w:multiLevelType w:val="hybridMultilevel"/>
    <w:tmpl w:val="213E9212"/>
    <w:lvl w:ilvl="0" w:tplc="30CA0A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6C6525F2"/>
    <w:multiLevelType w:val="hybridMultilevel"/>
    <w:tmpl w:val="1B4A5222"/>
    <w:lvl w:ilvl="0" w:tplc="8000263C">
      <w:start w:val="1"/>
      <w:numFmt w:val="lowerRoman"/>
      <w:lvlText w:val="(%1)"/>
      <w:lvlJc w:val="left"/>
      <w:pPr>
        <w:ind w:left="1170" w:hanging="360"/>
      </w:pPr>
      <w:rPr>
        <w:rFonts w:hint="default"/>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78" w15:restartNumberingAfterBreak="0">
    <w:nsid w:val="6D215EF6"/>
    <w:multiLevelType w:val="hybridMultilevel"/>
    <w:tmpl w:val="C700BDB8"/>
    <w:lvl w:ilvl="0" w:tplc="DE0C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DC01C0"/>
    <w:multiLevelType w:val="hybridMultilevel"/>
    <w:tmpl w:val="94FAE97A"/>
    <w:lvl w:ilvl="0" w:tplc="CAB40D4C">
      <w:start w:val="1"/>
      <w:numFmt w:val="lowerLetter"/>
      <w:lvlText w:val="(%1)"/>
      <w:lvlJc w:val="left"/>
      <w:pPr>
        <w:ind w:left="1080" w:hanging="360"/>
      </w:pPr>
      <w:rPr>
        <w:rFonts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75D36253"/>
    <w:multiLevelType w:val="hybridMultilevel"/>
    <w:tmpl w:val="86D07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6DA69C2"/>
    <w:multiLevelType w:val="hybridMultilevel"/>
    <w:tmpl w:val="1DAEEA50"/>
    <w:lvl w:ilvl="0" w:tplc="04090019">
      <w:start w:val="1"/>
      <w:numFmt w:val="lowerLetter"/>
      <w:lvlText w:val="%1."/>
      <w:lvlJc w:val="left"/>
      <w:pPr>
        <w:ind w:left="720" w:hanging="360"/>
      </w:pPr>
    </w:lvl>
    <w:lvl w:ilvl="1" w:tplc="8000263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BB104F"/>
    <w:multiLevelType w:val="hybridMultilevel"/>
    <w:tmpl w:val="B56A28DC"/>
    <w:lvl w:ilvl="0" w:tplc="1009000D">
      <w:start w:val="1"/>
      <w:numFmt w:val="bullet"/>
      <w:lvlText w:val=""/>
      <w:lvlJc w:val="left"/>
      <w:pPr>
        <w:ind w:left="1545" w:hanging="360"/>
      </w:pPr>
      <w:rPr>
        <w:rFonts w:ascii="Wingdings" w:hAnsi="Wingding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83"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92A1F75"/>
    <w:multiLevelType w:val="hybridMultilevel"/>
    <w:tmpl w:val="2B04C79E"/>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85" w15:restartNumberingAfterBreak="0">
    <w:nsid w:val="79550E9D"/>
    <w:multiLevelType w:val="hybridMultilevel"/>
    <w:tmpl w:val="AA24CC3E"/>
    <w:lvl w:ilvl="0" w:tplc="4BFC5A32">
      <w:start w:val="1"/>
      <w:numFmt w:val="lowerLetter"/>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86" w15:restartNumberingAfterBreak="0">
    <w:nsid w:val="7AE042AF"/>
    <w:multiLevelType w:val="hybridMultilevel"/>
    <w:tmpl w:val="E1B2EEDE"/>
    <w:lvl w:ilvl="0" w:tplc="4BFC5A32">
      <w:start w:val="1"/>
      <w:numFmt w:val="lowerLetter"/>
      <w:lvlText w:val="(%1)"/>
      <w:lvlJc w:val="left"/>
      <w:pPr>
        <w:ind w:left="1170" w:hanging="360"/>
      </w:pPr>
      <w:rPr>
        <w:rFonts w:hint="default"/>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87" w15:restartNumberingAfterBreak="0">
    <w:nsid w:val="7B6D5A0C"/>
    <w:multiLevelType w:val="multilevel"/>
    <w:tmpl w:val="9DEABE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A22A1D"/>
    <w:multiLevelType w:val="hybridMultilevel"/>
    <w:tmpl w:val="CE263284"/>
    <w:lvl w:ilvl="0" w:tplc="04090019">
      <w:start w:val="1"/>
      <w:numFmt w:val="lowerLetter"/>
      <w:lvlText w:val="%1."/>
      <w:lvlJc w:val="left"/>
      <w:pPr>
        <w:ind w:left="720" w:hanging="360"/>
      </w:pPr>
    </w:lvl>
    <w:lvl w:ilvl="1" w:tplc="8000263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EB74EF"/>
    <w:multiLevelType w:val="hybridMultilevel"/>
    <w:tmpl w:val="97B44A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E01B25"/>
    <w:multiLevelType w:val="hybridMultilevel"/>
    <w:tmpl w:val="745C5DD6"/>
    <w:lvl w:ilvl="0" w:tplc="6096D7C6">
      <w:start w:val="1"/>
      <w:numFmt w:val="lowerLetter"/>
      <w:lvlText w:val="%1)"/>
      <w:lvlJc w:val="left"/>
      <w:pPr>
        <w:ind w:left="1545" w:hanging="360"/>
      </w:pPr>
      <w:rPr>
        <w:rFont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num w:numId="1">
    <w:abstractNumId w:val="38"/>
  </w:num>
  <w:num w:numId="2">
    <w:abstractNumId w:val="61"/>
  </w:num>
  <w:num w:numId="3">
    <w:abstractNumId w:val="53"/>
  </w:num>
  <w:num w:numId="4">
    <w:abstractNumId w:val="56"/>
  </w:num>
  <w:num w:numId="5">
    <w:abstractNumId w:val="14"/>
  </w:num>
  <w:num w:numId="6">
    <w:abstractNumId w:val="22"/>
  </w:num>
  <w:num w:numId="7">
    <w:abstractNumId w:val="24"/>
  </w:num>
  <w:num w:numId="8">
    <w:abstractNumId w:val="68"/>
  </w:num>
  <w:num w:numId="9">
    <w:abstractNumId w:val="57"/>
  </w:num>
  <w:num w:numId="10">
    <w:abstractNumId w:val="65"/>
  </w:num>
  <w:num w:numId="11">
    <w:abstractNumId w:val="46"/>
  </w:num>
  <w:num w:numId="12">
    <w:abstractNumId w:val="4"/>
  </w:num>
  <w:num w:numId="13">
    <w:abstractNumId w:val="30"/>
  </w:num>
  <w:num w:numId="14">
    <w:abstractNumId w:val="69"/>
  </w:num>
  <w:num w:numId="15">
    <w:abstractNumId w:val="70"/>
  </w:num>
  <w:num w:numId="16">
    <w:abstractNumId w:val="27"/>
  </w:num>
  <w:num w:numId="17">
    <w:abstractNumId w:val="13"/>
  </w:num>
  <w:num w:numId="18">
    <w:abstractNumId w:val="74"/>
  </w:num>
  <w:num w:numId="19">
    <w:abstractNumId w:val="18"/>
  </w:num>
  <w:num w:numId="20">
    <w:abstractNumId w:val="90"/>
  </w:num>
  <w:num w:numId="21">
    <w:abstractNumId w:val="21"/>
  </w:num>
  <w:num w:numId="22">
    <w:abstractNumId w:val="35"/>
  </w:num>
  <w:num w:numId="23">
    <w:abstractNumId w:val="1"/>
  </w:num>
  <w:num w:numId="24">
    <w:abstractNumId w:val="8"/>
  </w:num>
  <w:num w:numId="25">
    <w:abstractNumId w:val="5"/>
  </w:num>
  <w:num w:numId="26">
    <w:abstractNumId w:val="0"/>
  </w:num>
  <w:num w:numId="27">
    <w:abstractNumId w:val="59"/>
  </w:num>
  <w:num w:numId="28">
    <w:abstractNumId w:val="87"/>
  </w:num>
  <w:num w:numId="29">
    <w:abstractNumId w:val="76"/>
  </w:num>
  <w:num w:numId="30">
    <w:abstractNumId w:val="61"/>
    <w:lvlOverride w:ilvl="0">
      <w:startOverride w:val="5"/>
    </w:lvlOverride>
  </w:num>
  <w:num w:numId="31">
    <w:abstractNumId w:val="61"/>
    <w:lvlOverride w:ilvl="0">
      <w:startOverride w:val="2"/>
    </w:lvlOverride>
  </w:num>
  <w:num w:numId="32">
    <w:abstractNumId w:val="61"/>
    <w:lvlOverride w:ilvl="0">
      <w:startOverride w:val="2"/>
    </w:lvlOverride>
  </w:num>
  <w:num w:numId="33">
    <w:abstractNumId w:val="66"/>
  </w:num>
  <w:num w:numId="34">
    <w:abstractNumId w:val="77"/>
  </w:num>
  <w:num w:numId="35">
    <w:abstractNumId w:val="82"/>
  </w:num>
  <w:num w:numId="36">
    <w:abstractNumId w:val="10"/>
  </w:num>
  <w:num w:numId="37">
    <w:abstractNumId w:val="6"/>
  </w:num>
  <w:num w:numId="38">
    <w:abstractNumId w:val="2"/>
  </w:num>
  <w:num w:numId="39">
    <w:abstractNumId w:val="39"/>
  </w:num>
  <w:num w:numId="40">
    <w:abstractNumId w:val="42"/>
  </w:num>
  <w:num w:numId="41">
    <w:abstractNumId w:val="34"/>
  </w:num>
  <w:num w:numId="42">
    <w:abstractNumId w:val="73"/>
  </w:num>
  <w:num w:numId="43">
    <w:abstractNumId w:val="31"/>
  </w:num>
  <w:num w:numId="44">
    <w:abstractNumId w:val="44"/>
  </w:num>
  <w:num w:numId="45">
    <w:abstractNumId w:val="72"/>
  </w:num>
  <w:num w:numId="46">
    <w:abstractNumId w:val="15"/>
  </w:num>
  <w:num w:numId="47">
    <w:abstractNumId w:val="80"/>
  </w:num>
  <w:num w:numId="48">
    <w:abstractNumId w:val="36"/>
  </w:num>
  <w:num w:numId="49">
    <w:abstractNumId w:val="71"/>
  </w:num>
  <w:num w:numId="50">
    <w:abstractNumId w:val="33"/>
  </w:num>
  <w:num w:numId="51">
    <w:abstractNumId w:val="64"/>
  </w:num>
  <w:num w:numId="52">
    <w:abstractNumId w:val="26"/>
  </w:num>
  <w:num w:numId="53">
    <w:abstractNumId w:val="28"/>
  </w:num>
  <w:num w:numId="54">
    <w:abstractNumId w:val="60"/>
  </w:num>
  <w:num w:numId="55">
    <w:abstractNumId w:val="83"/>
  </w:num>
  <w:num w:numId="56">
    <w:abstractNumId w:val="25"/>
  </w:num>
  <w:num w:numId="57">
    <w:abstractNumId w:val="61"/>
  </w:num>
  <w:num w:numId="58">
    <w:abstractNumId w:val="61"/>
  </w:num>
  <w:num w:numId="59">
    <w:abstractNumId w:val="61"/>
  </w:num>
  <w:num w:numId="60">
    <w:abstractNumId w:val="61"/>
  </w:num>
  <w:num w:numId="61">
    <w:abstractNumId w:val="61"/>
  </w:num>
  <w:num w:numId="62">
    <w:abstractNumId w:val="61"/>
  </w:num>
  <w:num w:numId="63">
    <w:abstractNumId w:val="61"/>
  </w:num>
  <w:num w:numId="64">
    <w:abstractNumId w:val="61"/>
  </w:num>
  <w:num w:numId="65">
    <w:abstractNumId w:val="61"/>
  </w:num>
  <w:num w:numId="66">
    <w:abstractNumId w:val="61"/>
  </w:num>
  <w:num w:numId="67">
    <w:abstractNumId w:val="61"/>
  </w:num>
  <w:num w:numId="68">
    <w:abstractNumId w:val="78"/>
  </w:num>
  <w:num w:numId="69">
    <w:abstractNumId w:val="79"/>
  </w:num>
  <w:num w:numId="70">
    <w:abstractNumId w:val="63"/>
  </w:num>
  <w:num w:numId="71">
    <w:abstractNumId w:val="48"/>
  </w:num>
  <w:num w:numId="72">
    <w:abstractNumId w:val="54"/>
  </w:num>
  <w:num w:numId="73">
    <w:abstractNumId w:val="52"/>
  </w:num>
  <w:num w:numId="74">
    <w:abstractNumId w:val="29"/>
  </w:num>
  <w:num w:numId="75">
    <w:abstractNumId w:val="49"/>
  </w:num>
  <w:num w:numId="76">
    <w:abstractNumId w:val="17"/>
  </w:num>
  <w:num w:numId="77">
    <w:abstractNumId w:val="55"/>
  </w:num>
  <w:num w:numId="78">
    <w:abstractNumId w:val="84"/>
  </w:num>
  <w:num w:numId="79">
    <w:abstractNumId w:val="23"/>
  </w:num>
  <w:num w:numId="80">
    <w:abstractNumId w:val="47"/>
  </w:num>
  <w:num w:numId="81">
    <w:abstractNumId w:val="11"/>
  </w:num>
  <w:num w:numId="82">
    <w:abstractNumId w:val="9"/>
  </w:num>
  <w:num w:numId="83">
    <w:abstractNumId w:val="89"/>
  </w:num>
  <w:num w:numId="84">
    <w:abstractNumId w:val="16"/>
  </w:num>
  <w:num w:numId="85">
    <w:abstractNumId w:val="50"/>
  </w:num>
  <w:num w:numId="86">
    <w:abstractNumId w:val="61"/>
  </w:num>
  <w:num w:numId="87">
    <w:abstractNumId w:val="20"/>
  </w:num>
  <w:num w:numId="88">
    <w:abstractNumId w:val="58"/>
  </w:num>
  <w:num w:numId="89">
    <w:abstractNumId w:val="32"/>
  </w:num>
  <w:num w:numId="90">
    <w:abstractNumId w:val="45"/>
  </w:num>
  <w:num w:numId="91">
    <w:abstractNumId w:val="62"/>
  </w:num>
  <w:num w:numId="92">
    <w:abstractNumId w:val="7"/>
  </w:num>
  <w:num w:numId="93">
    <w:abstractNumId w:val="51"/>
  </w:num>
  <w:num w:numId="94">
    <w:abstractNumId w:val="37"/>
  </w:num>
  <w:num w:numId="95">
    <w:abstractNumId w:val="67"/>
  </w:num>
  <w:num w:numId="96">
    <w:abstractNumId w:val="41"/>
  </w:num>
  <w:num w:numId="97">
    <w:abstractNumId w:val="40"/>
  </w:num>
  <w:num w:numId="98">
    <w:abstractNumId w:val="19"/>
  </w:num>
  <w:num w:numId="99">
    <w:abstractNumId w:val="43"/>
  </w:num>
  <w:num w:numId="100">
    <w:abstractNumId w:val="12"/>
  </w:num>
  <w:num w:numId="101">
    <w:abstractNumId w:val="81"/>
  </w:num>
  <w:num w:numId="102">
    <w:abstractNumId w:val="88"/>
  </w:num>
  <w:num w:numId="103">
    <w:abstractNumId w:val="3"/>
  </w:num>
  <w:num w:numId="104">
    <w:abstractNumId w:val="61"/>
  </w:num>
  <w:num w:numId="105">
    <w:abstractNumId w:val="61"/>
  </w:num>
  <w:num w:numId="106">
    <w:abstractNumId w:val="86"/>
  </w:num>
  <w:num w:numId="107">
    <w:abstractNumId w:val="61"/>
  </w:num>
  <w:num w:numId="108">
    <w:abstractNumId w:val="61"/>
  </w:num>
  <w:num w:numId="109">
    <w:abstractNumId w:val="75"/>
  </w:num>
  <w:num w:numId="110">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605C"/>
    <w:rsid w:val="00010159"/>
    <w:rsid w:val="0001271D"/>
    <w:rsid w:val="000219AC"/>
    <w:rsid w:val="00021A77"/>
    <w:rsid w:val="000249B0"/>
    <w:rsid w:val="00031D24"/>
    <w:rsid w:val="00037873"/>
    <w:rsid w:val="0004123F"/>
    <w:rsid w:val="00045F1C"/>
    <w:rsid w:val="00054381"/>
    <w:rsid w:val="00054BC7"/>
    <w:rsid w:val="00060ACF"/>
    <w:rsid w:val="0006339A"/>
    <w:rsid w:val="00063ED6"/>
    <w:rsid w:val="00066053"/>
    <w:rsid w:val="00070BD8"/>
    <w:rsid w:val="000711E1"/>
    <w:rsid w:val="00073708"/>
    <w:rsid w:val="00074DD9"/>
    <w:rsid w:val="00074FE8"/>
    <w:rsid w:val="00081E54"/>
    <w:rsid w:val="000839DC"/>
    <w:rsid w:val="00086EFF"/>
    <w:rsid w:val="000879CE"/>
    <w:rsid w:val="000931E5"/>
    <w:rsid w:val="000A58F4"/>
    <w:rsid w:val="000A7B86"/>
    <w:rsid w:val="000B002F"/>
    <w:rsid w:val="000B2595"/>
    <w:rsid w:val="000B48D9"/>
    <w:rsid w:val="000C3D14"/>
    <w:rsid w:val="000C5201"/>
    <w:rsid w:val="000D298F"/>
    <w:rsid w:val="000D2B1D"/>
    <w:rsid w:val="000E1998"/>
    <w:rsid w:val="000E42FD"/>
    <w:rsid w:val="000E637D"/>
    <w:rsid w:val="000E7E6A"/>
    <w:rsid w:val="000F27A6"/>
    <w:rsid w:val="000F63AB"/>
    <w:rsid w:val="00102F55"/>
    <w:rsid w:val="00103E8B"/>
    <w:rsid w:val="00107207"/>
    <w:rsid w:val="001074C4"/>
    <w:rsid w:val="001123DB"/>
    <w:rsid w:val="001126C6"/>
    <w:rsid w:val="001147EE"/>
    <w:rsid w:val="0011674F"/>
    <w:rsid w:val="001218B9"/>
    <w:rsid w:val="0012214B"/>
    <w:rsid w:val="0012418A"/>
    <w:rsid w:val="00126D41"/>
    <w:rsid w:val="00134F63"/>
    <w:rsid w:val="00136682"/>
    <w:rsid w:val="00140636"/>
    <w:rsid w:val="00151FDB"/>
    <w:rsid w:val="00153684"/>
    <w:rsid w:val="00161C8C"/>
    <w:rsid w:val="0016231C"/>
    <w:rsid w:val="001625BD"/>
    <w:rsid w:val="00166367"/>
    <w:rsid w:val="001725B7"/>
    <w:rsid w:val="00176193"/>
    <w:rsid w:val="00176E3C"/>
    <w:rsid w:val="00177AD4"/>
    <w:rsid w:val="0018657E"/>
    <w:rsid w:val="00186C0E"/>
    <w:rsid w:val="00192E06"/>
    <w:rsid w:val="0019412B"/>
    <w:rsid w:val="00197136"/>
    <w:rsid w:val="001A0F69"/>
    <w:rsid w:val="001A5072"/>
    <w:rsid w:val="001A6F0E"/>
    <w:rsid w:val="001B170B"/>
    <w:rsid w:val="001B342E"/>
    <w:rsid w:val="001B3FE9"/>
    <w:rsid w:val="001B46D5"/>
    <w:rsid w:val="001B5F53"/>
    <w:rsid w:val="001B69C8"/>
    <w:rsid w:val="001B7A26"/>
    <w:rsid w:val="001C0576"/>
    <w:rsid w:val="001C1C8F"/>
    <w:rsid w:val="001C2022"/>
    <w:rsid w:val="001C3C04"/>
    <w:rsid w:val="001C42BD"/>
    <w:rsid w:val="001C7D60"/>
    <w:rsid w:val="001D6999"/>
    <w:rsid w:val="001E3D7F"/>
    <w:rsid w:val="001F3AF2"/>
    <w:rsid w:val="001F3DD5"/>
    <w:rsid w:val="001F6379"/>
    <w:rsid w:val="00203D65"/>
    <w:rsid w:val="00204415"/>
    <w:rsid w:val="00207037"/>
    <w:rsid w:val="00207A6E"/>
    <w:rsid w:val="002168AD"/>
    <w:rsid w:val="0021693A"/>
    <w:rsid w:val="002203F9"/>
    <w:rsid w:val="00224B92"/>
    <w:rsid w:val="00234A31"/>
    <w:rsid w:val="002357E1"/>
    <w:rsid w:val="00237879"/>
    <w:rsid w:val="00242F8D"/>
    <w:rsid w:val="002438E0"/>
    <w:rsid w:val="00247668"/>
    <w:rsid w:val="00252897"/>
    <w:rsid w:val="0025698F"/>
    <w:rsid w:val="00256ABE"/>
    <w:rsid w:val="00257689"/>
    <w:rsid w:val="00257D3A"/>
    <w:rsid w:val="002603C9"/>
    <w:rsid w:val="00262428"/>
    <w:rsid w:val="00263277"/>
    <w:rsid w:val="00266216"/>
    <w:rsid w:val="002713CC"/>
    <w:rsid w:val="0027772F"/>
    <w:rsid w:val="00283A15"/>
    <w:rsid w:val="00291A64"/>
    <w:rsid w:val="002926A5"/>
    <w:rsid w:val="00292A66"/>
    <w:rsid w:val="00295241"/>
    <w:rsid w:val="002A381F"/>
    <w:rsid w:val="002A568F"/>
    <w:rsid w:val="002A6661"/>
    <w:rsid w:val="002B0063"/>
    <w:rsid w:val="002B0942"/>
    <w:rsid w:val="002B35A1"/>
    <w:rsid w:val="002B3B62"/>
    <w:rsid w:val="002B49AF"/>
    <w:rsid w:val="002C2345"/>
    <w:rsid w:val="002C2D26"/>
    <w:rsid w:val="002C3AA1"/>
    <w:rsid w:val="002C3BF7"/>
    <w:rsid w:val="002C60B4"/>
    <w:rsid w:val="002D1F71"/>
    <w:rsid w:val="002D7448"/>
    <w:rsid w:val="002E4A5E"/>
    <w:rsid w:val="002E7502"/>
    <w:rsid w:val="002F2863"/>
    <w:rsid w:val="002F571A"/>
    <w:rsid w:val="00301953"/>
    <w:rsid w:val="003063A1"/>
    <w:rsid w:val="00307781"/>
    <w:rsid w:val="003210FF"/>
    <w:rsid w:val="00322142"/>
    <w:rsid w:val="00322B04"/>
    <w:rsid w:val="003242A6"/>
    <w:rsid w:val="00325DE3"/>
    <w:rsid w:val="00326960"/>
    <w:rsid w:val="00331ADF"/>
    <w:rsid w:val="00332F4E"/>
    <w:rsid w:val="00335AA4"/>
    <w:rsid w:val="00336766"/>
    <w:rsid w:val="0034156B"/>
    <w:rsid w:val="00341F51"/>
    <w:rsid w:val="003432B4"/>
    <w:rsid w:val="0034338B"/>
    <w:rsid w:val="003524CE"/>
    <w:rsid w:val="00355A2C"/>
    <w:rsid w:val="0035660F"/>
    <w:rsid w:val="00356FDD"/>
    <w:rsid w:val="00364304"/>
    <w:rsid w:val="00371B2D"/>
    <w:rsid w:val="00381479"/>
    <w:rsid w:val="00381963"/>
    <w:rsid w:val="00392241"/>
    <w:rsid w:val="0039511A"/>
    <w:rsid w:val="00397CB7"/>
    <w:rsid w:val="003A27ED"/>
    <w:rsid w:val="003A3D06"/>
    <w:rsid w:val="003B017B"/>
    <w:rsid w:val="003B10B9"/>
    <w:rsid w:val="003B2C28"/>
    <w:rsid w:val="003C113F"/>
    <w:rsid w:val="003C5563"/>
    <w:rsid w:val="003C60D5"/>
    <w:rsid w:val="003C6224"/>
    <w:rsid w:val="003C6610"/>
    <w:rsid w:val="003C6984"/>
    <w:rsid w:val="003C6998"/>
    <w:rsid w:val="003D352E"/>
    <w:rsid w:val="003D6E29"/>
    <w:rsid w:val="003D6E78"/>
    <w:rsid w:val="003D718B"/>
    <w:rsid w:val="003E2DAE"/>
    <w:rsid w:val="003E46DC"/>
    <w:rsid w:val="003E73EE"/>
    <w:rsid w:val="003F1D2B"/>
    <w:rsid w:val="003F26FA"/>
    <w:rsid w:val="003F6E44"/>
    <w:rsid w:val="00400200"/>
    <w:rsid w:val="00400A8E"/>
    <w:rsid w:val="0040104D"/>
    <w:rsid w:val="00401958"/>
    <w:rsid w:val="0040202E"/>
    <w:rsid w:val="00405F55"/>
    <w:rsid w:val="00406BC6"/>
    <w:rsid w:val="00407E0C"/>
    <w:rsid w:val="00411CB0"/>
    <w:rsid w:val="004141FB"/>
    <w:rsid w:val="0041693C"/>
    <w:rsid w:val="0042157A"/>
    <w:rsid w:val="004317F7"/>
    <w:rsid w:val="00441B2D"/>
    <w:rsid w:val="004429F8"/>
    <w:rsid w:val="00443FE3"/>
    <w:rsid w:val="0044424E"/>
    <w:rsid w:val="00444CB6"/>
    <w:rsid w:val="00451E4E"/>
    <w:rsid w:val="004605FB"/>
    <w:rsid w:val="00460B97"/>
    <w:rsid w:val="00461A5A"/>
    <w:rsid w:val="0046330D"/>
    <w:rsid w:val="004658AB"/>
    <w:rsid w:val="00471711"/>
    <w:rsid w:val="00471E77"/>
    <w:rsid w:val="00473134"/>
    <w:rsid w:val="00475590"/>
    <w:rsid w:val="00481374"/>
    <w:rsid w:val="00487969"/>
    <w:rsid w:val="0049255F"/>
    <w:rsid w:val="00494AF1"/>
    <w:rsid w:val="004A1AF7"/>
    <w:rsid w:val="004A519A"/>
    <w:rsid w:val="004B597A"/>
    <w:rsid w:val="004B5D59"/>
    <w:rsid w:val="004C0E35"/>
    <w:rsid w:val="004D1419"/>
    <w:rsid w:val="004D21E1"/>
    <w:rsid w:val="004D2432"/>
    <w:rsid w:val="004D2F39"/>
    <w:rsid w:val="004D4510"/>
    <w:rsid w:val="004D526F"/>
    <w:rsid w:val="004E0F61"/>
    <w:rsid w:val="004E2199"/>
    <w:rsid w:val="004F0719"/>
    <w:rsid w:val="004F38A7"/>
    <w:rsid w:val="00500530"/>
    <w:rsid w:val="00501D35"/>
    <w:rsid w:val="005032C9"/>
    <w:rsid w:val="00503DE0"/>
    <w:rsid w:val="00516C26"/>
    <w:rsid w:val="0052062C"/>
    <w:rsid w:val="00520967"/>
    <w:rsid w:val="005211CD"/>
    <w:rsid w:val="00524053"/>
    <w:rsid w:val="005242CD"/>
    <w:rsid w:val="0052476E"/>
    <w:rsid w:val="00524D01"/>
    <w:rsid w:val="00525880"/>
    <w:rsid w:val="00530542"/>
    <w:rsid w:val="005364AB"/>
    <w:rsid w:val="005379C8"/>
    <w:rsid w:val="00537C10"/>
    <w:rsid w:val="0054235E"/>
    <w:rsid w:val="005440A6"/>
    <w:rsid w:val="00547F28"/>
    <w:rsid w:val="00553E50"/>
    <w:rsid w:val="00554891"/>
    <w:rsid w:val="00556978"/>
    <w:rsid w:val="005642B5"/>
    <w:rsid w:val="00564E6F"/>
    <w:rsid w:val="00565D22"/>
    <w:rsid w:val="00576700"/>
    <w:rsid w:val="00582414"/>
    <w:rsid w:val="00583869"/>
    <w:rsid w:val="0058440D"/>
    <w:rsid w:val="00586ECF"/>
    <w:rsid w:val="005939C7"/>
    <w:rsid w:val="005955D2"/>
    <w:rsid w:val="005A195F"/>
    <w:rsid w:val="005A1BA0"/>
    <w:rsid w:val="005A3AF6"/>
    <w:rsid w:val="005A4284"/>
    <w:rsid w:val="005A5428"/>
    <w:rsid w:val="005A6B0C"/>
    <w:rsid w:val="005B5E35"/>
    <w:rsid w:val="005B7640"/>
    <w:rsid w:val="005C43A3"/>
    <w:rsid w:val="005C4500"/>
    <w:rsid w:val="005D139C"/>
    <w:rsid w:val="005D2DB3"/>
    <w:rsid w:val="005D36C5"/>
    <w:rsid w:val="005D3E5C"/>
    <w:rsid w:val="005D40EF"/>
    <w:rsid w:val="005D4A91"/>
    <w:rsid w:val="005D6096"/>
    <w:rsid w:val="005D6FA0"/>
    <w:rsid w:val="005E1091"/>
    <w:rsid w:val="005E302F"/>
    <w:rsid w:val="005E33D7"/>
    <w:rsid w:val="005E4545"/>
    <w:rsid w:val="005E5C42"/>
    <w:rsid w:val="005F3781"/>
    <w:rsid w:val="005F4C74"/>
    <w:rsid w:val="00603E6F"/>
    <w:rsid w:val="00604448"/>
    <w:rsid w:val="00610BEF"/>
    <w:rsid w:val="00610D1F"/>
    <w:rsid w:val="00617F1D"/>
    <w:rsid w:val="00620252"/>
    <w:rsid w:val="006260D5"/>
    <w:rsid w:val="00626E45"/>
    <w:rsid w:val="0062732E"/>
    <w:rsid w:val="00632526"/>
    <w:rsid w:val="00633F6D"/>
    <w:rsid w:val="00636BA8"/>
    <w:rsid w:val="006413E3"/>
    <w:rsid w:val="00641710"/>
    <w:rsid w:val="00641800"/>
    <w:rsid w:val="006448BF"/>
    <w:rsid w:val="00647F31"/>
    <w:rsid w:val="006507F2"/>
    <w:rsid w:val="006563B5"/>
    <w:rsid w:val="00657C19"/>
    <w:rsid w:val="006658B1"/>
    <w:rsid w:val="0067362A"/>
    <w:rsid w:val="006747F0"/>
    <w:rsid w:val="00676650"/>
    <w:rsid w:val="006768E9"/>
    <w:rsid w:val="00677F7E"/>
    <w:rsid w:val="00680198"/>
    <w:rsid w:val="00690847"/>
    <w:rsid w:val="00692996"/>
    <w:rsid w:val="00694217"/>
    <w:rsid w:val="006963D9"/>
    <w:rsid w:val="00697269"/>
    <w:rsid w:val="00697B41"/>
    <w:rsid w:val="006A3A10"/>
    <w:rsid w:val="006A3F97"/>
    <w:rsid w:val="006A64B0"/>
    <w:rsid w:val="006B074E"/>
    <w:rsid w:val="006B0873"/>
    <w:rsid w:val="006B1E00"/>
    <w:rsid w:val="006B2BD5"/>
    <w:rsid w:val="006B5F63"/>
    <w:rsid w:val="006B6F0C"/>
    <w:rsid w:val="006C6BC3"/>
    <w:rsid w:val="006C6FA1"/>
    <w:rsid w:val="006D0E3D"/>
    <w:rsid w:val="006D2404"/>
    <w:rsid w:val="006E21FA"/>
    <w:rsid w:val="006E365C"/>
    <w:rsid w:val="006F0022"/>
    <w:rsid w:val="006F1F11"/>
    <w:rsid w:val="006F278C"/>
    <w:rsid w:val="006F284C"/>
    <w:rsid w:val="006F4325"/>
    <w:rsid w:val="006F4C0F"/>
    <w:rsid w:val="006F6AB8"/>
    <w:rsid w:val="006F7227"/>
    <w:rsid w:val="006F77F2"/>
    <w:rsid w:val="00702366"/>
    <w:rsid w:val="00702F58"/>
    <w:rsid w:val="00704A95"/>
    <w:rsid w:val="007065F3"/>
    <w:rsid w:val="007134F2"/>
    <w:rsid w:val="007136B8"/>
    <w:rsid w:val="00714C32"/>
    <w:rsid w:val="007157E9"/>
    <w:rsid w:val="007163BC"/>
    <w:rsid w:val="00720322"/>
    <w:rsid w:val="00720953"/>
    <w:rsid w:val="00721734"/>
    <w:rsid w:val="007222A4"/>
    <w:rsid w:val="007268EB"/>
    <w:rsid w:val="00730AE3"/>
    <w:rsid w:val="007311A7"/>
    <w:rsid w:val="0073257E"/>
    <w:rsid w:val="00736BC2"/>
    <w:rsid w:val="0074178E"/>
    <w:rsid w:val="00742174"/>
    <w:rsid w:val="00742226"/>
    <w:rsid w:val="00745B86"/>
    <w:rsid w:val="00753404"/>
    <w:rsid w:val="0075369D"/>
    <w:rsid w:val="0075669F"/>
    <w:rsid w:val="00756B95"/>
    <w:rsid w:val="00760775"/>
    <w:rsid w:val="00780CBC"/>
    <w:rsid w:val="007836CD"/>
    <w:rsid w:val="00787540"/>
    <w:rsid w:val="007875CB"/>
    <w:rsid w:val="00787CF0"/>
    <w:rsid w:val="0079325E"/>
    <w:rsid w:val="00797389"/>
    <w:rsid w:val="007A0CF4"/>
    <w:rsid w:val="007A1FFD"/>
    <w:rsid w:val="007B11DA"/>
    <w:rsid w:val="007B1587"/>
    <w:rsid w:val="007B3E88"/>
    <w:rsid w:val="007B6A6E"/>
    <w:rsid w:val="007B7E77"/>
    <w:rsid w:val="007C5285"/>
    <w:rsid w:val="007C633B"/>
    <w:rsid w:val="007D05DF"/>
    <w:rsid w:val="007D21FD"/>
    <w:rsid w:val="007D3182"/>
    <w:rsid w:val="007E0F8B"/>
    <w:rsid w:val="007E373A"/>
    <w:rsid w:val="007E3A0F"/>
    <w:rsid w:val="007F4C28"/>
    <w:rsid w:val="00802C23"/>
    <w:rsid w:val="00807B1D"/>
    <w:rsid w:val="00807CF1"/>
    <w:rsid w:val="0081174F"/>
    <w:rsid w:val="0081200C"/>
    <w:rsid w:val="008147BE"/>
    <w:rsid w:val="0082205C"/>
    <w:rsid w:val="00825524"/>
    <w:rsid w:val="00830346"/>
    <w:rsid w:val="0083083D"/>
    <w:rsid w:val="00831BF6"/>
    <w:rsid w:val="0083211E"/>
    <w:rsid w:val="008341A5"/>
    <w:rsid w:val="00834BE3"/>
    <w:rsid w:val="00840860"/>
    <w:rsid w:val="00841BF7"/>
    <w:rsid w:val="0084477F"/>
    <w:rsid w:val="00846C8A"/>
    <w:rsid w:val="00852057"/>
    <w:rsid w:val="008538C8"/>
    <w:rsid w:val="00853BE9"/>
    <w:rsid w:val="00855F21"/>
    <w:rsid w:val="008630B6"/>
    <w:rsid w:val="008632DF"/>
    <w:rsid w:val="00864B12"/>
    <w:rsid w:val="00870D40"/>
    <w:rsid w:val="00871157"/>
    <w:rsid w:val="00877026"/>
    <w:rsid w:val="00884C2F"/>
    <w:rsid w:val="00885CF1"/>
    <w:rsid w:val="0088605A"/>
    <w:rsid w:val="00891DDE"/>
    <w:rsid w:val="00897C9D"/>
    <w:rsid w:val="00897FF4"/>
    <w:rsid w:val="008A0E80"/>
    <w:rsid w:val="008A12E7"/>
    <w:rsid w:val="008A486F"/>
    <w:rsid w:val="008A70DE"/>
    <w:rsid w:val="008A79CC"/>
    <w:rsid w:val="008B0C4D"/>
    <w:rsid w:val="008B196B"/>
    <w:rsid w:val="008B2DB4"/>
    <w:rsid w:val="008B348C"/>
    <w:rsid w:val="008B3D32"/>
    <w:rsid w:val="008B52D8"/>
    <w:rsid w:val="008B781E"/>
    <w:rsid w:val="008C013C"/>
    <w:rsid w:val="008C06BA"/>
    <w:rsid w:val="008C1E35"/>
    <w:rsid w:val="008C46C7"/>
    <w:rsid w:val="008D0439"/>
    <w:rsid w:val="008D183F"/>
    <w:rsid w:val="008D4AAB"/>
    <w:rsid w:val="008D5AA2"/>
    <w:rsid w:val="008D5D64"/>
    <w:rsid w:val="008D6254"/>
    <w:rsid w:val="008D7A9F"/>
    <w:rsid w:val="008E1E58"/>
    <w:rsid w:val="008E54C9"/>
    <w:rsid w:val="008E5F84"/>
    <w:rsid w:val="008E7500"/>
    <w:rsid w:val="008F1529"/>
    <w:rsid w:val="008F15C5"/>
    <w:rsid w:val="008F3114"/>
    <w:rsid w:val="008F5BDC"/>
    <w:rsid w:val="008F6C3B"/>
    <w:rsid w:val="009067F8"/>
    <w:rsid w:val="00911096"/>
    <w:rsid w:val="00922584"/>
    <w:rsid w:val="00922EAD"/>
    <w:rsid w:val="00924E97"/>
    <w:rsid w:val="009256FF"/>
    <w:rsid w:val="00925C30"/>
    <w:rsid w:val="00925F08"/>
    <w:rsid w:val="0092794B"/>
    <w:rsid w:val="00931262"/>
    <w:rsid w:val="00934F52"/>
    <w:rsid w:val="0093559A"/>
    <w:rsid w:val="00936740"/>
    <w:rsid w:val="009402E8"/>
    <w:rsid w:val="00940332"/>
    <w:rsid w:val="00940D5F"/>
    <w:rsid w:val="009418CE"/>
    <w:rsid w:val="009449FF"/>
    <w:rsid w:val="00947DE8"/>
    <w:rsid w:val="00953856"/>
    <w:rsid w:val="009541EC"/>
    <w:rsid w:val="009543AC"/>
    <w:rsid w:val="009547DA"/>
    <w:rsid w:val="00954BDE"/>
    <w:rsid w:val="009554D5"/>
    <w:rsid w:val="009577EE"/>
    <w:rsid w:val="00965286"/>
    <w:rsid w:val="0096632E"/>
    <w:rsid w:val="00966FAF"/>
    <w:rsid w:val="009676B6"/>
    <w:rsid w:val="0097067A"/>
    <w:rsid w:val="00976AA3"/>
    <w:rsid w:val="009778E3"/>
    <w:rsid w:val="009842E8"/>
    <w:rsid w:val="009867EB"/>
    <w:rsid w:val="00987505"/>
    <w:rsid w:val="00990D06"/>
    <w:rsid w:val="009A659E"/>
    <w:rsid w:val="009B350E"/>
    <w:rsid w:val="009B5E1D"/>
    <w:rsid w:val="009B7000"/>
    <w:rsid w:val="009D2F92"/>
    <w:rsid w:val="009D3B71"/>
    <w:rsid w:val="009D52F0"/>
    <w:rsid w:val="009E1A01"/>
    <w:rsid w:val="009E2B79"/>
    <w:rsid w:val="009E4E77"/>
    <w:rsid w:val="009F074F"/>
    <w:rsid w:val="009F7FA4"/>
    <w:rsid w:val="00A02391"/>
    <w:rsid w:val="00A026DA"/>
    <w:rsid w:val="00A05B65"/>
    <w:rsid w:val="00A10051"/>
    <w:rsid w:val="00A11A1F"/>
    <w:rsid w:val="00A145CD"/>
    <w:rsid w:val="00A15C45"/>
    <w:rsid w:val="00A20E7F"/>
    <w:rsid w:val="00A20F36"/>
    <w:rsid w:val="00A20FC6"/>
    <w:rsid w:val="00A211F1"/>
    <w:rsid w:val="00A25211"/>
    <w:rsid w:val="00A2592E"/>
    <w:rsid w:val="00A25D8E"/>
    <w:rsid w:val="00A30DAD"/>
    <w:rsid w:val="00A318BA"/>
    <w:rsid w:val="00A327B8"/>
    <w:rsid w:val="00A364EB"/>
    <w:rsid w:val="00A3709F"/>
    <w:rsid w:val="00A41EB0"/>
    <w:rsid w:val="00A43C13"/>
    <w:rsid w:val="00A44BFC"/>
    <w:rsid w:val="00A45426"/>
    <w:rsid w:val="00A46EF4"/>
    <w:rsid w:val="00A5618C"/>
    <w:rsid w:val="00A571FD"/>
    <w:rsid w:val="00A577C7"/>
    <w:rsid w:val="00A65284"/>
    <w:rsid w:val="00A65623"/>
    <w:rsid w:val="00A67E91"/>
    <w:rsid w:val="00A73650"/>
    <w:rsid w:val="00A74169"/>
    <w:rsid w:val="00A759B0"/>
    <w:rsid w:val="00A76F9B"/>
    <w:rsid w:val="00A82BB6"/>
    <w:rsid w:val="00A90B75"/>
    <w:rsid w:val="00A91AF1"/>
    <w:rsid w:val="00A93109"/>
    <w:rsid w:val="00A933A8"/>
    <w:rsid w:val="00A94E5A"/>
    <w:rsid w:val="00A97040"/>
    <w:rsid w:val="00AA014E"/>
    <w:rsid w:val="00AA348D"/>
    <w:rsid w:val="00AA4CF0"/>
    <w:rsid w:val="00AA6F81"/>
    <w:rsid w:val="00AB1DAA"/>
    <w:rsid w:val="00AB3799"/>
    <w:rsid w:val="00AB4101"/>
    <w:rsid w:val="00AB5C14"/>
    <w:rsid w:val="00AB7371"/>
    <w:rsid w:val="00AC087C"/>
    <w:rsid w:val="00AC1E69"/>
    <w:rsid w:val="00AD0365"/>
    <w:rsid w:val="00AD60F1"/>
    <w:rsid w:val="00AD641A"/>
    <w:rsid w:val="00AE0300"/>
    <w:rsid w:val="00AE6659"/>
    <w:rsid w:val="00AF2752"/>
    <w:rsid w:val="00AF2B77"/>
    <w:rsid w:val="00AF4414"/>
    <w:rsid w:val="00AF53F5"/>
    <w:rsid w:val="00AF64D5"/>
    <w:rsid w:val="00B00950"/>
    <w:rsid w:val="00B016E9"/>
    <w:rsid w:val="00B01CAF"/>
    <w:rsid w:val="00B05C81"/>
    <w:rsid w:val="00B10FE3"/>
    <w:rsid w:val="00B123A4"/>
    <w:rsid w:val="00B26AA9"/>
    <w:rsid w:val="00B271A0"/>
    <w:rsid w:val="00B3299A"/>
    <w:rsid w:val="00B32F93"/>
    <w:rsid w:val="00B37018"/>
    <w:rsid w:val="00B41282"/>
    <w:rsid w:val="00B42301"/>
    <w:rsid w:val="00B46A2A"/>
    <w:rsid w:val="00B56B11"/>
    <w:rsid w:val="00B56FA4"/>
    <w:rsid w:val="00B63934"/>
    <w:rsid w:val="00B67DA6"/>
    <w:rsid w:val="00B76D97"/>
    <w:rsid w:val="00B8357E"/>
    <w:rsid w:val="00B85F9B"/>
    <w:rsid w:val="00B87BD0"/>
    <w:rsid w:val="00B90BDA"/>
    <w:rsid w:val="00B97BDA"/>
    <w:rsid w:val="00BA1498"/>
    <w:rsid w:val="00BA3233"/>
    <w:rsid w:val="00BA4C40"/>
    <w:rsid w:val="00BA4F42"/>
    <w:rsid w:val="00BA6AD8"/>
    <w:rsid w:val="00BB395B"/>
    <w:rsid w:val="00BB3AC7"/>
    <w:rsid w:val="00BB479C"/>
    <w:rsid w:val="00BC141E"/>
    <w:rsid w:val="00BC17D0"/>
    <w:rsid w:val="00BC6B09"/>
    <w:rsid w:val="00BC705C"/>
    <w:rsid w:val="00BC7A78"/>
    <w:rsid w:val="00BE1E85"/>
    <w:rsid w:val="00BE37A4"/>
    <w:rsid w:val="00BE45DE"/>
    <w:rsid w:val="00BE62F5"/>
    <w:rsid w:val="00BF18B9"/>
    <w:rsid w:val="00BF1F6B"/>
    <w:rsid w:val="00BF6050"/>
    <w:rsid w:val="00BF6609"/>
    <w:rsid w:val="00C019CD"/>
    <w:rsid w:val="00C023EE"/>
    <w:rsid w:val="00C04810"/>
    <w:rsid w:val="00C05456"/>
    <w:rsid w:val="00C07237"/>
    <w:rsid w:val="00C076A9"/>
    <w:rsid w:val="00C13669"/>
    <w:rsid w:val="00C148A4"/>
    <w:rsid w:val="00C15BBB"/>
    <w:rsid w:val="00C230CC"/>
    <w:rsid w:val="00C24EC5"/>
    <w:rsid w:val="00C25906"/>
    <w:rsid w:val="00C2619C"/>
    <w:rsid w:val="00C26975"/>
    <w:rsid w:val="00C31FC0"/>
    <w:rsid w:val="00C349F2"/>
    <w:rsid w:val="00C34AE8"/>
    <w:rsid w:val="00C34E0E"/>
    <w:rsid w:val="00C36979"/>
    <w:rsid w:val="00C37FF1"/>
    <w:rsid w:val="00C43C4B"/>
    <w:rsid w:val="00C45393"/>
    <w:rsid w:val="00C46475"/>
    <w:rsid w:val="00C503C1"/>
    <w:rsid w:val="00C507CD"/>
    <w:rsid w:val="00C54E82"/>
    <w:rsid w:val="00C56B6D"/>
    <w:rsid w:val="00C61243"/>
    <w:rsid w:val="00C66774"/>
    <w:rsid w:val="00C66921"/>
    <w:rsid w:val="00C71C2D"/>
    <w:rsid w:val="00C729D6"/>
    <w:rsid w:val="00C73AEC"/>
    <w:rsid w:val="00C77FFE"/>
    <w:rsid w:val="00C827FA"/>
    <w:rsid w:val="00C82F60"/>
    <w:rsid w:val="00C85EA4"/>
    <w:rsid w:val="00C90052"/>
    <w:rsid w:val="00C90241"/>
    <w:rsid w:val="00C90641"/>
    <w:rsid w:val="00C912ED"/>
    <w:rsid w:val="00C912FE"/>
    <w:rsid w:val="00C914FA"/>
    <w:rsid w:val="00C959AC"/>
    <w:rsid w:val="00CA1572"/>
    <w:rsid w:val="00CA2E00"/>
    <w:rsid w:val="00CA63A7"/>
    <w:rsid w:val="00CA6B87"/>
    <w:rsid w:val="00CB0728"/>
    <w:rsid w:val="00CB10B1"/>
    <w:rsid w:val="00CB328B"/>
    <w:rsid w:val="00CB6238"/>
    <w:rsid w:val="00CB7B0D"/>
    <w:rsid w:val="00CC1127"/>
    <w:rsid w:val="00CC2031"/>
    <w:rsid w:val="00CC3062"/>
    <w:rsid w:val="00CD56F0"/>
    <w:rsid w:val="00CD6E34"/>
    <w:rsid w:val="00CE00D6"/>
    <w:rsid w:val="00CE12DE"/>
    <w:rsid w:val="00CE19B2"/>
    <w:rsid w:val="00CE51C3"/>
    <w:rsid w:val="00CF0931"/>
    <w:rsid w:val="00CF0DC6"/>
    <w:rsid w:val="00CF13AF"/>
    <w:rsid w:val="00CF1AE6"/>
    <w:rsid w:val="00CF1CFA"/>
    <w:rsid w:val="00CF1D3F"/>
    <w:rsid w:val="00CF422B"/>
    <w:rsid w:val="00CF42EB"/>
    <w:rsid w:val="00CF4F69"/>
    <w:rsid w:val="00D02FE4"/>
    <w:rsid w:val="00D04C12"/>
    <w:rsid w:val="00D1142B"/>
    <w:rsid w:val="00D144C5"/>
    <w:rsid w:val="00D15589"/>
    <w:rsid w:val="00D167D2"/>
    <w:rsid w:val="00D22AE8"/>
    <w:rsid w:val="00D2607D"/>
    <w:rsid w:val="00D34BE2"/>
    <w:rsid w:val="00D35ACA"/>
    <w:rsid w:val="00D36F78"/>
    <w:rsid w:val="00D37E28"/>
    <w:rsid w:val="00D41ADA"/>
    <w:rsid w:val="00D42986"/>
    <w:rsid w:val="00D432AD"/>
    <w:rsid w:val="00D45281"/>
    <w:rsid w:val="00D45DB0"/>
    <w:rsid w:val="00D46031"/>
    <w:rsid w:val="00D505AE"/>
    <w:rsid w:val="00D51069"/>
    <w:rsid w:val="00D54EC8"/>
    <w:rsid w:val="00D56C7E"/>
    <w:rsid w:val="00D6350C"/>
    <w:rsid w:val="00D740E7"/>
    <w:rsid w:val="00D76DC5"/>
    <w:rsid w:val="00D772EF"/>
    <w:rsid w:val="00D816F0"/>
    <w:rsid w:val="00D82985"/>
    <w:rsid w:val="00D82C9F"/>
    <w:rsid w:val="00D84653"/>
    <w:rsid w:val="00D90DB8"/>
    <w:rsid w:val="00D91DF1"/>
    <w:rsid w:val="00D92063"/>
    <w:rsid w:val="00D9294F"/>
    <w:rsid w:val="00D933B6"/>
    <w:rsid w:val="00D9537D"/>
    <w:rsid w:val="00DA024B"/>
    <w:rsid w:val="00DA2AF0"/>
    <w:rsid w:val="00DA434E"/>
    <w:rsid w:val="00DA49A8"/>
    <w:rsid w:val="00DA570A"/>
    <w:rsid w:val="00DA69B1"/>
    <w:rsid w:val="00DB021A"/>
    <w:rsid w:val="00DB294C"/>
    <w:rsid w:val="00DB6014"/>
    <w:rsid w:val="00DB76E5"/>
    <w:rsid w:val="00DC1BF1"/>
    <w:rsid w:val="00DC1F53"/>
    <w:rsid w:val="00DC6F7A"/>
    <w:rsid w:val="00DC78D2"/>
    <w:rsid w:val="00DC7FC7"/>
    <w:rsid w:val="00DD25E4"/>
    <w:rsid w:val="00DD2EBF"/>
    <w:rsid w:val="00DD434E"/>
    <w:rsid w:val="00DD52CC"/>
    <w:rsid w:val="00DD5441"/>
    <w:rsid w:val="00DD5F47"/>
    <w:rsid w:val="00DD6DF6"/>
    <w:rsid w:val="00DE00D2"/>
    <w:rsid w:val="00DE308B"/>
    <w:rsid w:val="00DE53CB"/>
    <w:rsid w:val="00DE7957"/>
    <w:rsid w:val="00DF0B22"/>
    <w:rsid w:val="00DF1A90"/>
    <w:rsid w:val="00DF2DB3"/>
    <w:rsid w:val="00DF3AE9"/>
    <w:rsid w:val="00DF3BF7"/>
    <w:rsid w:val="00DF4190"/>
    <w:rsid w:val="00E00A32"/>
    <w:rsid w:val="00E076E1"/>
    <w:rsid w:val="00E1479D"/>
    <w:rsid w:val="00E15440"/>
    <w:rsid w:val="00E17969"/>
    <w:rsid w:val="00E22514"/>
    <w:rsid w:val="00E31020"/>
    <w:rsid w:val="00E37A7A"/>
    <w:rsid w:val="00E43D22"/>
    <w:rsid w:val="00E459C2"/>
    <w:rsid w:val="00E47630"/>
    <w:rsid w:val="00E5458F"/>
    <w:rsid w:val="00E55B3B"/>
    <w:rsid w:val="00E55E91"/>
    <w:rsid w:val="00E60352"/>
    <w:rsid w:val="00E6552F"/>
    <w:rsid w:val="00E668F8"/>
    <w:rsid w:val="00E676CC"/>
    <w:rsid w:val="00E7540B"/>
    <w:rsid w:val="00E80560"/>
    <w:rsid w:val="00E83695"/>
    <w:rsid w:val="00E83718"/>
    <w:rsid w:val="00E83A50"/>
    <w:rsid w:val="00E84B4F"/>
    <w:rsid w:val="00E92D93"/>
    <w:rsid w:val="00E946FE"/>
    <w:rsid w:val="00E94CB2"/>
    <w:rsid w:val="00E97CE8"/>
    <w:rsid w:val="00EA025F"/>
    <w:rsid w:val="00EA0C2D"/>
    <w:rsid w:val="00EA1588"/>
    <w:rsid w:val="00EA37CC"/>
    <w:rsid w:val="00EA3AC5"/>
    <w:rsid w:val="00EA6692"/>
    <w:rsid w:val="00EA7525"/>
    <w:rsid w:val="00EA79B3"/>
    <w:rsid w:val="00EB4527"/>
    <w:rsid w:val="00EB6007"/>
    <w:rsid w:val="00EC0891"/>
    <w:rsid w:val="00EC3798"/>
    <w:rsid w:val="00EC57DF"/>
    <w:rsid w:val="00ED0506"/>
    <w:rsid w:val="00ED1275"/>
    <w:rsid w:val="00ED32DD"/>
    <w:rsid w:val="00ED5439"/>
    <w:rsid w:val="00EE3E3D"/>
    <w:rsid w:val="00EE48AF"/>
    <w:rsid w:val="00EE51DB"/>
    <w:rsid w:val="00EE6392"/>
    <w:rsid w:val="00EE720D"/>
    <w:rsid w:val="00EF3496"/>
    <w:rsid w:val="00F014D0"/>
    <w:rsid w:val="00F02E15"/>
    <w:rsid w:val="00F032B8"/>
    <w:rsid w:val="00F0698A"/>
    <w:rsid w:val="00F07695"/>
    <w:rsid w:val="00F13DC0"/>
    <w:rsid w:val="00F14485"/>
    <w:rsid w:val="00F14C36"/>
    <w:rsid w:val="00F15134"/>
    <w:rsid w:val="00F16F02"/>
    <w:rsid w:val="00F2049D"/>
    <w:rsid w:val="00F23988"/>
    <w:rsid w:val="00F252A0"/>
    <w:rsid w:val="00F26A60"/>
    <w:rsid w:val="00F26A79"/>
    <w:rsid w:val="00F32C2D"/>
    <w:rsid w:val="00F40894"/>
    <w:rsid w:val="00F45F51"/>
    <w:rsid w:val="00F465B6"/>
    <w:rsid w:val="00F513A6"/>
    <w:rsid w:val="00F518D0"/>
    <w:rsid w:val="00F51C48"/>
    <w:rsid w:val="00F52538"/>
    <w:rsid w:val="00F52970"/>
    <w:rsid w:val="00F52A42"/>
    <w:rsid w:val="00F52EA3"/>
    <w:rsid w:val="00F558FC"/>
    <w:rsid w:val="00F57813"/>
    <w:rsid w:val="00F615E1"/>
    <w:rsid w:val="00F61B78"/>
    <w:rsid w:val="00F6337D"/>
    <w:rsid w:val="00F64613"/>
    <w:rsid w:val="00F64CB9"/>
    <w:rsid w:val="00F66613"/>
    <w:rsid w:val="00F67181"/>
    <w:rsid w:val="00F71F6A"/>
    <w:rsid w:val="00F75BC2"/>
    <w:rsid w:val="00F77628"/>
    <w:rsid w:val="00F80CD8"/>
    <w:rsid w:val="00F82FD3"/>
    <w:rsid w:val="00F838DD"/>
    <w:rsid w:val="00F8480B"/>
    <w:rsid w:val="00F870D3"/>
    <w:rsid w:val="00F9257C"/>
    <w:rsid w:val="00F9574C"/>
    <w:rsid w:val="00F96C61"/>
    <w:rsid w:val="00FA0A9C"/>
    <w:rsid w:val="00FA2002"/>
    <w:rsid w:val="00FA248F"/>
    <w:rsid w:val="00FA4057"/>
    <w:rsid w:val="00FA48F4"/>
    <w:rsid w:val="00FB2BE8"/>
    <w:rsid w:val="00FB3B70"/>
    <w:rsid w:val="00FC0855"/>
    <w:rsid w:val="00FC1D53"/>
    <w:rsid w:val="00FC3DBE"/>
    <w:rsid w:val="00FC612E"/>
    <w:rsid w:val="00FC6159"/>
    <w:rsid w:val="00FC6AA3"/>
    <w:rsid w:val="00FD04E9"/>
    <w:rsid w:val="00FD061C"/>
    <w:rsid w:val="00FD084E"/>
    <w:rsid w:val="00FD1FDD"/>
    <w:rsid w:val="00FD381E"/>
    <w:rsid w:val="00FD45A2"/>
    <w:rsid w:val="00FD4BE9"/>
    <w:rsid w:val="00FE0E67"/>
    <w:rsid w:val="00FE3CD9"/>
    <w:rsid w:val="00FE66BB"/>
    <w:rsid w:val="00FF06A6"/>
    <w:rsid w:val="00FF0E9F"/>
    <w:rsid w:val="00FF3FEA"/>
    <w:rsid w:val="00FF41CD"/>
    <w:rsid w:val="00FF51A4"/>
    <w:rsid w:val="00FF700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1B848"/>
  <w15:docId w15:val="{BE411D04-F7FB-4D5E-913A-2ACA03A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3B017B"/>
    <w:pPr>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364AB"/>
    <w:rPr>
      <w:snapToGrid w:val="0"/>
      <w:sz w:val="22"/>
      <w:szCs w:val="18"/>
      <w:lang w:val="en-GB"/>
    </w:rPr>
  </w:style>
  <w:style w:type="paragraph" w:customStyle="1" w:styleId="Para10">
    <w:name w:val="Para 1"/>
    <w:basedOn w:val="BodyText"/>
    <w:rsid w:val="00C914FA"/>
    <w:pPr>
      <w:ind w:firstLine="0"/>
    </w:pPr>
    <w:rPr>
      <w:rFonts w:eastAsia="MS Mincho" w:cs="Angsana New"/>
      <w:bCs/>
      <w:iCs w:val="0"/>
      <w:szCs w:val="22"/>
    </w:rPr>
  </w:style>
  <w:style w:type="paragraph" w:customStyle="1" w:styleId="Default">
    <w:name w:val="Default"/>
    <w:basedOn w:val="Normal"/>
    <w:rsid w:val="00AB5C14"/>
    <w:pPr>
      <w:autoSpaceDE w:val="0"/>
      <w:autoSpaceDN w:val="0"/>
      <w:jc w:val="left"/>
    </w:pPr>
    <w:rPr>
      <w:rFonts w:ascii="Calibri" w:eastAsiaTheme="minorHAnsi" w:hAnsi="Calibri"/>
      <w:color w:val="000000"/>
      <w:sz w:val="24"/>
      <w:lang w:val="en-CA" w:eastAsia="en-CA"/>
    </w:rPr>
  </w:style>
  <w:style w:type="character" w:customStyle="1" w:styleId="UnresolvedMention1">
    <w:name w:val="Unresolved Mention1"/>
    <w:basedOn w:val="DefaultParagraphFont"/>
    <w:uiPriority w:val="99"/>
    <w:semiHidden/>
    <w:unhideWhenUsed/>
    <w:rsid w:val="003A27ED"/>
    <w:rPr>
      <w:color w:val="808080"/>
      <w:shd w:val="clear" w:color="auto" w:fill="E6E6E6"/>
    </w:rPr>
  </w:style>
  <w:style w:type="character" w:customStyle="1" w:styleId="UnresolvedMention2">
    <w:name w:val="Unresolved Mention2"/>
    <w:basedOn w:val="DefaultParagraphFont"/>
    <w:uiPriority w:val="99"/>
    <w:semiHidden/>
    <w:unhideWhenUsed/>
    <w:rsid w:val="005D2D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615">
      <w:bodyDiv w:val="1"/>
      <w:marLeft w:val="0"/>
      <w:marRight w:val="0"/>
      <w:marTop w:val="0"/>
      <w:marBottom w:val="0"/>
      <w:divBdr>
        <w:top w:val="none" w:sz="0" w:space="0" w:color="auto"/>
        <w:left w:val="none" w:sz="0" w:space="0" w:color="auto"/>
        <w:bottom w:val="none" w:sz="0" w:space="0" w:color="auto"/>
        <w:right w:val="none" w:sz="0" w:space="0" w:color="auto"/>
      </w:divBdr>
    </w:div>
    <w:div w:id="247496387">
      <w:bodyDiv w:val="1"/>
      <w:marLeft w:val="0"/>
      <w:marRight w:val="0"/>
      <w:marTop w:val="0"/>
      <w:marBottom w:val="0"/>
      <w:divBdr>
        <w:top w:val="none" w:sz="0" w:space="0" w:color="auto"/>
        <w:left w:val="none" w:sz="0" w:space="0" w:color="auto"/>
        <w:bottom w:val="none" w:sz="0" w:space="0" w:color="auto"/>
        <w:right w:val="none" w:sz="0" w:space="0" w:color="auto"/>
      </w:divBdr>
      <w:divsChild>
        <w:div w:id="2059355538">
          <w:marLeft w:val="0"/>
          <w:marRight w:val="0"/>
          <w:marTop w:val="0"/>
          <w:marBottom w:val="0"/>
          <w:divBdr>
            <w:top w:val="none" w:sz="0" w:space="0" w:color="auto"/>
            <w:left w:val="none" w:sz="0" w:space="0" w:color="auto"/>
            <w:bottom w:val="none" w:sz="0" w:space="0" w:color="auto"/>
            <w:right w:val="none" w:sz="0" w:space="0" w:color="auto"/>
          </w:divBdr>
          <w:divsChild>
            <w:div w:id="653798848">
              <w:marLeft w:val="0"/>
              <w:marRight w:val="0"/>
              <w:marTop w:val="0"/>
              <w:marBottom w:val="0"/>
              <w:divBdr>
                <w:top w:val="none" w:sz="0" w:space="0" w:color="auto"/>
                <w:left w:val="none" w:sz="0" w:space="0" w:color="auto"/>
                <w:bottom w:val="none" w:sz="0" w:space="0" w:color="auto"/>
                <w:right w:val="none" w:sz="0" w:space="0" w:color="auto"/>
              </w:divBdr>
              <w:divsChild>
                <w:div w:id="757170024">
                  <w:marLeft w:val="0"/>
                  <w:marRight w:val="0"/>
                  <w:marTop w:val="0"/>
                  <w:marBottom w:val="0"/>
                  <w:divBdr>
                    <w:top w:val="none" w:sz="0" w:space="0" w:color="auto"/>
                    <w:left w:val="none" w:sz="0" w:space="0" w:color="auto"/>
                    <w:bottom w:val="none" w:sz="0" w:space="0" w:color="auto"/>
                    <w:right w:val="none" w:sz="0" w:space="0" w:color="auto"/>
                  </w:divBdr>
                </w:div>
                <w:div w:id="2013019782">
                  <w:marLeft w:val="0"/>
                  <w:marRight w:val="0"/>
                  <w:marTop w:val="0"/>
                  <w:marBottom w:val="0"/>
                  <w:divBdr>
                    <w:top w:val="none" w:sz="0" w:space="0" w:color="auto"/>
                    <w:left w:val="none" w:sz="0" w:space="0" w:color="auto"/>
                    <w:bottom w:val="none" w:sz="0" w:space="0" w:color="auto"/>
                    <w:right w:val="none" w:sz="0" w:space="0" w:color="auto"/>
                  </w:divBdr>
                </w:div>
              </w:divsChild>
            </w:div>
            <w:div w:id="1235358990">
              <w:marLeft w:val="0"/>
              <w:marRight w:val="0"/>
              <w:marTop w:val="0"/>
              <w:marBottom w:val="0"/>
              <w:divBdr>
                <w:top w:val="none" w:sz="0" w:space="0" w:color="auto"/>
                <w:left w:val="none" w:sz="0" w:space="0" w:color="auto"/>
                <w:bottom w:val="none" w:sz="0" w:space="0" w:color="auto"/>
                <w:right w:val="none" w:sz="0" w:space="0" w:color="auto"/>
              </w:divBdr>
              <w:divsChild>
                <w:div w:id="778064028">
                  <w:marLeft w:val="0"/>
                  <w:marRight w:val="0"/>
                  <w:marTop w:val="0"/>
                  <w:marBottom w:val="0"/>
                  <w:divBdr>
                    <w:top w:val="none" w:sz="0" w:space="0" w:color="auto"/>
                    <w:left w:val="none" w:sz="0" w:space="0" w:color="auto"/>
                    <w:bottom w:val="none" w:sz="0" w:space="0" w:color="auto"/>
                    <w:right w:val="none" w:sz="0" w:space="0" w:color="auto"/>
                  </w:divBdr>
                </w:div>
                <w:div w:id="427434989">
                  <w:marLeft w:val="0"/>
                  <w:marRight w:val="0"/>
                  <w:marTop w:val="0"/>
                  <w:marBottom w:val="0"/>
                  <w:divBdr>
                    <w:top w:val="none" w:sz="0" w:space="0" w:color="auto"/>
                    <w:left w:val="none" w:sz="0" w:space="0" w:color="auto"/>
                    <w:bottom w:val="none" w:sz="0" w:space="0" w:color="auto"/>
                    <w:right w:val="none" w:sz="0" w:space="0" w:color="auto"/>
                  </w:divBdr>
                </w:div>
              </w:divsChild>
            </w:div>
            <w:div w:id="1936354595">
              <w:marLeft w:val="0"/>
              <w:marRight w:val="0"/>
              <w:marTop w:val="0"/>
              <w:marBottom w:val="0"/>
              <w:divBdr>
                <w:top w:val="none" w:sz="0" w:space="0" w:color="auto"/>
                <w:left w:val="none" w:sz="0" w:space="0" w:color="auto"/>
                <w:bottom w:val="none" w:sz="0" w:space="0" w:color="auto"/>
                <w:right w:val="none" w:sz="0" w:space="0" w:color="auto"/>
              </w:divBdr>
              <w:divsChild>
                <w:div w:id="1187256369">
                  <w:marLeft w:val="0"/>
                  <w:marRight w:val="0"/>
                  <w:marTop w:val="0"/>
                  <w:marBottom w:val="0"/>
                  <w:divBdr>
                    <w:top w:val="none" w:sz="0" w:space="0" w:color="auto"/>
                    <w:left w:val="none" w:sz="0" w:space="0" w:color="auto"/>
                    <w:bottom w:val="none" w:sz="0" w:space="0" w:color="auto"/>
                    <w:right w:val="none" w:sz="0" w:space="0" w:color="auto"/>
                  </w:divBdr>
                </w:div>
                <w:div w:id="810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486">
          <w:marLeft w:val="0"/>
          <w:marRight w:val="0"/>
          <w:marTop w:val="0"/>
          <w:marBottom w:val="0"/>
          <w:divBdr>
            <w:top w:val="none" w:sz="0" w:space="0" w:color="auto"/>
            <w:left w:val="none" w:sz="0" w:space="0" w:color="auto"/>
            <w:bottom w:val="none" w:sz="0" w:space="0" w:color="auto"/>
            <w:right w:val="none" w:sz="0" w:space="0" w:color="auto"/>
          </w:divBdr>
        </w:div>
        <w:div w:id="566232865">
          <w:marLeft w:val="0"/>
          <w:marRight w:val="0"/>
          <w:marTop w:val="0"/>
          <w:marBottom w:val="0"/>
          <w:divBdr>
            <w:top w:val="none" w:sz="0" w:space="0" w:color="auto"/>
            <w:left w:val="none" w:sz="0" w:space="0" w:color="auto"/>
            <w:bottom w:val="none" w:sz="0" w:space="0" w:color="auto"/>
            <w:right w:val="none" w:sz="0" w:space="0" w:color="auto"/>
          </w:divBdr>
        </w:div>
        <w:div w:id="47806470">
          <w:marLeft w:val="0"/>
          <w:marRight w:val="0"/>
          <w:marTop w:val="0"/>
          <w:marBottom w:val="0"/>
          <w:divBdr>
            <w:top w:val="none" w:sz="0" w:space="0" w:color="auto"/>
            <w:left w:val="none" w:sz="0" w:space="0" w:color="auto"/>
            <w:bottom w:val="none" w:sz="0" w:space="0" w:color="auto"/>
            <w:right w:val="none" w:sz="0" w:space="0" w:color="auto"/>
          </w:divBdr>
        </w:div>
        <w:div w:id="845706674">
          <w:marLeft w:val="0"/>
          <w:marRight w:val="0"/>
          <w:marTop w:val="0"/>
          <w:marBottom w:val="0"/>
          <w:divBdr>
            <w:top w:val="none" w:sz="0" w:space="0" w:color="auto"/>
            <w:left w:val="none" w:sz="0" w:space="0" w:color="auto"/>
            <w:bottom w:val="none" w:sz="0" w:space="0" w:color="auto"/>
            <w:right w:val="none" w:sz="0" w:space="0" w:color="auto"/>
          </w:divBdr>
        </w:div>
        <w:div w:id="1271161280">
          <w:marLeft w:val="0"/>
          <w:marRight w:val="0"/>
          <w:marTop w:val="0"/>
          <w:marBottom w:val="0"/>
          <w:divBdr>
            <w:top w:val="none" w:sz="0" w:space="0" w:color="auto"/>
            <w:left w:val="none" w:sz="0" w:space="0" w:color="auto"/>
            <w:bottom w:val="none" w:sz="0" w:space="0" w:color="auto"/>
            <w:right w:val="none" w:sz="0" w:space="0" w:color="auto"/>
          </w:divBdr>
        </w:div>
        <w:div w:id="926963331">
          <w:marLeft w:val="0"/>
          <w:marRight w:val="0"/>
          <w:marTop w:val="0"/>
          <w:marBottom w:val="0"/>
          <w:divBdr>
            <w:top w:val="none" w:sz="0" w:space="0" w:color="auto"/>
            <w:left w:val="none" w:sz="0" w:space="0" w:color="auto"/>
            <w:bottom w:val="none" w:sz="0" w:space="0" w:color="auto"/>
            <w:right w:val="none" w:sz="0" w:space="0" w:color="auto"/>
          </w:divBdr>
        </w:div>
      </w:divsChild>
    </w:div>
    <w:div w:id="709499939">
      <w:bodyDiv w:val="1"/>
      <w:marLeft w:val="0"/>
      <w:marRight w:val="0"/>
      <w:marTop w:val="0"/>
      <w:marBottom w:val="0"/>
      <w:divBdr>
        <w:top w:val="none" w:sz="0" w:space="0" w:color="auto"/>
        <w:left w:val="none" w:sz="0" w:space="0" w:color="auto"/>
        <w:bottom w:val="none" w:sz="0" w:space="0" w:color="auto"/>
        <w:right w:val="none" w:sz="0" w:space="0" w:color="auto"/>
      </w:divBdr>
    </w:div>
    <w:div w:id="148767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notifications/2017/ntf-2017-065-pa-en.pdf" TargetMode="External"/><Relationship Id="rId18" Type="http://schemas.openxmlformats.org/officeDocument/2006/relationships/hyperlink" Target="https://www.cbd.int/doc/decisions/cop-13/cop-13-dec-02-en.pdf" TargetMode="External"/><Relationship Id="rId26" Type="http://schemas.openxmlformats.org/officeDocument/2006/relationships/hyperlink" Target="https://www.cbd.int/doc/decisions/cop-13/cop-13-dec-02-en.pdf" TargetMode="External"/><Relationship Id="rId3" Type="http://schemas.openxmlformats.org/officeDocument/2006/relationships/styles" Target="styles.xml"/><Relationship Id="rId21" Type="http://schemas.openxmlformats.org/officeDocument/2006/relationships/hyperlink" Target="https://www.cbd.int/doc/decisions/cop-10/cop-10-dec-31-en.pdf" TargetMode="External"/><Relationship Id="rId7" Type="http://schemas.openxmlformats.org/officeDocument/2006/relationships/endnotes" Target="endnotes.xml"/><Relationship Id="rId12" Type="http://schemas.openxmlformats.org/officeDocument/2006/relationships/hyperlink" Target="https://www.cbd.int/doc/decisions/cop-13/cop-13-dec-02-en.pdf" TargetMode="External"/><Relationship Id="rId17" Type="http://schemas.openxmlformats.org/officeDocument/2006/relationships/hyperlink" Target="https://www.cbd.int/doc/decisions/cop-13/cop-13-dec-09-en.pdf" TargetMode="External"/><Relationship Id="rId25" Type="http://schemas.openxmlformats.org/officeDocument/2006/relationships/image" Target="cid:image002.png@01D3C061.9532EE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02-en.pdf" TargetMode="External"/><Relationship Id="rId20" Type="http://schemas.openxmlformats.org/officeDocument/2006/relationships/hyperlink" Target="https://www.cbd.int/doc/decisions/cop-13/cop-13-dec-03-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en.pdf" TargetMode="Externa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iz.de/en/" TargetMode="External"/><Relationship Id="rId23" Type="http://schemas.openxmlformats.org/officeDocument/2006/relationships/hyperlink" Target="https://www.cbd.int/doc/decisions/cop-07/cop-07-dec-28-en.pdf" TargetMode="External"/><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s://www.cbd.int/doc/decisions/cop-10/cop-10-dec-06-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bmz.de/en/" TargetMode="External"/><Relationship Id="rId22" Type="http://schemas.openxmlformats.org/officeDocument/2006/relationships/hyperlink" Target="https://www.cbd.int/doc/decisions/cop-10/cop-10-dec-31-en.pdf"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bsap/NBSAPs-catalysts-SDGs.pdf" TargetMode="External"/><Relationship Id="rId13" Type="http://schemas.openxmlformats.org/officeDocument/2006/relationships/hyperlink" Target="https://www.cbd.int/doc/publications/cbd-ts-64-en.pdf" TargetMode="External"/><Relationship Id="rId18" Type="http://schemas.openxmlformats.org/officeDocument/2006/relationships/hyperlink" Target="https://www.cbd.int/doc/decisions/cop-07/cop-07-dec-28-en.pdf" TargetMode="External"/><Relationship Id="rId26" Type="http://schemas.openxmlformats.org/officeDocument/2006/relationships/hyperlink" Target="https://www.cbd.int/doc/decisions/cop-10/cop-10-dec-31-en.pdf" TargetMode="External"/><Relationship Id="rId3" Type="http://schemas.openxmlformats.org/officeDocument/2006/relationships/hyperlink" Target="https://www.cbd.int/doc/decisions/cop-11/cop-11-dec-24-en.pdf" TargetMode="External"/><Relationship Id="rId21" Type="http://schemas.openxmlformats.org/officeDocument/2006/relationships/hyperlink" Target="https://www.cbd.int/doc/decisions/cop-12/cop-12-dec-12-en.pdf" TargetMode="External"/><Relationship Id="rId7" Type="http://schemas.openxmlformats.org/officeDocument/2006/relationships/hyperlink" Target="http://www.pnas.org/content/114/44/11645" TargetMode="External"/><Relationship Id="rId12" Type="http://schemas.openxmlformats.org/officeDocument/2006/relationships/hyperlink" Target="https://portals.iucn.org/library/node/29138" TargetMode="External"/><Relationship Id="rId17" Type="http://schemas.openxmlformats.org/officeDocument/2006/relationships/hyperlink" Target="https://www.cbd.int/doc/meetings/cop/cop-13/information/cop-13-inf-17-en.pdf" TargetMode="External"/><Relationship Id="rId25" Type="http://schemas.openxmlformats.org/officeDocument/2006/relationships/hyperlink" Target="https://www.cbd.int/doc/decisions/cop-09/cop-09-dec-18-en.pdf" TargetMode="External"/><Relationship Id="rId2" Type="http://schemas.openxmlformats.org/officeDocument/2006/relationships/hyperlink" Target="https://www.cbd.int/doc/decisions/cop-10/cop-10-dec-29-en.pdf" TargetMode="External"/><Relationship Id="rId16" Type="http://schemas.openxmlformats.org/officeDocument/2006/relationships/hyperlink" Target="http://parksjournal.com/wp-content/uploads/2016/11/PARKS-22.2-Schreckenberg-et-al-10.2305IUCN.CH_.2016.PARKS-22-2KS.en_.pdf" TargetMode="External"/><Relationship Id="rId20" Type="http://schemas.openxmlformats.org/officeDocument/2006/relationships/hyperlink" Target="https://www.cbd.int/doc/publications/cbd-ts-64-en.pdf" TargetMode="External"/><Relationship Id="rId29" Type="http://schemas.openxmlformats.org/officeDocument/2006/relationships/hyperlink" Target="http://live.unece.org/fileadmin/DAM/env/pp/documents/cep43e.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natureforlife.world" TargetMode="External"/><Relationship Id="rId11" Type="http://schemas.openxmlformats.org/officeDocument/2006/relationships/hyperlink" Target="https://portals.iucn.org/library/sites/library/files/documents/PATRS-001.pdf" TargetMode="External"/><Relationship Id="rId24" Type="http://schemas.openxmlformats.org/officeDocument/2006/relationships/hyperlink" Target="https://www.cbd.int/doc/decisions/cop-07/cop-07-dec-28-en.pdf" TargetMode="External"/><Relationship Id="rId32" Type="http://schemas.openxmlformats.org/officeDocument/2006/relationships/hyperlink" Target="http://www.un.org/esa/socdev/unpfii/documents/DRIPS_en.pdf" TargetMode="External"/><Relationship Id="rId5" Type="http://schemas.openxmlformats.org/officeDocument/2006/relationships/hyperlink" Target="https://www.ncbi.nlm.nih.gov/pmc/articles/PMC4643828/" TargetMode="External"/><Relationship Id="rId15" Type="http://schemas.openxmlformats.org/officeDocument/2006/relationships/hyperlink" Target="https://portals.iucn.org/library/node/29138" TargetMode="External"/><Relationship Id="rId23" Type="http://schemas.openxmlformats.org/officeDocument/2006/relationships/hyperlink" Target="http://live.unece.org/fileadmin/DAM/env/pp/documents/cep43e.pdf" TargetMode="External"/><Relationship Id="rId28" Type="http://schemas.openxmlformats.org/officeDocument/2006/relationships/hyperlink" Target="https://www.cbd.int/protected/pow/learnmore/intro/" TargetMode="External"/><Relationship Id="rId10" Type="http://schemas.openxmlformats.org/officeDocument/2006/relationships/hyperlink" Target="http://www.un.org/esa/socdev/unpfii/documents/DRIPS_en.pdf" TargetMode="External"/><Relationship Id="rId19" Type="http://schemas.openxmlformats.org/officeDocument/2006/relationships/hyperlink" Target="http://www.fao.org/docrep/016/i2801e/i2801e.pdf" TargetMode="External"/><Relationship Id="rId31" Type="http://schemas.openxmlformats.org/officeDocument/2006/relationships/hyperlink" Target="https://www.cbd.int/doc/publications/cbd-csu-en.pdf" TargetMode="External"/><Relationship Id="rId4" Type="http://schemas.openxmlformats.org/officeDocument/2006/relationships/hyperlink" Target="https://www.cbd.int/doc/decisions/cop-13/cop-13-dec-09-en.pdf" TargetMode="External"/><Relationship Id="rId9" Type="http://schemas.openxmlformats.org/officeDocument/2006/relationships/hyperlink" Target="https://www.cbd.int/doc/publications/cbd-ts-64-en.pdf" TargetMode="External"/><Relationship Id="rId14" Type="http://schemas.openxmlformats.org/officeDocument/2006/relationships/hyperlink" Target="https://portals.iucn.org/library/sites/library/files/documents/PATRS-001.pdf" TargetMode="External"/><Relationship Id="rId22" Type="http://schemas.openxmlformats.org/officeDocument/2006/relationships/hyperlink" Target="https://www.cbd.int/doc/publications/cbd-csu-en.pdf" TargetMode="External"/><Relationship Id="rId27" Type="http://schemas.openxmlformats.org/officeDocument/2006/relationships/hyperlink" Target="https://www.cbd.int/doc/decisions/cop-07/cop-07-dec-28-en.pdf" TargetMode="External"/><Relationship Id="rId30" Type="http://schemas.openxmlformats.org/officeDocument/2006/relationships/hyperlink" Target="http://www.fao.org/docrep/016/i2801e/i280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97D82C77193D4DCEB52E502FD008E7DA"/>
        <w:category>
          <w:name w:val="General"/>
          <w:gallery w:val="placeholder"/>
        </w:category>
        <w:types>
          <w:type w:val="bbPlcHdr"/>
        </w:types>
        <w:behaviors>
          <w:behavior w:val="content"/>
        </w:behaviors>
        <w:guid w:val="{24F9EDA7-87DA-43A0-91DA-C21242388329}"/>
      </w:docPartPr>
      <w:docPartBody>
        <w:p w:rsidR="000B39BE" w:rsidRDefault="00140B59">
          <w:r w:rsidRPr="007D39C1">
            <w:rPr>
              <w:rStyle w:val="PlaceholderText"/>
            </w:rPr>
            <w:t>[Title]</w:t>
          </w:r>
        </w:p>
      </w:docPartBody>
    </w:docPart>
    <w:docPart>
      <w:docPartPr>
        <w:name w:val="B17D16F9E5CA45A085D2E46E731FA84D"/>
        <w:category>
          <w:name w:val="General"/>
          <w:gallery w:val="placeholder"/>
        </w:category>
        <w:types>
          <w:type w:val="bbPlcHdr"/>
        </w:types>
        <w:behaviors>
          <w:behavior w:val="content"/>
        </w:behaviors>
        <w:guid w:val="{5F64AE6C-8318-44CF-B743-2C304ECE95BD}"/>
      </w:docPartPr>
      <w:docPartBody>
        <w:p w:rsidR="009144F5" w:rsidRDefault="000B39BE" w:rsidP="000B39BE">
          <w:pPr>
            <w:pStyle w:val="B17D16F9E5CA45A085D2E46E731FA84D"/>
          </w:pPr>
          <w:r w:rsidRPr="00B903A7">
            <w:rPr>
              <w:rStyle w:val="PlaceholderText"/>
            </w:rPr>
            <w:t>[Subject]</w:t>
          </w:r>
        </w:p>
      </w:docPartBody>
    </w:docPart>
    <w:docPart>
      <w:docPartPr>
        <w:name w:val="F6E74B58D00647BBA932B34B429E4A77"/>
        <w:category>
          <w:name w:val="General"/>
          <w:gallery w:val="placeholder"/>
        </w:category>
        <w:types>
          <w:type w:val="bbPlcHdr"/>
        </w:types>
        <w:behaviors>
          <w:behavior w:val="content"/>
        </w:behaviors>
        <w:guid w:val="{1AA73AD1-4F77-4B99-A4EC-C30EEA47A0C9}"/>
      </w:docPartPr>
      <w:docPartBody>
        <w:p w:rsidR="009144F5" w:rsidRDefault="000B39BE" w:rsidP="000B39BE">
          <w:pPr>
            <w:pStyle w:val="F6E74B58D00647BBA932B34B429E4A77"/>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4383F"/>
    <w:rsid w:val="000A1E2C"/>
    <w:rsid w:val="000B39BE"/>
    <w:rsid w:val="000B3CFE"/>
    <w:rsid w:val="000C7FDF"/>
    <w:rsid w:val="00140B59"/>
    <w:rsid w:val="001B29AF"/>
    <w:rsid w:val="0025259C"/>
    <w:rsid w:val="002B3B1D"/>
    <w:rsid w:val="0037757D"/>
    <w:rsid w:val="004835DA"/>
    <w:rsid w:val="004A69EC"/>
    <w:rsid w:val="004B0938"/>
    <w:rsid w:val="004E5C76"/>
    <w:rsid w:val="00577AA3"/>
    <w:rsid w:val="00585863"/>
    <w:rsid w:val="005E52F6"/>
    <w:rsid w:val="0067025E"/>
    <w:rsid w:val="006772F5"/>
    <w:rsid w:val="006A68CD"/>
    <w:rsid w:val="00794310"/>
    <w:rsid w:val="007E501A"/>
    <w:rsid w:val="00806BED"/>
    <w:rsid w:val="0083264A"/>
    <w:rsid w:val="00860BD3"/>
    <w:rsid w:val="008B2AE5"/>
    <w:rsid w:val="009144F5"/>
    <w:rsid w:val="0094374A"/>
    <w:rsid w:val="0095215F"/>
    <w:rsid w:val="009A386E"/>
    <w:rsid w:val="00A27574"/>
    <w:rsid w:val="00A92B12"/>
    <w:rsid w:val="00AB666B"/>
    <w:rsid w:val="00AC6AFE"/>
    <w:rsid w:val="00B12A23"/>
    <w:rsid w:val="00B36C7B"/>
    <w:rsid w:val="00BA60E1"/>
    <w:rsid w:val="00BB2CFE"/>
    <w:rsid w:val="00BF2A21"/>
    <w:rsid w:val="00C475E4"/>
    <w:rsid w:val="00C77ACB"/>
    <w:rsid w:val="00D00826"/>
    <w:rsid w:val="00D5481D"/>
    <w:rsid w:val="00E11EC8"/>
    <w:rsid w:val="00EA493D"/>
    <w:rsid w:val="00EC17B5"/>
    <w:rsid w:val="00F01F7F"/>
    <w:rsid w:val="00F252B1"/>
    <w:rsid w:val="00FC2504"/>
    <w:rsid w:val="00FF1A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B39B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DE394D90ED44A4093C50A66FBE0F6A2">
    <w:name w:val="BDE394D90ED44A4093C50A66FBE0F6A2"/>
    <w:rsid w:val="004E5C76"/>
    <w:rPr>
      <w:lang w:val="en-CA" w:eastAsia="en-CA"/>
    </w:rPr>
  </w:style>
  <w:style w:type="paragraph" w:customStyle="1" w:styleId="C35C1601E36D4925B25CB2B2FF7C2F9B">
    <w:name w:val="C35C1601E36D4925B25CB2B2FF7C2F9B"/>
    <w:rsid w:val="004E5C76"/>
    <w:rPr>
      <w:lang w:val="en-CA" w:eastAsia="en-CA"/>
    </w:rPr>
  </w:style>
  <w:style w:type="paragraph" w:customStyle="1" w:styleId="B17D16F9E5CA45A085D2E46E731FA84D">
    <w:name w:val="B17D16F9E5CA45A085D2E46E731FA84D"/>
    <w:rsid w:val="000B39BE"/>
    <w:rPr>
      <w:lang w:val="en-GB" w:eastAsia="zh-CN"/>
    </w:rPr>
  </w:style>
  <w:style w:type="paragraph" w:customStyle="1" w:styleId="F6E74B58D00647BBA932B34B429E4A77">
    <w:name w:val="F6E74B58D00647BBA932B34B429E4A77"/>
    <w:rsid w:val="000B39BE"/>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DF34-374D-4D87-88D1-9D2B076D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22</Pages>
  <Words>8897</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Protected areas and other effective area-based conservation measures</vt:lpstr>
    </vt:vector>
  </TitlesOfParts>
  <Company>Biodiversity</Company>
  <LinksUpToDate>false</LinksUpToDate>
  <CharactersWithSpaces>59492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areas and other effective area-based conservation measures</dc:title>
  <dc:subject>CBD/SBSTTA/22/6</dc:subject>
  <dc:creator>SCBD</dc:creator>
  <cp:lastModifiedBy>veronique lefebvre</cp:lastModifiedBy>
  <cp:revision>3</cp:revision>
  <cp:lastPrinted>2018-04-06T15:06:00Z</cp:lastPrinted>
  <dcterms:created xsi:type="dcterms:W3CDTF">2018-04-13T19:51:00Z</dcterms:created>
  <dcterms:modified xsi:type="dcterms:W3CDTF">2018-04-13T19:51:00Z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