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106" w:type="dxa"/>
        <w:tblLook w:val="0000" w:firstRow="0" w:lastRow="0" w:firstColumn="0" w:lastColumn="0" w:noHBand="0" w:noVBand="0"/>
      </w:tblPr>
      <w:tblGrid>
        <w:gridCol w:w="976"/>
        <w:gridCol w:w="5141"/>
        <w:gridCol w:w="4090"/>
      </w:tblGrid>
      <w:tr w:rsidR="00790114" w:rsidRPr="00D43574" w14:paraId="6094B58B" w14:textId="77777777">
        <w:trPr>
          <w:trHeight w:val="844"/>
        </w:trPr>
        <w:tc>
          <w:tcPr>
            <w:tcW w:w="976" w:type="dxa"/>
            <w:tcBorders>
              <w:top w:val="nil"/>
              <w:left w:val="nil"/>
              <w:bottom w:val="single" w:sz="12" w:space="0" w:color="auto"/>
              <w:right w:val="nil"/>
            </w:tcBorders>
          </w:tcPr>
          <w:p w14:paraId="6094B588" w14:textId="77777777" w:rsidR="00790114" w:rsidRPr="00D43574" w:rsidRDefault="00104F63">
            <w:pPr>
              <w:suppressLineNumbers/>
              <w:suppressAutoHyphens/>
              <w:rPr>
                <w:rFonts w:eastAsiaTheme="minorEastAsia"/>
                <w:snapToGrid w:val="0"/>
                <w:kern w:val="22"/>
                <w:sz w:val="24"/>
                <w:szCs w:val="24"/>
              </w:rPr>
            </w:pPr>
            <w:r>
              <w:rPr>
                <w:rFonts w:eastAsiaTheme="minorEastAsia" w:cstheme="minorBidi"/>
                <w:noProof/>
                <w:lang w:val="es-ES" w:eastAsia="es-ES"/>
              </w:rPr>
              <w:pict w14:anchorId="6094B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0;width:37.5pt;height:31.7pt;z-index:251657216;visibility:visible;mso-position-vertical-relative:page">
                  <v:imagedata r:id="rId7" o:title=""/>
                  <w10:wrap anchory="page"/>
                </v:shape>
              </w:pict>
            </w:r>
          </w:p>
        </w:tc>
        <w:tc>
          <w:tcPr>
            <w:tcW w:w="5141" w:type="dxa"/>
            <w:tcBorders>
              <w:top w:val="nil"/>
              <w:left w:val="nil"/>
              <w:bottom w:val="single" w:sz="12" w:space="0" w:color="auto"/>
              <w:right w:val="nil"/>
            </w:tcBorders>
            <w:tcFitText/>
          </w:tcPr>
          <w:p w14:paraId="6094B589" w14:textId="77777777" w:rsidR="00790114" w:rsidRPr="00D43574" w:rsidRDefault="00104F63">
            <w:pPr>
              <w:suppressLineNumbers/>
              <w:suppressAutoHyphens/>
              <w:rPr>
                <w:rFonts w:eastAsiaTheme="minorEastAsia"/>
                <w:snapToGrid w:val="0"/>
                <w:kern w:val="22"/>
                <w:sz w:val="24"/>
                <w:szCs w:val="24"/>
              </w:rPr>
            </w:pPr>
            <w:r>
              <w:rPr>
                <w:rFonts w:eastAsiaTheme="minorEastAsia" w:cstheme="minorBidi"/>
                <w:noProof/>
                <w:lang w:val="es-ES" w:eastAsia="es-ES"/>
              </w:rPr>
              <w:pict w14:anchorId="6094B661">
                <v:shape id="Imagen 2" o:spid="_x0000_s1027" type="#_x0000_t75" style="position:absolute;left:0;text-align:left;margin-left:-15.4pt;margin-top:-.35pt;width:53.35pt;height:31.2pt;z-index:-251658240;visibility:visible;mso-position-horizontal-relative:text;mso-position-vertical-relative:text" wrapcoords="-607 0 -607 20942 21742 20942 21742 18831 18725 16754 21134 16754 21742 15715 21742 0 -607 0">
                  <v:imagedata r:id="rId8" o:title=""/>
                  <w10:wrap type="tight"/>
                </v:shape>
              </w:pict>
            </w:r>
          </w:p>
        </w:tc>
        <w:tc>
          <w:tcPr>
            <w:tcW w:w="4090" w:type="dxa"/>
            <w:tcBorders>
              <w:top w:val="nil"/>
              <w:left w:val="nil"/>
              <w:bottom w:val="single" w:sz="12" w:space="0" w:color="auto"/>
              <w:right w:val="nil"/>
            </w:tcBorders>
          </w:tcPr>
          <w:p w14:paraId="6094B58A" w14:textId="77777777" w:rsidR="00790114" w:rsidRPr="00D43574" w:rsidRDefault="00790114">
            <w:pPr>
              <w:suppressLineNumbers/>
              <w:suppressAutoHyphens/>
              <w:jc w:val="right"/>
              <w:rPr>
                <w:rFonts w:ascii="Arial" w:eastAsiaTheme="minorEastAsia" w:hAnsi="Arial" w:cs="Arial"/>
                <w:b/>
                <w:bCs/>
                <w:snapToGrid w:val="0"/>
                <w:kern w:val="22"/>
                <w:sz w:val="32"/>
                <w:szCs w:val="32"/>
              </w:rPr>
            </w:pPr>
            <w:r w:rsidRPr="00D43574">
              <w:rPr>
                <w:rFonts w:ascii="Arial" w:eastAsiaTheme="minorEastAsia" w:hAnsi="Arial" w:cs="Arial"/>
                <w:b/>
                <w:bCs/>
                <w:snapToGrid w:val="0"/>
                <w:kern w:val="22"/>
                <w:sz w:val="32"/>
                <w:szCs w:val="32"/>
              </w:rPr>
              <w:t>CBD</w:t>
            </w:r>
          </w:p>
        </w:tc>
      </w:tr>
      <w:tr w:rsidR="00790114" w:rsidRPr="00D43574" w14:paraId="6094B595" w14:textId="77777777">
        <w:tc>
          <w:tcPr>
            <w:tcW w:w="6117" w:type="dxa"/>
            <w:gridSpan w:val="2"/>
            <w:tcBorders>
              <w:top w:val="single" w:sz="12" w:space="0" w:color="auto"/>
              <w:left w:val="nil"/>
              <w:bottom w:val="single" w:sz="36" w:space="0" w:color="auto"/>
              <w:right w:val="nil"/>
            </w:tcBorders>
            <w:vAlign w:val="center"/>
          </w:tcPr>
          <w:p w14:paraId="6094B58C" w14:textId="77777777" w:rsidR="00790114" w:rsidRPr="00D43574" w:rsidRDefault="00104F63">
            <w:pPr>
              <w:suppressLineNumbers/>
              <w:suppressAutoHyphens/>
              <w:rPr>
                <w:rFonts w:eastAsiaTheme="minorEastAsia"/>
                <w:snapToGrid w:val="0"/>
                <w:kern w:val="22"/>
                <w:sz w:val="24"/>
                <w:szCs w:val="24"/>
              </w:rPr>
            </w:pPr>
            <w:r>
              <w:rPr>
                <w:rFonts w:eastAsiaTheme="minorEastAsia"/>
                <w:noProof/>
                <w:kern w:val="22"/>
                <w:sz w:val="24"/>
                <w:szCs w:val="24"/>
                <w:lang w:val="es-ES" w:eastAsia="es-ES"/>
              </w:rPr>
              <w:pict w14:anchorId="6094B662">
                <v:shape id="Imagen 1" o:spid="_x0000_i1025" type="#_x0000_t75" style="width:228.85pt;height:82.7pt;visibility:visible">
                  <v:imagedata r:id="rId9" o:title=""/>
                </v:shape>
              </w:pict>
            </w:r>
          </w:p>
        </w:tc>
        <w:tc>
          <w:tcPr>
            <w:tcW w:w="4090" w:type="dxa"/>
            <w:tcBorders>
              <w:top w:val="single" w:sz="12" w:space="0" w:color="auto"/>
              <w:left w:val="nil"/>
              <w:bottom w:val="single" w:sz="36" w:space="0" w:color="auto"/>
              <w:right w:val="nil"/>
            </w:tcBorders>
          </w:tcPr>
          <w:p w14:paraId="6094B58D" w14:textId="77777777" w:rsidR="00790114" w:rsidRPr="00D43574" w:rsidRDefault="00790114">
            <w:pPr>
              <w:suppressLineNumbers/>
              <w:suppressAutoHyphens/>
              <w:ind w:left="1461"/>
              <w:rPr>
                <w:rFonts w:eastAsiaTheme="minorEastAsia"/>
                <w:snapToGrid w:val="0"/>
                <w:kern w:val="22"/>
                <w:lang w:val="es-ES"/>
              </w:rPr>
            </w:pPr>
            <w:proofErr w:type="spellStart"/>
            <w:r w:rsidRPr="00D43574">
              <w:rPr>
                <w:rFonts w:eastAsiaTheme="minorEastAsia"/>
                <w:snapToGrid w:val="0"/>
                <w:kern w:val="22"/>
                <w:lang w:val="es-ES"/>
              </w:rPr>
              <w:t>Distr</w:t>
            </w:r>
            <w:proofErr w:type="spellEnd"/>
            <w:r w:rsidRPr="00D43574">
              <w:rPr>
                <w:rFonts w:eastAsiaTheme="minorEastAsia"/>
                <w:snapToGrid w:val="0"/>
                <w:kern w:val="22"/>
                <w:lang w:val="es-ES"/>
              </w:rPr>
              <w:t>.</w:t>
            </w:r>
          </w:p>
          <w:p w14:paraId="6094B58E" w14:textId="77777777" w:rsidR="00790114" w:rsidRPr="00D43574" w:rsidRDefault="00790114">
            <w:pPr>
              <w:suppressLineNumbers/>
              <w:suppressAutoHyphens/>
              <w:ind w:left="1461"/>
              <w:jc w:val="left"/>
              <w:rPr>
                <w:rFonts w:eastAsiaTheme="minorEastAsia"/>
                <w:snapToGrid w:val="0"/>
                <w:kern w:val="22"/>
                <w:lang w:val="es-ES"/>
              </w:rPr>
            </w:pPr>
            <w:r w:rsidRPr="00D43574">
              <w:rPr>
                <w:rFonts w:eastAsiaTheme="minorEastAsia"/>
                <w:snapToGrid w:val="0"/>
                <w:kern w:val="22"/>
                <w:lang w:val="es-ES"/>
              </w:rPr>
              <w:t>GENERAL</w:t>
            </w:r>
          </w:p>
          <w:p w14:paraId="6094B58F" w14:textId="77777777" w:rsidR="00790114" w:rsidRPr="00D43574" w:rsidRDefault="00790114">
            <w:pPr>
              <w:suppressLineNumbers/>
              <w:suppressAutoHyphens/>
              <w:ind w:left="1461"/>
              <w:rPr>
                <w:rFonts w:eastAsiaTheme="minorEastAsia"/>
                <w:snapToGrid w:val="0"/>
                <w:kern w:val="22"/>
                <w:lang w:val="es-ES"/>
              </w:rPr>
            </w:pPr>
          </w:p>
          <w:p w14:paraId="6094B590" w14:textId="77777777" w:rsidR="00790114" w:rsidRPr="00D43574" w:rsidRDefault="00790114">
            <w:pPr>
              <w:suppressLineNumbers/>
              <w:suppressAutoHyphens/>
              <w:ind w:left="1461"/>
              <w:rPr>
                <w:rFonts w:eastAsiaTheme="minorEastAsia"/>
                <w:snapToGrid w:val="0"/>
                <w:kern w:val="22"/>
                <w:lang w:val="es-ES"/>
              </w:rPr>
            </w:pPr>
            <w:r w:rsidRPr="00D43574">
              <w:rPr>
                <w:rFonts w:eastAsiaTheme="minorEastAsia"/>
                <w:snapToGrid w:val="0"/>
                <w:kern w:val="22"/>
                <w:lang w:val="es-ES"/>
              </w:rPr>
              <w:t>CBD/WG2020/5/3</w:t>
            </w:r>
          </w:p>
          <w:p w14:paraId="6094B591" w14:textId="77777777" w:rsidR="00790114" w:rsidRPr="00D43574" w:rsidRDefault="00790114">
            <w:pPr>
              <w:suppressLineNumbers/>
              <w:suppressAutoHyphens/>
              <w:ind w:left="1461"/>
              <w:jc w:val="left"/>
              <w:rPr>
                <w:rFonts w:eastAsiaTheme="minorEastAsia"/>
                <w:snapToGrid w:val="0"/>
                <w:kern w:val="22"/>
                <w:lang w:val="es-ES"/>
              </w:rPr>
            </w:pPr>
            <w:r w:rsidRPr="00D43574">
              <w:rPr>
                <w:rFonts w:eastAsiaTheme="minorEastAsia"/>
                <w:snapToGrid w:val="0"/>
                <w:kern w:val="22"/>
                <w:lang w:val="es-ES"/>
              </w:rPr>
              <w:t>19 de octubre de 2022</w:t>
            </w:r>
          </w:p>
          <w:p w14:paraId="6094B592" w14:textId="77777777" w:rsidR="00790114" w:rsidRPr="00D43574" w:rsidRDefault="00790114">
            <w:pPr>
              <w:suppressLineNumbers/>
              <w:suppressAutoHyphens/>
              <w:ind w:left="1461"/>
              <w:rPr>
                <w:rFonts w:eastAsiaTheme="minorEastAsia"/>
                <w:snapToGrid w:val="0"/>
                <w:kern w:val="22"/>
                <w:lang w:val="es-ES"/>
              </w:rPr>
            </w:pPr>
          </w:p>
          <w:p w14:paraId="6094B593" w14:textId="77777777" w:rsidR="00790114" w:rsidRPr="00D43574" w:rsidRDefault="00790114">
            <w:pPr>
              <w:suppressLineNumbers/>
              <w:suppressAutoHyphens/>
              <w:ind w:left="1461"/>
              <w:rPr>
                <w:rFonts w:eastAsiaTheme="minorEastAsia"/>
                <w:snapToGrid w:val="0"/>
                <w:kern w:val="22"/>
                <w:lang w:val="es-ES"/>
              </w:rPr>
            </w:pPr>
            <w:r w:rsidRPr="00D43574">
              <w:rPr>
                <w:rFonts w:eastAsiaTheme="minorEastAsia"/>
                <w:snapToGrid w:val="0"/>
                <w:kern w:val="22"/>
                <w:lang w:val="es-ES"/>
              </w:rPr>
              <w:t>ESPAÑOL</w:t>
            </w:r>
          </w:p>
          <w:p w14:paraId="6094B594" w14:textId="77777777" w:rsidR="00790114" w:rsidRPr="00D43574" w:rsidRDefault="00790114">
            <w:pPr>
              <w:suppressLineNumbers/>
              <w:suppressAutoHyphens/>
              <w:ind w:left="1461"/>
              <w:rPr>
                <w:rFonts w:eastAsiaTheme="minorEastAsia"/>
                <w:snapToGrid w:val="0"/>
                <w:kern w:val="22"/>
                <w:sz w:val="24"/>
                <w:szCs w:val="24"/>
                <w:lang w:val="es-ES"/>
              </w:rPr>
            </w:pPr>
            <w:r w:rsidRPr="00D43574">
              <w:rPr>
                <w:rFonts w:eastAsiaTheme="minorEastAsia"/>
                <w:snapToGrid w:val="0"/>
                <w:kern w:val="22"/>
                <w:lang w:val="es-ES"/>
              </w:rPr>
              <w:t>ORIGINAL: INGLÉS</w:t>
            </w:r>
          </w:p>
        </w:tc>
      </w:tr>
    </w:tbl>
    <w:p w14:paraId="6094B596" w14:textId="77777777" w:rsidR="00790114" w:rsidRDefault="00790114">
      <w:pPr>
        <w:pStyle w:val="meetingname"/>
        <w:suppressLineNumbers/>
        <w:suppressAutoHyphens/>
        <w:ind w:right="5532"/>
        <w:jc w:val="left"/>
        <w:rPr>
          <w:caps w:val="0"/>
          <w:snapToGrid w:val="0"/>
          <w:kern w:val="22"/>
          <w:lang w:val="es-ES"/>
        </w:rPr>
      </w:pPr>
      <w:r>
        <w:rPr>
          <w:caps w:val="0"/>
          <w:snapToGrid w:val="0"/>
          <w:lang w:val="es-ES"/>
        </w:rPr>
        <w:t xml:space="preserve">GRUPO DE TRABAJO DE COMPOSICIÓN ABIERTA SOBRE EL MARCO MUNDIAL DE LA DIVERSIDAD BIOLÓGICA POSTERIOR A </w:t>
      </w:r>
      <w:r>
        <w:rPr>
          <w:caps w:val="0"/>
          <w:snapToGrid w:val="0"/>
          <w:kern w:val="22"/>
          <w:lang w:val="es-ES"/>
        </w:rPr>
        <w:t>2020</w:t>
      </w:r>
    </w:p>
    <w:p w14:paraId="6094B597" w14:textId="77777777" w:rsidR="00790114" w:rsidRDefault="00790114">
      <w:pPr>
        <w:suppressLineNumbers/>
        <w:suppressAutoHyphens/>
        <w:ind w:left="142" w:right="4824" w:hanging="142"/>
        <w:jc w:val="left"/>
        <w:rPr>
          <w:snapToGrid w:val="0"/>
          <w:kern w:val="22"/>
          <w:lang w:val="es-ES" w:eastAsia="nb-NO"/>
        </w:rPr>
      </w:pPr>
      <w:r>
        <w:rPr>
          <w:snapToGrid w:val="0"/>
          <w:kern w:val="22"/>
          <w:lang w:val="es-ES" w:eastAsia="nb-NO"/>
        </w:rPr>
        <w:t>Quinta reunión</w:t>
      </w:r>
    </w:p>
    <w:p w14:paraId="6094B598" w14:textId="77777777" w:rsidR="00790114" w:rsidRDefault="00790114">
      <w:pPr>
        <w:suppressLineNumbers/>
        <w:suppressAutoHyphens/>
        <w:ind w:left="142" w:right="4824" w:hanging="142"/>
        <w:jc w:val="left"/>
        <w:rPr>
          <w:snapToGrid w:val="0"/>
          <w:kern w:val="22"/>
          <w:lang w:val="es-ES"/>
        </w:rPr>
      </w:pPr>
      <w:r>
        <w:rPr>
          <w:snapToGrid w:val="0"/>
          <w:kern w:val="22"/>
          <w:lang w:val="es-ES"/>
        </w:rPr>
        <w:t>Montreal, 3 a 5 de diciembre de 2022</w:t>
      </w:r>
    </w:p>
    <w:p w14:paraId="6094B599" w14:textId="77777777" w:rsidR="00790114" w:rsidRDefault="00790114">
      <w:pPr>
        <w:suppressLineNumbers/>
        <w:suppressAutoHyphens/>
        <w:ind w:left="142" w:right="4824" w:hanging="142"/>
        <w:jc w:val="left"/>
        <w:rPr>
          <w:snapToGrid w:val="0"/>
          <w:kern w:val="22"/>
          <w:lang w:val="es-ES" w:eastAsia="nb-NO"/>
        </w:rPr>
      </w:pPr>
      <w:r>
        <w:rPr>
          <w:snapToGrid w:val="0"/>
          <w:kern w:val="22"/>
          <w:lang w:val="es-ES"/>
        </w:rPr>
        <w:t>Tema 5 del programa provisional</w:t>
      </w:r>
      <w:r>
        <w:rPr>
          <w:rStyle w:val="FootnoteReference"/>
          <w:snapToGrid w:val="0"/>
          <w:kern w:val="22"/>
          <w:lang w:val="es-ES"/>
        </w:rPr>
        <w:footnoteReference w:customMarkFollows="1" w:id="2"/>
        <w:t>*</w:t>
      </w:r>
    </w:p>
    <w:p w14:paraId="6094B59A" w14:textId="77777777" w:rsidR="00790114" w:rsidRDefault="00790114">
      <w:pPr>
        <w:pStyle w:val="Heading1"/>
        <w:tabs>
          <w:tab w:val="clear" w:pos="720"/>
        </w:tabs>
        <w:rPr>
          <w:rFonts w:ascii="Times New Roman Bold" w:hAnsi="Times New Roman Bold" w:cs="Times New Roman Bold"/>
          <w:snapToGrid w:val="0"/>
          <w:kern w:val="22"/>
          <w:lang w:val="es-ES"/>
        </w:rPr>
      </w:pPr>
      <w:r>
        <w:rPr>
          <w:rFonts w:ascii="Times New Roman Bold" w:hAnsi="Times New Roman Bold" w:cs="Times New Roman Bold"/>
          <w:snapToGrid w:val="0"/>
          <w:kern w:val="22"/>
          <w:lang w:val="es-ES"/>
        </w:rPr>
        <w:t>información digital Sobre secuencias de recursos genéticos</w:t>
      </w:r>
    </w:p>
    <w:p w14:paraId="6094B59B" w14:textId="77777777" w:rsidR="00790114" w:rsidRDefault="00790114">
      <w:pPr>
        <w:pStyle w:val="Style1"/>
        <w:rPr>
          <w:b w:val="0"/>
          <w:bCs w:val="0"/>
        </w:rPr>
      </w:pPr>
      <w:r>
        <w:rPr>
          <w:b w:val="0"/>
          <w:bCs w:val="0"/>
        </w:rPr>
        <w:t xml:space="preserve">Nota de la </w:t>
      </w:r>
      <w:proofErr w:type="spellStart"/>
      <w:r>
        <w:rPr>
          <w:b w:val="0"/>
          <w:bCs w:val="0"/>
        </w:rPr>
        <w:t>Secretaria</w:t>
      </w:r>
      <w:proofErr w:type="spellEnd"/>
      <w:r>
        <w:rPr>
          <w:b w:val="0"/>
          <w:bCs w:val="0"/>
        </w:rPr>
        <w:t xml:space="preserve"> </w:t>
      </w:r>
      <w:proofErr w:type="spellStart"/>
      <w:r>
        <w:rPr>
          <w:b w:val="0"/>
          <w:bCs w:val="0"/>
        </w:rPr>
        <w:t>Ejecutiva</w:t>
      </w:r>
      <w:proofErr w:type="spellEnd"/>
    </w:p>
    <w:p w14:paraId="6094B59C" w14:textId="77777777" w:rsidR="00790114" w:rsidRDefault="00790114">
      <w:pPr>
        <w:pStyle w:val="ListParagraph"/>
        <w:numPr>
          <w:ilvl w:val="0"/>
          <w:numId w:val="2"/>
        </w:numPr>
        <w:spacing w:before="240" w:after="120"/>
        <w:ind w:firstLine="0"/>
        <w:jc w:val="center"/>
        <w:rPr>
          <w:b/>
          <w:bCs/>
          <w:caps/>
        </w:rPr>
      </w:pPr>
      <w:r>
        <w:rPr>
          <w:b/>
          <w:bCs/>
          <w:caps/>
          <w:lang w:val="en-US"/>
        </w:rPr>
        <w:t>ANTECEDENTES</w:t>
      </w:r>
    </w:p>
    <w:p w14:paraId="6094B59D" w14:textId="77777777" w:rsidR="00790114" w:rsidRDefault="00790114">
      <w:pPr>
        <w:pStyle w:val="Para1"/>
        <w:numPr>
          <w:ilvl w:val="0"/>
          <w:numId w:val="3"/>
        </w:numPr>
        <w:ind w:left="0" w:firstLine="0"/>
        <w:rPr>
          <w:lang w:val="es-ES"/>
        </w:rPr>
      </w:pPr>
      <w:r>
        <w:rPr>
          <w:lang w:val="es-ES"/>
        </w:rPr>
        <w:t xml:space="preserve">En su 14ª reunión, la Conferencia de las Partes en el Convenio sobre la Diversidad Biológica examinó las posibles consecuencias de la utilización de la información digital sobre secuencias de recursos genéticos (DSI) para los tres objetivos del Convenio y adoptó la decisión </w:t>
      </w:r>
      <w:hyperlink r:id="rId10" w:history="1">
        <w:r>
          <w:rPr>
            <w:rStyle w:val="Hyperlink"/>
            <w:sz w:val="22"/>
            <w:szCs w:val="22"/>
            <w:lang w:val="es-ES"/>
          </w:rPr>
          <w:t>14/20</w:t>
        </w:r>
      </w:hyperlink>
      <w:r>
        <w:rPr>
          <w:lang w:val="es-ES"/>
        </w:rPr>
        <w:t xml:space="preserve">. Mediante esta decisión, la Conferencia de las Partes se comprometió a trabajar para resolver la divergencia de opiniones entre las Partes respecto de la participación en los beneficios de la utilización de la DSI mediante un proceso que incluyera la presentación de opiniones e información por las Partes, la realización de una serie de estudios y la convocatoria de un grupo especial de expertos técnicos (GEET). En su tercera reunión, la Conferencia de las Partes que actúa como reunión de las Partes en el Protocolo de Nagoya también examinó las posibles consecuencias para el objetivo del Protocolo de Nagoya y adoptó la decisión </w:t>
      </w:r>
      <w:hyperlink r:id="rId11" w:history="1">
        <w:r>
          <w:rPr>
            <w:rStyle w:val="Hyperlink"/>
            <w:sz w:val="22"/>
            <w:szCs w:val="22"/>
            <w:lang w:val="es-ES"/>
          </w:rPr>
          <w:t>NP-3/12</w:t>
        </w:r>
      </w:hyperlink>
      <w:r>
        <w:rPr>
          <w:lang w:val="es-ES"/>
        </w:rPr>
        <w:t xml:space="preserve"> sobre información digital sobre secuencias de recursos genéticos. De conformidad con las decisiones 14/20 y NP-3/12, el Grupo de Trabajo de composición abierta sobre el Marco Mundial de la Diversidad Biológica posterior a 2020 (en adelante, “Grupo de Trabajo”) debía examinar los resultados del GEET, formular recomendaciones a la Conferencia de las Partes en su 15ª reunión sobre la forma de abordar la DSI en el contexto del marco mundial de la diversidad biológica posterior a 2020, y presentar sus resultados a la Conferencia de las Partes que actúa como reunión de las Partes en el Protocolo de Nagoya en su cuarta reunión.</w:t>
      </w:r>
    </w:p>
    <w:p w14:paraId="6094B59E" w14:textId="77777777" w:rsidR="00790114" w:rsidRDefault="00790114">
      <w:pPr>
        <w:pStyle w:val="Para1"/>
        <w:numPr>
          <w:ilvl w:val="0"/>
          <w:numId w:val="3"/>
        </w:numPr>
        <w:ind w:left="0" w:firstLine="0"/>
        <w:rPr>
          <w:lang w:val="es-ES"/>
        </w:rPr>
      </w:pPr>
      <w:r>
        <w:rPr>
          <w:lang w:val="es-ES"/>
        </w:rPr>
        <w:t>Las Partes, otros Gobiernos, pueblos indígenas y comunidades locales (PICL) y organizaciones proporcionaron opiniones e información; se encargaron tres estudios</w:t>
      </w:r>
      <w:r>
        <w:rPr>
          <w:rStyle w:val="FootnoteReference"/>
        </w:rPr>
        <w:footnoteReference w:id="3"/>
      </w:r>
      <w:r>
        <w:rPr>
          <w:lang w:val="es-ES"/>
        </w:rPr>
        <w:t xml:space="preserve"> sobre el concepto de DSI, la caracterización de las bases de datos que albergan estos datos y los desafíos y oportunidades en torno al rastreo y seguimiento de estos datos, y cómo las medidas nacionales abordan la participación en los beneficios de la utilización de la DSI. El Grupo Especial de Expertos Técnicos en Información Digital sobre Secuencias de Recursos Genéticos se reunió del 17 al 20 de marzo de 2020. En su informe</w:t>
      </w:r>
      <w:r>
        <w:rPr>
          <w:rStyle w:val="FootnoteReference"/>
        </w:rPr>
        <w:footnoteReference w:id="4"/>
      </w:r>
      <w:r>
        <w:rPr>
          <w:lang w:val="es-ES"/>
        </w:rPr>
        <w:t xml:space="preserve"> se incluyeron opciones de términos operacionales para proporcionar claridad conceptual sobre la DSI</w:t>
      </w:r>
      <w:r>
        <w:rPr>
          <w:rStyle w:val="FootnoteReference"/>
        </w:rPr>
        <w:footnoteReference w:id="5"/>
      </w:r>
      <w:r>
        <w:rPr>
          <w:lang w:val="es-ES"/>
        </w:rPr>
        <w:t xml:space="preserve">, y esferas clave para la creación de capacidad.  </w:t>
      </w:r>
    </w:p>
    <w:p w14:paraId="6094B59F" w14:textId="77777777" w:rsidR="00790114" w:rsidRDefault="00790114">
      <w:pPr>
        <w:pStyle w:val="Para1"/>
        <w:numPr>
          <w:ilvl w:val="0"/>
          <w:numId w:val="3"/>
        </w:numPr>
        <w:ind w:left="0" w:firstLine="0"/>
        <w:rPr>
          <w:lang w:val="es-ES"/>
        </w:rPr>
      </w:pPr>
      <w:r>
        <w:rPr>
          <w:lang w:val="es-ES"/>
        </w:rPr>
        <w:t xml:space="preserve">Durante la primera parte de la tercera reunión del Grupo de Trabajo, celebrada virtualmente del 23 de agosto al 3 de septiembre de 2021, los Copresidentes del Grupo de Trabajo, el Sr. Basile van </w:t>
      </w:r>
      <w:proofErr w:type="spellStart"/>
      <w:r>
        <w:rPr>
          <w:lang w:val="es-ES"/>
        </w:rPr>
        <w:t>Havre</w:t>
      </w:r>
      <w:proofErr w:type="spellEnd"/>
      <w:r>
        <w:rPr>
          <w:lang w:val="es-ES"/>
        </w:rPr>
        <w:t xml:space="preserve"> (Canadá) y el Sr. Francis </w:t>
      </w:r>
      <w:proofErr w:type="spellStart"/>
      <w:r>
        <w:rPr>
          <w:lang w:val="es-ES"/>
        </w:rPr>
        <w:t>Ogwal</w:t>
      </w:r>
      <w:proofErr w:type="spellEnd"/>
      <w:r>
        <w:rPr>
          <w:lang w:val="es-ES"/>
        </w:rPr>
        <w:t xml:space="preserve"> (Uganda) y la </w:t>
      </w:r>
      <w:proofErr w:type="gramStart"/>
      <w:r>
        <w:rPr>
          <w:lang w:val="es-ES"/>
        </w:rPr>
        <w:t>Secretaria Ejecutiva</w:t>
      </w:r>
      <w:proofErr w:type="gramEnd"/>
      <w:r>
        <w:rPr>
          <w:lang w:val="es-ES"/>
        </w:rPr>
        <w:t xml:space="preserve">, Sra. Elizabeth </w:t>
      </w:r>
      <w:proofErr w:type="spellStart"/>
      <w:r>
        <w:rPr>
          <w:lang w:val="es-ES"/>
        </w:rPr>
        <w:t>Maruma</w:t>
      </w:r>
      <w:proofErr w:type="spellEnd"/>
      <w:r>
        <w:rPr>
          <w:lang w:val="es-ES"/>
        </w:rPr>
        <w:t xml:space="preserve"> Mrema, crearon el Grupo oficioso de asesoramiento de los Copresidentes en materia de información digital sobre secuencias de recursos genéticos. Durante el período comprendido entre la primera y la segunda parte de la tercera reunión del Grupo de Trabajo, el </w:t>
      </w:r>
      <w:r>
        <w:rPr>
          <w:lang w:val="es-ES"/>
        </w:rPr>
        <w:lastRenderedPageBreak/>
        <w:t>Grupo oficioso de asesoramiento preparó un marco analítico sugerido en forma de matriz de opciones de políticas y criterios propuestos para su evaluación</w:t>
      </w:r>
      <w:r>
        <w:rPr>
          <w:rStyle w:val="FootnoteReference"/>
        </w:rPr>
        <w:footnoteReference w:id="6"/>
      </w:r>
      <w:r>
        <w:rPr>
          <w:lang w:val="es-ES"/>
        </w:rPr>
        <w:t>.</w:t>
      </w:r>
    </w:p>
    <w:p w14:paraId="6094B5A0" w14:textId="77777777" w:rsidR="00790114" w:rsidRDefault="00790114">
      <w:pPr>
        <w:pStyle w:val="Para1"/>
        <w:numPr>
          <w:ilvl w:val="0"/>
          <w:numId w:val="3"/>
        </w:numPr>
        <w:ind w:left="0" w:hanging="11"/>
        <w:rPr>
          <w:lang w:val="es-ES"/>
        </w:rPr>
      </w:pPr>
      <w:r>
        <w:rPr>
          <w:lang w:val="es-ES"/>
        </w:rPr>
        <w:t xml:space="preserve">En la segunda parte de su tercera reunión, celebrada en Ginebra del 14 al 29 de marzo de 2022, el Grupo de Trabajo aprobó la </w:t>
      </w:r>
      <w:hyperlink r:id="rId12" w:history="1">
        <w:r>
          <w:rPr>
            <w:rStyle w:val="Hyperlink"/>
            <w:color w:val="auto"/>
            <w:sz w:val="22"/>
            <w:szCs w:val="22"/>
            <w:u w:val="none"/>
            <w:lang w:val="es-ES"/>
          </w:rPr>
          <w:t xml:space="preserve">recomendación </w:t>
        </w:r>
        <w:r>
          <w:rPr>
            <w:rStyle w:val="Hyperlink"/>
            <w:sz w:val="22"/>
            <w:szCs w:val="22"/>
            <w:lang w:val="es-ES"/>
          </w:rPr>
          <w:t>3/2</w:t>
        </w:r>
      </w:hyperlink>
      <w:r>
        <w:rPr>
          <w:lang w:val="es-ES"/>
        </w:rPr>
        <w:t xml:space="preserve"> sobre información digital sobre secuencias de recursos genéticos</w:t>
      </w:r>
      <w:r>
        <w:rPr>
          <w:rStyle w:val="FootnoteReference"/>
        </w:rPr>
        <w:footnoteReference w:id="7"/>
      </w:r>
      <w:r>
        <w:rPr>
          <w:lang w:val="es-ES"/>
        </w:rPr>
        <w:t xml:space="preserve">. Entre otras cosas, en la recomendación se reconocían varios elementos para encontrar una solución que permitiera una distribución justa y equitativa de los beneficios de la información digital sobre secuencias de recursos genéticos (párrafos 5 y 6). En un anexo de la recomendación figuraba un proyecto de decisión para someterlo al examen de la Conferencia de las Partes en el Convenio en su 15ª reunión. También recomendaba que en la cuarta reunión de las Partes en el Protocolo de Nagoya se examinara la recomendación 3/2, así como cualquier decisión preparada por la Conferencia de las Partes en su 15ª reunión. Además, el Grupo de Trabajo pidió al Grupo oficioso de asesoramiento de los Copresidentes sobre DSI que prosiguiera su labor e invitara a representantes de la comunidad de investigación científica, el sector privado, las organizaciones de la sociedad civil y de las bases de datos a participar en el debate de manera equilibrada a nivel regional. </w:t>
      </w:r>
    </w:p>
    <w:p w14:paraId="6094B5A1" w14:textId="77777777" w:rsidR="00790114" w:rsidRDefault="00790114">
      <w:pPr>
        <w:pStyle w:val="Para1"/>
        <w:numPr>
          <w:ilvl w:val="0"/>
          <w:numId w:val="3"/>
        </w:numPr>
        <w:ind w:left="0" w:hanging="11"/>
        <w:rPr>
          <w:lang w:val="es-ES"/>
        </w:rPr>
      </w:pPr>
      <w:r>
        <w:rPr>
          <w:lang w:val="es-ES"/>
        </w:rPr>
        <w:t xml:space="preserve">Los resultados de la labor realizada por el Grupo oficioso de asesoramiento entre abril y junio de 2022 se pusieron a disposición del Grupo de Trabajo en su cuarta reunión, celebrada en Nairobi del 21 al 26 de junio de 2022. El Grupo de Trabajo siguió deliberando sobre la DSI y aprobó la </w:t>
      </w:r>
      <w:hyperlink r:id="rId13" w:history="1">
        <w:r>
          <w:rPr>
            <w:rStyle w:val="Hyperlink"/>
            <w:color w:val="auto"/>
            <w:sz w:val="22"/>
            <w:szCs w:val="22"/>
            <w:u w:val="none"/>
            <w:lang w:val="es-ES"/>
          </w:rPr>
          <w:t xml:space="preserve">recomendación </w:t>
        </w:r>
        <w:r>
          <w:rPr>
            <w:rStyle w:val="Hyperlink"/>
            <w:sz w:val="22"/>
            <w:szCs w:val="22"/>
            <w:lang w:val="es-ES"/>
          </w:rPr>
          <w:t>4/2</w:t>
        </w:r>
      </w:hyperlink>
      <w:r>
        <w:rPr>
          <w:lang w:val="es-ES"/>
        </w:rPr>
        <w:t>, que incluye una recomendación a la Conferencia de las Partes para que adopte una decisión sobre la base de los elementos que figuran en el anexo de la recomendación. En la recomendación también se reconocía que el Grupo oficioso de asesoramiento seguiría trabajando antes de la 15ª reunión de la Conferencia de las Partes.</w:t>
      </w:r>
    </w:p>
    <w:p w14:paraId="6094B5A2" w14:textId="77777777" w:rsidR="00790114" w:rsidRDefault="00790114">
      <w:pPr>
        <w:pStyle w:val="Para1"/>
        <w:numPr>
          <w:ilvl w:val="0"/>
          <w:numId w:val="3"/>
        </w:numPr>
        <w:ind w:left="0" w:hanging="11"/>
        <w:rPr>
          <w:lang w:val="es-ES"/>
        </w:rPr>
      </w:pPr>
      <w:r>
        <w:rPr>
          <w:lang w:val="es-ES"/>
        </w:rPr>
        <w:t xml:space="preserve">Por consiguiente, el Grupo oficioso de asesoramiento en materia de información digital sobre secuencias continuó su trabajo entre julio y octubre de 2022, reuniéndose para una sesión de organización y cinco reuniones de trabajo. </w:t>
      </w:r>
    </w:p>
    <w:p w14:paraId="6094B5A3" w14:textId="77777777" w:rsidR="00790114" w:rsidRDefault="00790114">
      <w:pPr>
        <w:pStyle w:val="Para1"/>
        <w:numPr>
          <w:ilvl w:val="0"/>
          <w:numId w:val="3"/>
        </w:numPr>
        <w:ind w:left="0" w:hanging="11"/>
        <w:rPr>
          <w:lang w:val="es-ES"/>
        </w:rPr>
      </w:pPr>
      <w:r>
        <w:rPr>
          <w:lang w:val="es-ES"/>
        </w:rPr>
        <w:t xml:space="preserve">El presente documento tiene por objeto facilitar e informar sobre las deliberaciones en materia de DSI en la quinta reunión del Grupo de Trabajo al proporcionar información sobre la labor realizada desde la cuarta reunión del Grupo de Trabajo, basándose en la recomendación 4/2. Incluye los puntos clave del informe de los corresponsables sobre el trabajo del Grupo oficioso de asesoramiento y los elementos a considerar para avanzar. El informe completo de los corresponsables sobre la labor del Grupo oficioso de asesoramiento de los Copresidentes, incluida información sobre los temas debatidos y una lista actualizada de </w:t>
      </w:r>
      <w:proofErr w:type="gramStart"/>
      <w:r>
        <w:rPr>
          <w:lang w:val="es-ES"/>
        </w:rPr>
        <w:t>participantes,</w:t>
      </w:r>
      <w:proofErr w:type="gramEnd"/>
      <w:r>
        <w:rPr>
          <w:lang w:val="es-ES"/>
        </w:rPr>
        <w:t xml:space="preserve"> está disponible como documento CBD/WG2020/5/INF/1.</w:t>
      </w:r>
    </w:p>
    <w:p w14:paraId="6094B5A4" w14:textId="77777777" w:rsidR="00790114" w:rsidRDefault="00790114">
      <w:pPr>
        <w:pStyle w:val="Heading2"/>
        <w:keepNext w:val="0"/>
        <w:keepLines w:val="0"/>
        <w:numPr>
          <w:ilvl w:val="0"/>
          <w:numId w:val="2"/>
        </w:numPr>
        <w:tabs>
          <w:tab w:val="num" w:pos="360"/>
        </w:tabs>
        <w:spacing w:before="240" w:after="120"/>
        <w:ind w:left="1701" w:hanging="425"/>
        <w:jc w:val="left"/>
        <w:rPr>
          <w:rFonts w:ascii="Times New Roman" w:hAnsi="Times New Roman" w:cs="Times New Roman"/>
          <w:b/>
          <w:bCs/>
          <w:sz w:val="22"/>
          <w:szCs w:val="22"/>
          <w:lang w:val="es-ES"/>
        </w:rPr>
      </w:pPr>
      <w:r>
        <w:rPr>
          <w:rFonts w:ascii="Times New Roman" w:hAnsi="Times New Roman" w:cs="Times New Roman"/>
          <w:b/>
          <w:bCs/>
          <w:sz w:val="22"/>
          <w:szCs w:val="22"/>
          <w:lang w:val="es-ES"/>
        </w:rPr>
        <w:t xml:space="preserve">PUNTOS CLAVE DEL INFORME DE LOS CORRESPONSABLES SOBRE EL TRABAJO DEL GRUPO OFICIOSO DE ASESORAMIENTO DE LOS COPRESIDENTES </w:t>
      </w:r>
    </w:p>
    <w:p w14:paraId="6094B5A5" w14:textId="77777777" w:rsidR="00790114" w:rsidRDefault="00790114">
      <w:pPr>
        <w:pStyle w:val="ListParagraph"/>
        <w:numPr>
          <w:ilvl w:val="0"/>
          <w:numId w:val="3"/>
        </w:numPr>
        <w:spacing w:before="120" w:after="120"/>
        <w:ind w:left="0" w:hanging="11"/>
        <w:rPr>
          <w:lang w:val="es-ES"/>
        </w:rPr>
      </w:pPr>
      <w:r>
        <w:rPr>
          <w:lang w:val="es-ES"/>
        </w:rPr>
        <w:t xml:space="preserve">El Grupo oficioso de asesoramiento escuchó y debatió información sobre los enfoques multilaterales con arreglo al Tratado Internacional sobre los Recursos Fitogenéticos para la Alimentación y la Agricultura (ITPGRFA, por sus siglas en inglés) y el Marco de Preparación para una Gripe Pandémica de la Organización Mundial de la Salud (OMS), así como el proceso en curso para desarrollar un instrumento internacional jurídicamente vinculante en virtud de la Convención de las Naciones Unidas sobre el Derecho del Mar relativo a la conservación y el uso sostenible de la diversidad biológica marina de las zonas situadas fuera de la jurisdicción nacional. Se señaló que una solución para la distribución justa y equitativa de los beneficios de la información digital sobre secuencias de recursos genéticos desarrollada en el marco del Convenio podría facilitar el examen de la cuestión en esos foros. </w:t>
      </w:r>
    </w:p>
    <w:p w14:paraId="6094B5A6" w14:textId="77777777" w:rsidR="00790114" w:rsidRDefault="00790114">
      <w:pPr>
        <w:pStyle w:val="ListParagraph"/>
        <w:numPr>
          <w:ilvl w:val="0"/>
          <w:numId w:val="3"/>
        </w:numPr>
        <w:spacing w:before="120" w:after="120"/>
        <w:ind w:left="0" w:hanging="11"/>
        <w:rPr>
          <w:lang w:val="es-ES"/>
        </w:rPr>
      </w:pPr>
      <w:r>
        <w:rPr>
          <w:lang w:val="es-ES"/>
        </w:rPr>
        <w:t>El Grupo examinó una nota preparada por la Secretaría sobre los principios FAIR y CARE (véase CBD/WG2020/5/INF/1, anexo II).</w:t>
      </w:r>
    </w:p>
    <w:p w14:paraId="6094B5A7" w14:textId="77777777" w:rsidR="00790114" w:rsidRDefault="00790114">
      <w:pPr>
        <w:pStyle w:val="ListParagraph"/>
        <w:numPr>
          <w:ilvl w:val="0"/>
          <w:numId w:val="3"/>
        </w:numPr>
        <w:spacing w:before="120" w:after="120"/>
        <w:ind w:left="0" w:hanging="11"/>
        <w:rPr>
          <w:lang w:val="es-ES"/>
        </w:rPr>
      </w:pPr>
      <w:r>
        <w:rPr>
          <w:lang w:val="es-ES"/>
        </w:rPr>
        <w:t>Sobre la base de la labor oficiosa anterior, el Grupo había identificado previamente una serie de opciones de políticas propuestas, así como posibles criterios para su evaluación</w:t>
      </w:r>
      <w:r>
        <w:rPr>
          <w:rStyle w:val="FootnoteReference"/>
          <w:lang w:val="en-CA"/>
        </w:rPr>
        <w:footnoteReference w:id="8"/>
      </w:r>
      <w:r>
        <w:rPr>
          <w:lang w:val="es-ES"/>
        </w:rPr>
        <w:t xml:space="preserve">. Observando que el </w:t>
      </w:r>
      <w:r>
        <w:rPr>
          <w:lang w:val="es-ES"/>
        </w:rPr>
        <w:lastRenderedPageBreak/>
        <w:t xml:space="preserve">consultor contratado inicialmente para una evaluación económica independiente ya no podía realizar el trabajo, el Grupo decidió llevar a cabo su propia evaluación utilizando la política propuesta con arreglo a los diversos criterios de una matriz (véase el anexo I). Una de las opciones de políticas (3.2) se subdividió y la clasificación final considerada fue la siguiente: </w:t>
      </w:r>
    </w:p>
    <w:p w14:paraId="6094B5A8" w14:textId="77777777" w:rsidR="00790114" w:rsidRDefault="00790114">
      <w:pPr>
        <w:spacing w:before="120" w:after="120"/>
        <w:ind w:firstLine="708"/>
        <w:rPr>
          <w:lang w:val="es-ES"/>
        </w:rPr>
      </w:pPr>
      <w:r>
        <w:rPr>
          <w:lang w:val="es-ES"/>
        </w:rPr>
        <w:t>Opción 0</w:t>
      </w:r>
      <w:r>
        <w:rPr>
          <w:lang w:val="es-ES"/>
        </w:rPr>
        <w:tab/>
      </w:r>
      <w:r>
        <w:rPr>
          <w:i/>
          <w:iCs/>
          <w:lang w:val="es-ES"/>
        </w:rPr>
        <w:t>Statu quo</w:t>
      </w:r>
    </w:p>
    <w:p w14:paraId="6094B5A9" w14:textId="77777777" w:rsidR="00790114" w:rsidRDefault="00790114">
      <w:pPr>
        <w:spacing w:before="120" w:after="120"/>
        <w:ind w:firstLine="708"/>
        <w:rPr>
          <w:lang w:val="es-ES"/>
        </w:rPr>
      </w:pPr>
      <w:r>
        <w:rPr>
          <w:lang w:val="es-ES"/>
        </w:rPr>
        <w:t>Opción 1</w:t>
      </w:r>
      <w:r>
        <w:rPr>
          <w:lang w:val="es-ES"/>
        </w:rPr>
        <w:tab/>
        <w:t>La DSI se trata como recursos genéticos, donde se aplican el CFP y las CMA del país</w:t>
      </w:r>
    </w:p>
    <w:p w14:paraId="6094B5AA" w14:textId="77777777" w:rsidR="00790114" w:rsidRDefault="00790114">
      <w:pPr>
        <w:spacing w:before="120" w:after="120"/>
        <w:ind w:firstLine="708"/>
        <w:rPr>
          <w:lang w:val="es-ES"/>
        </w:rPr>
      </w:pPr>
      <w:r>
        <w:rPr>
          <w:lang w:val="es-ES"/>
        </w:rPr>
        <w:t>Opción 2.1</w:t>
      </w:r>
      <w:r>
        <w:rPr>
          <w:lang w:val="es-ES"/>
        </w:rPr>
        <w:tab/>
        <w:t>La DSI requiere unas CMA del país, pero no el CFP</w:t>
      </w:r>
    </w:p>
    <w:p w14:paraId="6094B5AB" w14:textId="77777777" w:rsidR="00790114" w:rsidRDefault="00790114">
      <w:pPr>
        <w:spacing w:before="120" w:after="120"/>
        <w:ind w:firstLine="708"/>
        <w:rPr>
          <w:lang w:val="es-ES"/>
        </w:rPr>
      </w:pPr>
      <w:r>
        <w:rPr>
          <w:lang w:val="es-ES"/>
        </w:rPr>
        <w:t>Opción 2.2</w:t>
      </w:r>
      <w:r>
        <w:rPr>
          <w:lang w:val="es-ES"/>
        </w:rPr>
        <w:tab/>
        <w:t>La DSI requiere unas CMA</w:t>
      </w:r>
      <w:r>
        <w:rPr>
          <w:rStyle w:val="FootnoteReference"/>
          <w:lang w:val="en-CA"/>
        </w:rPr>
        <w:footnoteReference w:id="9"/>
      </w:r>
      <w:r>
        <w:rPr>
          <w:lang w:val="es-ES"/>
        </w:rPr>
        <w:t xml:space="preserve"> normalizadas internacionales y sin CFP</w:t>
      </w:r>
    </w:p>
    <w:p w14:paraId="6094B5AC" w14:textId="77777777" w:rsidR="00790114" w:rsidRDefault="00790114">
      <w:pPr>
        <w:spacing w:before="120" w:after="120"/>
        <w:ind w:firstLine="708"/>
        <w:rPr>
          <w:lang w:val="es-ES"/>
        </w:rPr>
      </w:pPr>
      <w:r>
        <w:rPr>
          <w:lang w:val="es-ES"/>
        </w:rPr>
        <w:t>Opción 3.1</w:t>
      </w:r>
      <w:r>
        <w:rPr>
          <w:lang w:val="es-ES"/>
        </w:rPr>
        <w:tab/>
        <w:t>El acceso a la DSI requiere pago</w:t>
      </w:r>
    </w:p>
    <w:p w14:paraId="6094B5AD" w14:textId="77777777" w:rsidR="00790114" w:rsidRDefault="00790114">
      <w:pPr>
        <w:spacing w:before="120" w:after="120"/>
        <w:ind w:firstLine="708"/>
        <w:rPr>
          <w:lang w:val="es-ES"/>
        </w:rPr>
      </w:pPr>
      <w:r>
        <w:rPr>
          <w:lang w:val="es-ES"/>
        </w:rPr>
        <w:t xml:space="preserve">Opción </w:t>
      </w:r>
      <w:proofErr w:type="gramStart"/>
      <w:r>
        <w:rPr>
          <w:lang w:val="es-ES"/>
        </w:rPr>
        <w:t>3.2.a</w:t>
      </w:r>
      <w:proofErr w:type="gramEnd"/>
      <w:r>
        <w:rPr>
          <w:lang w:val="es-ES"/>
        </w:rPr>
        <w:tab/>
        <w:t>Pago/impuesto por servicios y productos como insumos para la investigación</w:t>
      </w:r>
    </w:p>
    <w:p w14:paraId="6094B5AE" w14:textId="77777777" w:rsidR="00790114" w:rsidRDefault="00790114">
      <w:pPr>
        <w:spacing w:before="120" w:after="120"/>
        <w:ind w:firstLine="708"/>
        <w:rPr>
          <w:lang w:val="es-ES"/>
        </w:rPr>
      </w:pPr>
      <w:r>
        <w:rPr>
          <w:lang w:val="es-ES"/>
        </w:rPr>
        <w:t xml:space="preserve">Opción 3.2.b </w:t>
      </w:r>
      <w:r>
        <w:rPr>
          <w:lang w:val="es-ES"/>
        </w:rPr>
        <w:tab/>
        <w:t>Bonos y etiquetas vinculados a contribuciones voluntarias</w:t>
      </w:r>
      <w:r>
        <w:rPr>
          <w:rStyle w:val="FootnoteReference"/>
          <w:lang w:val="en-CA"/>
        </w:rPr>
        <w:footnoteReference w:id="10"/>
      </w:r>
    </w:p>
    <w:p w14:paraId="6094B5AF" w14:textId="77777777" w:rsidR="00790114" w:rsidRDefault="00790114">
      <w:pPr>
        <w:spacing w:before="120" w:after="120"/>
        <w:ind w:firstLine="708"/>
        <w:rPr>
          <w:lang w:val="es-ES"/>
        </w:rPr>
      </w:pPr>
      <w:r>
        <w:rPr>
          <w:lang w:val="es-ES"/>
        </w:rPr>
        <w:t xml:space="preserve">Opción 3.2.c </w:t>
      </w:r>
      <w:r>
        <w:rPr>
          <w:lang w:val="es-ES"/>
        </w:rPr>
        <w:tab/>
        <w:t>Impuesto sobre los productos derivados del uso de la DSI</w:t>
      </w:r>
    </w:p>
    <w:p w14:paraId="6094B5B0" w14:textId="77777777" w:rsidR="00790114" w:rsidRDefault="00790114">
      <w:pPr>
        <w:spacing w:before="120" w:after="120"/>
        <w:ind w:firstLine="708"/>
        <w:rPr>
          <w:lang w:val="es-ES"/>
        </w:rPr>
      </w:pPr>
      <w:r>
        <w:rPr>
          <w:lang w:val="es-ES"/>
        </w:rPr>
        <w:t xml:space="preserve">Opción 4 </w:t>
      </w:r>
      <w:r>
        <w:rPr>
          <w:lang w:val="es-ES"/>
        </w:rPr>
        <w:tab/>
        <w:t>Colaboración tecnológica y científica y creación de capacidad mejoradas</w:t>
      </w:r>
    </w:p>
    <w:p w14:paraId="6094B5B1" w14:textId="77777777" w:rsidR="00790114" w:rsidRDefault="00790114">
      <w:pPr>
        <w:spacing w:before="120" w:after="120"/>
        <w:ind w:firstLine="708"/>
        <w:rPr>
          <w:lang w:val="es-ES"/>
        </w:rPr>
      </w:pPr>
      <w:r>
        <w:rPr>
          <w:lang w:val="es-ES"/>
        </w:rPr>
        <w:t xml:space="preserve">Opción 5 </w:t>
      </w:r>
      <w:r>
        <w:rPr>
          <w:lang w:val="es-ES"/>
        </w:rPr>
        <w:tab/>
        <w:t>No se comparten los beneficios del uso de la DSI</w:t>
      </w:r>
    </w:p>
    <w:p w14:paraId="6094B5B2" w14:textId="77777777" w:rsidR="00790114" w:rsidRDefault="00790114">
      <w:pPr>
        <w:spacing w:before="120" w:after="120"/>
        <w:ind w:firstLine="708"/>
        <w:rPr>
          <w:lang w:val="es-ES"/>
        </w:rPr>
      </w:pPr>
      <w:r>
        <w:rPr>
          <w:lang w:val="es-ES"/>
        </w:rPr>
        <w:t xml:space="preserve">Opción 6 </w:t>
      </w:r>
      <w:r>
        <w:rPr>
          <w:lang w:val="es-ES"/>
        </w:rPr>
        <w:tab/>
        <w:t>Impuesto del 1 % sobre las ventas al por menor de productos que utilizan la diversidad biológica (propuesta africana)</w:t>
      </w:r>
    </w:p>
    <w:p w14:paraId="6094B5B3" w14:textId="77777777" w:rsidR="00790114" w:rsidRDefault="00790114">
      <w:pPr>
        <w:pStyle w:val="ListParagraph"/>
        <w:numPr>
          <w:ilvl w:val="0"/>
          <w:numId w:val="3"/>
        </w:numPr>
        <w:spacing w:before="120" w:after="120"/>
        <w:ind w:left="0" w:hanging="11"/>
        <w:rPr>
          <w:lang w:val="es-ES"/>
        </w:rPr>
      </w:pPr>
      <w:r>
        <w:rPr>
          <w:lang w:val="es-ES"/>
        </w:rPr>
        <w:t xml:space="preserve">Los miembros del Grupo oficioso de asesoramiento prepararon 25 matrices, dos de las cuales representaban a grupos de partes interesadas, integrados por varios miembros del grupo. Cada uno puntuó las opciones de políticas para los diversos criterios, en una escala de tres puntos: criterios que se considera probable que se cumplan (“verde”), criterios que se considera probable que no se cumplan (“rojo”), información incierta o adicional requerida (“amarillo”). El resultado general puede verse en el anexo 1.A </w:t>
      </w:r>
      <w:r>
        <w:rPr>
          <w:i/>
          <w:iCs/>
          <w:lang w:val="es-ES"/>
        </w:rPr>
        <w:t>infra</w:t>
      </w:r>
      <w:r>
        <w:rPr>
          <w:lang w:val="es-ES"/>
        </w:rPr>
        <w:t xml:space="preserve">, en el que cada celda de la matriz muestra la distribución de la puntuación en las 25 presentaciones. </w:t>
      </w:r>
    </w:p>
    <w:p w14:paraId="6094B5B4" w14:textId="77777777" w:rsidR="00790114" w:rsidRDefault="00790114">
      <w:pPr>
        <w:pStyle w:val="ListParagraph"/>
        <w:numPr>
          <w:ilvl w:val="0"/>
          <w:numId w:val="3"/>
        </w:numPr>
        <w:spacing w:before="120" w:after="120"/>
        <w:ind w:left="0" w:hanging="11"/>
        <w:rPr>
          <w:lang w:val="es-ES"/>
        </w:rPr>
      </w:pPr>
      <w:r>
        <w:rPr>
          <w:lang w:val="es-ES"/>
        </w:rPr>
        <w:t xml:space="preserve">Los miembros del Grupo oficioso de asesoramiento también examinaron si cada opción de política debería ser considerada más a fondo, y los resultados se presentan en el anexo I.B. </w:t>
      </w:r>
    </w:p>
    <w:p w14:paraId="6094B5B5" w14:textId="77777777" w:rsidR="00790114" w:rsidRDefault="00790114">
      <w:pPr>
        <w:pStyle w:val="ListParagraph"/>
        <w:numPr>
          <w:ilvl w:val="0"/>
          <w:numId w:val="3"/>
        </w:numPr>
        <w:spacing w:before="120" w:after="120"/>
        <w:ind w:left="0" w:hanging="11"/>
        <w:rPr>
          <w:lang w:val="es-ES"/>
        </w:rPr>
      </w:pPr>
      <w:r>
        <w:rPr>
          <w:lang w:val="es-ES"/>
        </w:rPr>
        <w:t xml:space="preserve">Las principales tendencias que surgieron de este ejercicio y el consiguiente debate sobre la evaluación general de las opciones de políticas son: </w:t>
      </w:r>
    </w:p>
    <w:p w14:paraId="6094B5B6" w14:textId="77777777" w:rsidR="00790114" w:rsidRDefault="00790114">
      <w:pPr>
        <w:pStyle w:val="ListParagraph"/>
        <w:numPr>
          <w:ilvl w:val="1"/>
          <w:numId w:val="3"/>
        </w:numPr>
        <w:spacing w:before="120" w:after="120"/>
        <w:ind w:left="0" w:firstLine="687"/>
        <w:rPr>
          <w:lang w:val="es-ES"/>
        </w:rPr>
      </w:pPr>
      <w:r>
        <w:rPr>
          <w:lang w:val="es-ES"/>
        </w:rPr>
        <w:t>Las opciones 0, 1 y 2.1 obtuvieron una puntuación baja en la matriz (en gran parte “rojo”) y casi todos los miembros consideraron que no debían seguir siendo consideradas;</w:t>
      </w:r>
    </w:p>
    <w:p w14:paraId="6094B5B7" w14:textId="77777777" w:rsidR="00790114" w:rsidRDefault="00790114">
      <w:pPr>
        <w:pStyle w:val="ListParagraph"/>
        <w:numPr>
          <w:ilvl w:val="1"/>
          <w:numId w:val="3"/>
        </w:numPr>
        <w:spacing w:before="120" w:after="120"/>
        <w:ind w:left="0" w:firstLine="687"/>
        <w:rPr>
          <w:lang w:val="es-ES"/>
        </w:rPr>
      </w:pPr>
      <w:r>
        <w:rPr>
          <w:lang w:val="es-ES"/>
        </w:rPr>
        <w:t>La opción 2.2 también obtuvo una puntuación bastante baja en la matriz (en su mayor parte “rojo” o “amarillo”) y, aunque la mayoría consideró que no debía seguir teniéndose en cuenta, algunos miembros estimaron que debía mantenerse para su ulterior examen, al menos como parte de la solución híbrida;</w:t>
      </w:r>
    </w:p>
    <w:p w14:paraId="6094B5B8" w14:textId="77777777" w:rsidR="00790114" w:rsidRDefault="00790114">
      <w:pPr>
        <w:pStyle w:val="ListParagraph"/>
        <w:numPr>
          <w:ilvl w:val="1"/>
          <w:numId w:val="3"/>
        </w:numPr>
        <w:spacing w:before="120" w:after="120"/>
        <w:ind w:left="0" w:firstLine="687"/>
        <w:rPr>
          <w:lang w:val="es-ES"/>
        </w:rPr>
      </w:pPr>
      <w:r>
        <w:rPr>
          <w:lang w:val="es-ES"/>
        </w:rPr>
        <w:t>La opción 3.1 obtuvo una puntuación moderada en la matriz (en su mayoría “amarillo”) y casi todos los miembros consideraron que no debía seguir considerándose;</w:t>
      </w:r>
    </w:p>
    <w:p w14:paraId="6094B5B9" w14:textId="77777777" w:rsidR="00790114" w:rsidRDefault="00790114">
      <w:pPr>
        <w:pStyle w:val="ListParagraph"/>
        <w:numPr>
          <w:ilvl w:val="1"/>
          <w:numId w:val="3"/>
        </w:numPr>
        <w:spacing w:before="120" w:after="120"/>
        <w:ind w:left="0" w:firstLine="687"/>
        <w:rPr>
          <w:lang w:val="es-ES"/>
        </w:rPr>
      </w:pPr>
      <w:r>
        <w:rPr>
          <w:lang w:val="es-ES"/>
        </w:rPr>
        <w:t>La opción 3.2a también obtuvo una puntuación moderada (en su mayoría “amarillo”) en la matriz y, aunque muchos estimaron que no debía seguir considerándose, un número similar consideró que se necesitaba más información;</w:t>
      </w:r>
    </w:p>
    <w:p w14:paraId="6094B5BA" w14:textId="77777777" w:rsidR="00790114" w:rsidRDefault="00790114">
      <w:pPr>
        <w:numPr>
          <w:ilvl w:val="1"/>
          <w:numId w:val="3"/>
        </w:numPr>
        <w:spacing w:before="120" w:after="120"/>
        <w:ind w:left="0" w:firstLine="687"/>
        <w:rPr>
          <w:lang w:val="es-ES"/>
        </w:rPr>
      </w:pPr>
      <w:r>
        <w:rPr>
          <w:lang w:val="es-ES"/>
        </w:rPr>
        <w:t>Las opciones 3.2b, 3.2c y 6 obtuvieron una puntuación buena o incierta en la matriz (en su mayoría “verde” o “amarillo”) y la mayoría de los miembros opinaron que debían examinarse más a fondo o que se necesitaría más información rápidamente;</w:t>
      </w:r>
    </w:p>
    <w:p w14:paraId="6094B5BB" w14:textId="77777777" w:rsidR="00790114" w:rsidRDefault="00790114">
      <w:pPr>
        <w:numPr>
          <w:ilvl w:val="1"/>
          <w:numId w:val="3"/>
        </w:numPr>
        <w:spacing w:before="120" w:after="120"/>
        <w:ind w:left="0" w:firstLine="687"/>
        <w:rPr>
          <w:lang w:val="es-ES"/>
        </w:rPr>
      </w:pPr>
      <w:r>
        <w:rPr>
          <w:lang w:val="es-ES"/>
        </w:rPr>
        <w:lastRenderedPageBreak/>
        <w:t>La opción 4 obtuvo las puntuaciones más favorables en la matriz y todos estimaron que debía considerarse más a fondo, al menos como parte de una solución en combinación con otra opción u opciones;</w:t>
      </w:r>
    </w:p>
    <w:p w14:paraId="6094B5BC" w14:textId="77777777" w:rsidR="00790114" w:rsidRDefault="00790114">
      <w:pPr>
        <w:pStyle w:val="ListParagraph"/>
        <w:numPr>
          <w:ilvl w:val="1"/>
          <w:numId w:val="3"/>
        </w:numPr>
        <w:spacing w:before="120" w:after="120"/>
        <w:ind w:left="0" w:firstLine="687"/>
        <w:rPr>
          <w:lang w:val="es-ES"/>
        </w:rPr>
      </w:pPr>
      <w:r>
        <w:rPr>
          <w:lang w:val="es-ES"/>
        </w:rPr>
        <w:t>La opción 5 obtuvo una puntuación variable en la matriz y varios miembros señalaron que los numerosos criterios no eran aplicables, y la mayoría de los miembros estimó que no debía seguir considerándose, ya que, por definición, no lograba el objetivo de participación en los beneficios;</w:t>
      </w:r>
    </w:p>
    <w:p w14:paraId="6094B5BD" w14:textId="77777777" w:rsidR="00790114" w:rsidRDefault="00790114">
      <w:pPr>
        <w:numPr>
          <w:ilvl w:val="1"/>
          <w:numId w:val="3"/>
        </w:numPr>
        <w:spacing w:before="120" w:after="120"/>
        <w:ind w:left="0" w:firstLine="687"/>
        <w:rPr>
          <w:lang w:val="es-ES"/>
        </w:rPr>
      </w:pPr>
      <w:r>
        <w:rPr>
          <w:lang w:val="es-ES"/>
        </w:rPr>
        <w:t>Un participante consideró que todas las opciones debían mantenerse hasta que se alcanzara un consenso sobre una solución.</w:t>
      </w:r>
    </w:p>
    <w:p w14:paraId="6094B5BE" w14:textId="77777777" w:rsidR="00790114" w:rsidRDefault="00790114">
      <w:pPr>
        <w:pStyle w:val="ListParagraph"/>
        <w:numPr>
          <w:ilvl w:val="0"/>
          <w:numId w:val="3"/>
        </w:numPr>
        <w:spacing w:before="120" w:after="120"/>
        <w:ind w:left="0" w:hanging="11"/>
        <w:rPr>
          <w:lang w:val="en-US"/>
        </w:rPr>
      </w:pPr>
      <w:r>
        <w:rPr>
          <w:lang w:val="es-ES"/>
        </w:rPr>
        <w:t xml:space="preserve">En cuanto a los criterios de la evaluación, se observó que no todos los criterios debían tener la misma importancia. Algunos criterios son, de hecho, esenciales y no solo deseables, ya que se refieren a los artículos del Convenio sobre la Diversidad Biológica, los principios del Protocolo de Nagoya o algunos puntos de consenso ya planteados por el Grupo de Trabajo en las recomendaciones 3/2 y 4/2, incluidos los puntos de acuerdo indicados en los párrafos 5 y 6 de la recomendación 3/2. </w:t>
      </w:r>
      <w:proofErr w:type="spellStart"/>
      <w:r>
        <w:rPr>
          <w:lang w:val="en-US"/>
        </w:rPr>
        <w:t>En</w:t>
      </w:r>
      <w:proofErr w:type="spellEnd"/>
      <w:r>
        <w:rPr>
          <w:lang w:val="en-US"/>
        </w:rPr>
        <w:t xml:space="preserve"> vista de </w:t>
      </w:r>
      <w:proofErr w:type="spellStart"/>
      <w:r>
        <w:rPr>
          <w:lang w:val="en-US"/>
        </w:rPr>
        <w:t>ello</w:t>
      </w:r>
      <w:proofErr w:type="spellEnd"/>
      <w:r>
        <w:rPr>
          <w:lang w:val="en-US"/>
        </w:rPr>
        <w:t xml:space="preserve">, se </w:t>
      </w:r>
      <w:proofErr w:type="spellStart"/>
      <w:r>
        <w:rPr>
          <w:lang w:val="en-US"/>
        </w:rPr>
        <w:t>observan</w:t>
      </w:r>
      <w:proofErr w:type="spellEnd"/>
      <w:r>
        <w:rPr>
          <w:lang w:val="en-US"/>
        </w:rPr>
        <w:t xml:space="preserve"> las </w:t>
      </w:r>
      <w:proofErr w:type="spellStart"/>
      <w:r>
        <w:rPr>
          <w:lang w:val="en-US"/>
        </w:rPr>
        <w:t>siguientes</w:t>
      </w:r>
      <w:proofErr w:type="spellEnd"/>
      <w:r>
        <w:rPr>
          <w:lang w:val="en-US"/>
        </w:rPr>
        <w:t xml:space="preserve"> </w:t>
      </w:r>
      <w:proofErr w:type="spellStart"/>
      <w:r>
        <w:rPr>
          <w:lang w:val="en-US"/>
        </w:rPr>
        <w:t>tendencias</w:t>
      </w:r>
      <w:proofErr w:type="spellEnd"/>
      <w:r>
        <w:rPr>
          <w:lang w:val="en-US"/>
        </w:rPr>
        <w:t xml:space="preserve">: </w:t>
      </w:r>
    </w:p>
    <w:p w14:paraId="6094B5BF" w14:textId="77777777" w:rsidR="00790114" w:rsidRDefault="00790114">
      <w:pPr>
        <w:numPr>
          <w:ilvl w:val="1"/>
          <w:numId w:val="3"/>
        </w:numPr>
        <w:spacing w:before="120" w:after="120"/>
        <w:ind w:left="0" w:firstLine="709"/>
        <w:rPr>
          <w:lang w:val="es-ES"/>
        </w:rPr>
      </w:pPr>
      <w:r>
        <w:rPr>
          <w:lang w:val="es-ES"/>
        </w:rPr>
        <w:t xml:space="preserve">Con respecto al criterio 1 de </w:t>
      </w:r>
      <w:r>
        <w:rPr>
          <w:i/>
          <w:iCs/>
          <w:lang w:val="es-ES"/>
        </w:rPr>
        <w:t xml:space="preserve">participación en los beneficios monetarios: </w:t>
      </w:r>
      <w:r>
        <w:rPr>
          <w:lang w:val="es-ES"/>
        </w:rPr>
        <w:t>las opciones 3.1 y 3.2 (</w:t>
      </w:r>
      <w:proofErr w:type="spellStart"/>
      <w:r>
        <w:rPr>
          <w:lang w:val="es-ES"/>
        </w:rPr>
        <w:t>subopciones</w:t>
      </w:r>
      <w:proofErr w:type="spellEnd"/>
      <w:r>
        <w:rPr>
          <w:lang w:val="es-ES"/>
        </w:rPr>
        <w:t xml:space="preserve"> a y c) y 6 se consideraron en general susceptibles de cumplir el criterio, mientras que otras no (opciones 0, 1 y 5) o se consideraron inciertas (opciones 2.1 y 2.2);</w:t>
      </w:r>
    </w:p>
    <w:p w14:paraId="6094B5C0" w14:textId="77777777" w:rsidR="00790114" w:rsidRDefault="00790114">
      <w:pPr>
        <w:numPr>
          <w:ilvl w:val="1"/>
          <w:numId w:val="3"/>
        </w:numPr>
        <w:spacing w:before="120" w:after="120"/>
        <w:ind w:left="0" w:firstLine="709"/>
        <w:rPr>
          <w:lang w:val="es-ES"/>
        </w:rPr>
      </w:pPr>
      <w:r>
        <w:rPr>
          <w:lang w:val="es-ES"/>
        </w:rPr>
        <w:t xml:space="preserve">Con respecto al criterio 2 de </w:t>
      </w:r>
      <w:r>
        <w:rPr>
          <w:i/>
          <w:iCs/>
          <w:lang w:val="es-ES"/>
        </w:rPr>
        <w:t xml:space="preserve">participación en los beneficios no monetarios: </w:t>
      </w:r>
      <w:r>
        <w:rPr>
          <w:lang w:val="es-ES"/>
        </w:rPr>
        <w:t>se consideró en general que era probable que la opción 4 cumpliera el criterio, mientras que se consideró que otras no (opciones 0, 1 y 5) o se consideraron inciertas (opciones 2, 3 y 6);</w:t>
      </w:r>
    </w:p>
    <w:p w14:paraId="6094B5C1" w14:textId="77777777" w:rsidR="00790114" w:rsidRDefault="00790114">
      <w:pPr>
        <w:numPr>
          <w:ilvl w:val="1"/>
          <w:numId w:val="3"/>
        </w:numPr>
        <w:spacing w:before="120" w:after="120"/>
        <w:ind w:left="0" w:firstLine="709"/>
        <w:rPr>
          <w:lang w:val="es-ES"/>
        </w:rPr>
      </w:pPr>
      <w:r>
        <w:rPr>
          <w:lang w:val="es-ES"/>
        </w:rPr>
        <w:t xml:space="preserve">En lo que respecta al criterio 3 de </w:t>
      </w:r>
      <w:r>
        <w:rPr>
          <w:i/>
          <w:iCs/>
          <w:lang w:val="es-ES"/>
        </w:rPr>
        <w:t xml:space="preserve">acceso abierto </w:t>
      </w:r>
      <w:r>
        <w:rPr>
          <w:lang w:val="es-ES"/>
        </w:rPr>
        <w:t xml:space="preserve">y el criterio 4 relativo a que </w:t>
      </w:r>
      <w:r>
        <w:rPr>
          <w:i/>
          <w:iCs/>
          <w:lang w:val="es-ES"/>
        </w:rPr>
        <w:t xml:space="preserve">no obstaculice la investigación y la innovación, </w:t>
      </w:r>
      <w:r>
        <w:rPr>
          <w:lang w:val="es-ES"/>
        </w:rPr>
        <w:t>las opciones 3.2 (</w:t>
      </w:r>
      <w:proofErr w:type="spellStart"/>
      <w:r>
        <w:rPr>
          <w:lang w:val="es-ES"/>
        </w:rPr>
        <w:t>subopciones</w:t>
      </w:r>
      <w:proofErr w:type="spellEnd"/>
      <w:r>
        <w:rPr>
          <w:lang w:val="es-ES"/>
        </w:rPr>
        <w:t xml:space="preserve"> b y c), 4, 5 y 6 se consideraron en general susceptibles de cumplir el criterio, mientras que otras no (aunque las opciones 2.2 y 3.2a mostraron resultados variables a este respecto);</w:t>
      </w:r>
    </w:p>
    <w:p w14:paraId="6094B5C2" w14:textId="77777777" w:rsidR="00790114" w:rsidRDefault="00790114">
      <w:pPr>
        <w:numPr>
          <w:ilvl w:val="1"/>
          <w:numId w:val="3"/>
        </w:numPr>
        <w:spacing w:before="120" w:after="120"/>
        <w:ind w:left="0" w:firstLine="709"/>
        <w:rPr>
          <w:lang w:val="es-ES"/>
        </w:rPr>
      </w:pPr>
      <w:r>
        <w:rPr>
          <w:lang w:val="es-ES"/>
        </w:rPr>
        <w:t xml:space="preserve">Con respecto al criterio 5 </w:t>
      </w:r>
      <w:proofErr w:type="gramStart"/>
      <w:r>
        <w:rPr>
          <w:lang w:val="es-ES"/>
        </w:rPr>
        <w:t xml:space="preserve">relativo a </w:t>
      </w:r>
      <w:r>
        <w:rPr>
          <w:i/>
          <w:iCs/>
          <w:lang w:val="es-ES"/>
        </w:rPr>
        <w:t>las potencial</w:t>
      </w:r>
      <w:proofErr w:type="gramEnd"/>
      <w:r>
        <w:rPr>
          <w:i/>
          <w:iCs/>
          <w:lang w:val="es-ES"/>
        </w:rPr>
        <w:t xml:space="preserve"> para contribuir a la conservación</w:t>
      </w:r>
      <w:r>
        <w:rPr>
          <w:lang w:val="es-ES"/>
        </w:rPr>
        <w:t xml:space="preserve">, y el criterio 17 </w:t>
      </w:r>
      <w:r>
        <w:rPr>
          <w:i/>
          <w:iCs/>
          <w:lang w:val="es-ES"/>
        </w:rPr>
        <w:t>facilita la distribución de los beneficios con PICL</w:t>
      </w:r>
      <w:r>
        <w:rPr>
          <w:lang w:val="es-ES"/>
        </w:rPr>
        <w:t>, la mayoría de las opciones se consideraron inciertas y se señaló que ello dependería de la forma en que se destinaran los fondos;</w:t>
      </w:r>
    </w:p>
    <w:p w14:paraId="6094B5C3" w14:textId="77777777" w:rsidR="00790114" w:rsidRDefault="00790114">
      <w:pPr>
        <w:numPr>
          <w:ilvl w:val="1"/>
          <w:numId w:val="3"/>
        </w:numPr>
        <w:spacing w:before="120" w:after="120"/>
        <w:ind w:left="0" w:firstLine="709"/>
        <w:rPr>
          <w:lang w:val="es-ES"/>
        </w:rPr>
      </w:pPr>
      <w:r>
        <w:rPr>
          <w:lang w:val="es-ES"/>
        </w:rPr>
        <w:t>En lo que respecta a los criterios de eficiencia y viabilidad (criterios 6-12, excepto el criterio 11), la mayoría de las opciones que cumplían los criterios mencionados anteriormente (1-5 y 17) obtuvieron una puntuación en “amarillo”, lo que indica que se necesitaría más información. (La excepción fue la opción 4, que obtuvo una puntuación mayoritariamente positiva);</w:t>
      </w:r>
    </w:p>
    <w:p w14:paraId="6094B5C4" w14:textId="77777777" w:rsidR="00790114" w:rsidRDefault="00790114">
      <w:pPr>
        <w:numPr>
          <w:ilvl w:val="1"/>
          <w:numId w:val="3"/>
        </w:numPr>
        <w:spacing w:before="120" w:after="120"/>
        <w:ind w:left="0" w:firstLine="709"/>
        <w:rPr>
          <w:lang w:val="es-ES"/>
        </w:rPr>
      </w:pPr>
      <w:r>
        <w:rPr>
          <w:lang w:val="es-ES"/>
        </w:rPr>
        <w:t>Con respecto a los restantes criterios relacionados con la gobernanza, la coherencia y la adaptabilidad (criterios 13-16, 18 y 19), la mayoría de las opciones que cumplieron los criterios 1-5 y 17 obtuvieron una puntuación mayoritariamente verde (o no aplicable).</w:t>
      </w:r>
    </w:p>
    <w:p w14:paraId="6094B5C5" w14:textId="77777777" w:rsidR="00790114" w:rsidRDefault="00790114">
      <w:pPr>
        <w:pStyle w:val="ListParagraph"/>
        <w:numPr>
          <w:ilvl w:val="0"/>
          <w:numId w:val="3"/>
        </w:numPr>
        <w:spacing w:before="120" w:after="120"/>
        <w:ind w:left="0" w:hanging="11"/>
        <w:rPr>
          <w:lang w:val="es-ES"/>
        </w:rPr>
      </w:pPr>
      <w:r>
        <w:rPr>
          <w:lang w:val="es-ES"/>
        </w:rPr>
        <w:t xml:space="preserve">Algunas observaciones más generales se centraron en la necesidad de tener en cuenta el impacto de las opciones de políticas en todos los interesados, en las regiones con diferentes capitales para la diversidad biológica y en la capacidad de utilización de la DSI. El Grupo también examinó la disposición de los sistemas existentes, como las bases de datos o la protección de la propiedad intelectual, así como de la industria privada, para contribuir a una decisión sobre DSI. </w:t>
      </w:r>
    </w:p>
    <w:p w14:paraId="6094B5C6" w14:textId="77777777" w:rsidR="00790114" w:rsidRDefault="00790114">
      <w:pPr>
        <w:pStyle w:val="ListParagraph"/>
        <w:numPr>
          <w:ilvl w:val="0"/>
          <w:numId w:val="3"/>
        </w:numPr>
        <w:spacing w:before="120" w:after="120"/>
        <w:ind w:left="0" w:hanging="11"/>
        <w:rPr>
          <w:lang w:val="es-ES"/>
        </w:rPr>
      </w:pPr>
      <w:r>
        <w:rPr>
          <w:lang w:val="es-ES"/>
        </w:rPr>
        <w:t xml:space="preserve">El Grupo convino en que existían dos deficiencias principales para una conclusión sólida de la evaluación de las opciones de políticas: </w:t>
      </w:r>
    </w:p>
    <w:p w14:paraId="6094B5C7" w14:textId="77777777" w:rsidR="00790114" w:rsidRDefault="00790114">
      <w:pPr>
        <w:numPr>
          <w:ilvl w:val="1"/>
          <w:numId w:val="3"/>
        </w:numPr>
        <w:spacing w:before="120" w:after="120"/>
        <w:ind w:left="0" w:firstLine="709"/>
        <w:rPr>
          <w:lang w:val="es-ES"/>
        </w:rPr>
      </w:pPr>
      <w:r>
        <w:rPr>
          <w:lang w:val="es-ES"/>
        </w:rPr>
        <w:t>Deberían seguir desarrollándose las modalidades de distribución de fondos de un posible mecanismo multilateral;</w:t>
      </w:r>
    </w:p>
    <w:p w14:paraId="6094B5C8" w14:textId="77777777" w:rsidR="00790114" w:rsidRDefault="00790114">
      <w:pPr>
        <w:numPr>
          <w:ilvl w:val="1"/>
          <w:numId w:val="3"/>
        </w:numPr>
        <w:spacing w:before="120" w:after="120"/>
        <w:ind w:left="0" w:firstLine="709"/>
        <w:rPr>
          <w:lang w:val="es-ES"/>
        </w:rPr>
      </w:pPr>
      <w:r>
        <w:rPr>
          <w:lang w:val="es-ES"/>
        </w:rPr>
        <w:t>El impacto económico de las opciones de políticas propuestas debe considerarse un criterio.</w:t>
      </w:r>
    </w:p>
    <w:p w14:paraId="6094B5C9" w14:textId="77777777" w:rsidR="00790114" w:rsidRDefault="00790114">
      <w:pPr>
        <w:pStyle w:val="ListParagraph"/>
        <w:numPr>
          <w:ilvl w:val="0"/>
          <w:numId w:val="3"/>
        </w:numPr>
        <w:spacing w:before="120" w:after="120"/>
        <w:ind w:left="0" w:hanging="11"/>
        <w:rPr>
          <w:lang w:val="es-ES"/>
        </w:rPr>
      </w:pPr>
      <w:r>
        <w:rPr>
          <w:lang w:val="es-ES"/>
        </w:rPr>
        <w:t xml:space="preserve">El Grupo oficioso de asesoramiento escuchó presentaciones de los miembros sobre propuestas para un mecanismo multilateral y para una solución híbrida que combine enfoques bilaterales y </w:t>
      </w:r>
      <w:r>
        <w:rPr>
          <w:lang w:val="es-ES"/>
        </w:rPr>
        <w:lastRenderedPageBreak/>
        <w:t xml:space="preserve">multilaterales. Aunque en general ambos enfoques fueron bien recibidos por los miembros del Grupo, con el reconocimiento de que pueden ayudar a proporcionar un camino a seguir, ambas propuestas plantearon muchas preguntas. Además, se presentaron al Grupo oficioso de asesoramiento las reflexiones científicas y jurídicas de un grupo de partes interesadas. Las presentaciones y el posterior debate revelaron los siguientes puntos: </w:t>
      </w:r>
    </w:p>
    <w:p w14:paraId="6094B5CA" w14:textId="77777777" w:rsidR="00790114" w:rsidRDefault="00790114">
      <w:pPr>
        <w:numPr>
          <w:ilvl w:val="1"/>
          <w:numId w:val="3"/>
        </w:numPr>
        <w:spacing w:before="120" w:after="120"/>
        <w:ind w:left="0" w:firstLine="687"/>
        <w:rPr>
          <w:lang w:val="es-ES"/>
        </w:rPr>
      </w:pPr>
      <w:r>
        <w:rPr>
          <w:lang w:val="es-ES"/>
        </w:rPr>
        <w:t>Las modalidades de un enfoque multilateral financiado con un gravamen del 1 % sobre la venta al por menor de todos los productos basados en la diversidad biológica en los países desarrollados pueden requerir acuerdos sobre las definiciones de varios conceptos, como la utilización, las categorías de productos, los países en desarrollo, entre otros;</w:t>
      </w:r>
    </w:p>
    <w:p w14:paraId="6094B5CB" w14:textId="77777777" w:rsidR="00790114" w:rsidRDefault="00790114">
      <w:pPr>
        <w:numPr>
          <w:ilvl w:val="1"/>
          <w:numId w:val="3"/>
        </w:numPr>
        <w:spacing w:before="120" w:after="120"/>
        <w:ind w:left="0" w:firstLine="687"/>
        <w:rPr>
          <w:lang w:val="es-ES"/>
        </w:rPr>
      </w:pPr>
      <w:r>
        <w:rPr>
          <w:lang w:val="es-ES"/>
        </w:rPr>
        <w:t xml:space="preserve">Un enfoque híbrido podría aprovechar el etiquetado </w:t>
      </w:r>
      <w:proofErr w:type="gramStart"/>
      <w:r>
        <w:rPr>
          <w:lang w:val="es-ES"/>
        </w:rPr>
        <w:t>espacio-temporal</w:t>
      </w:r>
      <w:proofErr w:type="gramEnd"/>
      <w:r>
        <w:rPr>
          <w:lang w:val="es-ES"/>
        </w:rPr>
        <w:t xml:space="preserve"> en las bases de datos para exigir un mecanismo bilateral para las especies endémicas y utilizarse para informar de las modalidades de distribución de un fondo multilateral. Sin embargo, se señaló que las especies o los datos incluidos en el mecanismo bilateral </w:t>
      </w:r>
      <w:proofErr w:type="gramStart"/>
      <w:r>
        <w:rPr>
          <w:lang w:val="es-ES"/>
        </w:rPr>
        <w:t>tendrían que tener</w:t>
      </w:r>
      <w:proofErr w:type="gramEnd"/>
      <w:r>
        <w:rPr>
          <w:lang w:val="es-ES"/>
        </w:rPr>
        <w:t xml:space="preserve"> un alcance bien definido y algunos miembros consideraron que la proporción de casos para los que se podría activar un enfoque bilateral podría ser bastante baja. Se expresó preocupación por el hecho de que cualquier requisito relativo a las CMA podría obstaculizar la investigación, llevar a disputas en materia de jurisdicción (competencia entre las Partes) y reducir la participación en los beneficios;</w:t>
      </w:r>
    </w:p>
    <w:p w14:paraId="6094B5CC" w14:textId="77777777" w:rsidR="00790114" w:rsidRDefault="00790114">
      <w:pPr>
        <w:numPr>
          <w:ilvl w:val="1"/>
          <w:numId w:val="3"/>
        </w:numPr>
        <w:spacing w:before="120" w:after="120"/>
        <w:ind w:left="0" w:firstLine="687"/>
        <w:rPr>
          <w:lang w:val="es-ES"/>
        </w:rPr>
      </w:pPr>
      <w:r>
        <w:rPr>
          <w:lang w:val="es-ES"/>
        </w:rPr>
        <w:t>Tanto las propuestas multilaterales como las híbridas podrían aprovechar los mecanismos financieros existentes, los puntos de activación del registro o los mecanismos gubernamentales de presentación de informes;</w:t>
      </w:r>
    </w:p>
    <w:p w14:paraId="6094B5CD" w14:textId="77777777" w:rsidR="00790114" w:rsidRDefault="00790114">
      <w:pPr>
        <w:numPr>
          <w:ilvl w:val="1"/>
          <w:numId w:val="3"/>
        </w:numPr>
        <w:spacing w:before="120" w:after="120"/>
        <w:ind w:left="0" w:firstLine="687"/>
        <w:rPr>
          <w:lang w:val="es-ES"/>
        </w:rPr>
      </w:pPr>
      <w:r>
        <w:rPr>
          <w:lang w:val="es-ES"/>
        </w:rPr>
        <w:t>Deberían tenerse en cuenta las opciones que pudieran aplicarse rápidamente y mejorarse con el tiempo mediante una gestión adaptativa;</w:t>
      </w:r>
    </w:p>
    <w:p w14:paraId="6094B5CE" w14:textId="77777777" w:rsidR="00790114" w:rsidRDefault="00790114">
      <w:pPr>
        <w:numPr>
          <w:ilvl w:val="1"/>
          <w:numId w:val="3"/>
        </w:numPr>
        <w:spacing w:before="120" w:after="120"/>
        <w:ind w:left="0" w:firstLine="687"/>
        <w:rPr>
          <w:lang w:val="es-ES"/>
        </w:rPr>
      </w:pPr>
      <w:r>
        <w:rPr>
          <w:lang w:val="es-ES"/>
        </w:rPr>
        <w:t xml:space="preserve">Cualquier opción de políticas tendría que cumplir los principios existentes del Convenio sobre la Diversidad Biológica y el Protocolo de Nagoya. </w:t>
      </w:r>
    </w:p>
    <w:p w14:paraId="6094B5CF" w14:textId="77777777" w:rsidR="00790114" w:rsidRDefault="00790114">
      <w:pPr>
        <w:pStyle w:val="ListParagraph"/>
        <w:numPr>
          <w:ilvl w:val="0"/>
          <w:numId w:val="3"/>
        </w:numPr>
        <w:spacing w:before="120" w:after="120"/>
        <w:ind w:left="0" w:hanging="11"/>
        <w:rPr>
          <w:lang w:val="es-ES"/>
        </w:rPr>
      </w:pPr>
      <w:r>
        <w:rPr>
          <w:lang w:val="es-ES"/>
        </w:rPr>
        <w:t>Los miembros del Grupo destacaron la necesidad de encontrar urgentemente una solución para la distribución justa y equitativa de los beneficios derivados de la información digital sobre secuencias de recursos genéticos, observando que la diversidad biológica está disminuyendo rápidamente, y que la magnitud de los recursos necesarios para revertir esta situación es enorme y una cuestión urgente.</w:t>
      </w:r>
    </w:p>
    <w:p w14:paraId="6094B5D0" w14:textId="77777777" w:rsidR="00790114" w:rsidRDefault="00790114">
      <w:pPr>
        <w:spacing w:before="240" w:after="120"/>
        <w:ind w:left="1701" w:hanging="708"/>
        <w:jc w:val="left"/>
        <w:rPr>
          <w:b/>
          <w:bCs/>
          <w:lang w:val="es-ES"/>
        </w:rPr>
      </w:pPr>
      <w:r>
        <w:rPr>
          <w:b/>
          <w:bCs/>
          <w:lang w:val="es-ES"/>
        </w:rPr>
        <w:t xml:space="preserve">III. </w:t>
      </w:r>
      <w:r>
        <w:rPr>
          <w:b/>
          <w:bCs/>
          <w:lang w:val="es-ES"/>
        </w:rPr>
        <w:tab/>
        <w:t xml:space="preserve">ELEMENTOS QUE DEBEN TENERSE EN CUENTA SOBRE EL CAMINO A SEGUIR EN RELACIÓN CON LA INFORMACIÓN DIGITAL SOBRE SECUENCIAS DE RECURSOS GENÉTICOS </w:t>
      </w:r>
    </w:p>
    <w:p w14:paraId="6094B5D1" w14:textId="77777777" w:rsidR="00790114" w:rsidRDefault="00790114">
      <w:pPr>
        <w:pStyle w:val="ListParagraph"/>
        <w:numPr>
          <w:ilvl w:val="0"/>
          <w:numId w:val="3"/>
        </w:numPr>
        <w:spacing w:before="120" w:after="120"/>
        <w:ind w:left="0" w:hanging="11"/>
        <w:rPr>
          <w:lang w:val="es-ES"/>
        </w:rPr>
      </w:pPr>
      <w:r>
        <w:rPr>
          <w:lang w:val="es-ES"/>
        </w:rPr>
        <w:t xml:space="preserve">El mandato del Grupo de Trabajo sobre el Marco Mundial de la Diversidad Biológica posterior a 2020 es formular una recomendación a la Conferencia de las Partes en su 15ª reunión sobre la forma de abordar la DSI en el contexto del marco mundial de la diversidad biológica posterior a 2020. El Grupo de Trabajo también presentará los resultados de sus deliberaciones para someterlos al examen de la Conferencia de las Partes que actúa como reunión de las Partes en el Protocolo de Nagoya en su cuarta reunión.   </w:t>
      </w:r>
    </w:p>
    <w:p w14:paraId="6094B5D2" w14:textId="77777777" w:rsidR="00790114" w:rsidRDefault="00790114">
      <w:pPr>
        <w:pStyle w:val="ListParagraph"/>
        <w:numPr>
          <w:ilvl w:val="0"/>
          <w:numId w:val="3"/>
        </w:numPr>
        <w:spacing w:before="120" w:after="120"/>
        <w:ind w:left="0" w:hanging="11"/>
        <w:rPr>
          <w:lang w:val="es-ES"/>
        </w:rPr>
      </w:pPr>
      <w:r>
        <w:rPr>
          <w:lang w:val="es-ES"/>
        </w:rPr>
        <w:t>En sus deliberaciones ulteriores sobre la información digital sobre secuencias de recursos genéticos y su recomendación a la Conferencia de las Partes sobre la forma de abordar la DSI en el contexto del marco mundial de la diversidad biológica posterior a 2020, el Grupo de Trabajo tal vez desee tener en cuenta sus recomendaciones 3/2 y 4/2 sobre esta cuestión y examinar también los resultados de la labor más reciente del Grupo oficioso de asesoramiento, que se resumen en el párrafo anterior.</w:t>
      </w:r>
    </w:p>
    <w:p w14:paraId="6094B5D3" w14:textId="77777777" w:rsidR="00790114" w:rsidRDefault="00790114">
      <w:pPr>
        <w:pStyle w:val="ListParagraph"/>
        <w:numPr>
          <w:ilvl w:val="0"/>
          <w:numId w:val="3"/>
        </w:numPr>
        <w:spacing w:before="120" w:after="120"/>
        <w:ind w:left="0" w:hanging="11"/>
        <w:rPr>
          <w:lang w:val="es-ES"/>
        </w:rPr>
      </w:pPr>
      <w:r>
        <w:rPr>
          <w:lang w:val="es-ES"/>
        </w:rPr>
        <w:t xml:space="preserve">Además, el Grupo de Trabajo, en su recomendación 3/2, reconoció que una solución para la distribución justa y equitativa de los beneficios derivados de la información digital sobre secuencias de recursos genéticos debía incluir una serie de características acordadas (párrafos 5 y 6). Teniendo en cuenta los debates mantenidos en el Grupo oficioso de asesoramiento, incluida la evaluación realizada por sus miembros de la propuesta de opciones de políticas que se resume </w:t>
      </w:r>
      <w:r>
        <w:rPr>
          <w:i/>
          <w:iCs/>
          <w:lang w:val="es-ES"/>
        </w:rPr>
        <w:t>supra</w:t>
      </w:r>
      <w:r>
        <w:rPr>
          <w:lang w:val="es-ES"/>
        </w:rPr>
        <w:t xml:space="preserve">, el Grupo de Trabajo, en la búsqueda de esa solución, tal vez desee examinar los siguientes puntos: </w:t>
      </w:r>
    </w:p>
    <w:p w14:paraId="6094B5D4" w14:textId="77777777" w:rsidR="00790114" w:rsidRDefault="00790114">
      <w:pPr>
        <w:numPr>
          <w:ilvl w:val="1"/>
          <w:numId w:val="6"/>
        </w:numPr>
        <w:spacing w:before="120" w:after="120"/>
        <w:ind w:left="0" w:firstLine="709"/>
        <w:rPr>
          <w:lang w:val="es-ES"/>
        </w:rPr>
      </w:pPr>
      <w:r>
        <w:rPr>
          <w:lang w:val="es-ES"/>
        </w:rPr>
        <w:lastRenderedPageBreak/>
        <w:t>Un mecanismo multilateral, incluido un fondo multilateral, se está configurando como un posible componente de la solución (ese mecanismo/fondo puede basarse en las opciones 3.2b, 3.2.c y/o 6, u otros enfoques inspirados en esas opciones), junto con una mayor cooperación técnica y científica y creación de capacidad (sobre la base de la opción 4);</w:t>
      </w:r>
    </w:p>
    <w:p w14:paraId="6094B5D5" w14:textId="77777777" w:rsidR="00790114" w:rsidRDefault="00790114">
      <w:pPr>
        <w:numPr>
          <w:ilvl w:val="1"/>
          <w:numId w:val="6"/>
        </w:numPr>
        <w:spacing w:before="120" w:after="120"/>
        <w:ind w:left="0" w:firstLine="709"/>
        <w:rPr>
          <w:lang w:val="es-ES"/>
        </w:rPr>
      </w:pPr>
      <w:r>
        <w:rPr>
          <w:lang w:val="es-ES"/>
        </w:rPr>
        <w:t>Habrá que seguir examinando los enfoques híbridos que combinan elementos multilaterales y bilaterales (que podrían basarse en la opción 2.2), reconociendo al mismo tiempo la conveniencia de un enfoque que sea fácil de desarrollar y aplicar;</w:t>
      </w:r>
    </w:p>
    <w:p w14:paraId="6094B5D6" w14:textId="77777777" w:rsidR="00790114" w:rsidRDefault="00790114">
      <w:pPr>
        <w:numPr>
          <w:ilvl w:val="1"/>
          <w:numId w:val="6"/>
        </w:numPr>
        <w:spacing w:before="120" w:after="120"/>
        <w:ind w:left="0" w:firstLine="709"/>
        <w:rPr>
          <w:lang w:val="es-ES"/>
        </w:rPr>
      </w:pPr>
      <w:r>
        <w:rPr>
          <w:lang w:val="es-ES"/>
        </w:rPr>
        <w:t>La distribución de los beneficios monetarios y no monetarios, incluidos los beneficios de cualquier fondo multilateral, debe tener en cuenta, entre otras cosas, la necesidad de apoyar la conservación y la utilización de la diversidad biológica, así como las actividades dirigidas por comunidades indígenas y locales, promover la aplicación del marco mundial de la diversidad biológica posterior a 2020. Además, también podría tenerse en cuenta la distribución geográfica de los recursos genéticos que dieron lugar a la DSI;</w:t>
      </w:r>
    </w:p>
    <w:p w14:paraId="6094B5D7" w14:textId="77777777" w:rsidR="00790114" w:rsidRDefault="00790114">
      <w:pPr>
        <w:numPr>
          <w:ilvl w:val="1"/>
          <w:numId w:val="6"/>
        </w:numPr>
        <w:spacing w:before="120" w:after="120"/>
        <w:ind w:left="0" w:firstLine="709"/>
        <w:rPr>
          <w:lang w:val="es-ES"/>
        </w:rPr>
      </w:pPr>
      <w:r>
        <w:rPr>
          <w:lang w:val="es-ES"/>
        </w:rPr>
        <w:t>Todo enfoque debe entenderse sin perjuicio de los derechos y responsabilidades existentes en virtud del Convenio y el Protocolo de Nagoya;</w:t>
      </w:r>
    </w:p>
    <w:p w14:paraId="6094B5D8" w14:textId="77777777" w:rsidR="00790114" w:rsidRDefault="00790114">
      <w:pPr>
        <w:numPr>
          <w:ilvl w:val="1"/>
          <w:numId w:val="6"/>
        </w:numPr>
        <w:spacing w:before="120" w:after="120"/>
        <w:ind w:left="0" w:firstLine="709"/>
        <w:rPr>
          <w:lang w:val="es-ES"/>
        </w:rPr>
      </w:pPr>
      <w:r>
        <w:rPr>
          <w:lang w:val="es-ES"/>
        </w:rPr>
        <w:t xml:space="preserve">Se deben considerar opciones que puedan aplicarse rápidamente, por </w:t>
      </w:r>
      <w:proofErr w:type="gramStart"/>
      <w:r>
        <w:rPr>
          <w:lang w:val="es-ES"/>
        </w:rPr>
        <w:t>ejemplo</w:t>
      </w:r>
      <w:proofErr w:type="gramEnd"/>
      <w:r>
        <w:rPr>
          <w:lang w:val="es-ES"/>
        </w:rPr>
        <w:t xml:space="preserve"> con carácter experimental, y mejorarse con el paso del tiempo mediante una gestión adaptativa.</w:t>
      </w:r>
    </w:p>
    <w:p w14:paraId="6094B5D9" w14:textId="77777777" w:rsidR="00790114" w:rsidRDefault="00790114">
      <w:pPr>
        <w:rPr>
          <w:lang w:val="es-ES"/>
        </w:rPr>
      </w:pPr>
    </w:p>
    <w:p w14:paraId="6094B5DA" w14:textId="77777777" w:rsidR="00790114" w:rsidRDefault="00790114">
      <w:pPr>
        <w:rPr>
          <w:lang w:val="es-ES"/>
        </w:rPr>
      </w:pPr>
    </w:p>
    <w:p w14:paraId="6094B5DB" w14:textId="77777777" w:rsidR="00790114" w:rsidRDefault="00790114">
      <w:pPr>
        <w:rPr>
          <w:lang w:val="es-ES"/>
        </w:rPr>
        <w:sectPr w:rsidR="00790114" w:rsidSect="00240178">
          <w:headerReference w:type="even" r:id="rId14"/>
          <w:headerReference w:type="default" r:id="rId15"/>
          <w:pgSz w:w="12240" w:h="15840"/>
          <w:pgMar w:top="562" w:right="1440" w:bottom="562" w:left="1440" w:header="720" w:footer="720" w:gutter="0"/>
          <w:cols w:space="720"/>
          <w:titlePg/>
          <w:docGrid w:linePitch="360"/>
        </w:sectPr>
      </w:pPr>
    </w:p>
    <w:p w14:paraId="6094B5DC" w14:textId="77777777" w:rsidR="00200EDA" w:rsidRPr="00625670" w:rsidRDefault="00200EDA" w:rsidP="00200EDA">
      <w:pPr>
        <w:jc w:val="center"/>
        <w:rPr>
          <w:i/>
          <w:iCs/>
          <w:lang w:val="es-ES"/>
        </w:rPr>
      </w:pPr>
      <w:r w:rsidRPr="00625670">
        <w:rPr>
          <w:i/>
          <w:iCs/>
          <w:lang w:val="es-ES"/>
        </w:rPr>
        <w:lastRenderedPageBreak/>
        <w:t>Anexo</w:t>
      </w:r>
    </w:p>
    <w:p w14:paraId="6094B5DD" w14:textId="77777777" w:rsidR="00200EDA" w:rsidRDefault="00200EDA" w:rsidP="00200EDA">
      <w:pPr>
        <w:pStyle w:val="Heading1"/>
        <w:rPr>
          <w:lang w:val="es-ES"/>
        </w:rPr>
      </w:pPr>
      <w:r w:rsidRPr="00200EDA">
        <w:rPr>
          <w:lang w:val="es-ES"/>
        </w:rPr>
        <w:t>RESULTADOS DE LA EVALUACIÓN DE LAS OPCIONES DE POL</w:t>
      </w:r>
      <w:r>
        <w:rPr>
          <w:lang w:val="es-ES"/>
        </w:rPr>
        <w:t>ÍTICAS PROPUESTAS</w:t>
      </w:r>
    </w:p>
    <w:p w14:paraId="6094B5DE" w14:textId="77777777" w:rsidR="00200EDA" w:rsidRPr="00200EDA" w:rsidRDefault="00200EDA" w:rsidP="00200EDA">
      <w:pPr>
        <w:pStyle w:val="Heading2"/>
        <w:keepLines w:val="0"/>
        <w:tabs>
          <w:tab w:val="left" w:pos="720"/>
        </w:tabs>
        <w:spacing w:before="120" w:after="120"/>
        <w:jc w:val="center"/>
        <w:rPr>
          <w:rFonts w:ascii="Times New Roman" w:hAnsi="Times New Roman" w:cs="Times New Roman"/>
          <w:b/>
          <w:bCs/>
          <w:iCs/>
          <w:sz w:val="22"/>
          <w:szCs w:val="24"/>
          <w:lang w:val="es-ES"/>
        </w:rPr>
      </w:pPr>
      <w:r w:rsidRPr="00200EDA">
        <w:rPr>
          <w:rFonts w:ascii="Times New Roman" w:hAnsi="Times New Roman" w:cs="Times New Roman"/>
          <w:b/>
          <w:bCs/>
          <w:iCs/>
          <w:sz w:val="22"/>
          <w:szCs w:val="24"/>
          <w:lang w:val="es-ES"/>
        </w:rPr>
        <w:t xml:space="preserve">A. Recopilación de las puntuaciones del Grupo </w:t>
      </w:r>
      <w:r w:rsidR="0043072C">
        <w:rPr>
          <w:rFonts w:ascii="Times New Roman" w:hAnsi="Times New Roman" w:cs="Times New Roman"/>
          <w:b/>
          <w:bCs/>
          <w:iCs/>
          <w:sz w:val="22"/>
          <w:szCs w:val="24"/>
          <w:lang w:val="es-ES"/>
        </w:rPr>
        <w:t>O</w:t>
      </w:r>
      <w:r w:rsidRPr="00200EDA">
        <w:rPr>
          <w:rFonts w:ascii="Times New Roman" w:hAnsi="Times New Roman" w:cs="Times New Roman"/>
          <w:b/>
          <w:bCs/>
          <w:iCs/>
          <w:sz w:val="22"/>
          <w:szCs w:val="24"/>
          <w:lang w:val="es-ES"/>
        </w:rPr>
        <w:t xml:space="preserve">ficioso de </w:t>
      </w:r>
      <w:r w:rsidR="0043072C">
        <w:rPr>
          <w:rFonts w:ascii="Times New Roman" w:hAnsi="Times New Roman" w:cs="Times New Roman"/>
          <w:b/>
          <w:bCs/>
          <w:iCs/>
          <w:sz w:val="22"/>
          <w:szCs w:val="24"/>
          <w:lang w:val="es-ES"/>
        </w:rPr>
        <w:t>A</w:t>
      </w:r>
      <w:r w:rsidRPr="00200EDA">
        <w:rPr>
          <w:rFonts w:ascii="Times New Roman" w:hAnsi="Times New Roman" w:cs="Times New Roman"/>
          <w:b/>
          <w:bCs/>
          <w:iCs/>
          <w:sz w:val="22"/>
          <w:szCs w:val="24"/>
          <w:lang w:val="es-ES"/>
        </w:rPr>
        <w:t>sesoramiento sobre informaci</w:t>
      </w:r>
      <w:r>
        <w:rPr>
          <w:rFonts w:ascii="Times New Roman" w:hAnsi="Times New Roman" w:cs="Times New Roman"/>
          <w:b/>
          <w:bCs/>
          <w:iCs/>
          <w:sz w:val="22"/>
          <w:szCs w:val="24"/>
          <w:lang w:val="es-ES"/>
        </w:rPr>
        <w:t xml:space="preserve">ón </w:t>
      </w:r>
      <w:r w:rsidRPr="00200EDA">
        <w:rPr>
          <w:rFonts w:ascii="Times New Roman" w:hAnsi="Times New Roman" w:cs="Times New Roman"/>
          <w:b/>
          <w:bCs/>
          <w:iCs/>
          <w:sz w:val="22"/>
          <w:szCs w:val="24"/>
          <w:lang w:val="es-ES"/>
        </w:rPr>
        <w:t xml:space="preserve">digital </w:t>
      </w:r>
      <w:r>
        <w:rPr>
          <w:rFonts w:ascii="Times New Roman" w:hAnsi="Times New Roman" w:cs="Times New Roman"/>
          <w:b/>
          <w:bCs/>
          <w:iCs/>
          <w:sz w:val="22"/>
          <w:szCs w:val="24"/>
          <w:lang w:val="es-ES"/>
        </w:rPr>
        <w:t>sobre secuencias</w:t>
      </w:r>
    </w:p>
    <w:p w14:paraId="6094B5DF" w14:textId="77777777" w:rsidR="00200EDA" w:rsidRPr="00200EDA" w:rsidRDefault="00200EDA" w:rsidP="00200EDA">
      <w:pPr>
        <w:rPr>
          <w:lang w:val="es-ES"/>
        </w:rPr>
      </w:pPr>
      <w:r w:rsidRPr="00200EDA">
        <w:rPr>
          <w:lang w:val="es-ES"/>
        </w:rPr>
        <w:t xml:space="preserve">En la siguiente matriz, </w:t>
      </w:r>
      <w:r>
        <w:rPr>
          <w:lang w:val="es-ES"/>
        </w:rPr>
        <w:t>v</w:t>
      </w:r>
      <w:r w:rsidRPr="00200EDA">
        <w:rPr>
          <w:lang w:val="es-ES"/>
        </w:rPr>
        <w:t>erde indica que la opción de políticas tiene una puntuación alta para el criterio, naranja que tiene una puntuación baja, amarillo que tiene una puntuación media o que depende de las modalidades de la política, y gris indica que el participante no dio una puntuación.</w:t>
      </w:r>
    </w:p>
    <w:p w14:paraId="6094B5E0" w14:textId="77777777" w:rsidR="00200EDA" w:rsidRPr="00200EDA" w:rsidRDefault="00200EDA" w:rsidP="00200EDA">
      <w:pPr>
        <w:rPr>
          <w:i/>
          <w:iCs/>
          <w:lang w:val="es-ES"/>
        </w:rPr>
      </w:pPr>
    </w:p>
    <w:p w14:paraId="6094B5E1" w14:textId="77777777" w:rsidR="00200EDA" w:rsidRDefault="00A0547D" w:rsidP="00200EDA">
      <w:pPr>
        <w:spacing w:after="120"/>
        <w:rPr>
          <w:i/>
          <w:iCs/>
          <w:lang w:val="en-US"/>
        </w:rPr>
      </w:pPr>
      <w:proofErr w:type="spellStart"/>
      <w:r>
        <w:rPr>
          <w:i/>
          <w:iCs/>
          <w:lang w:val="en-US"/>
        </w:rPr>
        <w:t>Leyenda</w:t>
      </w:r>
      <w:proofErr w:type="spellEnd"/>
      <w:r>
        <w:rPr>
          <w:i/>
          <w:iCs/>
          <w:lang w:val="en-US"/>
        </w:rPr>
        <w:t xml:space="preserve"> de la </w:t>
      </w:r>
      <w:proofErr w:type="spellStart"/>
      <w:r>
        <w:rPr>
          <w:i/>
          <w:iCs/>
          <w:lang w:val="en-US"/>
        </w:rPr>
        <w:t>matriz</w:t>
      </w:r>
      <w:proofErr w:type="spellEnd"/>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080"/>
      </w:tblGrid>
      <w:tr w:rsidR="00200EDA" w:rsidRPr="00240178" w14:paraId="6094B5EE" w14:textId="77777777" w:rsidTr="00200EDA">
        <w:trPr>
          <w:jc w:val="center"/>
        </w:trPr>
        <w:tc>
          <w:tcPr>
            <w:tcW w:w="8080" w:type="dxa"/>
            <w:tcBorders>
              <w:bottom w:val="nil"/>
            </w:tcBorders>
            <w:shd w:val="clear" w:color="auto" w:fill="FFFFFF" w:themeFill="background1"/>
          </w:tcPr>
          <w:p w14:paraId="6094B5E2" w14:textId="77777777" w:rsidR="00200EDA" w:rsidRPr="00D43574" w:rsidRDefault="00200EDA" w:rsidP="00200EDA">
            <w:pPr>
              <w:spacing w:before="60" w:after="120"/>
              <w:ind w:left="35"/>
              <w:rPr>
                <w:rFonts w:eastAsiaTheme="minorEastAsia" w:cstheme="minorBidi"/>
                <w:b/>
                <w:bCs/>
                <w:lang w:val="es-ES"/>
              </w:rPr>
            </w:pPr>
            <w:bookmarkStart w:id="0" w:name="_Hlk117257667"/>
            <w:r w:rsidRPr="00D43574">
              <w:rPr>
                <w:rFonts w:eastAsiaTheme="minorEastAsia" w:cstheme="minorBidi"/>
                <w:b/>
                <w:bCs/>
                <w:lang w:val="es-ES"/>
              </w:rPr>
              <w:t>List</w:t>
            </w:r>
            <w:r w:rsidR="00A0547D" w:rsidRPr="00D43574">
              <w:rPr>
                <w:rFonts w:eastAsiaTheme="minorEastAsia" w:cstheme="minorBidi"/>
                <w:b/>
                <w:bCs/>
                <w:lang w:val="es-ES"/>
              </w:rPr>
              <w:t>a de opciones de políticas</w:t>
            </w:r>
            <w:r w:rsidRPr="00D43574">
              <w:rPr>
                <w:rFonts w:eastAsiaTheme="minorEastAsia" w:cstheme="minorBidi"/>
                <w:b/>
                <w:bCs/>
                <w:lang w:val="es-ES"/>
              </w:rPr>
              <w:t>:</w:t>
            </w:r>
          </w:p>
          <w:p w14:paraId="6094B5E3" w14:textId="77777777" w:rsidR="00200EDA" w:rsidRPr="00D43574" w:rsidRDefault="00200EDA"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0</w:t>
            </w:r>
            <w:r w:rsidRPr="00D43574">
              <w:rPr>
                <w:rFonts w:eastAsiaTheme="minorEastAsia" w:cstheme="minorBidi"/>
                <w:sz w:val="20"/>
                <w:szCs w:val="20"/>
                <w:lang w:val="es-ES"/>
              </w:rPr>
              <w:tab/>
            </w:r>
            <w:proofErr w:type="gramStart"/>
            <w:r w:rsidR="00A0547D" w:rsidRPr="00D43574">
              <w:rPr>
                <w:rFonts w:eastAsiaTheme="minorEastAsia"/>
                <w:i/>
                <w:iCs/>
                <w:sz w:val="20"/>
                <w:szCs w:val="20"/>
                <w:lang w:val="es-ES"/>
              </w:rPr>
              <w:t>Statu</w:t>
            </w:r>
            <w:proofErr w:type="gramEnd"/>
            <w:r w:rsidR="00A0547D" w:rsidRPr="00D43574">
              <w:rPr>
                <w:rFonts w:eastAsiaTheme="minorEastAsia"/>
                <w:i/>
                <w:iCs/>
                <w:sz w:val="20"/>
                <w:szCs w:val="20"/>
                <w:lang w:val="es-ES"/>
              </w:rPr>
              <w:t xml:space="preserve"> quo</w:t>
            </w:r>
          </w:p>
          <w:p w14:paraId="6094B5E4" w14:textId="77777777" w:rsidR="00200EDA" w:rsidRPr="00D43574" w:rsidRDefault="00200EDA"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1</w:t>
            </w:r>
            <w:r w:rsidRPr="00D43574">
              <w:rPr>
                <w:rFonts w:eastAsiaTheme="minorEastAsia" w:cstheme="minorBidi"/>
                <w:sz w:val="20"/>
                <w:szCs w:val="20"/>
                <w:lang w:val="es-ES"/>
              </w:rPr>
              <w:tab/>
            </w:r>
            <w:proofErr w:type="gramStart"/>
            <w:r w:rsidR="00A0547D" w:rsidRPr="00D43574">
              <w:rPr>
                <w:rFonts w:eastAsiaTheme="minorEastAsia" w:cstheme="minorBidi"/>
                <w:sz w:val="20"/>
                <w:szCs w:val="20"/>
                <w:lang w:val="es-ES"/>
              </w:rPr>
              <w:t>La</w:t>
            </w:r>
            <w:proofErr w:type="gramEnd"/>
            <w:r w:rsidR="00A0547D" w:rsidRPr="00D43574">
              <w:rPr>
                <w:rFonts w:eastAsiaTheme="minorEastAsia" w:cstheme="minorBidi"/>
                <w:sz w:val="20"/>
                <w:szCs w:val="20"/>
                <w:lang w:val="es-ES"/>
              </w:rPr>
              <w:t xml:space="preserve"> </w:t>
            </w:r>
            <w:r w:rsidR="00A0547D" w:rsidRPr="00D43574">
              <w:rPr>
                <w:rFonts w:eastAsiaTheme="minorEastAsia"/>
                <w:sz w:val="20"/>
                <w:szCs w:val="20"/>
                <w:lang w:val="es-ES"/>
              </w:rPr>
              <w:t>DSI se trata como recursos genéticos, donde se aplican el CFP y las CMA del país</w:t>
            </w:r>
          </w:p>
          <w:p w14:paraId="6094B5E5" w14:textId="77777777" w:rsidR="00200EDA" w:rsidRPr="00D43574" w:rsidRDefault="00200EDA"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 xml:space="preserve">2.1 </w:t>
            </w:r>
            <w:r w:rsidRPr="00D43574">
              <w:rPr>
                <w:rFonts w:eastAsiaTheme="minorEastAsia" w:cstheme="minorBidi"/>
                <w:sz w:val="20"/>
                <w:szCs w:val="20"/>
                <w:lang w:val="es-ES"/>
              </w:rPr>
              <w:tab/>
            </w:r>
            <w:r w:rsidR="00A0547D" w:rsidRPr="00D43574">
              <w:rPr>
                <w:rFonts w:eastAsiaTheme="minorEastAsia" w:cstheme="minorBidi"/>
                <w:sz w:val="20"/>
                <w:szCs w:val="20"/>
                <w:lang w:val="es-ES"/>
              </w:rPr>
              <w:t xml:space="preserve">La </w:t>
            </w:r>
            <w:r w:rsidR="00A0547D" w:rsidRPr="00D43574">
              <w:rPr>
                <w:rFonts w:eastAsiaTheme="minorEastAsia"/>
                <w:sz w:val="20"/>
                <w:szCs w:val="20"/>
                <w:lang w:val="es-ES"/>
              </w:rPr>
              <w:t>DSI requiere unas CMA del país, pero no el CFP</w:t>
            </w:r>
          </w:p>
          <w:p w14:paraId="6094B5E6" w14:textId="77777777" w:rsidR="00200EDA" w:rsidRPr="00D43574" w:rsidRDefault="00200EDA"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2.2</w:t>
            </w:r>
            <w:r w:rsidRPr="00D43574">
              <w:rPr>
                <w:rFonts w:eastAsiaTheme="minorEastAsia" w:cstheme="minorBidi"/>
                <w:sz w:val="20"/>
                <w:szCs w:val="20"/>
                <w:lang w:val="es-ES"/>
              </w:rPr>
              <w:tab/>
            </w:r>
            <w:r w:rsidR="00A0547D" w:rsidRPr="00D43574">
              <w:rPr>
                <w:rFonts w:eastAsiaTheme="minorEastAsia" w:cstheme="minorBidi"/>
                <w:sz w:val="20"/>
                <w:szCs w:val="20"/>
                <w:lang w:val="es-ES"/>
              </w:rPr>
              <w:t xml:space="preserve">La </w:t>
            </w:r>
            <w:r w:rsidR="00A0547D" w:rsidRPr="00D43574">
              <w:rPr>
                <w:rFonts w:eastAsiaTheme="minorEastAsia"/>
                <w:sz w:val="20"/>
                <w:szCs w:val="20"/>
                <w:lang w:val="es-ES"/>
              </w:rPr>
              <w:t>DSI requiere unas CMA normalizadas internacionales y sin CFP</w:t>
            </w:r>
            <w:r w:rsidR="00A0547D" w:rsidRPr="00D43574">
              <w:rPr>
                <w:rFonts w:eastAsiaTheme="minorEastAsia" w:cstheme="minorBidi"/>
                <w:sz w:val="20"/>
                <w:szCs w:val="20"/>
                <w:lang w:val="es-ES"/>
              </w:rPr>
              <w:t xml:space="preserve"> </w:t>
            </w:r>
          </w:p>
          <w:p w14:paraId="6094B5E7" w14:textId="77777777" w:rsidR="00200EDA" w:rsidRPr="00D43574" w:rsidRDefault="00200EDA"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3.1</w:t>
            </w:r>
            <w:r w:rsidRPr="00D43574">
              <w:rPr>
                <w:rFonts w:eastAsiaTheme="minorEastAsia" w:cstheme="minorBidi"/>
                <w:sz w:val="20"/>
                <w:szCs w:val="20"/>
                <w:lang w:val="es-ES"/>
              </w:rPr>
              <w:tab/>
            </w:r>
            <w:r w:rsidR="00A0547D" w:rsidRPr="00D43574">
              <w:rPr>
                <w:rFonts w:eastAsiaTheme="minorEastAsia" w:cstheme="minorBidi"/>
                <w:sz w:val="20"/>
                <w:szCs w:val="20"/>
                <w:lang w:val="es-ES"/>
              </w:rPr>
              <w:t xml:space="preserve">El </w:t>
            </w:r>
            <w:r w:rsidR="00A0547D" w:rsidRPr="00D43574">
              <w:rPr>
                <w:rFonts w:eastAsiaTheme="minorEastAsia"/>
                <w:sz w:val="20"/>
                <w:szCs w:val="20"/>
                <w:lang w:val="es-ES"/>
              </w:rPr>
              <w:t>acceso a la DSI requiere pago</w:t>
            </w:r>
            <w:r w:rsidR="00A0547D" w:rsidRPr="00D43574">
              <w:rPr>
                <w:rFonts w:eastAsiaTheme="minorEastAsia" w:cstheme="minorBidi"/>
                <w:sz w:val="20"/>
                <w:szCs w:val="20"/>
                <w:lang w:val="es-ES"/>
              </w:rPr>
              <w:t xml:space="preserve"> </w:t>
            </w:r>
          </w:p>
          <w:p w14:paraId="6094B5E8" w14:textId="77777777" w:rsidR="00200EDA" w:rsidRPr="00D43574" w:rsidRDefault="00200EDA"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3.2.a</w:t>
            </w:r>
            <w:r w:rsidRPr="00D43574">
              <w:rPr>
                <w:rFonts w:eastAsiaTheme="minorEastAsia" w:cstheme="minorBidi"/>
                <w:sz w:val="20"/>
                <w:szCs w:val="20"/>
                <w:lang w:val="es-ES"/>
              </w:rPr>
              <w:tab/>
              <w:t>Pa</w:t>
            </w:r>
            <w:r w:rsidR="00A0547D" w:rsidRPr="00D43574">
              <w:rPr>
                <w:rFonts w:eastAsiaTheme="minorEastAsia" w:cstheme="minorBidi"/>
                <w:sz w:val="20"/>
                <w:szCs w:val="20"/>
                <w:lang w:val="es-ES"/>
              </w:rPr>
              <w:t>go</w:t>
            </w:r>
            <w:r w:rsidR="00A0547D" w:rsidRPr="00D43574">
              <w:rPr>
                <w:rFonts w:eastAsiaTheme="minorEastAsia"/>
                <w:sz w:val="20"/>
                <w:szCs w:val="20"/>
                <w:lang w:val="es-ES"/>
              </w:rPr>
              <w:t>/impuesto por servicios y productos como insumos para la investigación</w:t>
            </w:r>
            <w:r w:rsidR="00A0547D" w:rsidRPr="00D43574">
              <w:rPr>
                <w:rFonts w:eastAsiaTheme="minorEastAsia" w:cstheme="minorBidi"/>
                <w:sz w:val="20"/>
                <w:szCs w:val="20"/>
                <w:lang w:val="es-ES"/>
              </w:rPr>
              <w:t xml:space="preserve"> </w:t>
            </w:r>
          </w:p>
          <w:p w14:paraId="6094B5E9" w14:textId="77777777" w:rsidR="00200EDA" w:rsidRPr="00D43574" w:rsidRDefault="00200EDA"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 xml:space="preserve">3.2.b </w:t>
            </w:r>
            <w:r w:rsidRPr="00D43574">
              <w:rPr>
                <w:rFonts w:eastAsiaTheme="minorEastAsia" w:cstheme="minorBidi"/>
                <w:sz w:val="20"/>
                <w:szCs w:val="20"/>
                <w:lang w:val="es-ES"/>
              </w:rPr>
              <w:tab/>
              <w:t>Bon</w:t>
            </w:r>
            <w:r w:rsidR="00A0547D" w:rsidRPr="00D43574">
              <w:rPr>
                <w:rFonts w:eastAsiaTheme="minorEastAsia" w:cstheme="minorBidi"/>
                <w:sz w:val="20"/>
                <w:szCs w:val="20"/>
                <w:lang w:val="es-ES"/>
              </w:rPr>
              <w:t xml:space="preserve">os </w:t>
            </w:r>
            <w:r w:rsidR="00A0547D" w:rsidRPr="00D43574">
              <w:rPr>
                <w:rFonts w:eastAsiaTheme="minorEastAsia"/>
                <w:sz w:val="20"/>
                <w:szCs w:val="20"/>
                <w:lang w:val="es-ES"/>
              </w:rPr>
              <w:t>y etiquetas vinculados a contribuciones voluntarias</w:t>
            </w:r>
            <w:r w:rsidR="00A0547D" w:rsidRPr="00D43574">
              <w:rPr>
                <w:rFonts w:eastAsiaTheme="minorEastAsia" w:cstheme="minorBidi"/>
                <w:sz w:val="20"/>
                <w:szCs w:val="20"/>
                <w:lang w:val="es-ES"/>
              </w:rPr>
              <w:t xml:space="preserve"> </w:t>
            </w:r>
            <w:r w:rsidRPr="00D43574">
              <w:rPr>
                <w:rFonts w:eastAsiaTheme="minorEastAsia" w:cstheme="minorBidi"/>
                <w:sz w:val="20"/>
                <w:szCs w:val="20"/>
                <w:lang w:val="es-ES"/>
              </w:rPr>
              <w:t xml:space="preserve"> </w:t>
            </w:r>
          </w:p>
          <w:p w14:paraId="6094B5EA" w14:textId="77777777" w:rsidR="00200EDA" w:rsidRPr="00D43574" w:rsidRDefault="00A0547D"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 xml:space="preserve">3.2.c </w:t>
            </w:r>
            <w:r w:rsidRPr="00D43574">
              <w:rPr>
                <w:rFonts w:eastAsiaTheme="minorEastAsia" w:cstheme="minorBidi"/>
                <w:sz w:val="20"/>
                <w:szCs w:val="20"/>
                <w:lang w:val="es-ES"/>
              </w:rPr>
              <w:tab/>
              <w:t xml:space="preserve">Impuesto </w:t>
            </w:r>
            <w:r w:rsidRPr="00D43574">
              <w:rPr>
                <w:rFonts w:eastAsiaTheme="minorEastAsia"/>
                <w:sz w:val="20"/>
                <w:szCs w:val="20"/>
                <w:lang w:val="es-ES"/>
              </w:rPr>
              <w:t>sobre los productos derivados del uso de la DSI</w:t>
            </w:r>
            <w:r w:rsidRPr="00D43574">
              <w:rPr>
                <w:rFonts w:eastAsiaTheme="minorEastAsia" w:cstheme="minorBidi"/>
                <w:sz w:val="20"/>
                <w:szCs w:val="20"/>
                <w:lang w:val="es-ES"/>
              </w:rPr>
              <w:t xml:space="preserve"> </w:t>
            </w:r>
          </w:p>
          <w:p w14:paraId="6094B5EB" w14:textId="77777777" w:rsidR="00200EDA" w:rsidRPr="00D43574" w:rsidRDefault="00200EDA"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 xml:space="preserve">4 </w:t>
            </w:r>
            <w:r w:rsidRPr="00D43574">
              <w:rPr>
                <w:rFonts w:eastAsiaTheme="minorEastAsia" w:cstheme="minorBidi"/>
                <w:sz w:val="20"/>
                <w:szCs w:val="20"/>
                <w:lang w:val="es-ES"/>
              </w:rPr>
              <w:tab/>
            </w:r>
            <w:proofErr w:type="gramStart"/>
            <w:r w:rsidR="00A0547D" w:rsidRPr="00D43574">
              <w:rPr>
                <w:rFonts w:eastAsiaTheme="minorEastAsia" w:cstheme="minorBidi"/>
                <w:sz w:val="20"/>
                <w:szCs w:val="20"/>
                <w:lang w:val="es-ES"/>
              </w:rPr>
              <w:t>Colaboración</w:t>
            </w:r>
            <w:proofErr w:type="gramEnd"/>
            <w:r w:rsidR="00A0547D" w:rsidRPr="00D43574">
              <w:rPr>
                <w:rFonts w:eastAsiaTheme="minorEastAsia" w:cstheme="minorBidi"/>
                <w:sz w:val="20"/>
                <w:szCs w:val="20"/>
                <w:lang w:val="es-ES"/>
              </w:rPr>
              <w:t xml:space="preserve"> tecnológica </w:t>
            </w:r>
            <w:r w:rsidR="00A0547D" w:rsidRPr="00D43574">
              <w:rPr>
                <w:rFonts w:eastAsiaTheme="minorEastAsia"/>
                <w:sz w:val="20"/>
                <w:szCs w:val="20"/>
                <w:lang w:val="es-ES"/>
              </w:rPr>
              <w:t>y científica y creación de capacidad mejoradas</w:t>
            </w:r>
          </w:p>
          <w:p w14:paraId="6094B5EC" w14:textId="77777777" w:rsidR="00200EDA" w:rsidRPr="00D43574" w:rsidRDefault="00200EDA" w:rsidP="00200EDA">
            <w:pPr>
              <w:ind w:left="886" w:hanging="567"/>
              <w:jc w:val="left"/>
              <w:rPr>
                <w:rFonts w:eastAsiaTheme="minorEastAsia" w:cstheme="minorBidi"/>
                <w:sz w:val="20"/>
                <w:szCs w:val="20"/>
                <w:lang w:val="es-ES"/>
              </w:rPr>
            </w:pPr>
            <w:r w:rsidRPr="00D43574">
              <w:rPr>
                <w:rFonts w:eastAsiaTheme="minorEastAsia" w:cstheme="minorBidi"/>
                <w:sz w:val="20"/>
                <w:szCs w:val="20"/>
                <w:lang w:val="es-ES"/>
              </w:rPr>
              <w:t xml:space="preserve">5 </w:t>
            </w:r>
            <w:r w:rsidRPr="00D43574">
              <w:rPr>
                <w:rFonts w:eastAsiaTheme="minorEastAsia" w:cstheme="minorBidi"/>
                <w:sz w:val="20"/>
                <w:szCs w:val="20"/>
                <w:lang w:val="es-ES"/>
              </w:rPr>
              <w:tab/>
            </w:r>
            <w:proofErr w:type="gramStart"/>
            <w:r w:rsidRPr="00D43574">
              <w:rPr>
                <w:rFonts w:eastAsiaTheme="minorEastAsia" w:cstheme="minorBidi"/>
                <w:sz w:val="20"/>
                <w:szCs w:val="20"/>
                <w:lang w:val="es-ES"/>
              </w:rPr>
              <w:t>No</w:t>
            </w:r>
            <w:proofErr w:type="gramEnd"/>
            <w:r w:rsidRPr="00D43574">
              <w:rPr>
                <w:rFonts w:eastAsiaTheme="minorEastAsia" w:cstheme="minorBidi"/>
                <w:sz w:val="20"/>
                <w:szCs w:val="20"/>
                <w:lang w:val="es-ES"/>
              </w:rPr>
              <w:t xml:space="preserve"> </w:t>
            </w:r>
            <w:r w:rsidR="00A0547D" w:rsidRPr="00D43574">
              <w:rPr>
                <w:rFonts w:eastAsiaTheme="minorEastAsia"/>
                <w:sz w:val="20"/>
                <w:szCs w:val="20"/>
                <w:lang w:val="es-ES"/>
              </w:rPr>
              <w:t>se comparten los beneficios del uso de la DSI</w:t>
            </w:r>
            <w:r w:rsidR="00A0547D" w:rsidRPr="00D43574">
              <w:rPr>
                <w:rFonts w:eastAsiaTheme="minorEastAsia" w:cstheme="minorBidi"/>
                <w:sz w:val="20"/>
                <w:szCs w:val="20"/>
                <w:lang w:val="es-ES"/>
              </w:rPr>
              <w:t xml:space="preserve"> </w:t>
            </w:r>
          </w:p>
          <w:p w14:paraId="6094B5ED" w14:textId="77777777" w:rsidR="00200EDA" w:rsidRPr="00D43574" w:rsidRDefault="00200EDA" w:rsidP="00A0547D">
            <w:pPr>
              <w:spacing w:after="240"/>
              <w:ind w:left="886" w:hanging="567"/>
              <w:jc w:val="left"/>
              <w:rPr>
                <w:rFonts w:eastAsiaTheme="minorEastAsia" w:cstheme="minorBidi"/>
                <w:sz w:val="20"/>
                <w:szCs w:val="20"/>
                <w:lang w:val="es-ES"/>
              </w:rPr>
            </w:pPr>
            <w:r w:rsidRPr="00D43574">
              <w:rPr>
                <w:rFonts w:eastAsiaTheme="minorEastAsia" w:cstheme="minorBidi"/>
                <w:sz w:val="20"/>
                <w:szCs w:val="20"/>
                <w:lang w:val="es-ES"/>
              </w:rPr>
              <w:t xml:space="preserve">6 </w:t>
            </w:r>
            <w:r w:rsidRPr="00D43574">
              <w:rPr>
                <w:rFonts w:eastAsiaTheme="minorEastAsia" w:cstheme="minorBidi"/>
                <w:sz w:val="20"/>
                <w:szCs w:val="20"/>
                <w:lang w:val="es-ES"/>
              </w:rPr>
              <w:tab/>
            </w:r>
            <w:proofErr w:type="gramStart"/>
            <w:r w:rsidR="00A0547D" w:rsidRPr="00D43574">
              <w:rPr>
                <w:rFonts w:eastAsiaTheme="minorEastAsia" w:cstheme="minorBidi"/>
                <w:sz w:val="20"/>
                <w:szCs w:val="20"/>
                <w:lang w:val="es-ES"/>
              </w:rPr>
              <w:t>Impuesto</w:t>
            </w:r>
            <w:proofErr w:type="gramEnd"/>
            <w:r w:rsidR="00A0547D" w:rsidRPr="00D43574">
              <w:rPr>
                <w:rFonts w:eastAsiaTheme="minorEastAsia" w:cstheme="minorBidi"/>
                <w:sz w:val="20"/>
                <w:szCs w:val="20"/>
                <w:lang w:val="es-ES"/>
              </w:rPr>
              <w:t xml:space="preserve"> </w:t>
            </w:r>
            <w:r w:rsidR="00A0547D" w:rsidRPr="00D43574">
              <w:rPr>
                <w:rFonts w:eastAsiaTheme="minorEastAsia"/>
                <w:sz w:val="20"/>
                <w:szCs w:val="20"/>
                <w:lang w:val="es-ES"/>
              </w:rPr>
              <w:t>del 1 % sobre las ventas al por menor de productos que utilizan la diversidad biológica (propuesta africana)</w:t>
            </w:r>
          </w:p>
        </w:tc>
      </w:tr>
      <w:tr w:rsidR="00200EDA" w:rsidRPr="00240178" w14:paraId="6094B5F0" w14:textId="77777777" w:rsidTr="00200EDA">
        <w:trPr>
          <w:jc w:val="center"/>
        </w:trPr>
        <w:tc>
          <w:tcPr>
            <w:tcW w:w="8080" w:type="dxa"/>
            <w:tcBorders>
              <w:top w:val="nil"/>
            </w:tcBorders>
            <w:shd w:val="clear" w:color="auto" w:fill="FFFFFF" w:themeFill="background1"/>
          </w:tcPr>
          <w:p w14:paraId="6094B5EF" w14:textId="77777777" w:rsidR="00200EDA" w:rsidRPr="00D43574" w:rsidRDefault="00200EDA" w:rsidP="00A0547D">
            <w:pPr>
              <w:spacing w:before="120"/>
              <w:rPr>
                <w:rFonts w:eastAsiaTheme="minorEastAsia" w:cstheme="minorBidi"/>
                <w:b/>
                <w:bCs/>
                <w:lang w:val="es-ES"/>
              </w:rPr>
            </w:pPr>
            <w:r w:rsidRPr="00D43574">
              <w:rPr>
                <w:rFonts w:eastAsiaTheme="minorEastAsia" w:cstheme="minorBidi"/>
                <w:b/>
                <w:bCs/>
                <w:lang w:val="es-ES"/>
              </w:rPr>
              <w:t>List</w:t>
            </w:r>
            <w:r w:rsidR="00A0547D" w:rsidRPr="00D43574">
              <w:rPr>
                <w:rFonts w:eastAsiaTheme="minorEastAsia" w:cstheme="minorBidi"/>
                <w:b/>
                <w:bCs/>
                <w:lang w:val="es-ES"/>
              </w:rPr>
              <w:t xml:space="preserve">a de criterios y </w:t>
            </w:r>
            <w:r w:rsidRPr="00D43574">
              <w:rPr>
                <w:rFonts w:eastAsiaTheme="minorEastAsia" w:cstheme="minorBidi"/>
                <w:b/>
                <w:bCs/>
                <w:lang w:val="es-ES"/>
              </w:rPr>
              <w:t>subcriteri</w:t>
            </w:r>
            <w:r w:rsidR="00A0547D" w:rsidRPr="00D43574">
              <w:rPr>
                <w:rFonts w:eastAsiaTheme="minorEastAsia" w:cstheme="minorBidi"/>
                <w:b/>
                <w:bCs/>
                <w:lang w:val="es-ES"/>
              </w:rPr>
              <w:t>os</w:t>
            </w:r>
            <w:r w:rsidRPr="00D43574">
              <w:rPr>
                <w:rFonts w:eastAsiaTheme="minorEastAsia" w:cstheme="minorBidi"/>
                <w:b/>
                <w:bCs/>
                <w:lang w:val="es-ES"/>
              </w:rPr>
              <w:t>:</w:t>
            </w:r>
          </w:p>
        </w:tc>
      </w:tr>
      <w:tr w:rsidR="00200EDA" w:rsidRPr="00240178" w14:paraId="6094B608" w14:textId="77777777" w:rsidTr="00200EDA">
        <w:trPr>
          <w:jc w:val="center"/>
        </w:trPr>
        <w:tc>
          <w:tcPr>
            <w:tcW w:w="8080" w:type="dxa"/>
            <w:shd w:val="clear" w:color="auto" w:fill="FFFFFF" w:themeFill="background1"/>
          </w:tcPr>
          <w:p w14:paraId="6094B5F1" w14:textId="77777777" w:rsidR="00200EDA" w:rsidRPr="00D43574" w:rsidRDefault="00200EDA" w:rsidP="00200EDA">
            <w:pPr>
              <w:shd w:val="clear" w:color="auto" w:fill="EEECE1" w:themeFill="background2"/>
              <w:spacing w:before="60" w:after="60"/>
              <w:jc w:val="left"/>
              <w:rPr>
                <w:rFonts w:eastAsiaTheme="minorEastAsia" w:cstheme="minorBidi"/>
                <w:sz w:val="20"/>
                <w:szCs w:val="20"/>
                <w:lang w:val="es-ES"/>
              </w:rPr>
            </w:pPr>
            <w:r w:rsidRPr="00D43574">
              <w:rPr>
                <w:rFonts w:eastAsiaTheme="minorEastAsia" w:cstheme="minorBidi"/>
                <w:sz w:val="20"/>
                <w:szCs w:val="20"/>
                <w:lang w:val="es-ES"/>
              </w:rPr>
              <w:t>A. Ef</w:t>
            </w:r>
            <w:r w:rsidR="00A0547D" w:rsidRPr="00D43574">
              <w:rPr>
                <w:rFonts w:eastAsiaTheme="minorEastAsia" w:cstheme="minorBidi"/>
                <w:sz w:val="20"/>
                <w:szCs w:val="20"/>
                <w:lang w:val="es-ES"/>
              </w:rPr>
              <w:t>icaz para lograr los objetivos</w:t>
            </w:r>
          </w:p>
          <w:p w14:paraId="6094B5F2"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1.</w:t>
            </w:r>
            <w:r w:rsidR="00A0547D" w:rsidRPr="00D43574">
              <w:rPr>
                <w:rFonts w:eastAsiaTheme="minorEastAsia" w:cstheme="minorBidi"/>
                <w:sz w:val="20"/>
                <w:szCs w:val="20"/>
                <w:lang w:val="es-ES"/>
              </w:rPr>
              <w:t xml:space="preserve"> </w:t>
            </w:r>
            <w:r w:rsidRPr="00D43574">
              <w:rPr>
                <w:rFonts w:eastAsiaTheme="minorEastAsia" w:cstheme="minorBidi"/>
                <w:sz w:val="20"/>
                <w:szCs w:val="20"/>
                <w:lang w:val="es-ES"/>
              </w:rPr>
              <w:t>P</w:t>
            </w:r>
            <w:r w:rsidR="00A0547D" w:rsidRPr="00D43574">
              <w:rPr>
                <w:rFonts w:eastAsiaTheme="minorEastAsia" w:cstheme="minorBidi"/>
                <w:sz w:val="20"/>
                <w:szCs w:val="20"/>
                <w:lang w:val="es-ES"/>
              </w:rPr>
              <w:t xml:space="preserve">osibilidades de proporcionar beneficios monetarios previsibles </w:t>
            </w:r>
            <w:r w:rsidRPr="00D43574">
              <w:rPr>
                <w:rFonts w:eastAsiaTheme="minorEastAsia" w:cstheme="minorBidi"/>
                <w:sz w:val="20"/>
                <w:szCs w:val="20"/>
                <w:lang w:val="es-ES"/>
              </w:rPr>
              <w:t xml:space="preserve"> </w:t>
            </w:r>
          </w:p>
          <w:p w14:paraId="6094B5F3"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2.</w:t>
            </w:r>
            <w:r w:rsidR="00A0547D" w:rsidRPr="00D43574">
              <w:rPr>
                <w:rFonts w:eastAsiaTheme="minorEastAsia" w:cstheme="minorBidi"/>
                <w:sz w:val="20"/>
                <w:szCs w:val="20"/>
                <w:lang w:val="es-ES"/>
              </w:rPr>
              <w:t xml:space="preserve"> </w:t>
            </w:r>
            <w:r w:rsidRPr="00D43574">
              <w:rPr>
                <w:rFonts w:eastAsiaTheme="minorEastAsia" w:cstheme="minorBidi"/>
                <w:sz w:val="20"/>
                <w:szCs w:val="20"/>
                <w:lang w:val="es-ES"/>
              </w:rPr>
              <w:t>Po</w:t>
            </w:r>
            <w:r w:rsidR="00A0547D" w:rsidRPr="00D43574">
              <w:rPr>
                <w:rFonts w:eastAsiaTheme="minorEastAsia" w:cstheme="minorBidi"/>
                <w:sz w:val="20"/>
                <w:szCs w:val="20"/>
                <w:lang w:val="es-ES"/>
              </w:rPr>
              <w:t>sibilidades de proporcionar beneficios no monetarios previsibles</w:t>
            </w:r>
          </w:p>
          <w:p w14:paraId="6094B5F4"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 xml:space="preserve">3. </w:t>
            </w:r>
            <w:r w:rsidR="00A0547D" w:rsidRPr="00D43574">
              <w:rPr>
                <w:rFonts w:eastAsiaTheme="minorEastAsia" w:cstheme="minorBidi"/>
                <w:sz w:val="20"/>
                <w:szCs w:val="20"/>
                <w:lang w:val="es-ES"/>
              </w:rPr>
              <w:t>El acceso a las bases de datos públicas sigue siendo abierto</w:t>
            </w:r>
          </w:p>
          <w:p w14:paraId="6094B5F5"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 xml:space="preserve">4. </w:t>
            </w:r>
            <w:r w:rsidR="00A0547D" w:rsidRPr="00D43574">
              <w:rPr>
                <w:rFonts w:eastAsiaTheme="minorEastAsia" w:cstheme="minorBidi"/>
                <w:sz w:val="20"/>
                <w:szCs w:val="20"/>
                <w:lang w:val="es-ES"/>
              </w:rPr>
              <w:t>No obstaculiza la investigación y la innovación</w:t>
            </w:r>
          </w:p>
          <w:p w14:paraId="6094B5F6"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5. Poten</w:t>
            </w:r>
            <w:r w:rsidR="00A0547D" w:rsidRPr="00D43574">
              <w:rPr>
                <w:rFonts w:eastAsiaTheme="minorEastAsia" w:cstheme="minorBidi"/>
                <w:sz w:val="20"/>
                <w:szCs w:val="20"/>
                <w:lang w:val="es-ES"/>
              </w:rPr>
              <w:t>cial para contribuir a la conservación y la utilización sostenible de la diversidad biológica</w:t>
            </w:r>
          </w:p>
          <w:p w14:paraId="6094B5F7" w14:textId="77777777" w:rsidR="00200EDA" w:rsidRPr="00D43574" w:rsidRDefault="00200EDA" w:rsidP="00200EDA">
            <w:pPr>
              <w:shd w:val="clear" w:color="auto" w:fill="EEECE1" w:themeFill="background2"/>
              <w:spacing w:before="60" w:after="60"/>
              <w:jc w:val="left"/>
              <w:rPr>
                <w:rFonts w:eastAsiaTheme="minorEastAsia" w:cstheme="minorBidi"/>
                <w:sz w:val="20"/>
                <w:szCs w:val="20"/>
                <w:lang w:val="es-ES"/>
              </w:rPr>
            </w:pPr>
            <w:r w:rsidRPr="00D43574">
              <w:rPr>
                <w:rFonts w:eastAsiaTheme="minorEastAsia" w:cstheme="minorBidi"/>
                <w:sz w:val="20"/>
                <w:szCs w:val="20"/>
                <w:lang w:val="es-ES"/>
              </w:rPr>
              <w:t>B. Ef</w:t>
            </w:r>
            <w:r w:rsidR="00A0547D" w:rsidRPr="00D43574">
              <w:rPr>
                <w:rFonts w:eastAsiaTheme="minorEastAsia" w:cstheme="minorBidi"/>
                <w:sz w:val="20"/>
                <w:szCs w:val="20"/>
                <w:lang w:val="es-ES"/>
              </w:rPr>
              <w:t>icaz y viable de implementar</w:t>
            </w:r>
          </w:p>
          <w:p w14:paraId="6094B5F8" w14:textId="77777777" w:rsidR="00200EDA" w:rsidRPr="00D43574" w:rsidRDefault="00200EDA" w:rsidP="00200EDA">
            <w:pPr>
              <w:pStyle w:val="ListParagraph"/>
              <w:ind w:left="284"/>
              <w:jc w:val="left"/>
              <w:rPr>
                <w:rFonts w:eastAsiaTheme="minorEastAsia" w:cstheme="minorBidi"/>
                <w:sz w:val="20"/>
                <w:szCs w:val="20"/>
                <w:lang w:val="es-ES"/>
              </w:rPr>
            </w:pPr>
            <w:r w:rsidRPr="00D43574">
              <w:rPr>
                <w:rFonts w:eastAsiaTheme="minorEastAsia" w:cstheme="minorBidi"/>
                <w:sz w:val="20"/>
                <w:szCs w:val="20"/>
                <w:lang w:val="es-ES"/>
              </w:rPr>
              <w:t>6. T</w:t>
            </w:r>
            <w:r w:rsidR="00A0547D" w:rsidRPr="00D43574">
              <w:rPr>
                <w:rFonts w:eastAsiaTheme="minorEastAsia" w:cstheme="minorBidi"/>
                <w:sz w:val="20"/>
                <w:szCs w:val="20"/>
                <w:lang w:val="es-ES"/>
              </w:rPr>
              <w:t>écnicamente viable</w:t>
            </w:r>
          </w:p>
          <w:p w14:paraId="6094B5F9" w14:textId="77777777" w:rsidR="00200EDA" w:rsidRPr="00D43574" w:rsidRDefault="00200EDA" w:rsidP="00200EDA">
            <w:pPr>
              <w:pStyle w:val="ListParagraph"/>
              <w:ind w:left="284"/>
              <w:jc w:val="left"/>
              <w:rPr>
                <w:rFonts w:eastAsiaTheme="minorEastAsia" w:cstheme="minorBidi"/>
                <w:sz w:val="20"/>
                <w:szCs w:val="20"/>
                <w:lang w:val="es-ES"/>
              </w:rPr>
            </w:pPr>
            <w:r w:rsidRPr="00D43574">
              <w:rPr>
                <w:rFonts w:eastAsiaTheme="minorEastAsia" w:cstheme="minorBidi"/>
                <w:sz w:val="20"/>
                <w:szCs w:val="20"/>
                <w:lang w:val="es-ES"/>
              </w:rPr>
              <w:t xml:space="preserve">7. </w:t>
            </w:r>
            <w:r w:rsidR="00A0547D" w:rsidRPr="00D43574">
              <w:rPr>
                <w:rFonts w:eastAsiaTheme="minorEastAsia" w:cstheme="minorBidi"/>
                <w:sz w:val="20"/>
                <w:szCs w:val="20"/>
                <w:lang w:val="es-ES"/>
              </w:rPr>
              <w:t>Jurídicamente viable</w:t>
            </w:r>
            <w:r w:rsidRPr="00D43574">
              <w:rPr>
                <w:rFonts w:eastAsiaTheme="minorEastAsia" w:cstheme="minorBidi"/>
                <w:sz w:val="20"/>
                <w:szCs w:val="20"/>
                <w:lang w:val="es-ES"/>
              </w:rPr>
              <w:t xml:space="preserve"> </w:t>
            </w:r>
          </w:p>
          <w:p w14:paraId="6094B5FA" w14:textId="77777777" w:rsidR="00200EDA" w:rsidRPr="00D43574" w:rsidRDefault="00200EDA" w:rsidP="00200EDA">
            <w:pPr>
              <w:pStyle w:val="ListParagraph"/>
              <w:ind w:left="284"/>
              <w:jc w:val="left"/>
              <w:rPr>
                <w:rFonts w:eastAsiaTheme="minorEastAsia" w:cstheme="minorBidi"/>
                <w:sz w:val="20"/>
                <w:szCs w:val="20"/>
                <w:lang w:val="es-ES"/>
              </w:rPr>
            </w:pPr>
            <w:r w:rsidRPr="00D43574">
              <w:rPr>
                <w:rFonts w:eastAsiaTheme="minorEastAsia" w:cstheme="minorBidi"/>
                <w:sz w:val="20"/>
                <w:szCs w:val="20"/>
                <w:lang w:val="es-ES"/>
              </w:rPr>
              <w:t xml:space="preserve">8. </w:t>
            </w:r>
            <w:r w:rsidR="00A0547D" w:rsidRPr="00D43574">
              <w:rPr>
                <w:rFonts w:eastAsiaTheme="minorEastAsia" w:cstheme="minorBidi"/>
                <w:sz w:val="20"/>
                <w:szCs w:val="20"/>
                <w:lang w:val="es-ES"/>
              </w:rPr>
              <w:t>Jurídicamente claro y seguro de aplicar</w:t>
            </w:r>
          </w:p>
          <w:p w14:paraId="6094B5FB" w14:textId="77777777" w:rsidR="00200EDA" w:rsidRPr="00D43574" w:rsidRDefault="00200EDA" w:rsidP="00200EDA">
            <w:pPr>
              <w:pStyle w:val="ListParagraph"/>
              <w:ind w:left="284"/>
              <w:jc w:val="left"/>
              <w:rPr>
                <w:rFonts w:eastAsiaTheme="minorEastAsia" w:cstheme="minorBidi"/>
                <w:sz w:val="20"/>
                <w:szCs w:val="20"/>
                <w:lang w:val="es-ES"/>
              </w:rPr>
            </w:pPr>
            <w:r w:rsidRPr="00D43574">
              <w:rPr>
                <w:rFonts w:eastAsiaTheme="minorEastAsia" w:cstheme="minorBidi"/>
                <w:sz w:val="20"/>
                <w:szCs w:val="20"/>
                <w:lang w:val="es-ES"/>
              </w:rPr>
              <w:t>9. Administrativ</w:t>
            </w:r>
            <w:r w:rsidR="00A0547D" w:rsidRPr="00D43574">
              <w:rPr>
                <w:rFonts w:eastAsiaTheme="minorEastAsia" w:cstheme="minorBidi"/>
                <w:sz w:val="20"/>
                <w:szCs w:val="20"/>
                <w:lang w:val="es-ES"/>
              </w:rPr>
              <w:t>amente sencillo</w:t>
            </w:r>
            <w:r w:rsidRPr="00D43574">
              <w:rPr>
                <w:rFonts w:eastAsiaTheme="minorEastAsia" w:cstheme="minorBidi"/>
                <w:sz w:val="20"/>
                <w:szCs w:val="20"/>
                <w:lang w:val="es-ES"/>
              </w:rPr>
              <w:t xml:space="preserve"> </w:t>
            </w:r>
          </w:p>
          <w:p w14:paraId="6094B5FC" w14:textId="77777777" w:rsidR="00200EDA" w:rsidRPr="00D43574" w:rsidRDefault="00A0547D" w:rsidP="00200EDA">
            <w:pPr>
              <w:pStyle w:val="ListParagraph"/>
              <w:ind w:left="284"/>
              <w:jc w:val="left"/>
              <w:rPr>
                <w:rFonts w:eastAsiaTheme="minorEastAsia" w:cstheme="minorBidi"/>
                <w:sz w:val="20"/>
                <w:szCs w:val="20"/>
                <w:lang w:val="es-ES"/>
              </w:rPr>
            </w:pPr>
            <w:r w:rsidRPr="00D43574">
              <w:rPr>
                <w:rFonts w:eastAsiaTheme="minorEastAsia" w:cstheme="minorBidi"/>
                <w:sz w:val="20"/>
                <w:szCs w:val="20"/>
                <w:lang w:val="es-ES"/>
              </w:rPr>
              <w:t>10. Aplicable en los próximos 2 años</w:t>
            </w:r>
          </w:p>
          <w:p w14:paraId="6094B5FD" w14:textId="77777777" w:rsidR="00200EDA" w:rsidRPr="00D43574" w:rsidRDefault="00200EDA" w:rsidP="00200EDA">
            <w:pPr>
              <w:pStyle w:val="ListParagraph"/>
              <w:ind w:left="284"/>
              <w:jc w:val="left"/>
              <w:rPr>
                <w:rFonts w:eastAsiaTheme="minorEastAsia" w:cstheme="minorBidi"/>
                <w:sz w:val="20"/>
                <w:szCs w:val="20"/>
                <w:lang w:val="es-ES"/>
              </w:rPr>
            </w:pPr>
            <w:r w:rsidRPr="00D43574">
              <w:rPr>
                <w:rFonts w:eastAsiaTheme="minorEastAsia" w:cstheme="minorBidi"/>
                <w:sz w:val="20"/>
                <w:szCs w:val="20"/>
                <w:lang w:val="es-ES"/>
              </w:rPr>
              <w:t xml:space="preserve">11. </w:t>
            </w:r>
            <w:r w:rsidR="00A0547D" w:rsidRPr="00D43574">
              <w:rPr>
                <w:rFonts w:eastAsiaTheme="minorEastAsia" w:cstheme="minorBidi"/>
                <w:sz w:val="20"/>
                <w:szCs w:val="20"/>
                <w:lang w:val="es-ES"/>
              </w:rPr>
              <w:t xml:space="preserve">Permite distinguir entre el uso comercial y no comercial de la DSI </w:t>
            </w:r>
          </w:p>
          <w:p w14:paraId="6094B5FE" w14:textId="77777777" w:rsidR="00200EDA" w:rsidRPr="00D43574" w:rsidRDefault="00A0547D" w:rsidP="00200EDA">
            <w:pPr>
              <w:pStyle w:val="ListParagraph"/>
              <w:ind w:left="284"/>
              <w:jc w:val="left"/>
              <w:rPr>
                <w:rFonts w:eastAsiaTheme="minorEastAsia" w:cstheme="minorBidi"/>
                <w:sz w:val="20"/>
                <w:szCs w:val="20"/>
                <w:lang w:val="es-ES"/>
              </w:rPr>
            </w:pPr>
            <w:r w:rsidRPr="00D43574">
              <w:rPr>
                <w:rFonts w:eastAsiaTheme="minorEastAsia" w:cstheme="minorBidi"/>
                <w:sz w:val="20"/>
                <w:szCs w:val="20"/>
                <w:lang w:val="es-ES"/>
              </w:rPr>
              <w:t>12. El costo de creación y aplicación es razonable/mínimo</w:t>
            </w:r>
          </w:p>
          <w:p w14:paraId="6094B5FF" w14:textId="77777777" w:rsidR="00200EDA" w:rsidRPr="00D43574" w:rsidRDefault="0043072C" w:rsidP="00200EDA">
            <w:pPr>
              <w:shd w:val="clear" w:color="auto" w:fill="EEECE1" w:themeFill="background2"/>
              <w:spacing w:before="60" w:after="60"/>
              <w:jc w:val="left"/>
              <w:rPr>
                <w:rFonts w:eastAsiaTheme="minorEastAsia" w:cstheme="minorBidi"/>
                <w:sz w:val="20"/>
                <w:szCs w:val="20"/>
                <w:lang w:val="es-ES"/>
              </w:rPr>
            </w:pPr>
            <w:r w:rsidRPr="00D43574">
              <w:rPr>
                <w:rFonts w:eastAsiaTheme="minorEastAsia" w:cstheme="minorBidi"/>
                <w:sz w:val="20"/>
                <w:szCs w:val="20"/>
                <w:lang w:val="es-ES"/>
              </w:rPr>
              <w:t>C. Permite la buena gobernanza</w:t>
            </w:r>
          </w:p>
          <w:p w14:paraId="6094B600"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 xml:space="preserve">13. </w:t>
            </w:r>
            <w:r w:rsidR="0043072C" w:rsidRPr="00D43574">
              <w:rPr>
                <w:rFonts w:eastAsiaTheme="minorEastAsia" w:cstheme="minorBidi"/>
                <w:sz w:val="20"/>
                <w:szCs w:val="20"/>
                <w:lang w:val="es-ES"/>
              </w:rPr>
              <w:t>Fácil de entender por proveedores y usuarios</w:t>
            </w:r>
          </w:p>
          <w:p w14:paraId="6094B601"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 xml:space="preserve">14. </w:t>
            </w:r>
            <w:r w:rsidR="0043072C" w:rsidRPr="00D43574">
              <w:rPr>
                <w:rFonts w:eastAsiaTheme="minorEastAsia" w:cstheme="minorBidi"/>
                <w:sz w:val="20"/>
                <w:szCs w:val="20"/>
                <w:lang w:val="es-ES"/>
              </w:rPr>
              <w:t>Fácilmente ejecutable por los proveedores</w:t>
            </w:r>
          </w:p>
          <w:p w14:paraId="6094B602"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 xml:space="preserve">15. </w:t>
            </w:r>
            <w:r w:rsidR="0043072C" w:rsidRPr="00D43574">
              <w:rPr>
                <w:rFonts w:eastAsiaTheme="minorEastAsia" w:cstheme="minorBidi"/>
                <w:sz w:val="20"/>
                <w:szCs w:val="20"/>
                <w:lang w:val="es-ES"/>
              </w:rPr>
              <w:t xml:space="preserve">Facilidad de cumplimiento para los usuarios </w:t>
            </w:r>
            <w:r w:rsidRPr="00D43574">
              <w:rPr>
                <w:rFonts w:eastAsiaTheme="minorEastAsia" w:cstheme="minorBidi"/>
                <w:sz w:val="20"/>
                <w:szCs w:val="20"/>
                <w:lang w:val="es-ES"/>
              </w:rPr>
              <w:t xml:space="preserve"> </w:t>
            </w:r>
          </w:p>
          <w:p w14:paraId="6094B603"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 xml:space="preserve">16. </w:t>
            </w:r>
            <w:r w:rsidR="0043072C" w:rsidRPr="00D43574">
              <w:rPr>
                <w:rFonts w:eastAsiaTheme="minorEastAsia" w:cstheme="minorBidi"/>
                <w:sz w:val="20"/>
                <w:szCs w:val="20"/>
                <w:lang w:val="es-ES"/>
              </w:rPr>
              <w:t>NO da lugar a la búsqueda de la jurisdicción más favorable</w:t>
            </w:r>
          </w:p>
          <w:p w14:paraId="6094B604" w14:textId="77777777" w:rsidR="00200EDA" w:rsidRPr="00D43574" w:rsidRDefault="00200EDA" w:rsidP="00200EDA">
            <w:pPr>
              <w:ind w:left="284"/>
              <w:jc w:val="left"/>
              <w:rPr>
                <w:rFonts w:eastAsiaTheme="minorEastAsia" w:cstheme="minorBidi"/>
                <w:sz w:val="20"/>
                <w:szCs w:val="20"/>
                <w:lang w:val="es-ES"/>
              </w:rPr>
            </w:pPr>
            <w:r w:rsidRPr="00D43574">
              <w:rPr>
                <w:rFonts w:eastAsiaTheme="minorEastAsia" w:cstheme="minorBidi"/>
                <w:sz w:val="20"/>
                <w:szCs w:val="20"/>
                <w:lang w:val="es-ES"/>
              </w:rPr>
              <w:t>17. Facilita</w:t>
            </w:r>
            <w:r w:rsidR="0043072C" w:rsidRPr="00D43574">
              <w:rPr>
                <w:rFonts w:eastAsiaTheme="minorEastAsia" w:cstheme="minorBidi"/>
                <w:sz w:val="20"/>
                <w:szCs w:val="20"/>
                <w:lang w:val="es-ES"/>
              </w:rPr>
              <w:t xml:space="preserve"> la participación en los beneficios de los pueblos indígenas y las comunidades locales </w:t>
            </w:r>
          </w:p>
          <w:p w14:paraId="6094B605" w14:textId="77777777" w:rsidR="00200EDA" w:rsidRPr="00D43574" w:rsidRDefault="0043072C" w:rsidP="00200EDA">
            <w:pPr>
              <w:shd w:val="clear" w:color="auto" w:fill="EEECE1" w:themeFill="background2"/>
              <w:spacing w:before="60" w:after="60"/>
              <w:jc w:val="left"/>
              <w:rPr>
                <w:rFonts w:eastAsiaTheme="minorEastAsia" w:cstheme="minorBidi"/>
                <w:sz w:val="20"/>
                <w:szCs w:val="20"/>
                <w:lang w:val="es-ES"/>
              </w:rPr>
            </w:pPr>
            <w:r w:rsidRPr="00D43574">
              <w:rPr>
                <w:rFonts w:eastAsiaTheme="minorEastAsia" w:cstheme="minorBidi"/>
                <w:sz w:val="20"/>
                <w:szCs w:val="20"/>
                <w:lang w:val="es-ES"/>
              </w:rPr>
              <w:t>D. Coherente y</w:t>
            </w:r>
            <w:r w:rsidR="00200EDA" w:rsidRPr="00D43574">
              <w:rPr>
                <w:rFonts w:eastAsiaTheme="minorEastAsia" w:cstheme="minorBidi"/>
                <w:sz w:val="20"/>
                <w:szCs w:val="20"/>
                <w:lang w:val="es-ES"/>
              </w:rPr>
              <w:t xml:space="preserve"> adaptable</w:t>
            </w:r>
          </w:p>
          <w:p w14:paraId="6094B606" w14:textId="77777777" w:rsidR="00200EDA" w:rsidRPr="00D43574" w:rsidRDefault="00200EDA" w:rsidP="00200EDA">
            <w:pPr>
              <w:ind w:left="284"/>
              <w:rPr>
                <w:rFonts w:eastAsiaTheme="minorEastAsia" w:cstheme="minorBidi"/>
                <w:sz w:val="20"/>
                <w:szCs w:val="20"/>
                <w:lang w:val="es-ES"/>
              </w:rPr>
            </w:pPr>
            <w:r w:rsidRPr="00D43574">
              <w:rPr>
                <w:rFonts w:eastAsiaTheme="minorEastAsia" w:cstheme="minorBidi"/>
                <w:sz w:val="20"/>
                <w:szCs w:val="20"/>
                <w:lang w:val="es-ES"/>
              </w:rPr>
              <w:t>18. Coherenc</w:t>
            </w:r>
            <w:r w:rsidR="0043072C" w:rsidRPr="00D43574">
              <w:rPr>
                <w:rFonts w:eastAsiaTheme="minorEastAsia" w:cstheme="minorBidi"/>
                <w:sz w:val="20"/>
                <w:szCs w:val="20"/>
                <w:lang w:val="es-ES"/>
              </w:rPr>
              <w:t xml:space="preserve">ia con otros foros que consideran la </w:t>
            </w:r>
            <w:r w:rsidRPr="00D43574">
              <w:rPr>
                <w:rFonts w:eastAsiaTheme="minorEastAsia" w:cstheme="minorBidi"/>
                <w:sz w:val="20"/>
                <w:szCs w:val="20"/>
                <w:lang w:val="es-ES"/>
              </w:rPr>
              <w:t>DSI</w:t>
            </w:r>
          </w:p>
          <w:p w14:paraId="6094B607" w14:textId="77777777" w:rsidR="00200EDA" w:rsidRPr="00D43574" w:rsidRDefault="00200EDA" w:rsidP="0043072C">
            <w:pPr>
              <w:ind w:left="284"/>
              <w:jc w:val="left"/>
              <w:rPr>
                <w:rFonts w:eastAsiaTheme="minorEastAsia" w:cstheme="minorBidi"/>
                <w:lang w:val="es-ES"/>
              </w:rPr>
            </w:pPr>
            <w:r w:rsidRPr="00D43574">
              <w:rPr>
                <w:rFonts w:eastAsiaTheme="minorEastAsia" w:cstheme="minorBidi"/>
                <w:sz w:val="20"/>
                <w:szCs w:val="20"/>
                <w:lang w:val="es-ES"/>
              </w:rPr>
              <w:t xml:space="preserve">19. </w:t>
            </w:r>
            <w:r w:rsidR="0043072C" w:rsidRPr="00D43574">
              <w:rPr>
                <w:rFonts w:eastAsiaTheme="minorEastAsia" w:cstheme="minorBidi"/>
                <w:sz w:val="20"/>
                <w:szCs w:val="20"/>
                <w:lang w:val="es-ES"/>
              </w:rPr>
              <w:t xml:space="preserve">Ágil y </w:t>
            </w:r>
            <w:r w:rsidRPr="00D43574">
              <w:rPr>
                <w:rFonts w:eastAsiaTheme="minorEastAsia" w:cstheme="minorBidi"/>
                <w:sz w:val="20"/>
                <w:szCs w:val="20"/>
                <w:lang w:val="es-ES"/>
              </w:rPr>
              <w:t>adaptable</w:t>
            </w:r>
            <w:r w:rsidR="0043072C" w:rsidRPr="00D43574">
              <w:rPr>
                <w:rFonts w:eastAsiaTheme="minorEastAsia" w:cstheme="minorBidi"/>
                <w:sz w:val="20"/>
                <w:szCs w:val="20"/>
                <w:lang w:val="es-ES"/>
              </w:rPr>
              <w:t xml:space="preserve"> al futuro desarrollo tecnológico y científico</w:t>
            </w:r>
          </w:p>
        </w:tc>
      </w:tr>
    </w:tbl>
    <w:bookmarkEnd w:id="0"/>
    <w:p w14:paraId="6094B60B" w14:textId="77777777" w:rsidR="00200EDA" w:rsidRDefault="00104F63" w:rsidP="00200EDA">
      <w:pPr>
        <w:jc w:val="center"/>
        <w:rPr>
          <w:lang w:val="en-CA"/>
        </w:rPr>
      </w:pPr>
      <w:r>
        <w:rPr>
          <w:noProof/>
          <w:lang w:val="es-ES" w:eastAsia="es-ES"/>
        </w:rPr>
        <w:lastRenderedPageBreak/>
        <w:pict w14:anchorId="6094B663">
          <v:shape id="Picture 11" o:spid="_x0000_i1026" type="#_x0000_t75" style="width:354.3pt;height:9in;visibility:visible;mso-wrap-style:square">
            <v:imagedata r:id="rId16" o:title=""/>
          </v:shape>
        </w:pict>
      </w:r>
    </w:p>
    <w:p w14:paraId="6094B60C" w14:textId="77777777" w:rsidR="00200EDA" w:rsidRDefault="00200EDA" w:rsidP="00200EDA">
      <w:pPr>
        <w:jc w:val="center"/>
        <w:rPr>
          <w:lang w:val="en-CA"/>
        </w:rPr>
        <w:sectPr w:rsidR="00200EDA" w:rsidSect="00611B97">
          <w:pgSz w:w="12240" w:h="15840"/>
          <w:pgMar w:top="1440" w:right="1440" w:bottom="1440" w:left="1440" w:header="432" w:footer="432" w:gutter="0"/>
          <w:cols w:space="720"/>
          <w:docGrid w:linePitch="360"/>
        </w:sectPr>
      </w:pPr>
    </w:p>
    <w:p w14:paraId="36B61666" w14:textId="77777777" w:rsidR="00611B97" w:rsidRDefault="00611B97">
      <w:pPr>
        <w:jc w:val="center"/>
        <w:rPr>
          <w:b/>
          <w:bCs/>
          <w:lang w:val="es-ES"/>
        </w:rPr>
      </w:pPr>
    </w:p>
    <w:p w14:paraId="6094B610" w14:textId="6F6FFFD2" w:rsidR="00790114" w:rsidRDefault="00790114">
      <w:pPr>
        <w:jc w:val="center"/>
        <w:rPr>
          <w:b/>
          <w:bCs/>
          <w:lang w:val="es-ES"/>
        </w:rPr>
      </w:pPr>
      <w:r>
        <w:rPr>
          <w:b/>
          <w:bCs/>
          <w:lang w:val="es-ES"/>
        </w:rPr>
        <w:t>B. Recopilación de respuestas a la pregunta 1: “¿Debería considerarse esta opción para un análisis ulterior de una solución sobre la DSI?”</w:t>
      </w:r>
    </w:p>
    <w:p w14:paraId="6094B611" w14:textId="77777777" w:rsidR="00790114" w:rsidRDefault="00790114">
      <w:pPr>
        <w:rPr>
          <w:lang w:val="es-ES"/>
        </w:rPr>
      </w:pPr>
    </w:p>
    <w:tbl>
      <w:tblPr>
        <w:tblW w:w="13893" w:type="dxa"/>
        <w:tblInd w:w="2"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Look w:val="0000" w:firstRow="0" w:lastRow="0" w:firstColumn="0" w:lastColumn="0" w:noHBand="0" w:noVBand="0"/>
      </w:tblPr>
      <w:tblGrid>
        <w:gridCol w:w="1135"/>
        <w:gridCol w:w="1134"/>
        <w:gridCol w:w="1134"/>
        <w:gridCol w:w="1134"/>
        <w:gridCol w:w="1134"/>
        <w:gridCol w:w="992"/>
        <w:gridCol w:w="1134"/>
        <w:gridCol w:w="1255"/>
        <w:gridCol w:w="1079"/>
        <w:gridCol w:w="1352"/>
        <w:gridCol w:w="1134"/>
        <w:gridCol w:w="1276"/>
      </w:tblGrid>
      <w:tr w:rsidR="00625670" w:rsidRPr="00240178" w14:paraId="6094B629" w14:textId="77777777" w:rsidTr="00625670">
        <w:trPr>
          <w:trHeight w:val="1741"/>
        </w:trPr>
        <w:tc>
          <w:tcPr>
            <w:tcW w:w="1135" w:type="dxa"/>
            <w:tcBorders>
              <w:top w:val="single" w:sz="4" w:space="0" w:color="auto"/>
              <w:left w:val="single" w:sz="4" w:space="0" w:color="auto"/>
              <w:bottom w:val="single" w:sz="4" w:space="0" w:color="auto"/>
              <w:right w:val="single" w:sz="4" w:space="0" w:color="auto"/>
            </w:tcBorders>
            <w:shd w:val="clear" w:color="auto" w:fill="E7E6E6"/>
          </w:tcPr>
          <w:p w14:paraId="6094B612" w14:textId="77777777" w:rsidR="00790114" w:rsidRPr="00625670" w:rsidRDefault="00790114">
            <w:pPr>
              <w:spacing w:before="120" w:after="120"/>
              <w:jc w:val="center"/>
              <w:textAlignment w:val="baseline"/>
              <w:rPr>
                <w:rFonts w:ascii="Calibri" w:hAnsi="Calibri" w:cs="Calibri"/>
                <w:b/>
                <w:bCs/>
                <w:i/>
                <w:iCs/>
                <w:sz w:val="18"/>
                <w:szCs w:val="18"/>
                <w:lang w:eastAsia="fr-FR"/>
              </w:rPr>
            </w:pPr>
            <w:proofErr w:type="spellStart"/>
            <w:r w:rsidRPr="00625670">
              <w:rPr>
                <w:rFonts w:ascii="Calibri" w:hAnsi="Calibri" w:cs="Calibri"/>
                <w:b/>
                <w:bCs/>
                <w:i/>
                <w:iCs/>
                <w:sz w:val="18"/>
                <w:szCs w:val="18"/>
                <w:lang w:eastAsia="fr-FR"/>
              </w:rPr>
              <w:t>Opción</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E7E6E6"/>
          </w:tcPr>
          <w:p w14:paraId="6094B613" w14:textId="77777777" w:rsidR="00790114" w:rsidRPr="00D43574" w:rsidRDefault="00790114">
            <w:pPr>
              <w:spacing w:before="40" w:after="40"/>
              <w:jc w:val="center"/>
              <w:textAlignment w:val="baseline"/>
              <w:rPr>
                <w:rFonts w:ascii="Calibri" w:eastAsiaTheme="minorEastAsia" w:hAnsi="Calibri" w:cs="Calibri"/>
                <w:b/>
                <w:bCs/>
                <w:sz w:val="18"/>
                <w:szCs w:val="18"/>
                <w:lang w:eastAsia="fr-FR"/>
              </w:rPr>
            </w:pPr>
            <w:r w:rsidRPr="00D43574">
              <w:rPr>
                <w:rFonts w:ascii="Calibri" w:eastAsiaTheme="minorEastAsia" w:hAnsi="Calibri" w:cs="Calibri"/>
                <w:b/>
                <w:bCs/>
                <w:sz w:val="18"/>
                <w:szCs w:val="18"/>
                <w:lang w:eastAsia="fr-FR"/>
              </w:rPr>
              <w:t>0</w:t>
            </w:r>
          </w:p>
          <w:p w14:paraId="6094B614" w14:textId="77777777" w:rsidR="00790114" w:rsidRPr="00D43574" w:rsidRDefault="00790114">
            <w:pPr>
              <w:spacing w:before="120" w:after="120"/>
              <w:jc w:val="center"/>
              <w:textAlignment w:val="baseline"/>
              <w:rPr>
                <w:rFonts w:ascii="Calibri" w:eastAsiaTheme="minorEastAsia" w:hAnsi="Calibri" w:cs="Calibri"/>
                <w:b/>
                <w:bCs/>
                <w:i/>
                <w:iCs/>
                <w:sz w:val="18"/>
                <w:szCs w:val="18"/>
              </w:rPr>
            </w:pPr>
            <w:proofErr w:type="spellStart"/>
            <w:r w:rsidRPr="00D43574">
              <w:rPr>
                <w:rFonts w:ascii="Calibri" w:eastAsiaTheme="minorEastAsia" w:hAnsi="Calibri" w:cs="Calibri"/>
                <w:b/>
                <w:bCs/>
                <w:i/>
                <w:iCs/>
                <w:sz w:val="18"/>
                <w:szCs w:val="18"/>
              </w:rPr>
              <w:t>Statu</w:t>
            </w:r>
            <w:proofErr w:type="spellEnd"/>
            <w:r w:rsidRPr="00D43574">
              <w:rPr>
                <w:rFonts w:ascii="Calibri" w:eastAsiaTheme="minorEastAsia" w:hAnsi="Calibri" w:cs="Calibri"/>
                <w:b/>
                <w:bCs/>
                <w:i/>
                <w:iCs/>
                <w:sz w:val="18"/>
                <w:szCs w:val="18"/>
              </w:rPr>
              <w:t> quo</w:t>
            </w:r>
          </w:p>
        </w:tc>
        <w:tc>
          <w:tcPr>
            <w:tcW w:w="1134" w:type="dxa"/>
            <w:tcBorders>
              <w:top w:val="single" w:sz="4" w:space="0" w:color="auto"/>
              <w:left w:val="single" w:sz="4" w:space="0" w:color="auto"/>
              <w:bottom w:val="single" w:sz="4" w:space="0" w:color="auto"/>
              <w:right w:val="single" w:sz="4" w:space="0" w:color="auto"/>
            </w:tcBorders>
            <w:shd w:val="clear" w:color="auto" w:fill="E7E6E6"/>
          </w:tcPr>
          <w:p w14:paraId="6094B615" w14:textId="77777777" w:rsidR="00790114" w:rsidRPr="00D43574" w:rsidRDefault="00790114">
            <w:pPr>
              <w:spacing w:before="40" w:after="40"/>
              <w:jc w:val="center"/>
              <w:textAlignment w:val="baseline"/>
              <w:rPr>
                <w:rFonts w:ascii="Calibri" w:eastAsiaTheme="minorEastAsia" w:hAnsi="Calibri" w:cs="Calibri"/>
                <w:b/>
                <w:bCs/>
                <w:sz w:val="18"/>
                <w:szCs w:val="18"/>
                <w:lang w:val="es-ES" w:eastAsia="fr-FR"/>
              </w:rPr>
            </w:pPr>
            <w:r w:rsidRPr="00D43574">
              <w:rPr>
                <w:rFonts w:ascii="Calibri" w:eastAsiaTheme="minorEastAsia" w:hAnsi="Calibri" w:cs="Calibri"/>
                <w:b/>
                <w:bCs/>
                <w:sz w:val="18"/>
                <w:szCs w:val="18"/>
                <w:lang w:val="es-ES" w:eastAsia="fr-FR"/>
              </w:rPr>
              <w:t>1</w:t>
            </w:r>
          </w:p>
          <w:p w14:paraId="6094B616" w14:textId="77777777" w:rsidR="00790114" w:rsidRPr="00D43574" w:rsidRDefault="00790114">
            <w:pPr>
              <w:spacing w:before="120" w:after="120"/>
              <w:jc w:val="center"/>
              <w:textAlignment w:val="baseline"/>
              <w:rPr>
                <w:rFonts w:ascii="Calibri" w:eastAsiaTheme="minorEastAsia" w:hAnsi="Calibri" w:cs="Calibri"/>
                <w:b/>
                <w:bCs/>
                <w:sz w:val="18"/>
                <w:szCs w:val="18"/>
                <w:lang w:val="es-ES"/>
              </w:rPr>
            </w:pPr>
            <w:r w:rsidRPr="00D43574">
              <w:rPr>
                <w:rFonts w:ascii="Calibri" w:eastAsiaTheme="minorEastAsia" w:hAnsi="Calibri" w:cs="Calibri"/>
                <w:b/>
                <w:bCs/>
                <w:sz w:val="18"/>
                <w:szCs w:val="18"/>
                <w:lang w:val="es-ES" w:eastAsia="fr-FR"/>
              </w:rPr>
              <w:t>Tratada como RG</w:t>
            </w:r>
            <w:r w:rsidRPr="00D43574">
              <w:rPr>
                <w:rFonts w:ascii="Calibri" w:eastAsiaTheme="minorEastAsia" w:hAnsi="Calibri" w:cs="Calibri"/>
                <w:b/>
                <w:bCs/>
                <w:sz w:val="18"/>
                <w:szCs w:val="18"/>
                <w:lang w:val="es-ES"/>
              </w:rPr>
              <w:t xml:space="preserve"> (CFP + CMA país)</w:t>
            </w:r>
          </w:p>
        </w:tc>
        <w:tc>
          <w:tcPr>
            <w:tcW w:w="1134" w:type="dxa"/>
            <w:tcBorders>
              <w:top w:val="single" w:sz="4" w:space="0" w:color="auto"/>
              <w:left w:val="single" w:sz="4" w:space="0" w:color="auto"/>
              <w:bottom w:val="single" w:sz="4" w:space="0" w:color="auto"/>
              <w:right w:val="single" w:sz="4" w:space="0" w:color="auto"/>
            </w:tcBorders>
            <w:shd w:val="clear" w:color="auto" w:fill="E7E6E6"/>
          </w:tcPr>
          <w:p w14:paraId="6094B617" w14:textId="77777777" w:rsidR="00790114" w:rsidRPr="00D43574" w:rsidRDefault="00790114">
            <w:pPr>
              <w:spacing w:before="40" w:after="40"/>
              <w:jc w:val="center"/>
              <w:textAlignment w:val="baseline"/>
              <w:rPr>
                <w:rFonts w:ascii="Calibri" w:eastAsiaTheme="minorEastAsia" w:hAnsi="Calibri" w:cs="Calibri"/>
                <w:b/>
                <w:bCs/>
                <w:sz w:val="18"/>
                <w:szCs w:val="18"/>
                <w:lang w:val="en-US" w:eastAsia="fr-FR"/>
              </w:rPr>
            </w:pPr>
            <w:r w:rsidRPr="00D43574">
              <w:rPr>
                <w:rFonts w:ascii="Calibri" w:eastAsiaTheme="minorEastAsia" w:hAnsi="Calibri" w:cs="Calibri"/>
                <w:b/>
                <w:bCs/>
                <w:sz w:val="18"/>
                <w:szCs w:val="18"/>
                <w:lang w:val="en-US"/>
              </w:rPr>
              <w:t>2.1</w:t>
            </w:r>
          </w:p>
          <w:p w14:paraId="6094B618" w14:textId="77777777" w:rsidR="00790114" w:rsidRPr="00D43574" w:rsidRDefault="00790114">
            <w:pPr>
              <w:spacing w:before="120" w:after="120"/>
              <w:jc w:val="center"/>
              <w:textAlignment w:val="baseline"/>
              <w:rPr>
                <w:rFonts w:ascii="Calibri" w:eastAsiaTheme="minorEastAsia" w:hAnsi="Calibri" w:cs="Calibri"/>
                <w:b/>
                <w:bCs/>
                <w:sz w:val="18"/>
                <w:szCs w:val="18"/>
                <w:lang w:val="en-US"/>
              </w:rPr>
            </w:pPr>
            <w:r w:rsidRPr="00D43574">
              <w:rPr>
                <w:rFonts w:ascii="Calibri" w:eastAsiaTheme="minorEastAsia" w:hAnsi="Calibri" w:cs="Calibri"/>
                <w:b/>
                <w:bCs/>
                <w:sz w:val="18"/>
                <w:szCs w:val="18"/>
                <w:lang w:val="en-US" w:eastAsia="fr-FR"/>
              </w:rPr>
              <w:t xml:space="preserve">CMA </w:t>
            </w:r>
            <w:proofErr w:type="spellStart"/>
            <w:r w:rsidRPr="00D43574">
              <w:rPr>
                <w:rFonts w:ascii="Calibri" w:eastAsiaTheme="minorEastAsia" w:hAnsi="Calibri" w:cs="Calibri"/>
                <w:b/>
                <w:bCs/>
                <w:sz w:val="18"/>
                <w:szCs w:val="18"/>
                <w:lang w:val="en-US" w:eastAsia="fr-FR"/>
              </w:rPr>
              <w:t>país</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E7E6E6"/>
          </w:tcPr>
          <w:p w14:paraId="6094B619" w14:textId="77777777" w:rsidR="00790114" w:rsidRPr="00D43574" w:rsidRDefault="00790114">
            <w:pPr>
              <w:spacing w:before="40" w:after="40"/>
              <w:jc w:val="center"/>
              <w:textAlignment w:val="baseline"/>
              <w:rPr>
                <w:rFonts w:ascii="Calibri" w:eastAsiaTheme="minorEastAsia" w:hAnsi="Calibri" w:cs="Calibri"/>
                <w:b/>
                <w:bCs/>
                <w:sz w:val="18"/>
                <w:szCs w:val="18"/>
                <w:lang w:eastAsia="fr-FR"/>
              </w:rPr>
            </w:pPr>
            <w:r w:rsidRPr="00D43574">
              <w:rPr>
                <w:rFonts w:ascii="Calibri" w:eastAsiaTheme="minorEastAsia" w:hAnsi="Calibri" w:cs="Calibri"/>
                <w:b/>
                <w:bCs/>
                <w:sz w:val="18"/>
                <w:szCs w:val="18"/>
              </w:rPr>
              <w:t>2.2</w:t>
            </w:r>
          </w:p>
          <w:p w14:paraId="6094B61A"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sz w:val="18"/>
                <w:szCs w:val="18"/>
                <w:lang w:eastAsia="fr-FR"/>
              </w:rPr>
              <w:t xml:space="preserve">CMA </w:t>
            </w:r>
            <w:proofErr w:type="spellStart"/>
            <w:r w:rsidRPr="00D43574">
              <w:rPr>
                <w:rFonts w:ascii="Calibri" w:eastAsiaTheme="minorEastAsia" w:hAnsi="Calibri" w:cs="Calibri"/>
                <w:b/>
                <w:bCs/>
                <w:sz w:val="18"/>
                <w:szCs w:val="18"/>
                <w:lang w:eastAsia="fr-FR"/>
              </w:rPr>
              <w:t>globales</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E7E6E6"/>
          </w:tcPr>
          <w:p w14:paraId="6094B61B" w14:textId="77777777" w:rsidR="00790114" w:rsidRPr="00D43574" w:rsidRDefault="00790114">
            <w:pPr>
              <w:spacing w:after="40"/>
              <w:jc w:val="center"/>
              <w:textAlignment w:val="baseline"/>
              <w:rPr>
                <w:rFonts w:ascii="Calibri" w:eastAsiaTheme="minorEastAsia" w:hAnsi="Calibri" w:cs="Calibri"/>
                <w:b/>
                <w:bCs/>
                <w:sz w:val="18"/>
                <w:szCs w:val="18"/>
                <w:lang w:val="es-ES" w:eastAsia="fr-FR"/>
              </w:rPr>
            </w:pPr>
            <w:r w:rsidRPr="00D43574">
              <w:rPr>
                <w:rFonts w:ascii="Calibri" w:eastAsiaTheme="minorEastAsia" w:hAnsi="Calibri" w:cs="Calibri"/>
                <w:b/>
                <w:bCs/>
                <w:sz w:val="18"/>
                <w:szCs w:val="18"/>
                <w:lang w:val="es-ES"/>
              </w:rPr>
              <w:t>3.1</w:t>
            </w:r>
          </w:p>
          <w:p w14:paraId="6094B61C" w14:textId="77777777" w:rsidR="00790114" w:rsidRPr="00D43574" w:rsidRDefault="00790114">
            <w:pPr>
              <w:jc w:val="center"/>
              <w:textAlignment w:val="baseline"/>
              <w:rPr>
                <w:rFonts w:ascii="Calibri" w:eastAsiaTheme="minorEastAsia" w:hAnsi="Calibri" w:cs="Calibri"/>
                <w:b/>
                <w:bCs/>
                <w:sz w:val="18"/>
                <w:szCs w:val="18"/>
                <w:lang w:val="es-ES"/>
              </w:rPr>
            </w:pPr>
            <w:r w:rsidRPr="00D43574">
              <w:rPr>
                <w:rFonts w:ascii="Calibri" w:eastAsiaTheme="minorEastAsia" w:hAnsi="Calibri" w:cs="Calibri"/>
                <w:b/>
                <w:bCs/>
                <w:sz w:val="18"/>
                <w:szCs w:val="18"/>
                <w:lang w:val="es-ES"/>
              </w:rPr>
              <w:t>Pago por acceso a DSI</w:t>
            </w:r>
          </w:p>
        </w:tc>
        <w:tc>
          <w:tcPr>
            <w:tcW w:w="1134" w:type="dxa"/>
            <w:tcBorders>
              <w:top w:val="single" w:sz="4" w:space="0" w:color="auto"/>
              <w:left w:val="single" w:sz="4" w:space="0" w:color="auto"/>
              <w:bottom w:val="single" w:sz="4" w:space="0" w:color="auto"/>
              <w:right w:val="single" w:sz="4" w:space="0" w:color="auto"/>
            </w:tcBorders>
            <w:shd w:val="clear" w:color="auto" w:fill="E7E6E6"/>
          </w:tcPr>
          <w:p w14:paraId="6094B61D" w14:textId="77777777" w:rsidR="00790114" w:rsidRPr="00D43574" w:rsidRDefault="00790114">
            <w:pPr>
              <w:spacing w:before="40" w:after="40"/>
              <w:jc w:val="center"/>
              <w:textAlignment w:val="baseline"/>
              <w:rPr>
                <w:rFonts w:ascii="Calibri" w:eastAsiaTheme="minorEastAsia" w:hAnsi="Calibri" w:cs="Calibri"/>
                <w:b/>
                <w:bCs/>
                <w:sz w:val="18"/>
                <w:szCs w:val="18"/>
                <w:lang w:val="es-ES" w:eastAsia="fr-FR"/>
              </w:rPr>
            </w:pPr>
            <w:r w:rsidRPr="00D43574">
              <w:rPr>
                <w:rFonts w:ascii="Calibri" w:eastAsiaTheme="minorEastAsia" w:hAnsi="Calibri" w:cs="Calibri"/>
                <w:b/>
                <w:bCs/>
                <w:sz w:val="18"/>
                <w:szCs w:val="18"/>
                <w:lang w:val="es-ES"/>
              </w:rPr>
              <w:t>3.2.a</w:t>
            </w:r>
          </w:p>
          <w:p w14:paraId="6094B61E" w14:textId="77777777" w:rsidR="00790114" w:rsidRPr="00D43574" w:rsidRDefault="00790114">
            <w:pPr>
              <w:spacing w:before="120" w:after="120"/>
              <w:jc w:val="center"/>
              <w:textAlignment w:val="baseline"/>
              <w:rPr>
                <w:rFonts w:ascii="Calibri" w:eastAsiaTheme="minorEastAsia" w:hAnsi="Calibri" w:cs="Calibri"/>
                <w:b/>
                <w:bCs/>
                <w:sz w:val="18"/>
                <w:szCs w:val="18"/>
                <w:lang w:val="es-ES"/>
              </w:rPr>
            </w:pPr>
            <w:r w:rsidRPr="00D43574">
              <w:rPr>
                <w:rFonts w:ascii="Calibri" w:eastAsiaTheme="minorEastAsia" w:hAnsi="Calibri" w:cs="Calibri"/>
                <w:b/>
                <w:bCs/>
                <w:sz w:val="18"/>
                <w:szCs w:val="18"/>
                <w:lang w:val="es-ES" w:eastAsia="fr-FR"/>
              </w:rPr>
              <w:t>Pago/impuesto sobre servicios y productos relacionados con la investigación</w:t>
            </w:r>
          </w:p>
        </w:tc>
        <w:tc>
          <w:tcPr>
            <w:tcW w:w="1255" w:type="dxa"/>
            <w:tcBorders>
              <w:top w:val="single" w:sz="4" w:space="0" w:color="auto"/>
              <w:left w:val="single" w:sz="4" w:space="0" w:color="auto"/>
              <w:bottom w:val="single" w:sz="4" w:space="0" w:color="auto"/>
              <w:right w:val="single" w:sz="4" w:space="0" w:color="auto"/>
            </w:tcBorders>
            <w:shd w:val="clear" w:color="auto" w:fill="E7E6E6"/>
          </w:tcPr>
          <w:p w14:paraId="6094B61F" w14:textId="77777777" w:rsidR="00790114" w:rsidRPr="00D43574" w:rsidRDefault="00790114">
            <w:pPr>
              <w:spacing w:before="40" w:after="40"/>
              <w:jc w:val="center"/>
              <w:textAlignment w:val="baseline"/>
              <w:rPr>
                <w:rFonts w:ascii="Calibri" w:eastAsiaTheme="minorEastAsia" w:hAnsi="Calibri" w:cs="Calibri"/>
                <w:b/>
                <w:bCs/>
                <w:sz w:val="18"/>
                <w:szCs w:val="18"/>
                <w:lang w:val="es-ES" w:eastAsia="fr-FR"/>
              </w:rPr>
            </w:pPr>
            <w:r w:rsidRPr="00D43574">
              <w:rPr>
                <w:rFonts w:ascii="Calibri" w:eastAsiaTheme="minorEastAsia" w:hAnsi="Calibri" w:cs="Calibri"/>
                <w:b/>
                <w:bCs/>
                <w:sz w:val="18"/>
                <w:szCs w:val="18"/>
                <w:lang w:val="es-ES"/>
              </w:rPr>
              <w:t>3.2.b</w:t>
            </w:r>
          </w:p>
          <w:p w14:paraId="6094B620" w14:textId="77777777" w:rsidR="00790114" w:rsidRPr="00D43574" w:rsidRDefault="00790114">
            <w:pPr>
              <w:spacing w:before="120" w:after="120"/>
              <w:jc w:val="center"/>
              <w:textAlignment w:val="baseline"/>
              <w:rPr>
                <w:rFonts w:ascii="Calibri" w:eastAsiaTheme="minorEastAsia" w:hAnsi="Calibri" w:cs="Calibri"/>
                <w:b/>
                <w:bCs/>
                <w:sz w:val="18"/>
                <w:szCs w:val="18"/>
                <w:lang w:val="es-ES"/>
              </w:rPr>
            </w:pPr>
            <w:r w:rsidRPr="00D43574">
              <w:rPr>
                <w:rFonts w:ascii="Calibri" w:eastAsiaTheme="minorEastAsia" w:hAnsi="Calibri" w:cs="Calibri"/>
                <w:b/>
                <w:bCs/>
                <w:sz w:val="18"/>
                <w:szCs w:val="18"/>
                <w:lang w:val="es-ES"/>
              </w:rPr>
              <w:t>Bonos o etiquetas vinculados a contribuciones voluntarias</w:t>
            </w:r>
          </w:p>
        </w:tc>
        <w:tc>
          <w:tcPr>
            <w:tcW w:w="1079" w:type="dxa"/>
            <w:tcBorders>
              <w:top w:val="single" w:sz="4" w:space="0" w:color="auto"/>
              <w:left w:val="single" w:sz="4" w:space="0" w:color="auto"/>
              <w:bottom w:val="single" w:sz="4" w:space="0" w:color="auto"/>
              <w:right w:val="single" w:sz="4" w:space="0" w:color="auto"/>
            </w:tcBorders>
            <w:shd w:val="clear" w:color="auto" w:fill="E7E6E6"/>
          </w:tcPr>
          <w:p w14:paraId="6094B621" w14:textId="77777777" w:rsidR="00790114" w:rsidRPr="00D43574" w:rsidRDefault="00790114">
            <w:pPr>
              <w:spacing w:before="40" w:after="40"/>
              <w:jc w:val="center"/>
              <w:textAlignment w:val="baseline"/>
              <w:rPr>
                <w:rFonts w:ascii="Calibri" w:eastAsiaTheme="minorEastAsia" w:hAnsi="Calibri" w:cs="Calibri"/>
                <w:b/>
                <w:bCs/>
                <w:sz w:val="18"/>
                <w:szCs w:val="18"/>
                <w:lang w:val="es-ES" w:eastAsia="fr-FR"/>
              </w:rPr>
            </w:pPr>
            <w:r w:rsidRPr="00D43574">
              <w:rPr>
                <w:rFonts w:ascii="Calibri" w:eastAsiaTheme="minorEastAsia" w:hAnsi="Calibri" w:cs="Calibri"/>
                <w:b/>
                <w:bCs/>
                <w:sz w:val="18"/>
                <w:szCs w:val="18"/>
                <w:lang w:val="es-ES"/>
              </w:rPr>
              <w:t>3.2.c</w:t>
            </w:r>
          </w:p>
          <w:p w14:paraId="6094B622" w14:textId="77777777" w:rsidR="00790114" w:rsidRPr="00D43574" w:rsidRDefault="00790114">
            <w:pPr>
              <w:spacing w:before="120" w:after="120"/>
              <w:jc w:val="center"/>
              <w:textAlignment w:val="baseline"/>
              <w:rPr>
                <w:rFonts w:ascii="Calibri" w:eastAsiaTheme="minorEastAsia" w:hAnsi="Calibri" w:cs="Calibri"/>
                <w:b/>
                <w:bCs/>
                <w:sz w:val="18"/>
                <w:szCs w:val="18"/>
                <w:lang w:val="es-ES"/>
              </w:rPr>
            </w:pPr>
            <w:r w:rsidRPr="00D43574">
              <w:rPr>
                <w:rFonts w:ascii="Calibri" w:eastAsiaTheme="minorEastAsia" w:hAnsi="Calibri" w:cs="Calibri"/>
                <w:b/>
                <w:bCs/>
                <w:sz w:val="18"/>
                <w:szCs w:val="18"/>
                <w:lang w:val="es-ES"/>
              </w:rPr>
              <w:t>Impuesto sobre productos derivados de DSI</w:t>
            </w:r>
          </w:p>
        </w:tc>
        <w:tc>
          <w:tcPr>
            <w:tcW w:w="1352" w:type="dxa"/>
            <w:tcBorders>
              <w:top w:val="single" w:sz="4" w:space="0" w:color="auto"/>
              <w:left w:val="single" w:sz="4" w:space="0" w:color="auto"/>
              <w:bottom w:val="single" w:sz="4" w:space="0" w:color="auto"/>
              <w:right w:val="single" w:sz="4" w:space="0" w:color="auto"/>
            </w:tcBorders>
            <w:shd w:val="clear" w:color="auto" w:fill="E7E6E6"/>
          </w:tcPr>
          <w:p w14:paraId="6094B623" w14:textId="77777777" w:rsidR="00790114" w:rsidRPr="00D43574" w:rsidRDefault="00790114">
            <w:pPr>
              <w:spacing w:before="40" w:after="40"/>
              <w:jc w:val="center"/>
              <w:textAlignment w:val="baseline"/>
              <w:rPr>
                <w:rFonts w:ascii="Calibri" w:eastAsiaTheme="minorEastAsia" w:hAnsi="Calibri" w:cs="Calibri"/>
                <w:b/>
                <w:bCs/>
                <w:sz w:val="18"/>
                <w:szCs w:val="18"/>
                <w:lang w:val="es-ES" w:eastAsia="fr-FR"/>
              </w:rPr>
            </w:pPr>
            <w:r w:rsidRPr="00D43574">
              <w:rPr>
                <w:rFonts w:ascii="Calibri" w:eastAsiaTheme="minorEastAsia" w:hAnsi="Calibri" w:cs="Calibri"/>
                <w:b/>
                <w:bCs/>
                <w:sz w:val="18"/>
                <w:szCs w:val="18"/>
                <w:lang w:val="es-ES" w:eastAsia="fr-FR"/>
              </w:rPr>
              <w:t>4</w:t>
            </w:r>
          </w:p>
          <w:p w14:paraId="6094B624" w14:textId="77777777" w:rsidR="00790114" w:rsidRPr="00D43574" w:rsidRDefault="00790114">
            <w:pPr>
              <w:spacing w:before="120" w:after="120"/>
              <w:jc w:val="center"/>
              <w:textAlignment w:val="baseline"/>
              <w:rPr>
                <w:rFonts w:ascii="Calibri" w:eastAsiaTheme="minorEastAsia" w:hAnsi="Calibri" w:cs="Calibri"/>
                <w:b/>
                <w:bCs/>
                <w:sz w:val="18"/>
                <w:szCs w:val="18"/>
                <w:lang w:val="es-ES"/>
              </w:rPr>
            </w:pPr>
            <w:r w:rsidRPr="00D43574">
              <w:rPr>
                <w:rFonts w:ascii="Calibri" w:eastAsiaTheme="minorEastAsia" w:hAnsi="Calibri" w:cs="Calibri"/>
                <w:b/>
                <w:bCs/>
                <w:sz w:val="18"/>
                <w:szCs w:val="18"/>
                <w:lang w:val="es-ES"/>
              </w:rPr>
              <w:t>Colaboración tecnológica y científica y creación de capacidad mejoradas</w:t>
            </w:r>
          </w:p>
        </w:tc>
        <w:tc>
          <w:tcPr>
            <w:tcW w:w="1134" w:type="dxa"/>
            <w:tcBorders>
              <w:top w:val="single" w:sz="4" w:space="0" w:color="auto"/>
              <w:left w:val="single" w:sz="4" w:space="0" w:color="auto"/>
              <w:bottom w:val="single" w:sz="4" w:space="0" w:color="auto"/>
              <w:right w:val="single" w:sz="4" w:space="0" w:color="auto"/>
            </w:tcBorders>
            <w:shd w:val="clear" w:color="auto" w:fill="E7E6E6"/>
          </w:tcPr>
          <w:p w14:paraId="6094B625" w14:textId="77777777" w:rsidR="00790114" w:rsidRPr="00D43574" w:rsidRDefault="00790114">
            <w:pPr>
              <w:spacing w:before="40" w:after="40"/>
              <w:jc w:val="center"/>
              <w:textAlignment w:val="baseline"/>
              <w:rPr>
                <w:rFonts w:ascii="Calibri" w:eastAsiaTheme="minorEastAsia" w:hAnsi="Calibri" w:cs="Calibri"/>
                <w:b/>
                <w:bCs/>
                <w:sz w:val="18"/>
                <w:szCs w:val="18"/>
                <w:lang w:val="es-ES" w:eastAsia="fr-FR"/>
              </w:rPr>
            </w:pPr>
            <w:r w:rsidRPr="00D43574">
              <w:rPr>
                <w:rFonts w:ascii="Calibri" w:eastAsiaTheme="minorEastAsia" w:hAnsi="Calibri" w:cs="Calibri"/>
                <w:b/>
                <w:bCs/>
                <w:sz w:val="18"/>
                <w:szCs w:val="18"/>
                <w:lang w:val="es-ES" w:eastAsia="fr-FR"/>
              </w:rPr>
              <w:t>5</w:t>
            </w:r>
          </w:p>
          <w:p w14:paraId="6094B626" w14:textId="77777777" w:rsidR="00790114" w:rsidRPr="00D43574" w:rsidRDefault="00790114">
            <w:pPr>
              <w:spacing w:before="120" w:after="120"/>
              <w:jc w:val="center"/>
              <w:textAlignment w:val="baseline"/>
              <w:rPr>
                <w:rFonts w:ascii="Calibri" w:eastAsiaTheme="minorEastAsia" w:hAnsi="Calibri" w:cs="Calibri"/>
                <w:b/>
                <w:bCs/>
                <w:sz w:val="18"/>
                <w:szCs w:val="18"/>
                <w:lang w:val="es-ES"/>
              </w:rPr>
            </w:pPr>
            <w:r w:rsidRPr="00D43574">
              <w:rPr>
                <w:rFonts w:ascii="Calibri" w:eastAsiaTheme="minorEastAsia" w:hAnsi="Calibri" w:cs="Calibri"/>
                <w:b/>
                <w:bCs/>
                <w:sz w:val="18"/>
                <w:szCs w:val="18"/>
                <w:lang w:val="es-ES"/>
              </w:rPr>
              <w:t>Sin participación en beneficios de la DSI</w:t>
            </w:r>
          </w:p>
        </w:tc>
        <w:tc>
          <w:tcPr>
            <w:tcW w:w="1276" w:type="dxa"/>
            <w:tcBorders>
              <w:top w:val="single" w:sz="4" w:space="0" w:color="auto"/>
              <w:left w:val="single" w:sz="4" w:space="0" w:color="auto"/>
              <w:bottom w:val="single" w:sz="4" w:space="0" w:color="auto"/>
              <w:right w:val="single" w:sz="4" w:space="0" w:color="auto"/>
            </w:tcBorders>
            <w:shd w:val="clear" w:color="auto" w:fill="E7E6E6"/>
          </w:tcPr>
          <w:p w14:paraId="6094B627" w14:textId="77777777" w:rsidR="00790114" w:rsidRPr="00D43574" w:rsidRDefault="00790114">
            <w:pPr>
              <w:spacing w:before="40" w:after="40"/>
              <w:jc w:val="center"/>
              <w:textAlignment w:val="baseline"/>
              <w:rPr>
                <w:rFonts w:ascii="Calibri" w:eastAsiaTheme="minorEastAsia" w:hAnsi="Calibri" w:cs="Calibri"/>
                <w:b/>
                <w:bCs/>
                <w:sz w:val="18"/>
                <w:szCs w:val="18"/>
                <w:lang w:val="es-ES" w:eastAsia="fr-FR"/>
              </w:rPr>
            </w:pPr>
            <w:r w:rsidRPr="00D43574">
              <w:rPr>
                <w:rFonts w:ascii="Calibri" w:eastAsiaTheme="minorEastAsia" w:hAnsi="Calibri" w:cs="Calibri"/>
                <w:b/>
                <w:bCs/>
                <w:sz w:val="18"/>
                <w:szCs w:val="18"/>
                <w:lang w:val="es-ES" w:eastAsia="fr-FR"/>
              </w:rPr>
              <w:t>6</w:t>
            </w:r>
          </w:p>
          <w:p w14:paraId="6094B628" w14:textId="77777777" w:rsidR="00790114" w:rsidRPr="00D43574" w:rsidRDefault="00790114">
            <w:pPr>
              <w:spacing w:before="120" w:after="120"/>
              <w:jc w:val="center"/>
              <w:textAlignment w:val="baseline"/>
              <w:rPr>
                <w:rFonts w:ascii="Calibri" w:eastAsiaTheme="minorEastAsia" w:hAnsi="Calibri" w:cs="Calibri"/>
                <w:b/>
                <w:bCs/>
                <w:sz w:val="18"/>
                <w:szCs w:val="18"/>
                <w:lang w:val="es-ES"/>
              </w:rPr>
            </w:pPr>
            <w:r w:rsidRPr="00D43574">
              <w:rPr>
                <w:rFonts w:ascii="Calibri" w:eastAsiaTheme="minorEastAsia" w:hAnsi="Calibri" w:cs="Calibri"/>
                <w:b/>
                <w:bCs/>
                <w:sz w:val="18"/>
                <w:szCs w:val="18"/>
                <w:lang w:val="es-ES"/>
              </w:rPr>
              <w:t>Impuesto del 1 % sobre ventas al por menor</w:t>
            </w:r>
          </w:p>
        </w:tc>
      </w:tr>
      <w:tr w:rsidR="00790114" w:rsidRPr="00D43574" w14:paraId="6094B636" w14:textId="77777777">
        <w:trPr>
          <w:trHeight w:val="420"/>
        </w:trPr>
        <w:tc>
          <w:tcPr>
            <w:tcW w:w="1135" w:type="dxa"/>
            <w:tcBorders>
              <w:top w:val="single" w:sz="4" w:space="0" w:color="auto"/>
              <w:left w:val="single" w:sz="4" w:space="0" w:color="auto"/>
              <w:bottom w:val="single" w:sz="4" w:space="0" w:color="auto"/>
              <w:right w:val="single" w:sz="4" w:space="0" w:color="auto"/>
            </w:tcBorders>
          </w:tcPr>
          <w:p w14:paraId="6094B62A" w14:textId="77777777" w:rsidR="00790114" w:rsidRPr="00D43574" w:rsidRDefault="00790114">
            <w:pPr>
              <w:spacing w:before="120" w:after="120"/>
              <w:textAlignment w:val="baseline"/>
              <w:rPr>
                <w:rFonts w:ascii="Calibri" w:eastAsiaTheme="minorEastAsia" w:hAnsi="Calibri" w:cs="Calibri"/>
                <w:b/>
                <w:bCs/>
                <w:i/>
                <w:iCs/>
                <w:sz w:val="18"/>
                <w:szCs w:val="18"/>
              </w:rPr>
            </w:pPr>
            <w:r w:rsidRPr="00D43574">
              <w:rPr>
                <w:rFonts w:ascii="Calibri" w:eastAsiaTheme="minorEastAsia" w:hAnsi="Calibri" w:cs="Calibri"/>
                <w:b/>
                <w:bCs/>
                <w:i/>
                <w:iCs/>
                <w:sz w:val="18"/>
                <w:szCs w:val="18"/>
              </w:rPr>
              <w:t>SÍ</w:t>
            </w:r>
          </w:p>
        </w:tc>
        <w:tc>
          <w:tcPr>
            <w:tcW w:w="1134" w:type="dxa"/>
            <w:tcBorders>
              <w:top w:val="single" w:sz="4" w:space="0" w:color="auto"/>
              <w:left w:val="single" w:sz="4" w:space="0" w:color="auto"/>
            </w:tcBorders>
          </w:tcPr>
          <w:p w14:paraId="6094B62B"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2</w:t>
            </w:r>
          </w:p>
        </w:tc>
        <w:tc>
          <w:tcPr>
            <w:tcW w:w="1134" w:type="dxa"/>
            <w:tcBorders>
              <w:top w:val="single" w:sz="4" w:space="0" w:color="auto"/>
            </w:tcBorders>
          </w:tcPr>
          <w:p w14:paraId="6094B62C"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0</w:t>
            </w:r>
          </w:p>
        </w:tc>
        <w:tc>
          <w:tcPr>
            <w:tcW w:w="1134" w:type="dxa"/>
            <w:tcBorders>
              <w:top w:val="single" w:sz="4" w:space="0" w:color="auto"/>
            </w:tcBorders>
          </w:tcPr>
          <w:p w14:paraId="6094B62D"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0</w:t>
            </w:r>
          </w:p>
        </w:tc>
        <w:tc>
          <w:tcPr>
            <w:tcW w:w="1134" w:type="dxa"/>
            <w:tcBorders>
              <w:top w:val="single" w:sz="4" w:space="0" w:color="auto"/>
            </w:tcBorders>
          </w:tcPr>
          <w:p w14:paraId="6094B62E" w14:textId="77777777" w:rsidR="00790114" w:rsidRPr="00D43574" w:rsidRDefault="00790114">
            <w:pPr>
              <w:spacing w:before="120" w:after="120"/>
              <w:jc w:val="center"/>
              <w:textAlignment w:val="baseline"/>
              <w:rPr>
                <w:rFonts w:ascii="Calibri" w:eastAsiaTheme="minorEastAsia" w:hAnsi="Calibri" w:cs="Calibri"/>
                <w:b/>
                <w:bCs/>
                <w:sz w:val="18"/>
                <w:szCs w:val="18"/>
                <w:lang w:val="en-US"/>
              </w:rPr>
            </w:pPr>
            <w:r w:rsidRPr="00D43574">
              <w:rPr>
                <w:rFonts w:ascii="Calibri" w:eastAsiaTheme="minorEastAsia" w:hAnsi="Calibri" w:cs="Calibri"/>
                <w:b/>
                <w:bCs/>
                <w:position w:val="1"/>
                <w:sz w:val="18"/>
                <w:szCs w:val="18"/>
              </w:rPr>
              <w:t>6</w:t>
            </w:r>
            <w:r w:rsidRPr="00D43574">
              <w:rPr>
                <w:rFonts w:ascii="Calibri" w:eastAsiaTheme="minorEastAsia" w:hAnsi="Calibri" w:cs="Calibri"/>
                <w:b/>
                <w:bCs/>
                <w:position w:val="1"/>
                <w:sz w:val="18"/>
                <w:szCs w:val="18"/>
                <w:lang w:eastAsia="fr-FR"/>
              </w:rPr>
              <w:t>*</w:t>
            </w:r>
          </w:p>
        </w:tc>
        <w:tc>
          <w:tcPr>
            <w:tcW w:w="992" w:type="dxa"/>
            <w:tcBorders>
              <w:top w:val="single" w:sz="4" w:space="0" w:color="auto"/>
            </w:tcBorders>
          </w:tcPr>
          <w:p w14:paraId="6094B62F"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0</w:t>
            </w:r>
          </w:p>
        </w:tc>
        <w:tc>
          <w:tcPr>
            <w:tcW w:w="1134" w:type="dxa"/>
            <w:tcBorders>
              <w:top w:val="single" w:sz="4" w:space="0" w:color="auto"/>
            </w:tcBorders>
          </w:tcPr>
          <w:p w14:paraId="6094B630"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2</w:t>
            </w:r>
          </w:p>
        </w:tc>
        <w:tc>
          <w:tcPr>
            <w:tcW w:w="1255" w:type="dxa"/>
            <w:tcBorders>
              <w:top w:val="single" w:sz="4" w:space="0" w:color="auto"/>
            </w:tcBorders>
          </w:tcPr>
          <w:p w14:paraId="6094B631"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6</w:t>
            </w:r>
          </w:p>
        </w:tc>
        <w:tc>
          <w:tcPr>
            <w:tcW w:w="1079" w:type="dxa"/>
            <w:tcBorders>
              <w:top w:val="single" w:sz="4" w:space="0" w:color="auto"/>
            </w:tcBorders>
          </w:tcPr>
          <w:p w14:paraId="6094B632" w14:textId="77777777" w:rsidR="00790114" w:rsidRPr="00D43574" w:rsidRDefault="00790114">
            <w:pPr>
              <w:spacing w:before="120" w:after="120"/>
              <w:jc w:val="center"/>
              <w:textAlignment w:val="baseline"/>
              <w:rPr>
                <w:rFonts w:ascii="Calibri" w:eastAsiaTheme="minorEastAsia" w:hAnsi="Calibri" w:cs="Calibri"/>
                <w:b/>
                <w:bCs/>
                <w:sz w:val="18"/>
                <w:szCs w:val="18"/>
                <w:lang w:val="en-US"/>
              </w:rPr>
            </w:pPr>
            <w:r w:rsidRPr="00D43574">
              <w:rPr>
                <w:rFonts w:ascii="Calibri" w:eastAsiaTheme="minorEastAsia" w:hAnsi="Calibri" w:cs="Calibri"/>
                <w:b/>
                <w:bCs/>
                <w:position w:val="1"/>
                <w:sz w:val="18"/>
                <w:szCs w:val="18"/>
              </w:rPr>
              <w:t>8</w:t>
            </w:r>
          </w:p>
        </w:tc>
        <w:tc>
          <w:tcPr>
            <w:tcW w:w="1352" w:type="dxa"/>
            <w:tcBorders>
              <w:top w:val="single" w:sz="4" w:space="0" w:color="auto"/>
            </w:tcBorders>
          </w:tcPr>
          <w:p w14:paraId="6094B633"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14</w:t>
            </w:r>
            <w:r w:rsidRPr="00D43574">
              <w:rPr>
                <w:rFonts w:ascii="Calibri" w:eastAsiaTheme="minorEastAsia" w:hAnsi="Calibri" w:cs="Calibri"/>
                <w:b/>
                <w:bCs/>
                <w:position w:val="1"/>
                <w:sz w:val="18"/>
                <w:szCs w:val="18"/>
                <w:lang w:eastAsia="fr-FR"/>
              </w:rPr>
              <w:t>***</w:t>
            </w:r>
          </w:p>
        </w:tc>
        <w:tc>
          <w:tcPr>
            <w:tcW w:w="1134" w:type="dxa"/>
            <w:tcBorders>
              <w:top w:val="single" w:sz="4" w:space="0" w:color="auto"/>
            </w:tcBorders>
          </w:tcPr>
          <w:p w14:paraId="6094B634"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4</w:t>
            </w:r>
          </w:p>
        </w:tc>
        <w:tc>
          <w:tcPr>
            <w:tcW w:w="1276" w:type="dxa"/>
            <w:tcBorders>
              <w:top w:val="single" w:sz="4" w:space="0" w:color="auto"/>
            </w:tcBorders>
          </w:tcPr>
          <w:p w14:paraId="6094B635" w14:textId="77777777" w:rsidR="00790114" w:rsidRPr="00D43574" w:rsidRDefault="00790114">
            <w:pPr>
              <w:spacing w:before="120" w:after="120"/>
              <w:jc w:val="center"/>
              <w:textAlignment w:val="baseline"/>
              <w:rPr>
                <w:rFonts w:ascii="Calibri" w:eastAsiaTheme="minorEastAsia" w:hAnsi="Calibri" w:cs="Calibri"/>
                <w:b/>
                <w:bCs/>
                <w:sz w:val="18"/>
                <w:szCs w:val="18"/>
                <w:lang w:val="en-US"/>
              </w:rPr>
            </w:pPr>
            <w:r w:rsidRPr="00D43574">
              <w:rPr>
                <w:rFonts w:ascii="Calibri" w:eastAsiaTheme="minorEastAsia" w:hAnsi="Calibri" w:cs="Calibri"/>
                <w:b/>
                <w:bCs/>
                <w:position w:val="1"/>
                <w:sz w:val="18"/>
                <w:szCs w:val="18"/>
              </w:rPr>
              <w:t>8</w:t>
            </w:r>
          </w:p>
        </w:tc>
      </w:tr>
      <w:tr w:rsidR="00790114" w:rsidRPr="00D43574" w14:paraId="6094B643" w14:textId="77777777">
        <w:trPr>
          <w:trHeight w:val="370"/>
        </w:trPr>
        <w:tc>
          <w:tcPr>
            <w:tcW w:w="1135" w:type="dxa"/>
            <w:tcBorders>
              <w:top w:val="single" w:sz="4" w:space="0" w:color="auto"/>
              <w:left w:val="single" w:sz="4" w:space="0" w:color="auto"/>
              <w:bottom w:val="single" w:sz="4" w:space="0" w:color="auto"/>
              <w:right w:val="single" w:sz="4" w:space="0" w:color="auto"/>
            </w:tcBorders>
          </w:tcPr>
          <w:p w14:paraId="6094B637" w14:textId="77777777" w:rsidR="00790114" w:rsidRPr="00D43574" w:rsidRDefault="00790114">
            <w:pPr>
              <w:spacing w:before="120" w:after="120"/>
              <w:textAlignment w:val="baseline"/>
              <w:rPr>
                <w:rFonts w:ascii="Calibri" w:eastAsiaTheme="minorEastAsia" w:hAnsi="Calibri" w:cs="Calibri"/>
                <w:b/>
                <w:bCs/>
                <w:i/>
                <w:iCs/>
                <w:sz w:val="18"/>
                <w:szCs w:val="18"/>
              </w:rPr>
            </w:pPr>
            <w:r w:rsidRPr="00D43574">
              <w:rPr>
                <w:rFonts w:ascii="Calibri" w:eastAsiaTheme="minorEastAsia" w:hAnsi="Calibri" w:cs="Calibri"/>
                <w:b/>
                <w:bCs/>
                <w:i/>
                <w:iCs/>
                <w:sz w:val="18"/>
                <w:szCs w:val="18"/>
              </w:rPr>
              <w:t>NO</w:t>
            </w:r>
          </w:p>
        </w:tc>
        <w:tc>
          <w:tcPr>
            <w:tcW w:w="1134" w:type="dxa"/>
            <w:tcBorders>
              <w:left w:val="single" w:sz="4" w:space="0" w:color="auto"/>
            </w:tcBorders>
          </w:tcPr>
          <w:p w14:paraId="6094B638"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14</w:t>
            </w:r>
          </w:p>
        </w:tc>
        <w:tc>
          <w:tcPr>
            <w:tcW w:w="1134" w:type="dxa"/>
          </w:tcPr>
          <w:p w14:paraId="6094B639"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18</w:t>
            </w:r>
          </w:p>
        </w:tc>
        <w:tc>
          <w:tcPr>
            <w:tcW w:w="1134" w:type="dxa"/>
          </w:tcPr>
          <w:p w14:paraId="6094B63A"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17</w:t>
            </w:r>
          </w:p>
        </w:tc>
        <w:tc>
          <w:tcPr>
            <w:tcW w:w="1134" w:type="dxa"/>
          </w:tcPr>
          <w:p w14:paraId="6094B63B"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14</w:t>
            </w:r>
          </w:p>
        </w:tc>
        <w:tc>
          <w:tcPr>
            <w:tcW w:w="992" w:type="dxa"/>
          </w:tcPr>
          <w:p w14:paraId="6094B63C"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11</w:t>
            </w:r>
          </w:p>
        </w:tc>
        <w:tc>
          <w:tcPr>
            <w:tcW w:w="1134" w:type="dxa"/>
          </w:tcPr>
          <w:p w14:paraId="6094B63D"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8</w:t>
            </w:r>
          </w:p>
        </w:tc>
        <w:tc>
          <w:tcPr>
            <w:tcW w:w="1255" w:type="dxa"/>
          </w:tcPr>
          <w:p w14:paraId="6094B63E"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4</w:t>
            </w:r>
          </w:p>
        </w:tc>
        <w:tc>
          <w:tcPr>
            <w:tcW w:w="1079" w:type="dxa"/>
          </w:tcPr>
          <w:p w14:paraId="6094B63F"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3</w:t>
            </w:r>
          </w:p>
        </w:tc>
        <w:tc>
          <w:tcPr>
            <w:tcW w:w="1352" w:type="dxa"/>
          </w:tcPr>
          <w:p w14:paraId="6094B640"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0</w:t>
            </w:r>
          </w:p>
        </w:tc>
        <w:tc>
          <w:tcPr>
            <w:tcW w:w="1134" w:type="dxa"/>
          </w:tcPr>
          <w:p w14:paraId="6094B641" w14:textId="77777777" w:rsidR="00790114" w:rsidRPr="00D43574" w:rsidRDefault="00790114">
            <w:pPr>
              <w:spacing w:before="120" w:after="120"/>
              <w:jc w:val="center"/>
              <w:textAlignment w:val="baseline"/>
              <w:rPr>
                <w:rFonts w:ascii="Calibri" w:eastAsiaTheme="minorEastAsia" w:hAnsi="Calibri" w:cs="Calibri"/>
                <w:b/>
                <w:bCs/>
                <w:sz w:val="18"/>
                <w:szCs w:val="18"/>
                <w:lang w:val="en-US"/>
              </w:rPr>
            </w:pPr>
            <w:r w:rsidRPr="00D43574">
              <w:rPr>
                <w:rFonts w:ascii="Calibri" w:eastAsiaTheme="minorEastAsia" w:hAnsi="Calibri" w:cs="Calibri"/>
                <w:b/>
                <w:bCs/>
                <w:position w:val="1"/>
                <w:sz w:val="18"/>
                <w:szCs w:val="18"/>
              </w:rPr>
              <w:t>9</w:t>
            </w:r>
          </w:p>
        </w:tc>
        <w:tc>
          <w:tcPr>
            <w:tcW w:w="1276" w:type="dxa"/>
          </w:tcPr>
          <w:p w14:paraId="6094B642"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2</w:t>
            </w:r>
          </w:p>
        </w:tc>
      </w:tr>
      <w:tr w:rsidR="00790114" w:rsidRPr="00D43574" w14:paraId="6094B651" w14:textId="77777777">
        <w:trPr>
          <w:trHeight w:val="375"/>
        </w:trPr>
        <w:tc>
          <w:tcPr>
            <w:tcW w:w="1135" w:type="dxa"/>
            <w:tcBorders>
              <w:top w:val="single" w:sz="4" w:space="0" w:color="auto"/>
              <w:left w:val="single" w:sz="4" w:space="0" w:color="auto"/>
              <w:bottom w:val="single" w:sz="4" w:space="0" w:color="auto"/>
              <w:right w:val="single" w:sz="4" w:space="0" w:color="auto"/>
            </w:tcBorders>
          </w:tcPr>
          <w:p w14:paraId="6094B644" w14:textId="77777777" w:rsidR="00790114" w:rsidRPr="00D43574" w:rsidRDefault="00790114">
            <w:pPr>
              <w:spacing w:before="40" w:after="40"/>
              <w:textAlignment w:val="baseline"/>
              <w:rPr>
                <w:rFonts w:ascii="Calibri" w:eastAsiaTheme="minorEastAsia" w:hAnsi="Calibri" w:cs="Calibri"/>
                <w:i/>
                <w:iCs/>
                <w:sz w:val="18"/>
                <w:szCs w:val="18"/>
                <w:lang w:val="es-ES" w:eastAsia="fr-FR"/>
              </w:rPr>
            </w:pPr>
            <w:r w:rsidRPr="00D43574">
              <w:rPr>
                <w:rFonts w:ascii="Calibri" w:eastAsiaTheme="minorEastAsia" w:hAnsi="Calibri" w:cs="Calibri"/>
                <w:b/>
                <w:bCs/>
                <w:i/>
                <w:iCs/>
                <w:sz w:val="18"/>
                <w:szCs w:val="18"/>
                <w:lang w:val="es-ES"/>
              </w:rPr>
              <w:t>QUIZÁS</w:t>
            </w:r>
          </w:p>
          <w:p w14:paraId="6094B645" w14:textId="77777777" w:rsidR="00790114" w:rsidRPr="00D43574" w:rsidRDefault="00790114">
            <w:pPr>
              <w:spacing w:before="120" w:after="120"/>
              <w:textAlignment w:val="baseline"/>
              <w:rPr>
                <w:rFonts w:ascii="Calibri" w:eastAsiaTheme="minorEastAsia" w:hAnsi="Calibri" w:cs="Calibri"/>
                <w:b/>
                <w:bCs/>
                <w:i/>
                <w:iCs/>
                <w:sz w:val="18"/>
                <w:szCs w:val="18"/>
                <w:lang w:val="es-ES"/>
              </w:rPr>
            </w:pPr>
            <w:r w:rsidRPr="00D43574">
              <w:rPr>
                <w:rFonts w:ascii="Calibri" w:eastAsiaTheme="minorEastAsia" w:hAnsi="Calibri" w:cs="Calibri"/>
                <w:i/>
                <w:iCs/>
                <w:sz w:val="18"/>
                <w:szCs w:val="18"/>
                <w:lang w:val="es-ES" w:eastAsia="fr-FR"/>
              </w:rPr>
              <w:t>Se necesita más información</w:t>
            </w:r>
          </w:p>
        </w:tc>
        <w:tc>
          <w:tcPr>
            <w:tcW w:w="1134" w:type="dxa"/>
            <w:tcBorders>
              <w:left w:val="single" w:sz="4" w:space="0" w:color="auto"/>
            </w:tcBorders>
          </w:tcPr>
          <w:p w14:paraId="6094B646"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1</w:t>
            </w:r>
          </w:p>
        </w:tc>
        <w:tc>
          <w:tcPr>
            <w:tcW w:w="1134" w:type="dxa"/>
          </w:tcPr>
          <w:p w14:paraId="6094B647" w14:textId="77777777" w:rsidR="00790114" w:rsidRPr="00D43574" w:rsidRDefault="00790114">
            <w:pPr>
              <w:spacing w:before="120" w:after="120"/>
              <w:jc w:val="center"/>
              <w:textAlignment w:val="baseline"/>
              <w:rPr>
                <w:rFonts w:ascii="Calibri" w:eastAsiaTheme="minorEastAsia" w:hAnsi="Calibri" w:cs="Calibri"/>
                <w:b/>
                <w:bCs/>
                <w:sz w:val="18"/>
                <w:szCs w:val="18"/>
                <w:lang w:val="en-US"/>
              </w:rPr>
            </w:pPr>
            <w:r w:rsidRPr="00D43574">
              <w:rPr>
                <w:rFonts w:ascii="Calibri" w:eastAsiaTheme="minorEastAsia" w:hAnsi="Calibri" w:cs="Calibri"/>
                <w:b/>
                <w:bCs/>
                <w:position w:val="1"/>
                <w:sz w:val="18"/>
                <w:szCs w:val="18"/>
              </w:rPr>
              <w:t>0</w:t>
            </w:r>
          </w:p>
        </w:tc>
        <w:tc>
          <w:tcPr>
            <w:tcW w:w="1134" w:type="dxa"/>
          </w:tcPr>
          <w:p w14:paraId="6094B648"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1</w:t>
            </w:r>
          </w:p>
        </w:tc>
        <w:tc>
          <w:tcPr>
            <w:tcW w:w="1134" w:type="dxa"/>
          </w:tcPr>
          <w:p w14:paraId="6094B649"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0 </w:t>
            </w:r>
          </w:p>
        </w:tc>
        <w:tc>
          <w:tcPr>
            <w:tcW w:w="992" w:type="dxa"/>
          </w:tcPr>
          <w:p w14:paraId="6094B64A"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1</w:t>
            </w:r>
          </w:p>
        </w:tc>
        <w:tc>
          <w:tcPr>
            <w:tcW w:w="1134" w:type="dxa"/>
          </w:tcPr>
          <w:p w14:paraId="6094B64B"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8**</w:t>
            </w:r>
          </w:p>
        </w:tc>
        <w:tc>
          <w:tcPr>
            <w:tcW w:w="1255" w:type="dxa"/>
          </w:tcPr>
          <w:p w14:paraId="6094B64C"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8**</w:t>
            </w:r>
          </w:p>
        </w:tc>
        <w:tc>
          <w:tcPr>
            <w:tcW w:w="1079" w:type="dxa"/>
          </w:tcPr>
          <w:p w14:paraId="6094B64D"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8**</w:t>
            </w:r>
          </w:p>
        </w:tc>
        <w:tc>
          <w:tcPr>
            <w:tcW w:w="1352" w:type="dxa"/>
          </w:tcPr>
          <w:p w14:paraId="6094B64E"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0</w:t>
            </w:r>
          </w:p>
        </w:tc>
        <w:tc>
          <w:tcPr>
            <w:tcW w:w="1134" w:type="dxa"/>
          </w:tcPr>
          <w:p w14:paraId="6094B64F"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0</w:t>
            </w:r>
          </w:p>
        </w:tc>
        <w:tc>
          <w:tcPr>
            <w:tcW w:w="1276" w:type="dxa"/>
          </w:tcPr>
          <w:p w14:paraId="6094B650" w14:textId="77777777" w:rsidR="00790114" w:rsidRPr="00D43574" w:rsidRDefault="00790114">
            <w:pPr>
              <w:spacing w:before="120" w:after="120"/>
              <w:jc w:val="center"/>
              <w:textAlignment w:val="baseline"/>
              <w:rPr>
                <w:rFonts w:ascii="Calibri" w:eastAsiaTheme="minorEastAsia" w:hAnsi="Calibri" w:cs="Calibri"/>
                <w:b/>
                <w:bCs/>
                <w:sz w:val="18"/>
                <w:szCs w:val="18"/>
              </w:rPr>
            </w:pPr>
            <w:r w:rsidRPr="00D43574">
              <w:rPr>
                <w:rFonts w:ascii="Calibri" w:eastAsiaTheme="minorEastAsia" w:hAnsi="Calibri" w:cs="Calibri"/>
                <w:b/>
                <w:bCs/>
                <w:position w:val="1"/>
                <w:sz w:val="18"/>
                <w:szCs w:val="18"/>
              </w:rPr>
              <w:t>8***</w:t>
            </w:r>
          </w:p>
        </w:tc>
      </w:tr>
      <w:tr w:rsidR="00790114" w:rsidRPr="00240178" w14:paraId="6094B65E" w14:textId="77777777">
        <w:trPr>
          <w:trHeight w:val="807"/>
        </w:trPr>
        <w:tc>
          <w:tcPr>
            <w:tcW w:w="1135" w:type="dxa"/>
            <w:tcBorders>
              <w:top w:val="single" w:sz="4" w:space="0" w:color="auto"/>
              <w:left w:val="single" w:sz="4" w:space="0" w:color="auto"/>
              <w:bottom w:val="single" w:sz="4" w:space="0" w:color="auto"/>
              <w:right w:val="single" w:sz="4" w:space="0" w:color="auto"/>
            </w:tcBorders>
          </w:tcPr>
          <w:p w14:paraId="6094B652" w14:textId="77777777" w:rsidR="00790114" w:rsidRPr="00D43574" w:rsidRDefault="00790114">
            <w:pPr>
              <w:spacing w:before="120" w:after="120"/>
              <w:textAlignment w:val="baseline"/>
              <w:rPr>
                <w:rFonts w:ascii="Calibri" w:eastAsiaTheme="minorEastAsia" w:hAnsi="Calibri" w:cs="Calibri"/>
                <w:b/>
                <w:bCs/>
                <w:i/>
                <w:iCs/>
                <w:sz w:val="18"/>
                <w:szCs w:val="18"/>
              </w:rPr>
            </w:pPr>
            <w:proofErr w:type="spellStart"/>
            <w:r w:rsidRPr="00D43574">
              <w:rPr>
                <w:rFonts w:ascii="Calibri" w:eastAsiaTheme="minorEastAsia" w:hAnsi="Calibri" w:cs="Calibri"/>
                <w:i/>
                <w:iCs/>
                <w:sz w:val="18"/>
                <w:szCs w:val="18"/>
                <w:lang w:eastAsia="fr-FR"/>
              </w:rPr>
              <w:t>Notas</w:t>
            </w:r>
            <w:proofErr w:type="spellEnd"/>
          </w:p>
        </w:tc>
        <w:tc>
          <w:tcPr>
            <w:tcW w:w="1134" w:type="dxa"/>
            <w:tcBorders>
              <w:left w:val="single" w:sz="4" w:space="0" w:color="auto"/>
            </w:tcBorders>
          </w:tcPr>
          <w:p w14:paraId="6094B653" w14:textId="77777777" w:rsidR="00790114" w:rsidRPr="00D43574" w:rsidRDefault="00790114">
            <w:pPr>
              <w:spacing w:before="120" w:after="120"/>
              <w:jc w:val="center"/>
              <w:textAlignment w:val="baseline"/>
              <w:rPr>
                <w:rFonts w:ascii="Calibri" w:eastAsiaTheme="minorEastAsia" w:hAnsi="Calibri" w:cs="Calibri"/>
                <w:b/>
                <w:bCs/>
                <w:sz w:val="18"/>
                <w:szCs w:val="18"/>
              </w:rPr>
            </w:pPr>
          </w:p>
        </w:tc>
        <w:tc>
          <w:tcPr>
            <w:tcW w:w="1134" w:type="dxa"/>
          </w:tcPr>
          <w:p w14:paraId="6094B654" w14:textId="77777777" w:rsidR="00790114" w:rsidRPr="00D43574" w:rsidRDefault="00790114">
            <w:pPr>
              <w:spacing w:before="120" w:after="120"/>
              <w:jc w:val="center"/>
              <w:textAlignment w:val="baseline"/>
              <w:rPr>
                <w:rFonts w:ascii="Calibri" w:eastAsiaTheme="minorEastAsia" w:hAnsi="Calibri" w:cs="Calibri"/>
                <w:b/>
                <w:bCs/>
                <w:sz w:val="18"/>
                <w:szCs w:val="18"/>
              </w:rPr>
            </w:pPr>
          </w:p>
        </w:tc>
        <w:tc>
          <w:tcPr>
            <w:tcW w:w="1134" w:type="dxa"/>
          </w:tcPr>
          <w:p w14:paraId="6094B655" w14:textId="77777777" w:rsidR="00790114" w:rsidRPr="00D43574" w:rsidRDefault="00790114">
            <w:pPr>
              <w:spacing w:before="120" w:after="120"/>
              <w:jc w:val="center"/>
              <w:textAlignment w:val="baseline"/>
              <w:rPr>
                <w:rFonts w:ascii="Calibri" w:eastAsiaTheme="minorEastAsia" w:hAnsi="Calibri" w:cs="Calibri"/>
                <w:b/>
                <w:bCs/>
                <w:sz w:val="18"/>
                <w:szCs w:val="18"/>
              </w:rPr>
            </w:pPr>
          </w:p>
        </w:tc>
        <w:tc>
          <w:tcPr>
            <w:tcW w:w="1134" w:type="dxa"/>
          </w:tcPr>
          <w:p w14:paraId="6094B656" w14:textId="77777777" w:rsidR="00790114" w:rsidRPr="00D43574" w:rsidRDefault="00790114">
            <w:pPr>
              <w:spacing w:before="120" w:after="120"/>
              <w:jc w:val="center"/>
              <w:textAlignment w:val="baseline"/>
              <w:rPr>
                <w:rFonts w:ascii="Calibri" w:eastAsiaTheme="minorEastAsia" w:hAnsi="Calibri" w:cs="Calibri"/>
                <w:sz w:val="18"/>
                <w:szCs w:val="18"/>
                <w:lang w:val="es-ES"/>
              </w:rPr>
            </w:pPr>
            <w:r w:rsidRPr="00D43574">
              <w:rPr>
                <w:rFonts w:ascii="Calibri" w:eastAsiaTheme="minorEastAsia" w:hAnsi="Calibri" w:cs="Calibri"/>
                <w:position w:val="1"/>
                <w:sz w:val="18"/>
                <w:szCs w:val="18"/>
                <w:lang w:val="es-ES" w:eastAsia="fr-FR"/>
              </w:rPr>
              <w:t>*incluye 1 “como parte de un híbrido”</w:t>
            </w:r>
          </w:p>
        </w:tc>
        <w:tc>
          <w:tcPr>
            <w:tcW w:w="992" w:type="dxa"/>
          </w:tcPr>
          <w:p w14:paraId="6094B657" w14:textId="77777777" w:rsidR="00790114" w:rsidRPr="00D43574" w:rsidRDefault="00790114">
            <w:pPr>
              <w:spacing w:before="120" w:after="120"/>
              <w:jc w:val="center"/>
              <w:textAlignment w:val="baseline"/>
              <w:rPr>
                <w:rFonts w:ascii="Calibri" w:eastAsiaTheme="minorEastAsia" w:hAnsi="Calibri" w:cs="Calibri"/>
                <w:sz w:val="18"/>
                <w:szCs w:val="18"/>
                <w:lang w:val="es-ES"/>
              </w:rPr>
            </w:pPr>
          </w:p>
        </w:tc>
        <w:tc>
          <w:tcPr>
            <w:tcW w:w="1134" w:type="dxa"/>
          </w:tcPr>
          <w:p w14:paraId="6094B658" w14:textId="77777777" w:rsidR="00790114" w:rsidRPr="00D43574" w:rsidRDefault="00790114">
            <w:pPr>
              <w:spacing w:before="120" w:after="120"/>
              <w:jc w:val="center"/>
              <w:textAlignment w:val="baseline"/>
              <w:rPr>
                <w:rFonts w:ascii="Calibri" w:eastAsiaTheme="minorEastAsia" w:hAnsi="Calibri" w:cs="Calibri"/>
                <w:sz w:val="18"/>
                <w:szCs w:val="18"/>
                <w:lang w:val="es-ES"/>
              </w:rPr>
            </w:pPr>
            <w:r w:rsidRPr="00D43574">
              <w:rPr>
                <w:rFonts w:ascii="Calibri" w:eastAsiaTheme="minorEastAsia" w:hAnsi="Calibri" w:cs="Calibri"/>
                <w:sz w:val="18"/>
                <w:szCs w:val="18"/>
                <w:lang w:val="es-ES"/>
              </w:rPr>
              <w:t>** incluye 6 “se necesita más información”</w:t>
            </w:r>
          </w:p>
        </w:tc>
        <w:tc>
          <w:tcPr>
            <w:tcW w:w="1255" w:type="dxa"/>
          </w:tcPr>
          <w:p w14:paraId="6094B659" w14:textId="77777777" w:rsidR="00790114" w:rsidRPr="00D43574" w:rsidRDefault="00790114">
            <w:pPr>
              <w:spacing w:before="120" w:after="120"/>
              <w:jc w:val="center"/>
              <w:textAlignment w:val="baseline"/>
              <w:rPr>
                <w:rFonts w:ascii="Calibri" w:eastAsiaTheme="minorEastAsia" w:hAnsi="Calibri" w:cs="Calibri"/>
                <w:sz w:val="18"/>
                <w:szCs w:val="18"/>
                <w:lang w:val="es-ES"/>
              </w:rPr>
            </w:pPr>
            <w:r w:rsidRPr="00D43574">
              <w:rPr>
                <w:rFonts w:ascii="Calibri" w:eastAsiaTheme="minorEastAsia" w:hAnsi="Calibri" w:cs="Calibri"/>
                <w:sz w:val="18"/>
                <w:szCs w:val="18"/>
                <w:lang w:val="es-ES"/>
              </w:rPr>
              <w:t>** incluye 6 “se necesita más información”</w:t>
            </w:r>
          </w:p>
        </w:tc>
        <w:tc>
          <w:tcPr>
            <w:tcW w:w="1079" w:type="dxa"/>
          </w:tcPr>
          <w:p w14:paraId="6094B65A" w14:textId="77777777" w:rsidR="00790114" w:rsidRPr="00D43574" w:rsidRDefault="00790114">
            <w:pPr>
              <w:spacing w:before="120" w:after="120"/>
              <w:jc w:val="center"/>
              <w:textAlignment w:val="baseline"/>
              <w:rPr>
                <w:rFonts w:ascii="Calibri" w:eastAsiaTheme="minorEastAsia" w:hAnsi="Calibri" w:cs="Calibri"/>
                <w:sz w:val="18"/>
                <w:szCs w:val="18"/>
                <w:lang w:val="es-ES"/>
              </w:rPr>
            </w:pPr>
            <w:r w:rsidRPr="00D43574">
              <w:rPr>
                <w:rFonts w:ascii="Calibri" w:eastAsiaTheme="minorEastAsia" w:hAnsi="Calibri" w:cs="Calibri"/>
                <w:sz w:val="18"/>
                <w:szCs w:val="18"/>
                <w:lang w:val="es-ES"/>
              </w:rPr>
              <w:t>** incluye 6 “se necesita más información”</w:t>
            </w:r>
          </w:p>
        </w:tc>
        <w:tc>
          <w:tcPr>
            <w:tcW w:w="1352" w:type="dxa"/>
          </w:tcPr>
          <w:p w14:paraId="6094B65B" w14:textId="77777777" w:rsidR="00790114" w:rsidRPr="00D43574" w:rsidRDefault="00790114">
            <w:pPr>
              <w:spacing w:before="120" w:after="120"/>
              <w:jc w:val="center"/>
              <w:textAlignment w:val="baseline"/>
              <w:rPr>
                <w:rFonts w:ascii="Calibri" w:eastAsiaTheme="minorEastAsia" w:hAnsi="Calibri" w:cs="Calibri"/>
                <w:sz w:val="18"/>
                <w:szCs w:val="18"/>
                <w:lang w:val="es-ES"/>
              </w:rPr>
            </w:pPr>
            <w:r w:rsidRPr="00D43574">
              <w:rPr>
                <w:rFonts w:ascii="Calibri" w:eastAsiaTheme="minorEastAsia" w:hAnsi="Calibri" w:cs="Calibri"/>
                <w:position w:val="1"/>
                <w:sz w:val="18"/>
                <w:szCs w:val="18"/>
                <w:lang w:val="es-ES" w:eastAsia="fr-FR"/>
              </w:rPr>
              <w:t>*** incluye 6 “como parte de una solución”</w:t>
            </w:r>
          </w:p>
        </w:tc>
        <w:tc>
          <w:tcPr>
            <w:tcW w:w="1134" w:type="dxa"/>
          </w:tcPr>
          <w:p w14:paraId="6094B65C" w14:textId="77777777" w:rsidR="00790114" w:rsidRPr="00D43574" w:rsidRDefault="00790114">
            <w:pPr>
              <w:spacing w:before="120" w:after="120"/>
              <w:jc w:val="center"/>
              <w:textAlignment w:val="baseline"/>
              <w:rPr>
                <w:rFonts w:ascii="Calibri" w:eastAsiaTheme="minorEastAsia" w:hAnsi="Calibri" w:cs="Calibri"/>
                <w:sz w:val="18"/>
                <w:szCs w:val="18"/>
                <w:lang w:val="es-ES"/>
              </w:rPr>
            </w:pPr>
          </w:p>
        </w:tc>
        <w:tc>
          <w:tcPr>
            <w:tcW w:w="1276" w:type="dxa"/>
          </w:tcPr>
          <w:p w14:paraId="6094B65D" w14:textId="77777777" w:rsidR="00790114" w:rsidRPr="00D43574" w:rsidRDefault="00790114">
            <w:pPr>
              <w:spacing w:before="120" w:after="120"/>
              <w:jc w:val="center"/>
              <w:textAlignment w:val="baseline"/>
              <w:rPr>
                <w:rFonts w:ascii="Calibri" w:eastAsiaTheme="minorEastAsia" w:hAnsi="Calibri" w:cs="Calibri"/>
                <w:sz w:val="18"/>
                <w:szCs w:val="18"/>
                <w:lang w:val="es-ES"/>
              </w:rPr>
            </w:pPr>
            <w:r w:rsidRPr="00D43574">
              <w:rPr>
                <w:rFonts w:ascii="Calibri" w:eastAsiaTheme="minorEastAsia" w:hAnsi="Calibri" w:cs="Calibri"/>
                <w:sz w:val="18"/>
                <w:szCs w:val="18"/>
                <w:lang w:val="es-ES"/>
              </w:rPr>
              <w:t>***incluye 7 “se necesita más información”</w:t>
            </w:r>
          </w:p>
        </w:tc>
      </w:tr>
    </w:tbl>
    <w:p w14:paraId="2115CE3C" w14:textId="77777777" w:rsidR="00104F63" w:rsidRDefault="00104F63">
      <w:pPr>
        <w:jc w:val="center"/>
        <w:rPr>
          <w:lang w:val="en-CA"/>
        </w:rPr>
      </w:pPr>
    </w:p>
    <w:p w14:paraId="6094B65F" w14:textId="75A39EF3" w:rsidR="00790114" w:rsidRDefault="00790114">
      <w:pPr>
        <w:jc w:val="center"/>
        <w:rPr>
          <w:lang w:val="en-CA"/>
        </w:rPr>
      </w:pPr>
      <w:r>
        <w:rPr>
          <w:lang w:val="en-CA"/>
        </w:rPr>
        <w:t>__________</w:t>
      </w:r>
    </w:p>
    <w:sectPr w:rsidR="00790114" w:rsidSect="00790114">
      <w:pgSz w:w="15840" w:h="12240" w:orient="landscape"/>
      <w:pgMar w:top="1417" w:right="1440" w:bottom="141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4B667" w14:textId="77777777" w:rsidR="00D43574" w:rsidRDefault="00D43574">
      <w:r>
        <w:separator/>
      </w:r>
    </w:p>
  </w:endnote>
  <w:endnote w:type="continuationSeparator" w:id="0">
    <w:p w14:paraId="6094B668" w14:textId="77777777" w:rsidR="00D43574" w:rsidRDefault="00D43574">
      <w:r>
        <w:continuationSeparator/>
      </w:r>
    </w:p>
  </w:endnote>
  <w:endnote w:type="continuationNotice" w:id="1">
    <w:p w14:paraId="6094B669" w14:textId="77777777" w:rsidR="00D43574" w:rsidRDefault="00D43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4B664" w14:textId="77777777" w:rsidR="00D43574" w:rsidRDefault="00D43574">
      <w:r>
        <w:separator/>
      </w:r>
    </w:p>
  </w:footnote>
  <w:footnote w:type="continuationSeparator" w:id="0">
    <w:p w14:paraId="6094B665" w14:textId="77777777" w:rsidR="00D43574" w:rsidRDefault="00D43574">
      <w:r>
        <w:continuationSeparator/>
      </w:r>
    </w:p>
  </w:footnote>
  <w:footnote w:type="continuationNotice" w:id="1">
    <w:p w14:paraId="6094B666" w14:textId="77777777" w:rsidR="00D43574" w:rsidRDefault="00D43574"/>
  </w:footnote>
  <w:footnote w:id="2">
    <w:p w14:paraId="6094B66E" w14:textId="77777777" w:rsidR="00790114" w:rsidRDefault="00790114">
      <w:pPr>
        <w:pStyle w:val="FootnoteText"/>
        <w:ind w:firstLine="0"/>
      </w:pPr>
      <w:r>
        <w:rPr>
          <w:rStyle w:val="FootnoteReference"/>
        </w:rPr>
        <w:t>*</w:t>
      </w:r>
      <w:r>
        <w:t xml:space="preserve"> CBD/WG2020/5/1.</w:t>
      </w:r>
    </w:p>
  </w:footnote>
  <w:footnote w:id="3">
    <w:p w14:paraId="6094B66F" w14:textId="77777777" w:rsidR="00790114" w:rsidRDefault="00790114">
      <w:pPr>
        <w:pStyle w:val="FootnoteText"/>
        <w:ind w:firstLine="0"/>
      </w:pPr>
      <w:r>
        <w:rPr>
          <w:rStyle w:val="FootnoteReference"/>
        </w:rPr>
        <w:footnoteRef/>
      </w:r>
      <w:r>
        <w:t xml:space="preserve"> </w:t>
      </w:r>
      <w:hyperlink r:id="rId1" w:history="1">
        <w:r>
          <w:rPr>
            <w:rStyle w:val="Hyperlink"/>
          </w:rPr>
          <w:t>CBD/DSI/AHTEG/2020/1/3</w:t>
        </w:r>
      </w:hyperlink>
      <w:r>
        <w:rPr>
          <w:rStyle w:val="Strong"/>
          <w:b w:val="0"/>
          <w:bCs w:val="0"/>
        </w:rPr>
        <w:t xml:space="preserve">; </w:t>
      </w:r>
      <w:hyperlink r:id="rId2" w:history="1">
        <w:r>
          <w:rPr>
            <w:rStyle w:val="Hyperlink"/>
          </w:rPr>
          <w:t>CBD/DSI/AHTEG/2020/1/4</w:t>
        </w:r>
      </w:hyperlink>
      <w:r>
        <w:rPr>
          <w:rStyle w:val="Strong"/>
          <w:b w:val="0"/>
          <w:bCs w:val="0"/>
        </w:rPr>
        <w:t xml:space="preserve"> y </w:t>
      </w:r>
      <w:hyperlink r:id="rId3" w:history="1">
        <w:r>
          <w:rPr>
            <w:rStyle w:val="Hyperlink"/>
          </w:rPr>
          <w:t>CBD/DSI/AHTEG/2020/1/5</w:t>
        </w:r>
      </w:hyperlink>
      <w:r>
        <w:rPr>
          <w:rStyle w:val="Strong"/>
          <w:b w:val="0"/>
          <w:bCs w:val="0"/>
        </w:rPr>
        <w:t>.</w:t>
      </w:r>
    </w:p>
  </w:footnote>
  <w:footnote w:id="4">
    <w:p w14:paraId="6094B670" w14:textId="77777777" w:rsidR="00790114" w:rsidRDefault="00790114">
      <w:pPr>
        <w:pStyle w:val="FootnoteText"/>
        <w:ind w:firstLine="0"/>
      </w:pPr>
      <w:r>
        <w:rPr>
          <w:rStyle w:val="FootnoteReference"/>
        </w:rPr>
        <w:footnoteRef/>
      </w:r>
      <w:hyperlink r:id="rId4" w:history="1">
        <w:r>
          <w:rPr>
            <w:rStyle w:val="Hyperlink"/>
          </w:rPr>
          <w:t>CBD/DSI/AHTEG/2020/1/7</w:t>
        </w:r>
      </w:hyperlink>
    </w:p>
  </w:footnote>
  <w:footnote w:id="5">
    <w:p w14:paraId="6094B671" w14:textId="77777777" w:rsidR="00790114" w:rsidRDefault="00790114">
      <w:pPr>
        <w:pStyle w:val="FootnoteText"/>
        <w:ind w:firstLine="0"/>
      </w:pPr>
      <w:r>
        <w:rPr>
          <w:rStyle w:val="FootnoteReference"/>
        </w:rPr>
        <w:footnoteRef/>
      </w:r>
      <w:proofErr w:type="spellStart"/>
      <w:r>
        <w:t>Véase</w:t>
      </w:r>
      <w:proofErr w:type="spellEnd"/>
      <w:r>
        <w:t xml:space="preserve"> </w:t>
      </w:r>
      <w:hyperlink r:id="rId5" w:history="1">
        <w:r>
          <w:rPr>
            <w:rStyle w:val="Hyperlink"/>
          </w:rPr>
          <w:t>CBD/WG2020/3/4</w:t>
        </w:r>
      </w:hyperlink>
      <w:r>
        <w:t xml:space="preserve">, </w:t>
      </w:r>
      <w:proofErr w:type="spellStart"/>
      <w:r>
        <w:t>anexo</w:t>
      </w:r>
      <w:proofErr w:type="spellEnd"/>
      <w:r>
        <w:t xml:space="preserve"> I, </w:t>
      </w:r>
      <w:proofErr w:type="spellStart"/>
      <w:r>
        <w:t>sección</w:t>
      </w:r>
      <w:proofErr w:type="spellEnd"/>
      <w:r>
        <w:t xml:space="preserve"> I.</w:t>
      </w:r>
    </w:p>
  </w:footnote>
  <w:footnote w:id="6">
    <w:p w14:paraId="6094B672" w14:textId="77777777" w:rsidR="00790114" w:rsidRPr="0038679A" w:rsidRDefault="00790114">
      <w:pPr>
        <w:pStyle w:val="FootnoteText"/>
        <w:ind w:firstLine="0"/>
        <w:rPr>
          <w:lang w:val="es-ES"/>
        </w:rPr>
      </w:pPr>
      <w:r>
        <w:rPr>
          <w:rStyle w:val="FootnoteReference"/>
        </w:rPr>
        <w:footnoteRef/>
      </w:r>
      <w:r>
        <w:rPr>
          <w:lang w:val="es-ES"/>
        </w:rPr>
        <w:t xml:space="preserve">Véase </w:t>
      </w:r>
      <w:hyperlink r:id="rId6" w:history="1">
        <w:r>
          <w:rPr>
            <w:rStyle w:val="Hyperlink"/>
            <w:lang w:val="es-ES"/>
          </w:rPr>
          <w:t>CBD/WG2020/3/INF/8</w:t>
        </w:r>
      </w:hyperlink>
      <w:r>
        <w:rPr>
          <w:lang w:val="es-ES"/>
        </w:rPr>
        <w:t>, sección II.A 4-6.</w:t>
      </w:r>
    </w:p>
  </w:footnote>
  <w:footnote w:id="7">
    <w:p w14:paraId="6094B673" w14:textId="77777777" w:rsidR="00790114" w:rsidRPr="0038679A" w:rsidRDefault="00790114">
      <w:pPr>
        <w:pStyle w:val="FootnoteText"/>
        <w:ind w:firstLine="0"/>
        <w:rPr>
          <w:lang w:val="es-ES"/>
        </w:rPr>
      </w:pPr>
      <w:r>
        <w:rPr>
          <w:rStyle w:val="FootnoteReference"/>
        </w:rPr>
        <w:footnoteRef/>
      </w:r>
      <w:r>
        <w:rPr>
          <w:lang w:val="es-ES"/>
        </w:rPr>
        <w:t>Como se señala en el informe de la reunión, la recomendación tiene por objeto facilitar el proceso ulterior sobre la información digital sobre secuencias de recursos genéticos y no prejuzga la definición de los parámetros y principios que rigen una solución definitiva ni las opiniones al respecto.</w:t>
      </w:r>
    </w:p>
  </w:footnote>
  <w:footnote w:id="8">
    <w:p w14:paraId="6094B674" w14:textId="77777777" w:rsidR="00790114" w:rsidRPr="00240178" w:rsidRDefault="00790114">
      <w:pPr>
        <w:pStyle w:val="FootnoteText"/>
        <w:ind w:firstLine="0"/>
        <w:rPr>
          <w:lang w:val="en-US"/>
        </w:rPr>
      </w:pPr>
      <w:r>
        <w:rPr>
          <w:rStyle w:val="FootnoteReference"/>
        </w:rPr>
        <w:footnoteRef/>
      </w:r>
      <w:r w:rsidRPr="00240178">
        <w:rPr>
          <w:lang w:val="en-US"/>
        </w:rPr>
        <w:t xml:space="preserve">Véase </w:t>
      </w:r>
      <w:hyperlink r:id="rId7" w:history="1">
        <w:r w:rsidRPr="00240178">
          <w:rPr>
            <w:rStyle w:val="Hyperlink"/>
            <w:lang w:val="en-US"/>
          </w:rPr>
          <w:t>CBD/WG2020/3/4</w:t>
        </w:r>
      </w:hyperlink>
      <w:r w:rsidRPr="00240178">
        <w:rPr>
          <w:rStyle w:val="Hyperlink"/>
          <w:color w:val="auto"/>
          <w:u w:val="none"/>
          <w:lang w:val="en-US"/>
        </w:rPr>
        <w:t xml:space="preserve">, </w:t>
      </w:r>
      <w:r w:rsidRPr="00240178">
        <w:rPr>
          <w:lang w:val="en-US"/>
        </w:rPr>
        <w:t>anexo I, sección I.</w:t>
      </w:r>
    </w:p>
  </w:footnote>
  <w:footnote w:id="9">
    <w:p w14:paraId="6094B675" w14:textId="77777777" w:rsidR="00790114" w:rsidRPr="0038679A" w:rsidRDefault="00790114">
      <w:pPr>
        <w:pStyle w:val="FootnoteText"/>
        <w:ind w:firstLine="0"/>
        <w:rPr>
          <w:lang w:val="es-ES"/>
        </w:rPr>
      </w:pPr>
      <w:r>
        <w:rPr>
          <w:rStyle w:val="FootnoteReference"/>
        </w:rPr>
        <w:footnoteRef/>
      </w:r>
      <w:r>
        <w:rPr>
          <w:lang w:val="es-ES"/>
        </w:rPr>
        <w:t>Podría haber más de unas CMA estándar a nivel mundial</w:t>
      </w:r>
    </w:p>
  </w:footnote>
  <w:footnote w:id="10">
    <w:p w14:paraId="6094B676" w14:textId="77777777" w:rsidR="00790114" w:rsidRPr="0038679A" w:rsidRDefault="00790114">
      <w:pPr>
        <w:pStyle w:val="FootnoteText"/>
        <w:ind w:firstLine="0"/>
        <w:rPr>
          <w:lang w:val="es-ES"/>
        </w:rPr>
      </w:pPr>
      <w:r>
        <w:rPr>
          <w:rStyle w:val="FootnoteReference"/>
        </w:rPr>
        <w:footnoteRef/>
      </w:r>
      <w:r>
        <w:rPr>
          <w:lang w:val="es-ES"/>
        </w:rPr>
        <w:t xml:space="preserve">Un ejemplo de dicho enfoque es </w:t>
      </w:r>
      <w:proofErr w:type="spellStart"/>
      <w:r>
        <w:rPr>
          <w:lang w:val="es-ES"/>
        </w:rPr>
        <w:t>The</w:t>
      </w:r>
      <w:proofErr w:type="spellEnd"/>
      <w:r>
        <w:rPr>
          <w:lang w:val="es-ES"/>
        </w:rPr>
        <w:t xml:space="preserve"> </w:t>
      </w:r>
      <w:proofErr w:type="spellStart"/>
      <w:r>
        <w:rPr>
          <w:lang w:val="es-ES"/>
        </w:rPr>
        <w:t>Lion’s</w:t>
      </w:r>
      <w:proofErr w:type="spellEnd"/>
      <w:r>
        <w:rPr>
          <w:lang w:val="es-ES"/>
        </w:rPr>
        <w:t xml:space="preserve"> Share </w:t>
      </w:r>
      <w:proofErr w:type="spellStart"/>
      <w:r>
        <w:rPr>
          <w:lang w:val="es-ES"/>
        </w:rPr>
        <w:t>Fund</w:t>
      </w:r>
      <w:proofErr w:type="spellEnd"/>
      <w:r>
        <w:rPr>
          <w:lang w:val="es-ES"/>
        </w:rPr>
        <w:t xml:space="preserve"> </w:t>
      </w:r>
      <w:hyperlink r:id="rId8" w:history="1">
        <w:r>
          <w:rPr>
            <w:rStyle w:val="Hyperlink"/>
            <w:lang w:val="es-ES"/>
          </w:rPr>
          <w:t>https://mptf.undp.org/fund/lns00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B66A" w14:textId="77777777" w:rsidR="00790114" w:rsidRDefault="00790114">
    <w:pPr>
      <w:suppressLineNumbers/>
      <w:suppressAutoHyphens/>
      <w:rPr>
        <w:snapToGrid w:val="0"/>
        <w:kern w:val="22"/>
      </w:rPr>
    </w:pPr>
    <w:r>
      <w:rPr>
        <w:snapToGrid w:val="0"/>
        <w:kern w:val="22"/>
      </w:rPr>
      <w:t>CBD/WG2020/5/3</w:t>
    </w:r>
  </w:p>
  <w:p w14:paraId="6094B66B" w14:textId="77777777" w:rsidR="00790114" w:rsidRDefault="00790114">
    <w:pPr>
      <w:pStyle w:val="Header"/>
      <w:spacing w:after="240"/>
    </w:pPr>
    <w:proofErr w:type="spellStart"/>
    <w:r>
      <w:t>Página</w:t>
    </w:r>
    <w:proofErr w:type="spellEnd"/>
    <w:r>
      <w:t xml:space="preserve"> </w:t>
    </w:r>
    <w:r w:rsidR="00DB7FEE">
      <w:fldChar w:fldCharType="begin"/>
    </w:r>
    <w:r>
      <w:instrText xml:space="preserve"> PAGE   \* MERGEFORMAT </w:instrText>
    </w:r>
    <w:r w:rsidR="00DB7FEE">
      <w:fldChar w:fldCharType="separate"/>
    </w:r>
    <w:r w:rsidR="00CC5F1C">
      <w:rPr>
        <w:noProof/>
      </w:rPr>
      <w:t>10</w:t>
    </w:r>
    <w:r w:rsidR="00DB7FE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B66C" w14:textId="77777777" w:rsidR="00790114" w:rsidRDefault="00790114">
    <w:pPr>
      <w:suppressLineNumbers/>
      <w:suppressAutoHyphens/>
      <w:jc w:val="right"/>
      <w:rPr>
        <w:snapToGrid w:val="0"/>
        <w:kern w:val="22"/>
      </w:rPr>
    </w:pPr>
    <w:r>
      <w:rPr>
        <w:snapToGrid w:val="0"/>
        <w:kern w:val="22"/>
      </w:rPr>
      <w:t>CBD/WG2020/5/3</w:t>
    </w:r>
  </w:p>
  <w:p w14:paraId="6094B66D" w14:textId="77777777" w:rsidR="00790114" w:rsidRDefault="00790114">
    <w:pPr>
      <w:pStyle w:val="Header"/>
      <w:spacing w:after="240"/>
      <w:jc w:val="right"/>
    </w:pPr>
    <w:proofErr w:type="spellStart"/>
    <w:r>
      <w:t>Página</w:t>
    </w:r>
    <w:proofErr w:type="spellEnd"/>
    <w:r>
      <w:t xml:space="preserve"> </w:t>
    </w:r>
    <w:r w:rsidR="00DB7FEE">
      <w:fldChar w:fldCharType="begin"/>
    </w:r>
    <w:r>
      <w:instrText xml:space="preserve"> PAGE   \* MERGEFORMAT </w:instrText>
    </w:r>
    <w:r w:rsidR="00DB7FEE">
      <w:fldChar w:fldCharType="separate"/>
    </w:r>
    <w:r w:rsidR="00CC5F1C">
      <w:rPr>
        <w:noProof/>
      </w:rPr>
      <w:t>7</w:t>
    </w:r>
    <w:r w:rsidR="00DB7FE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6996"/>
    <w:multiLevelType w:val="hybridMultilevel"/>
    <w:tmpl w:val="BF326A08"/>
    <w:lvl w:ilvl="0" w:tplc="0409000F">
      <w:start w:val="1"/>
      <w:numFmt w:val="decimal"/>
      <w:lvlText w:val="%1."/>
      <w:lvlJc w:val="left"/>
      <w:pPr>
        <w:ind w:left="720" w:hanging="360"/>
      </w:pPr>
      <w:rPr>
        <w:rFonts w:ascii="Times New Roman" w:hAnsi="Times New Roman" w:cs="Times New Roman"/>
      </w:rPr>
    </w:lvl>
    <w:lvl w:ilvl="1" w:tplc="040C0019">
      <w:start w:val="1"/>
      <w:numFmt w:val="lowerLetter"/>
      <w:lvlText w:val="%2."/>
      <w:lvlJc w:val="left"/>
      <w:pPr>
        <w:ind w:left="1440" w:hanging="360"/>
      </w:pPr>
      <w:rPr>
        <w:rFonts w:ascii="Times New Roman" w:hAnsi="Times New Roman" w:cs="Times New Roman"/>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1" w15:restartNumberingAfterBreak="0">
    <w:nsid w:val="2D647E6D"/>
    <w:multiLevelType w:val="multilevel"/>
    <w:tmpl w:val="F940BBD2"/>
    <w:lvl w:ilvl="0">
      <w:start w:val="1"/>
      <w:numFmt w:val="decimal"/>
      <w:lvlText w:val="%1."/>
      <w:lvlJc w:val="left"/>
      <w:pPr>
        <w:ind w:left="1080" w:hanging="720"/>
      </w:pPr>
      <w:rPr>
        <w:rFonts w:ascii="Times New Roman" w:hAnsi="Times New Roman" w:cs="Times New Roman" w:hint="default"/>
        <w:sz w:val="22"/>
        <w:szCs w:val="22"/>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 w15:restartNumberingAfterBreak="0">
    <w:nsid w:val="4547742A"/>
    <w:multiLevelType w:val="hybridMultilevel"/>
    <w:tmpl w:val="72384C76"/>
    <w:lvl w:ilvl="0" w:tplc="0409000F">
      <w:start w:val="1"/>
      <w:numFmt w:val="decimal"/>
      <w:lvlText w:val="%1."/>
      <w:lvlJc w:val="left"/>
      <w:pPr>
        <w:ind w:left="720" w:hanging="360"/>
      </w:pPr>
      <w:rPr>
        <w:rFonts w:ascii="Times New Roman" w:hAnsi="Times New Roman" w:cs="Times New Roman"/>
      </w:rPr>
    </w:lvl>
    <w:lvl w:ilvl="1" w:tplc="0C0A0017">
      <w:start w:val="1"/>
      <w:numFmt w:val="lowerLetter"/>
      <w:lvlText w:val="%2)"/>
      <w:lvlJc w:val="left"/>
      <w:pPr>
        <w:ind w:left="1440" w:hanging="360"/>
      </w:pPr>
      <w:rPr>
        <w:rFonts w:ascii="Times New Roman" w:hAnsi="Times New Roman" w:cs="Times New Roman" w:hint="default"/>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ascii="Times New Roman" w:hAnsi="Times New Roman" w:cs="Times New Roman" w:hint="default"/>
        <w:b w:val="0"/>
        <w:bCs w:val="0"/>
        <w:i w:val="0"/>
        <w:iCs w:val="0"/>
      </w:rPr>
    </w:lvl>
    <w:lvl w:ilvl="2">
      <w:start w:val="1"/>
      <w:numFmt w:val="lowerRoman"/>
      <w:lvlText w:val="(%3)"/>
      <w:lvlJc w:val="right"/>
      <w:pPr>
        <w:tabs>
          <w:tab w:val="num" w:pos="1440"/>
        </w:tabs>
        <w:ind w:left="1440" w:hanging="360"/>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4" w15:restartNumberingAfterBreak="0">
    <w:nsid w:val="53C97CB5"/>
    <w:multiLevelType w:val="hybridMultilevel"/>
    <w:tmpl w:val="F4D2B092"/>
    <w:lvl w:ilvl="0" w:tplc="04090015">
      <w:start w:val="1"/>
      <w:numFmt w:val="upp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564B440E"/>
    <w:multiLevelType w:val="hybridMultilevel"/>
    <w:tmpl w:val="072EC3F4"/>
    <w:lvl w:ilvl="0" w:tplc="04090013">
      <w:start w:val="1"/>
      <w:numFmt w:val="upperRoman"/>
      <w:lvlText w:val="%1."/>
      <w:lvlJc w:val="right"/>
      <w:pPr>
        <w:ind w:left="720" w:hanging="360"/>
      </w:pPr>
      <w:rPr>
        <w:rFonts w:ascii="Times New Roman" w:hAnsi="Times New Roman" w:cs="Times New Roman"/>
      </w:rPr>
    </w:lvl>
    <w:lvl w:ilvl="1" w:tplc="040C0019">
      <w:start w:val="1"/>
      <w:numFmt w:val="lowerLetter"/>
      <w:lvlText w:val="%2."/>
      <w:lvlJc w:val="left"/>
      <w:pPr>
        <w:ind w:left="1440" w:hanging="360"/>
      </w:pPr>
      <w:rPr>
        <w:rFonts w:ascii="Times New Roman" w:hAnsi="Times New Roman" w:cs="Times New Roman"/>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6" w15:restartNumberingAfterBreak="0">
    <w:nsid w:val="626A5921"/>
    <w:multiLevelType w:val="hybridMultilevel"/>
    <w:tmpl w:val="B97EBA3E"/>
    <w:lvl w:ilvl="0" w:tplc="FFFFFFFF">
      <w:start w:val="1"/>
      <w:numFmt w:val="decimal"/>
      <w:lvlText w:val="%1."/>
      <w:lvlJc w:val="left"/>
      <w:pPr>
        <w:ind w:left="720" w:hanging="360"/>
      </w:pPr>
      <w:rPr>
        <w:rFonts w:ascii="Times New Roman" w:hAnsi="Times New Roman" w:cs="Times New Roman"/>
      </w:rPr>
    </w:lvl>
    <w:lvl w:ilvl="1" w:tplc="0C0A0017">
      <w:start w:val="1"/>
      <w:numFmt w:val="lowerLetter"/>
      <w:lvlText w:val="%2)"/>
      <w:lvlJc w:val="left"/>
      <w:pPr>
        <w:ind w:left="1440" w:hanging="360"/>
      </w:pPr>
      <w:rPr>
        <w:rFonts w:ascii="Times New Roman" w:hAnsi="Times New Roman" w:cs="Times New Roman" w:hint="default"/>
      </w:rPr>
    </w:lvl>
    <w:lvl w:ilvl="2" w:tplc="FFFFFFFF">
      <w:start w:val="1"/>
      <w:numFmt w:val="lowerRoman"/>
      <w:lvlText w:val="%3."/>
      <w:lvlJc w:val="right"/>
      <w:pPr>
        <w:ind w:left="2160" w:hanging="180"/>
      </w:pPr>
      <w:rPr>
        <w:rFonts w:ascii="Times New Roman" w:hAnsi="Times New Roman" w:cs="Times New Roman"/>
      </w:rPr>
    </w:lvl>
    <w:lvl w:ilvl="3" w:tplc="FFFFFFFF">
      <w:start w:val="1"/>
      <w:numFmt w:val="decimal"/>
      <w:lvlText w:val="%4."/>
      <w:lvlJc w:val="left"/>
      <w:pPr>
        <w:ind w:left="2880" w:hanging="360"/>
      </w:pPr>
      <w:rPr>
        <w:rFonts w:ascii="Times New Roman" w:hAnsi="Times New Roman" w:cs="Times New Roman"/>
      </w:rPr>
    </w:lvl>
    <w:lvl w:ilvl="4" w:tplc="FFFFFFFF">
      <w:start w:val="1"/>
      <w:numFmt w:val="lowerLetter"/>
      <w:lvlText w:val="%5."/>
      <w:lvlJc w:val="left"/>
      <w:pPr>
        <w:ind w:left="3600" w:hanging="360"/>
      </w:pPr>
      <w:rPr>
        <w:rFonts w:ascii="Times New Roman" w:hAnsi="Times New Roman" w:cs="Times New Roman"/>
      </w:rPr>
    </w:lvl>
    <w:lvl w:ilvl="5" w:tplc="FFFFFFFF">
      <w:start w:val="1"/>
      <w:numFmt w:val="lowerRoman"/>
      <w:lvlText w:val="%6."/>
      <w:lvlJc w:val="right"/>
      <w:pPr>
        <w:ind w:left="4320" w:hanging="180"/>
      </w:pPr>
      <w:rPr>
        <w:rFonts w:ascii="Times New Roman" w:hAnsi="Times New Roman" w:cs="Times New Roman"/>
      </w:rPr>
    </w:lvl>
    <w:lvl w:ilvl="6" w:tplc="FFFFFFFF">
      <w:start w:val="1"/>
      <w:numFmt w:val="decimal"/>
      <w:lvlText w:val="%7."/>
      <w:lvlJc w:val="left"/>
      <w:pPr>
        <w:ind w:left="5040" w:hanging="360"/>
      </w:pPr>
      <w:rPr>
        <w:rFonts w:ascii="Times New Roman" w:hAnsi="Times New Roman" w:cs="Times New Roman"/>
      </w:rPr>
    </w:lvl>
    <w:lvl w:ilvl="7" w:tplc="FFFFFFFF">
      <w:start w:val="1"/>
      <w:numFmt w:val="lowerLetter"/>
      <w:lvlText w:val="%8."/>
      <w:lvlJc w:val="left"/>
      <w:pPr>
        <w:ind w:left="5760" w:hanging="360"/>
      </w:pPr>
      <w:rPr>
        <w:rFonts w:ascii="Times New Roman" w:hAnsi="Times New Roman" w:cs="Times New Roman"/>
      </w:rPr>
    </w:lvl>
    <w:lvl w:ilvl="8" w:tplc="FFFFFFFF">
      <w:start w:val="1"/>
      <w:numFmt w:val="lowerRoman"/>
      <w:lvlText w:val="%9."/>
      <w:lvlJc w:val="right"/>
      <w:pPr>
        <w:ind w:left="6480" w:hanging="180"/>
      </w:pPr>
      <w:rPr>
        <w:rFonts w:ascii="Times New Roman" w:hAnsi="Times New Roman" w:cs="Times New Roman"/>
      </w:rPr>
    </w:lvl>
  </w:abstractNum>
  <w:num w:numId="1">
    <w:abstractNumId w:val="3"/>
  </w:num>
  <w:num w:numId="2">
    <w:abstractNumId w:val="5"/>
  </w:num>
  <w:num w:numId="3">
    <w:abstractNumId w:val="2"/>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doNotTrackMoves/>
  <w:defaultTabStop w:val="708"/>
  <w:hyphenationZone w:val="425"/>
  <w:doNotHyphenateCaps/>
  <w:evenAndOddHeaders/>
  <w:drawingGridHorizontalSpacing w:val="110"/>
  <w:displayHorizontalDrawingGridEvery w:val="2"/>
  <w:characterSpacingControl w:val="doNotCompress"/>
  <w:doNotValidateAgainstSchema/>
  <w:doNotDemarcateInvalidXml/>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90114"/>
    <w:rsid w:val="00104F63"/>
    <w:rsid w:val="00200EDA"/>
    <w:rsid w:val="00240178"/>
    <w:rsid w:val="0038679A"/>
    <w:rsid w:val="0043072C"/>
    <w:rsid w:val="005837B2"/>
    <w:rsid w:val="00611B97"/>
    <w:rsid w:val="00625670"/>
    <w:rsid w:val="006A5B08"/>
    <w:rsid w:val="00790114"/>
    <w:rsid w:val="00921213"/>
    <w:rsid w:val="009C06B1"/>
    <w:rsid w:val="00A0547D"/>
    <w:rsid w:val="00B51354"/>
    <w:rsid w:val="00CC5F1C"/>
    <w:rsid w:val="00D43574"/>
    <w:rsid w:val="00DB7FEE"/>
    <w:rsid w:val="00E17D10"/>
    <w:rsid w:val="00E347E0"/>
    <w:rsid w:val="00F500CC"/>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094B588"/>
  <w15:docId w15:val="{A3525EF1-725E-4503-BC80-21361131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7B2"/>
    <w:pPr>
      <w:jc w:val="both"/>
    </w:pPr>
    <w:rPr>
      <w:rFonts w:ascii="Times New Roman" w:hAnsi="Times New Roman"/>
      <w:sz w:val="22"/>
      <w:szCs w:val="22"/>
      <w:lang w:val="en-GB" w:eastAsia="en-US"/>
    </w:rPr>
  </w:style>
  <w:style w:type="paragraph" w:styleId="Heading1">
    <w:name w:val="heading 1"/>
    <w:basedOn w:val="Normal"/>
    <w:next w:val="Heading2"/>
    <w:link w:val="Heading1Char"/>
    <w:uiPriority w:val="99"/>
    <w:qFormat/>
    <w:rsid w:val="005837B2"/>
    <w:pPr>
      <w:keepNext/>
      <w:tabs>
        <w:tab w:val="left" w:pos="720"/>
      </w:tabs>
      <w:spacing w:before="240" w:after="120"/>
      <w:jc w:val="center"/>
      <w:outlineLvl w:val="0"/>
    </w:pPr>
    <w:rPr>
      <w:b/>
      <w:bCs/>
      <w:caps/>
    </w:rPr>
  </w:style>
  <w:style w:type="paragraph" w:styleId="Heading2">
    <w:name w:val="heading 2"/>
    <w:basedOn w:val="Normal"/>
    <w:next w:val="Normal"/>
    <w:link w:val="Heading2Char"/>
    <w:qFormat/>
    <w:rsid w:val="005837B2"/>
    <w:pPr>
      <w:keepNext/>
      <w:keepLines/>
      <w:spacing w:before="40"/>
      <w:outlineLvl w:val="1"/>
    </w:pPr>
    <w:rPr>
      <w:rFonts w:ascii="Calibri Light" w:hAnsi="Calibri Light" w:cs="Calibri Light"/>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837B2"/>
    <w:rPr>
      <w:rFonts w:ascii="Times New Roman" w:hAnsi="Times New Roman" w:cs="Times New Roman"/>
      <w:b/>
      <w:bCs/>
      <w:caps/>
      <w:sz w:val="24"/>
      <w:szCs w:val="24"/>
      <w:lang w:val="en-GB"/>
    </w:rPr>
  </w:style>
  <w:style w:type="character" w:customStyle="1" w:styleId="Heading2Char">
    <w:name w:val="Heading 2 Char"/>
    <w:basedOn w:val="DefaultParagraphFont"/>
    <w:link w:val="Heading2"/>
    <w:uiPriority w:val="99"/>
    <w:rsid w:val="005837B2"/>
    <w:rPr>
      <w:rFonts w:ascii="Calibri Light" w:hAnsi="Calibri Light" w:cs="Calibri Light"/>
      <w:color w:val="auto"/>
      <w:sz w:val="26"/>
      <w:szCs w:val="26"/>
      <w:lang w:val="en-GB"/>
    </w:rPr>
  </w:style>
  <w:style w:type="paragraph" w:customStyle="1" w:styleId="meetingname">
    <w:name w:val="meeting name"/>
    <w:basedOn w:val="Normal"/>
    <w:uiPriority w:val="99"/>
    <w:rsid w:val="005837B2"/>
    <w:pPr>
      <w:ind w:left="142" w:right="4218" w:hanging="142"/>
    </w:pPr>
    <w:rPr>
      <w:caps/>
    </w:rPr>
  </w:style>
  <w:style w:type="character" w:styleId="PlaceholderText">
    <w:name w:val="Placeholder Text"/>
    <w:basedOn w:val="DefaultParagraphFont"/>
    <w:uiPriority w:val="99"/>
    <w:rsid w:val="005837B2"/>
    <w:rPr>
      <w:rFonts w:ascii="Times New Roman" w:hAnsi="Times New Roman" w:cs="Times New Roman"/>
    </w:rPr>
  </w:style>
  <w:style w:type="character" w:styleId="FootnoteReference">
    <w:name w:val="footnote reference"/>
    <w:basedOn w:val="DefaultParagraphFont"/>
    <w:uiPriority w:val="99"/>
    <w:rsid w:val="005837B2"/>
    <w:rPr>
      <w:sz w:val="22"/>
      <w:szCs w:val="22"/>
      <w:u w:val="none"/>
      <w:vertAlign w:val="superscript"/>
    </w:rPr>
  </w:style>
  <w:style w:type="paragraph" w:styleId="FootnoteText">
    <w:name w:val="footnote text"/>
    <w:basedOn w:val="Normal"/>
    <w:link w:val="FootnoteTextChar"/>
    <w:uiPriority w:val="99"/>
    <w:rsid w:val="005837B2"/>
    <w:pPr>
      <w:keepLines/>
      <w:spacing w:after="60"/>
      <w:ind w:firstLine="720"/>
    </w:pPr>
    <w:rPr>
      <w:sz w:val="18"/>
      <w:szCs w:val="18"/>
    </w:rPr>
  </w:style>
  <w:style w:type="character" w:customStyle="1" w:styleId="FootnoteTextChar">
    <w:name w:val="Footnote Text Char"/>
    <w:basedOn w:val="DefaultParagraphFont"/>
    <w:link w:val="FootnoteText"/>
    <w:uiPriority w:val="99"/>
    <w:rsid w:val="005837B2"/>
    <w:rPr>
      <w:rFonts w:ascii="Times New Roman" w:hAnsi="Times New Roman" w:cs="Times New Roman"/>
      <w:sz w:val="24"/>
      <w:szCs w:val="24"/>
      <w:lang w:val="en-GB"/>
    </w:rPr>
  </w:style>
  <w:style w:type="paragraph" w:customStyle="1" w:styleId="Para1">
    <w:name w:val="Para1"/>
    <w:basedOn w:val="Normal"/>
    <w:uiPriority w:val="99"/>
    <w:rsid w:val="005837B2"/>
    <w:pPr>
      <w:numPr>
        <w:numId w:val="1"/>
      </w:numPr>
      <w:tabs>
        <w:tab w:val="clear" w:pos="360"/>
      </w:tabs>
      <w:spacing w:before="120" w:after="120"/>
    </w:pPr>
    <w:rPr>
      <w:sz w:val="20"/>
      <w:szCs w:val="20"/>
      <w:lang w:eastAsia="es-ES"/>
    </w:rPr>
  </w:style>
  <w:style w:type="character" w:styleId="Hyperlink">
    <w:name w:val="Hyperlink"/>
    <w:basedOn w:val="DefaultParagraphFont"/>
    <w:uiPriority w:val="99"/>
    <w:rsid w:val="005837B2"/>
    <w:rPr>
      <w:color w:val="0000FF"/>
      <w:sz w:val="18"/>
      <w:szCs w:val="18"/>
      <w:u w:val="single"/>
    </w:rPr>
  </w:style>
  <w:style w:type="character" w:customStyle="1" w:styleId="Para1Char">
    <w:name w:val="Para1 Char"/>
    <w:uiPriority w:val="99"/>
    <w:rsid w:val="005837B2"/>
    <w:rPr>
      <w:rFonts w:ascii="Times New Roman" w:hAnsi="Times New Roman" w:cs="Times New Roman"/>
      <w:snapToGrid w:val="0"/>
      <w:sz w:val="18"/>
      <w:szCs w:val="18"/>
      <w:lang w:val="en-GB"/>
    </w:rPr>
  </w:style>
  <w:style w:type="paragraph" w:styleId="ListParagraph">
    <w:name w:val="List Paragraph"/>
    <w:basedOn w:val="Normal"/>
    <w:uiPriority w:val="34"/>
    <w:qFormat/>
    <w:rsid w:val="005837B2"/>
    <w:pPr>
      <w:ind w:left="720"/>
    </w:pPr>
  </w:style>
  <w:style w:type="paragraph" w:customStyle="1" w:styleId="Style1">
    <w:name w:val="Style1"/>
    <w:basedOn w:val="Heading2"/>
    <w:uiPriority w:val="99"/>
    <w:rsid w:val="005837B2"/>
    <w:pPr>
      <w:keepLines w:val="0"/>
      <w:tabs>
        <w:tab w:val="left" w:pos="720"/>
      </w:tabs>
      <w:spacing w:before="120" w:after="120"/>
      <w:jc w:val="center"/>
    </w:pPr>
    <w:rPr>
      <w:rFonts w:ascii="Times New Roman" w:hAnsi="Times New Roman" w:cs="Times New Roman"/>
      <w:b/>
      <w:bCs/>
      <w:i/>
      <w:iCs/>
      <w:sz w:val="22"/>
      <w:szCs w:val="22"/>
    </w:rPr>
  </w:style>
  <w:style w:type="character" w:customStyle="1" w:styleId="UnresolvedMention1">
    <w:name w:val="Unresolved Mention1"/>
    <w:basedOn w:val="DefaultParagraphFont"/>
    <w:uiPriority w:val="99"/>
    <w:rsid w:val="005837B2"/>
    <w:rPr>
      <w:rFonts w:ascii="Times New Roman" w:hAnsi="Times New Roman" w:cs="Times New Roman"/>
      <w:color w:val="auto"/>
      <w:shd w:val="clear" w:color="auto" w:fill="auto"/>
    </w:rPr>
  </w:style>
  <w:style w:type="character" w:styleId="FollowedHyperlink">
    <w:name w:val="FollowedHyperlink"/>
    <w:basedOn w:val="DefaultParagraphFont"/>
    <w:uiPriority w:val="99"/>
    <w:rsid w:val="005837B2"/>
    <w:rPr>
      <w:rFonts w:ascii="Times New Roman" w:hAnsi="Times New Roman" w:cs="Times New Roman"/>
      <w:color w:val="auto"/>
      <w:u w:val="single"/>
    </w:rPr>
  </w:style>
  <w:style w:type="character" w:styleId="CommentReference">
    <w:name w:val="annotation reference"/>
    <w:basedOn w:val="DefaultParagraphFont"/>
    <w:uiPriority w:val="99"/>
    <w:rsid w:val="005837B2"/>
    <w:rPr>
      <w:rFonts w:ascii="Times New Roman" w:hAnsi="Times New Roman" w:cs="Times New Roman"/>
      <w:sz w:val="16"/>
      <w:szCs w:val="16"/>
    </w:rPr>
  </w:style>
  <w:style w:type="paragraph" w:styleId="CommentText">
    <w:name w:val="annotation text"/>
    <w:basedOn w:val="Normal"/>
    <w:link w:val="CommentTextChar"/>
    <w:uiPriority w:val="99"/>
    <w:rsid w:val="005837B2"/>
    <w:rPr>
      <w:sz w:val="20"/>
      <w:szCs w:val="20"/>
    </w:rPr>
  </w:style>
  <w:style w:type="character" w:customStyle="1" w:styleId="CommentTextChar">
    <w:name w:val="Comment Text Char"/>
    <w:basedOn w:val="DefaultParagraphFont"/>
    <w:link w:val="CommentText"/>
    <w:uiPriority w:val="99"/>
    <w:rsid w:val="005837B2"/>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5837B2"/>
    <w:rPr>
      <w:b/>
      <w:bCs/>
    </w:rPr>
  </w:style>
  <w:style w:type="character" w:customStyle="1" w:styleId="CommentSubjectChar">
    <w:name w:val="Comment Subject Char"/>
    <w:basedOn w:val="CommentTextChar"/>
    <w:link w:val="CommentSubject"/>
    <w:uiPriority w:val="99"/>
    <w:rsid w:val="005837B2"/>
    <w:rPr>
      <w:rFonts w:ascii="Times New Roman" w:hAnsi="Times New Roman" w:cs="Times New Roman"/>
      <w:b/>
      <w:bCs/>
      <w:sz w:val="20"/>
      <w:szCs w:val="20"/>
      <w:lang w:val="en-GB"/>
    </w:rPr>
  </w:style>
  <w:style w:type="paragraph" w:styleId="Header">
    <w:name w:val="header"/>
    <w:basedOn w:val="Normal"/>
    <w:link w:val="HeaderChar"/>
    <w:uiPriority w:val="99"/>
    <w:rsid w:val="005837B2"/>
    <w:pPr>
      <w:tabs>
        <w:tab w:val="center" w:pos="4680"/>
        <w:tab w:val="right" w:pos="9360"/>
      </w:tabs>
    </w:pPr>
  </w:style>
  <w:style w:type="character" w:customStyle="1" w:styleId="HeaderChar">
    <w:name w:val="Header Char"/>
    <w:basedOn w:val="DefaultParagraphFont"/>
    <w:link w:val="Header"/>
    <w:uiPriority w:val="99"/>
    <w:rsid w:val="005837B2"/>
    <w:rPr>
      <w:rFonts w:ascii="Times New Roman" w:hAnsi="Times New Roman" w:cs="Times New Roman"/>
      <w:sz w:val="24"/>
      <w:szCs w:val="24"/>
      <w:lang w:val="en-GB"/>
    </w:rPr>
  </w:style>
  <w:style w:type="paragraph" w:styleId="Footer">
    <w:name w:val="footer"/>
    <w:basedOn w:val="Normal"/>
    <w:link w:val="FooterChar"/>
    <w:uiPriority w:val="99"/>
    <w:rsid w:val="005837B2"/>
    <w:pPr>
      <w:tabs>
        <w:tab w:val="center" w:pos="4680"/>
        <w:tab w:val="right" w:pos="9360"/>
      </w:tabs>
    </w:pPr>
  </w:style>
  <w:style w:type="character" w:customStyle="1" w:styleId="FooterChar">
    <w:name w:val="Footer Char"/>
    <w:basedOn w:val="DefaultParagraphFont"/>
    <w:link w:val="Footer"/>
    <w:uiPriority w:val="99"/>
    <w:rsid w:val="005837B2"/>
    <w:rPr>
      <w:rFonts w:ascii="Times New Roman" w:hAnsi="Times New Roman" w:cs="Times New Roman"/>
      <w:sz w:val="24"/>
      <w:szCs w:val="24"/>
      <w:lang w:val="en-GB"/>
    </w:rPr>
  </w:style>
  <w:style w:type="paragraph" w:styleId="Revision">
    <w:name w:val="Revision"/>
    <w:hidden/>
    <w:uiPriority w:val="99"/>
    <w:rsid w:val="005837B2"/>
    <w:rPr>
      <w:rFonts w:ascii="Times New Roman" w:hAnsi="Times New Roman"/>
      <w:sz w:val="22"/>
      <w:szCs w:val="22"/>
      <w:lang w:val="en-GB" w:eastAsia="en-US"/>
    </w:rPr>
  </w:style>
  <w:style w:type="character" w:styleId="Strong">
    <w:name w:val="Strong"/>
    <w:basedOn w:val="DefaultParagraphFont"/>
    <w:uiPriority w:val="99"/>
    <w:qFormat/>
    <w:rsid w:val="005837B2"/>
    <w:rPr>
      <w:rFonts w:ascii="Times New Roman" w:hAnsi="Times New Roman" w:cs="Times New Roman"/>
      <w:b/>
      <w:bCs/>
    </w:rPr>
  </w:style>
  <w:style w:type="paragraph" w:styleId="BalloonText">
    <w:name w:val="Balloon Text"/>
    <w:basedOn w:val="Normal"/>
    <w:link w:val="BalloonTextChar"/>
    <w:uiPriority w:val="99"/>
    <w:rsid w:val="005837B2"/>
    <w:rPr>
      <w:rFonts w:ascii="Tahoma" w:hAnsi="Tahoma" w:cs="Tahoma"/>
      <w:sz w:val="16"/>
      <w:szCs w:val="16"/>
    </w:rPr>
  </w:style>
  <w:style w:type="character" w:customStyle="1" w:styleId="BalloonTextChar">
    <w:name w:val="Balloon Text Char"/>
    <w:basedOn w:val="DefaultParagraphFont"/>
    <w:link w:val="BalloonText"/>
    <w:uiPriority w:val="99"/>
    <w:rsid w:val="005837B2"/>
    <w:rPr>
      <w:rFonts w:ascii="Tahoma" w:hAnsi="Tahoma" w:cs="Tahoma"/>
      <w:sz w:val="16"/>
      <w:szCs w:val="16"/>
      <w:lang w:val="en-GB"/>
    </w:rPr>
  </w:style>
  <w:style w:type="table" w:styleId="TableGrid">
    <w:name w:val="Table Grid"/>
    <w:basedOn w:val="TableNormal"/>
    <w:uiPriority w:val="59"/>
    <w:rsid w:val="00200EDA"/>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61">
    <w:name w:val="Grid Table 3 - Accent 61"/>
    <w:basedOn w:val="TableNormal"/>
    <w:uiPriority w:val="48"/>
    <w:rsid w:val="00200EDA"/>
    <w:rPr>
      <w:rFonts w:eastAsia="Calibri"/>
      <w:lang w:val="fr-FR"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recommendations/wg2020-04/wg2020-04-rec-02-es.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cbd.int/doc/recommendations/wg2020-03/wg2020-03-rec-02-e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np-mop-03/np-mop-03-dec-12-es.pdf"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bd.int/doc/decisions/cop-14/cop-14-dec-20-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mptf.undp.org/fund/lns00" TargetMode="External"/><Relationship Id="rId3" Type="http://schemas.openxmlformats.org/officeDocument/2006/relationships/hyperlink" Target="https://www.cbd.int/doc/c/428d/017b/1b0c60b47af50c81a1a34d52/dsi-ahteg-2020-01-05-en.pdf" TargetMode="External"/><Relationship Id="rId7" Type="http://schemas.openxmlformats.org/officeDocument/2006/relationships/hyperlink" Target="https://www.cbd.int/doc/c/74e1/109e/924e4c8104c7b1d378ccf4c4/wg2020-03-04-es.pdf" TargetMode="External"/><Relationship Id="rId2" Type="http://schemas.openxmlformats.org/officeDocument/2006/relationships/hyperlink" Target="https://www.cbd.int/doc/c/1f8f/d793/57cb114ca40cb6468f479584/dsi-ahteg-2020-01-04-en.pdf" TargetMode="External"/><Relationship Id="rId1" Type="http://schemas.openxmlformats.org/officeDocument/2006/relationships/hyperlink" Target="https://www.cbd.int/doc/c/fef9/2f90/70f037ccc5da885dfb293e88/dsi-ahteg-2020-01-03-en.pdf" TargetMode="External"/><Relationship Id="rId6" Type="http://schemas.openxmlformats.org/officeDocument/2006/relationships/hyperlink" Target="https://www.cbd.int/doc/c/079d/1142/339a68fee2d22e95fb2b1c4c/wg2020-03-inf-08-en.pdf" TargetMode="External"/><Relationship Id="rId5" Type="http://schemas.openxmlformats.org/officeDocument/2006/relationships/hyperlink" Target="https://www.cbd.int/doc/c/74e1/109e/924e4c8104c7b1d378ccf4c4/wg2020-03-04-es.pdf" TargetMode="External"/><Relationship Id="rId4" Type="http://schemas.openxmlformats.org/officeDocument/2006/relationships/hyperlink" Target="https://www.cbd.int/doc/c/ba60/7272/3260b5e396821d42bc21035a/dsi-ahteg-2020-01-07-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3594</Words>
  <Characters>20492</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información digital Sobre secuencias de recursos genéticos</vt:lpstr>
    </vt:vector>
  </TitlesOfParts>
  <Company>Hewlett-Packard Company</Company>
  <LinksUpToDate>false</LinksUpToDate>
  <CharactersWithSpaces>24038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CBD/WG2020/5/3</dc:subject>
  <dc:creator>Charlotte  Germain-Aubrey</dc:creator>
  <cp:lastModifiedBy>Xue He Yan</cp:lastModifiedBy>
  <cp:revision>5</cp:revision>
  <cp:lastPrinted>2022-10-20T19:47:00Z</cp:lastPrinted>
  <dcterms:created xsi:type="dcterms:W3CDTF">2022-10-23T10:24:00Z</dcterms:created>
  <dcterms:modified xsi:type="dcterms:W3CDTF">2022-10-23T14:25:00Z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Language">
    <vt:lpwstr>English</vt:lpwstr>
  </property>
</Properties>
</file>