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Tr="00540797">
        <w:trPr>
          <w:trHeight w:val="709"/>
        </w:trPr>
        <w:tc>
          <w:tcPr>
            <w:tcW w:w="976" w:type="dxa"/>
            <w:tcBorders>
              <w:bottom w:val="single" w:sz="12" w:space="0" w:color="auto"/>
            </w:tcBorders>
          </w:tcPr>
          <w:p w:rsidR="00207A6E" w:rsidRDefault="00207A6E" w:rsidP="00540797">
            <w:r>
              <w:rPr>
                <w:noProof/>
                <w:lang w:val="en-CA" w:eastAsia="en-CA"/>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Default="00207A6E" w:rsidP="00540797">
            <w:r>
              <w:rPr>
                <w:noProof/>
                <w:lang w:val="en-CA" w:eastAsia="en-CA"/>
              </w:rPr>
              <w:drawing>
                <wp:inline distT="0" distB="0" distL="0" distR="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C9161D" w:rsidRDefault="00207A6E" w:rsidP="00540797">
            <w:pPr>
              <w:jc w:val="right"/>
              <w:rPr>
                <w:rFonts w:ascii="Arial" w:hAnsi="Arial" w:cs="Arial"/>
                <w:b/>
                <w:sz w:val="32"/>
                <w:szCs w:val="32"/>
              </w:rPr>
            </w:pPr>
            <w:r w:rsidRPr="00C9161D">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5440A6" w:rsidTr="009554D5">
        <w:trPr>
          <w:trHeight w:val="1693"/>
        </w:trPr>
        <w:tc>
          <w:tcPr>
            <w:tcW w:w="6227" w:type="dxa"/>
            <w:tcBorders>
              <w:top w:val="nil"/>
              <w:bottom w:val="single" w:sz="36" w:space="0" w:color="000000"/>
            </w:tcBorders>
          </w:tcPr>
          <w:p w:rsidR="00F16F02" w:rsidRPr="005440A6" w:rsidRDefault="00F16F02">
            <w:pPr>
              <w:rPr>
                <w:snapToGrid w:val="0"/>
                <w:kern w:val="22"/>
              </w:rPr>
            </w:pPr>
          </w:p>
          <w:p w:rsidR="00F16F02" w:rsidRPr="005440A6" w:rsidRDefault="00F16F02" w:rsidP="00736BC2">
            <w:pPr>
              <w:rPr>
                <w:snapToGrid w:val="0"/>
                <w:kern w:val="22"/>
              </w:rPr>
            </w:pPr>
            <w:r>
              <w:rPr>
                <w:noProof/>
                <w:kern w:val="22"/>
                <w:lang w:val="en-CA" w:eastAsia="en-CA"/>
              </w:rPr>
              <w:drawing>
                <wp:inline distT="0" distB="0" distL="0" distR="0">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5440A6" w:rsidRDefault="00F16F02">
            <w:pPr>
              <w:rPr>
                <w:rFonts w:ascii="Univers" w:hAnsi="Univers"/>
                <w:snapToGrid w:val="0"/>
                <w:kern w:val="22"/>
                <w:sz w:val="32"/>
              </w:rPr>
            </w:pPr>
          </w:p>
        </w:tc>
        <w:tc>
          <w:tcPr>
            <w:tcW w:w="1144" w:type="dxa"/>
            <w:tcBorders>
              <w:top w:val="nil"/>
              <w:bottom w:val="single" w:sz="36" w:space="0" w:color="000000"/>
            </w:tcBorders>
          </w:tcPr>
          <w:p w:rsidR="00F16F02" w:rsidRPr="005440A6"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rsidR="00F16F02" w:rsidRPr="00E7198A" w:rsidRDefault="00F16F02" w:rsidP="00B271A0">
            <w:pPr>
              <w:ind w:left="63"/>
              <w:rPr>
                <w:snapToGrid w:val="0"/>
                <w:kern w:val="22"/>
                <w:szCs w:val="22"/>
                <w:lang w:val="es-ES_tradnl"/>
              </w:rPr>
            </w:pPr>
            <w:r w:rsidRPr="00E7198A">
              <w:rPr>
                <w:snapToGrid w:val="0"/>
                <w:kern w:val="22"/>
                <w:szCs w:val="22"/>
                <w:lang w:val="es-ES_tradnl"/>
              </w:rPr>
              <w:t>Distr.</w:t>
            </w:r>
          </w:p>
          <w:p w:rsidR="00F16F02" w:rsidRPr="00E7198A" w:rsidRDefault="00F16F02" w:rsidP="00B271A0">
            <w:pPr>
              <w:ind w:left="63"/>
              <w:rPr>
                <w:snapToGrid w:val="0"/>
                <w:kern w:val="22"/>
                <w:szCs w:val="22"/>
                <w:lang w:val="es-ES_tradnl"/>
              </w:rPr>
            </w:pPr>
            <w:r w:rsidRPr="00E7198A">
              <w:rPr>
                <w:snapToGrid w:val="0"/>
                <w:kern w:val="22"/>
                <w:szCs w:val="22"/>
                <w:lang w:val="es-ES_tradnl"/>
              </w:rPr>
              <w:t>GENERAL</w:t>
            </w:r>
          </w:p>
          <w:p w:rsidR="00F16F02" w:rsidRPr="00E7198A" w:rsidRDefault="00F16F02" w:rsidP="00B271A0">
            <w:pPr>
              <w:ind w:left="63"/>
              <w:rPr>
                <w:snapToGrid w:val="0"/>
                <w:kern w:val="22"/>
                <w:szCs w:val="22"/>
                <w:lang w:val="es-ES_tradnl"/>
              </w:rPr>
            </w:pPr>
          </w:p>
          <w:sdt>
            <w:sdtPr>
              <w:rPr>
                <w:snapToGrid w:val="0"/>
                <w:kern w:val="22"/>
                <w:szCs w:val="22"/>
                <w:lang w:val="es-ES_tradnl"/>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rsidR="00F16F02" w:rsidRPr="00E7198A" w:rsidRDefault="00A85291" w:rsidP="00B271A0">
                <w:pPr>
                  <w:ind w:left="63"/>
                  <w:rPr>
                    <w:snapToGrid w:val="0"/>
                    <w:kern w:val="22"/>
                    <w:szCs w:val="22"/>
                    <w:lang w:val="es-ES_tradnl"/>
                  </w:rPr>
                </w:pPr>
                <w:r w:rsidRPr="00E7198A">
                  <w:rPr>
                    <w:snapToGrid w:val="0"/>
                    <w:kern w:val="22"/>
                    <w:szCs w:val="22"/>
                    <w:lang w:val="es-ES_tradnl"/>
                  </w:rPr>
                  <w:t>CBD/SBSTTA/22/INF/10</w:t>
                </w:r>
              </w:p>
            </w:sdtContent>
          </w:sdt>
          <w:p w:rsidR="00F16F02" w:rsidRPr="00E7198A" w:rsidRDefault="00E7198A" w:rsidP="00D44ACC">
            <w:pPr>
              <w:ind w:left="63"/>
              <w:rPr>
                <w:snapToGrid w:val="0"/>
                <w:kern w:val="22"/>
                <w:szCs w:val="22"/>
              </w:rPr>
            </w:pPr>
            <w:r w:rsidRPr="00E7198A">
              <w:rPr>
                <w:snapToGrid w:val="0"/>
                <w:kern w:val="22"/>
                <w:szCs w:val="22"/>
              </w:rPr>
              <w:t>18</w:t>
            </w:r>
            <w:r w:rsidR="00D15589" w:rsidRPr="00E7198A">
              <w:rPr>
                <w:snapToGrid w:val="0"/>
                <w:kern w:val="22"/>
                <w:szCs w:val="22"/>
              </w:rPr>
              <w:t xml:space="preserve"> </w:t>
            </w:r>
            <w:r w:rsidRPr="00E7198A">
              <w:rPr>
                <w:snapToGrid w:val="0"/>
                <w:kern w:val="22"/>
                <w:szCs w:val="22"/>
              </w:rPr>
              <w:t>May</w:t>
            </w:r>
            <w:r w:rsidR="00277C97" w:rsidRPr="00E7198A">
              <w:rPr>
                <w:snapToGrid w:val="0"/>
                <w:kern w:val="22"/>
                <w:szCs w:val="22"/>
              </w:rPr>
              <w:t xml:space="preserve"> </w:t>
            </w:r>
            <w:r w:rsidR="00D15589" w:rsidRPr="00E7198A">
              <w:rPr>
                <w:snapToGrid w:val="0"/>
                <w:kern w:val="22"/>
                <w:szCs w:val="22"/>
              </w:rPr>
              <w:t>2018</w:t>
            </w:r>
          </w:p>
          <w:p w:rsidR="00F16F02" w:rsidRPr="00E7198A" w:rsidRDefault="00F16F02" w:rsidP="00B271A0">
            <w:pPr>
              <w:ind w:left="63"/>
              <w:rPr>
                <w:snapToGrid w:val="0"/>
                <w:kern w:val="22"/>
                <w:szCs w:val="22"/>
              </w:rPr>
            </w:pPr>
          </w:p>
          <w:p w:rsidR="00F16F02" w:rsidRPr="00E7198A" w:rsidRDefault="00F16F02" w:rsidP="00B271A0">
            <w:pPr>
              <w:ind w:left="63"/>
              <w:rPr>
                <w:snapToGrid w:val="0"/>
                <w:color w:val="FF0000"/>
                <w:kern w:val="22"/>
                <w:szCs w:val="22"/>
                <w:u w:val="single"/>
              </w:rPr>
            </w:pPr>
            <w:r w:rsidRPr="00E7198A">
              <w:rPr>
                <w:snapToGrid w:val="0"/>
                <w:kern w:val="22"/>
                <w:szCs w:val="22"/>
              </w:rPr>
              <w:t>ENGLISH</w:t>
            </w:r>
            <w:r w:rsidR="003D295C">
              <w:rPr>
                <w:snapToGrid w:val="0"/>
                <w:kern w:val="22"/>
                <w:szCs w:val="22"/>
              </w:rPr>
              <w:t xml:space="preserve"> ONLY</w:t>
            </w:r>
          </w:p>
        </w:tc>
      </w:tr>
    </w:tbl>
    <w:bookmarkStart w:id="0" w:name="Meeting"/>
    <w:p w:rsidR="00CA6B87" w:rsidRPr="005440A6" w:rsidRDefault="00344C8C" w:rsidP="00D51069">
      <w:pPr>
        <w:pStyle w:val="meetingname"/>
        <w:ind w:right="4398"/>
        <w:rPr>
          <w:kern w:val="22"/>
          <w:szCs w:val="22"/>
        </w:rPr>
      </w:pPr>
      <w:sdt>
        <w:sdtPr>
          <w:alias w:val="Meeting"/>
          <w:tag w:val="Meeting"/>
          <w:id w:val="1412045910"/>
          <w:placeholder>
            <w:docPart w:val="DefaultPlaceholder_1082065158"/>
          </w:placeholder>
          <w:text/>
        </w:sdtPr>
        <w:sdtContent>
          <w:r w:rsidR="00D51069">
            <w:t>SUBSIDIARY BODY ON SCIENTIFIC, TECHNICAL AND TECHNOLOGICAL ADVICE</w:t>
          </w:r>
        </w:sdtContent>
      </w:sdt>
      <w:bookmarkEnd w:id="0"/>
    </w:p>
    <w:p w:rsidR="00D51069" w:rsidRDefault="00D51069" w:rsidP="00CA6B87">
      <w:pPr>
        <w:rPr>
          <w:snapToGrid w:val="0"/>
          <w:kern w:val="22"/>
          <w:szCs w:val="22"/>
          <w:lang w:eastAsia="nb-NO"/>
        </w:rPr>
      </w:pPr>
      <w:r>
        <w:rPr>
          <w:snapToGrid w:val="0"/>
          <w:kern w:val="22"/>
          <w:szCs w:val="22"/>
          <w:lang w:eastAsia="nb-NO"/>
        </w:rPr>
        <w:t>Twenty-</w:t>
      </w:r>
      <w:r w:rsidR="00FB3B70">
        <w:rPr>
          <w:snapToGrid w:val="0"/>
          <w:kern w:val="22"/>
          <w:szCs w:val="22"/>
          <w:lang w:eastAsia="nb-NO"/>
        </w:rPr>
        <w:t>second</w:t>
      </w:r>
      <w:r>
        <w:rPr>
          <w:snapToGrid w:val="0"/>
          <w:kern w:val="22"/>
          <w:szCs w:val="22"/>
          <w:lang w:eastAsia="nb-NO"/>
        </w:rPr>
        <w:t xml:space="preserve"> meeting</w:t>
      </w:r>
    </w:p>
    <w:p w:rsidR="00CA6B87" w:rsidRPr="005440A6" w:rsidRDefault="00D51069" w:rsidP="00CA6B87">
      <w:pPr>
        <w:rPr>
          <w:snapToGrid w:val="0"/>
          <w:kern w:val="22"/>
          <w:szCs w:val="22"/>
          <w:lang w:eastAsia="nb-NO"/>
        </w:rPr>
      </w:pPr>
      <w:r>
        <w:rPr>
          <w:snapToGrid w:val="0"/>
          <w:kern w:val="22"/>
          <w:szCs w:val="22"/>
          <w:lang w:eastAsia="nb-NO"/>
        </w:rPr>
        <w:t>Montreal</w:t>
      </w:r>
      <w:r w:rsidR="00CA6B87" w:rsidRPr="005440A6">
        <w:rPr>
          <w:snapToGrid w:val="0"/>
          <w:kern w:val="22"/>
          <w:szCs w:val="22"/>
          <w:lang w:eastAsia="nb-NO"/>
        </w:rPr>
        <w:t xml:space="preserve">, </w:t>
      </w:r>
      <w:r>
        <w:rPr>
          <w:snapToGrid w:val="0"/>
          <w:kern w:val="22"/>
          <w:szCs w:val="22"/>
          <w:lang w:eastAsia="nb-NO"/>
        </w:rPr>
        <w:t xml:space="preserve">Canada, </w:t>
      </w:r>
      <w:r w:rsidR="00D15589">
        <w:rPr>
          <w:snapToGrid w:val="0"/>
          <w:kern w:val="22"/>
          <w:szCs w:val="22"/>
          <w:lang w:eastAsia="nb-NO"/>
        </w:rPr>
        <w:t>2-7 July 2018</w:t>
      </w:r>
    </w:p>
    <w:p w:rsidR="00CA6B87" w:rsidRPr="005440A6" w:rsidRDefault="00D51069" w:rsidP="00CA6B87">
      <w:pPr>
        <w:rPr>
          <w:snapToGrid w:val="0"/>
          <w:kern w:val="22"/>
          <w:szCs w:val="22"/>
          <w:lang w:eastAsia="nb-NO"/>
        </w:rPr>
      </w:pPr>
      <w:r>
        <w:rPr>
          <w:snapToGrid w:val="0"/>
          <w:kern w:val="22"/>
          <w:szCs w:val="22"/>
          <w:lang w:eastAsia="nb-NO"/>
        </w:rPr>
        <w:t>I</w:t>
      </w:r>
      <w:r w:rsidR="00CA6B87" w:rsidRPr="005440A6">
        <w:rPr>
          <w:snapToGrid w:val="0"/>
          <w:kern w:val="22"/>
          <w:szCs w:val="22"/>
          <w:lang w:eastAsia="nb-NO"/>
        </w:rPr>
        <w:t xml:space="preserve">tem </w:t>
      </w:r>
      <w:r w:rsidR="00540797">
        <w:rPr>
          <w:snapToGrid w:val="0"/>
          <w:kern w:val="22"/>
          <w:szCs w:val="22"/>
          <w:lang w:eastAsia="nb-NO"/>
        </w:rPr>
        <w:t>6</w:t>
      </w:r>
      <w:r>
        <w:rPr>
          <w:snapToGrid w:val="0"/>
          <w:kern w:val="22"/>
          <w:szCs w:val="22"/>
          <w:lang w:eastAsia="nb-NO"/>
        </w:rPr>
        <w:t xml:space="preserve"> of the provisional agenda</w:t>
      </w:r>
      <w:r w:rsidRPr="00CA1572">
        <w:rPr>
          <w:rStyle w:val="FootnoteReference"/>
          <w:snapToGrid w:val="0"/>
          <w:kern w:val="22"/>
          <w:szCs w:val="22"/>
          <w:lang w:eastAsia="nb-NO"/>
        </w:rPr>
        <w:footnoteReference w:customMarkFollows="1" w:id="1"/>
        <w:t>*</w:t>
      </w:r>
    </w:p>
    <w:p w:rsidR="00406BC6" w:rsidRDefault="009D2F92" w:rsidP="00516C26">
      <w:pPr>
        <w:pStyle w:val="Heading1"/>
        <w:rPr>
          <w:snapToGrid w:val="0"/>
          <w:lang w:val="en-US"/>
        </w:rPr>
      </w:pPr>
      <w:r>
        <w:rPr>
          <w:snapToGrid w:val="0"/>
        </w:rPr>
        <w:tab/>
      </w:r>
      <w:sdt>
        <w:sdtPr>
          <w:rPr>
            <w:snapToGrid w:val="0"/>
            <w:lang w:val="en-U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Content>
          <w:r w:rsidR="00170F8F">
            <w:rPr>
              <w:snapToGrid w:val="0"/>
              <w:lang w:val="en-US"/>
            </w:rPr>
            <w:t>Updated scientific assessment of progress towards selected Aichi Biodiversity Targets and options to accelerate progress</w:t>
          </w:r>
        </w:sdtContent>
      </w:sdt>
    </w:p>
    <w:p w:rsidR="00540797" w:rsidRPr="00540797" w:rsidRDefault="00C85EA4" w:rsidP="00540797">
      <w:pPr>
        <w:pStyle w:val="Heading2"/>
        <w:rPr>
          <w:b w:val="0"/>
          <w:i/>
          <w:lang w:val="en-US"/>
        </w:rPr>
      </w:pPr>
      <w:r w:rsidRPr="00C85EA4">
        <w:rPr>
          <w:b w:val="0"/>
          <w:i/>
          <w:lang w:val="en-US"/>
        </w:rPr>
        <w:t>Note by the Executive Secretary</w:t>
      </w:r>
    </w:p>
    <w:p w:rsidR="00540797" w:rsidRPr="009D551E" w:rsidRDefault="00540797" w:rsidP="003D295C">
      <w:pPr>
        <w:pStyle w:val="Heading1"/>
      </w:pPr>
      <w:r w:rsidRPr="009D551E">
        <w:t xml:space="preserve">I. </w:t>
      </w:r>
      <w:r w:rsidR="003D295C">
        <w:tab/>
      </w:r>
      <w:r w:rsidRPr="009D551E">
        <w:t>Background</w:t>
      </w:r>
    </w:p>
    <w:p w:rsidR="009D551E" w:rsidRPr="009D551E" w:rsidRDefault="009D551E" w:rsidP="004B63C3">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 xml:space="preserve">In decision </w:t>
      </w:r>
      <w:hyperlink r:id="rId11" w:history="1">
        <w:r w:rsidRPr="003D295C">
          <w:rPr>
            <w:rStyle w:val="Hyperlink"/>
            <w:rFonts w:asciiTheme="majorBidi" w:hAnsiTheme="majorBidi" w:cstheme="majorBidi"/>
            <w:szCs w:val="22"/>
          </w:rPr>
          <w:t>XII/1</w:t>
        </w:r>
      </w:hyperlink>
      <w:r w:rsidR="00367963">
        <w:rPr>
          <w:rFonts w:asciiTheme="majorBidi" w:hAnsiTheme="majorBidi" w:cstheme="majorBidi"/>
          <w:szCs w:val="22"/>
        </w:rPr>
        <w:t>,</w:t>
      </w:r>
      <w:r w:rsidRPr="009D551E">
        <w:rPr>
          <w:rFonts w:asciiTheme="majorBidi" w:hAnsiTheme="majorBidi" w:cstheme="majorBidi"/>
          <w:szCs w:val="22"/>
        </w:rPr>
        <w:t xml:space="preserve"> the Conference of the Parties welcomed the fourth edition of the </w:t>
      </w:r>
      <w:r w:rsidRPr="00344C8C">
        <w:rPr>
          <w:rFonts w:asciiTheme="majorBidi" w:hAnsiTheme="majorBidi" w:cstheme="majorBidi"/>
          <w:i/>
          <w:szCs w:val="22"/>
        </w:rPr>
        <w:t>Global Biodiversity Outlook</w:t>
      </w:r>
      <w:r w:rsidRPr="009D551E">
        <w:rPr>
          <w:rFonts w:asciiTheme="majorBidi" w:hAnsiTheme="majorBidi" w:cstheme="majorBidi"/>
          <w:szCs w:val="22"/>
        </w:rPr>
        <w:t xml:space="preserve"> </w:t>
      </w:r>
      <w:r w:rsidR="00367963">
        <w:rPr>
          <w:rFonts w:asciiTheme="majorBidi" w:hAnsiTheme="majorBidi" w:cstheme="majorBidi"/>
          <w:szCs w:val="22"/>
        </w:rPr>
        <w:t xml:space="preserve">(GBO-4) </w:t>
      </w:r>
      <w:r w:rsidRPr="009D551E">
        <w:rPr>
          <w:rFonts w:asciiTheme="majorBidi" w:hAnsiTheme="majorBidi" w:cstheme="majorBidi"/>
          <w:szCs w:val="22"/>
        </w:rPr>
        <w:t>and recognized that</w:t>
      </w:r>
      <w:r w:rsidR="00367963">
        <w:rPr>
          <w:rFonts w:asciiTheme="majorBidi" w:hAnsiTheme="majorBidi" w:cstheme="majorBidi"/>
          <w:szCs w:val="22"/>
        </w:rPr>
        <w:t>,</w:t>
      </w:r>
      <w:r w:rsidRPr="009D551E">
        <w:rPr>
          <w:rFonts w:asciiTheme="majorBidi" w:hAnsiTheme="majorBidi" w:cstheme="majorBidi"/>
          <w:szCs w:val="22"/>
        </w:rPr>
        <w:t xml:space="preserve"> </w:t>
      </w:r>
      <w:r w:rsidR="00367963">
        <w:rPr>
          <w:rFonts w:asciiTheme="majorBidi" w:hAnsiTheme="majorBidi" w:cstheme="majorBidi"/>
          <w:szCs w:val="22"/>
        </w:rPr>
        <w:t xml:space="preserve">while </w:t>
      </w:r>
      <w:r w:rsidRPr="009D551E">
        <w:rPr>
          <w:rFonts w:asciiTheme="majorBidi" w:hAnsiTheme="majorBidi" w:cstheme="majorBidi"/>
          <w:szCs w:val="22"/>
        </w:rPr>
        <w:t>there had been encouraging progress towards meeting some elements of most Aichi Biodiversity Targets</w:t>
      </w:r>
      <w:r w:rsidR="00367963">
        <w:rPr>
          <w:rFonts w:asciiTheme="majorBidi" w:hAnsiTheme="majorBidi" w:cstheme="majorBidi"/>
          <w:szCs w:val="22"/>
        </w:rPr>
        <w:t>,</w:t>
      </w:r>
      <w:r w:rsidRPr="009D551E">
        <w:rPr>
          <w:rFonts w:asciiTheme="majorBidi" w:hAnsiTheme="majorBidi" w:cstheme="majorBidi"/>
          <w:szCs w:val="22"/>
        </w:rPr>
        <w:t xml:space="preserve"> in most cases, the progress </w:t>
      </w:r>
      <w:r w:rsidR="004B63C3">
        <w:rPr>
          <w:rFonts w:asciiTheme="majorBidi" w:hAnsiTheme="majorBidi" w:cstheme="majorBidi"/>
          <w:szCs w:val="22"/>
        </w:rPr>
        <w:t>would</w:t>
      </w:r>
      <w:r w:rsidRPr="009D551E">
        <w:rPr>
          <w:rFonts w:asciiTheme="majorBidi" w:hAnsiTheme="majorBidi" w:cstheme="majorBidi"/>
          <w:szCs w:val="22"/>
        </w:rPr>
        <w:t xml:space="preserve"> not be sufficient to achieve the targets unless further </w:t>
      </w:r>
      <w:bookmarkStart w:id="1" w:name="_GoBack"/>
      <w:bookmarkEnd w:id="1"/>
      <w:r w:rsidRPr="009D551E">
        <w:rPr>
          <w:rFonts w:asciiTheme="majorBidi" w:hAnsiTheme="majorBidi" w:cstheme="majorBidi"/>
          <w:szCs w:val="22"/>
        </w:rPr>
        <w:t xml:space="preserve">urgent and effective action </w:t>
      </w:r>
      <w:r w:rsidR="004B63C3">
        <w:rPr>
          <w:rFonts w:asciiTheme="majorBidi" w:hAnsiTheme="majorBidi" w:cstheme="majorBidi"/>
          <w:szCs w:val="22"/>
        </w:rPr>
        <w:t>was</w:t>
      </w:r>
      <w:r w:rsidRPr="009D551E">
        <w:rPr>
          <w:rFonts w:asciiTheme="majorBidi" w:hAnsiTheme="majorBidi" w:cstheme="majorBidi"/>
          <w:szCs w:val="22"/>
        </w:rPr>
        <w:t xml:space="preserve"> taken to reduce the pressures on biodiversity and prevent its continued decline. </w:t>
      </w:r>
    </w:p>
    <w:p w:rsidR="009D551E" w:rsidRPr="009D551E" w:rsidRDefault="009D551E" w:rsidP="004B63C3">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 xml:space="preserve">In decision </w:t>
      </w:r>
      <w:hyperlink r:id="rId12" w:history="1">
        <w:r w:rsidRPr="003D295C">
          <w:rPr>
            <w:rStyle w:val="Hyperlink"/>
            <w:rFonts w:asciiTheme="majorBidi" w:hAnsiTheme="majorBidi" w:cstheme="majorBidi"/>
            <w:szCs w:val="22"/>
          </w:rPr>
          <w:t>XIII/30</w:t>
        </w:r>
      </w:hyperlink>
      <w:r w:rsidR="00367963">
        <w:rPr>
          <w:rFonts w:asciiTheme="majorBidi" w:hAnsiTheme="majorBidi" w:cstheme="majorBidi"/>
          <w:szCs w:val="22"/>
        </w:rPr>
        <w:t>,</w:t>
      </w:r>
      <w:r w:rsidRPr="009D551E">
        <w:rPr>
          <w:rFonts w:asciiTheme="majorBidi" w:hAnsiTheme="majorBidi" w:cstheme="majorBidi"/>
          <w:szCs w:val="22"/>
        </w:rPr>
        <w:t xml:space="preserve"> the Conference of the Parties requested the Executive Secretary, subject to the availability of resources, to prepare, in collaboration with members of the Biodiversity Indicators Partnership and other relevant partners, for the consideration of the Subsidiary Body on Scientific, Technical and Technological Advice at a meeting held prior to the fourteenth meeting of the Conference of the Parties, updated scientific assessments of progress towards </w:t>
      </w:r>
      <w:r w:rsidR="004B63C3">
        <w:rPr>
          <w:rFonts w:asciiTheme="majorBidi" w:hAnsiTheme="majorBidi" w:cstheme="majorBidi"/>
          <w:szCs w:val="22"/>
        </w:rPr>
        <w:t xml:space="preserve">the </w:t>
      </w:r>
      <w:r w:rsidRPr="009D551E">
        <w:rPr>
          <w:rFonts w:asciiTheme="majorBidi" w:hAnsiTheme="majorBidi" w:cstheme="majorBidi"/>
          <w:szCs w:val="22"/>
        </w:rPr>
        <w:t>Aichi Biodiversity Targets, focusing in particular on those targets on which the least progress ha</w:t>
      </w:r>
      <w:r w:rsidR="004B63C3">
        <w:rPr>
          <w:rFonts w:asciiTheme="majorBidi" w:hAnsiTheme="majorBidi" w:cstheme="majorBidi"/>
          <w:szCs w:val="22"/>
        </w:rPr>
        <w:t>d</w:t>
      </w:r>
      <w:r w:rsidRPr="009D551E">
        <w:rPr>
          <w:rFonts w:asciiTheme="majorBidi" w:hAnsiTheme="majorBidi" w:cstheme="majorBidi"/>
          <w:szCs w:val="22"/>
        </w:rPr>
        <w:t xml:space="preserve"> been made and making use of available data and the indicators contained in the annex to decision </w:t>
      </w:r>
      <w:hyperlink r:id="rId13" w:history="1">
        <w:r w:rsidRPr="003D295C">
          <w:rPr>
            <w:rStyle w:val="Hyperlink"/>
            <w:rFonts w:asciiTheme="majorBidi" w:hAnsiTheme="majorBidi" w:cstheme="majorBidi"/>
            <w:szCs w:val="22"/>
          </w:rPr>
          <w:t>XIII/28</w:t>
        </w:r>
      </w:hyperlink>
      <w:r w:rsidRPr="009D551E">
        <w:rPr>
          <w:rFonts w:asciiTheme="majorBidi" w:hAnsiTheme="majorBidi" w:cstheme="majorBidi"/>
          <w:szCs w:val="22"/>
        </w:rPr>
        <w:t xml:space="preserve">, as appropriate, as well as other information sources used for </w:t>
      </w:r>
      <w:r w:rsidR="00E31A5E">
        <w:rPr>
          <w:rFonts w:asciiTheme="majorBidi" w:hAnsiTheme="majorBidi" w:cstheme="majorBidi"/>
          <w:szCs w:val="22"/>
        </w:rPr>
        <w:t xml:space="preserve">GBO-4. </w:t>
      </w:r>
      <w:r w:rsidRPr="009D551E">
        <w:rPr>
          <w:rFonts w:asciiTheme="majorBidi" w:hAnsiTheme="majorBidi" w:cstheme="majorBidi"/>
          <w:szCs w:val="22"/>
        </w:rPr>
        <w:t>In the same decision</w:t>
      </w:r>
      <w:r w:rsidR="00367963">
        <w:rPr>
          <w:rFonts w:asciiTheme="majorBidi" w:hAnsiTheme="majorBidi" w:cstheme="majorBidi"/>
          <w:szCs w:val="22"/>
        </w:rPr>
        <w:t>,</w:t>
      </w:r>
      <w:r w:rsidRPr="009D551E">
        <w:rPr>
          <w:rFonts w:asciiTheme="majorBidi" w:hAnsiTheme="majorBidi" w:cstheme="majorBidi"/>
          <w:szCs w:val="22"/>
        </w:rPr>
        <w:t xml:space="preserve"> the Executive Secretary was requested to develop options to accelerate progress towards the achievement of those targets which have been identified as the least advanced. In light of these request</w:t>
      </w:r>
      <w:r w:rsidR="00367963">
        <w:rPr>
          <w:rFonts w:asciiTheme="majorBidi" w:hAnsiTheme="majorBidi" w:cstheme="majorBidi"/>
          <w:szCs w:val="22"/>
        </w:rPr>
        <w:t>s,</w:t>
      </w:r>
      <w:r w:rsidRPr="009D551E">
        <w:rPr>
          <w:rFonts w:asciiTheme="majorBidi" w:hAnsiTheme="majorBidi" w:cstheme="majorBidi"/>
          <w:szCs w:val="22"/>
        </w:rPr>
        <w:t xml:space="preserve"> th</w:t>
      </w:r>
      <w:r w:rsidR="00367963">
        <w:rPr>
          <w:rFonts w:asciiTheme="majorBidi" w:hAnsiTheme="majorBidi" w:cstheme="majorBidi"/>
          <w:szCs w:val="22"/>
        </w:rPr>
        <w:t xml:space="preserve">is note </w:t>
      </w:r>
      <w:r w:rsidRPr="009D551E">
        <w:rPr>
          <w:rFonts w:asciiTheme="majorBidi" w:hAnsiTheme="majorBidi" w:cstheme="majorBidi"/>
          <w:szCs w:val="22"/>
        </w:rPr>
        <w:t xml:space="preserve">has been prepared. </w:t>
      </w:r>
    </w:p>
    <w:p w:rsidR="009D551E" w:rsidRPr="009368CB" w:rsidRDefault="009D551E" w:rsidP="004B63C3">
      <w:pPr>
        <w:pStyle w:val="Para1"/>
        <w:tabs>
          <w:tab w:val="clear" w:pos="360"/>
          <w:tab w:val="num" w:pos="567"/>
          <w:tab w:val="num" w:pos="3150"/>
        </w:tabs>
        <w:rPr>
          <w:rFonts w:asciiTheme="majorBidi" w:hAnsiTheme="majorBidi" w:cstheme="majorBidi"/>
          <w:szCs w:val="22"/>
        </w:rPr>
      </w:pPr>
      <w:r w:rsidRPr="009368CB">
        <w:rPr>
          <w:rFonts w:asciiTheme="majorBidi" w:hAnsiTheme="majorBidi" w:cstheme="majorBidi"/>
          <w:szCs w:val="22"/>
        </w:rPr>
        <w:t>The mid-term term assessment of progress towards the attainment of the Aichi Biodiversity Targets con</w:t>
      </w:r>
      <w:r w:rsidR="00BF3DC8">
        <w:rPr>
          <w:rFonts w:asciiTheme="majorBidi" w:hAnsiTheme="majorBidi" w:cstheme="majorBidi"/>
          <w:szCs w:val="22"/>
        </w:rPr>
        <w:t xml:space="preserve">tained in GBO-4 concluded that, with the exception of Target 16 on the Nagoya Protocol, no target was on track to be met. </w:t>
      </w:r>
      <w:r w:rsidR="00BF3DC8">
        <w:rPr>
          <w:rFonts w:asciiTheme="majorBidi" w:hAnsiTheme="majorBidi" w:cstheme="majorBidi"/>
          <w:szCs w:val="22"/>
          <w:lang w:val="en-CA"/>
        </w:rPr>
        <w:t xml:space="preserve">In GBO-4, seven targets (1, 7, 11, 17, 18, 19 and 20) were assessed as having at least one element on which progress was being made, but at a rate that would not allow the targets to be reached by the deadline. </w:t>
      </w:r>
      <w:r w:rsidR="00BF3DC8">
        <w:rPr>
          <w:rFonts w:asciiTheme="majorBidi" w:hAnsiTheme="majorBidi" w:cstheme="majorBidi"/>
          <w:szCs w:val="22"/>
        </w:rPr>
        <w:t xml:space="preserve">Seven targets (2, 3, 4, 6, 9, 13 and 15) were assessed as having at least one element </w:t>
      </w:r>
      <w:r w:rsidR="009368CB">
        <w:rPr>
          <w:rFonts w:asciiTheme="majorBidi" w:hAnsiTheme="majorBidi" w:cstheme="majorBidi"/>
          <w:szCs w:val="22"/>
        </w:rPr>
        <w:t xml:space="preserve">on which </w:t>
      </w:r>
      <w:r w:rsidRPr="009368CB">
        <w:rPr>
          <w:rFonts w:asciiTheme="majorBidi" w:hAnsiTheme="majorBidi" w:cstheme="majorBidi"/>
          <w:szCs w:val="22"/>
          <w:lang w:val="en-CA"/>
        </w:rPr>
        <w:t xml:space="preserve">no significant overall progress </w:t>
      </w:r>
      <w:r w:rsidR="009368CB">
        <w:rPr>
          <w:rFonts w:asciiTheme="majorBidi" w:hAnsiTheme="majorBidi" w:cstheme="majorBidi"/>
          <w:szCs w:val="22"/>
          <w:lang w:val="en-CA"/>
        </w:rPr>
        <w:t xml:space="preserve">was being made, </w:t>
      </w:r>
      <w:r w:rsidRPr="009368CB">
        <w:rPr>
          <w:rFonts w:asciiTheme="majorBidi" w:hAnsiTheme="majorBidi" w:cstheme="majorBidi"/>
          <w:szCs w:val="22"/>
          <w:lang w:val="en-CA"/>
        </w:rPr>
        <w:t xml:space="preserve">and a further 5 targets (5, 8, 10, 12 and 14) had at least one element which was assessed as moving away from the target. Given the overall limited progress </w:t>
      </w:r>
      <w:r w:rsidR="009368CB">
        <w:rPr>
          <w:rFonts w:asciiTheme="majorBidi" w:hAnsiTheme="majorBidi" w:cstheme="majorBidi"/>
          <w:szCs w:val="22"/>
          <w:lang w:val="en-CA"/>
        </w:rPr>
        <w:t xml:space="preserve">realized </w:t>
      </w:r>
      <w:r w:rsidRPr="009368CB">
        <w:rPr>
          <w:rFonts w:asciiTheme="majorBidi" w:hAnsiTheme="majorBidi" w:cstheme="majorBidi"/>
          <w:szCs w:val="22"/>
          <w:lang w:val="en-CA"/>
        </w:rPr>
        <w:t>towards the achievement of the Aichi Biodiversity Targets</w:t>
      </w:r>
      <w:r w:rsidR="00E31A5E" w:rsidRPr="009368CB">
        <w:rPr>
          <w:rFonts w:asciiTheme="majorBidi" w:hAnsiTheme="majorBidi" w:cstheme="majorBidi"/>
          <w:szCs w:val="22"/>
          <w:lang w:val="en-CA"/>
        </w:rPr>
        <w:t>,</w:t>
      </w:r>
      <w:r w:rsidRPr="009368CB">
        <w:rPr>
          <w:rFonts w:asciiTheme="majorBidi" w:hAnsiTheme="majorBidi" w:cstheme="majorBidi"/>
          <w:szCs w:val="22"/>
          <w:lang w:val="en-CA"/>
        </w:rPr>
        <w:t xml:space="preserve"> this </w:t>
      </w:r>
      <w:r w:rsidR="004B63C3" w:rsidRPr="009368CB">
        <w:rPr>
          <w:rFonts w:asciiTheme="majorBidi" w:hAnsiTheme="majorBidi" w:cstheme="majorBidi"/>
          <w:szCs w:val="22"/>
          <w:lang w:val="en-CA"/>
        </w:rPr>
        <w:t>note</w:t>
      </w:r>
      <w:r w:rsidRPr="009368CB">
        <w:rPr>
          <w:rFonts w:asciiTheme="majorBidi" w:hAnsiTheme="majorBidi" w:cstheme="majorBidi"/>
          <w:szCs w:val="22"/>
          <w:lang w:val="en-CA"/>
        </w:rPr>
        <w:t xml:space="preserve"> addresses all 20 targets.</w:t>
      </w:r>
    </w:p>
    <w:p w:rsidR="009D551E" w:rsidRPr="009D551E" w:rsidRDefault="003D295C" w:rsidP="00380AE4">
      <w:pPr>
        <w:pStyle w:val="Para1"/>
        <w:tabs>
          <w:tab w:val="clear" w:pos="360"/>
          <w:tab w:val="num" w:pos="567"/>
          <w:tab w:val="num" w:pos="3150"/>
        </w:tabs>
        <w:rPr>
          <w:rFonts w:asciiTheme="majorBidi" w:hAnsiTheme="majorBidi" w:cstheme="majorBidi"/>
          <w:szCs w:val="22"/>
        </w:rPr>
      </w:pPr>
      <w:proofErr w:type="gramStart"/>
      <w:r>
        <w:rPr>
          <w:rFonts w:asciiTheme="majorBidi" w:hAnsiTheme="majorBidi" w:cstheme="majorBidi"/>
          <w:szCs w:val="22"/>
        </w:rPr>
        <w:t>In order to</w:t>
      </w:r>
      <w:proofErr w:type="gramEnd"/>
      <w:r>
        <w:rPr>
          <w:rFonts w:asciiTheme="majorBidi" w:hAnsiTheme="majorBidi" w:cstheme="majorBidi"/>
          <w:szCs w:val="22"/>
        </w:rPr>
        <w:t xml:space="preserve"> prepare the present</w:t>
      </w:r>
      <w:r w:rsidR="009D551E" w:rsidRPr="009D551E">
        <w:rPr>
          <w:rFonts w:asciiTheme="majorBidi" w:hAnsiTheme="majorBidi" w:cstheme="majorBidi"/>
          <w:szCs w:val="22"/>
        </w:rPr>
        <w:t xml:space="preserve"> note</w:t>
      </w:r>
      <w:r w:rsidR="009368CB">
        <w:rPr>
          <w:rFonts w:asciiTheme="majorBidi" w:hAnsiTheme="majorBidi" w:cstheme="majorBidi"/>
          <w:szCs w:val="22"/>
        </w:rPr>
        <w:t>,</w:t>
      </w:r>
      <w:r w:rsidR="009D551E" w:rsidRPr="009D551E">
        <w:rPr>
          <w:rFonts w:asciiTheme="majorBidi" w:hAnsiTheme="majorBidi" w:cstheme="majorBidi"/>
          <w:szCs w:val="22"/>
        </w:rPr>
        <w:t xml:space="preserve"> scientific literature, primarily from peer</w:t>
      </w:r>
      <w:r w:rsidR="009368CB">
        <w:rPr>
          <w:rFonts w:asciiTheme="majorBidi" w:hAnsiTheme="majorBidi" w:cstheme="majorBidi"/>
          <w:szCs w:val="22"/>
        </w:rPr>
        <w:t>-</w:t>
      </w:r>
      <w:r w:rsidR="009D551E" w:rsidRPr="009D551E">
        <w:rPr>
          <w:rFonts w:asciiTheme="majorBidi" w:hAnsiTheme="majorBidi" w:cstheme="majorBidi"/>
          <w:szCs w:val="22"/>
        </w:rPr>
        <w:t xml:space="preserve">reviewed journals, was </w:t>
      </w:r>
      <w:r w:rsidR="009368CB">
        <w:rPr>
          <w:rFonts w:asciiTheme="majorBidi" w:hAnsiTheme="majorBidi" w:cstheme="majorBidi"/>
          <w:szCs w:val="22"/>
        </w:rPr>
        <w:t xml:space="preserve">examined. </w:t>
      </w:r>
      <w:r w:rsidR="009D551E" w:rsidRPr="009D551E">
        <w:rPr>
          <w:rFonts w:asciiTheme="majorBidi" w:hAnsiTheme="majorBidi" w:cstheme="majorBidi"/>
          <w:szCs w:val="22"/>
        </w:rPr>
        <w:t>The review was limited to publications that were published between 2014</w:t>
      </w:r>
      <w:r w:rsidR="00EC0210">
        <w:rPr>
          <w:rFonts w:asciiTheme="majorBidi" w:hAnsiTheme="majorBidi" w:cstheme="majorBidi"/>
          <w:szCs w:val="22"/>
        </w:rPr>
        <w:t xml:space="preserve"> (</w:t>
      </w:r>
      <w:r w:rsidR="009D551E" w:rsidRPr="009D551E">
        <w:rPr>
          <w:rFonts w:asciiTheme="majorBidi" w:hAnsiTheme="majorBidi" w:cstheme="majorBidi"/>
          <w:szCs w:val="22"/>
        </w:rPr>
        <w:t xml:space="preserve">the year </w:t>
      </w:r>
      <w:r w:rsidR="009368CB">
        <w:rPr>
          <w:rFonts w:asciiTheme="majorBidi" w:hAnsiTheme="majorBidi" w:cstheme="majorBidi"/>
          <w:szCs w:val="22"/>
        </w:rPr>
        <w:t xml:space="preserve">GBO-4 </w:t>
      </w:r>
      <w:r w:rsidR="009D551E" w:rsidRPr="009D551E">
        <w:rPr>
          <w:rFonts w:asciiTheme="majorBidi" w:hAnsiTheme="majorBidi" w:cstheme="majorBidi"/>
          <w:szCs w:val="22"/>
        </w:rPr>
        <w:t xml:space="preserve">was </w:t>
      </w:r>
      <w:r w:rsidR="009D551E" w:rsidRPr="009D551E">
        <w:rPr>
          <w:rFonts w:asciiTheme="majorBidi" w:hAnsiTheme="majorBidi" w:cstheme="majorBidi"/>
          <w:szCs w:val="22"/>
        </w:rPr>
        <w:lastRenderedPageBreak/>
        <w:t>published</w:t>
      </w:r>
      <w:r w:rsidR="00EC0210">
        <w:rPr>
          <w:rFonts w:asciiTheme="majorBidi" w:hAnsiTheme="majorBidi" w:cstheme="majorBidi"/>
          <w:szCs w:val="22"/>
        </w:rPr>
        <w:t xml:space="preserve">) </w:t>
      </w:r>
      <w:r w:rsidR="009D551E" w:rsidRPr="009D551E">
        <w:rPr>
          <w:rFonts w:asciiTheme="majorBidi" w:hAnsiTheme="majorBidi" w:cstheme="majorBidi"/>
          <w:szCs w:val="22"/>
        </w:rPr>
        <w:t>and 2018. The Secretariat engaged a group of interns</w:t>
      </w:r>
      <w:r w:rsidR="009D551E" w:rsidRPr="009D551E">
        <w:rPr>
          <w:rStyle w:val="StyleFootnoteReferenceNounderline"/>
          <w:rFonts w:asciiTheme="majorBidi" w:hAnsiTheme="majorBidi" w:cstheme="majorBidi"/>
          <w:sz w:val="22"/>
          <w:szCs w:val="22"/>
          <w:vertAlign w:val="superscript"/>
        </w:rPr>
        <w:footnoteReference w:id="2"/>
      </w:r>
      <w:r w:rsidR="009D551E" w:rsidRPr="009D551E">
        <w:rPr>
          <w:rFonts w:asciiTheme="majorBidi" w:hAnsiTheme="majorBidi" w:cstheme="majorBidi"/>
          <w:szCs w:val="22"/>
        </w:rPr>
        <w:t xml:space="preserve"> to collect and summarize relevant information from relevant databases of scientific journals. In addition</w:t>
      </w:r>
      <w:r w:rsidR="00EC0210">
        <w:rPr>
          <w:rFonts w:asciiTheme="majorBidi" w:hAnsiTheme="majorBidi" w:cstheme="majorBidi"/>
          <w:szCs w:val="22"/>
        </w:rPr>
        <w:t>,</w:t>
      </w:r>
      <w:r w:rsidR="009D551E" w:rsidRPr="009D551E">
        <w:rPr>
          <w:rFonts w:asciiTheme="majorBidi" w:hAnsiTheme="majorBidi" w:cstheme="majorBidi"/>
          <w:szCs w:val="22"/>
        </w:rPr>
        <w:t xml:space="preserve"> information</w:t>
      </w:r>
      <w:r w:rsidR="00EC0210">
        <w:rPr>
          <w:rFonts w:asciiTheme="majorBidi" w:hAnsiTheme="majorBidi" w:cstheme="majorBidi"/>
          <w:szCs w:val="22"/>
        </w:rPr>
        <w:t xml:space="preserve"> on indicators</w:t>
      </w:r>
      <w:r w:rsidR="004B63C3">
        <w:rPr>
          <w:rFonts w:asciiTheme="majorBidi" w:hAnsiTheme="majorBidi" w:cstheme="majorBidi"/>
          <w:szCs w:val="22"/>
        </w:rPr>
        <w:t>, provided through the Biodiversity Indicators Partnership,</w:t>
      </w:r>
      <w:r w:rsidR="009D551E" w:rsidRPr="009D551E">
        <w:rPr>
          <w:rFonts w:asciiTheme="majorBidi" w:hAnsiTheme="majorBidi" w:cstheme="majorBidi"/>
          <w:szCs w:val="22"/>
        </w:rPr>
        <w:t xml:space="preserve"> was reviewed. Of the </w:t>
      </w:r>
      <w:r w:rsidR="004B63C3">
        <w:rPr>
          <w:rFonts w:asciiTheme="majorBidi" w:hAnsiTheme="majorBidi" w:cstheme="majorBidi"/>
          <w:szCs w:val="22"/>
        </w:rPr>
        <w:t xml:space="preserve">55 </w:t>
      </w:r>
      <w:r w:rsidR="009D551E" w:rsidRPr="009D551E">
        <w:rPr>
          <w:rFonts w:asciiTheme="majorBidi" w:hAnsiTheme="majorBidi" w:cstheme="majorBidi"/>
          <w:szCs w:val="22"/>
        </w:rPr>
        <w:t xml:space="preserve">indicators used in GBO-4, </w:t>
      </w:r>
      <w:r w:rsidR="00380AE4" w:rsidRPr="009D551E">
        <w:rPr>
          <w:rFonts w:asciiTheme="majorBidi" w:hAnsiTheme="majorBidi" w:cstheme="majorBidi"/>
          <w:szCs w:val="22"/>
        </w:rPr>
        <w:t>2</w:t>
      </w:r>
      <w:r w:rsidR="00380AE4">
        <w:rPr>
          <w:rFonts w:asciiTheme="majorBidi" w:hAnsiTheme="majorBidi" w:cstheme="majorBidi"/>
          <w:szCs w:val="22"/>
        </w:rPr>
        <w:t>9</w:t>
      </w:r>
      <w:r w:rsidR="00380AE4" w:rsidRPr="009D551E">
        <w:rPr>
          <w:rFonts w:asciiTheme="majorBidi" w:hAnsiTheme="majorBidi" w:cstheme="majorBidi"/>
          <w:szCs w:val="22"/>
        </w:rPr>
        <w:t xml:space="preserve"> </w:t>
      </w:r>
      <w:r w:rsidR="009D551E" w:rsidRPr="009D551E">
        <w:rPr>
          <w:rFonts w:asciiTheme="majorBidi" w:hAnsiTheme="majorBidi" w:cstheme="majorBidi"/>
          <w:szCs w:val="22"/>
        </w:rPr>
        <w:t>have had additional data points added. In addition</w:t>
      </w:r>
      <w:r w:rsidR="00EC0210">
        <w:rPr>
          <w:rFonts w:asciiTheme="majorBidi" w:hAnsiTheme="majorBidi" w:cstheme="majorBidi"/>
          <w:szCs w:val="22"/>
        </w:rPr>
        <w:t>,</w:t>
      </w:r>
      <w:r w:rsidR="009D551E" w:rsidRPr="009D551E">
        <w:rPr>
          <w:rFonts w:asciiTheme="majorBidi" w:hAnsiTheme="majorBidi" w:cstheme="majorBidi"/>
          <w:szCs w:val="22"/>
        </w:rPr>
        <w:t xml:space="preserve"> a further </w:t>
      </w:r>
      <w:r w:rsidR="00380AE4" w:rsidRPr="009D551E">
        <w:rPr>
          <w:rFonts w:asciiTheme="majorBidi" w:hAnsiTheme="majorBidi" w:cstheme="majorBidi"/>
          <w:szCs w:val="22"/>
        </w:rPr>
        <w:t>1</w:t>
      </w:r>
      <w:r w:rsidR="00380AE4">
        <w:rPr>
          <w:rFonts w:asciiTheme="majorBidi" w:hAnsiTheme="majorBidi" w:cstheme="majorBidi"/>
          <w:szCs w:val="22"/>
        </w:rPr>
        <w:t>7</w:t>
      </w:r>
      <w:r w:rsidR="00380AE4" w:rsidRPr="009D551E">
        <w:rPr>
          <w:rFonts w:asciiTheme="majorBidi" w:hAnsiTheme="majorBidi" w:cstheme="majorBidi"/>
          <w:szCs w:val="22"/>
        </w:rPr>
        <w:t xml:space="preserve"> </w:t>
      </w:r>
      <w:r w:rsidR="009D551E" w:rsidRPr="009D551E">
        <w:rPr>
          <w:rFonts w:asciiTheme="majorBidi" w:hAnsiTheme="majorBidi" w:cstheme="majorBidi"/>
          <w:szCs w:val="22"/>
        </w:rPr>
        <w:t xml:space="preserve">indicators </w:t>
      </w:r>
      <w:r w:rsidR="00EC0210">
        <w:rPr>
          <w:rFonts w:asciiTheme="majorBidi" w:hAnsiTheme="majorBidi" w:cstheme="majorBidi"/>
          <w:szCs w:val="22"/>
        </w:rPr>
        <w:t xml:space="preserve">that were </w:t>
      </w:r>
      <w:r w:rsidR="009D551E" w:rsidRPr="009D551E">
        <w:rPr>
          <w:rFonts w:asciiTheme="majorBidi" w:hAnsiTheme="majorBidi" w:cstheme="majorBidi"/>
          <w:szCs w:val="22"/>
        </w:rPr>
        <w:t xml:space="preserve">not used in GBO-4 </w:t>
      </w:r>
      <w:r w:rsidR="00EC0210">
        <w:rPr>
          <w:rFonts w:asciiTheme="majorBidi" w:hAnsiTheme="majorBidi" w:cstheme="majorBidi"/>
          <w:szCs w:val="22"/>
        </w:rPr>
        <w:t xml:space="preserve">were </w:t>
      </w:r>
      <w:r w:rsidR="009D551E" w:rsidRPr="009D551E">
        <w:rPr>
          <w:rFonts w:asciiTheme="majorBidi" w:hAnsiTheme="majorBidi" w:cstheme="majorBidi"/>
          <w:szCs w:val="22"/>
        </w:rPr>
        <w:t xml:space="preserve">identified. This information is synthesized in section II of this </w:t>
      </w:r>
      <w:r w:rsidR="004B63C3">
        <w:rPr>
          <w:rFonts w:asciiTheme="majorBidi" w:hAnsiTheme="majorBidi" w:cstheme="majorBidi"/>
          <w:szCs w:val="22"/>
        </w:rPr>
        <w:t>note</w:t>
      </w:r>
      <w:r w:rsidR="009D551E">
        <w:rPr>
          <w:rFonts w:asciiTheme="majorBidi" w:hAnsiTheme="majorBidi" w:cstheme="majorBidi"/>
          <w:szCs w:val="22"/>
        </w:rPr>
        <w:t xml:space="preserve"> and all of the indicators </w:t>
      </w:r>
      <w:r w:rsidR="004B63C3">
        <w:rPr>
          <w:rFonts w:asciiTheme="majorBidi" w:hAnsiTheme="majorBidi" w:cstheme="majorBidi"/>
          <w:szCs w:val="22"/>
        </w:rPr>
        <w:t xml:space="preserve">with updated data points </w:t>
      </w:r>
      <w:r w:rsidR="009D551E">
        <w:rPr>
          <w:rFonts w:asciiTheme="majorBidi" w:hAnsiTheme="majorBidi" w:cstheme="majorBidi"/>
          <w:szCs w:val="22"/>
        </w:rPr>
        <w:t>are contained in the annex.</w:t>
      </w:r>
      <w:r w:rsidR="009D551E" w:rsidRPr="009D551E">
        <w:rPr>
          <w:rFonts w:asciiTheme="majorBidi" w:hAnsiTheme="majorBidi" w:cstheme="majorBidi"/>
          <w:szCs w:val="22"/>
        </w:rPr>
        <w:t xml:space="preserve"> </w:t>
      </w:r>
      <w:r w:rsidR="009D551E">
        <w:rPr>
          <w:rFonts w:asciiTheme="majorBidi" w:hAnsiTheme="majorBidi" w:cstheme="majorBidi"/>
          <w:szCs w:val="22"/>
        </w:rPr>
        <w:t>S</w:t>
      </w:r>
      <w:r w:rsidR="009D551E" w:rsidRPr="009D551E">
        <w:rPr>
          <w:rFonts w:asciiTheme="majorBidi" w:hAnsiTheme="majorBidi" w:cstheme="majorBidi"/>
          <w:szCs w:val="22"/>
        </w:rPr>
        <w:t>ection III provides some overarching observations. An earlier version of this document was made available for peer review. It has been revised taking into account the comments</w:t>
      </w:r>
      <w:r w:rsidR="009D551E" w:rsidRPr="009D551E">
        <w:rPr>
          <w:rStyle w:val="FootnoteReference"/>
          <w:rFonts w:asciiTheme="majorBidi" w:hAnsiTheme="majorBidi" w:cstheme="majorBidi"/>
          <w:sz w:val="22"/>
          <w:szCs w:val="22"/>
        </w:rPr>
        <w:footnoteReference w:id="3"/>
      </w:r>
      <w:r w:rsidR="009D551E" w:rsidRPr="009D551E">
        <w:rPr>
          <w:rFonts w:asciiTheme="majorBidi" w:hAnsiTheme="majorBidi" w:cstheme="majorBidi"/>
          <w:szCs w:val="22"/>
          <w:vertAlign w:val="superscript"/>
        </w:rPr>
        <w:t xml:space="preserve"> </w:t>
      </w:r>
      <w:r w:rsidR="009D551E" w:rsidRPr="009D551E">
        <w:rPr>
          <w:rFonts w:asciiTheme="majorBidi" w:hAnsiTheme="majorBidi" w:cstheme="majorBidi"/>
          <w:szCs w:val="22"/>
        </w:rPr>
        <w:t>received</w:t>
      </w:r>
      <w:r w:rsidR="00EC0210">
        <w:rPr>
          <w:rFonts w:asciiTheme="majorBidi" w:hAnsiTheme="majorBidi" w:cstheme="majorBidi"/>
          <w:szCs w:val="22"/>
        </w:rPr>
        <w:t>,</w:t>
      </w:r>
      <w:r w:rsidR="009D551E" w:rsidRPr="009D551E">
        <w:rPr>
          <w:rFonts w:asciiTheme="majorBidi" w:hAnsiTheme="majorBidi" w:cstheme="majorBidi"/>
          <w:szCs w:val="22"/>
        </w:rPr>
        <w:t xml:space="preserve"> as well as additional documentation identified during the course of the peer review period.</w:t>
      </w:r>
    </w:p>
    <w:p w:rsidR="009D551E" w:rsidRPr="009D551E" w:rsidRDefault="009D551E" w:rsidP="003D295C">
      <w:pPr>
        <w:pStyle w:val="Heading1"/>
      </w:pPr>
      <w:r w:rsidRPr="009D551E">
        <w:t xml:space="preserve">II. </w:t>
      </w:r>
      <w:r w:rsidR="003D295C">
        <w:tab/>
      </w:r>
      <w:r w:rsidRPr="009D551E">
        <w:t>Updated Scientific Assessment</w:t>
      </w:r>
    </w:p>
    <w:p w:rsidR="009D551E" w:rsidRPr="009D551E" w:rsidRDefault="009D551E" w:rsidP="009D551E">
      <w:pPr>
        <w:pStyle w:val="Para1"/>
        <w:numPr>
          <w:ilvl w:val="0"/>
          <w:numId w:val="0"/>
        </w:numPr>
        <w:jc w:val="center"/>
        <w:rPr>
          <w:rFonts w:asciiTheme="majorBidi" w:hAnsiTheme="majorBidi" w:cstheme="majorBidi"/>
          <w:i/>
          <w:iCs/>
          <w:szCs w:val="22"/>
        </w:rPr>
      </w:pPr>
      <w:r w:rsidRPr="009D551E">
        <w:rPr>
          <w:rFonts w:asciiTheme="majorBidi" w:hAnsiTheme="majorBidi" w:cstheme="majorBidi"/>
          <w:i/>
          <w:iCs/>
          <w:szCs w:val="22"/>
        </w:rPr>
        <w:t>Target-by-target analysis</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1: By 2020, at the latest, people are aware of the values of biodiversity and the steps they can take to conserve and use it sustainably.</w:t>
      </w:r>
    </w:p>
    <w:p w:rsidR="009D551E" w:rsidRPr="009D551E" w:rsidRDefault="009D551E" w:rsidP="004B63C3">
      <w:pPr>
        <w:pStyle w:val="Para1"/>
        <w:tabs>
          <w:tab w:val="clear" w:pos="360"/>
          <w:tab w:val="num" w:pos="567"/>
          <w:tab w:val="num" w:pos="3150"/>
        </w:tabs>
        <w:rPr>
          <w:rFonts w:asciiTheme="majorBidi" w:hAnsiTheme="majorBidi" w:cstheme="majorBidi"/>
          <w:szCs w:val="22"/>
          <w:lang w:val="en-CA"/>
        </w:rPr>
      </w:pPr>
      <w:r w:rsidRPr="009D551E">
        <w:rPr>
          <w:rFonts w:asciiTheme="majorBidi" w:hAnsiTheme="majorBidi" w:cstheme="majorBidi"/>
          <w:szCs w:val="22"/>
          <w:lang w:val="en-CA"/>
        </w:rPr>
        <w:t>Since the release of GBO-4</w:t>
      </w:r>
      <w:r w:rsidR="00EC0210">
        <w:rPr>
          <w:rFonts w:asciiTheme="majorBidi" w:hAnsiTheme="majorBidi" w:cstheme="majorBidi"/>
          <w:szCs w:val="22"/>
          <w:lang w:val="en-CA"/>
        </w:rPr>
        <w:t>,</w:t>
      </w:r>
      <w:r w:rsidRPr="009D551E">
        <w:rPr>
          <w:rFonts w:asciiTheme="majorBidi" w:hAnsiTheme="majorBidi" w:cstheme="majorBidi"/>
          <w:szCs w:val="22"/>
          <w:lang w:val="en-CA"/>
        </w:rPr>
        <w:t xml:space="preserve"> there has been relatively little published scientific information assessing peoples’ awareness of biodiversity at the global level. One study which reviewed media coverage of biodiversity issues between 1991 and 2016 in Canada, the United Kingdom and the United States found that </w:t>
      </w:r>
      <w:r w:rsidRPr="009D551E">
        <w:rPr>
          <w:rFonts w:asciiTheme="majorBidi" w:hAnsiTheme="majorBidi" w:cstheme="majorBidi"/>
          <w:szCs w:val="22"/>
        </w:rPr>
        <w:t xml:space="preserve">media coverage of climate change issues was significantly higher </w:t>
      </w:r>
      <w:r w:rsidR="002A01AE">
        <w:rPr>
          <w:rFonts w:asciiTheme="majorBidi" w:hAnsiTheme="majorBidi" w:cstheme="majorBidi"/>
          <w:szCs w:val="22"/>
        </w:rPr>
        <w:t>than</w:t>
      </w:r>
      <w:r w:rsidRPr="009D551E">
        <w:rPr>
          <w:rFonts w:asciiTheme="majorBidi" w:hAnsiTheme="majorBidi" w:cstheme="majorBidi"/>
          <w:szCs w:val="22"/>
        </w:rPr>
        <w:t xml:space="preserve"> for biodiversity and concluded that information on the challenges facing biodiversity is not reaching the general public</w:t>
      </w:r>
      <w:r w:rsidRPr="009D551E">
        <w:rPr>
          <w:rStyle w:val="FootnoteReference"/>
          <w:rFonts w:asciiTheme="majorBidi" w:hAnsiTheme="majorBidi" w:cstheme="majorBidi"/>
          <w:sz w:val="22"/>
          <w:szCs w:val="22"/>
        </w:rPr>
        <w:footnoteReference w:id="4"/>
      </w:r>
      <w:r w:rsidRPr="009D551E">
        <w:rPr>
          <w:rFonts w:asciiTheme="majorBidi" w:hAnsiTheme="majorBidi" w:cstheme="majorBidi"/>
          <w:szCs w:val="22"/>
        </w:rPr>
        <w:t>. A further study, based on scientific publications, newspapers and funding distributed through the World Bank and the National Science Foundatio</w:t>
      </w:r>
      <w:r w:rsidR="004B63C3">
        <w:rPr>
          <w:rFonts w:asciiTheme="majorBidi" w:hAnsiTheme="majorBidi" w:cstheme="majorBidi"/>
          <w:szCs w:val="22"/>
        </w:rPr>
        <w:t>n, came to a similar conclusion and that</w:t>
      </w:r>
      <w:r w:rsidR="00EC0210">
        <w:rPr>
          <w:rFonts w:asciiTheme="majorBidi" w:hAnsiTheme="majorBidi" w:cstheme="majorBidi"/>
          <w:szCs w:val="22"/>
        </w:rPr>
        <w:t>,</w:t>
      </w:r>
      <w:r w:rsidR="004B63C3">
        <w:rPr>
          <w:rFonts w:asciiTheme="majorBidi" w:hAnsiTheme="majorBidi" w:cstheme="majorBidi"/>
          <w:szCs w:val="22"/>
        </w:rPr>
        <w:t xml:space="preserve"> to overcome this</w:t>
      </w:r>
      <w:r w:rsidRPr="009D551E">
        <w:rPr>
          <w:rFonts w:asciiTheme="majorBidi" w:hAnsiTheme="majorBidi" w:cstheme="majorBidi"/>
          <w:szCs w:val="22"/>
        </w:rPr>
        <w:t>, the conservation community needs to learn from the discourse surrounding climate change and proactively use the growing interest in climate change as means of leveraging action to prevent biodiversity loss.</w:t>
      </w:r>
      <w:r w:rsidRPr="004B63C3">
        <w:rPr>
          <w:rStyle w:val="FootnoteReference"/>
          <w:rFonts w:asciiTheme="majorBidi" w:hAnsiTheme="majorBidi" w:cstheme="majorBidi"/>
          <w:sz w:val="22"/>
          <w:szCs w:val="22"/>
        </w:rPr>
        <w:footnoteReference w:id="5"/>
      </w:r>
      <w:r w:rsidRPr="009D551E">
        <w:rPr>
          <w:rFonts w:asciiTheme="majorBidi" w:hAnsiTheme="majorBidi" w:cstheme="majorBidi"/>
          <w:szCs w:val="22"/>
        </w:rPr>
        <w:t xml:space="preserve"> With regard to the marine environment specifically, an assessment of public percept</w:t>
      </w:r>
      <w:r w:rsidR="004B63C3">
        <w:rPr>
          <w:rFonts w:asciiTheme="majorBidi" w:hAnsiTheme="majorBidi" w:cstheme="majorBidi"/>
          <w:szCs w:val="22"/>
        </w:rPr>
        <w:t>ion</w:t>
      </w:r>
      <w:r w:rsidRPr="009D551E">
        <w:rPr>
          <w:rFonts w:asciiTheme="majorBidi" w:hAnsiTheme="majorBidi" w:cstheme="majorBidi"/>
          <w:szCs w:val="22"/>
        </w:rPr>
        <w:t xml:space="preserve"> about </w:t>
      </w:r>
      <w:r w:rsidR="004B63C3">
        <w:rPr>
          <w:rFonts w:asciiTheme="majorBidi" w:hAnsiTheme="majorBidi" w:cstheme="majorBidi"/>
          <w:szCs w:val="22"/>
        </w:rPr>
        <w:t xml:space="preserve">the </w:t>
      </w:r>
      <w:r w:rsidRPr="009D551E">
        <w:rPr>
          <w:rFonts w:asciiTheme="majorBidi" w:hAnsiTheme="majorBidi" w:cstheme="majorBidi"/>
          <w:szCs w:val="22"/>
        </w:rPr>
        <w:t>threats to the marine environment and its protection</w:t>
      </w:r>
      <w:r w:rsidR="004B63C3">
        <w:rPr>
          <w:rFonts w:asciiTheme="majorBidi" w:hAnsiTheme="majorBidi" w:cstheme="majorBidi"/>
          <w:szCs w:val="22"/>
        </w:rPr>
        <w:t>,</w:t>
      </w:r>
      <w:r w:rsidRPr="009D551E">
        <w:rPr>
          <w:rFonts w:asciiTheme="majorBidi" w:hAnsiTheme="majorBidi" w:cstheme="majorBidi"/>
          <w:szCs w:val="22"/>
        </w:rPr>
        <w:t xml:space="preserve"> based on information from 21 countries</w:t>
      </w:r>
      <w:r w:rsidR="004B63C3">
        <w:rPr>
          <w:rFonts w:asciiTheme="majorBidi" w:hAnsiTheme="majorBidi" w:cstheme="majorBidi"/>
          <w:szCs w:val="22"/>
        </w:rPr>
        <w:t>,</w:t>
      </w:r>
      <w:r w:rsidRPr="009D551E">
        <w:rPr>
          <w:rFonts w:asciiTheme="majorBidi" w:hAnsiTheme="majorBidi" w:cstheme="majorBidi"/>
          <w:szCs w:val="22"/>
        </w:rPr>
        <w:t xml:space="preserve"> found that the majority of respondents (70%) felt that the marine environment was under threat from human activities </w:t>
      </w:r>
      <w:r w:rsidR="00EC0210">
        <w:rPr>
          <w:rFonts w:asciiTheme="majorBidi" w:hAnsiTheme="majorBidi" w:cstheme="majorBidi"/>
          <w:szCs w:val="22"/>
        </w:rPr>
        <w:t xml:space="preserve">however </w:t>
      </w:r>
      <w:r w:rsidRPr="009D551E">
        <w:rPr>
          <w:rFonts w:asciiTheme="majorBidi" w:hAnsiTheme="majorBidi" w:cstheme="majorBidi"/>
          <w:szCs w:val="22"/>
        </w:rPr>
        <w:t xml:space="preserve">only 15% felt that </w:t>
      </w:r>
      <w:r w:rsidR="00874EA7">
        <w:rPr>
          <w:rFonts w:asciiTheme="majorBidi" w:hAnsiTheme="majorBidi" w:cstheme="majorBidi"/>
          <w:szCs w:val="22"/>
        </w:rPr>
        <w:t xml:space="preserve">the health of </w:t>
      </w:r>
      <w:r w:rsidRPr="009D551E">
        <w:rPr>
          <w:rFonts w:asciiTheme="majorBidi" w:hAnsiTheme="majorBidi" w:cstheme="majorBidi"/>
          <w:szCs w:val="22"/>
        </w:rPr>
        <w:t>oceans was poor or threatened</w:t>
      </w:r>
      <w:r w:rsidR="003D295C">
        <w:rPr>
          <w:rFonts w:asciiTheme="majorBidi" w:hAnsiTheme="majorBidi" w:cstheme="majorBidi"/>
          <w:szCs w:val="22"/>
        </w:rPr>
        <w:t>.</w:t>
      </w:r>
      <w:r w:rsidRPr="004B63C3">
        <w:rPr>
          <w:rStyle w:val="FootnoteReference"/>
          <w:rFonts w:asciiTheme="majorBidi" w:hAnsiTheme="majorBidi" w:cstheme="majorBidi"/>
          <w:sz w:val="22"/>
          <w:szCs w:val="22"/>
        </w:rPr>
        <w:footnoteReference w:id="6"/>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567"/>
          <w:tab w:val="num" w:pos="3150"/>
        </w:tabs>
        <w:rPr>
          <w:rFonts w:asciiTheme="majorBidi" w:hAnsiTheme="majorBidi" w:cstheme="majorBidi"/>
          <w:szCs w:val="22"/>
          <w:lang w:val="en-CA"/>
        </w:rPr>
      </w:pPr>
      <w:r w:rsidRPr="009D551E">
        <w:rPr>
          <w:rFonts w:asciiTheme="majorBidi" w:hAnsiTheme="majorBidi" w:cstheme="majorBidi"/>
          <w:szCs w:val="22"/>
          <w:lang w:val="en-CA"/>
        </w:rPr>
        <w:t>Various studies have been undertaken on different approaches, tools and means of raising awareness as well as on advancing the understanding of what constitute effective awareness</w:t>
      </w:r>
      <w:r w:rsidR="00874EA7">
        <w:rPr>
          <w:rFonts w:asciiTheme="majorBidi" w:hAnsiTheme="majorBidi" w:cstheme="majorBidi"/>
          <w:szCs w:val="22"/>
          <w:lang w:val="en-CA"/>
        </w:rPr>
        <w:t>-</w:t>
      </w:r>
      <w:r w:rsidRPr="009D551E">
        <w:rPr>
          <w:rFonts w:asciiTheme="majorBidi" w:hAnsiTheme="majorBidi" w:cstheme="majorBidi"/>
          <w:szCs w:val="22"/>
          <w:lang w:val="en-CA"/>
        </w:rPr>
        <w:t>raising mechanisms. There is also a growing recognition of the relationship between environmental education and attractions</w:t>
      </w:r>
      <w:r w:rsidR="00874EA7">
        <w:rPr>
          <w:rFonts w:asciiTheme="majorBidi" w:hAnsiTheme="majorBidi" w:cstheme="majorBidi"/>
          <w:szCs w:val="22"/>
          <w:lang w:val="en-CA"/>
        </w:rPr>
        <w:t>,</w:t>
      </w:r>
      <w:r w:rsidRPr="009D551E">
        <w:rPr>
          <w:rFonts w:asciiTheme="majorBidi" w:hAnsiTheme="majorBidi" w:cstheme="majorBidi"/>
          <w:szCs w:val="22"/>
          <w:lang w:val="en-CA"/>
        </w:rPr>
        <w:t xml:space="preserve"> such as zoos and aquariums</w:t>
      </w:r>
      <w:r w:rsidR="003D295C">
        <w:rPr>
          <w:rFonts w:asciiTheme="majorBidi" w:hAnsiTheme="majorBidi" w:cstheme="majorBidi"/>
          <w:szCs w:val="22"/>
          <w:lang w:val="en-CA"/>
        </w:rPr>
        <w:t>.</w:t>
      </w:r>
      <w:r w:rsidRPr="009D551E">
        <w:rPr>
          <w:rStyle w:val="StyleFootnoteReferenceNounderline"/>
          <w:rFonts w:asciiTheme="majorBidi" w:hAnsiTheme="majorBidi" w:cstheme="majorBidi"/>
          <w:sz w:val="22"/>
          <w:szCs w:val="22"/>
          <w:vertAlign w:val="superscript"/>
        </w:rPr>
        <w:footnoteReference w:id="7"/>
      </w:r>
      <w:r w:rsidRPr="009D551E">
        <w:rPr>
          <w:rFonts w:asciiTheme="majorBidi" w:hAnsiTheme="majorBidi" w:cstheme="majorBidi"/>
          <w:szCs w:val="22"/>
          <w:lang w:val="en-CA"/>
        </w:rPr>
        <w:t xml:space="preserve"> For example</w:t>
      </w:r>
      <w:r w:rsidR="00874EA7">
        <w:rPr>
          <w:rFonts w:asciiTheme="majorBidi" w:hAnsiTheme="majorBidi" w:cstheme="majorBidi"/>
          <w:szCs w:val="22"/>
          <w:lang w:val="en-CA"/>
        </w:rPr>
        <w:t>,</w:t>
      </w:r>
      <w:r w:rsidRPr="009D551E">
        <w:rPr>
          <w:rFonts w:asciiTheme="majorBidi" w:hAnsiTheme="majorBidi" w:cstheme="majorBidi"/>
          <w:szCs w:val="22"/>
          <w:lang w:val="en-CA"/>
        </w:rPr>
        <w:t xml:space="preserve"> one study determined that visitors to zoos and aquariums who were exposed to educational material, such as interpretive graphic panels and informative films regarding biodiversity during their visits</w:t>
      </w:r>
      <w:r w:rsidR="00874EA7">
        <w:rPr>
          <w:rFonts w:asciiTheme="majorBidi" w:hAnsiTheme="majorBidi" w:cstheme="majorBidi"/>
          <w:szCs w:val="22"/>
          <w:lang w:val="en-CA"/>
        </w:rPr>
        <w:t>,</w:t>
      </w:r>
      <w:r w:rsidRPr="009D551E">
        <w:rPr>
          <w:rFonts w:asciiTheme="majorBidi" w:hAnsiTheme="majorBidi" w:cstheme="majorBidi"/>
          <w:szCs w:val="22"/>
          <w:lang w:val="en-CA"/>
        </w:rPr>
        <w:t xml:space="preserve"> exhibited an increase</w:t>
      </w:r>
      <w:r w:rsidR="00874EA7">
        <w:rPr>
          <w:rFonts w:asciiTheme="majorBidi" w:hAnsiTheme="majorBidi" w:cstheme="majorBidi"/>
          <w:szCs w:val="22"/>
          <w:lang w:val="en-CA"/>
        </w:rPr>
        <w:t xml:space="preserve">d level of </w:t>
      </w:r>
      <w:r w:rsidRPr="009D551E">
        <w:rPr>
          <w:rFonts w:asciiTheme="majorBidi" w:hAnsiTheme="majorBidi" w:cstheme="majorBidi"/>
          <w:szCs w:val="22"/>
          <w:lang w:val="en-CA"/>
        </w:rPr>
        <w:t>understanding of biodiversity</w:t>
      </w:r>
      <w:r w:rsidR="00874EA7">
        <w:rPr>
          <w:rFonts w:asciiTheme="majorBidi" w:hAnsiTheme="majorBidi" w:cstheme="majorBidi"/>
          <w:szCs w:val="22"/>
          <w:lang w:val="en-CA"/>
        </w:rPr>
        <w:t xml:space="preserve"> and greater </w:t>
      </w:r>
      <w:r w:rsidRPr="009D551E">
        <w:rPr>
          <w:rFonts w:asciiTheme="majorBidi" w:hAnsiTheme="majorBidi" w:cstheme="majorBidi"/>
          <w:szCs w:val="22"/>
          <w:lang w:val="en-CA"/>
        </w:rPr>
        <w:lastRenderedPageBreak/>
        <w:t>awareness of actions they could take to protect it</w:t>
      </w:r>
      <w:r w:rsidR="003D295C">
        <w:rPr>
          <w:rFonts w:asciiTheme="majorBidi" w:hAnsiTheme="majorBidi" w:cstheme="majorBidi"/>
          <w:szCs w:val="22"/>
          <w:lang w:val="en-CA"/>
        </w:rPr>
        <w:t>.</w:t>
      </w:r>
      <w:r w:rsidRPr="009D551E">
        <w:rPr>
          <w:rStyle w:val="StyleFootnoteReferenceNounderline"/>
          <w:rFonts w:asciiTheme="majorBidi" w:hAnsiTheme="majorBidi" w:cstheme="majorBidi"/>
          <w:sz w:val="22"/>
          <w:szCs w:val="22"/>
          <w:vertAlign w:val="superscript"/>
        </w:rPr>
        <w:footnoteReference w:id="8"/>
      </w:r>
      <w:r w:rsidRPr="009D551E">
        <w:rPr>
          <w:rFonts w:asciiTheme="majorBidi" w:hAnsiTheme="majorBidi" w:cstheme="majorBidi"/>
          <w:szCs w:val="22"/>
          <w:lang w:val="en-CA"/>
        </w:rPr>
        <w:t xml:space="preserve"> Other studies have attempted to understand how a growing trend towards urbanization may be having a negative effect on people’s awareness of biodiversity and</w:t>
      </w:r>
      <w:r w:rsidR="00874EA7">
        <w:rPr>
          <w:rFonts w:asciiTheme="majorBidi" w:hAnsiTheme="majorBidi" w:cstheme="majorBidi"/>
          <w:szCs w:val="22"/>
          <w:lang w:val="en-CA"/>
        </w:rPr>
        <w:t>,</w:t>
      </w:r>
      <w:r w:rsidRPr="009D551E">
        <w:rPr>
          <w:rFonts w:asciiTheme="majorBidi" w:hAnsiTheme="majorBidi" w:cstheme="majorBidi"/>
          <w:szCs w:val="22"/>
          <w:lang w:val="en-CA"/>
        </w:rPr>
        <w:t xml:space="preserve"> relatedly</w:t>
      </w:r>
      <w:r w:rsidR="00874EA7">
        <w:rPr>
          <w:rFonts w:asciiTheme="majorBidi" w:hAnsiTheme="majorBidi" w:cstheme="majorBidi"/>
          <w:szCs w:val="22"/>
          <w:lang w:val="en-CA"/>
        </w:rPr>
        <w:t>,</w:t>
      </w:r>
      <w:r w:rsidRPr="009D551E">
        <w:rPr>
          <w:rFonts w:asciiTheme="majorBidi" w:hAnsiTheme="majorBidi" w:cstheme="majorBidi"/>
          <w:szCs w:val="22"/>
          <w:lang w:val="en-CA"/>
        </w:rPr>
        <w:t xml:space="preserve"> how there is a need to understand how people who live in urban environments understand biodiversity</w:t>
      </w:r>
      <w:r w:rsidR="003D295C">
        <w:rPr>
          <w:rFonts w:asciiTheme="majorBidi" w:hAnsiTheme="majorBidi" w:cstheme="majorBidi"/>
          <w:szCs w:val="22"/>
          <w:lang w:val="en-CA"/>
        </w:rPr>
        <w:t>.</w:t>
      </w:r>
      <w:r w:rsidRPr="009D551E">
        <w:rPr>
          <w:rStyle w:val="StyleFootnoteReferenceNounderline"/>
          <w:rFonts w:asciiTheme="majorBidi" w:hAnsiTheme="majorBidi" w:cstheme="majorBidi"/>
          <w:sz w:val="22"/>
          <w:szCs w:val="22"/>
          <w:vertAlign w:val="superscript"/>
        </w:rPr>
        <w:footnoteReference w:id="9"/>
      </w:r>
      <w:r w:rsidRPr="009D551E">
        <w:rPr>
          <w:rFonts w:asciiTheme="majorBidi" w:hAnsiTheme="majorBidi" w:cstheme="majorBidi"/>
          <w:szCs w:val="22"/>
          <w:lang w:val="en-CA"/>
        </w:rPr>
        <w:t xml:space="preserve"> Studies have also explored how digital games can contribute to biodiversity awareness</w:t>
      </w:r>
      <w:r w:rsidRPr="009D551E">
        <w:rPr>
          <w:rStyle w:val="StyleFootnoteReferenceNounderline"/>
          <w:rFonts w:asciiTheme="majorBidi" w:hAnsiTheme="majorBidi" w:cstheme="majorBidi"/>
          <w:sz w:val="22"/>
          <w:szCs w:val="22"/>
          <w:vertAlign w:val="superscript"/>
        </w:rPr>
        <w:footnoteReference w:id="10"/>
      </w:r>
      <w:r w:rsidRPr="009D551E">
        <w:rPr>
          <w:rFonts w:asciiTheme="majorBidi" w:hAnsiTheme="majorBidi" w:cstheme="majorBidi"/>
          <w:szCs w:val="22"/>
          <w:lang w:val="en-CA"/>
        </w:rPr>
        <w:t xml:space="preserve"> and how tourism, in particular eco-tourism, can be used to increase biodiversity awareness. </w:t>
      </w:r>
    </w:p>
    <w:p w:rsidR="009D551E" w:rsidRPr="009D551E" w:rsidRDefault="00BF3DC8" w:rsidP="009D551E">
      <w:pPr>
        <w:pStyle w:val="Para1"/>
        <w:tabs>
          <w:tab w:val="clear" w:pos="360"/>
          <w:tab w:val="num" w:pos="567"/>
          <w:tab w:val="num" w:pos="3150"/>
        </w:tabs>
        <w:rPr>
          <w:rFonts w:asciiTheme="majorBidi" w:hAnsiTheme="majorBidi" w:cstheme="majorBidi"/>
          <w:szCs w:val="22"/>
          <w:lang w:val="en-CA"/>
        </w:rPr>
      </w:pPr>
      <w:r w:rsidRPr="000F0CA4">
        <w:rPr>
          <w:rFonts w:asciiTheme="majorBidi" w:hAnsiTheme="majorBidi" w:cstheme="majorBidi"/>
          <w:szCs w:val="22"/>
        </w:rPr>
        <w:t>There are three indicators related to Aichi Biodiversity Target 1 which have updated data since</w:t>
      </w:r>
      <w:r w:rsidR="009D551E" w:rsidRPr="009D551E">
        <w:rPr>
          <w:rFonts w:asciiTheme="majorBidi" w:hAnsiTheme="majorBidi" w:cstheme="majorBidi"/>
          <w:szCs w:val="22"/>
        </w:rPr>
        <w:t xml:space="preserve"> </w:t>
      </w:r>
      <w:r w:rsidR="003D295C">
        <w:rPr>
          <w:rFonts w:asciiTheme="majorBidi" w:hAnsiTheme="majorBidi" w:cstheme="majorBidi"/>
          <w:szCs w:val="22"/>
        </w:rPr>
        <w:t>GBO</w:t>
      </w:r>
      <w:r w:rsidR="003D295C">
        <w:rPr>
          <w:rFonts w:asciiTheme="majorBidi" w:hAnsiTheme="majorBidi" w:cstheme="majorBidi"/>
          <w:szCs w:val="22"/>
        </w:rPr>
        <w:noBreakHyphen/>
      </w:r>
      <w:r w:rsidR="00874EA7">
        <w:rPr>
          <w:rFonts w:asciiTheme="majorBidi" w:hAnsiTheme="majorBidi" w:cstheme="majorBidi"/>
          <w:szCs w:val="22"/>
        </w:rPr>
        <w:t xml:space="preserve">4 was published. </w:t>
      </w:r>
      <w:r w:rsidR="009D551E" w:rsidRPr="009D551E">
        <w:rPr>
          <w:rFonts w:asciiTheme="majorBidi" w:hAnsiTheme="majorBidi" w:cstheme="majorBidi"/>
          <w:szCs w:val="22"/>
        </w:rPr>
        <w:t>Two of these are related to the Biodiversity Barometer (</w:t>
      </w:r>
      <w:r w:rsidR="009D551E" w:rsidRPr="009D551E">
        <w:rPr>
          <w:rFonts w:asciiTheme="majorBidi" w:hAnsiTheme="majorBidi" w:cstheme="majorBidi"/>
          <w:color w:val="000000"/>
          <w:szCs w:val="22"/>
        </w:rPr>
        <w:t>% of respondents that have heard of biodiversity and % of respondents giving correct definition of biodiversity</w:t>
      </w:r>
      <w:r w:rsidR="009D551E" w:rsidRPr="009D551E">
        <w:rPr>
          <w:rFonts w:asciiTheme="majorBidi" w:hAnsiTheme="majorBidi" w:cstheme="majorBidi"/>
          <w:szCs w:val="22"/>
        </w:rPr>
        <w:t xml:space="preserve">) </w:t>
      </w:r>
      <w:r w:rsidR="000F0CA4">
        <w:rPr>
          <w:rFonts w:asciiTheme="majorBidi" w:hAnsiTheme="majorBidi" w:cstheme="majorBidi"/>
          <w:szCs w:val="22"/>
        </w:rPr>
        <w:t xml:space="preserve">and </w:t>
      </w:r>
      <w:r w:rsidR="009D551E" w:rsidRPr="009D551E">
        <w:rPr>
          <w:rFonts w:asciiTheme="majorBidi" w:hAnsiTheme="majorBidi" w:cstheme="majorBidi"/>
          <w:szCs w:val="22"/>
        </w:rPr>
        <w:t>suggest improvements in people’s awareness of biodiversity</w:t>
      </w:r>
      <w:r w:rsidR="009D551E" w:rsidRPr="009D551E">
        <w:rPr>
          <w:rStyle w:val="FootnoteReference"/>
          <w:rFonts w:asciiTheme="majorBidi" w:hAnsiTheme="majorBidi" w:cstheme="majorBidi"/>
          <w:sz w:val="22"/>
          <w:szCs w:val="22"/>
        </w:rPr>
        <w:footnoteReference w:id="11"/>
      </w:r>
      <w:r w:rsidR="009D551E" w:rsidRPr="009D551E">
        <w:rPr>
          <w:rFonts w:asciiTheme="majorBidi" w:hAnsiTheme="majorBidi" w:cstheme="majorBidi"/>
          <w:szCs w:val="22"/>
        </w:rPr>
        <w:t>. The third indicator (online interest in biodiversity) suggests a decline</w:t>
      </w:r>
      <w:r w:rsidR="009D551E" w:rsidRPr="009D551E">
        <w:rPr>
          <w:rStyle w:val="FootnoteReference"/>
          <w:rFonts w:asciiTheme="majorBidi" w:hAnsiTheme="majorBidi" w:cstheme="majorBidi"/>
          <w:sz w:val="22"/>
          <w:szCs w:val="22"/>
        </w:rPr>
        <w:footnoteReference w:id="12"/>
      </w:r>
      <w:r w:rsidR="009D551E" w:rsidRPr="009D551E">
        <w:rPr>
          <w:rFonts w:asciiTheme="majorBidi" w:hAnsiTheme="majorBidi" w:cstheme="majorBidi"/>
          <w:szCs w:val="22"/>
        </w:rPr>
        <w:t>.</w:t>
      </w:r>
    </w:p>
    <w:p w:rsidR="009D551E" w:rsidRPr="009D551E" w:rsidRDefault="009D551E" w:rsidP="002A01AE">
      <w:pPr>
        <w:pStyle w:val="Para1"/>
        <w:tabs>
          <w:tab w:val="clear" w:pos="360"/>
          <w:tab w:val="num" w:pos="567"/>
          <w:tab w:val="num" w:pos="3150"/>
        </w:tabs>
        <w:rPr>
          <w:rFonts w:asciiTheme="majorBidi" w:hAnsiTheme="majorBidi" w:cstheme="majorBidi"/>
          <w:i/>
          <w:szCs w:val="22"/>
        </w:rPr>
      </w:pPr>
      <w:r w:rsidRPr="009D551E">
        <w:rPr>
          <w:rFonts w:asciiTheme="majorBidi" w:hAnsiTheme="majorBidi" w:cstheme="majorBidi"/>
          <w:szCs w:val="22"/>
        </w:rPr>
        <w:t xml:space="preserve">The scientific information that has become available since the publication of GBO-4 suggests that the progress towards this target is largely unchanged from what was previously reported. The scientific literature suggests that the actions identified in GBO-4 remain relevant to the achievement of this Aichi Biodiversity Target. Additional </w:t>
      </w:r>
      <w:r w:rsidRPr="009D551E">
        <w:rPr>
          <w:rFonts w:asciiTheme="majorBidi" w:hAnsiTheme="majorBidi" w:cstheme="majorBidi"/>
          <w:szCs w:val="22"/>
          <w:lang w:val="en-CA"/>
        </w:rPr>
        <w:t>possible actions to accelerate progress towards this target</w:t>
      </w:r>
      <w:r w:rsidR="000F0CA4">
        <w:rPr>
          <w:rFonts w:asciiTheme="majorBidi" w:hAnsiTheme="majorBidi" w:cstheme="majorBidi"/>
          <w:szCs w:val="22"/>
          <w:lang w:val="en-CA"/>
        </w:rPr>
        <w:t>,</w:t>
      </w:r>
      <w:r w:rsidRPr="009D551E">
        <w:rPr>
          <w:rFonts w:asciiTheme="majorBidi" w:hAnsiTheme="majorBidi" w:cstheme="majorBidi"/>
          <w:szCs w:val="22"/>
          <w:lang w:val="en-CA"/>
        </w:rPr>
        <w:t xml:space="preserve"> identified in the literature</w:t>
      </w:r>
      <w:r w:rsidR="000F0CA4">
        <w:rPr>
          <w:rFonts w:asciiTheme="majorBidi" w:hAnsiTheme="majorBidi" w:cstheme="majorBidi"/>
          <w:szCs w:val="22"/>
          <w:lang w:val="en-CA"/>
        </w:rPr>
        <w:t>,</w:t>
      </w:r>
      <w:r w:rsidRPr="009D551E">
        <w:rPr>
          <w:rFonts w:asciiTheme="majorBidi" w:hAnsiTheme="majorBidi" w:cstheme="majorBidi"/>
          <w:szCs w:val="22"/>
          <w:lang w:val="en-CA"/>
        </w:rPr>
        <w:t xml:space="preserve"> include the need to develop national communication strategies for biodiversity which speak to specific national priorities and which frame biodiversity in a similar light to other economic and social imperatives</w:t>
      </w:r>
      <w:r w:rsidR="003D295C">
        <w:rPr>
          <w:rFonts w:asciiTheme="majorBidi" w:hAnsiTheme="majorBidi" w:cstheme="majorBidi"/>
          <w:szCs w:val="22"/>
          <w:lang w:val="en-CA"/>
        </w:rPr>
        <w:t>.</w:t>
      </w:r>
      <w:r w:rsidRPr="009D551E">
        <w:rPr>
          <w:rStyle w:val="StyleFootnoteReferenceNounderline"/>
          <w:rFonts w:asciiTheme="majorBidi" w:hAnsiTheme="majorBidi" w:cstheme="majorBidi"/>
          <w:sz w:val="22"/>
          <w:szCs w:val="22"/>
          <w:vertAlign w:val="superscript"/>
        </w:rPr>
        <w:footnoteReference w:id="13"/>
      </w:r>
      <w:r w:rsidRPr="009D551E">
        <w:rPr>
          <w:rFonts w:asciiTheme="majorBidi" w:hAnsiTheme="majorBidi" w:cstheme="majorBidi"/>
          <w:szCs w:val="22"/>
          <w:lang w:val="en-CA"/>
        </w:rPr>
        <w:t xml:space="preserve"> Relatedly it has also been suggested that an international communication strategy for biodiversity would be beneficial, particular</w:t>
      </w:r>
      <w:r w:rsidR="000F0CA4">
        <w:rPr>
          <w:rFonts w:asciiTheme="majorBidi" w:hAnsiTheme="majorBidi" w:cstheme="majorBidi"/>
          <w:szCs w:val="22"/>
          <w:lang w:val="en-CA"/>
        </w:rPr>
        <w:t>ly</w:t>
      </w:r>
      <w:r w:rsidRPr="009D551E">
        <w:rPr>
          <w:rFonts w:asciiTheme="majorBidi" w:hAnsiTheme="majorBidi" w:cstheme="majorBidi"/>
          <w:szCs w:val="22"/>
          <w:lang w:val="en-CA"/>
        </w:rPr>
        <w:t xml:space="preserve"> given that the level of media attention devoted to biodiversity is generally limited. </w:t>
      </w:r>
      <w:r w:rsidRPr="009D551E">
        <w:rPr>
          <w:rFonts w:asciiTheme="majorBidi" w:hAnsiTheme="majorBidi" w:cstheme="majorBidi"/>
          <w:szCs w:val="22"/>
        </w:rPr>
        <w:t>The role of the scientific community in raising awareness of biodiversity issues by conveying accurate and clear information, focusing on global biodiversity issues and on the value of biodiversity to human wellbeing and fostering the interest of media in biodiversity</w:t>
      </w:r>
      <w:r w:rsidR="000F0CA4">
        <w:rPr>
          <w:rFonts w:asciiTheme="majorBidi" w:hAnsiTheme="majorBidi" w:cstheme="majorBidi"/>
          <w:szCs w:val="22"/>
        </w:rPr>
        <w:t>,</w:t>
      </w:r>
      <w:r w:rsidRPr="009D551E">
        <w:rPr>
          <w:rFonts w:asciiTheme="majorBidi" w:hAnsiTheme="majorBidi" w:cstheme="majorBidi"/>
          <w:szCs w:val="22"/>
        </w:rPr>
        <w:t xml:space="preserve"> has also been noted</w:t>
      </w:r>
      <w:r w:rsidRPr="009D551E">
        <w:rPr>
          <w:rStyle w:val="StyleFootnoteReferenceNounderline"/>
          <w:rFonts w:asciiTheme="majorBidi" w:hAnsiTheme="majorBidi" w:cstheme="majorBidi"/>
          <w:sz w:val="22"/>
          <w:szCs w:val="22"/>
          <w:vertAlign w:val="superscript"/>
        </w:rPr>
        <w:footnoteReference w:id="14"/>
      </w:r>
      <w:r w:rsidRPr="009D551E">
        <w:rPr>
          <w:rFonts w:asciiTheme="majorBidi" w:hAnsiTheme="majorBidi" w:cstheme="majorBidi"/>
          <w:szCs w:val="22"/>
        </w:rPr>
        <w:t xml:space="preserve">. </w:t>
      </w:r>
    </w:p>
    <w:p w:rsidR="009D551E" w:rsidRPr="009D551E" w:rsidRDefault="009D551E" w:rsidP="009D551E">
      <w:pPr>
        <w:pStyle w:val="Para1"/>
        <w:numPr>
          <w:ilvl w:val="0"/>
          <w:numId w:val="0"/>
        </w:numPr>
        <w:rPr>
          <w:rFonts w:asciiTheme="majorBidi" w:hAnsiTheme="majorBidi" w:cstheme="majorBidi"/>
          <w:i/>
          <w:szCs w:val="22"/>
        </w:rPr>
      </w:pPr>
      <w:r w:rsidRPr="009D551E">
        <w:rPr>
          <w:rFonts w:asciiTheme="majorBidi" w:hAnsiTheme="majorBidi" w:cstheme="majorBidi"/>
          <w:i/>
          <w:szCs w:val="22"/>
        </w:rPr>
        <w:t>Target 2: By 2020, at the latest, biodiversity values have been integrated into national and local development and poverty reduction strategies and planning processes and are being incorporated into national accounting, as appropriate, and reporting systems.</w:t>
      </w:r>
    </w:p>
    <w:p w:rsidR="009D551E" w:rsidRPr="009D551E" w:rsidRDefault="009D551E" w:rsidP="002A01A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The integration of biodiversity values into national and local policies and processes is an issue for which there is relatively little scientific information. However</w:t>
      </w:r>
      <w:r w:rsidR="000F0CA4">
        <w:rPr>
          <w:rFonts w:asciiTheme="majorBidi" w:hAnsiTheme="majorBidi" w:cstheme="majorBidi"/>
          <w:szCs w:val="22"/>
        </w:rPr>
        <w:t>,</w:t>
      </w:r>
      <w:r w:rsidRPr="009D551E">
        <w:rPr>
          <w:rFonts w:asciiTheme="majorBidi" w:hAnsiTheme="majorBidi" w:cstheme="majorBidi"/>
          <w:szCs w:val="22"/>
        </w:rPr>
        <w:t xml:space="preserve"> one assessment has identified that </w:t>
      </w:r>
      <w:r w:rsidR="002A01AE">
        <w:rPr>
          <w:rFonts w:asciiTheme="majorBidi" w:hAnsiTheme="majorBidi" w:cstheme="majorBidi"/>
          <w:szCs w:val="22"/>
        </w:rPr>
        <w:t xml:space="preserve">the </w:t>
      </w:r>
      <w:r w:rsidRPr="009D551E">
        <w:rPr>
          <w:rFonts w:asciiTheme="majorBidi" w:hAnsiTheme="majorBidi" w:cstheme="majorBidi"/>
          <w:szCs w:val="22"/>
        </w:rPr>
        <w:t>quality of governance contributed more to responses to and investment in biodiversity th</w:t>
      </w:r>
      <w:r w:rsidR="000F0CA4">
        <w:rPr>
          <w:rFonts w:asciiTheme="majorBidi" w:hAnsiTheme="majorBidi" w:cstheme="majorBidi"/>
          <w:szCs w:val="22"/>
        </w:rPr>
        <w:t>a</w:t>
      </w:r>
      <w:r w:rsidRPr="009D551E">
        <w:rPr>
          <w:rFonts w:asciiTheme="majorBidi" w:hAnsiTheme="majorBidi" w:cstheme="majorBidi"/>
          <w:szCs w:val="22"/>
        </w:rPr>
        <w:t>n did wealth</w:t>
      </w:r>
      <w:r w:rsidR="000F0CA4">
        <w:rPr>
          <w:rFonts w:asciiTheme="majorBidi" w:hAnsiTheme="majorBidi" w:cstheme="majorBidi"/>
          <w:szCs w:val="22"/>
        </w:rPr>
        <w:t>,</w:t>
      </w:r>
      <w:r w:rsidRPr="009D551E">
        <w:rPr>
          <w:rFonts w:asciiTheme="majorBidi" w:hAnsiTheme="majorBidi" w:cstheme="majorBidi"/>
          <w:szCs w:val="22"/>
        </w:rPr>
        <w:t xml:space="preserve"> and identified governance as an important issue in conservation planning</w:t>
      </w:r>
      <w:r w:rsidR="003D295C">
        <w:rPr>
          <w:rFonts w:asciiTheme="majorBidi" w:hAnsiTheme="majorBidi" w:cstheme="majorBidi"/>
          <w:szCs w:val="22"/>
        </w:rPr>
        <w:t>.</w:t>
      </w:r>
      <w:r w:rsidRPr="002A01AE">
        <w:rPr>
          <w:rStyle w:val="FootnoteReference"/>
          <w:rFonts w:asciiTheme="majorBidi" w:hAnsiTheme="majorBidi" w:cstheme="majorBidi"/>
          <w:sz w:val="22"/>
          <w:szCs w:val="22"/>
        </w:rPr>
        <w:footnoteReference w:id="15"/>
      </w:r>
      <w:r w:rsidRPr="009D551E">
        <w:rPr>
          <w:rFonts w:asciiTheme="majorBidi" w:hAnsiTheme="majorBidi" w:cstheme="majorBidi"/>
          <w:szCs w:val="22"/>
        </w:rPr>
        <w:t xml:space="preserve"> Much of the information that is available on this target generally focuses </w:t>
      </w:r>
      <w:r w:rsidR="000F0CA4">
        <w:rPr>
          <w:rFonts w:asciiTheme="majorBidi" w:hAnsiTheme="majorBidi" w:cstheme="majorBidi"/>
          <w:szCs w:val="22"/>
        </w:rPr>
        <w:t xml:space="preserve">on </w:t>
      </w:r>
      <w:r w:rsidRPr="009D551E">
        <w:rPr>
          <w:rFonts w:asciiTheme="majorBidi" w:hAnsiTheme="majorBidi" w:cstheme="majorBidi"/>
          <w:szCs w:val="22"/>
        </w:rPr>
        <w:t>the national or regional level. For example</w:t>
      </w:r>
      <w:r w:rsidR="000F0CA4">
        <w:rPr>
          <w:rFonts w:asciiTheme="majorBidi" w:hAnsiTheme="majorBidi" w:cstheme="majorBidi"/>
          <w:szCs w:val="22"/>
        </w:rPr>
        <w:t>,</w:t>
      </w:r>
      <w:r w:rsidRPr="009D551E">
        <w:rPr>
          <w:rFonts w:asciiTheme="majorBidi" w:hAnsiTheme="majorBidi" w:cstheme="majorBidi"/>
          <w:szCs w:val="22"/>
        </w:rPr>
        <w:t xml:space="preserve"> one recent study explored different opportunities and challenges related to the mainstreaming of ecosystem services in policies of the European Union. Among the issues identified </w:t>
      </w:r>
      <w:r w:rsidR="002A01AE">
        <w:rPr>
          <w:rFonts w:asciiTheme="majorBidi" w:hAnsiTheme="majorBidi" w:cstheme="majorBidi"/>
          <w:szCs w:val="22"/>
        </w:rPr>
        <w:t>were</w:t>
      </w:r>
      <w:r w:rsidRPr="009D551E">
        <w:rPr>
          <w:rFonts w:asciiTheme="majorBidi" w:hAnsiTheme="majorBidi" w:cstheme="majorBidi"/>
          <w:szCs w:val="22"/>
        </w:rPr>
        <w:t xml:space="preserve"> the difficulty of reflecting ecosystems services across various spheres of respons</w:t>
      </w:r>
      <w:r w:rsidR="00EC1826">
        <w:rPr>
          <w:rFonts w:asciiTheme="majorBidi" w:hAnsiTheme="majorBidi" w:cstheme="majorBidi"/>
          <w:szCs w:val="22"/>
        </w:rPr>
        <w:t>i</w:t>
      </w:r>
      <w:r w:rsidRPr="009D551E">
        <w:rPr>
          <w:rFonts w:asciiTheme="majorBidi" w:hAnsiTheme="majorBidi" w:cstheme="majorBidi"/>
          <w:szCs w:val="22"/>
        </w:rPr>
        <w:t>bility</w:t>
      </w:r>
      <w:r w:rsidR="002116D9">
        <w:rPr>
          <w:rFonts w:asciiTheme="majorBidi" w:hAnsiTheme="majorBidi" w:cstheme="majorBidi"/>
          <w:szCs w:val="22"/>
        </w:rPr>
        <w:t>,</w:t>
      </w:r>
      <w:r w:rsidRPr="009D551E">
        <w:rPr>
          <w:rFonts w:asciiTheme="majorBidi" w:hAnsiTheme="majorBidi" w:cstheme="majorBidi"/>
          <w:szCs w:val="22"/>
        </w:rPr>
        <w:t xml:space="preserve"> and the need for policy makers to consider the dynamics that may exist between different policies</w:t>
      </w:r>
      <w:r w:rsidR="003D295C">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6"/>
      </w:r>
      <w:r w:rsidRPr="009D551E">
        <w:rPr>
          <w:rFonts w:asciiTheme="majorBidi" w:hAnsiTheme="majorBidi" w:cstheme="majorBidi"/>
          <w:szCs w:val="22"/>
        </w:rPr>
        <w:t xml:space="preserve"> Another obstacle identified in the literature </w:t>
      </w:r>
      <w:r w:rsidR="002A01AE">
        <w:rPr>
          <w:rFonts w:asciiTheme="majorBidi" w:hAnsiTheme="majorBidi" w:cstheme="majorBidi"/>
          <w:szCs w:val="22"/>
        </w:rPr>
        <w:t>was</w:t>
      </w:r>
      <w:r w:rsidRPr="009D551E">
        <w:rPr>
          <w:rFonts w:asciiTheme="majorBidi" w:hAnsiTheme="majorBidi" w:cstheme="majorBidi"/>
          <w:szCs w:val="22"/>
        </w:rPr>
        <w:t xml:space="preserve"> the need to </w:t>
      </w:r>
      <w:r w:rsidRPr="009D551E">
        <w:rPr>
          <w:rFonts w:asciiTheme="majorBidi" w:hAnsiTheme="majorBidi" w:cstheme="majorBidi"/>
          <w:szCs w:val="22"/>
        </w:rPr>
        <w:lastRenderedPageBreak/>
        <w:t>reconcile different perceptions among stakeholders of what constitutes an ecosystem service</w:t>
      </w:r>
      <w:r w:rsidR="003D295C">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7"/>
      </w:r>
      <w:r w:rsidRPr="009D551E">
        <w:rPr>
          <w:rFonts w:asciiTheme="majorBidi" w:hAnsiTheme="majorBidi" w:cstheme="majorBidi"/>
          <w:szCs w:val="22"/>
        </w:rPr>
        <w:t xml:space="preserve"> One possible tool to facilitate the implementation of this target is the System of Environmental and Economic Accounting (SEEA) adopted by the United Nations Statistical Commission. However</w:t>
      </w:r>
      <w:r w:rsidR="002116D9">
        <w:rPr>
          <w:rFonts w:asciiTheme="majorBidi" w:hAnsiTheme="majorBidi" w:cstheme="majorBidi"/>
          <w:szCs w:val="22"/>
        </w:rPr>
        <w:t>,</w:t>
      </w:r>
      <w:r w:rsidRPr="009D551E">
        <w:rPr>
          <w:rFonts w:asciiTheme="majorBidi" w:hAnsiTheme="majorBidi" w:cstheme="majorBidi"/>
          <w:szCs w:val="22"/>
        </w:rPr>
        <w:t xml:space="preserve"> the integration of this framework in national accounting systems has been limited to date</w:t>
      </w:r>
      <w:r w:rsidR="003D295C">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8"/>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The scientific information that has become available since the publication of GBO-4 suggests that the progress towards this target is largely unchanged from what was previously reported. Similarly</w:t>
      </w:r>
      <w:r w:rsidR="002116D9">
        <w:rPr>
          <w:rFonts w:asciiTheme="majorBidi" w:hAnsiTheme="majorBidi" w:cstheme="majorBidi"/>
          <w:szCs w:val="22"/>
        </w:rPr>
        <w:t>,</w:t>
      </w:r>
      <w:r w:rsidRPr="009D551E">
        <w:rPr>
          <w:rFonts w:asciiTheme="majorBidi" w:hAnsiTheme="majorBidi" w:cstheme="majorBidi"/>
          <w:szCs w:val="22"/>
        </w:rPr>
        <w:t xml:space="preserve"> the scientific literature suggests that the actions identified in GBO-4 remain relevant to the achievement of this Aichi Biodiversity Target.</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3: 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p>
    <w:p w:rsidR="009D551E" w:rsidRPr="009D551E" w:rsidRDefault="009D551E" w:rsidP="002A01A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Relative to other Aichi Biodiversity Targets</w:t>
      </w:r>
      <w:r w:rsidR="002A01AE">
        <w:rPr>
          <w:rFonts w:asciiTheme="majorBidi" w:hAnsiTheme="majorBidi" w:cstheme="majorBidi"/>
          <w:szCs w:val="22"/>
        </w:rPr>
        <w:t>,</w:t>
      </w:r>
      <w:r w:rsidRPr="009D551E">
        <w:rPr>
          <w:rFonts w:asciiTheme="majorBidi" w:hAnsiTheme="majorBidi" w:cstheme="majorBidi"/>
          <w:szCs w:val="22"/>
        </w:rPr>
        <w:t xml:space="preserve"> there has </w:t>
      </w:r>
      <w:r w:rsidRPr="002116D9">
        <w:rPr>
          <w:rFonts w:asciiTheme="majorBidi" w:hAnsiTheme="majorBidi" w:cstheme="majorBidi"/>
          <w:szCs w:val="22"/>
        </w:rPr>
        <w:t xml:space="preserve">been little </w:t>
      </w:r>
      <w:r w:rsidR="002116D9" w:rsidRPr="002116D9">
        <w:rPr>
          <w:rFonts w:asciiTheme="majorBidi" w:hAnsiTheme="majorBidi" w:cstheme="majorBidi"/>
          <w:szCs w:val="22"/>
        </w:rPr>
        <w:t xml:space="preserve">global-level </w:t>
      </w:r>
      <w:r w:rsidRPr="002116D9">
        <w:rPr>
          <w:rFonts w:asciiTheme="majorBidi" w:hAnsiTheme="majorBidi" w:cstheme="majorBidi"/>
          <w:szCs w:val="22"/>
        </w:rPr>
        <w:t>information</w:t>
      </w:r>
      <w:r w:rsidRPr="009D551E">
        <w:rPr>
          <w:rFonts w:asciiTheme="majorBidi" w:hAnsiTheme="majorBidi" w:cstheme="majorBidi"/>
          <w:szCs w:val="22"/>
        </w:rPr>
        <w:t xml:space="preserve"> published</w:t>
      </w:r>
      <w:r w:rsidR="002116D9">
        <w:rPr>
          <w:rFonts w:asciiTheme="majorBidi" w:hAnsiTheme="majorBidi" w:cstheme="majorBidi"/>
          <w:szCs w:val="22"/>
        </w:rPr>
        <w:t xml:space="preserve"> </w:t>
      </w:r>
      <w:r w:rsidR="002116D9" w:rsidRPr="009D551E">
        <w:rPr>
          <w:rFonts w:asciiTheme="majorBidi" w:hAnsiTheme="majorBidi" w:cstheme="majorBidi"/>
          <w:szCs w:val="22"/>
        </w:rPr>
        <w:t xml:space="preserve">on this issue </w:t>
      </w:r>
      <w:r w:rsidRPr="009D551E">
        <w:rPr>
          <w:rFonts w:asciiTheme="majorBidi" w:hAnsiTheme="majorBidi" w:cstheme="majorBidi"/>
          <w:szCs w:val="22"/>
        </w:rPr>
        <w:t xml:space="preserve">since the release of the </w:t>
      </w:r>
      <w:r w:rsidR="002116D9">
        <w:rPr>
          <w:rFonts w:asciiTheme="majorBidi" w:hAnsiTheme="majorBidi" w:cstheme="majorBidi"/>
          <w:szCs w:val="22"/>
        </w:rPr>
        <w:t xml:space="preserve">GBO-4. </w:t>
      </w:r>
      <w:r w:rsidRPr="009D551E">
        <w:rPr>
          <w:rFonts w:asciiTheme="majorBidi" w:hAnsiTheme="majorBidi" w:cstheme="majorBidi"/>
          <w:szCs w:val="22"/>
        </w:rPr>
        <w:t>However</w:t>
      </w:r>
      <w:r w:rsidR="002116D9">
        <w:rPr>
          <w:rFonts w:asciiTheme="majorBidi" w:hAnsiTheme="majorBidi" w:cstheme="majorBidi"/>
          <w:szCs w:val="22"/>
        </w:rPr>
        <w:t>,</w:t>
      </w:r>
      <w:r w:rsidRPr="009D551E">
        <w:rPr>
          <w:rFonts w:asciiTheme="majorBidi" w:hAnsiTheme="majorBidi" w:cstheme="majorBidi"/>
          <w:szCs w:val="22"/>
        </w:rPr>
        <w:t xml:space="preserve"> various assessments have been undertaken at the regional </w:t>
      </w:r>
      <w:r w:rsidR="002116D9">
        <w:rPr>
          <w:rFonts w:asciiTheme="majorBidi" w:hAnsiTheme="majorBidi" w:cstheme="majorBidi"/>
          <w:szCs w:val="22"/>
        </w:rPr>
        <w:t xml:space="preserve">level (e.g. for </w:t>
      </w:r>
      <w:r w:rsidRPr="009D551E">
        <w:rPr>
          <w:rFonts w:asciiTheme="majorBidi" w:hAnsiTheme="majorBidi" w:cstheme="majorBidi"/>
          <w:szCs w:val="22"/>
        </w:rPr>
        <w:t>Europe</w:t>
      </w:r>
      <w:r w:rsidR="00440667" w:rsidRPr="00720FA7">
        <w:rPr>
          <w:rStyle w:val="StyleFootnoteReferenceNounderline"/>
          <w:sz w:val="22"/>
          <w:vertAlign w:val="superscript"/>
        </w:rPr>
        <w:footnoteReference w:id="19"/>
      </w:r>
      <w:r w:rsidR="002116D9">
        <w:rPr>
          <w:rFonts w:asciiTheme="majorBidi" w:hAnsiTheme="majorBidi" w:cstheme="majorBidi"/>
          <w:szCs w:val="22"/>
        </w:rPr>
        <w:t>)</w:t>
      </w:r>
      <w:r w:rsidRPr="009D551E">
        <w:rPr>
          <w:rFonts w:asciiTheme="majorBidi" w:hAnsiTheme="majorBidi" w:cstheme="majorBidi"/>
          <w:szCs w:val="22"/>
        </w:rPr>
        <w:t xml:space="preserve"> and at the national </w:t>
      </w:r>
      <w:r w:rsidR="00EE5900">
        <w:rPr>
          <w:rFonts w:asciiTheme="majorBidi" w:hAnsiTheme="majorBidi" w:cstheme="majorBidi"/>
          <w:szCs w:val="22"/>
        </w:rPr>
        <w:t>level</w:t>
      </w:r>
      <w:r w:rsidR="000468BC">
        <w:rPr>
          <w:rFonts w:asciiTheme="majorBidi" w:hAnsiTheme="majorBidi" w:cstheme="majorBidi"/>
          <w:szCs w:val="22"/>
        </w:rPr>
        <w:t>.</w:t>
      </w:r>
      <w:r w:rsidR="00440667" w:rsidRPr="00720FA7">
        <w:rPr>
          <w:rStyle w:val="StyleFootnoteReferenceNounderline"/>
          <w:sz w:val="22"/>
          <w:vertAlign w:val="superscript"/>
        </w:rPr>
        <w:footnoteReference w:id="20"/>
      </w:r>
      <w:r w:rsidR="00440667" w:rsidRPr="00720FA7">
        <w:rPr>
          <w:rStyle w:val="StyleFootnoteReferenceNounderline"/>
          <w:sz w:val="22"/>
          <w:vertAlign w:val="superscript"/>
        </w:rPr>
        <w:t>.</w:t>
      </w:r>
      <w:r w:rsidRPr="009D551E">
        <w:rPr>
          <w:rFonts w:asciiTheme="majorBidi" w:hAnsiTheme="majorBidi" w:cstheme="majorBidi"/>
          <w:szCs w:val="22"/>
        </w:rPr>
        <w:t xml:space="preserve"> Different approaches to payment for ecosystem service (PES) schemes have also been explored. One study identified 550 active PES schemes generating between US$ 36 and US$ 42 billion in transactions each year</w:t>
      </w:r>
      <w:r w:rsidR="000468BC">
        <w:rPr>
          <w:rFonts w:asciiTheme="majorBidi" w:hAnsiTheme="majorBidi" w:cstheme="majorBidi"/>
          <w:szCs w:val="22"/>
        </w:rPr>
        <w:t>.</w:t>
      </w:r>
      <w:r w:rsidRPr="002A01AE">
        <w:rPr>
          <w:rStyle w:val="FootnoteReference"/>
          <w:rFonts w:asciiTheme="majorBidi" w:hAnsiTheme="majorBidi" w:cstheme="majorBidi"/>
          <w:sz w:val="22"/>
          <w:szCs w:val="22"/>
        </w:rPr>
        <w:footnoteReference w:id="21"/>
      </w:r>
      <w:r w:rsidRPr="009D551E">
        <w:rPr>
          <w:rFonts w:asciiTheme="majorBidi" w:hAnsiTheme="majorBidi" w:cstheme="majorBidi"/>
          <w:szCs w:val="22"/>
        </w:rPr>
        <w:t xml:space="preserve"> Progress towards the attainment of this target will be further considered during the second meeting of the Subsidiary Body on Implementation.</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4:</w:t>
      </w:r>
      <w:r w:rsidR="002A01AE">
        <w:rPr>
          <w:rFonts w:asciiTheme="majorBidi" w:hAnsiTheme="majorBidi" w:cstheme="majorBidi"/>
          <w:i/>
          <w:sz w:val="22"/>
          <w:szCs w:val="22"/>
        </w:rPr>
        <w:t xml:space="preserve"> </w:t>
      </w:r>
      <w:r w:rsidRPr="009D551E">
        <w:rPr>
          <w:rFonts w:asciiTheme="majorBidi" w:hAnsiTheme="majorBidi" w:cstheme="majorBidi"/>
          <w:i/>
          <w:sz w:val="22"/>
          <w:szCs w:val="22"/>
        </w:rPr>
        <w:t>By 2020, at the latest, Governments, business and stakeholders at all levels have taken steps to achieve or have implemented plans for sustainable production and consumption and have kept the impacts of use of natural resources well within safe ecological limits.</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The information published since GBO-4 has identified various actions which are being taken by countries to make production and consumption more sustainable. For example</w:t>
      </w:r>
      <w:r w:rsidR="00F86065">
        <w:rPr>
          <w:rFonts w:asciiTheme="majorBidi" w:hAnsiTheme="majorBidi" w:cstheme="majorBidi"/>
          <w:szCs w:val="22"/>
        </w:rPr>
        <w:t>,</w:t>
      </w:r>
      <w:r w:rsidRPr="009D551E">
        <w:rPr>
          <w:rFonts w:asciiTheme="majorBidi" w:hAnsiTheme="majorBidi" w:cstheme="majorBidi"/>
          <w:szCs w:val="22"/>
        </w:rPr>
        <w:t xml:space="preserve"> some countries have put in place policies promoting green development while others have implemented tariff systems to encourage renewable energy production and consumption</w:t>
      </w:r>
      <w:r w:rsidR="000468BC">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2"/>
      </w:r>
      <w:r w:rsidRPr="009D551E">
        <w:rPr>
          <w:rFonts w:asciiTheme="majorBidi" w:hAnsiTheme="majorBidi" w:cstheme="majorBidi"/>
          <w:szCs w:val="22"/>
        </w:rPr>
        <w:t xml:space="preserve"> Further</w:t>
      </w:r>
      <w:r w:rsidR="00F86065">
        <w:rPr>
          <w:rFonts w:asciiTheme="majorBidi" w:hAnsiTheme="majorBidi" w:cstheme="majorBidi"/>
          <w:szCs w:val="22"/>
        </w:rPr>
        <w:t>,</w:t>
      </w:r>
      <w:r w:rsidRPr="009D551E">
        <w:rPr>
          <w:rFonts w:asciiTheme="majorBidi" w:hAnsiTheme="majorBidi" w:cstheme="majorBidi"/>
          <w:szCs w:val="22"/>
        </w:rPr>
        <w:t xml:space="preserve"> some countries have put in place initiatives to reduce greenhouse gas emissions and programmes to modernize agricultural equipment</w:t>
      </w:r>
      <w:r w:rsidR="000468BC">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3"/>
      </w:r>
      <w:r w:rsidRPr="009D551E">
        <w:rPr>
          <w:rFonts w:asciiTheme="majorBidi" w:hAnsiTheme="majorBidi" w:cstheme="majorBidi"/>
          <w:szCs w:val="22"/>
        </w:rPr>
        <w:t xml:space="preserve"> Other studies have looked at the use of various certification systems</w:t>
      </w:r>
      <w:r w:rsidR="000468BC">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4"/>
      </w:r>
      <w:r w:rsidRPr="009D551E">
        <w:rPr>
          <w:rFonts w:asciiTheme="majorBidi" w:hAnsiTheme="majorBidi" w:cstheme="majorBidi"/>
          <w:szCs w:val="22"/>
        </w:rPr>
        <w:t xml:space="preserve"> </w:t>
      </w:r>
    </w:p>
    <w:p w:rsidR="009D551E" w:rsidRPr="009D551E" w:rsidRDefault="009D551E" w:rsidP="00317282">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 xml:space="preserve">Much of the scientific information that has become available since the publication of GBO-4 has </w:t>
      </w:r>
      <w:r w:rsidRPr="00F86065">
        <w:rPr>
          <w:rFonts w:asciiTheme="majorBidi" w:hAnsiTheme="majorBidi" w:cstheme="majorBidi"/>
          <w:szCs w:val="22"/>
        </w:rPr>
        <w:t>focused on the national or regional levels. By comparison</w:t>
      </w:r>
      <w:r w:rsidR="00F86065" w:rsidRPr="00F86065">
        <w:rPr>
          <w:rFonts w:asciiTheme="majorBidi" w:hAnsiTheme="majorBidi" w:cstheme="majorBidi"/>
          <w:szCs w:val="22"/>
        </w:rPr>
        <w:t>,</w:t>
      </w:r>
      <w:r w:rsidRPr="00F86065">
        <w:rPr>
          <w:rFonts w:asciiTheme="majorBidi" w:hAnsiTheme="majorBidi" w:cstheme="majorBidi"/>
          <w:szCs w:val="22"/>
        </w:rPr>
        <w:t xml:space="preserve"> little global</w:t>
      </w:r>
      <w:r w:rsidR="00F86065" w:rsidRPr="00F86065">
        <w:rPr>
          <w:rFonts w:asciiTheme="majorBidi" w:hAnsiTheme="majorBidi" w:cstheme="majorBidi"/>
          <w:szCs w:val="22"/>
        </w:rPr>
        <w:t>-</w:t>
      </w:r>
      <w:r w:rsidRPr="00F86065">
        <w:rPr>
          <w:rFonts w:asciiTheme="majorBidi" w:hAnsiTheme="majorBidi" w:cstheme="majorBidi"/>
          <w:szCs w:val="22"/>
        </w:rPr>
        <w:t>level information summarizing</w:t>
      </w:r>
      <w:r w:rsidRPr="009D551E">
        <w:rPr>
          <w:rFonts w:asciiTheme="majorBidi" w:hAnsiTheme="majorBidi" w:cstheme="majorBidi"/>
          <w:szCs w:val="22"/>
        </w:rPr>
        <w:t xml:space="preserve"> </w:t>
      </w:r>
      <w:r w:rsidRPr="009D551E">
        <w:rPr>
          <w:rFonts w:asciiTheme="majorBidi" w:hAnsiTheme="majorBidi" w:cstheme="majorBidi"/>
          <w:szCs w:val="22"/>
        </w:rPr>
        <w:lastRenderedPageBreak/>
        <w:t>trends and issues related to global sustainable production and consumption</w:t>
      </w:r>
      <w:r w:rsidR="00F86065">
        <w:rPr>
          <w:rFonts w:asciiTheme="majorBidi" w:hAnsiTheme="majorBidi" w:cstheme="majorBidi"/>
          <w:szCs w:val="22"/>
        </w:rPr>
        <w:t xml:space="preserve"> has </w:t>
      </w:r>
      <w:r w:rsidR="00317282">
        <w:rPr>
          <w:rFonts w:asciiTheme="majorBidi" w:hAnsiTheme="majorBidi" w:cstheme="majorBidi"/>
          <w:szCs w:val="22"/>
        </w:rPr>
        <w:t>become</w:t>
      </w:r>
      <w:r w:rsidR="00F86065">
        <w:rPr>
          <w:rFonts w:asciiTheme="majorBidi" w:hAnsiTheme="majorBidi" w:cstheme="majorBidi"/>
          <w:szCs w:val="22"/>
        </w:rPr>
        <w:t xml:space="preserve"> available</w:t>
      </w:r>
      <w:r w:rsidRPr="009D551E">
        <w:rPr>
          <w:rFonts w:asciiTheme="majorBidi" w:hAnsiTheme="majorBidi" w:cstheme="majorBidi"/>
          <w:szCs w:val="22"/>
        </w:rPr>
        <w:t>.  However</w:t>
      </w:r>
      <w:r w:rsidR="00F86065">
        <w:rPr>
          <w:rFonts w:asciiTheme="majorBidi" w:hAnsiTheme="majorBidi" w:cstheme="majorBidi"/>
          <w:szCs w:val="22"/>
        </w:rPr>
        <w:t>,</w:t>
      </w:r>
      <w:r w:rsidRPr="009D551E">
        <w:rPr>
          <w:rFonts w:asciiTheme="majorBidi" w:hAnsiTheme="majorBidi" w:cstheme="majorBidi"/>
          <w:szCs w:val="22"/>
        </w:rPr>
        <w:t xml:space="preserve"> one global assessment estimated that green consumption represented less than 4% of global consumption and that strategies to increase this, particularly in emerging economies</w:t>
      </w:r>
      <w:r w:rsidR="00F86065">
        <w:rPr>
          <w:rFonts w:asciiTheme="majorBidi" w:hAnsiTheme="majorBidi" w:cstheme="majorBidi"/>
          <w:szCs w:val="22"/>
        </w:rPr>
        <w:t>,</w:t>
      </w:r>
      <w:r w:rsidRPr="009D551E">
        <w:rPr>
          <w:rFonts w:asciiTheme="majorBidi" w:hAnsiTheme="majorBidi" w:cstheme="majorBidi"/>
          <w:szCs w:val="22"/>
        </w:rPr>
        <w:t xml:space="preserve"> are required</w:t>
      </w:r>
      <w:r w:rsidR="000468BC">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5"/>
      </w:r>
      <w:r w:rsidRPr="009D551E">
        <w:rPr>
          <w:rFonts w:asciiTheme="majorBidi" w:hAnsiTheme="majorBidi" w:cstheme="majorBidi"/>
          <w:szCs w:val="22"/>
        </w:rPr>
        <w:t xml:space="preserve"> </w:t>
      </w:r>
      <w:r w:rsidR="00F86065">
        <w:rPr>
          <w:rFonts w:asciiTheme="majorBidi" w:hAnsiTheme="majorBidi" w:cstheme="majorBidi"/>
          <w:szCs w:val="22"/>
        </w:rPr>
        <w:t>I</w:t>
      </w:r>
      <w:r w:rsidRPr="009D551E">
        <w:rPr>
          <w:rFonts w:asciiTheme="majorBidi" w:hAnsiTheme="majorBidi" w:cstheme="majorBidi"/>
          <w:szCs w:val="22"/>
        </w:rPr>
        <w:t>t has also been observed that greater awareness is helping to increase the demand for greener products and services and that in industries</w:t>
      </w:r>
      <w:r w:rsidR="00F86065">
        <w:rPr>
          <w:rFonts w:asciiTheme="majorBidi" w:hAnsiTheme="majorBidi" w:cstheme="majorBidi"/>
          <w:szCs w:val="22"/>
        </w:rPr>
        <w:t>,</w:t>
      </w:r>
      <w:r w:rsidRPr="009D551E">
        <w:rPr>
          <w:rFonts w:asciiTheme="majorBidi" w:hAnsiTheme="majorBidi" w:cstheme="majorBidi"/>
          <w:szCs w:val="22"/>
        </w:rPr>
        <w:t xml:space="preserve"> such as the food industry, this has led to improvements in labelling</w:t>
      </w:r>
      <w:r w:rsidR="000468BC">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6"/>
      </w:r>
      <w:r w:rsidRPr="009D551E">
        <w:rPr>
          <w:rFonts w:asciiTheme="majorBidi" w:hAnsiTheme="majorBidi" w:cstheme="majorBidi"/>
          <w:szCs w:val="22"/>
        </w:rPr>
        <w:t xml:space="preserve"> There has also been growing recognition of the role of trade patterns and telecon</w:t>
      </w:r>
      <w:r w:rsidR="00F86065">
        <w:rPr>
          <w:rFonts w:asciiTheme="majorBidi" w:hAnsiTheme="majorBidi" w:cstheme="majorBidi"/>
          <w:szCs w:val="22"/>
        </w:rPr>
        <w:t>n</w:t>
      </w:r>
      <w:r w:rsidRPr="009D551E">
        <w:rPr>
          <w:rFonts w:asciiTheme="majorBidi" w:hAnsiTheme="majorBidi" w:cstheme="majorBidi"/>
          <w:szCs w:val="22"/>
        </w:rPr>
        <w:t>ections on the production and consumption of resources</w:t>
      </w:r>
      <w:r w:rsidRPr="009D551E">
        <w:rPr>
          <w:rStyle w:val="FootnoteReference"/>
          <w:rFonts w:asciiTheme="majorBidi" w:hAnsiTheme="majorBidi" w:cstheme="majorBidi"/>
          <w:sz w:val="22"/>
          <w:szCs w:val="22"/>
        </w:rPr>
        <w:footnoteReference w:id="27"/>
      </w:r>
      <w:r w:rsidRPr="009D551E">
        <w:rPr>
          <w:rFonts w:asciiTheme="majorBidi" w:hAnsiTheme="majorBidi" w:cstheme="majorBidi"/>
          <w:szCs w:val="22"/>
        </w:rPr>
        <w:t xml:space="preserve">. For </w:t>
      </w:r>
      <w:r w:rsidR="00F86065" w:rsidRPr="009D551E">
        <w:rPr>
          <w:rFonts w:asciiTheme="majorBidi" w:hAnsiTheme="majorBidi" w:cstheme="majorBidi"/>
          <w:szCs w:val="22"/>
        </w:rPr>
        <w:t>example</w:t>
      </w:r>
      <w:r w:rsidR="00F86065">
        <w:rPr>
          <w:rFonts w:asciiTheme="majorBidi" w:hAnsiTheme="majorBidi" w:cstheme="majorBidi"/>
          <w:szCs w:val="22"/>
        </w:rPr>
        <w:t xml:space="preserve">, </w:t>
      </w:r>
      <w:r w:rsidRPr="009D551E">
        <w:rPr>
          <w:rFonts w:asciiTheme="majorBidi" w:hAnsiTheme="majorBidi" w:cstheme="majorBidi"/>
          <w:szCs w:val="22"/>
        </w:rPr>
        <w:t>an assessment of the material footprints of 186 countries found that countries’ use of resources from non-domestic sources is about three times larger than the physical quantity of traded goods</w:t>
      </w:r>
      <w:r w:rsidRPr="009D551E">
        <w:rPr>
          <w:rStyle w:val="FootnoteReference"/>
          <w:rFonts w:asciiTheme="majorBidi" w:hAnsiTheme="majorBidi" w:cstheme="majorBidi"/>
          <w:sz w:val="22"/>
          <w:szCs w:val="22"/>
        </w:rPr>
        <w:footnoteReference w:id="28"/>
      </w:r>
      <w:r w:rsidRPr="009D551E">
        <w:rPr>
          <w:rFonts w:asciiTheme="majorBidi" w:hAnsiTheme="majorBidi" w:cstheme="majorBidi"/>
          <w:szCs w:val="22"/>
        </w:rPr>
        <w:t xml:space="preserve">. The same study also found </w:t>
      </w:r>
      <w:r w:rsidR="00F86065" w:rsidRPr="009D551E">
        <w:rPr>
          <w:rFonts w:asciiTheme="majorBidi" w:hAnsiTheme="majorBidi" w:cstheme="majorBidi"/>
          <w:szCs w:val="22"/>
        </w:rPr>
        <w:t>that</w:t>
      </w:r>
      <w:r w:rsidR="00F86065">
        <w:rPr>
          <w:rFonts w:asciiTheme="majorBidi" w:hAnsiTheme="majorBidi" w:cstheme="majorBidi"/>
          <w:szCs w:val="22"/>
        </w:rPr>
        <w:t xml:space="preserve">, </w:t>
      </w:r>
      <w:r w:rsidRPr="009D551E">
        <w:rPr>
          <w:rFonts w:asciiTheme="majorBidi" w:hAnsiTheme="majorBidi" w:cstheme="majorBidi"/>
          <w:szCs w:val="22"/>
        </w:rPr>
        <w:t>as wealth increases</w:t>
      </w:r>
      <w:r w:rsidR="002A01AE">
        <w:rPr>
          <w:rFonts w:asciiTheme="majorBidi" w:hAnsiTheme="majorBidi" w:cstheme="majorBidi"/>
          <w:szCs w:val="22"/>
        </w:rPr>
        <w:t>,</w:t>
      </w:r>
      <w:r w:rsidRPr="009D551E">
        <w:rPr>
          <w:rFonts w:asciiTheme="majorBidi" w:hAnsiTheme="majorBidi" w:cstheme="majorBidi"/>
          <w:szCs w:val="22"/>
        </w:rPr>
        <w:t xml:space="preserve"> countries tend to reduce their consumption of domestic resources through international trade thereby allowing their material consumption to increase. </w:t>
      </w:r>
    </w:p>
    <w:p w:rsidR="009D551E" w:rsidRPr="00255D78" w:rsidRDefault="009D551E" w:rsidP="009D551E">
      <w:pPr>
        <w:pStyle w:val="Para1"/>
        <w:tabs>
          <w:tab w:val="clear" w:pos="360"/>
          <w:tab w:val="num" w:pos="567"/>
          <w:tab w:val="num" w:pos="3150"/>
        </w:tabs>
        <w:rPr>
          <w:rFonts w:asciiTheme="majorBidi" w:hAnsiTheme="majorBidi" w:cstheme="majorBidi"/>
          <w:szCs w:val="22"/>
        </w:rPr>
      </w:pPr>
      <w:r w:rsidRPr="00255D78">
        <w:rPr>
          <w:rFonts w:asciiTheme="majorBidi" w:hAnsiTheme="majorBidi" w:cstheme="majorBidi"/>
          <w:szCs w:val="22"/>
        </w:rPr>
        <w:t>Three indicators used in GBO-4 have been updated since the report was released. These are the percentage of countries that are Category 1 CITES Parties</w:t>
      </w:r>
      <w:r w:rsidR="000468BC">
        <w:rPr>
          <w:rFonts w:asciiTheme="majorBidi" w:hAnsiTheme="majorBidi" w:cstheme="majorBidi"/>
          <w:szCs w:val="22"/>
        </w:rPr>
        <w:t>,</w:t>
      </w:r>
      <w:r w:rsidRPr="00255D78">
        <w:rPr>
          <w:rStyle w:val="FootnoteReference"/>
          <w:rFonts w:asciiTheme="majorBidi" w:hAnsiTheme="majorBidi" w:cstheme="majorBidi"/>
          <w:sz w:val="22"/>
          <w:szCs w:val="22"/>
        </w:rPr>
        <w:footnoteReference w:id="29"/>
      </w:r>
      <w:r w:rsidRPr="00255D78">
        <w:rPr>
          <w:rFonts w:asciiTheme="majorBidi" w:hAnsiTheme="majorBidi" w:cstheme="majorBidi"/>
          <w:szCs w:val="22"/>
        </w:rPr>
        <w:t xml:space="preserve"> which shows an increase, and the Red List Index for the impacts of utilization</w:t>
      </w:r>
      <w:r w:rsidRPr="00255D78">
        <w:rPr>
          <w:rStyle w:val="FootnoteReference"/>
          <w:rFonts w:asciiTheme="majorBidi" w:hAnsiTheme="majorBidi" w:cstheme="majorBidi"/>
          <w:sz w:val="22"/>
          <w:szCs w:val="22"/>
        </w:rPr>
        <w:footnoteReference w:id="30"/>
      </w:r>
      <w:r w:rsidRPr="00255D78">
        <w:rPr>
          <w:rFonts w:asciiTheme="majorBidi" w:hAnsiTheme="majorBidi" w:cstheme="majorBidi"/>
          <w:szCs w:val="22"/>
        </w:rPr>
        <w:t xml:space="preserve"> and the Ecological Footprint</w:t>
      </w:r>
      <w:r w:rsidR="000468BC">
        <w:rPr>
          <w:rFonts w:asciiTheme="majorBidi" w:hAnsiTheme="majorBidi" w:cstheme="majorBidi"/>
          <w:szCs w:val="22"/>
        </w:rPr>
        <w:t>,</w:t>
      </w:r>
      <w:r w:rsidRPr="00255D78">
        <w:rPr>
          <w:rStyle w:val="FootnoteReference"/>
          <w:rFonts w:asciiTheme="majorBidi" w:hAnsiTheme="majorBidi" w:cstheme="majorBidi"/>
          <w:sz w:val="22"/>
          <w:szCs w:val="22"/>
        </w:rPr>
        <w:footnoteReference w:id="31"/>
      </w:r>
      <w:r w:rsidRPr="00255D78">
        <w:rPr>
          <w:rFonts w:asciiTheme="majorBidi" w:hAnsiTheme="majorBidi" w:cstheme="majorBidi"/>
          <w:szCs w:val="22"/>
        </w:rPr>
        <w:t xml:space="preserve"> both of which show a decrease. In addition</w:t>
      </w:r>
      <w:r w:rsidR="00F86065" w:rsidRPr="00255D78">
        <w:rPr>
          <w:rFonts w:asciiTheme="majorBidi" w:hAnsiTheme="majorBidi" w:cstheme="majorBidi"/>
          <w:szCs w:val="22"/>
        </w:rPr>
        <w:t>,</w:t>
      </w:r>
      <w:r w:rsidRPr="00255D78">
        <w:rPr>
          <w:rFonts w:asciiTheme="majorBidi" w:hAnsiTheme="majorBidi" w:cstheme="majorBidi"/>
          <w:szCs w:val="22"/>
        </w:rPr>
        <w:t xml:space="preserve"> a new indicator, the Red List Index for internationally traded species</w:t>
      </w:r>
      <w:r w:rsidR="000468BC">
        <w:rPr>
          <w:rFonts w:asciiTheme="majorBidi" w:hAnsiTheme="majorBidi" w:cstheme="majorBidi"/>
          <w:szCs w:val="22"/>
        </w:rPr>
        <w:t>,</w:t>
      </w:r>
      <w:r w:rsidRPr="00255D78">
        <w:rPr>
          <w:rStyle w:val="FootnoteReference"/>
          <w:rFonts w:asciiTheme="majorBidi" w:hAnsiTheme="majorBidi" w:cstheme="majorBidi"/>
          <w:sz w:val="22"/>
          <w:szCs w:val="22"/>
        </w:rPr>
        <w:footnoteReference w:id="32"/>
      </w:r>
      <w:r w:rsidRPr="00255D78">
        <w:rPr>
          <w:rFonts w:asciiTheme="majorBidi" w:hAnsiTheme="majorBidi" w:cstheme="majorBidi"/>
          <w:szCs w:val="22"/>
        </w:rPr>
        <w:t xml:space="preserve"> has become available since GBO-4 was published</w:t>
      </w:r>
      <w:r w:rsidR="003B5F29">
        <w:rPr>
          <w:rFonts w:asciiTheme="majorBidi" w:hAnsiTheme="majorBidi" w:cstheme="majorBidi"/>
          <w:szCs w:val="22"/>
        </w:rPr>
        <w:t xml:space="preserve"> </w:t>
      </w:r>
      <w:proofErr w:type="gramStart"/>
      <w:r w:rsidR="003B5F29">
        <w:rPr>
          <w:rFonts w:asciiTheme="majorBidi" w:hAnsiTheme="majorBidi" w:cstheme="majorBidi"/>
          <w:szCs w:val="22"/>
        </w:rPr>
        <w:t>and also</w:t>
      </w:r>
      <w:proofErr w:type="gramEnd"/>
      <w:r w:rsidR="003B5F29">
        <w:rPr>
          <w:rFonts w:asciiTheme="majorBidi" w:hAnsiTheme="majorBidi" w:cstheme="majorBidi"/>
          <w:szCs w:val="22"/>
        </w:rPr>
        <w:t xml:space="preserve"> </w:t>
      </w:r>
      <w:r w:rsidRPr="00255D78">
        <w:rPr>
          <w:rFonts w:asciiTheme="majorBidi" w:hAnsiTheme="majorBidi" w:cstheme="majorBidi"/>
          <w:szCs w:val="22"/>
        </w:rPr>
        <w:t>shows a dec</w:t>
      </w:r>
      <w:r w:rsidR="003B5F29">
        <w:rPr>
          <w:rFonts w:asciiTheme="majorBidi" w:hAnsiTheme="majorBidi" w:cstheme="majorBidi"/>
          <w:szCs w:val="22"/>
        </w:rPr>
        <w:t>rease</w:t>
      </w:r>
      <w:r w:rsidRPr="00255D78">
        <w:rPr>
          <w:rFonts w:asciiTheme="majorBidi" w:hAnsiTheme="majorBidi" w:cstheme="majorBidi"/>
          <w:szCs w:val="22"/>
        </w:rPr>
        <w:t>.</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The scientific information that has become available since the publication of GBO-4 suggests that the progress towards this target is largely unchanged from what was previously reported. Similarly</w:t>
      </w:r>
      <w:r w:rsidR="00F86065">
        <w:rPr>
          <w:rFonts w:asciiTheme="majorBidi" w:hAnsiTheme="majorBidi" w:cstheme="majorBidi"/>
          <w:szCs w:val="22"/>
        </w:rPr>
        <w:t>,</w:t>
      </w:r>
      <w:r w:rsidRPr="009D551E">
        <w:rPr>
          <w:rFonts w:asciiTheme="majorBidi" w:hAnsiTheme="majorBidi" w:cstheme="majorBidi"/>
          <w:szCs w:val="22"/>
        </w:rPr>
        <w:t xml:space="preserve"> the scientific literature suggests that the actions identified in GBO-4 remain relevant to the achievement of Aichi Biodiversity Target 4.</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5:</w:t>
      </w:r>
      <w:r w:rsidR="002A01AE">
        <w:rPr>
          <w:rFonts w:asciiTheme="majorBidi" w:hAnsiTheme="majorBidi" w:cstheme="majorBidi"/>
          <w:i/>
          <w:sz w:val="22"/>
          <w:szCs w:val="22"/>
        </w:rPr>
        <w:t xml:space="preserve"> </w:t>
      </w:r>
      <w:r w:rsidRPr="009D551E">
        <w:rPr>
          <w:rFonts w:asciiTheme="majorBidi" w:hAnsiTheme="majorBidi" w:cstheme="majorBidi"/>
          <w:i/>
          <w:sz w:val="22"/>
          <w:szCs w:val="22"/>
        </w:rPr>
        <w:t>By 2020, the rate of loss of all natural habitats, including forests, is at least halved and where feasible brought close to zero, and degradation and fragmentation is significantly reduced.</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Since the publication of GBO-</w:t>
      </w:r>
      <w:r w:rsidR="00F2325B" w:rsidRPr="009D551E">
        <w:rPr>
          <w:rFonts w:asciiTheme="majorBidi" w:hAnsiTheme="majorBidi" w:cstheme="majorBidi"/>
          <w:szCs w:val="22"/>
        </w:rPr>
        <w:t>4</w:t>
      </w:r>
      <w:r w:rsidR="00F2325B">
        <w:rPr>
          <w:rFonts w:asciiTheme="majorBidi" w:hAnsiTheme="majorBidi" w:cstheme="majorBidi"/>
          <w:szCs w:val="22"/>
        </w:rPr>
        <w:t xml:space="preserve">, </w:t>
      </w:r>
      <w:r w:rsidRPr="009D551E">
        <w:rPr>
          <w:rFonts w:asciiTheme="majorBidi" w:hAnsiTheme="majorBidi" w:cstheme="majorBidi"/>
          <w:szCs w:val="22"/>
        </w:rPr>
        <w:t xml:space="preserve">numerous studies on various habitats have been published. Some of these are based on new information while others are further examinations of data sets which were available when GBO-4 was published. </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 xml:space="preserve">With regard to forests, globally the annual rate of net forest loss was halved from 7.3 million hectares per year in the 1990s to 3.3 million hectares per year between 2010 and 2015. From 2010 to </w:t>
      </w:r>
      <w:r w:rsidRPr="00373B5E">
        <w:rPr>
          <w:rFonts w:asciiTheme="majorBidi" w:hAnsiTheme="majorBidi" w:cstheme="majorBidi"/>
          <w:szCs w:val="22"/>
        </w:rPr>
        <w:t>2015, tropical forest area declined at 58% of the rate in the 1990s. Temperate forest area expanded at a</w:t>
      </w:r>
      <w:r w:rsidRPr="009D551E">
        <w:rPr>
          <w:rFonts w:asciiTheme="majorBidi" w:hAnsiTheme="majorBidi" w:cstheme="majorBidi"/>
          <w:szCs w:val="22"/>
        </w:rPr>
        <w:t xml:space="preserve"> rate of 2.2 million hectares per year while boreal and sub-tropical forest areas showed little net change. On a regional basis</w:t>
      </w:r>
      <w:r w:rsidR="003B5F29">
        <w:rPr>
          <w:rFonts w:asciiTheme="majorBidi" w:hAnsiTheme="majorBidi" w:cstheme="majorBidi"/>
          <w:szCs w:val="22"/>
        </w:rPr>
        <w:t>,</w:t>
      </w:r>
      <w:r w:rsidRPr="009D551E">
        <w:rPr>
          <w:rFonts w:asciiTheme="majorBidi" w:hAnsiTheme="majorBidi" w:cstheme="majorBidi"/>
          <w:szCs w:val="22"/>
        </w:rPr>
        <w:t xml:space="preserve"> forest area is expanding in Europe, North America, the Caribbean, East Asia, and Western-Central Asia, but is declining in Central America, South America, South and Southeast Asia and Africa</w:t>
      </w:r>
      <w:r w:rsidR="000468BC">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33"/>
      </w:r>
      <w:r w:rsidRPr="009D551E">
        <w:rPr>
          <w:rFonts w:asciiTheme="majorBidi" w:hAnsiTheme="majorBidi" w:cstheme="majorBidi"/>
          <w:szCs w:val="22"/>
        </w:rPr>
        <w:t xml:space="preserve"> Specifically </w:t>
      </w:r>
      <w:proofErr w:type="gramStart"/>
      <w:r w:rsidRPr="009D551E">
        <w:rPr>
          <w:rFonts w:asciiTheme="majorBidi" w:hAnsiTheme="majorBidi" w:cstheme="majorBidi"/>
          <w:szCs w:val="22"/>
        </w:rPr>
        <w:lastRenderedPageBreak/>
        <w:t>with regard to</w:t>
      </w:r>
      <w:proofErr w:type="gramEnd"/>
      <w:r w:rsidRPr="009D551E">
        <w:rPr>
          <w:rFonts w:asciiTheme="majorBidi" w:hAnsiTheme="majorBidi" w:cstheme="majorBidi"/>
          <w:szCs w:val="22"/>
        </w:rPr>
        <w:t xml:space="preserve"> primary forests, forest area declined by 2.5% globally and by 10% in the tropics over the </w:t>
      </w:r>
      <w:r w:rsidR="00373B5E" w:rsidRPr="009D551E">
        <w:rPr>
          <w:rFonts w:asciiTheme="majorBidi" w:hAnsiTheme="majorBidi" w:cstheme="majorBidi"/>
          <w:szCs w:val="22"/>
        </w:rPr>
        <w:t>1990-2015</w:t>
      </w:r>
      <w:r w:rsidR="00373B5E" w:rsidRPr="009D551E">
        <w:rPr>
          <w:rStyle w:val="StyleFootnoteReferenceNounderline"/>
          <w:rFonts w:asciiTheme="majorBidi" w:hAnsiTheme="majorBidi" w:cstheme="majorBidi"/>
          <w:sz w:val="22"/>
          <w:szCs w:val="22"/>
          <w:vertAlign w:val="superscript"/>
        </w:rPr>
        <w:footnoteReference w:id="34"/>
      </w:r>
      <w:r w:rsidR="00373B5E">
        <w:rPr>
          <w:rFonts w:asciiTheme="majorBidi" w:hAnsiTheme="majorBidi" w:cstheme="majorBidi"/>
          <w:szCs w:val="22"/>
        </w:rPr>
        <w:t xml:space="preserve"> </w:t>
      </w:r>
      <w:r w:rsidRPr="009D551E">
        <w:rPr>
          <w:rFonts w:asciiTheme="majorBidi" w:hAnsiTheme="majorBidi" w:cstheme="majorBidi"/>
          <w:szCs w:val="22"/>
        </w:rPr>
        <w:t>period.</w:t>
      </w:r>
    </w:p>
    <w:p w:rsidR="009D551E" w:rsidRPr="009D551E" w:rsidRDefault="009D551E" w:rsidP="002A01A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 xml:space="preserve">Intact primary forests declined </w:t>
      </w:r>
      <w:r w:rsidR="00373B5E">
        <w:rPr>
          <w:rFonts w:asciiTheme="majorBidi" w:hAnsiTheme="majorBidi" w:cstheme="majorBidi"/>
          <w:szCs w:val="22"/>
        </w:rPr>
        <w:t xml:space="preserve">by </w:t>
      </w:r>
      <w:r w:rsidRPr="009D551E">
        <w:rPr>
          <w:rFonts w:asciiTheme="majorBidi" w:hAnsiTheme="majorBidi" w:cstheme="majorBidi"/>
          <w:szCs w:val="22"/>
        </w:rPr>
        <w:t xml:space="preserve">7.2% between 2000 and 2012 </w:t>
      </w:r>
      <w:proofErr w:type="gramStart"/>
      <w:r w:rsidRPr="009D551E">
        <w:rPr>
          <w:rFonts w:asciiTheme="majorBidi" w:hAnsiTheme="majorBidi" w:cstheme="majorBidi"/>
          <w:szCs w:val="22"/>
        </w:rPr>
        <w:t>as a result of</w:t>
      </w:r>
      <w:proofErr w:type="gramEnd"/>
      <w:r w:rsidRPr="009D551E">
        <w:rPr>
          <w:rFonts w:asciiTheme="majorBidi" w:hAnsiTheme="majorBidi" w:cstheme="majorBidi"/>
          <w:szCs w:val="22"/>
        </w:rPr>
        <w:t xml:space="preserve"> fragmentation and this rate of loss appears to be increasing. For example</w:t>
      </w:r>
      <w:r w:rsidR="00373B5E">
        <w:rPr>
          <w:rFonts w:asciiTheme="majorBidi" w:hAnsiTheme="majorBidi" w:cstheme="majorBidi"/>
          <w:szCs w:val="22"/>
        </w:rPr>
        <w:t>,</w:t>
      </w:r>
      <w:r w:rsidRPr="009D551E">
        <w:rPr>
          <w:rFonts w:asciiTheme="majorBidi" w:hAnsiTheme="majorBidi" w:cstheme="majorBidi"/>
          <w:szCs w:val="22"/>
        </w:rPr>
        <w:t xml:space="preserve"> the rate of loss in tropical forests was three times </w:t>
      </w:r>
      <w:r w:rsidR="00373B5E">
        <w:rPr>
          <w:rFonts w:asciiTheme="majorBidi" w:hAnsiTheme="majorBidi" w:cstheme="majorBidi"/>
          <w:szCs w:val="22"/>
        </w:rPr>
        <w:t xml:space="preserve">higher </w:t>
      </w:r>
      <w:r w:rsidRPr="009D551E">
        <w:rPr>
          <w:rFonts w:asciiTheme="majorBidi" w:hAnsiTheme="majorBidi" w:cstheme="majorBidi"/>
          <w:szCs w:val="22"/>
        </w:rPr>
        <w:t>in 2011-2013 than in 2001-2003</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35"/>
      </w:r>
      <w:r w:rsidRPr="009D551E">
        <w:rPr>
          <w:rFonts w:asciiTheme="majorBidi" w:hAnsiTheme="majorBidi" w:cstheme="majorBidi"/>
          <w:szCs w:val="22"/>
        </w:rPr>
        <w:t xml:space="preserve"> Nearly 20% of the world's remaining forest is within 100 meters of a forest edge and more than 70% </w:t>
      </w:r>
      <w:r w:rsidR="002A01AE">
        <w:rPr>
          <w:rFonts w:asciiTheme="majorBidi" w:hAnsiTheme="majorBidi" w:cstheme="majorBidi"/>
          <w:szCs w:val="22"/>
        </w:rPr>
        <w:t>is</w:t>
      </w:r>
      <w:r w:rsidRPr="009D551E">
        <w:rPr>
          <w:rFonts w:asciiTheme="majorBidi" w:hAnsiTheme="majorBidi" w:cstheme="majorBidi"/>
          <w:szCs w:val="22"/>
        </w:rPr>
        <w:t xml:space="preserve"> within 1 kilometre</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36"/>
      </w:r>
      <w:r w:rsidRPr="009D551E">
        <w:rPr>
          <w:rFonts w:asciiTheme="majorBidi" w:hAnsiTheme="majorBidi" w:cstheme="majorBidi"/>
          <w:szCs w:val="22"/>
        </w:rPr>
        <w:t xml:space="preserve"> In one assessment of published global tree cover data, including both forest and forest interior areas, between 2000 and 2012</w:t>
      </w:r>
      <w:r w:rsidR="00373B5E">
        <w:rPr>
          <w:rFonts w:asciiTheme="majorBidi" w:hAnsiTheme="majorBidi" w:cstheme="majorBidi"/>
          <w:szCs w:val="22"/>
        </w:rPr>
        <w:t>,</w:t>
      </w:r>
      <w:r w:rsidRPr="009D551E">
        <w:rPr>
          <w:rFonts w:asciiTheme="majorBidi" w:hAnsiTheme="majorBidi" w:cstheme="majorBidi"/>
          <w:szCs w:val="22"/>
        </w:rPr>
        <w:t xml:space="preserve"> the net rate of forest loss was calculated at 3.2% of all forest area. In comparison</w:t>
      </w:r>
      <w:r w:rsidR="00373B5E">
        <w:rPr>
          <w:rFonts w:asciiTheme="majorBidi" w:hAnsiTheme="majorBidi" w:cstheme="majorBidi"/>
          <w:szCs w:val="22"/>
        </w:rPr>
        <w:t>,</w:t>
      </w:r>
      <w:r w:rsidRPr="009D551E">
        <w:rPr>
          <w:rFonts w:asciiTheme="majorBidi" w:hAnsiTheme="majorBidi" w:cstheme="majorBidi"/>
          <w:szCs w:val="22"/>
        </w:rPr>
        <w:t xml:space="preserve"> 9.9% of forest interior area was lost between 2000 and 2012. One of the conclusions from this study is that considering forest loss alone does not appropriately account for the ecological risk resulting from fragmentation</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37"/>
      </w:r>
      <w:r w:rsidRPr="009D551E">
        <w:rPr>
          <w:rFonts w:asciiTheme="majorBidi" w:hAnsiTheme="majorBidi" w:cstheme="majorBidi"/>
          <w:szCs w:val="22"/>
        </w:rPr>
        <w:t xml:space="preserve"> A similar study, which assessed intact forest landscapes inside protected areas</w:t>
      </w:r>
      <w:r w:rsidR="00CB2917">
        <w:rPr>
          <w:rFonts w:asciiTheme="majorBidi" w:hAnsiTheme="majorBidi" w:cstheme="majorBidi"/>
          <w:szCs w:val="22"/>
        </w:rPr>
        <w:t>,</w:t>
      </w:r>
      <w:r w:rsidRPr="009D551E">
        <w:rPr>
          <w:rFonts w:asciiTheme="majorBidi" w:hAnsiTheme="majorBidi" w:cstheme="majorBidi"/>
          <w:szCs w:val="22"/>
        </w:rPr>
        <w:t xml:space="preserve"> based on remote sensing data, found that 3% of protected forests, 2.5% of intact forests and 1.5% of protected intact forests were lost globally between 2000 and 2012.</w:t>
      </w:r>
      <w:r w:rsidR="002A01AE">
        <w:rPr>
          <w:rFonts w:asciiTheme="majorBidi" w:hAnsiTheme="majorBidi" w:cstheme="majorBidi"/>
          <w:szCs w:val="22"/>
        </w:rPr>
        <w:t xml:space="preserve"> </w:t>
      </w:r>
      <w:r w:rsidRPr="009D551E">
        <w:rPr>
          <w:rFonts w:asciiTheme="majorBidi" w:hAnsiTheme="majorBidi" w:cstheme="majorBidi"/>
          <w:szCs w:val="22"/>
        </w:rPr>
        <w:t>However</w:t>
      </w:r>
      <w:r w:rsidR="00CB2917">
        <w:rPr>
          <w:rFonts w:asciiTheme="majorBidi" w:hAnsiTheme="majorBidi" w:cstheme="majorBidi"/>
          <w:szCs w:val="22"/>
        </w:rPr>
        <w:t>,</w:t>
      </w:r>
      <w:r w:rsidRPr="009D551E">
        <w:rPr>
          <w:rFonts w:asciiTheme="majorBidi" w:hAnsiTheme="majorBidi" w:cstheme="majorBidi"/>
          <w:szCs w:val="22"/>
        </w:rPr>
        <w:t xml:space="preserve"> the study also observed that there was high regional variation and that high rates of loss of protected and intact forests were associated with high gross domestic product and high rates of loss associated with a high proportion of agricultural land</w:t>
      </w:r>
      <w:r w:rsidR="00CE04F9">
        <w:rPr>
          <w:rFonts w:asciiTheme="majorBidi" w:hAnsiTheme="majorBidi" w:cstheme="majorBidi"/>
          <w:szCs w:val="22"/>
        </w:rPr>
        <w:t>.</w:t>
      </w:r>
      <w:r w:rsidRPr="00AA3DD9">
        <w:rPr>
          <w:rStyle w:val="FootnoteReference"/>
          <w:rFonts w:asciiTheme="majorBidi" w:hAnsiTheme="majorBidi" w:cstheme="majorBidi"/>
          <w:sz w:val="22"/>
          <w:szCs w:val="22"/>
        </w:rPr>
        <w:footnoteReference w:id="38"/>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 xml:space="preserve">Among the causes of forest lost </w:t>
      </w:r>
      <w:r w:rsidR="00CB2917">
        <w:rPr>
          <w:rFonts w:asciiTheme="majorBidi" w:hAnsiTheme="majorBidi" w:cstheme="majorBidi"/>
          <w:szCs w:val="22"/>
        </w:rPr>
        <w:t xml:space="preserve">that have been </w:t>
      </w:r>
      <w:r w:rsidRPr="009D551E">
        <w:rPr>
          <w:rFonts w:asciiTheme="majorBidi" w:hAnsiTheme="majorBidi" w:cstheme="majorBidi"/>
          <w:szCs w:val="22"/>
        </w:rPr>
        <w:t xml:space="preserve">explored in the literature </w:t>
      </w:r>
      <w:r w:rsidR="00CB2917">
        <w:rPr>
          <w:rFonts w:asciiTheme="majorBidi" w:hAnsiTheme="majorBidi" w:cstheme="majorBidi"/>
          <w:szCs w:val="22"/>
        </w:rPr>
        <w:t xml:space="preserve">are </w:t>
      </w:r>
      <w:r w:rsidRPr="009D551E">
        <w:rPr>
          <w:rFonts w:asciiTheme="majorBidi" w:hAnsiTheme="majorBidi" w:cstheme="majorBidi"/>
          <w:szCs w:val="22"/>
        </w:rPr>
        <w:t>economic factors, fire</w:t>
      </w:r>
      <w:r w:rsidRPr="009D551E">
        <w:rPr>
          <w:rStyle w:val="StyleFootnoteReferenceNounderline"/>
          <w:rFonts w:asciiTheme="majorBidi" w:hAnsiTheme="majorBidi" w:cstheme="majorBidi"/>
          <w:sz w:val="22"/>
          <w:szCs w:val="22"/>
          <w:vertAlign w:val="superscript"/>
        </w:rPr>
        <w:footnoteReference w:id="39"/>
      </w:r>
      <w:r w:rsidRPr="009D551E">
        <w:rPr>
          <w:rFonts w:asciiTheme="majorBidi" w:hAnsiTheme="majorBidi" w:cstheme="majorBidi"/>
          <w:szCs w:val="22"/>
        </w:rPr>
        <w:t xml:space="preserve"> and insect pests, sever</w:t>
      </w:r>
      <w:r w:rsidR="00CB2917">
        <w:rPr>
          <w:rFonts w:asciiTheme="majorBidi" w:hAnsiTheme="majorBidi" w:cstheme="majorBidi"/>
          <w:szCs w:val="22"/>
        </w:rPr>
        <w:t>e</w:t>
      </w:r>
      <w:r w:rsidRPr="009D551E">
        <w:rPr>
          <w:rFonts w:asciiTheme="majorBidi" w:hAnsiTheme="majorBidi" w:cstheme="majorBidi"/>
          <w:szCs w:val="22"/>
        </w:rPr>
        <w:t xml:space="preserve"> weather and diseases</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40"/>
      </w:r>
      <w:r w:rsidRPr="009D551E">
        <w:rPr>
          <w:rFonts w:asciiTheme="majorBidi" w:hAnsiTheme="majorBidi" w:cstheme="majorBidi"/>
          <w:szCs w:val="22"/>
        </w:rPr>
        <w:t xml:space="preserve"> F</w:t>
      </w:r>
      <w:r w:rsidRPr="009D551E">
        <w:rPr>
          <w:rFonts w:asciiTheme="majorBidi" w:hAnsiTheme="majorBidi" w:cstheme="majorBidi"/>
          <w:snapToGrid/>
          <w:szCs w:val="22"/>
        </w:rPr>
        <w:t xml:space="preserve">orest policies aimed </w:t>
      </w:r>
      <w:r w:rsidR="00CB2917">
        <w:rPr>
          <w:rFonts w:asciiTheme="majorBidi" w:hAnsiTheme="majorBidi" w:cstheme="majorBidi"/>
          <w:snapToGrid/>
          <w:szCs w:val="22"/>
        </w:rPr>
        <w:t xml:space="preserve">at </w:t>
      </w:r>
      <w:r w:rsidRPr="009D551E">
        <w:rPr>
          <w:rFonts w:asciiTheme="majorBidi" w:hAnsiTheme="majorBidi" w:cstheme="majorBidi"/>
          <w:snapToGrid/>
          <w:szCs w:val="22"/>
        </w:rPr>
        <w:t>maximizing profits and unsustainable tenure regimes have also been identified as causes of forest loss</w:t>
      </w:r>
      <w:r w:rsidR="00CE04F9">
        <w:rPr>
          <w:rFonts w:asciiTheme="majorBidi" w:hAnsiTheme="majorBidi" w:cstheme="majorBidi"/>
          <w:snapToGrid/>
          <w:szCs w:val="22"/>
        </w:rPr>
        <w:t>.</w:t>
      </w:r>
      <w:r w:rsidRPr="009D551E">
        <w:rPr>
          <w:rStyle w:val="StyleFootnoteReferenceNounderline"/>
          <w:rFonts w:asciiTheme="majorBidi" w:hAnsiTheme="majorBidi" w:cstheme="majorBidi"/>
          <w:sz w:val="22"/>
          <w:szCs w:val="22"/>
          <w:vertAlign w:val="superscript"/>
        </w:rPr>
        <w:footnoteReference w:id="41"/>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A number of studies have attempted to project trends in forest area. For example</w:t>
      </w:r>
      <w:r w:rsidR="00CB2917">
        <w:rPr>
          <w:rFonts w:asciiTheme="majorBidi" w:hAnsiTheme="majorBidi" w:cstheme="majorBidi"/>
          <w:szCs w:val="22"/>
        </w:rPr>
        <w:t>,</w:t>
      </w:r>
      <w:r w:rsidRPr="009D551E">
        <w:rPr>
          <w:rFonts w:asciiTheme="majorBidi" w:hAnsiTheme="majorBidi" w:cstheme="majorBidi"/>
          <w:szCs w:val="22"/>
        </w:rPr>
        <w:t xml:space="preserve"> one study projected global forest area to 2030 and concluded that forest area is expected to continue to decline but that the rate of loss will decrease from 0.13% at the beginning of the century to 0.06% per year by 2030. This decline is the result of a decrease in the rate of natural forest loss and an increase in planted forests. However</w:t>
      </w:r>
      <w:r w:rsidR="00CB2917">
        <w:rPr>
          <w:rFonts w:asciiTheme="majorBidi" w:hAnsiTheme="majorBidi" w:cstheme="majorBidi"/>
          <w:szCs w:val="22"/>
        </w:rPr>
        <w:t>,</w:t>
      </w:r>
      <w:r w:rsidRPr="009D551E">
        <w:rPr>
          <w:rFonts w:asciiTheme="majorBidi" w:hAnsiTheme="majorBidi" w:cstheme="majorBidi"/>
          <w:szCs w:val="22"/>
        </w:rPr>
        <w:t xml:space="preserve"> it is important to note that</w:t>
      </w:r>
      <w:r w:rsidR="00CB2917">
        <w:rPr>
          <w:rFonts w:asciiTheme="majorBidi" w:hAnsiTheme="majorBidi" w:cstheme="majorBidi"/>
          <w:szCs w:val="22"/>
        </w:rPr>
        <w:t>,</w:t>
      </w:r>
      <w:r w:rsidRPr="009D551E">
        <w:rPr>
          <w:rFonts w:asciiTheme="majorBidi" w:hAnsiTheme="majorBidi" w:cstheme="majorBidi"/>
          <w:szCs w:val="22"/>
        </w:rPr>
        <w:t xml:space="preserve"> </w:t>
      </w:r>
      <w:r w:rsidR="00CB2917">
        <w:rPr>
          <w:rFonts w:asciiTheme="majorBidi" w:hAnsiTheme="majorBidi" w:cstheme="majorBidi"/>
          <w:szCs w:val="22"/>
        </w:rPr>
        <w:t>al</w:t>
      </w:r>
      <w:r w:rsidRPr="009D551E">
        <w:rPr>
          <w:rFonts w:asciiTheme="majorBidi" w:hAnsiTheme="majorBidi" w:cstheme="majorBidi"/>
          <w:szCs w:val="22"/>
        </w:rPr>
        <w:t>though the overall rate of forest loss in 2030 is projected to be small</w:t>
      </w:r>
      <w:r w:rsidR="00CB2917">
        <w:rPr>
          <w:rFonts w:asciiTheme="majorBidi" w:hAnsiTheme="majorBidi" w:cstheme="majorBidi"/>
          <w:szCs w:val="22"/>
        </w:rPr>
        <w:t>,</w:t>
      </w:r>
      <w:r w:rsidRPr="009D551E">
        <w:rPr>
          <w:rFonts w:asciiTheme="majorBidi" w:hAnsiTheme="majorBidi" w:cstheme="majorBidi"/>
          <w:szCs w:val="22"/>
        </w:rPr>
        <w:t xml:space="preserve"> it masks important regional differences and in some regions forest area is projected to continue declining</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42"/>
      </w:r>
      <w:r w:rsidRPr="009D551E">
        <w:rPr>
          <w:rFonts w:asciiTheme="majorBidi" w:hAnsiTheme="majorBidi" w:cstheme="majorBidi"/>
          <w:szCs w:val="22"/>
        </w:rPr>
        <w:t xml:space="preserve"> </w:t>
      </w:r>
    </w:p>
    <w:p w:rsidR="009D551E" w:rsidRPr="009D551E" w:rsidRDefault="009D551E" w:rsidP="00317282">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 xml:space="preserve">Global mangrove cover was estimated to be 138,000 square kilometres in 2000, </w:t>
      </w:r>
      <w:r w:rsidR="00CB2917">
        <w:rPr>
          <w:rFonts w:asciiTheme="majorBidi" w:hAnsiTheme="majorBidi" w:cstheme="majorBidi"/>
          <w:szCs w:val="22"/>
        </w:rPr>
        <w:t>which is l</w:t>
      </w:r>
      <w:r w:rsidR="00CB2917" w:rsidRPr="009D551E">
        <w:rPr>
          <w:rFonts w:asciiTheme="majorBidi" w:hAnsiTheme="majorBidi" w:cstheme="majorBidi"/>
          <w:szCs w:val="22"/>
        </w:rPr>
        <w:t xml:space="preserve">ess </w:t>
      </w:r>
      <w:r w:rsidRPr="009D551E">
        <w:rPr>
          <w:rFonts w:asciiTheme="majorBidi" w:hAnsiTheme="majorBidi" w:cstheme="majorBidi"/>
          <w:szCs w:val="22"/>
        </w:rPr>
        <w:t>than half of what it was in 1950</w:t>
      </w:r>
      <w:r w:rsidR="00CE04F9">
        <w:rPr>
          <w:rFonts w:asciiTheme="majorBidi" w:hAnsiTheme="majorBidi" w:cstheme="majorBidi"/>
          <w:szCs w:val="22"/>
        </w:rPr>
        <w:t>.</w:t>
      </w:r>
      <w:r w:rsidRPr="009D551E">
        <w:rPr>
          <w:rFonts w:asciiTheme="majorBidi" w:hAnsiTheme="majorBidi" w:cstheme="majorBidi"/>
          <w:szCs w:val="22"/>
          <w:vertAlign w:val="superscript"/>
        </w:rPr>
        <w:footnoteReference w:id="43"/>
      </w:r>
      <w:r w:rsidRPr="009D551E">
        <w:rPr>
          <w:rFonts w:asciiTheme="majorBidi" w:hAnsiTheme="majorBidi" w:cstheme="majorBidi"/>
          <w:szCs w:val="22"/>
        </w:rPr>
        <w:t xml:space="preserve"> A further study estimated that global mangrove area decreased from 170,000 </w:t>
      </w:r>
      <w:r w:rsidRPr="009D551E">
        <w:rPr>
          <w:rFonts w:asciiTheme="majorBidi" w:hAnsiTheme="majorBidi" w:cstheme="majorBidi"/>
          <w:szCs w:val="22"/>
        </w:rPr>
        <w:lastRenderedPageBreak/>
        <w:t xml:space="preserve">square </w:t>
      </w:r>
      <w:r w:rsidR="003E56AF" w:rsidRPr="009D551E">
        <w:rPr>
          <w:rFonts w:asciiTheme="majorBidi" w:hAnsiTheme="majorBidi" w:cstheme="majorBidi"/>
          <w:szCs w:val="22"/>
        </w:rPr>
        <w:t>kilometres</w:t>
      </w:r>
      <w:r w:rsidRPr="009D551E">
        <w:rPr>
          <w:rFonts w:asciiTheme="majorBidi" w:hAnsiTheme="majorBidi" w:cstheme="majorBidi"/>
          <w:szCs w:val="22"/>
        </w:rPr>
        <w:t xml:space="preserve"> to 140,00</w:t>
      </w:r>
      <w:r w:rsidR="00317282">
        <w:rPr>
          <w:rFonts w:asciiTheme="majorBidi" w:hAnsiTheme="majorBidi" w:cstheme="majorBidi"/>
          <w:szCs w:val="22"/>
        </w:rPr>
        <w:t>0</w:t>
      </w:r>
      <w:r w:rsidRPr="009D551E">
        <w:rPr>
          <w:rFonts w:asciiTheme="majorBidi" w:hAnsiTheme="majorBidi" w:cstheme="majorBidi"/>
          <w:szCs w:val="22"/>
        </w:rPr>
        <w:t xml:space="preserve"> square </w:t>
      </w:r>
      <w:r w:rsidR="003E56AF" w:rsidRPr="009D551E">
        <w:rPr>
          <w:rFonts w:asciiTheme="majorBidi" w:hAnsiTheme="majorBidi" w:cstheme="majorBidi"/>
          <w:szCs w:val="22"/>
        </w:rPr>
        <w:t>kilometres</w:t>
      </w:r>
      <w:r w:rsidRPr="009D551E">
        <w:rPr>
          <w:rFonts w:asciiTheme="majorBidi" w:hAnsiTheme="majorBidi" w:cstheme="majorBidi"/>
          <w:szCs w:val="22"/>
        </w:rPr>
        <w:t xml:space="preserve"> between 1997 and 2014</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44"/>
      </w:r>
      <w:r w:rsidR="00CB2917">
        <w:rPr>
          <w:rFonts w:asciiTheme="majorBidi" w:hAnsiTheme="majorBidi" w:cstheme="majorBidi"/>
          <w:szCs w:val="22"/>
        </w:rPr>
        <w:t xml:space="preserve"> </w:t>
      </w:r>
      <w:r w:rsidRPr="00975C8D">
        <w:rPr>
          <w:rFonts w:asciiTheme="majorBidi" w:hAnsiTheme="majorBidi" w:cstheme="majorBidi"/>
          <w:szCs w:val="22"/>
        </w:rPr>
        <w:t>Further</w:t>
      </w:r>
      <w:r w:rsidR="00975C8D" w:rsidRPr="00975C8D">
        <w:rPr>
          <w:rFonts w:asciiTheme="majorBidi" w:hAnsiTheme="majorBidi" w:cstheme="majorBidi"/>
          <w:szCs w:val="22"/>
        </w:rPr>
        <w:t xml:space="preserve">, </w:t>
      </w:r>
      <w:r w:rsidRPr="00975C8D">
        <w:rPr>
          <w:rFonts w:asciiTheme="majorBidi" w:hAnsiTheme="majorBidi" w:cstheme="majorBidi"/>
          <w:szCs w:val="22"/>
        </w:rPr>
        <w:t>while mangroves continue to be lost</w:t>
      </w:r>
      <w:r w:rsidR="00975C8D" w:rsidRPr="00975C8D">
        <w:rPr>
          <w:rFonts w:asciiTheme="majorBidi" w:hAnsiTheme="majorBidi" w:cstheme="majorBidi"/>
          <w:szCs w:val="22"/>
        </w:rPr>
        <w:t>,</w:t>
      </w:r>
      <w:r w:rsidRPr="00975C8D">
        <w:rPr>
          <w:rFonts w:asciiTheme="majorBidi" w:hAnsiTheme="majorBidi" w:cstheme="majorBidi"/>
          <w:szCs w:val="22"/>
        </w:rPr>
        <w:t xml:space="preserve"> the rate of loss appears to be declining. </w:t>
      </w:r>
      <w:r w:rsidRPr="009D551E">
        <w:rPr>
          <w:rFonts w:asciiTheme="majorBidi" w:hAnsiTheme="majorBidi" w:cstheme="majorBidi"/>
          <w:szCs w:val="22"/>
        </w:rPr>
        <w:t>Globally</w:t>
      </w:r>
      <w:r w:rsidR="00975C8D">
        <w:rPr>
          <w:rFonts w:asciiTheme="majorBidi" w:hAnsiTheme="majorBidi" w:cstheme="majorBidi"/>
          <w:szCs w:val="22"/>
        </w:rPr>
        <w:t>,</w:t>
      </w:r>
      <w:r w:rsidRPr="009D551E">
        <w:rPr>
          <w:rFonts w:asciiTheme="majorBidi" w:hAnsiTheme="majorBidi" w:cstheme="majorBidi"/>
          <w:szCs w:val="22"/>
        </w:rPr>
        <w:t xml:space="preserve"> between 2000 and 2012, the rate of mangrove loss was estimated to be 0.16% and 0.39% per year. By comparison</w:t>
      </w:r>
      <w:r w:rsidR="00975C8D">
        <w:rPr>
          <w:rFonts w:asciiTheme="majorBidi" w:hAnsiTheme="majorBidi" w:cstheme="majorBidi"/>
          <w:szCs w:val="22"/>
        </w:rPr>
        <w:t>,</w:t>
      </w:r>
      <w:r w:rsidRPr="009D551E">
        <w:rPr>
          <w:rFonts w:asciiTheme="majorBidi" w:hAnsiTheme="majorBidi" w:cstheme="majorBidi"/>
          <w:szCs w:val="22"/>
        </w:rPr>
        <w:t xml:space="preserve"> in the 1980s</w:t>
      </w:r>
      <w:r w:rsidR="00975C8D">
        <w:rPr>
          <w:rFonts w:asciiTheme="majorBidi" w:hAnsiTheme="majorBidi" w:cstheme="majorBidi"/>
          <w:szCs w:val="22"/>
        </w:rPr>
        <w:t>, the</w:t>
      </w:r>
      <w:r w:rsidRPr="009D551E">
        <w:rPr>
          <w:rFonts w:asciiTheme="majorBidi" w:hAnsiTheme="majorBidi" w:cstheme="majorBidi"/>
          <w:szCs w:val="22"/>
        </w:rPr>
        <w:t xml:space="preserve"> rate of loss was estimated at 0.99% per year and in the 1990s it was estimated at 0.70% per year. However</w:t>
      </w:r>
      <w:r w:rsidR="00975C8D">
        <w:rPr>
          <w:rFonts w:asciiTheme="majorBidi" w:hAnsiTheme="majorBidi" w:cstheme="majorBidi"/>
          <w:szCs w:val="22"/>
        </w:rPr>
        <w:t>,</w:t>
      </w:r>
      <w:r w:rsidRPr="009D551E">
        <w:rPr>
          <w:rFonts w:asciiTheme="majorBidi" w:hAnsiTheme="majorBidi" w:cstheme="majorBidi"/>
          <w:szCs w:val="22"/>
        </w:rPr>
        <w:t xml:space="preserve"> there are regional differences. For example</w:t>
      </w:r>
      <w:r w:rsidR="00975C8D">
        <w:rPr>
          <w:rFonts w:asciiTheme="majorBidi" w:hAnsiTheme="majorBidi" w:cstheme="majorBidi"/>
          <w:szCs w:val="22"/>
        </w:rPr>
        <w:t>,</w:t>
      </w:r>
      <w:r w:rsidRPr="009D551E">
        <w:rPr>
          <w:rFonts w:asciiTheme="majorBidi" w:hAnsiTheme="majorBidi" w:cstheme="majorBidi"/>
          <w:szCs w:val="22"/>
        </w:rPr>
        <w:t xml:space="preserve"> in Southeast Asia</w:t>
      </w:r>
      <w:r w:rsidR="000D3438">
        <w:rPr>
          <w:rFonts w:asciiTheme="majorBidi" w:hAnsiTheme="majorBidi" w:cstheme="majorBidi"/>
          <w:szCs w:val="22"/>
        </w:rPr>
        <w:t>,</w:t>
      </w:r>
      <w:r w:rsidRPr="009D551E">
        <w:rPr>
          <w:rFonts w:asciiTheme="majorBidi" w:hAnsiTheme="majorBidi" w:cstheme="majorBidi"/>
          <w:szCs w:val="22"/>
        </w:rPr>
        <w:t xml:space="preserve"> mangrove loss between 2000 and 2012 </w:t>
      </w:r>
      <w:r w:rsidR="000D3438">
        <w:rPr>
          <w:rFonts w:asciiTheme="majorBidi" w:hAnsiTheme="majorBidi" w:cstheme="majorBidi"/>
          <w:szCs w:val="22"/>
        </w:rPr>
        <w:t xml:space="preserve">was </w:t>
      </w:r>
      <w:r w:rsidRPr="009D551E">
        <w:rPr>
          <w:rFonts w:asciiTheme="majorBidi" w:hAnsiTheme="majorBidi" w:cstheme="majorBidi"/>
          <w:szCs w:val="22"/>
        </w:rPr>
        <w:t>estimated to be between 3.58% and 8.08%</w:t>
      </w:r>
      <w:r w:rsidR="00CE04F9">
        <w:rPr>
          <w:rFonts w:asciiTheme="majorBidi" w:hAnsiTheme="majorBidi" w:cstheme="majorBidi"/>
          <w:szCs w:val="22"/>
        </w:rPr>
        <w:t>.</w:t>
      </w:r>
      <w:r w:rsidRPr="009D551E">
        <w:rPr>
          <w:rFonts w:asciiTheme="majorBidi" w:hAnsiTheme="majorBidi" w:cstheme="majorBidi"/>
          <w:szCs w:val="22"/>
          <w:vertAlign w:val="superscript"/>
        </w:rPr>
        <w:footnoteReference w:id="45"/>
      </w:r>
      <w:r w:rsidRPr="009D551E">
        <w:rPr>
          <w:rFonts w:asciiTheme="majorBidi" w:hAnsiTheme="majorBidi" w:cstheme="majorBidi"/>
          <w:szCs w:val="22"/>
        </w:rPr>
        <w:t xml:space="preserve"> However</w:t>
      </w:r>
      <w:r w:rsidR="000D3438">
        <w:rPr>
          <w:rFonts w:asciiTheme="majorBidi" w:hAnsiTheme="majorBidi" w:cstheme="majorBidi"/>
          <w:szCs w:val="22"/>
        </w:rPr>
        <w:t>,</w:t>
      </w:r>
      <w:r w:rsidRPr="009D551E">
        <w:rPr>
          <w:rFonts w:asciiTheme="majorBidi" w:hAnsiTheme="majorBidi" w:cstheme="majorBidi"/>
          <w:szCs w:val="22"/>
        </w:rPr>
        <w:t xml:space="preserve"> other studies have estimated the rate of loss in Southeast Asia to be significantly lower. For example</w:t>
      </w:r>
      <w:r w:rsidR="000D3438">
        <w:rPr>
          <w:rFonts w:asciiTheme="majorBidi" w:hAnsiTheme="majorBidi" w:cstheme="majorBidi"/>
          <w:szCs w:val="22"/>
        </w:rPr>
        <w:t>,</w:t>
      </w:r>
      <w:r w:rsidRPr="009D551E">
        <w:rPr>
          <w:rFonts w:asciiTheme="majorBidi" w:hAnsiTheme="majorBidi" w:cstheme="majorBidi"/>
          <w:szCs w:val="22"/>
        </w:rPr>
        <w:t xml:space="preserve"> one study estimated that mangrove forest loss </w:t>
      </w:r>
      <w:r w:rsidR="00526B6E">
        <w:rPr>
          <w:rFonts w:asciiTheme="majorBidi" w:hAnsiTheme="majorBidi" w:cstheme="majorBidi"/>
          <w:szCs w:val="22"/>
        </w:rPr>
        <w:t>was</w:t>
      </w:r>
      <w:r w:rsidRPr="009D551E">
        <w:rPr>
          <w:rFonts w:asciiTheme="majorBidi" w:hAnsiTheme="majorBidi" w:cstheme="majorBidi"/>
          <w:szCs w:val="22"/>
        </w:rPr>
        <w:t xml:space="preserve"> on average 0.18% per year between 2000 and 2012</w:t>
      </w:r>
      <w:r w:rsidR="00CE04F9">
        <w:rPr>
          <w:rFonts w:asciiTheme="majorBidi" w:hAnsiTheme="majorBidi" w:cstheme="majorBidi"/>
          <w:szCs w:val="22"/>
        </w:rPr>
        <w:t>.</w:t>
      </w:r>
      <w:r w:rsidRPr="009D551E">
        <w:rPr>
          <w:rFonts w:asciiTheme="majorBidi" w:hAnsiTheme="majorBidi" w:cstheme="majorBidi"/>
          <w:szCs w:val="22"/>
          <w:vertAlign w:val="superscript"/>
        </w:rPr>
        <w:footnoteReference w:id="46"/>
      </w:r>
      <w:r w:rsidRPr="009D551E">
        <w:rPr>
          <w:rFonts w:asciiTheme="majorBidi" w:hAnsiTheme="majorBidi" w:cstheme="majorBidi"/>
          <w:szCs w:val="22"/>
        </w:rPr>
        <w:t xml:space="preserve"> Among the main drivers of mangrove loss are wood cutting for firewood and timber and clearing for aquaculture. </w:t>
      </w:r>
      <w:r w:rsidR="00317282">
        <w:rPr>
          <w:rFonts w:asciiTheme="majorBidi" w:hAnsiTheme="majorBidi" w:cstheme="majorBidi"/>
          <w:szCs w:val="22"/>
        </w:rPr>
        <w:t>Overall t</w:t>
      </w:r>
      <w:r w:rsidR="00317282" w:rsidRPr="00975C8D">
        <w:rPr>
          <w:rFonts w:asciiTheme="majorBidi" w:hAnsiTheme="majorBidi" w:cstheme="majorBidi"/>
          <w:szCs w:val="22"/>
        </w:rPr>
        <w:t>rends in mangrove cover are generally negative however there is a high degree of uncertainty making it difficult to determine rates of loss with any significant confidence</w:t>
      </w:r>
      <w:r w:rsidR="00CE04F9">
        <w:rPr>
          <w:rFonts w:asciiTheme="majorBidi" w:hAnsiTheme="majorBidi" w:cstheme="majorBidi"/>
          <w:szCs w:val="22"/>
        </w:rPr>
        <w:t>.</w:t>
      </w:r>
      <w:r w:rsidR="00317282" w:rsidRPr="00975C8D">
        <w:rPr>
          <w:rFonts w:asciiTheme="majorBidi" w:hAnsiTheme="majorBidi" w:cstheme="majorBidi"/>
          <w:szCs w:val="22"/>
          <w:vertAlign w:val="superscript"/>
        </w:rPr>
        <w:footnoteReference w:id="47"/>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Wetlands declined by about 31% between 1970 and 2008. Further</w:t>
      </w:r>
      <w:r w:rsidR="006060B3">
        <w:rPr>
          <w:rFonts w:asciiTheme="majorBidi" w:hAnsiTheme="majorBidi" w:cstheme="majorBidi"/>
          <w:szCs w:val="22"/>
        </w:rPr>
        <w:t>,</w:t>
      </w:r>
      <w:r w:rsidRPr="009D551E">
        <w:rPr>
          <w:rFonts w:asciiTheme="majorBidi" w:hAnsiTheme="majorBidi" w:cstheme="majorBidi"/>
          <w:szCs w:val="22"/>
        </w:rPr>
        <w:t xml:space="preserve"> the rate of decline appears to be constant</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48"/>
      </w:r>
      <w:r w:rsidRPr="009D551E">
        <w:rPr>
          <w:rFonts w:asciiTheme="majorBidi" w:hAnsiTheme="majorBidi" w:cstheme="majorBidi"/>
          <w:szCs w:val="22"/>
        </w:rPr>
        <w:t xml:space="preserve"> Another study concluded that</w:t>
      </w:r>
      <w:r w:rsidR="006060B3">
        <w:rPr>
          <w:rFonts w:asciiTheme="majorBidi" w:hAnsiTheme="majorBidi" w:cstheme="majorBidi"/>
          <w:szCs w:val="22"/>
        </w:rPr>
        <w:t>,</w:t>
      </w:r>
      <w:r w:rsidRPr="009D551E">
        <w:rPr>
          <w:rFonts w:asciiTheme="majorBidi" w:hAnsiTheme="majorBidi" w:cstheme="majorBidi"/>
          <w:szCs w:val="22"/>
        </w:rPr>
        <w:t xml:space="preserve"> in the absence of human intervention</w:t>
      </w:r>
      <w:r w:rsidR="006060B3">
        <w:rPr>
          <w:rFonts w:asciiTheme="majorBidi" w:hAnsiTheme="majorBidi" w:cstheme="majorBidi"/>
          <w:szCs w:val="22"/>
        </w:rPr>
        <w:t>,</w:t>
      </w:r>
      <w:r w:rsidRPr="009D551E">
        <w:rPr>
          <w:rFonts w:asciiTheme="majorBidi" w:hAnsiTheme="majorBidi" w:cstheme="majorBidi"/>
          <w:szCs w:val="22"/>
        </w:rPr>
        <w:t xml:space="preserve"> there would be approximately 29.83 million square kilometres of wetlands. However</w:t>
      </w:r>
      <w:r w:rsidR="006060B3">
        <w:rPr>
          <w:rFonts w:asciiTheme="majorBidi" w:hAnsiTheme="majorBidi" w:cstheme="majorBidi"/>
          <w:szCs w:val="22"/>
        </w:rPr>
        <w:t>,</w:t>
      </w:r>
      <w:r w:rsidRPr="009D551E">
        <w:rPr>
          <w:rFonts w:asciiTheme="majorBidi" w:hAnsiTheme="majorBidi" w:cstheme="majorBidi"/>
          <w:szCs w:val="22"/>
        </w:rPr>
        <w:t xml:space="preserve"> as of 2009</w:t>
      </w:r>
      <w:r w:rsidR="006060B3">
        <w:rPr>
          <w:rFonts w:asciiTheme="majorBidi" w:hAnsiTheme="majorBidi" w:cstheme="majorBidi"/>
          <w:szCs w:val="22"/>
        </w:rPr>
        <w:t>,</w:t>
      </w:r>
      <w:r w:rsidRPr="009D551E">
        <w:rPr>
          <w:rFonts w:asciiTheme="majorBidi" w:hAnsiTheme="majorBidi" w:cstheme="majorBidi"/>
          <w:szCs w:val="22"/>
        </w:rPr>
        <w:t xml:space="preserve"> 33% of global wetlands ha</w:t>
      </w:r>
      <w:r w:rsidR="006060B3">
        <w:rPr>
          <w:rFonts w:asciiTheme="majorBidi" w:hAnsiTheme="majorBidi" w:cstheme="majorBidi"/>
          <w:szCs w:val="22"/>
        </w:rPr>
        <w:t xml:space="preserve">ve </w:t>
      </w:r>
      <w:r w:rsidRPr="009D551E">
        <w:rPr>
          <w:rFonts w:asciiTheme="majorBidi" w:hAnsiTheme="majorBidi" w:cstheme="majorBidi"/>
          <w:szCs w:val="22"/>
        </w:rPr>
        <w:t>been lost</w:t>
      </w:r>
      <w:r w:rsidR="00CE04F9">
        <w:rPr>
          <w:rFonts w:asciiTheme="majorBidi" w:hAnsiTheme="majorBidi" w:cstheme="majorBidi"/>
          <w:szCs w:val="22"/>
        </w:rPr>
        <w:t>.</w:t>
      </w:r>
      <w:r w:rsidRPr="00526B6E">
        <w:rPr>
          <w:rFonts w:asciiTheme="majorBidi" w:hAnsiTheme="majorBidi" w:cstheme="majorBidi"/>
          <w:szCs w:val="22"/>
          <w:vertAlign w:val="superscript"/>
        </w:rPr>
        <w:footnoteReference w:id="49"/>
      </w:r>
      <w:r w:rsidRPr="009D551E">
        <w:rPr>
          <w:rFonts w:asciiTheme="majorBidi" w:hAnsiTheme="majorBidi" w:cstheme="majorBidi"/>
          <w:szCs w:val="22"/>
        </w:rPr>
        <w:t xml:space="preserve"> A further study, reviewing 189 reports related to wetlands, found that between 64</w:t>
      </w:r>
      <w:r w:rsidR="006060B3">
        <w:rPr>
          <w:rFonts w:asciiTheme="majorBidi" w:hAnsiTheme="majorBidi" w:cstheme="majorBidi"/>
          <w:szCs w:val="22"/>
        </w:rPr>
        <w:t>-</w:t>
      </w:r>
      <w:r w:rsidRPr="009D551E">
        <w:rPr>
          <w:rFonts w:asciiTheme="majorBidi" w:hAnsiTheme="majorBidi" w:cstheme="majorBidi"/>
          <w:szCs w:val="22"/>
        </w:rPr>
        <w:t>71% of wetlands have been lost since 1900. Losses have been greater for inland wetlands as compared to coastal wetlands</w:t>
      </w:r>
      <w:r w:rsidR="00CE04F9">
        <w:rPr>
          <w:rFonts w:asciiTheme="majorBidi" w:hAnsiTheme="majorBidi" w:cstheme="majorBidi"/>
          <w:szCs w:val="22"/>
        </w:rPr>
        <w:t>.</w:t>
      </w:r>
      <w:r w:rsidRPr="009D551E">
        <w:rPr>
          <w:rFonts w:asciiTheme="majorBidi" w:hAnsiTheme="majorBidi" w:cstheme="majorBidi"/>
          <w:szCs w:val="22"/>
          <w:vertAlign w:val="superscript"/>
        </w:rPr>
        <w:footnoteReference w:id="50"/>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Permanent surface water (both inland and coastal), based on satellite images from between 1984 and 2015, is estimated to have declined by almost 90,000 square kilometres. A further 72,000 square kilometres have gone from being permanent to seasonal. Over the same period</w:t>
      </w:r>
      <w:r w:rsidR="003377BF">
        <w:rPr>
          <w:rFonts w:asciiTheme="majorBidi" w:hAnsiTheme="majorBidi" w:cstheme="majorBidi"/>
          <w:szCs w:val="22"/>
        </w:rPr>
        <w:t>,</w:t>
      </w:r>
      <w:r w:rsidRPr="009D551E">
        <w:rPr>
          <w:rFonts w:asciiTheme="majorBidi" w:hAnsiTheme="majorBidi" w:cstheme="majorBidi"/>
          <w:szCs w:val="22"/>
        </w:rPr>
        <w:t xml:space="preserve"> 213,000 square kilometres of permanent water bodies emerged</w:t>
      </w:r>
      <w:r w:rsidR="00BB4E25">
        <w:rPr>
          <w:rFonts w:asciiTheme="majorBidi" w:hAnsiTheme="majorBidi" w:cstheme="majorBidi"/>
          <w:szCs w:val="22"/>
        </w:rPr>
        <w:t>,</w:t>
      </w:r>
      <w:r w:rsidRPr="009D551E">
        <w:rPr>
          <w:rFonts w:asciiTheme="majorBidi" w:hAnsiTheme="majorBidi" w:cstheme="majorBidi"/>
          <w:szCs w:val="22"/>
        </w:rPr>
        <w:t xml:space="preserve"> of which 29,000 square kilometres used to be seasonal. Much of the increase that has been observed is the result of the filling of reservoirs. However</w:t>
      </w:r>
      <w:r w:rsidR="003377BF">
        <w:rPr>
          <w:rFonts w:asciiTheme="majorBidi" w:hAnsiTheme="majorBidi" w:cstheme="majorBidi"/>
          <w:szCs w:val="22"/>
        </w:rPr>
        <w:t>,</w:t>
      </w:r>
      <w:r w:rsidRPr="009D551E">
        <w:rPr>
          <w:rFonts w:asciiTheme="majorBidi" w:hAnsiTheme="majorBidi" w:cstheme="majorBidi"/>
          <w:szCs w:val="22"/>
        </w:rPr>
        <w:t xml:space="preserve"> these global trends also obscure strong regional variation. For example</w:t>
      </w:r>
      <w:r w:rsidR="003377BF">
        <w:rPr>
          <w:rFonts w:asciiTheme="majorBidi" w:hAnsiTheme="majorBidi" w:cstheme="majorBidi"/>
          <w:szCs w:val="22"/>
        </w:rPr>
        <w:t>,</w:t>
      </w:r>
      <w:r w:rsidRPr="009D551E">
        <w:rPr>
          <w:rFonts w:asciiTheme="majorBidi" w:hAnsiTheme="majorBidi" w:cstheme="majorBidi"/>
          <w:szCs w:val="22"/>
        </w:rPr>
        <w:t xml:space="preserve"> more than 70% of the loss in global permanent water occurred in the Middle East and Central Asia</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51"/>
      </w:r>
      <w:r w:rsidRPr="009D551E">
        <w:rPr>
          <w:rFonts w:asciiTheme="majorBidi" w:hAnsiTheme="majorBidi" w:cstheme="majorBidi"/>
          <w:szCs w:val="22"/>
        </w:rPr>
        <w:t xml:space="preserve"> An addition</w:t>
      </w:r>
      <w:r w:rsidR="00BB4E25">
        <w:rPr>
          <w:rFonts w:asciiTheme="majorBidi" w:hAnsiTheme="majorBidi" w:cstheme="majorBidi"/>
          <w:szCs w:val="22"/>
        </w:rPr>
        <w:t>al</w:t>
      </w:r>
      <w:r w:rsidRPr="009D551E">
        <w:rPr>
          <w:rFonts w:asciiTheme="majorBidi" w:hAnsiTheme="majorBidi" w:cstheme="majorBidi"/>
          <w:szCs w:val="22"/>
        </w:rPr>
        <w:t xml:space="preserve"> pressure on the world's inland water systems is fragmentation. For example</w:t>
      </w:r>
      <w:r w:rsidR="00BB4E25">
        <w:rPr>
          <w:rFonts w:asciiTheme="majorBidi" w:hAnsiTheme="majorBidi" w:cstheme="majorBidi"/>
          <w:szCs w:val="22"/>
        </w:rPr>
        <w:t>,</w:t>
      </w:r>
      <w:r w:rsidRPr="009D551E">
        <w:rPr>
          <w:rFonts w:asciiTheme="majorBidi" w:hAnsiTheme="majorBidi" w:cstheme="majorBidi"/>
          <w:szCs w:val="22"/>
        </w:rPr>
        <w:t xml:space="preserve"> 48% of global river volume is moderately or severely impacted by flow regulation and/or fragmentation. The same study identified a total of 6374 large dams that currently exist and an additional 3377 </w:t>
      </w:r>
      <w:r w:rsidR="00BB4E25">
        <w:rPr>
          <w:rFonts w:asciiTheme="majorBidi" w:hAnsiTheme="majorBidi" w:cstheme="majorBidi"/>
          <w:szCs w:val="22"/>
        </w:rPr>
        <w:t xml:space="preserve">that are </w:t>
      </w:r>
      <w:r w:rsidRPr="009D551E">
        <w:rPr>
          <w:rFonts w:asciiTheme="majorBidi" w:hAnsiTheme="majorBidi" w:cstheme="majorBidi"/>
          <w:szCs w:val="22"/>
        </w:rPr>
        <w:t>planned or proposed</w:t>
      </w:r>
      <w:r w:rsidR="00BB4E25">
        <w:rPr>
          <w:rFonts w:asciiTheme="majorBidi" w:hAnsiTheme="majorBidi" w:cstheme="majorBidi"/>
          <w:szCs w:val="22"/>
        </w:rPr>
        <w:t xml:space="preserve">. </w:t>
      </w:r>
      <w:proofErr w:type="gramStart"/>
      <w:r w:rsidRPr="009D551E">
        <w:rPr>
          <w:rFonts w:asciiTheme="majorBidi" w:hAnsiTheme="majorBidi" w:cstheme="majorBidi"/>
          <w:szCs w:val="22"/>
        </w:rPr>
        <w:t>Assuming that</w:t>
      </w:r>
      <w:proofErr w:type="gramEnd"/>
      <w:r w:rsidRPr="009D551E">
        <w:rPr>
          <w:rFonts w:asciiTheme="majorBidi" w:hAnsiTheme="majorBidi" w:cstheme="majorBidi"/>
          <w:szCs w:val="22"/>
        </w:rPr>
        <w:t xml:space="preserve"> all planned dams are built and dams currently under construction are completed, by 2030</w:t>
      </w:r>
      <w:r w:rsidR="00BB4E25">
        <w:rPr>
          <w:rFonts w:asciiTheme="majorBidi" w:hAnsiTheme="majorBidi" w:cstheme="majorBidi"/>
          <w:szCs w:val="22"/>
        </w:rPr>
        <w:t>,</w:t>
      </w:r>
      <w:r w:rsidRPr="009D551E">
        <w:rPr>
          <w:rFonts w:asciiTheme="majorBidi" w:hAnsiTheme="majorBidi" w:cstheme="majorBidi"/>
          <w:szCs w:val="22"/>
        </w:rPr>
        <w:t xml:space="preserve"> 93% of global river volume would be moderately or severely impacted</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52"/>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840863">
        <w:rPr>
          <w:rFonts w:asciiTheme="majorBidi" w:hAnsiTheme="majorBidi" w:cstheme="majorBidi"/>
          <w:szCs w:val="22"/>
        </w:rPr>
        <w:lastRenderedPageBreak/>
        <w:t>Assessments of grasslands often arrive at different results</w:t>
      </w:r>
      <w:r w:rsidRPr="00840863">
        <w:rPr>
          <w:rStyle w:val="StyleFootnoteReferenceNounderline"/>
          <w:rFonts w:asciiTheme="majorBidi" w:hAnsiTheme="majorBidi" w:cstheme="majorBidi"/>
          <w:sz w:val="22"/>
          <w:szCs w:val="22"/>
          <w:vertAlign w:val="superscript"/>
        </w:rPr>
        <w:footnoteReference w:id="53"/>
      </w:r>
      <w:r w:rsidRPr="00840863">
        <w:rPr>
          <w:rFonts w:asciiTheme="majorBidi" w:hAnsiTheme="majorBidi" w:cstheme="majorBidi"/>
          <w:szCs w:val="22"/>
        </w:rPr>
        <w:t xml:space="preserve"> as there are various definitions and</w:t>
      </w:r>
      <w:r w:rsidRPr="009D551E">
        <w:rPr>
          <w:rFonts w:asciiTheme="majorBidi" w:hAnsiTheme="majorBidi" w:cstheme="majorBidi"/>
          <w:szCs w:val="22"/>
        </w:rPr>
        <w:t xml:space="preserve"> classes of grasslands</w:t>
      </w:r>
      <w:r w:rsidRPr="009D551E">
        <w:rPr>
          <w:rStyle w:val="StyleFootnoteReferenceNounderline"/>
          <w:rFonts w:asciiTheme="majorBidi" w:hAnsiTheme="majorBidi" w:cstheme="majorBidi"/>
          <w:sz w:val="22"/>
          <w:szCs w:val="22"/>
          <w:vertAlign w:val="superscript"/>
        </w:rPr>
        <w:footnoteReference w:id="54"/>
      </w:r>
      <w:r w:rsidR="00840863">
        <w:rPr>
          <w:rFonts w:asciiTheme="majorBidi" w:hAnsiTheme="majorBidi" w:cstheme="majorBidi"/>
          <w:szCs w:val="22"/>
        </w:rPr>
        <w:t xml:space="preserve">. Moreover, </w:t>
      </w:r>
      <w:r w:rsidRPr="009D551E">
        <w:rPr>
          <w:rFonts w:asciiTheme="majorBidi" w:hAnsiTheme="majorBidi" w:cstheme="majorBidi"/>
          <w:szCs w:val="22"/>
        </w:rPr>
        <w:t>land cover maps generally have a high level of uncertainty</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55"/>
      </w:r>
      <w:r w:rsidRPr="009D551E">
        <w:rPr>
          <w:rFonts w:asciiTheme="majorBidi" w:hAnsiTheme="majorBidi" w:cstheme="majorBidi"/>
          <w:szCs w:val="22"/>
        </w:rPr>
        <w:t xml:space="preserve"> Globally</w:t>
      </w:r>
      <w:r w:rsidR="00840863">
        <w:rPr>
          <w:rFonts w:asciiTheme="majorBidi" w:hAnsiTheme="majorBidi" w:cstheme="majorBidi"/>
          <w:szCs w:val="22"/>
        </w:rPr>
        <w:t>,</w:t>
      </w:r>
      <w:r w:rsidRPr="009D551E">
        <w:rPr>
          <w:rFonts w:asciiTheme="majorBidi" w:hAnsiTheme="majorBidi" w:cstheme="majorBidi"/>
          <w:szCs w:val="22"/>
        </w:rPr>
        <w:t xml:space="preserve"> agricultural expansion remains a main threat to grasslands, however many high</w:t>
      </w:r>
      <w:r w:rsidR="00840863">
        <w:rPr>
          <w:rFonts w:asciiTheme="majorBidi" w:hAnsiTheme="majorBidi" w:cstheme="majorBidi"/>
          <w:szCs w:val="22"/>
        </w:rPr>
        <w:t>-</w:t>
      </w:r>
      <w:r w:rsidRPr="009D551E">
        <w:rPr>
          <w:rFonts w:asciiTheme="majorBidi" w:hAnsiTheme="majorBidi" w:cstheme="majorBidi"/>
          <w:szCs w:val="22"/>
        </w:rPr>
        <w:t>income countries are experiencing farmland abandonment</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56"/>
      </w:r>
      <w:r w:rsidRPr="009D551E">
        <w:rPr>
          <w:rFonts w:asciiTheme="majorBidi" w:hAnsiTheme="majorBidi" w:cstheme="majorBidi"/>
          <w:szCs w:val="22"/>
        </w:rPr>
        <w:t xml:space="preserve"> </w:t>
      </w:r>
      <w:proofErr w:type="gramStart"/>
      <w:r w:rsidRPr="009D551E">
        <w:rPr>
          <w:rFonts w:asciiTheme="majorBidi" w:hAnsiTheme="majorBidi" w:cstheme="majorBidi"/>
          <w:szCs w:val="22"/>
        </w:rPr>
        <w:t>A number of</w:t>
      </w:r>
      <w:proofErr w:type="gramEnd"/>
      <w:r w:rsidRPr="009D551E">
        <w:rPr>
          <w:rFonts w:asciiTheme="majorBidi" w:hAnsiTheme="majorBidi" w:cstheme="majorBidi"/>
          <w:szCs w:val="22"/>
        </w:rPr>
        <w:t xml:space="preserve"> the studies published since GBO-4 have focused on </w:t>
      </w:r>
      <w:r w:rsidR="00840863">
        <w:rPr>
          <w:rFonts w:asciiTheme="majorBidi" w:hAnsiTheme="majorBidi" w:cstheme="majorBidi"/>
          <w:szCs w:val="22"/>
        </w:rPr>
        <w:t xml:space="preserve">acquiring a </w:t>
      </w:r>
      <w:r w:rsidRPr="009D551E">
        <w:rPr>
          <w:rFonts w:asciiTheme="majorBidi" w:hAnsiTheme="majorBidi" w:cstheme="majorBidi"/>
          <w:szCs w:val="22"/>
        </w:rPr>
        <w:t xml:space="preserve">better understanding </w:t>
      </w:r>
      <w:r w:rsidR="00840863">
        <w:rPr>
          <w:rFonts w:asciiTheme="majorBidi" w:hAnsiTheme="majorBidi" w:cstheme="majorBidi"/>
          <w:szCs w:val="22"/>
        </w:rPr>
        <w:t xml:space="preserve">of </w:t>
      </w:r>
      <w:r w:rsidRPr="009D551E">
        <w:rPr>
          <w:rFonts w:asciiTheme="majorBidi" w:hAnsiTheme="majorBidi" w:cstheme="majorBidi"/>
          <w:szCs w:val="22"/>
        </w:rPr>
        <w:t>grassland trends in specific countries</w:t>
      </w:r>
      <w:r w:rsidR="00840863">
        <w:rPr>
          <w:rFonts w:asciiTheme="majorBidi" w:hAnsiTheme="majorBidi" w:cstheme="majorBidi"/>
          <w:szCs w:val="22"/>
        </w:rPr>
        <w:t>,</w:t>
      </w:r>
      <w:r w:rsidRPr="009D551E">
        <w:rPr>
          <w:rFonts w:asciiTheme="majorBidi" w:hAnsiTheme="majorBidi" w:cstheme="majorBidi"/>
          <w:szCs w:val="22"/>
        </w:rPr>
        <w:t xml:space="preserve"> including Brazil</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57"/>
      </w:r>
      <w:r w:rsidRPr="009D551E">
        <w:rPr>
          <w:rFonts w:asciiTheme="majorBidi" w:hAnsiTheme="majorBidi" w:cstheme="majorBidi"/>
          <w:szCs w:val="22"/>
        </w:rPr>
        <w:t xml:space="preserve"> Mexico</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58"/>
      </w:r>
      <w:r w:rsidRPr="009D551E">
        <w:rPr>
          <w:rFonts w:asciiTheme="majorBidi" w:hAnsiTheme="majorBidi" w:cstheme="majorBidi"/>
          <w:szCs w:val="22"/>
        </w:rPr>
        <w:t xml:space="preserve"> and Mongolia</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59"/>
      </w:r>
      <w:r w:rsidRPr="009D551E">
        <w:rPr>
          <w:rFonts w:asciiTheme="majorBidi" w:hAnsiTheme="majorBidi" w:cstheme="majorBidi"/>
          <w:szCs w:val="22"/>
        </w:rPr>
        <w:t xml:space="preserve"> These studies generally indicate a decline in grassland area.</w:t>
      </w:r>
    </w:p>
    <w:p w:rsidR="009D551E" w:rsidRPr="009D551E" w:rsidRDefault="009D551E" w:rsidP="00526B6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 xml:space="preserve">With regard to the marine environment </w:t>
      </w:r>
      <w:r w:rsidR="00840863">
        <w:rPr>
          <w:rFonts w:asciiTheme="majorBidi" w:hAnsiTheme="majorBidi" w:cstheme="majorBidi"/>
          <w:szCs w:val="22"/>
        </w:rPr>
        <w:t xml:space="preserve">in </w:t>
      </w:r>
      <w:r w:rsidR="00526B6E" w:rsidRPr="009D551E">
        <w:rPr>
          <w:rFonts w:asciiTheme="majorBidi" w:hAnsiTheme="majorBidi" w:cstheme="majorBidi"/>
          <w:szCs w:val="22"/>
        </w:rPr>
        <w:t>general</w:t>
      </w:r>
      <w:r w:rsidRPr="009D551E">
        <w:rPr>
          <w:rFonts w:asciiTheme="majorBidi" w:hAnsiTheme="majorBidi" w:cstheme="majorBidi"/>
          <w:szCs w:val="22"/>
        </w:rPr>
        <w:t>, one study examined the cumulative impacts on the marine ecosystem resulting from fishing, climate change and ocean and land stressors. The assessment found that that 66% of the ocean and 77% of the area under national jurisdiction showed increased human impact</w:t>
      </w:r>
      <w:r w:rsidR="00840863">
        <w:rPr>
          <w:rFonts w:asciiTheme="majorBidi" w:hAnsiTheme="majorBidi" w:cstheme="majorBidi"/>
          <w:szCs w:val="22"/>
        </w:rPr>
        <w:t>,</w:t>
      </w:r>
      <w:r w:rsidRPr="009D551E">
        <w:rPr>
          <w:rFonts w:asciiTheme="majorBidi" w:hAnsiTheme="majorBidi" w:cstheme="majorBidi"/>
          <w:szCs w:val="22"/>
        </w:rPr>
        <w:t xml:space="preserve"> while 5% of the ocean is heavily impacted </w:t>
      </w:r>
      <w:r w:rsidR="00526B6E">
        <w:rPr>
          <w:rFonts w:asciiTheme="majorBidi" w:hAnsiTheme="majorBidi" w:cstheme="majorBidi"/>
          <w:szCs w:val="22"/>
        </w:rPr>
        <w:t xml:space="preserve">and </w:t>
      </w:r>
      <w:r w:rsidRPr="009D551E">
        <w:rPr>
          <w:rFonts w:asciiTheme="majorBidi" w:hAnsiTheme="majorBidi" w:cstheme="majorBidi"/>
          <w:szCs w:val="22"/>
        </w:rPr>
        <w:t>10% has a very low level of impact. However</w:t>
      </w:r>
      <w:r w:rsidR="00840863">
        <w:rPr>
          <w:rFonts w:asciiTheme="majorBidi" w:hAnsiTheme="majorBidi" w:cstheme="majorBidi"/>
          <w:szCs w:val="22"/>
        </w:rPr>
        <w:t>,</w:t>
      </w:r>
      <w:r w:rsidRPr="009D551E">
        <w:rPr>
          <w:rFonts w:asciiTheme="majorBidi" w:hAnsiTheme="majorBidi" w:cstheme="majorBidi"/>
          <w:szCs w:val="22"/>
        </w:rPr>
        <w:t xml:space="preserve"> there have been some signs of improvement.</w:t>
      </w:r>
      <w:r w:rsidRPr="009D551E">
        <w:rPr>
          <w:rStyle w:val="StyleFootnoteReferenceNounderline"/>
          <w:rFonts w:asciiTheme="majorBidi" w:hAnsiTheme="majorBidi" w:cstheme="majorBidi"/>
          <w:sz w:val="22"/>
          <w:szCs w:val="22"/>
          <w:vertAlign w:val="superscript"/>
        </w:rPr>
        <w:footnoteReference w:id="60"/>
      </w:r>
      <w:r w:rsidRPr="009D551E">
        <w:rPr>
          <w:rFonts w:asciiTheme="majorBidi" w:hAnsiTheme="majorBidi" w:cstheme="majorBidi"/>
          <w:szCs w:val="22"/>
        </w:rPr>
        <w:t xml:space="preserve"> A further assessment looking at trends in the marine environment found that trends in habitat modification, including coral cover loss, mangrove loss, change in the cumulative number of marine wind turbines, change in cumulative area of the seabed under contract for mineral extraction in international waters, trends in </w:t>
      </w:r>
      <w:r w:rsidR="00526B6E">
        <w:rPr>
          <w:rFonts w:asciiTheme="majorBidi" w:hAnsiTheme="majorBidi" w:cstheme="majorBidi"/>
          <w:szCs w:val="22"/>
        </w:rPr>
        <w:t xml:space="preserve">the </w:t>
      </w:r>
      <w:r w:rsidRPr="009D551E">
        <w:rPr>
          <w:rFonts w:asciiTheme="majorBidi" w:hAnsiTheme="majorBidi" w:cstheme="majorBidi"/>
          <w:szCs w:val="22"/>
        </w:rPr>
        <w:t>volume of global container port traffic and in change</w:t>
      </w:r>
      <w:r w:rsidR="00526B6E">
        <w:rPr>
          <w:rFonts w:asciiTheme="majorBidi" w:hAnsiTheme="majorBidi" w:cstheme="majorBidi"/>
          <w:szCs w:val="22"/>
        </w:rPr>
        <w:t>s</w:t>
      </w:r>
      <w:r w:rsidRPr="009D551E">
        <w:rPr>
          <w:rFonts w:asciiTheme="majorBidi" w:hAnsiTheme="majorBidi" w:cstheme="majorBidi"/>
          <w:szCs w:val="22"/>
        </w:rPr>
        <w:t xml:space="preserve"> in the cumulative number of marine dead zones, suggest that habitat change may be an increasingly important threat to marine wildlife</w:t>
      </w:r>
      <w:r w:rsidRPr="009D551E">
        <w:rPr>
          <w:rStyle w:val="StyleFootnoteReferenceNounderline"/>
          <w:rFonts w:asciiTheme="majorBidi" w:hAnsiTheme="majorBidi" w:cstheme="majorBidi"/>
          <w:sz w:val="22"/>
          <w:szCs w:val="22"/>
          <w:vertAlign w:val="superscript"/>
        </w:rPr>
        <w:footnoteReference w:id="61"/>
      </w:r>
      <w:r w:rsidRPr="009D551E">
        <w:rPr>
          <w:rFonts w:asciiTheme="majorBidi" w:hAnsiTheme="majorBidi" w:cstheme="majorBidi"/>
          <w:szCs w:val="22"/>
        </w:rPr>
        <w:t>. For example</w:t>
      </w:r>
      <w:r w:rsidR="00840863">
        <w:rPr>
          <w:rFonts w:asciiTheme="majorBidi" w:hAnsiTheme="majorBidi" w:cstheme="majorBidi"/>
          <w:szCs w:val="22"/>
        </w:rPr>
        <w:t>,</w:t>
      </w:r>
      <w:r w:rsidRPr="009D551E">
        <w:rPr>
          <w:rFonts w:asciiTheme="majorBidi" w:hAnsiTheme="majorBidi" w:cstheme="majorBidi"/>
          <w:szCs w:val="22"/>
        </w:rPr>
        <w:t xml:space="preserve"> both dredging</w:t>
      </w:r>
      <w:r w:rsidRPr="009D551E">
        <w:rPr>
          <w:rStyle w:val="StyleFootnoteReferenceNounderline"/>
          <w:rFonts w:asciiTheme="majorBidi" w:hAnsiTheme="majorBidi" w:cstheme="majorBidi"/>
          <w:sz w:val="22"/>
          <w:szCs w:val="22"/>
          <w:vertAlign w:val="superscript"/>
        </w:rPr>
        <w:footnoteReference w:id="62"/>
      </w:r>
      <w:r w:rsidRPr="009D551E">
        <w:rPr>
          <w:rFonts w:asciiTheme="majorBidi" w:hAnsiTheme="majorBidi" w:cstheme="majorBidi"/>
          <w:szCs w:val="22"/>
        </w:rPr>
        <w:t xml:space="preserve"> and bottom trawling</w:t>
      </w:r>
      <w:r w:rsidRPr="009D551E">
        <w:rPr>
          <w:rStyle w:val="StyleFootnoteReferenceNounderline"/>
          <w:rFonts w:asciiTheme="majorBidi" w:hAnsiTheme="majorBidi" w:cstheme="majorBidi"/>
          <w:sz w:val="22"/>
          <w:szCs w:val="22"/>
          <w:vertAlign w:val="superscript"/>
        </w:rPr>
        <w:footnoteReference w:id="63"/>
      </w:r>
      <w:r w:rsidRPr="009D551E">
        <w:rPr>
          <w:rFonts w:asciiTheme="majorBidi" w:hAnsiTheme="majorBidi" w:cstheme="majorBidi"/>
          <w:szCs w:val="22"/>
        </w:rPr>
        <w:t xml:space="preserve"> can have a range of impacts on the marine environment depending on how they are carried out and regulated. </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For kelp forests and sea grasses</w:t>
      </w:r>
      <w:r w:rsidR="00840863">
        <w:rPr>
          <w:rFonts w:asciiTheme="majorBidi" w:hAnsiTheme="majorBidi" w:cstheme="majorBidi"/>
          <w:szCs w:val="22"/>
        </w:rPr>
        <w:t>,</w:t>
      </w:r>
      <w:r w:rsidRPr="009D551E">
        <w:rPr>
          <w:rFonts w:asciiTheme="majorBidi" w:hAnsiTheme="majorBidi" w:cstheme="majorBidi"/>
          <w:szCs w:val="22"/>
        </w:rPr>
        <w:t xml:space="preserve"> there is a high degree of geographic variations in trends, both in terms of the magnitude of change and direction. One analysis observed that 38% of ecoregions had declining trends in kelp forests</w:t>
      </w:r>
      <w:r w:rsidR="00840863">
        <w:rPr>
          <w:rFonts w:asciiTheme="majorBidi" w:hAnsiTheme="majorBidi" w:cstheme="majorBidi"/>
          <w:szCs w:val="22"/>
        </w:rPr>
        <w:t>,</w:t>
      </w:r>
      <w:r w:rsidRPr="009D551E">
        <w:rPr>
          <w:rFonts w:asciiTheme="majorBidi" w:hAnsiTheme="majorBidi" w:cstheme="majorBidi"/>
          <w:szCs w:val="22"/>
        </w:rPr>
        <w:t xml:space="preserve"> while 27% of ecoregions showed positive trends and 35% had no detectable change</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64"/>
      </w:r>
      <w:r w:rsidRPr="009D551E">
        <w:rPr>
          <w:rFonts w:asciiTheme="majorBidi" w:hAnsiTheme="majorBidi" w:cstheme="majorBidi"/>
          <w:szCs w:val="22"/>
        </w:rPr>
        <w:t xml:space="preserve"> </w:t>
      </w:r>
      <w:proofErr w:type="gramStart"/>
      <w:r w:rsidRPr="009D551E">
        <w:rPr>
          <w:rFonts w:asciiTheme="majorBidi" w:hAnsiTheme="majorBidi" w:cstheme="majorBidi"/>
          <w:szCs w:val="22"/>
        </w:rPr>
        <w:t>With regard to</w:t>
      </w:r>
      <w:proofErr w:type="gramEnd"/>
      <w:r w:rsidRPr="009D551E">
        <w:rPr>
          <w:rFonts w:asciiTheme="majorBidi" w:hAnsiTheme="majorBidi" w:cstheme="majorBidi"/>
          <w:szCs w:val="22"/>
        </w:rPr>
        <w:t xml:space="preserve"> seagrasses</w:t>
      </w:r>
      <w:r w:rsidR="00840863">
        <w:rPr>
          <w:rFonts w:asciiTheme="majorBidi" w:hAnsiTheme="majorBidi" w:cstheme="majorBidi"/>
          <w:szCs w:val="22"/>
        </w:rPr>
        <w:t>,</w:t>
      </w:r>
      <w:r w:rsidRPr="009D551E">
        <w:rPr>
          <w:rFonts w:asciiTheme="majorBidi" w:hAnsiTheme="majorBidi" w:cstheme="majorBidi"/>
          <w:szCs w:val="22"/>
        </w:rPr>
        <w:t xml:space="preserve"> a review of these ecosystems in the Western Pacific region found that </w:t>
      </w:r>
      <w:r w:rsidR="003C1256">
        <w:rPr>
          <w:rFonts w:asciiTheme="majorBidi" w:hAnsiTheme="majorBidi" w:cstheme="majorBidi"/>
          <w:szCs w:val="22"/>
        </w:rPr>
        <w:t xml:space="preserve">at </w:t>
      </w:r>
      <w:r w:rsidRPr="009D551E">
        <w:rPr>
          <w:rFonts w:asciiTheme="majorBidi" w:hAnsiTheme="majorBidi" w:cstheme="majorBidi"/>
          <w:szCs w:val="22"/>
        </w:rPr>
        <w:t>three sites seagrasses were stable, at four sites they were declining as a result of nutrient pollution</w:t>
      </w:r>
      <w:r w:rsidR="003C1256">
        <w:rPr>
          <w:rFonts w:asciiTheme="majorBidi" w:hAnsiTheme="majorBidi" w:cstheme="majorBidi"/>
          <w:szCs w:val="22"/>
        </w:rPr>
        <w:t>,</w:t>
      </w:r>
      <w:r w:rsidRPr="009D551E">
        <w:rPr>
          <w:rFonts w:asciiTheme="majorBidi" w:hAnsiTheme="majorBidi" w:cstheme="majorBidi"/>
          <w:szCs w:val="22"/>
        </w:rPr>
        <w:t xml:space="preserve"> and at three sites they were declining as a result of sedimentation. Further</w:t>
      </w:r>
      <w:r w:rsidR="003C1256">
        <w:rPr>
          <w:rFonts w:asciiTheme="majorBidi" w:hAnsiTheme="majorBidi" w:cstheme="majorBidi"/>
          <w:szCs w:val="22"/>
        </w:rPr>
        <w:t>,</w:t>
      </w:r>
      <w:r w:rsidRPr="009D551E">
        <w:rPr>
          <w:rFonts w:asciiTheme="majorBidi" w:hAnsiTheme="majorBidi" w:cstheme="majorBidi"/>
          <w:szCs w:val="22"/>
        </w:rPr>
        <w:t xml:space="preserve"> two s</w:t>
      </w:r>
      <w:r w:rsidR="003C1256">
        <w:rPr>
          <w:rFonts w:asciiTheme="majorBidi" w:hAnsiTheme="majorBidi" w:cstheme="majorBidi"/>
          <w:szCs w:val="22"/>
        </w:rPr>
        <w:t>ites</w:t>
      </w:r>
      <w:r w:rsidRPr="009D551E">
        <w:rPr>
          <w:rFonts w:asciiTheme="majorBidi" w:hAnsiTheme="majorBidi" w:cstheme="majorBidi"/>
          <w:szCs w:val="22"/>
        </w:rPr>
        <w:t xml:space="preserve"> experienced near complete loss of seagrasses but </w:t>
      </w:r>
      <w:r w:rsidR="00526B6E">
        <w:rPr>
          <w:rFonts w:asciiTheme="majorBidi" w:hAnsiTheme="majorBidi" w:cstheme="majorBidi"/>
          <w:szCs w:val="22"/>
        </w:rPr>
        <w:t xml:space="preserve">had </w:t>
      </w:r>
      <w:r w:rsidRPr="009D551E">
        <w:rPr>
          <w:rFonts w:asciiTheme="majorBidi" w:hAnsiTheme="majorBidi" w:cstheme="majorBidi"/>
          <w:szCs w:val="22"/>
        </w:rPr>
        <w:t>begun to recover once sedimentation was reduced</w:t>
      </w:r>
      <w:r w:rsidR="00CE04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65"/>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lastRenderedPageBreak/>
        <w:t xml:space="preserve">Two indicators used in GBO-4 have been updated since the report was released. </w:t>
      </w:r>
      <w:r w:rsidR="003C1256">
        <w:rPr>
          <w:rFonts w:asciiTheme="majorBidi" w:hAnsiTheme="majorBidi" w:cstheme="majorBidi"/>
          <w:szCs w:val="22"/>
        </w:rPr>
        <w:t xml:space="preserve">They are the </w:t>
      </w:r>
      <w:r w:rsidRPr="009D551E">
        <w:rPr>
          <w:rFonts w:asciiTheme="majorBidi" w:hAnsiTheme="majorBidi" w:cstheme="majorBidi"/>
          <w:szCs w:val="22"/>
        </w:rPr>
        <w:t>Wetland Extent Trends Index</w:t>
      </w:r>
      <w:r w:rsidRPr="009D551E">
        <w:rPr>
          <w:rStyle w:val="FootnoteReference"/>
          <w:rFonts w:asciiTheme="majorBidi" w:hAnsiTheme="majorBidi" w:cstheme="majorBidi"/>
          <w:sz w:val="22"/>
          <w:szCs w:val="22"/>
        </w:rPr>
        <w:footnoteReference w:id="66"/>
      </w:r>
      <w:r w:rsidRPr="009D551E">
        <w:rPr>
          <w:rFonts w:asciiTheme="majorBidi" w:hAnsiTheme="majorBidi" w:cstheme="majorBidi"/>
          <w:szCs w:val="22"/>
        </w:rPr>
        <w:t xml:space="preserve"> and the Wild Bird Index for habitat specialists </w:t>
      </w:r>
      <w:r w:rsidR="003C1256">
        <w:rPr>
          <w:rFonts w:asciiTheme="majorBidi" w:hAnsiTheme="majorBidi" w:cstheme="majorBidi"/>
          <w:szCs w:val="22"/>
        </w:rPr>
        <w:t xml:space="preserve">which </w:t>
      </w:r>
      <w:r w:rsidRPr="009D551E">
        <w:rPr>
          <w:rFonts w:asciiTheme="majorBidi" w:hAnsiTheme="majorBidi" w:cstheme="majorBidi"/>
          <w:szCs w:val="22"/>
        </w:rPr>
        <w:t>both show declines. In addition</w:t>
      </w:r>
      <w:r w:rsidR="003C1256">
        <w:rPr>
          <w:rFonts w:asciiTheme="majorBidi" w:hAnsiTheme="majorBidi" w:cstheme="majorBidi"/>
          <w:szCs w:val="22"/>
        </w:rPr>
        <w:t>,</w:t>
      </w:r>
      <w:r w:rsidRPr="009D551E">
        <w:rPr>
          <w:rFonts w:asciiTheme="majorBidi" w:hAnsiTheme="majorBidi" w:cstheme="majorBidi"/>
          <w:szCs w:val="22"/>
        </w:rPr>
        <w:t xml:space="preserve"> two new indicators, area of tree cover loss</w:t>
      </w:r>
      <w:r w:rsidRPr="009D551E">
        <w:rPr>
          <w:rStyle w:val="FootnoteReference"/>
          <w:rFonts w:asciiTheme="majorBidi" w:hAnsiTheme="majorBidi" w:cstheme="majorBidi"/>
          <w:sz w:val="22"/>
          <w:szCs w:val="22"/>
        </w:rPr>
        <w:footnoteReference w:id="67"/>
      </w:r>
      <w:r w:rsidRPr="009D551E">
        <w:rPr>
          <w:rFonts w:asciiTheme="majorBidi" w:hAnsiTheme="majorBidi" w:cstheme="majorBidi"/>
          <w:szCs w:val="22"/>
        </w:rPr>
        <w:t xml:space="preserve"> and </w:t>
      </w:r>
      <w:r w:rsidR="003C1256">
        <w:rPr>
          <w:rFonts w:asciiTheme="majorBidi" w:hAnsiTheme="majorBidi" w:cstheme="majorBidi"/>
          <w:szCs w:val="22"/>
        </w:rPr>
        <w:t xml:space="preserve">the </w:t>
      </w:r>
      <w:r w:rsidRPr="009D551E">
        <w:rPr>
          <w:rFonts w:asciiTheme="majorBidi" w:hAnsiTheme="majorBidi" w:cstheme="majorBidi"/>
          <w:szCs w:val="22"/>
        </w:rPr>
        <w:t>Red List Index for forest specialists both show trends</w:t>
      </w:r>
      <w:r w:rsidR="003C1256">
        <w:rPr>
          <w:rFonts w:asciiTheme="majorBidi" w:hAnsiTheme="majorBidi" w:cstheme="majorBidi"/>
          <w:szCs w:val="22"/>
        </w:rPr>
        <w:t xml:space="preserve"> that are</w:t>
      </w:r>
      <w:r w:rsidRPr="009D551E">
        <w:rPr>
          <w:rFonts w:asciiTheme="majorBidi" w:hAnsiTheme="majorBidi" w:cstheme="majorBidi"/>
          <w:szCs w:val="22"/>
        </w:rPr>
        <w:t xml:space="preserve"> negative for biodiversity. </w:t>
      </w:r>
    </w:p>
    <w:p w:rsidR="009D551E" w:rsidRPr="009D551E" w:rsidRDefault="009D551E" w:rsidP="00526B6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Most of the scientific information related to this target that has become available since GBO-4 was published is focused on forests. Information on other habitats is increasing but is still limited at the global level. However</w:t>
      </w:r>
      <w:r w:rsidR="003C1256">
        <w:rPr>
          <w:rFonts w:asciiTheme="majorBidi" w:hAnsiTheme="majorBidi" w:cstheme="majorBidi"/>
          <w:szCs w:val="22"/>
        </w:rPr>
        <w:t>,</w:t>
      </w:r>
      <w:r w:rsidRPr="009D551E">
        <w:rPr>
          <w:rFonts w:asciiTheme="majorBidi" w:hAnsiTheme="majorBidi" w:cstheme="majorBidi"/>
          <w:szCs w:val="22"/>
        </w:rPr>
        <w:t xml:space="preserve"> advances in remote sensing are opening up new opportunities to more effectively monitor changes in the Earth's ecosystems. Overall</w:t>
      </w:r>
      <w:r w:rsidR="003C1256">
        <w:rPr>
          <w:rFonts w:asciiTheme="majorBidi" w:hAnsiTheme="majorBidi" w:cstheme="majorBidi"/>
          <w:szCs w:val="22"/>
        </w:rPr>
        <w:t>,</w:t>
      </w:r>
      <w:r w:rsidRPr="009D551E">
        <w:rPr>
          <w:rFonts w:asciiTheme="majorBidi" w:hAnsiTheme="majorBidi" w:cstheme="majorBidi"/>
          <w:szCs w:val="22"/>
        </w:rPr>
        <w:t xml:space="preserve"> the literature reviewed for this </w:t>
      </w:r>
      <w:r w:rsidR="00526B6E">
        <w:rPr>
          <w:rFonts w:asciiTheme="majorBidi" w:hAnsiTheme="majorBidi" w:cstheme="majorBidi"/>
          <w:szCs w:val="22"/>
        </w:rPr>
        <w:t>note</w:t>
      </w:r>
      <w:r w:rsidRPr="009D551E">
        <w:rPr>
          <w:rFonts w:asciiTheme="majorBidi" w:hAnsiTheme="majorBidi" w:cstheme="majorBidi"/>
          <w:szCs w:val="22"/>
        </w:rPr>
        <w:t xml:space="preserve"> suggests that the situation is largely unchanged from what was previously reported in GBO-4</w:t>
      </w:r>
      <w:r w:rsidR="003C1256">
        <w:rPr>
          <w:rFonts w:asciiTheme="majorBidi" w:hAnsiTheme="majorBidi" w:cstheme="majorBidi"/>
          <w:szCs w:val="22"/>
        </w:rPr>
        <w:t>, n</w:t>
      </w:r>
      <w:r w:rsidRPr="009D551E">
        <w:rPr>
          <w:rFonts w:asciiTheme="majorBidi" w:hAnsiTheme="majorBidi" w:cstheme="majorBidi"/>
          <w:szCs w:val="22"/>
        </w:rPr>
        <w:t>amely that</w:t>
      </w:r>
      <w:r w:rsidR="003C1256">
        <w:rPr>
          <w:rFonts w:asciiTheme="majorBidi" w:hAnsiTheme="majorBidi" w:cstheme="majorBidi"/>
          <w:szCs w:val="22"/>
        </w:rPr>
        <w:t xml:space="preserve">, </w:t>
      </w:r>
      <w:r w:rsidRPr="009D551E">
        <w:rPr>
          <w:rFonts w:asciiTheme="majorBidi" w:hAnsiTheme="majorBidi" w:cstheme="majorBidi"/>
          <w:szCs w:val="22"/>
        </w:rPr>
        <w:t>globally</w:t>
      </w:r>
      <w:r w:rsidR="003C1256">
        <w:rPr>
          <w:rFonts w:asciiTheme="majorBidi" w:hAnsiTheme="majorBidi" w:cstheme="majorBidi"/>
          <w:szCs w:val="22"/>
        </w:rPr>
        <w:t>,</w:t>
      </w:r>
      <w:r w:rsidRPr="009D551E">
        <w:rPr>
          <w:rFonts w:asciiTheme="majorBidi" w:hAnsiTheme="majorBidi" w:cstheme="majorBidi"/>
          <w:szCs w:val="22"/>
        </w:rPr>
        <w:t xml:space="preserve"> the rate of deforestation is declining but with significant regional variation</w:t>
      </w:r>
      <w:r w:rsidR="003C1256">
        <w:rPr>
          <w:rFonts w:asciiTheme="majorBidi" w:hAnsiTheme="majorBidi" w:cstheme="majorBidi"/>
          <w:szCs w:val="22"/>
        </w:rPr>
        <w:t xml:space="preserve">, that </w:t>
      </w:r>
      <w:r w:rsidR="00526B6E" w:rsidRPr="009D551E">
        <w:rPr>
          <w:rFonts w:asciiTheme="majorBidi" w:hAnsiTheme="majorBidi" w:cstheme="majorBidi"/>
          <w:szCs w:val="22"/>
        </w:rPr>
        <w:t xml:space="preserve">many </w:t>
      </w:r>
      <w:r w:rsidRPr="009D551E">
        <w:rPr>
          <w:rFonts w:asciiTheme="majorBidi" w:hAnsiTheme="majorBidi" w:cstheme="majorBidi"/>
          <w:szCs w:val="22"/>
        </w:rPr>
        <w:t xml:space="preserve">other habitats continue to experience high rates of decline and </w:t>
      </w:r>
      <w:r w:rsidR="003C1256">
        <w:rPr>
          <w:rFonts w:asciiTheme="majorBidi" w:hAnsiTheme="majorBidi" w:cstheme="majorBidi"/>
          <w:szCs w:val="22"/>
        </w:rPr>
        <w:t xml:space="preserve">that </w:t>
      </w:r>
      <w:r w:rsidRPr="009D551E">
        <w:rPr>
          <w:rFonts w:asciiTheme="majorBidi" w:hAnsiTheme="majorBidi" w:cstheme="majorBidi"/>
          <w:szCs w:val="22"/>
        </w:rPr>
        <w:t>habitats of all types continue to be fragmented and degraded. Similarly</w:t>
      </w:r>
      <w:r w:rsidR="003C1256">
        <w:rPr>
          <w:rFonts w:asciiTheme="majorBidi" w:hAnsiTheme="majorBidi" w:cstheme="majorBidi"/>
          <w:szCs w:val="22"/>
        </w:rPr>
        <w:t>,</w:t>
      </w:r>
      <w:r w:rsidRPr="009D551E">
        <w:rPr>
          <w:rFonts w:asciiTheme="majorBidi" w:hAnsiTheme="majorBidi" w:cstheme="majorBidi"/>
          <w:szCs w:val="22"/>
        </w:rPr>
        <w:t xml:space="preserve"> recent scientific information suggests that the actions identified in GBO-4 to accelerate progress towards this target remain relevant. </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6:</w:t>
      </w:r>
      <w:r w:rsidR="00526B6E">
        <w:rPr>
          <w:rFonts w:asciiTheme="majorBidi" w:hAnsiTheme="majorBidi" w:cstheme="majorBidi"/>
          <w:i/>
          <w:sz w:val="22"/>
          <w:szCs w:val="22"/>
        </w:rPr>
        <w:t xml:space="preserve"> </w:t>
      </w:r>
      <w:r w:rsidRPr="009D551E">
        <w:rPr>
          <w:rFonts w:asciiTheme="majorBidi" w:hAnsiTheme="majorBidi" w:cstheme="majorBidi"/>
          <w:i/>
          <w:sz w:val="22"/>
          <w:szCs w:val="22"/>
        </w:rPr>
        <w:t>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p w:rsidR="009D551E" w:rsidRPr="009D551E" w:rsidRDefault="00440667" w:rsidP="00526B6E">
      <w:pPr>
        <w:pStyle w:val="Para1"/>
        <w:tabs>
          <w:tab w:val="clear" w:pos="360"/>
          <w:tab w:val="num" w:pos="540"/>
          <w:tab w:val="num" w:pos="3150"/>
        </w:tabs>
        <w:rPr>
          <w:rFonts w:asciiTheme="majorBidi" w:hAnsiTheme="majorBidi" w:cstheme="majorBidi"/>
          <w:szCs w:val="22"/>
        </w:rPr>
      </w:pPr>
      <w:r w:rsidRPr="00720FA7">
        <w:rPr>
          <w:rFonts w:asciiTheme="majorBidi" w:hAnsiTheme="majorBidi" w:cstheme="majorBidi"/>
          <w:szCs w:val="22"/>
        </w:rPr>
        <w:t xml:space="preserve">The Food and Agriculture Organization </w:t>
      </w:r>
      <w:r w:rsidR="00DD03F6" w:rsidRPr="00DD03F6">
        <w:rPr>
          <w:rFonts w:asciiTheme="majorBidi" w:hAnsiTheme="majorBidi" w:cstheme="majorBidi"/>
          <w:szCs w:val="22"/>
        </w:rPr>
        <w:t xml:space="preserve">of the United Nations </w:t>
      </w:r>
      <w:r w:rsidRPr="00720FA7">
        <w:rPr>
          <w:rFonts w:asciiTheme="majorBidi" w:hAnsiTheme="majorBidi" w:cstheme="majorBidi"/>
          <w:szCs w:val="22"/>
        </w:rPr>
        <w:t>(</w:t>
      </w:r>
      <w:r w:rsidR="009D551E" w:rsidRPr="00DD03F6">
        <w:rPr>
          <w:rFonts w:asciiTheme="majorBidi" w:hAnsiTheme="majorBidi" w:cstheme="majorBidi"/>
          <w:szCs w:val="22"/>
        </w:rPr>
        <w:t>FAO</w:t>
      </w:r>
      <w:r w:rsidR="0091409B" w:rsidRPr="00DD03F6">
        <w:rPr>
          <w:rFonts w:asciiTheme="majorBidi" w:hAnsiTheme="majorBidi" w:cstheme="majorBidi"/>
          <w:szCs w:val="22"/>
        </w:rPr>
        <w:t>)</w:t>
      </w:r>
      <w:r w:rsidR="009D551E" w:rsidRPr="00DD03F6">
        <w:rPr>
          <w:rFonts w:asciiTheme="majorBidi" w:hAnsiTheme="majorBidi" w:cstheme="majorBidi"/>
          <w:szCs w:val="22"/>
        </w:rPr>
        <w:t xml:space="preserve"> estimated that marine capture production rose</w:t>
      </w:r>
      <w:r w:rsidR="009D551E" w:rsidRPr="009D551E">
        <w:rPr>
          <w:rFonts w:asciiTheme="majorBidi" w:hAnsiTheme="majorBidi" w:cstheme="majorBidi"/>
          <w:szCs w:val="22"/>
        </w:rPr>
        <w:t xml:space="preserve"> between 1950 and 1988 when it reached 78 million tonnes (excluding anchoveta). Between this time and 2003</w:t>
      </w:r>
      <w:r w:rsidR="00DD03F6">
        <w:rPr>
          <w:rFonts w:asciiTheme="majorBidi" w:hAnsiTheme="majorBidi" w:cstheme="majorBidi"/>
          <w:szCs w:val="22"/>
        </w:rPr>
        <w:t>,</w:t>
      </w:r>
      <w:r w:rsidR="009D551E" w:rsidRPr="009D551E">
        <w:rPr>
          <w:rFonts w:asciiTheme="majorBidi" w:hAnsiTheme="majorBidi" w:cstheme="majorBidi"/>
          <w:szCs w:val="22"/>
        </w:rPr>
        <w:t xml:space="preserve"> marine capture production levelled off and</w:t>
      </w:r>
      <w:r w:rsidR="00A50D70">
        <w:rPr>
          <w:rFonts w:asciiTheme="majorBidi" w:hAnsiTheme="majorBidi" w:cstheme="majorBidi"/>
          <w:szCs w:val="22"/>
        </w:rPr>
        <w:t>,</w:t>
      </w:r>
      <w:r w:rsidR="009D551E" w:rsidRPr="009D551E">
        <w:rPr>
          <w:rFonts w:asciiTheme="majorBidi" w:hAnsiTheme="majorBidi" w:cstheme="majorBidi"/>
          <w:szCs w:val="22"/>
        </w:rPr>
        <w:t xml:space="preserve"> between 2003 and 2009</w:t>
      </w:r>
      <w:r w:rsidR="00A50D70">
        <w:rPr>
          <w:rFonts w:asciiTheme="majorBidi" w:hAnsiTheme="majorBidi" w:cstheme="majorBidi"/>
          <w:szCs w:val="22"/>
        </w:rPr>
        <w:t>,</w:t>
      </w:r>
      <w:r w:rsidR="009D551E" w:rsidRPr="009D551E">
        <w:rPr>
          <w:rFonts w:asciiTheme="majorBidi" w:hAnsiTheme="majorBidi" w:cstheme="majorBidi"/>
          <w:szCs w:val="22"/>
        </w:rPr>
        <w:t xml:space="preserve"> marine capture production remained stable. Since 2010</w:t>
      </w:r>
      <w:r w:rsidR="00A50D70">
        <w:rPr>
          <w:rFonts w:asciiTheme="majorBidi" w:hAnsiTheme="majorBidi" w:cstheme="majorBidi"/>
          <w:szCs w:val="22"/>
        </w:rPr>
        <w:t>,</w:t>
      </w:r>
      <w:r w:rsidR="009D551E" w:rsidRPr="009D551E">
        <w:rPr>
          <w:rFonts w:asciiTheme="majorBidi" w:hAnsiTheme="majorBidi" w:cstheme="majorBidi"/>
          <w:szCs w:val="22"/>
        </w:rPr>
        <w:t xml:space="preserve"> it has increased and</w:t>
      </w:r>
      <w:r w:rsidR="00A50D70">
        <w:rPr>
          <w:rFonts w:asciiTheme="majorBidi" w:hAnsiTheme="majorBidi" w:cstheme="majorBidi"/>
          <w:szCs w:val="22"/>
        </w:rPr>
        <w:t>,</w:t>
      </w:r>
      <w:r w:rsidR="009D551E" w:rsidRPr="009D551E">
        <w:rPr>
          <w:rFonts w:asciiTheme="majorBidi" w:hAnsiTheme="majorBidi" w:cstheme="majorBidi"/>
          <w:szCs w:val="22"/>
        </w:rPr>
        <w:t xml:space="preserve"> in 2014</w:t>
      </w:r>
      <w:r w:rsidR="00A50D70">
        <w:rPr>
          <w:rFonts w:asciiTheme="majorBidi" w:hAnsiTheme="majorBidi" w:cstheme="majorBidi"/>
          <w:szCs w:val="22"/>
        </w:rPr>
        <w:t>,</w:t>
      </w:r>
      <w:r w:rsidR="009D551E" w:rsidRPr="009D551E">
        <w:rPr>
          <w:rFonts w:asciiTheme="majorBidi" w:hAnsiTheme="majorBidi" w:cstheme="majorBidi"/>
          <w:szCs w:val="22"/>
        </w:rPr>
        <w:t xml:space="preserve"> reached 78.4 million tonnes</w:t>
      </w:r>
      <w:r w:rsidR="005424FB">
        <w:rPr>
          <w:rFonts w:asciiTheme="majorBidi" w:hAnsiTheme="majorBidi" w:cstheme="majorBidi"/>
          <w:szCs w:val="22"/>
        </w:rPr>
        <w:t>.</w:t>
      </w:r>
      <w:r w:rsidR="009D551E" w:rsidRPr="009D551E">
        <w:rPr>
          <w:rStyle w:val="FootnoteReference"/>
          <w:rFonts w:asciiTheme="majorBidi" w:hAnsiTheme="majorBidi" w:cstheme="majorBidi"/>
          <w:sz w:val="22"/>
          <w:szCs w:val="22"/>
        </w:rPr>
        <w:footnoteReference w:id="68"/>
      </w:r>
      <w:r w:rsidR="009D551E" w:rsidRPr="009D551E">
        <w:rPr>
          <w:rFonts w:asciiTheme="majorBidi" w:hAnsiTheme="majorBidi" w:cstheme="majorBidi"/>
          <w:szCs w:val="22"/>
        </w:rPr>
        <w:t xml:space="preserve"> However</w:t>
      </w:r>
      <w:r w:rsidR="00A50D70">
        <w:rPr>
          <w:rFonts w:asciiTheme="majorBidi" w:hAnsiTheme="majorBidi" w:cstheme="majorBidi"/>
          <w:szCs w:val="22"/>
        </w:rPr>
        <w:t>,</w:t>
      </w:r>
      <w:r w:rsidR="009D551E" w:rsidRPr="009D551E">
        <w:rPr>
          <w:rFonts w:asciiTheme="majorBidi" w:hAnsiTheme="majorBidi" w:cstheme="majorBidi"/>
          <w:szCs w:val="22"/>
        </w:rPr>
        <w:t xml:space="preserve"> another study </w:t>
      </w:r>
      <w:r w:rsidR="00526B6E">
        <w:rPr>
          <w:rFonts w:asciiTheme="majorBidi" w:hAnsiTheme="majorBidi" w:cstheme="majorBidi"/>
          <w:szCs w:val="22"/>
        </w:rPr>
        <w:t xml:space="preserve">that </w:t>
      </w:r>
      <w:r w:rsidR="009D551E" w:rsidRPr="009D551E">
        <w:rPr>
          <w:rFonts w:asciiTheme="majorBidi" w:hAnsiTheme="majorBidi" w:cstheme="majorBidi"/>
          <w:szCs w:val="22"/>
        </w:rPr>
        <w:t>makes use of a wide variety of data and information sources to derive estimates for all fisheries components missing from official reported data</w:t>
      </w:r>
      <w:r w:rsidR="00A50D70">
        <w:rPr>
          <w:rFonts w:asciiTheme="majorBidi" w:hAnsiTheme="majorBidi" w:cstheme="majorBidi"/>
          <w:szCs w:val="22"/>
        </w:rPr>
        <w:t xml:space="preserve">, </w:t>
      </w:r>
      <w:r w:rsidR="009D551E" w:rsidRPr="009D551E">
        <w:rPr>
          <w:rFonts w:asciiTheme="majorBidi" w:hAnsiTheme="majorBidi" w:cstheme="majorBidi"/>
          <w:szCs w:val="22"/>
        </w:rPr>
        <w:t xml:space="preserve">such as discards and </w:t>
      </w:r>
      <w:proofErr w:type="gramStart"/>
      <w:r w:rsidR="009D551E" w:rsidRPr="009D551E">
        <w:rPr>
          <w:rFonts w:asciiTheme="majorBidi" w:hAnsiTheme="majorBidi" w:cstheme="majorBidi"/>
          <w:szCs w:val="22"/>
        </w:rPr>
        <w:t>assuming that</w:t>
      </w:r>
      <w:proofErr w:type="gramEnd"/>
      <w:r w:rsidR="009D551E" w:rsidRPr="009D551E">
        <w:rPr>
          <w:rFonts w:asciiTheme="majorBidi" w:hAnsiTheme="majorBidi" w:cstheme="majorBidi"/>
          <w:szCs w:val="22"/>
        </w:rPr>
        <w:t xml:space="preserve"> illegal catches are not reported</w:t>
      </w:r>
      <w:r w:rsidR="00A50D70">
        <w:rPr>
          <w:rFonts w:asciiTheme="majorBidi" w:hAnsiTheme="majorBidi" w:cstheme="majorBidi"/>
          <w:szCs w:val="22"/>
        </w:rPr>
        <w:t xml:space="preserve">, </w:t>
      </w:r>
      <w:r w:rsidR="009D551E" w:rsidRPr="009D551E">
        <w:rPr>
          <w:rFonts w:asciiTheme="majorBidi" w:hAnsiTheme="majorBidi" w:cstheme="majorBidi"/>
          <w:szCs w:val="22"/>
        </w:rPr>
        <w:t>suggests that marine capture production peaked at 130 million tonnes in 1996 and has been declining since. This decline is associated with declines in industrial catches (in part due to mandatory catch reductions imposed for stock rebuilding) and</w:t>
      </w:r>
      <w:r w:rsidR="00A50D70">
        <w:rPr>
          <w:rFonts w:asciiTheme="majorBidi" w:hAnsiTheme="majorBidi" w:cstheme="majorBidi"/>
          <w:szCs w:val="22"/>
        </w:rPr>
        <w:t>,</w:t>
      </w:r>
      <w:r w:rsidR="009D551E" w:rsidRPr="009D551E">
        <w:rPr>
          <w:rFonts w:asciiTheme="majorBidi" w:hAnsiTheme="majorBidi" w:cstheme="majorBidi"/>
          <w:szCs w:val="22"/>
        </w:rPr>
        <w:t xml:space="preserve"> to a lesser extent</w:t>
      </w:r>
      <w:r w:rsidR="00A50D70">
        <w:rPr>
          <w:rFonts w:asciiTheme="majorBidi" w:hAnsiTheme="majorBidi" w:cstheme="majorBidi"/>
          <w:szCs w:val="22"/>
        </w:rPr>
        <w:t>,</w:t>
      </w:r>
      <w:r w:rsidR="009D551E" w:rsidRPr="009D551E">
        <w:rPr>
          <w:rFonts w:asciiTheme="majorBidi" w:hAnsiTheme="majorBidi" w:cstheme="majorBidi"/>
          <w:szCs w:val="22"/>
        </w:rPr>
        <w:t xml:space="preserve"> </w:t>
      </w:r>
      <w:r w:rsidR="00A50D70">
        <w:rPr>
          <w:rFonts w:asciiTheme="majorBidi" w:hAnsiTheme="majorBidi" w:cstheme="majorBidi"/>
          <w:szCs w:val="22"/>
        </w:rPr>
        <w:t xml:space="preserve">with </w:t>
      </w:r>
      <w:r w:rsidR="009D551E" w:rsidRPr="009D551E">
        <w:rPr>
          <w:rFonts w:asciiTheme="majorBidi" w:hAnsiTheme="majorBidi" w:cstheme="majorBidi"/>
          <w:szCs w:val="22"/>
        </w:rPr>
        <w:t>declining discards and despite industrial fishing having expanded from industrialized countries to the waters of developing countries</w:t>
      </w:r>
      <w:r w:rsidR="005424FB">
        <w:rPr>
          <w:rFonts w:asciiTheme="majorBidi" w:hAnsiTheme="majorBidi" w:cstheme="majorBidi"/>
          <w:szCs w:val="22"/>
        </w:rPr>
        <w:t>.</w:t>
      </w:r>
      <w:r w:rsidR="009D551E" w:rsidRPr="009D551E">
        <w:rPr>
          <w:rStyle w:val="FootnoteReference"/>
          <w:rFonts w:asciiTheme="majorBidi" w:hAnsiTheme="majorBidi" w:cstheme="majorBidi"/>
          <w:sz w:val="22"/>
          <w:szCs w:val="22"/>
        </w:rPr>
        <w:footnoteReference w:id="69"/>
      </w:r>
    </w:p>
    <w:p w:rsidR="009D551E" w:rsidRPr="009D551E" w:rsidRDefault="009D551E" w:rsidP="009D551E">
      <w:pPr>
        <w:pStyle w:val="Para1"/>
        <w:tabs>
          <w:tab w:val="clear" w:pos="360"/>
          <w:tab w:val="num" w:pos="540"/>
          <w:tab w:val="num" w:pos="3150"/>
        </w:tabs>
        <w:rPr>
          <w:rFonts w:asciiTheme="majorBidi" w:hAnsiTheme="majorBidi" w:cstheme="majorBidi"/>
          <w:szCs w:val="22"/>
          <w:lang w:val="en-CA"/>
        </w:rPr>
      </w:pPr>
      <w:r w:rsidRPr="009D551E">
        <w:rPr>
          <w:rFonts w:asciiTheme="majorBidi" w:hAnsiTheme="majorBidi" w:cstheme="majorBidi"/>
          <w:szCs w:val="22"/>
        </w:rPr>
        <w:t>The percentage of fish stocks fished at biologically unsustainable levels increased from 10% in 1974 to 26% in 1989. Since 1990</w:t>
      </w:r>
      <w:r w:rsidR="00A50D70">
        <w:rPr>
          <w:rFonts w:asciiTheme="majorBidi" w:hAnsiTheme="majorBidi" w:cstheme="majorBidi"/>
          <w:szCs w:val="22"/>
        </w:rPr>
        <w:t>,</w:t>
      </w:r>
      <w:r w:rsidRPr="009D551E">
        <w:rPr>
          <w:rFonts w:asciiTheme="majorBidi" w:hAnsiTheme="majorBidi" w:cstheme="majorBidi"/>
          <w:szCs w:val="22"/>
        </w:rPr>
        <w:t xml:space="preserve"> the number of stocks being fished at unsustainable levels has continued to increase, though more slowly </w:t>
      </w:r>
      <w:r w:rsidR="00A16320" w:rsidRPr="009D551E">
        <w:rPr>
          <w:rFonts w:asciiTheme="majorBidi" w:hAnsiTheme="majorBidi" w:cstheme="majorBidi"/>
          <w:szCs w:val="22"/>
        </w:rPr>
        <w:t>than</w:t>
      </w:r>
      <w:r w:rsidRPr="009D551E">
        <w:rPr>
          <w:rFonts w:asciiTheme="majorBidi" w:hAnsiTheme="majorBidi" w:cstheme="majorBidi"/>
          <w:szCs w:val="22"/>
        </w:rPr>
        <w:t xml:space="preserve"> it has in the past, and reached 31.4% in 2013</w:t>
      </w:r>
      <w:r w:rsidR="005424FB">
        <w:rPr>
          <w:rFonts w:asciiTheme="majorBidi" w:hAnsiTheme="majorBidi" w:cstheme="majorBidi"/>
          <w:szCs w:val="22"/>
        </w:rPr>
        <w:t>.</w:t>
      </w:r>
      <w:r w:rsidRPr="009D551E">
        <w:rPr>
          <w:rFonts w:asciiTheme="majorBidi" w:hAnsiTheme="majorBidi" w:cstheme="majorBidi"/>
          <w:szCs w:val="22"/>
          <w:vertAlign w:val="superscript"/>
        </w:rPr>
        <w:footnoteReference w:id="70"/>
      </w:r>
      <w:r w:rsidRPr="009D551E">
        <w:rPr>
          <w:rFonts w:asciiTheme="majorBidi" w:hAnsiTheme="majorBidi" w:cstheme="majorBidi"/>
          <w:szCs w:val="22"/>
        </w:rPr>
        <w:t xml:space="preserve"> Other studies have also </w:t>
      </w:r>
      <w:r w:rsidRPr="009D551E">
        <w:rPr>
          <w:rFonts w:asciiTheme="majorBidi" w:hAnsiTheme="majorBidi" w:cstheme="majorBidi"/>
          <w:szCs w:val="22"/>
        </w:rPr>
        <w:lastRenderedPageBreak/>
        <w:t>suggested declines in the sustainability of fisheries. For example</w:t>
      </w:r>
      <w:r w:rsidR="00A50D70">
        <w:rPr>
          <w:rFonts w:asciiTheme="majorBidi" w:hAnsiTheme="majorBidi" w:cstheme="majorBidi"/>
          <w:szCs w:val="22"/>
        </w:rPr>
        <w:t>,</w:t>
      </w:r>
      <w:r w:rsidRPr="009D551E">
        <w:rPr>
          <w:rFonts w:asciiTheme="majorBidi" w:hAnsiTheme="majorBidi" w:cstheme="majorBidi"/>
          <w:szCs w:val="22"/>
        </w:rPr>
        <w:t xml:space="preserve"> one study estimated that </w:t>
      </w:r>
      <w:r w:rsidR="00A50D70">
        <w:rPr>
          <w:rFonts w:asciiTheme="majorBidi" w:hAnsiTheme="majorBidi" w:cstheme="majorBidi"/>
          <w:szCs w:val="22"/>
        </w:rPr>
        <w:t xml:space="preserve">the </w:t>
      </w:r>
      <w:r w:rsidRPr="009D551E">
        <w:rPr>
          <w:rFonts w:asciiTheme="majorBidi" w:hAnsiTheme="majorBidi" w:cstheme="majorBidi"/>
          <w:szCs w:val="22"/>
        </w:rPr>
        <w:t>percentage of fisheries below critical thresholds increased from 63% in 2006 to 68% in 2012</w:t>
      </w:r>
      <w:r w:rsidR="005424FB">
        <w:rPr>
          <w:rFonts w:asciiTheme="majorBidi" w:hAnsiTheme="majorBidi" w:cstheme="majorBidi"/>
          <w:szCs w:val="22"/>
        </w:rPr>
        <w:t>.</w:t>
      </w:r>
      <w:r w:rsidRPr="009D551E">
        <w:rPr>
          <w:rFonts w:asciiTheme="majorBidi" w:hAnsiTheme="majorBidi" w:cstheme="majorBidi"/>
          <w:szCs w:val="22"/>
          <w:vertAlign w:val="superscript"/>
        </w:rPr>
        <w:footnoteReference w:id="71"/>
      </w:r>
      <w:r w:rsidRPr="009D551E">
        <w:rPr>
          <w:rFonts w:asciiTheme="majorBidi" w:hAnsiTheme="majorBidi" w:cstheme="majorBidi"/>
          <w:szCs w:val="22"/>
        </w:rPr>
        <w:t xml:space="preserve"> </w:t>
      </w:r>
    </w:p>
    <w:p w:rsidR="009D551E" w:rsidRPr="00454553" w:rsidRDefault="009D551E" w:rsidP="00A16320">
      <w:pPr>
        <w:pStyle w:val="Para1"/>
        <w:tabs>
          <w:tab w:val="clear" w:pos="360"/>
          <w:tab w:val="num" w:pos="567"/>
          <w:tab w:val="num" w:pos="3150"/>
        </w:tabs>
        <w:rPr>
          <w:rFonts w:asciiTheme="majorBidi" w:hAnsiTheme="majorBidi" w:cstheme="majorBidi"/>
          <w:szCs w:val="22"/>
          <w:lang w:val="en-CA"/>
        </w:rPr>
      </w:pPr>
      <w:r w:rsidRPr="00454553">
        <w:rPr>
          <w:rFonts w:asciiTheme="majorBidi" w:hAnsiTheme="majorBidi" w:cstheme="majorBidi"/>
          <w:szCs w:val="22"/>
        </w:rPr>
        <w:t>A meta-analysis of 4,713 fisheries, representing 78% of global reported fish catch, found that</w:t>
      </w:r>
      <w:r w:rsidRPr="00454553">
        <w:rPr>
          <w:rFonts w:asciiTheme="majorBidi" w:hAnsiTheme="majorBidi" w:cstheme="majorBidi"/>
          <w:szCs w:val="22"/>
          <w:lang w:val="en-CA"/>
        </w:rPr>
        <w:t xml:space="preserve"> the median fishery </w:t>
      </w:r>
      <w:r w:rsidRPr="00454553">
        <w:rPr>
          <w:rFonts w:asciiTheme="majorBidi" w:hAnsiTheme="majorBidi" w:cstheme="majorBidi"/>
          <w:szCs w:val="22"/>
        </w:rPr>
        <w:t xml:space="preserve">appears with a biomass slightly over </w:t>
      </w:r>
      <w:r w:rsidRPr="00454553">
        <w:rPr>
          <w:rFonts w:asciiTheme="majorBidi" w:hAnsiTheme="majorBidi" w:cstheme="majorBidi"/>
          <w:szCs w:val="22"/>
          <w:lang w:val="en-CA"/>
        </w:rPr>
        <w:t>biomass maximum sustainable yield (</w:t>
      </w:r>
      <w:proofErr w:type="spellStart"/>
      <w:r w:rsidRPr="00454553">
        <w:rPr>
          <w:rFonts w:asciiTheme="majorBidi" w:hAnsiTheme="majorBidi" w:cstheme="majorBidi"/>
          <w:szCs w:val="22"/>
        </w:rPr>
        <w:t>Bmsy</w:t>
      </w:r>
      <w:proofErr w:type="spellEnd"/>
      <w:r w:rsidRPr="00454553">
        <w:rPr>
          <w:rFonts w:asciiTheme="majorBidi" w:hAnsiTheme="majorBidi" w:cstheme="majorBidi"/>
          <w:szCs w:val="22"/>
        </w:rPr>
        <w:t>) and a fishing pressure slightly over maximum rate of fishing mortality (</w:t>
      </w:r>
      <w:proofErr w:type="spellStart"/>
      <w:r w:rsidRPr="00454553">
        <w:rPr>
          <w:rFonts w:asciiTheme="majorBidi" w:hAnsiTheme="majorBidi" w:cstheme="majorBidi"/>
          <w:szCs w:val="22"/>
        </w:rPr>
        <w:t>Fmsy</w:t>
      </w:r>
      <w:proofErr w:type="spellEnd"/>
      <w:r w:rsidRPr="00454553">
        <w:rPr>
          <w:rFonts w:asciiTheme="majorBidi" w:hAnsiTheme="majorBidi" w:cstheme="majorBidi"/>
          <w:szCs w:val="22"/>
        </w:rPr>
        <w:t>). Considering that</w:t>
      </w:r>
      <w:r w:rsidR="00454553">
        <w:rPr>
          <w:rFonts w:asciiTheme="majorBidi" w:hAnsiTheme="majorBidi" w:cstheme="majorBidi"/>
          <w:szCs w:val="22"/>
        </w:rPr>
        <w:t>,</w:t>
      </w:r>
      <w:r w:rsidRPr="00454553">
        <w:rPr>
          <w:rFonts w:asciiTheme="majorBidi" w:hAnsiTheme="majorBidi" w:cstheme="majorBidi"/>
          <w:szCs w:val="22"/>
        </w:rPr>
        <w:t xml:space="preserve"> even in well managed systems</w:t>
      </w:r>
      <w:r w:rsidR="00454553">
        <w:rPr>
          <w:rFonts w:asciiTheme="majorBidi" w:hAnsiTheme="majorBidi" w:cstheme="majorBidi"/>
          <w:szCs w:val="22"/>
        </w:rPr>
        <w:t>,</w:t>
      </w:r>
      <w:r w:rsidRPr="00454553">
        <w:rPr>
          <w:rFonts w:asciiTheme="majorBidi" w:hAnsiTheme="majorBidi" w:cstheme="majorBidi"/>
          <w:szCs w:val="22"/>
        </w:rPr>
        <w:t xml:space="preserve"> </w:t>
      </w:r>
      <w:proofErr w:type="spellStart"/>
      <w:r w:rsidRPr="00454553">
        <w:rPr>
          <w:rFonts w:asciiTheme="majorBidi" w:hAnsiTheme="majorBidi" w:cstheme="majorBidi"/>
          <w:szCs w:val="22"/>
        </w:rPr>
        <w:t>Bmsy</w:t>
      </w:r>
      <w:proofErr w:type="spellEnd"/>
      <w:r w:rsidRPr="00454553">
        <w:rPr>
          <w:rFonts w:asciiTheme="majorBidi" w:hAnsiTheme="majorBidi" w:cstheme="majorBidi"/>
          <w:szCs w:val="22"/>
        </w:rPr>
        <w:t xml:space="preserve"> and </w:t>
      </w:r>
      <w:proofErr w:type="spellStart"/>
      <w:r w:rsidRPr="00454553">
        <w:rPr>
          <w:rFonts w:asciiTheme="majorBidi" w:hAnsiTheme="majorBidi" w:cstheme="majorBidi"/>
          <w:szCs w:val="22"/>
        </w:rPr>
        <w:t>Fmsy</w:t>
      </w:r>
      <w:proofErr w:type="spellEnd"/>
      <w:r w:rsidRPr="00454553">
        <w:rPr>
          <w:rFonts w:asciiTheme="majorBidi" w:hAnsiTheme="majorBidi" w:cstheme="majorBidi"/>
          <w:szCs w:val="22"/>
        </w:rPr>
        <w:t xml:space="preserve"> limits have confidence intervals of +/- 50-60%, </w:t>
      </w:r>
      <w:r w:rsidR="00AD2914">
        <w:rPr>
          <w:rFonts w:asciiTheme="majorBidi" w:hAnsiTheme="majorBidi" w:cstheme="majorBidi"/>
          <w:szCs w:val="22"/>
        </w:rPr>
        <w:t xml:space="preserve">these results </w:t>
      </w:r>
      <w:r w:rsidRPr="00454553">
        <w:rPr>
          <w:rFonts w:asciiTheme="majorBidi" w:hAnsiTheme="majorBidi" w:cstheme="majorBidi"/>
          <w:szCs w:val="22"/>
        </w:rPr>
        <w:t>impl</w:t>
      </w:r>
      <w:r w:rsidR="00AD2914">
        <w:rPr>
          <w:rFonts w:asciiTheme="majorBidi" w:hAnsiTheme="majorBidi" w:cstheme="majorBidi"/>
          <w:szCs w:val="22"/>
        </w:rPr>
        <w:t>y</w:t>
      </w:r>
      <w:r w:rsidRPr="00454553">
        <w:rPr>
          <w:rFonts w:asciiTheme="majorBidi" w:hAnsiTheme="majorBidi" w:cstheme="majorBidi"/>
          <w:szCs w:val="22"/>
        </w:rPr>
        <w:t xml:space="preserve"> that the median fishery today is still fished around </w:t>
      </w:r>
      <w:r w:rsidR="00A16320" w:rsidRPr="00454553">
        <w:rPr>
          <w:rFonts w:asciiTheme="majorBidi" w:hAnsiTheme="majorBidi" w:cstheme="majorBidi"/>
          <w:szCs w:val="22"/>
        </w:rPr>
        <w:t>maximum sustainable yield</w:t>
      </w:r>
      <w:r w:rsidR="005424FB">
        <w:rPr>
          <w:rFonts w:asciiTheme="majorBidi" w:hAnsiTheme="majorBidi" w:cstheme="majorBidi"/>
          <w:szCs w:val="22"/>
        </w:rPr>
        <w:t>.</w:t>
      </w:r>
      <w:r w:rsidRPr="00454553">
        <w:rPr>
          <w:rStyle w:val="FootnoteReference"/>
          <w:rFonts w:asciiTheme="majorBidi" w:hAnsiTheme="majorBidi" w:cstheme="majorBidi"/>
          <w:sz w:val="22"/>
          <w:szCs w:val="22"/>
        </w:rPr>
        <w:footnoteReference w:id="72"/>
      </w:r>
      <w:r w:rsidRPr="00454553">
        <w:rPr>
          <w:rFonts w:asciiTheme="majorBidi" w:hAnsiTheme="majorBidi" w:cstheme="majorBidi"/>
          <w:szCs w:val="22"/>
        </w:rPr>
        <w:t xml:space="preserve"> However, during the last decades, this median has progressively moved towards overfishing. The same assessment shows that</w:t>
      </w:r>
      <w:r w:rsidR="00A16320" w:rsidRPr="00454553">
        <w:rPr>
          <w:rFonts w:asciiTheme="majorBidi" w:hAnsiTheme="majorBidi" w:cstheme="majorBidi"/>
          <w:szCs w:val="22"/>
        </w:rPr>
        <w:t xml:space="preserve"> </w:t>
      </w:r>
      <w:r w:rsidRPr="00454553">
        <w:rPr>
          <w:rFonts w:asciiTheme="majorBidi" w:hAnsiTheme="majorBidi" w:cstheme="majorBidi"/>
          <w:szCs w:val="22"/>
          <w:lang w:val="en-CA"/>
        </w:rPr>
        <w:t>32% of assessed fisheries were found to be in good biological condition but not necessarily in good economic condition. The assessment further concluded, based on a business</w:t>
      </w:r>
      <w:r w:rsidR="001B37AC">
        <w:rPr>
          <w:rFonts w:asciiTheme="majorBidi" w:hAnsiTheme="majorBidi" w:cstheme="majorBidi"/>
          <w:szCs w:val="22"/>
          <w:lang w:val="en-CA"/>
        </w:rPr>
        <w:t>-</w:t>
      </w:r>
      <w:r w:rsidRPr="00454553">
        <w:rPr>
          <w:rFonts w:asciiTheme="majorBidi" w:hAnsiTheme="majorBidi" w:cstheme="majorBidi"/>
          <w:szCs w:val="22"/>
          <w:lang w:val="en-CA"/>
        </w:rPr>
        <w:t>as</w:t>
      </w:r>
      <w:r w:rsidR="001B37AC">
        <w:rPr>
          <w:rFonts w:asciiTheme="majorBidi" w:hAnsiTheme="majorBidi" w:cstheme="majorBidi"/>
          <w:szCs w:val="22"/>
          <w:lang w:val="en-CA"/>
        </w:rPr>
        <w:t>-</w:t>
      </w:r>
      <w:r w:rsidRPr="00454553">
        <w:rPr>
          <w:rFonts w:asciiTheme="majorBidi" w:hAnsiTheme="majorBidi" w:cstheme="majorBidi"/>
          <w:szCs w:val="22"/>
          <w:lang w:val="en-CA"/>
        </w:rPr>
        <w:t>usual scenario</w:t>
      </w:r>
      <w:r w:rsidR="001B37AC">
        <w:rPr>
          <w:rFonts w:asciiTheme="majorBidi" w:hAnsiTheme="majorBidi" w:cstheme="majorBidi"/>
          <w:szCs w:val="22"/>
          <w:lang w:val="en-CA"/>
        </w:rPr>
        <w:t>,</w:t>
      </w:r>
      <w:r w:rsidRPr="00454553">
        <w:rPr>
          <w:rFonts w:asciiTheme="majorBidi" w:hAnsiTheme="majorBidi" w:cstheme="majorBidi"/>
          <w:szCs w:val="22"/>
          <w:lang w:val="en-CA"/>
        </w:rPr>
        <w:t xml:space="preserve"> the continued collapse of many of the world’s fisheries</w:t>
      </w:r>
      <w:r w:rsidR="005424FB">
        <w:rPr>
          <w:rFonts w:asciiTheme="majorBidi" w:hAnsiTheme="majorBidi" w:cstheme="majorBidi"/>
          <w:szCs w:val="22"/>
          <w:lang w:val="en-CA"/>
        </w:rPr>
        <w:t>.</w:t>
      </w:r>
      <w:r w:rsidRPr="00454553">
        <w:rPr>
          <w:rStyle w:val="FootnoteReference"/>
          <w:rFonts w:asciiTheme="majorBidi" w:hAnsiTheme="majorBidi" w:cstheme="majorBidi"/>
          <w:sz w:val="22"/>
          <w:szCs w:val="22"/>
          <w:lang w:val="en-CA"/>
        </w:rPr>
        <w:footnoteReference w:id="73"/>
      </w:r>
      <w:r w:rsidRPr="00454553">
        <w:rPr>
          <w:rFonts w:asciiTheme="majorBidi" w:hAnsiTheme="majorBidi" w:cstheme="majorBidi"/>
          <w:szCs w:val="22"/>
          <w:lang w:val="en-CA"/>
        </w:rPr>
        <w:t xml:space="preserve"> However</w:t>
      </w:r>
      <w:r w:rsidR="001B37AC">
        <w:rPr>
          <w:rFonts w:asciiTheme="majorBidi" w:hAnsiTheme="majorBidi" w:cstheme="majorBidi"/>
          <w:szCs w:val="22"/>
          <w:lang w:val="en-CA"/>
        </w:rPr>
        <w:t>,</w:t>
      </w:r>
      <w:r w:rsidRPr="00454553">
        <w:rPr>
          <w:rFonts w:asciiTheme="majorBidi" w:hAnsiTheme="majorBidi" w:cstheme="majorBidi"/>
          <w:szCs w:val="22"/>
          <w:lang w:val="en-CA"/>
        </w:rPr>
        <w:t xml:space="preserve"> the same assessment found that sound management reforms to global fisheries could increase annual catch by 16 million metric tonnes, increase biomass by 619 million metric </w:t>
      </w:r>
      <w:r w:rsidR="00E83554" w:rsidRPr="00454553">
        <w:rPr>
          <w:rFonts w:asciiTheme="majorBidi" w:hAnsiTheme="majorBidi" w:cstheme="majorBidi"/>
          <w:szCs w:val="22"/>
          <w:lang w:val="en-CA"/>
        </w:rPr>
        <w:t>tonnes</w:t>
      </w:r>
      <w:r w:rsidR="00E83554">
        <w:rPr>
          <w:rFonts w:asciiTheme="majorBidi" w:hAnsiTheme="majorBidi" w:cstheme="majorBidi"/>
          <w:szCs w:val="22"/>
          <w:lang w:val="en-CA"/>
        </w:rPr>
        <w:t xml:space="preserve"> </w:t>
      </w:r>
      <w:r w:rsidRPr="00454553">
        <w:rPr>
          <w:rFonts w:asciiTheme="majorBidi" w:hAnsiTheme="majorBidi" w:cstheme="majorBidi"/>
          <w:szCs w:val="22"/>
          <w:lang w:val="en-CA"/>
        </w:rPr>
        <w:t>and increase profits by 53 billion US$</w:t>
      </w:r>
      <w:r w:rsidR="00E83554">
        <w:rPr>
          <w:rFonts w:asciiTheme="majorBidi" w:hAnsiTheme="majorBidi" w:cstheme="majorBidi"/>
          <w:szCs w:val="22"/>
          <w:lang w:val="en-CA"/>
        </w:rPr>
        <w:t>,</w:t>
      </w:r>
      <w:r w:rsidRPr="00454553">
        <w:rPr>
          <w:rFonts w:asciiTheme="majorBidi" w:hAnsiTheme="majorBidi" w:cstheme="majorBidi"/>
          <w:szCs w:val="22"/>
          <w:lang w:val="en-CA"/>
        </w:rPr>
        <w:t xml:space="preserve"> relative to a business</w:t>
      </w:r>
      <w:r w:rsidR="00454553">
        <w:rPr>
          <w:rFonts w:asciiTheme="majorBidi" w:hAnsiTheme="majorBidi" w:cstheme="majorBidi"/>
          <w:szCs w:val="22"/>
          <w:lang w:val="en-CA"/>
        </w:rPr>
        <w:t>-</w:t>
      </w:r>
      <w:r w:rsidRPr="00454553">
        <w:rPr>
          <w:rFonts w:asciiTheme="majorBidi" w:hAnsiTheme="majorBidi" w:cstheme="majorBidi"/>
          <w:szCs w:val="22"/>
          <w:lang w:val="en-CA"/>
        </w:rPr>
        <w:t>as</w:t>
      </w:r>
      <w:r w:rsidR="00454553">
        <w:rPr>
          <w:rFonts w:asciiTheme="majorBidi" w:hAnsiTheme="majorBidi" w:cstheme="majorBidi"/>
          <w:szCs w:val="22"/>
          <w:lang w:val="en-CA"/>
        </w:rPr>
        <w:t>-</w:t>
      </w:r>
      <w:r w:rsidRPr="00454553">
        <w:rPr>
          <w:rFonts w:asciiTheme="majorBidi" w:hAnsiTheme="majorBidi" w:cstheme="majorBidi"/>
          <w:szCs w:val="22"/>
          <w:lang w:val="en-CA"/>
        </w:rPr>
        <w:t>usual scenario. A further meta-analysis of 785 fish stocks found that 53% of stocks are below biomass maximum sustainable yield (</w:t>
      </w:r>
      <w:proofErr w:type="spellStart"/>
      <w:r w:rsidR="00E83554" w:rsidRPr="00454553">
        <w:rPr>
          <w:rFonts w:asciiTheme="majorBidi" w:hAnsiTheme="majorBidi" w:cstheme="majorBidi"/>
          <w:szCs w:val="22"/>
        </w:rPr>
        <w:t>Bmsy</w:t>
      </w:r>
      <w:proofErr w:type="spellEnd"/>
      <w:r w:rsidRPr="00454553">
        <w:rPr>
          <w:rFonts w:asciiTheme="majorBidi" w:hAnsiTheme="majorBidi" w:cstheme="majorBidi"/>
          <w:szCs w:val="22"/>
          <w:lang w:val="en-CA"/>
        </w:rPr>
        <w:t xml:space="preserve">) and 34% of these are below 80% of </w:t>
      </w:r>
      <w:proofErr w:type="spellStart"/>
      <w:r w:rsidR="00E83554" w:rsidRPr="00454553">
        <w:rPr>
          <w:rFonts w:asciiTheme="majorBidi" w:hAnsiTheme="majorBidi" w:cstheme="majorBidi"/>
          <w:szCs w:val="22"/>
        </w:rPr>
        <w:t>Bmsy</w:t>
      </w:r>
      <w:proofErr w:type="spellEnd"/>
      <w:r w:rsidR="005424FB">
        <w:rPr>
          <w:rFonts w:asciiTheme="majorBidi" w:hAnsiTheme="majorBidi" w:cstheme="majorBidi"/>
          <w:szCs w:val="22"/>
        </w:rPr>
        <w:t>;</w:t>
      </w:r>
      <w:r w:rsidRPr="00454553">
        <w:rPr>
          <w:rStyle w:val="FootnoteReference"/>
          <w:rFonts w:asciiTheme="majorBidi" w:hAnsiTheme="majorBidi" w:cstheme="majorBidi"/>
          <w:sz w:val="22"/>
          <w:szCs w:val="22"/>
          <w:lang w:val="en-CA"/>
        </w:rPr>
        <w:footnoteReference w:id="74"/>
      </w:r>
      <w:r w:rsidRPr="00454553">
        <w:rPr>
          <w:rFonts w:asciiTheme="majorBidi" w:hAnsiTheme="majorBidi" w:cstheme="majorBidi"/>
          <w:szCs w:val="22"/>
          <w:lang w:val="en-CA"/>
        </w:rPr>
        <w:t xml:space="preserve"> </w:t>
      </w:r>
      <w:r w:rsidR="001B37AC" w:rsidRPr="00454553">
        <w:rPr>
          <w:rFonts w:asciiTheme="majorBidi" w:hAnsiTheme="majorBidi" w:cstheme="majorBidi"/>
          <w:szCs w:val="22"/>
          <w:lang w:val="en-CA"/>
        </w:rPr>
        <w:t>however</w:t>
      </w:r>
      <w:r w:rsidR="001B37AC">
        <w:rPr>
          <w:rFonts w:asciiTheme="majorBidi" w:hAnsiTheme="majorBidi" w:cstheme="majorBidi"/>
          <w:szCs w:val="22"/>
          <w:lang w:val="en-CA"/>
        </w:rPr>
        <w:t xml:space="preserve">, </w:t>
      </w:r>
      <w:r w:rsidRPr="00454553">
        <w:rPr>
          <w:rFonts w:asciiTheme="majorBidi" w:hAnsiTheme="majorBidi" w:cstheme="majorBidi"/>
          <w:szCs w:val="22"/>
          <w:lang w:val="en-CA"/>
        </w:rPr>
        <w:t xml:space="preserve">the same caveat regarding confidence intervals noted above applies here as well. </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Other studies have examined situations regarding marine fisheries in specific areas. For example</w:t>
      </w:r>
      <w:r w:rsidR="00454553">
        <w:rPr>
          <w:rFonts w:asciiTheme="majorBidi" w:hAnsiTheme="majorBidi" w:cstheme="majorBidi"/>
          <w:szCs w:val="22"/>
        </w:rPr>
        <w:t>,</w:t>
      </w:r>
      <w:r w:rsidRPr="009D551E">
        <w:rPr>
          <w:rFonts w:asciiTheme="majorBidi" w:hAnsiTheme="majorBidi" w:cstheme="majorBidi"/>
          <w:szCs w:val="22"/>
        </w:rPr>
        <w:t xml:space="preserve"> one study estimated that</w:t>
      </w:r>
      <w:r w:rsidR="00454553">
        <w:rPr>
          <w:rFonts w:asciiTheme="majorBidi" w:hAnsiTheme="majorBidi" w:cstheme="majorBidi"/>
          <w:szCs w:val="22"/>
        </w:rPr>
        <w:t>,</w:t>
      </w:r>
      <w:r w:rsidRPr="009D551E">
        <w:rPr>
          <w:rFonts w:asciiTheme="majorBidi" w:hAnsiTheme="majorBidi" w:cstheme="majorBidi"/>
          <w:szCs w:val="22"/>
        </w:rPr>
        <w:t xml:space="preserve"> in the Baltic Sea, when illegal fishing is accounted for, actual catches may be 35-40% higher than reported</w:t>
      </w:r>
      <w:r w:rsidR="005424FB">
        <w:rPr>
          <w:rFonts w:asciiTheme="majorBidi" w:hAnsiTheme="majorBidi" w:cstheme="majorBidi"/>
          <w:szCs w:val="22"/>
        </w:rPr>
        <w:t>,</w:t>
      </w:r>
      <w:r w:rsidRPr="009D551E">
        <w:rPr>
          <w:rFonts w:asciiTheme="majorBidi" w:hAnsiTheme="majorBidi" w:cstheme="majorBidi"/>
          <w:szCs w:val="22"/>
          <w:vertAlign w:val="superscript"/>
        </w:rPr>
        <w:footnoteReference w:id="75"/>
      </w:r>
      <w:r w:rsidR="00E83554">
        <w:rPr>
          <w:rFonts w:asciiTheme="majorBidi" w:hAnsiTheme="majorBidi" w:cstheme="majorBidi"/>
          <w:szCs w:val="22"/>
        </w:rPr>
        <w:t xml:space="preserve"> </w:t>
      </w:r>
      <w:r w:rsidRPr="009D551E">
        <w:rPr>
          <w:rFonts w:asciiTheme="majorBidi" w:hAnsiTheme="majorBidi" w:cstheme="majorBidi"/>
          <w:szCs w:val="22"/>
        </w:rPr>
        <w:t xml:space="preserve">while another </w:t>
      </w:r>
      <w:r w:rsidR="00E83554">
        <w:rPr>
          <w:rFonts w:asciiTheme="majorBidi" w:hAnsiTheme="majorBidi" w:cstheme="majorBidi"/>
          <w:szCs w:val="22"/>
        </w:rPr>
        <w:t xml:space="preserve">study </w:t>
      </w:r>
      <w:r w:rsidRPr="009D551E">
        <w:rPr>
          <w:rFonts w:asciiTheme="majorBidi" w:hAnsiTheme="majorBidi" w:cstheme="majorBidi"/>
          <w:szCs w:val="22"/>
        </w:rPr>
        <w:t>has shown that harvest control rules in the Barents Sea has led to an increase in cod biomass</w:t>
      </w:r>
      <w:r w:rsidR="005424FB">
        <w:rPr>
          <w:rFonts w:asciiTheme="majorBidi" w:hAnsiTheme="majorBidi" w:cstheme="majorBidi"/>
          <w:szCs w:val="22"/>
        </w:rPr>
        <w:t>.</w:t>
      </w:r>
      <w:r w:rsidRPr="009D551E">
        <w:rPr>
          <w:rFonts w:asciiTheme="majorBidi" w:hAnsiTheme="majorBidi" w:cstheme="majorBidi"/>
          <w:szCs w:val="22"/>
          <w:vertAlign w:val="superscript"/>
        </w:rPr>
        <w:footnoteReference w:id="76"/>
      </w:r>
    </w:p>
    <w:p w:rsidR="009D551E" w:rsidRPr="00E83554"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Other studies have looked at specific marine ecosystems. For example</w:t>
      </w:r>
      <w:r w:rsidR="00E83554">
        <w:rPr>
          <w:rFonts w:asciiTheme="majorBidi" w:hAnsiTheme="majorBidi" w:cstheme="majorBidi"/>
          <w:szCs w:val="22"/>
        </w:rPr>
        <w:t>,</w:t>
      </w:r>
      <w:r w:rsidRPr="009D551E">
        <w:rPr>
          <w:rFonts w:asciiTheme="majorBidi" w:hAnsiTheme="majorBidi" w:cstheme="majorBidi"/>
          <w:szCs w:val="22"/>
        </w:rPr>
        <w:t xml:space="preserve"> one assessment focusing on the Western and Adriatic regions of the Mediterranean Sea concluded that all fisheries stocks,</w:t>
      </w:r>
      <w:r w:rsidRPr="00A16320">
        <w:rPr>
          <w:rFonts w:asciiTheme="majorBidi" w:eastAsia="Calibri" w:hAnsiTheme="majorBidi" w:cstheme="majorBidi"/>
          <w:iCs/>
          <w:color w:val="000000"/>
          <w:szCs w:val="22"/>
          <w:lang w:val="en-US"/>
        </w:rPr>
        <w:t xml:space="preserve"> </w:t>
      </w:r>
      <w:r w:rsidRPr="009D551E">
        <w:rPr>
          <w:rFonts w:asciiTheme="majorBidi" w:hAnsiTheme="majorBidi" w:cstheme="majorBidi"/>
          <w:szCs w:val="22"/>
        </w:rPr>
        <w:t>under present management and fishery conditions, are at risk of overexploitation</w:t>
      </w:r>
      <w:r w:rsidR="005424FB">
        <w:rPr>
          <w:rFonts w:asciiTheme="majorBidi" w:hAnsiTheme="majorBidi" w:cstheme="majorBidi"/>
          <w:szCs w:val="22"/>
        </w:rPr>
        <w:t>.</w:t>
      </w:r>
      <w:r w:rsidRPr="00A16320">
        <w:rPr>
          <w:rFonts w:asciiTheme="majorBidi" w:hAnsiTheme="majorBidi" w:cstheme="majorBidi"/>
          <w:szCs w:val="22"/>
          <w:vertAlign w:val="superscript"/>
        </w:rPr>
        <w:footnoteReference w:id="77"/>
      </w:r>
      <w:r w:rsidRPr="009D551E">
        <w:rPr>
          <w:rFonts w:asciiTheme="majorBidi" w:hAnsiTheme="majorBidi" w:cstheme="majorBidi"/>
          <w:szCs w:val="22"/>
        </w:rPr>
        <w:t xml:space="preserve"> A similar study concluded that global biomass production in the marine environment predicted a long-term decline in global marine catch</w:t>
      </w:r>
      <w:r w:rsidR="005424FB">
        <w:rPr>
          <w:rFonts w:asciiTheme="majorBidi" w:hAnsiTheme="majorBidi" w:cstheme="majorBidi"/>
          <w:szCs w:val="22"/>
        </w:rPr>
        <w:t>.</w:t>
      </w:r>
      <w:r w:rsidRPr="00A16320">
        <w:rPr>
          <w:rFonts w:asciiTheme="majorBidi" w:hAnsiTheme="majorBidi" w:cstheme="majorBidi"/>
          <w:szCs w:val="22"/>
          <w:vertAlign w:val="superscript"/>
        </w:rPr>
        <w:footnoteReference w:id="78"/>
      </w:r>
      <w:r w:rsidRPr="009D551E">
        <w:rPr>
          <w:rFonts w:asciiTheme="majorBidi" w:hAnsiTheme="majorBidi" w:cstheme="majorBidi"/>
          <w:szCs w:val="22"/>
        </w:rPr>
        <w:t xml:space="preserve"> Given the importance of agricultural and fisheries productivity to human wellbeing</w:t>
      </w:r>
      <w:r w:rsidR="00E83554">
        <w:rPr>
          <w:rFonts w:asciiTheme="majorBidi" w:hAnsiTheme="majorBidi" w:cstheme="majorBidi"/>
          <w:szCs w:val="22"/>
        </w:rPr>
        <w:t>,</w:t>
      </w:r>
      <w:r w:rsidRPr="009D551E">
        <w:rPr>
          <w:rFonts w:asciiTheme="majorBidi" w:hAnsiTheme="majorBidi" w:cstheme="majorBidi"/>
          <w:szCs w:val="22"/>
        </w:rPr>
        <w:t xml:space="preserve"> such trends </w:t>
      </w:r>
      <w:r w:rsidRPr="00E83554">
        <w:rPr>
          <w:rFonts w:asciiTheme="majorBidi" w:hAnsiTheme="majorBidi" w:cstheme="majorBidi"/>
          <w:szCs w:val="22"/>
        </w:rPr>
        <w:t xml:space="preserve">are a challenge to the prospects for reaching Aichi </w:t>
      </w:r>
      <w:r w:rsidR="00E83554">
        <w:rPr>
          <w:rFonts w:asciiTheme="majorBidi" w:hAnsiTheme="majorBidi" w:cstheme="majorBidi"/>
          <w:szCs w:val="22"/>
        </w:rPr>
        <w:t xml:space="preserve">Biodiversity </w:t>
      </w:r>
      <w:r w:rsidRPr="00E83554">
        <w:rPr>
          <w:rFonts w:asciiTheme="majorBidi" w:hAnsiTheme="majorBidi" w:cstheme="majorBidi"/>
          <w:szCs w:val="22"/>
        </w:rPr>
        <w:t xml:space="preserve">Target 14. </w:t>
      </w:r>
    </w:p>
    <w:p w:rsidR="009D551E" w:rsidRPr="009D551E" w:rsidRDefault="009D551E" w:rsidP="00A16320">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A variety of research has also been undertaken on the effect of marine protected areas on fisheries</w:t>
      </w:r>
      <w:r w:rsidR="005424FB">
        <w:rPr>
          <w:rFonts w:asciiTheme="majorBidi" w:hAnsiTheme="majorBidi" w:cstheme="majorBidi"/>
          <w:szCs w:val="22"/>
        </w:rPr>
        <w:t>.</w:t>
      </w:r>
      <w:r w:rsidRPr="009D551E">
        <w:rPr>
          <w:rStyle w:val="FootnoteReference"/>
          <w:rFonts w:asciiTheme="majorBidi" w:hAnsiTheme="majorBidi" w:cstheme="majorBidi"/>
          <w:sz w:val="22"/>
          <w:szCs w:val="22"/>
        </w:rPr>
        <w:footnoteReference w:id="79"/>
      </w:r>
      <w:r w:rsidRPr="009D551E">
        <w:rPr>
          <w:rFonts w:asciiTheme="majorBidi" w:hAnsiTheme="majorBidi" w:cstheme="majorBidi"/>
          <w:szCs w:val="22"/>
        </w:rPr>
        <w:t xml:space="preserve"> This research shows that marine protected areas have the potential to make important contributions to the </w:t>
      </w:r>
      <w:r w:rsidRPr="009D551E">
        <w:rPr>
          <w:rFonts w:asciiTheme="majorBidi" w:hAnsiTheme="majorBidi" w:cstheme="majorBidi"/>
          <w:szCs w:val="22"/>
        </w:rPr>
        <w:lastRenderedPageBreak/>
        <w:t>attainment of this Aichi Biodiversity Target. However</w:t>
      </w:r>
      <w:r w:rsidR="00E83554">
        <w:rPr>
          <w:rFonts w:asciiTheme="majorBidi" w:hAnsiTheme="majorBidi" w:cstheme="majorBidi"/>
          <w:szCs w:val="22"/>
        </w:rPr>
        <w:t>,</w:t>
      </w:r>
      <w:r w:rsidRPr="009D551E">
        <w:rPr>
          <w:rFonts w:asciiTheme="majorBidi" w:hAnsiTheme="majorBidi" w:cstheme="majorBidi"/>
          <w:szCs w:val="22"/>
        </w:rPr>
        <w:t xml:space="preserve"> their overall effect will depend on social, economic, and ecological objectives and conditions. Further</w:t>
      </w:r>
      <w:r w:rsidR="00AD096C">
        <w:rPr>
          <w:rFonts w:asciiTheme="majorBidi" w:hAnsiTheme="majorBidi" w:cstheme="majorBidi"/>
          <w:szCs w:val="22"/>
        </w:rPr>
        <w:t>,</w:t>
      </w:r>
      <w:r w:rsidRPr="009D551E">
        <w:rPr>
          <w:rFonts w:asciiTheme="majorBidi" w:hAnsiTheme="majorBidi" w:cstheme="majorBidi"/>
          <w:szCs w:val="22"/>
        </w:rPr>
        <w:t xml:space="preserve"> to be useful in enhancing the sustainability of fisheries, marine protected areas need to be considered alongside other fishery management measures (such as control</w:t>
      </w:r>
      <w:r w:rsidR="00A16320">
        <w:rPr>
          <w:rFonts w:asciiTheme="majorBidi" w:hAnsiTheme="majorBidi" w:cstheme="majorBidi"/>
          <w:szCs w:val="22"/>
        </w:rPr>
        <w:t>ling effort</w:t>
      </w:r>
      <w:r w:rsidR="00AD096C">
        <w:rPr>
          <w:rFonts w:asciiTheme="majorBidi" w:hAnsiTheme="majorBidi" w:cstheme="majorBidi"/>
          <w:szCs w:val="22"/>
        </w:rPr>
        <w:t>s</w:t>
      </w:r>
      <w:r w:rsidR="00A16320">
        <w:rPr>
          <w:rFonts w:asciiTheme="majorBidi" w:hAnsiTheme="majorBidi" w:cstheme="majorBidi"/>
          <w:szCs w:val="22"/>
        </w:rPr>
        <w:t>, removals, gear</w:t>
      </w:r>
      <w:r w:rsidRPr="009D551E">
        <w:rPr>
          <w:rFonts w:asciiTheme="majorBidi" w:hAnsiTheme="majorBidi" w:cstheme="majorBidi"/>
          <w:szCs w:val="22"/>
        </w:rPr>
        <w:t xml:space="preserve"> and practices) within the fishery management plan. The issue of marine protected areas is further considered under Aichi Biodiversity Target 11. </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Other studies have explored means of improving the governance of fisheries. Among the issues raised has been the need to embed fisheries governance within a broader perspective on human rights to achieve changes in small-scale fisheries management</w:t>
      </w:r>
      <w:r w:rsidR="005424F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80"/>
      </w:r>
      <w:r w:rsidRPr="009D551E">
        <w:rPr>
          <w:rFonts w:asciiTheme="majorBidi" w:hAnsiTheme="majorBidi" w:cstheme="majorBidi"/>
          <w:szCs w:val="22"/>
        </w:rPr>
        <w:t xml:space="preserve"> </w:t>
      </w:r>
      <w:r w:rsidR="00AD096C" w:rsidRPr="009D551E">
        <w:rPr>
          <w:rFonts w:asciiTheme="majorBidi" w:hAnsiTheme="majorBidi" w:cstheme="majorBidi"/>
          <w:szCs w:val="22"/>
        </w:rPr>
        <w:t>Further</w:t>
      </w:r>
      <w:r w:rsidR="00AD096C">
        <w:rPr>
          <w:rFonts w:asciiTheme="majorBidi" w:hAnsiTheme="majorBidi" w:cstheme="majorBidi"/>
          <w:szCs w:val="22"/>
        </w:rPr>
        <w:t xml:space="preserve">, </w:t>
      </w:r>
      <w:r w:rsidRPr="009D551E">
        <w:rPr>
          <w:rFonts w:asciiTheme="majorBidi" w:hAnsiTheme="majorBidi" w:cstheme="majorBidi"/>
          <w:szCs w:val="22"/>
        </w:rPr>
        <w:t>o</w:t>
      </w:r>
      <w:r w:rsidRPr="009D551E">
        <w:rPr>
          <w:rFonts w:asciiTheme="majorBidi" w:hAnsiTheme="majorBidi" w:cstheme="majorBidi"/>
          <w:szCs w:val="22"/>
          <w:lang w:val="en-CA"/>
        </w:rPr>
        <w:t>ne study found that applying sound management reforms to global fisheries could result in an annual increase of more than 16 million metric ton</w:t>
      </w:r>
      <w:r w:rsidR="00AD096C">
        <w:rPr>
          <w:rFonts w:asciiTheme="majorBidi" w:hAnsiTheme="majorBidi" w:cstheme="majorBidi"/>
          <w:szCs w:val="22"/>
          <w:lang w:val="en-CA"/>
        </w:rPr>
        <w:t>ne</w:t>
      </w:r>
      <w:r w:rsidRPr="009D551E">
        <w:rPr>
          <w:rFonts w:asciiTheme="majorBidi" w:hAnsiTheme="majorBidi" w:cstheme="majorBidi"/>
          <w:szCs w:val="22"/>
          <w:lang w:val="en-CA"/>
        </w:rPr>
        <w:t>s of fish catch</w:t>
      </w:r>
      <w:r w:rsidRPr="009D551E">
        <w:rPr>
          <w:rStyle w:val="FootnoteReference"/>
          <w:rFonts w:asciiTheme="majorBidi" w:hAnsiTheme="majorBidi" w:cstheme="majorBidi"/>
          <w:sz w:val="22"/>
          <w:szCs w:val="22"/>
          <w:lang w:val="en-CA"/>
        </w:rPr>
        <w:footnoteReference w:id="81"/>
      </w:r>
      <w:r w:rsidRPr="009D551E">
        <w:rPr>
          <w:rFonts w:asciiTheme="majorBidi" w:hAnsiTheme="majorBidi" w:cstheme="majorBidi"/>
          <w:szCs w:val="22"/>
          <w:lang w:val="en-CA"/>
        </w:rPr>
        <w:t xml:space="preserve">, </w:t>
      </w:r>
      <w:r w:rsidRPr="009D551E">
        <w:rPr>
          <w:rFonts w:asciiTheme="majorBidi" w:hAnsiTheme="majorBidi" w:cstheme="majorBidi"/>
          <w:szCs w:val="22"/>
        </w:rPr>
        <w:t xml:space="preserve">a result that is sensitive to the extent of predator-prey relationships. It has further been noted that addressing issues related to illegal, unreported and unregulated fishing could promote fishery recovery and </w:t>
      </w:r>
      <w:proofErr w:type="gramStart"/>
      <w:r w:rsidRPr="009D551E">
        <w:rPr>
          <w:rFonts w:asciiTheme="majorBidi" w:hAnsiTheme="majorBidi" w:cstheme="majorBidi"/>
          <w:szCs w:val="22"/>
        </w:rPr>
        <w:t>long lasting</w:t>
      </w:r>
      <w:proofErr w:type="gramEnd"/>
      <w:r w:rsidRPr="009D551E">
        <w:rPr>
          <w:rFonts w:asciiTheme="majorBidi" w:hAnsiTheme="majorBidi" w:cstheme="majorBidi"/>
          <w:szCs w:val="22"/>
        </w:rPr>
        <w:t xml:space="preserve"> fishery gains in many regions</w:t>
      </w:r>
      <w:r w:rsidR="00AD096C">
        <w:rPr>
          <w:rFonts w:asciiTheme="majorBidi" w:hAnsiTheme="majorBidi" w:cstheme="majorBidi"/>
          <w:szCs w:val="22"/>
        </w:rPr>
        <w:t>,</w:t>
      </w:r>
      <w:r w:rsidRPr="009D551E">
        <w:rPr>
          <w:rFonts w:asciiTheme="majorBidi" w:hAnsiTheme="majorBidi" w:cstheme="majorBidi"/>
          <w:szCs w:val="22"/>
        </w:rPr>
        <w:t xml:space="preserve"> at little cost to local economies or food provision</w:t>
      </w:r>
      <w:r w:rsidR="005424FB">
        <w:rPr>
          <w:rFonts w:asciiTheme="majorBidi" w:hAnsiTheme="majorBidi" w:cstheme="majorBidi"/>
          <w:szCs w:val="22"/>
        </w:rPr>
        <w:t>.</w:t>
      </w:r>
      <w:r w:rsidRPr="009D551E">
        <w:rPr>
          <w:rStyle w:val="FootnoteReference"/>
          <w:rFonts w:asciiTheme="majorBidi" w:hAnsiTheme="majorBidi" w:cstheme="majorBidi"/>
          <w:sz w:val="22"/>
          <w:szCs w:val="22"/>
        </w:rPr>
        <w:footnoteReference w:id="82"/>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lang w:val="en-CA"/>
        </w:rPr>
        <w:t>Four indicators used in GBO-4 have been updated since the report was released. Three of these indicators, proportion of fish stocks in safe biological limits</w:t>
      </w:r>
      <w:r w:rsidR="005424FB">
        <w:rPr>
          <w:rFonts w:asciiTheme="majorBidi" w:hAnsiTheme="majorBidi" w:cstheme="majorBidi"/>
          <w:szCs w:val="22"/>
          <w:lang w:val="en-CA"/>
        </w:rPr>
        <w:t>,</w:t>
      </w:r>
      <w:r w:rsidRPr="009D551E">
        <w:rPr>
          <w:rStyle w:val="FootnoteReference"/>
          <w:rFonts w:asciiTheme="majorBidi" w:hAnsiTheme="majorBidi" w:cstheme="majorBidi"/>
          <w:sz w:val="22"/>
          <w:szCs w:val="22"/>
          <w:lang w:val="en-CA"/>
        </w:rPr>
        <w:footnoteReference w:id="83"/>
      </w:r>
      <w:r w:rsidRPr="009D551E">
        <w:rPr>
          <w:rFonts w:asciiTheme="majorBidi" w:hAnsiTheme="majorBidi" w:cstheme="majorBidi"/>
          <w:szCs w:val="22"/>
          <w:lang w:val="en-CA"/>
        </w:rPr>
        <w:t xml:space="preserve"> the marine trophic index</w:t>
      </w:r>
      <w:r w:rsidRPr="009D551E">
        <w:rPr>
          <w:rStyle w:val="FootnoteReference"/>
          <w:rFonts w:asciiTheme="majorBidi" w:hAnsiTheme="majorBidi" w:cstheme="majorBidi"/>
          <w:sz w:val="22"/>
          <w:szCs w:val="22"/>
          <w:lang w:val="en-CA"/>
        </w:rPr>
        <w:footnoteReference w:id="84"/>
      </w:r>
      <w:r w:rsidRPr="009D551E">
        <w:rPr>
          <w:rFonts w:asciiTheme="majorBidi" w:hAnsiTheme="majorBidi" w:cstheme="majorBidi"/>
          <w:szCs w:val="22"/>
          <w:lang w:val="en-CA"/>
        </w:rPr>
        <w:t xml:space="preserve"> and the Red List Index for the impacts of fisheries</w:t>
      </w:r>
      <w:r w:rsidR="005424FB">
        <w:rPr>
          <w:rFonts w:asciiTheme="majorBidi" w:hAnsiTheme="majorBidi" w:cstheme="majorBidi"/>
          <w:szCs w:val="22"/>
          <w:lang w:val="en-CA"/>
        </w:rPr>
        <w:t>,</w:t>
      </w:r>
      <w:r w:rsidRPr="009D551E">
        <w:rPr>
          <w:rStyle w:val="FootnoteReference"/>
          <w:rFonts w:asciiTheme="majorBidi" w:hAnsiTheme="majorBidi" w:cstheme="majorBidi"/>
          <w:sz w:val="22"/>
          <w:szCs w:val="22"/>
          <w:lang w:val="en-CA"/>
        </w:rPr>
        <w:footnoteReference w:id="85"/>
      </w:r>
      <w:r w:rsidRPr="009D551E">
        <w:rPr>
          <w:rFonts w:asciiTheme="majorBidi" w:hAnsiTheme="majorBidi" w:cstheme="majorBidi"/>
          <w:szCs w:val="22"/>
          <w:lang w:val="en-CA"/>
        </w:rPr>
        <w:t xml:space="preserve"> all show negative trends. One indicator, Marine Stewardship Council certified fisheries (tonnes)</w:t>
      </w:r>
      <w:r w:rsidR="005424FB">
        <w:rPr>
          <w:rFonts w:asciiTheme="majorBidi" w:hAnsiTheme="majorBidi" w:cstheme="majorBidi"/>
          <w:szCs w:val="22"/>
          <w:lang w:val="en-CA"/>
        </w:rPr>
        <w:t>,</w:t>
      </w:r>
      <w:r w:rsidRPr="009D551E">
        <w:rPr>
          <w:rStyle w:val="FootnoteReference"/>
          <w:rFonts w:asciiTheme="majorBidi" w:hAnsiTheme="majorBidi" w:cstheme="majorBidi"/>
          <w:sz w:val="22"/>
          <w:szCs w:val="22"/>
          <w:lang w:val="en-CA"/>
        </w:rPr>
        <w:footnoteReference w:id="86"/>
      </w:r>
      <w:r w:rsidRPr="009D551E">
        <w:rPr>
          <w:rFonts w:asciiTheme="majorBidi" w:hAnsiTheme="majorBidi" w:cstheme="majorBidi"/>
          <w:szCs w:val="22"/>
          <w:lang w:val="en-CA"/>
        </w:rPr>
        <w:t xml:space="preserve"> </w:t>
      </w:r>
      <w:r w:rsidRPr="009D551E">
        <w:rPr>
          <w:rFonts w:asciiTheme="majorBidi" w:hAnsiTheme="majorBidi" w:cstheme="majorBidi"/>
          <w:szCs w:val="22"/>
        </w:rPr>
        <w:t>shows improvement</w:t>
      </w:r>
      <w:r w:rsidR="00A16320">
        <w:rPr>
          <w:rFonts w:asciiTheme="majorBidi" w:hAnsiTheme="majorBidi" w:cstheme="majorBidi"/>
          <w:szCs w:val="22"/>
        </w:rPr>
        <w:t>,</w:t>
      </w:r>
      <w:r w:rsidRPr="009D551E">
        <w:rPr>
          <w:rFonts w:asciiTheme="majorBidi" w:hAnsiTheme="majorBidi" w:cstheme="majorBidi"/>
          <w:szCs w:val="22"/>
        </w:rPr>
        <w:t xml:space="preserve"> indicating a growing interest by companies in this seal of approval of their management.</w:t>
      </w:r>
    </w:p>
    <w:p w:rsidR="009D551E" w:rsidRPr="009D551E" w:rsidRDefault="009D551E" w:rsidP="009D551E">
      <w:pPr>
        <w:pStyle w:val="Para1"/>
        <w:tabs>
          <w:tab w:val="clear" w:pos="360"/>
          <w:tab w:val="num" w:pos="567"/>
          <w:tab w:val="num" w:pos="3150"/>
        </w:tabs>
        <w:rPr>
          <w:rFonts w:asciiTheme="majorBidi" w:hAnsiTheme="majorBidi" w:cstheme="majorBidi"/>
          <w:szCs w:val="22"/>
          <w:lang w:val="en-CA"/>
        </w:rPr>
      </w:pPr>
      <w:r w:rsidRPr="009D551E">
        <w:rPr>
          <w:rFonts w:asciiTheme="majorBidi" w:hAnsiTheme="majorBidi" w:cstheme="majorBidi"/>
          <w:szCs w:val="22"/>
        </w:rPr>
        <w:t>The scientific information that has become available since the publication of GBO-4 suggests that the progress towards this target is largely unchanged from what was previously reported. Similarly</w:t>
      </w:r>
      <w:r w:rsidR="000D3B65">
        <w:rPr>
          <w:rFonts w:asciiTheme="majorBidi" w:hAnsiTheme="majorBidi" w:cstheme="majorBidi"/>
          <w:szCs w:val="22"/>
        </w:rPr>
        <w:t>,</w:t>
      </w:r>
      <w:r w:rsidRPr="009D551E">
        <w:rPr>
          <w:rFonts w:asciiTheme="majorBidi" w:hAnsiTheme="majorBidi" w:cstheme="majorBidi"/>
          <w:szCs w:val="22"/>
        </w:rPr>
        <w:t xml:space="preserve"> the scientific literature suggests that the actions identified in GBO-4 remain relevant to the achievement of this Aichi Biodiversity Target.</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7: By 2020 areas under agriculture, aquaculture and forestry are managed sustainably, ensuring conservation of biodiversity.</w:t>
      </w:r>
    </w:p>
    <w:p w:rsidR="009D551E" w:rsidRPr="00401143" w:rsidRDefault="0095331E" w:rsidP="00401143">
      <w:pPr>
        <w:pStyle w:val="Para1"/>
        <w:tabs>
          <w:tab w:val="clear" w:pos="360"/>
          <w:tab w:val="num" w:pos="720"/>
          <w:tab w:val="num" w:pos="3150"/>
        </w:tabs>
        <w:rPr>
          <w:rFonts w:asciiTheme="majorBidi" w:hAnsiTheme="majorBidi" w:cstheme="majorBidi"/>
          <w:snapToGrid/>
          <w:szCs w:val="22"/>
        </w:rPr>
      </w:pPr>
      <w:r w:rsidRPr="00401143">
        <w:rPr>
          <w:rFonts w:asciiTheme="majorBidi" w:hAnsiTheme="majorBidi" w:cstheme="majorBidi"/>
          <w:iCs/>
          <w:snapToGrid/>
          <w:szCs w:val="22"/>
        </w:rPr>
        <w:lastRenderedPageBreak/>
        <w:t>R</w:t>
      </w:r>
      <w:r w:rsidR="009D551E" w:rsidRPr="00401143">
        <w:rPr>
          <w:rFonts w:asciiTheme="majorBidi" w:hAnsiTheme="majorBidi" w:cstheme="majorBidi"/>
          <w:iCs/>
          <w:snapToGrid/>
          <w:szCs w:val="22"/>
        </w:rPr>
        <w:t>elatively</w:t>
      </w:r>
      <w:r w:rsidRPr="00401143">
        <w:rPr>
          <w:rFonts w:asciiTheme="majorBidi" w:hAnsiTheme="majorBidi" w:cstheme="majorBidi"/>
          <w:iCs/>
          <w:snapToGrid/>
          <w:szCs w:val="22"/>
        </w:rPr>
        <w:t xml:space="preserve"> </w:t>
      </w:r>
      <w:r w:rsidR="009D551E" w:rsidRPr="00401143">
        <w:rPr>
          <w:rFonts w:asciiTheme="majorBidi" w:hAnsiTheme="majorBidi" w:cstheme="majorBidi"/>
          <w:iCs/>
          <w:snapToGrid/>
          <w:szCs w:val="22"/>
        </w:rPr>
        <w:t xml:space="preserve">little scientific information assessing the sustainability of agricultural systems at </w:t>
      </w:r>
      <w:r w:rsidRPr="00401143">
        <w:rPr>
          <w:rFonts w:asciiTheme="majorBidi" w:hAnsiTheme="majorBidi" w:cstheme="majorBidi"/>
          <w:iCs/>
          <w:snapToGrid/>
          <w:szCs w:val="22"/>
        </w:rPr>
        <w:t xml:space="preserve">the </w:t>
      </w:r>
      <w:r w:rsidR="009D551E" w:rsidRPr="00401143">
        <w:rPr>
          <w:rFonts w:asciiTheme="majorBidi" w:hAnsiTheme="majorBidi" w:cstheme="majorBidi"/>
          <w:iCs/>
          <w:snapToGrid/>
          <w:szCs w:val="22"/>
        </w:rPr>
        <w:t xml:space="preserve">global level </w:t>
      </w:r>
      <w:r w:rsidRPr="00401143">
        <w:rPr>
          <w:rFonts w:asciiTheme="majorBidi" w:hAnsiTheme="majorBidi" w:cstheme="majorBidi"/>
          <w:iCs/>
          <w:snapToGrid/>
          <w:szCs w:val="22"/>
        </w:rPr>
        <w:t xml:space="preserve">has been made available </w:t>
      </w:r>
      <w:r w:rsidR="009D551E" w:rsidRPr="00401143">
        <w:rPr>
          <w:rFonts w:asciiTheme="majorBidi" w:hAnsiTheme="majorBidi" w:cstheme="majorBidi"/>
          <w:iCs/>
          <w:snapToGrid/>
          <w:szCs w:val="22"/>
        </w:rPr>
        <w:t>since the publication of GBO-4. Much of the recent literature related to the sustainable management of agriculture has focused on the use of different agricultural techniques. For example</w:t>
      </w:r>
      <w:r w:rsidRPr="00401143">
        <w:rPr>
          <w:rFonts w:asciiTheme="majorBidi" w:hAnsiTheme="majorBidi" w:cstheme="majorBidi"/>
          <w:iCs/>
          <w:snapToGrid/>
          <w:szCs w:val="22"/>
        </w:rPr>
        <w:t>,</w:t>
      </w:r>
      <w:r w:rsidR="009D551E" w:rsidRPr="00401143">
        <w:rPr>
          <w:rFonts w:asciiTheme="majorBidi" w:hAnsiTheme="majorBidi" w:cstheme="majorBidi"/>
          <w:iCs/>
          <w:snapToGrid/>
          <w:szCs w:val="22"/>
        </w:rPr>
        <w:t xml:space="preserve"> one study concluded that small-scale habitat restoration within intensive agricultural landscapes had positive effects on species vulnerable to habitat degradation</w:t>
      </w:r>
      <w:r w:rsidR="005424FB">
        <w:rPr>
          <w:rFonts w:asciiTheme="majorBidi" w:hAnsiTheme="majorBidi" w:cstheme="majorBidi"/>
          <w:iCs/>
          <w:snapToGrid/>
          <w:szCs w:val="22"/>
        </w:rPr>
        <w:t>.</w:t>
      </w:r>
      <w:r w:rsidR="009D551E" w:rsidRPr="009D551E">
        <w:rPr>
          <w:rStyle w:val="StyleFootnoteReferenceNounderline"/>
          <w:rFonts w:asciiTheme="majorBidi" w:hAnsiTheme="majorBidi" w:cstheme="majorBidi"/>
          <w:sz w:val="22"/>
          <w:szCs w:val="22"/>
          <w:vertAlign w:val="superscript"/>
        </w:rPr>
        <w:footnoteReference w:id="87"/>
      </w:r>
      <w:r w:rsidR="009D551E" w:rsidRPr="00401143">
        <w:rPr>
          <w:rFonts w:asciiTheme="majorBidi" w:hAnsiTheme="majorBidi" w:cstheme="majorBidi"/>
          <w:iCs/>
          <w:snapToGrid/>
          <w:szCs w:val="22"/>
        </w:rPr>
        <w:t xml:space="preserve"> Similarly</w:t>
      </w:r>
      <w:r w:rsidRPr="00401143">
        <w:rPr>
          <w:rFonts w:asciiTheme="majorBidi" w:hAnsiTheme="majorBidi" w:cstheme="majorBidi"/>
          <w:iCs/>
          <w:snapToGrid/>
          <w:szCs w:val="22"/>
        </w:rPr>
        <w:t>,</w:t>
      </w:r>
      <w:r w:rsidR="009D551E" w:rsidRPr="00401143">
        <w:rPr>
          <w:rFonts w:asciiTheme="majorBidi" w:hAnsiTheme="majorBidi" w:cstheme="majorBidi"/>
          <w:iCs/>
          <w:snapToGrid/>
          <w:szCs w:val="22"/>
        </w:rPr>
        <w:t xml:space="preserve"> removing a small percent</w:t>
      </w:r>
      <w:r w:rsidRPr="00401143">
        <w:rPr>
          <w:rFonts w:asciiTheme="majorBidi" w:hAnsiTheme="majorBidi" w:cstheme="majorBidi"/>
          <w:iCs/>
          <w:snapToGrid/>
          <w:szCs w:val="22"/>
        </w:rPr>
        <w:t>age</w:t>
      </w:r>
      <w:r w:rsidR="009D551E" w:rsidRPr="00401143">
        <w:rPr>
          <w:rFonts w:asciiTheme="majorBidi" w:hAnsiTheme="majorBidi" w:cstheme="majorBidi"/>
          <w:iCs/>
          <w:snapToGrid/>
          <w:szCs w:val="22"/>
        </w:rPr>
        <w:t xml:space="preserve"> of agricultural land from production at field edges to create wildlife habitat increased total agricultural yields. </w:t>
      </w:r>
      <w:r w:rsidR="000553B4" w:rsidRPr="00401143">
        <w:rPr>
          <w:rFonts w:asciiTheme="majorBidi" w:hAnsiTheme="majorBidi" w:cstheme="majorBidi"/>
          <w:iCs/>
          <w:snapToGrid/>
          <w:szCs w:val="22"/>
        </w:rPr>
        <w:t xml:space="preserve">Relatedly, </w:t>
      </w:r>
      <w:r w:rsidR="009D551E" w:rsidRPr="00401143">
        <w:rPr>
          <w:rFonts w:asciiTheme="majorBidi" w:hAnsiTheme="majorBidi" w:cstheme="majorBidi"/>
          <w:snapToGrid/>
          <w:szCs w:val="22"/>
        </w:rPr>
        <w:t>a study where 10% of cropland was replaced with strips of native plant species</w:t>
      </w:r>
      <w:r w:rsidR="00401143" w:rsidRPr="00401143">
        <w:rPr>
          <w:rFonts w:asciiTheme="majorBidi" w:hAnsiTheme="majorBidi" w:cstheme="majorBidi"/>
          <w:snapToGrid/>
          <w:szCs w:val="22"/>
        </w:rPr>
        <w:t xml:space="preserve"> resulted </w:t>
      </w:r>
      <w:r w:rsidR="009D551E" w:rsidRPr="00401143">
        <w:rPr>
          <w:rFonts w:asciiTheme="majorBidi" w:hAnsiTheme="majorBidi" w:cstheme="majorBidi"/>
          <w:snapToGrid/>
          <w:szCs w:val="22"/>
        </w:rPr>
        <w:t>in greater insect taxa richness, greater pollinator abundance, greater native bird species richness and a greater abundance of bird species of conservation need</w:t>
      </w:r>
      <w:r w:rsidR="00401143" w:rsidRPr="00401143">
        <w:rPr>
          <w:rFonts w:asciiTheme="majorBidi" w:hAnsiTheme="majorBidi" w:cstheme="majorBidi"/>
          <w:snapToGrid/>
          <w:szCs w:val="22"/>
        </w:rPr>
        <w:t>,</w:t>
      </w:r>
      <w:r w:rsidR="009D551E" w:rsidRPr="00401143">
        <w:rPr>
          <w:rFonts w:asciiTheme="majorBidi" w:hAnsiTheme="majorBidi" w:cstheme="majorBidi"/>
          <w:snapToGrid/>
          <w:szCs w:val="22"/>
        </w:rPr>
        <w:t xml:space="preserve"> when compared to fields </w:t>
      </w:r>
      <w:r w:rsidR="00401143" w:rsidRPr="00401143">
        <w:rPr>
          <w:rFonts w:asciiTheme="majorBidi" w:hAnsiTheme="majorBidi" w:cstheme="majorBidi"/>
          <w:snapToGrid/>
          <w:szCs w:val="22"/>
        </w:rPr>
        <w:t xml:space="preserve">that </w:t>
      </w:r>
      <w:r w:rsidR="009D551E" w:rsidRPr="00401143">
        <w:rPr>
          <w:rFonts w:asciiTheme="majorBidi" w:hAnsiTheme="majorBidi" w:cstheme="majorBidi"/>
          <w:snapToGrid/>
          <w:szCs w:val="22"/>
        </w:rPr>
        <w:t xml:space="preserve">did not have such strips. It was also observed that these </w:t>
      </w:r>
      <w:r w:rsidR="000553B4" w:rsidRPr="00401143">
        <w:rPr>
          <w:rFonts w:asciiTheme="majorBidi" w:hAnsiTheme="majorBidi" w:cstheme="majorBidi"/>
          <w:snapToGrid/>
          <w:szCs w:val="22"/>
        </w:rPr>
        <w:t>s</w:t>
      </w:r>
      <w:r w:rsidR="009D551E" w:rsidRPr="00401143">
        <w:rPr>
          <w:rFonts w:asciiTheme="majorBidi" w:hAnsiTheme="majorBidi" w:cstheme="majorBidi"/>
          <w:snapToGrid/>
          <w:szCs w:val="22"/>
        </w:rPr>
        <w:t xml:space="preserve">trips reduced water runoff, </w:t>
      </w:r>
      <w:r w:rsidR="00401143" w:rsidRPr="00401143">
        <w:rPr>
          <w:rFonts w:asciiTheme="majorBidi" w:hAnsiTheme="majorBidi" w:cstheme="majorBidi"/>
          <w:snapToGrid/>
          <w:szCs w:val="22"/>
        </w:rPr>
        <w:t xml:space="preserve">and had </w:t>
      </w:r>
      <w:r w:rsidR="009D551E" w:rsidRPr="00401143">
        <w:rPr>
          <w:rFonts w:asciiTheme="majorBidi" w:hAnsiTheme="majorBidi" w:cstheme="majorBidi"/>
          <w:snapToGrid/>
          <w:szCs w:val="22"/>
        </w:rPr>
        <w:t>greater soil and phosphorus retention. Overall</w:t>
      </w:r>
      <w:r w:rsidR="00401143" w:rsidRPr="00401143">
        <w:rPr>
          <w:rFonts w:asciiTheme="majorBidi" w:hAnsiTheme="majorBidi" w:cstheme="majorBidi"/>
          <w:snapToGrid/>
          <w:szCs w:val="22"/>
        </w:rPr>
        <w:t>,</w:t>
      </w:r>
      <w:r w:rsidR="009D551E" w:rsidRPr="00401143">
        <w:rPr>
          <w:rFonts w:asciiTheme="majorBidi" w:hAnsiTheme="majorBidi" w:cstheme="majorBidi"/>
          <w:snapToGrid/>
          <w:szCs w:val="22"/>
        </w:rPr>
        <w:t xml:space="preserve"> the effect of the crop strips was an increase in biodiversity and ecosystem services and a modest reduction in crop production, equal to the land area taken out of crop production</w:t>
      </w:r>
      <w:r w:rsidR="005424FB">
        <w:rPr>
          <w:rFonts w:asciiTheme="majorBidi" w:hAnsiTheme="majorBidi" w:cstheme="majorBidi"/>
          <w:snapToGrid/>
          <w:szCs w:val="22"/>
        </w:rPr>
        <w:t>.</w:t>
      </w:r>
      <w:r w:rsidR="009D551E" w:rsidRPr="009D551E">
        <w:rPr>
          <w:rStyle w:val="FootnoteReference"/>
          <w:rFonts w:asciiTheme="majorBidi" w:hAnsiTheme="majorBidi" w:cstheme="majorBidi"/>
          <w:snapToGrid/>
          <w:sz w:val="22"/>
          <w:szCs w:val="22"/>
        </w:rPr>
        <w:footnoteReference w:id="88"/>
      </w:r>
      <w:r w:rsidR="009D551E" w:rsidRPr="00401143">
        <w:rPr>
          <w:rFonts w:asciiTheme="majorBidi" w:hAnsiTheme="majorBidi" w:cstheme="majorBidi"/>
          <w:snapToGrid/>
          <w:szCs w:val="22"/>
        </w:rPr>
        <w:t xml:space="preserve"> A further study found that creating annual flower strips along wheat</w:t>
      </w:r>
      <w:r w:rsidR="00401143" w:rsidRPr="00401143">
        <w:rPr>
          <w:rFonts w:asciiTheme="majorBidi" w:hAnsiTheme="majorBidi" w:cstheme="majorBidi"/>
          <w:snapToGrid/>
          <w:szCs w:val="22"/>
        </w:rPr>
        <w:t xml:space="preserve"> </w:t>
      </w:r>
      <w:r w:rsidR="009D551E" w:rsidRPr="00401143">
        <w:rPr>
          <w:rFonts w:asciiTheme="majorBidi" w:hAnsiTheme="majorBidi" w:cstheme="majorBidi"/>
          <w:snapToGrid/>
          <w:szCs w:val="22"/>
        </w:rPr>
        <w:t>fields reduced cereal leaf beetle density and plant damage caused by th</w:t>
      </w:r>
      <w:r w:rsidR="00401143" w:rsidRPr="00401143">
        <w:rPr>
          <w:rFonts w:asciiTheme="majorBidi" w:hAnsiTheme="majorBidi" w:cstheme="majorBidi"/>
          <w:snapToGrid/>
          <w:szCs w:val="22"/>
        </w:rPr>
        <w:t xml:space="preserve">is beetle </w:t>
      </w:r>
      <w:r w:rsidR="009D551E" w:rsidRPr="00401143">
        <w:rPr>
          <w:rFonts w:asciiTheme="majorBidi" w:hAnsiTheme="majorBidi" w:cstheme="majorBidi"/>
          <w:snapToGrid/>
          <w:szCs w:val="22"/>
        </w:rPr>
        <w:t xml:space="preserve">by increasing the presence of </w:t>
      </w:r>
      <w:r w:rsidR="00401143" w:rsidRPr="00401143">
        <w:rPr>
          <w:rFonts w:asciiTheme="majorBidi" w:hAnsiTheme="majorBidi" w:cstheme="majorBidi"/>
          <w:snapToGrid/>
          <w:szCs w:val="22"/>
        </w:rPr>
        <w:t xml:space="preserve">the beetle’s </w:t>
      </w:r>
      <w:r w:rsidR="009D551E" w:rsidRPr="00401143">
        <w:rPr>
          <w:rFonts w:asciiTheme="majorBidi" w:hAnsiTheme="majorBidi" w:cstheme="majorBidi"/>
          <w:snapToGrid/>
          <w:szCs w:val="22"/>
        </w:rPr>
        <w:t>natural enemies</w:t>
      </w:r>
      <w:r w:rsidR="00401143" w:rsidRPr="00401143">
        <w:rPr>
          <w:rFonts w:asciiTheme="majorBidi" w:hAnsiTheme="majorBidi" w:cstheme="majorBidi"/>
          <w:snapToGrid/>
          <w:szCs w:val="22"/>
        </w:rPr>
        <w:t>.</w:t>
      </w:r>
      <w:r w:rsidR="00401143">
        <w:rPr>
          <w:rFonts w:asciiTheme="majorBidi" w:hAnsiTheme="majorBidi" w:cstheme="majorBidi"/>
          <w:snapToGrid/>
          <w:szCs w:val="22"/>
        </w:rPr>
        <w:t xml:space="preserve"> T</w:t>
      </w:r>
      <w:r w:rsidR="009D551E" w:rsidRPr="00401143">
        <w:rPr>
          <w:rFonts w:asciiTheme="majorBidi" w:hAnsiTheme="majorBidi" w:cstheme="majorBidi"/>
          <w:snapToGrid/>
          <w:szCs w:val="22"/>
        </w:rPr>
        <w:t>he study conclude</w:t>
      </w:r>
      <w:r w:rsidR="00401143">
        <w:rPr>
          <w:rFonts w:asciiTheme="majorBidi" w:hAnsiTheme="majorBidi" w:cstheme="majorBidi"/>
          <w:snapToGrid/>
          <w:szCs w:val="22"/>
        </w:rPr>
        <w:t>d</w:t>
      </w:r>
      <w:r w:rsidR="009D551E" w:rsidRPr="00401143">
        <w:rPr>
          <w:rFonts w:asciiTheme="majorBidi" w:hAnsiTheme="majorBidi" w:cstheme="majorBidi"/>
          <w:snapToGrid/>
          <w:szCs w:val="22"/>
        </w:rPr>
        <w:t xml:space="preserve"> that flower strips promote pest control and could be considered as an alternative to insecticides</w:t>
      </w:r>
      <w:r w:rsidR="005424FB">
        <w:rPr>
          <w:rFonts w:asciiTheme="majorBidi" w:hAnsiTheme="majorBidi" w:cstheme="majorBidi"/>
          <w:snapToGrid/>
          <w:szCs w:val="22"/>
        </w:rPr>
        <w:t>.</w:t>
      </w:r>
      <w:r w:rsidR="009D551E" w:rsidRPr="009D551E">
        <w:rPr>
          <w:rStyle w:val="FootnoteReference"/>
          <w:rFonts w:asciiTheme="majorBidi" w:hAnsiTheme="majorBidi" w:cstheme="majorBidi"/>
          <w:snapToGrid/>
          <w:sz w:val="22"/>
          <w:szCs w:val="22"/>
        </w:rPr>
        <w:footnoteReference w:id="89"/>
      </w:r>
      <w:r w:rsidR="006E4969" w:rsidRPr="00401143">
        <w:rPr>
          <w:rFonts w:asciiTheme="majorBidi" w:hAnsiTheme="majorBidi" w:cstheme="majorBidi"/>
          <w:snapToGrid/>
          <w:szCs w:val="22"/>
        </w:rPr>
        <w:t xml:space="preserve"> </w:t>
      </w:r>
      <w:proofErr w:type="gramStart"/>
      <w:r w:rsidR="009D551E" w:rsidRPr="00401143">
        <w:rPr>
          <w:rFonts w:asciiTheme="majorBidi" w:hAnsiTheme="majorBidi" w:cstheme="majorBidi"/>
          <w:snapToGrid/>
          <w:szCs w:val="22"/>
        </w:rPr>
        <w:t>With regard to</w:t>
      </w:r>
      <w:proofErr w:type="gramEnd"/>
      <w:r w:rsidR="009D551E" w:rsidRPr="00401143">
        <w:rPr>
          <w:rFonts w:asciiTheme="majorBidi" w:hAnsiTheme="majorBidi" w:cstheme="majorBidi"/>
          <w:snapToGrid/>
          <w:szCs w:val="22"/>
        </w:rPr>
        <w:t xml:space="preserve"> pesticides</w:t>
      </w:r>
      <w:r w:rsidR="00401143">
        <w:rPr>
          <w:rFonts w:asciiTheme="majorBidi" w:hAnsiTheme="majorBidi" w:cstheme="majorBidi"/>
          <w:snapToGrid/>
          <w:szCs w:val="22"/>
        </w:rPr>
        <w:t>,</w:t>
      </w:r>
      <w:r w:rsidR="009D551E" w:rsidRPr="00401143">
        <w:rPr>
          <w:rFonts w:asciiTheme="majorBidi" w:hAnsiTheme="majorBidi" w:cstheme="majorBidi"/>
          <w:snapToGrid/>
          <w:szCs w:val="22"/>
        </w:rPr>
        <w:t xml:space="preserve"> a study of 946 non-organic arable commercial farms in France found that</w:t>
      </w:r>
      <w:r w:rsidR="00A61216">
        <w:rPr>
          <w:rFonts w:asciiTheme="majorBidi" w:hAnsiTheme="majorBidi" w:cstheme="majorBidi"/>
          <w:snapToGrid/>
          <w:szCs w:val="22"/>
        </w:rPr>
        <w:t>,</w:t>
      </w:r>
      <w:r w:rsidR="009D551E" w:rsidRPr="00401143">
        <w:rPr>
          <w:rFonts w:asciiTheme="majorBidi" w:hAnsiTheme="majorBidi" w:cstheme="majorBidi"/>
          <w:snapToGrid/>
          <w:szCs w:val="22"/>
        </w:rPr>
        <w:t xml:space="preserve"> in 77% of cases</w:t>
      </w:r>
      <w:r w:rsidR="00A61216">
        <w:rPr>
          <w:rFonts w:asciiTheme="majorBidi" w:hAnsiTheme="majorBidi" w:cstheme="majorBidi"/>
          <w:snapToGrid/>
          <w:szCs w:val="22"/>
        </w:rPr>
        <w:t>,</w:t>
      </w:r>
      <w:r w:rsidR="009D551E" w:rsidRPr="00401143">
        <w:rPr>
          <w:rFonts w:asciiTheme="majorBidi" w:hAnsiTheme="majorBidi" w:cstheme="majorBidi"/>
          <w:snapToGrid/>
          <w:szCs w:val="22"/>
        </w:rPr>
        <w:t xml:space="preserve"> there was no conflict between low pesticide use and productivity. The study further found that pesticide use could be reduced by 42% without having a negative effect on productivity or profitability in 59% of farms</w:t>
      </w:r>
      <w:r w:rsidR="005424FB">
        <w:rPr>
          <w:rFonts w:asciiTheme="majorBidi" w:hAnsiTheme="majorBidi" w:cstheme="majorBidi"/>
          <w:snapToGrid/>
          <w:szCs w:val="22"/>
        </w:rPr>
        <w:t>.</w:t>
      </w:r>
      <w:r w:rsidR="009D551E" w:rsidRPr="009D551E">
        <w:rPr>
          <w:rStyle w:val="FootnoteReference"/>
          <w:rFonts w:asciiTheme="majorBidi" w:hAnsiTheme="majorBidi" w:cstheme="majorBidi"/>
          <w:snapToGrid/>
          <w:sz w:val="22"/>
          <w:szCs w:val="22"/>
        </w:rPr>
        <w:footnoteReference w:id="90"/>
      </w:r>
      <w:r w:rsidR="009D551E" w:rsidRPr="00401143">
        <w:rPr>
          <w:rFonts w:asciiTheme="majorBidi" w:hAnsiTheme="majorBidi" w:cstheme="majorBidi"/>
          <w:snapToGrid/>
          <w:szCs w:val="22"/>
        </w:rPr>
        <w:t xml:space="preserve"> This information is also relevant to Aichi Biodiversity Target 8. </w:t>
      </w:r>
    </w:p>
    <w:p w:rsidR="009D551E" w:rsidRPr="009D551E" w:rsidRDefault="006E4969" w:rsidP="00DD474A">
      <w:pPr>
        <w:pStyle w:val="Para1"/>
        <w:tabs>
          <w:tab w:val="clear" w:pos="360"/>
          <w:tab w:val="num" w:pos="720"/>
          <w:tab w:val="num" w:pos="3150"/>
        </w:tabs>
        <w:rPr>
          <w:rFonts w:asciiTheme="majorBidi" w:hAnsiTheme="majorBidi" w:cstheme="majorBidi"/>
          <w:snapToGrid/>
          <w:szCs w:val="22"/>
        </w:rPr>
      </w:pPr>
      <w:r w:rsidRPr="001F059B">
        <w:rPr>
          <w:rFonts w:asciiTheme="majorBidi" w:hAnsiTheme="majorBidi" w:cstheme="majorBidi"/>
          <w:iCs/>
          <w:snapToGrid/>
          <w:szCs w:val="22"/>
        </w:rPr>
        <w:t>M</w:t>
      </w:r>
      <w:r w:rsidR="009D551E" w:rsidRPr="001F059B">
        <w:rPr>
          <w:rFonts w:asciiTheme="majorBidi" w:hAnsiTheme="majorBidi" w:cstheme="majorBidi"/>
          <w:iCs/>
          <w:snapToGrid/>
          <w:szCs w:val="22"/>
        </w:rPr>
        <w:t>any studies of traditional farming systems emphasize the importance of enhancing plant</w:t>
      </w:r>
      <w:r w:rsidR="009D551E" w:rsidRPr="009D551E">
        <w:rPr>
          <w:rFonts w:asciiTheme="majorBidi" w:hAnsiTheme="majorBidi" w:cstheme="majorBidi"/>
          <w:iCs/>
          <w:snapToGrid/>
          <w:szCs w:val="22"/>
        </w:rPr>
        <w:t xml:space="preserve"> diversity and complexity in farming systems to increase yield stability and reduce vulnerability to extreme climatic events</w:t>
      </w:r>
      <w:r w:rsidR="005424FB">
        <w:rPr>
          <w:rFonts w:asciiTheme="majorBidi" w:hAnsiTheme="majorBidi" w:cstheme="majorBidi"/>
          <w:iCs/>
          <w:snapToGrid/>
          <w:szCs w:val="22"/>
        </w:rPr>
        <w:t>.</w:t>
      </w:r>
      <w:r w:rsidR="009D551E" w:rsidRPr="009D551E">
        <w:rPr>
          <w:rStyle w:val="StyleFootnoteReferenceNounderline"/>
          <w:rFonts w:asciiTheme="majorBidi" w:hAnsiTheme="majorBidi" w:cstheme="majorBidi"/>
          <w:sz w:val="22"/>
          <w:szCs w:val="22"/>
          <w:vertAlign w:val="superscript"/>
        </w:rPr>
        <w:footnoteReference w:id="91"/>
      </w:r>
      <w:r w:rsidR="009D551E" w:rsidRPr="009D551E">
        <w:rPr>
          <w:rFonts w:asciiTheme="majorBidi" w:hAnsiTheme="majorBidi" w:cstheme="majorBidi"/>
          <w:iCs/>
          <w:snapToGrid/>
          <w:szCs w:val="22"/>
        </w:rPr>
        <w:t xml:space="preserve"> </w:t>
      </w:r>
      <w:r w:rsidR="00DD474A">
        <w:rPr>
          <w:rFonts w:asciiTheme="majorBidi" w:hAnsiTheme="majorBidi" w:cstheme="majorBidi"/>
          <w:iCs/>
          <w:snapToGrid/>
          <w:szCs w:val="22"/>
        </w:rPr>
        <w:t>Further</w:t>
      </w:r>
      <w:r w:rsidR="009D551E" w:rsidRPr="009D551E">
        <w:rPr>
          <w:rFonts w:asciiTheme="majorBidi" w:hAnsiTheme="majorBidi" w:cstheme="majorBidi"/>
          <w:iCs/>
          <w:snapToGrid/>
          <w:szCs w:val="22"/>
        </w:rPr>
        <w:t xml:space="preserve"> empowering smallholder farmers </w:t>
      </w:r>
      <w:r w:rsidR="00DD474A">
        <w:rPr>
          <w:rFonts w:asciiTheme="majorBidi" w:hAnsiTheme="majorBidi" w:cstheme="majorBidi"/>
          <w:iCs/>
          <w:snapToGrid/>
          <w:szCs w:val="22"/>
        </w:rPr>
        <w:t>to adopt more efficient agricultural practices has also been identified as a means of improving crops yields in a sustainable manner</w:t>
      </w:r>
      <w:r w:rsidR="005424FB">
        <w:rPr>
          <w:rFonts w:asciiTheme="majorBidi" w:hAnsiTheme="majorBidi" w:cstheme="majorBidi"/>
          <w:iCs/>
          <w:snapToGrid/>
          <w:szCs w:val="22"/>
        </w:rPr>
        <w:t>.</w:t>
      </w:r>
      <w:r w:rsidR="00DD474A" w:rsidRPr="009D551E">
        <w:rPr>
          <w:rStyle w:val="FootnoteReference"/>
          <w:rFonts w:asciiTheme="majorBidi" w:hAnsiTheme="majorBidi" w:cstheme="majorBidi"/>
          <w:iCs/>
          <w:snapToGrid/>
          <w:sz w:val="22"/>
          <w:szCs w:val="22"/>
        </w:rPr>
        <w:footnoteReference w:id="92"/>
      </w:r>
      <w:r w:rsidR="009D551E" w:rsidRPr="009D551E">
        <w:rPr>
          <w:rFonts w:asciiTheme="majorBidi" w:hAnsiTheme="majorBidi" w:cstheme="majorBidi"/>
          <w:iCs/>
          <w:snapToGrid/>
          <w:szCs w:val="22"/>
        </w:rPr>
        <w:t xml:space="preserve"> For example </w:t>
      </w:r>
      <w:r w:rsidR="00DD474A">
        <w:rPr>
          <w:rFonts w:asciiTheme="majorBidi" w:hAnsiTheme="majorBidi" w:cstheme="majorBidi"/>
          <w:iCs/>
          <w:snapToGrid/>
          <w:szCs w:val="22"/>
        </w:rPr>
        <w:t>a</w:t>
      </w:r>
      <w:r w:rsidR="00DD474A" w:rsidRPr="009D551E">
        <w:rPr>
          <w:rFonts w:asciiTheme="majorBidi" w:hAnsiTheme="majorBidi" w:cstheme="majorBidi"/>
          <w:iCs/>
          <w:snapToGrid/>
          <w:szCs w:val="22"/>
        </w:rPr>
        <w:t xml:space="preserve"> </w:t>
      </w:r>
      <w:r w:rsidR="009D551E" w:rsidRPr="009D551E">
        <w:rPr>
          <w:rFonts w:asciiTheme="majorBidi" w:hAnsiTheme="majorBidi" w:cstheme="majorBidi"/>
          <w:iCs/>
          <w:snapToGrid/>
          <w:szCs w:val="22"/>
        </w:rPr>
        <w:t xml:space="preserve">study reporting on the results of a programme to engage smallholder farmers in China </w:t>
      </w:r>
      <w:r w:rsidR="00BF7FAC">
        <w:rPr>
          <w:rFonts w:asciiTheme="majorBidi" w:hAnsiTheme="majorBidi" w:cstheme="majorBidi"/>
          <w:iCs/>
          <w:snapToGrid/>
          <w:szCs w:val="22"/>
        </w:rPr>
        <w:t xml:space="preserve">in adopting </w:t>
      </w:r>
      <w:r w:rsidR="009D551E" w:rsidRPr="009D551E">
        <w:rPr>
          <w:rFonts w:asciiTheme="majorBidi" w:hAnsiTheme="majorBidi" w:cstheme="majorBidi"/>
          <w:iCs/>
          <w:snapToGrid/>
          <w:szCs w:val="22"/>
        </w:rPr>
        <w:t>enhanced management practices resulted in average yield increases for maize</w:t>
      </w:r>
      <w:r w:rsidR="00DD474A">
        <w:rPr>
          <w:rFonts w:asciiTheme="majorBidi" w:hAnsiTheme="majorBidi" w:cstheme="majorBidi"/>
          <w:iCs/>
          <w:snapToGrid/>
          <w:szCs w:val="22"/>
        </w:rPr>
        <w:t>,</w:t>
      </w:r>
      <w:r w:rsidR="009D551E" w:rsidRPr="009D551E">
        <w:rPr>
          <w:rFonts w:asciiTheme="majorBidi" w:hAnsiTheme="majorBidi" w:cstheme="majorBidi"/>
          <w:iCs/>
          <w:snapToGrid/>
          <w:szCs w:val="22"/>
        </w:rPr>
        <w:t xml:space="preserve"> rice and wheat of between 10.8% and 11.5%</w:t>
      </w:r>
      <w:r w:rsidR="001F059B">
        <w:rPr>
          <w:rFonts w:asciiTheme="majorBidi" w:hAnsiTheme="majorBidi" w:cstheme="majorBidi"/>
          <w:iCs/>
          <w:snapToGrid/>
          <w:szCs w:val="22"/>
        </w:rPr>
        <w:t>,</w:t>
      </w:r>
      <w:r w:rsidR="009D551E" w:rsidRPr="009D551E">
        <w:rPr>
          <w:rFonts w:asciiTheme="majorBidi" w:hAnsiTheme="majorBidi" w:cstheme="majorBidi"/>
          <w:iCs/>
          <w:snapToGrid/>
          <w:szCs w:val="22"/>
        </w:rPr>
        <w:t xml:space="preserve"> while also reducing the application of nitrogen by between 14.7% and 18.1%. The increase in production and decrease in nitrogen use generated the equivalent of US$ 12 billion</w:t>
      </w:r>
      <w:r w:rsidR="00BF7FAC">
        <w:rPr>
          <w:rFonts w:asciiTheme="majorBidi" w:hAnsiTheme="majorBidi" w:cstheme="majorBidi"/>
          <w:iCs/>
          <w:snapToGrid/>
          <w:szCs w:val="22"/>
        </w:rPr>
        <w:t>,</w:t>
      </w:r>
      <w:r w:rsidR="009D551E" w:rsidRPr="009D551E">
        <w:rPr>
          <w:rFonts w:asciiTheme="majorBidi" w:hAnsiTheme="majorBidi" w:cstheme="majorBidi"/>
          <w:iCs/>
          <w:snapToGrid/>
          <w:szCs w:val="22"/>
        </w:rPr>
        <w:t xml:space="preserve"> as well as reduced the amount of </w:t>
      </w:r>
      <w:r w:rsidR="005618B3" w:rsidRPr="009D551E">
        <w:rPr>
          <w:rFonts w:asciiTheme="majorBidi" w:hAnsiTheme="majorBidi" w:cstheme="majorBidi"/>
          <w:iCs/>
          <w:snapToGrid/>
          <w:szCs w:val="22"/>
        </w:rPr>
        <w:t>reactive</w:t>
      </w:r>
      <w:r w:rsidR="009D551E" w:rsidRPr="009D551E">
        <w:rPr>
          <w:rFonts w:asciiTheme="majorBidi" w:hAnsiTheme="majorBidi" w:cstheme="majorBidi"/>
          <w:iCs/>
          <w:snapToGrid/>
          <w:szCs w:val="22"/>
        </w:rPr>
        <w:t xml:space="preserve"> nitrogen and greenhouse gases entering the environment</w:t>
      </w:r>
      <w:r w:rsidR="005424FB">
        <w:rPr>
          <w:rFonts w:asciiTheme="majorBidi" w:hAnsiTheme="majorBidi" w:cstheme="majorBidi"/>
          <w:iCs/>
          <w:snapToGrid/>
          <w:szCs w:val="22"/>
        </w:rPr>
        <w:t>.</w:t>
      </w:r>
      <w:r w:rsidR="009D551E" w:rsidRPr="009D551E">
        <w:rPr>
          <w:rStyle w:val="FootnoteReference"/>
          <w:rFonts w:asciiTheme="majorBidi" w:hAnsiTheme="majorBidi" w:cstheme="majorBidi"/>
          <w:iCs/>
          <w:snapToGrid/>
          <w:sz w:val="22"/>
          <w:szCs w:val="22"/>
        </w:rPr>
        <w:footnoteReference w:id="93"/>
      </w:r>
      <w:r w:rsidR="009D551E" w:rsidRPr="009D551E">
        <w:rPr>
          <w:rFonts w:asciiTheme="majorBidi" w:hAnsiTheme="majorBidi" w:cstheme="majorBidi"/>
          <w:iCs/>
          <w:snapToGrid/>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napToGrid/>
          <w:szCs w:val="22"/>
        </w:rPr>
      </w:pPr>
      <w:r w:rsidRPr="009D551E">
        <w:rPr>
          <w:rFonts w:asciiTheme="majorBidi" w:hAnsiTheme="majorBidi" w:cstheme="majorBidi"/>
          <w:iCs/>
          <w:snapToGrid/>
          <w:szCs w:val="22"/>
        </w:rPr>
        <w:t>Research on various approaches to agriculture ha</w:t>
      </w:r>
      <w:r w:rsidR="0045449E">
        <w:rPr>
          <w:rFonts w:asciiTheme="majorBidi" w:hAnsiTheme="majorBidi" w:cstheme="majorBidi"/>
          <w:iCs/>
          <w:snapToGrid/>
          <w:szCs w:val="22"/>
        </w:rPr>
        <w:t>s</w:t>
      </w:r>
      <w:r w:rsidRPr="009D551E">
        <w:rPr>
          <w:rFonts w:asciiTheme="majorBidi" w:hAnsiTheme="majorBidi" w:cstheme="majorBidi"/>
          <w:iCs/>
          <w:snapToGrid/>
          <w:szCs w:val="22"/>
        </w:rPr>
        <w:t xml:space="preserve"> also been published. For example</w:t>
      </w:r>
      <w:r w:rsidR="0045449E">
        <w:rPr>
          <w:rFonts w:asciiTheme="majorBidi" w:hAnsiTheme="majorBidi" w:cstheme="majorBidi"/>
          <w:iCs/>
          <w:snapToGrid/>
          <w:szCs w:val="22"/>
        </w:rPr>
        <w:t>,</w:t>
      </w:r>
      <w:r w:rsidRPr="009D551E">
        <w:rPr>
          <w:rFonts w:asciiTheme="majorBidi" w:hAnsiTheme="majorBidi" w:cstheme="majorBidi"/>
          <w:iCs/>
          <w:snapToGrid/>
          <w:szCs w:val="22"/>
        </w:rPr>
        <w:t xml:space="preserve"> integrated crop water management, which combines </w:t>
      </w:r>
      <w:r w:rsidR="0045449E">
        <w:rPr>
          <w:rFonts w:asciiTheme="majorBidi" w:hAnsiTheme="majorBidi" w:cstheme="majorBidi"/>
          <w:iCs/>
          <w:snapToGrid/>
          <w:szCs w:val="22"/>
        </w:rPr>
        <w:t xml:space="preserve">improvements in </w:t>
      </w:r>
      <w:r w:rsidRPr="009D551E">
        <w:rPr>
          <w:rFonts w:asciiTheme="majorBidi" w:hAnsiTheme="majorBidi" w:cstheme="majorBidi"/>
          <w:iCs/>
          <w:snapToGrid/>
          <w:szCs w:val="22"/>
        </w:rPr>
        <w:t>irrigation efficiency</w:t>
      </w:r>
      <w:r w:rsidR="0045449E">
        <w:rPr>
          <w:rFonts w:asciiTheme="majorBidi" w:hAnsiTheme="majorBidi" w:cstheme="majorBidi"/>
          <w:iCs/>
          <w:snapToGrid/>
          <w:szCs w:val="22"/>
        </w:rPr>
        <w:t xml:space="preserve">, </w:t>
      </w:r>
      <w:r w:rsidRPr="009D551E">
        <w:rPr>
          <w:rFonts w:asciiTheme="majorBidi" w:hAnsiTheme="majorBidi" w:cstheme="majorBidi"/>
          <w:iCs/>
          <w:snapToGrid/>
          <w:szCs w:val="22"/>
        </w:rPr>
        <w:t xml:space="preserve">better use of rainwater and other low-tech solutions, has the potential to </w:t>
      </w:r>
      <w:r w:rsidR="0045449E">
        <w:rPr>
          <w:rFonts w:asciiTheme="majorBidi" w:hAnsiTheme="majorBidi" w:cstheme="majorBidi"/>
          <w:iCs/>
          <w:snapToGrid/>
          <w:szCs w:val="22"/>
        </w:rPr>
        <w:t xml:space="preserve">greatly </w:t>
      </w:r>
      <w:r w:rsidRPr="009D551E">
        <w:rPr>
          <w:rFonts w:asciiTheme="majorBidi" w:hAnsiTheme="majorBidi" w:cstheme="majorBidi"/>
          <w:iCs/>
          <w:snapToGrid/>
          <w:szCs w:val="22"/>
        </w:rPr>
        <w:t>increase global production and close the water-related yield gap</w:t>
      </w:r>
      <w:r w:rsidR="005424FB">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94"/>
      </w:r>
      <w:r w:rsidRPr="009D551E">
        <w:rPr>
          <w:rFonts w:asciiTheme="majorBidi" w:hAnsiTheme="majorBidi" w:cstheme="majorBidi"/>
          <w:iCs/>
          <w:snapToGrid/>
          <w:szCs w:val="22"/>
        </w:rPr>
        <w:t xml:space="preserve"> Further</w:t>
      </w:r>
      <w:r w:rsidR="0045449E">
        <w:rPr>
          <w:rFonts w:asciiTheme="majorBidi" w:hAnsiTheme="majorBidi" w:cstheme="majorBidi"/>
          <w:iCs/>
          <w:snapToGrid/>
          <w:szCs w:val="22"/>
        </w:rPr>
        <w:t>,</w:t>
      </w:r>
      <w:r w:rsidRPr="009D551E">
        <w:rPr>
          <w:rFonts w:asciiTheme="majorBidi" w:hAnsiTheme="majorBidi" w:cstheme="majorBidi"/>
          <w:iCs/>
          <w:snapToGrid/>
          <w:szCs w:val="22"/>
        </w:rPr>
        <w:t xml:space="preserve"> there has also been growing work on what has been termed precision agriculture, where tools</w:t>
      </w:r>
      <w:r w:rsidR="00D94558">
        <w:rPr>
          <w:rFonts w:asciiTheme="majorBidi" w:hAnsiTheme="majorBidi" w:cstheme="majorBidi"/>
          <w:iCs/>
          <w:snapToGrid/>
          <w:szCs w:val="22"/>
        </w:rPr>
        <w:t>,</w:t>
      </w:r>
      <w:r w:rsidRPr="009D551E">
        <w:rPr>
          <w:rFonts w:asciiTheme="majorBidi" w:hAnsiTheme="majorBidi" w:cstheme="majorBidi"/>
          <w:iCs/>
          <w:snapToGrid/>
          <w:szCs w:val="22"/>
        </w:rPr>
        <w:t xml:space="preserve"> such as machine learning, have been used for the early identification of plant diseases </w:t>
      </w:r>
      <w:r w:rsidR="005618B3">
        <w:rPr>
          <w:rFonts w:asciiTheme="majorBidi" w:hAnsiTheme="majorBidi" w:cstheme="majorBidi"/>
          <w:iCs/>
          <w:snapToGrid/>
          <w:szCs w:val="22"/>
        </w:rPr>
        <w:t xml:space="preserve">and </w:t>
      </w:r>
      <w:r w:rsidRPr="009D551E">
        <w:rPr>
          <w:rFonts w:asciiTheme="majorBidi" w:hAnsiTheme="majorBidi" w:cstheme="majorBidi"/>
          <w:iCs/>
          <w:snapToGrid/>
          <w:szCs w:val="22"/>
        </w:rPr>
        <w:t xml:space="preserve">weed </w:t>
      </w:r>
      <w:r w:rsidRPr="009D551E">
        <w:rPr>
          <w:rFonts w:asciiTheme="majorBidi" w:hAnsiTheme="majorBidi" w:cstheme="majorBidi"/>
          <w:iCs/>
          <w:snapToGrid/>
          <w:szCs w:val="22"/>
        </w:rPr>
        <w:lastRenderedPageBreak/>
        <w:t>detection</w:t>
      </w:r>
      <w:r w:rsidR="005424FB">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95"/>
      </w:r>
      <w:r w:rsidRPr="009D551E">
        <w:rPr>
          <w:rFonts w:asciiTheme="majorBidi" w:hAnsiTheme="majorBidi" w:cstheme="majorBidi"/>
          <w:iCs/>
          <w:snapToGrid/>
          <w:szCs w:val="22"/>
        </w:rPr>
        <w:t xml:space="preserve"> However</w:t>
      </w:r>
      <w:r w:rsidR="0045449E">
        <w:rPr>
          <w:rFonts w:asciiTheme="majorBidi" w:hAnsiTheme="majorBidi" w:cstheme="majorBidi"/>
          <w:iCs/>
          <w:snapToGrid/>
          <w:szCs w:val="22"/>
        </w:rPr>
        <w:t>,</w:t>
      </w:r>
      <w:r w:rsidRPr="009D551E">
        <w:rPr>
          <w:rFonts w:asciiTheme="majorBidi" w:hAnsiTheme="majorBidi" w:cstheme="majorBidi"/>
          <w:iCs/>
          <w:snapToGrid/>
          <w:szCs w:val="22"/>
        </w:rPr>
        <w:t xml:space="preserve"> the application of such techniques has remained limited owing to</w:t>
      </w:r>
      <w:r w:rsidR="00D94558">
        <w:rPr>
          <w:rFonts w:asciiTheme="majorBidi" w:hAnsiTheme="majorBidi" w:cstheme="majorBidi"/>
          <w:iCs/>
          <w:snapToGrid/>
          <w:szCs w:val="22"/>
        </w:rPr>
        <w:t xml:space="preserve"> </w:t>
      </w:r>
      <w:r w:rsidRPr="009D551E">
        <w:rPr>
          <w:rFonts w:asciiTheme="majorBidi" w:hAnsiTheme="majorBidi" w:cstheme="majorBidi"/>
          <w:iCs/>
          <w:snapToGrid/>
          <w:szCs w:val="22"/>
        </w:rPr>
        <w:t>relative</w:t>
      </w:r>
      <w:r w:rsidR="00D94558">
        <w:rPr>
          <w:rFonts w:asciiTheme="majorBidi" w:hAnsiTheme="majorBidi" w:cstheme="majorBidi"/>
          <w:iCs/>
          <w:snapToGrid/>
          <w:szCs w:val="22"/>
        </w:rPr>
        <w:t>ly</w:t>
      </w:r>
      <w:r w:rsidRPr="009D551E">
        <w:rPr>
          <w:rFonts w:asciiTheme="majorBidi" w:hAnsiTheme="majorBidi" w:cstheme="majorBidi"/>
          <w:iCs/>
          <w:snapToGrid/>
          <w:szCs w:val="22"/>
        </w:rPr>
        <w:t xml:space="preserve"> high </w:t>
      </w:r>
      <w:r w:rsidR="00D94558">
        <w:rPr>
          <w:rFonts w:asciiTheme="majorBidi" w:hAnsiTheme="majorBidi" w:cstheme="majorBidi"/>
          <w:iCs/>
          <w:snapToGrid/>
          <w:szCs w:val="22"/>
        </w:rPr>
        <w:t xml:space="preserve">associated </w:t>
      </w:r>
      <w:r w:rsidRPr="009D551E">
        <w:rPr>
          <w:rFonts w:asciiTheme="majorBidi" w:hAnsiTheme="majorBidi" w:cstheme="majorBidi"/>
          <w:iCs/>
          <w:snapToGrid/>
          <w:szCs w:val="22"/>
        </w:rPr>
        <w:t>costs</w:t>
      </w:r>
      <w:r w:rsidR="005424FB">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96"/>
      </w:r>
      <w:r w:rsidR="00D94558">
        <w:rPr>
          <w:rFonts w:asciiTheme="majorBidi" w:hAnsiTheme="majorBidi" w:cstheme="majorBidi"/>
          <w:iCs/>
          <w:snapToGrid/>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napToGrid/>
          <w:szCs w:val="22"/>
        </w:rPr>
      </w:pPr>
      <w:r w:rsidRPr="009D551E">
        <w:rPr>
          <w:rFonts w:asciiTheme="majorBidi" w:hAnsiTheme="majorBidi" w:cstheme="majorBidi"/>
          <w:iCs/>
          <w:snapToGrid/>
          <w:szCs w:val="22"/>
        </w:rPr>
        <w:t>The potential benefits of increasing pollinator diversity as a means of increasing crop yields has also been explored in scientific literature published since the release of GBO-4. For example</w:t>
      </w:r>
      <w:r w:rsidR="00D94558">
        <w:rPr>
          <w:rFonts w:asciiTheme="majorBidi" w:hAnsiTheme="majorBidi" w:cstheme="majorBidi"/>
          <w:iCs/>
          <w:snapToGrid/>
          <w:szCs w:val="22"/>
        </w:rPr>
        <w:t>,</w:t>
      </w:r>
      <w:r w:rsidRPr="009D551E">
        <w:rPr>
          <w:rFonts w:asciiTheme="majorBidi" w:hAnsiTheme="majorBidi" w:cstheme="majorBidi"/>
          <w:iCs/>
          <w:snapToGrid/>
          <w:szCs w:val="22"/>
        </w:rPr>
        <w:t xml:space="preserve"> a study based on an assessment </w:t>
      </w:r>
      <w:r w:rsidR="00F354EE">
        <w:rPr>
          <w:rFonts w:asciiTheme="majorBidi" w:hAnsiTheme="majorBidi" w:cstheme="majorBidi"/>
          <w:iCs/>
          <w:snapToGrid/>
          <w:szCs w:val="22"/>
        </w:rPr>
        <w:t xml:space="preserve">of </w:t>
      </w:r>
      <w:r w:rsidRPr="009D551E">
        <w:rPr>
          <w:rFonts w:asciiTheme="majorBidi" w:hAnsiTheme="majorBidi" w:cstheme="majorBidi"/>
          <w:iCs/>
          <w:snapToGrid/>
          <w:szCs w:val="22"/>
        </w:rPr>
        <w:t>344 fields in Africa, Asia and Latin America</w:t>
      </w:r>
      <w:r w:rsidR="00D94558">
        <w:rPr>
          <w:rFonts w:asciiTheme="majorBidi" w:hAnsiTheme="majorBidi" w:cstheme="majorBidi"/>
          <w:iCs/>
          <w:snapToGrid/>
          <w:szCs w:val="22"/>
        </w:rPr>
        <w:t>,</w:t>
      </w:r>
      <w:r w:rsidRPr="009D551E">
        <w:rPr>
          <w:rFonts w:asciiTheme="majorBidi" w:hAnsiTheme="majorBidi" w:cstheme="majorBidi"/>
          <w:iCs/>
          <w:snapToGrid/>
          <w:szCs w:val="22"/>
        </w:rPr>
        <w:t xml:space="preserve"> of 33 pollinator</w:t>
      </w:r>
      <w:r w:rsidR="00D94558">
        <w:rPr>
          <w:rFonts w:asciiTheme="majorBidi" w:hAnsiTheme="majorBidi" w:cstheme="majorBidi"/>
          <w:iCs/>
          <w:snapToGrid/>
          <w:szCs w:val="22"/>
        </w:rPr>
        <w:t>-</w:t>
      </w:r>
      <w:r w:rsidRPr="009D551E">
        <w:rPr>
          <w:rFonts w:asciiTheme="majorBidi" w:hAnsiTheme="majorBidi" w:cstheme="majorBidi"/>
          <w:iCs/>
          <w:snapToGrid/>
          <w:szCs w:val="22"/>
        </w:rPr>
        <w:t>dependent crops, concluded that</w:t>
      </w:r>
      <w:r w:rsidR="00D94558">
        <w:rPr>
          <w:rFonts w:asciiTheme="majorBidi" w:hAnsiTheme="majorBidi" w:cstheme="majorBidi"/>
          <w:iCs/>
          <w:snapToGrid/>
          <w:szCs w:val="22"/>
        </w:rPr>
        <w:t>,</w:t>
      </w:r>
      <w:r w:rsidRPr="009D551E">
        <w:rPr>
          <w:rFonts w:asciiTheme="majorBidi" w:hAnsiTheme="majorBidi" w:cstheme="majorBidi"/>
          <w:iCs/>
          <w:snapToGrid/>
          <w:szCs w:val="22"/>
        </w:rPr>
        <w:t xml:space="preserve"> in fields </w:t>
      </w:r>
      <w:r w:rsidR="005618B3">
        <w:rPr>
          <w:rFonts w:asciiTheme="majorBidi" w:hAnsiTheme="majorBidi" w:cstheme="majorBidi"/>
          <w:iCs/>
          <w:snapToGrid/>
          <w:szCs w:val="22"/>
        </w:rPr>
        <w:t xml:space="preserve">of </w:t>
      </w:r>
      <w:r w:rsidRPr="009D551E">
        <w:rPr>
          <w:rFonts w:asciiTheme="majorBidi" w:hAnsiTheme="majorBidi" w:cstheme="majorBidi"/>
          <w:iCs/>
          <w:snapToGrid/>
          <w:szCs w:val="22"/>
        </w:rPr>
        <w:t>less than 2 hectares</w:t>
      </w:r>
      <w:r w:rsidR="005618B3">
        <w:rPr>
          <w:rFonts w:asciiTheme="majorBidi" w:hAnsiTheme="majorBidi" w:cstheme="majorBidi"/>
          <w:iCs/>
          <w:snapToGrid/>
          <w:szCs w:val="22"/>
        </w:rPr>
        <w:t>,</w:t>
      </w:r>
      <w:r w:rsidRPr="009D551E">
        <w:rPr>
          <w:rFonts w:asciiTheme="majorBidi" w:hAnsiTheme="majorBidi" w:cstheme="majorBidi"/>
          <w:iCs/>
          <w:snapToGrid/>
          <w:szCs w:val="22"/>
        </w:rPr>
        <w:t xml:space="preserve"> yield gaps could be closed by on average 24% through greater pollination</w:t>
      </w:r>
      <w:r w:rsidR="005424FB">
        <w:rPr>
          <w:rFonts w:asciiTheme="majorBidi" w:hAnsiTheme="majorBidi" w:cstheme="majorBidi"/>
          <w:iCs/>
          <w:snapToGrid/>
          <w:szCs w:val="22"/>
        </w:rPr>
        <w:t>.</w:t>
      </w:r>
      <w:r w:rsidRPr="009D551E">
        <w:rPr>
          <w:rStyle w:val="FootnoteReference"/>
          <w:rFonts w:asciiTheme="majorBidi" w:hAnsiTheme="majorBidi" w:cstheme="majorBidi"/>
          <w:iCs/>
          <w:snapToGrid/>
          <w:sz w:val="22"/>
          <w:szCs w:val="22"/>
        </w:rPr>
        <w:footnoteReference w:id="97"/>
      </w:r>
      <w:r w:rsidRPr="009D551E">
        <w:rPr>
          <w:rFonts w:asciiTheme="majorBidi" w:hAnsiTheme="majorBidi" w:cstheme="majorBidi"/>
          <w:iCs/>
          <w:snapToGrid/>
          <w:szCs w:val="22"/>
        </w:rPr>
        <w:t xml:space="preserve"> The issue of pollination is further discussed under Aichi Biodiversity Target 14.</w:t>
      </w:r>
    </w:p>
    <w:p w:rsidR="009D551E" w:rsidRPr="00F33B96" w:rsidRDefault="009D551E" w:rsidP="009D551E">
      <w:pPr>
        <w:pStyle w:val="Para1"/>
        <w:tabs>
          <w:tab w:val="clear" w:pos="360"/>
          <w:tab w:val="num" w:pos="720"/>
          <w:tab w:val="num" w:pos="3150"/>
        </w:tabs>
        <w:rPr>
          <w:rFonts w:asciiTheme="majorBidi" w:hAnsiTheme="majorBidi" w:cstheme="majorBidi"/>
          <w:snapToGrid/>
          <w:szCs w:val="22"/>
        </w:rPr>
      </w:pPr>
      <w:r w:rsidRPr="00F33B96">
        <w:rPr>
          <w:rFonts w:asciiTheme="majorBidi" w:hAnsiTheme="majorBidi" w:cstheme="majorBidi"/>
          <w:szCs w:val="22"/>
        </w:rPr>
        <w:t>There have also been increases in the use of organic farming which is currently practiced on an estimated 37.2 million hectares of agricultural land in 162 countries. However</w:t>
      </w:r>
      <w:r w:rsidR="00F354EE" w:rsidRPr="00F33B96">
        <w:rPr>
          <w:rFonts w:asciiTheme="majorBidi" w:hAnsiTheme="majorBidi" w:cstheme="majorBidi"/>
          <w:szCs w:val="22"/>
        </w:rPr>
        <w:t>,</w:t>
      </w:r>
      <w:r w:rsidRPr="00F33B96">
        <w:rPr>
          <w:rFonts w:asciiTheme="majorBidi" w:hAnsiTheme="majorBidi" w:cstheme="majorBidi"/>
          <w:szCs w:val="22"/>
        </w:rPr>
        <w:t xml:space="preserve"> this represent</w:t>
      </w:r>
      <w:r w:rsidR="00F354EE" w:rsidRPr="00F33B96">
        <w:rPr>
          <w:rFonts w:asciiTheme="majorBidi" w:hAnsiTheme="majorBidi" w:cstheme="majorBidi"/>
          <w:szCs w:val="22"/>
        </w:rPr>
        <w:t>ed</w:t>
      </w:r>
      <w:r w:rsidRPr="00F33B96">
        <w:rPr>
          <w:rFonts w:asciiTheme="majorBidi" w:hAnsiTheme="majorBidi" w:cstheme="majorBidi"/>
          <w:szCs w:val="22"/>
        </w:rPr>
        <w:t xml:space="preserve"> less than </w:t>
      </w:r>
      <w:r w:rsidR="00F354EE" w:rsidRPr="00F33B96">
        <w:rPr>
          <w:rFonts w:asciiTheme="majorBidi" w:hAnsiTheme="majorBidi" w:cstheme="majorBidi"/>
          <w:szCs w:val="22"/>
        </w:rPr>
        <w:t xml:space="preserve">1% </w:t>
      </w:r>
      <w:r w:rsidRPr="00F33B96">
        <w:rPr>
          <w:rFonts w:asciiTheme="majorBidi" w:hAnsiTheme="majorBidi" w:cstheme="majorBidi"/>
          <w:szCs w:val="22"/>
        </w:rPr>
        <w:t>of global agricultural land in 2011</w:t>
      </w:r>
      <w:r w:rsidR="005424F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98"/>
      </w:r>
      <w:r w:rsidRPr="00F33B96">
        <w:rPr>
          <w:rFonts w:asciiTheme="majorBidi" w:hAnsiTheme="majorBidi" w:cstheme="majorBidi"/>
          <w:szCs w:val="22"/>
        </w:rPr>
        <w:t xml:space="preserve"> </w:t>
      </w:r>
      <w:r w:rsidRPr="00F33B96">
        <w:rPr>
          <w:rFonts w:asciiTheme="majorBidi" w:hAnsiTheme="majorBidi" w:cstheme="majorBidi"/>
          <w:iCs/>
          <w:snapToGrid/>
          <w:szCs w:val="22"/>
        </w:rPr>
        <w:t>An assessment of organic agriculture found that it increased species richness by on average 30%</w:t>
      </w:r>
      <w:r w:rsidR="005424FB">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99"/>
      </w:r>
      <w:r w:rsidRPr="00F33B96">
        <w:rPr>
          <w:rFonts w:asciiTheme="majorBidi" w:hAnsiTheme="majorBidi" w:cstheme="majorBidi"/>
          <w:iCs/>
          <w:snapToGrid/>
          <w:szCs w:val="22"/>
        </w:rPr>
        <w:t xml:space="preserve"> while another study found that </w:t>
      </w:r>
      <w:r w:rsidR="00F33B96" w:rsidRPr="00F33B96">
        <w:rPr>
          <w:rFonts w:asciiTheme="majorBidi" w:hAnsiTheme="majorBidi" w:cstheme="majorBidi"/>
          <w:iCs/>
          <w:snapToGrid/>
          <w:szCs w:val="22"/>
        </w:rPr>
        <w:t xml:space="preserve">organic agriculture </w:t>
      </w:r>
      <w:r w:rsidRPr="00F33B96">
        <w:rPr>
          <w:rFonts w:asciiTheme="majorBidi" w:hAnsiTheme="majorBidi" w:cstheme="majorBidi"/>
          <w:iCs/>
          <w:snapToGrid/>
          <w:szCs w:val="22"/>
        </w:rPr>
        <w:t>produce</w:t>
      </w:r>
      <w:r w:rsidR="00F33B96" w:rsidRPr="00F33B96">
        <w:rPr>
          <w:rFonts w:asciiTheme="majorBidi" w:hAnsiTheme="majorBidi" w:cstheme="majorBidi"/>
          <w:iCs/>
          <w:snapToGrid/>
          <w:szCs w:val="22"/>
        </w:rPr>
        <w:t>s</w:t>
      </w:r>
      <w:r w:rsidRPr="00F33B96">
        <w:rPr>
          <w:rFonts w:asciiTheme="majorBidi" w:hAnsiTheme="majorBidi" w:cstheme="majorBidi"/>
          <w:iCs/>
          <w:snapToGrid/>
          <w:szCs w:val="22"/>
        </w:rPr>
        <w:t xml:space="preserve"> around 20% lower yields compared with conventional agriculture, but that yields were more profitable and delivered greater ecosystem services and social benefits</w:t>
      </w:r>
      <w:r w:rsidR="005424FB">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100"/>
      </w:r>
      <w:r w:rsidRPr="00F33B96">
        <w:rPr>
          <w:rFonts w:asciiTheme="majorBidi" w:hAnsiTheme="majorBidi" w:cstheme="majorBidi"/>
          <w:iCs/>
          <w:snapToGrid/>
          <w:szCs w:val="22"/>
        </w:rPr>
        <w:t xml:space="preserve"> It has also been noted that growers are increasingly turning to certified organic farming systems to provide verification of production methods, decrease reliance on non-renewable resources, and capture high-value markets and premium prices</w:t>
      </w:r>
      <w:r w:rsidR="005424FB">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101"/>
      </w:r>
      <w:r w:rsidRPr="00F33B96">
        <w:rPr>
          <w:rFonts w:asciiTheme="majorBidi" w:hAnsiTheme="majorBidi" w:cstheme="majorBidi"/>
          <w:iCs/>
          <w:snapToGrid/>
          <w:szCs w:val="22"/>
        </w:rPr>
        <w:t xml:space="preserve"> </w:t>
      </w:r>
      <w:r w:rsidRPr="00F33B96">
        <w:rPr>
          <w:rFonts w:asciiTheme="majorBidi" w:hAnsiTheme="majorBidi" w:cstheme="majorBidi"/>
          <w:szCs w:val="22"/>
        </w:rPr>
        <w:t>Similarly</w:t>
      </w:r>
      <w:r w:rsidR="00F33B96" w:rsidRPr="00F33B96">
        <w:rPr>
          <w:rFonts w:asciiTheme="majorBidi" w:hAnsiTheme="majorBidi" w:cstheme="majorBidi"/>
          <w:szCs w:val="22"/>
        </w:rPr>
        <w:t>,</w:t>
      </w:r>
      <w:r w:rsidRPr="00F33B96">
        <w:rPr>
          <w:rFonts w:asciiTheme="majorBidi" w:hAnsiTheme="majorBidi" w:cstheme="majorBidi"/>
          <w:szCs w:val="22"/>
        </w:rPr>
        <w:t xml:space="preserve"> there has been a</w:t>
      </w:r>
      <w:r w:rsidR="00F33B96" w:rsidRPr="00F33B96">
        <w:rPr>
          <w:rFonts w:asciiTheme="majorBidi" w:hAnsiTheme="majorBidi" w:cstheme="majorBidi"/>
          <w:szCs w:val="22"/>
        </w:rPr>
        <w:t xml:space="preserve">n increase in the </w:t>
      </w:r>
      <w:r w:rsidRPr="00F33B96">
        <w:rPr>
          <w:rFonts w:asciiTheme="majorBidi" w:hAnsiTheme="majorBidi" w:cstheme="majorBidi"/>
          <w:szCs w:val="22"/>
        </w:rPr>
        <w:t xml:space="preserve">use of no-till agricultural methods which </w:t>
      </w:r>
      <w:r w:rsidR="00F33B96" w:rsidRPr="00F33B96">
        <w:rPr>
          <w:rFonts w:asciiTheme="majorBidi" w:hAnsiTheme="majorBidi" w:cstheme="majorBidi"/>
          <w:szCs w:val="22"/>
        </w:rPr>
        <w:t xml:space="preserve">are </w:t>
      </w:r>
      <w:r w:rsidRPr="00F33B96">
        <w:rPr>
          <w:rFonts w:asciiTheme="majorBidi" w:hAnsiTheme="majorBidi" w:cstheme="majorBidi"/>
          <w:szCs w:val="22"/>
        </w:rPr>
        <w:t xml:space="preserve">estimated to be used </w:t>
      </w:r>
      <w:r w:rsidR="00F33B96" w:rsidRPr="00F33B96">
        <w:rPr>
          <w:rFonts w:asciiTheme="majorBidi" w:hAnsiTheme="majorBidi" w:cstheme="majorBidi"/>
          <w:szCs w:val="22"/>
        </w:rPr>
        <w:t xml:space="preserve">on </w:t>
      </w:r>
      <w:r w:rsidRPr="00F33B96">
        <w:rPr>
          <w:rFonts w:asciiTheme="majorBidi" w:hAnsiTheme="majorBidi" w:cstheme="majorBidi"/>
          <w:szCs w:val="22"/>
        </w:rPr>
        <w:t>125 million hectares, or about 9% of global arable land</w:t>
      </w:r>
      <w:r w:rsidR="005424F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02"/>
      </w:r>
      <w:r w:rsidRPr="00F33B96">
        <w:rPr>
          <w:rFonts w:asciiTheme="majorBidi" w:hAnsiTheme="majorBidi" w:cstheme="majorBidi"/>
          <w:szCs w:val="22"/>
        </w:rPr>
        <w:t xml:space="preserve"> </w:t>
      </w:r>
      <w:r w:rsidR="00F33B96">
        <w:rPr>
          <w:rFonts w:asciiTheme="majorBidi" w:hAnsiTheme="majorBidi" w:cstheme="majorBidi"/>
          <w:szCs w:val="22"/>
        </w:rPr>
        <w:t>T</w:t>
      </w:r>
      <w:r w:rsidR="00F33B96" w:rsidRPr="00F33B96">
        <w:rPr>
          <w:rFonts w:asciiTheme="majorBidi" w:hAnsiTheme="majorBidi" w:cstheme="majorBidi"/>
          <w:szCs w:val="22"/>
        </w:rPr>
        <w:t xml:space="preserve">echniques for </w:t>
      </w:r>
      <w:r w:rsidR="00F33B96" w:rsidRPr="00F33B96">
        <w:rPr>
          <w:rFonts w:asciiTheme="majorBidi" w:hAnsiTheme="majorBidi" w:cstheme="majorBidi"/>
          <w:iCs/>
          <w:snapToGrid/>
          <w:szCs w:val="22"/>
        </w:rPr>
        <w:t>b</w:t>
      </w:r>
      <w:r w:rsidRPr="00F33B96">
        <w:rPr>
          <w:rFonts w:asciiTheme="majorBidi" w:hAnsiTheme="majorBidi" w:cstheme="majorBidi"/>
          <w:iCs/>
          <w:snapToGrid/>
          <w:szCs w:val="22"/>
        </w:rPr>
        <w:t xml:space="preserve">oth conservation and organic agriculture have been found to increase the abundance and biomass of all soil organisms, with the exception of predaceous nematodes, compared to conventional </w:t>
      </w:r>
      <w:r w:rsidR="00DD474A">
        <w:rPr>
          <w:rFonts w:asciiTheme="majorBidi" w:hAnsiTheme="majorBidi" w:cstheme="majorBidi"/>
          <w:iCs/>
          <w:snapToGrid/>
          <w:szCs w:val="22"/>
        </w:rPr>
        <w:t xml:space="preserve">agricultural </w:t>
      </w:r>
      <w:r w:rsidRPr="00F33B96">
        <w:rPr>
          <w:rFonts w:asciiTheme="majorBidi" w:hAnsiTheme="majorBidi" w:cstheme="majorBidi"/>
          <w:iCs/>
          <w:snapToGrid/>
          <w:szCs w:val="22"/>
        </w:rPr>
        <w:t>systems</w:t>
      </w:r>
      <w:r w:rsidR="005424FB">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103"/>
      </w:r>
      <w:r w:rsidRPr="00F33B96">
        <w:rPr>
          <w:rFonts w:asciiTheme="majorBidi" w:hAnsiTheme="majorBidi" w:cstheme="majorBidi"/>
          <w:iCs/>
          <w:snapToGrid/>
          <w:szCs w:val="22"/>
        </w:rPr>
        <w:t xml:space="preserve"> However</w:t>
      </w:r>
      <w:r w:rsidR="00D46AB4">
        <w:rPr>
          <w:rFonts w:asciiTheme="majorBidi" w:hAnsiTheme="majorBidi" w:cstheme="majorBidi"/>
          <w:iCs/>
          <w:snapToGrid/>
          <w:szCs w:val="22"/>
        </w:rPr>
        <w:t>,</w:t>
      </w:r>
      <w:r w:rsidRPr="00F33B96">
        <w:rPr>
          <w:rFonts w:asciiTheme="majorBidi" w:hAnsiTheme="majorBidi" w:cstheme="majorBidi"/>
          <w:iCs/>
          <w:snapToGrid/>
          <w:szCs w:val="22"/>
        </w:rPr>
        <w:t xml:space="preserve"> despite the potential benefits of conservation agriculture, studies have found that it is not widely applied due to limited economic incentives</w:t>
      </w:r>
      <w:r w:rsidR="00D46AB4">
        <w:rPr>
          <w:rFonts w:asciiTheme="majorBidi" w:hAnsiTheme="majorBidi" w:cstheme="majorBidi"/>
          <w:iCs/>
          <w:snapToGrid/>
          <w:szCs w:val="22"/>
        </w:rPr>
        <w:t xml:space="preserve">, particularly </w:t>
      </w:r>
      <w:r w:rsidR="00F97505">
        <w:rPr>
          <w:rFonts w:asciiTheme="majorBidi" w:hAnsiTheme="majorBidi" w:cstheme="majorBidi"/>
          <w:iCs/>
          <w:snapToGrid/>
          <w:szCs w:val="22"/>
        </w:rPr>
        <w:t xml:space="preserve">as relates to </w:t>
      </w:r>
      <w:r w:rsidRPr="00F33B96">
        <w:rPr>
          <w:rFonts w:asciiTheme="majorBidi" w:hAnsiTheme="majorBidi" w:cstheme="majorBidi"/>
          <w:iCs/>
          <w:snapToGrid/>
          <w:szCs w:val="22"/>
        </w:rPr>
        <w:t>smallholder farmers</w:t>
      </w:r>
      <w:r w:rsidR="00D46AB4">
        <w:rPr>
          <w:rFonts w:asciiTheme="majorBidi" w:hAnsiTheme="majorBidi" w:cstheme="majorBidi"/>
          <w:iCs/>
          <w:snapToGrid/>
          <w:szCs w:val="22"/>
        </w:rPr>
        <w:t>.</w:t>
      </w:r>
      <w:r w:rsidRPr="009D551E">
        <w:rPr>
          <w:rStyle w:val="FootnoteReference"/>
          <w:rFonts w:asciiTheme="majorBidi" w:hAnsiTheme="majorBidi" w:cstheme="majorBidi"/>
          <w:iCs/>
          <w:snapToGrid/>
          <w:sz w:val="22"/>
          <w:szCs w:val="22"/>
        </w:rPr>
        <w:footnoteReference w:id="104"/>
      </w:r>
      <w:r w:rsidRPr="00F33B96">
        <w:rPr>
          <w:rFonts w:asciiTheme="majorBidi" w:hAnsiTheme="majorBidi" w:cstheme="majorBidi"/>
          <w:snapToGrid/>
          <w:szCs w:val="22"/>
        </w:rPr>
        <w:t xml:space="preserve"> </w:t>
      </w:r>
      <w:r w:rsidRPr="00F33B96">
        <w:rPr>
          <w:rFonts w:asciiTheme="majorBidi" w:hAnsiTheme="majorBidi" w:cstheme="majorBidi"/>
          <w:szCs w:val="22"/>
        </w:rPr>
        <w:t>Further</w:t>
      </w:r>
      <w:r w:rsidR="00F97505">
        <w:rPr>
          <w:rFonts w:asciiTheme="majorBidi" w:hAnsiTheme="majorBidi" w:cstheme="majorBidi"/>
          <w:szCs w:val="22"/>
        </w:rPr>
        <w:t>,</w:t>
      </w:r>
      <w:r w:rsidRPr="00F33B96">
        <w:rPr>
          <w:rFonts w:asciiTheme="majorBidi" w:hAnsiTheme="majorBidi" w:cstheme="majorBidi"/>
          <w:szCs w:val="22"/>
        </w:rPr>
        <w:t xml:space="preserve"> while the growing use of organic and no-till agricultur</w:t>
      </w:r>
      <w:r w:rsidR="00F97505">
        <w:rPr>
          <w:rFonts w:asciiTheme="majorBidi" w:hAnsiTheme="majorBidi" w:cstheme="majorBidi"/>
          <w:szCs w:val="22"/>
        </w:rPr>
        <w:t>e</w:t>
      </w:r>
      <w:r w:rsidRPr="00F33B96">
        <w:rPr>
          <w:rFonts w:asciiTheme="majorBidi" w:hAnsiTheme="majorBidi" w:cstheme="majorBidi"/>
          <w:szCs w:val="22"/>
        </w:rPr>
        <w:t xml:space="preserve"> </w:t>
      </w:r>
      <w:r w:rsidR="00F97505">
        <w:rPr>
          <w:rFonts w:asciiTheme="majorBidi" w:hAnsiTheme="majorBidi" w:cstheme="majorBidi"/>
          <w:szCs w:val="22"/>
        </w:rPr>
        <w:t xml:space="preserve">is </w:t>
      </w:r>
      <w:r w:rsidRPr="00F33B96">
        <w:rPr>
          <w:rFonts w:asciiTheme="majorBidi" w:hAnsiTheme="majorBidi" w:cstheme="majorBidi"/>
          <w:szCs w:val="22"/>
        </w:rPr>
        <w:t xml:space="preserve">generally regarded as positive, there is no guarantee that such methods are sustainable by themselves. One study </w:t>
      </w:r>
      <w:r w:rsidR="00F97505">
        <w:rPr>
          <w:rFonts w:asciiTheme="majorBidi" w:hAnsiTheme="majorBidi" w:cstheme="majorBidi"/>
          <w:szCs w:val="22"/>
        </w:rPr>
        <w:t xml:space="preserve">which </w:t>
      </w:r>
      <w:r w:rsidRPr="00F33B96">
        <w:rPr>
          <w:rFonts w:asciiTheme="majorBidi" w:hAnsiTheme="majorBidi" w:cstheme="majorBidi"/>
          <w:szCs w:val="22"/>
        </w:rPr>
        <w:t>explor</w:t>
      </w:r>
      <w:r w:rsidR="00F97505">
        <w:rPr>
          <w:rFonts w:asciiTheme="majorBidi" w:hAnsiTheme="majorBidi" w:cstheme="majorBidi"/>
          <w:szCs w:val="22"/>
        </w:rPr>
        <w:t xml:space="preserve">ed </w:t>
      </w:r>
      <w:r w:rsidRPr="00F33B96">
        <w:rPr>
          <w:rFonts w:asciiTheme="majorBidi" w:hAnsiTheme="majorBidi" w:cstheme="majorBidi"/>
          <w:szCs w:val="22"/>
        </w:rPr>
        <w:t xml:space="preserve">the potential benefits of organic agriculture for production found </w:t>
      </w:r>
      <w:r w:rsidRPr="00F33B96">
        <w:rPr>
          <w:rFonts w:asciiTheme="majorBidi" w:hAnsiTheme="majorBidi" w:cstheme="majorBidi"/>
          <w:szCs w:val="22"/>
        </w:rPr>
        <w:lastRenderedPageBreak/>
        <w:t>that greater use of organic agriculture</w:t>
      </w:r>
      <w:r w:rsidR="00F97505">
        <w:rPr>
          <w:rFonts w:asciiTheme="majorBidi" w:hAnsiTheme="majorBidi" w:cstheme="majorBidi"/>
          <w:szCs w:val="22"/>
        </w:rPr>
        <w:t>,</w:t>
      </w:r>
      <w:r w:rsidRPr="00F33B96">
        <w:rPr>
          <w:rFonts w:asciiTheme="majorBidi" w:hAnsiTheme="majorBidi" w:cstheme="majorBidi"/>
          <w:szCs w:val="22"/>
        </w:rPr>
        <w:t xml:space="preserve"> in combination with efforts to reduce food waste and consumption and production of animal products</w:t>
      </w:r>
      <w:r w:rsidR="00F97505">
        <w:rPr>
          <w:rFonts w:asciiTheme="majorBidi" w:hAnsiTheme="majorBidi" w:cstheme="majorBidi"/>
          <w:szCs w:val="22"/>
        </w:rPr>
        <w:t>,</w:t>
      </w:r>
      <w:r w:rsidRPr="00F33B96">
        <w:rPr>
          <w:rFonts w:asciiTheme="majorBidi" w:hAnsiTheme="majorBidi" w:cstheme="majorBidi"/>
          <w:szCs w:val="22"/>
        </w:rPr>
        <w:t xml:space="preserve"> could deliver substantial benefits to food systems</w:t>
      </w:r>
      <w:r w:rsidR="005424FB">
        <w:rPr>
          <w:rFonts w:asciiTheme="majorBidi" w:hAnsiTheme="majorBidi" w:cstheme="majorBidi"/>
          <w:szCs w:val="22"/>
        </w:rPr>
        <w:t>.</w:t>
      </w:r>
      <w:r w:rsidRPr="009D551E">
        <w:rPr>
          <w:rStyle w:val="FootnoteReference"/>
          <w:rFonts w:asciiTheme="majorBidi" w:hAnsiTheme="majorBidi" w:cstheme="majorBidi"/>
          <w:sz w:val="22"/>
          <w:szCs w:val="22"/>
        </w:rPr>
        <w:footnoteReference w:id="105"/>
      </w:r>
    </w:p>
    <w:p w:rsidR="009D551E" w:rsidRPr="004F71A2" w:rsidRDefault="009D551E" w:rsidP="009D551E">
      <w:pPr>
        <w:pStyle w:val="Para1"/>
        <w:tabs>
          <w:tab w:val="clear" w:pos="360"/>
          <w:tab w:val="num" w:pos="720"/>
          <w:tab w:val="num" w:pos="3150"/>
        </w:tabs>
        <w:rPr>
          <w:rFonts w:asciiTheme="majorBidi" w:hAnsiTheme="majorBidi" w:cstheme="majorBidi"/>
          <w:snapToGrid/>
          <w:szCs w:val="22"/>
        </w:rPr>
      </w:pPr>
      <w:r w:rsidRPr="00660F7F">
        <w:rPr>
          <w:rFonts w:asciiTheme="majorBidi" w:hAnsiTheme="majorBidi" w:cstheme="majorBidi"/>
          <w:iCs/>
          <w:snapToGrid/>
          <w:szCs w:val="22"/>
        </w:rPr>
        <w:t>Other studies have explored the conditions which facilitate sustainable agricultural management</w:t>
      </w:r>
      <w:r w:rsidRPr="009D551E">
        <w:rPr>
          <w:rFonts w:asciiTheme="majorBidi" w:hAnsiTheme="majorBidi" w:cstheme="majorBidi"/>
          <w:iCs/>
          <w:snapToGrid/>
          <w:szCs w:val="22"/>
        </w:rPr>
        <w:t>. For example</w:t>
      </w:r>
      <w:r w:rsidR="00DF263E">
        <w:rPr>
          <w:rFonts w:asciiTheme="majorBidi" w:hAnsiTheme="majorBidi" w:cstheme="majorBidi"/>
          <w:iCs/>
          <w:snapToGrid/>
          <w:szCs w:val="22"/>
        </w:rPr>
        <w:t>,</w:t>
      </w:r>
      <w:r w:rsidRPr="009D551E">
        <w:rPr>
          <w:rFonts w:asciiTheme="majorBidi" w:hAnsiTheme="majorBidi" w:cstheme="majorBidi"/>
          <w:iCs/>
          <w:snapToGrid/>
          <w:szCs w:val="22"/>
        </w:rPr>
        <w:t xml:space="preserve"> an analysis of South American countries found that</w:t>
      </w:r>
      <w:r w:rsidR="00DF263E">
        <w:rPr>
          <w:rFonts w:asciiTheme="majorBidi" w:hAnsiTheme="majorBidi" w:cstheme="majorBidi"/>
          <w:iCs/>
          <w:snapToGrid/>
          <w:szCs w:val="22"/>
        </w:rPr>
        <w:t>,</w:t>
      </w:r>
      <w:r w:rsidRPr="009D551E">
        <w:rPr>
          <w:rFonts w:asciiTheme="majorBidi" w:hAnsiTheme="majorBidi" w:cstheme="majorBidi"/>
          <w:iCs/>
          <w:snapToGrid/>
          <w:szCs w:val="22"/>
        </w:rPr>
        <w:t xml:space="preserve"> in countries with good conventional governance, agricultural intensification led to an expanded agricultural footprint while</w:t>
      </w:r>
      <w:r w:rsidR="00DF263E">
        <w:rPr>
          <w:rFonts w:asciiTheme="majorBidi" w:hAnsiTheme="majorBidi" w:cstheme="majorBidi"/>
          <w:iCs/>
          <w:snapToGrid/>
          <w:szCs w:val="22"/>
        </w:rPr>
        <w:t>,</w:t>
      </w:r>
      <w:r w:rsidRPr="009D551E">
        <w:rPr>
          <w:rFonts w:asciiTheme="majorBidi" w:hAnsiTheme="majorBidi" w:cstheme="majorBidi"/>
          <w:iCs/>
          <w:snapToGrid/>
          <w:szCs w:val="22"/>
        </w:rPr>
        <w:t xml:space="preserve"> in countries with strong environmental governance, agricultural intensification led to a contracted agricultural footprint</w:t>
      </w:r>
      <w:r w:rsidR="005424FB">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106"/>
      </w:r>
      <w:r w:rsidRPr="009D551E">
        <w:rPr>
          <w:rFonts w:asciiTheme="majorBidi" w:hAnsiTheme="majorBidi" w:cstheme="majorBidi"/>
          <w:iCs/>
          <w:snapToGrid/>
          <w:szCs w:val="22"/>
        </w:rPr>
        <w:t xml:space="preserve"> </w:t>
      </w:r>
      <w:r w:rsidRPr="004F71A2">
        <w:rPr>
          <w:rFonts w:asciiTheme="majorBidi" w:hAnsiTheme="majorBidi" w:cstheme="majorBidi"/>
          <w:iCs/>
          <w:snapToGrid/>
          <w:szCs w:val="22"/>
        </w:rPr>
        <w:t xml:space="preserve">Scientific literature has also been paying </w:t>
      </w:r>
      <w:r w:rsidR="004F71A2">
        <w:rPr>
          <w:rFonts w:asciiTheme="majorBidi" w:hAnsiTheme="majorBidi" w:cstheme="majorBidi"/>
          <w:iCs/>
          <w:snapToGrid/>
          <w:szCs w:val="22"/>
        </w:rPr>
        <w:t>greater</w:t>
      </w:r>
      <w:r w:rsidR="004F71A2" w:rsidRPr="004F71A2">
        <w:rPr>
          <w:rFonts w:asciiTheme="majorBidi" w:hAnsiTheme="majorBidi" w:cstheme="majorBidi"/>
          <w:iCs/>
          <w:snapToGrid/>
          <w:szCs w:val="22"/>
        </w:rPr>
        <w:t xml:space="preserve"> </w:t>
      </w:r>
      <w:r w:rsidRPr="004F71A2">
        <w:rPr>
          <w:rFonts w:asciiTheme="majorBidi" w:hAnsiTheme="majorBidi" w:cstheme="majorBidi"/>
          <w:iCs/>
          <w:snapToGrid/>
          <w:szCs w:val="22"/>
        </w:rPr>
        <w:t xml:space="preserve">attention to </w:t>
      </w:r>
      <w:r w:rsidR="004F71A2">
        <w:rPr>
          <w:rFonts w:asciiTheme="majorBidi" w:hAnsiTheme="majorBidi" w:cstheme="majorBidi"/>
          <w:iCs/>
          <w:snapToGrid/>
          <w:szCs w:val="22"/>
        </w:rPr>
        <w:t xml:space="preserve">the </w:t>
      </w:r>
      <w:r w:rsidRPr="004F71A2">
        <w:rPr>
          <w:rFonts w:asciiTheme="majorBidi" w:hAnsiTheme="majorBidi" w:cstheme="majorBidi"/>
          <w:iCs/>
          <w:snapToGrid/>
          <w:szCs w:val="22"/>
        </w:rPr>
        <w:t xml:space="preserve">potential </w:t>
      </w:r>
      <w:r w:rsidR="005618B3" w:rsidRPr="004F71A2">
        <w:rPr>
          <w:rFonts w:asciiTheme="majorBidi" w:hAnsiTheme="majorBidi" w:cstheme="majorBidi"/>
          <w:iCs/>
          <w:snapToGrid/>
          <w:szCs w:val="22"/>
        </w:rPr>
        <w:t xml:space="preserve">of </w:t>
      </w:r>
      <w:r w:rsidRPr="004F71A2">
        <w:rPr>
          <w:rFonts w:asciiTheme="majorBidi" w:hAnsiTheme="majorBidi" w:cstheme="majorBidi"/>
          <w:iCs/>
          <w:snapToGrid/>
          <w:szCs w:val="22"/>
        </w:rPr>
        <w:t>nature</w:t>
      </w:r>
      <w:r w:rsidR="00DF263E" w:rsidRPr="004F71A2">
        <w:rPr>
          <w:rFonts w:asciiTheme="majorBidi" w:hAnsiTheme="majorBidi" w:cstheme="majorBidi"/>
          <w:iCs/>
          <w:snapToGrid/>
          <w:szCs w:val="22"/>
        </w:rPr>
        <w:t>-</w:t>
      </w:r>
      <w:r w:rsidRPr="004F71A2">
        <w:rPr>
          <w:rFonts w:asciiTheme="majorBidi" w:hAnsiTheme="majorBidi" w:cstheme="majorBidi"/>
          <w:iCs/>
          <w:snapToGrid/>
          <w:szCs w:val="22"/>
        </w:rPr>
        <w:t>based approaches for sustainable intensification of agriculture</w:t>
      </w:r>
      <w:r w:rsidR="005424FB">
        <w:rPr>
          <w:rFonts w:asciiTheme="majorBidi" w:hAnsiTheme="majorBidi" w:cstheme="majorBidi"/>
          <w:iCs/>
          <w:snapToGrid/>
          <w:szCs w:val="22"/>
        </w:rPr>
        <w:t>.</w:t>
      </w:r>
      <w:r w:rsidRPr="004F71A2">
        <w:rPr>
          <w:rStyle w:val="StyleFootnoteReferenceNounderline"/>
          <w:rFonts w:asciiTheme="majorBidi" w:hAnsiTheme="majorBidi" w:cstheme="majorBidi"/>
          <w:sz w:val="22"/>
          <w:szCs w:val="22"/>
          <w:vertAlign w:val="superscript"/>
        </w:rPr>
        <w:footnoteReference w:id="107"/>
      </w:r>
      <w:r w:rsidRPr="004F71A2">
        <w:rPr>
          <w:rFonts w:asciiTheme="majorBidi" w:hAnsiTheme="majorBidi" w:cstheme="majorBidi"/>
          <w:iCs/>
          <w:snapToGrid/>
          <w:szCs w:val="22"/>
        </w:rPr>
        <w:t xml:space="preserve"> </w:t>
      </w:r>
    </w:p>
    <w:p w:rsidR="009D551E" w:rsidRPr="009D551E" w:rsidRDefault="009D551E" w:rsidP="005618B3">
      <w:pPr>
        <w:pStyle w:val="Para1"/>
        <w:tabs>
          <w:tab w:val="clear" w:pos="360"/>
          <w:tab w:val="num" w:pos="720"/>
          <w:tab w:val="num" w:pos="3150"/>
        </w:tabs>
        <w:rPr>
          <w:rFonts w:asciiTheme="majorBidi" w:hAnsiTheme="majorBidi" w:cstheme="majorBidi"/>
          <w:snapToGrid/>
          <w:szCs w:val="22"/>
        </w:rPr>
      </w:pPr>
      <w:proofErr w:type="gramStart"/>
      <w:r w:rsidRPr="009D551E">
        <w:rPr>
          <w:rFonts w:asciiTheme="majorBidi" w:hAnsiTheme="majorBidi" w:cstheme="majorBidi"/>
          <w:iCs/>
          <w:snapToGrid/>
          <w:szCs w:val="22"/>
        </w:rPr>
        <w:t>With regard to</w:t>
      </w:r>
      <w:proofErr w:type="gramEnd"/>
      <w:r w:rsidRPr="009D551E">
        <w:rPr>
          <w:rFonts w:asciiTheme="majorBidi" w:hAnsiTheme="majorBidi" w:cstheme="majorBidi"/>
          <w:iCs/>
          <w:snapToGrid/>
          <w:szCs w:val="22"/>
        </w:rPr>
        <w:t xml:space="preserve"> forestry, policies related to sustainable forest management are reported to be in place for 98% of permanent forest land, </w:t>
      </w:r>
      <w:r w:rsidR="004F71A2">
        <w:rPr>
          <w:rFonts w:asciiTheme="majorBidi" w:hAnsiTheme="majorBidi" w:cstheme="majorBidi"/>
          <w:iCs/>
          <w:snapToGrid/>
          <w:szCs w:val="22"/>
        </w:rPr>
        <w:t xml:space="preserve">representing </w:t>
      </w:r>
      <w:r w:rsidRPr="009D551E">
        <w:rPr>
          <w:rFonts w:asciiTheme="majorBidi" w:hAnsiTheme="majorBidi" w:cstheme="majorBidi"/>
          <w:iCs/>
          <w:snapToGrid/>
          <w:szCs w:val="22"/>
        </w:rPr>
        <w:t xml:space="preserve">some </w:t>
      </w:r>
      <w:r w:rsidRPr="009D551E">
        <w:rPr>
          <w:rFonts w:asciiTheme="majorBidi" w:hAnsiTheme="majorBidi" w:cstheme="majorBidi"/>
          <w:szCs w:val="22"/>
          <w:shd w:val="clear" w:color="auto" w:fill="FFFFFF"/>
        </w:rPr>
        <w:t>1.1 billion hectares</w:t>
      </w:r>
      <w:r w:rsidR="005424FB">
        <w:rPr>
          <w:rFonts w:asciiTheme="majorBidi" w:hAnsiTheme="majorBidi" w:cstheme="majorBidi"/>
          <w:szCs w:val="22"/>
          <w:shd w:val="clear" w:color="auto" w:fill="FFFFFF"/>
        </w:rPr>
        <w:t>.</w:t>
      </w:r>
      <w:r w:rsidRPr="009D551E">
        <w:rPr>
          <w:rStyle w:val="StyleFootnoteReferenceNounderline"/>
          <w:rFonts w:asciiTheme="majorBidi" w:hAnsiTheme="majorBidi" w:cstheme="majorBidi"/>
          <w:sz w:val="22"/>
          <w:szCs w:val="22"/>
          <w:vertAlign w:val="superscript"/>
        </w:rPr>
        <w:footnoteReference w:id="108"/>
      </w:r>
      <w:r w:rsidRPr="009D551E">
        <w:rPr>
          <w:rFonts w:asciiTheme="majorBidi" w:hAnsiTheme="majorBidi" w:cstheme="majorBidi"/>
          <w:iCs/>
          <w:snapToGrid/>
          <w:szCs w:val="22"/>
        </w:rPr>
        <w:t xml:space="preserve"> However</w:t>
      </w:r>
      <w:r w:rsidR="004F71A2">
        <w:rPr>
          <w:rFonts w:asciiTheme="majorBidi" w:hAnsiTheme="majorBidi" w:cstheme="majorBidi"/>
          <w:iCs/>
          <w:snapToGrid/>
          <w:szCs w:val="22"/>
        </w:rPr>
        <w:t>,</w:t>
      </w:r>
      <w:r w:rsidRPr="009D551E">
        <w:rPr>
          <w:rFonts w:asciiTheme="majorBidi" w:hAnsiTheme="majorBidi" w:cstheme="majorBidi"/>
          <w:iCs/>
          <w:snapToGrid/>
          <w:szCs w:val="22"/>
        </w:rPr>
        <w:t xml:space="preserve"> </w:t>
      </w:r>
      <w:r w:rsidR="005618B3">
        <w:rPr>
          <w:rFonts w:asciiTheme="majorBidi" w:hAnsiTheme="majorBidi" w:cstheme="majorBidi"/>
          <w:iCs/>
          <w:snapToGrid/>
          <w:szCs w:val="22"/>
        </w:rPr>
        <w:t>other</w:t>
      </w:r>
      <w:r w:rsidRPr="009D551E">
        <w:rPr>
          <w:rFonts w:asciiTheme="majorBidi" w:hAnsiTheme="majorBidi" w:cstheme="majorBidi"/>
          <w:iCs/>
          <w:snapToGrid/>
          <w:szCs w:val="22"/>
        </w:rPr>
        <w:t xml:space="preserve"> studies have observed that the application of sustainable forest management in low-income and tropical countries is modest</w:t>
      </w:r>
      <w:r w:rsidR="005424FB">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109"/>
      </w:r>
      <w:r w:rsidRPr="009D551E">
        <w:rPr>
          <w:rFonts w:asciiTheme="majorBidi" w:hAnsiTheme="majorBidi" w:cstheme="majorBidi"/>
          <w:iCs/>
          <w:snapToGrid/>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napToGrid/>
          <w:szCs w:val="22"/>
        </w:rPr>
      </w:pPr>
      <w:r w:rsidRPr="009D551E">
        <w:rPr>
          <w:rFonts w:asciiTheme="majorBidi" w:hAnsiTheme="majorBidi" w:cstheme="majorBidi"/>
          <w:iCs/>
          <w:snapToGrid/>
          <w:szCs w:val="22"/>
        </w:rPr>
        <w:t>Between 1990 and 2015</w:t>
      </w:r>
      <w:r w:rsidR="004F71A2">
        <w:rPr>
          <w:rFonts w:asciiTheme="majorBidi" w:hAnsiTheme="majorBidi" w:cstheme="majorBidi"/>
          <w:iCs/>
          <w:snapToGrid/>
          <w:szCs w:val="22"/>
        </w:rPr>
        <w:t>,</w:t>
      </w:r>
      <w:r w:rsidRPr="009D551E">
        <w:rPr>
          <w:rFonts w:asciiTheme="majorBidi" w:hAnsiTheme="majorBidi" w:cstheme="majorBidi"/>
          <w:iCs/>
          <w:snapToGrid/>
          <w:szCs w:val="22"/>
        </w:rPr>
        <w:t xml:space="preserve"> the area of planted forest increased from 4.06% to 6.95% of </w:t>
      </w:r>
      <w:r w:rsidR="004F71A2">
        <w:rPr>
          <w:rFonts w:asciiTheme="majorBidi" w:hAnsiTheme="majorBidi" w:cstheme="majorBidi"/>
          <w:iCs/>
          <w:snapToGrid/>
          <w:szCs w:val="22"/>
        </w:rPr>
        <w:t xml:space="preserve">the </w:t>
      </w:r>
      <w:r w:rsidRPr="009D551E">
        <w:rPr>
          <w:rFonts w:asciiTheme="majorBidi" w:hAnsiTheme="majorBidi" w:cstheme="majorBidi"/>
          <w:iCs/>
          <w:snapToGrid/>
          <w:szCs w:val="22"/>
        </w:rPr>
        <w:t>total forest area</w:t>
      </w:r>
      <w:r w:rsidR="004F71A2">
        <w:rPr>
          <w:rFonts w:asciiTheme="majorBidi" w:hAnsiTheme="majorBidi" w:cstheme="majorBidi"/>
          <w:iCs/>
          <w:snapToGrid/>
          <w:szCs w:val="22"/>
        </w:rPr>
        <w:t xml:space="preserve"> although</w:t>
      </w:r>
      <w:r w:rsidRPr="009D551E">
        <w:rPr>
          <w:rFonts w:asciiTheme="majorBidi" w:hAnsiTheme="majorBidi" w:cstheme="majorBidi"/>
          <w:iCs/>
          <w:snapToGrid/>
          <w:szCs w:val="22"/>
        </w:rPr>
        <w:t>, between 2010 and 2015</w:t>
      </w:r>
      <w:r w:rsidR="004F71A2">
        <w:rPr>
          <w:rFonts w:asciiTheme="majorBidi" w:hAnsiTheme="majorBidi" w:cstheme="majorBidi"/>
          <w:iCs/>
          <w:snapToGrid/>
          <w:szCs w:val="22"/>
        </w:rPr>
        <w:t>,</w:t>
      </w:r>
      <w:r w:rsidRPr="009D551E">
        <w:rPr>
          <w:rFonts w:asciiTheme="majorBidi" w:hAnsiTheme="majorBidi" w:cstheme="majorBidi"/>
          <w:iCs/>
          <w:snapToGrid/>
          <w:szCs w:val="22"/>
        </w:rPr>
        <w:t xml:space="preserve"> the rate of increase slowed to 1.2%. This is below the 2.4% rate of increase that has been suggested is needed to supply the world’s timber and fibre demand</w:t>
      </w:r>
      <w:r w:rsidR="005424FB">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110"/>
      </w:r>
      <w:r w:rsidRPr="009D551E">
        <w:rPr>
          <w:rFonts w:asciiTheme="majorBidi" w:hAnsiTheme="majorBidi" w:cstheme="majorBidi"/>
          <w:iCs/>
          <w:snapToGrid/>
          <w:szCs w:val="22"/>
        </w:rPr>
        <w:t xml:space="preserve"> Most planted forests are composed of native species</w:t>
      </w:r>
      <w:r w:rsidR="00A27E22">
        <w:rPr>
          <w:rFonts w:asciiTheme="majorBidi" w:hAnsiTheme="majorBidi" w:cstheme="majorBidi"/>
          <w:iCs/>
          <w:snapToGrid/>
          <w:szCs w:val="22"/>
        </w:rPr>
        <w:t>,</w:t>
      </w:r>
      <w:r w:rsidRPr="009D551E">
        <w:rPr>
          <w:rFonts w:asciiTheme="majorBidi" w:hAnsiTheme="majorBidi" w:cstheme="majorBidi"/>
          <w:iCs/>
          <w:snapToGrid/>
          <w:szCs w:val="22"/>
        </w:rPr>
        <w:t xml:space="preserve"> </w:t>
      </w:r>
      <w:r w:rsidR="00A27E22">
        <w:rPr>
          <w:rFonts w:asciiTheme="majorBidi" w:hAnsiTheme="majorBidi" w:cstheme="majorBidi"/>
          <w:iCs/>
          <w:snapToGrid/>
          <w:szCs w:val="22"/>
        </w:rPr>
        <w:t xml:space="preserve">with 20 </w:t>
      </w:r>
      <w:r w:rsidRPr="009D551E">
        <w:rPr>
          <w:rFonts w:asciiTheme="majorBidi" w:hAnsiTheme="majorBidi" w:cstheme="majorBidi"/>
          <w:iCs/>
          <w:snapToGrid/>
          <w:szCs w:val="22"/>
        </w:rPr>
        <w:t>countries account</w:t>
      </w:r>
      <w:r w:rsidR="00A27E22">
        <w:rPr>
          <w:rFonts w:asciiTheme="majorBidi" w:hAnsiTheme="majorBidi" w:cstheme="majorBidi"/>
          <w:iCs/>
          <w:snapToGrid/>
          <w:szCs w:val="22"/>
        </w:rPr>
        <w:t xml:space="preserve">ing </w:t>
      </w:r>
      <w:r w:rsidRPr="009D551E">
        <w:rPr>
          <w:rFonts w:asciiTheme="majorBidi" w:hAnsiTheme="majorBidi" w:cstheme="majorBidi"/>
          <w:iCs/>
          <w:snapToGrid/>
          <w:szCs w:val="22"/>
        </w:rPr>
        <w:t xml:space="preserve">for 85% of the world’s planted forest area </w:t>
      </w:r>
      <w:r w:rsidR="00A27E22">
        <w:rPr>
          <w:rFonts w:asciiTheme="majorBidi" w:hAnsiTheme="majorBidi" w:cstheme="majorBidi"/>
          <w:iCs/>
          <w:snapToGrid/>
          <w:szCs w:val="22"/>
        </w:rPr>
        <w:t xml:space="preserve">and </w:t>
      </w:r>
      <w:r w:rsidRPr="009D551E">
        <w:rPr>
          <w:rFonts w:asciiTheme="majorBidi" w:hAnsiTheme="majorBidi" w:cstheme="majorBidi"/>
          <w:iCs/>
          <w:snapToGrid/>
          <w:szCs w:val="22"/>
        </w:rPr>
        <w:t xml:space="preserve">20 </w:t>
      </w:r>
      <w:r w:rsidR="00A27E22">
        <w:rPr>
          <w:rFonts w:asciiTheme="majorBidi" w:hAnsiTheme="majorBidi" w:cstheme="majorBidi"/>
          <w:iCs/>
          <w:snapToGrid/>
          <w:szCs w:val="22"/>
        </w:rPr>
        <w:t xml:space="preserve">different </w:t>
      </w:r>
      <w:r w:rsidRPr="009D551E">
        <w:rPr>
          <w:rFonts w:asciiTheme="majorBidi" w:hAnsiTheme="majorBidi" w:cstheme="majorBidi"/>
          <w:iCs/>
          <w:snapToGrid/>
          <w:szCs w:val="22"/>
        </w:rPr>
        <w:t>countries account</w:t>
      </w:r>
      <w:r w:rsidR="00A27E22">
        <w:rPr>
          <w:rFonts w:asciiTheme="majorBidi" w:hAnsiTheme="majorBidi" w:cstheme="majorBidi"/>
          <w:iCs/>
          <w:snapToGrid/>
          <w:szCs w:val="22"/>
        </w:rPr>
        <w:t xml:space="preserve">ing </w:t>
      </w:r>
      <w:r w:rsidRPr="009D551E">
        <w:rPr>
          <w:rFonts w:asciiTheme="majorBidi" w:hAnsiTheme="majorBidi" w:cstheme="majorBidi"/>
          <w:iCs/>
          <w:snapToGrid/>
          <w:szCs w:val="22"/>
        </w:rPr>
        <w:t>for 87% of</w:t>
      </w:r>
      <w:r w:rsidR="004F71A2">
        <w:rPr>
          <w:rFonts w:asciiTheme="majorBidi" w:hAnsiTheme="majorBidi" w:cstheme="majorBidi"/>
          <w:iCs/>
          <w:snapToGrid/>
          <w:szCs w:val="22"/>
        </w:rPr>
        <w:t xml:space="preserve"> the </w:t>
      </w:r>
      <w:r w:rsidR="00A27E22">
        <w:rPr>
          <w:rFonts w:asciiTheme="majorBidi" w:hAnsiTheme="majorBidi" w:cstheme="majorBidi"/>
          <w:iCs/>
          <w:snapToGrid/>
          <w:szCs w:val="22"/>
        </w:rPr>
        <w:t xml:space="preserve">world’s </w:t>
      </w:r>
      <w:r w:rsidR="004F71A2">
        <w:rPr>
          <w:rFonts w:asciiTheme="majorBidi" w:hAnsiTheme="majorBidi" w:cstheme="majorBidi"/>
          <w:iCs/>
          <w:snapToGrid/>
          <w:szCs w:val="22"/>
        </w:rPr>
        <w:t>supply of</w:t>
      </w:r>
      <w:r w:rsidRPr="009D551E">
        <w:rPr>
          <w:rFonts w:asciiTheme="majorBidi" w:hAnsiTheme="majorBidi" w:cstheme="majorBidi"/>
          <w:iCs/>
          <w:snapToGrid/>
          <w:szCs w:val="22"/>
        </w:rPr>
        <w:t xml:space="preserve"> </w:t>
      </w:r>
      <w:r w:rsidR="005424FB">
        <w:rPr>
          <w:rFonts w:asciiTheme="majorBidi" w:hAnsiTheme="majorBidi" w:cstheme="majorBidi"/>
          <w:iCs/>
          <w:snapToGrid/>
          <w:szCs w:val="22"/>
        </w:rPr>
        <w:t>Roundwood.</w:t>
      </w:r>
      <w:r w:rsidRPr="009D551E">
        <w:rPr>
          <w:rStyle w:val="StyleFootnoteReferenceNounderline"/>
          <w:rFonts w:asciiTheme="majorBidi" w:hAnsiTheme="majorBidi" w:cstheme="majorBidi"/>
          <w:sz w:val="22"/>
          <w:szCs w:val="22"/>
          <w:vertAlign w:val="superscript"/>
        </w:rPr>
        <w:footnoteReference w:id="111"/>
      </w:r>
    </w:p>
    <w:p w:rsidR="009D551E" w:rsidRPr="009D551E" w:rsidRDefault="009D551E" w:rsidP="005618B3">
      <w:pPr>
        <w:pStyle w:val="Para1"/>
        <w:tabs>
          <w:tab w:val="clear" w:pos="360"/>
          <w:tab w:val="num" w:pos="720"/>
          <w:tab w:val="num" w:pos="3150"/>
        </w:tabs>
        <w:rPr>
          <w:rFonts w:asciiTheme="majorBidi" w:hAnsiTheme="majorBidi" w:cstheme="majorBidi"/>
          <w:snapToGrid/>
          <w:szCs w:val="22"/>
        </w:rPr>
      </w:pPr>
      <w:r w:rsidRPr="009D551E">
        <w:rPr>
          <w:rFonts w:asciiTheme="majorBidi" w:hAnsiTheme="majorBidi" w:cstheme="majorBidi"/>
          <w:iCs/>
          <w:snapToGrid/>
          <w:szCs w:val="22"/>
        </w:rPr>
        <w:t xml:space="preserve">Research published since GBO-4 </w:t>
      </w:r>
      <w:r w:rsidR="00A27E22">
        <w:rPr>
          <w:rFonts w:asciiTheme="majorBidi" w:hAnsiTheme="majorBidi" w:cstheme="majorBidi"/>
          <w:iCs/>
          <w:snapToGrid/>
          <w:szCs w:val="22"/>
        </w:rPr>
        <w:t xml:space="preserve">was released </w:t>
      </w:r>
      <w:r w:rsidRPr="009D551E">
        <w:rPr>
          <w:rFonts w:asciiTheme="majorBidi" w:hAnsiTheme="majorBidi" w:cstheme="majorBidi"/>
          <w:iCs/>
          <w:snapToGrid/>
          <w:szCs w:val="22"/>
        </w:rPr>
        <w:t>has contributed to the understanding of the relationship between tree diversity and ecosystem productivity. For example</w:t>
      </w:r>
      <w:r w:rsidR="00A27E22">
        <w:rPr>
          <w:rFonts w:asciiTheme="majorBidi" w:hAnsiTheme="majorBidi" w:cstheme="majorBidi"/>
          <w:iCs/>
          <w:snapToGrid/>
          <w:szCs w:val="22"/>
        </w:rPr>
        <w:t>,</w:t>
      </w:r>
      <w:r w:rsidRPr="009D551E">
        <w:rPr>
          <w:rFonts w:asciiTheme="majorBidi" w:hAnsiTheme="majorBidi" w:cstheme="majorBidi"/>
          <w:iCs/>
          <w:snapToGrid/>
          <w:szCs w:val="22"/>
        </w:rPr>
        <w:t xml:space="preserve"> an assessment of forest data from 44 countries found that a 10% loss in biodiversity resulted in a 3% decline in productivity, suggesting that the economic value of maintaining biodiversity for forest productivity is more than five times greater than the global conservation costs</w:t>
      </w:r>
      <w:r w:rsidR="005424FB">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112"/>
      </w:r>
      <w:r w:rsidRPr="009D551E">
        <w:rPr>
          <w:rFonts w:asciiTheme="majorBidi" w:hAnsiTheme="majorBidi" w:cstheme="majorBidi"/>
          <w:iCs/>
          <w:snapToGrid/>
          <w:szCs w:val="22"/>
        </w:rPr>
        <w:t xml:space="preserve"> </w:t>
      </w:r>
    </w:p>
    <w:p w:rsidR="009D551E" w:rsidRPr="009D551E" w:rsidRDefault="00A27E22" w:rsidP="009D551E">
      <w:pPr>
        <w:pStyle w:val="Para1"/>
        <w:tabs>
          <w:tab w:val="clear" w:pos="360"/>
          <w:tab w:val="num" w:pos="720"/>
          <w:tab w:val="num" w:pos="3150"/>
        </w:tabs>
        <w:rPr>
          <w:rFonts w:asciiTheme="majorBidi" w:hAnsiTheme="majorBidi" w:cstheme="majorBidi"/>
          <w:snapToGrid/>
          <w:szCs w:val="22"/>
        </w:rPr>
      </w:pPr>
      <w:r>
        <w:rPr>
          <w:rFonts w:asciiTheme="majorBidi" w:hAnsiTheme="majorBidi" w:cstheme="majorBidi"/>
          <w:iCs/>
          <w:snapToGrid/>
          <w:szCs w:val="22"/>
        </w:rPr>
        <w:lastRenderedPageBreak/>
        <w:t>A</w:t>
      </w:r>
      <w:r w:rsidR="009D551E" w:rsidRPr="009D551E">
        <w:rPr>
          <w:rFonts w:asciiTheme="majorBidi" w:hAnsiTheme="majorBidi" w:cstheme="majorBidi"/>
          <w:iCs/>
          <w:snapToGrid/>
          <w:szCs w:val="22"/>
        </w:rPr>
        <w:t>quaculture</w:t>
      </w:r>
      <w:r>
        <w:rPr>
          <w:rFonts w:asciiTheme="majorBidi" w:hAnsiTheme="majorBidi" w:cstheme="majorBidi"/>
          <w:iCs/>
          <w:snapToGrid/>
          <w:szCs w:val="22"/>
        </w:rPr>
        <w:t xml:space="preserve"> is </w:t>
      </w:r>
      <w:r w:rsidR="009D551E" w:rsidRPr="009D551E">
        <w:rPr>
          <w:rFonts w:asciiTheme="majorBidi" w:hAnsiTheme="majorBidi" w:cstheme="majorBidi"/>
          <w:iCs/>
          <w:snapToGrid/>
          <w:szCs w:val="22"/>
        </w:rPr>
        <w:t>estimated to be the fastest growing animal</w:t>
      </w:r>
      <w:r>
        <w:rPr>
          <w:rFonts w:asciiTheme="majorBidi" w:hAnsiTheme="majorBidi" w:cstheme="majorBidi"/>
          <w:iCs/>
          <w:snapToGrid/>
          <w:szCs w:val="22"/>
        </w:rPr>
        <w:t xml:space="preserve"> </w:t>
      </w:r>
      <w:r w:rsidR="009D551E" w:rsidRPr="009D551E">
        <w:rPr>
          <w:rFonts w:asciiTheme="majorBidi" w:hAnsiTheme="majorBidi" w:cstheme="majorBidi"/>
          <w:iCs/>
          <w:snapToGrid/>
          <w:szCs w:val="22"/>
        </w:rPr>
        <w:t>based food production sector and</w:t>
      </w:r>
      <w:r>
        <w:rPr>
          <w:rFonts w:asciiTheme="majorBidi" w:hAnsiTheme="majorBidi" w:cstheme="majorBidi"/>
          <w:iCs/>
          <w:snapToGrid/>
          <w:szCs w:val="22"/>
        </w:rPr>
        <w:t>,</w:t>
      </w:r>
      <w:r w:rsidR="009D551E" w:rsidRPr="009D551E">
        <w:rPr>
          <w:rFonts w:asciiTheme="majorBidi" w:hAnsiTheme="majorBidi" w:cstheme="majorBidi"/>
          <w:iCs/>
          <w:snapToGrid/>
          <w:szCs w:val="22"/>
        </w:rPr>
        <w:t xml:space="preserve"> in 2016</w:t>
      </w:r>
      <w:r>
        <w:rPr>
          <w:rFonts w:asciiTheme="majorBidi" w:hAnsiTheme="majorBidi" w:cstheme="majorBidi"/>
          <w:iCs/>
          <w:snapToGrid/>
          <w:szCs w:val="22"/>
        </w:rPr>
        <w:t>,</w:t>
      </w:r>
      <w:r w:rsidR="009D551E" w:rsidRPr="009D551E">
        <w:rPr>
          <w:rFonts w:asciiTheme="majorBidi" w:hAnsiTheme="majorBidi" w:cstheme="majorBidi"/>
          <w:iCs/>
          <w:snapToGrid/>
          <w:szCs w:val="22"/>
        </w:rPr>
        <w:t xml:space="preserve"> provided more than 50% of the fish consumed globally</w:t>
      </w:r>
      <w:r w:rsidR="005424FB">
        <w:rPr>
          <w:rFonts w:asciiTheme="majorBidi" w:hAnsiTheme="majorBidi" w:cstheme="majorBidi"/>
          <w:iCs/>
          <w:snapToGrid/>
          <w:szCs w:val="22"/>
        </w:rPr>
        <w:t>.</w:t>
      </w:r>
      <w:r w:rsidR="009D551E" w:rsidRPr="009D551E">
        <w:rPr>
          <w:rStyle w:val="StyleFootnoteReferenceNounderline"/>
          <w:rFonts w:asciiTheme="majorBidi" w:hAnsiTheme="majorBidi" w:cstheme="majorBidi"/>
          <w:sz w:val="22"/>
          <w:szCs w:val="22"/>
          <w:vertAlign w:val="superscript"/>
        </w:rPr>
        <w:footnoteReference w:id="113"/>
      </w:r>
      <w:r w:rsidR="009D551E" w:rsidRPr="009D551E">
        <w:rPr>
          <w:rFonts w:asciiTheme="majorBidi" w:hAnsiTheme="majorBidi" w:cstheme="majorBidi"/>
          <w:iCs/>
          <w:snapToGrid/>
          <w:szCs w:val="22"/>
        </w:rPr>
        <w:t xml:space="preserve"> Approximately 90% of aquaculture production takes place in developing countries. There is a diversity of species used in aquaculture practices but it is generally dominated by 35 species</w:t>
      </w:r>
      <w:r w:rsidR="005424FB">
        <w:rPr>
          <w:rFonts w:asciiTheme="majorBidi" w:hAnsiTheme="majorBidi" w:cstheme="majorBidi"/>
          <w:iCs/>
          <w:snapToGrid/>
          <w:szCs w:val="22"/>
        </w:rPr>
        <w:t>.</w:t>
      </w:r>
      <w:r w:rsidR="009D551E" w:rsidRPr="009D551E">
        <w:rPr>
          <w:rStyle w:val="StyleFootnoteReferenceNounderline"/>
          <w:rFonts w:asciiTheme="majorBidi" w:hAnsiTheme="majorBidi" w:cstheme="majorBidi"/>
          <w:sz w:val="22"/>
          <w:szCs w:val="22"/>
          <w:vertAlign w:val="superscript"/>
        </w:rPr>
        <w:footnoteReference w:id="114"/>
      </w:r>
      <w:r w:rsidR="009D551E" w:rsidRPr="009D551E">
        <w:rPr>
          <w:rFonts w:asciiTheme="majorBidi" w:hAnsiTheme="majorBidi" w:cstheme="majorBidi"/>
          <w:iCs/>
          <w:snapToGrid/>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napToGrid/>
          <w:szCs w:val="22"/>
        </w:rPr>
      </w:pPr>
      <w:r w:rsidRPr="009D551E">
        <w:rPr>
          <w:rFonts w:asciiTheme="majorBidi" w:hAnsiTheme="majorBidi" w:cstheme="majorBidi"/>
          <w:iCs/>
          <w:snapToGrid/>
          <w:szCs w:val="22"/>
        </w:rPr>
        <w:t>One of the main issues in the sustainable management of aquaculture is the products being used as feed. It has been estimated that more than 70% of global aquaculture production depends on external sources of feed. With increasing rates of aquaculture production, feed use is also increasing. Since 2000</w:t>
      </w:r>
      <w:r w:rsidR="00C40168">
        <w:rPr>
          <w:rFonts w:asciiTheme="majorBidi" w:hAnsiTheme="majorBidi" w:cstheme="majorBidi"/>
          <w:iCs/>
          <w:snapToGrid/>
          <w:szCs w:val="22"/>
        </w:rPr>
        <w:t>,</w:t>
      </w:r>
      <w:r w:rsidRPr="009D551E">
        <w:rPr>
          <w:rFonts w:asciiTheme="majorBidi" w:hAnsiTheme="majorBidi" w:cstheme="majorBidi"/>
          <w:iCs/>
          <w:snapToGrid/>
          <w:szCs w:val="22"/>
        </w:rPr>
        <w:t xml:space="preserve"> </w:t>
      </w:r>
      <w:r w:rsidR="00C40168">
        <w:rPr>
          <w:rFonts w:asciiTheme="majorBidi" w:hAnsiTheme="majorBidi" w:cstheme="majorBidi"/>
          <w:iCs/>
          <w:snapToGrid/>
          <w:szCs w:val="22"/>
        </w:rPr>
        <w:t xml:space="preserve">aquaculture production </w:t>
      </w:r>
      <w:r w:rsidRPr="009D551E">
        <w:rPr>
          <w:rFonts w:asciiTheme="majorBidi" w:hAnsiTheme="majorBidi" w:cstheme="majorBidi"/>
          <w:iCs/>
          <w:snapToGrid/>
          <w:szCs w:val="22"/>
        </w:rPr>
        <w:t>has grow</w:t>
      </w:r>
      <w:r w:rsidR="00984071">
        <w:rPr>
          <w:rFonts w:asciiTheme="majorBidi" w:hAnsiTheme="majorBidi" w:cstheme="majorBidi"/>
          <w:iCs/>
          <w:snapToGrid/>
          <w:szCs w:val="22"/>
        </w:rPr>
        <w:t xml:space="preserve">n </w:t>
      </w:r>
      <w:r w:rsidRPr="009D551E">
        <w:rPr>
          <w:rFonts w:asciiTheme="majorBidi" w:hAnsiTheme="majorBidi" w:cstheme="majorBidi"/>
          <w:iCs/>
          <w:snapToGrid/>
          <w:szCs w:val="22"/>
        </w:rPr>
        <w:t>at an average annual rate of 10.3% and is expected to reach 65.4 million tonnes by 2020 compared to 39.6 million tons in 2012</w:t>
      </w:r>
      <w:r w:rsidR="00F130D0">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115"/>
      </w:r>
      <w:r w:rsidRPr="009D551E">
        <w:rPr>
          <w:rFonts w:asciiTheme="majorBidi" w:hAnsiTheme="majorBidi" w:cstheme="majorBidi"/>
          <w:iCs/>
          <w:snapToGrid/>
          <w:szCs w:val="22"/>
        </w:rPr>
        <w:t xml:space="preserve"> Aquaculture feed is currently derived from crop and crop </w:t>
      </w:r>
      <w:proofErr w:type="spellStart"/>
      <w:r w:rsidRPr="009D551E">
        <w:rPr>
          <w:rFonts w:asciiTheme="majorBidi" w:hAnsiTheme="majorBidi" w:cstheme="majorBidi"/>
          <w:iCs/>
          <w:snapToGrid/>
          <w:szCs w:val="22"/>
        </w:rPr>
        <w:t>byproducts</w:t>
      </w:r>
      <w:proofErr w:type="spellEnd"/>
      <w:r w:rsidRPr="009D551E">
        <w:rPr>
          <w:rFonts w:asciiTheme="majorBidi" w:hAnsiTheme="majorBidi" w:cstheme="majorBidi"/>
          <w:iCs/>
          <w:snapToGrid/>
          <w:szCs w:val="22"/>
        </w:rPr>
        <w:t xml:space="preserve">, wild caught fish, fish processing </w:t>
      </w:r>
      <w:proofErr w:type="spellStart"/>
      <w:r w:rsidRPr="009D551E">
        <w:rPr>
          <w:rFonts w:asciiTheme="majorBidi" w:hAnsiTheme="majorBidi" w:cstheme="majorBidi"/>
          <w:iCs/>
          <w:snapToGrid/>
          <w:szCs w:val="22"/>
        </w:rPr>
        <w:t>byproducts</w:t>
      </w:r>
      <w:proofErr w:type="spellEnd"/>
      <w:r w:rsidRPr="009D551E">
        <w:rPr>
          <w:rFonts w:asciiTheme="majorBidi" w:hAnsiTheme="majorBidi" w:cstheme="majorBidi"/>
          <w:iCs/>
          <w:snapToGrid/>
          <w:szCs w:val="22"/>
        </w:rPr>
        <w:t xml:space="preserve"> and livestock </w:t>
      </w:r>
      <w:proofErr w:type="spellStart"/>
      <w:r w:rsidRPr="009D551E">
        <w:rPr>
          <w:rFonts w:asciiTheme="majorBidi" w:hAnsiTheme="majorBidi" w:cstheme="majorBidi"/>
          <w:iCs/>
          <w:snapToGrid/>
          <w:szCs w:val="22"/>
        </w:rPr>
        <w:t>byproducts</w:t>
      </w:r>
      <w:proofErr w:type="spellEnd"/>
      <w:r w:rsidR="00F130D0">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116"/>
      </w:r>
      <w:r w:rsidRPr="009D551E">
        <w:rPr>
          <w:rFonts w:asciiTheme="majorBidi" w:hAnsiTheme="majorBidi" w:cstheme="majorBidi"/>
          <w:iCs/>
          <w:snapToGrid/>
          <w:szCs w:val="22"/>
        </w:rPr>
        <w:t xml:space="preserve"> As demand for aquaculture feed grows</w:t>
      </w:r>
      <w:r w:rsidR="00C40168">
        <w:rPr>
          <w:rFonts w:asciiTheme="majorBidi" w:hAnsiTheme="majorBidi" w:cstheme="majorBidi"/>
          <w:iCs/>
          <w:snapToGrid/>
          <w:szCs w:val="22"/>
        </w:rPr>
        <w:t>,</w:t>
      </w:r>
      <w:r w:rsidRPr="009D551E">
        <w:rPr>
          <w:rFonts w:asciiTheme="majorBidi" w:hAnsiTheme="majorBidi" w:cstheme="majorBidi"/>
          <w:iCs/>
          <w:snapToGrid/>
          <w:szCs w:val="22"/>
        </w:rPr>
        <w:t xml:space="preserve"> competition for these crops and products will also increase, with potential implications for food security</w:t>
      </w:r>
      <w:r w:rsidR="00F130D0">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117"/>
      </w:r>
      <w:r w:rsidRPr="009D551E">
        <w:rPr>
          <w:rFonts w:asciiTheme="majorBidi" w:hAnsiTheme="majorBidi" w:cstheme="majorBidi"/>
          <w:iCs/>
          <w:snapToGrid/>
          <w:szCs w:val="22"/>
        </w:rPr>
        <w:t xml:space="preserve"> However</w:t>
      </w:r>
      <w:r w:rsidR="00A27E22">
        <w:rPr>
          <w:rFonts w:asciiTheme="majorBidi" w:hAnsiTheme="majorBidi" w:cstheme="majorBidi"/>
          <w:iCs/>
          <w:snapToGrid/>
          <w:szCs w:val="22"/>
        </w:rPr>
        <w:t>,</w:t>
      </w:r>
      <w:r w:rsidRPr="009D551E">
        <w:rPr>
          <w:rFonts w:asciiTheme="majorBidi" w:hAnsiTheme="majorBidi" w:cstheme="majorBidi"/>
          <w:iCs/>
          <w:snapToGrid/>
          <w:szCs w:val="22"/>
        </w:rPr>
        <w:t xml:space="preserve"> over the last few years</w:t>
      </w:r>
      <w:r w:rsidR="00A27E22">
        <w:rPr>
          <w:rFonts w:asciiTheme="majorBidi" w:hAnsiTheme="majorBidi" w:cstheme="majorBidi"/>
          <w:iCs/>
          <w:snapToGrid/>
          <w:szCs w:val="22"/>
        </w:rPr>
        <w:t>,</w:t>
      </w:r>
      <w:r w:rsidRPr="009D551E">
        <w:rPr>
          <w:rFonts w:asciiTheme="majorBidi" w:hAnsiTheme="majorBidi" w:cstheme="majorBidi"/>
          <w:iCs/>
          <w:snapToGrid/>
          <w:szCs w:val="22"/>
        </w:rPr>
        <w:t xml:space="preserve"> there have also been improvements to feeding efficiencies for some aquaculture species</w:t>
      </w:r>
      <w:r w:rsidR="00C40168">
        <w:rPr>
          <w:rFonts w:asciiTheme="majorBidi" w:hAnsiTheme="majorBidi" w:cstheme="majorBidi"/>
          <w:iCs/>
          <w:snapToGrid/>
          <w:szCs w:val="22"/>
        </w:rPr>
        <w:t>,</w:t>
      </w:r>
      <w:r w:rsidRPr="009D551E">
        <w:rPr>
          <w:rFonts w:asciiTheme="majorBidi" w:hAnsiTheme="majorBidi" w:cstheme="majorBidi"/>
          <w:iCs/>
          <w:snapToGrid/>
          <w:szCs w:val="22"/>
        </w:rPr>
        <w:t xml:space="preserve"> such as Atlantic salmon, shrimp and tilapias</w:t>
      </w:r>
      <w:r w:rsidRPr="009D551E">
        <w:rPr>
          <w:rStyle w:val="StyleFootnoteReferenceNounderline"/>
          <w:rFonts w:asciiTheme="majorBidi" w:hAnsiTheme="majorBidi" w:cstheme="majorBidi"/>
          <w:sz w:val="22"/>
          <w:szCs w:val="22"/>
          <w:vertAlign w:val="superscript"/>
        </w:rPr>
        <w:footnoteReference w:id="118"/>
      </w:r>
      <w:r w:rsidRPr="009D551E">
        <w:rPr>
          <w:rFonts w:asciiTheme="majorBidi" w:hAnsiTheme="majorBidi" w:cstheme="majorBidi"/>
          <w:iCs/>
          <w:snapToGrid/>
          <w:szCs w:val="22"/>
        </w:rPr>
        <w:t>.</w:t>
      </w:r>
    </w:p>
    <w:p w:rsidR="009D551E" w:rsidRPr="009D551E" w:rsidRDefault="009D551E" w:rsidP="009D551E">
      <w:pPr>
        <w:pStyle w:val="Para1"/>
        <w:tabs>
          <w:tab w:val="clear" w:pos="360"/>
          <w:tab w:val="num" w:pos="720"/>
          <w:tab w:val="num" w:pos="3150"/>
        </w:tabs>
        <w:rPr>
          <w:rFonts w:asciiTheme="majorBidi" w:hAnsiTheme="majorBidi" w:cstheme="majorBidi"/>
          <w:snapToGrid/>
          <w:szCs w:val="22"/>
        </w:rPr>
      </w:pPr>
      <w:r w:rsidRPr="009D551E">
        <w:rPr>
          <w:rFonts w:asciiTheme="majorBidi" w:hAnsiTheme="majorBidi" w:cstheme="majorBidi"/>
          <w:iCs/>
          <w:snapToGrid/>
          <w:szCs w:val="22"/>
        </w:rPr>
        <w:t>Aquaculture has also been found to have potential impacts on coastal environments. For example</w:t>
      </w:r>
      <w:r w:rsidR="00984071">
        <w:rPr>
          <w:rFonts w:asciiTheme="majorBidi" w:hAnsiTheme="majorBidi" w:cstheme="majorBidi"/>
          <w:iCs/>
          <w:snapToGrid/>
          <w:szCs w:val="22"/>
        </w:rPr>
        <w:t>,</w:t>
      </w:r>
      <w:r w:rsidRPr="009D551E">
        <w:rPr>
          <w:rFonts w:asciiTheme="majorBidi" w:hAnsiTheme="majorBidi" w:cstheme="majorBidi"/>
          <w:iCs/>
          <w:snapToGrid/>
          <w:szCs w:val="22"/>
        </w:rPr>
        <w:t xml:space="preserve"> some studies found that aquaculture has resulted in land use change, the loss of coastal wetlands, pollution</w:t>
      </w:r>
      <w:r w:rsidRPr="009D551E">
        <w:rPr>
          <w:rStyle w:val="StyleFootnoteReferenceNounderline"/>
          <w:rFonts w:asciiTheme="majorBidi" w:hAnsiTheme="majorBidi" w:cstheme="majorBidi"/>
          <w:sz w:val="22"/>
          <w:szCs w:val="22"/>
          <w:vertAlign w:val="superscript"/>
        </w:rPr>
        <w:footnoteReference w:id="119"/>
      </w:r>
      <w:r w:rsidRPr="009D551E">
        <w:rPr>
          <w:rFonts w:asciiTheme="majorBidi" w:hAnsiTheme="majorBidi" w:cstheme="majorBidi"/>
          <w:iCs/>
          <w:snapToGrid/>
          <w:szCs w:val="22"/>
        </w:rPr>
        <w:t xml:space="preserve"> and increased sensitivity to erosion. Aquaculture has also been linked to land subsidence</w:t>
      </w:r>
      <w:r w:rsidR="00F130D0">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120"/>
      </w:r>
      <w:r w:rsidRPr="009D551E">
        <w:rPr>
          <w:rFonts w:asciiTheme="majorBidi" w:hAnsiTheme="majorBidi" w:cstheme="majorBidi"/>
          <w:iCs/>
          <w:snapToGrid/>
          <w:szCs w:val="22"/>
        </w:rPr>
        <w:t xml:space="preserve"> Further</w:t>
      </w:r>
      <w:r w:rsidR="00984071">
        <w:rPr>
          <w:rFonts w:asciiTheme="majorBidi" w:hAnsiTheme="majorBidi" w:cstheme="majorBidi"/>
          <w:iCs/>
          <w:snapToGrid/>
          <w:szCs w:val="22"/>
        </w:rPr>
        <w:t>,</w:t>
      </w:r>
      <w:r w:rsidRPr="009D551E">
        <w:rPr>
          <w:rFonts w:asciiTheme="majorBidi" w:hAnsiTheme="majorBidi" w:cstheme="majorBidi"/>
          <w:iCs/>
          <w:snapToGrid/>
          <w:szCs w:val="22"/>
        </w:rPr>
        <w:t xml:space="preserve"> aquaculture has been linked to the introduction of veterinary medicines in water systems. For example</w:t>
      </w:r>
      <w:r w:rsidR="00984071">
        <w:rPr>
          <w:rFonts w:asciiTheme="majorBidi" w:hAnsiTheme="majorBidi" w:cstheme="majorBidi"/>
          <w:iCs/>
          <w:snapToGrid/>
          <w:szCs w:val="22"/>
        </w:rPr>
        <w:t xml:space="preserve">, </w:t>
      </w:r>
      <w:r w:rsidRPr="009D551E">
        <w:rPr>
          <w:rFonts w:asciiTheme="majorBidi" w:hAnsiTheme="majorBidi" w:cstheme="majorBidi"/>
          <w:iCs/>
          <w:snapToGrid/>
          <w:szCs w:val="22"/>
        </w:rPr>
        <w:t>one study estimated that</w:t>
      </w:r>
      <w:r w:rsidR="00984071">
        <w:rPr>
          <w:rFonts w:asciiTheme="majorBidi" w:hAnsiTheme="majorBidi" w:cstheme="majorBidi"/>
          <w:iCs/>
          <w:snapToGrid/>
          <w:szCs w:val="22"/>
        </w:rPr>
        <w:t>,</w:t>
      </w:r>
      <w:r w:rsidRPr="009D551E">
        <w:rPr>
          <w:rFonts w:asciiTheme="majorBidi" w:hAnsiTheme="majorBidi" w:cstheme="majorBidi"/>
          <w:iCs/>
          <w:snapToGrid/>
          <w:szCs w:val="22"/>
        </w:rPr>
        <w:t xml:space="preserve"> on average</w:t>
      </w:r>
      <w:r w:rsidR="00984071">
        <w:rPr>
          <w:rFonts w:asciiTheme="majorBidi" w:hAnsiTheme="majorBidi" w:cstheme="majorBidi"/>
          <w:iCs/>
          <w:snapToGrid/>
          <w:szCs w:val="22"/>
        </w:rPr>
        <w:t>,</w:t>
      </w:r>
      <w:r w:rsidRPr="009D551E">
        <w:rPr>
          <w:rFonts w:asciiTheme="majorBidi" w:hAnsiTheme="majorBidi" w:cstheme="majorBidi"/>
          <w:iCs/>
          <w:snapToGrid/>
          <w:szCs w:val="22"/>
        </w:rPr>
        <w:t xml:space="preserve"> 25% of veterinary medicines used in aquaculture ponds enter the wider environment</w:t>
      </w:r>
      <w:r w:rsidR="00F130D0">
        <w:rPr>
          <w:rFonts w:asciiTheme="majorBidi" w:hAnsiTheme="majorBidi" w:cstheme="majorBidi"/>
          <w:iCs/>
          <w:snapToGrid/>
          <w:szCs w:val="22"/>
        </w:rPr>
        <w:t>.</w:t>
      </w:r>
      <w:r w:rsidRPr="009D551E">
        <w:rPr>
          <w:rStyle w:val="StyleFootnoteReferenceNounderline"/>
          <w:rFonts w:asciiTheme="majorBidi" w:hAnsiTheme="majorBidi" w:cstheme="majorBidi"/>
          <w:sz w:val="22"/>
          <w:szCs w:val="22"/>
          <w:vertAlign w:val="superscript"/>
        </w:rPr>
        <w:footnoteReference w:id="121"/>
      </w:r>
      <w:r w:rsidRPr="009D551E">
        <w:rPr>
          <w:rFonts w:asciiTheme="majorBidi" w:hAnsiTheme="majorBidi" w:cstheme="majorBidi"/>
          <w:iCs/>
          <w:snapToGrid/>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napToGrid/>
          <w:szCs w:val="22"/>
        </w:rPr>
      </w:pPr>
      <w:r w:rsidRPr="009D551E">
        <w:rPr>
          <w:rFonts w:asciiTheme="majorBidi" w:hAnsiTheme="majorBidi" w:cstheme="majorBidi"/>
          <w:iCs/>
          <w:snapToGrid/>
          <w:szCs w:val="22"/>
        </w:rPr>
        <w:t>Three indicators used in GBO-4 have been updated since the report was released. Two of these, area of agricultural land under organic production</w:t>
      </w:r>
      <w:r w:rsidRPr="009D551E">
        <w:rPr>
          <w:rStyle w:val="FootnoteReference"/>
          <w:rFonts w:asciiTheme="majorBidi" w:hAnsiTheme="majorBidi" w:cstheme="majorBidi"/>
          <w:iCs/>
          <w:snapToGrid/>
          <w:sz w:val="22"/>
          <w:szCs w:val="22"/>
        </w:rPr>
        <w:footnoteReference w:id="122"/>
      </w:r>
      <w:r w:rsidRPr="009D551E">
        <w:rPr>
          <w:rFonts w:asciiTheme="majorBidi" w:hAnsiTheme="majorBidi" w:cstheme="majorBidi"/>
          <w:iCs/>
          <w:snapToGrid/>
          <w:szCs w:val="22"/>
        </w:rPr>
        <w:t xml:space="preserve"> and area of forest under sustainable management</w:t>
      </w:r>
      <w:r w:rsidR="00F130D0">
        <w:rPr>
          <w:rFonts w:asciiTheme="majorBidi" w:hAnsiTheme="majorBidi" w:cstheme="majorBidi"/>
          <w:iCs/>
          <w:snapToGrid/>
          <w:szCs w:val="22"/>
        </w:rPr>
        <w:t>,</w:t>
      </w:r>
      <w:r w:rsidRPr="009D551E">
        <w:rPr>
          <w:rStyle w:val="FootnoteReference"/>
          <w:rFonts w:asciiTheme="majorBidi" w:hAnsiTheme="majorBidi" w:cstheme="majorBidi"/>
          <w:iCs/>
          <w:snapToGrid/>
          <w:sz w:val="22"/>
          <w:szCs w:val="22"/>
        </w:rPr>
        <w:footnoteReference w:id="123"/>
      </w:r>
      <w:r w:rsidRPr="009D551E">
        <w:rPr>
          <w:rFonts w:asciiTheme="majorBidi" w:hAnsiTheme="majorBidi" w:cstheme="majorBidi"/>
          <w:iCs/>
          <w:snapToGrid/>
          <w:szCs w:val="22"/>
        </w:rPr>
        <w:t xml:space="preserve"> show positive trends. The other indicator, the Wild Bird Index for farmland birds, shows a decline. In addition</w:t>
      </w:r>
      <w:r w:rsidR="00984071">
        <w:rPr>
          <w:rFonts w:asciiTheme="majorBidi" w:hAnsiTheme="majorBidi" w:cstheme="majorBidi"/>
          <w:iCs/>
          <w:snapToGrid/>
          <w:szCs w:val="22"/>
        </w:rPr>
        <w:t>,</w:t>
      </w:r>
      <w:r w:rsidRPr="009D551E">
        <w:rPr>
          <w:rFonts w:asciiTheme="majorBidi" w:hAnsiTheme="majorBidi" w:cstheme="majorBidi"/>
          <w:iCs/>
          <w:snapToGrid/>
          <w:szCs w:val="22"/>
        </w:rPr>
        <w:t xml:space="preserve"> one indicator, nitrogen use balance</w:t>
      </w:r>
      <w:r w:rsidR="00F130D0">
        <w:rPr>
          <w:rFonts w:asciiTheme="majorBidi" w:hAnsiTheme="majorBidi" w:cstheme="majorBidi"/>
          <w:iCs/>
          <w:snapToGrid/>
          <w:szCs w:val="22"/>
        </w:rPr>
        <w:t>,</w:t>
      </w:r>
      <w:r w:rsidRPr="009D551E">
        <w:rPr>
          <w:rStyle w:val="FootnoteReference"/>
          <w:rFonts w:asciiTheme="majorBidi" w:hAnsiTheme="majorBidi" w:cstheme="majorBidi"/>
          <w:iCs/>
          <w:snapToGrid/>
          <w:sz w:val="22"/>
          <w:szCs w:val="22"/>
        </w:rPr>
        <w:footnoteReference w:id="124"/>
      </w:r>
      <w:r w:rsidRPr="009D551E">
        <w:rPr>
          <w:rFonts w:asciiTheme="majorBidi" w:hAnsiTheme="majorBidi" w:cstheme="majorBidi"/>
          <w:iCs/>
          <w:snapToGrid/>
          <w:szCs w:val="22"/>
        </w:rPr>
        <w:t xml:space="preserve"> has become available since GBO-4 was published, and shows a trend negative for biodiversity.</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The scientific information that has become available since the publication of GBO-4 suggests that the situation is largely unchanged from what was previously reported. Similarly</w:t>
      </w:r>
      <w:r w:rsidR="00984071">
        <w:rPr>
          <w:rFonts w:asciiTheme="majorBidi" w:hAnsiTheme="majorBidi" w:cstheme="majorBidi"/>
          <w:szCs w:val="22"/>
        </w:rPr>
        <w:t>,</w:t>
      </w:r>
      <w:r w:rsidRPr="009D551E">
        <w:rPr>
          <w:rFonts w:asciiTheme="majorBidi" w:hAnsiTheme="majorBidi" w:cstheme="majorBidi"/>
          <w:szCs w:val="22"/>
        </w:rPr>
        <w:t xml:space="preserve"> the scientific literature </w:t>
      </w:r>
      <w:r w:rsidRPr="009D551E">
        <w:rPr>
          <w:rFonts w:asciiTheme="majorBidi" w:hAnsiTheme="majorBidi" w:cstheme="majorBidi"/>
          <w:szCs w:val="22"/>
        </w:rPr>
        <w:lastRenderedPageBreak/>
        <w:t>suggests that the actions identified in GBO-4 remain relevant to the achievement of this Aichi Biodiversity Target.</w:t>
      </w:r>
    </w:p>
    <w:p w:rsidR="009D551E" w:rsidRPr="009D551E" w:rsidRDefault="009D551E" w:rsidP="009D551E">
      <w:pPr>
        <w:pStyle w:val="NormalWeb"/>
        <w:tabs>
          <w:tab w:val="left" w:pos="2694"/>
        </w:tabs>
        <w:rPr>
          <w:rFonts w:asciiTheme="majorBidi" w:hAnsiTheme="majorBidi" w:cstheme="majorBidi"/>
          <w:i/>
          <w:sz w:val="22"/>
          <w:szCs w:val="22"/>
        </w:rPr>
      </w:pPr>
      <w:r w:rsidRPr="009D551E">
        <w:rPr>
          <w:rFonts w:asciiTheme="majorBidi" w:hAnsiTheme="majorBidi" w:cstheme="majorBidi"/>
          <w:i/>
          <w:sz w:val="22"/>
          <w:szCs w:val="22"/>
        </w:rPr>
        <w:t>Target 8: By 2020, pollution, including from excess nutrients, has been brought to levels that are not detrimental to ecosystem function and biodiversity.</w:t>
      </w:r>
    </w:p>
    <w:p w:rsidR="009D551E" w:rsidRPr="001B364A" w:rsidRDefault="009D551E" w:rsidP="009D551E">
      <w:pPr>
        <w:pStyle w:val="Para1"/>
        <w:tabs>
          <w:tab w:val="clear" w:pos="360"/>
          <w:tab w:val="num" w:pos="720"/>
          <w:tab w:val="num" w:pos="3150"/>
        </w:tabs>
        <w:rPr>
          <w:rFonts w:asciiTheme="majorBidi" w:hAnsiTheme="majorBidi" w:cstheme="majorBidi"/>
          <w:kern w:val="22"/>
          <w:szCs w:val="22"/>
        </w:rPr>
      </w:pPr>
      <w:r w:rsidRPr="001B364A">
        <w:rPr>
          <w:rFonts w:asciiTheme="majorBidi" w:hAnsiTheme="majorBidi" w:cstheme="majorBidi"/>
          <w:kern w:val="22"/>
          <w:szCs w:val="22"/>
        </w:rPr>
        <w:t>Since the publication of GBO-4</w:t>
      </w:r>
      <w:r w:rsidR="000553B4" w:rsidRPr="001B364A">
        <w:rPr>
          <w:rFonts w:asciiTheme="majorBidi" w:hAnsiTheme="majorBidi" w:cstheme="majorBidi"/>
          <w:kern w:val="22"/>
          <w:szCs w:val="22"/>
        </w:rPr>
        <w:t>,</w:t>
      </w:r>
      <w:r w:rsidRPr="001B364A">
        <w:rPr>
          <w:rFonts w:asciiTheme="majorBidi" w:hAnsiTheme="majorBidi" w:cstheme="majorBidi"/>
          <w:kern w:val="22"/>
          <w:szCs w:val="22"/>
        </w:rPr>
        <w:t xml:space="preserve"> a range of literature relevant to this target has been published. As w</w:t>
      </w:r>
      <w:r w:rsidR="001B364A">
        <w:rPr>
          <w:rFonts w:asciiTheme="majorBidi" w:hAnsiTheme="majorBidi" w:cstheme="majorBidi"/>
          <w:kern w:val="22"/>
          <w:szCs w:val="22"/>
        </w:rPr>
        <w:t xml:space="preserve">as noted in </w:t>
      </w:r>
      <w:r w:rsidRPr="001B364A">
        <w:rPr>
          <w:rFonts w:asciiTheme="majorBidi" w:hAnsiTheme="majorBidi" w:cstheme="majorBidi"/>
          <w:kern w:val="22"/>
          <w:szCs w:val="22"/>
        </w:rPr>
        <w:t>GBO-4</w:t>
      </w:r>
      <w:r w:rsidR="001B364A">
        <w:rPr>
          <w:rFonts w:asciiTheme="majorBidi" w:hAnsiTheme="majorBidi" w:cstheme="majorBidi"/>
          <w:kern w:val="22"/>
          <w:szCs w:val="22"/>
        </w:rPr>
        <w:t>,</w:t>
      </w:r>
      <w:r w:rsidRPr="001B364A">
        <w:rPr>
          <w:rFonts w:asciiTheme="majorBidi" w:hAnsiTheme="majorBidi" w:cstheme="majorBidi"/>
          <w:kern w:val="22"/>
          <w:szCs w:val="22"/>
        </w:rPr>
        <w:t xml:space="preserve"> most of the available global information continues to focus on the effects of nutrients. There is comparatively less global information available on other pollution sources. One exception to this is plastic pollution for which several new studies have been undertaken in recent years</w:t>
      </w:r>
      <w:r w:rsidR="005618B3" w:rsidRPr="001B364A">
        <w:rPr>
          <w:rFonts w:asciiTheme="majorBidi" w:hAnsiTheme="majorBidi" w:cstheme="majorBidi"/>
          <w:kern w:val="22"/>
          <w:szCs w:val="22"/>
        </w:rPr>
        <w:t>.</w:t>
      </w:r>
    </w:p>
    <w:p w:rsidR="009D551E" w:rsidRPr="009D551E" w:rsidRDefault="00440667" w:rsidP="009D551E">
      <w:pPr>
        <w:pStyle w:val="Para1"/>
        <w:tabs>
          <w:tab w:val="clear" w:pos="360"/>
          <w:tab w:val="num" w:pos="720"/>
          <w:tab w:val="num" w:pos="3150"/>
        </w:tabs>
        <w:rPr>
          <w:rFonts w:asciiTheme="majorBidi" w:hAnsiTheme="majorBidi" w:cstheme="majorBidi"/>
          <w:kern w:val="22"/>
          <w:szCs w:val="22"/>
        </w:rPr>
      </w:pPr>
      <w:r w:rsidRPr="00720FA7">
        <w:rPr>
          <w:rFonts w:asciiTheme="majorBidi" w:hAnsiTheme="majorBidi" w:cstheme="majorBidi"/>
          <w:kern w:val="22"/>
          <w:szCs w:val="22"/>
        </w:rPr>
        <w:t>Without mitigation efforts, nitrogen pollution is predicted to rise between 100-150% above 2010</w:t>
      </w:r>
      <w:r w:rsidR="009D551E" w:rsidRPr="009D551E">
        <w:rPr>
          <w:rFonts w:asciiTheme="majorBidi" w:hAnsiTheme="majorBidi" w:cstheme="majorBidi"/>
          <w:kern w:val="22"/>
          <w:szCs w:val="22"/>
        </w:rPr>
        <w:t xml:space="preserve"> levels by 2050</w:t>
      </w:r>
      <w:r w:rsidR="00F130D0">
        <w:rPr>
          <w:rFonts w:asciiTheme="majorBidi" w:hAnsiTheme="majorBidi" w:cstheme="majorBidi"/>
          <w:kern w:val="22"/>
          <w:szCs w:val="22"/>
        </w:rPr>
        <w:t>.</w:t>
      </w:r>
      <w:r w:rsidR="009D551E" w:rsidRPr="009D551E">
        <w:rPr>
          <w:rStyle w:val="StyleFootnoteReferenceNounderline"/>
          <w:rFonts w:asciiTheme="majorBidi" w:hAnsiTheme="majorBidi" w:cstheme="majorBidi"/>
          <w:sz w:val="22"/>
          <w:szCs w:val="22"/>
          <w:vertAlign w:val="superscript"/>
        </w:rPr>
        <w:footnoteReference w:id="125"/>
      </w:r>
      <w:r w:rsidR="009D551E" w:rsidRPr="009D551E">
        <w:rPr>
          <w:rFonts w:asciiTheme="majorBidi" w:hAnsiTheme="majorBidi" w:cstheme="majorBidi"/>
          <w:kern w:val="22"/>
          <w:szCs w:val="22"/>
        </w:rPr>
        <w:t xml:space="preserve"> Estimates suggest that 50% of current nitrogen use is wasted and ends up as pollution</w:t>
      </w:r>
      <w:r w:rsidR="00F130D0">
        <w:rPr>
          <w:rFonts w:asciiTheme="majorBidi" w:hAnsiTheme="majorBidi" w:cstheme="majorBidi"/>
          <w:kern w:val="22"/>
          <w:szCs w:val="22"/>
        </w:rPr>
        <w:t>,</w:t>
      </w:r>
      <w:r w:rsidR="009D551E" w:rsidRPr="009D551E">
        <w:rPr>
          <w:rStyle w:val="StyleFootnoteReferenceNounderline"/>
          <w:rFonts w:asciiTheme="majorBidi" w:hAnsiTheme="majorBidi" w:cstheme="majorBidi"/>
          <w:sz w:val="22"/>
          <w:szCs w:val="22"/>
          <w:vertAlign w:val="superscript"/>
        </w:rPr>
        <w:footnoteReference w:id="126"/>
      </w:r>
      <w:r w:rsidR="007D6133">
        <w:rPr>
          <w:rFonts w:asciiTheme="majorBidi" w:hAnsiTheme="majorBidi" w:cstheme="majorBidi"/>
          <w:kern w:val="22"/>
          <w:szCs w:val="22"/>
        </w:rPr>
        <w:t xml:space="preserve"> </w:t>
      </w:r>
      <w:r w:rsidR="009D551E" w:rsidRPr="009D551E">
        <w:rPr>
          <w:rFonts w:asciiTheme="majorBidi" w:hAnsiTheme="majorBidi" w:cstheme="majorBidi"/>
          <w:kern w:val="22"/>
          <w:szCs w:val="22"/>
        </w:rPr>
        <w:t>with negative effects on terrestrial and aquatic environments.</w:t>
      </w:r>
      <w:r w:rsidR="007D6133">
        <w:rPr>
          <w:rFonts w:asciiTheme="majorBidi" w:hAnsiTheme="majorBidi" w:cstheme="majorBidi"/>
          <w:kern w:val="22"/>
          <w:szCs w:val="22"/>
        </w:rPr>
        <w:t xml:space="preserve"> </w:t>
      </w:r>
      <w:r w:rsidR="009D551E" w:rsidRPr="009D551E">
        <w:rPr>
          <w:rFonts w:asciiTheme="majorBidi" w:hAnsiTheme="majorBidi" w:cstheme="majorBidi"/>
          <w:kern w:val="22"/>
          <w:szCs w:val="22"/>
        </w:rPr>
        <w:t>Global nitrogen and phosphorus transport to the sea more than doubled in the twentieth century, despite significant anthropogenic slowing of waterways, such as through the construction of canals and dams which increases nutrient retention</w:t>
      </w:r>
      <w:r w:rsidR="00F130D0">
        <w:rPr>
          <w:rFonts w:asciiTheme="majorBidi" w:hAnsiTheme="majorBidi" w:cstheme="majorBidi"/>
          <w:kern w:val="22"/>
          <w:szCs w:val="22"/>
        </w:rPr>
        <w:t>.</w:t>
      </w:r>
      <w:r w:rsidR="009D551E" w:rsidRPr="009D551E">
        <w:rPr>
          <w:rStyle w:val="StyleFootnoteReferenceNounderline"/>
          <w:rFonts w:asciiTheme="majorBidi" w:hAnsiTheme="majorBidi" w:cstheme="majorBidi"/>
          <w:sz w:val="22"/>
          <w:szCs w:val="22"/>
          <w:vertAlign w:val="superscript"/>
        </w:rPr>
        <w:footnoteReference w:id="127"/>
      </w:r>
      <w:r w:rsidR="009D551E" w:rsidRPr="009D551E">
        <w:rPr>
          <w:rFonts w:asciiTheme="majorBidi" w:hAnsiTheme="majorBidi" w:cstheme="majorBidi"/>
          <w:kern w:val="22"/>
          <w:szCs w:val="22"/>
        </w:rPr>
        <w:t xml:space="preserve"> For example</w:t>
      </w:r>
      <w:r w:rsidR="007D6133">
        <w:rPr>
          <w:rFonts w:asciiTheme="majorBidi" w:hAnsiTheme="majorBidi" w:cstheme="majorBidi"/>
          <w:kern w:val="22"/>
          <w:szCs w:val="22"/>
        </w:rPr>
        <w:t>,</w:t>
      </w:r>
      <w:r w:rsidR="009D551E" w:rsidRPr="009D551E">
        <w:rPr>
          <w:rFonts w:asciiTheme="majorBidi" w:hAnsiTheme="majorBidi" w:cstheme="majorBidi"/>
          <w:kern w:val="22"/>
          <w:szCs w:val="22"/>
        </w:rPr>
        <w:t xml:space="preserve"> in East Asia, many large rivers and their estuaries, including the Yangtze river</w:t>
      </w:r>
      <w:r w:rsidR="009D551E" w:rsidRPr="009D551E">
        <w:rPr>
          <w:rStyle w:val="StyleFootnoteReferenceNounderline"/>
          <w:rFonts w:asciiTheme="majorBidi" w:hAnsiTheme="majorBidi" w:cstheme="majorBidi"/>
          <w:sz w:val="22"/>
          <w:szCs w:val="22"/>
          <w:vertAlign w:val="superscript"/>
        </w:rPr>
        <w:footnoteReference w:id="128"/>
      </w:r>
      <w:r w:rsidR="009D551E" w:rsidRPr="009D551E">
        <w:rPr>
          <w:rFonts w:asciiTheme="majorBidi" w:hAnsiTheme="majorBidi" w:cstheme="majorBidi"/>
          <w:kern w:val="22"/>
          <w:szCs w:val="22"/>
        </w:rPr>
        <w:t xml:space="preserve">, the </w:t>
      </w:r>
      <w:proofErr w:type="spellStart"/>
      <w:r w:rsidR="009D551E" w:rsidRPr="009D551E">
        <w:rPr>
          <w:rFonts w:asciiTheme="majorBidi" w:hAnsiTheme="majorBidi" w:cstheme="majorBidi"/>
          <w:kern w:val="22"/>
          <w:szCs w:val="22"/>
        </w:rPr>
        <w:t>Changjiang</w:t>
      </w:r>
      <w:proofErr w:type="spellEnd"/>
      <w:r w:rsidR="009D551E" w:rsidRPr="009D551E">
        <w:rPr>
          <w:rFonts w:asciiTheme="majorBidi" w:hAnsiTheme="majorBidi" w:cstheme="majorBidi"/>
          <w:kern w:val="22"/>
          <w:szCs w:val="22"/>
        </w:rPr>
        <w:t xml:space="preserve"> river</w:t>
      </w:r>
      <w:r w:rsidR="00F130D0">
        <w:rPr>
          <w:rFonts w:asciiTheme="majorBidi" w:hAnsiTheme="majorBidi" w:cstheme="majorBidi"/>
          <w:kern w:val="22"/>
          <w:szCs w:val="22"/>
        </w:rPr>
        <w:t>,</w:t>
      </w:r>
      <w:r w:rsidR="009D551E" w:rsidRPr="009D551E">
        <w:rPr>
          <w:rStyle w:val="StyleFootnoteReferenceNounderline"/>
          <w:rFonts w:asciiTheme="majorBidi" w:hAnsiTheme="majorBidi" w:cstheme="majorBidi"/>
          <w:sz w:val="22"/>
          <w:szCs w:val="22"/>
          <w:vertAlign w:val="superscript"/>
        </w:rPr>
        <w:footnoteReference w:id="129"/>
      </w:r>
      <w:r w:rsidR="009D551E" w:rsidRPr="009D551E">
        <w:rPr>
          <w:rFonts w:asciiTheme="majorBidi" w:hAnsiTheme="majorBidi" w:cstheme="majorBidi"/>
          <w:kern w:val="22"/>
          <w:szCs w:val="22"/>
        </w:rPr>
        <w:t xml:space="preserve"> the Pearl River</w:t>
      </w:r>
      <w:r w:rsidR="009D551E" w:rsidRPr="009D551E">
        <w:rPr>
          <w:rStyle w:val="StyleFootnoteReferenceNounderline"/>
          <w:rFonts w:asciiTheme="majorBidi" w:hAnsiTheme="majorBidi" w:cstheme="majorBidi"/>
          <w:sz w:val="22"/>
          <w:szCs w:val="22"/>
          <w:vertAlign w:val="superscript"/>
        </w:rPr>
        <w:footnoteReference w:id="130"/>
      </w:r>
      <w:r w:rsidR="009D551E" w:rsidRPr="009D551E">
        <w:rPr>
          <w:rFonts w:asciiTheme="majorBidi" w:hAnsiTheme="majorBidi" w:cstheme="majorBidi"/>
          <w:kern w:val="22"/>
          <w:szCs w:val="22"/>
        </w:rPr>
        <w:t xml:space="preserve"> and </w:t>
      </w:r>
      <w:proofErr w:type="spellStart"/>
      <w:r w:rsidR="009D551E" w:rsidRPr="009D551E">
        <w:rPr>
          <w:rFonts w:asciiTheme="majorBidi" w:hAnsiTheme="majorBidi" w:cstheme="majorBidi"/>
          <w:kern w:val="22"/>
          <w:szCs w:val="22"/>
        </w:rPr>
        <w:t>Sanggou</w:t>
      </w:r>
      <w:proofErr w:type="spellEnd"/>
      <w:r w:rsidR="009D551E" w:rsidRPr="009D551E">
        <w:rPr>
          <w:rFonts w:asciiTheme="majorBidi" w:hAnsiTheme="majorBidi" w:cstheme="majorBidi"/>
          <w:kern w:val="22"/>
          <w:szCs w:val="22"/>
        </w:rPr>
        <w:t xml:space="preserve"> Bay</w:t>
      </w:r>
      <w:r w:rsidR="00F130D0">
        <w:rPr>
          <w:rFonts w:asciiTheme="majorBidi" w:hAnsiTheme="majorBidi" w:cstheme="majorBidi"/>
          <w:kern w:val="22"/>
          <w:szCs w:val="22"/>
        </w:rPr>
        <w:t>,</w:t>
      </w:r>
      <w:r w:rsidR="009D551E" w:rsidRPr="009D551E">
        <w:rPr>
          <w:rStyle w:val="StyleFootnoteReferenceNounderline"/>
          <w:rFonts w:asciiTheme="majorBidi" w:hAnsiTheme="majorBidi" w:cstheme="majorBidi"/>
          <w:sz w:val="22"/>
          <w:szCs w:val="22"/>
          <w:vertAlign w:val="superscript"/>
        </w:rPr>
        <w:footnoteReference w:id="131"/>
      </w:r>
      <w:r w:rsidR="009D551E" w:rsidRPr="009D551E">
        <w:rPr>
          <w:rFonts w:asciiTheme="majorBidi" w:hAnsiTheme="majorBidi" w:cstheme="majorBidi"/>
          <w:kern w:val="22"/>
          <w:szCs w:val="22"/>
        </w:rPr>
        <w:t xml:space="preserve"> are severely affected by nutrient pollution, with increasing frequency of harmful algal blooms and growing hypoxic areas harmful to biodiversity. Similarly</w:t>
      </w:r>
      <w:r w:rsidR="007D6133">
        <w:rPr>
          <w:rFonts w:asciiTheme="majorBidi" w:hAnsiTheme="majorBidi" w:cstheme="majorBidi"/>
          <w:kern w:val="22"/>
          <w:szCs w:val="22"/>
        </w:rPr>
        <w:t>,</w:t>
      </w:r>
      <w:r w:rsidR="009D551E" w:rsidRPr="009D551E">
        <w:rPr>
          <w:rFonts w:asciiTheme="majorBidi" w:hAnsiTheme="majorBidi" w:cstheme="majorBidi"/>
          <w:kern w:val="22"/>
          <w:szCs w:val="22"/>
        </w:rPr>
        <w:t xml:space="preserve"> estimates suggest that anthropogenic nitrogen and phosphorus sources (from agriculture and domestic sewage) outweigh natural sources 5-1 for nitrogen and 10-1 for phosphorous in the </w:t>
      </w:r>
      <w:proofErr w:type="spellStart"/>
      <w:r w:rsidR="009D551E" w:rsidRPr="009D551E">
        <w:rPr>
          <w:rFonts w:asciiTheme="majorBidi" w:hAnsiTheme="majorBidi" w:cstheme="majorBidi"/>
          <w:kern w:val="22"/>
          <w:szCs w:val="22"/>
        </w:rPr>
        <w:t>Parnaíba</w:t>
      </w:r>
      <w:proofErr w:type="spellEnd"/>
      <w:r w:rsidR="009D551E" w:rsidRPr="009D551E">
        <w:rPr>
          <w:rFonts w:asciiTheme="majorBidi" w:hAnsiTheme="majorBidi" w:cstheme="majorBidi"/>
          <w:kern w:val="22"/>
          <w:szCs w:val="22"/>
        </w:rPr>
        <w:t xml:space="preserve"> River Delta in Brazil, the largest river delta in the Americas</w:t>
      </w:r>
      <w:r w:rsidR="00F130D0">
        <w:rPr>
          <w:rFonts w:asciiTheme="majorBidi" w:hAnsiTheme="majorBidi" w:cstheme="majorBidi"/>
          <w:kern w:val="22"/>
          <w:szCs w:val="22"/>
        </w:rPr>
        <w:t>.</w:t>
      </w:r>
      <w:r w:rsidR="009D551E" w:rsidRPr="009D551E">
        <w:rPr>
          <w:rStyle w:val="StyleFootnoteReferenceNounderline"/>
          <w:rFonts w:asciiTheme="majorBidi" w:hAnsiTheme="majorBidi" w:cstheme="majorBidi"/>
          <w:sz w:val="22"/>
          <w:szCs w:val="22"/>
          <w:vertAlign w:val="superscript"/>
        </w:rPr>
        <w:footnoteReference w:id="132"/>
      </w:r>
      <w:r w:rsidR="009D551E" w:rsidRPr="009D551E">
        <w:rPr>
          <w:rFonts w:asciiTheme="majorBidi" w:hAnsiTheme="majorBidi" w:cstheme="majorBidi"/>
          <w:kern w:val="22"/>
          <w:szCs w:val="22"/>
        </w:rPr>
        <w:t xml:space="preserve"> An increasingly important cause of nutrient pollution in freshwater and </w:t>
      </w:r>
      <w:r w:rsidR="009D551E" w:rsidRPr="009D551E">
        <w:rPr>
          <w:rFonts w:asciiTheme="majorBidi" w:hAnsiTheme="majorBidi" w:cstheme="majorBidi"/>
          <w:kern w:val="22"/>
          <w:szCs w:val="22"/>
        </w:rPr>
        <w:lastRenderedPageBreak/>
        <w:t>coastal waters is aquaculture</w:t>
      </w:r>
      <w:r w:rsidR="00F130D0">
        <w:rPr>
          <w:rFonts w:asciiTheme="majorBidi" w:hAnsiTheme="majorBidi" w:cstheme="majorBidi"/>
          <w:kern w:val="22"/>
          <w:szCs w:val="22"/>
        </w:rPr>
        <w:t>,</w:t>
      </w:r>
      <w:r w:rsidR="009D551E" w:rsidRPr="009D551E">
        <w:rPr>
          <w:rStyle w:val="StyleFootnoteReferenceNounderline"/>
          <w:rFonts w:asciiTheme="majorBidi" w:hAnsiTheme="majorBidi" w:cstheme="majorBidi"/>
          <w:sz w:val="22"/>
          <w:szCs w:val="22"/>
          <w:vertAlign w:val="superscript"/>
        </w:rPr>
        <w:footnoteReference w:id="133"/>
      </w:r>
      <w:r w:rsidR="009D551E" w:rsidRPr="009D551E">
        <w:rPr>
          <w:rFonts w:asciiTheme="majorBidi" w:hAnsiTheme="majorBidi" w:cstheme="majorBidi"/>
          <w:kern w:val="22"/>
          <w:szCs w:val="22"/>
        </w:rPr>
        <w:t xml:space="preserve"> as it generally suffers from low nitrogen and phosphorus use efficiency</w:t>
      </w:r>
      <w:r w:rsidR="009D551E" w:rsidRPr="009D551E">
        <w:rPr>
          <w:rStyle w:val="StyleFootnoteReferenceNounderline"/>
          <w:rFonts w:asciiTheme="majorBidi" w:hAnsiTheme="majorBidi" w:cstheme="majorBidi"/>
          <w:sz w:val="22"/>
          <w:szCs w:val="22"/>
          <w:vertAlign w:val="superscript"/>
        </w:rPr>
        <w:footnoteReference w:id="134"/>
      </w:r>
      <w:r w:rsidR="009D551E" w:rsidRPr="009D551E">
        <w:rPr>
          <w:rFonts w:asciiTheme="majorBidi" w:hAnsiTheme="majorBidi" w:cstheme="majorBidi"/>
          <w:kern w:val="22"/>
          <w:szCs w:val="22"/>
        </w:rPr>
        <w:t xml:space="preserve"> and can produce nutrient loads 100 to 1000 times higher than surrounding tidal waters</w:t>
      </w:r>
      <w:r w:rsidR="00F130D0">
        <w:rPr>
          <w:rFonts w:asciiTheme="majorBidi" w:hAnsiTheme="majorBidi" w:cstheme="majorBidi"/>
          <w:kern w:val="22"/>
          <w:szCs w:val="22"/>
        </w:rPr>
        <w:t>.</w:t>
      </w:r>
      <w:r w:rsidR="009D551E" w:rsidRPr="009D551E">
        <w:rPr>
          <w:rStyle w:val="StyleFootnoteReferenceNounderline"/>
          <w:rFonts w:asciiTheme="majorBidi" w:hAnsiTheme="majorBidi" w:cstheme="majorBidi"/>
          <w:sz w:val="22"/>
          <w:szCs w:val="22"/>
          <w:vertAlign w:val="superscript"/>
        </w:rPr>
        <w:footnoteReference w:id="135"/>
      </w:r>
      <w:r w:rsidR="009D551E" w:rsidRPr="009D551E">
        <w:rPr>
          <w:rFonts w:asciiTheme="majorBidi" w:hAnsiTheme="majorBidi" w:cstheme="majorBidi"/>
          <w:kern w:val="22"/>
          <w:szCs w:val="22"/>
        </w:rPr>
        <w:t xml:space="preserve"> </w:t>
      </w:r>
    </w:p>
    <w:p w:rsidR="009D551E" w:rsidRPr="009D551E" w:rsidRDefault="009D551E" w:rsidP="005618B3">
      <w:pPr>
        <w:pStyle w:val="Para1"/>
        <w:tabs>
          <w:tab w:val="clear" w:pos="360"/>
          <w:tab w:val="num" w:pos="720"/>
          <w:tab w:val="num" w:pos="3150"/>
        </w:tabs>
        <w:rPr>
          <w:rFonts w:asciiTheme="majorBidi" w:hAnsiTheme="majorBidi" w:cstheme="majorBidi"/>
          <w:kern w:val="22"/>
          <w:szCs w:val="22"/>
        </w:rPr>
      </w:pPr>
      <w:r w:rsidRPr="009D551E">
        <w:rPr>
          <w:rFonts w:asciiTheme="majorBidi" w:hAnsiTheme="majorBidi" w:cstheme="majorBidi"/>
          <w:kern w:val="22"/>
          <w:szCs w:val="22"/>
        </w:rPr>
        <w:t>Most research on nutrient pollution in the terrestrial environment relates to its effects on grassland vegetation. There is broad consensus that nutrient enrichment in grasslands generally reduces species diversity and richness</w:t>
      </w:r>
      <w:r w:rsidR="00071EBB">
        <w:rPr>
          <w:rFonts w:asciiTheme="majorBidi" w:hAnsiTheme="majorBidi" w:cstheme="majorBidi"/>
          <w:kern w:val="22"/>
          <w:szCs w:val="22"/>
        </w:rPr>
        <w:t>.</w:t>
      </w:r>
      <w:r w:rsidRPr="009D551E">
        <w:rPr>
          <w:rStyle w:val="StyleFootnoteReferenceNounderline"/>
          <w:rFonts w:asciiTheme="majorBidi" w:hAnsiTheme="majorBidi" w:cstheme="majorBidi"/>
          <w:sz w:val="22"/>
          <w:szCs w:val="22"/>
          <w:vertAlign w:val="superscript"/>
        </w:rPr>
        <w:footnoteReference w:id="136"/>
      </w:r>
      <w:r w:rsidRPr="009D551E">
        <w:rPr>
          <w:rFonts w:asciiTheme="majorBidi" w:hAnsiTheme="majorBidi" w:cstheme="majorBidi"/>
          <w:kern w:val="22"/>
          <w:szCs w:val="22"/>
        </w:rPr>
        <w:t xml:space="preserve"> Both nitrogen and phosphorous are susceptible to accumulat</w:t>
      </w:r>
      <w:r w:rsidR="007D6133">
        <w:rPr>
          <w:rFonts w:asciiTheme="majorBidi" w:hAnsiTheme="majorBidi" w:cstheme="majorBidi"/>
          <w:kern w:val="22"/>
          <w:szCs w:val="22"/>
        </w:rPr>
        <w:t xml:space="preserve">ing </w:t>
      </w:r>
      <w:r w:rsidRPr="009D551E">
        <w:rPr>
          <w:rFonts w:asciiTheme="majorBidi" w:hAnsiTheme="majorBidi" w:cstheme="majorBidi"/>
          <w:kern w:val="22"/>
          <w:szCs w:val="22"/>
        </w:rPr>
        <w:t>in soils</w:t>
      </w:r>
      <w:r w:rsidR="00071EBB">
        <w:rPr>
          <w:rFonts w:asciiTheme="majorBidi" w:hAnsiTheme="majorBidi" w:cstheme="majorBidi"/>
          <w:kern w:val="22"/>
          <w:szCs w:val="22"/>
        </w:rPr>
        <w:t>.</w:t>
      </w:r>
      <w:r w:rsidRPr="009D551E">
        <w:rPr>
          <w:rStyle w:val="StyleFootnoteReferenceNounderline"/>
          <w:rFonts w:asciiTheme="majorBidi" w:hAnsiTheme="majorBidi" w:cstheme="majorBidi"/>
          <w:sz w:val="22"/>
          <w:szCs w:val="22"/>
          <w:vertAlign w:val="superscript"/>
        </w:rPr>
        <w:footnoteReference w:id="137"/>
      </w:r>
      <w:r w:rsidRPr="009D551E">
        <w:rPr>
          <w:rFonts w:asciiTheme="majorBidi" w:hAnsiTheme="majorBidi" w:cstheme="majorBidi"/>
          <w:kern w:val="22"/>
          <w:szCs w:val="22"/>
        </w:rPr>
        <w:t xml:space="preserve"> Large accumulations of nutrients in major agricultural basins can continue to leach into water for decades, producing large time lags between </w:t>
      </w:r>
      <w:r w:rsidR="005618B3">
        <w:rPr>
          <w:rFonts w:asciiTheme="majorBidi" w:hAnsiTheme="majorBidi" w:cstheme="majorBidi"/>
          <w:kern w:val="22"/>
          <w:szCs w:val="22"/>
        </w:rPr>
        <w:t xml:space="preserve">the introduction of </w:t>
      </w:r>
      <w:r w:rsidRPr="009D551E">
        <w:rPr>
          <w:rFonts w:asciiTheme="majorBidi" w:hAnsiTheme="majorBidi" w:cstheme="majorBidi"/>
          <w:kern w:val="22"/>
          <w:szCs w:val="22"/>
        </w:rPr>
        <w:t>regulation</w:t>
      </w:r>
      <w:r w:rsidR="005618B3">
        <w:rPr>
          <w:rFonts w:asciiTheme="majorBidi" w:hAnsiTheme="majorBidi" w:cstheme="majorBidi"/>
          <w:kern w:val="22"/>
          <w:szCs w:val="22"/>
        </w:rPr>
        <w:t>s</w:t>
      </w:r>
      <w:r w:rsidRPr="009D551E">
        <w:rPr>
          <w:rFonts w:asciiTheme="majorBidi" w:hAnsiTheme="majorBidi" w:cstheme="majorBidi"/>
          <w:kern w:val="22"/>
          <w:szCs w:val="22"/>
        </w:rPr>
        <w:t xml:space="preserve"> and</w:t>
      </w:r>
      <w:r w:rsidR="005618B3">
        <w:rPr>
          <w:rFonts w:asciiTheme="majorBidi" w:hAnsiTheme="majorBidi" w:cstheme="majorBidi"/>
          <w:kern w:val="22"/>
          <w:szCs w:val="22"/>
        </w:rPr>
        <w:t xml:space="preserve"> when the results of these can be seen</w:t>
      </w:r>
      <w:r w:rsidR="00071EBB">
        <w:rPr>
          <w:rFonts w:asciiTheme="majorBidi" w:hAnsiTheme="majorBidi" w:cstheme="majorBidi"/>
          <w:kern w:val="22"/>
          <w:szCs w:val="22"/>
        </w:rPr>
        <w:t>.</w:t>
      </w:r>
      <w:r w:rsidRPr="009D551E">
        <w:rPr>
          <w:rStyle w:val="StyleFootnoteReferenceNounderline"/>
          <w:rFonts w:asciiTheme="majorBidi" w:hAnsiTheme="majorBidi" w:cstheme="majorBidi"/>
          <w:sz w:val="22"/>
          <w:szCs w:val="22"/>
          <w:vertAlign w:val="superscript"/>
        </w:rPr>
        <w:footnoteReference w:id="138"/>
      </w:r>
      <w:r w:rsidRPr="009D551E">
        <w:rPr>
          <w:rFonts w:asciiTheme="majorBidi" w:hAnsiTheme="majorBidi" w:cstheme="majorBidi"/>
          <w:kern w:val="22"/>
          <w:szCs w:val="22"/>
        </w:rPr>
        <w:t xml:space="preserve"> For example</w:t>
      </w:r>
      <w:r w:rsidR="007D6133">
        <w:rPr>
          <w:rFonts w:asciiTheme="majorBidi" w:hAnsiTheme="majorBidi" w:cstheme="majorBidi"/>
          <w:kern w:val="22"/>
          <w:szCs w:val="22"/>
        </w:rPr>
        <w:t>,</w:t>
      </w:r>
      <w:r w:rsidRPr="009D551E">
        <w:rPr>
          <w:rFonts w:asciiTheme="majorBidi" w:hAnsiTheme="majorBidi" w:cstheme="majorBidi"/>
          <w:kern w:val="22"/>
          <w:szCs w:val="22"/>
        </w:rPr>
        <w:t xml:space="preserve"> despite nitrogen deposition </w:t>
      </w:r>
      <w:r w:rsidR="007D6133">
        <w:rPr>
          <w:rFonts w:asciiTheme="majorBidi" w:hAnsiTheme="majorBidi" w:cstheme="majorBidi"/>
          <w:kern w:val="22"/>
          <w:szCs w:val="22"/>
        </w:rPr>
        <w:t xml:space="preserve">in </w:t>
      </w:r>
      <w:r w:rsidRPr="009D551E">
        <w:rPr>
          <w:rFonts w:asciiTheme="majorBidi" w:hAnsiTheme="majorBidi" w:cstheme="majorBidi"/>
          <w:kern w:val="22"/>
          <w:szCs w:val="22"/>
        </w:rPr>
        <w:t>peatlands in the United Kingdom falling in recent years, 69% of peatlands were still found to be above critical nitrogen levels</w:t>
      </w:r>
      <w:r w:rsidR="00071EBB">
        <w:rPr>
          <w:rFonts w:asciiTheme="majorBidi" w:hAnsiTheme="majorBidi" w:cstheme="majorBidi"/>
          <w:kern w:val="22"/>
          <w:szCs w:val="22"/>
        </w:rPr>
        <w:t>.</w:t>
      </w:r>
      <w:r w:rsidRPr="009D551E">
        <w:rPr>
          <w:rStyle w:val="StyleFootnoteReferenceNounderline"/>
          <w:rFonts w:asciiTheme="majorBidi" w:hAnsiTheme="majorBidi" w:cstheme="majorBidi"/>
          <w:sz w:val="22"/>
          <w:szCs w:val="22"/>
          <w:vertAlign w:val="superscript"/>
        </w:rPr>
        <w:footnoteReference w:id="139"/>
      </w:r>
    </w:p>
    <w:p w:rsidR="009D551E" w:rsidRPr="009D551E" w:rsidRDefault="009D551E" w:rsidP="009D551E">
      <w:pPr>
        <w:pStyle w:val="Para1"/>
        <w:tabs>
          <w:tab w:val="clear" w:pos="360"/>
          <w:tab w:val="num" w:pos="720"/>
          <w:tab w:val="num" w:pos="3150"/>
        </w:tabs>
        <w:rPr>
          <w:rFonts w:asciiTheme="majorBidi" w:hAnsiTheme="majorBidi" w:cstheme="majorBidi"/>
          <w:kern w:val="22"/>
          <w:szCs w:val="22"/>
        </w:rPr>
      </w:pPr>
      <w:r w:rsidRPr="009D551E">
        <w:rPr>
          <w:rFonts w:asciiTheme="majorBidi" w:hAnsiTheme="majorBidi" w:cstheme="majorBidi"/>
          <w:kern w:val="22"/>
          <w:szCs w:val="22"/>
        </w:rPr>
        <w:lastRenderedPageBreak/>
        <w:t>Effects of nutrient pollution on faunal diversity is not as well studied as effects on vegetation</w:t>
      </w:r>
      <w:r w:rsidR="00071EBB">
        <w:rPr>
          <w:rFonts w:asciiTheme="majorBidi" w:hAnsiTheme="majorBidi" w:cstheme="majorBidi"/>
          <w:kern w:val="22"/>
          <w:szCs w:val="22"/>
        </w:rPr>
        <w:t>,</w:t>
      </w:r>
      <w:r w:rsidRPr="009D551E">
        <w:rPr>
          <w:rStyle w:val="StyleFootnoteReferenceNounderline"/>
          <w:rFonts w:asciiTheme="majorBidi" w:hAnsiTheme="majorBidi" w:cstheme="majorBidi"/>
          <w:sz w:val="22"/>
          <w:szCs w:val="22"/>
          <w:vertAlign w:val="superscript"/>
        </w:rPr>
        <w:footnoteReference w:id="140"/>
      </w:r>
      <w:r w:rsidRPr="009D551E">
        <w:rPr>
          <w:rFonts w:asciiTheme="majorBidi" w:hAnsiTheme="majorBidi" w:cstheme="majorBidi"/>
          <w:kern w:val="22"/>
          <w:szCs w:val="22"/>
        </w:rPr>
        <w:t xml:space="preserve"> however there seems to be agreement that nitrogen deposition negatively affects fauna across ecosystem types</w:t>
      </w:r>
      <w:r w:rsidRPr="009D551E">
        <w:rPr>
          <w:rStyle w:val="StyleFootnoteReferenceNounderline"/>
          <w:rFonts w:asciiTheme="majorBidi" w:hAnsiTheme="majorBidi" w:cstheme="majorBidi"/>
          <w:sz w:val="22"/>
          <w:szCs w:val="22"/>
          <w:vertAlign w:val="superscript"/>
        </w:rPr>
        <w:footnoteReference w:id="141"/>
      </w:r>
      <w:r w:rsidRPr="009D551E">
        <w:rPr>
          <w:rFonts w:asciiTheme="majorBidi" w:hAnsiTheme="majorBidi" w:cstheme="majorBidi"/>
          <w:kern w:val="22"/>
          <w:szCs w:val="22"/>
        </w:rPr>
        <w:t xml:space="preserve"> by shifting vegetation community structure to one which favours herbivores with generalist or </w:t>
      </w:r>
      <w:proofErr w:type="spellStart"/>
      <w:r w:rsidRPr="009D551E">
        <w:rPr>
          <w:rFonts w:asciiTheme="majorBidi" w:hAnsiTheme="majorBidi" w:cstheme="majorBidi"/>
          <w:kern w:val="22"/>
          <w:szCs w:val="22"/>
        </w:rPr>
        <w:t>nitrophilous</w:t>
      </w:r>
      <w:proofErr w:type="spellEnd"/>
      <w:r w:rsidRPr="009D551E">
        <w:rPr>
          <w:rFonts w:asciiTheme="majorBidi" w:hAnsiTheme="majorBidi" w:cstheme="majorBidi"/>
          <w:kern w:val="22"/>
          <w:szCs w:val="22"/>
        </w:rPr>
        <w:t xml:space="preserve"> diets</w:t>
      </w:r>
      <w:r w:rsidRPr="009D551E">
        <w:rPr>
          <w:rStyle w:val="StyleFootnoteReferenceNounderline"/>
          <w:rFonts w:asciiTheme="majorBidi" w:hAnsiTheme="majorBidi" w:cstheme="majorBidi"/>
          <w:sz w:val="22"/>
          <w:szCs w:val="22"/>
          <w:vertAlign w:val="superscript"/>
        </w:rPr>
        <w:footnoteReference w:id="142"/>
      </w:r>
      <w:r w:rsidRPr="009D551E">
        <w:rPr>
          <w:rFonts w:asciiTheme="majorBidi" w:hAnsiTheme="majorBidi" w:cstheme="majorBidi"/>
          <w:kern w:val="22"/>
          <w:szCs w:val="22"/>
        </w:rPr>
        <w:t xml:space="preserve"> and disrupts food web</w:t>
      </w:r>
      <w:r w:rsidR="007562E9">
        <w:rPr>
          <w:rFonts w:asciiTheme="majorBidi" w:hAnsiTheme="majorBidi" w:cstheme="majorBidi"/>
          <w:kern w:val="22"/>
          <w:szCs w:val="22"/>
        </w:rPr>
        <w:t>s</w:t>
      </w:r>
      <w:r w:rsidRPr="009D551E">
        <w:rPr>
          <w:rFonts w:asciiTheme="majorBidi" w:hAnsiTheme="majorBidi" w:cstheme="majorBidi"/>
          <w:kern w:val="22"/>
          <w:szCs w:val="22"/>
        </w:rPr>
        <w:t xml:space="preserve"> at multiple trophic levels</w:t>
      </w:r>
      <w:r w:rsidR="00071EBB">
        <w:rPr>
          <w:rFonts w:asciiTheme="majorBidi" w:hAnsiTheme="majorBidi" w:cstheme="majorBidi"/>
          <w:kern w:val="22"/>
          <w:szCs w:val="22"/>
        </w:rPr>
        <w:t>.</w:t>
      </w:r>
      <w:r w:rsidRPr="009D551E">
        <w:rPr>
          <w:rStyle w:val="StyleFootnoteReferenceNounderline"/>
          <w:rFonts w:asciiTheme="majorBidi" w:hAnsiTheme="majorBidi" w:cstheme="majorBidi"/>
          <w:sz w:val="22"/>
          <w:szCs w:val="22"/>
          <w:vertAlign w:val="superscript"/>
        </w:rPr>
        <w:footnoteReference w:id="143"/>
      </w:r>
    </w:p>
    <w:p w:rsidR="009D551E" w:rsidRPr="009D551E" w:rsidRDefault="00D113E8" w:rsidP="009D551E">
      <w:pPr>
        <w:pStyle w:val="Para1"/>
        <w:tabs>
          <w:tab w:val="clear" w:pos="360"/>
          <w:tab w:val="num" w:pos="720"/>
          <w:tab w:val="num" w:pos="3150"/>
        </w:tabs>
        <w:rPr>
          <w:rFonts w:asciiTheme="majorBidi" w:hAnsiTheme="majorBidi" w:cstheme="majorBidi"/>
          <w:kern w:val="22"/>
          <w:szCs w:val="22"/>
        </w:rPr>
      </w:pPr>
      <w:r>
        <w:rPr>
          <w:rFonts w:asciiTheme="majorBidi" w:hAnsiTheme="majorBidi" w:cstheme="majorBidi"/>
          <w:kern w:val="22"/>
          <w:szCs w:val="22"/>
        </w:rPr>
        <w:t xml:space="preserve">The scientific literature directs a </w:t>
      </w:r>
      <w:r w:rsidR="009D551E" w:rsidRPr="009D551E">
        <w:rPr>
          <w:rFonts w:asciiTheme="majorBidi" w:hAnsiTheme="majorBidi" w:cstheme="majorBidi"/>
          <w:kern w:val="22"/>
          <w:szCs w:val="22"/>
        </w:rPr>
        <w:t>great deal of attention towards means of enhancing nutrient use efficiency. For example</w:t>
      </w:r>
      <w:r w:rsidR="00483D38">
        <w:rPr>
          <w:rFonts w:asciiTheme="majorBidi" w:hAnsiTheme="majorBidi" w:cstheme="majorBidi"/>
          <w:kern w:val="22"/>
          <w:szCs w:val="22"/>
        </w:rPr>
        <w:t>,</w:t>
      </w:r>
      <w:r w:rsidR="009D551E" w:rsidRPr="009D551E">
        <w:rPr>
          <w:rFonts w:asciiTheme="majorBidi" w:hAnsiTheme="majorBidi" w:cstheme="majorBidi"/>
          <w:kern w:val="22"/>
          <w:szCs w:val="22"/>
        </w:rPr>
        <w:t xml:space="preserve"> with regard to aquaculture</w:t>
      </w:r>
      <w:r w:rsidR="00483D38">
        <w:rPr>
          <w:rFonts w:asciiTheme="majorBidi" w:hAnsiTheme="majorBidi" w:cstheme="majorBidi"/>
          <w:kern w:val="22"/>
          <w:szCs w:val="22"/>
        </w:rPr>
        <w:t>,</w:t>
      </w:r>
      <w:r w:rsidR="009D551E" w:rsidRPr="009D551E">
        <w:rPr>
          <w:rFonts w:asciiTheme="majorBidi" w:hAnsiTheme="majorBidi" w:cstheme="majorBidi"/>
          <w:kern w:val="22"/>
          <w:szCs w:val="22"/>
        </w:rPr>
        <w:t xml:space="preserve"> it has been observed that organic aquaculture releases significantly less nitrogen and phosphorus relative to intensive methods</w:t>
      </w:r>
      <w:r w:rsidR="009D551E" w:rsidRPr="009D551E">
        <w:rPr>
          <w:rStyle w:val="StyleFootnoteReferenceNounderline"/>
          <w:rFonts w:asciiTheme="majorBidi" w:hAnsiTheme="majorBidi" w:cstheme="majorBidi"/>
          <w:sz w:val="22"/>
          <w:szCs w:val="22"/>
          <w:vertAlign w:val="superscript"/>
        </w:rPr>
        <w:footnoteReference w:id="144"/>
      </w:r>
      <w:r w:rsidR="009D551E" w:rsidRPr="009D551E">
        <w:rPr>
          <w:rFonts w:asciiTheme="majorBidi" w:hAnsiTheme="majorBidi" w:cstheme="majorBidi"/>
          <w:kern w:val="22"/>
          <w:szCs w:val="22"/>
        </w:rPr>
        <w:t xml:space="preserve"> and that integrated multi-trophic aquaculture, systems cultivating multiple species at once, greatly increase nutrient efficiency. Further</w:t>
      </w:r>
      <w:r w:rsidR="00483D38">
        <w:rPr>
          <w:rFonts w:asciiTheme="majorBidi" w:hAnsiTheme="majorBidi" w:cstheme="majorBidi"/>
          <w:kern w:val="22"/>
          <w:szCs w:val="22"/>
        </w:rPr>
        <w:t>,</w:t>
      </w:r>
      <w:r w:rsidR="009D551E" w:rsidRPr="009D551E">
        <w:rPr>
          <w:rFonts w:asciiTheme="majorBidi" w:hAnsiTheme="majorBidi" w:cstheme="majorBidi"/>
          <w:kern w:val="22"/>
          <w:szCs w:val="22"/>
        </w:rPr>
        <w:t xml:space="preserve"> it has been shown that adjusting the time of harvest to tidal patterns can reduce nutrient emissions by 10% without incurring extra costs to aquaculture operations</w:t>
      </w:r>
      <w:r w:rsidR="009D551E" w:rsidRPr="009D551E">
        <w:rPr>
          <w:rStyle w:val="StyleFootnoteReferenceNounderline"/>
          <w:rFonts w:asciiTheme="majorBidi" w:hAnsiTheme="majorBidi" w:cstheme="majorBidi"/>
          <w:sz w:val="22"/>
          <w:szCs w:val="22"/>
          <w:vertAlign w:val="superscript"/>
        </w:rPr>
        <w:footnoteReference w:id="145"/>
      </w:r>
      <w:r w:rsidR="009D551E" w:rsidRPr="009D551E">
        <w:rPr>
          <w:rFonts w:asciiTheme="majorBidi" w:hAnsiTheme="majorBidi" w:cstheme="majorBidi"/>
          <w:kern w:val="22"/>
          <w:szCs w:val="22"/>
        </w:rPr>
        <w:t>. It has also been shown that mangroves can act as nutrient sinks for aquaculture</w:t>
      </w:r>
      <w:r w:rsidR="009D551E" w:rsidRPr="009D551E">
        <w:rPr>
          <w:rStyle w:val="StyleFootnoteReferenceNounderline"/>
          <w:rFonts w:asciiTheme="majorBidi" w:hAnsiTheme="majorBidi" w:cstheme="majorBidi"/>
          <w:sz w:val="22"/>
          <w:szCs w:val="22"/>
          <w:vertAlign w:val="superscript"/>
        </w:rPr>
        <w:footnoteReference w:id="146"/>
      </w:r>
      <w:r w:rsidR="009D551E" w:rsidRPr="009D551E">
        <w:rPr>
          <w:rFonts w:asciiTheme="majorBidi" w:hAnsiTheme="majorBidi" w:cstheme="majorBidi"/>
          <w:kern w:val="22"/>
          <w:szCs w:val="22"/>
        </w:rPr>
        <w:t>, however with possible negative repercussions on the mangroves</w:t>
      </w:r>
      <w:r w:rsidR="00071EBB">
        <w:rPr>
          <w:rFonts w:asciiTheme="majorBidi" w:hAnsiTheme="majorBidi" w:cstheme="majorBidi"/>
          <w:kern w:val="22"/>
          <w:szCs w:val="22"/>
        </w:rPr>
        <w:t>.</w:t>
      </w:r>
      <w:r w:rsidR="009D551E" w:rsidRPr="009D551E">
        <w:rPr>
          <w:rStyle w:val="StyleFootnoteReferenceNounderline"/>
          <w:rFonts w:asciiTheme="majorBidi" w:hAnsiTheme="majorBidi" w:cstheme="majorBidi"/>
          <w:sz w:val="22"/>
          <w:szCs w:val="22"/>
          <w:vertAlign w:val="superscript"/>
        </w:rPr>
        <w:footnoteReference w:id="147"/>
      </w:r>
      <w:r w:rsidR="009D551E" w:rsidRPr="009D551E">
        <w:rPr>
          <w:rFonts w:asciiTheme="majorBidi" w:hAnsiTheme="majorBidi" w:cstheme="majorBidi"/>
          <w:kern w:val="22"/>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kern w:val="22"/>
          <w:szCs w:val="22"/>
        </w:rPr>
      </w:pPr>
      <w:r w:rsidRPr="003D2ACA">
        <w:rPr>
          <w:rFonts w:asciiTheme="majorBidi" w:hAnsiTheme="majorBidi" w:cstheme="majorBidi"/>
          <w:kern w:val="22"/>
          <w:szCs w:val="22"/>
        </w:rPr>
        <w:t>Possible actions to improve nutrient use efficiency in the terrestrial environment have also been</w:t>
      </w:r>
      <w:r w:rsidRPr="009D551E">
        <w:rPr>
          <w:rFonts w:asciiTheme="majorBidi" w:hAnsiTheme="majorBidi" w:cstheme="majorBidi"/>
          <w:kern w:val="22"/>
          <w:szCs w:val="22"/>
        </w:rPr>
        <w:t xml:space="preserve"> explored in the scientific literature. These include incentivizing crop varietals engineered for lower nutrient requirements</w:t>
      </w:r>
      <w:r w:rsidR="00071EBB">
        <w:rPr>
          <w:rFonts w:asciiTheme="majorBidi" w:hAnsiTheme="majorBidi" w:cstheme="majorBidi"/>
          <w:kern w:val="22"/>
          <w:szCs w:val="22"/>
        </w:rPr>
        <w:t>,</w:t>
      </w:r>
      <w:r w:rsidRPr="009D551E">
        <w:rPr>
          <w:rStyle w:val="StyleFootnoteReferenceNounderline"/>
          <w:rFonts w:asciiTheme="majorBidi" w:hAnsiTheme="majorBidi" w:cstheme="majorBidi"/>
          <w:sz w:val="22"/>
          <w:szCs w:val="22"/>
          <w:vertAlign w:val="superscript"/>
        </w:rPr>
        <w:footnoteReference w:id="148"/>
      </w:r>
      <w:r w:rsidRPr="009D551E">
        <w:rPr>
          <w:rFonts w:asciiTheme="majorBidi" w:hAnsiTheme="majorBidi" w:cstheme="majorBidi"/>
          <w:kern w:val="22"/>
          <w:szCs w:val="22"/>
        </w:rPr>
        <w:t xml:space="preserve">  implementing modern integrated soil-crop system management which has been shown to achieve 97-99% of yields from intensive systems while using significantly less fertilizer</w:t>
      </w:r>
      <w:r w:rsidR="00071EBB">
        <w:rPr>
          <w:rFonts w:asciiTheme="majorBidi" w:hAnsiTheme="majorBidi" w:cstheme="majorBidi"/>
          <w:kern w:val="22"/>
          <w:szCs w:val="22"/>
        </w:rPr>
        <w:t>,</w:t>
      </w:r>
      <w:r w:rsidRPr="009D551E">
        <w:rPr>
          <w:rStyle w:val="StyleFootnoteReferenceNounderline"/>
          <w:rFonts w:asciiTheme="majorBidi" w:hAnsiTheme="majorBidi" w:cstheme="majorBidi"/>
          <w:sz w:val="22"/>
          <w:szCs w:val="22"/>
          <w:vertAlign w:val="superscript"/>
        </w:rPr>
        <w:footnoteReference w:id="149"/>
      </w:r>
      <w:r w:rsidRPr="009D551E">
        <w:rPr>
          <w:rFonts w:asciiTheme="majorBidi" w:hAnsiTheme="majorBidi" w:cstheme="majorBidi"/>
          <w:kern w:val="22"/>
          <w:szCs w:val="22"/>
        </w:rPr>
        <w:t xml:space="preserve"> using precise nitrogen-use targets</w:t>
      </w:r>
      <w:r w:rsidRPr="009D551E">
        <w:rPr>
          <w:rStyle w:val="StyleFootnoteReferenceNounderline"/>
          <w:rFonts w:asciiTheme="majorBidi" w:hAnsiTheme="majorBidi" w:cstheme="majorBidi"/>
          <w:sz w:val="22"/>
          <w:szCs w:val="22"/>
          <w:vertAlign w:val="superscript"/>
        </w:rPr>
        <w:footnoteReference w:id="150"/>
      </w:r>
      <w:r w:rsidRPr="009D551E">
        <w:rPr>
          <w:rFonts w:asciiTheme="majorBidi" w:hAnsiTheme="majorBidi" w:cstheme="majorBidi"/>
          <w:kern w:val="22"/>
          <w:szCs w:val="22"/>
        </w:rPr>
        <w:t xml:space="preserve"> based on specific crop type and region</w:t>
      </w:r>
      <w:r w:rsidR="00071EBB">
        <w:rPr>
          <w:rFonts w:asciiTheme="majorBidi" w:hAnsiTheme="majorBidi" w:cstheme="majorBidi"/>
          <w:kern w:val="22"/>
          <w:szCs w:val="22"/>
        </w:rPr>
        <w:t>,</w:t>
      </w:r>
      <w:r w:rsidRPr="009D551E">
        <w:rPr>
          <w:rStyle w:val="StyleFootnoteReferenceNounderline"/>
          <w:rFonts w:asciiTheme="majorBidi" w:hAnsiTheme="majorBidi" w:cstheme="majorBidi"/>
          <w:sz w:val="22"/>
          <w:szCs w:val="22"/>
          <w:vertAlign w:val="superscript"/>
        </w:rPr>
        <w:footnoteReference w:id="151"/>
      </w:r>
      <w:r w:rsidRPr="009D551E">
        <w:rPr>
          <w:rFonts w:asciiTheme="majorBidi" w:hAnsiTheme="majorBidi" w:cstheme="majorBidi"/>
          <w:kern w:val="22"/>
          <w:szCs w:val="22"/>
        </w:rPr>
        <w:t xml:space="preserve"> and the application of fertilizer directly onto crops rather than mixed in to the soil</w:t>
      </w:r>
      <w:r w:rsidR="00071EBB">
        <w:rPr>
          <w:rFonts w:asciiTheme="majorBidi" w:hAnsiTheme="majorBidi" w:cstheme="majorBidi"/>
          <w:kern w:val="22"/>
          <w:szCs w:val="22"/>
        </w:rPr>
        <w:t>.</w:t>
      </w:r>
      <w:r w:rsidRPr="009D551E">
        <w:rPr>
          <w:rStyle w:val="StyleFootnoteReferenceNounderline"/>
          <w:rFonts w:asciiTheme="majorBidi" w:hAnsiTheme="majorBidi" w:cstheme="majorBidi"/>
          <w:sz w:val="22"/>
          <w:szCs w:val="22"/>
          <w:vertAlign w:val="superscript"/>
        </w:rPr>
        <w:footnoteReference w:id="152"/>
      </w:r>
      <w:r w:rsidRPr="009D551E">
        <w:rPr>
          <w:rFonts w:asciiTheme="majorBidi" w:hAnsiTheme="majorBidi" w:cstheme="majorBidi"/>
          <w:kern w:val="22"/>
          <w:szCs w:val="22"/>
        </w:rPr>
        <w:t xml:space="preserve"> </w:t>
      </w:r>
      <w:r w:rsidRPr="009D551E">
        <w:rPr>
          <w:rFonts w:asciiTheme="majorBidi" w:hAnsiTheme="majorBidi" w:cstheme="majorBidi"/>
          <w:szCs w:val="22"/>
        </w:rPr>
        <w:t>Further</w:t>
      </w:r>
      <w:r w:rsidR="002A269D">
        <w:rPr>
          <w:rFonts w:asciiTheme="majorBidi" w:hAnsiTheme="majorBidi" w:cstheme="majorBidi"/>
          <w:szCs w:val="22"/>
        </w:rPr>
        <w:t xml:space="preserve">, </w:t>
      </w:r>
      <w:r w:rsidR="007562E9" w:rsidRPr="009D551E">
        <w:rPr>
          <w:rFonts w:asciiTheme="majorBidi" w:hAnsiTheme="majorBidi" w:cstheme="majorBidi"/>
          <w:szCs w:val="22"/>
        </w:rPr>
        <w:t>appropriately</w:t>
      </w:r>
      <w:r w:rsidRPr="009D551E">
        <w:rPr>
          <w:rFonts w:asciiTheme="majorBidi" w:hAnsiTheme="majorBidi" w:cstheme="majorBidi"/>
          <w:szCs w:val="22"/>
        </w:rPr>
        <w:t xml:space="preserve"> timing fertilizer application and the use </w:t>
      </w:r>
      <w:r w:rsidRPr="009D551E">
        <w:rPr>
          <w:rFonts w:asciiTheme="majorBidi" w:hAnsiTheme="majorBidi" w:cstheme="majorBidi"/>
          <w:szCs w:val="22"/>
        </w:rPr>
        <w:lastRenderedPageBreak/>
        <w:t>of cover crops ha</w:t>
      </w:r>
      <w:r w:rsidR="003D2ACA">
        <w:rPr>
          <w:rFonts w:asciiTheme="majorBidi" w:hAnsiTheme="majorBidi" w:cstheme="majorBidi"/>
          <w:szCs w:val="22"/>
        </w:rPr>
        <w:t>ve</w:t>
      </w:r>
      <w:r w:rsidRPr="009D551E">
        <w:rPr>
          <w:rFonts w:asciiTheme="majorBidi" w:hAnsiTheme="majorBidi" w:cstheme="majorBidi"/>
          <w:szCs w:val="22"/>
        </w:rPr>
        <w:t xml:space="preserve"> been shown to reduce nitrogen losses by 30%. Similarly</w:t>
      </w:r>
      <w:r w:rsidR="003D2ACA">
        <w:rPr>
          <w:rFonts w:asciiTheme="majorBidi" w:hAnsiTheme="majorBidi" w:cstheme="majorBidi"/>
          <w:szCs w:val="22"/>
        </w:rPr>
        <w:t>,</w:t>
      </w:r>
      <w:r w:rsidRPr="009D551E">
        <w:rPr>
          <w:rFonts w:asciiTheme="majorBidi" w:hAnsiTheme="majorBidi" w:cstheme="majorBidi"/>
          <w:szCs w:val="22"/>
        </w:rPr>
        <w:t xml:space="preserve"> the use of woodchips as ground cover exhibited an 80% removal of nitrogen while wetlands reduced nitrogen output by 45%</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53"/>
      </w:r>
      <w:r w:rsidRPr="009D551E">
        <w:rPr>
          <w:rFonts w:asciiTheme="majorBidi" w:hAnsiTheme="majorBidi" w:cstheme="majorBidi"/>
          <w:szCs w:val="22"/>
        </w:rPr>
        <w:t xml:space="preserve"> The recycling of nutrient-rich (particularly potas</w:t>
      </w:r>
      <w:r w:rsidR="002A269D">
        <w:rPr>
          <w:rFonts w:asciiTheme="majorBidi" w:hAnsiTheme="majorBidi" w:cstheme="majorBidi"/>
          <w:szCs w:val="22"/>
        </w:rPr>
        <w:t>s</w:t>
      </w:r>
      <w:r w:rsidRPr="009D551E">
        <w:rPr>
          <w:rFonts w:asciiTheme="majorBidi" w:hAnsiTheme="majorBidi" w:cstheme="majorBidi"/>
          <w:szCs w:val="22"/>
        </w:rPr>
        <w:t xml:space="preserve">ium-rich) </w:t>
      </w:r>
      <w:proofErr w:type="spellStart"/>
      <w:r w:rsidRPr="009D551E">
        <w:rPr>
          <w:rFonts w:asciiTheme="majorBidi" w:hAnsiTheme="majorBidi" w:cstheme="majorBidi"/>
          <w:szCs w:val="22"/>
        </w:rPr>
        <w:t>bioresources</w:t>
      </w:r>
      <w:proofErr w:type="spellEnd"/>
      <w:r w:rsidRPr="009D551E">
        <w:rPr>
          <w:rFonts w:asciiTheme="majorBidi" w:hAnsiTheme="majorBidi" w:cstheme="majorBidi"/>
          <w:szCs w:val="22"/>
        </w:rPr>
        <w:t>, such as manure</w:t>
      </w:r>
      <w:r w:rsidRPr="009D551E">
        <w:rPr>
          <w:rStyle w:val="StyleFootnoteReferenceNounderline"/>
          <w:rFonts w:asciiTheme="majorBidi" w:hAnsiTheme="majorBidi" w:cstheme="majorBidi"/>
          <w:sz w:val="22"/>
          <w:szCs w:val="22"/>
          <w:vertAlign w:val="superscript"/>
        </w:rPr>
        <w:footnoteReference w:id="154"/>
      </w:r>
      <w:r w:rsidRPr="009D551E">
        <w:rPr>
          <w:rFonts w:asciiTheme="majorBidi" w:hAnsiTheme="majorBidi" w:cstheme="majorBidi"/>
          <w:szCs w:val="22"/>
        </w:rPr>
        <w:t xml:space="preserve"> and animal bones</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55"/>
      </w:r>
      <w:r w:rsidRPr="009D551E">
        <w:rPr>
          <w:rFonts w:asciiTheme="majorBidi" w:hAnsiTheme="majorBidi" w:cstheme="majorBidi"/>
          <w:szCs w:val="22"/>
        </w:rPr>
        <w:t xml:space="preserve"> represents a means of reducing nutrient emissions while avoiding unnecessary nutrient use. </w:t>
      </w:r>
    </w:p>
    <w:p w:rsidR="009D551E" w:rsidRPr="009D551E" w:rsidRDefault="009D551E" w:rsidP="007562E9">
      <w:pPr>
        <w:pStyle w:val="Para1"/>
        <w:tabs>
          <w:tab w:val="clear" w:pos="360"/>
          <w:tab w:val="num" w:pos="720"/>
          <w:tab w:val="num" w:pos="3150"/>
        </w:tabs>
        <w:rPr>
          <w:rFonts w:asciiTheme="majorBidi" w:hAnsiTheme="majorBidi" w:cstheme="majorBidi"/>
          <w:kern w:val="22"/>
          <w:szCs w:val="22"/>
        </w:rPr>
      </w:pPr>
      <w:r w:rsidRPr="009D551E">
        <w:rPr>
          <w:rFonts w:asciiTheme="majorBidi" w:hAnsiTheme="majorBidi" w:cstheme="majorBidi"/>
          <w:szCs w:val="22"/>
        </w:rPr>
        <w:t>A further means of reducing the need for nutrient application that has been explored in the literature is to make better use of the nutrients which have accumulated in soils. Nitrogen and phosphorus are susceptible to accumulat</w:t>
      </w:r>
      <w:r w:rsidR="002A269D">
        <w:rPr>
          <w:rFonts w:asciiTheme="majorBidi" w:hAnsiTheme="majorBidi" w:cstheme="majorBidi"/>
          <w:szCs w:val="22"/>
        </w:rPr>
        <w:t xml:space="preserve">ing </w:t>
      </w:r>
      <w:r w:rsidRPr="009D551E">
        <w:rPr>
          <w:rFonts w:asciiTheme="majorBidi" w:hAnsiTheme="majorBidi" w:cstheme="majorBidi"/>
          <w:szCs w:val="22"/>
        </w:rPr>
        <w:t>in soils</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56"/>
      </w:r>
      <w:r w:rsidRPr="009D551E">
        <w:rPr>
          <w:rFonts w:asciiTheme="majorBidi" w:hAnsiTheme="majorBidi" w:cstheme="majorBidi"/>
          <w:szCs w:val="22"/>
        </w:rPr>
        <w:t xml:space="preserve"> As such</w:t>
      </w:r>
      <w:r w:rsidR="002A269D">
        <w:rPr>
          <w:rFonts w:asciiTheme="majorBidi" w:hAnsiTheme="majorBidi" w:cstheme="majorBidi"/>
          <w:szCs w:val="22"/>
        </w:rPr>
        <w:t>,</w:t>
      </w:r>
      <w:r w:rsidRPr="009D551E">
        <w:rPr>
          <w:rFonts w:asciiTheme="majorBidi" w:hAnsiTheme="majorBidi" w:cstheme="majorBidi"/>
          <w:szCs w:val="22"/>
        </w:rPr>
        <w:t xml:space="preserve"> there is a potential to make better use of these accumulated nutrients in some regions</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57"/>
      </w:r>
      <w:r w:rsidRPr="009D551E">
        <w:rPr>
          <w:rFonts w:asciiTheme="majorBidi" w:hAnsiTheme="majorBidi" w:cstheme="majorBidi"/>
          <w:szCs w:val="22"/>
        </w:rPr>
        <w:t xml:space="preserve"> For example</w:t>
      </w:r>
      <w:r w:rsidR="002A269D">
        <w:rPr>
          <w:rFonts w:asciiTheme="majorBidi" w:hAnsiTheme="majorBidi" w:cstheme="majorBidi"/>
          <w:szCs w:val="22"/>
        </w:rPr>
        <w:t>,</w:t>
      </w:r>
      <w:r w:rsidRPr="009D551E">
        <w:rPr>
          <w:rFonts w:asciiTheme="majorBidi" w:hAnsiTheme="majorBidi" w:cstheme="majorBidi"/>
          <w:szCs w:val="22"/>
        </w:rPr>
        <w:t xml:space="preserve"> it has been estimated that</w:t>
      </w:r>
      <w:r w:rsidR="002A269D">
        <w:rPr>
          <w:rFonts w:asciiTheme="majorBidi" w:hAnsiTheme="majorBidi" w:cstheme="majorBidi"/>
          <w:szCs w:val="22"/>
        </w:rPr>
        <w:t>,</w:t>
      </w:r>
      <w:r w:rsidRPr="009D551E">
        <w:rPr>
          <w:rFonts w:asciiTheme="majorBidi" w:hAnsiTheme="majorBidi" w:cstheme="majorBidi"/>
          <w:szCs w:val="22"/>
        </w:rPr>
        <w:t xml:space="preserve"> if China were to effectively tap its soils’ legacy phosphorus</w:t>
      </w:r>
      <w:r w:rsidR="002A269D">
        <w:rPr>
          <w:rFonts w:asciiTheme="majorBidi" w:hAnsiTheme="majorBidi" w:cstheme="majorBidi"/>
          <w:szCs w:val="22"/>
        </w:rPr>
        <w:t>,</w:t>
      </w:r>
      <w:r w:rsidRPr="009D551E">
        <w:rPr>
          <w:rFonts w:asciiTheme="majorBidi" w:hAnsiTheme="majorBidi" w:cstheme="majorBidi"/>
          <w:szCs w:val="22"/>
        </w:rPr>
        <w:t xml:space="preserve"> it could provide 20% of its phosphorous needs over next 30 years</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58"/>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kern w:val="22"/>
          <w:szCs w:val="22"/>
        </w:rPr>
      </w:pPr>
      <w:r w:rsidRPr="009D551E">
        <w:rPr>
          <w:rFonts w:asciiTheme="majorBidi" w:hAnsiTheme="majorBidi" w:cstheme="majorBidi"/>
          <w:kern w:val="22"/>
          <w:szCs w:val="22"/>
        </w:rPr>
        <w:t>Establishing legislation and policies related to nutrient use has been shown to be effective in reducing nutrient pollution. For example</w:t>
      </w:r>
      <w:r w:rsidR="002A269D">
        <w:rPr>
          <w:rFonts w:asciiTheme="majorBidi" w:hAnsiTheme="majorBidi" w:cstheme="majorBidi"/>
          <w:kern w:val="22"/>
          <w:szCs w:val="22"/>
        </w:rPr>
        <w:t>,</w:t>
      </w:r>
      <w:r w:rsidRPr="009D551E">
        <w:rPr>
          <w:rFonts w:asciiTheme="majorBidi" w:hAnsiTheme="majorBidi" w:cstheme="majorBidi"/>
          <w:kern w:val="22"/>
          <w:szCs w:val="22"/>
        </w:rPr>
        <w:t xml:space="preserve"> in the Baltic Sea</w:t>
      </w:r>
      <w:r w:rsidR="002A269D">
        <w:rPr>
          <w:rFonts w:asciiTheme="majorBidi" w:hAnsiTheme="majorBidi" w:cstheme="majorBidi"/>
          <w:kern w:val="22"/>
          <w:szCs w:val="22"/>
        </w:rPr>
        <w:t>, r</w:t>
      </w:r>
      <w:r w:rsidRPr="009D551E">
        <w:rPr>
          <w:rFonts w:asciiTheme="majorBidi" w:hAnsiTheme="majorBidi" w:cstheme="majorBidi"/>
          <w:kern w:val="22"/>
          <w:szCs w:val="22"/>
        </w:rPr>
        <w:t>egulations from the 1980s have stabili</w:t>
      </w:r>
      <w:r w:rsidR="00705E68">
        <w:rPr>
          <w:rFonts w:asciiTheme="majorBidi" w:hAnsiTheme="majorBidi" w:cstheme="majorBidi"/>
          <w:kern w:val="22"/>
          <w:szCs w:val="22"/>
        </w:rPr>
        <w:t>zed</w:t>
      </w:r>
      <w:r w:rsidRPr="009D551E">
        <w:rPr>
          <w:rFonts w:asciiTheme="majorBidi" w:hAnsiTheme="majorBidi" w:cstheme="majorBidi"/>
          <w:kern w:val="22"/>
          <w:szCs w:val="22"/>
        </w:rPr>
        <w:t xml:space="preserve"> nutrient loads</w:t>
      </w:r>
      <w:r w:rsidRPr="009D551E">
        <w:rPr>
          <w:rStyle w:val="StyleFootnoteReferenceNounderline"/>
          <w:rFonts w:asciiTheme="majorBidi" w:hAnsiTheme="majorBidi" w:cstheme="majorBidi"/>
          <w:sz w:val="22"/>
          <w:szCs w:val="22"/>
          <w:vertAlign w:val="superscript"/>
        </w:rPr>
        <w:footnoteReference w:id="159"/>
      </w:r>
      <w:r w:rsidR="002A269D">
        <w:rPr>
          <w:rFonts w:asciiTheme="majorBidi" w:hAnsiTheme="majorBidi" w:cstheme="majorBidi"/>
          <w:kern w:val="22"/>
          <w:szCs w:val="22"/>
        </w:rPr>
        <w:t xml:space="preserve">, although </w:t>
      </w:r>
      <w:r w:rsidRPr="009D551E">
        <w:rPr>
          <w:rFonts w:asciiTheme="majorBidi" w:hAnsiTheme="majorBidi" w:cstheme="majorBidi"/>
          <w:kern w:val="22"/>
          <w:szCs w:val="22"/>
        </w:rPr>
        <w:t>at levels which are still high</w:t>
      </w:r>
      <w:r w:rsidRPr="009D551E">
        <w:rPr>
          <w:rStyle w:val="StyleFootnoteReferenceNounderline"/>
          <w:rFonts w:asciiTheme="majorBidi" w:hAnsiTheme="majorBidi" w:cstheme="majorBidi"/>
          <w:sz w:val="22"/>
          <w:szCs w:val="22"/>
          <w:vertAlign w:val="superscript"/>
        </w:rPr>
        <w:footnoteReference w:id="160"/>
      </w:r>
      <w:r w:rsidRPr="009D551E">
        <w:rPr>
          <w:rFonts w:asciiTheme="majorBidi" w:hAnsiTheme="majorBidi" w:cstheme="majorBidi"/>
          <w:kern w:val="22"/>
          <w:szCs w:val="22"/>
        </w:rPr>
        <w:t>. Similarly</w:t>
      </w:r>
      <w:r w:rsidR="002A269D">
        <w:rPr>
          <w:rFonts w:asciiTheme="majorBidi" w:hAnsiTheme="majorBidi" w:cstheme="majorBidi"/>
          <w:kern w:val="22"/>
          <w:szCs w:val="22"/>
        </w:rPr>
        <w:t>,</w:t>
      </w:r>
      <w:r w:rsidRPr="009D551E">
        <w:rPr>
          <w:rFonts w:asciiTheme="majorBidi" w:hAnsiTheme="majorBidi" w:cstheme="majorBidi"/>
          <w:kern w:val="22"/>
          <w:szCs w:val="22"/>
        </w:rPr>
        <w:t xml:space="preserve"> the European Union has established critical loads and regulat</w:t>
      </w:r>
      <w:r w:rsidR="00705E68">
        <w:rPr>
          <w:rFonts w:asciiTheme="majorBidi" w:hAnsiTheme="majorBidi" w:cstheme="majorBidi"/>
          <w:kern w:val="22"/>
          <w:szCs w:val="22"/>
        </w:rPr>
        <w:t xml:space="preserve">ions on </w:t>
      </w:r>
      <w:r w:rsidRPr="009D551E">
        <w:rPr>
          <w:rFonts w:asciiTheme="majorBidi" w:hAnsiTheme="majorBidi" w:cstheme="majorBidi"/>
          <w:kern w:val="22"/>
          <w:szCs w:val="22"/>
        </w:rPr>
        <w:t>nitrogen emissions which ha</w:t>
      </w:r>
      <w:r w:rsidR="00705E68">
        <w:rPr>
          <w:rFonts w:asciiTheme="majorBidi" w:hAnsiTheme="majorBidi" w:cstheme="majorBidi"/>
          <w:kern w:val="22"/>
          <w:szCs w:val="22"/>
        </w:rPr>
        <w:t>ve</w:t>
      </w:r>
      <w:r w:rsidRPr="009D551E">
        <w:rPr>
          <w:rFonts w:asciiTheme="majorBidi" w:hAnsiTheme="majorBidi" w:cstheme="majorBidi"/>
          <w:kern w:val="22"/>
          <w:szCs w:val="22"/>
        </w:rPr>
        <w:t xml:space="preserve"> shown </w:t>
      </w:r>
      <w:r w:rsidR="002A269D">
        <w:rPr>
          <w:rFonts w:asciiTheme="majorBidi" w:hAnsiTheme="majorBidi" w:cstheme="majorBidi"/>
          <w:kern w:val="22"/>
          <w:szCs w:val="22"/>
        </w:rPr>
        <w:t xml:space="preserve">to be </w:t>
      </w:r>
      <w:r w:rsidRPr="009D551E">
        <w:rPr>
          <w:rFonts w:asciiTheme="majorBidi" w:hAnsiTheme="majorBidi" w:cstheme="majorBidi"/>
          <w:kern w:val="22"/>
          <w:szCs w:val="22"/>
        </w:rPr>
        <w:t>effective in reducing nutrient pollution</w:t>
      </w:r>
      <w:r w:rsidRPr="009D551E">
        <w:rPr>
          <w:rStyle w:val="StyleFootnoteReferenceNounderline"/>
          <w:rFonts w:asciiTheme="majorBidi" w:hAnsiTheme="majorBidi" w:cstheme="majorBidi"/>
          <w:sz w:val="22"/>
          <w:szCs w:val="22"/>
          <w:vertAlign w:val="superscript"/>
        </w:rPr>
        <w:footnoteReference w:id="161"/>
      </w:r>
      <w:r w:rsidRPr="009D551E">
        <w:rPr>
          <w:rFonts w:asciiTheme="majorBidi" w:hAnsiTheme="majorBidi" w:cstheme="majorBidi"/>
          <w:kern w:val="22"/>
          <w:szCs w:val="22"/>
        </w:rPr>
        <w:t>.</w:t>
      </w:r>
    </w:p>
    <w:p w:rsidR="007562E9" w:rsidRPr="007562E9" w:rsidRDefault="009D551E" w:rsidP="007562E9">
      <w:pPr>
        <w:pStyle w:val="Para1"/>
        <w:tabs>
          <w:tab w:val="clear" w:pos="360"/>
          <w:tab w:val="num" w:pos="720"/>
          <w:tab w:val="num" w:pos="3150"/>
        </w:tabs>
        <w:rPr>
          <w:rFonts w:asciiTheme="majorBidi" w:hAnsiTheme="majorBidi" w:cstheme="majorBidi"/>
          <w:kern w:val="22"/>
          <w:szCs w:val="22"/>
        </w:rPr>
      </w:pPr>
      <w:r w:rsidRPr="009D551E">
        <w:rPr>
          <w:rFonts w:asciiTheme="majorBidi" w:hAnsiTheme="majorBidi" w:cstheme="majorBidi"/>
          <w:szCs w:val="22"/>
        </w:rPr>
        <w:t>It has also been noted that some pollutants, despite their use being curtailed or banned, are still having negative effects on biodiversity owing to their long life</w:t>
      </w:r>
      <w:r w:rsidR="00705E68">
        <w:rPr>
          <w:rFonts w:asciiTheme="majorBidi" w:hAnsiTheme="majorBidi" w:cstheme="majorBidi"/>
          <w:szCs w:val="22"/>
        </w:rPr>
        <w:t xml:space="preserve"> </w:t>
      </w:r>
      <w:r w:rsidRPr="009D551E">
        <w:rPr>
          <w:rFonts w:asciiTheme="majorBidi" w:hAnsiTheme="majorBidi" w:cstheme="majorBidi"/>
          <w:szCs w:val="22"/>
        </w:rPr>
        <w:t>spans and biomagnification. For example</w:t>
      </w:r>
      <w:r w:rsidR="00705E68">
        <w:rPr>
          <w:rFonts w:asciiTheme="majorBidi" w:hAnsiTheme="majorBidi" w:cstheme="majorBidi"/>
          <w:szCs w:val="22"/>
        </w:rPr>
        <w:t>,</w:t>
      </w:r>
      <w:r w:rsidRPr="009D551E">
        <w:rPr>
          <w:rFonts w:asciiTheme="majorBidi" w:hAnsiTheme="majorBidi" w:cstheme="majorBidi"/>
          <w:szCs w:val="22"/>
        </w:rPr>
        <w:t xml:space="preserve"> an examination of the presence of polychlorinated biphenyls (PCB) in cetacean species in Europe found that 3 out of 4 sampled species had PCB levels </w:t>
      </w:r>
      <w:proofErr w:type="gramStart"/>
      <w:r w:rsidRPr="009D551E">
        <w:rPr>
          <w:rFonts w:asciiTheme="majorBidi" w:hAnsiTheme="majorBidi" w:cstheme="majorBidi"/>
          <w:szCs w:val="22"/>
        </w:rPr>
        <w:t>in excess of</w:t>
      </w:r>
      <w:proofErr w:type="gramEnd"/>
      <w:r w:rsidRPr="009D551E">
        <w:rPr>
          <w:rFonts w:asciiTheme="majorBidi" w:hAnsiTheme="majorBidi" w:cstheme="majorBidi"/>
          <w:szCs w:val="22"/>
        </w:rPr>
        <w:t xml:space="preserve"> toxicity thresholds</w:t>
      </w:r>
      <w:r w:rsidR="00071EBB">
        <w:rPr>
          <w:rFonts w:asciiTheme="majorBidi" w:hAnsiTheme="majorBidi" w:cstheme="majorBidi"/>
          <w:szCs w:val="22"/>
        </w:rPr>
        <w:t>.</w:t>
      </w:r>
      <w:r w:rsidRPr="007562E9">
        <w:rPr>
          <w:rStyle w:val="FootnoteReference"/>
          <w:rFonts w:asciiTheme="majorBidi" w:hAnsiTheme="majorBidi" w:cstheme="majorBidi"/>
          <w:sz w:val="22"/>
          <w:szCs w:val="22"/>
        </w:rPr>
        <w:footnoteReference w:id="162"/>
      </w:r>
      <w:r w:rsidRPr="009D551E">
        <w:rPr>
          <w:rFonts w:asciiTheme="majorBidi" w:hAnsiTheme="majorBidi" w:cstheme="majorBidi"/>
          <w:szCs w:val="22"/>
        </w:rPr>
        <w:t xml:space="preserve"> </w:t>
      </w:r>
    </w:p>
    <w:p w:rsidR="009D551E" w:rsidRPr="009D551E" w:rsidRDefault="009D551E" w:rsidP="007562E9">
      <w:pPr>
        <w:pStyle w:val="Para1"/>
        <w:tabs>
          <w:tab w:val="clear" w:pos="360"/>
          <w:tab w:val="num" w:pos="720"/>
          <w:tab w:val="num" w:pos="3150"/>
        </w:tabs>
        <w:rPr>
          <w:rFonts w:asciiTheme="majorBidi" w:hAnsiTheme="majorBidi" w:cstheme="majorBidi"/>
          <w:kern w:val="22"/>
          <w:szCs w:val="22"/>
        </w:rPr>
      </w:pPr>
      <w:proofErr w:type="gramStart"/>
      <w:r w:rsidRPr="009D551E">
        <w:rPr>
          <w:rFonts w:asciiTheme="majorBidi" w:hAnsiTheme="majorBidi" w:cstheme="majorBidi"/>
          <w:kern w:val="22"/>
          <w:szCs w:val="22"/>
        </w:rPr>
        <w:t>With regard to</w:t>
      </w:r>
      <w:proofErr w:type="gramEnd"/>
      <w:r w:rsidRPr="009D551E">
        <w:rPr>
          <w:rFonts w:asciiTheme="majorBidi" w:hAnsiTheme="majorBidi" w:cstheme="majorBidi"/>
          <w:kern w:val="22"/>
          <w:szCs w:val="22"/>
        </w:rPr>
        <w:t xml:space="preserve"> plastics, various assessments have shown that plastic debris is found throughout the marine environment</w:t>
      </w:r>
      <w:r w:rsidR="00071EBB">
        <w:rPr>
          <w:rFonts w:asciiTheme="majorBidi" w:hAnsiTheme="majorBidi" w:cstheme="majorBidi"/>
          <w:kern w:val="22"/>
          <w:szCs w:val="22"/>
        </w:rPr>
        <w:t>.</w:t>
      </w:r>
      <w:r w:rsidRPr="009D551E">
        <w:rPr>
          <w:rStyle w:val="FootnoteReference"/>
          <w:rFonts w:asciiTheme="majorBidi" w:hAnsiTheme="majorBidi" w:cstheme="majorBidi"/>
          <w:kern w:val="22"/>
          <w:sz w:val="22"/>
          <w:szCs w:val="22"/>
        </w:rPr>
        <w:footnoteReference w:id="163"/>
      </w:r>
      <w:r w:rsidR="007562E9">
        <w:rPr>
          <w:rFonts w:asciiTheme="majorBidi" w:hAnsiTheme="majorBidi" w:cstheme="majorBidi"/>
          <w:kern w:val="22"/>
          <w:szCs w:val="22"/>
        </w:rPr>
        <w:t xml:space="preserve"> </w:t>
      </w:r>
      <w:r w:rsidRPr="009D551E">
        <w:rPr>
          <w:rFonts w:asciiTheme="majorBidi" w:hAnsiTheme="majorBidi" w:cstheme="majorBidi"/>
          <w:kern w:val="22"/>
          <w:szCs w:val="22"/>
        </w:rPr>
        <w:t>It has been estimated that</w:t>
      </w:r>
      <w:r w:rsidR="00EC04EA">
        <w:rPr>
          <w:rFonts w:asciiTheme="majorBidi" w:hAnsiTheme="majorBidi" w:cstheme="majorBidi"/>
          <w:kern w:val="22"/>
          <w:szCs w:val="22"/>
        </w:rPr>
        <w:t>,</w:t>
      </w:r>
      <w:r w:rsidRPr="009D551E">
        <w:rPr>
          <w:rFonts w:asciiTheme="majorBidi" w:hAnsiTheme="majorBidi" w:cstheme="majorBidi"/>
          <w:kern w:val="22"/>
          <w:szCs w:val="22"/>
        </w:rPr>
        <w:t xml:space="preserve"> in 2010</w:t>
      </w:r>
      <w:r w:rsidR="00EC04EA">
        <w:rPr>
          <w:rFonts w:asciiTheme="majorBidi" w:hAnsiTheme="majorBidi" w:cstheme="majorBidi"/>
          <w:kern w:val="22"/>
          <w:szCs w:val="22"/>
        </w:rPr>
        <w:t>,</w:t>
      </w:r>
      <w:r w:rsidRPr="009D551E">
        <w:rPr>
          <w:rFonts w:asciiTheme="majorBidi" w:hAnsiTheme="majorBidi" w:cstheme="majorBidi"/>
          <w:kern w:val="22"/>
          <w:szCs w:val="22"/>
        </w:rPr>
        <w:t xml:space="preserve"> 275 million metric tonnes of plastic waste w</w:t>
      </w:r>
      <w:r w:rsidR="00EC04EA">
        <w:rPr>
          <w:rFonts w:asciiTheme="majorBidi" w:hAnsiTheme="majorBidi" w:cstheme="majorBidi"/>
          <w:kern w:val="22"/>
          <w:szCs w:val="22"/>
        </w:rPr>
        <w:t xml:space="preserve">ere </w:t>
      </w:r>
      <w:r w:rsidRPr="009D551E">
        <w:rPr>
          <w:rFonts w:asciiTheme="majorBidi" w:hAnsiTheme="majorBidi" w:cstheme="majorBidi"/>
          <w:kern w:val="22"/>
          <w:szCs w:val="22"/>
        </w:rPr>
        <w:t>generated</w:t>
      </w:r>
      <w:r w:rsidR="00EC04EA">
        <w:rPr>
          <w:rFonts w:asciiTheme="majorBidi" w:hAnsiTheme="majorBidi" w:cstheme="majorBidi"/>
          <w:kern w:val="22"/>
          <w:szCs w:val="22"/>
        </w:rPr>
        <w:t>,</w:t>
      </w:r>
      <w:r w:rsidRPr="009D551E">
        <w:rPr>
          <w:rFonts w:asciiTheme="majorBidi" w:hAnsiTheme="majorBidi" w:cstheme="majorBidi"/>
          <w:kern w:val="22"/>
          <w:szCs w:val="22"/>
        </w:rPr>
        <w:t xml:space="preserve"> of which between 4.8 and 12.7 million metric tonnes entered the ocean. It is further estimated </w:t>
      </w:r>
      <w:r w:rsidRPr="009D551E">
        <w:rPr>
          <w:rFonts w:asciiTheme="majorBidi" w:hAnsiTheme="majorBidi" w:cstheme="majorBidi"/>
          <w:kern w:val="22"/>
          <w:szCs w:val="22"/>
        </w:rPr>
        <w:lastRenderedPageBreak/>
        <w:t>that</w:t>
      </w:r>
      <w:r w:rsidR="00EC04EA">
        <w:rPr>
          <w:rFonts w:asciiTheme="majorBidi" w:hAnsiTheme="majorBidi" w:cstheme="majorBidi"/>
          <w:kern w:val="22"/>
          <w:szCs w:val="22"/>
        </w:rPr>
        <w:t>,</w:t>
      </w:r>
      <w:r w:rsidRPr="009D551E">
        <w:rPr>
          <w:rFonts w:asciiTheme="majorBidi" w:hAnsiTheme="majorBidi" w:cstheme="majorBidi"/>
          <w:kern w:val="22"/>
          <w:szCs w:val="22"/>
        </w:rPr>
        <w:t xml:space="preserve"> by 2025</w:t>
      </w:r>
      <w:r w:rsidR="00EC04EA">
        <w:rPr>
          <w:rFonts w:asciiTheme="majorBidi" w:hAnsiTheme="majorBidi" w:cstheme="majorBidi"/>
          <w:kern w:val="22"/>
          <w:szCs w:val="22"/>
        </w:rPr>
        <w:t>,</w:t>
      </w:r>
      <w:r w:rsidRPr="009D551E">
        <w:rPr>
          <w:rFonts w:asciiTheme="majorBidi" w:hAnsiTheme="majorBidi" w:cstheme="majorBidi"/>
          <w:kern w:val="22"/>
          <w:szCs w:val="22"/>
        </w:rPr>
        <w:t xml:space="preserve"> the cumulative quantity of plastic waste that could enter the ocean from land will increase by an order of magnitude</w:t>
      </w:r>
      <w:r w:rsidR="00071EBB">
        <w:rPr>
          <w:rFonts w:asciiTheme="majorBidi" w:hAnsiTheme="majorBidi" w:cstheme="majorBidi"/>
          <w:kern w:val="22"/>
          <w:szCs w:val="22"/>
        </w:rPr>
        <w:t>.</w:t>
      </w:r>
      <w:r w:rsidRPr="009D551E">
        <w:rPr>
          <w:rStyle w:val="FootnoteReference"/>
          <w:rFonts w:asciiTheme="majorBidi" w:hAnsiTheme="majorBidi" w:cstheme="majorBidi"/>
          <w:kern w:val="22"/>
          <w:sz w:val="22"/>
          <w:szCs w:val="22"/>
        </w:rPr>
        <w:footnoteReference w:id="164"/>
      </w:r>
      <w:r w:rsidRPr="009D551E">
        <w:rPr>
          <w:rFonts w:asciiTheme="majorBidi" w:hAnsiTheme="majorBidi" w:cstheme="majorBidi"/>
          <w:kern w:val="22"/>
          <w:szCs w:val="22"/>
        </w:rPr>
        <w:t xml:space="preserve"> </w:t>
      </w:r>
      <w:r w:rsidR="007562E9" w:rsidRPr="009D551E">
        <w:rPr>
          <w:rFonts w:asciiTheme="majorBidi" w:hAnsiTheme="majorBidi" w:cstheme="majorBidi"/>
          <w:kern w:val="22"/>
          <w:szCs w:val="22"/>
        </w:rPr>
        <w:t xml:space="preserve">Other studies have estimated the concentration of plastic </w:t>
      </w:r>
      <w:r w:rsidR="007562E9" w:rsidRPr="00DC36BD">
        <w:rPr>
          <w:rFonts w:asciiTheme="majorBidi" w:hAnsiTheme="majorBidi" w:cstheme="majorBidi"/>
          <w:kern w:val="22"/>
          <w:szCs w:val="22"/>
        </w:rPr>
        <w:t xml:space="preserve">pollution to be </w:t>
      </w:r>
      <w:r w:rsidR="00EC04EA" w:rsidRPr="00DC36BD">
        <w:rPr>
          <w:rFonts w:asciiTheme="majorBidi" w:hAnsiTheme="majorBidi" w:cstheme="majorBidi"/>
          <w:kern w:val="22"/>
          <w:szCs w:val="22"/>
        </w:rPr>
        <w:t>i</w:t>
      </w:r>
      <w:r w:rsidR="007562E9" w:rsidRPr="00DC36BD">
        <w:rPr>
          <w:rFonts w:asciiTheme="majorBidi" w:hAnsiTheme="majorBidi" w:cstheme="majorBidi"/>
          <w:kern w:val="22"/>
          <w:szCs w:val="22"/>
        </w:rPr>
        <w:t>n the order of 580,000 pieces per square kilometre. A substantial proportion of plastic</w:t>
      </w:r>
      <w:r w:rsidR="007562E9" w:rsidRPr="009D551E">
        <w:rPr>
          <w:rFonts w:asciiTheme="majorBidi" w:hAnsiTheme="majorBidi" w:cstheme="majorBidi"/>
          <w:kern w:val="22"/>
          <w:szCs w:val="22"/>
        </w:rPr>
        <w:t xml:space="preserve"> entering the marine environment originates from large rivers with population</w:t>
      </w:r>
      <w:r w:rsidR="00DC36BD">
        <w:rPr>
          <w:rFonts w:asciiTheme="majorBidi" w:hAnsiTheme="majorBidi" w:cstheme="majorBidi"/>
          <w:kern w:val="22"/>
          <w:szCs w:val="22"/>
        </w:rPr>
        <w:t>-</w:t>
      </w:r>
      <w:r w:rsidR="007562E9" w:rsidRPr="009D551E">
        <w:rPr>
          <w:rFonts w:asciiTheme="majorBidi" w:hAnsiTheme="majorBidi" w:cstheme="majorBidi"/>
          <w:kern w:val="22"/>
          <w:szCs w:val="22"/>
        </w:rPr>
        <w:t>rich catchments</w:t>
      </w:r>
      <w:r w:rsidR="00071EBB">
        <w:rPr>
          <w:rFonts w:asciiTheme="majorBidi" w:hAnsiTheme="majorBidi" w:cstheme="majorBidi"/>
          <w:kern w:val="22"/>
          <w:szCs w:val="22"/>
        </w:rPr>
        <w:t>.</w:t>
      </w:r>
      <w:r w:rsidR="007562E9" w:rsidRPr="009D551E">
        <w:rPr>
          <w:rStyle w:val="FootnoteReference"/>
          <w:rFonts w:asciiTheme="majorBidi" w:hAnsiTheme="majorBidi" w:cstheme="majorBidi"/>
          <w:kern w:val="22"/>
          <w:sz w:val="22"/>
          <w:szCs w:val="22"/>
        </w:rPr>
        <w:footnoteReference w:id="165"/>
      </w:r>
      <w:r w:rsidR="007562E9" w:rsidRPr="009D551E">
        <w:rPr>
          <w:rFonts w:asciiTheme="majorBidi" w:hAnsiTheme="majorBidi" w:cstheme="majorBidi"/>
          <w:kern w:val="22"/>
          <w:szCs w:val="22"/>
        </w:rPr>
        <w:t xml:space="preserve"> </w:t>
      </w:r>
      <w:r w:rsidRPr="009D551E">
        <w:rPr>
          <w:rFonts w:asciiTheme="majorBidi" w:hAnsiTheme="majorBidi" w:cstheme="majorBidi"/>
          <w:kern w:val="22"/>
          <w:szCs w:val="22"/>
        </w:rPr>
        <w:t>A recent assessment of what has been termed the Great Pacific Garbage Patch concluded that at least 79 thousand tonnes of plastic are floating in a 1.6 million square kilometre area. By weight</w:t>
      </w:r>
      <w:r w:rsidR="007562E9">
        <w:rPr>
          <w:rFonts w:asciiTheme="majorBidi" w:hAnsiTheme="majorBidi" w:cstheme="majorBidi"/>
          <w:kern w:val="22"/>
          <w:szCs w:val="22"/>
        </w:rPr>
        <w:t>,</w:t>
      </w:r>
      <w:r w:rsidRPr="009D551E">
        <w:rPr>
          <w:rFonts w:asciiTheme="majorBidi" w:hAnsiTheme="majorBidi" w:cstheme="majorBidi"/>
          <w:kern w:val="22"/>
          <w:szCs w:val="22"/>
        </w:rPr>
        <w:t xml:space="preserve"> more than 75% was larger than 5 centimetres in size, 46% was composed of fishing nets </w:t>
      </w:r>
      <w:r w:rsidR="007562E9">
        <w:rPr>
          <w:rFonts w:asciiTheme="majorBidi" w:hAnsiTheme="majorBidi" w:cstheme="majorBidi"/>
          <w:kern w:val="22"/>
          <w:szCs w:val="22"/>
        </w:rPr>
        <w:t xml:space="preserve">and </w:t>
      </w:r>
      <w:r w:rsidRPr="009D551E">
        <w:rPr>
          <w:rFonts w:asciiTheme="majorBidi" w:hAnsiTheme="majorBidi" w:cstheme="majorBidi"/>
          <w:kern w:val="22"/>
          <w:szCs w:val="22"/>
        </w:rPr>
        <w:t>8% was micro plastic. Further</w:t>
      </w:r>
      <w:r w:rsidR="00DC36BD">
        <w:rPr>
          <w:rFonts w:asciiTheme="majorBidi" w:hAnsiTheme="majorBidi" w:cstheme="majorBidi"/>
          <w:kern w:val="22"/>
          <w:szCs w:val="22"/>
        </w:rPr>
        <w:t>, it</w:t>
      </w:r>
      <w:r w:rsidRPr="009D551E">
        <w:rPr>
          <w:rFonts w:asciiTheme="majorBidi" w:hAnsiTheme="majorBidi" w:cstheme="majorBidi"/>
          <w:kern w:val="22"/>
          <w:szCs w:val="22"/>
        </w:rPr>
        <w:t xml:space="preserve"> is estimated </w:t>
      </w:r>
      <w:r w:rsidR="007562E9">
        <w:rPr>
          <w:rFonts w:asciiTheme="majorBidi" w:hAnsiTheme="majorBidi" w:cstheme="majorBidi"/>
          <w:kern w:val="22"/>
          <w:szCs w:val="22"/>
        </w:rPr>
        <w:t>that microplastics</w:t>
      </w:r>
      <w:r w:rsidRPr="009D551E">
        <w:rPr>
          <w:rFonts w:asciiTheme="majorBidi" w:hAnsiTheme="majorBidi" w:cstheme="majorBidi"/>
          <w:kern w:val="22"/>
          <w:szCs w:val="22"/>
        </w:rPr>
        <w:t xml:space="preserve"> make up more than 94% of the estimated 1.8 trillion pieces of plastic in the ocean</w:t>
      </w:r>
      <w:r w:rsidR="00071EBB">
        <w:rPr>
          <w:rFonts w:asciiTheme="majorBidi" w:hAnsiTheme="majorBidi" w:cstheme="majorBidi"/>
          <w:kern w:val="22"/>
          <w:szCs w:val="22"/>
        </w:rPr>
        <w:t>.</w:t>
      </w:r>
      <w:r w:rsidRPr="007562E9">
        <w:rPr>
          <w:rStyle w:val="FootnoteReference"/>
          <w:rFonts w:asciiTheme="majorBidi" w:hAnsiTheme="majorBidi" w:cstheme="majorBidi"/>
          <w:kern w:val="22"/>
          <w:sz w:val="22"/>
          <w:szCs w:val="22"/>
        </w:rPr>
        <w:footnoteReference w:id="166"/>
      </w:r>
      <w:r w:rsidRPr="009D551E">
        <w:rPr>
          <w:rFonts w:asciiTheme="majorBidi" w:hAnsiTheme="majorBidi" w:cstheme="majorBidi"/>
          <w:kern w:val="22"/>
          <w:szCs w:val="22"/>
        </w:rPr>
        <w:t xml:space="preserve"> While less information is available on the presence of plastic in freshwater systems, it has been suggested that the presence and impacts of plastic pollution may</w:t>
      </w:r>
      <w:r w:rsidR="00DC36BD">
        <w:rPr>
          <w:rFonts w:asciiTheme="majorBidi" w:hAnsiTheme="majorBidi" w:cstheme="majorBidi"/>
          <w:kern w:val="22"/>
          <w:szCs w:val="22"/>
        </w:rPr>
        <w:t xml:space="preserve"> </w:t>
      </w:r>
      <w:r w:rsidRPr="009D551E">
        <w:rPr>
          <w:rFonts w:asciiTheme="majorBidi" w:hAnsiTheme="majorBidi" w:cstheme="majorBidi"/>
          <w:kern w:val="22"/>
          <w:szCs w:val="22"/>
        </w:rPr>
        <w:t xml:space="preserve">be just as prevalent in freshwater environments </w:t>
      </w:r>
      <w:r w:rsidR="004225BF">
        <w:rPr>
          <w:rFonts w:asciiTheme="majorBidi" w:hAnsiTheme="majorBidi" w:cstheme="majorBidi"/>
          <w:kern w:val="22"/>
          <w:szCs w:val="22"/>
        </w:rPr>
        <w:t xml:space="preserve">as it </w:t>
      </w:r>
      <w:r w:rsidRPr="009D551E">
        <w:rPr>
          <w:rFonts w:asciiTheme="majorBidi" w:hAnsiTheme="majorBidi" w:cstheme="majorBidi"/>
          <w:kern w:val="22"/>
          <w:szCs w:val="22"/>
        </w:rPr>
        <w:t>is in the marine environment</w:t>
      </w:r>
      <w:r w:rsidR="00071EBB">
        <w:rPr>
          <w:rFonts w:asciiTheme="majorBidi" w:hAnsiTheme="majorBidi" w:cstheme="majorBidi"/>
          <w:kern w:val="22"/>
          <w:szCs w:val="22"/>
        </w:rPr>
        <w:t>.</w:t>
      </w:r>
      <w:r w:rsidRPr="009D551E">
        <w:rPr>
          <w:rStyle w:val="FootnoteReference"/>
          <w:rFonts w:asciiTheme="majorBidi" w:hAnsiTheme="majorBidi" w:cstheme="majorBidi"/>
          <w:kern w:val="22"/>
          <w:sz w:val="22"/>
          <w:szCs w:val="22"/>
        </w:rPr>
        <w:footnoteReference w:id="167"/>
      </w:r>
      <w:r w:rsidRPr="009D551E">
        <w:rPr>
          <w:rFonts w:asciiTheme="majorBidi" w:hAnsiTheme="majorBidi" w:cstheme="majorBidi"/>
          <w:kern w:val="22"/>
          <w:szCs w:val="22"/>
        </w:rPr>
        <w:t xml:space="preserve">  </w:t>
      </w:r>
    </w:p>
    <w:p w:rsidR="009D551E" w:rsidRPr="009D551E" w:rsidRDefault="009D551E" w:rsidP="00720FA7">
      <w:pPr>
        <w:pStyle w:val="Para1"/>
        <w:tabs>
          <w:tab w:val="clear" w:pos="360"/>
          <w:tab w:val="num" w:pos="720"/>
          <w:tab w:val="num" w:pos="3150"/>
        </w:tabs>
        <w:rPr>
          <w:rFonts w:asciiTheme="majorBidi" w:hAnsiTheme="majorBidi" w:cstheme="majorBidi"/>
          <w:kern w:val="22"/>
          <w:szCs w:val="22"/>
        </w:rPr>
      </w:pPr>
      <w:r w:rsidRPr="009D551E">
        <w:rPr>
          <w:rFonts w:asciiTheme="majorBidi" w:hAnsiTheme="majorBidi" w:cstheme="majorBidi"/>
          <w:kern w:val="22"/>
          <w:szCs w:val="22"/>
        </w:rPr>
        <w:t xml:space="preserve">Marine plastic has been found to have various effects on biodiversity. </w:t>
      </w:r>
      <w:r w:rsidR="001515B6">
        <w:rPr>
          <w:rFonts w:asciiTheme="majorBidi" w:hAnsiTheme="majorBidi" w:cstheme="majorBidi"/>
          <w:kern w:val="22"/>
          <w:szCs w:val="22"/>
        </w:rPr>
        <w:t xml:space="preserve">Three hundred and forty </w:t>
      </w:r>
      <w:r w:rsidRPr="009D551E">
        <w:rPr>
          <w:rFonts w:asciiTheme="majorBidi" w:hAnsiTheme="majorBidi" w:cstheme="majorBidi"/>
          <w:kern w:val="22"/>
          <w:szCs w:val="22"/>
        </w:rPr>
        <w:t>publications have documented encounters between 693 species and marine debris, 92% of which were related to plastic. Further</w:t>
      </w:r>
      <w:r w:rsidR="001515B6">
        <w:rPr>
          <w:rFonts w:asciiTheme="majorBidi" w:hAnsiTheme="majorBidi" w:cstheme="majorBidi"/>
          <w:kern w:val="22"/>
          <w:szCs w:val="22"/>
        </w:rPr>
        <w:t>,</w:t>
      </w:r>
      <w:r w:rsidRPr="009D551E">
        <w:rPr>
          <w:rFonts w:asciiTheme="majorBidi" w:hAnsiTheme="majorBidi" w:cstheme="majorBidi"/>
          <w:kern w:val="22"/>
          <w:szCs w:val="22"/>
        </w:rPr>
        <w:t xml:space="preserve"> 17% of these species were listed as threatened or near threatened</w:t>
      </w:r>
      <w:r w:rsidR="00071EBB">
        <w:rPr>
          <w:rFonts w:asciiTheme="majorBidi" w:hAnsiTheme="majorBidi" w:cstheme="majorBidi"/>
          <w:kern w:val="22"/>
          <w:szCs w:val="22"/>
        </w:rPr>
        <w:t>.</w:t>
      </w:r>
      <w:r w:rsidRPr="009D551E">
        <w:rPr>
          <w:rStyle w:val="FootnoteReference"/>
          <w:rFonts w:asciiTheme="majorBidi" w:hAnsiTheme="majorBidi" w:cstheme="majorBidi"/>
          <w:kern w:val="22"/>
          <w:sz w:val="22"/>
          <w:szCs w:val="22"/>
        </w:rPr>
        <w:footnoteReference w:id="168"/>
      </w:r>
      <w:r w:rsidRPr="009D551E">
        <w:rPr>
          <w:rFonts w:asciiTheme="majorBidi" w:hAnsiTheme="majorBidi" w:cstheme="majorBidi"/>
          <w:kern w:val="22"/>
          <w:szCs w:val="22"/>
        </w:rPr>
        <w:t xml:space="preserve"> In addition</w:t>
      </w:r>
      <w:r w:rsidR="001515B6">
        <w:rPr>
          <w:rFonts w:asciiTheme="majorBidi" w:hAnsiTheme="majorBidi" w:cstheme="majorBidi"/>
          <w:kern w:val="22"/>
          <w:szCs w:val="22"/>
        </w:rPr>
        <w:t>,</w:t>
      </w:r>
      <w:r w:rsidRPr="009D551E">
        <w:rPr>
          <w:rFonts w:asciiTheme="majorBidi" w:hAnsiTheme="majorBidi" w:cstheme="majorBidi"/>
          <w:kern w:val="22"/>
          <w:szCs w:val="22"/>
        </w:rPr>
        <w:t xml:space="preserve"> one study projected that</w:t>
      </w:r>
      <w:r w:rsidR="001515B6">
        <w:rPr>
          <w:rFonts w:asciiTheme="majorBidi" w:hAnsiTheme="majorBidi" w:cstheme="majorBidi"/>
          <w:kern w:val="22"/>
          <w:szCs w:val="22"/>
        </w:rPr>
        <w:t>,</w:t>
      </w:r>
      <w:r w:rsidRPr="009D551E">
        <w:rPr>
          <w:rFonts w:asciiTheme="majorBidi" w:hAnsiTheme="majorBidi" w:cstheme="majorBidi"/>
          <w:kern w:val="22"/>
          <w:szCs w:val="22"/>
        </w:rPr>
        <w:t xml:space="preserve"> by 2050</w:t>
      </w:r>
      <w:r w:rsidR="001515B6">
        <w:rPr>
          <w:rFonts w:asciiTheme="majorBidi" w:hAnsiTheme="majorBidi" w:cstheme="majorBidi"/>
          <w:kern w:val="22"/>
          <w:szCs w:val="22"/>
        </w:rPr>
        <w:t>,</w:t>
      </w:r>
      <w:r w:rsidRPr="009D551E">
        <w:rPr>
          <w:rFonts w:asciiTheme="majorBidi" w:hAnsiTheme="majorBidi" w:cstheme="majorBidi"/>
          <w:kern w:val="22"/>
          <w:szCs w:val="22"/>
        </w:rPr>
        <w:t xml:space="preserve"> 99% of all seabird species will have ingested plastic</w:t>
      </w:r>
      <w:r w:rsidR="00071EBB">
        <w:rPr>
          <w:rFonts w:asciiTheme="majorBidi" w:hAnsiTheme="majorBidi" w:cstheme="majorBidi"/>
          <w:kern w:val="22"/>
          <w:szCs w:val="22"/>
        </w:rPr>
        <w:t>.</w:t>
      </w:r>
      <w:r w:rsidRPr="009D551E">
        <w:rPr>
          <w:rStyle w:val="FootnoteReference"/>
          <w:rFonts w:asciiTheme="majorBidi" w:hAnsiTheme="majorBidi" w:cstheme="majorBidi"/>
          <w:kern w:val="22"/>
          <w:sz w:val="22"/>
          <w:szCs w:val="22"/>
        </w:rPr>
        <w:footnoteReference w:id="169"/>
      </w:r>
      <w:r w:rsidRPr="009D551E">
        <w:rPr>
          <w:rFonts w:asciiTheme="majorBidi" w:hAnsiTheme="majorBidi" w:cstheme="majorBidi"/>
          <w:kern w:val="22"/>
          <w:szCs w:val="22"/>
        </w:rPr>
        <w:t xml:space="preserve"> Marine plastics have also been found in various other species</w:t>
      </w:r>
      <w:r w:rsidR="001515B6">
        <w:rPr>
          <w:rFonts w:asciiTheme="majorBidi" w:hAnsiTheme="majorBidi" w:cstheme="majorBidi"/>
          <w:kern w:val="22"/>
          <w:szCs w:val="22"/>
        </w:rPr>
        <w:t>,</w:t>
      </w:r>
      <w:r w:rsidRPr="009D551E">
        <w:rPr>
          <w:rFonts w:asciiTheme="majorBidi" w:hAnsiTheme="majorBidi" w:cstheme="majorBidi"/>
          <w:kern w:val="22"/>
          <w:szCs w:val="22"/>
        </w:rPr>
        <w:t xml:space="preserve"> including cetaceans</w:t>
      </w:r>
      <w:r w:rsidR="00071EBB">
        <w:rPr>
          <w:rFonts w:asciiTheme="majorBidi" w:hAnsiTheme="majorBidi" w:cstheme="majorBidi"/>
          <w:kern w:val="22"/>
          <w:szCs w:val="22"/>
        </w:rPr>
        <w:t>.</w:t>
      </w:r>
      <w:r w:rsidRPr="009D551E">
        <w:rPr>
          <w:rStyle w:val="FootnoteReference"/>
          <w:rFonts w:asciiTheme="majorBidi" w:hAnsiTheme="majorBidi" w:cstheme="majorBidi"/>
          <w:kern w:val="22"/>
          <w:sz w:val="22"/>
          <w:szCs w:val="22"/>
        </w:rPr>
        <w:footnoteReference w:id="170"/>
      </w:r>
      <w:r w:rsidRPr="009D551E">
        <w:rPr>
          <w:rFonts w:asciiTheme="majorBidi" w:hAnsiTheme="majorBidi" w:cstheme="majorBidi"/>
          <w:kern w:val="22"/>
          <w:szCs w:val="22"/>
        </w:rPr>
        <w:t xml:space="preserve"> Further</w:t>
      </w:r>
      <w:r w:rsidR="001515B6">
        <w:rPr>
          <w:rFonts w:asciiTheme="majorBidi" w:hAnsiTheme="majorBidi" w:cstheme="majorBidi"/>
          <w:kern w:val="22"/>
          <w:szCs w:val="22"/>
        </w:rPr>
        <w:t>,</w:t>
      </w:r>
      <w:r w:rsidRPr="009D551E">
        <w:rPr>
          <w:rFonts w:asciiTheme="majorBidi" w:hAnsiTheme="majorBidi" w:cstheme="majorBidi"/>
          <w:kern w:val="22"/>
          <w:szCs w:val="22"/>
        </w:rPr>
        <w:t xml:space="preserve"> recent studies have also pointed to the negative effect of plastic pollution on coral reefs. An assessment of 150 reefs in the Asia Pacific region found that the likelihood that corals were affected by diseases</w:t>
      </w:r>
      <w:r w:rsidR="001515B6">
        <w:rPr>
          <w:rFonts w:asciiTheme="majorBidi" w:hAnsiTheme="majorBidi" w:cstheme="majorBidi"/>
          <w:kern w:val="22"/>
          <w:szCs w:val="22"/>
        </w:rPr>
        <w:t xml:space="preserve"> </w:t>
      </w:r>
      <w:r w:rsidRPr="009D551E">
        <w:rPr>
          <w:rFonts w:asciiTheme="majorBidi" w:hAnsiTheme="majorBidi" w:cstheme="majorBidi"/>
          <w:kern w:val="22"/>
          <w:szCs w:val="22"/>
        </w:rPr>
        <w:t xml:space="preserve">increased between 4% and 89% when they were in contact with plastic. The study further estimated that 11.1 billion plastic items were found in the coral reefs in the region and </w:t>
      </w:r>
      <w:r w:rsidR="001515B6">
        <w:rPr>
          <w:rFonts w:asciiTheme="majorBidi" w:hAnsiTheme="majorBidi" w:cstheme="majorBidi"/>
          <w:kern w:val="22"/>
          <w:szCs w:val="22"/>
        </w:rPr>
        <w:t xml:space="preserve">that </w:t>
      </w:r>
      <w:r w:rsidRPr="009D551E">
        <w:rPr>
          <w:rFonts w:asciiTheme="majorBidi" w:hAnsiTheme="majorBidi" w:cstheme="majorBidi"/>
          <w:kern w:val="22"/>
          <w:szCs w:val="22"/>
        </w:rPr>
        <w:t>this could increase by a further 40% by 2025</w:t>
      </w:r>
      <w:r w:rsidR="00071EBB">
        <w:rPr>
          <w:rFonts w:asciiTheme="majorBidi" w:hAnsiTheme="majorBidi" w:cstheme="majorBidi"/>
          <w:kern w:val="22"/>
          <w:szCs w:val="22"/>
        </w:rPr>
        <w:t>.</w:t>
      </w:r>
      <w:r w:rsidRPr="009D551E">
        <w:rPr>
          <w:rStyle w:val="StyleFootnoteReferenceNounderline"/>
          <w:rFonts w:asciiTheme="majorBidi" w:hAnsiTheme="majorBidi" w:cstheme="majorBidi"/>
          <w:sz w:val="22"/>
          <w:szCs w:val="22"/>
          <w:vertAlign w:val="superscript"/>
        </w:rPr>
        <w:footnoteReference w:id="171"/>
      </w:r>
    </w:p>
    <w:p w:rsidR="00F52992" w:rsidRDefault="009D551E" w:rsidP="00720FA7">
      <w:pPr>
        <w:pStyle w:val="Para1"/>
        <w:tabs>
          <w:tab w:val="clear" w:pos="360"/>
          <w:tab w:val="num" w:pos="720"/>
        </w:tabs>
      </w:pPr>
      <w:r w:rsidRPr="00F52992">
        <w:t>Numerous governments</w:t>
      </w:r>
      <w:r w:rsidR="001515B6">
        <w:t xml:space="preserve">, </w:t>
      </w:r>
      <w:r w:rsidRPr="00F52992">
        <w:t>at different scales</w:t>
      </w:r>
      <w:r w:rsidR="001515B6">
        <w:t>,</w:t>
      </w:r>
      <w:r w:rsidRPr="00F52992">
        <w:t xml:space="preserve"> </w:t>
      </w:r>
      <w:r w:rsidR="002002B9">
        <w:t xml:space="preserve">have </w:t>
      </w:r>
      <w:r w:rsidRPr="00F52992">
        <w:t>enacted strategies, including outright bans, partial bans, customer charges, taxes and fees related to the use of plastic bags, as well as regulating the thickness of plastic bags, as a means of reducing the amount of plastic entering the environment.</w:t>
      </w:r>
      <w:r w:rsidR="002002B9">
        <w:t xml:space="preserve"> W</w:t>
      </w:r>
      <w:r w:rsidRPr="00F52992">
        <w:t>hile there appears to be growing momentum with regard to the introduction of these types of measures</w:t>
      </w:r>
      <w:r w:rsidR="001515B6">
        <w:t>,</w:t>
      </w:r>
      <w:r w:rsidRPr="00F52992">
        <w:t xml:space="preserve"> relatively little research has been carried out on their effectiveness</w:t>
      </w:r>
      <w:r w:rsidR="00071EBB">
        <w:t>.</w:t>
      </w:r>
      <w:r w:rsidRPr="009D551E">
        <w:rPr>
          <w:rStyle w:val="FootnoteReference"/>
          <w:rFonts w:asciiTheme="majorBidi" w:hAnsiTheme="majorBidi" w:cstheme="majorBidi"/>
          <w:sz w:val="22"/>
          <w:szCs w:val="22"/>
        </w:rPr>
        <w:footnoteReference w:id="172"/>
      </w:r>
      <w:r w:rsidRPr="00F52992">
        <w:t xml:space="preserve"> </w:t>
      </w:r>
      <w:r w:rsidR="00F52992" w:rsidRPr="00F52992">
        <w:t>However</w:t>
      </w:r>
      <w:r w:rsidR="001515B6">
        <w:t>,</w:t>
      </w:r>
      <w:r w:rsidR="00F52992" w:rsidRPr="00F52992">
        <w:t xml:space="preserve"> a</w:t>
      </w:r>
      <w:r w:rsidRPr="00F52992">
        <w:t xml:space="preserve"> study examining the effects of container deposit legislation in Australia and the United States found that the number of containers in debris surveys was 40% less in states with legislation</w:t>
      </w:r>
      <w:r w:rsidR="00071EBB">
        <w:t>,</w:t>
      </w:r>
      <w:r w:rsidRPr="00F52992">
        <w:rPr>
          <w:rStyle w:val="FootnoteReference"/>
          <w:rFonts w:asciiTheme="majorBidi" w:hAnsiTheme="majorBidi" w:cstheme="majorBidi"/>
          <w:sz w:val="22"/>
          <w:szCs w:val="22"/>
        </w:rPr>
        <w:footnoteReference w:id="173"/>
      </w:r>
      <w:r w:rsidR="001515B6">
        <w:t xml:space="preserve"> </w:t>
      </w:r>
      <w:r w:rsidR="00F52992" w:rsidRPr="00F52992">
        <w:t xml:space="preserve">and results of </w:t>
      </w:r>
      <w:r w:rsidR="001515B6">
        <w:t xml:space="preserve">a </w:t>
      </w:r>
      <w:r w:rsidR="00F52992" w:rsidRPr="00F52992">
        <w:t>study of 25</w:t>
      </w:r>
      <w:r w:rsidR="00F52992">
        <w:t xml:space="preserve"> years of marine debris data from the </w:t>
      </w:r>
      <w:r w:rsidR="00F52992">
        <w:lastRenderedPageBreak/>
        <w:t>United Kingdom of Great Britain and Northern Ireland suggest that a decline in plastic bag litter may be associated with a plastic bag tax policy</w:t>
      </w:r>
      <w:r w:rsidR="00071EBB">
        <w:t>.</w:t>
      </w:r>
      <w:r w:rsidR="00F52992" w:rsidRPr="00F52992">
        <w:rPr>
          <w:rStyle w:val="FootnoteReference"/>
          <w:rFonts w:asciiTheme="majorBidi" w:hAnsiTheme="majorBidi" w:cstheme="majorBidi"/>
          <w:szCs w:val="22"/>
        </w:rPr>
        <w:footnoteReference w:id="174"/>
      </w:r>
    </w:p>
    <w:p w:rsidR="009D551E" w:rsidRPr="009D551E" w:rsidRDefault="009D551E" w:rsidP="009D551E">
      <w:pPr>
        <w:pStyle w:val="Para1"/>
        <w:tabs>
          <w:tab w:val="clear" w:pos="360"/>
          <w:tab w:val="num" w:pos="720"/>
          <w:tab w:val="num" w:pos="3150"/>
        </w:tabs>
        <w:rPr>
          <w:rFonts w:asciiTheme="majorBidi" w:hAnsiTheme="majorBidi" w:cstheme="majorBidi"/>
          <w:kern w:val="22"/>
          <w:szCs w:val="22"/>
        </w:rPr>
      </w:pPr>
      <w:r w:rsidRPr="009D551E">
        <w:rPr>
          <w:rFonts w:asciiTheme="majorBidi" w:hAnsiTheme="majorBidi" w:cstheme="majorBidi"/>
          <w:szCs w:val="22"/>
        </w:rPr>
        <w:t>One indicator used in GBO-4, the Red List index (impacts of pollution)</w:t>
      </w:r>
      <w:r w:rsidR="00071EBB">
        <w:rPr>
          <w:rFonts w:asciiTheme="majorBidi" w:hAnsiTheme="majorBidi" w:cstheme="majorBidi"/>
          <w:szCs w:val="22"/>
        </w:rPr>
        <w:t>,</w:t>
      </w:r>
      <w:r w:rsidRPr="009D551E">
        <w:rPr>
          <w:rStyle w:val="FootnoteReference"/>
          <w:rFonts w:asciiTheme="majorBidi" w:hAnsiTheme="majorBidi" w:cstheme="majorBidi"/>
          <w:sz w:val="22"/>
          <w:szCs w:val="22"/>
        </w:rPr>
        <w:t xml:space="preserve"> </w:t>
      </w:r>
      <w:r w:rsidRPr="009D551E">
        <w:rPr>
          <w:rStyle w:val="FootnoteReference"/>
          <w:rFonts w:asciiTheme="majorBidi" w:hAnsiTheme="majorBidi" w:cstheme="majorBidi"/>
          <w:sz w:val="22"/>
          <w:szCs w:val="22"/>
        </w:rPr>
        <w:footnoteReference w:id="175"/>
      </w:r>
      <w:r w:rsidRPr="009D551E">
        <w:rPr>
          <w:rFonts w:asciiTheme="majorBidi" w:hAnsiTheme="majorBidi" w:cstheme="majorBidi"/>
          <w:szCs w:val="22"/>
        </w:rPr>
        <w:t xml:space="preserve"> has been updated since the report was released. This indicator shows a decrease. In addition</w:t>
      </w:r>
      <w:r w:rsidR="001515B6">
        <w:rPr>
          <w:rFonts w:asciiTheme="majorBidi" w:hAnsiTheme="majorBidi" w:cstheme="majorBidi"/>
          <w:szCs w:val="22"/>
        </w:rPr>
        <w:t>,</w:t>
      </w:r>
      <w:r w:rsidRPr="009D551E">
        <w:rPr>
          <w:rFonts w:asciiTheme="majorBidi" w:hAnsiTheme="majorBidi" w:cstheme="majorBidi"/>
          <w:szCs w:val="22"/>
        </w:rPr>
        <w:t xml:space="preserve"> one new indicator, pesticide use</w:t>
      </w:r>
      <w:r w:rsidR="00071EBB">
        <w:rPr>
          <w:rFonts w:asciiTheme="majorBidi" w:hAnsiTheme="majorBidi" w:cstheme="majorBidi"/>
          <w:szCs w:val="22"/>
        </w:rPr>
        <w:t>,</w:t>
      </w:r>
      <w:r w:rsidRPr="009D551E">
        <w:rPr>
          <w:rStyle w:val="FootnoteReference"/>
          <w:rFonts w:asciiTheme="majorBidi" w:hAnsiTheme="majorBidi" w:cstheme="majorBidi"/>
          <w:sz w:val="22"/>
          <w:szCs w:val="22"/>
        </w:rPr>
        <w:footnoteReference w:id="176"/>
      </w:r>
      <w:r w:rsidRPr="009D551E">
        <w:rPr>
          <w:rFonts w:asciiTheme="majorBidi" w:hAnsiTheme="majorBidi" w:cstheme="majorBidi"/>
          <w:szCs w:val="22"/>
        </w:rPr>
        <w:t xml:space="preserve"> has become available since GBO-4 was prepared. This indicator also shows a trend negative for biodiversity.</w:t>
      </w:r>
    </w:p>
    <w:p w:rsidR="009D551E" w:rsidRPr="009D551E" w:rsidRDefault="009D551E" w:rsidP="009D551E">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The scientific information that has become available since the publication of GBO-4 suggests that the progress towards this Aichi Biodiversity Target is largely unchanged from what was previously reported. Similarly</w:t>
      </w:r>
      <w:r w:rsidR="00F14A09">
        <w:rPr>
          <w:rFonts w:asciiTheme="majorBidi" w:hAnsiTheme="majorBidi" w:cstheme="majorBidi"/>
          <w:szCs w:val="22"/>
        </w:rPr>
        <w:t>,</w:t>
      </w:r>
      <w:r w:rsidRPr="009D551E">
        <w:rPr>
          <w:rFonts w:asciiTheme="majorBidi" w:hAnsiTheme="majorBidi" w:cstheme="majorBidi"/>
          <w:szCs w:val="22"/>
        </w:rPr>
        <w:t xml:space="preserve"> the scientific literature suggests that the actions identified in GBO-4 remain relevant to the achievement of this Aichi Biodiversity Target.</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9: By 2020, invasive alien species and pathways are identified and prioritized, priority species are controlled or eradicated, and measures are in place to manage pathways to prevent their introduction and establishment.</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 xml:space="preserve">Invasive alien species continue to be one of the main direct causes of biodiversity loss globally. An assessment of 16,926 established alien species </w:t>
      </w:r>
      <w:r w:rsidR="00726685">
        <w:rPr>
          <w:rFonts w:asciiTheme="majorBidi" w:hAnsiTheme="majorBidi" w:cstheme="majorBidi"/>
          <w:szCs w:val="22"/>
        </w:rPr>
        <w:t>found</w:t>
      </w:r>
      <w:r w:rsidRPr="009D551E">
        <w:rPr>
          <w:rFonts w:asciiTheme="majorBidi" w:hAnsiTheme="majorBidi" w:cstheme="majorBidi"/>
          <w:szCs w:val="22"/>
        </w:rPr>
        <w:t xml:space="preserve"> that</w:t>
      </w:r>
      <w:r w:rsidR="00F14A09">
        <w:rPr>
          <w:rFonts w:asciiTheme="majorBidi" w:hAnsiTheme="majorBidi" w:cstheme="majorBidi"/>
          <w:szCs w:val="22"/>
        </w:rPr>
        <w:t xml:space="preserve">, </w:t>
      </w:r>
      <w:r w:rsidRPr="009D551E">
        <w:rPr>
          <w:rFonts w:asciiTheme="majorBidi" w:hAnsiTheme="majorBidi" w:cstheme="majorBidi"/>
          <w:szCs w:val="22"/>
        </w:rPr>
        <w:t>for all taxonomic groups</w:t>
      </w:r>
      <w:r w:rsidR="00F14A09">
        <w:rPr>
          <w:rFonts w:asciiTheme="majorBidi" w:hAnsiTheme="majorBidi" w:cstheme="majorBidi"/>
          <w:szCs w:val="22"/>
        </w:rPr>
        <w:t>,</w:t>
      </w:r>
      <w:r w:rsidRPr="009D551E">
        <w:rPr>
          <w:rFonts w:asciiTheme="majorBidi" w:hAnsiTheme="majorBidi" w:cstheme="majorBidi"/>
          <w:szCs w:val="22"/>
        </w:rPr>
        <w:t xml:space="preserve"> the increase in alien species does not exhibit any sign of decreasing. This suggests that the effectiveness of actions to mitigate the introduction of invasive alien species needs to be increased</w:t>
      </w:r>
      <w:r w:rsidR="00071EBB">
        <w:rPr>
          <w:rFonts w:asciiTheme="majorBidi" w:hAnsiTheme="majorBidi" w:cstheme="majorBidi"/>
          <w:szCs w:val="22"/>
        </w:rPr>
        <w:t>.</w:t>
      </w:r>
      <w:r w:rsidRPr="009D551E">
        <w:rPr>
          <w:rFonts w:asciiTheme="majorBidi" w:hAnsiTheme="majorBidi" w:cstheme="majorBidi"/>
          <w:szCs w:val="22"/>
          <w:vertAlign w:val="superscript"/>
        </w:rPr>
        <w:footnoteReference w:id="177"/>
      </w:r>
      <w:r w:rsidRPr="009D551E">
        <w:rPr>
          <w:rFonts w:asciiTheme="majorBidi" w:hAnsiTheme="majorBidi" w:cstheme="majorBidi"/>
          <w:szCs w:val="22"/>
        </w:rPr>
        <w:t xml:space="preserve"> A further study came to a similar conclusion</w:t>
      </w:r>
      <w:r w:rsidR="00071EBB">
        <w:rPr>
          <w:rFonts w:asciiTheme="majorBidi" w:hAnsiTheme="majorBidi" w:cstheme="majorBidi"/>
          <w:szCs w:val="22"/>
        </w:rPr>
        <w:t>.</w:t>
      </w:r>
      <w:r w:rsidRPr="009D551E">
        <w:rPr>
          <w:rFonts w:asciiTheme="majorBidi" w:hAnsiTheme="majorBidi" w:cstheme="majorBidi"/>
          <w:szCs w:val="22"/>
          <w:vertAlign w:val="superscript"/>
        </w:rPr>
        <w:footnoteReference w:id="178"/>
      </w:r>
      <w:r w:rsidRPr="009D551E">
        <w:rPr>
          <w:rFonts w:asciiTheme="majorBidi" w:hAnsiTheme="majorBidi" w:cstheme="majorBidi"/>
          <w:szCs w:val="22"/>
        </w:rPr>
        <w:t xml:space="preserve"> The economic costs of invasive alien insects on goods and services and on human health also ha</w:t>
      </w:r>
      <w:r w:rsidR="00D6780A">
        <w:rPr>
          <w:rFonts w:asciiTheme="majorBidi" w:hAnsiTheme="majorBidi" w:cstheme="majorBidi"/>
          <w:szCs w:val="22"/>
        </w:rPr>
        <w:t>ve</w:t>
      </w:r>
      <w:r w:rsidRPr="009D551E">
        <w:rPr>
          <w:rFonts w:asciiTheme="majorBidi" w:hAnsiTheme="majorBidi" w:cstheme="majorBidi"/>
          <w:szCs w:val="22"/>
        </w:rPr>
        <w:t xml:space="preserve"> been estimated at US$ 70 billion and US$6.9 billion per year, respectively</w:t>
      </w:r>
      <w:r w:rsidR="00071EBB">
        <w:rPr>
          <w:rFonts w:asciiTheme="majorBidi" w:hAnsiTheme="majorBidi" w:cstheme="majorBidi"/>
          <w:szCs w:val="22"/>
        </w:rPr>
        <w:t>.</w:t>
      </w:r>
      <w:r w:rsidRPr="00D6780A">
        <w:rPr>
          <w:rStyle w:val="FootnoteReference"/>
          <w:rFonts w:asciiTheme="majorBidi" w:hAnsiTheme="majorBidi" w:cstheme="majorBidi"/>
          <w:sz w:val="22"/>
          <w:szCs w:val="22"/>
        </w:rPr>
        <w:footnoteReference w:id="179"/>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D6780A">
        <w:rPr>
          <w:rFonts w:asciiTheme="majorBidi" w:hAnsiTheme="majorBidi" w:cstheme="majorBidi"/>
          <w:szCs w:val="22"/>
          <w:lang w:val="en-US"/>
        </w:rPr>
        <w:t>Introduction pathways for invasive alien species are generally well identified however it has been</w:t>
      </w:r>
      <w:r w:rsidRPr="009D551E">
        <w:rPr>
          <w:rFonts w:asciiTheme="majorBidi" w:hAnsiTheme="majorBidi" w:cstheme="majorBidi"/>
          <w:szCs w:val="22"/>
          <w:lang w:val="en-US"/>
        </w:rPr>
        <w:t xml:space="preserve"> suggested that more attention needs to be devoted to identifying </w:t>
      </w:r>
      <w:r w:rsidR="00D6780A">
        <w:rPr>
          <w:rFonts w:asciiTheme="majorBidi" w:hAnsiTheme="majorBidi" w:cstheme="majorBidi"/>
          <w:szCs w:val="22"/>
          <w:lang w:val="en-US"/>
        </w:rPr>
        <w:t xml:space="preserve">the </w:t>
      </w:r>
      <w:r w:rsidRPr="009D551E">
        <w:rPr>
          <w:rFonts w:asciiTheme="majorBidi" w:hAnsiTheme="majorBidi" w:cstheme="majorBidi"/>
          <w:szCs w:val="22"/>
          <w:lang w:val="en-US"/>
        </w:rPr>
        <w:t xml:space="preserve">mechanism related to </w:t>
      </w:r>
      <w:r w:rsidR="00726685">
        <w:rPr>
          <w:rFonts w:asciiTheme="majorBidi" w:hAnsiTheme="majorBidi" w:cstheme="majorBidi"/>
          <w:szCs w:val="22"/>
          <w:lang w:val="en-US"/>
        </w:rPr>
        <w:t xml:space="preserve">the </w:t>
      </w:r>
      <w:r w:rsidRPr="009D551E">
        <w:rPr>
          <w:rFonts w:asciiTheme="majorBidi" w:hAnsiTheme="majorBidi" w:cstheme="majorBidi"/>
          <w:szCs w:val="22"/>
          <w:lang w:val="en-US"/>
        </w:rPr>
        <w:t>spread of invasive alien species</w:t>
      </w:r>
      <w:r w:rsidR="00D6780A">
        <w:rPr>
          <w:rFonts w:asciiTheme="majorBidi" w:hAnsiTheme="majorBidi" w:cstheme="majorBidi"/>
          <w:szCs w:val="22"/>
          <w:lang w:val="en-US"/>
        </w:rPr>
        <w:t>,</w:t>
      </w:r>
      <w:r w:rsidRPr="009D551E">
        <w:rPr>
          <w:rFonts w:asciiTheme="majorBidi" w:hAnsiTheme="majorBidi" w:cstheme="majorBidi"/>
          <w:szCs w:val="22"/>
          <w:lang w:val="en-US"/>
        </w:rPr>
        <w:t xml:space="preserve"> once they have been introduced</w:t>
      </w:r>
      <w:r w:rsidR="00D6780A">
        <w:rPr>
          <w:rFonts w:asciiTheme="majorBidi" w:hAnsiTheme="majorBidi" w:cstheme="majorBidi"/>
          <w:szCs w:val="22"/>
          <w:lang w:val="en-US"/>
        </w:rPr>
        <w:t>,</w:t>
      </w:r>
      <w:r w:rsidRPr="009D551E">
        <w:rPr>
          <w:rFonts w:asciiTheme="majorBidi" w:hAnsiTheme="majorBidi" w:cstheme="majorBidi"/>
          <w:szCs w:val="22"/>
          <w:lang w:val="en-US"/>
        </w:rPr>
        <w:t xml:space="preserve"> so that appropriate measures can be more easily taken</w:t>
      </w:r>
      <w:r w:rsidR="00071EBB">
        <w:rPr>
          <w:rFonts w:asciiTheme="majorBidi" w:hAnsiTheme="majorBidi" w:cstheme="majorBidi"/>
          <w:szCs w:val="22"/>
          <w:lang w:val="en-US"/>
        </w:rPr>
        <w:t>.</w:t>
      </w:r>
      <w:r w:rsidRPr="009D551E">
        <w:rPr>
          <w:rStyle w:val="StyleFootnoteReferenceNounderline"/>
          <w:rFonts w:asciiTheme="majorBidi" w:hAnsiTheme="majorBidi" w:cstheme="majorBidi"/>
          <w:sz w:val="22"/>
          <w:szCs w:val="22"/>
          <w:vertAlign w:val="superscript"/>
        </w:rPr>
        <w:footnoteReference w:id="180"/>
      </w:r>
      <w:r w:rsidRPr="009D551E">
        <w:rPr>
          <w:rFonts w:asciiTheme="majorBidi" w:hAnsiTheme="majorBidi" w:cstheme="majorBidi"/>
          <w:szCs w:val="22"/>
          <w:lang w:val="en-US"/>
        </w:rPr>
        <w:t xml:space="preserve">  For example</w:t>
      </w:r>
      <w:r w:rsidR="00D6780A">
        <w:rPr>
          <w:rFonts w:asciiTheme="majorBidi" w:hAnsiTheme="majorBidi" w:cstheme="majorBidi"/>
          <w:szCs w:val="22"/>
          <w:lang w:val="en-US"/>
        </w:rPr>
        <w:t>,</w:t>
      </w:r>
      <w:r w:rsidRPr="009D551E">
        <w:rPr>
          <w:rFonts w:asciiTheme="majorBidi" w:hAnsiTheme="majorBidi" w:cstheme="majorBidi"/>
          <w:szCs w:val="22"/>
          <w:lang w:val="en-US"/>
        </w:rPr>
        <w:t xml:space="preserve"> a review of 22 research articles examining the dispersal of alien plant species found that water birds, such as ducks, geese, swans, herons and gulls, were </w:t>
      </w:r>
      <w:r w:rsidR="00D6780A">
        <w:rPr>
          <w:rFonts w:asciiTheme="majorBidi" w:hAnsiTheme="majorBidi" w:cstheme="majorBidi"/>
          <w:szCs w:val="22"/>
          <w:lang w:val="en-US"/>
        </w:rPr>
        <w:t xml:space="preserve">a </w:t>
      </w:r>
      <w:r w:rsidRPr="009D551E">
        <w:rPr>
          <w:rFonts w:asciiTheme="majorBidi" w:hAnsiTheme="majorBidi" w:cstheme="majorBidi"/>
          <w:szCs w:val="22"/>
          <w:lang w:val="en-US"/>
        </w:rPr>
        <w:t>common mechanism of secondary introduction</w:t>
      </w:r>
      <w:r w:rsidR="00071EBB">
        <w:rPr>
          <w:rFonts w:asciiTheme="majorBidi" w:hAnsiTheme="majorBidi" w:cstheme="majorBidi"/>
          <w:szCs w:val="22"/>
          <w:lang w:val="en-US"/>
        </w:rPr>
        <w:t>.</w:t>
      </w:r>
      <w:r w:rsidRPr="009D551E">
        <w:rPr>
          <w:rStyle w:val="StyleFootnoteReferenceNounderline"/>
          <w:rFonts w:asciiTheme="majorBidi" w:hAnsiTheme="majorBidi" w:cstheme="majorBidi"/>
          <w:sz w:val="22"/>
          <w:szCs w:val="22"/>
          <w:vertAlign w:val="superscript"/>
        </w:rPr>
        <w:footnoteReference w:id="181"/>
      </w:r>
      <w:r w:rsidRPr="009D551E">
        <w:rPr>
          <w:rFonts w:asciiTheme="majorBidi" w:hAnsiTheme="majorBidi" w:cstheme="majorBidi"/>
          <w:szCs w:val="22"/>
          <w:lang w:val="en-US"/>
        </w:rPr>
        <w:t xml:space="preserve"> Further</w:t>
      </w:r>
      <w:r w:rsidR="00D6780A">
        <w:rPr>
          <w:rFonts w:asciiTheme="majorBidi" w:hAnsiTheme="majorBidi" w:cstheme="majorBidi"/>
          <w:szCs w:val="22"/>
          <w:lang w:val="en-US"/>
        </w:rPr>
        <w:t>,</w:t>
      </w:r>
      <w:r w:rsidRPr="009D551E">
        <w:rPr>
          <w:rFonts w:asciiTheme="majorBidi" w:hAnsiTheme="majorBidi" w:cstheme="majorBidi"/>
          <w:szCs w:val="22"/>
          <w:lang w:val="en-US"/>
        </w:rPr>
        <w:t xml:space="preserve"> even though pathways are relatively well known, there is limited data on the establishment and spread of species</w:t>
      </w:r>
      <w:r w:rsidR="00071EBB">
        <w:rPr>
          <w:rFonts w:asciiTheme="majorBidi" w:hAnsiTheme="majorBidi" w:cstheme="majorBidi"/>
          <w:szCs w:val="22"/>
          <w:lang w:val="en-US"/>
        </w:rPr>
        <w:t>.</w:t>
      </w:r>
      <w:r w:rsidRPr="009D551E">
        <w:rPr>
          <w:rStyle w:val="StyleFootnoteReferenceNounderline"/>
          <w:rFonts w:asciiTheme="majorBidi" w:hAnsiTheme="majorBidi" w:cstheme="majorBidi"/>
          <w:sz w:val="22"/>
          <w:szCs w:val="22"/>
          <w:vertAlign w:val="superscript"/>
        </w:rPr>
        <w:footnoteReference w:id="182"/>
      </w:r>
      <w:r w:rsidRPr="009D551E">
        <w:rPr>
          <w:rFonts w:asciiTheme="majorBidi" w:hAnsiTheme="majorBidi" w:cstheme="majorBidi"/>
          <w:szCs w:val="22"/>
          <w:lang w:val="en-US"/>
        </w:rPr>
        <w:t xml:space="preserve"> </w:t>
      </w:r>
    </w:p>
    <w:p w:rsidR="009D551E" w:rsidRPr="009D551E" w:rsidRDefault="009D551E" w:rsidP="00726685">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lastRenderedPageBreak/>
        <w:t xml:space="preserve">A number of approaches to prioritizing potential invasive alien species have been reviewed in the literature. Some of these approaches, such as </w:t>
      </w:r>
      <w:proofErr w:type="spellStart"/>
      <w:r w:rsidRPr="009D551E">
        <w:rPr>
          <w:rFonts w:asciiTheme="majorBidi" w:hAnsiTheme="majorBidi" w:cstheme="majorBidi"/>
          <w:szCs w:val="22"/>
        </w:rPr>
        <w:t>FinnPrio</w:t>
      </w:r>
      <w:proofErr w:type="spellEnd"/>
      <w:r w:rsidRPr="009D551E">
        <w:rPr>
          <w:rFonts w:asciiTheme="majorBidi" w:hAnsiTheme="majorBidi" w:cstheme="majorBidi"/>
          <w:szCs w:val="22"/>
        </w:rPr>
        <w:t xml:space="preserve">, have been developed </w:t>
      </w:r>
      <w:proofErr w:type="gramStart"/>
      <w:r w:rsidRPr="009D551E">
        <w:rPr>
          <w:rFonts w:asciiTheme="majorBidi" w:hAnsiTheme="majorBidi" w:cstheme="majorBidi"/>
          <w:szCs w:val="22"/>
        </w:rPr>
        <w:t>in light of</w:t>
      </w:r>
      <w:proofErr w:type="gramEnd"/>
      <w:r w:rsidRPr="009D551E">
        <w:rPr>
          <w:rFonts w:asciiTheme="majorBidi" w:hAnsiTheme="majorBidi" w:cstheme="majorBidi"/>
          <w:szCs w:val="22"/>
        </w:rPr>
        <w:t xml:space="preserve"> specific national contexts</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83"/>
      </w:r>
      <w:r w:rsidRPr="009D551E">
        <w:rPr>
          <w:rFonts w:asciiTheme="majorBidi" w:hAnsiTheme="majorBidi" w:cstheme="majorBidi"/>
          <w:szCs w:val="22"/>
        </w:rPr>
        <w:t xml:space="preserve"> Others, such as the Generic Impact Scoring System</w:t>
      </w:r>
      <w:r w:rsidR="00D6780A">
        <w:rPr>
          <w:rFonts w:asciiTheme="majorBidi" w:hAnsiTheme="majorBidi" w:cstheme="majorBidi"/>
          <w:szCs w:val="22"/>
        </w:rPr>
        <w:t>,</w:t>
      </w:r>
      <w:r w:rsidRPr="009D551E">
        <w:rPr>
          <w:rFonts w:asciiTheme="majorBidi" w:hAnsiTheme="majorBidi" w:cstheme="majorBidi"/>
          <w:szCs w:val="22"/>
        </w:rPr>
        <w:t xml:space="preserve"> which scores 12 types of impacts and associated risks</w:t>
      </w:r>
      <w:r w:rsidR="00D6780A">
        <w:rPr>
          <w:rFonts w:asciiTheme="majorBidi" w:hAnsiTheme="majorBidi" w:cstheme="majorBidi"/>
          <w:szCs w:val="22"/>
        </w:rPr>
        <w:t>,</w:t>
      </w:r>
      <w:r w:rsidRPr="009D551E">
        <w:rPr>
          <w:rFonts w:asciiTheme="majorBidi" w:hAnsiTheme="majorBidi" w:cstheme="majorBidi"/>
          <w:szCs w:val="22"/>
        </w:rPr>
        <w:t xml:space="preserve"> are more general</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84"/>
      </w:r>
      <w:r w:rsidRPr="009D551E">
        <w:rPr>
          <w:rFonts w:asciiTheme="majorBidi" w:hAnsiTheme="majorBidi" w:cstheme="majorBidi"/>
          <w:szCs w:val="22"/>
        </w:rPr>
        <w:t xml:space="preserve"> Other more general approaches include relative impact potential</w:t>
      </w:r>
      <w:r w:rsidR="00D6780A">
        <w:rPr>
          <w:rFonts w:asciiTheme="majorBidi" w:hAnsiTheme="majorBidi" w:cstheme="majorBidi"/>
          <w:szCs w:val="22"/>
        </w:rPr>
        <w:t>,</w:t>
      </w:r>
      <w:r w:rsidRPr="009D551E">
        <w:rPr>
          <w:rFonts w:asciiTheme="majorBidi" w:hAnsiTheme="majorBidi" w:cstheme="majorBidi"/>
          <w:szCs w:val="22"/>
        </w:rPr>
        <w:t xml:space="preserve"> which attempts to determine the impact of management schemes and what consequence</w:t>
      </w:r>
      <w:r w:rsidR="00726685">
        <w:rPr>
          <w:rFonts w:asciiTheme="majorBidi" w:hAnsiTheme="majorBidi" w:cstheme="majorBidi"/>
          <w:szCs w:val="22"/>
        </w:rPr>
        <w:t>s</w:t>
      </w:r>
      <w:r w:rsidRPr="009D551E">
        <w:rPr>
          <w:rFonts w:asciiTheme="majorBidi" w:hAnsiTheme="majorBidi" w:cstheme="majorBidi"/>
          <w:szCs w:val="22"/>
        </w:rPr>
        <w:t xml:space="preserve"> certain invasive alien species have on specific environments</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85"/>
      </w:r>
      <w:r w:rsidRPr="009D551E">
        <w:rPr>
          <w:rFonts w:asciiTheme="majorBidi" w:hAnsiTheme="majorBidi" w:cstheme="majorBidi"/>
          <w:szCs w:val="22"/>
        </w:rPr>
        <w:t xml:space="preserve"> classifying invasive alien species according to the magnitude of their socio-economic</w:t>
      </w:r>
      <w:r w:rsidR="00071EBB">
        <w:rPr>
          <w:rFonts w:asciiTheme="majorBidi" w:hAnsiTheme="majorBidi" w:cstheme="majorBidi"/>
          <w:szCs w:val="22"/>
        </w:rPr>
        <w:t>,</w:t>
      </w:r>
      <w:r w:rsidRPr="00726685">
        <w:rPr>
          <w:rStyle w:val="FootnoteReference"/>
          <w:rFonts w:asciiTheme="majorBidi" w:hAnsiTheme="majorBidi" w:cstheme="majorBidi"/>
          <w:sz w:val="22"/>
          <w:szCs w:val="22"/>
        </w:rPr>
        <w:footnoteReference w:id="186"/>
      </w:r>
      <w:r w:rsidRPr="009D551E">
        <w:rPr>
          <w:rFonts w:asciiTheme="majorBidi" w:hAnsiTheme="majorBidi" w:cstheme="majorBidi"/>
          <w:szCs w:val="22"/>
        </w:rPr>
        <w:t xml:space="preserve"> and environmental impacts</w:t>
      </w:r>
      <w:r w:rsidRPr="00726685">
        <w:rPr>
          <w:rStyle w:val="FootnoteReference"/>
          <w:rFonts w:asciiTheme="majorBidi" w:hAnsiTheme="majorBidi" w:cstheme="majorBidi"/>
          <w:sz w:val="22"/>
          <w:szCs w:val="22"/>
        </w:rPr>
        <w:footnoteReference w:id="187"/>
      </w:r>
      <w:r w:rsidRPr="00726685">
        <w:rPr>
          <w:rFonts w:asciiTheme="majorBidi" w:hAnsiTheme="majorBidi" w:cstheme="majorBidi"/>
          <w:szCs w:val="22"/>
          <w:vertAlign w:val="superscript"/>
        </w:rPr>
        <w:t>,</w:t>
      </w:r>
      <w:r w:rsidRPr="009D551E">
        <w:rPr>
          <w:rStyle w:val="FootnoteReference"/>
          <w:rFonts w:asciiTheme="majorBidi" w:hAnsiTheme="majorBidi" w:cstheme="majorBidi"/>
          <w:sz w:val="22"/>
          <w:szCs w:val="22"/>
        </w:rPr>
        <w:footnoteReference w:id="188"/>
      </w:r>
      <w:r w:rsidRPr="009D551E">
        <w:rPr>
          <w:rFonts w:asciiTheme="majorBidi" w:hAnsiTheme="majorBidi" w:cstheme="majorBidi"/>
          <w:szCs w:val="22"/>
        </w:rPr>
        <w:t>, and horizon scanning</w:t>
      </w:r>
      <w:r w:rsidR="00071EBB">
        <w:rPr>
          <w:rFonts w:asciiTheme="majorBidi" w:hAnsiTheme="majorBidi" w:cstheme="majorBidi"/>
          <w:szCs w:val="22"/>
        </w:rPr>
        <w:t>,</w:t>
      </w:r>
      <w:r w:rsidRPr="00726685">
        <w:rPr>
          <w:rStyle w:val="FootnoteReference"/>
          <w:rFonts w:asciiTheme="majorBidi" w:hAnsiTheme="majorBidi" w:cstheme="majorBidi"/>
          <w:sz w:val="22"/>
          <w:szCs w:val="22"/>
        </w:rPr>
        <w:footnoteReference w:id="189"/>
      </w:r>
      <w:r w:rsidRPr="009D551E">
        <w:rPr>
          <w:rFonts w:asciiTheme="majorBidi" w:hAnsiTheme="majorBidi" w:cstheme="majorBidi"/>
          <w:szCs w:val="22"/>
        </w:rPr>
        <w:t xml:space="preserve"> which attempts to project current risks into the future based on experiences from surrounding and/or related environments</w:t>
      </w:r>
      <w:r w:rsidRPr="009D551E">
        <w:rPr>
          <w:rStyle w:val="StyleFootnoteReferenceNounderline"/>
          <w:rFonts w:asciiTheme="majorBidi" w:hAnsiTheme="majorBidi" w:cstheme="majorBidi"/>
          <w:sz w:val="22"/>
          <w:szCs w:val="22"/>
          <w:vertAlign w:val="superscript"/>
        </w:rPr>
        <w:footnoteReference w:id="190"/>
      </w:r>
      <w:r w:rsidRPr="009D551E">
        <w:rPr>
          <w:rFonts w:asciiTheme="majorBidi" w:hAnsiTheme="majorBidi" w:cstheme="majorBidi"/>
          <w:szCs w:val="22"/>
        </w:rPr>
        <w:t>. Further</w:t>
      </w:r>
      <w:r w:rsidR="003E5B21">
        <w:rPr>
          <w:rFonts w:asciiTheme="majorBidi" w:hAnsiTheme="majorBidi" w:cstheme="majorBidi"/>
          <w:szCs w:val="22"/>
        </w:rPr>
        <w:t>,</w:t>
      </w:r>
      <w:r w:rsidRPr="009D551E">
        <w:rPr>
          <w:rFonts w:asciiTheme="majorBidi" w:hAnsiTheme="majorBidi" w:cstheme="majorBidi"/>
          <w:szCs w:val="22"/>
        </w:rPr>
        <w:t xml:space="preserve"> the need to consider species, pathways and sites in prioriti</w:t>
      </w:r>
      <w:r w:rsidR="000078CC">
        <w:rPr>
          <w:rFonts w:asciiTheme="majorBidi" w:hAnsiTheme="majorBidi" w:cstheme="majorBidi"/>
          <w:szCs w:val="22"/>
        </w:rPr>
        <w:t>z</w:t>
      </w:r>
      <w:r w:rsidRPr="009D551E">
        <w:rPr>
          <w:rFonts w:asciiTheme="majorBidi" w:hAnsiTheme="majorBidi" w:cstheme="majorBidi"/>
          <w:szCs w:val="22"/>
        </w:rPr>
        <w:t>ing schemes has also been noted</w:t>
      </w:r>
      <w:r w:rsidR="00071EBB">
        <w:rPr>
          <w:rFonts w:asciiTheme="majorBidi" w:hAnsiTheme="majorBidi" w:cstheme="majorBidi"/>
          <w:szCs w:val="22"/>
        </w:rPr>
        <w:t>,</w:t>
      </w:r>
      <w:r w:rsidRPr="00726685">
        <w:rPr>
          <w:rStyle w:val="FootnoteReference"/>
          <w:rFonts w:asciiTheme="majorBidi" w:hAnsiTheme="majorBidi" w:cstheme="majorBidi"/>
          <w:sz w:val="22"/>
          <w:szCs w:val="22"/>
        </w:rPr>
        <w:footnoteReference w:id="191"/>
      </w:r>
      <w:r w:rsidR="000078CC">
        <w:rPr>
          <w:rFonts w:asciiTheme="majorBidi" w:hAnsiTheme="majorBidi" w:cstheme="majorBidi"/>
          <w:szCs w:val="22"/>
        </w:rPr>
        <w:t xml:space="preserve"> </w:t>
      </w:r>
      <w:r w:rsidRPr="009D551E">
        <w:rPr>
          <w:rFonts w:asciiTheme="majorBidi" w:hAnsiTheme="majorBidi" w:cstheme="majorBidi"/>
          <w:szCs w:val="22"/>
        </w:rPr>
        <w:t>as has the need to consider the feasibility of eradication</w:t>
      </w:r>
      <w:r w:rsidRPr="00726685">
        <w:rPr>
          <w:rStyle w:val="FootnoteReference"/>
          <w:rFonts w:asciiTheme="majorBidi" w:hAnsiTheme="majorBidi" w:cstheme="majorBidi"/>
          <w:sz w:val="22"/>
          <w:szCs w:val="22"/>
        </w:rPr>
        <w:footnoteReference w:id="192"/>
      </w:r>
      <w:r w:rsidRPr="009D551E">
        <w:rPr>
          <w:rFonts w:asciiTheme="majorBidi" w:hAnsiTheme="majorBidi" w:cstheme="majorBidi"/>
          <w:szCs w:val="22"/>
        </w:rPr>
        <w:t xml:space="preserve"> and </w:t>
      </w:r>
      <w:r w:rsidR="000078CC">
        <w:rPr>
          <w:rFonts w:asciiTheme="majorBidi" w:hAnsiTheme="majorBidi" w:cstheme="majorBidi"/>
          <w:szCs w:val="22"/>
        </w:rPr>
        <w:t xml:space="preserve">to </w:t>
      </w:r>
      <w:r w:rsidRPr="009D551E">
        <w:rPr>
          <w:rFonts w:asciiTheme="majorBidi" w:hAnsiTheme="majorBidi" w:cstheme="majorBidi"/>
          <w:szCs w:val="22"/>
        </w:rPr>
        <w:t>have minimum standards for risk assessment</w:t>
      </w:r>
      <w:r w:rsidR="00071EBB">
        <w:rPr>
          <w:rFonts w:asciiTheme="majorBidi" w:hAnsiTheme="majorBidi" w:cstheme="majorBidi"/>
          <w:szCs w:val="22"/>
        </w:rPr>
        <w:t>.</w:t>
      </w:r>
      <w:r w:rsidRPr="00726685">
        <w:rPr>
          <w:rStyle w:val="FootnoteReference"/>
          <w:rFonts w:asciiTheme="majorBidi" w:hAnsiTheme="majorBidi" w:cstheme="majorBidi"/>
          <w:sz w:val="22"/>
          <w:szCs w:val="22"/>
        </w:rPr>
        <w:footnoteReference w:id="193"/>
      </w:r>
      <w:r w:rsidRPr="009D551E">
        <w:rPr>
          <w:rFonts w:asciiTheme="majorBidi" w:hAnsiTheme="majorBidi" w:cstheme="majorBidi"/>
          <w:szCs w:val="22"/>
        </w:rPr>
        <w:t xml:space="preserve"> </w:t>
      </w:r>
      <w:r w:rsidR="00726685">
        <w:rPr>
          <w:rFonts w:asciiTheme="majorBidi" w:hAnsiTheme="majorBidi" w:cstheme="majorBidi"/>
          <w:szCs w:val="22"/>
        </w:rPr>
        <w:t>W</w:t>
      </w:r>
      <w:r w:rsidRPr="009D551E">
        <w:rPr>
          <w:rFonts w:asciiTheme="majorBidi" w:hAnsiTheme="majorBidi" w:cstheme="majorBidi"/>
          <w:szCs w:val="22"/>
        </w:rPr>
        <w:t>ork has also been undertaken to help Parties make better use of existing guidance, including on the interpretation and application of pathway categori</w:t>
      </w:r>
      <w:r w:rsidR="000078CC">
        <w:rPr>
          <w:rFonts w:asciiTheme="majorBidi" w:hAnsiTheme="majorBidi" w:cstheme="majorBidi"/>
          <w:szCs w:val="22"/>
        </w:rPr>
        <w:t>z</w:t>
      </w:r>
      <w:r w:rsidRPr="009D551E">
        <w:rPr>
          <w:rFonts w:asciiTheme="majorBidi" w:hAnsiTheme="majorBidi" w:cstheme="majorBidi"/>
          <w:szCs w:val="22"/>
        </w:rPr>
        <w:t>ation</w:t>
      </w:r>
      <w:r w:rsidR="00071EBB">
        <w:rPr>
          <w:rFonts w:asciiTheme="majorBidi" w:hAnsiTheme="majorBidi" w:cstheme="majorBidi"/>
          <w:szCs w:val="22"/>
        </w:rPr>
        <w:t>.</w:t>
      </w:r>
      <w:r w:rsidRPr="00726685">
        <w:rPr>
          <w:rStyle w:val="FootnoteReference"/>
          <w:rFonts w:asciiTheme="majorBidi" w:hAnsiTheme="majorBidi" w:cstheme="majorBidi"/>
          <w:sz w:val="22"/>
          <w:szCs w:val="22"/>
        </w:rPr>
        <w:footnoteReference w:id="194"/>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A number of obstacles to the application</w:t>
      </w:r>
      <w:r w:rsidR="000078CC">
        <w:rPr>
          <w:rFonts w:asciiTheme="majorBidi" w:hAnsiTheme="majorBidi" w:cstheme="majorBidi"/>
          <w:szCs w:val="22"/>
        </w:rPr>
        <w:t xml:space="preserve"> of</w:t>
      </w:r>
      <w:r w:rsidRPr="009D551E">
        <w:rPr>
          <w:rFonts w:asciiTheme="majorBidi" w:hAnsiTheme="majorBidi" w:cstheme="majorBidi"/>
          <w:szCs w:val="22"/>
        </w:rPr>
        <w:t xml:space="preserve"> pest risk analysis schemes have also been identified in the literature, including the lack of trained professionals, the presence of vulnerable biodiversity, the remoteness of the areas being considered</w:t>
      </w:r>
      <w:r w:rsidR="000078CC">
        <w:rPr>
          <w:rFonts w:asciiTheme="majorBidi" w:hAnsiTheme="majorBidi" w:cstheme="majorBidi"/>
          <w:szCs w:val="22"/>
        </w:rPr>
        <w:t>,</w:t>
      </w:r>
      <w:r w:rsidRPr="009D551E">
        <w:rPr>
          <w:rFonts w:asciiTheme="majorBidi" w:hAnsiTheme="majorBidi" w:cstheme="majorBidi"/>
          <w:szCs w:val="22"/>
        </w:rPr>
        <w:t xml:space="preserve"> and the consideration of cultural, economic and social issues which impact people</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95"/>
      </w:r>
      <w:r w:rsidRPr="009D551E">
        <w:rPr>
          <w:rFonts w:asciiTheme="majorBidi" w:hAnsiTheme="majorBidi" w:cstheme="majorBidi"/>
          <w:szCs w:val="22"/>
        </w:rPr>
        <w:t xml:space="preserve"> Studies have also identified ways to improve the effectiveness of pest risk analysis schemes by, for example, ensuring the participation of local experts, including indigenous peoples and local communities</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96"/>
      </w:r>
      <w:r w:rsidRPr="009D551E">
        <w:rPr>
          <w:rFonts w:asciiTheme="majorBidi" w:hAnsiTheme="majorBidi" w:cstheme="majorBidi"/>
          <w:szCs w:val="22"/>
        </w:rPr>
        <w:t xml:space="preserve"> A further gap noted in the literature is harmoni</w:t>
      </w:r>
      <w:r w:rsidR="000078CC">
        <w:rPr>
          <w:rFonts w:asciiTheme="majorBidi" w:hAnsiTheme="majorBidi" w:cstheme="majorBidi"/>
          <w:szCs w:val="22"/>
        </w:rPr>
        <w:t xml:space="preserve">zed </w:t>
      </w:r>
      <w:r w:rsidRPr="009D551E">
        <w:rPr>
          <w:rFonts w:asciiTheme="majorBidi" w:hAnsiTheme="majorBidi" w:cstheme="majorBidi"/>
          <w:szCs w:val="22"/>
        </w:rPr>
        <w:t xml:space="preserve">and representative data on invasions. </w:t>
      </w:r>
      <w:r w:rsidRPr="009D551E">
        <w:rPr>
          <w:rFonts w:asciiTheme="majorBidi" w:hAnsiTheme="majorBidi" w:cstheme="majorBidi"/>
          <w:szCs w:val="22"/>
        </w:rPr>
        <w:lastRenderedPageBreak/>
        <w:t>However</w:t>
      </w:r>
      <w:r w:rsidR="000078CC">
        <w:rPr>
          <w:rFonts w:asciiTheme="majorBidi" w:hAnsiTheme="majorBidi" w:cstheme="majorBidi"/>
          <w:szCs w:val="22"/>
        </w:rPr>
        <w:t>,</w:t>
      </w:r>
      <w:r w:rsidRPr="009D551E">
        <w:rPr>
          <w:rFonts w:asciiTheme="majorBidi" w:hAnsiTheme="majorBidi" w:cstheme="majorBidi"/>
          <w:szCs w:val="22"/>
        </w:rPr>
        <w:t xml:space="preserve"> initiatives to address this gap are underway, including the Global Register of Introduced and Invasive Species</w:t>
      </w:r>
      <w:r w:rsidR="00071EBB">
        <w:rPr>
          <w:rFonts w:asciiTheme="majorBidi" w:hAnsiTheme="majorBidi" w:cstheme="majorBidi"/>
          <w:szCs w:val="22"/>
        </w:rPr>
        <w:t>.</w:t>
      </w:r>
      <w:r w:rsidRPr="00726685">
        <w:rPr>
          <w:rStyle w:val="FootnoteReference"/>
          <w:rFonts w:asciiTheme="majorBidi" w:hAnsiTheme="majorBidi" w:cstheme="majorBidi"/>
          <w:sz w:val="22"/>
          <w:szCs w:val="22"/>
        </w:rPr>
        <w:footnoteReference w:id="197"/>
      </w:r>
      <w:r w:rsidRPr="009D551E">
        <w:rPr>
          <w:rFonts w:asciiTheme="majorBidi" w:hAnsiTheme="majorBidi" w:cstheme="majorBidi"/>
          <w:szCs w:val="22"/>
        </w:rPr>
        <w:t xml:space="preserve"> </w:t>
      </w:r>
    </w:p>
    <w:p w:rsidR="009D551E" w:rsidRPr="005034F5" w:rsidRDefault="009D551E" w:rsidP="009D551E">
      <w:pPr>
        <w:pStyle w:val="Para1"/>
        <w:tabs>
          <w:tab w:val="clear" w:pos="360"/>
          <w:tab w:val="num" w:pos="720"/>
          <w:tab w:val="num" w:pos="3150"/>
        </w:tabs>
        <w:rPr>
          <w:rFonts w:asciiTheme="majorBidi" w:hAnsiTheme="majorBidi" w:cstheme="majorBidi"/>
          <w:szCs w:val="22"/>
        </w:rPr>
      </w:pPr>
      <w:r w:rsidRPr="005034F5">
        <w:rPr>
          <w:rFonts w:asciiTheme="majorBidi" w:hAnsiTheme="majorBidi" w:cstheme="majorBidi"/>
          <w:szCs w:val="22"/>
        </w:rPr>
        <w:t>Studies have also explored different techniques to identify invasive alien species. These include the use of environmental DNA (eDNA) to identify potential invasive species from the DNA of other known invasive species</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98"/>
      </w:r>
      <w:r w:rsidRPr="005034F5">
        <w:rPr>
          <w:rFonts w:asciiTheme="majorBidi" w:hAnsiTheme="majorBidi" w:cstheme="majorBidi"/>
          <w:szCs w:val="22"/>
        </w:rPr>
        <w:t xml:space="preserve"> </w:t>
      </w:r>
      <w:r w:rsidR="005034F5" w:rsidRPr="005034F5">
        <w:rPr>
          <w:rFonts w:asciiTheme="majorBidi" w:hAnsiTheme="majorBidi" w:cstheme="majorBidi"/>
          <w:szCs w:val="22"/>
        </w:rPr>
        <w:t xml:space="preserve">Environmental DNA </w:t>
      </w:r>
      <w:r w:rsidR="005034F5">
        <w:rPr>
          <w:rFonts w:asciiTheme="majorBidi" w:hAnsiTheme="majorBidi" w:cstheme="majorBidi"/>
          <w:szCs w:val="22"/>
        </w:rPr>
        <w:t>h</w:t>
      </w:r>
      <w:r w:rsidRPr="005034F5">
        <w:rPr>
          <w:rFonts w:asciiTheme="majorBidi" w:hAnsiTheme="majorBidi" w:cstheme="majorBidi"/>
          <w:szCs w:val="22"/>
        </w:rPr>
        <w:t>as been found</w:t>
      </w:r>
      <w:r w:rsidR="005034F5">
        <w:rPr>
          <w:rFonts w:asciiTheme="majorBidi" w:hAnsiTheme="majorBidi" w:cstheme="majorBidi"/>
          <w:szCs w:val="22"/>
        </w:rPr>
        <w:t>,</w:t>
      </w:r>
      <w:r w:rsidRPr="005034F5">
        <w:rPr>
          <w:rFonts w:asciiTheme="majorBidi" w:hAnsiTheme="majorBidi" w:cstheme="majorBidi"/>
          <w:szCs w:val="22"/>
        </w:rPr>
        <w:t xml:space="preserve"> in some studies</w:t>
      </w:r>
      <w:r w:rsidR="005034F5">
        <w:rPr>
          <w:rFonts w:asciiTheme="majorBidi" w:hAnsiTheme="majorBidi" w:cstheme="majorBidi"/>
          <w:szCs w:val="22"/>
        </w:rPr>
        <w:t>,</w:t>
      </w:r>
      <w:r w:rsidRPr="005034F5">
        <w:rPr>
          <w:rFonts w:asciiTheme="majorBidi" w:hAnsiTheme="majorBidi" w:cstheme="majorBidi"/>
          <w:szCs w:val="22"/>
        </w:rPr>
        <w:t xml:space="preserve"> to outperform standard survey methods</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199"/>
      </w:r>
      <w:r w:rsidRPr="005034F5">
        <w:rPr>
          <w:rFonts w:asciiTheme="majorBidi" w:hAnsiTheme="majorBidi" w:cstheme="majorBidi"/>
          <w:szCs w:val="22"/>
        </w:rPr>
        <w:t xml:space="preserve"> The potential applications of eDNA techniques, including eDNA barcoding, are being </w:t>
      </w:r>
      <w:r w:rsidR="005034F5" w:rsidRPr="005034F5">
        <w:rPr>
          <w:rFonts w:asciiTheme="majorBidi" w:hAnsiTheme="majorBidi" w:cstheme="majorBidi"/>
          <w:szCs w:val="22"/>
        </w:rPr>
        <w:t xml:space="preserve">increasingly </w:t>
      </w:r>
      <w:r w:rsidRPr="005034F5">
        <w:rPr>
          <w:rFonts w:asciiTheme="majorBidi" w:hAnsiTheme="majorBidi" w:cstheme="majorBidi"/>
          <w:szCs w:val="22"/>
        </w:rPr>
        <w:t>recognized and explored</w:t>
      </w:r>
      <w:r w:rsidR="00071EBB">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00"/>
      </w:r>
      <w:r w:rsidRPr="005034F5">
        <w:rPr>
          <w:rFonts w:asciiTheme="majorBidi" w:hAnsiTheme="majorBidi" w:cstheme="majorBidi"/>
          <w:szCs w:val="22"/>
        </w:rPr>
        <w:t xml:space="preserve"> Other identification techniques</w:t>
      </w:r>
      <w:r w:rsidR="000809A8">
        <w:rPr>
          <w:rFonts w:asciiTheme="majorBidi" w:hAnsiTheme="majorBidi" w:cstheme="majorBidi"/>
          <w:szCs w:val="22"/>
        </w:rPr>
        <w:t>,</w:t>
      </w:r>
      <w:r w:rsidRPr="005034F5">
        <w:rPr>
          <w:rFonts w:asciiTheme="majorBidi" w:hAnsiTheme="majorBidi" w:cstheme="majorBidi"/>
          <w:szCs w:val="22"/>
        </w:rPr>
        <w:t xml:space="preserve"> based on genetic material discussed in the literature</w:t>
      </w:r>
      <w:r w:rsidR="000809A8">
        <w:rPr>
          <w:rFonts w:asciiTheme="majorBidi" w:hAnsiTheme="majorBidi" w:cstheme="majorBidi"/>
          <w:szCs w:val="22"/>
        </w:rPr>
        <w:t>,</w:t>
      </w:r>
      <w:r w:rsidRPr="005034F5">
        <w:rPr>
          <w:rFonts w:asciiTheme="majorBidi" w:hAnsiTheme="majorBidi" w:cstheme="majorBidi"/>
          <w:szCs w:val="22"/>
        </w:rPr>
        <w:t xml:space="preserve"> include Double Droplet Polymerase Chain Reaction</w:t>
      </w:r>
      <w:r w:rsidR="00071EBB">
        <w:rPr>
          <w:rFonts w:asciiTheme="majorBidi" w:hAnsiTheme="majorBidi" w:cstheme="majorBidi"/>
          <w:szCs w:val="22"/>
        </w:rPr>
        <w:t>,</w:t>
      </w:r>
      <w:r w:rsidRPr="009D551E">
        <w:rPr>
          <w:rStyle w:val="FootnoteReference"/>
          <w:rFonts w:asciiTheme="majorBidi" w:hAnsiTheme="majorBidi" w:cstheme="majorBidi"/>
          <w:sz w:val="22"/>
          <w:szCs w:val="22"/>
        </w:rPr>
        <w:footnoteReference w:id="201"/>
      </w:r>
      <w:r w:rsidRPr="005034F5">
        <w:rPr>
          <w:rFonts w:asciiTheme="majorBidi" w:hAnsiTheme="majorBidi" w:cstheme="majorBidi"/>
          <w:szCs w:val="22"/>
        </w:rPr>
        <w:t xml:space="preserve"> and Dual Loci</w:t>
      </w:r>
      <w:r w:rsidR="00071EBB">
        <w:rPr>
          <w:rFonts w:asciiTheme="majorBidi" w:hAnsiTheme="majorBidi" w:cstheme="majorBidi"/>
          <w:szCs w:val="22"/>
        </w:rPr>
        <w:t>.</w:t>
      </w:r>
      <w:r w:rsidRPr="009D551E">
        <w:rPr>
          <w:rStyle w:val="FootnoteReference"/>
          <w:rFonts w:asciiTheme="majorBidi" w:hAnsiTheme="majorBidi" w:cstheme="majorBidi"/>
          <w:sz w:val="22"/>
          <w:szCs w:val="22"/>
        </w:rPr>
        <w:footnoteReference w:id="202"/>
      </w:r>
      <w:r w:rsidRPr="005034F5">
        <w:rPr>
          <w:rFonts w:asciiTheme="majorBidi" w:hAnsiTheme="majorBidi" w:cstheme="majorBidi"/>
          <w:szCs w:val="22"/>
        </w:rPr>
        <w:t xml:space="preserve"> The </w:t>
      </w:r>
      <w:r w:rsidRPr="00223B5B">
        <w:rPr>
          <w:rFonts w:asciiTheme="majorBidi" w:hAnsiTheme="majorBidi" w:cstheme="majorBidi"/>
          <w:szCs w:val="22"/>
        </w:rPr>
        <w:t>potential use of participatory citizen science in the identification of invasive alien species has also been</w:t>
      </w:r>
      <w:r w:rsidRPr="005034F5">
        <w:rPr>
          <w:rFonts w:asciiTheme="majorBidi" w:hAnsiTheme="majorBidi" w:cstheme="majorBidi"/>
          <w:szCs w:val="22"/>
        </w:rPr>
        <w:t xml:space="preserve"> noted, particularly given that it is cost and time efficient and can be applied to large areas</w:t>
      </w:r>
      <w:r w:rsidR="00071EBB">
        <w:rPr>
          <w:rFonts w:asciiTheme="majorBidi" w:hAnsiTheme="majorBidi" w:cstheme="majorBidi"/>
          <w:szCs w:val="22"/>
        </w:rPr>
        <w:t>.</w:t>
      </w:r>
      <w:r w:rsidRPr="009D551E">
        <w:rPr>
          <w:rStyle w:val="FootnoteReference"/>
          <w:rFonts w:asciiTheme="majorBidi" w:hAnsiTheme="majorBidi" w:cstheme="majorBidi"/>
          <w:sz w:val="22"/>
          <w:szCs w:val="22"/>
        </w:rPr>
        <w:footnoteReference w:id="203"/>
      </w:r>
      <w:r w:rsidRPr="005034F5">
        <w:rPr>
          <w:rFonts w:asciiTheme="majorBidi" w:hAnsiTheme="majorBidi" w:cstheme="majorBidi"/>
          <w:szCs w:val="22"/>
        </w:rPr>
        <w:t xml:space="preserve"> For example</w:t>
      </w:r>
      <w:r w:rsidR="00223B5B">
        <w:rPr>
          <w:rFonts w:asciiTheme="majorBidi" w:hAnsiTheme="majorBidi" w:cstheme="majorBidi"/>
          <w:szCs w:val="22"/>
        </w:rPr>
        <w:t>,</w:t>
      </w:r>
      <w:r w:rsidRPr="005034F5">
        <w:rPr>
          <w:rFonts w:asciiTheme="majorBidi" w:hAnsiTheme="majorBidi" w:cstheme="majorBidi"/>
          <w:szCs w:val="22"/>
        </w:rPr>
        <w:t xml:space="preserve"> one study found that</w:t>
      </w:r>
      <w:r w:rsidR="00223B5B">
        <w:rPr>
          <w:rFonts w:asciiTheme="majorBidi" w:hAnsiTheme="majorBidi" w:cstheme="majorBidi"/>
          <w:szCs w:val="22"/>
        </w:rPr>
        <w:t>,</w:t>
      </w:r>
      <w:r w:rsidRPr="005034F5">
        <w:rPr>
          <w:rFonts w:asciiTheme="majorBidi" w:hAnsiTheme="majorBidi" w:cstheme="majorBidi"/>
          <w:szCs w:val="22"/>
        </w:rPr>
        <w:t xml:space="preserve"> when citizen science was combined with the use of mobile applications or picture identification sheets</w:t>
      </w:r>
      <w:r w:rsidR="00223B5B">
        <w:rPr>
          <w:rFonts w:asciiTheme="majorBidi" w:hAnsiTheme="majorBidi" w:cstheme="majorBidi"/>
          <w:szCs w:val="22"/>
        </w:rPr>
        <w:t>,</w:t>
      </w:r>
      <w:r w:rsidRPr="005034F5">
        <w:rPr>
          <w:rFonts w:asciiTheme="majorBidi" w:hAnsiTheme="majorBidi" w:cstheme="majorBidi"/>
          <w:szCs w:val="22"/>
        </w:rPr>
        <w:t xml:space="preserve"> participants were 90% accurate in their identifications</w:t>
      </w:r>
      <w:r w:rsidR="00071EBB">
        <w:rPr>
          <w:rFonts w:asciiTheme="majorBidi" w:hAnsiTheme="majorBidi" w:cstheme="majorBidi"/>
          <w:szCs w:val="22"/>
        </w:rPr>
        <w:t>.</w:t>
      </w:r>
      <w:r w:rsidRPr="009D551E">
        <w:rPr>
          <w:rStyle w:val="FootnoteReference"/>
          <w:rFonts w:asciiTheme="majorBidi" w:hAnsiTheme="majorBidi" w:cstheme="majorBidi"/>
          <w:sz w:val="22"/>
          <w:szCs w:val="22"/>
        </w:rPr>
        <w:footnoteReference w:id="204"/>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lang w:val="en-US"/>
        </w:rPr>
        <w:t>Research has also been undertaken to better determine what types of habitats are more prone to invasion. For example</w:t>
      </w:r>
      <w:r w:rsidR="00223B5B">
        <w:rPr>
          <w:rFonts w:asciiTheme="majorBidi" w:hAnsiTheme="majorBidi" w:cstheme="majorBidi"/>
          <w:szCs w:val="22"/>
          <w:lang w:val="en-US"/>
        </w:rPr>
        <w:t>,</w:t>
      </w:r>
      <w:r w:rsidRPr="009D551E">
        <w:rPr>
          <w:rFonts w:asciiTheme="majorBidi" w:hAnsiTheme="majorBidi" w:cstheme="majorBidi"/>
          <w:szCs w:val="22"/>
          <w:lang w:val="en-US"/>
        </w:rPr>
        <w:t xml:space="preserve"> invasive alien species have been found to be able to take advantage of artificial structures in the marine environment, such as docks and wave breaks, more so than native species</w:t>
      </w:r>
      <w:r w:rsidR="00071EBB">
        <w:rPr>
          <w:rFonts w:asciiTheme="majorBidi" w:hAnsiTheme="majorBidi" w:cstheme="majorBidi"/>
          <w:szCs w:val="22"/>
          <w:lang w:val="en-US"/>
        </w:rPr>
        <w:t>.</w:t>
      </w:r>
      <w:r w:rsidRPr="009D551E">
        <w:rPr>
          <w:rStyle w:val="StyleFootnoteReferenceNounderline"/>
          <w:rFonts w:asciiTheme="majorBidi" w:hAnsiTheme="majorBidi" w:cstheme="majorBidi"/>
          <w:sz w:val="22"/>
          <w:szCs w:val="22"/>
          <w:vertAlign w:val="superscript"/>
        </w:rPr>
        <w:footnoteReference w:id="205"/>
      </w:r>
      <w:r w:rsidRPr="009D551E">
        <w:rPr>
          <w:rFonts w:asciiTheme="majorBidi" w:hAnsiTheme="majorBidi" w:cstheme="majorBidi"/>
          <w:szCs w:val="22"/>
          <w:lang w:val="en-US"/>
        </w:rPr>
        <w:t xml:space="preserve"> It has also been observed that research facilities in remote areas may be potential introduction pathways</w:t>
      </w:r>
      <w:r w:rsidR="00071EBB">
        <w:rPr>
          <w:rFonts w:asciiTheme="majorBidi" w:hAnsiTheme="majorBidi" w:cstheme="majorBidi"/>
          <w:szCs w:val="22"/>
          <w:lang w:val="en-US"/>
        </w:rPr>
        <w:t>.</w:t>
      </w:r>
      <w:r w:rsidRPr="009D551E">
        <w:rPr>
          <w:rStyle w:val="StyleFootnoteReferenceNounderline"/>
          <w:rFonts w:asciiTheme="majorBidi" w:hAnsiTheme="majorBidi" w:cstheme="majorBidi"/>
          <w:sz w:val="22"/>
          <w:szCs w:val="22"/>
          <w:vertAlign w:val="superscript"/>
        </w:rPr>
        <w:footnoteReference w:id="206"/>
      </w:r>
      <w:r w:rsidRPr="009D551E">
        <w:rPr>
          <w:rFonts w:asciiTheme="majorBidi" w:hAnsiTheme="majorBidi" w:cstheme="majorBidi"/>
          <w:szCs w:val="22"/>
          <w:lang w:val="en-US"/>
        </w:rPr>
        <w:t xml:space="preserve"> </w:t>
      </w:r>
      <w:r w:rsidR="00440667" w:rsidRPr="00720FA7">
        <w:rPr>
          <w:rFonts w:asciiTheme="majorBidi" w:hAnsiTheme="majorBidi" w:cstheme="majorBidi"/>
          <w:szCs w:val="22"/>
          <w:lang w:val="en-US"/>
        </w:rPr>
        <w:lastRenderedPageBreak/>
        <w:t>Artificial beaches and dunes have also been found to be vulnerable to invasion</w:t>
      </w:r>
      <w:r w:rsidR="00071EBB">
        <w:rPr>
          <w:rFonts w:asciiTheme="majorBidi" w:hAnsiTheme="majorBidi" w:cstheme="majorBidi"/>
          <w:szCs w:val="22"/>
          <w:lang w:val="en-US"/>
        </w:rPr>
        <w:t>,</w:t>
      </w:r>
      <w:r w:rsidR="006B331E" w:rsidRPr="00F628C4">
        <w:rPr>
          <w:rStyle w:val="StyleFootnoteReferenceNounderline"/>
          <w:rFonts w:asciiTheme="majorBidi" w:hAnsiTheme="majorBidi" w:cstheme="majorBidi"/>
          <w:sz w:val="22"/>
          <w:szCs w:val="22"/>
          <w:vertAlign w:val="superscript"/>
        </w:rPr>
        <w:footnoteReference w:id="207"/>
      </w:r>
      <w:r w:rsidR="00F628C4">
        <w:rPr>
          <w:rFonts w:asciiTheme="majorBidi" w:hAnsiTheme="majorBidi" w:cstheme="majorBidi"/>
          <w:szCs w:val="22"/>
          <w:lang w:val="en-US"/>
        </w:rPr>
        <w:t xml:space="preserve"> </w:t>
      </w:r>
      <w:r w:rsidR="00440667" w:rsidRPr="00720FA7">
        <w:rPr>
          <w:rFonts w:asciiTheme="majorBidi" w:hAnsiTheme="majorBidi" w:cstheme="majorBidi"/>
          <w:szCs w:val="22"/>
          <w:lang w:val="en-US"/>
        </w:rPr>
        <w:t>while artificial water</w:t>
      </w:r>
      <w:r w:rsidRPr="009D551E">
        <w:rPr>
          <w:rFonts w:asciiTheme="majorBidi" w:hAnsiTheme="majorBidi" w:cstheme="majorBidi"/>
          <w:szCs w:val="22"/>
          <w:lang w:val="en-US"/>
        </w:rPr>
        <w:t xml:space="preserve"> catchments have been found to be a possible introduction pathway to the wider environment</w:t>
      </w:r>
      <w:r w:rsidR="00726685">
        <w:rPr>
          <w:rFonts w:asciiTheme="majorBidi" w:hAnsiTheme="majorBidi" w:cstheme="majorBidi"/>
          <w:szCs w:val="22"/>
          <w:lang w:val="en-US"/>
        </w:rPr>
        <w:t>.</w:t>
      </w:r>
      <w:r w:rsidRPr="009D551E">
        <w:rPr>
          <w:rStyle w:val="StyleFootnoteReferenceNounderline"/>
          <w:rFonts w:asciiTheme="majorBidi" w:hAnsiTheme="majorBidi" w:cstheme="majorBidi"/>
          <w:sz w:val="22"/>
          <w:szCs w:val="22"/>
          <w:vertAlign w:val="superscript"/>
        </w:rPr>
        <w:footnoteReference w:id="208"/>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lang w:val="en-US"/>
        </w:rPr>
        <w:t>Much of the research on invasive alien species since the publication of GBO-4 has focused on techniques for preventing, controlling or eradicating invasive alien species. For example</w:t>
      </w:r>
      <w:r w:rsidR="00F628C4">
        <w:rPr>
          <w:rFonts w:asciiTheme="majorBidi" w:hAnsiTheme="majorBidi" w:cstheme="majorBidi"/>
          <w:szCs w:val="22"/>
          <w:lang w:val="en-US"/>
        </w:rPr>
        <w:t>,</w:t>
      </w:r>
      <w:r w:rsidRPr="009D551E">
        <w:rPr>
          <w:rFonts w:asciiTheme="majorBidi" w:hAnsiTheme="majorBidi" w:cstheme="majorBidi"/>
          <w:szCs w:val="22"/>
          <w:lang w:val="en-US"/>
        </w:rPr>
        <w:t xml:space="preserve"> the use of sodium hypochlorite as a means of controlling species invading coral reefs</w:t>
      </w:r>
      <w:r w:rsidRPr="009D551E">
        <w:rPr>
          <w:rStyle w:val="FootnoteReference"/>
          <w:rFonts w:asciiTheme="majorBidi" w:hAnsiTheme="majorBidi" w:cstheme="majorBidi"/>
          <w:sz w:val="22"/>
          <w:szCs w:val="22"/>
          <w:lang w:val="en-US"/>
        </w:rPr>
        <w:footnoteReference w:id="209"/>
      </w:r>
      <w:r w:rsidRPr="009D551E">
        <w:rPr>
          <w:rFonts w:asciiTheme="majorBidi" w:hAnsiTheme="majorBidi" w:cstheme="majorBidi"/>
          <w:szCs w:val="22"/>
          <w:lang w:val="en-US"/>
        </w:rPr>
        <w:t xml:space="preserve"> has been explored</w:t>
      </w:r>
      <w:r w:rsidR="00F628C4">
        <w:rPr>
          <w:rFonts w:asciiTheme="majorBidi" w:hAnsiTheme="majorBidi" w:cstheme="majorBidi"/>
          <w:szCs w:val="22"/>
          <w:lang w:val="en-US"/>
        </w:rPr>
        <w:t>,</w:t>
      </w:r>
      <w:r w:rsidRPr="009D551E">
        <w:rPr>
          <w:rFonts w:asciiTheme="majorBidi" w:hAnsiTheme="majorBidi" w:cstheme="majorBidi"/>
          <w:szCs w:val="22"/>
          <w:lang w:val="en-US"/>
        </w:rPr>
        <w:t xml:space="preserve"> as has the use of sodium hydroxide to treat ship ballast water for invasive bacteria</w:t>
      </w:r>
      <w:r w:rsidR="00071EBB">
        <w:rPr>
          <w:rFonts w:asciiTheme="majorBidi" w:hAnsiTheme="majorBidi" w:cstheme="majorBidi"/>
          <w:szCs w:val="22"/>
          <w:lang w:val="en-US"/>
        </w:rPr>
        <w:t>.</w:t>
      </w:r>
      <w:r w:rsidRPr="009D551E">
        <w:rPr>
          <w:rStyle w:val="FootnoteReference"/>
          <w:rFonts w:asciiTheme="majorBidi" w:hAnsiTheme="majorBidi" w:cstheme="majorBidi"/>
          <w:sz w:val="22"/>
          <w:szCs w:val="22"/>
          <w:lang w:val="en-US"/>
        </w:rPr>
        <w:footnoteReference w:id="210"/>
      </w:r>
      <w:r w:rsidRPr="009D551E">
        <w:rPr>
          <w:rFonts w:asciiTheme="majorBidi" w:hAnsiTheme="majorBidi" w:cstheme="majorBidi"/>
          <w:szCs w:val="22"/>
          <w:lang w:val="en-US"/>
        </w:rPr>
        <w:t xml:space="preserve"> Other studies looked at the effectiveness of other control methods</w:t>
      </w:r>
      <w:r w:rsidR="00F628C4">
        <w:rPr>
          <w:rFonts w:asciiTheme="majorBidi" w:hAnsiTheme="majorBidi" w:cstheme="majorBidi"/>
          <w:szCs w:val="22"/>
          <w:lang w:val="en-US"/>
        </w:rPr>
        <w:t>,</w:t>
      </w:r>
      <w:r w:rsidRPr="009D551E">
        <w:rPr>
          <w:rFonts w:asciiTheme="majorBidi" w:hAnsiTheme="majorBidi" w:cstheme="majorBidi"/>
          <w:szCs w:val="22"/>
          <w:lang w:val="en-US"/>
        </w:rPr>
        <w:t xml:space="preserve"> including self-resetting traps and toxicant-free bait</w:t>
      </w:r>
      <w:r w:rsidR="00071EBB">
        <w:rPr>
          <w:rFonts w:asciiTheme="majorBidi" w:hAnsiTheme="majorBidi" w:cstheme="majorBidi"/>
          <w:szCs w:val="22"/>
          <w:lang w:val="en-US"/>
        </w:rPr>
        <w:t>,</w:t>
      </w:r>
      <w:r w:rsidRPr="009D551E">
        <w:rPr>
          <w:rStyle w:val="FootnoteReference"/>
          <w:rFonts w:asciiTheme="majorBidi" w:hAnsiTheme="majorBidi" w:cstheme="majorBidi"/>
          <w:sz w:val="22"/>
          <w:szCs w:val="22"/>
          <w:lang w:val="en-US"/>
        </w:rPr>
        <w:footnoteReference w:id="211"/>
      </w:r>
      <w:r w:rsidRPr="009D551E">
        <w:rPr>
          <w:rFonts w:asciiTheme="majorBidi" w:hAnsiTheme="majorBidi" w:cstheme="majorBidi"/>
          <w:szCs w:val="22"/>
          <w:lang w:val="en-US"/>
        </w:rPr>
        <w:t xml:space="preserve"> and phytosanitary irradiation</w:t>
      </w:r>
      <w:r w:rsidR="00071EBB">
        <w:rPr>
          <w:rFonts w:asciiTheme="majorBidi" w:hAnsiTheme="majorBidi" w:cstheme="majorBidi"/>
          <w:szCs w:val="22"/>
          <w:lang w:val="en-US"/>
        </w:rPr>
        <w:t>.</w:t>
      </w:r>
      <w:r w:rsidRPr="009D551E">
        <w:rPr>
          <w:rStyle w:val="FootnoteReference"/>
          <w:rFonts w:asciiTheme="majorBidi" w:hAnsiTheme="majorBidi" w:cstheme="majorBidi"/>
          <w:sz w:val="22"/>
          <w:szCs w:val="22"/>
          <w:lang w:val="en-US"/>
        </w:rPr>
        <w:footnoteReference w:id="212"/>
      </w:r>
      <w:r w:rsidRPr="009D551E">
        <w:rPr>
          <w:rFonts w:asciiTheme="majorBidi" w:hAnsiTheme="majorBidi" w:cstheme="majorBidi"/>
          <w:szCs w:val="22"/>
          <w:lang w:val="en-US"/>
        </w:rPr>
        <w:t xml:space="preserve"> Biological control of invasive species is a further method which has been explored in the literature. However</w:t>
      </w:r>
      <w:r w:rsidR="00F628C4">
        <w:rPr>
          <w:rFonts w:asciiTheme="majorBidi" w:hAnsiTheme="majorBidi" w:cstheme="majorBidi"/>
          <w:szCs w:val="22"/>
          <w:lang w:val="en-US"/>
        </w:rPr>
        <w:t>,</w:t>
      </w:r>
      <w:r w:rsidRPr="009D551E">
        <w:rPr>
          <w:rFonts w:asciiTheme="majorBidi" w:hAnsiTheme="majorBidi" w:cstheme="majorBidi"/>
          <w:szCs w:val="22"/>
          <w:lang w:val="en-US"/>
        </w:rPr>
        <w:t xml:space="preserve"> many studies have noted the importance of post</w:t>
      </w:r>
      <w:r w:rsidR="00F628C4">
        <w:rPr>
          <w:rFonts w:asciiTheme="majorBidi" w:hAnsiTheme="majorBidi" w:cstheme="majorBidi"/>
          <w:szCs w:val="22"/>
          <w:lang w:val="en-US"/>
        </w:rPr>
        <w:t>-</w:t>
      </w:r>
      <w:r w:rsidRPr="009D551E">
        <w:rPr>
          <w:rFonts w:asciiTheme="majorBidi" w:hAnsiTheme="majorBidi" w:cstheme="majorBidi"/>
          <w:szCs w:val="22"/>
          <w:lang w:val="en-US"/>
        </w:rPr>
        <w:t>release monitoring programs, and the potential for secondary invasions from the introduction of biological control agents</w:t>
      </w:r>
      <w:r w:rsidRPr="009D551E">
        <w:rPr>
          <w:rStyle w:val="FootnoteReference"/>
          <w:rFonts w:asciiTheme="majorBidi" w:hAnsiTheme="majorBidi" w:cstheme="majorBidi"/>
          <w:sz w:val="22"/>
          <w:szCs w:val="22"/>
          <w:lang w:val="en-US"/>
        </w:rPr>
        <w:footnoteReference w:id="213"/>
      </w:r>
      <w:r w:rsidRPr="009D551E">
        <w:rPr>
          <w:rFonts w:asciiTheme="majorBidi" w:hAnsiTheme="majorBidi" w:cstheme="majorBidi"/>
          <w:szCs w:val="22"/>
          <w:lang w:val="en-US"/>
        </w:rPr>
        <w:t xml:space="preserve"> and the need to consider the effect of the biological control agent on the ecosystem it is being introduced to</w:t>
      </w:r>
      <w:r w:rsidR="00071EBB">
        <w:rPr>
          <w:rFonts w:asciiTheme="majorBidi" w:hAnsiTheme="majorBidi" w:cstheme="majorBidi"/>
          <w:szCs w:val="22"/>
          <w:lang w:val="en-US"/>
        </w:rPr>
        <w:t>.</w:t>
      </w:r>
      <w:r w:rsidRPr="009D551E">
        <w:rPr>
          <w:rStyle w:val="FootnoteReference"/>
          <w:rFonts w:asciiTheme="majorBidi" w:hAnsiTheme="majorBidi" w:cstheme="majorBidi"/>
          <w:sz w:val="22"/>
          <w:szCs w:val="22"/>
          <w:lang w:val="en-US"/>
        </w:rPr>
        <w:footnoteReference w:id="214"/>
      </w:r>
      <w:r w:rsidRPr="009D551E">
        <w:rPr>
          <w:rFonts w:asciiTheme="majorBidi" w:hAnsiTheme="majorBidi" w:cstheme="majorBidi"/>
          <w:szCs w:val="22"/>
          <w:lang w:val="en-US"/>
        </w:rPr>
        <w:t xml:space="preserve"> One general observation from the available scientific literature</w:t>
      </w:r>
      <w:r w:rsidR="00F628C4">
        <w:rPr>
          <w:rFonts w:asciiTheme="majorBidi" w:hAnsiTheme="majorBidi" w:cstheme="majorBidi"/>
          <w:szCs w:val="22"/>
          <w:lang w:val="en-US"/>
        </w:rPr>
        <w:t>,</w:t>
      </w:r>
      <w:r w:rsidRPr="009D551E">
        <w:rPr>
          <w:rFonts w:asciiTheme="majorBidi" w:hAnsiTheme="majorBidi" w:cstheme="majorBidi"/>
          <w:szCs w:val="22"/>
          <w:lang w:val="en-US"/>
        </w:rPr>
        <w:t xml:space="preserve"> related to eradication</w:t>
      </w:r>
      <w:r w:rsidR="00F628C4">
        <w:rPr>
          <w:rFonts w:asciiTheme="majorBidi" w:hAnsiTheme="majorBidi" w:cstheme="majorBidi"/>
          <w:szCs w:val="22"/>
          <w:lang w:val="en-US"/>
        </w:rPr>
        <w:t>,</w:t>
      </w:r>
      <w:r w:rsidRPr="009D551E">
        <w:rPr>
          <w:rFonts w:asciiTheme="majorBidi" w:hAnsiTheme="majorBidi" w:cstheme="majorBidi"/>
          <w:szCs w:val="22"/>
          <w:lang w:val="en-US"/>
        </w:rPr>
        <w:t xml:space="preserve"> is that there is generally a lack of methods which have been found to be successful and </w:t>
      </w:r>
      <w:r w:rsidR="00F628C4">
        <w:rPr>
          <w:rFonts w:asciiTheme="majorBidi" w:hAnsiTheme="majorBidi" w:cstheme="majorBidi"/>
          <w:szCs w:val="22"/>
          <w:lang w:val="en-US"/>
        </w:rPr>
        <w:t xml:space="preserve">that </w:t>
      </w:r>
      <w:r w:rsidRPr="009D551E">
        <w:rPr>
          <w:rFonts w:asciiTheme="majorBidi" w:hAnsiTheme="majorBidi" w:cstheme="majorBidi"/>
          <w:szCs w:val="22"/>
          <w:lang w:val="en-US"/>
        </w:rPr>
        <w:t>could be applied to a variety of species in different taxonomic groups</w:t>
      </w:r>
      <w:r w:rsidR="00071EBB">
        <w:rPr>
          <w:rFonts w:asciiTheme="majorBidi" w:hAnsiTheme="majorBidi" w:cstheme="majorBidi"/>
          <w:szCs w:val="22"/>
          <w:lang w:val="en-US"/>
        </w:rPr>
        <w:t>.</w:t>
      </w:r>
      <w:r w:rsidRPr="009D551E">
        <w:rPr>
          <w:rStyle w:val="FootnoteReference"/>
          <w:rFonts w:asciiTheme="majorBidi" w:hAnsiTheme="majorBidi" w:cstheme="majorBidi"/>
          <w:sz w:val="22"/>
          <w:szCs w:val="22"/>
          <w:lang w:val="en-US"/>
        </w:rPr>
        <w:footnoteReference w:id="215"/>
      </w:r>
    </w:p>
    <w:p w:rsidR="00043509" w:rsidRDefault="009D551E" w:rsidP="00043509">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Studies have also been undertaken to better quantify the impacts of invasive alien species control and eradication programmes. For example</w:t>
      </w:r>
      <w:r w:rsidR="00F628C4">
        <w:rPr>
          <w:rFonts w:asciiTheme="majorBidi" w:hAnsiTheme="majorBidi" w:cstheme="majorBidi"/>
          <w:szCs w:val="22"/>
        </w:rPr>
        <w:t>,</w:t>
      </w:r>
      <w:r w:rsidRPr="009D551E">
        <w:rPr>
          <w:rFonts w:asciiTheme="majorBidi" w:hAnsiTheme="majorBidi" w:cstheme="majorBidi"/>
          <w:szCs w:val="22"/>
        </w:rPr>
        <w:t xml:space="preserve"> 236 native terrestrial island animal species, of which 107 were highly threatened bird, mammal and reptile species, were found to have benefits from the eradication of 251 invasive mammals on 181 islands</w:t>
      </w:r>
      <w:r w:rsidR="00071EBB">
        <w:rPr>
          <w:rFonts w:asciiTheme="majorBidi" w:hAnsiTheme="majorBidi" w:cstheme="majorBidi"/>
          <w:szCs w:val="22"/>
        </w:rPr>
        <w:t>.</w:t>
      </w:r>
      <w:r w:rsidRPr="009D551E">
        <w:rPr>
          <w:rStyle w:val="FootnoteReference"/>
          <w:rFonts w:asciiTheme="majorBidi" w:hAnsiTheme="majorBidi" w:cstheme="majorBidi"/>
          <w:sz w:val="22"/>
          <w:szCs w:val="22"/>
        </w:rPr>
        <w:footnoteReference w:id="216"/>
      </w:r>
      <w:r w:rsidR="00F628C4">
        <w:rPr>
          <w:rFonts w:asciiTheme="majorBidi" w:hAnsiTheme="majorBidi" w:cstheme="majorBidi"/>
          <w:szCs w:val="22"/>
        </w:rPr>
        <w:t xml:space="preserve"> </w:t>
      </w:r>
      <w:r w:rsidRPr="00043509">
        <w:rPr>
          <w:rFonts w:asciiTheme="majorBidi" w:hAnsiTheme="majorBidi" w:cstheme="majorBidi"/>
          <w:szCs w:val="22"/>
          <w:lang w:val="en-US"/>
        </w:rPr>
        <w:t>One region where the control of invasive alien species is showing some success is in Antar</w:t>
      </w:r>
      <w:r w:rsidR="00F628C4">
        <w:rPr>
          <w:rFonts w:asciiTheme="majorBidi" w:hAnsiTheme="majorBidi" w:cstheme="majorBidi"/>
          <w:szCs w:val="22"/>
          <w:lang w:val="en-US"/>
        </w:rPr>
        <w:t>c</w:t>
      </w:r>
      <w:r w:rsidRPr="00043509">
        <w:rPr>
          <w:rFonts w:asciiTheme="majorBidi" w:hAnsiTheme="majorBidi" w:cstheme="majorBidi"/>
          <w:szCs w:val="22"/>
          <w:lang w:val="en-US"/>
        </w:rPr>
        <w:t>tica. Under the Antarctic Treaty System</w:t>
      </w:r>
      <w:r w:rsidR="00F628C4">
        <w:rPr>
          <w:rFonts w:asciiTheme="majorBidi" w:hAnsiTheme="majorBidi" w:cstheme="majorBidi"/>
          <w:szCs w:val="22"/>
          <w:lang w:val="en-US"/>
        </w:rPr>
        <w:t>,</w:t>
      </w:r>
      <w:r w:rsidRPr="00043509">
        <w:rPr>
          <w:rFonts w:asciiTheme="majorBidi" w:hAnsiTheme="majorBidi" w:cstheme="majorBidi"/>
          <w:szCs w:val="22"/>
          <w:lang w:val="en-US"/>
        </w:rPr>
        <w:t xml:space="preserve"> the introduction pathways for invasive alien species have been identified and prior</w:t>
      </w:r>
      <w:r w:rsidR="00043509" w:rsidRPr="00043509">
        <w:rPr>
          <w:rFonts w:asciiTheme="majorBidi" w:hAnsiTheme="majorBidi" w:cstheme="majorBidi"/>
          <w:szCs w:val="22"/>
          <w:lang w:val="en-US"/>
        </w:rPr>
        <w:t>itized and actions to manage</w:t>
      </w:r>
      <w:r w:rsidRPr="00043509">
        <w:rPr>
          <w:rFonts w:asciiTheme="majorBidi" w:hAnsiTheme="majorBidi" w:cstheme="majorBidi"/>
          <w:szCs w:val="22"/>
          <w:lang w:val="en-US"/>
        </w:rPr>
        <w:t xml:space="preserve"> them have been put in place. Similarly</w:t>
      </w:r>
      <w:r w:rsidR="00F628C4">
        <w:rPr>
          <w:rFonts w:asciiTheme="majorBidi" w:hAnsiTheme="majorBidi" w:cstheme="majorBidi"/>
          <w:szCs w:val="22"/>
          <w:lang w:val="en-US"/>
        </w:rPr>
        <w:t>,</w:t>
      </w:r>
      <w:r w:rsidRPr="00043509">
        <w:rPr>
          <w:rFonts w:asciiTheme="majorBidi" w:hAnsiTheme="majorBidi" w:cstheme="majorBidi"/>
          <w:szCs w:val="22"/>
          <w:lang w:val="en-US"/>
        </w:rPr>
        <w:t xml:space="preserve"> actions to control or eradicate invasive alien species have also been undertaken</w:t>
      </w:r>
      <w:r w:rsidR="00071EBB">
        <w:rPr>
          <w:rFonts w:asciiTheme="majorBidi" w:hAnsiTheme="majorBidi" w:cstheme="majorBidi"/>
          <w:szCs w:val="22"/>
          <w:lang w:val="en-US"/>
        </w:rPr>
        <w:t>.</w:t>
      </w:r>
      <w:r w:rsidRPr="00F628C4">
        <w:rPr>
          <w:rStyle w:val="FootnoteReference"/>
          <w:rFonts w:asciiTheme="majorBidi" w:hAnsiTheme="majorBidi" w:cstheme="majorBidi"/>
          <w:sz w:val="22"/>
          <w:szCs w:val="22"/>
          <w:lang w:val="en-US"/>
        </w:rPr>
        <w:footnoteReference w:id="217"/>
      </w:r>
    </w:p>
    <w:p w:rsidR="009D551E" w:rsidRPr="00043509" w:rsidRDefault="009D551E" w:rsidP="00043509">
      <w:pPr>
        <w:pStyle w:val="Para1"/>
        <w:tabs>
          <w:tab w:val="clear" w:pos="360"/>
          <w:tab w:val="num" w:pos="720"/>
          <w:tab w:val="num" w:pos="3150"/>
        </w:tabs>
        <w:rPr>
          <w:rFonts w:asciiTheme="majorBidi" w:hAnsiTheme="majorBidi" w:cstheme="majorBidi"/>
          <w:szCs w:val="22"/>
        </w:rPr>
      </w:pPr>
      <w:r w:rsidRPr="00043509">
        <w:rPr>
          <w:rFonts w:asciiTheme="majorBidi" w:hAnsiTheme="majorBidi" w:cstheme="majorBidi"/>
          <w:szCs w:val="22"/>
        </w:rPr>
        <w:t>Trends in invasive alien species are influenced by various factors</w:t>
      </w:r>
      <w:r w:rsidR="00043509">
        <w:rPr>
          <w:rFonts w:asciiTheme="majorBidi" w:hAnsiTheme="majorBidi" w:cstheme="majorBidi"/>
          <w:szCs w:val="22"/>
        </w:rPr>
        <w:t>, including</w:t>
      </w:r>
      <w:r w:rsidRPr="00043509">
        <w:rPr>
          <w:rFonts w:asciiTheme="majorBidi" w:hAnsiTheme="majorBidi" w:cstheme="majorBidi"/>
          <w:szCs w:val="22"/>
        </w:rPr>
        <w:t xml:space="preserve"> scientific, technological and socio-political issues. For example</w:t>
      </w:r>
      <w:r w:rsidR="00F628C4">
        <w:rPr>
          <w:rFonts w:asciiTheme="majorBidi" w:hAnsiTheme="majorBidi" w:cstheme="majorBidi"/>
          <w:szCs w:val="22"/>
        </w:rPr>
        <w:t>,</w:t>
      </w:r>
      <w:r w:rsidRPr="00043509">
        <w:rPr>
          <w:rFonts w:asciiTheme="majorBidi" w:hAnsiTheme="majorBidi" w:cstheme="majorBidi"/>
          <w:szCs w:val="22"/>
        </w:rPr>
        <w:t xml:space="preserve"> an exercise to identify challenges and opportunities related to the introduction and spread of invasive alien species concluded that genetic modification tools, </w:t>
      </w:r>
      <w:r w:rsidRPr="00043509">
        <w:rPr>
          <w:rFonts w:asciiTheme="majorBidi" w:hAnsiTheme="majorBidi" w:cstheme="majorBidi"/>
          <w:szCs w:val="22"/>
        </w:rPr>
        <w:lastRenderedPageBreak/>
        <w:t>Arctic globalization, the commercial use of microbes in crop production, invasive microbial pathogens and intercontinental trade agreements all had the potential to significantly impact the control and spread of invasive alien species in the future</w:t>
      </w:r>
      <w:r w:rsidR="00071EBB">
        <w:rPr>
          <w:rFonts w:asciiTheme="majorBidi" w:hAnsiTheme="majorBidi" w:cstheme="majorBidi"/>
          <w:szCs w:val="22"/>
        </w:rPr>
        <w:t>.</w:t>
      </w:r>
      <w:r w:rsidRPr="00043509">
        <w:rPr>
          <w:rStyle w:val="FootnoteReference"/>
          <w:rFonts w:asciiTheme="majorBidi" w:hAnsiTheme="majorBidi" w:cstheme="majorBidi"/>
          <w:sz w:val="22"/>
          <w:szCs w:val="22"/>
        </w:rPr>
        <w:footnoteReference w:id="218"/>
      </w:r>
      <w:r w:rsidRPr="00043509">
        <w:rPr>
          <w:rFonts w:asciiTheme="majorBidi" w:hAnsiTheme="majorBidi" w:cstheme="majorBidi"/>
          <w:szCs w:val="22"/>
        </w:rPr>
        <w:t xml:space="preserve"> The study further concluded, based on the diversity of issues identified, that the control of invasive alien species would benefit from the application of more multidisciplinary approaches. </w:t>
      </w:r>
    </w:p>
    <w:p w:rsidR="009D551E" w:rsidRPr="007A2C7A" w:rsidRDefault="009D551E" w:rsidP="00043509">
      <w:pPr>
        <w:pStyle w:val="Para1"/>
        <w:tabs>
          <w:tab w:val="clear" w:pos="360"/>
          <w:tab w:val="num" w:pos="720"/>
          <w:tab w:val="num" w:pos="3150"/>
        </w:tabs>
        <w:rPr>
          <w:rFonts w:asciiTheme="majorBidi" w:hAnsiTheme="majorBidi" w:cstheme="majorBidi"/>
          <w:szCs w:val="22"/>
        </w:rPr>
      </w:pPr>
      <w:r w:rsidRPr="007A2C7A">
        <w:rPr>
          <w:rFonts w:asciiTheme="majorBidi" w:hAnsiTheme="majorBidi" w:cstheme="majorBidi"/>
          <w:szCs w:val="22"/>
          <w:lang w:val="en-US"/>
        </w:rPr>
        <w:t>One indicator used in GBO-4</w:t>
      </w:r>
      <w:r w:rsidR="00440667" w:rsidRPr="00720FA7">
        <w:rPr>
          <w:rFonts w:asciiTheme="majorBidi" w:hAnsiTheme="majorBidi" w:cstheme="majorBidi"/>
          <w:szCs w:val="22"/>
          <w:lang w:val="en-US"/>
        </w:rPr>
        <w:t>,</w:t>
      </w:r>
      <w:r w:rsidRPr="007A2C7A">
        <w:rPr>
          <w:rFonts w:asciiTheme="majorBidi" w:hAnsiTheme="majorBidi" w:cstheme="majorBidi"/>
          <w:szCs w:val="22"/>
          <w:lang w:val="en-US"/>
        </w:rPr>
        <w:t xml:space="preserve"> the Red List Index (impacts of invasive alien species)</w:t>
      </w:r>
      <w:r w:rsidR="007A2C7A" w:rsidRPr="007A2C7A">
        <w:rPr>
          <w:rFonts w:asciiTheme="majorBidi" w:hAnsiTheme="majorBidi" w:cstheme="majorBidi"/>
          <w:szCs w:val="22"/>
          <w:lang w:val="en-US"/>
        </w:rPr>
        <w:t>,</w:t>
      </w:r>
      <w:r w:rsidRPr="007A2C7A">
        <w:rPr>
          <w:rFonts w:asciiTheme="majorBidi" w:hAnsiTheme="majorBidi" w:cstheme="majorBidi"/>
          <w:szCs w:val="22"/>
          <w:lang w:val="en-US"/>
        </w:rPr>
        <w:t xml:space="preserve"> </w:t>
      </w:r>
      <w:r w:rsidR="00440667" w:rsidRPr="00720FA7">
        <w:rPr>
          <w:rFonts w:asciiTheme="majorBidi" w:hAnsiTheme="majorBidi" w:cstheme="majorBidi"/>
          <w:szCs w:val="22"/>
          <w:lang w:val="en-US"/>
        </w:rPr>
        <w:t xml:space="preserve">has been updated since the report was released. </w:t>
      </w:r>
      <w:r w:rsidRPr="007A2C7A">
        <w:rPr>
          <w:rFonts w:asciiTheme="majorBidi" w:hAnsiTheme="majorBidi" w:cstheme="majorBidi"/>
          <w:szCs w:val="22"/>
          <w:lang w:val="en-US"/>
        </w:rPr>
        <w:t xml:space="preserve">The indicator shows a </w:t>
      </w:r>
      <w:r w:rsidR="00043509" w:rsidRPr="007A2C7A">
        <w:rPr>
          <w:rFonts w:asciiTheme="majorBidi" w:hAnsiTheme="majorBidi" w:cstheme="majorBidi"/>
          <w:szCs w:val="22"/>
          <w:lang w:val="en-US"/>
        </w:rPr>
        <w:t>trend negative for biod</w:t>
      </w:r>
      <w:r w:rsidR="007A2C7A" w:rsidRPr="007A2C7A">
        <w:rPr>
          <w:rFonts w:asciiTheme="majorBidi" w:hAnsiTheme="majorBidi" w:cstheme="majorBidi"/>
          <w:szCs w:val="22"/>
          <w:lang w:val="en-US"/>
        </w:rPr>
        <w:t>i</w:t>
      </w:r>
      <w:r w:rsidR="00043509" w:rsidRPr="007A2C7A">
        <w:rPr>
          <w:rFonts w:asciiTheme="majorBidi" w:hAnsiTheme="majorBidi" w:cstheme="majorBidi"/>
          <w:szCs w:val="22"/>
          <w:lang w:val="en-US"/>
        </w:rPr>
        <w:t>versity</w:t>
      </w:r>
      <w:r w:rsidR="00071EBB">
        <w:rPr>
          <w:rFonts w:asciiTheme="majorBidi" w:hAnsiTheme="majorBidi" w:cstheme="majorBidi"/>
          <w:szCs w:val="22"/>
          <w:lang w:val="en-US"/>
        </w:rPr>
        <w:t>.</w:t>
      </w:r>
      <w:r w:rsidRPr="007A2C7A">
        <w:rPr>
          <w:rStyle w:val="FootnoteReference"/>
          <w:rFonts w:asciiTheme="majorBidi" w:hAnsiTheme="majorBidi" w:cstheme="majorBidi"/>
          <w:sz w:val="22"/>
          <w:szCs w:val="22"/>
          <w:lang w:val="en-US"/>
        </w:rPr>
        <w:footnoteReference w:id="219"/>
      </w:r>
      <w:r w:rsidRPr="007A2C7A">
        <w:rPr>
          <w:rFonts w:asciiTheme="majorBidi" w:hAnsiTheme="majorBidi" w:cstheme="majorBidi"/>
          <w:szCs w:val="22"/>
          <w:lang w:val="en-US"/>
        </w:rPr>
        <w:t xml:space="preserve"> </w:t>
      </w:r>
    </w:p>
    <w:p w:rsidR="009D551E" w:rsidRPr="009D551E" w:rsidRDefault="009D551E" w:rsidP="00043509">
      <w:pPr>
        <w:pStyle w:val="Para1"/>
        <w:tabs>
          <w:tab w:val="clear" w:pos="360"/>
          <w:tab w:val="num" w:pos="567"/>
          <w:tab w:val="num" w:pos="3150"/>
        </w:tabs>
        <w:rPr>
          <w:rFonts w:asciiTheme="majorBidi" w:hAnsiTheme="majorBidi" w:cstheme="majorBidi"/>
          <w:szCs w:val="22"/>
        </w:rPr>
      </w:pPr>
      <w:r w:rsidRPr="009D551E">
        <w:rPr>
          <w:rFonts w:asciiTheme="majorBidi" w:hAnsiTheme="majorBidi" w:cstheme="majorBidi"/>
          <w:szCs w:val="22"/>
        </w:rPr>
        <w:t>The scientific information that has become available since the publication of GBO-4 suggests that the progress towards this target is largely unchanged from what was previously reported. Similarly</w:t>
      </w:r>
      <w:r w:rsidR="007A2C7A">
        <w:rPr>
          <w:rFonts w:asciiTheme="majorBidi" w:hAnsiTheme="majorBidi" w:cstheme="majorBidi"/>
          <w:szCs w:val="22"/>
        </w:rPr>
        <w:t>,</w:t>
      </w:r>
      <w:r w:rsidRPr="009D551E">
        <w:rPr>
          <w:rFonts w:asciiTheme="majorBidi" w:hAnsiTheme="majorBidi" w:cstheme="majorBidi"/>
          <w:szCs w:val="22"/>
        </w:rPr>
        <w:t xml:space="preserve"> t</w:t>
      </w:r>
      <w:r w:rsidRPr="009D551E">
        <w:rPr>
          <w:rFonts w:asciiTheme="majorBidi" w:hAnsiTheme="majorBidi" w:cstheme="majorBidi"/>
          <w:szCs w:val="22"/>
          <w:lang w:val="en-US"/>
        </w:rPr>
        <w:t xml:space="preserve">he information published since 2014 indicates that the actions identified in GBO-4 to accelerate progress towards this target remain relevant. Other potential actions which have been identified in the literature include undertaking actions to </w:t>
      </w:r>
      <w:r w:rsidR="00043509">
        <w:rPr>
          <w:rFonts w:asciiTheme="majorBidi" w:hAnsiTheme="majorBidi" w:cstheme="majorBidi"/>
          <w:szCs w:val="22"/>
          <w:lang w:val="en-US"/>
        </w:rPr>
        <w:t>diversify</w:t>
      </w:r>
      <w:r w:rsidRPr="009D551E">
        <w:rPr>
          <w:rFonts w:asciiTheme="majorBidi" w:hAnsiTheme="majorBidi" w:cstheme="majorBidi"/>
          <w:szCs w:val="22"/>
          <w:lang w:val="en-US"/>
        </w:rPr>
        <w:t xml:space="preserve"> species lists</w:t>
      </w:r>
      <w:r w:rsidR="007A2C7A">
        <w:rPr>
          <w:rFonts w:asciiTheme="majorBidi" w:hAnsiTheme="majorBidi" w:cstheme="majorBidi"/>
          <w:szCs w:val="22"/>
          <w:lang w:val="en-US"/>
        </w:rPr>
        <w:t>,</w:t>
      </w:r>
      <w:r w:rsidRPr="009D551E">
        <w:rPr>
          <w:rFonts w:asciiTheme="majorBidi" w:hAnsiTheme="majorBidi" w:cstheme="majorBidi"/>
          <w:szCs w:val="22"/>
          <w:lang w:val="en-US"/>
        </w:rPr>
        <w:t xml:space="preserve"> w</w:t>
      </w:r>
      <w:r w:rsidR="007A2C7A">
        <w:rPr>
          <w:rFonts w:asciiTheme="majorBidi" w:hAnsiTheme="majorBidi" w:cstheme="majorBidi"/>
          <w:szCs w:val="22"/>
          <w:lang w:val="en-US"/>
        </w:rPr>
        <w:t>h</w:t>
      </w:r>
      <w:r w:rsidRPr="009D551E">
        <w:rPr>
          <w:rFonts w:asciiTheme="majorBidi" w:hAnsiTheme="majorBidi" w:cstheme="majorBidi"/>
          <w:szCs w:val="22"/>
          <w:lang w:val="en-US"/>
        </w:rPr>
        <w:t xml:space="preserve">ere there are gaps for some </w:t>
      </w:r>
      <w:r w:rsidR="00043509">
        <w:rPr>
          <w:rFonts w:asciiTheme="majorBidi" w:hAnsiTheme="majorBidi" w:cstheme="majorBidi"/>
          <w:szCs w:val="22"/>
          <w:lang w:val="en-US"/>
        </w:rPr>
        <w:t>genera</w:t>
      </w:r>
      <w:r w:rsidR="00D55B9C">
        <w:rPr>
          <w:rFonts w:asciiTheme="majorBidi" w:hAnsiTheme="majorBidi" w:cstheme="majorBidi"/>
          <w:szCs w:val="22"/>
          <w:lang w:val="en-US"/>
        </w:rPr>
        <w:t>,</w:t>
      </w:r>
      <w:r w:rsidRPr="009D551E">
        <w:rPr>
          <w:rStyle w:val="StyleFootnoteReferenceNounderline"/>
          <w:rFonts w:asciiTheme="majorBidi" w:hAnsiTheme="majorBidi" w:cstheme="majorBidi"/>
          <w:sz w:val="22"/>
          <w:szCs w:val="22"/>
          <w:vertAlign w:val="superscript"/>
        </w:rPr>
        <w:footnoteReference w:id="220"/>
      </w:r>
      <w:r w:rsidRPr="009D551E">
        <w:rPr>
          <w:rFonts w:asciiTheme="majorBidi" w:hAnsiTheme="majorBidi" w:cstheme="majorBidi"/>
          <w:szCs w:val="22"/>
          <w:lang w:val="en-US"/>
        </w:rPr>
        <w:t xml:space="preserve"> greater efforts </w:t>
      </w:r>
      <w:r w:rsidR="007A2C7A">
        <w:rPr>
          <w:rFonts w:asciiTheme="majorBidi" w:hAnsiTheme="majorBidi" w:cstheme="majorBidi"/>
          <w:szCs w:val="22"/>
          <w:lang w:val="en-US"/>
        </w:rPr>
        <w:t xml:space="preserve">in </w:t>
      </w:r>
      <w:r w:rsidRPr="009D551E">
        <w:rPr>
          <w:rFonts w:asciiTheme="majorBidi" w:hAnsiTheme="majorBidi" w:cstheme="majorBidi"/>
          <w:szCs w:val="22"/>
          <w:lang w:val="en-US"/>
        </w:rPr>
        <w:t>identifying secondary invasion pathways</w:t>
      </w:r>
      <w:r w:rsidR="00071EBB">
        <w:rPr>
          <w:rFonts w:asciiTheme="majorBidi" w:hAnsiTheme="majorBidi" w:cstheme="majorBidi"/>
          <w:szCs w:val="22"/>
          <w:lang w:val="en-US"/>
        </w:rPr>
        <w:t>,</w:t>
      </w:r>
      <w:r w:rsidRPr="009D551E">
        <w:rPr>
          <w:rStyle w:val="StyleFootnoteReferenceNounderline"/>
          <w:rFonts w:asciiTheme="majorBidi" w:hAnsiTheme="majorBidi" w:cstheme="majorBidi"/>
          <w:sz w:val="22"/>
          <w:szCs w:val="22"/>
          <w:vertAlign w:val="superscript"/>
        </w:rPr>
        <w:footnoteReference w:id="221"/>
      </w:r>
      <w:r w:rsidRPr="009D551E">
        <w:rPr>
          <w:rFonts w:asciiTheme="majorBidi" w:hAnsiTheme="majorBidi" w:cstheme="majorBidi"/>
          <w:szCs w:val="22"/>
          <w:lang w:val="en-US"/>
        </w:rPr>
        <w:t xml:space="preserve"> identifying areas at high risk of invasion</w:t>
      </w:r>
      <w:r w:rsidRPr="009D551E">
        <w:rPr>
          <w:rStyle w:val="StyleFootnoteReferenceNounderline"/>
          <w:rFonts w:asciiTheme="majorBidi" w:hAnsiTheme="majorBidi" w:cstheme="majorBidi"/>
          <w:sz w:val="22"/>
          <w:szCs w:val="22"/>
          <w:vertAlign w:val="superscript"/>
        </w:rPr>
        <w:footnoteReference w:id="222"/>
      </w:r>
      <w:r w:rsidRPr="009D551E">
        <w:rPr>
          <w:rFonts w:asciiTheme="majorBidi" w:hAnsiTheme="majorBidi" w:cstheme="majorBidi"/>
          <w:szCs w:val="22"/>
          <w:lang w:val="en-US"/>
        </w:rPr>
        <w:t>, linking databases on invasive alien species</w:t>
      </w:r>
      <w:r w:rsidR="00071EBB">
        <w:rPr>
          <w:rFonts w:asciiTheme="majorBidi" w:hAnsiTheme="majorBidi" w:cstheme="majorBidi"/>
          <w:szCs w:val="22"/>
          <w:lang w:val="en-US"/>
        </w:rPr>
        <w:t>,</w:t>
      </w:r>
      <w:r w:rsidRPr="009D551E">
        <w:rPr>
          <w:rStyle w:val="StyleFootnoteReferenceNounderline"/>
          <w:rFonts w:asciiTheme="majorBidi" w:hAnsiTheme="majorBidi" w:cstheme="majorBidi"/>
          <w:sz w:val="22"/>
          <w:szCs w:val="22"/>
          <w:vertAlign w:val="superscript"/>
        </w:rPr>
        <w:footnoteReference w:id="223"/>
      </w:r>
      <w:r w:rsidRPr="009D551E">
        <w:rPr>
          <w:rFonts w:asciiTheme="majorBidi" w:hAnsiTheme="majorBidi" w:cstheme="majorBidi"/>
          <w:szCs w:val="22"/>
          <w:lang w:val="en-US"/>
        </w:rPr>
        <w:t xml:space="preserve"> and greater efforts to control and contain invasive alien species along trade routes</w:t>
      </w:r>
      <w:r w:rsidR="00071EBB">
        <w:rPr>
          <w:rFonts w:asciiTheme="majorBidi" w:hAnsiTheme="majorBidi" w:cstheme="majorBidi"/>
          <w:szCs w:val="22"/>
          <w:lang w:val="en-US"/>
        </w:rPr>
        <w:t>.</w:t>
      </w:r>
      <w:r w:rsidRPr="009D551E">
        <w:rPr>
          <w:rStyle w:val="StyleFootnoteReferenceNounderline"/>
          <w:rFonts w:asciiTheme="majorBidi" w:hAnsiTheme="majorBidi" w:cstheme="majorBidi"/>
          <w:sz w:val="22"/>
          <w:szCs w:val="22"/>
          <w:vertAlign w:val="superscript"/>
        </w:rPr>
        <w:footnoteReference w:id="224"/>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 xml:space="preserve">Target 10: By 2015, the multiple anthropogenic pressures on coral reefs, and other vulnerable ecosystems impacted by climate change or ocean acidification are minimized, </w:t>
      </w:r>
      <w:proofErr w:type="gramStart"/>
      <w:r w:rsidRPr="009D551E">
        <w:rPr>
          <w:rFonts w:asciiTheme="majorBidi" w:hAnsiTheme="majorBidi" w:cstheme="majorBidi"/>
          <w:i/>
          <w:sz w:val="22"/>
          <w:szCs w:val="22"/>
        </w:rPr>
        <w:t>so as to</w:t>
      </w:r>
      <w:proofErr w:type="gramEnd"/>
      <w:r w:rsidRPr="009D551E">
        <w:rPr>
          <w:rFonts w:asciiTheme="majorBidi" w:hAnsiTheme="majorBidi" w:cstheme="majorBidi"/>
          <w:i/>
          <w:sz w:val="22"/>
          <w:szCs w:val="22"/>
        </w:rPr>
        <w:t xml:space="preserve"> maintain their integrity and functioning.</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There has been relatively little scientific information published on the global status of coral reefs since the release of GBO-4. However</w:t>
      </w:r>
      <w:r w:rsidR="009004B9">
        <w:rPr>
          <w:rFonts w:asciiTheme="majorBidi" w:hAnsiTheme="majorBidi" w:cstheme="majorBidi"/>
          <w:szCs w:val="22"/>
        </w:rPr>
        <w:t>,</w:t>
      </w:r>
      <w:r w:rsidRPr="009D551E">
        <w:rPr>
          <w:rFonts w:asciiTheme="majorBidi" w:hAnsiTheme="majorBidi" w:cstheme="majorBidi"/>
          <w:szCs w:val="22"/>
        </w:rPr>
        <w:t xml:space="preserve"> an assessment of sea surface temperatures found that 97% of areas examined showed rising sea surface temperatures</w:t>
      </w:r>
      <w:r w:rsidR="009004B9">
        <w:rPr>
          <w:rFonts w:asciiTheme="majorBidi" w:hAnsiTheme="majorBidi" w:cstheme="majorBidi"/>
          <w:szCs w:val="22"/>
        </w:rPr>
        <w:t>,</w:t>
      </w:r>
      <w:r w:rsidRPr="009D551E">
        <w:rPr>
          <w:rFonts w:asciiTheme="majorBidi" w:hAnsiTheme="majorBidi" w:cstheme="majorBidi"/>
          <w:szCs w:val="22"/>
        </w:rPr>
        <w:t xml:space="preserve"> and that the occurrence of temperatures known to cause bleaching increased threefold between 1985-1991 and 2006-2012. Climate models suggest that this trend is likely to continue</w:t>
      </w:r>
      <w:r w:rsidRPr="009D551E">
        <w:rPr>
          <w:rStyle w:val="StyleFootnoteReferenceNounderline"/>
          <w:rFonts w:asciiTheme="majorBidi" w:hAnsiTheme="majorBidi" w:cstheme="majorBidi"/>
          <w:sz w:val="22"/>
          <w:szCs w:val="22"/>
          <w:vertAlign w:val="superscript"/>
        </w:rPr>
        <w:footnoteReference w:id="225"/>
      </w:r>
      <w:r w:rsidRPr="009D551E">
        <w:rPr>
          <w:rFonts w:asciiTheme="majorBidi" w:hAnsiTheme="majorBidi" w:cstheme="majorBidi"/>
          <w:szCs w:val="22"/>
        </w:rPr>
        <w:t>. Further</w:t>
      </w:r>
      <w:r w:rsidR="009004B9">
        <w:rPr>
          <w:rFonts w:asciiTheme="majorBidi" w:hAnsiTheme="majorBidi" w:cstheme="majorBidi"/>
          <w:szCs w:val="22"/>
        </w:rPr>
        <w:t>,</w:t>
      </w:r>
      <w:r w:rsidRPr="009D551E">
        <w:rPr>
          <w:rFonts w:asciiTheme="majorBidi" w:hAnsiTheme="majorBidi" w:cstheme="majorBidi"/>
          <w:szCs w:val="22"/>
        </w:rPr>
        <w:t xml:space="preserve"> by 2050</w:t>
      </w:r>
      <w:r w:rsidR="009004B9">
        <w:rPr>
          <w:rFonts w:asciiTheme="majorBidi" w:hAnsiTheme="majorBidi" w:cstheme="majorBidi"/>
          <w:szCs w:val="22"/>
        </w:rPr>
        <w:t>,</w:t>
      </w:r>
      <w:r w:rsidRPr="009D551E">
        <w:rPr>
          <w:rFonts w:asciiTheme="majorBidi" w:hAnsiTheme="majorBidi" w:cstheme="majorBidi"/>
          <w:szCs w:val="22"/>
        </w:rPr>
        <w:t xml:space="preserve"> there is a high probability that more than half of tropical corals will suffer a collapse and that the coral reefs that remain will be dominated by those taxa which are most resistant to pressures</w:t>
      </w:r>
      <w:r w:rsidRPr="009D551E">
        <w:rPr>
          <w:rStyle w:val="StyleFootnoteReferenceNounderline"/>
          <w:rFonts w:asciiTheme="majorBidi" w:hAnsiTheme="majorBidi" w:cstheme="majorBidi"/>
          <w:sz w:val="22"/>
          <w:szCs w:val="22"/>
          <w:vertAlign w:val="superscript"/>
        </w:rPr>
        <w:footnoteReference w:id="226"/>
      </w:r>
      <w:r w:rsidRPr="009D551E">
        <w:rPr>
          <w:rFonts w:asciiTheme="majorBidi" w:hAnsiTheme="majorBidi" w:cstheme="majorBidi"/>
          <w:szCs w:val="22"/>
        </w:rPr>
        <w:t>. There has also been research to better understand the extent to which coral reefs are covered by protected areas. For example</w:t>
      </w:r>
      <w:r w:rsidR="009004B9">
        <w:rPr>
          <w:rFonts w:asciiTheme="majorBidi" w:hAnsiTheme="majorBidi" w:cstheme="majorBidi"/>
          <w:szCs w:val="22"/>
        </w:rPr>
        <w:t>,</w:t>
      </w:r>
      <w:r w:rsidRPr="009D551E">
        <w:rPr>
          <w:rFonts w:asciiTheme="majorBidi" w:hAnsiTheme="majorBidi" w:cstheme="majorBidi"/>
          <w:szCs w:val="22"/>
        </w:rPr>
        <w:t xml:space="preserve"> it is estimated that approximately 27% of the world's coral reef area </w:t>
      </w:r>
      <w:r w:rsidR="009004B9">
        <w:rPr>
          <w:rFonts w:asciiTheme="majorBidi" w:hAnsiTheme="majorBidi" w:cstheme="majorBidi"/>
          <w:szCs w:val="22"/>
        </w:rPr>
        <w:t xml:space="preserve">is </w:t>
      </w:r>
      <w:r w:rsidRPr="009D551E">
        <w:rPr>
          <w:rFonts w:asciiTheme="majorBidi" w:hAnsiTheme="majorBidi" w:cstheme="majorBidi"/>
          <w:szCs w:val="22"/>
        </w:rPr>
        <w:t>located in protected areas but with significant geographic variation</w:t>
      </w:r>
      <w:r w:rsidRPr="009D551E">
        <w:rPr>
          <w:rStyle w:val="StyleFootnoteReferenceNounderline"/>
          <w:rFonts w:asciiTheme="majorBidi" w:hAnsiTheme="majorBidi" w:cstheme="majorBidi"/>
          <w:sz w:val="22"/>
          <w:szCs w:val="22"/>
          <w:vertAlign w:val="superscript"/>
        </w:rPr>
        <w:footnoteReference w:id="227"/>
      </w:r>
      <w:r w:rsidRPr="009D551E">
        <w:rPr>
          <w:rFonts w:asciiTheme="majorBidi" w:hAnsiTheme="majorBidi" w:cstheme="majorBidi"/>
          <w:szCs w:val="22"/>
        </w:rPr>
        <w:t>.</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lastRenderedPageBreak/>
        <w:t>Various regional, national and subnational assessments of coral reefs have also been undertaken. For example</w:t>
      </w:r>
      <w:r w:rsidR="0021187D">
        <w:rPr>
          <w:rFonts w:asciiTheme="majorBidi" w:hAnsiTheme="majorBidi" w:cstheme="majorBidi"/>
          <w:szCs w:val="22"/>
        </w:rPr>
        <w:t>,</w:t>
      </w:r>
      <w:r w:rsidRPr="009D551E">
        <w:rPr>
          <w:rFonts w:asciiTheme="majorBidi" w:hAnsiTheme="majorBidi" w:cstheme="majorBidi"/>
          <w:szCs w:val="22"/>
        </w:rPr>
        <w:t xml:space="preserve"> one study concluded that</w:t>
      </w:r>
      <w:r w:rsidR="0021187D">
        <w:rPr>
          <w:rFonts w:asciiTheme="majorBidi" w:hAnsiTheme="majorBidi" w:cstheme="majorBidi"/>
          <w:szCs w:val="22"/>
        </w:rPr>
        <w:t>,</w:t>
      </w:r>
      <w:r w:rsidRPr="009D551E">
        <w:rPr>
          <w:rFonts w:asciiTheme="majorBidi" w:hAnsiTheme="majorBidi" w:cstheme="majorBidi"/>
          <w:szCs w:val="22"/>
        </w:rPr>
        <w:t xml:space="preserve"> of the coral reefs in the Pacific, those in Australia were the least affected by local threats but that extensive bleaching has occurred on the Great Barrier Reef. Further</w:t>
      </w:r>
      <w:r w:rsidR="0021187D">
        <w:rPr>
          <w:rFonts w:asciiTheme="majorBidi" w:hAnsiTheme="majorBidi" w:cstheme="majorBidi"/>
          <w:szCs w:val="22"/>
        </w:rPr>
        <w:t>,</w:t>
      </w:r>
      <w:r w:rsidRPr="009D551E">
        <w:rPr>
          <w:rFonts w:asciiTheme="majorBidi" w:hAnsiTheme="majorBidi" w:cstheme="majorBidi"/>
          <w:szCs w:val="22"/>
        </w:rPr>
        <w:t xml:space="preserve"> in the Atlantic and Caribbean region</w:t>
      </w:r>
      <w:r w:rsidR="0021187D">
        <w:rPr>
          <w:rFonts w:asciiTheme="majorBidi" w:hAnsiTheme="majorBidi" w:cstheme="majorBidi"/>
          <w:szCs w:val="22"/>
        </w:rPr>
        <w:t>,</w:t>
      </w:r>
      <w:r w:rsidRPr="009D551E">
        <w:rPr>
          <w:rFonts w:asciiTheme="majorBidi" w:hAnsiTheme="majorBidi" w:cstheme="majorBidi"/>
          <w:szCs w:val="22"/>
        </w:rPr>
        <w:t xml:space="preserve"> coral cover has fallen </w:t>
      </w:r>
      <w:r w:rsidR="004D6A8D">
        <w:rPr>
          <w:rFonts w:asciiTheme="majorBidi" w:hAnsiTheme="majorBidi" w:cstheme="majorBidi"/>
          <w:szCs w:val="22"/>
        </w:rPr>
        <w:t xml:space="preserve">by </w:t>
      </w:r>
      <w:r w:rsidRPr="009D551E">
        <w:rPr>
          <w:rFonts w:asciiTheme="majorBidi" w:hAnsiTheme="majorBidi" w:cstheme="majorBidi"/>
          <w:szCs w:val="22"/>
        </w:rPr>
        <w:t xml:space="preserve">on average 47% over the </w:t>
      </w:r>
      <w:proofErr w:type="gramStart"/>
      <w:r w:rsidRPr="009D551E">
        <w:rPr>
          <w:rFonts w:asciiTheme="majorBidi" w:hAnsiTheme="majorBidi" w:cstheme="majorBidi"/>
          <w:szCs w:val="22"/>
        </w:rPr>
        <w:t>27</w:t>
      </w:r>
      <w:r w:rsidR="004D6A8D">
        <w:rPr>
          <w:rFonts w:asciiTheme="majorBidi" w:hAnsiTheme="majorBidi" w:cstheme="majorBidi"/>
          <w:szCs w:val="22"/>
        </w:rPr>
        <w:t xml:space="preserve"> </w:t>
      </w:r>
      <w:r w:rsidRPr="009D551E">
        <w:rPr>
          <w:rFonts w:asciiTheme="majorBidi" w:hAnsiTheme="majorBidi" w:cstheme="majorBidi"/>
          <w:szCs w:val="22"/>
        </w:rPr>
        <w:t>year</w:t>
      </w:r>
      <w:proofErr w:type="gramEnd"/>
      <w:r w:rsidRPr="009D551E">
        <w:rPr>
          <w:rFonts w:asciiTheme="majorBidi" w:hAnsiTheme="majorBidi" w:cstheme="majorBidi"/>
          <w:szCs w:val="22"/>
        </w:rPr>
        <w:t xml:space="preserve"> period leading to 2012</w:t>
      </w:r>
      <w:r w:rsidR="00D55B9C">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28"/>
      </w:r>
      <w:r w:rsidR="00505804">
        <w:rPr>
          <w:rFonts w:asciiTheme="majorBidi" w:hAnsiTheme="majorBidi" w:cstheme="majorBidi"/>
          <w:szCs w:val="22"/>
        </w:rPr>
        <w:t xml:space="preserve"> </w:t>
      </w:r>
      <w:r w:rsidRPr="009D551E">
        <w:rPr>
          <w:rFonts w:asciiTheme="majorBidi" w:hAnsiTheme="majorBidi" w:cstheme="majorBidi"/>
          <w:szCs w:val="22"/>
        </w:rPr>
        <w:t>and that temperature increases have impacted parts of the Caribbean, such as the Florida Keys</w:t>
      </w:r>
      <w:r w:rsidRPr="009D551E">
        <w:rPr>
          <w:rStyle w:val="StyleFootnoteReferenceNounderline"/>
          <w:rFonts w:asciiTheme="majorBidi" w:hAnsiTheme="majorBidi" w:cstheme="majorBidi"/>
          <w:sz w:val="22"/>
          <w:szCs w:val="22"/>
          <w:vertAlign w:val="superscript"/>
        </w:rPr>
        <w:footnoteReference w:id="229"/>
      </w:r>
      <w:r w:rsidRPr="009D551E">
        <w:rPr>
          <w:rFonts w:asciiTheme="majorBidi" w:hAnsiTheme="majorBidi" w:cstheme="majorBidi"/>
          <w:szCs w:val="22"/>
        </w:rPr>
        <w:t>.</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 xml:space="preserve"> Most of the focus in the scientific literature has been on the effects of climate change and/or ocean acidification on coral reefs</w:t>
      </w:r>
      <w:r w:rsidR="00505804">
        <w:rPr>
          <w:rFonts w:asciiTheme="majorBidi" w:hAnsiTheme="majorBidi" w:cstheme="majorBidi"/>
          <w:szCs w:val="22"/>
        </w:rPr>
        <w:t>,</w:t>
      </w:r>
      <w:r w:rsidRPr="009D551E">
        <w:rPr>
          <w:rFonts w:asciiTheme="majorBidi" w:hAnsiTheme="majorBidi" w:cstheme="majorBidi"/>
          <w:szCs w:val="22"/>
        </w:rPr>
        <w:t xml:space="preserve"> as opposed to the other pressures specified in Aichi Biodiversity Target 10. One exception to this is research related to c</w:t>
      </w:r>
      <w:r w:rsidRPr="009D551E">
        <w:rPr>
          <w:rFonts w:asciiTheme="majorBidi" w:hAnsiTheme="majorBidi" w:cstheme="majorBidi"/>
          <w:kern w:val="22"/>
          <w:szCs w:val="22"/>
        </w:rPr>
        <w:t>oastal nutrient pollution which has been identified as one of the major factors contributing to the increase in coral disease and coral bleaching</w:t>
      </w:r>
      <w:r w:rsidRPr="009D551E">
        <w:rPr>
          <w:rStyle w:val="StyleFootnoteReferenceNounderline"/>
          <w:rFonts w:asciiTheme="majorBidi" w:hAnsiTheme="majorBidi" w:cstheme="majorBidi"/>
          <w:sz w:val="22"/>
          <w:szCs w:val="22"/>
          <w:vertAlign w:val="superscript"/>
        </w:rPr>
        <w:footnoteReference w:id="230"/>
      </w:r>
      <w:r w:rsidRPr="009D551E">
        <w:rPr>
          <w:rFonts w:asciiTheme="majorBidi" w:hAnsiTheme="majorBidi" w:cstheme="majorBidi"/>
          <w:kern w:val="22"/>
          <w:szCs w:val="22"/>
        </w:rPr>
        <w:t>, affecting around 25% of reefs worldwide</w:t>
      </w:r>
      <w:r w:rsidR="00D55B9C">
        <w:rPr>
          <w:rFonts w:asciiTheme="majorBidi" w:hAnsiTheme="majorBidi" w:cstheme="majorBidi"/>
          <w:kern w:val="22"/>
          <w:szCs w:val="22"/>
        </w:rPr>
        <w:t>.</w:t>
      </w:r>
      <w:r w:rsidRPr="009D551E">
        <w:rPr>
          <w:rStyle w:val="StyleFootnoteReferenceNounderline"/>
          <w:rFonts w:asciiTheme="majorBidi" w:hAnsiTheme="majorBidi" w:cstheme="majorBidi"/>
          <w:sz w:val="22"/>
          <w:szCs w:val="22"/>
          <w:vertAlign w:val="superscript"/>
        </w:rPr>
        <w:footnoteReference w:id="231"/>
      </w:r>
      <w:r w:rsidRPr="009D551E">
        <w:rPr>
          <w:rFonts w:asciiTheme="majorBidi" w:hAnsiTheme="majorBidi" w:cstheme="majorBidi"/>
          <w:kern w:val="22"/>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A major focus in re</w:t>
      </w:r>
      <w:r w:rsidR="0042311C">
        <w:rPr>
          <w:rFonts w:asciiTheme="majorBidi" w:hAnsiTheme="majorBidi" w:cstheme="majorBidi"/>
          <w:szCs w:val="22"/>
        </w:rPr>
        <w:t>c</w:t>
      </w:r>
      <w:r w:rsidRPr="009D551E">
        <w:rPr>
          <w:rFonts w:asciiTheme="majorBidi" w:hAnsiTheme="majorBidi" w:cstheme="majorBidi"/>
          <w:szCs w:val="22"/>
        </w:rPr>
        <w:t>ent scientific literature has been on increasing the understanding of how coral reefs respond to warming temperatures and their ability to recover from disturbances</w:t>
      </w:r>
      <w:r w:rsidRPr="009D551E">
        <w:rPr>
          <w:rStyle w:val="StyleFootnoteReferenceNounderline"/>
          <w:rFonts w:asciiTheme="majorBidi" w:hAnsiTheme="majorBidi" w:cstheme="majorBidi"/>
          <w:sz w:val="22"/>
          <w:szCs w:val="22"/>
          <w:vertAlign w:val="superscript"/>
        </w:rPr>
        <w:footnoteReference w:id="232"/>
      </w:r>
      <w:r w:rsidRPr="009D551E">
        <w:rPr>
          <w:rFonts w:asciiTheme="majorBidi" w:hAnsiTheme="majorBidi" w:cstheme="majorBidi"/>
          <w:szCs w:val="22"/>
        </w:rPr>
        <w:t>. For example</w:t>
      </w:r>
      <w:r w:rsidR="0042311C">
        <w:rPr>
          <w:rFonts w:asciiTheme="majorBidi" w:hAnsiTheme="majorBidi" w:cstheme="majorBidi"/>
          <w:szCs w:val="22"/>
        </w:rPr>
        <w:t>,</w:t>
      </w:r>
      <w:r w:rsidRPr="009D551E">
        <w:rPr>
          <w:rFonts w:asciiTheme="majorBidi" w:hAnsiTheme="majorBidi" w:cstheme="majorBidi"/>
          <w:szCs w:val="22"/>
        </w:rPr>
        <w:t xml:space="preserve"> some research has found that some corals have developed resistance to warming ocean temperatures</w:t>
      </w:r>
      <w:r w:rsidR="0042311C">
        <w:rPr>
          <w:rFonts w:asciiTheme="majorBidi" w:hAnsiTheme="majorBidi" w:cstheme="majorBidi"/>
          <w:szCs w:val="22"/>
        </w:rPr>
        <w:t>,</w:t>
      </w:r>
      <w:r w:rsidRPr="009D551E">
        <w:rPr>
          <w:rFonts w:asciiTheme="majorBidi" w:hAnsiTheme="majorBidi" w:cstheme="majorBidi"/>
          <w:szCs w:val="22"/>
        </w:rPr>
        <w:t xml:space="preserve"> and that this adaptation process has been occurring since the beginning of the industrial period</w:t>
      </w:r>
      <w:r w:rsidRPr="009D551E">
        <w:rPr>
          <w:rStyle w:val="StyleFootnoteReferenceNounderline"/>
          <w:rFonts w:asciiTheme="majorBidi" w:hAnsiTheme="majorBidi" w:cstheme="majorBidi"/>
          <w:sz w:val="22"/>
          <w:szCs w:val="22"/>
          <w:vertAlign w:val="superscript"/>
        </w:rPr>
        <w:footnoteReference w:id="233"/>
      </w:r>
      <w:r w:rsidRPr="009D551E">
        <w:rPr>
          <w:rFonts w:asciiTheme="majorBidi" w:hAnsiTheme="majorBidi" w:cstheme="majorBidi"/>
          <w:szCs w:val="22"/>
        </w:rPr>
        <w:t>. Similarly, in places such as the Great Barrier</w:t>
      </w:r>
      <w:r w:rsidR="0042311C">
        <w:rPr>
          <w:rFonts w:asciiTheme="majorBidi" w:hAnsiTheme="majorBidi" w:cstheme="majorBidi"/>
          <w:szCs w:val="22"/>
        </w:rPr>
        <w:t xml:space="preserve"> </w:t>
      </w:r>
      <w:r w:rsidRPr="009D551E">
        <w:rPr>
          <w:rFonts w:asciiTheme="majorBidi" w:hAnsiTheme="majorBidi" w:cstheme="majorBidi"/>
          <w:szCs w:val="22"/>
        </w:rPr>
        <w:t>Reef, research has found that bleaching events of the past three decades have been mitigated by induced thermal tolerance of reef-building corals but that this protective mechanism may be lost as a result of increasing temperatures</w:t>
      </w:r>
      <w:r w:rsidRPr="009D551E">
        <w:rPr>
          <w:rStyle w:val="StyleFootnoteReferenceNounderline"/>
          <w:rFonts w:asciiTheme="majorBidi" w:hAnsiTheme="majorBidi" w:cstheme="majorBidi"/>
          <w:sz w:val="22"/>
          <w:szCs w:val="22"/>
          <w:vertAlign w:val="superscript"/>
        </w:rPr>
        <w:footnoteReference w:id="234"/>
      </w:r>
      <w:r w:rsidRPr="009D551E">
        <w:rPr>
          <w:rFonts w:asciiTheme="majorBidi" w:hAnsiTheme="majorBidi" w:cstheme="majorBidi"/>
          <w:szCs w:val="22"/>
        </w:rPr>
        <w:t xml:space="preserve">. Other studies have looked at the effects </w:t>
      </w:r>
      <w:r w:rsidR="0042311C">
        <w:rPr>
          <w:rFonts w:asciiTheme="majorBidi" w:hAnsiTheme="majorBidi" w:cstheme="majorBidi"/>
          <w:szCs w:val="22"/>
        </w:rPr>
        <w:t xml:space="preserve">of </w:t>
      </w:r>
      <w:r w:rsidRPr="009D551E">
        <w:rPr>
          <w:rFonts w:asciiTheme="majorBidi" w:hAnsiTheme="majorBidi" w:cstheme="majorBidi"/>
          <w:szCs w:val="22"/>
        </w:rPr>
        <w:t>climate change and ocean acidification on changes to reef dynamics, such behavioural changes in reef fish</w:t>
      </w:r>
      <w:r w:rsidRPr="009D551E">
        <w:rPr>
          <w:rStyle w:val="StyleFootnoteReferenceNounderline"/>
          <w:rFonts w:asciiTheme="majorBidi" w:hAnsiTheme="majorBidi" w:cstheme="majorBidi"/>
          <w:sz w:val="22"/>
          <w:szCs w:val="22"/>
          <w:vertAlign w:val="superscript"/>
        </w:rPr>
        <w:footnoteReference w:id="235"/>
      </w:r>
      <w:r w:rsidRPr="009D551E">
        <w:rPr>
          <w:rFonts w:asciiTheme="majorBidi" w:hAnsiTheme="majorBidi" w:cstheme="majorBidi"/>
          <w:szCs w:val="22"/>
        </w:rPr>
        <w:t xml:space="preserve"> as well as predation rates</w:t>
      </w:r>
      <w:r w:rsidRPr="009D551E">
        <w:rPr>
          <w:rStyle w:val="StyleFootnoteReferenceNounderline"/>
          <w:rFonts w:asciiTheme="majorBidi" w:hAnsiTheme="majorBidi" w:cstheme="majorBidi"/>
          <w:sz w:val="22"/>
          <w:szCs w:val="22"/>
          <w:vertAlign w:val="superscript"/>
        </w:rPr>
        <w:footnoteReference w:id="236"/>
      </w:r>
      <w:r w:rsidRPr="009D551E">
        <w:rPr>
          <w:rFonts w:asciiTheme="majorBidi" w:hAnsiTheme="majorBidi" w:cstheme="majorBidi"/>
          <w:szCs w:val="22"/>
        </w:rPr>
        <w:t>. Some studies have also attempted to predict the occurrence of bleaching events in the future. For example</w:t>
      </w:r>
      <w:r w:rsidR="0042311C">
        <w:rPr>
          <w:rFonts w:asciiTheme="majorBidi" w:hAnsiTheme="majorBidi" w:cstheme="majorBidi"/>
          <w:szCs w:val="22"/>
        </w:rPr>
        <w:t>,</w:t>
      </w:r>
      <w:r w:rsidRPr="009D551E">
        <w:rPr>
          <w:rFonts w:asciiTheme="majorBidi" w:hAnsiTheme="majorBidi" w:cstheme="majorBidi"/>
          <w:szCs w:val="22"/>
        </w:rPr>
        <w:t xml:space="preserve"> i</w:t>
      </w:r>
      <w:r w:rsidR="0042311C">
        <w:rPr>
          <w:rFonts w:asciiTheme="majorBidi" w:hAnsiTheme="majorBidi" w:cstheme="majorBidi"/>
          <w:szCs w:val="22"/>
        </w:rPr>
        <w:t>t</w:t>
      </w:r>
      <w:r w:rsidRPr="009D551E">
        <w:rPr>
          <w:rFonts w:asciiTheme="majorBidi" w:hAnsiTheme="majorBidi" w:cstheme="majorBidi"/>
          <w:szCs w:val="22"/>
        </w:rPr>
        <w:t xml:space="preserve"> has been estimated that in some regions annual bleaching will begin occurring </w:t>
      </w:r>
      <w:r w:rsidRPr="009D551E">
        <w:rPr>
          <w:rFonts w:asciiTheme="majorBidi" w:hAnsiTheme="majorBidi" w:cstheme="majorBidi"/>
          <w:szCs w:val="22"/>
        </w:rPr>
        <w:lastRenderedPageBreak/>
        <w:t>between 2020 and 2034</w:t>
      </w:r>
      <w:r w:rsidR="0042311C">
        <w:rPr>
          <w:rFonts w:asciiTheme="majorBidi" w:hAnsiTheme="majorBidi" w:cstheme="majorBidi"/>
          <w:szCs w:val="22"/>
        </w:rPr>
        <w:t>,</w:t>
      </w:r>
      <w:r w:rsidRPr="009D551E">
        <w:rPr>
          <w:rFonts w:asciiTheme="majorBidi" w:hAnsiTheme="majorBidi" w:cstheme="majorBidi"/>
          <w:szCs w:val="22"/>
        </w:rPr>
        <w:t xml:space="preserve"> and possibly sooner</w:t>
      </w:r>
      <w:r w:rsidRPr="009D551E">
        <w:rPr>
          <w:rStyle w:val="StyleFootnoteReferenceNounderline"/>
          <w:rFonts w:asciiTheme="majorBidi" w:hAnsiTheme="majorBidi" w:cstheme="majorBidi"/>
          <w:sz w:val="22"/>
          <w:szCs w:val="22"/>
          <w:vertAlign w:val="superscript"/>
        </w:rPr>
        <w:footnoteReference w:id="237"/>
      </w:r>
      <w:r w:rsidR="0042311C">
        <w:rPr>
          <w:rFonts w:asciiTheme="majorBidi" w:hAnsiTheme="majorBidi" w:cstheme="majorBidi"/>
          <w:szCs w:val="22"/>
        </w:rPr>
        <w:t>,</w:t>
      </w:r>
      <w:r w:rsidRPr="009D551E">
        <w:rPr>
          <w:rFonts w:asciiTheme="majorBidi" w:hAnsiTheme="majorBidi" w:cstheme="majorBidi"/>
          <w:szCs w:val="22"/>
        </w:rPr>
        <w:t xml:space="preserve"> and as a consequence coral rugosity will decrease dramatically over the next three decades</w:t>
      </w:r>
      <w:r w:rsidRPr="009D551E">
        <w:rPr>
          <w:rStyle w:val="StyleFootnoteReferenceNounderline"/>
          <w:rFonts w:asciiTheme="majorBidi" w:hAnsiTheme="majorBidi" w:cstheme="majorBidi"/>
          <w:sz w:val="22"/>
          <w:szCs w:val="22"/>
          <w:vertAlign w:val="superscript"/>
        </w:rPr>
        <w:footnoteReference w:id="238"/>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Studies have also been undertaken to explore the possibi</w:t>
      </w:r>
      <w:r w:rsidR="00043509">
        <w:rPr>
          <w:rFonts w:asciiTheme="majorBidi" w:hAnsiTheme="majorBidi" w:cstheme="majorBidi"/>
          <w:szCs w:val="22"/>
        </w:rPr>
        <w:t>lity of restoring or rehabilita</w:t>
      </w:r>
      <w:r w:rsidRPr="009D551E">
        <w:rPr>
          <w:rFonts w:asciiTheme="majorBidi" w:hAnsiTheme="majorBidi" w:cstheme="majorBidi"/>
          <w:szCs w:val="22"/>
        </w:rPr>
        <w:t>t</w:t>
      </w:r>
      <w:r w:rsidR="00043509">
        <w:rPr>
          <w:rFonts w:asciiTheme="majorBidi" w:hAnsiTheme="majorBidi" w:cstheme="majorBidi"/>
          <w:szCs w:val="22"/>
        </w:rPr>
        <w:t>ing</w:t>
      </w:r>
      <w:r w:rsidRPr="009D551E">
        <w:rPr>
          <w:rFonts w:asciiTheme="majorBidi" w:hAnsiTheme="majorBidi" w:cstheme="majorBidi"/>
          <w:szCs w:val="22"/>
        </w:rPr>
        <w:t xml:space="preserve"> coral reefs through various process. One approach to coral restoration is the gardening concept whereby coral-nubbins are farmed in nurseries and then transplanted. Over 86 coral species and more than 100,000 colonies have been successfully farmed to date</w:t>
      </w:r>
      <w:r w:rsidR="00D55B9C">
        <w:rPr>
          <w:rFonts w:asciiTheme="majorBidi" w:hAnsiTheme="majorBidi" w:cstheme="majorBidi"/>
          <w:szCs w:val="22"/>
        </w:rPr>
        <w:t>.</w:t>
      </w:r>
      <w:r w:rsidRPr="009D551E">
        <w:rPr>
          <w:rStyle w:val="FootnoteReference"/>
          <w:rFonts w:asciiTheme="majorBidi" w:hAnsiTheme="majorBidi" w:cstheme="majorBidi"/>
          <w:sz w:val="22"/>
          <w:szCs w:val="22"/>
        </w:rPr>
        <w:footnoteReference w:id="239"/>
      </w:r>
      <w:r w:rsidRPr="009D551E">
        <w:rPr>
          <w:rFonts w:asciiTheme="majorBidi" w:hAnsiTheme="majorBidi" w:cstheme="majorBidi"/>
          <w:szCs w:val="22"/>
        </w:rPr>
        <w:t xml:space="preserve"> Another form of restoration is larval seeding, however there are questions concerning the long</w:t>
      </w:r>
      <w:r w:rsidR="0042311C">
        <w:rPr>
          <w:rFonts w:asciiTheme="majorBidi" w:hAnsiTheme="majorBidi" w:cstheme="majorBidi"/>
          <w:szCs w:val="22"/>
        </w:rPr>
        <w:t>-</w:t>
      </w:r>
      <w:r w:rsidRPr="009D551E">
        <w:rPr>
          <w:rFonts w:asciiTheme="majorBidi" w:hAnsiTheme="majorBidi" w:cstheme="majorBidi"/>
          <w:szCs w:val="22"/>
        </w:rPr>
        <w:t>term effectiveness of this approach</w:t>
      </w:r>
      <w:r w:rsidR="00D55B9C">
        <w:rPr>
          <w:rFonts w:asciiTheme="majorBidi" w:hAnsiTheme="majorBidi" w:cstheme="majorBidi"/>
          <w:szCs w:val="22"/>
        </w:rPr>
        <w:t>.</w:t>
      </w:r>
      <w:r w:rsidRPr="009D551E">
        <w:rPr>
          <w:rStyle w:val="FootnoteReference"/>
          <w:rFonts w:asciiTheme="majorBidi" w:hAnsiTheme="majorBidi" w:cstheme="majorBidi"/>
          <w:color w:val="333333"/>
          <w:sz w:val="22"/>
          <w:szCs w:val="22"/>
          <w:shd w:val="clear" w:color="auto" w:fill="FFFFFF"/>
        </w:rPr>
        <w:footnoteReference w:id="240"/>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 xml:space="preserve">Most of the research related to </w:t>
      </w:r>
      <w:r w:rsidR="0042311C">
        <w:rPr>
          <w:rFonts w:asciiTheme="majorBidi" w:hAnsiTheme="majorBidi" w:cstheme="majorBidi"/>
          <w:szCs w:val="22"/>
        </w:rPr>
        <w:t xml:space="preserve">Aichi Biodiversity </w:t>
      </w:r>
      <w:r w:rsidRPr="009D551E">
        <w:rPr>
          <w:rFonts w:asciiTheme="majorBidi" w:hAnsiTheme="majorBidi" w:cstheme="majorBidi"/>
          <w:szCs w:val="22"/>
        </w:rPr>
        <w:t>Target 10 has tended to focus on coral reefs. However</w:t>
      </w:r>
      <w:r w:rsidR="0042311C">
        <w:rPr>
          <w:rFonts w:asciiTheme="majorBidi" w:hAnsiTheme="majorBidi" w:cstheme="majorBidi"/>
          <w:szCs w:val="22"/>
        </w:rPr>
        <w:t>,</w:t>
      </w:r>
      <w:r w:rsidRPr="009D551E">
        <w:rPr>
          <w:rFonts w:asciiTheme="majorBidi" w:hAnsiTheme="majorBidi" w:cstheme="majorBidi"/>
          <w:szCs w:val="22"/>
        </w:rPr>
        <w:t xml:space="preserve"> a number of studies have also explored the negative impacts of climate change and drought on inland water systems</w:t>
      </w:r>
      <w:r w:rsidRPr="009D551E">
        <w:rPr>
          <w:rStyle w:val="StyleFootnoteReferenceNounderline"/>
          <w:rFonts w:asciiTheme="majorBidi" w:hAnsiTheme="majorBidi" w:cstheme="majorBidi"/>
          <w:sz w:val="22"/>
          <w:szCs w:val="22"/>
          <w:vertAlign w:val="superscript"/>
        </w:rPr>
        <w:footnoteReference w:id="241"/>
      </w:r>
      <w:r w:rsidRPr="009D551E">
        <w:rPr>
          <w:rFonts w:asciiTheme="majorBidi" w:hAnsiTheme="majorBidi" w:cstheme="majorBidi"/>
          <w:szCs w:val="22"/>
        </w:rPr>
        <w:t>. Further</w:t>
      </w:r>
      <w:r w:rsidR="0042311C">
        <w:rPr>
          <w:rFonts w:asciiTheme="majorBidi" w:hAnsiTheme="majorBidi" w:cstheme="majorBidi"/>
          <w:szCs w:val="22"/>
        </w:rPr>
        <w:t>,</w:t>
      </w:r>
      <w:r w:rsidRPr="009D551E">
        <w:rPr>
          <w:rFonts w:asciiTheme="majorBidi" w:hAnsiTheme="majorBidi" w:cstheme="majorBidi"/>
          <w:szCs w:val="22"/>
        </w:rPr>
        <w:t xml:space="preserve"> a recent assessment of Antarctica and the Southern Ocean concluded that, despite the region</w:t>
      </w:r>
      <w:r w:rsidR="0042311C">
        <w:rPr>
          <w:rFonts w:asciiTheme="majorBidi" w:hAnsiTheme="majorBidi" w:cstheme="majorBidi"/>
          <w:szCs w:val="22"/>
        </w:rPr>
        <w:t>’</w:t>
      </w:r>
      <w:r w:rsidRPr="009D551E">
        <w:rPr>
          <w:rFonts w:asciiTheme="majorBidi" w:hAnsiTheme="majorBidi" w:cstheme="majorBidi"/>
          <w:szCs w:val="22"/>
        </w:rPr>
        <w:t xml:space="preserve">s remoteness, its biodiversity prospects are similar to those of the rest of the Earth, with growing pressures from habitat degradation and loss, pollution from remote sources and fishing activity. Further, while information is limited, the conservation status of many species appears to be in decline </w:t>
      </w:r>
      <w:proofErr w:type="gramStart"/>
      <w:r w:rsidRPr="009D551E">
        <w:rPr>
          <w:rFonts w:asciiTheme="majorBidi" w:hAnsiTheme="majorBidi" w:cstheme="majorBidi"/>
          <w:szCs w:val="22"/>
        </w:rPr>
        <w:t>as a result of</w:t>
      </w:r>
      <w:proofErr w:type="gramEnd"/>
      <w:r w:rsidRPr="009D551E">
        <w:rPr>
          <w:rFonts w:asciiTheme="majorBidi" w:hAnsiTheme="majorBidi" w:cstheme="majorBidi"/>
          <w:szCs w:val="22"/>
        </w:rPr>
        <w:t xml:space="preserve"> pressures </w:t>
      </w:r>
      <w:r w:rsidR="0042311C">
        <w:rPr>
          <w:rFonts w:asciiTheme="majorBidi" w:hAnsiTheme="majorBidi" w:cstheme="majorBidi"/>
          <w:szCs w:val="22"/>
        </w:rPr>
        <w:t xml:space="preserve">such as </w:t>
      </w:r>
      <w:r w:rsidRPr="009D551E">
        <w:rPr>
          <w:rFonts w:asciiTheme="majorBidi" w:hAnsiTheme="majorBidi" w:cstheme="majorBidi"/>
          <w:szCs w:val="22"/>
        </w:rPr>
        <w:t>climate change and invasive alien species</w:t>
      </w:r>
      <w:r w:rsidR="00D55B9C">
        <w:rPr>
          <w:rFonts w:asciiTheme="majorBidi" w:hAnsiTheme="majorBidi" w:cstheme="majorBidi"/>
          <w:szCs w:val="22"/>
        </w:rPr>
        <w:t>.</w:t>
      </w:r>
      <w:r w:rsidRPr="00043509">
        <w:rPr>
          <w:rStyle w:val="FootnoteReference"/>
          <w:rFonts w:asciiTheme="majorBidi" w:hAnsiTheme="majorBidi" w:cstheme="majorBidi"/>
          <w:sz w:val="22"/>
          <w:szCs w:val="22"/>
        </w:rPr>
        <w:footnoteReference w:id="242"/>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Three indicators used in GBO-4 have been updated since the report was released. These indicators, percentage live coral cover</w:t>
      </w:r>
      <w:r w:rsidRPr="009D551E">
        <w:rPr>
          <w:rStyle w:val="FootnoteReference"/>
          <w:rFonts w:asciiTheme="majorBidi" w:hAnsiTheme="majorBidi" w:cstheme="majorBidi"/>
          <w:sz w:val="22"/>
          <w:szCs w:val="22"/>
        </w:rPr>
        <w:footnoteReference w:id="243"/>
      </w:r>
      <w:r w:rsidRPr="009D551E">
        <w:rPr>
          <w:rFonts w:asciiTheme="majorBidi" w:hAnsiTheme="majorBidi" w:cstheme="majorBidi"/>
          <w:szCs w:val="22"/>
        </w:rPr>
        <w:t>, glacial mass balance</w:t>
      </w:r>
      <w:r w:rsidRPr="009D551E">
        <w:rPr>
          <w:rStyle w:val="FootnoteReference"/>
          <w:rFonts w:asciiTheme="majorBidi" w:hAnsiTheme="majorBidi" w:cstheme="majorBidi"/>
          <w:sz w:val="22"/>
          <w:szCs w:val="22"/>
        </w:rPr>
        <w:footnoteReference w:id="244"/>
      </w:r>
      <w:r w:rsidRPr="009D551E">
        <w:rPr>
          <w:rFonts w:asciiTheme="majorBidi" w:hAnsiTheme="majorBidi" w:cstheme="majorBidi"/>
          <w:szCs w:val="22"/>
        </w:rPr>
        <w:t xml:space="preserve"> and mean polar sea ice extent, all show trends </w:t>
      </w:r>
      <w:r w:rsidR="0061078B">
        <w:rPr>
          <w:rFonts w:asciiTheme="majorBidi" w:hAnsiTheme="majorBidi" w:cstheme="majorBidi"/>
          <w:szCs w:val="22"/>
        </w:rPr>
        <w:t xml:space="preserve">that are </w:t>
      </w:r>
      <w:r w:rsidRPr="009D551E">
        <w:rPr>
          <w:rFonts w:asciiTheme="majorBidi" w:hAnsiTheme="majorBidi" w:cstheme="majorBidi"/>
          <w:szCs w:val="22"/>
        </w:rPr>
        <w:t>negative for biodiversity. In addition</w:t>
      </w:r>
      <w:r w:rsidR="0061078B">
        <w:rPr>
          <w:rFonts w:asciiTheme="majorBidi" w:hAnsiTheme="majorBidi" w:cstheme="majorBidi"/>
          <w:szCs w:val="22"/>
        </w:rPr>
        <w:t>,</w:t>
      </w:r>
      <w:r w:rsidRPr="009D551E">
        <w:rPr>
          <w:rFonts w:asciiTheme="majorBidi" w:hAnsiTheme="majorBidi" w:cstheme="majorBidi"/>
          <w:szCs w:val="22"/>
        </w:rPr>
        <w:t xml:space="preserve"> two indicators, climate impact index for birds and area of mangrove forest cover</w:t>
      </w:r>
      <w:r w:rsidRPr="009D551E">
        <w:rPr>
          <w:rStyle w:val="FootnoteReference"/>
          <w:rFonts w:asciiTheme="majorBidi" w:hAnsiTheme="majorBidi" w:cstheme="majorBidi"/>
          <w:sz w:val="22"/>
          <w:szCs w:val="22"/>
        </w:rPr>
        <w:footnoteReference w:id="245"/>
      </w:r>
      <w:r w:rsidRPr="009D551E">
        <w:rPr>
          <w:rFonts w:asciiTheme="majorBidi" w:hAnsiTheme="majorBidi" w:cstheme="majorBidi"/>
          <w:szCs w:val="22"/>
        </w:rPr>
        <w:t xml:space="preserve">, have become available since GBO-4 was published. Both of these indicators also show trends </w:t>
      </w:r>
      <w:r w:rsidR="0061078B">
        <w:rPr>
          <w:rFonts w:asciiTheme="majorBidi" w:hAnsiTheme="majorBidi" w:cstheme="majorBidi"/>
          <w:szCs w:val="22"/>
        </w:rPr>
        <w:t xml:space="preserve">that are </w:t>
      </w:r>
      <w:r w:rsidRPr="009D551E">
        <w:rPr>
          <w:rFonts w:asciiTheme="majorBidi" w:hAnsiTheme="majorBidi" w:cstheme="majorBidi"/>
          <w:szCs w:val="22"/>
        </w:rPr>
        <w:t>negative for biodiversity.</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The scientific information that has become available since the publication of GBO-4 suggests that the situation is largely unchanged from what was previously reported. Similar</w:t>
      </w:r>
      <w:r w:rsidR="0061078B">
        <w:rPr>
          <w:rFonts w:asciiTheme="majorBidi" w:hAnsiTheme="majorBidi" w:cstheme="majorBidi"/>
          <w:szCs w:val="22"/>
        </w:rPr>
        <w:t>ly,</w:t>
      </w:r>
      <w:r w:rsidRPr="009D551E">
        <w:rPr>
          <w:rFonts w:asciiTheme="majorBidi" w:hAnsiTheme="majorBidi" w:cstheme="majorBidi"/>
          <w:szCs w:val="22"/>
        </w:rPr>
        <w:t xml:space="preserve"> the scientific information published since 2014 suggests that the actions identified in GBO-4 to accelerate progress towards this target remain relevant. Further</w:t>
      </w:r>
      <w:r w:rsidR="00183D37">
        <w:rPr>
          <w:rFonts w:asciiTheme="majorBidi" w:hAnsiTheme="majorBidi" w:cstheme="majorBidi"/>
          <w:szCs w:val="22"/>
        </w:rPr>
        <w:t>,</w:t>
      </w:r>
      <w:r w:rsidRPr="009D551E">
        <w:rPr>
          <w:rFonts w:asciiTheme="majorBidi" w:hAnsiTheme="majorBidi" w:cstheme="majorBidi"/>
          <w:szCs w:val="22"/>
        </w:rPr>
        <w:t xml:space="preserve"> some studies have further emphasized the importance of addressing issues related to sediment input to coral reefs</w:t>
      </w:r>
      <w:r w:rsidRPr="009D551E">
        <w:rPr>
          <w:rStyle w:val="StyleFootnoteReferenceNounderline"/>
          <w:rFonts w:asciiTheme="majorBidi" w:hAnsiTheme="majorBidi" w:cstheme="majorBidi"/>
          <w:sz w:val="22"/>
          <w:szCs w:val="22"/>
          <w:vertAlign w:val="superscript"/>
        </w:rPr>
        <w:footnoteReference w:id="246"/>
      </w:r>
      <w:r w:rsidRPr="009D551E">
        <w:rPr>
          <w:rFonts w:asciiTheme="majorBidi" w:hAnsiTheme="majorBidi" w:cstheme="majorBidi"/>
          <w:szCs w:val="22"/>
        </w:rPr>
        <w:t>, the need to strengthen management responses</w:t>
      </w:r>
      <w:r w:rsidRPr="009D551E">
        <w:rPr>
          <w:rStyle w:val="StyleFootnoteReferenceNounderline"/>
          <w:rFonts w:asciiTheme="majorBidi" w:hAnsiTheme="majorBidi" w:cstheme="majorBidi"/>
          <w:sz w:val="22"/>
          <w:szCs w:val="22"/>
          <w:vertAlign w:val="superscript"/>
        </w:rPr>
        <w:footnoteReference w:id="247"/>
      </w:r>
      <w:r w:rsidR="00183D37">
        <w:rPr>
          <w:rFonts w:asciiTheme="majorBidi" w:hAnsiTheme="majorBidi" w:cstheme="majorBidi"/>
          <w:szCs w:val="22"/>
        </w:rPr>
        <w:t>,</w:t>
      </w:r>
      <w:r w:rsidRPr="009D551E">
        <w:rPr>
          <w:rFonts w:asciiTheme="majorBidi" w:hAnsiTheme="majorBidi" w:cstheme="majorBidi"/>
          <w:szCs w:val="22"/>
        </w:rPr>
        <w:t xml:space="preserve"> as well as the need to </w:t>
      </w:r>
      <w:r w:rsidRPr="009D551E">
        <w:rPr>
          <w:rFonts w:asciiTheme="majorBidi" w:hAnsiTheme="majorBidi" w:cstheme="majorBidi"/>
          <w:szCs w:val="22"/>
        </w:rPr>
        <w:lastRenderedPageBreak/>
        <w:t>design and manage marine protected areas with the effects of climate change in mind</w:t>
      </w:r>
      <w:r w:rsidRPr="009D551E">
        <w:rPr>
          <w:rStyle w:val="StyleFootnoteReferenceNounderline"/>
          <w:rFonts w:asciiTheme="majorBidi" w:hAnsiTheme="majorBidi" w:cstheme="majorBidi"/>
          <w:sz w:val="22"/>
          <w:szCs w:val="22"/>
          <w:vertAlign w:val="superscript"/>
        </w:rPr>
        <w:footnoteReference w:id="248"/>
      </w:r>
      <w:r w:rsidRPr="009D551E">
        <w:rPr>
          <w:rFonts w:asciiTheme="majorBidi" w:hAnsiTheme="majorBidi" w:cstheme="majorBidi"/>
          <w:szCs w:val="22"/>
        </w:rPr>
        <w:t xml:space="preserve">. Further, as mentioned in relation to Aichi Biodiversity Target 8, reducing pollution, such as plastic, could greatly reduce the pressures on coral reefs. Actions to reach Aichi Biodiversity Target 10 for coral reefs and closely associated ecosystems were adopted by the Conference of the Parties in decision XII/23. </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11: By 2020, at least 17 per cent of terrestrial and inland water areas,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p w:rsidR="009D551E" w:rsidRPr="009D551E" w:rsidRDefault="009D551E" w:rsidP="0031733B">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It is estima</w:t>
      </w:r>
      <w:r w:rsidR="0031733B">
        <w:rPr>
          <w:rFonts w:asciiTheme="majorBidi" w:hAnsiTheme="majorBidi" w:cstheme="majorBidi"/>
          <w:szCs w:val="22"/>
        </w:rPr>
        <w:t>ted that protected areas cover</w:t>
      </w:r>
      <w:r w:rsidRPr="009D551E">
        <w:rPr>
          <w:rFonts w:asciiTheme="majorBidi" w:hAnsiTheme="majorBidi" w:cstheme="majorBidi"/>
          <w:szCs w:val="22"/>
        </w:rPr>
        <w:t xml:space="preserve"> </w:t>
      </w:r>
      <w:r w:rsidRPr="009D551E">
        <w:rPr>
          <w:rFonts w:asciiTheme="majorBidi" w:hAnsiTheme="majorBidi" w:cstheme="majorBidi"/>
          <w:color w:val="000000"/>
          <w:szCs w:val="22"/>
        </w:rPr>
        <w:t>15</w:t>
      </w:r>
      <w:r w:rsidRPr="009D551E">
        <w:rPr>
          <w:rFonts w:asciiTheme="majorBidi" w:hAnsiTheme="majorBidi" w:cstheme="majorBidi"/>
          <w:szCs w:val="22"/>
        </w:rPr>
        <w:t>% of terrestrial and inland waters, excluding Antarctica</w:t>
      </w:r>
      <w:r w:rsidR="00552484">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49"/>
      </w:r>
      <w:r w:rsidRPr="009D551E">
        <w:rPr>
          <w:rFonts w:asciiTheme="majorBidi" w:hAnsiTheme="majorBidi" w:cstheme="majorBidi"/>
          <w:szCs w:val="22"/>
        </w:rPr>
        <w:t xml:space="preserve"> In the marine environment, </w:t>
      </w:r>
      <w:r w:rsidRPr="009D551E">
        <w:rPr>
          <w:rFonts w:asciiTheme="majorBidi" w:hAnsiTheme="majorBidi" w:cstheme="majorBidi"/>
          <w:color w:val="000000"/>
          <w:szCs w:val="22"/>
        </w:rPr>
        <w:t>6.96</w:t>
      </w:r>
      <w:r w:rsidRPr="009D551E">
        <w:rPr>
          <w:rFonts w:asciiTheme="majorBidi" w:hAnsiTheme="majorBidi" w:cstheme="majorBidi"/>
          <w:szCs w:val="22"/>
        </w:rPr>
        <w:t xml:space="preserve">% of the entire ocean and </w:t>
      </w:r>
      <w:r w:rsidRPr="009D551E">
        <w:rPr>
          <w:rFonts w:asciiTheme="majorBidi" w:hAnsiTheme="majorBidi" w:cstheme="majorBidi"/>
          <w:color w:val="000000"/>
          <w:szCs w:val="22"/>
        </w:rPr>
        <w:t>16.02</w:t>
      </w:r>
      <w:r w:rsidRPr="009D551E">
        <w:rPr>
          <w:rFonts w:asciiTheme="majorBidi" w:hAnsiTheme="majorBidi" w:cstheme="majorBidi"/>
          <w:szCs w:val="22"/>
        </w:rPr>
        <w:t xml:space="preserve">% of areas under national jurisdiction </w:t>
      </w:r>
      <w:r w:rsidR="0031733B">
        <w:rPr>
          <w:rFonts w:asciiTheme="majorBidi" w:hAnsiTheme="majorBidi" w:cstheme="majorBidi"/>
          <w:szCs w:val="22"/>
        </w:rPr>
        <w:t>are</w:t>
      </w:r>
      <w:r w:rsidRPr="009D551E">
        <w:rPr>
          <w:rFonts w:asciiTheme="majorBidi" w:hAnsiTheme="majorBidi" w:cstheme="majorBidi"/>
          <w:szCs w:val="22"/>
        </w:rPr>
        <w:t xml:space="preserve"> protected</w:t>
      </w:r>
      <w:r w:rsidR="00552484">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50"/>
      </w:r>
      <w:r w:rsidRPr="009D551E">
        <w:rPr>
          <w:rFonts w:asciiTheme="majorBidi" w:hAnsiTheme="majorBidi" w:cstheme="majorBidi"/>
          <w:szCs w:val="22"/>
        </w:rPr>
        <w:t xml:space="preserve"> However</w:t>
      </w:r>
      <w:r w:rsidR="003D0416">
        <w:rPr>
          <w:rFonts w:asciiTheme="majorBidi" w:hAnsiTheme="majorBidi" w:cstheme="majorBidi"/>
          <w:szCs w:val="22"/>
        </w:rPr>
        <w:t>,</w:t>
      </w:r>
      <w:r w:rsidRPr="009D551E">
        <w:rPr>
          <w:rFonts w:asciiTheme="majorBidi" w:hAnsiTheme="majorBidi" w:cstheme="majorBidi"/>
          <w:szCs w:val="22"/>
        </w:rPr>
        <w:t xml:space="preserve"> the World Database on Protected Areas</w:t>
      </w:r>
      <w:r w:rsidR="003D0416">
        <w:rPr>
          <w:rFonts w:asciiTheme="majorBidi" w:hAnsiTheme="majorBidi" w:cstheme="majorBidi"/>
          <w:szCs w:val="22"/>
        </w:rPr>
        <w:t>,</w:t>
      </w:r>
      <w:r w:rsidRPr="009D551E">
        <w:rPr>
          <w:rFonts w:asciiTheme="majorBidi" w:hAnsiTheme="majorBidi" w:cstheme="majorBidi"/>
          <w:szCs w:val="22"/>
        </w:rPr>
        <w:t xml:space="preserve"> on which these figures are based</w:t>
      </w:r>
      <w:r w:rsidR="003D0416">
        <w:rPr>
          <w:rFonts w:asciiTheme="majorBidi" w:hAnsiTheme="majorBidi" w:cstheme="majorBidi"/>
          <w:szCs w:val="22"/>
        </w:rPr>
        <w:t>,</w:t>
      </w:r>
      <w:r w:rsidRPr="009D551E">
        <w:rPr>
          <w:rFonts w:asciiTheme="majorBidi" w:hAnsiTheme="majorBidi" w:cstheme="majorBidi"/>
          <w:szCs w:val="22"/>
        </w:rPr>
        <w:t xml:space="preserve"> does not include complete information on privately protected areas or on areas conserved by indigenous peoples and local communities. Work is underway to better understand what would constitute other effective area</w:t>
      </w:r>
      <w:r w:rsidR="003D0416">
        <w:rPr>
          <w:rFonts w:asciiTheme="majorBidi" w:hAnsiTheme="majorBidi" w:cstheme="majorBidi"/>
          <w:szCs w:val="22"/>
        </w:rPr>
        <w:t>-</w:t>
      </w:r>
      <w:r w:rsidRPr="009D551E">
        <w:rPr>
          <w:rFonts w:asciiTheme="majorBidi" w:hAnsiTheme="majorBidi" w:cstheme="majorBidi"/>
          <w:szCs w:val="22"/>
        </w:rPr>
        <w:t>based conservation measures</w:t>
      </w:r>
      <w:r w:rsidRPr="009D551E">
        <w:rPr>
          <w:rStyle w:val="FootnoteReference"/>
          <w:rFonts w:asciiTheme="majorBidi" w:hAnsiTheme="majorBidi" w:cstheme="majorBidi"/>
          <w:sz w:val="22"/>
          <w:szCs w:val="22"/>
        </w:rPr>
        <w:footnoteReference w:id="251"/>
      </w:r>
      <w:r w:rsidR="00516C93">
        <w:rPr>
          <w:rFonts w:asciiTheme="majorBidi" w:hAnsiTheme="majorBidi" w:cstheme="majorBidi"/>
          <w:szCs w:val="22"/>
        </w:rPr>
        <w:t xml:space="preserve"> and, </w:t>
      </w:r>
      <w:r w:rsidR="00891B42">
        <w:rPr>
          <w:rFonts w:asciiTheme="majorBidi" w:hAnsiTheme="majorBidi" w:cstheme="majorBidi"/>
          <w:szCs w:val="22"/>
        </w:rPr>
        <w:t>if</w:t>
      </w:r>
      <w:r w:rsidRPr="009D551E">
        <w:rPr>
          <w:rFonts w:asciiTheme="majorBidi" w:hAnsiTheme="majorBidi" w:cstheme="majorBidi"/>
          <w:szCs w:val="22"/>
        </w:rPr>
        <w:t xml:space="preserve"> all </w:t>
      </w:r>
      <w:r w:rsidR="00516C93">
        <w:rPr>
          <w:rFonts w:asciiTheme="majorBidi" w:hAnsiTheme="majorBidi" w:cstheme="majorBidi"/>
          <w:szCs w:val="22"/>
        </w:rPr>
        <w:t xml:space="preserve">of the </w:t>
      </w:r>
      <w:r w:rsidRPr="009D551E">
        <w:rPr>
          <w:rFonts w:asciiTheme="majorBidi" w:hAnsiTheme="majorBidi" w:cstheme="majorBidi"/>
          <w:szCs w:val="22"/>
        </w:rPr>
        <w:t>information on these areas w</w:t>
      </w:r>
      <w:r w:rsidR="003D0416">
        <w:rPr>
          <w:rFonts w:asciiTheme="majorBidi" w:hAnsiTheme="majorBidi" w:cstheme="majorBidi"/>
          <w:szCs w:val="22"/>
        </w:rPr>
        <w:t xml:space="preserve">as </w:t>
      </w:r>
      <w:r w:rsidRPr="009D551E">
        <w:rPr>
          <w:rFonts w:asciiTheme="majorBidi" w:hAnsiTheme="majorBidi" w:cstheme="majorBidi"/>
          <w:szCs w:val="22"/>
        </w:rPr>
        <w:t>included</w:t>
      </w:r>
      <w:r w:rsidR="00891B42">
        <w:rPr>
          <w:rFonts w:asciiTheme="majorBidi" w:hAnsiTheme="majorBidi" w:cstheme="majorBidi"/>
          <w:szCs w:val="22"/>
        </w:rPr>
        <w:t>,</w:t>
      </w:r>
      <w:r w:rsidRPr="009D551E">
        <w:rPr>
          <w:rFonts w:asciiTheme="majorBidi" w:hAnsiTheme="majorBidi" w:cstheme="majorBidi"/>
          <w:szCs w:val="22"/>
        </w:rPr>
        <w:t xml:space="preserve"> the figures would likely b</w:t>
      </w:r>
      <w:r w:rsidR="00891B42">
        <w:rPr>
          <w:rFonts w:asciiTheme="majorBidi" w:hAnsiTheme="majorBidi" w:cstheme="majorBidi"/>
          <w:szCs w:val="22"/>
        </w:rPr>
        <w:t>e</w:t>
      </w:r>
      <w:r w:rsidRPr="009D551E">
        <w:rPr>
          <w:rFonts w:asciiTheme="majorBidi" w:hAnsiTheme="majorBidi" w:cstheme="majorBidi"/>
          <w:szCs w:val="22"/>
        </w:rPr>
        <w:t xml:space="preserve"> higher. </w:t>
      </w:r>
      <w:r w:rsidR="002311DD">
        <w:rPr>
          <w:rFonts w:asciiTheme="majorBidi" w:hAnsiTheme="majorBidi" w:cstheme="majorBidi"/>
          <w:szCs w:val="22"/>
        </w:rPr>
        <w:t xml:space="preserve">In addition, </w:t>
      </w:r>
      <w:r w:rsidRPr="009D551E">
        <w:rPr>
          <w:rFonts w:asciiTheme="majorBidi" w:hAnsiTheme="majorBidi" w:cstheme="majorBidi"/>
          <w:szCs w:val="22"/>
        </w:rPr>
        <w:t xml:space="preserve">a number of countries have made commitments to further expand their protected areas systems, suggesting that these numbers will increase between now and 2020. </w:t>
      </w:r>
    </w:p>
    <w:p w:rsidR="009D551E" w:rsidRPr="009D551E" w:rsidRDefault="009D551E" w:rsidP="009D551E">
      <w:pPr>
        <w:pStyle w:val="Para1"/>
        <w:tabs>
          <w:tab w:val="clear" w:pos="360"/>
          <w:tab w:val="num" w:pos="720"/>
        </w:tabs>
        <w:rPr>
          <w:rFonts w:asciiTheme="majorBidi" w:hAnsiTheme="majorBidi" w:cstheme="majorBidi"/>
          <w:szCs w:val="22"/>
        </w:rPr>
      </w:pPr>
      <w:r w:rsidRPr="00516C93">
        <w:rPr>
          <w:rFonts w:asciiTheme="majorBidi" w:hAnsiTheme="majorBidi" w:cstheme="majorBidi"/>
          <w:szCs w:val="22"/>
        </w:rPr>
        <w:t>With regard to the representativeness of protected areas</w:t>
      </w:r>
      <w:r w:rsidR="00271AC1" w:rsidRPr="00516C93">
        <w:rPr>
          <w:rFonts w:asciiTheme="majorBidi" w:hAnsiTheme="majorBidi" w:cstheme="majorBidi"/>
          <w:szCs w:val="22"/>
        </w:rPr>
        <w:t>,</w:t>
      </w:r>
      <w:r w:rsidRPr="00516C93">
        <w:rPr>
          <w:rFonts w:asciiTheme="majorBidi" w:hAnsiTheme="majorBidi" w:cstheme="majorBidi"/>
          <w:szCs w:val="22"/>
        </w:rPr>
        <w:t xml:space="preserve"> in October 2017</w:t>
      </w:r>
      <w:r w:rsidR="0067682C" w:rsidRPr="00516C93">
        <w:rPr>
          <w:rFonts w:asciiTheme="majorBidi" w:hAnsiTheme="majorBidi" w:cstheme="majorBidi"/>
          <w:szCs w:val="22"/>
        </w:rPr>
        <w:t>,</w:t>
      </w:r>
      <w:r w:rsidRPr="00516C93">
        <w:rPr>
          <w:rFonts w:asciiTheme="majorBidi" w:hAnsiTheme="majorBidi" w:cstheme="majorBidi"/>
          <w:szCs w:val="22"/>
        </w:rPr>
        <w:t xml:space="preserve"> it was estimated that</w:t>
      </w:r>
      <w:r w:rsidRPr="009D551E">
        <w:rPr>
          <w:rFonts w:asciiTheme="majorBidi" w:hAnsiTheme="majorBidi" w:cstheme="majorBidi"/>
          <w:szCs w:val="22"/>
        </w:rPr>
        <w:t xml:space="preserve"> 43.9% of non-Antarctic terrestrial ecoregions had 17% of their area covered by protected areas</w:t>
      </w:r>
      <w:r w:rsidRPr="009D551E">
        <w:rPr>
          <w:rStyle w:val="StyleFootnoteReferenceNounderline"/>
          <w:rFonts w:asciiTheme="majorBidi" w:hAnsiTheme="majorBidi" w:cstheme="majorBidi"/>
          <w:sz w:val="22"/>
          <w:szCs w:val="22"/>
          <w:vertAlign w:val="superscript"/>
        </w:rPr>
        <w:footnoteReference w:id="252"/>
      </w:r>
      <w:r w:rsidR="00516C93">
        <w:rPr>
          <w:rFonts w:asciiTheme="majorBidi" w:hAnsiTheme="majorBidi" w:cstheme="majorBidi"/>
          <w:szCs w:val="22"/>
        </w:rPr>
        <w:t xml:space="preserve">, </w:t>
      </w:r>
      <w:r w:rsidRPr="009D551E">
        <w:rPr>
          <w:rFonts w:asciiTheme="majorBidi" w:hAnsiTheme="majorBidi" w:cstheme="majorBidi"/>
          <w:szCs w:val="22"/>
        </w:rPr>
        <w:t>while 40.5% of marine areas had more than 10% of their area protected. However</w:t>
      </w:r>
      <w:r w:rsidR="00516C93">
        <w:rPr>
          <w:rFonts w:asciiTheme="majorBidi" w:hAnsiTheme="majorBidi" w:cstheme="majorBidi"/>
          <w:szCs w:val="22"/>
        </w:rPr>
        <w:t>,</w:t>
      </w:r>
      <w:r w:rsidRPr="009D551E">
        <w:rPr>
          <w:rFonts w:asciiTheme="majorBidi" w:hAnsiTheme="majorBidi" w:cstheme="majorBidi"/>
          <w:szCs w:val="22"/>
        </w:rPr>
        <w:t xml:space="preserve"> one assessment found that some terrestrial ecoregions had so little natural or semi-natural area left that having 17% of their area protected would not be possible</w:t>
      </w:r>
      <w:r w:rsidR="00552484">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53"/>
      </w:r>
      <w:r w:rsidRPr="009D551E">
        <w:rPr>
          <w:rFonts w:asciiTheme="majorBidi" w:hAnsiTheme="majorBidi" w:cstheme="majorBidi"/>
          <w:szCs w:val="22"/>
        </w:rPr>
        <w:t xml:space="preserve"> In 2016, 19.3% of key biodiversity areas were completely covered by protected areas and 19.5% of Alliance for Zero Extinction sites were completely covered</w:t>
      </w:r>
      <w:r w:rsidRPr="009D551E">
        <w:rPr>
          <w:rStyle w:val="StyleFootnoteReferenceNounderline"/>
          <w:rFonts w:asciiTheme="majorBidi" w:hAnsiTheme="majorBidi" w:cstheme="majorBidi"/>
          <w:sz w:val="22"/>
          <w:szCs w:val="22"/>
          <w:vertAlign w:val="superscript"/>
        </w:rPr>
        <w:footnoteReference w:id="254"/>
      </w:r>
      <w:r w:rsidRPr="009D551E">
        <w:rPr>
          <w:rFonts w:asciiTheme="majorBidi" w:hAnsiTheme="majorBidi" w:cstheme="majorBidi"/>
          <w:szCs w:val="22"/>
        </w:rPr>
        <w:t>. A further assessment of birds and mammals found that</w:t>
      </w:r>
      <w:r w:rsidR="002311DD">
        <w:rPr>
          <w:rFonts w:asciiTheme="majorBidi" w:hAnsiTheme="majorBidi" w:cstheme="majorBidi"/>
          <w:szCs w:val="22"/>
        </w:rPr>
        <w:t>,</w:t>
      </w:r>
      <w:r w:rsidRPr="009D551E">
        <w:rPr>
          <w:rFonts w:asciiTheme="majorBidi" w:hAnsiTheme="majorBidi" w:cstheme="majorBidi"/>
          <w:szCs w:val="22"/>
        </w:rPr>
        <w:t xml:space="preserve"> while there are significant gaps in the functional and phylogenetic diversity of these species, this could be significantly reduced through a 5% expansion in protected areas</w:t>
      </w:r>
      <w:r w:rsidRPr="009D551E">
        <w:rPr>
          <w:rFonts w:asciiTheme="majorBidi" w:hAnsiTheme="majorBidi" w:cstheme="majorBidi"/>
          <w:szCs w:val="22"/>
          <w:vertAlign w:val="superscript"/>
        </w:rPr>
        <w:footnoteReference w:id="255"/>
      </w:r>
      <w:r w:rsidRPr="009D551E">
        <w:rPr>
          <w:rFonts w:asciiTheme="majorBidi" w:hAnsiTheme="majorBidi" w:cstheme="majorBidi"/>
          <w:szCs w:val="22"/>
        </w:rPr>
        <w:t>.</w:t>
      </w:r>
    </w:p>
    <w:p w:rsidR="009D551E" w:rsidRPr="00B82E15" w:rsidRDefault="009D551E" w:rsidP="009D551E">
      <w:pPr>
        <w:pStyle w:val="Para1"/>
        <w:tabs>
          <w:tab w:val="clear" w:pos="360"/>
          <w:tab w:val="num" w:pos="720"/>
        </w:tabs>
        <w:rPr>
          <w:rFonts w:asciiTheme="majorBidi" w:hAnsiTheme="majorBidi" w:cstheme="majorBidi"/>
          <w:szCs w:val="22"/>
        </w:rPr>
      </w:pPr>
      <w:r w:rsidRPr="00B82E15">
        <w:rPr>
          <w:rFonts w:asciiTheme="majorBidi" w:hAnsiTheme="majorBidi" w:cstheme="majorBidi"/>
          <w:szCs w:val="22"/>
        </w:rPr>
        <w:lastRenderedPageBreak/>
        <w:t xml:space="preserve">An assessment of marine protected areas concluded that these areas currently do match multiple biodiversity aspects, including taxonomic, </w:t>
      </w:r>
      <w:proofErr w:type="spellStart"/>
      <w:r w:rsidRPr="00B82E15">
        <w:rPr>
          <w:rFonts w:asciiTheme="majorBidi" w:hAnsiTheme="majorBidi" w:cstheme="majorBidi"/>
          <w:szCs w:val="22"/>
        </w:rPr>
        <w:t>phylogenic</w:t>
      </w:r>
      <w:proofErr w:type="spellEnd"/>
      <w:r w:rsidRPr="00B82E15">
        <w:rPr>
          <w:rFonts w:asciiTheme="majorBidi" w:hAnsiTheme="majorBidi" w:cstheme="majorBidi"/>
          <w:szCs w:val="22"/>
        </w:rPr>
        <w:t xml:space="preserve"> and function diversity. This assessment suggests that the most diverse marine areas are not currently well represented in protected area systems</w:t>
      </w:r>
      <w:r w:rsidR="00552484">
        <w:rPr>
          <w:rFonts w:asciiTheme="majorBidi" w:hAnsiTheme="majorBidi" w:cstheme="majorBidi"/>
          <w:szCs w:val="22"/>
        </w:rPr>
        <w:t>.</w:t>
      </w:r>
      <w:r w:rsidRPr="00B82E15">
        <w:rPr>
          <w:rStyle w:val="FootnoteReference"/>
          <w:rFonts w:asciiTheme="majorBidi" w:hAnsiTheme="majorBidi" w:cstheme="majorBidi"/>
          <w:sz w:val="22"/>
          <w:szCs w:val="22"/>
        </w:rPr>
        <w:footnoteReference w:id="256"/>
      </w:r>
      <w:r w:rsidRPr="00B82E15">
        <w:rPr>
          <w:rFonts w:asciiTheme="majorBidi" w:hAnsiTheme="majorBidi" w:cstheme="majorBidi"/>
          <w:szCs w:val="22"/>
        </w:rPr>
        <w:t xml:space="preserve"> </w:t>
      </w:r>
    </w:p>
    <w:p w:rsidR="009D551E" w:rsidRPr="009D551E" w:rsidRDefault="009D551E" w:rsidP="009D551E">
      <w:pPr>
        <w:pStyle w:val="Para1"/>
        <w:tabs>
          <w:tab w:val="clear" w:pos="360"/>
          <w:tab w:val="num" w:pos="720"/>
        </w:tabs>
        <w:rPr>
          <w:rFonts w:asciiTheme="majorBidi" w:hAnsiTheme="majorBidi" w:cstheme="majorBidi"/>
          <w:szCs w:val="22"/>
        </w:rPr>
      </w:pPr>
      <w:r w:rsidRPr="009D551E">
        <w:rPr>
          <w:rFonts w:asciiTheme="majorBidi" w:hAnsiTheme="majorBidi" w:cstheme="majorBidi"/>
          <w:szCs w:val="22"/>
        </w:rPr>
        <w:t>One assessment concluded that</w:t>
      </w:r>
      <w:r w:rsidR="002311DD">
        <w:rPr>
          <w:rFonts w:asciiTheme="majorBidi" w:hAnsiTheme="majorBidi" w:cstheme="majorBidi"/>
          <w:szCs w:val="22"/>
        </w:rPr>
        <w:t>,</w:t>
      </w:r>
      <w:r w:rsidRPr="009D551E">
        <w:rPr>
          <w:rFonts w:asciiTheme="majorBidi" w:hAnsiTheme="majorBidi" w:cstheme="majorBidi"/>
          <w:szCs w:val="22"/>
        </w:rPr>
        <w:t xml:space="preserve"> between 25</w:t>
      </w:r>
      <w:r w:rsidR="002311DD">
        <w:rPr>
          <w:rFonts w:asciiTheme="majorBidi" w:hAnsiTheme="majorBidi" w:cstheme="majorBidi"/>
          <w:szCs w:val="22"/>
        </w:rPr>
        <w:t xml:space="preserve">% and </w:t>
      </w:r>
      <w:r w:rsidRPr="009D551E">
        <w:rPr>
          <w:rFonts w:asciiTheme="majorBidi" w:hAnsiTheme="majorBidi" w:cstheme="majorBidi"/>
          <w:szCs w:val="22"/>
        </w:rPr>
        <w:t>37% of terrestrial ecoregions</w:t>
      </w:r>
      <w:r w:rsidR="002311DD">
        <w:rPr>
          <w:rFonts w:asciiTheme="majorBidi" w:hAnsiTheme="majorBidi" w:cstheme="majorBidi"/>
          <w:szCs w:val="22"/>
        </w:rPr>
        <w:t>,</w:t>
      </w:r>
      <w:r w:rsidRPr="009D551E">
        <w:rPr>
          <w:rFonts w:asciiTheme="majorBidi" w:hAnsiTheme="majorBidi" w:cstheme="majorBidi"/>
          <w:szCs w:val="22"/>
        </w:rPr>
        <w:t xml:space="preserve"> had protected area networks of sufficient size and configuration to maintain connectivity for median dispersal distances of between 1 and 100 </w:t>
      </w:r>
      <w:r w:rsidR="00271AC1" w:rsidRPr="009D551E">
        <w:rPr>
          <w:rFonts w:asciiTheme="majorBidi" w:hAnsiTheme="majorBidi" w:cstheme="majorBidi"/>
          <w:szCs w:val="22"/>
        </w:rPr>
        <w:t>kilometres</w:t>
      </w:r>
      <w:r w:rsidRPr="009D551E">
        <w:rPr>
          <w:rFonts w:asciiTheme="majorBidi" w:hAnsiTheme="majorBidi" w:cstheme="majorBidi"/>
          <w:szCs w:val="22"/>
        </w:rPr>
        <w:t>. For protected areas globally, between 8.5% and 11.7% are considered ‘well-connected’ for the same range of median dispersal distances</w:t>
      </w:r>
      <w:r w:rsidR="00552484">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57"/>
      </w:r>
      <w:r w:rsidRPr="009D551E">
        <w:rPr>
          <w:rFonts w:asciiTheme="majorBidi" w:hAnsiTheme="majorBidi" w:cstheme="majorBidi"/>
          <w:szCs w:val="22"/>
        </w:rPr>
        <w:t xml:space="preserve"> A further study concluded that 7.5% of terrestrial areas are covered </w:t>
      </w:r>
      <w:r w:rsidR="00271AC1">
        <w:rPr>
          <w:rFonts w:asciiTheme="majorBidi" w:hAnsiTheme="majorBidi" w:cstheme="majorBidi"/>
          <w:szCs w:val="22"/>
        </w:rPr>
        <w:t xml:space="preserve">by </w:t>
      </w:r>
      <w:r w:rsidRPr="009D551E">
        <w:rPr>
          <w:rFonts w:asciiTheme="majorBidi" w:hAnsiTheme="majorBidi" w:cstheme="majorBidi"/>
          <w:szCs w:val="22"/>
        </w:rPr>
        <w:t>protected connected lands globally</w:t>
      </w:r>
      <w:r w:rsidR="002311DD">
        <w:rPr>
          <w:rFonts w:asciiTheme="majorBidi" w:hAnsiTheme="majorBidi" w:cstheme="majorBidi"/>
          <w:szCs w:val="22"/>
        </w:rPr>
        <w:t>,</w:t>
      </w:r>
      <w:r w:rsidRPr="009D551E">
        <w:rPr>
          <w:rFonts w:asciiTheme="majorBidi" w:hAnsiTheme="majorBidi" w:cstheme="majorBidi"/>
          <w:szCs w:val="22"/>
        </w:rPr>
        <w:t xml:space="preserve"> and that 30% of countries could be considered as having currently met the connectivity element of this Aichi </w:t>
      </w:r>
      <w:r w:rsidR="002311DD">
        <w:rPr>
          <w:rFonts w:asciiTheme="majorBidi" w:hAnsiTheme="majorBidi" w:cstheme="majorBidi"/>
          <w:szCs w:val="22"/>
        </w:rPr>
        <w:t xml:space="preserve">Biodiversity </w:t>
      </w:r>
      <w:r w:rsidRPr="009D551E">
        <w:rPr>
          <w:rFonts w:asciiTheme="majorBidi" w:hAnsiTheme="majorBidi" w:cstheme="majorBidi"/>
          <w:szCs w:val="22"/>
        </w:rPr>
        <w:t>Target</w:t>
      </w:r>
      <w:r w:rsidR="00552484">
        <w:rPr>
          <w:rFonts w:asciiTheme="majorBidi" w:hAnsiTheme="majorBidi" w:cstheme="majorBidi"/>
          <w:szCs w:val="22"/>
        </w:rPr>
        <w:t>.</w:t>
      </w:r>
      <w:r w:rsidRPr="00271AC1">
        <w:rPr>
          <w:rStyle w:val="FootnoteReference"/>
          <w:rFonts w:asciiTheme="majorBidi" w:hAnsiTheme="majorBidi" w:cstheme="majorBidi"/>
          <w:sz w:val="22"/>
          <w:szCs w:val="22"/>
        </w:rPr>
        <w:footnoteReference w:id="258"/>
      </w:r>
      <w:r w:rsidRPr="009D551E">
        <w:rPr>
          <w:rFonts w:asciiTheme="majorBidi" w:hAnsiTheme="majorBidi" w:cstheme="majorBidi"/>
          <w:szCs w:val="22"/>
        </w:rPr>
        <w:t xml:space="preserve"> Specifically for migratory birds</w:t>
      </w:r>
      <w:r w:rsidR="002311DD">
        <w:rPr>
          <w:rFonts w:asciiTheme="majorBidi" w:hAnsiTheme="majorBidi" w:cstheme="majorBidi"/>
          <w:szCs w:val="22"/>
        </w:rPr>
        <w:t>,</w:t>
      </w:r>
      <w:r w:rsidRPr="009D551E">
        <w:rPr>
          <w:rFonts w:asciiTheme="majorBidi" w:hAnsiTheme="majorBidi" w:cstheme="majorBidi"/>
          <w:szCs w:val="22"/>
        </w:rPr>
        <w:t xml:space="preserve"> one assessment found that only 9% of 1451 migratory birds had all stages of their annual cycle covered by protected areas. By comparison, for non</w:t>
      </w:r>
      <w:r w:rsidR="00271AC1">
        <w:rPr>
          <w:rFonts w:asciiTheme="majorBidi" w:hAnsiTheme="majorBidi" w:cstheme="majorBidi"/>
          <w:szCs w:val="22"/>
        </w:rPr>
        <w:t>-</w:t>
      </w:r>
      <w:r w:rsidR="00271AC1" w:rsidRPr="009D551E">
        <w:rPr>
          <w:rFonts w:asciiTheme="majorBidi" w:hAnsiTheme="majorBidi" w:cstheme="majorBidi"/>
          <w:szCs w:val="22"/>
        </w:rPr>
        <w:t>migratory</w:t>
      </w:r>
      <w:r w:rsidRPr="009D551E">
        <w:rPr>
          <w:rFonts w:asciiTheme="majorBidi" w:hAnsiTheme="majorBidi" w:cstheme="majorBidi"/>
          <w:szCs w:val="22"/>
        </w:rPr>
        <w:t xml:space="preserve"> birds</w:t>
      </w:r>
      <w:r w:rsidR="002311DD">
        <w:rPr>
          <w:rFonts w:asciiTheme="majorBidi" w:hAnsiTheme="majorBidi" w:cstheme="majorBidi"/>
          <w:szCs w:val="22"/>
        </w:rPr>
        <w:t>,</w:t>
      </w:r>
      <w:r w:rsidRPr="009D551E">
        <w:rPr>
          <w:rFonts w:asciiTheme="majorBidi" w:hAnsiTheme="majorBidi" w:cstheme="majorBidi"/>
          <w:szCs w:val="22"/>
        </w:rPr>
        <w:t xml:space="preserve"> this figure was 45%</w:t>
      </w:r>
      <w:r w:rsidR="00552484">
        <w:rPr>
          <w:rFonts w:asciiTheme="majorBidi" w:hAnsiTheme="majorBidi" w:cstheme="majorBidi"/>
          <w:szCs w:val="22"/>
        </w:rPr>
        <w:t>.</w:t>
      </w:r>
      <w:r w:rsidRPr="00271AC1">
        <w:rPr>
          <w:rStyle w:val="FootnoteReference"/>
          <w:rFonts w:asciiTheme="majorBidi" w:hAnsiTheme="majorBidi" w:cstheme="majorBidi"/>
          <w:sz w:val="22"/>
          <w:szCs w:val="22"/>
        </w:rPr>
        <w:footnoteReference w:id="259"/>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zCs w:val="22"/>
        </w:rPr>
      </w:pPr>
      <w:proofErr w:type="gramStart"/>
      <w:r w:rsidRPr="00B82E15">
        <w:rPr>
          <w:rFonts w:asciiTheme="majorBidi" w:hAnsiTheme="majorBidi" w:cstheme="majorBidi"/>
          <w:szCs w:val="22"/>
        </w:rPr>
        <w:t>With regard to</w:t>
      </w:r>
      <w:proofErr w:type="gramEnd"/>
      <w:r w:rsidRPr="00B82E15">
        <w:rPr>
          <w:rFonts w:asciiTheme="majorBidi" w:hAnsiTheme="majorBidi" w:cstheme="majorBidi"/>
          <w:szCs w:val="22"/>
        </w:rPr>
        <w:t xml:space="preserve"> management effectiveness, as of 2015, only about 21% of Parties to the CBD have</w:t>
      </w:r>
      <w:r w:rsidRPr="009D551E">
        <w:rPr>
          <w:rFonts w:asciiTheme="majorBidi" w:hAnsiTheme="majorBidi" w:cstheme="majorBidi"/>
          <w:szCs w:val="22"/>
        </w:rPr>
        <w:t xml:space="preserve"> completed management effectiveness evaluations in at least 60% of their protected areas</w:t>
      </w:r>
      <w:r w:rsidR="00552484">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60"/>
      </w:r>
      <w:r w:rsidRPr="009D551E">
        <w:rPr>
          <w:rFonts w:asciiTheme="majorBidi" w:hAnsiTheme="majorBidi" w:cstheme="majorBidi"/>
          <w:szCs w:val="22"/>
        </w:rPr>
        <w:t xml:space="preserve"> Further</w:t>
      </w:r>
      <w:r w:rsidR="00B82E15">
        <w:rPr>
          <w:rFonts w:asciiTheme="majorBidi" w:hAnsiTheme="majorBidi" w:cstheme="majorBidi"/>
          <w:szCs w:val="22"/>
        </w:rPr>
        <w:t>,</w:t>
      </w:r>
      <w:r w:rsidRPr="009D551E">
        <w:rPr>
          <w:rFonts w:asciiTheme="majorBidi" w:hAnsiTheme="majorBidi" w:cstheme="majorBidi"/>
          <w:szCs w:val="22"/>
        </w:rPr>
        <w:t xml:space="preserve"> a study evaluating 722 protected areas sites with multiple management effectiveness assessments, found that almost 70% showed an improvement in management while about 25% had decreases</w:t>
      </w:r>
      <w:r w:rsidR="00552484">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61"/>
      </w:r>
      <w:r w:rsidRPr="009D551E">
        <w:rPr>
          <w:rFonts w:asciiTheme="majorBidi" w:hAnsiTheme="majorBidi" w:cstheme="majorBidi"/>
          <w:szCs w:val="22"/>
        </w:rPr>
        <w:t xml:space="preserve"> In the marine environment</w:t>
      </w:r>
      <w:r w:rsidR="00B82E15">
        <w:rPr>
          <w:rFonts w:asciiTheme="majorBidi" w:hAnsiTheme="majorBidi" w:cstheme="majorBidi"/>
          <w:szCs w:val="22"/>
        </w:rPr>
        <w:t>,</w:t>
      </w:r>
      <w:r w:rsidRPr="009D551E">
        <w:rPr>
          <w:rFonts w:asciiTheme="majorBidi" w:hAnsiTheme="majorBidi" w:cstheme="majorBidi"/>
          <w:szCs w:val="22"/>
        </w:rPr>
        <w:t xml:space="preserve"> an assessment of management and ecological data from 433 and 218 marine protected areas, respectively,</w:t>
      </w:r>
      <w:r w:rsidR="00271AC1">
        <w:rPr>
          <w:rFonts w:asciiTheme="majorBidi" w:hAnsiTheme="majorBidi" w:cstheme="majorBidi"/>
          <w:szCs w:val="22"/>
        </w:rPr>
        <w:t xml:space="preserve"> </w:t>
      </w:r>
      <w:r w:rsidRPr="009D551E">
        <w:rPr>
          <w:rFonts w:asciiTheme="majorBidi" w:hAnsiTheme="majorBidi" w:cstheme="majorBidi"/>
          <w:szCs w:val="22"/>
        </w:rPr>
        <w:t>exploring the relationship between management processes, fish populations and ecological effects</w:t>
      </w:r>
      <w:r w:rsidR="00B82E15">
        <w:rPr>
          <w:rFonts w:asciiTheme="majorBidi" w:hAnsiTheme="majorBidi" w:cstheme="majorBidi"/>
          <w:szCs w:val="22"/>
        </w:rPr>
        <w:t>,</w:t>
      </w:r>
      <w:r w:rsidRPr="009D551E">
        <w:rPr>
          <w:rFonts w:asciiTheme="majorBidi" w:hAnsiTheme="majorBidi" w:cstheme="majorBidi"/>
          <w:szCs w:val="22"/>
        </w:rPr>
        <w:t xml:space="preserve"> found that many marine protected areas failed to be meet thresholds for effective and equitable management. While 71% of the marine protected areas were found to have positive effects on fish populations, the results were highly variable.</w:t>
      </w:r>
      <w:r w:rsidR="00B82E15">
        <w:rPr>
          <w:rFonts w:asciiTheme="majorBidi" w:hAnsiTheme="majorBidi" w:cstheme="majorBidi"/>
          <w:szCs w:val="22"/>
        </w:rPr>
        <w:t xml:space="preserve"> </w:t>
      </w:r>
      <w:r w:rsidRPr="009D551E">
        <w:rPr>
          <w:rFonts w:asciiTheme="majorBidi" w:hAnsiTheme="majorBidi" w:cstheme="majorBidi"/>
          <w:szCs w:val="22"/>
        </w:rPr>
        <w:t>The provision of adequate staff and financial resources were found to be the highest predictor of conservation impact, with adequately resourced marine protected areas having 2.9 times greater ecological effects than those marine protected areas without sufficient resources</w:t>
      </w:r>
      <w:r w:rsidR="00552484">
        <w:rPr>
          <w:rFonts w:asciiTheme="majorBidi" w:hAnsiTheme="majorBidi" w:cstheme="majorBidi"/>
          <w:szCs w:val="22"/>
        </w:rPr>
        <w:t>.</w:t>
      </w:r>
      <w:r w:rsidRPr="009D551E">
        <w:rPr>
          <w:rStyle w:val="FootnoteReference"/>
          <w:rFonts w:asciiTheme="majorBidi" w:hAnsiTheme="majorBidi" w:cstheme="majorBidi"/>
          <w:sz w:val="22"/>
          <w:szCs w:val="22"/>
        </w:rPr>
        <w:footnoteReference w:id="262"/>
      </w:r>
      <w:r w:rsidRPr="009D551E">
        <w:rPr>
          <w:rFonts w:asciiTheme="majorBidi" w:hAnsiTheme="majorBidi" w:cstheme="majorBidi"/>
          <w:szCs w:val="22"/>
        </w:rPr>
        <w:t xml:space="preserve"> Research has </w:t>
      </w:r>
      <w:r w:rsidR="00271AC1">
        <w:rPr>
          <w:rFonts w:asciiTheme="majorBidi" w:hAnsiTheme="majorBidi" w:cstheme="majorBidi"/>
          <w:szCs w:val="22"/>
        </w:rPr>
        <w:t xml:space="preserve">also </w:t>
      </w:r>
      <w:r w:rsidRPr="009D551E">
        <w:rPr>
          <w:rFonts w:asciiTheme="majorBidi" w:hAnsiTheme="majorBidi" w:cstheme="majorBidi"/>
          <w:szCs w:val="22"/>
        </w:rPr>
        <w:t>been undertaken to develop indicators to be able to better assess and track management effectiveness</w:t>
      </w:r>
      <w:r w:rsidR="00552484">
        <w:rPr>
          <w:rFonts w:asciiTheme="majorBidi" w:hAnsiTheme="majorBidi" w:cstheme="majorBidi"/>
          <w:szCs w:val="22"/>
        </w:rPr>
        <w:t>.</w:t>
      </w:r>
      <w:r w:rsidRPr="009D551E">
        <w:rPr>
          <w:rStyle w:val="FootnoteReference"/>
          <w:rFonts w:asciiTheme="majorBidi" w:hAnsiTheme="majorBidi" w:cstheme="majorBidi"/>
          <w:sz w:val="22"/>
          <w:szCs w:val="22"/>
        </w:rPr>
        <w:footnoteReference w:id="263"/>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In recent years</w:t>
      </w:r>
      <w:r w:rsidR="00B82E15">
        <w:rPr>
          <w:rFonts w:asciiTheme="majorBidi" w:hAnsiTheme="majorBidi" w:cstheme="majorBidi"/>
          <w:szCs w:val="22"/>
        </w:rPr>
        <w:t>,</w:t>
      </w:r>
      <w:r w:rsidRPr="009D551E">
        <w:rPr>
          <w:rFonts w:asciiTheme="majorBidi" w:hAnsiTheme="majorBidi" w:cstheme="majorBidi"/>
          <w:szCs w:val="22"/>
        </w:rPr>
        <w:t xml:space="preserve"> there has been an increase in the number of protected areas with shared or private governance or </w:t>
      </w:r>
      <w:r w:rsidR="00B82E15">
        <w:rPr>
          <w:rFonts w:asciiTheme="majorBidi" w:hAnsiTheme="majorBidi" w:cstheme="majorBidi"/>
          <w:szCs w:val="22"/>
        </w:rPr>
        <w:t xml:space="preserve">that are </w:t>
      </w:r>
      <w:r w:rsidRPr="009D551E">
        <w:rPr>
          <w:rFonts w:asciiTheme="majorBidi" w:hAnsiTheme="majorBidi" w:cstheme="majorBidi"/>
          <w:szCs w:val="22"/>
        </w:rPr>
        <w:t>being governed by indigenous peoples and local communities</w:t>
      </w:r>
      <w:r w:rsidR="00D473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64"/>
      </w:r>
      <w:r w:rsidRPr="009D551E">
        <w:rPr>
          <w:rFonts w:asciiTheme="majorBidi" w:hAnsiTheme="majorBidi" w:cstheme="majorBidi"/>
          <w:szCs w:val="22"/>
        </w:rPr>
        <w:t xml:space="preserve"> Protected areas which consider social issues</w:t>
      </w:r>
      <w:r w:rsidR="00271AC1">
        <w:rPr>
          <w:rFonts w:asciiTheme="majorBidi" w:hAnsiTheme="majorBidi" w:cstheme="majorBidi"/>
          <w:szCs w:val="22"/>
        </w:rPr>
        <w:t xml:space="preserve"> in their design and management</w:t>
      </w:r>
      <w:r w:rsidRPr="009D551E">
        <w:rPr>
          <w:rFonts w:asciiTheme="majorBidi" w:hAnsiTheme="majorBidi" w:cstheme="majorBidi"/>
          <w:szCs w:val="22"/>
        </w:rPr>
        <w:t xml:space="preserve"> often have more positive conservation </w:t>
      </w:r>
      <w:r w:rsidRPr="009D551E">
        <w:rPr>
          <w:rFonts w:asciiTheme="majorBidi" w:hAnsiTheme="majorBidi" w:cstheme="majorBidi"/>
          <w:szCs w:val="22"/>
        </w:rPr>
        <w:lastRenderedPageBreak/>
        <w:t>outcomes</w:t>
      </w:r>
      <w:r w:rsidR="00D473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65"/>
      </w:r>
      <w:r w:rsidRPr="009D551E">
        <w:rPr>
          <w:rFonts w:asciiTheme="majorBidi" w:hAnsiTheme="majorBidi" w:cstheme="majorBidi"/>
          <w:szCs w:val="22"/>
        </w:rPr>
        <w:t xml:space="preserve"> However</w:t>
      </w:r>
      <w:r w:rsidR="00B82E15">
        <w:rPr>
          <w:rFonts w:asciiTheme="majorBidi" w:hAnsiTheme="majorBidi" w:cstheme="majorBidi"/>
          <w:szCs w:val="22"/>
        </w:rPr>
        <w:t>,</w:t>
      </w:r>
      <w:r w:rsidRPr="009D551E">
        <w:rPr>
          <w:rFonts w:asciiTheme="majorBidi" w:hAnsiTheme="majorBidi" w:cstheme="majorBidi"/>
          <w:szCs w:val="22"/>
        </w:rPr>
        <w:t xml:space="preserve"> there have been relatively few assessments of the social impacts of protected areas</w:t>
      </w:r>
      <w:r w:rsidR="00D473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66"/>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Protected areas have also been found to be facing various pressures which threaten their effectiveness. An assessment</w:t>
      </w:r>
      <w:r w:rsidR="00FE4D4B">
        <w:rPr>
          <w:rFonts w:asciiTheme="majorBidi" w:hAnsiTheme="majorBidi" w:cstheme="majorBidi"/>
          <w:szCs w:val="22"/>
        </w:rPr>
        <w:t>,</w:t>
      </w:r>
      <w:r w:rsidRPr="009D551E">
        <w:rPr>
          <w:rFonts w:asciiTheme="majorBidi" w:hAnsiTheme="majorBidi" w:cstheme="majorBidi"/>
          <w:szCs w:val="22"/>
        </w:rPr>
        <w:t xml:space="preserve"> based on information from 1,961 protected areas from 149 countries</w:t>
      </w:r>
      <w:r w:rsidR="00FE4D4B">
        <w:rPr>
          <w:rFonts w:asciiTheme="majorBidi" w:hAnsiTheme="majorBidi" w:cstheme="majorBidi"/>
          <w:szCs w:val="22"/>
        </w:rPr>
        <w:t>,</w:t>
      </w:r>
      <w:r w:rsidRPr="009D551E">
        <w:rPr>
          <w:rFonts w:asciiTheme="majorBidi" w:hAnsiTheme="majorBidi" w:cstheme="majorBidi"/>
          <w:szCs w:val="22"/>
        </w:rPr>
        <w:t xml:space="preserve"> found that 61% of all protected areas were impacted by unsustainable hunting, 55% were affected by recreational </w:t>
      </w:r>
      <w:r w:rsidR="00271AC1" w:rsidRPr="009D551E">
        <w:rPr>
          <w:rFonts w:asciiTheme="majorBidi" w:hAnsiTheme="majorBidi" w:cstheme="majorBidi"/>
          <w:szCs w:val="22"/>
        </w:rPr>
        <w:t>disturbances</w:t>
      </w:r>
      <w:r w:rsidRPr="009D551E">
        <w:rPr>
          <w:rFonts w:asciiTheme="majorBidi" w:hAnsiTheme="majorBidi" w:cstheme="majorBidi"/>
          <w:szCs w:val="22"/>
        </w:rPr>
        <w:t xml:space="preserve"> and 49% by natural system modification from fires or their suppression</w:t>
      </w:r>
      <w:r w:rsidRPr="009D551E">
        <w:rPr>
          <w:rStyle w:val="FootnoteReference"/>
          <w:rFonts w:asciiTheme="majorBidi" w:hAnsiTheme="majorBidi" w:cstheme="majorBidi"/>
          <w:sz w:val="22"/>
          <w:szCs w:val="22"/>
        </w:rPr>
        <w:footnoteReference w:id="267"/>
      </w:r>
      <w:r w:rsidRPr="009D551E">
        <w:rPr>
          <w:rFonts w:asciiTheme="majorBidi" w:hAnsiTheme="majorBidi" w:cstheme="majorBidi"/>
          <w:szCs w:val="22"/>
        </w:rPr>
        <w:t>.</w:t>
      </w:r>
    </w:p>
    <w:p w:rsidR="00B74DFD" w:rsidRDefault="009D551E" w:rsidP="00720FA7">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Two indicators used in GBO-4</w:t>
      </w:r>
      <w:r w:rsidR="0016109C">
        <w:rPr>
          <w:rFonts w:asciiTheme="majorBidi" w:hAnsiTheme="majorBidi" w:cstheme="majorBidi"/>
          <w:szCs w:val="22"/>
        </w:rPr>
        <w:t>, p</w:t>
      </w:r>
      <w:r w:rsidR="0016109C" w:rsidRPr="009D551E">
        <w:rPr>
          <w:rFonts w:asciiTheme="majorBidi" w:hAnsiTheme="majorBidi" w:cstheme="majorBidi"/>
          <w:szCs w:val="22"/>
        </w:rPr>
        <w:t>ercentage of marine and coastal areas covered by protected areas and percentage of terrestrial areas covered by protected areas</w:t>
      </w:r>
      <w:r w:rsidR="0016109C" w:rsidRPr="009D551E">
        <w:rPr>
          <w:rStyle w:val="FootnoteReference"/>
          <w:rFonts w:asciiTheme="majorBidi" w:hAnsiTheme="majorBidi" w:cstheme="majorBidi"/>
          <w:sz w:val="22"/>
          <w:szCs w:val="22"/>
        </w:rPr>
        <w:footnoteReference w:id="268"/>
      </w:r>
      <w:r w:rsidR="0016109C" w:rsidRPr="009D551E">
        <w:rPr>
          <w:rFonts w:asciiTheme="majorBidi" w:hAnsiTheme="majorBidi" w:cstheme="majorBidi"/>
          <w:szCs w:val="22"/>
        </w:rPr>
        <w:t xml:space="preserve">, </w:t>
      </w:r>
      <w:r w:rsidRPr="009D551E">
        <w:rPr>
          <w:rFonts w:asciiTheme="majorBidi" w:hAnsiTheme="majorBidi" w:cstheme="majorBidi"/>
          <w:szCs w:val="22"/>
        </w:rPr>
        <w:t xml:space="preserve"> have been updated since the report was released</w:t>
      </w:r>
      <w:r w:rsidR="0016109C">
        <w:rPr>
          <w:rFonts w:asciiTheme="majorBidi" w:hAnsiTheme="majorBidi" w:cstheme="majorBidi"/>
          <w:szCs w:val="22"/>
        </w:rPr>
        <w:t xml:space="preserve"> and</w:t>
      </w:r>
      <w:r w:rsidRPr="009D551E">
        <w:rPr>
          <w:rFonts w:asciiTheme="majorBidi" w:hAnsiTheme="majorBidi" w:cstheme="majorBidi"/>
          <w:szCs w:val="22"/>
        </w:rPr>
        <w:t xml:space="preserve"> both show positive trends. In addition</w:t>
      </w:r>
      <w:r w:rsidR="0016109C">
        <w:rPr>
          <w:rFonts w:asciiTheme="majorBidi" w:hAnsiTheme="majorBidi" w:cstheme="majorBidi"/>
          <w:szCs w:val="22"/>
        </w:rPr>
        <w:t>,</w:t>
      </w:r>
      <w:r w:rsidRPr="009D551E">
        <w:rPr>
          <w:rFonts w:asciiTheme="majorBidi" w:hAnsiTheme="majorBidi" w:cstheme="majorBidi"/>
          <w:szCs w:val="22"/>
        </w:rPr>
        <w:t xml:space="preserve"> the indicator, percentage of key biodiversity areas covered by protected areas, which was not </w:t>
      </w:r>
      <w:r w:rsidR="00271AC1">
        <w:rPr>
          <w:rFonts w:asciiTheme="majorBidi" w:hAnsiTheme="majorBidi" w:cstheme="majorBidi"/>
          <w:szCs w:val="22"/>
        </w:rPr>
        <w:t>available for use</w:t>
      </w:r>
      <w:r w:rsidRPr="009D551E">
        <w:rPr>
          <w:rFonts w:asciiTheme="majorBidi" w:hAnsiTheme="majorBidi" w:cstheme="majorBidi"/>
          <w:szCs w:val="22"/>
        </w:rPr>
        <w:t xml:space="preserve"> in GBO-4, has a positive trend as well. </w:t>
      </w:r>
    </w:p>
    <w:p w:rsidR="00B74DFD" w:rsidRDefault="009D551E" w:rsidP="00720FA7">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There has been significant progress towards the attainment of this target since it was adopted</w:t>
      </w:r>
      <w:r w:rsidR="0016109C">
        <w:rPr>
          <w:rFonts w:asciiTheme="majorBidi" w:hAnsiTheme="majorBidi" w:cstheme="majorBidi"/>
          <w:szCs w:val="22"/>
        </w:rPr>
        <w:t>,</w:t>
      </w:r>
      <w:r w:rsidRPr="009D551E">
        <w:rPr>
          <w:rFonts w:asciiTheme="majorBidi" w:hAnsiTheme="majorBidi" w:cstheme="majorBidi"/>
          <w:szCs w:val="22"/>
        </w:rPr>
        <w:t xml:space="preserve"> and the commitments that have been made by Parties suggest that progress will continue to be made between now and 2020</w:t>
      </w:r>
      <w:r w:rsidRPr="009D551E">
        <w:rPr>
          <w:rStyle w:val="FootnoteReference"/>
          <w:rFonts w:asciiTheme="majorBidi" w:hAnsiTheme="majorBidi" w:cstheme="majorBidi"/>
          <w:sz w:val="22"/>
          <w:szCs w:val="22"/>
        </w:rPr>
        <w:footnoteReference w:id="269"/>
      </w:r>
      <w:r w:rsidRPr="009D551E">
        <w:rPr>
          <w:rFonts w:asciiTheme="majorBidi" w:hAnsiTheme="majorBidi" w:cstheme="majorBidi"/>
          <w:szCs w:val="22"/>
        </w:rPr>
        <w:t>. Overall</w:t>
      </w:r>
      <w:r w:rsidR="0016109C">
        <w:rPr>
          <w:rFonts w:asciiTheme="majorBidi" w:hAnsiTheme="majorBidi" w:cstheme="majorBidi"/>
          <w:szCs w:val="22"/>
        </w:rPr>
        <w:t>,</w:t>
      </w:r>
      <w:r w:rsidRPr="009D551E">
        <w:rPr>
          <w:rFonts w:asciiTheme="majorBidi" w:hAnsiTheme="majorBidi" w:cstheme="majorBidi"/>
          <w:szCs w:val="22"/>
        </w:rPr>
        <w:t xml:space="preserve"> the scientific information that has become available since the publication of GBO-4 suggests that progress towards this target is largely unchanged from what was previously reported. Similarly</w:t>
      </w:r>
      <w:r w:rsidR="0016109C">
        <w:rPr>
          <w:rFonts w:asciiTheme="majorBidi" w:hAnsiTheme="majorBidi" w:cstheme="majorBidi"/>
          <w:szCs w:val="22"/>
        </w:rPr>
        <w:t>,</w:t>
      </w:r>
      <w:r w:rsidRPr="009D551E">
        <w:rPr>
          <w:rFonts w:asciiTheme="majorBidi" w:hAnsiTheme="majorBidi" w:cstheme="majorBidi"/>
          <w:szCs w:val="22"/>
        </w:rPr>
        <w:t xml:space="preserve"> the scientific literature suggests that the actions identified in GBO-4 remain relevant to the achievement of this Aichi Biodiversity Target.</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12: By 2020 the extinction of known threatened species has been prevented and their conservation status, particularly of those most in decline, has been improved and sustained.</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 xml:space="preserve">While significant data gaps and time lags remain, Aichi Biodiversity </w:t>
      </w:r>
      <w:r w:rsidR="00FE1426">
        <w:rPr>
          <w:rFonts w:asciiTheme="majorBidi" w:hAnsiTheme="majorBidi" w:cstheme="majorBidi"/>
          <w:szCs w:val="22"/>
        </w:rPr>
        <w:t xml:space="preserve">Target </w:t>
      </w:r>
      <w:r w:rsidRPr="009D551E">
        <w:rPr>
          <w:rFonts w:asciiTheme="majorBidi" w:hAnsiTheme="majorBidi" w:cstheme="majorBidi"/>
          <w:szCs w:val="22"/>
        </w:rPr>
        <w:t xml:space="preserve">12 continues to be one of the </w:t>
      </w:r>
      <w:r w:rsidR="00FE1426">
        <w:rPr>
          <w:rFonts w:asciiTheme="majorBidi" w:hAnsiTheme="majorBidi" w:cstheme="majorBidi"/>
          <w:szCs w:val="22"/>
        </w:rPr>
        <w:t xml:space="preserve">global targets </w:t>
      </w:r>
      <w:r w:rsidRPr="009D551E">
        <w:rPr>
          <w:rFonts w:asciiTheme="majorBidi" w:hAnsiTheme="majorBidi" w:cstheme="majorBidi"/>
          <w:szCs w:val="22"/>
        </w:rPr>
        <w:t>for which the most information is available. Since the publication of GBO-4</w:t>
      </w:r>
      <w:r w:rsidR="00FE1426">
        <w:rPr>
          <w:rFonts w:asciiTheme="majorBidi" w:hAnsiTheme="majorBidi" w:cstheme="majorBidi"/>
          <w:szCs w:val="22"/>
        </w:rPr>
        <w:t>,</w:t>
      </w:r>
      <w:r w:rsidRPr="009D551E">
        <w:rPr>
          <w:rFonts w:asciiTheme="majorBidi" w:hAnsiTheme="majorBidi" w:cstheme="majorBidi"/>
          <w:szCs w:val="22"/>
        </w:rPr>
        <w:t xml:space="preserve"> numerous publications related to species extinction and conservation status have been published. Many of these have focused on more detailed assessments of indicators related to conservation status. For example, at the global level, an assessment of Red List Index information for vertebrates from 1988</w:t>
      </w:r>
      <w:r w:rsidR="00FE1426">
        <w:rPr>
          <w:rFonts w:asciiTheme="majorBidi" w:hAnsiTheme="majorBidi" w:cstheme="majorBidi"/>
          <w:szCs w:val="22"/>
        </w:rPr>
        <w:t xml:space="preserve"> to </w:t>
      </w:r>
      <w:r w:rsidRPr="009D551E">
        <w:rPr>
          <w:rFonts w:asciiTheme="majorBidi" w:hAnsiTheme="majorBidi" w:cstheme="majorBidi"/>
          <w:szCs w:val="22"/>
        </w:rPr>
        <w:t>2008 found that more than 50% of the global deterioration in the conservation status of birds, mammals and amphibians in the Red List Index was concentrated in less than 1% of the world’s surface area, 4% of its ecoregions and 4% of countries</w:t>
      </w:r>
      <w:r w:rsidR="00D473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70"/>
      </w:r>
      <w:r w:rsidRPr="009D551E">
        <w:rPr>
          <w:rFonts w:asciiTheme="majorBidi" w:hAnsiTheme="majorBidi" w:cstheme="majorBidi"/>
          <w:szCs w:val="22"/>
        </w:rPr>
        <w:t xml:space="preserve"> An analys</w:t>
      </w:r>
      <w:r w:rsidR="00FE1426">
        <w:rPr>
          <w:rFonts w:asciiTheme="majorBidi" w:hAnsiTheme="majorBidi" w:cstheme="majorBidi"/>
          <w:szCs w:val="22"/>
        </w:rPr>
        <w:t>i</w:t>
      </w:r>
      <w:r w:rsidRPr="009D551E">
        <w:rPr>
          <w:rFonts w:asciiTheme="majorBidi" w:hAnsiTheme="majorBidi" w:cstheme="majorBidi"/>
          <w:szCs w:val="22"/>
        </w:rPr>
        <w:t>s of range contraction, based on information on 27,600 vertebrate species and information on extinctions between 1900 and 2015 in 177 mammal species, concluded that the rate of population loss in terrestrial vertebrates is extremely high with 32% of species decreasing. Further</w:t>
      </w:r>
      <w:r w:rsidR="00FE1426">
        <w:rPr>
          <w:rFonts w:asciiTheme="majorBidi" w:hAnsiTheme="majorBidi" w:cstheme="majorBidi"/>
          <w:szCs w:val="22"/>
        </w:rPr>
        <w:t>,</w:t>
      </w:r>
      <w:r w:rsidRPr="009D551E">
        <w:rPr>
          <w:rFonts w:asciiTheme="majorBidi" w:hAnsiTheme="majorBidi" w:cstheme="majorBidi"/>
          <w:szCs w:val="22"/>
        </w:rPr>
        <w:t xml:space="preserve"> of the </w:t>
      </w:r>
      <w:proofErr w:type="gramStart"/>
      <w:r w:rsidRPr="009D551E">
        <w:rPr>
          <w:rFonts w:asciiTheme="majorBidi" w:hAnsiTheme="majorBidi" w:cstheme="majorBidi"/>
          <w:szCs w:val="22"/>
        </w:rPr>
        <w:t>177 mammal</w:t>
      </w:r>
      <w:proofErr w:type="gramEnd"/>
      <w:r w:rsidRPr="009D551E">
        <w:rPr>
          <w:rFonts w:asciiTheme="majorBidi" w:hAnsiTheme="majorBidi" w:cstheme="majorBidi"/>
          <w:szCs w:val="22"/>
        </w:rPr>
        <w:t xml:space="preserve"> species assessed</w:t>
      </w:r>
      <w:r w:rsidR="00FE1426">
        <w:rPr>
          <w:rFonts w:asciiTheme="majorBidi" w:hAnsiTheme="majorBidi" w:cstheme="majorBidi"/>
          <w:szCs w:val="22"/>
        </w:rPr>
        <w:t>,</w:t>
      </w:r>
      <w:r w:rsidRPr="009D551E">
        <w:rPr>
          <w:rFonts w:asciiTheme="majorBidi" w:hAnsiTheme="majorBidi" w:cstheme="majorBidi"/>
          <w:szCs w:val="22"/>
        </w:rPr>
        <w:t xml:space="preserve"> all have lost 30% or more of their range while 40% have undergone population declines</w:t>
      </w:r>
      <w:r w:rsidR="00D473F9">
        <w:rPr>
          <w:rFonts w:asciiTheme="majorBidi" w:hAnsiTheme="majorBidi" w:cstheme="majorBidi"/>
          <w:szCs w:val="22"/>
        </w:rPr>
        <w:t>.</w:t>
      </w:r>
      <w:r w:rsidRPr="009D551E">
        <w:rPr>
          <w:rStyle w:val="FootnoteReference"/>
          <w:rFonts w:asciiTheme="majorBidi" w:hAnsiTheme="majorBidi" w:cstheme="majorBidi"/>
          <w:sz w:val="22"/>
          <w:szCs w:val="22"/>
        </w:rPr>
        <w:footnoteReference w:id="271"/>
      </w:r>
      <w:r w:rsidRPr="009D551E">
        <w:rPr>
          <w:rFonts w:asciiTheme="majorBidi" w:hAnsiTheme="majorBidi" w:cstheme="majorBidi"/>
          <w:szCs w:val="22"/>
        </w:rPr>
        <w:t xml:space="preserve"> </w:t>
      </w:r>
    </w:p>
    <w:p w:rsidR="009D551E" w:rsidRPr="007255FE" w:rsidRDefault="009D551E" w:rsidP="009D551E">
      <w:pPr>
        <w:pStyle w:val="Para1"/>
        <w:tabs>
          <w:tab w:val="clear" w:pos="360"/>
          <w:tab w:val="num" w:pos="720"/>
          <w:tab w:val="num" w:pos="3150"/>
        </w:tabs>
        <w:rPr>
          <w:rFonts w:asciiTheme="majorBidi" w:hAnsiTheme="majorBidi" w:cstheme="majorBidi"/>
          <w:szCs w:val="22"/>
        </w:rPr>
      </w:pPr>
      <w:r w:rsidRPr="007255FE">
        <w:rPr>
          <w:rFonts w:asciiTheme="majorBidi" w:hAnsiTheme="majorBidi" w:cstheme="majorBidi"/>
          <w:szCs w:val="22"/>
        </w:rPr>
        <w:t>In addition to global studies on trends in species conservation status and extinction</w:t>
      </w:r>
      <w:r w:rsidR="00FE1426" w:rsidRPr="007255FE">
        <w:rPr>
          <w:rFonts w:asciiTheme="majorBidi" w:hAnsiTheme="majorBidi" w:cstheme="majorBidi"/>
          <w:szCs w:val="22"/>
        </w:rPr>
        <w:t>,</w:t>
      </w:r>
      <w:r w:rsidRPr="007255FE">
        <w:rPr>
          <w:rFonts w:asciiTheme="majorBidi" w:hAnsiTheme="majorBidi" w:cstheme="majorBidi"/>
          <w:szCs w:val="22"/>
        </w:rPr>
        <w:t xml:space="preserve"> there ha</w:t>
      </w:r>
      <w:r w:rsidR="003964EF" w:rsidRPr="007255FE">
        <w:rPr>
          <w:rFonts w:asciiTheme="majorBidi" w:hAnsiTheme="majorBidi" w:cstheme="majorBidi"/>
          <w:szCs w:val="22"/>
        </w:rPr>
        <w:t xml:space="preserve">s </w:t>
      </w:r>
      <w:r w:rsidRPr="007255FE">
        <w:rPr>
          <w:rFonts w:asciiTheme="majorBidi" w:hAnsiTheme="majorBidi" w:cstheme="majorBidi"/>
          <w:szCs w:val="22"/>
        </w:rPr>
        <w:t xml:space="preserve">also been a range of publications </w:t>
      </w:r>
      <w:r w:rsidR="003964EF" w:rsidRPr="007255FE">
        <w:rPr>
          <w:rFonts w:asciiTheme="majorBidi" w:hAnsiTheme="majorBidi" w:cstheme="majorBidi"/>
          <w:szCs w:val="22"/>
        </w:rPr>
        <w:t xml:space="preserve">that have </w:t>
      </w:r>
      <w:r w:rsidRPr="007255FE">
        <w:rPr>
          <w:rFonts w:asciiTheme="majorBidi" w:hAnsiTheme="majorBidi" w:cstheme="majorBidi"/>
          <w:szCs w:val="22"/>
        </w:rPr>
        <w:t>examin</w:t>
      </w:r>
      <w:r w:rsidR="003964EF" w:rsidRPr="007255FE">
        <w:rPr>
          <w:rFonts w:asciiTheme="majorBidi" w:hAnsiTheme="majorBidi" w:cstheme="majorBidi"/>
          <w:szCs w:val="22"/>
        </w:rPr>
        <w:t xml:space="preserve">ed </w:t>
      </w:r>
      <w:r w:rsidRPr="007255FE">
        <w:rPr>
          <w:rFonts w:asciiTheme="majorBidi" w:hAnsiTheme="majorBidi" w:cstheme="majorBidi"/>
          <w:szCs w:val="22"/>
        </w:rPr>
        <w:t>the conservation status of specific species. For example</w:t>
      </w:r>
      <w:r w:rsidR="003964EF" w:rsidRPr="007255FE">
        <w:rPr>
          <w:rFonts w:asciiTheme="majorBidi" w:hAnsiTheme="majorBidi" w:cstheme="majorBidi"/>
          <w:szCs w:val="22"/>
        </w:rPr>
        <w:t>,</w:t>
      </w:r>
      <w:r w:rsidRPr="007255FE">
        <w:rPr>
          <w:rFonts w:asciiTheme="majorBidi" w:hAnsiTheme="majorBidi" w:cstheme="majorBidi"/>
          <w:szCs w:val="22"/>
        </w:rPr>
        <w:t xml:space="preserve"> an assessment of plants based on a Sampled Red List Index (SRLI) found that more than 20% of plant </w:t>
      </w:r>
      <w:r w:rsidRPr="007255FE">
        <w:rPr>
          <w:rFonts w:asciiTheme="majorBidi" w:hAnsiTheme="majorBidi" w:cstheme="majorBidi"/>
          <w:szCs w:val="22"/>
        </w:rPr>
        <w:lastRenderedPageBreak/>
        <w:t>species assessed are threatened with extinction. Most threatened plant species are found in tropical rainforest</w:t>
      </w:r>
      <w:r w:rsidR="004A4E35" w:rsidRPr="007255FE">
        <w:rPr>
          <w:rFonts w:asciiTheme="majorBidi" w:hAnsiTheme="majorBidi" w:cstheme="majorBidi"/>
          <w:szCs w:val="22"/>
        </w:rPr>
        <w:t>,</w:t>
      </w:r>
      <w:r w:rsidRPr="007255FE">
        <w:rPr>
          <w:rFonts w:asciiTheme="majorBidi" w:hAnsiTheme="majorBidi" w:cstheme="majorBidi"/>
          <w:szCs w:val="22"/>
        </w:rPr>
        <w:t xml:space="preserve"> where the greatest threat to plants is habitat conversion resulting from livestock and agriculture and the harvesting of natural resources. Gymnosperms (e.g. conifers and cycads) are the most threatened group. However</w:t>
      </w:r>
      <w:r w:rsidR="004A4E35" w:rsidRPr="007255FE">
        <w:rPr>
          <w:rFonts w:asciiTheme="majorBidi" w:hAnsiTheme="majorBidi" w:cstheme="majorBidi"/>
          <w:szCs w:val="22"/>
        </w:rPr>
        <w:t>,</w:t>
      </w:r>
      <w:r w:rsidRPr="007255FE">
        <w:rPr>
          <w:rFonts w:asciiTheme="majorBidi" w:hAnsiTheme="majorBidi" w:cstheme="majorBidi"/>
          <w:szCs w:val="22"/>
        </w:rPr>
        <w:t xml:space="preserve"> a third of plant species considered had yet to be assessed or are so poorly known that their threat status could not be assessed</w:t>
      </w:r>
      <w:r w:rsidR="00D473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72"/>
      </w:r>
      <w:r w:rsidRPr="007255FE">
        <w:rPr>
          <w:rFonts w:asciiTheme="majorBidi" w:hAnsiTheme="majorBidi" w:cstheme="majorBidi"/>
          <w:szCs w:val="22"/>
        </w:rPr>
        <w:t xml:space="preserve"> Further</w:t>
      </w:r>
      <w:r w:rsidR="004A4E35" w:rsidRPr="007255FE">
        <w:rPr>
          <w:rFonts w:asciiTheme="majorBidi" w:hAnsiTheme="majorBidi" w:cstheme="majorBidi"/>
          <w:szCs w:val="22"/>
        </w:rPr>
        <w:t>,</w:t>
      </w:r>
      <w:r w:rsidRPr="007255FE">
        <w:rPr>
          <w:rFonts w:asciiTheme="majorBidi" w:hAnsiTheme="majorBidi" w:cstheme="majorBidi"/>
          <w:szCs w:val="22"/>
        </w:rPr>
        <w:t xml:space="preserve"> an assessment of trends in pollinators found that pollinating bird and mammal species are deteriorating in status</w:t>
      </w:r>
      <w:r w:rsidR="004A4E35" w:rsidRPr="007255FE">
        <w:rPr>
          <w:rFonts w:asciiTheme="majorBidi" w:hAnsiTheme="majorBidi" w:cstheme="majorBidi"/>
          <w:szCs w:val="22"/>
        </w:rPr>
        <w:t xml:space="preserve"> with, o</w:t>
      </w:r>
      <w:r w:rsidRPr="007255FE">
        <w:rPr>
          <w:rFonts w:asciiTheme="majorBidi" w:hAnsiTheme="majorBidi" w:cstheme="majorBidi"/>
          <w:szCs w:val="22"/>
        </w:rPr>
        <w:t>n average</w:t>
      </w:r>
      <w:r w:rsidR="004A4E35" w:rsidRPr="007255FE">
        <w:rPr>
          <w:rFonts w:asciiTheme="majorBidi" w:hAnsiTheme="majorBidi" w:cstheme="majorBidi"/>
          <w:szCs w:val="22"/>
        </w:rPr>
        <w:t>,</w:t>
      </w:r>
      <w:r w:rsidRPr="007255FE">
        <w:rPr>
          <w:rFonts w:asciiTheme="majorBidi" w:hAnsiTheme="majorBidi" w:cstheme="majorBidi"/>
          <w:szCs w:val="22"/>
        </w:rPr>
        <w:t xml:space="preserve"> 2.5 species per year </w:t>
      </w:r>
      <w:r w:rsidR="004A4E35" w:rsidRPr="007255FE">
        <w:rPr>
          <w:rFonts w:asciiTheme="majorBidi" w:hAnsiTheme="majorBidi" w:cstheme="majorBidi"/>
          <w:szCs w:val="22"/>
        </w:rPr>
        <w:t xml:space="preserve">having moved </w:t>
      </w:r>
      <w:r w:rsidRPr="007255FE">
        <w:rPr>
          <w:rFonts w:asciiTheme="majorBidi" w:hAnsiTheme="majorBidi" w:cstheme="majorBidi"/>
          <w:szCs w:val="22"/>
        </w:rPr>
        <w:t>one Red List category closer toward extinction</w:t>
      </w:r>
      <w:r w:rsidR="004A4E35" w:rsidRPr="007255FE">
        <w:rPr>
          <w:rFonts w:asciiTheme="majorBidi" w:hAnsiTheme="majorBidi" w:cstheme="majorBidi"/>
          <w:szCs w:val="22"/>
        </w:rPr>
        <w:t xml:space="preserve"> between 1988 and 2012</w:t>
      </w:r>
      <w:r w:rsidRPr="007255FE">
        <w:rPr>
          <w:rFonts w:asciiTheme="majorBidi" w:hAnsiTheme="majorBidi" w:cstheme="majorBidi"/>
          <w:szCs w:val="22"/>
        </w:rPr>
        <w:t>. This represents a substantial increase in the extinction risk across this group of species</w:t>
      </w:r>
      <w:r w:rsidR="00D473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73"/>
      </w:r>
      <w:r w:rsidRPr="007255FE">
        <w:rPr>
          <w:rFonts w:asciiTheme="majorBidi" w:hAnsiTheme="majorBidi" w:cstheme="majorBidi"/>
          <w:szCs w:val="22"/>
        </w:rPr>
        <w:t xml:space="preserve"> Also</w:t>
      </w:r>
      <w:r w:rsidR="004A4E35" w:rsidRPr="007255FE">
        <w:rPr>
          <w:rFonts w:asciiTheme="majorBidi" w:hAnsiTheme="majorBidi" w:cstheme="majorBidi"/>
          <w:szCs w:val="22"/>
        </w:rPr>
        <w:t>,</w:t>
      </w:r>
      <w:r w:rsidRPr="007255FE">
        <w:rPr>
          <w:rFonts w:asciiTheme="majorBidi" w:hAnsiTheme="majorBidi" w:cstheme="majorBidi"/>
          <w:szCs w:val="22"/>
        </w:rPr>
        <w:t xml:space="preserve"> while the conservation status of bats improved from 1985 to 2000 as human disturbances to roosting sites were reduced, </w:t>
      </w:r>
      <w:r w:rsidR="007255FE" w:rsidRPr="007255FE">
        <w:rPr>
          <w:rFonts w:asciiTheme="majorBidi" w:hAnsiTheme="majorBidi" w:cstheme="majorBidi"/>
          <w:szCs w:val="22"/>
        </w:rPr>
        <w:t xml:space="preserve">it declined sharply (7%) </w:t>
      </w:r>
      <w:r w:rsidRPr="007255FE">
        <w:rPr>
          <w:rFonts w:asciiTheme="majorBidi" w:hAnsiTheme="majorBidi" w:cstheme="majorBidi"/>
          <w:szCs w:val="22"/>
        </w:rPr>
        <w:t>by 2015</w:t>
      </w:r>
      <w:r w:rsidR="007255FE" w:rsidRPr="007255FE">
        <w:rPr>
          <w:rFonts w:asciiTheme="majorBidi" w:hAnsiTheme="majorBidi" w:cstheme="majorBidi"/>
          <w:szCs w:val="22"/>
        </w:rPr>
        <w:t>,</w:t>
      </w:r>
      <w:r w:rsidRPr="007255FE">
        <w:rPr>
          <w:rFonts w:asciiTheme="majorBidi" w:hAnsiTheme="majorBidi" w:cstheme="majorBidi"/>
          <w:szCs w:val="22"/>
        </w:rPr>
        <w:t xml:space="preserve"> due principally to threats from white</w:t>
      </w:r>
      <w:r w:rsidR="004A4E35" w:rsidRPr="007255FE">
        <w:rPr>
          <w:rFonts w:asciiTheme="majorBidi" w:hAnsiTheme="majorBidi" w:cstheme="majorBidi"/>
          <w:szCs w:val="22"/>
        </w:rPr>
        <w:t>-</w:t>
      </w:r>
      <w:r w:rsidRPr="007255FE">
        <w:rPr>
          <w:rFonts w:asciiTheme="majorBidi" w:hAnsiTheme="majorBidi" w:cstheme="majorBidi"/>
          <w:szCs w:val="22"/>
        </w:rPr>
        <w:t>nose syndrome and wind energy</w:t>
      </w:r>
      <w:r w:rsidR="00D473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274"/>
      </w:r>
      <w:r w:rsidRPr="007255FE">
        <w:rPr>
          <w:rFonts w:asciiTheme="majorBidi" w:hAnsiTheme="majorBidi" w:cstheme="majorBidi"/>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 xml:space="preserve">There is comparatively less information on marine extinctions </w:t>
      </w:r>
      <w:r w:rsidR="007255FE">
        <w:rPr>
          <w:rFonts w:asciiTheme="majorBidi" w:hAnsiTheme="majorBidi" w:cstheme="majorBidi"/>
          <w:szCs w:val="22"/>
        </w:rPr>
        <w:t xml:space="preserve">than on </w:t>
      </w:r>
      <w:r w:rsidRPr="009D551E">
        <w:rPr>
          <w:rFonts w:asciiTheme="majorBidi" w:hAnsiTheme="majorBidi" w:cstheme="majorBidi"/>
          <w:szCs w:val="22"/>
        </w:rPr>
        <w:t>terrestrial ones. However</w:t>
      </w:r>
      <w:r w:rsidR="007255FE">
        <w:rPr>
          <w:rFonts w:asciiTheme="majorBidi" w:hAnsiTheme="majorBidi" w:cstheme="majorBidi"/>
          <w:szCs w:val="22"/>
        </w:rPr>
        <w:t>,</w:t>
      </w:r>
      <w:r w:rsidRPr="009D551E">
        <w:rPr>
          <w:rFonts w:asciiTheme="majorBidi" w:hAnsiTheme="majorBidi" w:cstheme="majorBidi"/>
          <w:szCs w:val="22"/>
        </w:rPr>
        <w:t xml:space="preserve"> a study looking </w:t>
      </w:r>
      <w:r w:rsidR="007255FE">
        <w:rPr>
          <w:rFonts w:asciiTheme="majorBidi" w:hAnsiTheme="majorBidi" w:cstheme="majorBidi"/>
          <w:szCs w:val="22"/>
        </w:rPr>
        <w:t xml:space="preserve">at </w:t>
      </w:r>
      <w:r w:rsidRPr="009D551E">
        <w:rPr>
          <w:rFonts w:asciiTheme="majorBidi" w:hAnsiTheme="majorBidi" w:cstheme="majorBidi"/>
          <w:szCs w:val="22"/>
        </w:rPr>
        <w:t>extinction rates in marine and non-marine species found that</w:t>
      </w:r>
      <w:r w:rsidR="007255FE">
        <w:rPr>
          <w:rFonts w:asciiTheme="majorBidi" w:hAnsiTheme="majorBidi" w:cstheme="majorBidi"/>
          <w:szCs w:val="22"/>
        </w:rPr>
        <w:t>,</w:t>
      </w:r>
      <w:r w:rsidRPr="009D551E">
        <w:rPr>
          <w:rFonts w:asciiTheme="majorBidi" w:hAnsiTheme="majorBidi" w:cstheme="majorBidi"/>
          <w:szCs w:val="22"/>
        </w:rPr>
        <w:t xml:space="preserve"> for the best studied taxonomic groups</w:t>
      </w:r>
      <w:r w:rsidR="007255FE">
        <w:rPr>
          <w:rFonts w:asciiTheme="majorBidi" w:hAnsiTheme="majorBidi" w:cstheme="majorBidi"/>
          <w:szCs w:val="22"/>
        </w:rPr>
        <w:t>,</w:t>
      </w:r>
      <w:r w:rsidRPr="009D551E">
        <w:rPr>
          <w:rFonts w:asciiTheme="majorBidi" w:hAnsiTheme="majorBidi" w:cstheme="majorBidi"/>
          <w:szCs w:val="22"/>
        </w:rPr>
        <w:t xml:space="preserve"> on average between 20 and 25% of species are threatened with extinction regardless of the realm they inhabit</w:t>
      </w:r>
      <w:r w:rsidRPr="009D551E">
        <w:rPr>
          <w:rStyle w:val="StyleFootnoteReferenceNounderline"/>
          <w:rFonts w:asciiTheme="majorBidi" w:hAnsiTheme="majorBidi" w:cstheme="majorBidi"/>
          <w:sz w:val="22"/>
          <w:szCs w:val="22"/>
          <w:vertAlign w:val="superscript"/>
        </w:rPr>
        <w:footnoteReference w:id="275"/>
      </w:r>
      <w:r w:rsidR="007255FE">
        <w:rPr>
          <w:rFonts w:asciiTheme="majorBidi" w:hAnsiTheme="majorBidi" w:cstheme="majorBidi"/>
          <w:szCs w:val="22"/>
        </w:rPr>
        <w:t>.</w:t>
      </w:r>
      <w:r w:rsidRPr="009D551E">
        <w:rPr>
          <w:rFonts w:asciiTheme="majorBidi" w:hAnsiTheme="majorBidi" w:cstheme="majorBidi"/>
          <w:szCs w:val="22"/>
        </w:rPr>
        <w:t xml:space="preserve"> </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A number of studies have focused on extrapolating current extinction and conservation status trends into the future using various scenarios and models. For example</w:t>
      </w:r>
      <w:r w:rsidR="007255FE">
        <w:rPr>
          <w:rFonts w:asciiTheme="majorBidi" w:hAnsiTheme="majorBidi" w:cstheme="majorBidi"/>
          <w:szCs w:val="22"/>
        </w:rPr>
        <w:t>,</w:t>
      </w:r>
      <w:r w:rsidRPr="009D551E">
        <w:rPr>
          <w:rFonts w:asciiTheme="majorBidi" w:hAnsiTheme="majorBidi" w:cstheme="majorBidi"/>
          <w:szCs w:val="22"/>
        </w:rPr>
        <w:t xml:space="preserve"> an assessment based on spatial distribution models with historical and projected deforestation</w:t>
      </w:r>
      <w:r w:rsidR="007255FE">
        <w:rPr>
          <w:rFonts w:asciiTheme="majorBidi" w:hAnsiTheme="majorBidi" w:cstheme="majorBidi"/>
          <w:szCs w:val="22"/>
        </w:rPr>
        <w:t>,</w:t>
      </w:r>
      <w:r w:rsidRPr="009D551E">
        <w:rPr>
          <w:rFonts w:asciiTheme="majorBidi" w:hAnsiTheme="majorBidi" w:cstheme="majorBidi"/>
          <w:szCs w:val="22"/>
        </w:rPr>
        <w:t xml:space="preserve"> suggest</w:t>
      </w:r>
      <w:r w:rsidR="004C0FE5">
        <w:rPr>
          <w:rFonts w:asciiTheme="majorBidi" w:hAnsiTheme="majorBidi" w:cstheme="majorBidi"/>
          <w:szCs w:val="22"/>
        </w:rPr>
        <w:t>s</w:t>
      </w:r>
      <w:r w:rsidRPr="009D551E">
        <w:rPr>
          <w:rFonts w:asciiTheme="majorBidi" w:hAnsiTheme="majorBidi" w:cstheme="majorBidi"/>
          <w:szCs w:val="22"/>
        </w:rPr>
        <w:t xml:space="preserve"> that between 36% and up to 57% of all Amazonian tree species are likely to qualify as globally threatened under </w:t>
      </w:r>
      <w:r w:rsidR="007255FE">
        <w:rPr>
          <w:rFonts w:asciiTheme="majorBidi" w:hAnsiTheme="majorBidi" w:cstheme="majorBidi"/>
          <w:szCs w:val="22"/>
        </w:rPr>
        <w:t xml:space="preserve">the </w:t>
      </w:r>
      <w:r w:rsidRPr="009D551E">
        <w:rPr>
          <w:rFonts w:asciiTheme="majorBidi" w:hAnsiTheme="majorBidi" w:cstheme="majorBidi"/>
          <w:szCs w:val="22"/>
        </w:rPr>
        <w:t>International Union for Conservation of Nature (IUCN) Red List criteria by 2050. This would increase the number of threatened plant species on Earth by 22%</w:t>
      </w:r>
      <w:r w:rsidRPr="009D551E">
        <w:rPr>
          <w:rStyle w:val="StyleFootnoteReferenceNounderline"/>
          <w:rFonts w:asciiTheme="majorBidi" w:hAnsiTheme="majorBidi" w:cstheme="majorBidi"/>
          <w:sz w:val="22"/>
          <w:szCs w:val="22"/>
          <w:vertAlign w:val="superscript"/>
        </w:rPr>
        <w:footnoteReference w:id="276"/>
      </w:r>
      <w:r w:rsidRPr="009D551E">
        <w:rPr>
          <w:rFonts w:asciiTheme="majorBidi" w:hAnsiTheme="majorBidi" w:cstheme="majorBidi"/>
          <w:szCs w:val="22"/>
        </w:rPr>
        <w:t>. Similarly</w:t>
      </w:r>
      <w:r w:rsidR="004C0FE5">
        <w:rPr>
          <w:rFonts w:asciiTheme="majorBidi" w:hAnsiTheme="majorBidi" w:cstheme="majorBidi"/>
          <w:szCs w:val="22"/>
        </w:rPr>
        <w:t>,</w:t>
      </w:r>
      <w:r w:rsidRPr="009D551E">
        <w:rPr>
          <w:rFonts w:asciiTheme="majorBidi" w:hAnsiTheme="majorBidi" w:cstheme="majorBidi"/>
          <w:szCs w:val="22"/>
        </w:rPr>
        <w:t xml:space="preserve"> under different climate and land use change scenarios and assuming a business</w:t>
      </w:r>
      <w:r w:rsidR="004C0FE5">
        <w:rPr>
          <w:rFonts w:asciiTheme="majorBidi" w:hAnsiTheme="majorBidi" w:cstheme="majorBidi"/>
          <w:szCs w:val="22"/>
        </w:rPr>
        <w:t>-</w:t>
      </w:r>
      <w:r w:rsidRPr="009D551E">
        <w:rPr>
          <w:rFonts w:asciiTheme="majorBidi" w:hAnsiTheme="majorBidi" w:cstheme="majorBidi"/>
          <w:szCs w:val="22"/>
        </w:rPr>
        <w:t>as</w:t>
      </w:r>
      <w:r w:rsidR="004C0FE5">
        <w:rPr>
          <w:rFonts w:asciiTheme="majorBidi" w:hAnsiTheme="majorBidi" w:cstheme="majorBidi"/>
          <w:szCs w:val="22"/>
        </w:rPr>
        <w:t>-</w:t>
      </w:r>
      <w:r w:rsidRPr="009D551E">
        <w:rPr>
          <w:rFonts w:asciiTheme="majorBidi" w:hAnsiTheme="majorBidi" w:cstheme="majorBidi"/>
          <w:szCs w:val="22"/>
        </w:rPr>
        <w:t>usual scenario</w:t>
      </w:r>
      <w:r w:rsidR="004C0FE5">
        <w:rPr>
          <w:rFonts w:asciiTheme="majorBidi" w:hAnsiTheme="majorBidi" w:cstheme="majorBidi"/>
          <w:szCs w:val="22"/>
        </w:rPr>
        <w:t>,</w:t>
      </w:r>
      <w:r w:rsidRPr="009D551E">
        <w:rPr>
          <w:rFonts w:asciiTheme="majorBidi" w:hAnsiTheme="majorBidi" w:cstheme="majorBidi"/>
          <w:szCs w:val="22"/>
        </w:rPr>
        <w:t xml:space="preserve"> it was found that population abundance of terrestrial carnivore and ungulate species </w:t>
      </w:r>
      <w:r w:rsidR="004C0FE5">
        <w:rPr>
          <w:rFonts w:asciiTheme="majorBidi" w:hAnsiTheme="majorBidi" w:cstheme="majorBidi"/>
          <w:szCs w:val="22"/>
        </w:rPr>
        <w:t xml:space="preserve">would </w:t>
      </w:r>
      <w:r w:rsidRPr="009D551E">
        <w:rPr>
          <w:rFonts w:asciiTheme="majorBidi" w:hAnsiTheme="majorBidi" w:cstheme="majorBidi"/>
          <w:szCs w:val="22"/>
        </w:rPr>
        <w:t>decline by between 18</w:t>
      </w:r>
      <w:r w:rsidR="004C0FE5">
        <w:rPr>
          <w:rFonts w:asciiTheme="majorBidi" w:hAnsiTheme="majorBidi" w:cstheme="majorBidi"/>
          <w:szCs w:val="22"/>
        </w:rPr>
        <w:t xml:space="preserve">% and </w:t>
      </w:r>
      <w:r w:rsidRPr="009D551E">
        <w:rPr>
          <w:rFonts w:asciiTheme="majorBidi" w:hAnsiTheme="majorBidi" w:cstheme="majorBidi"/>
          <w:szCs w:val="22"/>
        </w:rPr>
        <w:t>35%</w:t>
      </w:r>
      <w:r w:rsidR="004C0FE5">
        <w:rPr>
          <w:rFonts w:asciiTheme="majorBidi" w:hAnsiTheme="majorBidi" w:cstheme="majorBidi"/>
          <w:szCs w:val="22"/>
        </w:rPr>
        <w:t>,</w:t>
      </w:r>
      <w:r w:rsidRPr="009D551E">
        <w:rPr>
          <w:rFonts w:asciiTheme="majorBidi" w:hAnsiTheme="majorBidi" w:cstheme="majorBidi"/>
          <w:szCs w:val="22"/>
        </w:rPr>
        <w:t xml:space="preserve"> while extinction </w:t>
      </w:r>
      <w:r w:rsidR="004C0FE5">
        <w:rPr>
          <w:rFonts w:asciiTheme="majorBidi" w:hAnsiTheme="majorBidi" w:cstheme="majorBidi"/>
          <w:szCs w:val="22"/>
        </w:rPr>
        <w:t xml:space="preserve">would </w:t>
      </w:r>
      <w:r w:rsidRPr="009D551E">
        <w:rPr>
          <w:rFonts w:asciiTheme="majorBidi" w:hAnsiTheme="majorBidi" w:cstheme="majorBidi"/>
          <w:szCs w:val="22"/>
        </w:rPr>
        <w:t>increase from between 8</w:t>
      </w:r>
      <w:r w:rsidR="004C0FE5">
        <w:rPr>
          <w:rFonts w:asciiTheme="majorBidi" w:hAnsiTheme="majorBidi" w:cstheme="majorBidi"/>
          <w:szCs w:val="22"/>
        </w:rPr>
        <w:t>%</w:t>
      </w:r>
      <w:r w:rsidRPr="009D551E">
        <w:rPr>
          <w:rFonts w:asciiTheme="majorBidi" w:hAnsiTheme="majorBidi" w:cstheme="majorBidi"/>
          <w:szCs w:val="22"/>
        </w:rPr>
        <w:t xml:space="preserve"> and 23%</w:t>
      </w:r>
      <w:r w:rsidR="004C0FE5">
        <w:rPr>
          <w:rFonts w:asciiTheme="majorBidi" w:hAnsiTheme="majorBidi" w:cstheme="majorBidi"/>
          <w:szCs w:val="22"/>
        </w:rPr>
        <w:t>,</w:t>
      </w:r>
      <w:r w:rsidRPr="009D551E">
        <w:rPr>
          <w:rFonts w:asciiTheme="majorBidi" w:hAnsiTheme="majorBidi" w:cstheme="majorBidi"/>
          <w:szCs w:val="22"/>
        </w:rPr>
        <w:t xml:space="preserve"> by 2050. However</w:t>
      </w:r>
      <w:r w:rsidR="004C0FE5">
        <w:rPr>
          <w:rFonts w:asciiTheme="majorBidi" w:hAnsiTheme="majorBidi" w:cstheme="majorBidi"/>
          <w:szCs w:val="22"/>
        </w:rPr>
        <w:t>,</w:t>
      </w:r>
      <w:r w:rsidRPr="009D551E">
        <w:rPr>
          <w:rFonts w:asciiTheme="majorBidi" w:hAnsiTheme="majorBidi" w:cstheme="majorBidi"/>
          <w:szCs w:val="22"/>
        </w:rPr>
        <w:t xml:space="preserve"> an alternative scenario, one in which meat consumption per capita is limited, waste in the agricultural production chain is reduced and where less energy-intensive lifestyles are adopted, resulted in reductions in extinction risk and population losses</w:t>
      </w:r>
      <w:r w:rsidRPr="009D551E">
        <w:rPr>
          <w:rStyle w:val="StyleFootnoteReferenceNounderline"/>
          <w:rFonts w:asciiTheme="majorBidi" w:hAnsiTheme="majorBidi" w:cstheme="majorBidi"/>
          <w:sz w:val="22"/>
          <w:szCs w:val="22"/>
          <w:vertAlign w:val="superscript"/>
        </w:rPr>
        <w:footnoteReference w:id="277"/>
      </w:r>
      <w:r w:rsidRPr="009D551E">
        <w:rPr>
          <w:rFonts w:asciiTheme="majorBidi" w:hAnsiTheme="majorBidi" w:cstheme="majorBidi"/>
          <w:szCs w:val="22"/>
        </w:rPr>
        <w:t>. Further</w:t>
      </w:r>
      <w:r w:rsidR="005D578C">
        <w:rPr>
          <w:rFonts w:asciiTheme="majorBidi" w:hAnsiTheme="majorBidi" w:cstheme="majorBidi"/>
          <w:szCs w:val="22"/>
        </w:rPr>
        <w:t>,</w:t>
      </w:r>
      <w:r w:rsidRPr="009D551E">
        <w:rPr>
          <w:rFonts w:asciiTheme="majorBidi" w:hAnsiTheme="majorBidi" w:cstheme="majorBidi"/>
          <w:szCs w:val="22"/>
        </w:rPr>
        <w:t xml:space="preserve"> a meta-analysis of 131 published papers projecting the impacts of climate change on species extinction concluded that</w:t>
      </w:r>
      <w:r w:rsidR="005D578C">
        <w:rPr>
          <w:rFonts w:asciiTheme="majorBidi" w:hAnsiTheme="majorBidi" w:cstheme="majorBidi"/>
          <w:szCs w:val="22"/>
        </w:rPr>
        <w:t>,</w:t>
      </w:r>
      <w:r w:rsidRPr="009D551E">
        <w:rPr>
          <w:rFonts w:asciiTheme="majorBidi" w:hAnsiTheme="majorBidi" w:cstheme="majorBidi"/>
          <w:szCs w:val="22"/>
        </w:rPr>
        <w:t xml:space="preserve"> as temperature rise</w:t>
      </w:r>
      <w:r w:rsidR="005D578C">
        <w:rPr>
          <w:rFonts w:asciiTheme="majorBidi" w:hAnsiTheme="majorBidi" w:cstheme="majorBidi"/>
          <w:szCs w:val="22"/>
        </w:rPr>
        <w:t>s,</w:t>
      </w:r>
      <w:r w:rsidRPr="009D551E">
        <w:rPr>
          <w:rFonts w:asciiTheme="majorBidi" w:hAnsiTheme="majorBidi" w:cstheme="majorBidi"/>
          <w:szCs w:val="22"/>
        </w:rPr>
        <w:t xml:space="preserve"> extinction risk will accelerate. The proportion of species that could go extinct as a result of climate change will increase from 2.8% at present to 5.2% with a 2°C post-industrial temperate rise. If temperature increase reaches 3°C</w:t>
      </w:r>
      <w:r w:rsidR="00F97342">
        <w:rPr>
          <w:rFonts w:asciiTheme="majorBidi" w:hAnsiTheme="majorBidi" w:cstheme="majorBidi"/>
          <w:szCs w:val="22"/>
        </w:rPr>
        <w:t>,</w:t>
      </w:r>
      <w:r w:rsidRPr="009D551E">
        <w:rPr>
          <w:rFonts w:asciiTheme="majorBidi" w:hAnsiTheme="majorBidi" w:cstheme="majorBidi"/>
          <w:szCs w:val="22"/>
        </w:rPr>
        <w:t xml:space="preserve"> extinction risk is estimated to increase to 8.5%</w:t>
      </w:r>
      <w:r w:rsidR="00F97342">
        <w:rPr>
          <w:rFonts w:asciiTheme="majorBidi" w:hAnsiTheme="majorBidi" w:cstheme="majorBidi"/>
          <w:szCs w:val="22"/>
        </w:rPr>
        <w:t xml:space="preserve"> w</w:t>
      </w:r>
      <w:r w:rsidRPr="009D551E">
        <w:rPr>
          <w:rFonts w:asciiTheme="majorBidi" w:hAnsiTheme="majorBidi" w:cstheme="majorBidi"/>
          <w:szCs w:val="22"/>
        </w:rPr>
        <w:t>hile</w:t>
      </w:r>
      <w:r w:rsidR="00F97342">
        <w:rPr>
          <w:rFonts w:asciiTheme="majorBidi" w:hAnsiTheme="majorBidi" w:cstheme="majorBidi"/>
          <w:szCs w:val="22"/>
        </w:rPr>
        <w:t>,</w:t>
      </w:r>
      <w:r w:rsidRPr="009D551E">
        <w:rPr>
          <w:rFonts w:asciiTheme="majorBidi" w:hAnsiTheme="majorBidi" w:cstheme="majorBidi"/>
          <w:szCs w:val="22"/>
        </w:rPr>
        <w:t xml:space="preserve"> if temperatures rise by 4.3°C</w:t>
      </w:r>
      <w:r w:rsidR="00F97342">
        <w:rPr>
          <w:rFonts w:asciiTheme="majorBidi" w:hAnsiTheme="majorBidi" w:cstheme="majorBidi"/>
          <w:szCs w:val="22"/>
        </w:rPr>
        <w:t>,</w:t>
      </w:r>
      <w:r w:rsidRPr="009D551E">
        <w:rPr>
          <w:rFonts w:asciiTheme="majorBidi" w:hAnsiTheme="majorBidi" w:cstheme="majorBidi"/>
          <w:szCs w:val="22"/>
        </w:rPr>
        <w:t xml:space="preserve"> 16% of species</w:t>
      </w:r>
      <w:r w:rsidR="00F97342">
        <w:rPr>
          <w:rFonts w:asciiTheme="majorBidi" w:hAnsiTheme="majorBidi" w:cstheme="majorBidi"/>
          <w:szCs w:val="22"/>
        </w:rPr>
        <w:t xml:space="preserve"> will be threatened by climate change</w:t>
      </w:r>
      <w:r w:rsidRPr="009D551E">
        <w:rPr>
          <w:rFonts w:asciiTheme="majorBidi" w:hAnsiTheme="majorBidi" w:cstheme="majorBidi"/>
          <w:szCs w:val="22"/>
        </w:rPr>
        <w:t>. Extinctions were predicted to be highest in South America, Australia, and New Zealand and were not found to vary by taxonomic group</w:t>
      </w:r>
      <w:r w:rsidRPr="009D551E">
        <w:rPr>
          <w:rStyle w:val="StyleFootnoteReferenceNounderline"/>
          <w:rFonts w:asciiTheme="majorBidi" w:hAnsiTheme="majorBidi" w:cstheme="majorBidi"/>
          <w:sz w:val="22"/>
          <w:szCs w:val="22"/>
          <w:vertAlign w:val="superscript"/>
        </w:rPr>
        <w:footnoteReference w:id="278"/>
      </w:r>
      <w:r w:rsidRPr="009D551E">
        <w:rPr>
          <w:rFonts w:asciiTheme="majorBidi" w:hAnsiTheme="majorBidi" w:cstheme="majorBidi"/>
          <w:szCs w:val="22"/>
        </w:rPr>
        <w:t>.</w:t>
      </w:r>
    </w:p>
    <w:p w:rsidR="009D551E" w:rsidRPr="00F97342" w:rsidRDefault="009D551E" w:rsidP="009D551E">
      <w:pPr>
        <w:pStyle w:val="Para1"/>
        <w:tabs>
          <w:tab w:val="clear" w:pos="360"/>
          <w:tab w:val="num" w:pos="720"/>
          <w:tab w:val="num" w:pos="3150"/>
        </w:tabs>
        <w:rPr>
          <w:rFonts w:asciiTheme="majorBidi" w:hAnsiTheme="majorBidi" w:cstheme="majorBidi"/>
          <w:szCs w:val="22"/>
        </w:rPr>
      </w:pPr>
      <w:r w:rsidRPr="00F97342">
        <w:rPr>
          <w:rFonts w:asciiTheme="majorBidi" w:hAnsiTheme="majorBidi" w:cstheme="majorBidi"/>
          <w:szCs w:val="22"/>
        </w:rPr>
        <w:t>Scenario studies have also been undertaken for specific ecosystems. For example</w:t>
      </w:r>
      <w:r w:rsidR="00F97342" w:rsidRPr="00F97342">
        <w:rPr>
          <w:rFonts w:asciiTheme="majorBidi" w:hAnsiTheme="majorBidi" w:cstheme="majorBidi"/>
          <w:szCs w:val="22"/>
        </w:rPr>
        <w:t>,</w:t>
      </w:r>
      <w:r w:rsidRPr="00F97342">
        <w:rPr>
          <w:rFonts w:asciiTheme="majorBidi" w:hAnsiTheme="majorBidi" w:cstheme="majorBidi"/>
          <w:szCs w:val="22"/>
        </w:rPr>
        <w:t xml:space="preserve"> an assessment of the Brazilian </w:t>
      </w:r>
      <w:proofErr w:type="spellStart"/>
      <w:r w:rsidRPr="00F97342">
        <w:rPr>
          <w:rFonts w:asciiTheme="majorBidi" w:hAnsiTheme="majorBidi" w:cstheme="majorBidi"/>
          <w:szCs w:val="22"/>
        </w:rPr>
        <w:t>Cerrado</w:t>
      </w:r>
      <w:proofErr w:type="spellEnd"/>
      <w:r w:rsidRPr="00F97342">
        <w:rPr>
          <w:rFonts w:asciiTheme="majorBidi" w:hAnsiTheme="majorBidi" w:cstheme="majorBidi"/>
          <w:szCs w:val="22"/>
        </w:rPr>
        <w:t xml:space="preserve"> found </w:t>
      </w:r>
      <w:r w:rsidR="00F97342" w:rsidRPr="00F97342">
        <w:rPr>
          <w:rFonts w:asciiTheme="majorBidi" w:hAnsiTheme="majorBidi" w:cstheme="majorBidi"/>
          <w:szCs w:val="22"/>
        </w:rPr>
        <w:t xml:space="preserve">that </w:t>
      </w:r>
      <w:r w:rsidRPr="00F97342">
        <w:rPr>
          <w:rFonts w:asciiTheme="majorBidi" w:hAnsiTheme="majorBidi" w:cstheme="majorBidi"/>
          <w:szCs w:val="22"/>
        </w:rPr>
        <w:t>46% of native vegetation cover has been lost and that less than 20% remains undisturbed. Under a business</w:t>
      </w:r>
      <w:r w:rsidR="00F97342" w:rsidRPr="00F97342">
        <w:rPr>
          <w:rFonts w:asciiTheme="majorBidi" w:hAnsiTheme="majorBidi" w:cstheme="majorBidi"/>
          <w:szCs w:val="22"/>
        </w:rPr>
        <w:t>-</w:t>
      </w:r>
      <w:r w:rsidRPr="00F97342">
        <w:rPr>
          <w:rFonts w:asciiTheme="majorBidi" w:hAnsiTheme="majorBidi" w:cstheme="majorBidi"/>
          <w:szCs w:val="22"/>
        </w:rPr>
        <w:t>as</w:t>
      </w:r>
      <w:r w:rsidR="00F97342" w:rsidRPr="00F97342">
        <w:rPr>
          <w:rFonts w:asciiTheme="majorBidi" w:hAnsiTheme="majorBidi" w:cstheme="majorBidi"/>
          <w:szCs w:val="22"/>
        </w:rPr>
        <w:t>-</w:t>
      </w:r>
      <w:r w:rsidRPr="00F97342">
        <w:rPr>
          <w:rFonts w:asciiTheme="majorBidi" w:hAnsiTheme="majorBidi" w:cstheme="majorBidi"/>
          <w:szCs w:val="22"/>
        </w:rPr>
        <w:t>usual scenario</w:t>
      </w:r>
      <w:r w:rsidR="00F97342" w:rsidRPr="00F97342">
        <w:rPr>
          <w:rFonts w:asciiTheme="majorBidi" w:hAnsiTheme="majorBidi" w:cstheme="majorBidi"/>
          <w:szCs w:val="22"/>
        </w:rPr>
        <w:t>,</w:t>
      </w:r>
      <w:r w:rsidRPr="00F97342">
        <w:rPr>
          <w:rFonts w:asciiTheme="majorBidi" w:hAnsiTheme="majorBidi" w:cstheme="majorBidi"/>
          <w:szCs w:val="22"/>
        </w:rPr>
        <w:t xml:space="preserve"> it is projected that </w:t>
      </w:r>
      <w:r w:rsidR="00F97342" w:rsidRPr="00F97342">
        <w:rPr>
          <w:rFonts w:asciiTheme="majorBidi" w:hAnsiTheme="majorBidi" w:cstheme="majorBidi"/>
          <w:szCs w:val="22"/>
        </w:rPr>
        <w:t xml:space="preserve">between </w:t>
      </w:r>
      <w:r w:rsidRPr="00F97342">
        <w:rPr>
          <w:rFonts w:asciiTheme="majorBidi" w:hAnsiTheme="majorBidi" w:cstheme="majorBidi"/>
          <w:szCs w:val="22"/>
        </w:rPr>
        <w:t>31</w:t>
      </w:r>
      <w:r w:rsidR="00F97342" w:rsidRPr="00F97342">
        <w:rPr>
          <w:rFonts w:asciiTheme="majorBidi" w:hAnsiTheme="majorBidi" w:cstheme="majorBidi"/>
          <w:szCs w:val="22"/>
        </w:rPr>
        <w:t xml:space="preserve">% to </w:t>
      </w:r>
      <w:r w:rsidRPr="00F97342">
        <w:rPr>
          <w:rFonts w:asciiTheme="majorBidi" w:hAnsiTheme="majorBidi" w:cstheme="majorBidi"/>
          <w:szCs w:val="22"/>
        </w:rPr>
        <w:t xml:space="preserve">34% of the remaining </w:t>
      </w:r>
      <w:proofErr w:type="spellStart"/>
      <w:r w:rsidRPr="00F97342">
        <w:rPr>
          <w:rFonts w:asciiTheme="majorBidi" w:hAnsiTheme="majorBidi" w:cstheme="majorBidi"/>
          <w:szCs w:val="22"/>
        </w:rPr>
        <w:t>Cerrado</w:t>
      </w:r>
      <w:proofErr w:type="spellEnd"/>
      <w:r w:rsidRPr="00F97342">
        <w:rPr>
          <w:rFonts w:asciiTheme="majorBidi" w:hAnsiTheme="majorBidi" w:cstheme="majorBidi"/>
          <w:szCs w:val="22"/>
        </w:rPr>
        <w:t xml:space="preserve"> would be lost by 2056 and that this would bring about the extinction of approximately 480 endemic plant species. However</w:t>
      </w:r>
      <w:r w:rsidR="00F97342" w:rsidRPr="00F97342">
        <w:rPr>
          <w:rFonts w:asciiTheme="majorBidi" w:hAnsiTheme="majorBidi" w:cstheme="majorBidi"/>
          <w:szCs w:val="22"/>
        </w:rPr>
        <w:t>,</w:t>
      </w:r>
      <w:r w:rsidRPr="00F97342">
        <w:rPr>
          <w:rFonts w:asciiTheme="majorBidi" w:hAnsiTheme="majorBidi" w:cstheme="majorBidi"/>
          <w:szCs w:val="22"/>
        </w:rPr>
        <w:t xml:space="preserve"> an alternative scenario, one where a mix of policies to reconcile </w:t>
      </w:r>
      <w:r w:rsidRPr="00F97342">
        <w:rPr>
          <w:rFonts w:asciiTheme="majorBidi" w:hAnsiTheme="majorBidi" w:cstheme="majorBidi"/>
          <w:szCs w:val="22"/>
        </w:rPr>
        <w:lastRenderedPageBreak/>
        <w:t>agricultural expansion, conservation and restoration</w:t>
      </w:r>
      <w:r w:rsidR="007D0AB7" w:rsidRPr="00F97342">
        <w:rPr>
          <w:rFonts w:asciiTheme="majorBidi" w:hAnsiTheme="majorBidi" w:cstheme="majorBidi"/>
          <w:szCs w:val="22"/>
        </w:rPr>
        <w:t xml:space="preserve"> w</w:t>
      </w:r>
      <w:r w:rsidR="00F97342" w:rsidRPr="00F97342">
        <w:rPr>
          <w:rFonts w:asciiTheme="majorBidi" w:hAnsiTheme="majorBidi" w:cstheme="majorBidi"/>
          <w:szCs w:val="22"/>
        </w:rPr>
        <w:t xml:space="preserve">as </w:t>
      </w:r>
      <w:r w:rsidR="007D0AB7" w:rsidRPr="00F97342">
        <w:rPr>
          <w:rFonts w:asciiTheme="majorBidi" w:hAnsiTheme="majorBidi" w:cstheme="majorBidi"/>
          <w:szCs w:val="22"/>
        </w:rPr>
        <w:t>applied</w:t>
      </w:r>
      <w:r w:rsidRPr="00F97342">
        <w:rPr>
          <w:rFonts w:asciiTheme="majorBidi" w:hAnsiTheme="majorBidi" w:cstheme="majorBidi"/>
          <w:szCs w:val="22"/>
        </w:rPr>
        <w:t xml:space="preserve">, </w:t>
      </w:r>
      <w:r w:rsidR="00F97342" w:rsidRPr="00F97342">
        <w:rPr>
          <w:rFonts w:asciiTheme="majorBidi" w:hAnsiTheme="majorBidi" w:cstheme="majorBidi"/>
          <w:szCs w:val="22"/>
        </w:rPr>
        <w:t xml:space="preserve">suggests that </w:t>
      </w:r>
      <w:r w:rsidRPr="00F97342">
        <w:rPr>
          <w:rFonts w:asciiTheme="majorBidi" w:hAnsiTheme="majorBidi" w:cstheme="majorBidi"/>
          <w:szCs w:val="22"/>
        </w:rPr>
        <w:t>the region</w:t>
      </w:r>
      <w:r w:rsidR="007D0AB7" w:rsidRPr="00F97342">
        <w:rPr>
          <w:rFonts w:asciiTheme="majorBidi" w:hAnsiTheme="majorBidi" w:cstheme="majorBidi"/>
          <w:szCs w:val="22"/>
        </w:rPr>
        <w:t>’</w:t>
      </w:r>
      <w:r w:rsidRPr="00F97342">
        <w:rPr>
          <w:rFonts w:asciiTheme="majorBidi" w:hAnsiTheme="majorBidi" w:cstheme="majorBidi"/>
          <w:szCs w:val="22"/>
        </w:rPr>
        <w:t xml:space="preserve">s projected increase in crop and beef production </w:t>
      </w:r>
      <w:r w:rsidR="00F97342" w:rsidRPr="00F97342">
        <w:rPr>
          <w:rFonts w:asciiTheme="majorBidi" w:hAnsiTheme="majorBidi" w:cstheme="majorBidi"/>
          <w:szCs w:val="22"/>
        </w:rPr>
        <w:t xml:space="preserve">could be realized </w:t>
      </w:r>
      <w:r w:rsidRPr="00F97342">
        <w:rPr>
          <w:rFonts w:asciiTheme="majorBidi" w:hAnsiTheme="majorBidi" w:cstheme="majorBidi"/>
          <w:szCs w:val="22"/>
        </w:rPr>
        <w:t xml:space="preserve">without further loss to the </w:t>
      </w:r>
      <w:proofErr w:type="spellStart"/>
      <w:r w:rsidRPr="00F97342">
        <w:rPr>
          <w:rFonts w:asciiTheme="majorBidi" w:hAnsiTheme="majorBidi" w:cstheme="majorBidi"/>
          <w:szCs w:val="22"/>
        </w:rPr>
        <w:t>Cerrado</w:t>
      </w:r>
      <w:proofErr w:type="spellEnd"/>
      <w:r w:rsidR="00D473F9">
        <w:rPr>
          <w:rFonts w:asciiTheme="majorBidi" w:hAnsiTheme="majorBidi" w:cstheme="majorBidi"/>
          <w:szCs w:val="22"/>
        </w:rPr>
        <w:t>.</w:t>
      </w:r>
      <w:r w:rsidRPr="009D551E">
        <w:rPr>
          <w:rStyle w:val="FootnoteReference"/>
          <w:rFonts w:asciiTheme="majorBidi" w:hAnsiTheme="majorBidi" w:cstheme="majorBidi"/>
          <w:sz w:val="22"/>
          <w:szCs w:val="22"/>
        </w:rPr>
        <w:footnoteReference w:id="279"/>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Some studies have also been undertaken to assess the threats facing particular groups of species in specific locations. For example</w:t>
      </w:r>
      <w:r w:rsidR="00F97342">
        <w:rPr>
          <w:rFonts w:asciiTheme="majorBidi" w:hAnsiTheme="majorBidi" w:cstheme="majorBidi"/>
          <w:szCs w:val="22"/>
        </w:rPr>
        <w:t>,</w:t>
      </w:r>
      <w:r w:rsidRPr="009D551E">
        <w:rPr>
          <w:rFonts w:asciiTheme="majorBidi" w:hAnsiTheme="majorBidi" w:cstheme="majorBidi"/>
          <w:szCs w:val="22"/>
        </w:rPr>
        <w:t xml:space="preserve"> an assessment of the illegal killing and taking of bi</w:t>
      </w:r>
      <w:r w:rsidR="007D0AB7">
        <w:rPr>
          <w:rFonts w:asciiTheme="majorBidi" w:hAnsiTheme="majorBidi" w:cstheme="majorBidi"/>
          <w:szCs w:val="22"/>
        </w:rPr>
        <w:t>rd</w:t>
      </w:r>
      <w:r w:rsidRPr="009D551E">
        <w:rPr>
          <w:rFonts w:asciiTheme="majorBidi" w:hAnsiTheme="majorBidi" w:cstheme="majorBidi"/>
          <w:szCs w:val="22"/>
        </w:rPr>
        <w:t xml:space="preserve">s in Europe concluded that between .4 and 2.1 million birds per year </w:t>
      </w:r>
      <w:r w:rsidR="007D0AB7">
        <w:rPr>
          <w:rFonts w:asciiTheme="majorBidi" w:hAnsiTheme="majorBidi" w:cstheme="majorBidi"/>
          <w:szCs w:val="22"/>
        </w:rPr>
        <w:t xml:space="preserve">are </w:t>
      </w:r>
      <w:r w:rsidRPr="009D551E">
        <w:rPr>
          <w:rFonts w:asciiTheme="majorBidi" w:hAnsiTheme="majorBidi" w:cstheme="majorBidi"/>
          <w:szCs w:val="22"/>
        </w:rPr>
        <w:t>illegally killed or taken in the region. The report noted that birds were primarily killed or taken for sport, food, and predator/pest control and pointed to the need for greater efforts to ensure existing legislation on this issue is complied with and enforced</w:t>
      </w:r>
      <w:r w:rsidRPr="007D0AB7">
        <w:rPr>
          <w:rStyle w:val="FootnoteReference"/>
          <w:rFonts w:asciiTheme="majorBidi" w:hAnsiTheme="majorBidi" w:cstheme="majorBidi"/>
          <w:sz w:val="22"/>
          <w:szCs w:val="22"/>
        </w:rPr>
        <w:footnoteReference w:id="280"/>
      </w:r>
      <w:r w:rsidRPr="009D551E">
        <w:rPr>
          <w:rFonts w:asciiTheme="majorBidi" w:hAnsiTheme="majorBidi" w:cstheme="majorBidi"/>
          <w:szCs w:val="22"/>
        </w:rPr>
        <w:t>. A similar assessment for the Mediterranean region estimated that between 11 and 36 million birds may be killed or taken each year in the region for food, sport, use as cage-birds or decoys</w:t>
      </w:r>
      <w:r w:rsidRPr="007D0AB7">
        <w:rPr>
          <w:rStyle w:val="FootnoteReference"/>
          <w:rFonts w:asciiTheme="majorBidi" w:hAnsiTheme="majorBidi" w:cstheme="majorBidi"/>
          <w:sz w:val="22"/>
          <w:szCs w:val="22"/>
        </w:rPr>
        <w:footnoteReference w:id="281"/>
      </w:r>
      <w:r w:rsidRPr="009D551E">
        <w:rPr>
          <w:rFonts w:asciiTheme="majorBidi" w:hAnsiTheme="majorBidi" w:cstheme="majorBidi"/>
          <w:szCs w:val="22"/>
        </w:rPr>
        <w:t>. A further study examining trends in insects in Germany over a 27 year period concluded that there had been a 76% decline in insect biomass in 63 nature protection areas</w:t>
      </w:r>
      <w:r w:rsidRPr="009D551E">
        <w:rPr>
          <w:rStyle w:val="FootnoteReference"/>
          <w:rFonts w:asciiTheme="majorBidi" w:hAnsiTheme="majorBidi" w:cstheme="majorBidi"/>
          <w:sz w:val="22"/>
          <w:szCs w:val="22"/>
        </w:rPr>
        <w:footnoteReference w:id="282"/>
      </w:r>
      <w:r w:rsidRPr="009D551E">
        <w:rPr>
          <w:rFonts w:asciiTheme="majorBidi" w:hAnsiTheme="majorBidi" w:cstheme="majorBidi"/>
          <w:szCs w:val="22"/>
        </w:rPr>
        <w:t>.</w:t>
      </w:r>
    </w:p>
    <w:p w:rsidR="009D551E" w:rsidRPr="009D551E" w:rsidRDefault="009D551E" w:rsidP="00720FA7">
      <w:pPr>
        <w:pStyle w:val="Para1"/>
        <w:tabs>
          <w:tab w:val="clear" w:pos="360"/>
          <w:tab w:val="num" w:pos="720"/>
        </w:tabs>
        <w:rPr>
          <w:rFonts w:asciiTheme="majorBidi" w:hAnsiTheme="majorBidi" w:cstheme="majorBidi"/>
          <w:szCs w:val="22"/>
        </w:rPr>
      </w:pPr>
      <w:r w:rsidRPr="009D551E">
        <w:rPr>
          <w:rFonts w:asciiTheme="majorBidi" w:hAnsiTheme="majorBidi" w:cstheme="majorBidi"/>
          <w:szCs w:val="22"/>
        </w:rPr>
        <w:t>Two indicators used in GBO-4 have been updated since the report was released. These indicators, Red List Index</w:t>
      </w:r>
      <w:r w:rsidRPr="009D551E">
        <w:rPr>
          <w:rStyle w:val="FootnoteReference"/>
          <w:rFonts w:asciiTheme="majorBidi" w:hAnsiTheme="majorBidi" w:cstheme="majorBidi"/>
          <w:sz w:val="22"/>
          <w:szCs w:val="22"/>
        </w:rPr>
        <w:footnoteReference w:id="283"/>
      </w:r>
      <w:r w:rsidRPr="009D551E">
        <w:rPr>
          <w:rFonts w:asciiTheme="majorBidi" w:hAnsiTheme="majorBidi" w:cstheme="majorBidi"/>
          <w:szCs w:val="22"/>
          <w:vertAlign w:val="superscript"/>
        </w:rPr>
        <w:t xml:space="preserve"> </w:t>
      </w:r>
      <w:r w:rsidRPr="009D551E">
        <w:rPr>
          <w:rFonts w:asciiTheme="majorBidi" w:hAnsiTheme="majorBidi" w:cstheme="majorBidi"/>
          <w:szCs w:val="22"/>
        </w:rPr>
        <w:t xml:space="preserve">and the Living Planet Index, both show trends </w:t>
      </w:r>
      <w:r w:rsidR="00D16DA6">
        <w:rPr>
          <w:rFonts w:asciiTheme="majorBidi" w:hAnsiTheme="majorBidi" w:cstheme="majorBidi"/>
          <w:szCs w:val="22"/>
        </w:rPr>
        <w:t xml:space="preserve">that are </w:t>
      </w:r>
      <w:r w:rsidRPr="009D551E">
        <w:rPr>
          <w:rFonts w:asciiTheme="majorBidi" w:hAnsiTheme="majorBidi" w:cstheme="majorBidi"/>
          <w:szCs w:val="22"/>
        </w:rPr>
        <w:t>negative for biodiversity.</w:t>
      </w:r>
    </w:p>
    <w:p w:rsidR="009D551E" w:rsidRPr="009D551E" w:rsidRDefault="009D551E" w:rsidP="00720FA7">
      <w:pPr>
        <w:pStyle w:val="Para1"/>
        <w:tabs>
          <w:tab w:val="clear" w:pos="360"/>
          <w:tab w:val="num" w:pos="900"/>
        </w:tabs>
      </w:pPr>
      <w:r w:rsidRPr="009D551E">
        <w:t>A review of the scientific information that has become available since the publication of GBO-4 suggests that the situation is largely unchanged from what was previously reported</w:t>
      </w:r>
      <w:r w:rsidR="00D16DA6">
        <w:t xml:space="preserve">, namely, </w:t>
      </w:r>
      <w:r w:rsidRPr="009D551E">
        <w:t>that conservation status is worsening globally and that there has been no meaningful change in the rate of extinction</w:t>
      </w:r>
      <w:r w:rsidR="00D16DA6">
        <w:t xml:space="preserve"> at the global level</w:t>
      </w:r>
      <w:r w:rsidRPr="009D551E">
        <w:t>. While there have been some regional, national and local successes, on the whole</w:t>
      </w:r>
      <w:r w:rsidR="00D16DA6">
        <w:t>,</w:t>
      </w:r>
      <w:r w:rsidRPr="009D551E">
        <w:t xml:space="preserve"> species are increasingly at risk of extinction and the world community is not currently on track to reach Aichi Biodiversity Target 12. </w:t>
      </w:r>
    </w:p>
    <w:p w:rsidR="009D551E" w:rsidRPr="00E63096" w:rsidRDefault="009D551E" w:rsidP="009D551E">
      <w:pPr>
        <w:pStyle w:val="Para1"/>
        <w:tabs>
          <w:tab w:val="clear" w:pos="360"/>
          <w:tab w:val="num" w:pos="630"/>
        </w:tabs>
        <w:rPr>
          <w:rFonts w:asciiTheme="majorBidi" w:hAnsiTheme="majorBidi" w:cstheme="majorBidi"/>
          <w:szCs w:val="22"/>
        </w:rPr>
      </w:pPr>
      <w:r w:rsidRPr="00E63096">
        <w:rPr>
          <w:rFonts w:asciiTheme="majorBidi" w:hAnsiTheme="majorBidi" w:cstheme="majorBidi"/>
          <w:szCs w:val="22"/>
        </w:rPr>
        <w:t>The scientific literature that has been published since 2014 suggests that the actions identified to accelerate progress towards this target in GBO-4 remain relevant. In addition</w:t>
      </w:r>
      <w:r w:rsidR="00D16DA6">
        <w:rPr>
          <w:rFonts w:asciiTheme="majorBidi" w:hAnsiTheme="majorBidi" w:cstheme="majorBidi"/>
          <w:szCs w:val="22"/>
        </w:rPr>
        <w:t>,</w:t>
      </w:r>
      <w:r w:rsidRPr="00E63096">
        <w:rPr>
          <w:rFonts w:asciiTheme="majorBidi" w:hAnsiTheme="majorBidi" w:cstheme="majorBidi"/>
          <w:szCs w:val="22"/>
        </w:rPr>
        <w:t xml:space="preserve"> there is increasing evidence that it is possible to improve the conservation status of species. For example</w:t>
      </w:r>
      <w:r w:rsidR="00D16DA6">
        <w:rPr>
          <w:rFonts w:asciiTheme="majorBidi" w:hAnsiTheme="majorBidi" w:cstheme="majorBidi"/>
          <w:szCs w:val="22"/>
        </w:rPr>
        <w:t>,</w:t>
      </w:r>
      <w:r w:rsidRPr="00E63096">
        <w:rPr>
          <w:rFonts w:asciiTheme="majorBidi" w:hAnsiTheme="majorBidi" w:cstheme="majorBidi"/>
          <w:szCs w:val="22"/>
        </w:rPr>
        <w:t xml:space="preserve"> it has been estimated</w:t>
      </w:r>
      <w:r w:rsidR="00D16DA6">
        <w:rPr>
          <w:rFonts w:asciiTheme="majorBidi" w:hAnsiTheme="majorBidi" w:cstheme="majorBidi"/>
          <w:szCs w:val="22"/>
        </w:rPr>
        <w:t>,</w:t>
      </w:r>
      <w:r w:rsidRPr="00E63096">
        <w:rPr>
          <w:rFonts w:asciiTheme="majorBidi" w:hAnsiTheme="majorBidi" w:cstheme="majorBidi"/>
          <w:szCs w:val="22"/>
        </w:rPr>
        <w:t xml:space="preserve"> based on IUCN Red List data from 1996 to 2008 that</w:t>
      </w:r>
      <w:r w:rsidR="00BC1ABC">
        <w:rPr>
          <w:rFonts w:asciiTheme="majorBidi" w:hAnsiTheme="majorBidi" w:cstheme="majorBidi"/>
          <w:szCs w:val="22"/>
        </w:rPr>
        <w:t>,</w:t>
      </w:r>
      <w:r w:rsidRPr="00E63096">
        <w:rPr>
          <w:rFonts w:asciiTheme="majorBidi" w:hAnsiTheme="majorBidi" w:cstheme="majorBidi"/>
          <w:szCs w:val="22"/>
        </w:rPr>
        <w:t xml:space="preserve"> in the absence of conservation action</w:t>
      </w:r>
      <w:r w:rsidR="00BC1ABC">
        <w:rPr>
          <w:rFonts w:asciiTheme="majorBidi" w:hAnsiTheme="majorBidi" w:cstheme="majorBidi"/>
          <w:szCs w:val="22"/>
        </w:rPr>
        <w:t>,</w:t>
      </w:r>
      <w:r w:rsidRPr="00E63096">
        <w:rPr>
          <w:rFonts w:asciiTheme="majorBidi" w:hAnsiTheme="majorBidi" w:cstheme="majorBidi"/>
          <w:szCs w:val="22"/>
        </w:rPr>
        <w:t xml:space="preserve"> at least 148 species would have deteriorated by one Red List Category, </w:t>
      </w:r>
      <w:r w:rsidR="00BC1ABC">
        <w:rPr>
          <w:rFonts w:asciiTheme="majorBidi" w:hAnsiTheme="majorBidi" w:cstheme="majorBidi"/>
          <w:szCs w:val="22"/>
        </w:rPr>
        <w:t xml:space="preserve">among which </w:t>
      </w:r>
      <w:r w:rsidRPr="00E63096">
        <w:rPr>
          <w:rFonts w:asciiTheme="majorBidi" w:hAnsiTheme="majorBidi" w:cstheme="majorBidi"/>
          <w:szCs w:val="22"/>
        </w:rPr>
        <w:t>6 would have been listed as extinct or extinct in the wild</w:t>
      </w:r>
      <w:r w:rsidRPr="009D551E">
        <w:rPr>
          <w:rStyle w:val="StyleFootnoteReferenceNounderline"/>
          <w:rFonts w:asciiTheme="majorBidi" w:hAnsiTheme="majorBidi" w:cstheme="majorBidi"/>
          <w:sz w:val="22"/>
          <w:szCs w:val="22"/>
          <w:vertAlign w:val="superscript"/>
        </w:rPr>
        <w:footnoteReference w:id="284"/>
      </w:r>
      <w:r w:rsidRPr="00E63096">
        <w:rPr>
          <w:rFonts w:asciiTheme="majorBidi" w:hAnsiTheme="majorBidi" w:cstheme="majorBidi"/>
          <w:szCs w:val="22"/>
        </w:rPr>
        <w:t>. The same assessment noted that</w:t>
      </w:r>
      <w:r w:rsidR="00BC1ABC">
        <w:rPr>
          <w:rFonts w:asciiTheme="majorBidi" w:hAnsiTheme="majorBidi" w:cstheme="majorBidi"/>
          <w:szCs w:val="22"/>
        </w:rPr>
        <w:t>,</w:t>
      </w:r>
      <w:r w:rsidRPr="00E63096">
        <w:rPr>
          <w:rFonts w:asciiTheme="majorBidi" w:hAnsiTheme="majorBidi" w:cstheme="majorBidi"/>
          <w:szCs w:val="22"/>
        </w:rPr>
        <w:t xml:space="preserve"> while some species benefited from highly targeted actions</w:t>
      </w:r>
      <w:r w:rsidR="00BC1ABC">
        <w:rPr>
          <w:rFonts w:asciiTheme="majorBidi" w:hAnsiTheme="majorBidi" w:cstheme="majorBidi"/>
          <w:szCs w:val="22"/>
        </w:rPr>
        <w:t>,</w:t>
      </w:r>
      <w:r w:rsidRPr="00E63096">
        <w:rPr>
          <w:rFonts w:asciiTheme="majorBidi" w:hAnsiTheme="majorBidi" w:cstheme="majorBidi"/>
          <w:szCs w:val="22"/>
        </w:rPr>
        <w:t xml:space="preserve"> m</w:t>
      </w:r>
      <w:r w:rsidR="007D0AB7" w:rsidRPr="00E63096">
        <w:rPr>
          <w:rFonts w:asciiTheme="majorBidi" w:hAnsiTheme="majorBidi" w:cstheme="majorBidi"/>
          <w:szCs w:val="22"/>
        </w:rPr>
        <w:t>ost benefited from conservation</w:t>
      </w:r>
      <w:r w:rsidRPr="00E63096">
        <w:rPr>
          <w:rFonts w:asciiTheme="majorBidi" w:hAnsiTheme="majorBidi" w:cstheme="majorBidi"/>
          <w:szCs w:val="22"/>
        </w:rPr>
        <w:t xml:space="preserve"> actions, such as habitat protection</w:t>
      </w:r>
      <w:r w:rsidR="00BC1ABC">
        <w:rPr>
          <w:rFonts w:asciiTheme="majorBidi" w:hAnsiTheme="majorBidi" w:cstheme="majorBidi"/>
          <w:szCs w:val="22"/>
        </w:rPr>
        <w:t xml:space="preserve">. </w:t>
      </w:r>
      <w:r w:rsidRPr="00E63096">
        <w:rPr>
          <w:rFonts w:asciiTheme="majorBidi" w:hAnsiTheme="majorBidi" w:cstheme="majorBidi"/>
          <w:szCs w:val="22"/>
        </w:rPr>
        <w:t>Since the publication of GBO-4</w:t>
      </w:r>
      <w:r w:rsidR="00BC1ABC">
        <w:rPr>
          <w:rFonts w:asciiTheme="majorBidi" w:hAnsiTheme="majorBidi" w:cstheme="majorBidi"/>
          <w:szCs w:val="22"/>
        </w:rPr>
        <w:t>,</w:t>
      </w:r>
      <w:r w:rsidRPr="00E63096">
        <w:rPr>
          <w:rFonts w:asciiTheme="majorBidi" w:hAnsiTheme="majorBidi" w:cstheme="majorBidi"/>
          <w:szCs w:val="22"/>
        </w:rPr>
        <w:t xml:space="preserve"> a number of publications have noted the need to enhance monitoring systems for species. For example</w:t>
      </w:r>
      <w:r w:rsidR="00BC1ABC">
        <w:rPr>
          <w:rFonts w:asciiTheme="majorBidi" w:hAnsiTheme="majorBidi" w:cstheme="majorBidi"/>
          <w:szCs w:val="22"/>
        </w:rPr>
        <w:t>,</w:t>
      </w:r>
      <w:r w:rsidRPr="00E63096">
        <w:rPr>
          <w:rFonts w:asciiTheme="majorBidi" w:hAnsiTheme="majorBidi" w:cstheme="majorBidi"/>
          <w:szCs w:val="22"/>
        </w:rPr>
        <w:t xml:space="preserve"> an assessment based on the IUCN Red List noted that</w:t>
      </w:r>
      <w:r w:rsidR="00BC1ABC">
        <w:rPr>
          <w:rFonts w:asciiTheme="majorBidi" w:hAnsiTheme="majorBidi" w:cstheme="majorBidi"/>
          <w:szCs w:val="22"/>
        </w:rPr>
        <w:t>,</w:t>
      </w:r>
      <w:r w:rsidRPr="00E63096">
        <w:rPr>
          <w:rFonts w:asciiTheme="majorBidi" w:hAnsiTheme="majorBidi" w:cstheme="majorBidi"/>
          <w:szCs w:val="22"/>
        </w:rPr>
        <w:t xml:space="preserve"> unless funding is scaled up by 2025, 83% of Red List assessments </w:t>
      </w:r>
      <w:r w:rsidR="00BC1ABC">
        <w:rPr>
          <w:rFonts w:asciiTheme="majorBidi" w:hAnsiTheme="majorBidi" w:cstheme="majorBidi"/>
          <w:szCs w:val="22"/>
        </w:rPr>
        <w:t xml:space="preserve">will </w:t>
      </w:r>
      <w:r w:rsidRPr="00E63096">
        <w:rPr>
          <w:rFonts w:asciiTheme="majorBidi" w:hAnsiTheme="majorBidi" w:cstheme="majorBidi"/>
          <w:szCs w:val="22"/>
        </w:rPr>
        <w:t>be outdated and the average age of assessments will be above 30 years</w:t>
      </w:r>
      <w:r w:rsidRPr="009D551E">
        <w:rPr>
          <w:rStyle w:val="StyleFootnoteReferenceNounderline"/>
          <w:rFonts w:asciiTheme="majorBidi" w:hAnsiTheme="majorBidi" w:cstheme="majorBidi"/>
          <w:sz w:val="22"/>
          <w:szCs w:val="22"/>
          <w:vertAlign w:val="superscript"/>
        </w:rPr>
        <w:footnoteReference w:id="285"/>
      </w:r>
      <w:r w:rsidRPr="00E63096">
        <w:rPr>
          <w:rFonts w:asciiTheme="majorBidi" w:hAnsiTheme="majorBidi" w:cstheme="majorBidi"/>
          <w:szCs w:val="22"/>
        </w:rPr>
        <w:t>. Similarly</w:t>
      </w:r>
      <w:r w:rsidR="00BC1ABC">
        <w:rPr>
          <w:rFonts w:asciiTheme="majorBidi" w:hAnsiTheme="majorBidi" w:cstheme="majorBidi"/>
          <w:szCs w:val="22"/>
        </w:rPr>
        <w:t>,</w:t>
      </w:r>
      <w:r w:rsidRPr="00E63096">
        <w:rPr>
          <w:rFonts w:asciiTheme="majorBidi" w:hAnsiTheme="majorBidi" w:cstheme="majorBidi"/>
          <w:szCs w:val="22"/>
        </w:rPr>
        <w:t xml:space="preserve"> a set of priority regions has been identified to help assess the conservation status of freshwater fish</w:t>
      </w:r>
      <w:r w:rsidRPr="009D551E">
        <w:rPr>
          <w:rStyle w:val="StyleFootnoteReferenceNounderline"/>
          <w:rFonts w:asciiTheme="majorBidi" w:hAnsiTheme="majorBidi" w:cstheme="majorBidi"/>
          <w:sz w:val="22"/>
          <w:szCs w:val="22"/>
          <w:vertAlign w:val="superscript"/>
        </w:rPr>
        <w:footnoteReference w:id="286"/>
      </w:r>
      <w:r w:rsidRPr="00E63096">
        <w:rPr>
          <w:rFonts w:asciiTheme="majorBidi" w:hAnsiTheme="majorBidi" w:cstheme="majorBidi"/>
          <w:szCs w:val="22"/>
        </w:rPr>
        <w:t>.</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 xml:space="preserve">Target 13: By 2020, the genetic diversity of cultivated plants and farmed and domesticated animals and of wild relatives, including other socio-economically as well as culturally valuable species, is maintained, </w:t>
      </w:r>
      <w:r w:rsidRPr="009D551E">
        <w:rPr>
          <w:rFonts w:asciiTheme="majorBidi" w:hAnsiTheme="majorBidi" w:cstheme="majorBidi"/>
          <w:i/>
          <w:sz w:val="22"/>
          <w:szCs w:val="22"/>
        </w:rPr>
        <w:lastRenderedPageBreak/>
        <w:t>and strategies have been developed and implemented for minimizing genetic erosion and safeguarding their genetic diversity.</w:t>
      </w:r>
    </w:p>
    <w:p w:rsidR="009D551E" w:rsidRPr="009D551E" w:rsidRDefault="009D551E" w:rsidP="00720FA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 xml:space="preserve">In situ conservation networks should be able to capture a large proportion </w:t>
      </w:r>
      <w:r w:rsidR="00BC1ABC">
        <w:rPr>
          <w:rFonts w:asciiTheme="majorBidi" w:hAnsiTheme="majorBidi" w:cstheme="majorBidi"/>
          <w:szCs w:val="22"/>
        </w:rPr>
        <w:t xml:space="preserve">of the </w:t>
      </w:r>
      <w:r w:rsidRPr="009D551E">
        <w:rPr>
          <w:rFonts w:asciiTheme="majorBidi" w:hAnsiTheme="majorBidi" w:cstheme="majorBidi"/>
          <w:szCs w:val="22"/>
        </w:rPr>
        <w:t>allelic variation of cultivated plants. However</w:t>
      </w:r>
      <w:r w:rsidR="00BC1ABC">
        <w:rPr>
          <w:rFonts w:asciiTheme="majorBidi" w:hAnsiTheme="majorBidi" w:cstheme="majorBidi"/>
          <w:szCs w:val="22"/>
        </w:rPr>
        <w:t>,</w:t>
      </w:r>
      <w:r w:rsidRPr="009D551E">
        <w:rPr>
          <w:rFonts w:asciiTheme="majorBidi" w:hAnsiTheme="majorBidi" w:cstheme="majorBidi"/>
          <w:szCs w:val="22"/>
        </w:rPr>
        <w:t xml:space="preserve"> they are less likely to </w:t>
      </w:r>
      <w:r w:rsidR="00BC1ABC">
        <w:rPr>
          <w:rFonts w:asciiTheme="majorBidi" w:hAnsiTheme="majorBidi" w:cstheme="majorBidi"/>
          <w:szCs w:val="22"/>
        </w:rPr>
        <w:t xml:space="preserve">be able to </w:t>
      </w:r>
      <w:r w:rsidRPr="009D551E">
        <w:rPr>
          <w:rFonts w:asciiTheme="majorBidi" w:hAnsiTheme="majorBidi" w:cstheme="majorBidi"/>
          <w:szCs w:val="22"/>
        </w:rPr>
        <w:t>capture rare variations</w:t>
      </w:r>
      <w:r w:rsidRPr="009D551E">
        <w:rPr>
          <w:rStyle w:val="StyleFootnoteReferenceNounderline"/>
          <w:rFonts w:asciiTheme="majorBidi" w:hAnsiTheme="majorBidi" w:cstheme="majorBidi"/>
          <w:sz w:val="22"/>
          <w:szCs w:val="22"/>
          <w:vertAlign w:val="superscript"/>
        </w:rPr>
        <w:footnoteReference w:id="287"/>
      </w:r>
      <w:r w:rsidRPr="009D551E">
        <w:rPr>
          <w:rFonts w:asciiTheme="majorBidi" w:hAnsiTheme="majorBidi" w:cstheme="majorBidi"/>
          <w:szCs w:val="22"/>
        </w:rPr>
        <w:t>. Further</w:t>
      </w:r>
      <w:r w:rsidR="00BC1ABC">
        <w:rPr>
          <w:rFonts w:asciiTheme="majorBidi" w:hAnsiTheme="majorBidi" w:cstheme="majorBidi"/>
          <w:szCs w:val="22"/>
        </w:rPr>
        <w:t>,</w:t>
      </w:r>
      <w:r w:rsidRPr="009D551E">
        <w:rPr>
          <w:rFonts w:asciiTheme="majorBidi" w:hAnsiTheme="majorBidi" w:cstheme="majorBidi"/>
          <w:szCs w:val="22"/>
        </w:rPr>
        <w:t xml:space="preserve"> while genetic erosion continues to occur worldwide, a large amount of crop diversity is still retained in developing countries by smallholder farmers</w:t>
      </w:r>
      <w:r w:rsidRPr="009D551E">
        <w:rPr>
          <w:rStyle w:val="StyleFootnoteReferenceNounderline"/>
          <w:rFonts w:asciiTheme="majorBidi" w:hAnsiTheme="majorBidi" w:cstheme="majorBidi"/>
          <w:sz w:val="22"/>
          <w:szCs w:val="22"/>
          <w:vertAlign w:val="superscript"/>
        </w:rPr>
        <w:footnoteReference w:id="288"/>
      </w:r>
      <w:r w:rsidRPr="009D551E">
        <w:rPr>
          <w:rFonts w:asciiTheme="majorBidi" w:hAnsiTheme="majorBidi" w:cstheme="majorBidi"/>
          <w:szCs w:val="22"/>
        </w:rPr>
        <w:t xml:space="preserve">. </w:t>
      </w:r>
    </w:p>
    <w:p w:rsidR="009D551E" w:rsidRPr="009D551E" w:rsidRDefault="009D551E" w:rsidP="00720FA7">
      <w:pPr>
        <w:pStyle w:val="Para1"/>
        <w:tabs>
          <w:tab w:val="clear" w:pos="360"/>
          <w:tab w:val="num" w:pos="810"/>
        </w:tabs>
        <w:rPr>
          <w:rFonts w:asciiTheme="majorBidi" w:hAnsiTheme="majorBidi" w:cstheme="majorBidi"/>
          <w:szCs w:val="22"/>
        </w:rPr>
      </w:pPr>
      <w:r w:rsidRPr="00947F31">
        <w:rPr>
          <w:rFonts w:asciiTheme="majorBidi" w:hAnsiTheme="majorBidi" w:cstheme="majorBidi"/>
          <w:szCs w:val="22"/>
        </w:rPr>
        <w:t>With regard to ex situ plant conservation, over 1,750 gene banks have been established. These</w:t>
      </w:r>
      <w:r w:rsidRPr="009D551E">
        <w:rPr>
          <w:rFonts w:asciiTheme="majorBidi" w:hAnsiTheme="majorBidi" w:cstheme="majorBidi"/>
          <w:szCs w:val="22"/>
        </w:rPr>
        <w:t xml:space="preserve"> banks maintain approximately 7.4 million accessions</w:t>
      </w:r>
      <w:r w:rsidRPr="00E63096">
        <w:rPr>
          <w:rFonts w:asciiTheme="majorBidi" w:hAnsiTheme="majorBidi" w:cstheme="majorBidi"/>
          <w:szCs w:val="22"/>
          <w:vertAlign w:val="superscript"/>
        </w:rPr>
        <w:footnoteReference w:id="289"/>
      </w:r>
      <w:r w:rsidRPr="009D551E">
        <w:rPr>
          <w:rFonts w:asciiTheme="majorBidi" w:hAnsiTheme="majorBidi" w:cstheme="majorBidi"/>
          <w:szCs w:val="22"/>
        </w:rPr>
        <w:t>. However</w:t>
      </w:r>
      <w:r w:rsidR="00BC1ABC">
        <w:rPr>
          <w:rFonts w:asciiTheme="majorBidi" w:hAnsiTheme="majorBidi" w:cstheme="majorBidi"/>
          <w:szCs w:val="22"/>
        </w:rPr>
        <w:t>,</w:t>
      </w:r>
      <w:r w:rsidRPr="009D551E">
        <w:rPr>
          <w:rFonts w:asciiTheme="majorBidi" w:hAnsiTheme="majorBidi" w:cstheme="majorBidi"/>
          <w:szCs w:val="22"/>
        </w:rPr>
        <w:t xml:space="preserve"> it has been estimated that only between 28% and 38% of threatened plants have five populations in ex situ collections</w:t>
      </w:r>
      <w:r w:rsidRPr="00E63096">
        <w:rPr>
          <w:rFonts w:asciiTheme="majorBidi" w:hAnsiTheme="majorBidi" w:cstheme="majorBidi"/>
          <w:szCs w:val="22"/>
          <w:vertAlign w:val="superscript"/>
        </w:rPr>
        <w:footnoteReference w:id="290"/>
      </w:r>
      <w:r w:rsidR="00E63096">
        <w:rPr>
          <w:rFonts w:asciiTheme="majorBidi" w:hAnsiTheme="majorBidi" w:cstheme="majorBidi"/>
          <w:szCs w:val="22"/>
        </w:rPr>
        <w:t>.</w:t>
      </w:r>
      <w:r w:rsidRPr="009D551E">
        <w:rPr>
          <w:rFonts w:asciiTheme="majorBidi" w:hAnsiTheme="majorBidi" w:cstheme="majorBidi"/>
          <w:szCs w:val="22"/>
        </w:rPr>
        <w:t xml:space="preserve"> With regard to crop wild relatives</w:t>
      </w:r>
      <w:r w:rsidR="00947F31">
        <w:rPr>
          <w:rFonts w:asciiTheme="majorBidi" w:hAnsiTheme="majorBidi" w:cstheme="majorBidi"/>
          <w:szCs w:val="22"/>
        </w:rPr>
        <w:t>,</w:t>
      </w:r>
      <w:r w:rsidRPr="009D551E">
        <w:rPr>
          <w:rFonts w:asciiTheme="majorBidi" w:hAnsiTheme="majorBidi" w:cstheme="majorBidi"/>
          <w:szCs w:val="22"/>
        </w:rPr>
        <w:t xml:space="preserve"> an assessment</w:t>
      </w:r>
      <w:r w:rsidR="00947F31">
        <w:rPr>
          <w:rFonts w:asciiTheme="majorBidi" w:hAnsiTheme="majorBidi" w:cstheme="majorBidi"/>
          <w:szCs w:val="22"/>
        </w:rPr>
        <w:t>,</w:t>
      </w:r>
      <w:r w:rsidRPr="009D551E">
        <w:rPr>
          <w:rFonts w:asciiTheme="majorBidi" w:hAnsiTheme="majorBidi" w:cstheme="majorBidi"/>
          <w:szCs w:val="22"/>
        </w:rPr>
        <w:t xml:space="preserve"> based</w:t>
      </w:r>
      <w:r w:rsidR="00947F31">
        <w:rPr>
          <w:rFonts w:asciiTheme="majorBidi" w:hAnsiTheme="majorBidi" w:cstheme="majorBidi"/>
          <w:szCs w:val="22"/>
        </w:rPr>
        <w:t xml:space="preserve"> on</w:t>
      </w:r>
      <w:r w:rsidRPr="009D551E">
        <w:rPr>
          <w:rFonts w:asciiTheme="majorBidi" w:hAnsiTheme="majorBidi" w:cstheme="majorBidi"/>
          <w:szCs w:val="22"/>
        </w:rPr>
        <w:t xml:space="preserve"> 1,076 taxa related to 81 crops and on information collected from biodiversity, herbarium and gene bank databases, concluded that the diversity of crop wild relatives is poorly represented in gene banks. The assessment found that</w:t>
      </w:r>
      <w:r w:rsidR="00947F31">
        <w:rPr>
          <w:rFonts w:asciiTheme="majorBidi" w:hAnsiTheme="majorBidi" w:cstheme="majorBidi"/>
          <w:szCs w:val="22"/>
        </w:rPr>
        <w:t>,</w:t>
      </w:r>
      <w:r w:rsidRPr="009D551E">
        <w:rPr>
          <w:rFonts w:asciiTheme="majorBidi" w:hAnsiTheme="majorBidi" w:cstheme="majorBidi"/>
          <w:szCs w:val="22"/>
        </w:rPr>
        <w:t xml:space="preserve"> for 313 tax</w:t>
      </w:r>
      <w:r w:rsidR="00E63096">
        <w:rPr>
          <w:rFonts w:asciiTheme="majorBidi" w:hAnsiTheme="majorBidi" w:cstheme="majorBidi"/>
          <w:szCs w:val="22"/>
        </w:rPr>
        <w:t>a</w:t>
      </w:r>
      <w:r w:rsidRPr="009D551E">
        <w:rPr>
          <w:rFonts w:asciiTheme="majorBidi" w:hAnsiTheme="majorBidi" w:cstheme="majorBidi"/>
          <w:szCs w:val="22"/>
        </w:rPr>
        <w:t xml:space="preserve"> associated with 63 crops</w:t>
      </w:r>
      <w:r w:rsidR="00947F31">
        <w:rPr>
          <w:rFonts w:asciiTheme="majorBidi" w:hAnsiTheme="majorBidi" w:cstheme="majorBidi"/>
          <w:szCs w:val="22"/>
        </w:rPr>
        <w:t>,</w:t>
      </w:r>
      <w:r w:rsidRPr="009D551E">
        <w:rPr>
          <w:rFonts w:asciiTheme="majorBidi" w:hAnsiTheme="majorBidi" w:cstheme="majorBidi"/>
          <w:szCs w:val="22"/>
        </w:rPr>
        <w:t xml:space="preserve"> no accessions exist and that a further 257 taxa are represented by less than 10 accessions. The study also concluded that more than</w:t>
      </w:r>
      <w:r w:rsidR="003E0995">
        <w:rPr>
          <w:rFonts w:asciiTheme="majorBidi" w:hAnsiTheme="majorBidi" w:cstheme="majorBidi"/>
          <w:szCs w:val="22"/>
        </w:rPr>
        <w:t xml:space="preserve"> </w:t>
      </w:r>
      <w:r w:rsidRPr="009D551E">
        <w:rPr>
          <w:rFonts w:asciiTheme="majorBidi" w:hAnsiTheme="majorBidi" w:cstheme="majorBidi"/>
          <w:szCs w:val="22"/>
        </w:rPr>
        <w:t>70% of taxa are underrepresented and are of priority for collecting</w:t>
      </w:r>
      <w:r w:rsidR="003E0995">
        <w:rPr>
          <w:rFonts w:asciiTheme="majorBidi" w:hAnsiTheme="majorBidi" w:cstheme="majorBidi"/>
          <w:szCs w:val="22"/>
        </w:rPr>
        <w:t>,</w:t>
      </w:r>
      <w:r w:rsidRPr="009D551E">
        <w:rPr>
          <w:rFonts w:asciiTheme="majorBidi" w:hAnsiTheme="majorBidi" w:cstheme="majorBidi"/>
          <w:szCs w:val="22"/>
        </w:rPr>
        <w:t xml:space="preserve"> with important geographic collecting gaps in the Mediterranean and the Near East, western and southern Europe, Southeast and East Asia, and South America</w:t>
      </w:r>
      <w:r w:rsidRPr="009D551E">
        <w:rPr>
          <w:rFonts w:asciiTheme="majorBidi" w:hAnsiTheme="majorBidi" w:cstheme="majorBidi"/>
          <w:szCs w:val="22"/>
          <w:vertAlign w:val="superscript"/>
        </w:rPr>
        <w:footnoteReference w:id="291"/>
      </w:r>
      <w:r w:rsidRPr="009D551E">
        <w:rPr>
          <w:rFonts w:asciiTheme="majorBidi" w:hAnsiTheme="majorBidi" w:cstheme="majorBidi"/>
          <w:szCs w:val="22"/>
        </w:rPr>
        <w:t>. Another study found that crop wild relatives are estimated to only represent between 2</w:t>
      </w:r>
      <w:r w:rsidR="003E0995">
        <w:rPr>
          <w:rFonts w:asciiTheme="majorBidi" w:hAnsiTheme="majorBidi" w:cstheme="majorBidi"/>
          <w:szCs w:val="22"/>
        </w:rPr>
        <w:t>%</w:t>
      </w:r>
      <w:r w:rsidRPr="009D551E">
        <w:rPr>
          <w:rFonts w:asciiTheme="majorBidi" w:hAnsiTheme="majorBidi" w:cstheme="majorBidi"/>
          <w:szCs w:val="22"/>
        </w:rPr>
        <w:t xml:space="preserve"> and 18% of accessions</w:t>
      </w:r>
      <w:r w:rsidRPr="00E63096">
        <w:rPr>
          <w:rFonts w:asciiTheme="majorBidi" w:hAnsiTheme="majorBidi" w:cstheme="majorBidi"/>
          <w:szCs w:val="22"/>
          <w:vertAlign w:val="superscript"/>
        </w:rPr>
        <w:footnoteReference w:id="292"/>
      </w:r>
      <w:r w:rsidR="003E0995">
        <w:rPr>
          <w:rFonts w:asciiTheme="majorBidi" w:hAnsiTheme="majorBidi" w:cstheme="majorBidi"/>
          <w:szCs w:val="22"/>
        </w:rPr>
        <w:t xml:space="preserve">. </w:t>
      </w:r>
      <w:r w:rsidRPr="009D551E">
        <w:rPr>
          <w:rFonts w:asciiTheme="majorBidi" w:hAnsiTheme="majorBidi" w:cstheme="majorBidi"/>
          <w:szCs w:val="22"/>
        </w:rPr>
        <w:t xml:space="preserve">Some specific crop wild relatives that have been identified as being underrepresented in collections and at risk are </w:t>
      </w:r>
      <w:proofErr w:type="spellStart"/>
      <w:r w:rsidRPr="009D551E">
        <w:rPr>
          <w:rFonts w:asciiTheme="majorBidi" w:hAnsiTheme="majorBidi" w:cstheme="majorBidi"/>
          <w:szCs w:val="22"/>
        </w:rPr>
        <w:t>pigeonepea</w:t>
      </w:r>
      <w:proofErr w:type="spellEnd"/>
      <w:r w:rsidRPr="00E63096">
        <w:rPr>
          <w:rFonts w:asciiTheme="majorBidi" w:hAnsiTheme="majorBidi" w:cstheme="majorBidi"/>
          <w:szCs w:val="22"/>
          <w:vertAlign w:val="superscript"/>
        </w:rPr>
        <w:footnoteReference w:id="293"/>
      </w:r>
      <w:r w:rsidRPr="009D551E">
        <w:rPr>
          <w:rFonts w:asciiTheme="majorBidi" w:hAnsiTheme="majorBidi" w:cstheme="majorBidi"/>
          <w:szCs w:val="22"/>
        </w:rPr>
        <w:t>, potato</w:t>
      </w:r>
      <w:r w:rsidRPr="00E63096">
        <w:rPr>
          <w:rFonts w:asciiTheme="majorBidi" w:hAnsiTheme="majorBidi" w:cstheme="majorBidi"/>
          <w:szCs w:val="22"/>
          <w:vertAlign w:val="superscript"/>
        </w:rPr>
        <w:footnoteReference w:id="294"/>
      </w:r>
      <w:r w:rsidRPr="009D551E">
        <w:rPr>
          <w:rFonts w:asciiTheme="majorBidi" w:hAnsiTheme="majorBidi" w:cstheme="majorBidi"/>
          <w:szCs w:val="22"/>
        </w:rPr>
        <w:t xml:space="preserve"> and eggplant</w:t>
      </w:r>
      <w:r w:rsidRPr="00E63096">
        <w:rPr>
          <w:rFonts w:asciiTheme="majorBidi" w:hAnsiTheme="majorBidi" w:cstheme="majorBidi"/>
          <w:szCs w:val="22"/>
          <w:vertAlign w:val="superscript"/>
        </w:rPr>
        <w:footnoteReference w:id="295"/>
      </w:r>
      <w:r w:rsidRPr="009D551E">
        <w:rPr>
          <w:rFonts w:asciiTheme="majorBidi" w:hAnsiTheme="majorBidi" w:cstheme="majorBidi"/>
          <w:szCs w:val="22"/>
        </w:rPr>
        <w:t xml:space="preserve">. One issue which has been identified as </w:t>
      </w:r>
      <w:r w:rsidR="003E0995">
        <w:rPr>
          <w:rFonts w:asciiTheme="majorBidi" w:hAnsiTheme="majorBidi" w:cstheme="majorBidi"/>
          <w:szCs w:val="22"/>
        </w:rPr>
        <w:t xml:space="preserve">a </w:t>
      </w:r>
      <w:r w:rsidRPr="009D551E">
        <w:rPr>
          <w:rFonts w:asciiTheme="majorBidi" w:hAnsiTheme="majorBidi" w:cstheme="majorBidi"/>
          <w:szCs w:val="22"/>
        </w:rPr>
        <w:t>possible obstacle to the conservation of crop wild relatives is that it is often unclear if they fall under the responsibility of the conservation or agriculture communities</w:t>
      </w:r>
      <w:r w:rsidRPr="00E63096">
        <w:rPr>
          <w:rFonts w:asciiTheme="majorBidi" w:hAnsiTheme="majorBidi" w:cstheme="majorBidi"/>
          <w:szCs w:val="22"/>
          <w:vertAlign w:val="superscript"/>
        </w:rPr>
        <w:footnoteReference w:id="296"/>
      </w:r>
      <w:r w:rsidRPr="009D551E">
        <w:rPr>
          <w:rFonts w:asciiTheme="majorBidi" w:hAnsiTheme="majorBidi" w:cstheme="majorBidi"/>
          <w:szCs w:val="22"/>
        </w:rPr>
        <w:t>.</w:t>
      </w:r>
    </w:p>
    <w:p w:rsidR="009D551E" w:rsidRPr="009D551E" w:rsidRDefault="009D551E" w:rsidP="00720FA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lastRenderedPageBreak/>
        <w:t>Protected areas also contain crop wild relatives; however protected areas are rarely established for this purpose and are therefore</w:t>
      </w:r>
      <w:r w:rsidR="000408E7">
        <w:rPr>
          <w:rFonts w:asciiTheme="majorBidi" w:hAnsiTheme="majorBidi" w:cstheme="majorBidi"/>
          <w:szCs w:val="22"/>
        </w:rPr>
        <w:t xml:space="preserve"> these wild relative are not necessarily actively conserved or accounted for in protected areas management</w:t>
      </w:r>
      <w:r w:rsidRPr="009D551E">
        <w:rPr>
          <w:rFonts w:asciiTheme="majorBidi" w:hAnsiTheme="majorBidi" w:cstheme="majorBidi"/>
          <w:szCs w:val="22"/>
        </w:rPr>
        <w:t xml:space="preserve">. </w:t>
      </w:r>
      <w:r w:rsidR="000408E7">
        <w:rPr>
          <w:rFonts w:asciiTheme="majorBidi" w:hAnsiTheme="majorBidi" w:cstheme="majorBidi"/>
          <w:szCs w:val="22"/>
        </w:rPr>
        <w:t>Similarly</w:t>
      </w:r>
      <w:r w:rsidRPr="009D551E">
        <w:rPr>
          <w:rFonts w:asciiTheme="majorBidi" w:hAnsiTheme="majorBidi" w:cstheme="majorBidi"/>
          <w:szCs w:val="22"/>
        </w:rPr>
        <w:t xml:space="preserve"> these species are rarely subject to monitoring and management interventions</w:t>
      </w:r>
      <w:r w:rsidRPr="009D551E">
        <w:rPr>
          <w:rStyle w:val="StyleFootnoteReferenceNounderline"/>
          <w:rFonts w:asciiTheme="majorBidi" w:hAnsiTheme="majorBidi" w:cstheme="majorBidi"/>
          <w:sz w:val="22"/>
          <w:szCs w:val="22"/>
          <w:vertAlign w:val="superscript"/>
        </w:rPr>
        <w:footnoteReference w:id="297"/>
      </w:r>
      <w:r w:rsidRPr="009D551E">
        <w:rPr>
          <w:rFonts w:asciiTheme="majorBidi" w:hAnsiTheme="majorBidi" w:cstheme="majorBidi"/>
          <w:szCs w:val="22"/>
        </w:rPr>
        <w:t xml:space="preserve">. </w:t>
      </w:r>
    </w:p>
    <w:p w:rsidR="009D551E" w:rsidRPr="009D551E" w:rsidRDefault="00440667" w:rsidP="00720FA7">
      <w:pPr>
        <w:pStyle w:val="Para1"/>
        <w:tabs>
          <w:tab w:val="clear" w:pos="360"/>
          <w:tab w:val="num" w:pos="810"/>
        </w:tabs>
        <w:rPr>
          <w:rFonts w:asciiTheme="majorBidi" w:hAnsiTheme="majorBidi" w:cstheme="majorBidi"/>
          <w:szCs w:val="22"/>
        </w:rPr>
      </w:pPr>
      <w:r w:rsidRPr="00720FA7">
        <w:rPr>
          <w:rFonts w:asciiTheme="majorBidi" w:hAnsiTheme="majorBidi" w:cstheme="majorBidi"/>
          <w:szCs w:val="22"/>
        </w:rPr>
        <w:t>In addition to ex situ and in situ conservation issues, several studies have been published since</w:t>
      </w:r>
      <w:r w:rsidR="009D551E" w:rsidRPr="009D551E">
        <w:rPr>
          <w:rFonts w:asciiTheme="majorBidi" w:hAnsiTheme="majorBidi" w:cstheme="majorBidi"/>
          <w:szCs w:val="22"/>
        </w:rPr>
        <w:t xml:space="preserve"> GBO-4</w:t>
      </w:r>
      <w:r w:rsidR="00B30884">
        <w:rPr>
          <w:rFonts w:asciiTheme="majorBidi" w:hAnsiTheme="majorBidi" w:cstheme="majorBidi"/>
          <w:szCs w:val="22"/>
        </w:rPr>
        <w:t xml:space="preserve"> was released </w:t>
      </w:r>
      <w:r w:rsidR="009D551E" w:rsidRPr="009D551E">
        <w:rPr>
          <w:rFonts w:asciiTheme="majorBidi" w:hAnsiTheme="majorBidi" w:cstheme="majorBidi"/>
          <w:szCs w:val="22"/>
        </w:rPr>
        <w:t>exploring how different techniques can be used to better identify, catalogue and store genetic information. For example</w:t>
      </w:r>
      <w:r w:rsidR="00FE084A">
        <w:rPr>
          <w:rFonts w:asciiTheme="majorBidi" w:hAnsiTheme="majorBidi" w:cstheme="majorBidi"/>
          <w:szCs w:val="22"/>
        </w:rPr>
        <w:t>,</w:t>
      </w:r>
      <w:r w:rsidR="009D551E" w:rsidRPr="009D551E">
        <w:rPr>
          <w:rFonts w:asciiTheme="majorBidi" w:hAnsiTheme="majorBidi" w:cstheme="majorBidi"/>
          <w:szCs w:val="22"/>
        </w:rPr>
        <w:t xml:space="preserve"> advances in DNA sequencing </w:t>
      </w:r>
      <w:r w:rsidR="004A6A4D">
        <w:rPr>
          <w:rFonts w:asciiTheme="majorBidi" w:hAnsiTheme="majorBidi" w:cstheme="majorBidi"/>
          <w:szCs w:val="22"/>
        </w:rPr>
        <w:t>are</w:t>
      </w:r>
      <w:r w:rsidR="009D551E" w:rsidRPr="009D551E">
        <w:rPr>
          <w:rFonts w:asciiTheme="majorBidi" w:hAnsiTheme="majorBidi" w:cstheme="majorBidi"/>
          <w:szCs w:val="22"/>
        </w:rPr>
        <w:t xml:space="preserve"> enabling more efficient sequencing of crop wild relatives and their use for crop improvements</w:t>
      </w:r>
      <w:r w:rsidR="009D551E" w:rsidRPr="009D551E">
        <w:rPr>
          <w:rStyle w:val="StyleFootnoteReferenceNounderline"/>
          <w:rFonts w:asciiTheme="majorBidi" w:hAnsiTheme="majorBidi" w:cstheme="majorBidi"/>
          <w:sz w:val="22"/>
          <w:szCs w:val="22"/>
          <w:vertAlign w:val="superscript"/>
        </w:rPr>
        <w:footnoteReference w:id="298"/>
      </w:r>
      <w:r w:rsidR="009D551E" w:rsidRPr="009D551E">
        <w:rPr>
          <w:rFonts w:asciiTheme="majorBidi" w:hAnsiTheme="majorBidi" w:cstheme="majorBidi"/>
          <w:szCs w:val="22"/>
        </w:rPr>
        <w:t>. Similarly</w:t>
      </w:r>
      <w:r w:rsidR="00B30884">
        <w:rPr>
          <w:rFonts w:asciiTheme="majorBidi" w:hAnsiTheme="majorBidi" w:cstheme="majorBidi"/>
          <w:szCs w:val="22"/>
        </w:rPr>
        <w:t>,</w:t>
      </w:r>
      <w:r w:rsidR="009D551E" w:rsidRPr="009D551E">
        <w:rPr>
          <w:rFonts w:asciiTheme="majorBidi" w:hAnsiTheme="majorBidi" w:cstheme="majorBidi"/>
          <w:szCs w:val="22"/>
        </w:rPr>
        <w:t xml:space="preserve"> advances in next-generation DNA sequencing (NGS) technology ha</w:t>
      </w:r>
      <w:r w:rsidR="004A6A4D">
        <w:rPr>
          <w:rFonts w:asciiTheme="majorBidi" w:hAnsiTheme="majorBidi" w:cstheme="majorBidi"/>
          <w:szCs w:val="22"/>
        </w:rPr>
        <w:t>ve</w:t>
      </w:r>
      <w:r w:rsidR="009D551E" w:rsidRPr="009D551E">
        <w:rPr>
          <w:rFonts w:asciiTheme="majorBidi" w:hAnsiTheme="majorBidi" w:cstheme="majorBidi"/>
          <w:szCs w:val="22"/>
        </w:rPr>
        <w:t xml:space="preserve"> facilitated the sequencing of diverse crop genomes</w:t>
      </w:r>
      <w:r w:rsidR="004A6A4D">
        <w:rPr>
          <w:rFonts w:asciiTheme="majorBidi" w:hAnsiTheme="majorBidi" w:cstheme="majorBidi"/>
          <w:szCs w:val="22"/>
        </w:rPr>
        <w:t>,</w:t>
      </w:r>
      <w:r w:rsidR="009D551E" w:rsidRPr="009D551E">
        <w:rPr>
          <w:rFonts w:asciiTheme="majorBidi" w:hAnsiTheme="majorBidi" w:cstheme="majorBidi"/>
          <w:szCs w:val="22"/>
        </w:rPr>
        <w:t xml:space="preserve"> as well as facilitated the association of different genetic traits to crop traits</w:t>
      </w:r>
      <w:r w:rsidR="009D551E" w:rsidRPr="009D551E">
        <w:rPr>
          <w:rStyle w:val="StyleFootnoteReferenceNounderline"/>
          <w:rFonts w:asciiTheme="majorBidi" w:hAnsiTheme="majorBidi" w:cstheme="majorBidi"/>
          <w:sz w:val="22"/>
          <w:szCs w:val="22"/>
          <w:vertAlign w:val="superscript"/>
        </w:rPr>
        <w:footnoteReference w:id="299"/>
      </w:r>
      <w:r w:rsidR="009D551E" w:rsidRPr="009D551E">
        <w:rPr>
          <w:rFonts w:asciiTheme="majorBidi" w:hAnsiTheme="majorBidi" w:cstheme="majorBidi"/>
          <w:szCs w:val="22"/>
        </w:rPr>
        <w:t>. Further</w:t>
      </w:r>
      <w:r w:rsidR="00B30884">
        <w:rPr>
          <w:rFonts w:asciiTheme="majorBidi" w:hAnsiTheme="majorBidi" w:cstheme="majorBidi"/>
          <w:szCs w:val="22"/>
        </w:rPr>
        <w:t>,</w:t>
      </w:r>
      <w:r w:rsidR="009D551E" w:rsidRPr="009D551E">
        <w:rPr>
          <w:rFonts w:asciiTheme="majorBidi" w:hAnsiTheme="majorBidi" w:cstheme="majorBidi"/>
          <w:szCs w:val="22"/>
        </w:rPr>
        <w:t xml:space="preserve"> DNA sequencing platforms are </w:t>
      </w:r>
      <w:r w:rsidR="00E63096" w:rsidRPr="009D551E">
        <w:rPr>
          <w:rFonts w:asciiTheme="majorBidi" w:hAnsiTheme="majorBidi" w:cstheme="majorBidi"/>
          <w:szCs w:val="22"/>
        </w:rPr>
        <w:t>continuing</w:t>
      </w:r>
      <w:r w:rsidR="009D551E" w:rsidRPr="009D551E">
        <w:rPr>
          <w:rFonts w:asciiTheme="majorBidi" w:hAnsiTheme="majorBidi" w:cstheme="majorBidi"/>
          <w:szCs w:val="22"/>
        </w:rPr>
        <w:t xml:space="preserve"> to improve</w:t>
      </w:r>
      <w:r w:rsidR="004A6A4D">
        <w:rPr>
          <w:rFonts w:asciiTheme="majorBidi" w:hAnsiTheme="majorBidi" w:cstheme="majorBidi"/>
          <w:szCs w:val="22"/>
        </w:rPr>
        <w:t>,</w:t>
      </w:r>
      <w:r w:rsidR="009D551E" w:rsidRPr="009D551E">
        <w:rPr>
          <w:rFonts w:asciiTheme="majorBidi" w:hAnsiTheme="majorBidi" w:cstheme="majorBidi"/>
          <w:szCs w:val="22"/>
        </w:rPr>
        <w:t xml:space="preserve"> as are software programmes for assessing genetic diversity</w:t>
      </w:r>
      <w:r w:rsidR="009D551E" w:rsidRPr="009D551E">
        <w:rPr>
          <w:rStyle w:val="StyleFootnoteReferenceNounderline"/>
          <w:rFonts w:asciiTheme="majorBidi" w:hAnsiTheme="majorBidi" w:cstheme="majorBidi"/>
          <w:sz w:val="22"/>
          <w:szCs w:val="22"/>
          <w:vertAlign w:val="superscript"/>
        </w:rPr>
        <w:footnoteReference w:id="300"/>
      </w:r>
      <w:r w:rsidR="00E63096">
        <w:rPr>
          <w:rFonts w:asciiTheme="majorBidi" w:hAnsiTheme="majorBidi" w:cstheme="majorBidi"/>
          <w:szCs w:val="22"/>
        </w:rPr>
        <w:t>.</w:t>
      </w:r>
      <w:r w:rsidR="009D551E" w:rsidRPr="009D551E">
        <w:rPr>
          <w:rFonts w:asciiTheme="majorBidi" w:hAnsiTheme="majorBidi" w:cstheme="majorBidi"/>
          <w:szCs w:val="22"/>
        </w:rPr>
        <w:t xml:space="preserve"> </w:t>
      </w:r>
    </w:p>
    <w:p w:rsidR="009D551E" w:rsidRPr="009D551E" w:rsidRDefault="009D551E" w:rsidP="009D551E">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With regard to farmed and domesticated animals, there is a general trend toward</w:t>
      </w:r>
      <w:r w:rsidR="004A6A4D">
        <w:rPr>
          <w:rFonts w:asciiTheme="majorBidi" w:hAnsiTheme="majorBidi" w:cstheme="majorBidi"/>
          <w:szCs w:val="22"/>
        </w:rPr>
        <w:t>s</w:t>
      </w:r>
      <w:r w:rsidRPr="009D551E">
        <w:rPr>
          <w:rFonts w:asciiTheme="majorBidi" w:hAnsiTheme="majorBidi" w:cstheme="majorBidi"/>
          <w:szCs w:val="22"/>
        </w:rPr>
        <w:t xml:space="preserve"> reduced genetic variation both in and across breeds</w:t>
      </w:r>
      <w:r w:rsidRPr="009D551E">
        <w:rPr>
          <w:rStyle w:val="StyleFootnoteReferenceNounderline"/>
          <w:rFonts w:asciiTheme="majorBidi" w:hAnsiTheme="majorBidi" w:cstheme="majorBidi"/>
          <w:sz w:val="22"/>
          <w:szCs w:val="22"/>
          <w:vertAlign w:val="superscript"/>
        </w:rPr>
        <w:footnoteReference w:id="301"/>
      </w:r>
      <w:r w:rsidRPr="009D551E">
        <w:rPr>
          <w:rFonts w:asciiTheme="majorBidi" w:hAnsiTheme="majorBidi" w:cstheme="majorBidi"/>
          <w:szCs w:val="22"/>
        </w:rPr>
        <w:t>. Further</w:t>
      </w:r>
      <w:r w:rsidR="004A6A4D">
        <w:rPr>
          <w:rFonts w:asciiTheme="majorBidi" w:hAnsiTheme="majorBidi" w:cstheme="majorBidi"/>
          <w:szCs w:val="22"/>
        </w:rPr>
        <w:t>,</w:t>
      </w:r>
      <w:r w:rsidRPr="009D551E">
        <w:rPr>
          <w:rFonts w:asciiTheme="majorBidi" w:hAnsiTheme="majorBidi" w:cstheme="majorBidi"/>
          <w:szCs w:val="22"/>
        </w:rPr>
        <w:t xml:space="preserve"> a general observation from the literature suggests that </w:t>
      </w:r>
      <w:r w:rsidR="00E63096" w:rsidRPr="009D551E">
        <w:rPr>
          <w:rFonts w:asciiTheme="majorBidi" w:hAnsiTheme="majorBidi" w:cstheme="majorBidi"/>
          <w:szCs w:val="22"/>
        </w:rPr>
        <w:t>institutional</w:t>
      </w:r>
      <w:r w:rsidRPr="009D551E">
        <w:rPr>
          <w:rFonts w:asciiTheme="majorBidi" w:hAnsiTheme="majorBidi" w:cstheme="majorBidi"/>
          <w:szCs w:val="22"/>
        </w:rPr>
        <w:t xml:space="preserve"> frameworks and capacity to manage animal genetic resources need to be enhanced</w:t>
      </w:r>
      <w:r w:rsidRPr="009D551E">
        <w:rPr>
          <w:rStyle w:val="StyleFootnoteReferenceNounderline"/>
          <w:rFonts w:asciiTheme="majorBidi" w:hAnsiTheme="majorBidi" w:cstheme="majorBidi"/>
          <w:sz w:val="22"/>
          <w:szCs w:val="22"/>
          <w:vertAlign w:val="superscript"/>
        </w:rPr>
        <w:footnoteReference w:id="302"/>
      </w:r>
      <w:r w:rsidRPr="009D551E">
        <w:rPr>
          <w:rFonts w:asciiTheme="majorBidi" w:hAnsiTheme="majorBidi" w:cstheme="majorBidi"/>
          <w:szCs w:val="22"/>
        </w:rPr>
        <w:t>. However</w:t>
      </w:r>
      <w:r w:rsidR="004A6A4D">
        <w:rPr>
          <w:rFonts w:asciiTheme="majorBidi" w:hAnsiTheme="majorBidi" w:cstheme="majorBidi"/>
          <w:szCs w:val="22"/>
        </w:rPr>
        <w:t>,</w:t>
      </w:r>
      <w:r w:rsidRPr="009D551E">
        <w:rPr>
          <w:rFonts w:asciiTheme="majorBidi" w:hAnsiTheme="majorBidi" w:cstheme="majorBidi"/>
          <w:szCs w:val="22"/>
        </w:rPr>
        <w:t xml:space="preserve"> globally, national gene banking efforts have increased</w:t>
      </w:r>
      <w:r w:rsidRPr="009D551E">
        <w:rPr>
          <w:rStyle w:val="StyleFootnoteReferenceNounderline"/>
          <w:rFonts w:asciiTheme="majorBidi" w:hAnsiTheme="majorBidi" w:cstheme="majorBidi"/>
          <w:sz w:val="22"/>
          <w:szCs w:val="22"/>
          <w:vertAlign w:val="superscript"/>
        </w:rPr>
        <w:footnoteReference w:id="303"/>
      </w:r>
      <w:r w:rsidRPr="009D551E">
        <w:rPr>
          <w:rFonts w:asciiTheme="majorBidi" w:hAnsiTheme="majorBidi" w:cstheme="majorBidi"/>
          <w:szCs w:val="22"/>
        </w:rPr>
        <w:t xml:space="preserve">. </w:t>
      </w:r>
    </w:p>
    <w:p w:rsidR="009D551E" w:rsidRPr="009D551E" w:rsidRDefault="009D551E" w:rsidP="00E63096">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While there are few recent global studies on the status o</w:t>
      </w:r>
      <w:r w:rsidR="000F1F23">
        <w:rPr>
          <w:rFonts w:asciiTheme="majorBidi" w:hAnsiTheme="majorBidi" w:cstheme="majorBidi"/>
          <w:szCs w:val="22"/>
        </w:rPr>
        <w:t>f</w:t>
      </w:r>
      <w:r w:rsidRPr="009D551E">
        <w:rPr>
          <w:rFonts w:asciiTheme="majorBidi" w:hAnsiTheme="majorBidi" w:cstheme="majorBidi"/>
          <w:szCs w:val="22"/>
        </w:rPr>
        <w:t xml:space="preserve"> farmed and domesticated animal genetic diversity</w:t>
      </w:r>
      <w:r w:rsidR="004A6A4D">
        <w:rPr>
          <w:rFonts w:asciiTheme="majorBidi" w:hAnsiTheme="majorBidi" w:cstheme="majorBidi"/>
          <w:szCs w:val="22"/>
        </w:rPr>
        <w:t>,</w:t>
      </w:r>
      <w:r w:rsidRPr="009D551E">
        <w:rPr>
          <w:rFonts w:asciiTheme="majorBidi" w:hAnsiTheme="majorBidi" w:cstheme="majorBidi"/>
          <w:szCs w:val="22"/>
        </w:rPr>
        <w:t xml:space="preserve"> a number of assessments </w:t>
      </w:r>
      <w:r w:rsidR="000F1F23" w:rsidRPr="009D551E">
        <w:rPr>
          <w:rFonts w:asciiTheme="majorBidi" w:hAnsiTheme="majorBidi" w:cstheme="majorBidi"/>
          <w:szCs w:val="22"/>
        </w:rPr>
        <w:t xml:space="preserve">have been undertaken </w:t>
      </w:r>
      <w:r w:rsidRPr="009D551E">
        <w:rPr>
          <w:rFonts w:asciiTheme="majorBidi" w:hAnsiTheme="majorBidi" w:cstheme="majorBidi"/>
          <w:szCs w:val="22"/>
        </w:rPr>
        <w:t xml:space="preserve">at </w:t>
      </w:r>
      <w:r w:rsidR="000F1F23">
        <w:rPr>
          <w:rFonts w:asciiTheme="majorBidi" w:hAnsiTheme="majorBidi" w:cstheme="majorBidi"/>
          <w:szCs w:val="22"/>
        </w:rPr>
        <w:t xml:space="preserve">the national and </w:t>
      </w:r>
      <w:r w:rsidRPr="009D551E">
        <w:rPr>
          <w:rFonts w:asciiTheme="majorBidi" w:hAnsiTheme="majorBidi" w:cstheme="majorBidi"/>
          <w:szCs w:val="22"/>
        </w:rPr>
        <w:t xml:space="preserve">regional </w:t>
      </w:r>
      <w:r w:rsidR="000F1F23">
        <w:rPr>
          <w:rFonts w:asciiTheme="majorBidi" w:hAnsiTheme="majorBidi" w:cstheme="majorBidi"/>
          <w:szCs w:val="22"/>
        </w:rPr>
        <w:t>levels</w:t>
      </w:r>
      <w:r w:rsidRPr="009D551E">
        <w:rPr>
          <w:rFonts w:asciiTheme="majorBidi" w:hAnsiTheme="majorBidi" w:cstheme="majorBidi"/>
          <w:szCs w:val="22"/>
        </w:rPr>
        <w:t>. For example</w:t>
      </w:r>
      <w:r w:rsidR="000F1F23">
        <w:rPr>
          <w:rFonts w:asciiTheme="majorBidi" w:hAnsiTheme="majorBidi" w:cstheme="majorBidi"/>
          <w:szCs w:val="22"/>
        </w:rPr>
        <w:t>,</w:t>
      </w:r>
      <w:r w:rsidRPr="009D551E">
        <w:rPr>
          <w:rFonts w:asciiTheme="majorBidi" w:hAnsiTheme="majorBidi" w:cstheme="majorBidi"/>
          <w:szCs w:val="22"/>
        </w:rPr>
        <w:t xml:space="preserve"> one assessment concluded that</w:t>
      </w:r>
      <w:r w:rsidR="000F1F23">
        <w:rPr>
          <w:rFonts w:asciiTheme="majorBidi" w:hAnsiTheme="majorBidi" w:cstheme="majorBidi"/>
          <w:szCs w:val="22"/>
        </w:rPr>
        <w:t>,</w:t>
      </w:r>
      <w:r w:rsidRPr="009D551E">
        <w:rPr>
          <w:rFonts w:asciiTheme="majorBidi" w:hAnsiTheme="majorBidi" w:cstheme="majorBidi"/>
          <w:szCs w:val="22"/>
        </w:rPr>
        <w:t xml:space="preserve"> in Africa, livestock genetic resources are at risk as a result of uncontrolled </w:t>
      </w:r>
      <w:r w:rsidR="00E63096">
        <w:rPr>
          <w:rFonts w:asciiTheme="majorBidi" w:hAnsiTheme="majorBidi" w:cstheme="majorBidi"/>
          <w:szCs w:val="22"/>
        </w:rPr>
        <w:t>cross</w:t>
      </w:r>
      <w:r w:rsidRPr="009D551E">
        <w:rPr>
          <w:rFonts w:asciiTheme="majorBidi" w:hAnsiTheme="majorBidi" w:cstheme="majorBidi"/>
          <w:szCs w:val="22"/>
        </w:rPr>
        <w:t xml:space="preserve"> breeding and domestic breeds being placed with exotic ones. While more than 15 </w:t>
      </w:r>
      <w:r w:rsidR="00E63096" w:rsidRPr="009D551E">
        <w:rPr>
          <w:rFonts w:asciiTheme="majorBidi" w:hAnsiTheme="majorBidi" w:cstheme="majorBidi"/>
          <w:szCs w:val="22"/>
        </w:rPr>
        <w:t>indigenous</w:t>
      </w:r>
      <w:r w:rsidRPr="009D551E">
        <w:rPr>
          <w:rFonts w:asciiTheme="majorBidi" w:hAnsiTheme="majorBidi" w:cstheme="majorBidi"/>
          <w:szCs w:val="22"/>
        </w:rPr>
        <w:t xml:space="preserve"> cattle breeds have been named in Africa</w:t>
      </w:r>
      <w:r w:rsidR="000F1F23">
        <w:rPr>
          <w:rFonts w:asciiTheme="majorBidi" w:hAnsiTheme="majorBidi" w:cstheme="majorBidi"/>
          <w:szCs w:val="22"/>
        </w:rPr>
        <w:t>,</w:t>
      </w:r>
      <w:r w:rsidRPr="009D551E">
        <w:rPr>
          <w:rFonts w:asciiTheme="majorBidi" w:hAnsiTheme="majorBidi" w:cstheme="majorBidi"/>
          <w:szCs w:val="22"/>
        </w:rPr>
        <w:t xml:space="preserve"> these breeds remain largely uncharacterized</w:t>
      </w:r>
      <w:r w:rsidRPr="009D551E">
        <w:rPr>
          <w:rStyle w:val="StyleFootnoteReferenceNounderline"/>
          <w:rFonts w:asciiTheme="majorBidi" w:hAnsiTheme="majorBidi" w:cstheme="majorBidi"/>
          <w:sz w:val="22"/>
          <w:szCs w:val="22"/>
          <w:vertAlign w:val="superscript"/>
        </w:rPr>
        <w:footnoteReference w:id="304"/>
      </w:r>
      <w:r w:rsidRPr="009D551E">
        <w:rPr>
          <w:rFonts w:asciiTheme="majorBidi" w:hAnsiTheme="majorBidi" w:cstheme="majorBidi"/>
          <w:szCs w:val="22"/>
        </w:rPr>
        <w:t>. In addition</w:t>
      </w:r>
      <w:r w:rsidR="000F1F23">
        <w:rPr>
          <w:rFonts w:asciiTheme="majorBidi" w:hAnsiTheme="majorBidi" w:cstheme="majorBidi"/>
          <w:szCs w:val="22"/>
        </w:rPr>
        <w:t>,</w:t>
      </w:r>
      <w:r w:rsidRPr="009D551E">
        <w:rPr>
          <w:rFonts w:asciiTheme="majorBidi" w:hAnsiTheme="majorBidi" w:cstheme="majorBidi"/>
          <w:szCs w:val="22"/>
        </w:rPr>
        <w:t xml:space="preserve"> genetic information has been collected for a number of species from various countries and regions, including cattle in Africa</w:t>
      </w:r>
      <w:r w:rsidRPr="009D551E">
        <w:rPr>
          <w:rStyle w:val="StyleFootnoteReferenceNounderline"/>
          <w:rFonts w:asciiTheme="majorBidi" w:hAnsiTheme="majorBidi" w:cstheme="majorBidi"/>
          <w:sz w:val="22"/>
          <w:szCs w:val="22"/>
          <w:vertAlign w:val="superscript"/>
        </w:rPr>
        <w:footnoteReference w:id="305"/>
      </w:r>
      <w:r w:rsidRPr="009D551E">
        <w:rPr>
          <w:rFonts w:asciiTheme="majorBidi" w:hAnsiTheme="majorBidi" w:cstheme="majorBidi"/>
          <w:szCs w:val="22"/>
        </w:rPr>
        <w:t>, chicken in Oman</w:t>
      </w:r>
      <w:r w:rsidRPr="009D551E">
        <w:rPr>
          <w:rStyle w:val="StyleFootnoteReferenceNounderline"/>
          <w:rFonts w:asciiTheme="majorBidi" w:hAnsiTheme="majorBidi" w:cstheme="majorBidi"/>
          <w:sz w:val="22"/>
          <w:szCs w:val="22"/>
          <w:vertAlign w:val="superscript"/>
        </w:rPr>
        <w:footnoteReference w:id="306"/>
      </w:r>
      <w:r w:rsidRPr="009D551E">
        <w:rPr>
          <w:rFonts w:asciiTheme="majorBidi" w:hAnsiTheme="majorBidi" w:cstheme="majorBidi"/>
          <w:szCs w:val="22"/>
        </w:rPr>
        <w:t xml:space="preserve"> and in the African, Asian and European regions</w:t>
      </w:r>
      <w:r w:rsidRPr="009D551E">
        <w:rPr>
          <w:rStyle w:val="StyleFootnoteReferenceNounderline"/>
          <w:rFonts w:asciiTheme="majorBidi" w:hAnsiTheme="majorBidi" w:cstheme="majorBidi"/>
          <w:sz w:val="22"/>
          <w:szCs w:val="22"/>
          <w:vertAlign w:val="superscript"/>
        </w:rPr>
        <w:footnoteReference w:id="307"/>
      </w:r>
      <w:r w:rsidRPr="009D551E">
        <w:rPr>
          <w:rFonts w:asciiTheme="majorBidi" w:hAnsiTheme="majorBidi" w:cstheme="majorBidi"/>
          <w:szCs w:val="22"/>
        </w:rPr>
        <w:t>, goats in Asia</w:t>
      </w:r>
      <w:r w:rsidRPr="009D551E">
        <w:rPr>
          <w:rStyle w:val="StyleFootnoteReferenceNounderline"/>
          <w:rFonts w:asciiTheme="majorBidi" w:hAnsiTheme="majorBidi" w:cstheme="majorBidi"/>
          <w:sz w:val="22"/>
          <w:szCs w:val="22"/>
          <w:vertAlign w:val="superscript"/>
        </w:rPr>
        <w:footnoteReference w:id="308"/>
      </w:r>
      <w:r w:rsidR="00E63096">
        <w:rPr>
          <w:rFonts w:asciiTheme="majorBidi" w:hAnsiTheme="majorBidi" w:cstheme="majorBidi"/>
          <w:szCs w:val="22"/>
        </w:rPr>
        <w:t xml:space="preserve"> </w:t>
      </w:r>
      <w:r w:rsidRPr="009D551E">
        <w:rPr>
          <w:rFonts w:asciiTheme="majorBidi" w:hAnsiTheme="majorBidi" w:cstheme="majorBidi"/>
          <w:szCs w:val="22"/>
        </w:rPr>
        <w:t xml:space="preserve">and </w:t>
      </w:r>
      <w:r w:rsidRPr="009D551E">
        <w:rPr>
          <w:rFonts w:asciiTheme="majorBidi" w:hAnsiTheme="majorBidi" w:cstheme="majorBidi"/>
          <w:szCs w:val="22"/>
        </w:rPr>
        <w:lastRenderedPageBreak/>
        <w:t>sheep in South Africa</w:t>
      </w:r>
      <w:r w:rsidRPr="009D551E">
        <w:rPr>
          <w:rStyle w:val="StyleFootnoteReferenceNounderline"/>
          <w:rFonts w:asciiTheme="majorBidi" w:hAnsiTheme="majorBidi" w:cstheme="majorBidi"/>
          <w:sz w:val="22"/>
          <w:szCs w:val="22"/>
          <w:vertAlign w:val="superscript"/>
        </w:rPr>
        <w:footnoteReference w:id="309"/>
      </w:r>
      <w:r w:rsidR="00E63096">
        <w:rPr>
          <w:rFonts w:asciiTheme="majorBidi" w:hAnsiTheme="majorBidi" w:cstheme="majorBidi"/>
          <w:szCs w:val="22"/>
        </w:rPr>
        <w:t xml:space="preserve"> </w:t>
      </w:r>
      <w:r w:rsidRPr="009D551E">
        <w:rPr>
          <w:rFonts w:asciiTheme="majorBidi" w:hAnsiTheme="majorBidi" w:cstheme="majorBidi"/>
          <w:szCs w:val="22"/>
        </w:rPr>
        <w:t>and Italy</w:t>
      </w:r>
      <w:r w:rsidRPr="009D551E">
        <w:rPr>
          <w:rStyle w:val="StyleFootnoteReferenceNounderline"/>
          <w:rFonts w:asciiTheme="majorBidi" w:hAnsiTheme="majorBidi" w:cstheme="majorBidi"/>
          <w:sz w:val="22"/>
          <w:szCs w:val="22"/>
          <w:vertAlign w:val="superscript"/>
        </w:rPr>
        <w:footnoteReference w:id="310"/>
      </w:r>
      <w:r w:rsidRPr="009D551E">
        <w:rPr>
          <w:rFonts w:asciiTheme="majorBidi" w:hAnsiTheme="majorBidi" w:cstheme="majorBidi"/>
          <w:szCs w:val="22"/>
        </w:rPr>
        <w:t>. Further</w:t>
      </w:r>
      <w:r w:rsidR="000F1F23">
        <w:rPr>
          <w:rFonts w:asciiTheme="majorBidi" w:hAnsiTheme="majorBidi" w:cstheme="majorBidi"/>
          <w:szCs w:val="22"/>
        </w:rPr>
        <w:t>,</w:t>
      </w:r>
      <w:r w:rsidRPr="009D551E">
        <w:rPr>
          <w:rFonts w:asciiTheme="majorBidi" w:hAnsiTheme="majorBidi" w:cstheme="majorBidi"/>
          <w:szCs w:val="22"/>
        </w:rPr>
        <w:t xml:space="preserve"> it is anticipated that the conservation </w:t>
      </w:r>
      <w:r w:rsidR="000F1F23">
        <w:rPr>
          <w:rFonts w:asciiTheme="majorBidi" w:hAnsiTheme="majorBidi" w:cstheme="majorBidi"/>
          <w:szCs w:val="22"/>
        </w:rPr>
        <w:t xml:space="preserve">of </w:t>
      </w:r>
      <w:r w:rsidRPr="00812CB3">
        <w:rPr>
          <w:rFonts w:asciiTheme="majorBidi" w:hAnsiTheme="majorBidi" w:cstheme="majorBidi"/>
          <w:szCs w:val="22"/>
        </w:rPr>
        <w:t xml:space="preserve">farmed and domesticated animals will benefit from advances in next-generation DNA </w:t>
      </w:r>
      <w:r w:rsidR="00440667" w:rsidRPr="00720FA7">
        <w:rPr>
          <w:rFonts w:asciiTheme="majorBidi" w:hAnsiTheme="majorBidi" w:cstheme="majorBidi"/>
          <w:szCs w:val="22"/>
        </w:rPr>
        <w:t xml:space="preserve">sequencing, much like as is the case </w:t>
      </w:r>
      <w:r w:rsidR="00812CB3">
        <w:rPr>
          <w:rFonts w:asciiTheme="majorBidi" w:hAnsiTheme="majorBidi" w:cstheme="majorBidi"/>
          <w:szCs w:val="22"/>
        </w:rPr>
        <w:t xml:space="preserve">with </w:t>
      </w:r>
      <w:r w:rsidR="00440667" w:rsidRPr="00720FA7">
        <w:rPr>
          <w:rFonts w:asciiTheme="majorBidi" w:hAnsiTheme="majorBidi" w:cstheme="majorBidi"/>
          <w:szCs w:val="22"/>
        </w:rPr>
        <w:t>crop and crop wild relatives. However, this technology will need</w:t>
      </w:r>
      <w:r w:rsidRPr="00812CB3">
        <w:rPr>
          <w:rFonts w:asciiTheme="majorBidi" w:hAnsiTheme="majorBidi" w:cstheme="majorBidi"/>
          <w:szCs w:val="22"/>
        </w:rPr>
        <w:t xml:space="preserve"> to become</w:t>
      </w:r>
      <w:r w:rsidRPr="009D551E">
        <w:rPr>
          <w:rFonts w:asciiTheme="majorBidi" w:hAnsiTheme="majorBidi" w:cstheme="majorBidi"/>
          <w:szCs w:val="22"/>
        </w:rPr>
        <w:t xml:space="preserve"> more readily available for it to reach its full potential</w:t>
      </w:r>
      <w:r w:rsidRPr="009D551E">
        <w:rPr>
          <w:rStyle w:val="StyleFootnoteReferenceNounderline"/>
          <w:rFonts w:asciiTheme="majorBidi" w:hAnsiTheme="majorBidi" w:cstheme="majorBidi"/>
          <w:sz w:val="22"/>
          <w:szCs w:val="22"/>
          <w:vertAlign w:val="superscript"/>
        </w:rPr>
        <w:footnoteReference w:id="311"/>
      </w:r>
      <w:r w:rsidR="000F1F23">
        <w:rPr>
          <w:rFonts w:asciiTheme="majorBidi" w:hAnsiTheme="majorBidi" w:cstheme="majorBidi"/>
          <w:szCs w:val="22"/>
        </w:rPr>
        <w:t>.</w:t>
      </w:r>
      <w:r w:rsidRPr="009D551E">
        <w:rPr>
          <w:rFonts w:asciiTheme="majorBidi" w:hAnsiTheme="majorBidi" w:cstheme="majorBidi"/>
          <w:szCs w:val="22"/>
        </w:rPr>
        <w:t xml:space="preserve"> </w:t>
      </w:r>
    </w:p>
    <w:p w:rsidR="009D551E" w:rsidRPr="009D551E" w:rsidRDefault="00737B73" w:rsidP="009D551E">
      <w:pPr>
        <w:pStyle w:val="Para1"/>
        <w:tabs>
          <w:tab w:val="clear" w:pos="360"/>
          <w:tab w:val="num" w:pos="810"/>
        </w:tabs>
        <w:rPr>
          <w:rFonts w:asciiTheme="majorBidi" w:hAnsiTheme="majorBidi" w:cstheme="majorBidi"/>
          <w:szCs w:val="22"/>
        </w:rPr>
      </w:pPr>
      <w:r>
        <w:rPr>
          <w:rFonts w:asciiTheme="majorBidi" w:hAnsiTheme="majorBidi" w:cstheme="majorBidi"/>
          <w:szCs w:val="22"/>
        </w:rPr>
        <w:t xml:space="preserve">Since GBO-4 was released </w:t>
      </w:r>
      <w:r w:rsidR="00812CB3">
        <w:rPr>
          <w:rFonts w:asciiTheme="majorBidi" w:hAnsiTheme="majorBidi" w:cstheme="majorBidi"/>
          <w:szCs w:val="22"/>
        </w:rPr>
        <w:t>i</w:t>
      </w:r>
      <w:r>
        <w:rPr>
          <w:rFonts w:asciiTheme="majorBidi" w:hAnsiTheme="majorBidi" w:cstheme="majorBidi"/>
          <w:szCs w:val="22"/>
        </w:rPr>
        <w:t>n 2014, t</w:t>
      </w:r>
      <w:r w:rsidR="009D551E" w:rsidRPr="009D551E">
        <w:rPr>
          <w:rFonts w:asciiTheme="majorBidi" w:hAnsiTheme="majorBidi" w:cstheme="majorBidi"/>
          <w:szCs w:val="22"/>
        </w:rPr>
        <w:t xml:space="preserve">wo indicators </w:t>
      </w:r>
      <w:r>
        <w:rPr>
          <w:rFonts w:asciiTheme="majorBidi" w:hAnsiTheme="majorBidi" w:cstheme="majorBidi"/>
          <w:szCs w:val="22"/>
        </w:rPr>
        <w:t xml:space="preserve">related to this target </w:t>
      </w:r>
      <w:r w:rsidR="009D551E" w:rsidRPr="009D551E">
        <w:rPr>
          <w:rFonts w:asciiTheme="majorBidi" w:hAnsiTheme="majorBidi" w:cstheme="majorBidi"/>
          <w:szCs w:val="22"/>
        </w:rPr>
        <w:t>have become available</w:t>
      </w:r>
      <w:r>
        <w:rPr>
          <w:rFonts w:asciiTheme="majorBidi" w:hAnsiTheme="majorBidi" w:cstheme="majorBidi"/>
          <w:szCs w:val="22"/>
        </w:rPr>
        <w:t xml:space="preserve">. </w:t>
      </w:r>
      <w:r w:rsidR="009D551E" w:rsidRPr="009D551E">
        <w:rPr>
          <w:rFonts w:asciiTheme="majorBidi" w:hAnsiTheme="majorBidi" w:cstheme="majorBidi"/>
          <w:szCs w:val="22"/>
        </w:rPr>
        <w:t xml:space="preserve"> The first of these, the number of plant genetic resources for food and agriculture secured in conservation facilities</w:t>
      </w:r>
      <w:r w:rsidR="009D551E" w:rsidRPr="009D551E">
        <w:rPr>
          <w:rStyle w:val="FootnoteReference"/>
          <w:rFonts w:asciiTheme="majorBidi" w:hAnsiTheme="majorBidi" w:cstheme="majorBidi"/>
          <w:sz w:val="22"/>
          <w:szCs w:val="22"/>
        </w:rPr>
        <w:footnoteReference w:id="312"/>
      </w:r>
      <w:r w:rsidR="009D551E" w:rsidRPr="009D551E">
        <w:rPr>
          <w:rFonts w:asciiTheme="majorBidi" w:hAnsiTheme="majorBidi" w:cstheme="majorBidi"/>
          <w:szCs w:val="22"/>
        </w:rPr>
        <w:t>, shows an increase, while the other, the Red List index for wild relative</w:t>
      </w:r>
      <w:r>
        <w:rPr>
          <w:rFonts w:asciiTheme="majorBidi" w:hAnsiTheme="majorBidi" w:cstheme="majorBidi"/>
          <w:szCs w:val="22"/>
        </w:rPr>
        <w:t>s</w:t>
      </w:r>
      <w:r w:rsidR="009D551E" w:rsidRPr="009D551E">
        <w:rPr>
          <w:rFonts w:asciiTheme="majorBidi" w:hAnsiTheme="majorBidi" w:cstheme="majorBidi"/>
          <w:szCs w:val="22"/>
        </w:rPr>
        <w:t xml:space="preserve"> of farmed and domesticated species</w:t>
      </w:r>
      <w:r w:rsidR="009D551E" w:rsidRPr="009D551E">
        <w:rPr>
          <w:rStyle w:val="FootnoteReference"/>
          <w:rFonts w:asciiTheme="majorBidi" w:hAnsiTheme="majorBidi" w:cstheme="majorBidi"/>
          <w:sz w:val="22"/>
          <w:szCs w:val="22"/>
        </w:rPr>
        <w:footnoteReference w:id="313"/>
      </w:r>
      <w:r w:rsidR="009D551E" w:rsidRPr="009D551E">
        <w:rPr>
          <w:rFonts w:asciiTheme="majorBidi" w:hAnsiTheme="majorBidi" w:cstheme="majorBidi"/>
          <w:szCs w:val="22"/>
        </w:rPr>
        <w:t xml:space="preserve">, shows a decline. </w:t>
      </w:r>
    </w:p>
    <w:p w:rsidR="009D551E" w:rsidRPr="009D551E" w:rsidRDefault="009D551E" w:rsidP="009D551E">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A review of the scientific information which has become available since the publication of GBO-4 suggests that the progress towards this target is largely unchanged from what was previously reported. Further</w:t>
      </w:r>
      <w:r w:rsidR="00812CB3">
        <w:rPr>
          <w:rFonts w:asciiTheme="majorBidi" w:hAnsiTheme="majorBidi" w:cstheme="majorBidi"/>
          <w:szCs w:val="22"/>
        </w:rPr>
        <w:t>,</w:t>
      </w:r>
      <w:r w:rsidRPr="009D551E">
        <w:rPr>
          <w:rFonts w:asciiTheme="majorBidi" w:hAnsiTheme="majorBidi" w:cstheme="majorBidi"/>
          <w:szCs w:val="22"/>
        </w:rPr>
        <w:t xml:space="preserve"> the scientific literature that has been published since 2014 suggests that the actions identified to accelerate progress towards this target in GBO-4 remain relevant. Additional possible actions identified in the literature include increasing awareness among policy makers of the role of genetic resources in climate change adaptation</w:t>
      </w:r>
      <w:r w:rsidRPr="009D551E">
        <w:rPr>
          <w:rStyle w:val="StyleFootnoteReferenceNounderline"/>
          <w:rFonts w:asciiTheme="majorBidi" w:hAnsiTheme="majorBidi" w:cstheme="majorBidi"/>
          <w:sz w:val="22"/>
          <w:szCs w:val="22"/>
          <w:vertAlign w:val="superscript"/>
        </w:rPr>
        <w:footnoteReference w:id="314"/>
      </w:r>
      <w:r w:rsidR="00812CB3">
        <w:rPr>
          <w:rFonts w:asciiTheme="majorBidi" w:hAnsiTheme="majorBidi" w:cstheme="majorBidi"/>
          <w:szCs w:val="22"/>
        </w:rPr>
        <w:t>,</w:t>
      </w:r>
      <w:r w:rsidRPr="009D551E">
        <w:rPr>
          <w:rFonts w:asciiTheme="majorBidi" w:hAnsiTheme="majorBidi" w:cstheme="majorBidi"/>
          <w:szCs w:val="22"/>
        </w:rPr>
        <w:t xml:space="preserve"> and the need for better information</w:t>
      </w:r>
      <w:r w:rsidR="00812CB3">
        <w:rPr>
          <w:rFonts w:asciiTheme="majorBidi" w:hAnsiTheme="majorBidi" w:cstheme="majorBidi"/>
          <w:szCs w:val="22"/>
        </w:rPr>
        <w:t>-</w:t>
      </w:r>
      <w:r w:rsidRPr="009D551E">
        <w:rPr>
          <w:rFonts w:asciiTheme="majorBidi" w:hAnsiTheme="majorBidi" w:cstheme="majorBidi"/>
          <w:szCs w:val="22"/>
        </w:rPr>
        <w:t>sharing systems for genetic resources</w:t>
      </w:r>
      <w:r w:rsidRPr="009D551E">
        <w:rPr>
          <w:rStyle w:val="StyleFootnoteReferenceNounderline"/>
          <w:rFonts w:asciiTheme="majorBidi" w:hAnsiTheme="majorBidi" w:cstheme="majorBidi"/>
          <w:sz w:val="22"/>
          <w:szCs w:val="22"/>
          <w:vertAlign w:val="superscript"/>
        </w:rPr>
        <w:footnoteReference w:id="315"/>
      </w:r>
      <w:r w:rsidRPr="009D551E">
        <w:rPr>
          <w:rFonts w:asciiTheme="majorBidi" w:hAnsiTheme="majorBidi" w:cstheme="majorBidi"/>
          <w:szCs w:val="22"/>
        </w:rPr>
        <w:t>.</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14:By 2020, ecosystems that provide essential services, including services related to water, and contribute to health, livelihoods and well-being, are restored and safeguarded, taking into account the needs of women, indigenous and local communities, and the poor and vulnerable.</w:t>
      </w:r>
    </w:p>
    <w:p w:rsidR="009D551E" w:rsidRPr="009D551E" w:rsidRDefault="009D551E" w:rsidP="000408E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 xml:space="preserve">Aichi </w:t>
      </w:r>
      <w:r w:rsidR="00B3189E">
        <w:rPr>
          <w:rFonts w:asciiTheme="majorBidi" w:hAnsiTheme="majorBidi" w:cstheme="majorBidi"/>
          <w:szCs w:val="22"/>
        </w:rPr>
        <w:t xml:space="preserve">Biodiversity </w:t>
      </w:r>
      <w:r w:rsidRPr="009D551E">
        <w:rPr>
          <w:rFonts w:asciiTheme="majorBidi" w:hAnsiTheme="majorBidi" w:cstheme="majorBidi"/>
          <w:szCs w:val="22"/>
        </w:rPr>
        <w:t>Target 14 is a broad target. This makes assessing progress towards its attainment challenging. Further, progress towards its attainment is interrelated with progress towards other Aichi Biodiversity Targets, including targets 5, 6, 7, 10, 11, 12, 13 and 18. As such</w:t>
      </w:r>
      <w:r w:rsidR="00B3189E">
        <w:rPr>
          <w:rFonts w:asciiTheme="majorBidi" w:hAnsiTheme="majorBidi" w:cstheme="majorBidi"/>
          <w:szCs w:val="22"/>
        </w:rPr>
        <w:t>,</w:t>
      </w:r>
      <w:r w:rsidRPr="009D551E">
        <w:rPr>
          <w:rFonts w:asciiTheme="majorBidi" w:hAnsiTheme="majorBidi" w:cstheme="majorBidi"/>
          <w:szCs w:val="22"/>
        </w:rPr>
        <w:t xml:space="preserve"> information on the progress towards these targets can also inform progress towards Aichi </w:t>
      </w:r>
      <w:r w:rsidR="00B3189E">
        <w:rPr>
          <w:rFonts w:asciiTheme="majorBidi" w:hAnsiTheme="majorBidi" w:cstheme="majorBidi"/>
          <w:szCs w:val="22"/>
        </w:rPr>
        <w:t xml:space="preserve">Biodiversity </w:t>
      </w:r>
      <w:r w:rsidRPr="009D551E">
        <w:rPr>
          <w:rFonts w:asciiTheme="majorBidi" w:hAnsiTheme="majorBidi" w:cstheme="majorBidi"/>
          <w:szCs w:val="22"/>
        </w:rPr>
        <w:t>Target 14.</w:t>
      </w:r>
    </w:p>
    <w:p w:rsidR="009D551E" w:rsidRPr="009D551E" w:rsidRDefault="009D551E" w:rsidP="000408E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A recent assessment using a set of 21 indicators related to 13 different ecosystems services found that 60% of the indicators related to ecosystem benefits had positive trends</w:t>
      </w:r>
      <w:r w:rsidR="00B3189E">
        <w:rPr>
          <w:rFonts w:asciiTheme="majorBidi" w:hAnsiTheme="majorBidi" w:cstheme="majorBidi"/>
          <w:szCs w:val="22"/>
        </w:rPr>
        <w:t>,</w:t>
      </w:r>
      <w:r w:rsidRPr="009D551E">
        <w:rPr>
          <w:rFonts w:asciiTheme="majorBidi" w:hAnsiTheme="majorBidi" w:cstheme="majorBidi"/>
          <w:szCs w:val="22"/>
        </w:rPr>
        <w:t xml:space="preserve"> while 86% of state indicators showed a decline. The assessment concludes that there has been no overall progress in reaching Aichi </w:t>
      </w:r>
      <w:r w:rsidR="00B3189E">
        <w:rPr>
          <w:rFonts w:asciiTheme="majorBidi" w:hAnsiTheme="majorBidi" w:cstheme="majorBidi"/>
          <w:szCs w:val="22"/>
        </w:rPr>
        <w:t xml:space="preserve">Biodiversity </w:t>
      </w:r>
      <w:r w:rsidRPr="009D551E">
        <w:rPr>
          <w:rFonts w:asciiTheme="majorBidi" w:hAnsiTheme="majorBidi" w:cstheme="majorBidi"/>
          <w:szCs w:val="22"/>
        </w:rPr>
        <w:t>Target 14</w:t>
      </w:r>
      <w:r w:rsidRPr="009D551E">
        <w:rPr>
          <w:rStyle w:val="StyleFootnoteReferenceNounderline"/>
          <w:rFonts w:asciiTheme="majorBidi" w:hAnsiTheme="majorBidi" w:cstheme="majorBidi"/>
          <w:sz w:val="22"/>
          <w:szCs w:val="22"/>
          <w:vertAlign w:val="superscript"/>
        </w:rPr>
        <w:footnoteReference w:id="316"/>
      </w:r>
      <w:r w:rsidRPr="009D551E">
        <w:rPr>
          <w:rFonts w:asciiTheme="majorBidi" w:hAnsiTheme="majorBidi" w:cstheme="majorBidi"/>
          <w:szCs w:val="22"/>
        </w:rPr>
        <w:t>.</w:t>
      </w:r>
    </w:p>
    <w:p w:rsidR="009D551E" w:rsidRPr="009D551E" w:rsidRDefault="009D551E" w:rsidP="000408E7">
      <w:pPr>
        <w:pStyle w:val="Para1"/>
        <w:tabs>
          <w:tab w:val="clear" w:pos="360"/>
          <w:tab w:val="num" w:pos="810"/>
        </w:tabs>
        <w:rPr>
          <w:rFonts w:asciiTheme="majorBidi" w:hAnsiTheme="majorBidi" w:cstheme="majorBidi"/>
          <w:szCs w:val="22"/>
        </w:rPr>
      </w:pPr>
      <w:proofErr w:type="gramStart"/>
      <w:r w:rsidRPr="009D551E">
        <w:rPr>
          <w:rFonts w:asciiTheme="majorBidi" w:hAnsiTheme="majorBidi" w:cstheme="majorBidi"/>
          <w:szCs w:val="22"/>
        </w:rPr>
        <w:t>With regard to</w:t>
      </w:r>
      <w:proofErr w:type="gramEnd"/>
      <w:r w:rsidRPr="009D551E">
        <w:rPr>
          <w:rFonts w:asciiTheme="majorBidi" w:hAnsiTheme="majorBidi" w:cstheme="majorBidi"/>
          <w:szCs w:val="22"/>
        </w:rPr>
        <w:t xml:space="preserve"> the marine environment, the Ocean Health Index, which measures changes to ten societal objectives related to ocean health, increased by one point between 2012 and 2013, </w:t>
      </w:r>
      <w:r w:rsidR="00B3189E">
        <w:rPr>
          <w:rFonts w:asciiTheme="majorBidi" w:hAnsiTheme="majorBidi" w:cstheme="majorBidi"/>
          <w:szCs w:val="22"/>
        </w:rPr>
        <w:t xml:space="preserve">representing </w:t>
      </w:r>
      <w:r w:rsidRPr="009D551E">
        <w:rPr>
          <w:rFonts w:asciiTheme="majorBidi" w:hAnsiTheme="majorBidi" w:cstheme="majorBidi"/>
          <w:szCs w:val="22"/>
        </w:rPr>
        <w:t>a small positive change. At the country level</w:t>
      </w:r>
      <w:r w:rsidR="00B3189E">
        <w:rPr>
          <w:rFonts w:asciiTheme="majorBidi" w:hAnsiTheme="majorBidi" w:cstheme="majorBidi"/>
          <w:szCs w:val="22"/>
        </w:rPr>
        <w:t>,</w:t>
      </w:r>
      <w:r w:rsidRPr="009D551E">
        <w:rPr>
          <w:rFonts w:asciiTheme="majorBidi" w:hAnsiTheme="majorBidi" w:cstheme="majorBidi"/>
          <w:szCs w:val="22"/>
        </w:rPr>
        <w:t xml:space="preserve"> scores improved by 0.06 points</w:t>
      </w:r>
      <w:r w:rsidR="00B3189E">
        <w:rPr>
          <w:rFonts w:asciiTheme="majorBidi" w:hAnsiTheme="majorBidi" w:cstheme="majorBidi"/>
          <w:szCs w:val="22"/>
        </w:rPr>
        <w:t xml:space="preserve"> on average</w:t>
      </w:r>
      <w:r w:rsidRPr="009D551E">
        <w:rPr>
          <w:rStyle w:val="StyleFootnoteReferenceNounderline"/>
          <w:rFonts w:asciiTheme="majorBidi" w:hAnsiTheme="majorBidi" w:cstheme="majorBidi"/>
          <w:sz w:val="22"/>
          <w:szCs w:val="22"/>
          <w:vertAlign w:val="superscript"/>
        </w:rPr>
        <w:footnoteReference w:id="317"/>
      </w:r>
      <w:r w:rsidRPr="009D551E">
        <w:rPr>
          <w:rFonts w:asciiTheme="majorBidi" w:hAnsiTheme="majorBidi" w:cstheme="majorBidi"/>
          <w:szCs w:val="22"/>
        </w:rPr>
        <w:t>. Other studies have looked at specific marine ecosystems. For example</w:t>
      </w:r>
      <w:r w:rsidR="00B3189E">
        <w:rPr>
          <w:rFonts w:asciiTheme="majorBidi" w:hAnsiTheme="majorBidi" w:cstheme="majorBidi"/>
          <w:szCs w:val="22"/>
        </w:rPr>
        <w:t>,</w:t>
      </w:r>
      <w:r w:rsidRPr="009D551E">
        <w:rPr>
          <w:rFonts w:asciiTheme="majorBidi" w:hAnsiTheme="majorBidi" w:cstheme="majorBidi"/>
          <w:szCs w:val="22"/>
        </w:rPr>
        <w:t xml:space="preserve"> one assessment focusing on the Western and </w:t>
      </w:r>
      <w:r w:rsidRPr="009D551E">
        <w:rPr>
          <w:rFonts w:asciiTheme="majorBidi" w:hAnsiTheme="majorBidi" w:cstheme="majorBidi"/>
          <w:szCs w:val="22"/>
        </w:rPr>
        <w:lastRenderedPageBreak/>
        <w:t xml:space="preserve">Adriatic regions of the </w:t>
      </w:r>
      <w:proofErr w:type="spellStart"/>
      <w:r w:rsidRPr="009D551E">
        <w:rPr>
          <w:rFonts w:asciiTheme="majorBidi" w:hAnsiTheme="majorBidi" w:cstheme="majorBidi"/>
          <w:szCs w:val="22"/>
        </w:rPr>
        <w:t>Mediterrnean</w:t>
      </w:r>
      <w:proofErr w:type="spellEnd"/>
      <w:r w:rsidRPr="009D551E">
        <w:rPr>
          <w:rFonts w:asciiTheme="majorBidi" w:hAnsiTheme="majorBidi" w:cstheme="majorBidi"/>
          <w:szCs w:val="22"/>
        </w:rPr>
        <w:t xml:space="preserve"> Sea concluded that all fisheries resources are at risk of overexploitation</w:t>
      </w:r>
      <w:r w:rsidRPr="009D551E">
        <w:rPr>
          <w:rStyle w:val="StyleFootnoteReferenceNounderline"/>
          <w:rFonts w:asciiTheme="majorBidi" w:hAnsiTheme="majorBidi" w:cstheme="majorBidi"/>
          <w:sz w:val="22"/>
          <w:szCs w:val="22"/>
          <w:vertAlign w:val="superscript"/>
        </w:rPr>
        <w:footnoteReference w:id="318"/>
      </w:r>
      <w:r w:rsidRPr="009D551E">
        <w:rPr>
          <w:rFonts w:asciiTheme="majorBidi" w:hAnsiTheme="majorBidi" w:cstheme="majorBidi"/>
          <w:szCs w:val="22"/>
        </w:rPr>
        <w:t>. A similar study concluded that global biomass production in the marine environment predicted a long-term decline in global marine catch</w:t>
      </w:r>
      <w:r w:rsidRPr="009D551E">
        <w:rPr>
          <w:rStyle w:val="StyleFootnoteReferenceNounderline"/>
          <w:rFonts w:asciiTheme="majorBidi" w:hAnsiTheme="majorBidi" w:cstheme="majorBidi"/>
          <w:sz w:val="22"/>
          <w:szCs w:val="22"/>
          <w:vertAlign w:val="superscript"/>
        </w:rPr>
        <w:footnoteReference w:id="319"/>
      </w:r>
      <w:r w:rsidRPr="009D551E">
        <w:rPr>
          <w:rFonts w:asciiTheme="majorBidi" w:hAnsiTheme="majorBidi" w:cstheme="majorBidi"/>
          <w:szCs w:val="22"/>
        </w:rPr>
        <w:t>. Given the importance of agricultural and fisheries productivity to human wellbeing</w:t>
      </w:r>
      <w:r w:rsidR="00B3189E">
        <w:rPr>
          <w:rFonts w:asciiTheme="majorBidi" w:hAnsiTheme="majorBidi" w:cstheme="majorBidi"/>
          <w:szCs w:val="22"/>
        </w:rPr>
        <w:t>,</w:t>
      </w:r>
      <w:r w:rsidRPr="009D551E">
        <w:rPr>
          <w:rFonts w:asciiTheme="majorBidi" w:hAnsiTheme="majorBidi" w:cstheme="majorBidi"/>
          <w:szCs w:val="22"/>
        </w:rPr>
        <w:t xml:space="preserve"> such trends are a challenge to the prospects for reaching Aichi </w:t>
      </w:r>
      <w:r w:rsidR="00B3189E">
        <w:rPr>
          <w:rFonts w:asciiTheme="majorBidi" w:hAnsiTheme="majorBidi" w:cstheme="majorBidi"/>
          <w:szCs w:val="22"/>
        </w:rPr>
        <w:t xml:space="preserve">Biodiversity </w:t>
      </w:r>
      <w:r w:rsidRPr="009D551E">
        <w:rPr>
          <w:rFonts w:asciiTheme="majorBidi" w:hAnsiTheme="majorBidi" w:cstheme="majorBidi"/>
          <w:szCs w:val="22"/>
        </w:rPr>
        <w:t xml:space="preserve">Target 14. Information related to fisheries is further addressed under the section of this note dealing with Aichi Biodiversity Target 6. </w:t>
      </w:r>
    </w:p>
    <w:p w:rsidR="009D551E" w:rsidRPr="009D551E" w:rsidRDefault="009D551E" w:rsidP="00720FA7">
      <w:pPr>
        <w:pStyle w:val="Para1"/>
        <w:tabs>
          <w:tab w:val="clear" w:pos="360"/>
          <w:tab w:val="num" w:pos="810"/>
        </w:tabs>
        <w:rPr>
          <w:rFonts w:asciiTheme="majorBidi" w:hAnsiTheme="majorBidi" w:cstheme="majorBidi"/>
          <w:szCs w:val="22"/>
        </w:rPr>
      </w:pPr>
      <w:r w:rsidRPr="00B3189E">
        <w:rPr>
          <w:rFonts w:asciiTheme="majorBidi" w:hAnsiTheme="majorBidi" w:cstheme="majorBidi"/>
          <w:szCs w:val="22"/>
        </w:rPr>
        <w:t>Mangrove ecosystems have received considerable attention in the scientific literature. Mangroves</w:t>
      </w:r>
      <w:r w:rsidRPr="009D551E">
        <w:rPr>
          <w:rFonts w:asciiTheme="majorBidi" w:hAnsiTheme="majorBidi" w:cstheme="majorBidi"/>
          <w:szCs w:val="22"/>
        </w:rPr>
        <w:t xml:space="preserve"> provide a range of ecosystem services and as such are particularly relevant to Aichi </w:t>
      </w:r>
      <w:r w:rsidR="00B3189E">
        <w:rPr>
          <w:rFonts w:asciiTheme="majorBidi" w:hAnsiTheme="majorBidi" w:cstheme="majorBidi"/>
          <w:szCs w:val="22"/>
        </w:rPr>
        <w:t xml:space="preserve">Biodiversity </w:t>
      </w:r>
      <w:r w:rsidRPr="009D551E">
        <w:rPr>
          <w:rFonts w:asciiTheme="majorBidi" w:hAnsiTheme="majorBidi" w:cstheme="majorBidi"/>
          <w:szCs w:val="22"/>
        </w:rPr>
        <w:t>Target 14. As noted under Aichi Biodiversity Target 5, mangroves are in decline globally. Such declines can have various effects. For example</w:t>
      </w:r>
      <w:r w:rsidR="00B3189E">
        <w:rPr>
          <w:rFonts w:asciiTheme="majorBidi" w:hAnsiTheme="majorBidi" w:cstheme="majorBidi"/>
          <w:szCs w:val="22"/>
        </w:rPr>
        <w:t>,</w:t>
      </w:r>
      <w:r w:rsidRPr="009D551E">
        <w:rPr>
          <w:rFonts w:asciiTheme="majorBidi" w:hAnsiTheme="majorBidi" w:cstheme="majorBidi"/>
          <w:szCs w:val="22"/>
        </w:rPr>
        <w:t xml:space="preserve"> one study on the </w:t>
      </w:r>
      <w:proofErr w:type="spellStart"/>
      <w:r w:rsidRPr="009D551E">
        <w:rPr>
          <w:rFonts w:asciiTheme="majorBidi" w:hAnsiTheme="majorBidi" w:cstheme="majorBidi"/>
          <w:szCs w:val="22"/>
        </w:rPr>
        <w:t>Matang</w:t>
      </w:r>
      <w:proofErr w:type="spellEnd"/>
      <w:r w:rsidRPr="009D551E">
        <w:rPr>
          <w:rFonts w:asciiTheme="majorBidi" w:hAnsiTheme="majorBidi" w:cstheme="majorBidi"/>
          <w:szCs w:val="22"/>
        </w:rPr>
        <w:t xml:space="preserve"> Mangrove Forest Reserve in Peninsular Malaysia found that ecosystem services, including cockle production, are declining and that pressures on species, such as migratory birds, are increasing </w:t>
      </w:r>
      <w:proofErr w:type="gramStart"/>
      <w:r w:rsidRPr="009D551E">
        <w:rPr>
          <w:rFonts w:asciiTheme="majorBidi" w:hAnsiTheme="majorBidi" w:cstheme="majorBidi"/>
          <w:szCs w:val="22"/>
        </w:rPr>
        <w:t>as a result of</w:t>
      </w:r>
      <w:proofErr w:type="gramEnd"/>
      <w:r w:rsidRPr="009D551E">
        <w:rPr>
          <w:rFonts w:asciiTheme="majorBidi" w:hAnsiTheme="majorBidi" w:cstheme="majorBidi"/>
          <w:szCs w:val="22"/>
        </w:rPr>
        <w:t xml:space="preserve"> mangrove loss and degradation. These pressures are largely the result of wood harvesting and charcoal production</w:t>
      </w:r>
      <w:r w:rsidRPr="009D551E">
        <w:rPr>
          <w:rStyle w:val="StyleFootnoteReferenceNounderline"/>
          <w:rFonts w:asciiTheme="majorBidi" w:hAnsiTheme="majorBidi" w:cstheme="majorBidi"/>
          <w:sz w:val="22"/>
          <w:szCs w:val="22"/>
          <w:vertAlign w:val="superscript"/>
        </w:rPr>
        <w:footnoteReference w:id="320"/>
      </w:r>
      <w:r w:rsidRPr="009D551E">
        <w:rPr>
          <w:rFonts w:asciiTheme="majorBidi" w:hAnsiTheme="majorBidi" w:cstheme="majorBidi"/>
          <w:szCs w:val="22"/>
        </w:rPr>
        <w:t xml:space="preserve">. </w:t>
      </w:r>
    </w:p>
    <w:p w:rsidR="009D551E" w:rsidRPr="009D551E" w:rsidRDefault="009D551E" w:rsidP="00720FA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 xml:space="preserve">Another issue relevant to Aichi </w:t>
      </w:r>
      <w:r w:rsidR="000319D0" w:rsidRPr="009D551E">
        <w:rPr>
          <w:rFonts w:asciiTheme="majorBidi" w:hAnsiTheme="majorBidi" w:cstheme="majorBidi"/>
          <w:szCs w:val="22"/>
        </w:rPr>
        <w:t xml:space="preserve">Biodiversity </w:t>
      </w:r>
      <w:r w:rsidRPr="009D551E">
        <w:rPr>
          <w:rFonts w:asciiTheme="majorBidi" w:hAnsiTheme="majorBidi" w:cstheme="majorBidi"/>
          <w:szCs w:val="22"/>
        </w:rPr>
        <w:t>Target 14 explored in the literature is freshwater. One assessment of global freshwater ecosystems estimates that 82% of the world’s population relies on upstream areas which are highly threatened for water services</w:t>
      </w:r>
      <w:r w:rsidR="004E508F">
        <w:rPr>
          <w:rFonts w:asciiTheme="majorBidi" w:hAnsiTheme="majorBidi" w:cstheme="majorBidi"/>
          <w:szCs w:val="22"/>
        </w:rPr>
        <w:t xml:space="preserve"> (i</w:t>
      </w:r>
      <w:r w:rsidRPr="009D551E">
        <w:rPr>
          <w:rFonts w:asciiTheme="majorBidi" w:hAnsiTheme="majorBidi" w:cstheme="majorBidi"/>
          <w:szCs w:val="22"/>
        </w:rPr>
        <w:t>n some countries, such as China and India</w:t>
      </w:r>
      <w:r w:rsidR="000319D0">
        <w:rPr>
          <w:rFonts w:asciiTheme="majorBidi" w:hAnsiTheme="majorBidi" w:cstheme="majorBidi"/>
          <w:szCs w:val="22"/>
        </w:rPr>
        <w:t>,</w:t>
      </w:r>
      <w:r w:rsidRPr="009D551E">
        <w:rPr>
          <w:rFonts w:asciiTheme="majorBidi" w:hAnsiTheme="majorBidi" w:cstheme="majorBidi"/>
          <w:szCs w:val="22"/>
        </w:rPr>
        <w:t xml:space="preserve"> th</w:t>
      </w:r>
      <w:r w:rsidR="000319D0">
        <w:rPr>
          <w:rFonts w:asciiTheme="majorBidi" w:hAnsiTheme="majorBidi" w:cstheme="majorBidi"/>
          <w:szCs w:val="22"/>
        </w:rPr>
        <w:t>is</w:t>
      </w:r>
      <w:r w:rsidRPr="009D551E">
        <w:rPr>
          <w:rFonts w:asciiTheme="majorBidi" w:hAnsiTheme="majorBidi" w:cstheme="majorBidi"/>
          <w:szCs w:val="22"/>
        </w:rPr>
        <w:t xml:space="preserve"> percentage could be as high as 88%</w:t>
      </w:r>
      <w:r w:rsidR="004E508F">
        <w:rPr>
          <w:rFonts w:asciiTheme="majorBidi" w:hAnsiTheme="majorBidi" w:cstheme="majorBidi"/>
          <w:szCs w:val="22"/>
        </w:rPr>
        <w:t>)</w:t>
      </w:r>
      <w:r w:rsidRPr="009D551E">
        <w:rPr>
          <w:rFonts w:asciiTheme="majorBidi" w:hAnsiTheme="majorBidi" w:cstheme="majorBidi"/>
          <w:szCs w:val="22"/>
        </w:rPr>
        <w:t>. Developing countries are particularly vulnerable as they often lack the means to construct infrastructure that can reduce water</w:t>
      </w:r>
      <w:r w:rsidR="004E508F">
        <w:rPr>
          <w:rFonts w:asciiTheme="majorBidi" w:hAnsiTheme="majorBidi" w:cstheme="majorBidi"/>
          <w:szCs w:val="22"/>
        </w:rPr>
        <w:t>-</w:t>
      </w:r>
      <w:r w:rsidRPr="009D551E">
        <w:rPr>
          <w:rFonts w:asciiTheme="majorBidi" w:hAnsiTheme="majorBidi" w:cstheme="majorBidi"/>
          <w:szCs w:val="22"/>
        </w:rPr>
        <w:t>related threats</w:t>
      </w:r>
      <w:r w:rsidRPr="009D551E">
        <w:rPr>
          <w:rStyle w:val="StyleFootnoteReferenceNounderline"/>
          <w:rFonts w:asciiTheme="majorBidi" w:hAnsiTheme="majorBidi" w:cstheme="majorBidi"/>
          <w:sz w:val="22"/>
          <w:szCs w:val="22"/>
          <w:vertAlign w:val="superscript"/>
        </w:rPr>
        <w:footnoteReference w:id="321"/>
      </w:r>
      <w:r w:rsidRPr="009D551E">
        <w:rPr>
          <w:rFonts w:asciiTheme="majorBidi" w:hAnsiTheme="majorBidi" w:cstheme="majorBidi"/>
          <w:szCs w:val="22"/>
        </w:rPr>
        <w:t>. A second study looking specifically at protected areas reached a similar conclusion. It estimated that</w:t>
      </w:r>
      <w:r w:rsidR="004E508F">
        <w:rPr>
          <w:rFonts w:asciiTheme="majorBidi" w:hAnsiTheme="majorBidi" w:cstheme="majorBidi"/>
          <w:szCs w:val="22"/>
        </w:rPr>
        <w:t>,</w:t>
      </w:r>
      <w:r w:rsidRPr="009D551E">
        <w:rPr>
          <w:rFonts w:asciiTheme="majorBidi" w:hAnsiTheme="majorBidi" w:cstheme="majorBidi"/>
          <w:szCs w:val="22"/>
        </w:rPr>
        <w:t xml:space="preserve"> on a global scale</w:t>
      </w:r>
      <w:r w:rsidR="004E508F">
        <w:rPr>
          <w:rFonts w:asciiTheme="majorBidi" w:hAnsiTheme="majorBidi" w:cstheme="majorBidi"/>
          <w:szCs w:val="22"/>
        </w:rPr>
        <w:t>,</w:t>
      </w:r>
      <w:r w:rsidRPr="009D551E">
        <w:rPr>
          <w:rFonts w:asciiTheme="majorBidi" w:hAnsiTheme="majorBidi" w:cstheme="majorBidi"/>
          <w:szCs w:val="22"/>
        </w:rPr>
        <w:t xml:space="preserve"> 80% of downstream communities that rely on freshwater from upstream protected </w:t>
      </w:r>
      <w:r w:rsidR="00E1653D">
        <w:rPr>
          <w:rFonts w:asciiTheme="majorBidi" w:hAnsiTheme="majorBidi" w:cstheme="majorBidi"/>
          <w:szCs w:val="22"/>
        </w:rPr>
        <w:t xml:space="preserve">areas </w:t>
      </w:r>
      <w:r w:rsidRPr="009D551E">
        <w:rPr>
          <w:rFonts w:asciiTheme="majorBidi" w:hAnsiTheme="majorBidi" w:cstheme="majorBidi"/>
          <w:szCs w:val="22"/>
        </w:rPr>
        <w:t>are using water that is under threat</w:t>
      </w:r>
      <w:r w:rsidRPr="009D551E">
        <w:rPr>
          <w:rStyle w:val="StyleFootnoteReferenceNounderline"/>
          <w:rFonts w:asciiTheme="majorBidi" w:hAnsiTheme="majorBidi" w:cstheme="majorBidi"/>
          <w:sz w:val="22"/>
          <w:szCs w:val="22"/>
          <w:vertAlign w:val="superscript"/>
        </w:rPr>
        <w:footnoteReference w:id="322"/>
      </w:r>
      <w:r w:rsidRPr="009D551E">
        <w:rPr>
          <w:rFonts w:asciiTheme="majorBidi" w:hAnsiTheme="majorBidi" w:cstheme="majorBidi"/>
          <w:szCs w:val="22"/>
        </w:rPr>
        <w:t>. Studies related to the provision of freshwater have also been undertaken at the national level. For example</w:t>
      </w:r>
      <w:r w:rsidR="004E508F">
        <w:rPr>
          <w:rFonts w:asciiTheme="majorBidi" w:hAnsiTheme="majorBidi" w:cstheme="majorBidi"/>
          <w:szCs w:val="22"/>
        </w:rPr>
        <w:t>,</w:t>
      </w:r>
      <w:r w:rsidRPr="009D551E">
        <w:rPr>
          <w:rFonts w:asciiTheme="majorBidi" w:hAnsiTheme="majorBidi" w:cstheme="majorBidi"/>
          <w:szCs w:val="22"/>
        </w:rPr>
        <w:t xml:space="preserve"> a study examining wetland degradation in Madagascar concluded that overexploitation, climate change, invasive species and other human disturbances </w:t>
      </w:r>
      <w:r w:rsidR="004E508F">
        <w:rPr>
          <w:rFonts w:asciiTheme="majorBidi" w:hAnsiTheme="majorBidi" w:cstheme="majorBidi"/>
          <w:szCs w:val="22"/>
        </w:rPr>
        <w:t>are</w:t>
      </w:r>
      <w:r w:rsidRPr="009D551E">
        <w:rPr>
          <w:rFonts w:asciiTheme="majorBidi" w:hAnsiTheme="majorBidi" w:cstheme="majorBidi"/>
          <w:szCs w:val="22"/>
        </w:rPr>
        <w:t xml:space="preserve"> causing freshwater habitat loss with related impacts on species abundance and diversity</w:t>
      </w:r>
      <w:r w:rsidRPr="009D551E">
        <w:rPr>
          <w:rStyle w:val="StyleFootnoteReferenceNounderline"/>
          <w:rFonts w:asciiTheme="majorBidi" w:hAnsiTheme="majorBidi" w:cstheme="majorBidi"/>
          <w:sz w:val="22"/>
          <w:szCs w:val="22"/>
          <w:vertAlign w:val="superscript"/>
        </w:rPr>
        <w:footnoteReference w:id="323"/>
      </w:r>
      <w:r w:rsidRPr="009D551E">
        <w:rPr>
          <w:rFonts w:asciiTheme="majorBidi" w:hAnsiTheme="majorBidi" w:cstheme="majorBidi"/>
          <w:szCs w:val="22"/>
        </w:rPr>
        <w:t xml:space="preserve">. </w:t>
      </w:r>
    </w:p>
    <w:p w:rsidR="009D551E" w:rsidRPr="009D551E" w:rsidRDefault="009D551E" w:rsidP="000408E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 xml:space="preserve">Ecosystem services provided by soils have also been examined in the scientific literature. A global assessment on soil health indicates that soil erosion </w:t>
      </w:r>
      <w:r w:rsidR="004E508F">
        <w:rPr>
          <w:rFonts w:asciiTheme="majorBidi" w:hAnsiTheme="majorBidi" w:cstheme="majorBidi"/>
          <w:szCs w:val="22"/>
        </w:rPr>
        <w:t xml:space="preserve">mainly </w:t>
      </w:r>
      <w:r w:rsidRPr="009D551E">
        <w:rPr>
          <w:rFonts w:asciiTheme="majorBidi" w:hAnsiTheme="majorBidi" w:cstheme="majorBidi"/>
          <w:szCs w:val="22"/>
        </w:rPr>
        <w:t>affects Asia, Sahel, Central America and Africa</w:t>
      </w:r>
      <w:r w:rsidRPr="009D551E">
        <w:rPr>
          <w:rStyle w:val="StyleFootnoteReferenceNounderline"/>
          <w:rFonts w:asciiTheme="majorBidi" w:hAnsiTheme="majorBidi" w:cstheme="majorBidi"/>
          <w:sz w:val="22"/>
          <w:szCs w:val="22"/>
          <w:vertAlign w:val="superscript"/>
        </w:rPr>
        <w:footnoteReference w:id="324"/>
      </w:r>
      <w:r w:rsidRPr="009D551E">
        <w:rPr>
          <w:rFonts w:asciiTheme="majorBidi" w:hAnsiTheme="majorBidi" w:cstheme="majorBidi"/>
          <w:szCs w:val="22"/>
        </w:rPr>
        <w:t>. However</w:t>
      </w:r>
      <w:r w:rsidR="004E508F">
        <w:rPr>
          <w:rFonts w:asciiTheme="majorBidi" w:hAnsiTheme="majorBidi" w:cstheme="majorBidi"/>
          <w:szCs w:val="22"/>
        </w:rPr>
        <w:t>,</w:t>
      </w:r>
      <w:r w:rsidRPr="009D551E">
        <w:rPr>
          <w:rFonts w:asciiTheme="majorBidi" w:hAnsiTheme="majorBidi" w:cstheme="majorBidi"/>
          <w:szCs w:val="22"/>
        </w:rPr>
        <w:t xml:space="preserve"> pressures on soil are widespread. For example</w:t>
      </w:r>
      <w:r w:rsidR="004E508F">
        <w:rPr>
          <w:rFonts w:asciiTheme="majorBidi" w:hAnsiTheme="majorBidi" w:cstheme="majorBidi"/>
          <w:szCs w:val="22"/>
        </w:rPr>
        <w:t>,</w:t>
      </w:r>
      <w:r w:rsidRPr="009D551E">
        <w:rPr>
          <w:rFonts w:asciiTheme="majorBidi" w:hAnsiTheme="majorBidi" w:cstheme="majorBidi"/>
          <w:szCs w:val="22"/>
        </w:rPr>
        <w:t xml:space="preserve"> an assessment of soil in the European Union concluded that soil erosion and land intensification resulting from urbanization have resulted in the loss </w:t>
      </w:r>
      <w:r w:rsidR="004E508F">
        <w:rPr>
          <w:rFonts w:asciiTheme="majorBidi" w:hAnsiTheme="majorBidi" w:cstheme="majorBidi"/>
          <w:szCs w:val="22"/>
        </w:rPr>
        <w:t xml:space="preserve">of </w:t>
      </w:r>
      <w:r w:rsidRPr="009D551E">
        <w:rPr>
          <w:rFonts w:asciiTheme="majorBidi" w:hAnsiTheme="majorBidi" w:cstheme="majorBidi"/>
          <w:szCs w:val="22"/>
        </w:rPr>
        <w:t>soil functions</w:t>
      </w:r>
      <w:r w:rsidRPr="009D551E">
        <w:rPr>
          <w:rStyle w:val="FootnoteReference"/>
          <w:rFonts w:asciiTheme="majorBidi" w:hAnsiTheme="majorBidi" w:cstheme="majorBidi"/>
          <w:sz w:val="22"/>
          <w:szCs w:val="22"/>
        </w:rPr>
        <w:footnoteReference w:id="325"/>
      </w:r>
      <w:r w:rsidRPr="009D551E">
        <w:rPr>
          <w:rFonts w:asciiTheme="majorBidi" w:hAnsiTheme="majorBidi" w:cstheme="majorBidi"/>
          <w:szCs w:val="22"/>
        </w:rPr>
        <w:t xml:space="preserve">. </w:t>
      </w:r>
    </w:p>
    <w:p w:rsidR="009D551E" w:rsidRPr="009D551E" w:rsidRDefault="009D551E" w:rsidP="000408E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Work has also been undertaken to determine the relationship between diversity and the provision of ecosystem services. For example</w:t>
      </w:r>
      <w:r w:rsidR="004E508F">
        <w:rPr>
          <w:rFonts w:asciiTheme="majorBidi" w:hAnsiTheme="majorBidi" w:cstheme="majorBidi"/>
          <w:szCs w:val="22"/>
        </w:rPr>
        <w:t>,</w:t>
      </w:r>
      <w:r w:rsidRPr="009D551E">
        <w:rPr>
          <w:rFonts w:asciiTheme="majorBidi" w:hAnsiTheme="majorBidi" w:cstheme="majorBidi"/>
          <w:szCs w:val="22"/>
        </w:rPr>
        <w:t xml:space="preserve"> a study of grassland plants indicates that 84% of 147 grassland plant species considered in 17 different biodiversity experiments promoted ecosystem functioning. Further</w:t>
      </w:r>
      <w:r w:rsidR="004E508F">
        <w:rPr>
          <w:rFonts w:asciiTheme="majorBidi" w:hAnsiTheme="majorBidi" w:cstheme="majorBidi"/>
          <w:szCs w:val="22"/>
        </w:rPr>
        <w:t>,</w:t>
      </w:r>
      <w:r w:rsidRPr="009D551E">
        <w:rPr>
          <w:rFonts w:asciiTheme="majorBidi" w:hAnsiTheme="majorBidi" w:cstheme="majorBidi"/>
          <w:szCs w:val="22"/>
        </w:rPr>
        <w:t xml:space="preserve"> the different species promoted ecosystem functioning in different ways, at different periods of time and under </w:t>
      </w:r>
      <w:r w:rsidRPr="009D551E">
        <w:rPr>
          <w:rFonts w:asciiTheme="majorBidi" w:hAnsiTheme="majorBidi" w:cstheme="majorBidi"/>
          <w:szCs w:val="22"/>
        </w:rPr>
        <w:lastRenderedPageBreak/>
        <w:t>different circumstances. The study ultimately conclude</w:t>
      </w:r>
      <w:r w:rsidR="004E508F">
        <w:rPr>
          <w:rFonts w:asciiTheme="majorBidi" w:hAnsiTheme="majorBidi" w:cstheme="majorBidi"/>
          <w:szCs w:val="22"/>
        </w:rPr>
        <w:t>d</w:t>
      </w:r>
      <w:r w:rsidRPr="009D551E">
        <w:rPr>
          <w:rFonts w:asciiTheme="majorBidi" w:hAnsiTheme="majorBidi" w:cstheme="majorBidi"/>
          <w:szCs w:val="22"/>
        </w:rPr>
        <w:t xml:space="preserve"> that more species are needed to maintain ecosystem functions and services th</w:t>
      </w:r>
      <w:r w:rsidR="004E508F">
        <w:rPr>
          <w:rFonts w:asciiTheme="majorBidi" w:hAnsiTheme="majorBidi" w:cstheme="majorBidi"/>
          <w:szCs w:val="22"/>
        </w:rPr>
        <w:t>a</w:t>
      </w:r>
      <w:r w:rsidRPr="009D551E">
        <w:rPr>
          <w:rFonts w:asciiTheme="majorBidi" w:hAnsiTheme="majorBidi" w:cstheme="majorBidi"/>
          <w:szCs w:val="22"/>
        </w:rPr>
        <w:t>n ha</w:t>
      </w:r>
      <w:r w:rsidR="004E508F">
        <w:rPr>
          <w:rFonts w:asciiTheme="majorBidi" w:hAnsiTheme="majorBidi" w:cstheme="majorBidi"/>
          <w:szCs w:val="22"/>
        </w:rPr>
        <w:t>d</w:t>
      </w:r>
      <w:r w:rsidRPr="009D551E">
        <w:rPr>
          <w:rFonts w:asciiTheme="majorBidi" w:hAnsiTheme="majorBidi" w:cstheme="majorBidi"/>
          <w:szCs w:val="22"/>
        </w:rPr>
        <w:t xml:space="preserve"> previously </w:t>
      </w:r>
      <w:r w:rsidR="004E508F">
        <w:rPr>
          <w:rFonts w:asciiTheme="majorBidi" w:hAnsiTheme="majorBidi" w:cstheme="majorBidi"/>
          <w:szCs w:val="22"/>
        </w:rPr>
        <w:t xml:space="preserve">been </w:t>
      </w:r>
      <w:r w:rsidRPr="009D551E">
        <w:rPr>
          <w:rFonts w:asciiTheme="majorBidi" w:hAnsiTheme="majorBidi" w:cstheme="majorBidi"/>
          <w:szCs w:val="22"/>
        </w:rPr>
        <w:t>suggested</w:t>
      </w:r>
      <w:r w:rsidRPr="009D551E">
        <w:rPr>
          <w:rStyle w:val="FootnoteReference"/>
          <w:rFonts w:asciiTheme="majorBidi" w:hAnsiTheme="majorBidi" w:cstheme="majorBidi"/>
          <w:sz w:val="22"/>
          <w:szCs w:val="22"/>
        </w:rPr>
        <w:footnoteReference w:id="326"/>
      </w:r>
      <w:r w:rsidRPr="009D551E">
        <w:rPr>
          <w:rFonts w:asciiTheme="majorBidi" w:hAnsiTheme="majorBidi" w:cstheme="majorBidi"/>
          <w:szCs w:val="22"/>
        </w:rPr>
        <w:t xml:space="preserve">. </w:t>
      </w:r>
    </w:p>
    <w:p w:rsidR="009D551E" w:rsidRPr="009D551E" w:rsidRDefault="009D551E" w:rsidP="000408E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A further ecosystem service which has received considerable attention is pollination. Pollinators, pollination and food production was the focus of one the thematic assessments undertaken by the Intergovernmental Science-Policy Platform on Biodiversity and Ecosystem Services</w:t>
      </w:r>
      <w:r w:rsidRPr="009D551E">
        <w:rPr>
          <w:rStyle w:val="FootnoteReference"/>
          <w:rFonts w:asciiTheme="majorBidi" w:hAnsiTheme="majorBidi" w:cstheme="majorBidi"/>
          <w:sz w:val="22"/>
          <w:szCs w:val="22"/>
        </w:rPr>
        <w:footnoteReference w:id="327"/>
      </w:r>
      <w:r w:rsidRPr="009D551E">
        <w:rPr>
          <w:rFonts w:asciiTheme="majorBidi" w:hAnsiTheme="majorBidi" w:cstheme="majorBidi"/>
          <w:szCs w:val="22"/>
        </w:rPr>
        <w:t>. Among the key messages of that assessment was that between 5</w:t>
      </w:r>
      <w:r w:rsidR="00A611E3">
        <w:rPr>
          <w:rFonts w:asciiTheme="majorBidi" w:hAnsiTheme="majorBidi" w:cstheme="majorBidi"/>
          <w:szCs w:val="22"/>
        </w:rPr>
        <w:t>%</w:t>
      </w:r>
      <w:r w:rsidRPr="009D551E">
        <w:rPr>
          <w:rFonts w:asciiTheme="majorBidi" w:hAnsiTheme="majorBidi" w:cstheme="majorBidi"/>
          <w:szCs w:val="22"/>
        </w:rPr>
        <w:t xml:space="preserve"> and 8</w:t>
      </w:r>
      <w:r w:rsidR="00A611E3">
        <w:rPr>
          <w:rFonts w:asciiTheme="majorBidi" w:hAnsiTheme="majorBidi" w:cstheme="majorBidi"/>
          <w:szCs w:val="22"/>
        </w:rPr>
        <w:t>%</w:t>
      </w:r>
      <w:r w:rsidRPr="009D551E">
        <w:rPr>
          <w:rFonts w:asciiTheme="majorBidi" w:hAnsiTheme="majorBidi" w:cstheme="majorBidi"/>
          <w:szCs w:val="22"/>
        </w:rPr>
        <w:t xml:space="preserve"> of current global crop production depends on animal pollination</w:t>
      </w:r>
      <w:r w:rsidR="00A611E3">
        <w:rPr>
          <w:rFonts w:asciiTheme="majorBidi" w:hAnsiTheme="majorBidi" w:cstheme="majorBidi"/>
          <w:szCs w:val="22"/>
        </w:rPr>
        <w:t>,</w:t>
      </w:r>
      <w:r w:rsidRPr="009D551E">
        <w:rPr>
          <w:rFonts w:asciiTheme="majorBidi" w:hAnsiTheme="majorBidi" w:cstheme="majorBidi"/>
          <w:szCs w:val="22"/>
        </w:rPr>
        <w:t xml:space="preserve"> and that wild pollinators have decline</w:t>
      </w:r>
      <w:r w:rsidR="00A611E3">
        <w:rPr>
          <w:rFonts w:asciiTheme="majorBidi" w:hAnsiTheme="majorBidi" w:cstheme="majorBidi"/>
          <w:szCs w:val="22"/>
        </w:rPr>
        <w:t>d</w:t>
      </w:r>
      <w:r w:rsidRPr="009D551E">
        <w:rPr>
          <w:rFonts w:asciiTheme="majorBidi" w:hAnsiTheme="majorBidi" w:cstheme="majorBidi"/>
          <w:szCs w:val="22"/>
        </w:rPr>
        <w:t xml:space="preserve"> in occurrence and diversity at local and regional scales. Other studies have found that the diversity of pollinators and pollination services decrease with the intensification of agriculture</w:t>
      </w:r>
      <w:r w:rsidRPr="009D551E">
        <w:rPr>
          <w:rStyle w:val="StyleFootnoteReferenceNounderline"/>
          <w:rFonts w:asciiTheme="majorBidi" w:hAnsiTheme="majorBidi" w:cstheme="majorBidi"/>
          <w:sz w:val="22"/>
          <w:szCs w:val="22"/>
          <w:vertAlign w:val="superscript"/>
        </w:rPr>
        <w:footnoteReference w:id="328"/>
      </w:r>
      <w:r w:rsidRPr="009D551E">
        <w:rPr>
          <w:rFonts w:asciiTheme="majorBidi" w:hAnsiTheme="majorBidi" w:cstheme="majorBidi"/>
          <w:szCs w:val="22"/>
        </w:rPr>
        <w:t xml:space="preserve">. As two-thirds of the world’s major food crops are pollinator-dependent, </w:t>
      </w:r>
      <w:r w:rsidR="00225363">
        <w:rPr>
          <w:rFonts w:asciiTheme="majorBidi" w:hAnsiTheme="majorBidi" w:cstheme="majorBidi"/>
          <w:szCs w:val="22"/>
        </w:rPr>
        <w:t xml:space="preserve">the </w:t>
      </w:r>
      <w:r w:rsidRPr="009D551E">
        <w:rPr>
          <w:rFonts w:asciiTheme="majorBidi" w:hAnsiTheme="majorBidi" w:cstheme="majorBidi"/>
          <w:szCs w:val="22"/>
        </w:rPr>
        <w:t xml:space="preserve">intensification </w:t>
      </w:r>
      <w:r w:rsidR="00225363">
        <w:rPr>
          <w:rFonts w:asciiTheme="majorBidi" w:hAnsiTheme="majorBidi" w:cstheme="majorBidi"/>
          <w:szCs w:val="22"/>
        </w:rPr>
        <w:t xml:space="preserve">of agriculture </w:t>
      </w:r>
      <w:r w:rsidRPr="009D551E">
        <w:rPr>
          <w:rFonts w:asciiTheme="majorBidi" w:hAnsiTheme="majorBidi" w:cstheme="majorBidi"/>
          <w:szCs w:val="22"/>
        </w:rPr>
        <w:t>may lead to adverse effect on yields. Conversely</w:t>
      </w:r>
      <w:r w:rsidR="00225363">
        <w:rPr>
          <w:rFonts w:asciiTheme="majorBidi" w:hAnsiTheme="majorBidi" w:cstheme="majorBidi"/>
          <w:szCs w:val="22"/>
        </w:rPr>
        <w:t>,</w:t>
      </w:r>
      <w:r w:rsidRPr="009D551E">
        <w:rPr>
          <w:rFonts w:asciiTheme="majorBidi" w:hAnsiTheme="majorBidi" w:cstheme="majorBidi"/>
          <w:szCs w:val="22"/>
        </w:rPr>
        <w:t xml:space="preserve"> increasing wild insect pollinator richness and abundance was found to result in high and more consistent crop yields</w:t>
      </w:r>
      <w:r w:rsidRPr="009D551E">
        <w:rPr>
          <w:rStyle w:val="StyleFootnoteReferenceNounderline"/>
          <w:rFonts w:asciiTheme="majorBidi" w:hAnsiTheme="majorBidi" w:cstheme="majorBidi"/>
          <w:sz w:val="22"/>
          <w:szCs w:val="22"/>
          <w:vertAlign w:val="superscript"/>
        </w:rPr>
        <w:footnoteReference w:id="329"/>
      </w:r>
      <w:r w:rsidRPr="009D551E">
        <w:rPr>
          <w:rFonts w:asciiTheme="majorBidi" w:hAnsiTheme="majorBidi" w:cstheme="majorBidi"/>
          <w:szCs w:val="22"/>
        </w:rPr>
        <w:t>. However</w:t>
      </w:r>
      <w:r w:rsidR="00225363">
        <w:rPr>
          <w:rFonts w:asciiTheme="majorBidi" w:hAnsiTheme="majorBidi" w:cstheme="majorBidi"/>
          <w:szCs w:val="22"/>
        </w:rPr>
        <w:t>,</w:t>
      </w:r>
      <w:r w:rsidRPr="009D551E">
        <w:rPr>
          <w:rFonts w:asciiTheme="majorBidi" w:hAnsiTheme="majorBidi" w:cstheme="majorBidi"/>
          <w:szCs w:val="22"/>
        </w:rPr>
        <w:t xml:space="preserve"> a further study has shown that achieving a 50% pollination threshold in a single site requires on average 5.5 bee species but</w:t>
      </w:r>
      <w:r w:rsidR="00225363">
        <w:rPr>
          <w:rFonts w:asciiTheme="majorBidi" w:hAnsiTheme="majorBidi" w:cstheme="majorBidi"/>
          <w:szCs w:val="22"/>
        </w:rPr>
        <w:t xml:space="preserve"> that,</w:t>
      </w:r>
      <w:r w:rsidRPr="009D551E">
        <w:rPr>
          <w:rFonts w:asciiTheme="majorBidi" w:hAnsiTheme="majorBidi" w:cstheme="majorBidi"/>
          <w:szCs w:val="22"/>
        </w:rPr>
        <w:t xml:space="preserve"> </w:t>
      </w:r>
      <w:r w:rsidR="00225363" w:rsidRPr="009D551E">
        <w:rPr>
          <w:rFonts w:asciiTheme="majorBidi" w:hAnsiTheme="majorBidi" w:cstheme="majorBidi"/>
          <w:szCs w:val="22"/>
        </w:rPr>
        <w:t>over a larger region</w:t>
      </w:r>
      <w:r w:rsidR="00225363">
        <w:rPr>
          <w:rFonts w:asciiTheme="majorBidi" w:hAnsiTheme="majorBidi" w:cstheme="majorBidi"/>
          <w:szCs w:val="22"/>
        </w:rPr>
        <w:t>,</w:t>
      </w:r>
      <w:r w:rsidR="00225363" w:rsidRPr="009D551E">
        <w:rPr>
          <w:rFonts w:asciiTheme="majorBidi" w:hAnsiTheme="majorBidi" w:cstheme="majorBidi"/>
          <w:szCs w:val="22"/>
        </w:rPr>
        <w:t xml:space="preserve"> </w:t>
      </w:r>
      <w:r w:rsidRPr="009D551E">
        <w:rPr>
          <w:rFonts w:asciiTheme="majorBidi" w:hAnsiTheme="majorBidi" w:cstheme="majorBidi"/>
          <w:szCs w:val="22"/>
        </w:rPr>
        <w:t>55 species were needed. The study ultimately conclude</w:t>
      </w:r>
      <w:r w:rsidR="00225363">
        <w:rPr>
          <w:rFonts w:asciiTheme="majorBidi" w:hAnsiTheme="majorBidi" w:cstheme="majorBidi"/>
          <w:szCs w:val="22"/>
        </w:rPr>
        <w:t>d</w:t>
      </w:r>
      <w:r w:rsidRPr="009D551E">
        <w:rPr>
          <w:rFonts w:asciiTheme="majorBidi" w:hAnsiTheme="majorBidi" w:cstheme="majorBidi"/>
          <w:szCs w:val="22"/>
        </w:rPr>
        <w:t xml:space="preserve"> that providing crop pollination in natural systems must increase by an order of magnitude when compared with field experiments</w:t>
      </w:r>
      <w:r w:rsidRPr="009D551E">
        <w:rPr>
          <w:rStyle w:val="FootnoteReference"/>
          <w:rFonts w:asciiTheme="majorBidi" w:hAnsiTheme="majorBidi" w:cstheme="majorBidi"/>
          <w:sz w:val="22"/>
          <w:szCs w:val="22"/>
        </w:rPr>
        <w:footnoteReference w:id="330"/>
      </w:r>
      <w:r w:rsidRPr="009D551E">
        <w:rPr>
          <w:rFonts w:asciiTheme="majorBidi" w:hAnsiTheme="majorBidi" w:cstheme="majorBidi"/>
          <w:szCs w:val="22"/>
        </w:rPr>
        <w:t xml:space="preserve">. </w:t>
      </w:r>
    </w:p>
    <w:p w:rsidR="009D551E" w:rsidRPr="009D551E" w:rsidRDefault="009D551E" w:rsidP="000408E7">
      <w:pPr>
        <w:pStyle w:val="Para1"/>
        <w:tabs>
          <w:tab w:val="clear" w:pos="360"/>
          <w:tab w:val="num" w:pos="810"/>
        </w:tabs>
        <w:rPr>
          <w:rFonts w:asciiTheme="majorBidi" w:hAnsiTheme="majorBidi" w:cstheme="majorBidi"/>
          <w:szCs w:val="22"/>
        </w:rPr>
      </w:pPr>
      <w:r w:rsidRPr="00225363">
        <w:rPr>
          <w:rFonts w:asciiTheme="majorBidi" w:hAnsiTheme="majorBidi" w:cstheme="majorBidi"/>
          <w:szCs w:val="22"/>
        </w:rPr>
        <w:t xml:space="preserve">A number of studies have been published since the release of </w:t>
      </w:r>
      <w:r w:rsidR="00440667" w:rsidRPr="00720FA7">
        <w:rPr>
          <w:rFonts w:asciiTheme="majorBidi" w:hAnsiTheme="majorBidi" w:cstheme="majorBidi"/>
          <w:szCs w:val="22"/>
        </w:rPr>
        <w:t>GBO-4</w:t>
      </w:r>
      <w:r w:rsidRPr="009D551E">
        <w:rPr>
          <w:rFonts w:asciiTheme="majorBidi" w:hAnsiTheme="majorBidi" w:cstheme="majorBidi"/>
          <w:szCs w:val="22"/>
        </w:rPr>
        <w:t xml:space="preserve"> examining the impacts of human vulnerability and health resulting from various forms of biodiversity loss. For example</w:t>
      </w:r>
      <w:r w:rsidR="00225363">
        <w:rPr>
          <w:rFonts w:asciiTheme="majorBidi" w:hAnsiTheme="majorBidi" w:cstheme="majorBidi"/>
          <w:szCs w:val="22"/>
        </w:rPr>
        <w:t>,</w:t>
      </w:r>
      <w:r w:rsidRPr="009D551E">
        <w:rPr>
          <w:rFonts w:asciiTheme="majorBidi" w:hAnsiTheme="majorBidi" w:cstheme="majorBidi"/>
          <w:szCs w:val="22"/>
        </w:rPr>
        <w:t xml:space="preserve"> one study found that the Mediterranean Sea’s capacity to provide and supply coastal protection is declining</w:t>
      </w:r>
      <w:r w:rsidRPr="009D551E">
        <w:rPr>
          <w:rStyle w:val="StyleFootnoteReferenceNounderline"/>
          <w:rFonts w:asciiTheme="majorBidi" w:hAnsiTheme="majorBidi" w:cstheme="majorBidi"/>
          <w:sz w:val="22"/>
          <w:szCs w:val="22"/>
          <w:vertAlign w:val="superscript"/>
        </w:rPr>
        <w:footnoteReference w:id="331"/>
      </w:r>
      <w:r w:rsidRPr="009D551E">
        <w:rPr>
          <w:rFonts w:asciiTheme="majorBidi" w:hAnsiTheme="majorBidi" w:cstheme="majorBidi"/>
          <w:szCs w:val="22"/>
        </w:rPr>
        <w:t>. Similarly</w:t>
      </w:r>
      <w:r w:rsidR="00225363">
        <w:rPr>
          <w:rFonts w:asciiTheme="majorBidi" w:hAnsiTheme="majorBidi" w:cstheme="majorBidi"/>
          <w:szCs w:val="22"/>
        </w:rPr>
        <w:t>,</w:t>
      </w:r>
      <w:r w:rsidRPr="009D551E">
        <w:rPr>
          <w:rFonts w:asciiTheme="majorBidi" w:hAnsiTheme="majorBidi" w:cstheme="majorBidi"/>
          <w:szCs w:val="22"/>
        </w:rPr>
        <w:t xml:space="preserve"> in </w:t>
      </w:r>
      <w:r w:rsidR="007712D7">
        <w:rPr>
          <w:rFonts w:asciiTheme="majorBidi" w:hAnsiTheme="majorBidi" w:cstheme="majorBidi"/>
          <w:szCs w:val="22"/>
        </w:rPr>
        <w:t>s</w:t>
      </w:r>
      <w:r w:rsidRPr="009D551E">
        <w:rPr>
          <w:rFonts w:asciiTheme="majorBidi" w:hAnsiTheme="majorBidi" w:cstheme="majorBidi"/>
          <w:szCs w:val="22"/>
        </w:rPr>
        <w:t>outhern Spain</w:t>
      </w:r>
      <w:r w:rsidR="00225363">
        <w:rPr>
          <w:rFonts w:asciiTheme="majorBidi" w:hAnsiTheme="majorBidi" w:cstheme="majorBidi"/>
          <w:szCs w:val="22"/>
        </w:rPr>
        <w:t>,</w:t>
      </w:r>
      <w:r w:rsidRPr="009D551E">
        <w:rPr>
          <w:rFonts w:asciiTheme="majorBidi" w:hAnsiTheme="majorBidi" w:cstheme="majorBidi"/>
          <w:szCs w:val="22"/>
        </w:rPr>
        <w:t xml:space="preserve"> there has been an observed increase in coastal hazards, including flooding, shoreline erosion, storm surges and sea</w:t>
      </w:r>
      <w:r w:rsidR="007712D7">
        <w:rPr>
          <w:rFonts w:asciiTheme="majorBidi" w:hAnsiTheme="majorBidi" w:cstheme="majorBidi"/>
          <w:szCs w:val="22"/>
        </w:rPr>
        <w:t xml:space="preserve"> </w:t>
      </w:r>
      <w:r w:rsidRPr="009D551E">
        <w:rPr>
          <w:rFonts w:asciiTheme="majorBidi" w:hAnsiTheme="majorBidi" w:cstheme="majorBidi"/>
          <w:szCs w:val="22"/>
        </w:rPr>
        <w:t xml:space="preserve">level rise, as a result of land use change associated with urbanization and tourism. </w:t>
      </w:r>
    </w:p>
    <w:p w:rsidR="009D551E" w:rsidRPr="009D551E" w:rsidRDefault="009D551E" w:rsidP="000408E7">
      <w:pPr>
        <w:pStyle w:val="Para1"/>
        <w:tabs>
          <w:tab w:val="clear" w:pos="360"/>
          <w:tab w:val="num" w:pos="810"/>
        </w:tabs>
        <w:rPr>
          <w:rFonts w:asciiTheme="majorBidi" w:hAnsiTheme="majorBidi" w:cstheme="majorBidi"/>
          <w:szCs w:val="22"/>
        </w:rPr>
      </w:pPr>
      <w:r w:rsidRPr="00D95CE5">
        <w:rPr>
          <w:rFonts w:asciiTheme="majorBidi" w:hAnsiTheme="majorBidi" w:cstheme="majorBidi"/>
          <w:szCs w:val="22"/>
        </w:rPr>
        <w:t>With regard to human health, deforestation has been associated with a range of health issues</w:t>
      </w:r>
      <w:r w:rsidR="007712D7" w:rsidRPr="00D95CE5">
        <w:rPr>
          <w:rFonts w:asciiTheme="majorBidi" w:hAnsiTheme="majorBidi" w:cstheme="majorBidi"/>
          <w:szCs w:val="22"/>
        </w:rPr>
        <w:t>,</w:t>
      </w:r>
      <w:r w:rsidRPr="00D95CE5">
        <w:rPr>
          <w:rFonts w:asciiTheme="majorBidi" w:hAnsiTheme="majorBidi" w:cstheme="majorBidi"/>
          <w:szCs w:val="22"/>
        </w:rPr>
        <w:t xml:space="preserve"> including malaria transmission and increased microbial load in water bodies. For example</w:t>
      </w:r>
      <w:r w:rsidR="007712D7" w:rsidRPr="00D95CE5">
        <w:rPr>
          <w:rFonts w:asciiTheme="majorBidi" w:hAnsiTheme="majorBidi" w:cstheme="majorBidi"/>
          <w:szCs w:val="22"/>
        </w:rPr>
        <w:t>,</w:t>
      </w:r>
      <w:r w:rsidRPr="00D95CE5">
        <w:rPr>
          <w:rFonts w:asciiTheme="majorBidi" w:hAnsiTheme="majorBidi" w:cstheme="majorBidi"/>
          <w:szCs w:val="22"/>
        </w:rPr>
        <w:t xml:space="preserve"> an assessment</w:t>
      </w:r>
      <w:r w:rsidR="0072681F">
        <w:rPr>
          <w:rFonts w:asciiTheme="majorBidi" w:hAnsiTheme="majorBidi" w:cstheme="majorBidi"/>
          <w:szCs w:val="22"/>
        </w:rPr>
        <w:t>,</w:t>
      </w:r>
      <w:r w:rsidRPr="009D551E">
        <w:rPr>
          <w:rFonts w:asciiTheme="majorBidi" w:hAnsiTheme="majorBidi" w:cstheme="majorBidi"/>
          <w:szCs w:val="22"/>
        </w:rPr>
        <w:t xml:space="preserve"> examining the relationship between land cover and childhood diarrheal disease in 35 countries</w:t>
      </w:r>
      <w:r w:rsidR="0072681F">
        <w:rPr>
          <w:rFonts w:asciiTheme="majorBidi" w:hAnsiTheme="majorBidi" w:cstheme="majorBidi"/>
          <w:szCs w:val="22"/>
        </w:rPr>
        <w:t>,</w:t>
      </w:r>
      <w:r w:rsidRPr="009D551E">
        <w:rPr>
          <w:rFonts w:asciiTheme="majorBidi" w:hAnsiTheme="majorBidi" w:cstheme="majorBidi"/>
          <w:szCs w:val="22"/>
        </w:rPr>
        <w:t xml:space="preserve"> found that upstream tree cover was associated with a small</w:t>
      </w:r>
      <w:r w:rsidR="00E1653D">
        <w:rPr>
          <w:rFonts w:asciiTheme="majorBidi" w:hAnsiTheme="majorBidi" w:cstheme="majorBidi"/>
          <w:szCs w:val="22"/>
        </w:rPr>
        <w:t>er</w:t>
      </w:r>
      <w:r w:rsidRPr="009D551E">
        <w:rPr>
          <w:rFonts w:asciiTheme="majorBidi" w:hAnsiTheme="majorBidi" w:cstheme="majorBidi"/>
          <w:szCs w:val="22"/>
        </w:rPr>
        <w:t xml:space="preserve"> probability of diarrheal disease downstream in rural communities. Further</w:t>
      </w:r>
      <w:r w:rsidR="00D95CE5">
        <w:rPr>
          <w:rFonts w:asciiTheme="majorBidi" w:hAnsiTheme="majorBidi" w:cstheme="majorBidi"/>
          <w:szCs w:val="22"/>
        </w:rPr>
        <w:t>,</w:t>
      </w:r>
      <w:r w:rsidRPr="009D551E">
        <w:rPr>
          <w:rFonts w:asciiTheme="majorBidi" w:hAnsiTheme="majorBidi" w:cstheme="majorBidi"/>
          <w:szCs w:val="22"/>
        </w:rPr>
        <w:t xml:space="preserve"> in rural areas</w:t>
      </w:r>
      <w:r w:rsidR="00D95CE5">
        <w:rPr>
          <w:rFonts w:asciiTheme="majorBidi" w:hAnsiTheme="majorBidi" w:cstheme="majorBidi"/>
          <w:szCs w:val="22"/>
        </w:rPr>
        <w:t>,</w:t>
      </w:r>
      <w:r w:rsidRPr="009D551E">
        <w:rPr>
          <w:rFonts w:asciiTheme="majorBidi" w:hAnsiTheme="majorBidi" w:cstheme="majorBidi"/>
          <w:szCs w:val="22"/>
        </w:rPr>
        <w:t xml:space="preserve"> a 30% increase in tree</w:t>
      </w:r>
      <w:r w:rsidR="003127B3">
        <w:rPr>
          <w:rFonts w:asciiTheme="majorBidi" w:hAnsiTheme="majorBidi" w:cstheme="majorBidi"/>
          <w:szCs w:val="22"/>
        </w:rPr>
        <w:t xml:space="preserve"> </w:t>
      </w:r>
      <w:r w:rsidRPr="009D551E">
        <w:rPr>
          <w:rFonts w:asciiTheme="majorBidi" w:hAnsiTheme="majorBidi" w:cstheme="majorBidi"/>
          <w:szCs w:val="22"/>
        </w:rPr>
        <w:t xml:space="preserve">cover upstream had </w:t>
      </w:r>
      <w:r w:rsidR="003127B3">
        <w:rPr>
          <w:rFonts w:asciiTheme="majorBidi" w:hAnsiTheme="majorBidi" w:cstheme="majorBidi"/>
          <w:szCs w:val="22"/>
        </w:rPr>
        <w:t xml:space="preserve">an effect similar to improving sanitation on </w:t>
      </w:r>
      <w:r w:rsidRPr="009D551E">
        <w:rPr>
          <w:rFonts w:asciiTheme="majorBidi" w:hAnsiTheme="majorBidi" w:cstheme="majorBidi"/>
          <w:szCs w:val="22"/>
        </w:rPr>
        <w:t>the incidence of disease</w:t>
      </w:r>
      <w:r w:rsidR="003127B3">
        <w:rPr>
          <w:rFonts w:asciiTheme="majorBidi" w:hAnsiTheme="majorBidi" w:cstheme="majorBidi"/>
          <w:szCs w:val="22"/>
        </w:rPr>
        <w:t xml:space="preserve">, </w:t>
      </w:r>
      <w:r w:rsidRPr="009D551E">
        <w:rPr>
          <w:rFonts w:asciiTheme="majorBidi" w:hAnsiTheme="majorBidi" w:cstheme="majorBidi"/>
          <w:szCs w:val="22"/>
        </w:rPr>
        <w:t>suggesting that improving natural capital can be viewed as a public health investment</w:t>
      </w:r>
      <w:r w:rsidRPr="00E1653D">
        <w:rPr>
          <w:rStyle w:val="FootnoteReference"/>
          <w:rFonts w:asciiTheme="majorBidi" w:hAnsiTheme="majorBidi" w:cstheme="majorBidi"/>
          <w:sz w:val="22"/>
          <w:szCs w:val="22"/>
        </w:rPr>
        <w:footnoteReference w:id="332"/>
      </w:r>
      <w:r w:rsidRPr="009D551E">
        <w:rPr>
          <w:rFonts w:asciiTheme="majorBidi" w:hAnsiTheme="majorBidi" w:cstheme="majorBidi"/>
          <w:szCs w:val="22"/>
        </w:rPr>
        <w:t>. Further</w:t>
      </w:r>
      <w:r w:rsidR="00D95CE5">
        <w:rPr>
          <w:rFonts w:asciiTheme="majorBidi" w:hAnsiTheme="majorBidi" w:cstheme="majorBidi"/>
          <w:szCs w:val="22"/>
        </w:rPr>
        <w:t>,</w:t>
      </w:r>
      <w:r w:rsidRPr="009D551E">
        <w:rPr>
          <w:rFonts w:asciiTheme="majorBidi" w:hAnsiTheme="majorBidi" w:cstheme="majorBidi"/>
          <w:szCs w:val="22"/>
        </w:rPr>
        <w:t xml:space="preserve"> in Cambodia, an assessment found that each 10% loss in forest area was associated with an increase of about 14% in the incidence of </w:t>
      </w:r>
      <w:r w:rsidR="00E1653D" w:rsidRPr="009D551E">
        <w:rPr>
          <w:rFonts w:asciiTheme="majorBidi" w:hAnsiTheme="majorBidi" w:cstheme="majorBidi"/>
          <w:szCs w:val="22"/>
        </w:rPr>
        <w:t>diarrhoea</w:t>
      </w:r>
      <w:r w:rsidRPr="009D551E">
        <w:rPr>
          <w:rFonts w:asciiTheme="majorBidi" w:hAnsiTheme="majorBidi" w:cstheme="majorBidi"/>
          <w:szCs w:val="22"/>
        </w:rPr>
        <w:t xml:space="preserve"> in children under 5 years of age. In contra</w:t>
      </w:r>
      <w:r w:rsidR="003127B3">
        <w:rPr>
          <w:rFonts w:asciiTheme="majorBidi" w:hAnsiTheme="majorBidi" w:cstheme="majorBidi"/>
          <w:szCs w:val="22"/>
        </w:rPr>
        <w:t xml:space="preserve">st, </w:t>
      </w:r>
      <w:r w:rsidRPr="009D551E">
        <w:rPr>
          <w:rFonts w:asciiTheme="majorBidi" w:hAnsiTheme="majorBidi" w:cstheme="majorBidi"/>
          <w:szCs w:val="22"/>
        </w:rPr>
        <w:t xml:space="preserve">a 10% increase in protected area coverage was associated with a 3.5% decrease in diarrhoea </w:t>
      </w:r>
      <w:r w:rsidRPr="009D551E">
        <w:rPr>
          <w:rStyle w:val="StyleFootnoteReferenceNounderline"/>
          <w:rFonts w:asciiTheme="majorBidi" w:hAnsiTheme="majorBidi" w:cstheme="majorBidi"/>
          <w:sz w:val="22"/>
          <w:szCs w:val="22"/>
          <w:vertAlign w:val="superscript"/>
        </w:rPr>
        <w:footnoteReference w:id="333"/>
      </w:r>
      <w:r w:rsidR="003127B3">
        <w:rPr>
          <w:rFonts w:asciiTheme="majorBidi" w:hAnsiTheme="majorBidi" w:cstheme="majorBidi"/>
          <w:szCs w:val="22"/>
        </w:rPr>
        <w:t>.</w:t>
      </w:r>
      <w:r w:rsidRPr="009D551E">
        <w:rPr>
          <w:rFonts w:asciiTheme="majorBidi" w:hAnsiTheme="majorBidi" w:cstheme="majorBidi"/>
          <w:szCs w:val="22"/>
        </w:rPr>
        <w:t xml:space="preserve"> Medicinal plants, an important element of human health in some countries, ha</w:t>
      </w:r>
      <w:r w:rsidR="003127B3">
        <w:rPr>
          <w:rFonts w:asciiTheme="majorBidi" w:hAnsiTheme="majorBidi" w:cstheme="majorBidi"/>
          <w:szCs w:val="22"/>
        </w:rPr>
        <w:t>ve</w:t>
      </w:r>
      <w:r w:rsidRPr="009D551E">
        <w:rPr>
          <w:rFonts w:asciiTheme="majorBidi" w:hAnsiTheme="majorBidi" w:cstheme="majorBidi"/>
          <w:szCs w:val="22"/>
        </w:rPr>
        <w:t xml:space="preserve"> also received attention in the literature. For example</w:t>
      </w:r>
      <w:r w:rsidR="003127B3">
        <w:rPr>
          <w:rFonts w:asciiTheme="majorBidi" w:hAnsiTheme="majorBidi" w:cstheme="majorBidi"/>
          <w:szCs w:val="22"/>
        </w:rPr>
        <w:t>,</w:t>
      </w:r>
      <w:r w:rsidRPr="009D551E">
        <w:rPr>
          <w:rFonts w:asciiTheme="majorBidi" w:hAnsiTheme="majorBidi" w:cstheme="majorBidi"/>
          <w:szCs w:val="22"/>
        </w:rPr>
        <w:t xml:space="preserve"> a study of medicinal plant use in </w:t>
      </w:r>
      <w:proofErr w:type="spellStart"/>
      <w:r w:rsidRPr="009D551E">
        <w:rPr>
          <w:rFonts w:asciiTheme="majorBidi" w:hAnsiTheme="majorBidi" w:cstheme="majorBidi"/>
          <w:szCs w:val="22"/>
        </w:rPr>
        <w:t>Lingshi</w:t>
      </w:r>
      <w:proofErr w:type="spellEnd"/>
      <w:r w:rsidRPr="009D551E">
        <w:rPr>
          <w:rFonts w:asciiTheme="majorBidi" w:hAnsiTheme="majorBidi" w:cstheme="majorBidi"/>
          <w:szCs w:val="22"/>
        </w:rPr>
        <w:t>, Bhutan</w:t>
      </w:r>
      <w:r w:rsidR="003127B3">
        <w:rPr>
          <w:rFonts w:asciiTheme="majorBidi" w:hAnsiTheme="majorBidi" w:cstheme="majorBidi"/>
          <w:szCs w:val="22"/>
        </w:rPr>
        <w:t>,</w:t>
      </w:r>
      <w:r w:rsidRPr="009D551E">
        <w:rPr>
          <w:rFonts w:asciiTheme="majorBidi" w:hAnsiTheme="majorBidi" w:cstheme="majorBidi"/>
          <w:szCs w:val="22"/>
        </w:rPr>
        <w:t xml:space="preserve"> found that some </w:t>
      </w:r>
      <w:r w:rsidRPr="009D551E">
        <w:rPr>
          <w:rFonts w:asciiTheme="majorBidi" w:hAnsiTheme="majorBidi" w:cstheme="majorBidi"/>
          <w:szCs w:val="22"/>
        </w:rPr>
        <w:lastRenderedPageBreak/>
        <w:t xml:space="preserve">plant species have been highly exploited as international demand has increased. </w:t>
      </w:r>
      <w:r w:rsidR="00436FE0" w:rsidRPr="009D551E">
        <w:rPr>
          <w:rFonts w:asciiTheme="majorBidi" w:hAnsiTheme="majorBidi" w:cstheme="majorBidi"/>
          <w:szCs w:val="22"/>
        </w:rPr>
        <w:t>This</w:t>
      </w:r>
      <w:r w:rsidR="00436FE0">
        <w:rPr>
          <w:rFonts w:asciiTheme="majorBidi" w:hAnsiTheme="majorBidi" w:cstheme="majorBidi"/>
          <w:szCs w:val="22"/>
        </w:rPr>
        <w:t xml:space="preserve">, </w:t>
      </w:r>
      <w:r w:rsidRPr="009D551E">
        <w:rPr>
          <w:rFonts w:asciiTheme="majorBidi" w:hAnsiTheme="majorBidi" w:cstheme="majorBidi"/>
          <w:szCs w:val="22"/>
        </w:rPr>
        <w:t>in turn</w:t>
      </w:r>
      <w:r w:rsidR="00436FE0">
        <w:rPr>
          <w:rFonts w:asciiTheme="majorBidi" w:hAnsiTheme="majorBidi" w:cstheme="majorBidi"/>
          <w:szCs w:val="22"/>
        </w:rPr>
        <w:t>,</w:t>
      </w:r>
      <w:r w:rsidRPr="009D551E">
        <w:rPr>
          <w:rFonts w:asciiTheme="majorBidi" w:hAnsiTheme="majorBidi" w:cstheme="majorBidi"/>
          <w:szCs w:val="22"/>
        </w:rPr>
        <w:t xml:space="preserve"> has resulted in illegal harvesting practices</w:t>
      </w:r>
      <w:r w:rsidRPr="009D551E">
        <w:rPr>
          <w:rStyle w:val="StyleFootnoteReferenceNounderline"/>
          <w:rFonts w:asciiTheme="majorBidi" w:hAnsiTheme="majorBidi" w:cstheme="majorBidi"/>
          <w:sz w:val="22"/>
          <w:szCs w:val="22"/>
          <w:vertAlign w:val="superscript"/>
        </w:rPr>
        <w:footnoteReference w:id="334"/>
      </w:r>
      <w:r w:rsidRPr="009D551E">
        <w:rPr>
          <w:rFonts w:asciiTheme="majorBidi" w:hAnsiTheme="majorBidi" w:cstheme="majorBidi"/>
          <w:szCs w:val="22"/>
        </w:rPr>
        <w:t>. Similarly</w:t>
      </w:r>
      <w:r w:rsidR="0072681F">
        <w:rPr>
          <w:rFonts w:asciiTheme="majorBidi" w:hAnsiTheme="majorBidi" w:cstheme="majorBidi"/>
          <w:szCs w:val="22"/>
        </w:rPr>
        <w:t>,</w:t>
      </w:r>
      <w:r w:rsidRPr="009D551E">
        <w:rPr>
          <w:rFonts w:asciiTheme="majorBidi" w:hAnsiTheme="majorBidi" w:cstheme="majorBidi"/>
          <w:szCs w:val="22"/>
        </w:rPr>
        <w:t xml:space="preserve"> a study examining medicinal plan</w:t>
      </w:r>
      <w:r w:rsidR="00436FE0">
        <w:rPr>
          <w:rFonts w:asciiTheme="majorBidi" w:hAnsiTheme="majorBidi" w:cstheme="majorBidi"/>
          <w:szCs w:val="22"/>
        </w:rPr>
        <w:t>t</w:t>
      </w:r>
      <w:r w:rsidRPr="009D551E">
        <w:rPr>
          <w:rFonts w:asciiTheme="majorBidi" w:hAnsiTheme="majorBidi" w:cstheme="majorBidi"/>
          <w:szCs w:val="22"/>
        </w:rPr>
        <w:t xml:space="preserve">s in China estimated that 603 are threatened, 44 are critically endangered, 189 are endangered and 370 </w:t>
      </w:r>
      <w:r w:rsidR="00436FE0" w:rsidRPr="009D551E">
        <w:rPr>
          <w:rFonts w:asciiTheme="majorBidi" w:hAnsiTheme="majorBidi" w:cstheme="majorBidi"/>
          <w:szCs w:val="22"/>
        </w:rPr>
        <w:t>a</w:t>
      </w:r>
      <w:r w:rsidR="00436FE0">
        <w:rPr>
          <w:rFonts w:asciiTheme="majorBidi" w:hAnsiTheme="majorBidi" w:cstheme="majorBidi"/>
          <w:szCs w:val="22"/>
        </w:rPr>
        <w:t xml:space="preserve">re </w:t>
      </w:r>
      <w:r w:rsidRPr="009D551E">
        <w:rPr>
          <w:rFonts w:asciiTheme="majorBidi" w:hAnsiTheme="majorBidi" w:cstheme="majorBidi"/>
          <w:szCs w:val="22"/>
        </w:rPr>
        <w:t>vulnerable</w:t>
      </w:r>
      <w:r w:rsidRPr="009D551E">
        <w:rPr>
          <w:rStyle w:val="StyleFootnoteReferenceNounderline"/>
          <w:rFonts w:asciiTheme="majorBidi" w:hAnsiTheme="majorBidi" w:cstheme="majorBidi"/>
          <w:sz w:val="22"/>
          <w:szCs w:val="22"/>
          <w:vertAlign w:val="superscript"/>
        </w:rPr>
        <w:footnoteReference w:id="335"/>
      </w:r>
      <w:r w:rsidRPr="009D551E">
        <w:rPr>
          <w:rFonts w:asciiTheme="majorBidi" w:hAnsiTheme="majorBidi" w:cstheme="majorBidi"/>
          <w:szCs w:val="22"/>
        </w:rPr>
        <w:t>.  There has also been research linking the impact of human activities to microbiota and human and ecosystem health</w:t>
      </w:r>
      <w:r w:rsidRPr="009D551E">
        <w:rPr>
          <w:rStyle w:val="FootnoteReference"/>
          <w:rFonts w:asciiTheme="majorBidi" w:hAnsiTheme="majorBidi" w:cstheme="majorBidi"/>
          <w:sz w:val="22"/>
          <w:szCs w:val="22"/>
        </w:rPr>
        <w:footnoteReference w:id="336"/>
      </w:r>
      <w:r w:rsidRPr="009D551E">
        <w:rPr>
          <w:rFonts w:asciiTheme="majorBidi" w:hAnsiTheme="majorBidi" w:cstheme="majorBidi"/>
          <w:szCs w:val="22"/>
        </w:rPr>
        <w:t xml:space="preserve">. </w:t>
      </w:r>
    </w:p>
    <w:p w:rsidR="009D551E" w:rsidRPr="009D551E" w:rsidRDefault="009D551E" w:rsidP="000408E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 xml:space="preserve">Two indicators related to this target have been updated since 2014. Both indicators, the Red List Index for pollinator species and the Red List Index for species used for food and </w:t>
      </w:r>
      <w:r w:rsidR="00436FE0" w:rsidRPr="009D551E">
        <w:rPr>
          <w:rFonts w:asciiTheme="majorBidi" w:hAnsiTheme="majorBidi" w:cstheme="majorBidi"/>
          <w:szCs w:val="22"/>
        </w:rPr>
        <w:t>medicine</w:t>
      </w:r>
      <w:r w:rsidR="00436FE0">
        <w:rPr>
          <w:rFonts w:asciiTheme="majorBidi" w:hAnsiTheme="majorBidi" w:cstheme="majorBidi"/>
          <w:szCs w:val="22"/>
        </w:rPr>
        <w:t xml:space="preserve">, </w:t>
      </w:r>
      <w:r w:rsidRPr="009D551E">
        <w:rPr>
          <w:rFonts w:asciiTheme="majorBidi" w:hAnsiTheme="majorBidi" w:cstheme="majorBidi"/>
          <w:szCs w:val="22"/>
        </w:rPr>
        <w:t>show declines.</w:t>
      </w:r>
    </w:p>
    <w:p w:rsidR="009D551E" w:rsidRPr="009D551E" w:rsidRDefault="009D551E" w:rsidP="000408E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Overall</w:t>
      </w:r>
      <w:r w:rsidR="00436FE0">
        <w:rPr>
          <w:rFonts w:asciiTheme="majorBidi" w:hAnsiTheme="majorBidi" w:cstheme="majorBidi"/>
          <w:szCs w:val="22"/>
        </w:rPr>
        <w:t>,</w:t>
      </w:r>
      <w:r w:rsidRPr="009D551E">
        <w:rPr>
          <w:rFonts w:asciiTheme="majorBidi" w:hAnsiTheme="majorBidi" w:cstheme="majorBidi"/>
          <w:szCs w:val="22"/>
        </w:rPr>
        <w:t xml:space="preserve"> the information that has become available since the publication of </w:t>
      </w:r>
      <w:r w:rsidR="00436FE0">
        <w:rPr>
          <w:rFonts w:asciiTheme="majorBidi" w:hAnsiTheme="majorBidi" w:cstheme="majorBidi"/>
          <w:szCs w:val="22"/>
        </w:rPr>
        <w:t xml:space="preserve">GBO-4 </w:t>
      </w:r>
      <w:r w:rsidRPr="009D551E">
        <w:rPr>
          <w:rFonts w:asciiTheme="majorBidi" w:hAnsiTheme="majorBidi" w:cstheme="majorBidi"/>
          <w:szCs w:val="22"/>
        </w:rPr>
        <w:t>suggests that Aichi Biodiversity Target 14 is not currently on track to be reached. However</w:t>
      </w:r>
      <w:r w:rsidR="00436FE0">
        <w:rPr>
          <w:rFonts w:asciiTheme="majorBidi" w:hAnsiTheme="majorBidi" w:cstheme="majorBidi"/>
          <w:szCs w:val="22"/>
        </w:rPr>
        <w:t>,</w:t>
      </w:r>
      <w:r w:rsidRPr="009D551E">
        <w:rPr>
          <w:rFonts w:asciiTheme="majorBidi" w:hAnsiTheme="majorBidi" w:cstheme="majorBidi"/>
          <w:szCs w:val="22"/>
        </w:rPr>
        <w:t xml:space="preserve"> the amount of information remains limited, particularly with regard to cultural issues and issues associated with the needs of women and the poor and vulnerable. </w:t>
      </w:r>
      <w:r w:rsidR="0002160A">
        <w:rPr>
          <w:rFonts w:asciiTheme="majorBidi" w:hAnsiTheme="majorBidi" w:cstheme="majorBidi"/>
          <w:szCs w:val="22"/>
        </w:rPr>
        <w:t>Further, t</w:t>
      </w:r>
      <w:r w:rsidR="00436FE0" w:rsidRPr="009D551E">
        <w:rPr>
          <w:rFonts w:asciiTheme="majorBidi" w:hAnsiTheme="majorBidi" w:cstheme="majorBidi"/>
          <w:szCs w:val="22"/>
        </w:rPr>
        <w:t xml:space="preserve">he information that has become available since the publication of GBO-4 indicates that the actions </w:t>
      </w:r>
      <w:r w:rsidR="00436FE0">
        <w:rPr>
          <w:rFonts w:asciiTheme="majorBidi" w:hAnsiTheme="majorBidi" w:cstheme="majorBidi"/>
          <w:szCs w:val="22"/>
        </w:rPr>
        <w:t xml:space="preserve">identified </w:t>
      </w:r>
      <w:r w:rsidR="0002160A">
        <w:rPr>
          <w:rFonts w:asciiTheme="majorBidi" w:hAnsiTheme="majorBidi" w:cstheme="majorBidi"/>
          <w:szCs w:val="22"/>
        </w:rPr>
        <w:t>therei</w:t>
      </w:r>
      <w:r w:rsidR="00436FE0">
        <w:rPr>
          <w:rFonts w:asciiTheme="majorBidi" w:hAnsiTheme="majorBidi" w:cstheme="majorBidi"/>
          <w:szCs w:val="22"/>
        </w:rPr>
        <w:t xml:space="preserve">n to </w:t>
      </w:r>
      <w:r w:rsidRPr="009D551E">
        <w:rPr>
          <w:rFonts w:asciiTheme="majorBidi" w:hAnsiTheme="majorBidi" w:cstheme="majorBidi"/>
          <w:szCs w:val="22"/>
        </w:rPr>
        <w:t>help accelerate progress towards this Aichi Biodiversity Target</w:t>
      </w:r>
      <w:r w:rsidR="00436FE0">
        <w:rPr>
          <w:rFonts w:asciiTheme="majorBidi" w:hAnsiTheme="majorBidi" w:cstheme="majorBidi"/>
          <w:szCs w:val="22"/>
        </w:rPr>
        <w:t xml:space="preserve"> remain relevant</w:t>
      </w:r>
      <w:r w:rsidRPr="009D551E">
        <w:rPr>
          <w:rFonts w:asciiTheme="majorBidi" w:hAnsiTheme="majorBidi" w:cstheme="majorBidi"/>
          <w:szCs w:val="22"/>
        </w:rPr>
        <w:t xml:space="preserve">.  </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15:By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p w:rsidR="009D551E" w:rsidRPr="00720FA7" w:rsidRDefault="009D551E" w:rsidP="000408E7">
      <w:pPr>
        <w:pStyle w:val="Para1"/>
        <w:tabs>
          <w:tab w:val="clear" w:pos="360"/>
          <w:tab w:val="num" w:pos="810"/>
        </w:tabs>
        <w:rPr>
          <w:rFonts w:asciiTheme="majorBidi" w:hAnsiTheme="majorBidi" w:cstheme="majorBidi"/>
          <w:szCs w:val="22"/>
        </w:rPr>
      </w:pPr>
      <w:r w:rsidRPr="008053F7">
        <w:rPr>
          <w:rFonts w:asciiTheme="majorBidi" w:hAnsiTheme="majorBidi" w:cstheme="majorBidi"/>
          <w:szCs w:val="22"/>
        </w:rPr>
        <w:t>The scientific literature on restoration, carbon sequestration and ecosystem resilience published since the release of GBO-4 has addressed a range of issues. Various case studies looking at the effects and approaches to restoration activities in specific locations have been prepared</w:t>
      </w:r>
      <w:r w:rsidRPr="008053F7">
        <w:rPr>
          <w:rStyle w:val="StyleFootnoteReferenceNounderline"/>
          <w:rFonts w:asciiTheme="majorBidi" w:hAnsiTheme="majorBidi" w:cstheme="majorBidi"/>
          <w:sz w:val="22"/>
          <w:szCs w:val="22"/>
          <w:vertAlign w:val="superscript"/>
        </w:rPr>
        <w:footnoteReference w:id="337"/>
      </w:r>
      <w:r w:rsidRPr="008053F7">
        <w:rPr>
          <w:rFonts w:asciiTheme="majorBidi" w:hAnsiTheme="majorBidi" w:cstheme="majorBidi"/>
          <w:szCs w:val="22"/>
        </w:rPr>
        <w:t>. Others have further advanced the understanding of different restoration techniques</w:t>
      </w:r>
      <w:r w:rsidRPr="008053F7">
        <w:rPr>
          <w:rStyle w:val="StyleFootnoteReferenceNounderline"/>
          <w:rFonts w:asciiTheme="majorBidi" w:hAnsiTheme="majorBidi" w:cstheme="majorBidi"/>
          <w:sz w:val="22"/>
          <w:szCs w:val="22"/>
          <w:vertAlign w:val="superscript"/>
        </w:rPr>
        <w:footnoteReference w:id="338"/>
      </w:r>
      <w:r w:rsidRPr="008053F7">
        <w:rPr>
          <w:rFonts w:asciiTheme="majorBidi" w:hAnsiTheme="majorBidi" w:cstheme="majorBidi"/>
          <w:szCs w:val="22"/>
        </w:rPr>
        <w:t xml:space="preserve"> and/or the conditions under which restoration is most likely to be successful</w:t>
      </w:r>
      <w:r w:rsidRPr="008053F7">
        <w:rPr>
          <w:rStyle w:val="StyleFootnoteReferenceNounderline"/>
          <w:rFonts w:asciiTheme="majorBidi" w:hAnsiTheme="majorBidi" w:cstheme="majorBidi"/>
          <w:sz w:val="22"/>
          <w:szCs w:val="22"/>
          <w:vertAlign w:val="superscript"/>
        </w:rPr>
        <w:footnoteReference w:id="339"/>
      </w:r>
      <w:r w:rsidRPr="008053F7">
        <w:rPr>
          <w:rFonts w:asciiTheme="majorBidi" w:hAnsiTheme="majorBidi" w:cstheme="majorBidi"/>
          <w:szCs w:val="22"/>
        </w:rPr>
        <w:t>. However</w:t>
      </w:r>
      <w:r w:rsidR="0002160A" w:rsidRPr="008053F7">
        <w:rPr>
          <w:rFonts w:asciiTheme="majorBidi" w:hAnsiTheme="majorBidi" w:cstheme="majorBidi"/>
          <w:szCs w:val="22"/>
        </w:rPr>
        <w:t>,</w:t>
      </w:r>
      <w:r w:rsidRPr="008053F7">
        <w:rPr>
          <w:rFonts w:asciiTheme="majorBidi" w:hAnsiTheme="majorBidi" w:cstheme="majorBidi"/>
          <w:szCs w:val="22"/>
        </w:rPr>
        <w:t xml:space="preserve"> despite the large amount of research on this subject</w:t>
      </w:r>
      <w:r w:rsidR="0002160A" w:rsidRPr="008053F7">
        <w:rPr>
          <w:rFonts w:asciiTheme="majorBidi" w:hAnsiTheme="majorBidi" w:cstheme="majorBidi"/>
          <w:szCs w:val="22"/>
        </w:rPr>
        <w:t>,</w:t>
      </w:r>
      <w:r w:rsidRPr="008053F7">
        <w:rPr>
          <w:rFonts w:asciiTheme="majorBidi" w:hAnsiTheme="majorBidi" w:cstheme="majorBidi"/>
          <w:szCs w:val="22"/>
        </w:rPr>
        <w:t xml:space="preserve"> relatively little focuses on the glo</w:t>
      </w:r>
      <w:r w:rsidRPr="00720FA7">
        <w:rPr>
          <w:rFonts w:asciiTheme="majorBidi" w:hAnsiTheme="majorBidi" w:cstheme="majorBidi"/>
          <w:szCs w:val="22"/>
        </w:rPr>
        <w:t xml:space="preserve">bal scale. </w:t>
      </w:r>
    </w:p>
    <w:p w:rsidR="009D551E" w:rsidRPr="009D551E" w:rsidRDefault="009D551E" w:rsidP="008053F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lastRenderedPageBreak/>
        <w:t>Recent literature suggests that land degradation affects about 1.5 billion people</w:t>
      </w:r>
      <w:r w:rsidR="00D05963">
        <w:rPr>
          <w:rFonts w:asciiTheme="majorBidi" w:hAnsiTheme="majorBidi" w:cstheme="majorBidi"/>
          <w:szCs w:val="22"/>
        </w:rPr>
        <w:t xml:space="preserve">. </w:t>
      </w:r>
      <w:r w:rsidR="008053F7">
        <w:rPr>
          <w:rFonts w:asciiTheme="majorBidi" w:hAnsiTheme="majorBidi" w:cstheme="majorBidi"/>
          <w:szCs w:val="22"/>
        </w:rPr>
        <w:t xml:space="preserve">Of these </w:t>
      </w:r>
      <w:r w:rsidRPr="009D551E">
        <w:rPr>
          <w:rFonts w:asciiTheme="majorBidi" w:hAnsiTheme="majorBidi" w:cstheme="majorBidi"/>
          <w:szCs w:val="22"/>
        </w:rPr>
        <w:t>250 million people reside in drylands and about one billion people in over 100 countries are at risk</w:t>
      </w:r>
      <w:r w:rsidRPr="009D551E">
        <w:rPr>
          <w:rStyle w:val="StyleFootnoteReferenceNounderline"/>
          <w:rFonts w:asciiTheme="majorBidi" w:hAnsiTheme="majorBidi" w:cstheme="majorBidi"/>
          <w:sz w:val="22"/>
          <w:szCs w:val="22"/>
          <w:vertAlign w:val="superscript"/>
        </w:rPr>
        <w:footnoteReference w:id="340"/>
      </w:r>
      <w:r w:rsidRPr="009D551E">
        <w:rPr>
          <w:rFonts w:asciiTheme="majorBidi" w:hAnsiTheme="majorBidi" w:cstheme="majorBidi"/>
          <w:szCs w:val="22"/>
        </w:rPr>
        <w:t>.  Globally</w:t>
      </w:r>
      <w:r w:rsidR="00D05963">
        <w:rPr>
          <w:rFonts w:asciiTheme="majorBidi" w:hAnsiTheme="majorBidi" w:cstheme="majorBidi"/>
          <w:szCs w:val="22"/>
        </w:rPr>
        <w:t>,</w:t>
      </w:r>
      <w:r w:rsidRPr="009D551E">
        <w:rPr>
          <w:rFonts w:asciiTheme="majorBidi" w:hAnsiTheme="majorBidi" w:cstheme="majorBidi"/>
          <w:szCs w:val="22"/>
        </w:rPr>
        <w:t xml:space="preserve"> the main drivers of land degradation are human in origin and include wetland reclamation, construction, overexploitation of biological resources, and environmental pollution. </w:t>
      </w:r>
    </w:p>
    <w:p w:rsidR="009D551E" w:rsidRPr="009D551E" w:rsidRDefault="009D551E" w:rsidP="000408E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 xml:space="preserve">There are various estimates of the amount of degraded areas </w:t>
      </w:r>
      <w:r w:rsidR="00D05963">
        <w:rPr>
          <w:rFonts w:asciiTheme="majorBidi" w:hAnsiTheme="majorBidi" w:cstheme="majorBidi"/>
          <w:szCs w:val="22"/>
        </w:rPr>
        <w:t xml:space="preserve">that exists at the global level, </w:t>
      </w:r>
      <w:r w:rsidR="00882D67">
        <w:rPr>
          <w:rFonts w:asciiTheme="majorBidi" w:hAnsiTheme="majorBidi" w:cstheme="majorBidi"/>
          <w:szCs w:val="22"/>
        </w:rPr>
        <w:t>which i</w:t>
      </w:r>
      <w:r w:rsidRPr="009D551E">
        <w:rPr>
          <w:rFonts w:asciiTheme="majorBidi" w:hAnsiTheme="majorBidi" w:cstheme="majorBidi"/>
          <w:szCs w:val="22"/>
        </w:rPr>
        <w:t xml:space="preserve">n part </w:t>
      </w:r>
      <w:r w:rsidR="00882D67">
        <w:rPr>
          <w:rFonts w:asciiTheme="majorBidi" w:hAnsiTheme="majorBidi" w:cstheme="majorBidi"/>
          <w:szCs w:val="22"/>
        </w:rPr>
        <w:t xml:space="preserve">is due to the </w:t>
      </w:r>
      <w:r w:rsidRPr="009D551E">
        <w:rPr>
          <w:rFonts w:asciiTheme="majorBidi" w:hAnsiTheme="majorBidi" w:cstheme="majorBidi"/>
          <w:szCs w:val="22"/>
        </w:rPr>
        <w:t xml:space="preserve">different ways </w:t>
      </w:r>
      <w:r w:rsidR="00882D67">
        <w:rPr>
          <w:rFonts w:asciiTheme="majorBidi" w:hAnsiTheme="majorBidi" w:cstheme="majorBidi"/>
          <w:szCs w:val="22"/>
        </w:rPr>
        <w:t xml:space="preserve">in which </w:t>
      </w:r>
      <w:r w:rsidRPr="009D551E">
        <w:rPr>
          <w:rFonts w:asciiTheme="majorBidi" w:hAnsiTheme="majorBidi" w:cstheme="majorBidi"/>
          <w:szCs w:val="22"/>
        </w:rPr>
        <w:t>degradation has been defined. For example</w:t>
      </w:r>
      <w:r w:rsidR="00D05963">
        <w:rPr>
          <w:rFonts w:asciiTheme="majorBidi" w:hAnsiTheme="majorBidi" w:cstheme="majorBidi"/>
          <w:szCs w:val="22"/>
        </w:rPr>
        <w:t>,</w:t>
      </w:r>
      <w:r w:rsidRPr="009D551E">
        <w:rPr>
          <w:rFonts w:asciiTheme="majorBidi" w:hAnsiTheme="majorBidi" w:cstheme="majorBidi"/>
          <w:szCs w:val="22"/>
        </w:rPr>
        <w:t xml:space="preserve"> it has been estimated that two billion hectares of the world’s deforested and degraded forest lands contain opportunities for restoration</w:t>
      </w:r>
      <w:r w:rsidRPr="009D551E">
        <w:rPr>
          <w:rStyle w:val="StyleFootnoteReferenceNounderline"/>
          <w:rFonts w:asciiTheme="majorBidi" w:hAnsiTheme="majorBidi" w:cstheme="majorBidi"/>
          <w:sz w:val="22"/>
          <w:szCs w:val="22"/>
          <w:vertAlign w:val="superscript"/>
        </w:rPr>
        <w:footnoteReference w:id="341"/>
      </w:r>
      <w:r w:rsidRPr="009D551E">
        <w:rPr>
          <w:rFonts w:asciiTheme="majorBidi" w:hAnsiTheme="majorBidi" w:cstheme="majorBidi"/>
          <w:szCs w:val="22"/>
        </w:rPr>
        <w:t>. Specifically</w:t>
      </w:r>
      <w:r w:rsidR="00882D67">
        <w:rPr>
          <w:rFonts w:asciiTheme="majorBidi" w:hAnsiTheme="majorBidi" w:cstheme="majorBidi"/>
          <w:szCs w:val="22"/>
        </w:rPr>
        <w:t>,</w:t>
      </w:r>
      <w:r w:rsidRPr="009D551E">
        <w:rPr>
          <w:rFonts w:asciiTheme="majorBidi" w:hAnsiTheme="majorBidi" w:cstheme="majorBidi"/>
          <w:szCs w:val="22"/>
        </w:rPr>
        <w:t xml:space="preserve"> with regard to peatlands, a major carbon sink, approximately 15 million hectares are degraded or viable for restoration</w:t>
      </w:r>
      <w:r w:rsidRPr="009D551E">
        <w:rPr>
          <w:rStyle w:val="StyleFootnoteReferenceNounderline"/>
          <w:rFonts w:asciiTheme="majorBidi" w:hAnsiTheme="majorBidi" w:cstheme="majorBidi"/>
          <w:sz w:val="22"/>
          <w:szCs w:val="22"/>
          <w:vertAlign w:val="superscript"/>
        </w:rPr>
        <w:footnoteReference w:id="342"/>
      </w:r>
      <w:r w:rsidRPr="009D551E">
        <w:rPr>
          <w:rFonts w:asciiTheme="majorBidi" w:hAnsiTheme="majorBidi" w:cstheme="majorBidi"/>
          <w:szCs w:val="22"/>
        </w:rPr>
        <w:t xml:space="preserve">. </w:t>
      </w:r>
    </w:p>
    <w:p w:rsidR="009D551E" w:rsidRDefault="009D551E" w:rsidP="000408E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Numerous studies have documented national restoration projects, some of which are undertaking restoration activities on a significant scale</w:t>
      </w:r>
      <w:r w:rsidRPr="009D551E">
        <w:rPr>
          <w:rStyle w:val="StyleFootnoteReferenceNounderline"/>
          <w:rFonts w:asciiTheme="majorBidi" w:hAnsiTheme="majorBidi" w:cstheme="majorBidi"/>
          <w:sz w:val="22"/>
          <w:szCs w:val="22"/>
          <w:vertAlign w:val="superscript"/>
        </w:rPr>
        <w:footnoteReference w:id="343"/>
      </w:r>
      <w:r w:rsidRPr="009D551E">
        <w:rPr>
          <w:rFonts w:asciiTheme="majorBidi" w:hAnsiTheme="majorBidi" w:cstheme="majorBidi"/>
          <w:szCs w:val="22"/>
        </w:rPr>
        <w:t>. However</w:t>
      </w:r>
      <w:r w:rsidR="00882D67">
        <w:rPr>
          <w:rFonts w:asciiTheme="majorBidi" w:hAnsiTheme="majorBidi" w:cstheme="majorBidi"/>
          <w:szCs w:val="22"/>
        </w:rPr>
        <w:t>,</w:t>
      </w:r>
      <w:r w:rsidRPr="009D551E">
        <w:rPr>
          <w:rFonts w:asciiTheme="majorBidi" w:hAnsiTheme="majorBidi" w:cstheme="majorBidi"/>
          <w:szCs w:val="22"/>
        </w:rPr>
        <w:t xml:space="preserve"> since GBO-4 </w:t>
      </w:r>
      <w:r w:rsidR="002924FC">
        <w:rPr>
          <w:rFonts w:asciiTheme="majorBidi" w:hAnsiTheme="majorBidi" w:cstheme="majorBidi"/>
          <w:szCs w:val="22"/>
        </w:rPr>
        <w:t xml:space="preserve">was </w:t>
      </w:r>
      <w:r w:rsidRPr="009D551E">
        <w:rPr>
          <w:rFonts w:asciiTheme="majorBidi" w:hAnsiTheme="majorBidi" w:cstheme="majorBidi"/>
          <w:szCs w:val="22"/>
        </w:rPr>
        <w:t>published</w:t>
      </w:r>
      <w:r w:rsidR="002924FC">
        <w:rPr>
          <w:rFonts w:asciiTheme="majorBidi" w:hAnsiTheme="majorBidi" w:cstheme="majorBidi"/>
          <w:szCs w:val="22"/>
        </w:rPr>
        <w:t>,</w:t>
      </w:r>
      <w:r w:rsidRPr="009D551E">
        <w:rPr>
          <w:rFonts w:asciiTheme="majorBidi" w:hAnsiTheme="majorBidi" w:cstheme="majorBidi"/>
          <w:szCs w:val="22"/>
        </w:rPr>
        <w:t xml:space="preserve"> there has been limited new information on the scale of restoration activities </w:t>
      </w:r>
      <w:r w:rsidR="002924FC">
        <w:rPr>
          <w:rFonts w:asciiTheme="majorBidi" w:hAnsiTheme="majorBidi" w:cstheme="majorBidi"/>
          <w:szCs w:val="22"/>
        </w:rPr>
        <w:t xml:space="preserve">being undertaken at the </w:t>
      </w:r>
      <w:r w:rsidRPr="009D551E">
        <w:rPr>
          <w:rFonts w:asciiTheme="majorBidi" w:hAnsiTheme="majorBidi" w:cstheme="majorBidi"/>
          <w:szCs w:val="22"/>
        </w:rPr>
        <w:t>global</w:t>
      </w:r>
      <w:r w:rsidR="002924FC">
        <w:rPr>
          <w:rFonts w:asciiTheme="majorBidi" w:hAnsiTheme="majorBidi" w:cstheme="majorBidi"/>
          <w:szCs w:val="22"/>
        </w:rPr>
        <w:t xml:space="preserve"> level. </w:t>
      </w:r>
      <w:r w:rsidRPr="009D551E">
        <w:rPr>
          <w:rFonts w:asciiTheme="majorBidi" w:hAnsiTheme="majorBidi" w:cstheme="majorBidi"/>
          <w:szCs w:val="22"/>
        </w:rPr>
        <w:t>An exception to this is an assessment of river ecosystem</w:t>
      </w:r>
      <w:r w:rsidR="00934E89">
        <w:rPr>
          <w:rFonts w:asciiTheme="majorBidi" w:hAnsiTheme="majorBidi" w:cstheme="majorBidi"/>
          <w:szCs w:val="22"/>
        </w:rPr>
        <w:t>s</w:t>
      </w:r>
      <w:r w:rsidRPr="009D551E">
        <w:rPr>
          <w:rFonts w:asciiTheme="majorBidi" w:hAnsiTheme="majorBidi" w:cstheme="majorBidi"/>
          <w:szCs w:val="22"/>
        </w:rPr>
        <w:t xml:space="preserve"> which found that there has been an increasing trend towards the removal of dams in some countries. For example</w:t>
      </w:r>
      <w:r w:rsidR="002924FC">
        <w:rPr>
          <w:rFonts w:asciiTheme="majorBidi" w:hAnsiTheme="majorBidi" w:cstheme="majorBidi"/>
          <w:szCs w:val="22"/>
        </w:rPr>
        <w:t>,</w:t>
      </w:r>
      <w:r w:rsidRPr="009D551E">
        <w:rPr>
          <w:rFonts w:asciiTheme="majorBidi" w:hAnsiTheme="majorBidi" w:cstheme="majorBidi"/>
          <w:szCs w:val="22"/>
        </w:rPr>
        <w:t xml:space="preserve"> in the United States</w:t>
      </w:r>
      <w:r w:rsidR="002924FC">
        <w:rPr>
          <w:rFonts w:asciiTheme="majorBidi" w:hAnsiTheme="majorBidi" w:cstheme="majorBidi"/>
          <w:szCs w:val="22"/>
        </w:rPr>
        <w:t>,</w:t>
      </w:r>
      <w:r w:rsidRPr="009D551E">
        <w:rPr>
          <w:rFonts w:asciiTheme="majorBidi" w:hAnsiTheme="majorBidi" w:cstheme="majorBidi"/>
          <w:szCs w:val="22"/>
        </w:rPr>
        <w:t xml:space="preserve"> more than 1200 dams have been removed mostly within the last two decades</w:t>
      </w:r>
      <w:r w:rsidRPr="009D551E">
        <w:rPr>
          <w:rStyle w:val="StyleFootnoteReferenceNounderline"/>
          <w:rFonts w:asciiTheme="majorBidi" w:hAnsiTheme="majorBidi" w:cstheme="majorBidi"/>
          <w:sz w:val="22"/>
          <w:szCs w:val="22"/>
          <w:vertAlign w:val="superscript"/>
        </w:rPr>
        <w:footnoteReference w:id="344"/>
      </w:r>
      <w:r w:rsidRPr="009D551E">
        <w:rPr>
          <w:rFonts w:asciiTheme="majorBidi" w:hAnsiTheme="majorBidi" w:cstheme="majorBidi"/>
          <w:szCs w:val="22"/>
        </w:rPr>
        <w:t>.</w:t>
      </w:r>
      <w:r>
        <w:rPr>
          <w:rFonts w:asciiTheme="majorBidi" w:hAnsiTheme="majorBidi" w:cstheme="majorBidi"/>
          <w:szCs w:val="22"/>
        </w:rPr>
        <w:t xml:space="preserve"> </w:t>
      </w:r>
    </w:p>
    <w:p w:rsidR="009D551E" w:rsidRPr="009D551E" w:rsidRDefault="009D551E" w:rsidP="008053F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 xml:space="preserve">Various studies have provided further insight </w:t>
      </w:r>
      <w:r w:rsidR="0072763C">
        <w:rPr>
          <w:rFonts w:asciiTheme="majorBidi" w:hAnsiTheme="majorBidi" w:cstheme="majorBidi"/>
          <w:szCs w:val="22"/>
        </w:rPr>
        <w:t>in</w:t>
      </w:r>
      <w:r w:rsidRPr="009D551E">
        <w:rPr>
          <w:rFonts w:asciiTheme="majorBidi" w:hAnsiTheme="majorBidi" w:cstheme="majorBidi"/>
          <w:szCs w:val="22"/>
        </w:rPr>
        <w:t>to the benefits of restoration actions. For example</w:t>
      </w:r>
      <w:r w:rsidR="0072763C">
        <w:rPr>
          <w:rFonts w:asciiTheme="majorBidi" w:hAnsiTheme="majorBidi" w:cstheme="majorBidi"/>
          <w:szCs w:val="22"/>
        </w:rPr>
        <w:t>,</w:t>
      </w:r>
      <w:r w:rsidRPr="009D551E">
        <w:rPr>
          <w:rFonts w:asciiTheme="majorBidi" w:hAnsiTheme="majorBidi" w:cstheme="majorBidi"/>
          <w:szCs w:val="22"/>
        </w:rPr>
        <w:t xml:space="preserve"> a global meta-analysis indicated that the restoration of degraded systems enhanced overall biodiversity by 44%</w:t>
      </w:r>
      <w:r w:rsidRPr="009D551E">
        <w:rPr>
          <w:rStyle w:val="StyleFootnoteReferenceNounderline"/>
          <w:rFonts w:asciiTheme="majorBidi" w:hAnsiTheme="majorBidi" w:cstheme="majorBidi"/>
          <w:sz w:val="22"/>
          <w:szCs w:val="22"/>
          <w:vertAlign w:val="superscript"/>
        </w:rPr>
        <w:footnoteReference w:id="345"/>
      </w:r>
      <w:r w:rsidRPr="009D551E">
        <w:rPr>
          <w:rFonts w:asciiTheme="majorBidi" w:hAnsiTheme="majorBidi" w:cstheme="majorBidi"/>
          <w:szCs w:val="22"/>
        </w:rPr>
        <w:t>. Similarly</w:t>
      </w:r>
      <w:r w:rsidR="00751CCD">
        <w:rPr>
          <w:rFonts w:asciiTheme="majorBidi" w:hAnsiTheme="majorBidi" w:cstheme="majorBidi"/>
          <w:szCs w:val="22"/>
        </w:rPr>
        <w:t>,</w:t>
      </w:r>
      <w:r w:rsidRPr="009D551E">
        <w:rPr>
          <w:rFonts w:asciiTheme="majorBidi" w:hAnsiTheme="majorBidi" w:cstheme="majorBidi"/>
          <w:szCs w:val="22"/>
        </w:rPr>
        <w:t xml:space="preserve"> in forest restoration, revegetation accelerated recovery of species richness and composition</w:t>
      </w:r>
      <w:r w:rsidRPr="009D551E">
        <w:rPr>
          <w:rStyle w:val="StyleFootnoteReferenceNounderline"/>
          <w:rFonts w:asciiTheme="majorBidi" w:hAnsiTheme="majorBidi" w:cstheme="majorBidi"/>
          <w:sz w:val="22"/>
          <w:szCs w:val="22"/>
          <w:vertAlign w:val="superscript"/>
        </w:rPr>
        <w:footnoteReference w:id="346"/>
      </w:r>
      <w:r w:rsidRPr="009D551E">
        <w:rPr>
          <w:rFonts w:asciiTheme="majorBidi" w:hAnsiTheme="majorBidi" w:cstheme="majorBidi"/>
          <w:szCs w:val="22"/>
        </w:rPr>
        <w:t>.</w:t>
      </w:r>
      <w:r w:rsidR="00934E89">
        <w:rPr>
          <w:rFonts w:asciiTheme="majorBidi" w:hAnsiTheme="majorBidi" w:cstheme="majorBidi"/>
          <w:szCs w:val="22"/>
        </w:rPr>
        <w:t xml:space="preserve"> </w:t>
      </w:r>
      <w:r w:rsidRPr="009D551E">
        <w:rPr>
          <w:rFonts w:asciiTheme="majorBidi" w:hAnsiTheme="majorBidi" w:cstheme="majorBidi"/>
          <w:szCs w:val="22"/>
        </w:rPr>
        <w:t>In wetland ecosystems</w:t>
      </w:r>
      <w:r w:rsidR="00751CCD">
        <w:rPr>
          <w:rFonts w:asciiTheme="majorBidi" w:hAnsiTheme="majorBidi" w:cstheme="majorBidi"/>
          <w:szCs w:val="22"/>
        </w:rPr>
        <w:t>,</w:t>
      </w:r>
      <w:r w:rsidRPr="009D551E">
        <w:rPr>
          <w:rFonts w:asciiTheme="majorBidi" w:hAnsiTheme="majorBidi" w:cstheme="majorBidi"/>
          <w:szCs w:val="22"/>
        </w:rPr>
        <w:t xml:space="preserve"> restoration was found to enhance the diversity of vertebrates, vascular plants, and terrestrial and aquatic invertebrates, but had no significant effect on macroinvertebrate diversity</w:t>
      </w:r>
      <w:r w:rsidRPr="009D551E">
        <w:rPr>
          <w:rStyle w:val="StyleFootnoteReferenceNounderline"/>
          <w:rFonts w:asciiTheme="majorBidi" w:hAnsiTheme="majorBidi" w:cstheme="majorBidi"/>
          <w:sz w:val="22"/>
          <w:szCs w:val="22"/>
          <w:vertAlign w:val="superscript"/>
        </w:rPr>
        <w:footnoteReference w:id="347"/>
      </w:r>
      <w:r w:rsidRPr="009D551E">
        <w:rPr>
          <w:rFonts w:asciiTheme="majorBidi" w:hAnsiTheme="majorBidi" w:cstheme="majorBidi"/>
          <w:szCs w:val="22"/>
        </w:rPr>
        <w:t xml:space="preserve">. </w:t>
      </w:r>
      <w:r w:rsidR="008053F7">
        <w:rPr>
          <w:rFonts w:asciiTheme="majorBidi" w:hAnsiTheme="majorBidi" w:cstheme="majorBidi"/>
          <w:szCs w:val="22"/>
        </w:rPr>
        <w:t xml:space="preserve">In forest ecosystems </w:t>
      </w:r>
      <w:r w:rsidRPr="009D551E">
        <w:rPr>
          <w:rFonts w:asciiTheme="majorBidi" w:hAnsiTheme="majorBidi" w:cstheme="majorBidi"/>
          <w:szCs w:val="22"/>
        </w:rPr>
        <w:t>afforestation</w:t>
      </w:r>
      <w:r w:rsidR="008053F7">
        <w:rPr>
          <w:rFonts w:asciiTheme="majorBidi" w:hAnsiTheme="majorBidi" w:cstheme="majorBidi"/>
          <w:szCs w:val="22"/>
        </w:rPr>
        <w:t xml:space="preserve"> has been found to have benefits for soil health.</w:t>
      </w:r>
      <w:r w:rsidRPr="009D551E">
        <w:rPr>
          <w:rStyle w:val="StyleFootnoteReferenceNounderline"/>
          <w:rFonts w:asciiTheme="majorBidi" w:hAnsiTheme="majorBidi" w:cstheme="majorBidi"/>
          <w:sz w:val="22"/>
          <w:szCs w:val="22"/>
          <w:vertAlign w:val="superscript"/>
        </w:rPr>
        <w:footnoteReference w:id="348"/>
      </w:r>
      <w:r w:rsidRPr="009D551E">
        <w:rPr>
          <w:rFonts w:asciiTheme="majorBidi" w:hAnsiTheme="majorBidi" w:cstheme="majorBidi"/>
          <w:szCs w:val="22"/>
        </w:rPr>
        <w:t xml:space="preserve"> </w:t>
      </w:r>
      <w:r w:rsidR="008053F7">
        <w:rPr>
          <w:rFonts w:asciiTheme="majorBidi" w:hAnsiTheme="majorBidi" w:cstheme="majorBidi"/>
          <w:szCs w:val="22"/>
        </w:rPr>
        <w:t xml:space="preserve">Further </w:t>
      </w:r>
      <w:r w:rsidRPr="009D551E">
        <w:rPr>
          <w:rFonts w:asciiTheme="majorBidi" w:hAnsiTheme="majorBidi" w:cstheme="majorBidi"/>
          <w:szCs w:val="22"/>
        </w:rPr>
        <w:t>the restoration of agroecosystem</w:t>
      </w:r>
      <w:r w:rsidR="00751CCD">
        <w:rPr>
          <w:rFonts w:asciiTheme="majorBidi" w:hAnsiTheme="majorBidi" w:cstheme="majorBidi"/>
          <w:szCs w:val="22"/>
        </w:rPr>
        <w:t>s</w:t>
      </w:r>
      <w:r w:rsidRPr="009D551E">
        <w:rPr>
          <w:rFonts w:asciiTheme="majorBidi" w:hAnsiTheme="majorBidi" w:cstheme="majorBidi"/>
          <w:szCs w:val="22"/>
        </w:rPr>
        <w:t xml:space="preserve"> </w:t>
      </w:r>
      <w:r w:rsidR="008053F7">
        <w:rPr>
          <w:rFonts w:asciiTheme="majorBidi" w:hAnsiTheme="majorBidi" w:cstheme="majorBidi"/>
          <w:szCs w:val="22"/>
        </w:rPr>
        <w:t xml:space="preserve">has been found to, generally, </w:t>
      </w:r>
      <w:r w:rsidRPr="009D551E">
        <w:rPr>
          <w:rFonts w:asciiTheme="majorBidi" w:hAnsiTheme="majorBidi" w:cstheme="majorBidi"/>
          <w:szCs w:val="22"/>
        </w:rPr>
        <w:t>enhanc</w:t>
      </w:r>
      <w:r w:rsidR="008053F7">
        <w:rPr>
          <w:rFonts w:asciiTheme="majorBidi" w:hAnsiTheme="majorBidi" w:cstheme="majorBidi"/>
          <w:szCs w:val="22"/>
        </w:rPr>
        <w:t>e</w:t>
      </w:r>
      <w:r w:rsidRPr="009D551E">
        <w:rPr>
          <w:rFonts w:asciiTheme="majorBidi" w:hAnsiTheme="majorBidi" w:cstheme="majorBidi"/>
          <w:szCs w:val="22"/>
        </w:rPr>
        <w:t xml:space="preserve"> biodiversity and the supply of ecosystem services other than agricultural production</w:t>
      </w:r>
      <w:r w:rsidRPr="009D551E">
        <w:rPr>
          <w:rStyle w:val="StyleFootnoteReferenceNounderline"/>
          <w:rFonts w:asciiTheme="majorBidi" w:hAnsiTheme="majorBidi" w:cstheme="majorBidi"/>
          <w:sz w:val="22"/>
          <w:szCs w:val="22"/>
          <w:vertAlign w:val="superscript"/>
        </w:rPr>
        <w:footnoteReference w:id="349"/>
      </w:r>
      <w:r w:rsidRPr="009D551E">
        <w:rPr>
          <w:rFonts w:asciiTheme="majorBidi" w:hAnsiTheme="majorBidi" w:cstheme="majorBidi"/>
          <w:szCs w:val="22"/>
        </w:rPr>
        <w:t>.</w:t>
      </w:r>
    </w:p>
    <w:p w:rsidR="009D551E" w:rsidRPr="009D551E" w:rsidRDefault="009D551E" w:rsidP="000408E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The benefits of natural restoration ha</w:t>
      </w:r>
      <w:r w:rsidR="00751CCD">
        <w:rPr>
          <w:rFonts w:asciiTheme="majorBidi" w:hAnsiTheme="majorBidi" w:cstheme="majorBidi"/>
          <w:szCs w:val="22"/>
        </w:rPr>
        <w:t>ve</w:t>
      </w:r>
      <w:r w:rsidRPr="009D551E">
        <w:rPr>
          <w:rFonts w:asciiTheme="majorBidi" w:hAnsiTheme="majorBidi" w:cstheme="majorBidi"/>
          <w:szCs w:val="22"/>
        </w:rPr>
        <w:t xml:space="preserve"> also been explored in recent scientific literature. For example</w:t>
      </w:r>
      <w:r w:rsidR="00751CCD">
        <w:rPr>
          <w:rFonts w:asciiTheme="majorBidi" w:hAnsiTheme="majorBidi" w:cstheme="majorBidi"/>
          <w:szCs w:val="22"/>
        </w:rPr>
        <w:t>,</w:t>
      </w:r>
      <w:r w:rsidRPr="009D551E">
        <w:rPr>
          <w:rFonts w:asciiTheme="majorBidi" w:hAnsiTheme="majorBidi" w:cstheme="majorBidi"/>
          <w:szCs w:val="22"/>
        </w:rPr>
        <w:t xml:space="preserve"> an assessment of above</w:t>
      </w:r>
      <w:r w:rsidR="00751CCD">
        <w:rPr>
          <w:rFonts w:asciiTheme="majorBidi" w:hAnsiTheme="majorBidi" w:cstheme="majorBidi"/>
          <w:szCs w:val="22"/>
        </w:rPr>
        <w:t>-</w:t>
      </w:r>
      <w:r w:rsidRPr="009D551E">
        <w:rPr>
          <w:rFonts w:asciiTheme="majorBidi" w:hAnsiTheme="majorBidi" w:cstheme="majorBidi"/>
          <w:szCs w:val="22"/>
        </w:rPr>
        <w:t xml:space="preserve">ground biomass in 45 forest sites in the </w:t>
      </w:r>
      <w:proofErr w:type="spellStart"/>
      <w:r w:rsidRPr="009D551E">
        <w:rPr>
          <w:rFonts w:asciiTheme="majorBidi" w:hAnsiTheme="majorBidi" w:cstheme="majorBidi"/>
          <w:szCs w:val="22"/>
        </w:rPr>
        <w:t>neotropics</w:t>
      </w:r>
      <w:proofErr w:type="spellEnd"/>
      <w:r w:rsidRPr="009D551E">
        <w:rPr>
          <w:rFonts w:asciiTheme="majorBidi" w:hAnsiTheme="majorBidi" w:cstheme="majorBidi"/>
          <w:szCs w:val="22"/>
        </w:rPr>
        <w:t xml:space="preserve"> found that secondary forests are highly productive and resilient. They were also found to act as carbon sinks and increased water </w:t>
      </w:r>
      <w:r w:rsidRPr="009D551E">
        <w:rPr>
          <w:rFonts w:asciiTheme="majorBidi" w:hAnsiTheme="majorBidi" w:cstheme="majorBidi"/>
          <w:szCs w:val="22"/>
        </w:rPr>
        <w:lastRenderedPageBreak/>
        <w:t>availability</w:t>
      </w:r>
      <w:r w:rsidRPr="009D551E">
        <w:rPr>
          <w:rStyle w:val="FootnoteReference"/>
          <w:rFonts w:asciiTheme="majorBidi" w:hAnsiTheme="majorBidi" w:cstheme="majorBidi"/>
          <w:sz w:val="22"/>
          <w:szCs w:val="22"/>
        </w:rPr>
        <w:footnoteReference w:id="350"/>
      </w:r>
      <w:r w:rsidRPr="009D551E">
        <w:rPr>
          <w:rFonts w:asciiTheme="majorBidi" w:hAnsiTheme="majorBidi" w:cstheme="majorBidi"/>
          <w:szCs w:val="22"/>
        </w:rPr>
        <w:t>. A similar study concluded that secondary forests in the Latin America</w:t>
      </w:r>
      <w:r w:rsidR="00751CCD">
        <w:rPr>
          <w:rFonts w:asciiTheme="majorBidi" w:hAnsiTheme="majorBidi" w:cstheme="majorBidi"/>
          <w:szCs w:val="22"/>
        </w:rPr>
        <w:t>n</w:t>
      </w:r>
      <w:r w:rsidRPr="009D551E">
        <w:rPr>
          <w:rFonts w:asciiTheme="majorBidi" w:hAnsiTheme="majorBidi" w:cstheme="majorBidi"/>
          <w:szCs w:val="22"/>
        </w:rPr>
        <w:t xml:space="preserve"> Tropics, over a 40 year period, either through natural regeneration or assisted regeneration, could sequester an amount of carbon equal to that generated from fossil fuel use and industrial processes throughout Latin America between 1993 and 2014</w:t>
      </w:r>
      <w:r w:rsidRPr="009D551E">
        <w:rPr>
          <w:rStyle w:val="FootnoteReference"/>
          <w:rFonts w:asciiTheme="majorBidi" w:hAnsiTheme="majorBidi" w:cstheme="majorBidi"/>
          <w:sz w:val="22"/>
          <w:szCs w:val="22"/>
        </w:rPr>
        <w:footnoteReference w:id="351"/>
      </w:r>
      <w:r w:rsidRPr="009D551E">
        <w:rPr>
          <w:rFonts w:asciiTheme="majorBidi" w:hAnsiTheme="majorBidi" w:cstheme="majorBidi"/>
          <w:szCs w:val="22"/>
        </w:rPr>
        <w:t>. However</w:t>
      </w:r>
      <w:r w:rsidR="00751CCD">
        <w:rPr>
          <w:rFonts w:asciiTheme="majorBidi" w:hAnsiTheme="majorBidi" w:cstheme="majorBidi"/>
          <w:szCs w:val="22"/>
        </w:rPr>
        <w:t>,</w:t>
      </w:r>
      <w:r w:rsidRPr="009D551E">
        <w:rPr>
          <w:rFonts w:asciiTheme="majorBidi" w:hAnsiTheme="majorBidi" w:cstheme="majorBidi"/>
          <w:szCs w:val="22"/>
        </w:rPr>
        <w:t xml:space="preserve"> another study, based on twelve years of satellite data, suggests that tropical forests are a net source of carbon as a result of deforestation</w:t>
      </w:r>
      <w:r w:rsidR="00934E89">
        <w:rPr>
          <w:rFonts w:asciiTheme="majorBidi" w:hAnsiTheme="majorBidi" w:cstheme="majorBidi"/>
          <w:szCs w:val="22"/>
        </w:rPr>
        <w:t>,</w:t>
      </w:r>
      <w:r w:rsidRPr="009D551E">
        <w:rPr>
          <w:rFonts w:asciiTheme="majorBidi" w:hAnsiTheme="majorBidi" w:cstheme="majorBidi"/>
          <w:szCs w:val="22"/>
        </w:rPr>
        <w:t xml:space="preserve"> forest degradation and disturbance</w:t>
      </w:r>
      <w:r w:rsidRPr="009D551E">
        <w:rPr>
          <w:rStyle w:val="FootnoteReference"/>
          <w:rFonts w:asciiTheme="majorBidi" w:hAnsiTheme="majorBidi" w:cstheme="majorBidi"/>
          <w:sz w:val="22"/>
          <w:szCs w:val="22"/>
        </w:rPr>
        <w:footnoteReference w:id="352"/>
      </w:r>
      <w:r w:rsidRPr="009D551E">
        <w:rPr>
          <w:rFonts w:asciiTheme="majorBidi" w:hAnsiTheme="majorBidi" w:cstheme="majorBidi"/>
          <w:szCs w:val="22"/>
        </w:rPr>
        <w:t xml:space="preserve">. </w:t>
      </w:r>
      <w:r w:rsidR="00440667" w:rsidRPr="00720FA7">
        <w:rPr>
          <w:rFonts w:asciiTheme="majorBidi" w:hAnsiTheme="majorBidi" w:cstheme="majorBidi"/>
          <w:szCs w:val="22"/>
        </w:rPr>
        <w:t>Further, an analysis of 400 studies, examining the recovery of ecosystems following disturbances, concluded that restored ecosystems rarely fully recover and that active restoration, when compared to simply ending the disturbance causing the degradation, did not result in more rapid or more complete recovery.</w:t>
      </w:r>
      <w:r w:rsidRPr="009D551E">
        <w:rPr>
          <w:rFonts w:asciiTheme="majorBidi" w:hAnsiTheme="majorBidi" w:cstheme="majorBidi"/>
          <w:szCs w:val="22"/>
        </w:rPr>
        <w:t xml:space="preserve"> These results suggest that the passive recovery of ecosystems should be considered as a first option for restoration</w:t>
      </w:r>
      <w:r w:rsidR="00B51370">
        <w:rPr>
          <w:rFonts w:asciiTheme="majorBidi" w:hAnsiTheme="majorBidi" w:cstheme="majorBidi"/>
          <w:szCs w:val="22"/>
        </w:rPr>
        <w:t>,</w:t>
      </w:r>
      <w:r w:rsidRPr="009D551E">
        <w:rPr>
          <w:rFonts w:asciiTheme="majorBidi" w:hAnsiTheme="majorBidi" w:cstheme="majorBidi"/>
          <w:szCs w:val="22"/>
        </w:rPr>
        <w:t xml:space="preserve"> and that more active restoration should be used to overcome specific obstacles. However</w:t>
      </w:r>
      <w:r w:rsidR="006C42B6">
        <w:rPr>
          <w:rFonts w:asciiTheme="majorBidi" w:hAnsiTheme="majorBidi" w:cstheme="majorBidi"/>
          <w:szCs w:val="22"/>
        </w:rPr>
        <w:t>,</w:t>
      </w:r>
      <w:r w:rsidRPr="009D551E">
        <w:rPr>
          <w:rFonts w:asciiTheme="majorBidi" w:hAnsiTheme="majorBidi" w:cstheme="majorBidi"/>
          <w:szCs w:val="22"/>
        </w:rPr>
        <w:t xml:space="preserve"> the authors of this study </w:t>
      </w:r>
      <w:r w:rsidR="00253572">
        <w:rPr>
          <w:rFonts w:asciiTheme="majorBidi" w:hAnsiTheme="majorBidi" w:cstheme="majorBidi"/>
          <w:szCs w:val="22"/>
        </w:rPr>
        <w:t xml:space="preserve">also </w:t>
      </w:r>
      <w:r w:rsidRPr="009D551E">
        <w:rPr>
          <w:rFonts w:asciiTheme="majorBidi" w:hAnsiTheme="majorBidi" w:cstheme="majorBidi"/>
          <w:szCs w:val="22"/>
        </w:rPr>
        <w:t>note that these results need to be interpreted with caution</w:t>
      </w:r>
      <w:r w:rsidR="00253572">
        <w:rPr>
          <w:rFonts w:asciiTheme="majorBidi" w:hAnsiTheme="majorBidi" w:cstheme="majorBidi"/>
          <w:szCs w:val="22"/>
        </w:rPr>
        <w:t>,</w:t>
      </w:r>
      <w:r w:rsidRPr="009D551E">
        <w:rPr>
          <w:rFonts w:asciiTheme="majorBidi" w:hAnsiTheme="majorBidi" w:cstheme="majorBidi"/>
          <w:szCs w:val="22"/>
        </w:rPr>
        <w:t xml:space="preserve"> as few studies directly compared different restoration actions in similar locations and with similar disturbances</w:t>
      </w:r>
      <w:r w:rsidR="00D473F9">
        <w:rPr>
          <w:rFonts w:asciiTheme="majorBidi" w:hAnsiTheme="majorBidi" w:cstheme="majorBidi"/>
          <w:szCs w:val="22"/>
        </w:rPr>
        <w:t>.</w:t>
      </w:r>
      <w:r w:rsidRPr="00934E89">
        <w:rPr>
          <w:rStyle w:val="FootnoteReference"/>
          <w:rFonts w:asciiTheme="majorBidi" w:hAnsiTheme="majorBidi" w:cstheme="majorBidi"/>
          <w:sz w:val="22"/>
          <w:szCs w:val="22"/>
        </w:rPr>
        <w:footnoteReference w:id="353"/>
      </w:r>
    </w:p>
    <w:p w:rsidR="009D551E" w:rsidRPr="009D551E" w:rsidRDefault="00440667" w:rsidP="000408E7">
      <w:pPr>
        <w:pStyle w:val="Para1"/>
        <w:tabs>
          <w:tab w:val="clear" w:pos="360"/>
          <w:tab w:val="num" w:pos="810"/>
        </w:tabs>
        <w:rPr>
          <w:rFonts w:asciiTheme="majorBidi" w:hAnsiTheme="majorBidi" w:cstheme="majorBidi"/>
          <w:szCs w:val="22"/>
        </w:rPr>
      </w:pPr>
      <w:r w:rsidRPr="00720FA7">
        <w:rPr>
          <w:rFonts w:asciiTheme="majorBidi" w:hAnsiTheme="majorBidi" w:cstheme="majorBidi"/>
          <w:szCs w:val="22"/>
        </w:rPr>
        <w:t>Restoration has also been identified as a potential natural solution to climate change. For</w:t>
      </w:r>
      <w:r w:rsidR="009D551E" w:rsidRPr="009D551E">
        <w:rPr>
          <w:rFonts w:asciiTheme="majorBidi" w:hAnsiTheme="majorBidi" w:cstheme="majorBidi"/>
          <w:szCs w:val="22"/>
        </w:rPr>
        <w:t xml:space="preserve"> example</w:t>
      </w:r>
      <w:r w:rsidR="00253572">
        <w:rPr>
          <w:rFonts w:asciiTheme="majorBidi" w:hAnsiTheme="majorBidi" w:cstheme="majorBidi"/>
          <w:szCs w:val="22"/>
        </w:rPr>
        <w:t xml:space="preserve">, </w:t>
      </w:r>
      <w:r w:rsidR="009D551E" w:rsidRPr="009D551E">
        <w:rPr>
          <w:rFonts w:asciiTheme="majorBidi" w:hAnsiTheme="majorBidi" w:cstheme="majorBidi"/>
          <w:szCs w:val="22"/>
        </w:rPr>
        <w:t xml:space="preserve">a study found that a combination of 20 conservation, restoration and improved land management actions could increase carbon storage and/or prevent greenhouse gas emissions. These solutions could account </w:t>
      </w:r>
      <w:r w:rsidR="00074E7C">
        <w:rPr>
          <w:rFonts w:asciiTheme="majorBidi" w:hAnsiTheme="majorBidi" w:cstheme="majorBidi"/>
          <w:szCs w:val="22"/>
        </w:rPr>
        <w:t xml:space="preserve">for </w:t>
      </w:r>
      <w:r w:rsidR="009D551E" w:rsidRPr="009D551E">
        <w:rPr>
          <w:rFonts w:asciiTheme="majorBidi" w:hAnsiTheme="majorBidi" w:cstheme="majorBidi"/>
          <w:szCs w:val="22"/>
        </w:rPr>
        <w:t>37% of the carbon dioxide mitigation needed</w:t>
      </w:r>
      <w:r w:rsidR="00051466">
        <w:rPr>
          <w:rFonts w:asciiTheme="majorBidi" w:hAnsiTheme="majorBidi" w:cstheme="majorBidi"/>
          <w:szCs w:val="22"/>
        </w:rPr>
        <w:t>,</w:t>
      </w:r>
      <w:r w:rsidR="009D551E" w:rsidRPr="009D551E">
        <w:rPr>
          <w:rFonts w:asciiTheme="majorBidi" w:hAnsiTheme="majorBidi" w:cstheme="majorBidi"/>
          <w:szCs w:val="22"/>
        </w:rPr>
        <w:t xml:space="preserve"> between now and 2030</w:t>
      </w:r>
      <w:r w:rsidR="00051466">
        <w:rPr>
          <w:rFonts w:asciiTheme="majorBidi" w:hAnsiTheme="majorBidi" w:cstheme="majorBidi"/>
          <w:szCs w:val="22"/>
        </w:rPr>
        <w:t>,</w:t>
      </w:r>
      <w:r w:rsidR="009D551E" w:rsidRPr="009D551E">
        <w:rPr>
          <w:rFonts w:asciiTheme="majorBidi" w:hAnsiTheme="majorBidi" w:cstheme="majorBidi"/>
          <w:szCs w:val="22"/>
        </w:rPr>
        <w:t xml:space="preserve"> </w:t>
      </w:r>
      <w:r w:rsidR="009D551E" w:rsidRPr="00051466">
        <w:rPr>
          <w:rFonts w:asciiTheme="majorBidi" w:hAnsiTheme="majorBidi" w:cstheme="majorBidi"/>
          <w:szCs w:val="22"/>
        </w:rPr>
        <w:t xml:space="preserve">to have </w:t>
      </w:r>
      <w:r w:rsidR="00074E7C" w:rsidRPr="00051466">
        <w:rPr>
          <w:rFonts w:asciiTheme="majorBidi" w:hAnsiTheme="majorBidi" w:cstheme="majorBidi"/>
          <w:szCs w:val="22"/>
        </w:rPr>
        <w:t xml:space="preserve">more than a </w:t>
      </w:r>
      <w:r w:rsidR="009D551E" w:rsidRPr="00051466">
        <w:rPr>
          <w:rFonts w:asciiTheme="majorBidi" w:hAnsiTheme="majorBidi" w:cstheme="majorBidi"/>
          <w:szCs w:val="22"/>
        </w:rPr>
        <w:t>66% chan</w:t>
      </w:r>
      <w:r w:rsidR="00074E7C" w:rsidRPr="00051466">
        <w:rPr>
          <w:rFonts w:asciiTheme="majorBidi" w:hAnsiTheme="majorBidi" w:cstheme="majorBidi"/>
          <w:szCs w:val="22"/>
        </w:rPr>
        <w:t>ce</w:t>
      </w:r>
      <w:r w:rsidR="009D551E" w:rsidRPr="00051466">
        <w:rPr>
          <w:rFonts w:asciiTheme="majorBidi" w:hAnsiTheme="majorBidi" w:cstheme="majorBidi"/>
          <w:szCs w:val="22"/>
        </w:rPr>
        <w:t xml:space="preserve"> of keeping warming below two degrees Celsius. The study also concludes that</w:t>
      </w:r>
      <w:r w:rsidR="009D551E" w:rsidRPr="009D551E">
        <w:rPr>
          <w:rFonts w:asciiTheme="majorBidi" w:hAnsiTheme="majorBidi" w:cstheme="majorBidi"/>
          <w:szCs w:val="22"/>
        </w:rPr>
        <w:t xml:space="preserve"> these actions would have additional benefits</w:t>
      </w:r>
      <w:r w:rsidR="00051466">
        <w:rPr>
          <w:rFonts w:asciiTheme="majorBidi" w:hAnsiTheme="majorBidi" w:cstheme="majorBidi"/>
          <w:szCs w:val="22"/>
        </w:rPr>
        <w:t>,</w:t>
      </w:r>
      <w:r w:rsidR="009D551E" w:rsidRPr="009D551E">
        <w:rPr>
          <w:rFonts w:asciiTheme="majorBidi" w:hAnsiTheme="majorBidi" w:cstheme="majorBidi"/>
          <w:szCs w:val="22"/>
        </w:rPr>
        <w:t xml:space="preserve"> including improved soil health, increased habitat, better water filtration and flood buffering and enhanced resilience</w:t>
      </w:r>
      <w:r w:rsidR="00D473F9">
        <w:rPr>
          <w:rFonts w:asciiTheme="majorBidi" w:hAnsiTheme="majorBidi" w:cstheme="majorBidi"/>
          <w:szCs w:val="22"/>
        </w:rPr>
        <w:t>.</w:t>
      </w:r>
      <w:r w:rsidR="009D551E" w:rsidRPr="009D551E">
        <w:rPr>
          <w:rStyle w:val="FootnoteReference"/>
          <w:rFonts w:asciiTheme="majorBidi" w:hAnsiTheme="majorBidi" w:cstheme="majorBidi"/>
          <w:sz w:val="22"/>
          <w:szCs w:val="22"/>
        </w:rPr>
        <w:footnoteReference w:id="354"/>
      </w:r>
      <w:r w:rsidR="009D551E" w:rsidRPr="009D551E">
        <w:rPr>
          <w:rFonts w:asciiTheme="majorBidi" w:hAnsiTheme="majorBidi" w:cstheme="majorBidi"/>
          <w:szCs w:val="22"/>
        </w:rPr>
        <w:t xml:space="preserve"> </w:t>
      </w:r>
    </w:p>
    <w:p w:rsidR="009D551E" w:rsidRPr="009D551E" w:rsidRDefault="009D551E" w:rsidP="000408E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The cost of ecosystem restoration vary with the habitat and technique employed. It has been estimated that the cost of wetland restoration ranged from $6</w:t>
      </w:r>
      <w:r w:rsidR="00934E89">
        <w:rPr>
          <w:rFonts w:asciiTheme="majorBidi" w:hAnsiTheme="majorBidi" w:cstheme="majorBidi"/>
          <w:szCs w:val="22"/>
        </w:rPr>
        <w:t>,</w:t>
      </w:r>
      <w:r w:rsidRPr="009D551E">
        <w:rPr>
          <w:rFonts w:asciiTheme="majorBidi" w:hAnsiTheme="majorBidi" w:cstheme="majorBidi"/>
          <w:szCs w:val="22"/>
        </w:rPr>
        <w:t>177 (2013 US dollars) per hectare to</w:t>
      </w:r>
      <w:r w:rsidR="00AF2EE7">
        <w:rPr>
          <w:rFonts w:asciiTheme="majorBidi" w:hAnsiTheme="majorBidi" w:cstheme="majorBidi"/>
          <w:szCs w:val="22"/>
        </w:rPr>
        <w:br w:type="textWrapping" w:clear="all"/>
      </w:r>
      <w:r w:rsidRPr="009D551E">
        <w:rPr>
          <w:rFonts w:asciiTheme="majorBidi" w:hAnsiTheme="majorBidi" w:cstheme="majorBidi"/>
          <w:szCs w:val="22"/>
        </w:rPr>
        <w:t>$160</w:t>
      </w:r>
      <w:r w:rsidR="00AF2EE7">
        <w:rPr>
          <w:rFonts w:asciiTheme="majorBidi" w:hAnsiTheme="majorBidi" w:cstheme="majorBidi"/>
          <w:szCs w:val="22"/>
        </w:rPr>
        <w:t>,</w:t>
      </w:r>
      <w:r w:rsidRPr="009D551E">
        <w:rPr>
          <w:rFonts w:asciiTheme="majorBidi" w:hAnsiTheme="majorBidi" w:cstheme="majorBidi"/>
          <w:szCs w:val="22"/>
        </w:rPr>
        <w:t>618 per h</w:t>
      </w:r>
      <w:r w:rsidR="00051466">
        <w:rPr>
          <w:rFonts w:asciiTheme="majorBidi" w:hAnsiTheme="majorBidi" w:cstheme="majorBidi"/>
          <w:szCs w:val="22"/>
        </w:rPr>
        <w:t>ect</w:t>
      </w:r>
      <w:r w:rsidRPr="009D551E">
        <w:rPr>
          <w:rFonts w:asciiTheme="majorBidi" w:hAnsiTheme="majorBidi" w:cstheme="majorBidi"/>
          <w:szCs w:val="22"/>
        </w:rPr>
        <w:t>a</w:t>
      </w:r>
      <w:r w:rsidR="00051466">
        <w:rPr>
          <w:rFonts w:asciiTheme="majorBidi" w:hAnsiTheme="majorBidi" w:cstheme="majorBidi"/>
          <w:szCs w:val="22"/>
        </w:rPr>
        <w:t>re</w:t>
      </w:r>
      <w:r w:rsidRPr="009D551E">
        <w:rPr>
          <w:rStyle w:val="StyleFootnoteReferenceNounderline"/>
          <w:rFonts w:asciiTheme="majorBidi" w:hAnsiTheme="majorBidi" w:cstheme="majorBidi"/>
          <w:sz w:val="22"/>
          <w:szCs w:val="22"/>
          <w:vertAlign w:val="superscript"/>
        </w:rPr>
        <w:footnoteReference w:id="355"/>
      </w:r>
      <w:r w:rsidRPr="009D551E">
        <w:rPr>
          <w:rFonts w:asciiTheme="majorBidi" w:hAnsiTheme="majorBidi" w:cstheme="majorBidi"/>
          <w:szCs w:val="22"/>
        </w:rPr>
        <w:t>. Similarly</w:t>
      </w:r>
      <w:r w:rsidR="00051466">
        <w:rPr>
          <w:rFonts w:asciiTheme="majorBidi" w:hAnsiTheme="majorBidi" w:cstheme="majorBidi"/>
          <w:szCs w:val="22"/>
        </w:rPr>
        <w:t>,</w:t>
      </w:r>
      <w:r w:rsidRPr="009D551E">
        <w:rPr>
          <w:rFonts w:asciiTheme="majorBidi" w:hAnsiTheme="majorBidi" w:cstheme="majorBidi"/>
          <w:szCs w:val="22"/>
        </w:rPr>
        <w:t xml:space="preserve"> </w:t>
      </w:r>
      <w:r w:rsidR="00934E89">
        <w:rPr>
          <w:rFonts w:asciiTheme="majorBidi" w:hAnsiTheme="majorBidi" w:cstheme="majorBidi"/>
          <w:szCs w:val="22"/>
        </w:rPr>
        <w:t xml:space="preserve">a </w:t>
      </w:r>
      <w:r w:rsidRPr="009D551E">
        <w:rPr>
          <w:rFonts w:asciiTheme="majorBidi" w:hAnsiTheme="majorBidi" w:cstheme="majorBidi"/>
          <w:color w:val="333333"/>
          <w:szCs w:val="22"/>
          <w:shd w:val="clear" w:color="auto" w:fill="FFFFFF"/>
        </w:rPr>
        <w:t>synthesis of 235 studies of coral reef, seagrass, mangrove, saltmarsh and oyster reef restoration projects from around the world found that the median and average costs of restoring one hectare of marine coastal habitat w</w:t>
      </w:r>
      <w:r w:rsidR="00051466">
        <w:rPr>
          <w:rFonts w:asciiTheme="majorBidi" w:hAnsiTheme="majorBidi" w:cstheme="majorBidi"/>
          <w:color w:val="333333"/>
          <w:szCs w:val="22"/>
          <w:shd w:val="clear" w:color="auto" w:fill="FFFFFF"/>
        </w:rPr>
        <w:t>ere</w:t>
      </w:r>
      <w:r w:rsidRPr="009D551E">
        <w:rPr>
          <w:rFonts w:asciiTheme="majorBidi" w:hAnsiTheme="majorBidi" w:cstheme="majorBidi"/>
          <w:color w:val="333333"/>
          <w:szCs w:val="22"/>
          <w:shd w:val="clear" w:color="auto" w:fill="FFFFFF"/>
        </w:rPr>
        <w:t xml:space="preserve"> between US$ 80,000 and US$ 1</w:t>
      </w:r>
      <w:r w:rsidR="00934E89">
        <w:rPr>
          <w:rFonts w:asciiTheme="majorBidi" w:hAnsiTheme="majorBidi" w:cstheme="majorBidi"/>
          <w:color w:val="333333"/>
          <w:szCs w:val="22"/>
          <w:shd w:val="clear" w:color="auto" w:fill="FFFFFF"/>
        </w:rPr>
        <w:t>,</w:t>
      </w:r>
      <w:r w:rsidRPr="009D551E">
        <w:rPr>
          <w:rFonts w:asciiTheme="majorBidi" w:hAnsiTheme="majorBidi" w:cstheme="majorBidi"/>
          <w:color w:val="333333"/>
          <w:szCs w:val="22"/>
          <w:shd w:val="clear" w:color="auto" w:fill="FFFFFF"/>
        </w:rPr>
        <w:t>600</w:t>
      </w:r>
      <w:r w:rsidR="00934E89">
        <w:rPr>
          <w:rFonts w:asciiTheme="majorBidi" w:hAnsiTheme="majorBidi" w:cstheme="majorBidi"/>
          <w:color w:val="333333"/>
          <w:szCs w:val="22"/>
          <w:shd w:val="clear" w:color="auto" w:fill="FFFFFF"/>
        </w:rPr>
        <w:t>,</w:t>
      </w:r>
      <w:r w:rsidRPr="009D551E">
        <w:rPr>
          <w:rFonts w:asciiTheme="majorBidi" w:hAnsiTheme="majorBidi" w:cstheme="majorBidi"/>
          <w:color w:val="333333"/>
          <w:szCs w:val="22"/>
          <w:shd w:val="clear" w:color="auto" w:fill="FFFFFF"/>
        </w:rPr>
        <w:t>000</w:t>
      </w:r>
      <w:r w:rsidR="00051466">
        <w:rPr>
          <w:rFonts w:asciiTheme="majorBidi" w:hAnsiTheme="majorBidi" w:cstheme="majorBidi"/>
          <w:color w:val="333333"/>
          <w:szCs w:val="22"/>
          <w:shd w:val="clear" w:color="auto" w:fill="FFFFFF"/>
        </w:rPr>
        <w:t>,</w:t>
      </w:r>
      <w:r w:rsidRPr="009D551E">
        <w:rPr>
          <w:rFonts w:asciiTheme="majorBidi" w:hAnsiTheme="majorBidi" w:cstheme="majorBidi"/>
          <w:color w:val="333333"/>
          <w:szCs w:val="22"/>
          <w:shd w:val="clear" w:color="auto" w:fill="FFFFFF"/>
        </w:rPr>
        <w:t xml:space="preserve"> respectively</w:t>
      </w:r>
      <w:r w:rsidRPr="009D551E">
        <w:rPr>
          <w:rStyle w:val="FootnoteReference"/>
          <w:rFonts w:asciiTheme="majorBidi" w:hAnsiTheme="majorBidi" w:cstheme="majorBidi"/>
          <w:color w:val="333333"/>
          <w:sz w:val="22"/>
          <w:szCs w:val="22"/>
          <w:shd w:val="clear" w:color="auto" w:fill="FFFFFF"/>
        </w:rPr>
        <w:footnoteReference w:id="356"/>
      </w:r>
      <w:r w:rsidRPr="009D551E">
        <w:rPr>
          <w:rFonts w:asciiTheme="majorBidi" w:hAnsiTheme="majorBidi" w:cstheme="majorBidi"/>
          <w:color w:val="333333"/>
          <w:szCs w:val="22"/>
          <w:shd w:val="clear" w:color="auto" w:fill="FFFFFF"/>
        </w:rPr>
        <w:t>.</w:t>
      </w:r>
      <w:r w:rsidRPr="009D551E">
        <w:rPr>
          <w:rFonts w:asciiTheme="majorBidi" w:hAnsiTheme="majorBidi" w:cstheme="majorBidi"/>
          <w:szCs w:val="22"/>
        </w:rPr>
        <w:t xml:space="preserve"> However</w:t>
      </w:r>
      <w:r w:rsidR="00051466">
        <w:rPr>
          <w:rFonts w:asciiTheme="majorBidi" w:hAnsiTheme="majorBidi" w:cstheme="majorBidi"/>
          <w:szCs w:val="22"/>
        </w:rPr>
        <w:t>,</w:t>
      </w:r>
      <w:r w:rsidRPr="009D551E">
        <w:rPr>
          <w:rFonts w:asciiTheme="majorBidi" w:hAnsiTheme="majorBidi" w:cstheme="majorBidi"/>
          <w:szCs w:val="22"/>
        </w:rPr>
        <w:t xml:space="preserve"> it has also been estimated that the ecosystem restoration and reclamation industry generates 126,000 jobs and approximately </w:t>
      </w:r>
      <w:r w:rsidR="00934E89" w:rsidRPr="009D551E">
        <w:rPr>
          <w:rFonts w:asciiTheme="majorBidi" w:hAnsiTheme="majorBidi" w:cstheme="majorBidi"/>
          <w:color w:val="333333"/>
          <w:szCs w:val="22"/>
          <w:shd w:val="clear" w:color="auto" w:fill="FFFFFF"/>
        </w:rPr>
        <w:t xml:space="preserve">US$ </w:t>
      </w:r>
      <w:r w:rsidRPr="009D551E">
        <w:rPr>
          <w:rFonts w:asciiTheme="majorBidi" w:hAnsiTheme="majorBidi" w:cstheme="majorBidi"/>
          <w:szCs w:val="22"/>
        </w:rPr>
        <w:t>9.5 billion in annual expenditure. Indirectly</w:t>
      </w:r>
      <w:r w:rsidR="00051466">
        <w:rPr>
          <w:rFonts w:asciiTheme="majorBidi" w:hAnsiTheme="majorBidi" w:cstheme="majorBidi"/>
          <w:szCs w:val="22"/>
        </w:rPr>
        <w:t>,</w:t>
      </w:r>
      <w:r w:rsidRPr="009D551E">
        <w:rPr>
          <w:rFonts w:asciiTheme="majorBidi" w:hAnsiTheme="majorBidi" w:cstheme="majorBidi"/>
          <w:szCs w:val="22"/>
        </w:rPr>
        <w:t xml:space="preserve"> it has been estimated to generate </w:t>
      </w:r>
      <w:r w:rsidR="00934E89" w:rsidRPr="009D551E">
        <w:rPr>
          <w:rFonts w:asciiTheme="majorBidi" w:hAnsiTheme="majorBidi" w:cstheme="majorBidi"/>
          <w:color w:val="333333"/>
          <w:szCs w:val="22"/>
          <w:shd w:val="clear" w:color="auto" w:fill="FFFFFF"/>
        </w:rPr>
        <w:t xml:space="preserve">US$ </w:t>
      </w:r>
      <w:r w:rsidRPr="009D551E">
        <w:rPr>
          <w:rFonts w:asciiTheme="majorBidi" w:hAnsiTheme="majorBidi" w:cstheme="majorBidi"/>
          <w:szCs w:val="22"/>
        </w:rPr>
        <w:t>15 billion in annual expenditure and another 95,000 jobs</w:t>
      </w:r>
      <w:r w:rsidR="00D473F9">
        <w:rPr>
          <w:rFonts w:asciiTheme="majorBidi" w:hAnsiTheme="majorBidi" w:cstheme="majorBidi"/>
          <w:szCs w:val="22"/>
        </w:rPr>
        <w:t>.</w:t>
      </w:r>
      <w:r w:rsidRPr="009D551E">
        <w:rPr>
          <w:rStyle w:val="StyleFootnoteReferenceNounderline"/>
          <w:rFonts w:asciiTheme="majorBidi" w:hAnsiTheme="majorBidi" w:cstheme="majorBidi"/>
          <w:sz w:val="22"/>
          <w:szCs w:val="22"/>
          <w:vertAlign w:val="superscript"/>
        </w:rPr>
        <w:footnoteReference w:id="357"/>
      </w:r>
    </w:p>
    <w:p w:rsidR="009D551E" w:rsidRPr="009D551E" w:rsidRDefault="009D551E" w:rsidP="000408E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 xml:space="preserve">A review of the scientific </w:t>
      </w:r>
      <w:r w:rsidR="00AF2EE7">
        <w:rPr>
          <w:rFonts w:asciiTheme="majorBidi" w:hAnsiTheme="majorBidi" w:cstheme="majorBidi"/>
          <w:szCs w:val="22"/>
        </w:rPr>
        <w:t xml:space="preserve">literature </w:t>
      </w:r>
      <w:r w:rsidRPr="009D551E">
        <w:rPr>
          <w:rFonts w:asciiTheme="majorBidi" w:hAnsiTheme="majorBidi" w:cstheme="majorBidi"/>
          <w:szCs w:val="22"/>
        </w:rPr>
        <w:t>which has become available since 2014 suggests that progress towards this target is largely unchanged from what was previously reported in GBO-4. Further</w:t>
      </w:r>
      <w:r w:rsidR="00AF2EE7">
        <w:rPr>
          <w:rFonts w:asciiTheme="majorBidi" w:hAnsiTheme="majorBidi" w:cstheme="majorBidi"/>
          <w:szCs w:val="22"/>
        </w:rPr>
        <w:t>,</w:t>
      </w:r>
      <w:r w:rsidRPr="009D551E">
        <w:rPr>
          <w:rFonts w:asciiTheme="majorBidi" w:hAnsiTheme="majorBidi" w:cstheme="majorBidi"/>
          <w:szCs w:val="22"/>
        </w:rPr>
        <w:t xml:space="preserve"> th</w:t>
      </w:r>
      <w:r w:rsidR="00D473F9">
        <w:rPr>
          <w:rFonts w:asciiTheme="majorBidi" w:hAnsiTheme="majorBidi" w:cstheme="majorBidi"/>
          <w:szCs w:val="22"/>
        </w:rPr>
        <w:t>e</w:t>
      </w:r>
      <w:r w:rsidRPr="009D551E">
        <w:rPr>
          <w:rFonts w:asciiTheme="majorBidi" w:hAnsiTheme="majorBidi" w:cstheme="majorBidi"/>
          <w:szCs w:val="22"/>
        </w:rPr>
        <w:t xml:space="preserve"> literature suggests that the actions identified in GB</w:t>
      </w:r>
      <w:r w:rsidR="00934E89">
        <w:rPr>
          <w:rFonts w:asciiTheme="majorBidi" w:hAnsiTheme="majorBidi" w:cstheme="majorBidi"/>
          <w:szCs w:val="22"/>
        </w:rPr>
        <w:t>O</w:t>
      </w:r>
      <w:r w:rsidRPr="009D551E">
        <w:rPr>
          <w:rFonts w:asciiTheme="majorBidi" w:hAnsiTheme="majorBidi" w:cstheme="majorBidi"/>
          <w:szCs w:val="22"/>
        </w:rPr>
        <w:t>-4 to accelerate progress towards this target remain relevant. However</w:t>
      </w:r>
      <w:r w:rsidR="00AF2EE7">
        <w:rPr>
          <w:rFonts w:asciiTheme="majorBidi" w:hAnsiTheme="majorBidi" w:cstheme="majorBidi"/>
          <w:szCs w:val="22"/>
        </w:rPr>
        <w:t>,</w:t>
      </w:r>
      <w:r w:rsidRPr="009D551E">
        <w:rPr>
          <w:rFonts w:asciiTheme="majorBidi" w:hAnsiTheme="majorBidi" w:cstheme="majorBidi"/>
          <w:szCs w:val="22"/>
        </w:rPr>
        <w:t xml:space="preserve"> there is also a growing body of information on actions which could be taken to improve restoration techniques and effectiveness. These include </w:t>
      </w:r>
      <w:r w:rsidR="00AF2EE7">
        <w:rPr>
          <w:rFonts w:asciiTheme="majorBidi" w:hAnsiTheme="majorBidi" w:cstheme="majorBidi"/>
          <w:szCs w:val="22"/>
        </w:rPr>
        <w:t xml:space="preserve">placing </w:t>
      </w:r>
      <w:r w:rsidRPr="009D551E">
        <w:rPr>
          <w:rFonts w:asciiTheme="majorBidi" w:hAnsiTheme="majorBidi" w:cstheme="majorBidi"/>
          <w:szCs w:val="22"/>
        </w:rPr>
        <w:t xml:space="preserve">greater emphasis on monitoring the effects </w:t>
      </w:r>
      <w:r w:rsidRPr="009D551E">
        <w:rPr>
          <w:rFonts w:asciiTheme="majorBidi" w:hAnsiTheme="majorBidi" w:cstheme="majorBidi"/>
          <w:szCs w:val="22"/>
        </w:rPr>
        <w:lastRenderedPageBreak/>
        <w:t>of restoration activities</w:t>
      </w:r>
      <w:r w:rsidRPr="009D551E">
        <w:rPr>
          <w:rStyle w:val="StyleFootnoteReferenceNounderline"/>
          <w:rFonts w:asciiTheme="majorBidi" w:hAnsiTheme="majorBidi" w:cstheme="majorBidi"/>
          <w:sz w:val="22"/>
          <w:szCs w:val="22"/>
          <w:vertAlign w:val="superscript"/>
        </w:rPr>
        <w:footnoteReference w:id="358"/>
      </w:r>
      <w:r w:rsidRPr="009D551E">
        <w:rPr>
          <w:rFonts w:asciiTheme="majorBidi" w:hAnsiTheme="majorBidi" w:cstheme="majorBidi"/>
          <w:szCs w:val="22"/>
        </w:rPr>
        <w:t>, the need to consider appropriate time scales</w:t>
      </w:r>
      <w:r w:rsidRPr="009D551E">
        <w:rPr>
          <w:rStyle w:val="StyleFootnoteReferenceNounderline"/>
          <w:rFonts w:asciiTheme="majorBidi" w:hAnsiTheme="majorBidi" w:cstheme="majorBidi"/>
          <w:sz w:val="22"/>
          <w:szCs w:val="22"/>
          <w:vertAlign w:val="superscript"/>
        </w:rPr>
        <w:footnoteReference w:id="359"/>
      </w:r>
      <w:r w:rsidRPr="009D551E">
        <w:rPr>
          <w:rFonts w:asciiTheme="majorBidi" w:hAnsiTheme="majorBidi" w:cstheme="majorBidi"/>
          <w:szCs w:val="22"/>
        </w:rPr>
        <w:t>, and tailoring the goals of ecosystem restoration to be able to deal with changing climatic conditions. Further</w:t>
      </w:r>
      <w:r w:rsidR="00287F5B">
        <w:rPr>
          <w:rFonts w:asciiTheme="majorBidi" w:hAnsiTheme="majorBidi" w:cstheme="majorBidi"/>
          <w:szCs w:val="22"/>
        </w:rPr>
        <w:t>,</w:t>
      </w:r>
      <w:r w:rsidRPr="009D551E">
        <w:rPr>
          <w:rFonts w:asciiTheme="majorBidi" w:hAnsiTheme="majorBidi" w:cstheme="majorBidi"/>
          <w:szCs w:val="22"/>
        </w:rPr>
        <w:t xml:space="preserve"> some studies have explored the positive role of legislation in promoting restoration</w:t>
      </w:r>
      <w:r w:rsidRPr="009D551E">
        <w:rPr>
          <w:rStyle w:val="StyleFootnoteReferenceNounderline"/>
          <w:rFonts w:asciiTheme="majorBidi" w:hAnsiTheme="majorBidi" w:cstheme="majorBidi"/>
          <w:sz w:val="22"/>
          <w:szCs w:val="22"/>
          <w:vertAlign w:val="superscript"/>
        </w:rPr>
        <w:footnoteReference w:id="360"/>
      </w:r>
      <w:r w:rsidR="00FC0A9E">
        <w:rPr>
          <w:rFonts w:asciiTheme="majorBidi" w:hAnsiTheme="majorBidi" w:cstheme="majorBidi"/>
          <w:szCs w:val="22"/>
        </w:rPr>
        <w:t>,</w:t>
      </w:r>
      <w:r w:rsidRPr="009D551E">
        <w:rPr>
          <w:rFonts w:asciiTheme="majorBidi" w:hAnsiTheme="majorBidi" w:cstheme="majorBidi"/>
          <w:szCs w:val="22"/>
        </w:rPr>
        <w:t xml:space="preserve"> and the positive impact that creating multi-sectoral coalitions or partnerships can have in supporting restoration</w:t>
      </w:r>
      <w:r w:rsidRPr="009D551E">
        <w:rPr>
          <w:rStyle w:val="StyleFootnoteReferenceNounderline"/>
          <w:rFonts w:asciiTheme="majorBidi" w:hAnsiTheme="majorBidi" w:cstheme="majorBidi"/>
          <w:sz w:val="22"/>
          <w:szCs w:val="22"/>
          <w:vertAlign w:val="superscript"/>
        </w:rPr>
        <w:footnoteReference w:id="361"/>
      </w:r>
      <w:r w:rsidRPr="009D551E">
        <w:rPr>
          <w:rFonts w:asciiTheme="majorBidi" w:hAnsiTheme="majorBidi" w:cstheme="majorBidi"/>
          <w:szCs w:val="22"/>
        </w:rPr>
        <w:t>.</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16:By 2015, the Nagoya Protocol on Access to Genetic Resources and the Fair and Equitable Sharing of Benefits Arising from their Utilization is in force and operational, consistent with national legislation.</w:t>
      </w:r>
    </w:p>
    <w:p w:rsidR="009D551E" w:rsidRPr="009D551E" w:rsidRDefault="009D551E" w:rsidP="00720FA7">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 xml:space="preserve">The fourth edition of the Global Biodiversity Outlook concluded that, as the Nagoya Protocol on Access to Genetic Resources and the Fair and Equitable Sharing of Benefits Arising from their Utilization entered into force on 12 October 2014, </w:t>
      </w:r>
      <w:r w:rsidR="00934E89">
        <w:rPr>
          <w:rFonts w:asciiTheme="majorBidi" w:hAnsiTheme="majorBidi" w:cstheme="majorBidi"/>
          <w:szCs w:val="22"/>
        </w:rPr>
        <w:t xml:space="preserve">Aichi Biodiversity Target 16 </w:t>
      </w:r>
      <w:r w:rsidRPr="009D551E">
        <w:rPr>
          <w:rFonts w:asciiTheme="majorBidi" w:hAnsiTheme="majorBidi" w:cstheme="majorBidi"/>
          <w:szCs w:val="22"/>
        </w:rPr>
        <w:t>was met. As of January 2018</w:t>
      </w:r>
      <w:r w:rsidR="002076C2">
        <w:rPr>
          <w:rFonts w:asciiTheme="majorBidi" w:hAnsiTheme="majorBidi" w:cstheme="majorBidi"/>
          <w:szCs w:val="22"/>
        </w:rPr>
        <w:t>,</w:t>
      </w:r>
      <w:r w:rsidRPr="009D551E">
        <w:rPr>
          <w:rFonts w:asciiTheme="majorBidi" w:hAnsiTheme="majorBidi" w:cstheme="majorBidi"/>
          <w:szCs w:val="22"/>
        </w:rPr>
        <w:t xml:space="preserve"> 105 Parties to the CBD have ratified the Protocol and actions continue to be taken to support its operationalization. Progress in the attainment of this target is not readily available from the scientific literature</w:t>
      </w:r>
      <w:r w:rsidR="002076C2">
        <w:rPr>
          <w:rFonts w:asciiTheme="majorBidi" w:hAnsiTheme="majorBidi" w:cstheme="majorBidi"/>
          <w:szCs w:val="22"/>
        </w:rPr>
        <w:t>,</w:t>
      </w:r>
      <w:r w:rsidRPr="009D551E">
        <w:rPr>
          <w:rFonts w:asciiTheme="majorBidi" w:hAnsiTheme="majorBidi" w:cstheme="majorBidi"/>
          <w:szCs w:val="22"/>
        </w:rPr>
        <w:t xml:space="preserve"> however updated information on the operationalization of the Protocol will be presented and discussed during the second meeting of the Subsidiary Body on Implementation</w:t>
      </w:r>
      <w:r w:rsidR="002076C2">
        <w:rPr>
          <w:rFonts w:asciiTheme="majorBidi" w:hAnsiTheme="majorBidi" w:cstheme="majorBidi"/>
          <w:szCs w:val="22"/>
        </w:rPr>
        <w:t>,</w:t>
      </w:r>
      <w:r w:rsidRPr="009D551E">
        <w:rPr>
          <w:rFonts w:asciiTheme="majorBidi" w:hAnsiTheme="majorBidi" w:cstheme="majorBidi"/>
          <w:szCs w:val="22"/>
        </w:rPr>
        <w:t xml:space="preserve"> in the context of assessment and review of the effectiveness of the Nagoya Protocol.</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17:</w:t>
      </w:r>
      <w:r w:rsidR="002076C2">
        <w:rPr>
          <w:rFonts w:asciiTheme="majorBidi" w:hAnsiTheme="majorBidi" w:cstheme="majorBidi"/>
          <w:i/>
          <w:sz w:val="22"/>
          <w:szCs w:val="22"/>
        </w:rPr>
        <w:t xml:space="preserve"> </w:t>
      </w:r>
      <w:r w:rsidRPr="009D551E">
        <w:rPr>
          <w:rFonts w:asciiTheme="majorBidi" w:hAnsiTheme="majorBidi" w:cstheme="majorBidi"/>
          <w:i/>
          <w:sz w:val="22"/>
          <w:szCs w:val="22"/>
        </w:rPr>
        <w:t>By 2015 each Party has developed, adopted as a policy instrument, and has commenced implementing an effective, participatory and updated national biodiversity strategy and action plan.</w:t>
      </w:r>
    </w:p>
    <w:p w:rsidR="009D551E" w:rsidRPr="00B22705" w:rsidRDefault="009D551E" w:rsidP="00720FA7">
      <w:pPr>
        <w:pStyle w:val="Para1"/>
        <w:tabs>
          <w:tab w:val="clear" w:pos="360"/>
          <w:tab w:val="num" w:pos="810"/>
          <w:tab w:val="num" w:pos="3150"/>
        </w:tabs>
        <w:rPr>
          <w:rFonts w:asciiTheme="majorBidi" w:hAnsiTheme="majorBidi" w:cstheme="majorBidi"/>
          <w:szCs w:val="22"/>
        </w:rPr>
      </w:pPr>
      <w:r w:rsidRPr="009D551E">
        <w:rPr>
          <w:rFonts w:asciiTheme="majorBidi" w:hAnsiTheme="majorBidi" w:cstheme="majorBidi"/>
          <w:szCs w:val="22"/>
        </w:rPr>
        <w:t xml:space="preserve">The fourth edition of the </w:t>
      </w:r>
      <w:r w:rsidRPr="00D473F9">
        <w:rPr>
          <w:rFonts w:asciiTheme="majorBidi" w:hAnsiTheme="majorBidi" w:cstheme="majorBidi"/>
          <w:i/>
          <w:szCs w:val="22"/>
        </w:rPr>
        <w:t>Global Biodiversity Outlook</w:t>
      </w:r>
      <w:r w:rsidRPr="009D551E">
        <w:rPr>
          <w:rFonts w:asciiTheme="majorBidi" w:hAnsiTheme="majorBidi" w:cstheme="majorBidi"/>
          <w:szCs w:val="22"/>
        </w:rPr>
        <w:t xml:space="preserve"> concluded that national biodiversity strategies and action plans </w:t>
      </w:r>
      <w:r w:rsidR="00B22705">
        <w:rPr>
          <w:rFonts w:asciiTheme="majorBidi" w:hAnsiTheme="majorBidi" w:cstheme="majorBidi"/>
          <w:szCs w:val="22"/>
        </w:rPr>
        <w:t xml:space="preserve">(NBSAPs) </w:t>
      </w:r>
      <w:r w:rsidRPr="009D551E">
        <w:rPr>
          <w:rFonts w:asciiTheme="majorBidi" w:hAnsiTheme="majorBidi" w:cstheme="majorBidi"/>
          <w:szCs w:val="22"/>
        </w:rPr>
        <w:t>were expected to be in place for most Parties by 2015. However</w:t>
      </w:r>
      <w:r w:rsidR="00B22705">
        <w:rPr>
          <w:rFonts w:asciiTheme="majorBidi" w:hAnsiTheme="majorBidi" w:cstheme="majorBidi"/>
          <w:szCs w:val="22"/>
        </w:rPr>
        <w:t>,</w:t>
      </w:r>
      <w:r w:rsidRPr="009D551E">
        <w:rPr>
          <w:rFonts w:asciiTheme="majorBidi" w:hAnsiTheme="majorBidi" w:cstheme="majorBidi"/>
          <w:szCs w:val="22"/>
        </w:rPr>
        <w:t xml:space="preserve"> by the December 2015 deadline for </w:t>
      </w:r>
      <w:r w:rsidR="00B22705">
        <w:rPr>
          <w:rFonts w:asciiTheme="majorBidi" w:hAnsiTheme="majorBidi" w:cstheme="majorBidi"/>
          <w:szCs w:val="22"/>
        </w:rPr>
        <w:t xml:space="preserve">Aichi Biodiversity Target 17, </w:t>
      </w:r>
      <w:r w:rsidRPr="00B22705">
        <w:rPr>
          <w:rFonts w:asciiTheme="majorBidi" w:hAnsiTheme="majorBidi" w:cstheme="majorBidi"/>
          <w:szCs w:val="22"/>
        </w:rPr>
        <w:t xml:space="preserve">only 69 Parties had submitted an NBSAP prepared or revised/updated after the adoption of the Strategic Plan for Biodiversity 2011-2020. As of </w:t>
      </w:r>
      <w:r w:rsidR="00934E89" w:rsidRPr="00B22705">
        <w:rPr>
          <w:rFonts w:asciiTheme="majorBidi" w:hAnsiTheme="majorBidi" w:cstheme="majorBidi"/>
          <w:szCs w:val="22"/>
        </w:rPr>
        <w:t>March</w:t>
      </w:r>
      <w:r w:rsidRPr="00B22705">
        <w:rPr>
          <w:rFonts w:asciiTheme="majorBidi" w:hAnsiTheme="majorBidi" w:cstheme="majorBidi"/>
          <w:szCs w:val="22"/>
        </w:rPr>
        <w:t xml:space="preserve"> 2018</w:t>
      </w:r>
      <w:r w:rsidR="00B22705">
        <w:rPr>
          <w:rFonts w:asciiTheme="majorBidi" w:hAnsiTheme="majorBidi" w:cstheme="majorBidi"/>
          <w:szCs w:val="22"/>
        </w:rPr>
        <w:t>,</w:t>
      </w:r>
      <w:r w:rsidRPr="00B22705">
        <w:rPr>
          <w:rFonts w:asciiTheme="majorBidi" w:hAnsiTheme="majorBidi" w:cstheme="majorBidi"/>
          <w:szCs w:val="22"/>
        </w:rPr>
        <w:t xml:space="preserve"> 15</w:t>
      </w:r>
      <w:r w:rsidR="00934E89" w:rsidRPr="00B22705">
        <w:rPr>
          <w:rFonts w:asciiTheme="majorBidi" w:hAnsiTheme="majorBidi" w:cstheme="majorBidi"/>
          <w:szCs w:val="22"/>
        </w:rPr>
        <w:t>4</w:t>
      </w:r>
      <w:r w:rsidRPr="00B22705">
        <w:rPr>
          <w:rFonts w:asciiTheme="majorBidi" w:hAnsiTheme="majorBidi" w:cstheme="majorBidi"/>
          <w:szCs w:val="22"/>
        </w:rPr>
        <w:t> Parties have submitted NBSAPs since COP-10. Information on progress in the attainment of this target is not readily available from the scientific literature</w:t>
      </w:r>
      <w:r w:rsidR="00B22705">
        <w:rPr>
          <w:rFonts w:asciiTheme="majorBidi" w:hAnsiTheme="majorBidi" w:cstheme="majorBidi"/>
          <w:szCs w:val="22"/>
        </w:rPr>
        <w:t>,</w:t>
      </w:r>
      <w:r w:rsidRPr="00B22705">
        <w:rPr>
          <w:rFonts w:asciiTheme="majorBidi" w:hAnsiTheme="majorBidi" w:cstheme="majorBidi"/>
          <w:szCs w:val="22"/>
        </w:rPr>
        <w:t xml:space="preserve"> however updated information on the development and implementation of NBSAPs will be presented and discussed during the second meeting of the Subsidiary Body on Implementation. </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18:</w:t>
      </w:r>
      <w:r w:rsidR="004076BA">
        <w:rPr>
          <w:rFonts w:asciiTheme="majorBidi" w:hAnsiTheme="majorBidi" w:cstheme="majorBidi"/>
          <w:i/>
          <w:sz w:val="22"/>
          <w:szCs w:val="22"/>
        </w:rPr>
        <w:t xml:space="preserve"> </w:t>
      </w:r>
      <w:r w:rsidRPr="009D551E">
        <w:rPr>
          <w:rFonts w:asciiTheme="majorBidi" w:hAnsiTheme="majorBidi" w:cstheme="majorBidi"/>
          <w:i/>
          <w:sz w:val="22"/>
          <w:szCs w:val="22"/>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p w:rsidR="009D551E" w:rsidRPr="009D551E" w:rsidRDefault="009D551E" w:rsidP="004E662F">
      <w:pPr>
        <w:pStyle w:val="Para1"/>
        <w:tabs>
          <w:tab w:val="clear" w:pos="360"/>
          <w:tab w:val="num" w:pos="900"/>
        </w:tabs>
        <w:rPr>
          <w:rFonts w:asciiTheme="majorBidi" w:hAnsiTheme="majorBidi" w:cstheme="majorBidi"/>
          <w:szCs w:val="22"/>
        </w:rPr>
      </w:pPr>
      <w:r w:rsidRPr="009D551E">
        <w:rPr>
          <w:rFonts w:asciiTheme="majorBidi" w:hAnsiTheme="majorBidi" w:cstheme="majorBidi"/>
          <w:szCs w:val="22"/>
        </w:rPr>
        <w:lastRenderedPageBreak/>
        <w:t>Several studies have noted that there appears to be a general decline or erosion of traditional knowledge</w:t>
      </w:r>
      <w:r w:rsidRPr="009D551E">
        <w:rPr>
          <w:rStyle w:val="StyleFootnoteReferenceNounderline"/>
          <w:rFonts w:asciiTheme="majorBidi" w:hAnsiTheme="majorBidi" w:cstheme="majorBidi"/>
          <w:sz w:val="22"/>
          <w:szCs w:val="22"/>
          <w:vertAlign w:val="superscript"/>
        </w:rPr>
        <w:footnoteReference w:id="362"/>
      </w:r>
      <w:r w:rsidRPr="009D551E">
        <w:rPr>
          <w:rFonts w:asciiTheme="majorBidi" w:hAnsiTheme="majorBidi" w:cstheme="majorBidi"/>
          <w:szCs w:val="22"/>
        </w:rPr>
        <w:t xml:space="preserve">, however there have been few studies documenting progress towards </w:t>
      </w:r>
      <w:r w:rsidR="004076BA">
        <w:rPr>
          <w:rFonts w:asciiTheme="majorBidi" w:hAnsiTheme="majorBidi" w:cstheme="majorBidi"/>
          <w:szCs w:val="22"/>
        </w:rPr>
        <w:t xml:space="preserve">Aichi Biodiversity Target 18 </w:t>
      </w:r>
      <w:r w:rsidRPr="009D551E">
        <w:rPr>
          <w:rFonts w:asciiTheme="majorBidi" w:hAnsiTheme="majorBidi" w:cstheme="majorBidi"/>
          <w:szCs w:val="22"/>
        </w:rPr>
        <w:t>at a global level. Numerous studies have document</w:t>
      </w:r>
      <w:r w:rsidR="004076BA">
        <w:rPr>
          <w:rFonts w:asciiTheme="majorBidi" w:hAnsiTheme="majorBidi" w:cstheme="majorBidi"/>
          <w:szCs w:val="22"/>
        </w:rPr>
        <w:t>ed</w:t>
      </w:r>
      <w:r w:rsidRPr="009D551E">
        <w:rPr>
          <w:rFonts w:asciiTheme="majorBidi" w:hAnsiTheme="majorBidi" w:cstheme="majorBidi"/>
          <w:szCs w:val="22"/>
        </w:rPr>
        <w:t xml:space="preserve"> specific examples of how the traditional knowledge, innovations and practices of indigenous peoples and local communities could be strengthened in relevant national legislation and international obligations, such as global patent systems</w:t>
      </w:r>
      <w:r w:rsidRPr="009D551E">
        <w:rPr>
          <w:rStyle w:val="StyleFootnoteReferenceNounderline"/>
          <w:rFonts w:asciiTheme="majorBidi" w:hAnsiTheme="majorBidi" w:cstheme="majorBidi"/>
          <w:sz w:val="22"/>
          <w:szCs w:val="22"/>
          <w:vertAlign w:val="superscript"/>
        </w:rPr>
        <w:footnoteReference w:id="363"/>
      </w:r>
      <w:r w:rsidRPr="009D551E">
        <w:rPr>
          <w:rFonts w:asciiTheme="majorBidi" w:hAnsiTheme="majorBidi" w:cstheme="majorBidi"/>
          <w:szCs w:val="22"/>
        </w:rPr>
        <w:t xml:space="preserve"> or in combating biopiracy. Other studies have documented experiences in specific regions, such as South Asia</w:t>
      </w:r>
      <w:r w:rsidRPr="009D551E">
        <w:rPr>
          <w:rStyle w:val="StyleFootnoteReferenceNounderline"/>
          <w:rFonts w:asciiTheme="majorBidi" w:hAnsiTheme="majorBidi" w:cstheme="majorBidi"/>
          <w:sz w:val="22"/>
          <w:szCs w:val="22"/>
          <w:vertAlign w:val="superscript"/>
        </w:rPr>
        <w:footnoteReference w:id="364"/>
      </w:r>
      <w:r w:rsidRPr="009D551E">
        <w:rPr>
          <w:rFonts w:asciiTheme="majorBidi" w:hAnsiTheme="majorBidi" w:cstheme="majorBidi"/>
          <w:szCs w:val="22"/>
        </w:rPr>
        <w:t xml:space="preserve"> and Africa</w:t>
      </w:r>
      <w:r w:rsidRPr="009D551E">
        <w:rPr>
          <w:rStyle w:val="StyleFootnoteReferenceNounderline"/>
          <w:rFonts w:asciiTheme="majorBidi" w:hAnsiTheme="majorBidi" w:cstheme="majorBidi"/>
          <w:sz w:val="22"/>
          <w:szCs w:val="22"/>
          <w:vertAlign w:val="superscript"/>
        </w:rPr>
        <w:footnoteReference w:id="365"/>
      </w:r>
      <w:r w:rsidRPr="009D551E">
        <w:rPr>
          <w:rFonts w:asciiTheme="majorBidi" w:hAnsiTheme="majorBidi" w:cstheme="majorBidi"/>
          <w:szCs w:val="22"/>
        </w:rPr>
        <w:t xml:space="preserve">. Various studies also document means </w:t>
      </w:r>
      <w:r w:rsidR="004076BA">
        <w:rPr>
          <w:rFonts w:asciiTheme="majorBidi" w:hAnsiTheme="majorBidi" w:cstheme="majorBidi"/>
          <w:szCs w:val="22"/>
        </w:rPr>
        <w:t xml:space="preserve">through </w:t>
      </w:r>
      <w:r w:rsidRPr="009D551E">
        <w:rPr>
          <w:rFonts w:asciiTheme="majorBidi" w:hAnsiTheme="majorBidi" w:cstheme="majorBidi"/>
          <w:szCs w:val="22"/>
        </w:rPr>
        <w:t>which traditional knowledge can be applied to ecosystem management and conservation</w:t>
      </w:r>
      <w:r w:rsidRPr="009D551E">
        <w:rPr>
          <w:rStyle w:val="StyleFootnoteReferenceNounderline"/>
          <w:rFonts w:asciiTheme="majorBidi" w:hAnsiTheme="majorBidi" w:cstheme="majorBidi"/>
          <w:sz w:val="22"/>
          <w:szCs w:val="22"/>
          <w:vertAlign w:val="superscript"/>
        </w:rPr>
        <w:footnoteReference w:id="366"/>
      </w:r>
      <w:r w:rsidRPr="009D551E">
        <w:rPr>
          <w:rFonts w:asciiTheme="majorBidi" w:hAnsiTheme="majorBidi" w:cstheme="majorBidi"/>
          <w:szCs w:val="22"/>
        </w:rPr>
        <w:t xml:space="preserve">. </w:t>
      </w:r>
    </w:p>
    <w:p w:rsidR="009D551E" w:rsidRPr="009D551E" w:rsidRDefault="009D551E" w:rsidP="004E662F">
      <w:pPr>
        <w:pStyle w:val="Para1"/>
        <w:tabs>
          <w:tab w:val="clear" w:pos="360"/>
          <w:tab w:val="num" w:pos="900"/>
        </w:tabs>
        <w:rPr>
          <w:rFonts w:asciiTheme="majorBidi" w:hAnsiTheme="majorBidi" w:cstheme="majorBidi"/>
          <w:szCs w:val="22"/>
        </w:rPr>
      </w:pPr>
      <w:r w:rsidRPr="009D551E">
        <w:rPr>
          <w:rFonts w:asciiTheme="majorBidi" w:hAnsiTheme="majorBidi" w:cstheme="majorBidi"/>
          <w:szCs w:val="22"/>
        </w:rPr>
        <w:t xml:space="preserve">While there is growing documentation on the potential value of traditional knowledge, it has been noted that there is </w:t>
      </w:r>
      <w:r w:rsidR="00863F1A">
        <w:rPr>
          <w:rFonts w:asciiTheme="majorBidi" w:hAnsiTheme="majorBidi" w:cstheme="majorBidi"/>
          <w:szCs w:val="22"/>
        </w:rPr>
        <w:t xml:space="preserve">often </w:t>
      </w:r>
      <w:r w:rsidRPr="009D551E">
        <w:rPr>
          <w:rFonts w:asciiTheme="majorBidi" w:hAnsiTheme="majorBidi" w:cstheme="majorBidi"/>
          <w:szCs w:val="22"/>
        </w:rPr>
        <w:t>a lack of communication between indigenous peoples and local communities and the scientific community</w:t>
      </w:r>
      <w:r w:rsidRPr="009D551E">
        <w:rPr>
          <w:rStyle w:val="StyleFootnoteReferenceNounderline"/>
          <w:rFonts w:asciiTheme="majorBidi" w:hAnsiTheme="majorBidi" w:cstheme="majorBidi"/>
          <w:sz w:val="22"/>
          <w:szCs w:val="22"/>
          <w:vertAlign w:val="superscript"/>
        </w:rPr>
        <w:footnoteReference w:id="367"/>
      </w:r>
      <w:r w:rsidRPr="009D551E">
        <w:rPr>
          <w:rFonts w:asciiTheme="majorBidi" w:hAnsiTheme="majorBidi" w:cstheme="majorBidi"/>
          <w:szCs w:val="22"/>
        </w:rPr>
        <w:t>. For example</w:t>
      </w:r>
      <w:r w:rsidR="00B74DFD">
        <w:rPr>
          <w:rFonts w:asciiTheme="majorBidi" w:hAnsiTheme="majorBidi" w:cstheme="majorBidi"/>
          <w:szCs w:val="22"/>
        </w:rPr>
        <w:t>,</w:t>
      </w:r>
      <w:r w:rsidRPr="009D551E">
        <w:rPr>
          <w:rFonts w:asciiTheme="majorBidi" w:hAnsiTheme="majorBidi" w:cstheme="majorBidi"/>
          <w:szCs w:val="22"/>
        </w:rPr>
        <w:t xml:space="preserve"> it has been noted that global assessments of biodiversity often do not take local and traditional knowledge</w:t>
      </w:r>
      <w:r w:rsidR="00B74DFD">
        <w:rPr>
          <w:rFonts w:asciiTheme="majorBidi" w:hAnsiTheme="majorBidi" w:cstheme="majorBidi"/>
          <w:szCs w:val="22"/>
        </w:rPr>
        <w:t xml:space="preserve"> into account</w:t>
      </w:r>
      <w:r w:rsidRPr="009D551E">
        <w:rPr>
          <w:rStyle w:val="StyleFootnoteReferenceNounderline"/>
          <w:rFonts w:asciiTheme="majorBidi" w:hAnsiTheme="majorBidi" w:cstheme="majorBidi"/>
          <w:sz w:val="22"/>
          <w:szCs w:val="22"/>
          <w:vertAlign w:val="superscript"/>
        </w:rPr>
        <w:footnoteReference w:id="368"/>
      </w:r>
      <w:r w:rsidRPr="009D551E">
        <w:rPr>
          <w:rFonts w:asciiTheme="majorBidi" w:hAnsiTheme="majorBidi" w:cstheme="majorBidi"/>
          <w:szCs w:val="22"/>
        </w:rPr>
        <w:t>. This is despite the</w:t>
      </w:r>
      <w:r w:rsidR="00B74DFD">
        <w:rPr>
          <w:rFonts w:asciiTheme="majorBidi" w:hAnsiTheme="majorBidi" w:cstheme="majorBidi"/>
          <w:szCs w:val="22"/>
        </w:rPr>
        <w:t xml:space="preserve">re </w:t>
      </w:r>
      <w:r w:rsidRPr="009D551E">
        <w:rPr>
          <w:rFonts w:asciiTheme="majorBidi" w:hAnsiTheme="majorBidi" w:cstheme="majorBidi"/>
          <w:szCs w:val="22"/>
        </w:rPr>
        <w:t>being numerous example</w:t>
      </w:r>
      <w:r w:rsidR="00B74DFD">
        <w:rPr>
          <w:rFonts w:asciiTheme="majorBidi" w:hAnsiTheme="majorBidi" w:cstheme="majorBidi"/>
          <w:szCs w:val="22"/>
        </w:rPr>
        <w:t>s</w:t>
      </w:r>
      <w:r w:rsidRPr="009D551E">
        <w:rPr>
          <w:rFonts w:asciiTheme="majorBidi" w:hAnsiTheme="majorBidi" w:cstheme="majorBidi"/>
          <w:szCs w:val="22"/>
        </w:rPr>
        <w:t xml:space="preserve"> of how bringing traditional knowledge together with science can lead to constructive solutions to various challenges</w:t>
      </w:r>
      <w:r w:rsidRPr="009D551E">
        <w:rPr>
          <w:rStyle w:val="StyleFootnoteReferenceNounderline"/>
          <w:rFonts w:asciiTheme="majorBidi" w:hAnsiTheme="majorBidi" w:cstheme="majorBidi"/>
          <w:sz w:val="22"/>
          <w:szCs w:val="22"/>
          <w:vertAlign w:val="superscript"/>
        </w:rPr>
        <w:footnoteReference w:id="369"/>
      </w:r>
      <w:r w:rsidR="00B74DFD">
        <w:rPr>
          <w:rFonts w:asciiTheme="majorBidi" w:hAnsiTheme="majorBidi" w:cstheme="majorBidi"/>
          <w:szCs w:val="22"/>
        </w:rPr>
        <w:t xml:space="preserve">, </w:t>
      </w:r>
      <w:r w:rsidRPr="009D551E">
        <w:rPr>
          <w:rFonts w:asciiTheme="majorBidi" w:hAnsiTheme="majorBidi" w:cstheme="majorBidi"/>
          <w:szCs w:val="22"/>
        </w:rPr>
        <w:t>as well as result in policies which are more tailored to on</w:t>
      </w:r>
      <w:r w:rsidR="00B74DFD">
        <w:rPr>
          <w:rFonts w:asciiTheme="majorBidi" w:hAnsiTheme="majorBidi" w:cstheme="majorBidi"/>
          <w:szCs w:val="22"/>
        </w:rPr>
        <w:t>-</w:t>
      </w:r>
      <w:r w:rsidRPr="009D551E">
        <w:rPr>
          <w:rFonts w:asciiTheme="majorBidi" w:hAnsiTheme="majorBidi" w:cstheme="majorBidi"/>
          <w:szCs w:val="22"/>
        </w:rPr>
        <w:t>the</w:t>
      </w:r>
      <w:r w:rsidR="00B74DFD">
        <w:rPr>
          <w:rFonts w:asciiTheme="majorBidi" w:hAnsiTheme="majorBidi" w:cstheme="majorBidi"/>
          <w:szCs w:val="22"/>
        </w:rPr>
        <w:t>-</w:t>
      </w:r>
      <w:r w:rsidRPr="009D551E">
        <w:rPr>
          <w:rFonts w:asciiTheme="majorBidi" w:hAnsiTheme="majorBidi" w:cstheme="majorBidi"/>
          <w:szCs w:val="22"/>
        </w:rPr>
        <w:t>ground realities</w:t>
      </w:r>
      <w:r w:rsidRPr="009D551E">
        <w:rPr>
          <w:rStyle w:val="StyleFootnoteReferenceNounderline"/>
          <w:rFonts w:asciiTheme="majorBidi" w:hAnsiTheme="majorBidi" w:cstheme="majorBidi"/>
          <w:sz w:val="22"/>
          <w:szCs w:val="22"/>
          <w:vertAlign w:val="superscript"/>
        </w:rPr>
        <w:footnoteReference w:id="370"/>
      </w:r>
      <w:r w:rsidRPr="009D551E">
        <w:rPr>
          <w:rFonts w:asciiTheme="majorBidi" w:hAnsiTheme="majorBidi" w:cstheme="majorBidi"/>
          <w:szCs w:val="22"/>
        </w:rPr>
        <w:t>. However</w:t>
      </w:r>
      <w:r w:rsidR="00B74DFD">
        <w:rPr>
          <w:rFonts w:asciiTheme="majorBidi" w:hAnsiTheme="majorBidi" w:cstheme="majorBidi"/>
          <w:szCs w:val="22"/>
        </w:rPr>
        <w:t>,</w:t>
      </w:r>
      <w:r w:rsidRPr="009D551E">
        <w:rPr>
          <w:rFonts w:asciiTheme="majorBidi" w:hAnsiTheme="majorBidi" w:cstheme="majorBidi"/>
          <w:szCs w:val="22"/>
        </w:rPr>
        <w:t xml:space="preserve"> one example which is counter to this general trend is the conceptual framework of the Intergovernmental </w:t>
      </w:r>
      <w:r w:rsidRPr="009D551E">
        <w:rPr>
          <w:rFonts w:asciiTheme="majorBidi" w:hAnsiTheme="majorBidi" w:cstheme="majorBidi"/>
          <w:szCs w:val="22"/>
        </w:rPr>
        <w:lastRenderedPageBreak/>
        <w:t>Platform on Biodiversity and Ecosystem Services which gives explicit consideration of diverse scientific disciplines, stakeholders, and knowledge systems, including indigenous and local knowledge</w:t>
      </w:r>
      <w:r w:rsidRPr="009D551E">
        <w:rPr>
          <w:rStyle w:val="FootnoteReference"/>
          <w:rFonts w:asciiTheme="majorBidi" w:hAnsiTheme="majorBidi" w:cstheme="majorBidi"/>
          <w:sz w:val="22"/>
          <w:szCs w:val="22"/>
        </w:rPr>
        <w:footnoteReference w:id="371"/>
      </w:r>
      <w:r w:rsidRPr="009D551E">
        <w:rPr>
          <w:rFonts w:asciiTheme="majorBidi" w:hAnsiTheme="majorBidi" w:cstheme="majorBidi"/>
          <w:szCs w:val="22"/>
        </w:rPr>
        <w:t>.</w:t>
      </w:r>
    </w:p>
    <w:p w:rsidR="009D551E" w:rsidRPr="009D551E" w:rsidRDefault="009D551E" w:rsidP="004E662F">
      <w:pPr>
        <w:pStyle w:val="Para1"/>
        <w:tabs>
          <w:tab w:val="clear" w:pos="360"/>
          <w:tab w:val="num" w:pos="900"/>
        </w:tabs>
        <w:rPr>
          <w:rFonts w:asciiTheme="majorBidi" w:hAnsiTheme="majorBidi" w:cstheme="majorBidi"/>
          <w:szCs w:val="22"/>
        </w:rPr>
      </w:pPr>
      <w:r w:rsidRPr="009D551E">
        <w:rPr>
          <w:rFonts w:asciiTheme="majorBidi" w:hAnsiTheme="majorBidi" w:cstheme="majorBidi"/>
          <w:szCs w:val="22"/>
        </w:rPr>
        <w:t>With regard to the integration of traditional knowledge in the operations of the Convention, it has been observed that countries often include actions related to the respect and integration of traditional and local knowledge in their NBSAPs but that participation mechanisms are limited</w:t>
      </w:r>
      <w:r w:rsidRPr="009D551E">
        <w:rPr>
          <w:rStyle w:val="StyleFootnoteReferenceNounderline"/>
          <w:rFonts w:asciiTheme="majorBidi" w:hAnsiTheme="majorBidi" w:cstheme="majorBidi"/>
          <w:sz w:val="22"/>
          <w:szCs w:val="22"/>
          <w:vertAlign w:val="superscript"/>
        </w:rPr>
        <w:footnoteReference w:id="372"/>
      </w:r>
      <w:r w:rsidRPr="009D551E">
        <w:rPr>
          <w:rFonts w:asciiTheme="majorBidi" w:hAnsiTheme="majorBidi" w:cstheme="majorBidi"/>
          <w:szCs w:val="22"/>
        </w:rPr>
        <w:t>. Further</w:t>
      </w:r>
      <w:r w:rsidR="00B74DFD">
        <w:rPr>
          <w:rFonts w:asciiTheme="majorBidi" w:hAnsiTheme="majorBidi" w:cstheme="majorBidi"/>
          <w:szCs w:val="22"/>
        </w:rPr>
        <w:t>,</w:t>
      </w:r>
      <w:r w:rsidRPr="009D551E">
        <w:rPr>
          <w:rFonts w:asciiTheme="majorBidi" w:hAnsiTheme="majorBidi" w:cstheme="majorBidi"/>
          <w:szCs w:val="22"/>
        </w:rPr>
        <w:t xml:space="preserve"> it has also been observed that there is often limited capacity to meaningfully engage indigenous peoples and local communities in policy decisions</w:t>
      </w:r>
      <w:r w:rsidRPr="009D551E">
        <w:rPr>
          <w:rStyle w:val="StyleFootnoteReferenceNounderline"/>
          <w:rFonts w:asciiTheme="majorBidi" w:hAnsiTheme="majorBidi" w:cstheme="majorBidi"/>
          <w:sz w:val="22"/>
          <w:szCs w:val="22"/>
          <w:vertAlign w:val="superscript"/>
        </w:rPr>
        <w:footnoteReference w:id="373"/>
      </w:r>
      <w:r w:rsidRPr="009D551E">
        <w:rPr>
          <w:rFonts w:asciiTheme="majorBidi" w:hAnsiTheme="majorBidi" w:cstheme="majorBidi"/>
          <w:szCs w:val="22"/>
        </w:rPr>
        <w:t>.</w:t>
      </w:r>
    </w:p>
    <w:p w:rsidR="009D551E" w:rsidRPr="009D551E" w:rsidRDefault="009D551E" w:rsidP="004E662F">
      <w:pPr>
        <w:pStyle w:val="Para1"/>
        <w:tabs>
          <w:tab w:val="clear" w:pos="360"/>
          <w:tab w:val="num" w:pos="900"/>
        </w:tabs>
        <w:rPr>
          <w:rFonts w:asciiTheme="majorBidi" w:hAnsiTheme="majorBidi" w:cstheme="majorBidi"/>
          <w:szCs w:val="22"/>
        </w:rPr>
      </w:pPr>
      <w:r w:rsidRPr="009D551E">
        <w:rPr>
          <w:rFonts w:asciiTheme="majorBidi" w:hAnsiTheme="majorBidi" w:cstheme="majorBidi"/>
          <w:szCs w:val="22"/>
        </w:rPr>
        <w:t>A review of the scientific information which has become available since 2014 suggests that the situation is largely unchanged from what was previously reported in GBO-4. Further</w:t>
      </w:r>
      <w:r w:rsidR="00B74DFD">
        <w:rPr>
          <w:rFonts w:asciiTheme="majorBidi" w:hAnsiTheme="majorBidi" w:cstheme="majorBidi"/>
          <w:szCs w:val="22"/>
        </w:rPr>
        <w:t>,</w:t>
      </w:r>
      <w:r w:rsidRPr="009D551E">
        <w:rPr>
          <w:rFonts w:asciiTheme="majorBidi" w:hAnsiTheme="majorBidi" w:cstheme="majorBidi"/>
          <w:szCs w:val="22"/>
        </w:rPr>
        <w:t xml:space="preserve"> the recent scientific literature suggests that the actions identified in GBO-4 to accelerate progress towards this target remain relevant.</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19:By 2020, knowledge, the science base and technologies relating to biodiversity, its values, functioning, status and trends, and the consequences of its loss, are improved, widely shared and transferred, and applied.</w:t>
      </w:r>
    </w:p>
    <w:p w:rsidR="009D551E" w:rsidRPr="009D551E" w:rsidRDefault="009D551E" w:rsidP="004E662F">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 xml:space="preserve">The scientific articles referenced in this note indicate that the amount of </w:t>
      </w:r>
      <w:r w:rsidR="00B74DFD">
        <w:rPr>
          <w:rFonts w:asciiTheme="majorBidi" w:hAnsiTheme="majorBidi" w:cstheme="majorBidi"/>
          <w:szCs w:val="22"/>
        </w:rPr>
        <w:t xml:space="preserve">available </w:t>
      </w:r>
      <w:r w:rsidRPr="009D551E">
        <w:rPr>
          <w:rFonts w:asciiTheme="majorBidi" w:hAnsiTheme="majorBidi" w:cstheme="majorBidi"/>
          <w:szCs w:val="22"/>
        </w:rPr>
        <w:t xml:space="preserve">biodiversity information is increasing at a rapid pace. These articles imply that progress is continuing to be made towards the attainment of this target and it is clear that significantly more biodiversity information is available today than when Aichi Biodiversity Target 19 was adopted, though gaps remain. </w:t>
      </w:r>
    </w:p>
    <w:p w:rsidR="009D551E" w:rsidRPr="009D551E" w:rsidRDefault="009D551E" w:rsidP="004E662F">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While the amount of biodiversity information is increasing</w:t>
      </w:r>
      <w:r w:rsidR="00125F47">
        <w:rPr>
          <w:rFonts w:asciiTheme="majorBidi" w:hAnsiTheme="majorBidi" w:cstheme="majorBidi"/>
          <w:szCs w:val="22"/>
        </w:rPr>
        <w:t>,</w:t>
      </w:r>
      <w:r w:rsidRPr="009D551E">
        <w:rPr>
          <w:rFonts w:asciiTheme="majorBidi" w:hAnsiTheme="majorBidi" w:cstheme="majorBidi"/>
          <w:szCs w:val="22"/>
        </w:rPr>
        <w:t xml:space="preserve"> there has been less progress in widely sharing this information and in applying it to policy decisions. However</w:t>
      </w:r>
      <w:r w:rsidR="00125F47">
        <w:rPr>
          <w:rFonts w:asciiTheme="majorBidi" w:hAnsiTheme="majorBidi" w:cstheme="majorBidi"/>
          <w:szCs w:val="22"/>
        </w:rPr>
        <w:t xml:space="preserve">, </w:t>
      </w:r>
      <w:r w:rsidRPr="009D551E">
        <w:rPr>
          <w:rFonts w:asciiTheme="majorBidi" w:hAnsiTheme="majorBidi" w:cstheme="majorBidi"/>
          <w:szCs w:val="22"/>
        </w:rPr>
        <w:t>there has been research undertaken to help address this. For example</w:t>
      </w:r>
      <w:r w:rsidR="00125F47">
        <w:rPr>
          <w:rFonts w:asciiTheme="majorBidi" w:hAnsiTheme="majorBidi" w:cstheme="majorBidi"/>
          <w:szCs w:val="22"/>
        </w:rPr>
        <w:t>,</w:t>
      </w:r>
      <w:r w:rsidRPr="009D551E">
        <w:rPr>
          <w:rFonts w:asciiTheme="majorBidi" w:hAnsiTheme="majorBidi" w:cstheme="majorBidi"/>
          <w:szCs w:val="22"/>
        </w:rPr>
        <w:t xml:space="preserve"> research has been undertaken on methodologies for the transfer of knowledge on biodiversity management from experts to citizens, including by using tools such </w:t>
      </w:r>
      <w:r w:rsidR="00FB30DB">
        <w:rPr>
          <w:rFonts w:asciiTheme="majorBidi" w:hAnsiTheme="majorBidi" w:cstheme="majorBidi"/>
          <w:szCs w:val="22"/>
        </w:rPr>
        <w:t xml:space="preserve">as </w:t>
      </w:r>
      <w:r w:rsidRPr="009D551E">
        <w:rPr>
          <w:rFonts w:asciiTheme="majorBidi" w:hAnsiTheme="majorBidi" w:cstheme="majorBidi"/>
          <w:szCs w:val="22"/>
        </w:rPr>
        <w:t>network analysis</w:t>
      </w:r>
      <w:r w:rsidRPr="009D551E">
        <w:rPr>
          <w:rStyle w:val="StyleFootnoteReferenceNounderline"/>
          <w:rFonts w:asciiTheme="majorBidi" w:hAnsiTheme="majorBidi" w:cstheme="majorBidi"/>
          <w:sz w:val="22"/>
          <w:szCs w:val="22"/>
          <w:vertAlign w:val="superscript"/>
        </w:rPr>
        <w:footnoteReference w:id="374"/>
      </w:r>
      <w:r w:rsidRPr="009D551E">
        <w:rPr>
          <w:rFonts w:asciiTheme="majorBidi" w:hAnsiTheme="majorBidi" w:cstheme="majorBidi"/>
          <w:szCs w:val="22"/>
        </w:rPr>
        <w:t>, the development of observation networks</w:t>
      </w:r>
      <w:r w:rsidRPr="009D551E">
        <w:rPr>
          <w:rStyle w:val="StyleFootnoteReferenceNounderline"/>
          <w:rFonts w:asciiTheme="majorBidi" w:hAnsiTheme="majorBidi" w:cstheme="majorBidi"/>
          <w:sz w:val="22"/>
          <w:szCs w:val="22"/>
          <w:vertAlign w:val="superscript"/>
        </w:rPr>
        <w:footnoteReference w:id="375"/>
      </w:r>
      <w:r w:rsidR="00FB30DB">
        <w:rPr>
          <w:rFonts w:asciiTheme="majorBidi" w:hAnsiTheme="majorBidi" w:cstheme="majorBidi"/>
          <w:szCs w:val="22"/>
        </w:rPr>
        <w:t>,</w:t>
      </w:r>
      <w:r w:rsidRPr="009D551E">
        <w:rPr>
          <w:rFonts w:asciiTheme="majorBidi" w:hAnsiTheme="majorBidi" w:cstheme="majorBidi"/>
          <w:szCs w:val="22"/>
        </w:rPr>
        <w:t xml:space="preserve"> as well as by better understanding how people perceive biodiversity information</w:t>
      </w:r>
      <w:r w:rsidRPr="009D551E">
        <w:rPr>
          <w:rStyle w:val="StyleFootnoteReferenceNounderline"/>
          <w:rFonts w:asciiTheme="majorBidi" w:hAnsiTheme="majorBidi" w:cstheme="majorBidi"/>
          <w:sz w:val="22"/>
          <w:szCs w:val="22"/>
          <w:vertAlign w:val="superscript"/>
        </w:rPr>
        <w:footnoteReference w:id="376"/>
      </w:r>
      <w:r w:rsidRPr="009D551E">
        <w:rPr>
          <w:rFonts w:asciiTheme="majorBidi" w:hAnsiTheme="majorBidi" w:cstheme="majorBidi"/>
          <w:szCs w:val="22"/>
        </w:rPr>
        <w:t>. Similarly</w:t>
      </w:r>
      <w:r w:rsidR="00FB30DB">
        <w:rPr>
          <w:rFonts w:asciiTheme="majorBidi" w:hAnsiTheme="majorBidi" w:cstheme="majorBidi"/>
          <w:szCs w:val="22"/>
        </w:rPr>
        <w:t>,</w:t>
      </w:r>
      <w:r w:rsidRPr="009D551E">
        <w:rPr>
          <w:rFonts w:asciiTheme="majorBidi" w:hAnsiTheme="majorBidi" w:cstheme="majorBidi"/>
          <w:szCs w:val="22"/>
        </w:rPr>
        <w:t xml:space="preserve"> there has been work to better document types of knowledge which have tended to receive less attention from the scientific community, such as traditional medical knowledge</w:t>
      </w:r>
      <w:r w:rsidRPr="009D551E">
        <w:rPr>
          <w:rStyle w:val="StyleFootnoteReferenceNounderline"/>
          <w:rFonts w:asciiTheme="majorBidi" w:hAnsiTheme="majorBidi" w:cstheme="majorBidi"/>
          <w:sz w:val="22"/>
          <w:szCs w:val="22"/>
          <w:vertAlign w:val="superscript"/>
        </w:rPr>
        <w:footnoteReference w:id="377"/>
      </w:r>
      <w:r w:rsidRPr="009D551E">
        <w:rPr>
          <w:rFonts w:asciiTheme="majorBidi" w:hAnsiTheme="majorBidi" w:cstheme="majorBidi"/>
          <w:szCs w:val="22"/>
        </w:rPr>
        <w:t xml:space="preserve"> and knowledge related </w:t>
      </w:r>
      <w:r w:rsidR="00FB30DB">
        <w:rPr>
          <w:rFonts w:asciiTheme="majorBidi" w:hAnsiTheme="majorBidi" w:cstheme="majorBidi"/>
          <w:szCs w:val="22"/>
        </w:rPr>
        <w:t xml:space="preserve">to </w:t>
      </w:r>
      <w:r w:rsidRPr="009D551E">
        <w:rPr>
          <w:rFonts w:asciiTheme="majorBidi" w:hAnsiTheme="majorBidi" w:cstheme="majorBidi"/>
          <w:szCs w:val="22"/>
        </w:rPr>
        <w:t>traditional medicinal plants</w:t>
      </w:r>
      <w:r w:rsidRPr="009D551E">
        <w:rPr>
          <w:rStyle w:val="StyleFootnoteReferenceNounderline"/>
          <w:rFonts w:asciiTheme="majorBidi" w:hAnsiTheme="majorBidi" w:cstheme="majorBidi"/>
          <w:sz w:val="22"/>
          <w:szCs w:val="22"/>
          <w:vertAlign w:val="superscript"/>
        </w:rPr>
        <w:footnoteReference w:id="378"/>
      </w:r>
      <w:r w:rsidRPr="009D551E">
        <w:rPr>
          <w:rFonts w:asciiTheme="majorBidi" w:hAnsiTheme="majorBidi" w:cstheme="majorBidi"/>
          <w:szCs w:val="22"/>
        </w:rPr>
        <w:t>. In addition</w:t>
      </w:r>
      <w:r w:rsidR="00FB30DB">
        <w:rPr>
          <w:rFonts w:asciiTheme="majorBidi" w:hAnsiTheme="majorBidi" w:cstheme="majorBidi"/>
          <w:szCs w:val="22"/>
        </w:rPr>
        <w:t>,</w:t>
      </w:r>
      <w:r w:rsidRPr="009D551E">
        <w:rPr>
          <w:rFonts w:asciiTheme="majorBidi" w:hAnsiTheme="majorBidi" w:cstheme="majorBidi"/>
          <w:szCs w:val="22"/>
        </w:rPr>
        <w:t xml:space="preserve"> a range of research has been carried out to develop methods </w:t>
      </w:r>
      <w:r w:rsidR="00FB30DB">
        <w:rPr>
          <w:rFonts w:asciiTheme="majorBidi" w:hAnsiTheme="majorBidi" w:cstheme="majorBidi"/>
          <w:szCs w:val="22"/>
        </w:rPr>
        <w:t xml:space="preserve">to </w:t>
      </w:r>
      <w:r w:rsidRPr="009D551E">
        <w:rPr>
          <w:rFonts w:asciiTheme="majorBidi" w:hAnsiTheme="majorBidi" w:cstheme="majorBidi"/>
          <w:szCs w:val="22"/>
        </w:rPr>
        <w:t>better collect and catalog</w:t>
      </w:r>
      <w:r w:rsidR="00FB30DB">
        <w:rPr>
          <w:rFonts w:asciiTheme="majorBidi" w:hAnsiTheme="majorBidi" w:cstheme="majorBidi"/>
          <w:szCs w:val="22"/>
        </w:rPr>
        <w:t xml:space="preserve">ue </w:t>
      </w:r>
      <w:r w:rsidRPr="009D551E">
        <w:rPr>
          <w:rFonts w:asciiTheme="majorBidi" w:hAnsiTheme="majorBidi" w:cstheme="majorBidi"/>
          <w:szCs w:val="22"/>
        </w:rPr>
        <w:t xml:space="preserve">biodiversity information. This includes </w:t>
      </w:r>
      <w:r w:rsidRPr="009D551E">
        <w:rPr>
          <w:rFonts w:asciiTheme="majorBidi" w:hAnsiTheme="majorBidi" w:cstheme="majorBidi"/>
          <w:szCs w:val="22"/>
        </w:rPr>
        <w:lastRenderedPageBreak/>
        <w:t>work related to DNA barcoding</w:t>
      </w:r>
      <w:r w:rsidRPr="009D551E">
        <w:rPr>
          <w:rStyle w:val="StyleFootnoteReferenceNounderline"/>
          <w:rFonts w:asciiTheme="majorBidi" w:hAnsiTheme="majorBidi" w:cstheme="majorBidi"/>
          <w:sz w:val="22"/>
          <w:szCs w:val="22"/>
          <w:vertAlign w:val="superscript"/>
        </w:rPr>
        <w:footnoteReference w:id="379"/>
      </w:r>
      <w:r w:rsidRPr="009D551E">
        <w:rPr>
          <w:rFonts w:asciiTheme="majorBidi" w:hAnsiTheme="majorBidi" w:cstheme="majorBidi"/>
          <w:szCs w:val="22"/>
        </w:rPr>
        <w:t>. Given the current limitations in some biodiversity</w:t>
      </w:r>
      <w:r w:rsidR="00FB30DB">
        <w:rPr>
          <w:rFonts w:asciiTheme="majorBidi" w:hAnsiTheme="majorBidi" w:cstheme="majorBidi"/>
          <w:szCs w:val="22"/>
        </w:rPr>
        <w:t>-</w:t>
      </w:r>
      <w:r w:rsidRPr="009D551E">
        <w:rPr>
          <w:rFonts w:asciiTheme="majorBidi" w:hAnsiTheme="majorBidi" w:cstheme="majorBidi"/>
          <w:szCs w:val="22"/>
        </w:rPr>
        <w:t>rich countries in relation to biodiversity monitoring</w:t>
      </w:r>
      <w:r w:rsidR="00863F1A">
        <w:rPr>
          <w:rFonts w:asciiTheme="majorBidi" w:hAnsiTheme="majorBidi" w:cstheme="majorBidi"/>
          <w:szCs w:val="22"/>
        </w:rPr>
        <w:t>,</w:t>
      </w:r>
      <w:r w:rsidRPr="009D551E">
        <w:rPr>
          <w:rFonts w:asciiTheme="majorBidi" w:hAnsiTheme="majorBidi" w:cstheme="majorBidi"/>
          <w:szCs w:val="22"/>
        </w:rPr>
        <w:t xml:space="preserve"> studies have also been undertaken to better understand capacity</w:t>
      </w:r>
      <w:r w:rsidR="00FB30DB">
        <w:rPr>
          <w:rFonts w:asciiTheme="majorBidi" w:hAnsiTheme="majorBidi" w:cstheme="majorBidi"/>
          <w:szCs w:val="22"/>
        </w:rPr>
        <w:t>-</w:t>
      </w:r>
      <w:r w:rsidRPr="009D551E">
        <w:rPr>
          <w:rFonts w:asciiTheme="majorBidi" w:hAnsiTheme="majorBidi" w:cstheme="majorBidi"/>
          <w:szCs w:val="22"/>
        </w:rPr>
        <w:t>building needs</w:t>
      </w:r>
      <w:r w:rsidRPr="009D551E">
        <w:rPr>
          <w:rStyle w:val="StyleFootnoteReferenceNounderline"/>
          <w:rFonts w:asciiTheme="majorBidi" w:hAnsiTheme="majorBidi" w:cstheme="majorBidi"/>
          <w:sz w:val="22"/>
          <w:szCs w:val="22"/>
          <w:vertAlign w:val="superscript"/>
        </w:rPr>
        <w:footnoteReference w:id="380"/>
      </w:r>
      <w:r w:rsidR="00FB30DB">
        <w:rPr>
          <w:rFonts w:asciiTheme="majorBidi" w:hAnsiTheme="majorBidi" w:cstheme="majorBidi"/>
          <w:szCs w:val="22"/>
        </w:rPr>
        <w:t>,</w:t>
      </w:r>
      <w:r w:rsidRPr="009D551E">
        <w:rPr>
          <w:rFonts w:asciiTheme="majorBidi" w:hAnsiTheme="majorBidi" w:cstheme="majorBidi"/>
          <w:szCs w:val="22"/>
        </w:rPr>
        <w:t xml:space="preserve"> while other studies have attempted to evaluate the funding needs associated with maintain</w:t>
      </w:r>
      <w:r w:rsidR="00FB30DB">
        <w:rPr>
          <w:rFonts w:asciiTheme="majorBidi" w:hAnsiTheme="majorBidi" w:cstheme="majorBidi"/>
          <w:szCs w:val="22"/>
        </w:rPr>
        <w:t>ing</w:t>
      </w:r>
      <w:r w:rsidRPr="009D551E">
        <w:rPr>
          <w:rFonts w:asciiTheme="majorBidi" w:hAnsiTheme="majorBidi" w:cstheme="majorBidi"/>
          <w:szCs w:val="22"/>
        </w:rPr>
        <w:t xml:space="preserve"> different conservation knowledge products</w:t>
      </w:r>
      <w:r w:rsidRPr="009D551E">
        <w:rPr>
          <w:rStyle w:val="StyleFootnoteReferenceNounderline"/>
          <w:rFonts w:asciiTheme="majorBidi" w:hAnsiTheme="majorBidi" w:cstheme="majorBidi"/>
          <w:sz w:val="22"/>
          <w:szCs w:val="22"/>
          <w:vertAlign w:val="superscript"/>
        </w:rPr>
        <w:footnoteReference w:id="381"/>
      </w:r>
      <w:r w:rsidRPr="009D551E">
        <w:rPr>
          <w:rFonts w:asciiTheme="majorBidi" w:hAnsiTheme="majorBidi" w:cstheme="majorBidi"/>
          <w:szCs w:val="22"/>
        </w:rPr>
        <w:t>.</w:t>
      </w:r>
    </w:p>
    <w:p w:rsidR="009D551E" w:rsidRPr="009D551E" w:rsidRDefault="009D551E" w:rsidP="004E662F">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Two indicators used in GBO-4, number of biodiversity papers published</w:t>
      </w:r>
      <w:r w:rsidRPr="009D551E">
        <w:rPr>
          <w:rStyle w:val="FootnoteReference"/>
          <w:rFonts w:asciiTheme="majorBidi" w:hAnsiTheme="majorBidi" w:cstheme="majorBidi"/>
          <w:sz w:val="22"/>
          <w:szCs w:val="22"/>
        </w:rPr>
        <w:footnoteReference w:id="382"/>
      </w:r>
      <w:r w:rsidRPr="009D551E">
        <w:rPr>
          <w:rFonts w:asciiTheme="majorBidi" w:hAnsiTheme="majorBidi" w:cstheme="majorBidi"/>
          <w:szCs w:val="22"/>
        </w:rPr>
        <w:t xml:space="preserve"> and the number of species occurrence records in the Global Biodiversity Information Facility</w:t>
      </w:r>
      <w:r w:rsidRPr="009D551E">
        <w:rPr>
          <w:rStyle w:val="FootnoteReference"/>
          <w:rFonts w:asciiTheme="majorBidi" w:hAnsiTheme="majorBidi" w:cstheme="majorBidi"/>
          <w:sz w:val="22"/>
          <w:szCs w:val="22"/>
        </w:rPr>
        <w:footnoteReference w:id="383"/>
      </w:r>
      <w:r w:rsidR="00863F1A">
        <w:rPr>
          <w:rFonts w:asciiTheme="majorBidi" w:hAnsiTheme="majorBidi" w:cstheme="majorBidi"/>
          <w:szCs w:val="22"/>
        </w:rPr>
        <w:t xml:space="preserve">, have been updated since </w:t>
      </w:r>
      <w:r w:rsidRPr="009D551E">
        <w:rPr>
          <w:rFonts w:asciiTheme="majorBidi" w:hAnsiTheme="majorBidi" w:cstheme="majorBidi"/>
          <w:szCs w:val="22"/>
        </w:rPr>
        <w:t>2014. Both indicators show increases. In addition</w:t>
      </w:r>
      <w:r w:rsidR="00FB30DB">
        <w:rPr>
          <w:rFonts w:asciiTheme="majorBidi" w:hAnsiTheme="majorBidi" w:cstheme="majorBidi"/>
          <w:szCs w:val="22"/>
        </w:rPr>
        <w:t>,</w:t>
      </w:r>
      <w:r w:rsidRPr="009D551E">
        <w:rPr>
          <w:rFonts w:asciiTheme="majorBidi" w:hAnsiTheme="majorBidi" w:cstheme="majorBidi"/>
          <w:szCs w:val="22"/>
        </w:rPr>
        <w:t xml:space="preserve"> two indicators not used in GBO-4, the species status information index</w:t>
      </w:r>
      <w:r w:rsidRPr="009D551E">
        <w:rPr>
          <w:rStyle w:val="FootnoteReference"/>
          <w:rFonts w:asciiTheme="majorBidi" w:hAnsiTheme="majorBidi" w:cstheme="majorBidi"/>
          <w:sz w:val="22"/>
          <w:szCs w:val="22"/>
        </w:rPr>
        <w:footnoteReference w:id="384"/>
      </w:r>
      <w:r w:rsidRPr="009D551E">
        <w:rPr>
          <w:rFonts w:asciiTheme="majorBidi" w:hAnsiTheme="majorBidi" w:cstheme="majorBidi"/>
          <w:szCs w:val="22"/>
        </w:rPr>
        <w:t xml:space="preserve"> and the proportion of known species assessed through the IUCN Red List</w:t>
      </w:r>
      <w:r w:rsidRPr="009D551E">
        <w:rPr>
          <w:rStyle w:val="FootnoteReference"/>
          <w:rFonts w:asciiTheme="majorBidi" w:hAnsiTheme="majorBidi" w:cstheme="majorBidi"/>
          <w:sz w:val="22"/>
          <w:szCs w:val="22"/>
        </w:rPr>
        <w:footnoteReference w:id="385"/>
      </w:r>
      <w:r w:rsidRPr="009D551E">
        <w:rPr>
          <w:rFonts w:asciiTheme="majorBidi" w:hAnsiTheme="majorBidi" w:cstheme="majorBidi"/>
          <w:szCs w:val="22"/>
        </w:rPr>
        <w:t xml:space="preserve">, have become available since GBO-4 was published. Both of these indicators show positive trends. </w:t>
      </w:r>
    </w:p>
    <w:p w:rsidR="009D551E" w:rsidRPr="009D551E" w:rsidRDefault="009D551E" w:rsidP="004E662F">
      <w:pPr>
        <w:pStyle w:val="Para1"/>
        <w:tabs>
          <w:tab w:val="clear" w:pos="360"/>
          <w:tab w:val="num" w:pos="810"/>
        </w:tabs>
        <w:rPr>
          <w:rFonts w:asciiTheme="majorBidi" w:hAnsiTheme="majorBidi" w:cstheme="majorBidi"/>
          <w:szCs w:val="22"/>
        </w:rPr>
      </w:pPr>
      <w:r w:rsidRPr="009D551E">
        <w:rPr>
          <w:rFonts w:asciiTheme="majorBidi" w:hAnsiTheme="majorBidi" w:cstheme="majorBidi"/>
          <w:szCs w:val="22"/>
        </w:rPr>
        <w:t>The information that has become available since the publication of GBO-4 suggests that progress towards this target is largely unchanged from what was previously reported. The amount of biodiversity knowledge available continues to increase and</w:t>
      </w:r>
      <w:r w:rsidR="00A202B6">
        <w:rPr>
          <w:rFonts w:asciiTheme="majorBidi" w:hAnsiTheme="majorBidi" w:cstheme="majorBidi"/>
          <w:szCs w:val="22"/>
        </w:rPr>
        <w:t xml:space="preserve">, </w:t>
      </w:r>
      <w:r w:rsidRPr="009D551E">
        <w:rPr>
          <w:rFonts w:asciiTheme="majorBidi" w:hAnsiTheme="majorBidi" w:cstheme="majorBidi"/>
          <w:szCs w:val="22"/>
        </w:rPr>
        <w:t>while progress has been made in sharing and applying this knowledge</w:t>
      </w:r>
      <w:r w:rsidR="00A202B6">
        <w:rPr>
          <w:rFonts w:asciiTheme="majorBidi" w:hAnsiTheme="majorBidi" w:cstheme="majorBidi"/>
          <w:szCs w:val="22"/>
        </w:rPr>
        <w:t>,</w:t>
      </w:r>
      <w:r w:rsidRPr="009D551E">
        <w:rPr>
          <w:rFonts w:asciiTheme="majorBidi" w:hAnsiTheme="majorBidi" w:cstheme="majorBidi"/>
          <w:szCs w:val="22"/>
        </w:rPr>
        <w:t xml:space="preserve"> more efforts are needed in this regard. Further</w:t>
      </w:r>
      <w:r w:rsidR="00A202B6">
        <w:rPr>
          <w:rFonts w:asciiTheme="majorBidi" w:hAnsiTheme="majorBidi" w:cstheme="majorBidi"/>
          <w:szCs w:val="22"/>
        </w:rPr>
        <w:t>,</w:t>
      </w:r>
      <w:r w:rsidRPr="009D551E">
        <w:rPr>
          <w:rFonts w:asciiTheme="majorBidi" w:hAnsiTheme="majorBidi" w:cstheme="majorBidi"/>
          <w:szCs w:val="22"/>
        </w:rPr>
        <w:t xml:space="preserve"> the recent scientific literature suggests that the actions identified in GBO-4 to accelerate progress towards this target remain relevant.</w:t>
      </w:r>
    </w:p>
    <w:p w:rsidR="009D551E" w:rsidRPr="009D551E" w:rsidRDefault="009D551E" w:rsidP="009D551E">
      <w:pPr>
        <w:pStyle w:val="NormalWeb"/>
        <w:rPr>
          <w:rFonts w:asciiTheme="majorBidi" w:hAnsiTheme="majorBidi" w:cstheme="majorBidi"/>
          <w:i/>
          <w:sz w:val="22"/>
          <w:szCs w:val="22"/>
        </w:rPr>
      </w:pPr>
      <w:r w:rsidRPr="009D551E">
        <w:rPr>
          <w:rFonts w:asciiTheme="majorBidi" w:hAnsiTheme="majorBidi" w:cstheme="majorBidi"/>
          <w:i/>
          <w:sz w:val="22"/>
          <w:szCs w:val="22"/>
        </w:rPr>
        <w:t>Target 20:</w:t>
      </w:r>
      <w:r w:rsidR="00A202B6">
        <w:rPr>
          <w:rFonts w:asciiTheme="majorBidi" w:hAnsiTheme="majorBidi" w:cstheme="majorBidi"/>
          <w:i/>
          <w:sz w:val="22"/>
          <w:szCs w:val="22"/>
        </w:rPr>
        <w:t xml:space="preserve"> </w:t>
      </w:r>
      <w:r w:rsidRPr="009D551E">
        <w:rPr>
          <w:rFonts w:asciiTheme="majorBidi" w:hAnsiTheme="majorBidi" w:cstheme="majorBidi"/>
          <w:i/>
          <w:sz w:val="22"/>
          <w:szCs w:val="22"/>
        </w:rPr>
        <w:t>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This target will be subject to changes contingent to resource needs assessments to be developed and reported by Parties.</w:t>
      </w:r>
    </w:p>
    <w:p w:rsidR="009D551E" w:rsidRPr="006B33BA" w:rsidRDefault="009D551E" w:rsidP="00720FA7">
      <w:pPr>
        <w:pStyle w:val="Para1"/>
      </w:pPr>
      <w:r w:rsidRPr="006B33BA">
        <w:t xml:space="preserve">The fourth edition of the </w:t>
      </w:r>
      <w:r w:rsidRPr="004C385C">
        <w:rPr>
          <w:i/>
        </w:rPr>
        <w:t>Global Biodiversity Outlook</w:t>
      </w:r>
      <w:r w:rsidRPr="006B33BA">
        <w:t xml:space="preserve"> concluded </w:t>
      </w:r>
      <w:r w:rsidR="00A202B6" w:rsidRPr="006B33BA">
        <w:t xml:space="preserve">that </w:t>
      </w:r>
      <w:r w:rsidRPr="006B33BA">
        <w:t>further efforts will be needed to significantly increase the financial resources, from all sources, for effective implementation of the Strategic Plan for Biodiversity 2011</w:t>
      </w:r>
      <w:r w:rsidR="00A202B6" w:rsidRPr="006B33BA">
        <w:t>-</w:t>
      </w:r>
      <w:r w:rsidRPr="006B33BA">
        <w:t>2020. Further</w:t>
      </w:r>
      <w:r w:rsidR="00A202B6" w:rsidRPr="006B33BA">
        <w:t>,</w:t>
      </w:r>
      <w:r w:rsidRPr="006B33BA">
        <w:t xml:space="preserve"> the report noted that there was insufficient data to report with confidence on progress towards the mobilization of financial resources from all sources. Since the publication of GBO-4</w:t>
      </w:r>
      <w:r w:rsidR="006B33BA" w:rsidRPr="006B33BA">
        <w:t>,</w:t>
      </w:r>
      <w:r w:rsidRPr="006B33BA">
        <w:t xml:space="preserve"> the Conference of the Parties has put a financial reporting mechanism </w:t>
      </w:r>
      <w:r w:rsidR="006B33BA" w:rsidRPr="006B33BA">
        <w:t xml:space="preserve">in place </w:t>
      </w:r>
      <w:r w:rsidRPr="006B33BA">
        <w:t>which will provide information relevant to the assessment of progress towards this target. Information on progress in the attainment of this target is not readily available from the scientific literature</w:t>
      </w:r>
      <w:r w:rsidR="006B33BA" w:rsidRPr="006B33BA">
        <w:t>,</w:t>
      </w:r>
      <w:r w:rsidRPr="006B33BA">
        <w:t xml:space="preserve"> however updated information on resource mobilization will be presented and discussed during the second meeting of the Subsidiary Body on Implementation.</w:t>
      </w:r>
      <w:r w:rsidR="002430F7">
        <w:t xml:space="preserve"> T</w:t>
      </w:r>
      <w:r w:rsidR="006B33BA" w:rsidRPr="006B33BA">
        <w:t xml:space="preserve">he amount of </w:t>
      </w:r>
      <w:r w:rsidRPr="006B33BA">
        <w:t xml:space="preserve">work focused on </w:t>
      </w:r>
      <w:r w:rsidR="006B33BA">
        <w:t xml:space="preserve">acquiring a </w:t>
      </w:r>
      <w:r w:rsidRPr="006B33BA">
        <w:t xml:space="preserve">better understanding </w:t>
      </w:r>
      <w:r w:rsidR="006B33BA">
        <w:t xml:space="preserve">of </w:t>
      </w:r>
      <w:r w:rsidRPr="006B33BA">
        <w:t>the impact on financing on biodiversity outcomes</w:t>
      </w:r>
      <w:r w:rsidR="006B33BA" w:rsidRPr="006B33BA">
        <w:t xml:space="preserve"> is on the rise</w:t>
      </w:r>
      <w:r w:rsidRPr="006B33BA">
        <w:t>. For example, a model</w:t>
      </w:r>
      <w:r w:rsidR="006B33BA">
        <w:t>,</w:t>
      </w:r>
      <w:r w:rsidRPr="006B33BA">
        <w:t xml:space="preserve"> based on information from 109 countries, found that biodiversity investment reduced biodiversity loss by 29% between 1996 and 2008</w:t>
      </w:r>
      <w:r w:rsidRPr="00863F1A">
        <w:rPr>
          <w:rStyle w:val="FootnoteReference"/>
          <w:rFonts w:asciiTheme="majorBidi" w:hAnsiTheme="majorBidi" w:cstheme="majorBidi"/>
          <w:sz w:val="22"/>
          <w:szCs w:val="22"/>
        </w:rPr>
        <w:footnoteReference w:id="386"/>
      </w:r>
      <w:r w:rsidRPr="006B33BA">
        <w:t>. Further</w:t>
      </w:r>
      <w:r w:rsidR="006B33BA" w:rsidRPr="006B33BA">
        <w:t>,</w:t>
      </w:r>
      <w:r w:rsidRPr="006B33BA">
        <w:t xml:space="preserve"> two indicators used in GBO-4 have been updated since 2014. The indicators, official development assistance provided in support of the CBD objectives</w:t>
      </w:r>
      <w:r w:rsidRPr="009D551E">
        <w:rPr>
          <w:rStyle w:val="FootnoteReference"/>
          <w:rFonts w:asciiTheme="majorBidi" w:hAnsiTheme="majorBidi" w:cstheme="majorBidi"/>
          <w:sz w:val="22"/>
          <w:szCs w:val="22"/>
        </w:rPr>
        <w:footnoteReference w:id="387"/>
      </w:r>
      <w:r w:rsidRPr="006B33BA">
        <w:t xml:space="preserve"> and funding provided by the Global Environment Facility, both show positive trends.</w:t>
      </w:r>
    </w:p>
    <w:p w:rsidR="009D551E" w:rsidRPr="009D551E" w:rsidRDefault="004C385C" w:rsidP="004C385C">
      <w:pPr>
        <w:pStyle w:val="Heading1"/>
      </w:pPr>
      <w:r>
        <w:lastRenderedPageBreak/>
        <w:t>II</w:t>
      </w:r>
      <w:r w:rsidR="009D551E" w:rsidRPr="009D551E">
        <w:t xml:space="preserve">I. </w:t>
      </w:r>
      <w:r>
        <w:tab/>
      </w:r>
      <w:r w:rsidR="009D551E" w:rsidRPr="009D551E">
        <w:t>Conclusions</w:t>
      </w:r>
    </w:p>
    <w:p w:rsidR="009D551E" w:rsidRPr="009D551E" w:rsidRDefault="009D551E" w:rsidP="004E662F">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 xml:space="preserve">A variety of scientific information relevant to the Aichi Biodiversity Targets has become available since the publication of the fourth edition of the </w:t>
      </w:r>
      <w:r w:rsidRPr="004C385C">
        <w:rPr>
          <w:rFonts w:asciiTheme="majorBidi" w:hAnsiTheme="majorBidi" w:cstheme="majorBidi"/>
          <w:i/>
          <w:szCs w:val="22"/>
        </w:rPr>
        <w:t>Global Biodiversity Outlook</w:t>
      </w:r>
      <w:r w:rsidR="00550142">
        <w:rPr>
          <w:rFonts w:asciiTheme="majorBidi" w:hAnsiTheme="majorBidi" w:cstheme="majorBidi"/>
          <w:szCs w:val="22"/>
        </w:rPr>
        <w:t xml:space="preserve"> in 2014</w:t>
      </w:r>
      <w:r w:rsidRPr="009D551E">
        <w:rPr>
          <w:rFonts w:asciiTheme="majorBidi" w:hAnsiTheme="majorBidi" w:cstheme="majorBidi"/>
          <w:szCs w:val="22"/>
        </w:rPr>
        <w:t>. This information has furthered ou</w:t>
      </w:r>
      <w:r w:rsidR="00065C1E">
        <w:rPr>
          <w:rFonts w:asciiTheme="majorBidi" w:hAnsiTheme="majorBidi" w:cstheme="majorBidi"/>
          <w:szCs w:val="22"/>
        </w:rPr>
        <w:t>r</w:t>
      </w:r>
      <w:r w:rsidRPr="009D551E">
        <w:rPr>
          <w:rFonts w:asciiTheme="majorBidi" w:hAnsiTheme="majorBidi" w:cstheme="majorBidi"/>
          <w:szCs w:val="22"/>
        </w:rPr>
        <w:t xml:space="preserve"> understanding of various issues related to biodiversity, including </w:t>
      </w:r>
      <w:r w:rsidRPr="00550142">
        <w:rPr>
          <w:rFonts w:asciiTheme="majorBidi" w:hAnsiTheme="majorBidi" w:cstheme="majorBidi"/>
          <w:szCs w:val="22"/>
        </w:rPr>
        <w:t xml:space="preserve">approaches and methodologies </w:t>
      </w:r>
      <w:r w:rsidR="00550142" w:rsidRPr="00550142">
        <w:rPr>
          <w:rFonts w:asciiTheme="majorBidi" w:hAnsiTheme="majorBidi" w:cstheme="majorBidi"/>
          <w:szCs w:val="22"/>
        </w:rPr>
        <w:t xml:space="preserve">that can be </w:t>
      </w:r>
      <w:r w:rsidR="00550142" w:rsidRPr="00720FA7">
        <w:rPr>
          <w:rFonts w:asciiTheme="majorBidi" w:hAnsiTheme="majorBidi" w:cstheme="majorBidi"/>
          <w:szCs w:val="22"/>
        </w:rPr>
        <w:t>use</w:t>
      </w:r>
      <w:r w:rsidR="00550142">
        <w:rPr>
          <w:rFonts w:asciiTheme="majorBidi" w:hAnsiTheme="majorBidi" w:cstheme="majorBidi"/>
          <w:szCs w:val="22"/>
        </w:rPr>
        <w:t>d</w:t>
      </w:r>
      <w:r w:rsidR="00550142" w:rsidRPr="00720FA7">
        <w:rPr>
          <w:rFonts w:asciiTheme="majorBidi" w:hAnsiTheme="majorBidi" w:cstheme="majorBidi"/>
          <w:szCs w:val="22"/>
        </w:rPr>
        <w:t xml:space="preserve"> for its </w:t>
      </w:r>
      <w:r w:rsidR="00550142" w:rsidRPr="00550142">
        <w:rPr>
          <w:rFonts w:asciiTheme="majorBidi" w:hAnsiTheme="majorBidi" w:cstheme="majorBidi"/>
          <w:szCs w:val="22"/>
        </w:rPr>
        <w:t xml:space="preserve">conservation and </w:t>
      </w:r>
      <w:r w:rsidRPr="00550142">
        <w:rPr>
          <w:rFonts w:asciiTheme="majorBidi" w:hAnsiTheme="majorBidi" w:cstheme="majorBidi"/>
          <w:szCs w:val="22"/>
        </w:rPr>
        <w:t>sustainabl</w:t>
      </w:r>
      <w:r w:rsidR="00550142" w:rsidRPr="00550142">
        <w:rPr>
          <w:rFonts w:asciiTheme="majorBidi" w:hAnsiTheme="majorBidi" w:cstheme="majorBidi"/>
          <w:szCs w:val="22"/>
        </w:rPr>
        <w:t xml:space="preserve">e </w:t>
      </w:r>
      <w:r w:rsidRPr="00550142">
        <w:rPr>
          <w:rFonts w:asciiTheme="majorBidi" w:hAnsiTheme="majorBidi" w:cstheme="majorBidi"/>
          <w:szCs w:val="22"/>
        </w:rPr>
        <w:t>use</w:t>
      </w:r>
      <w:r w:rsidR="00550142" w:rsidRPr="00550142">
        <w:rPr>
          <w:rFonts w:asciiTheme="majorBidi" w:hAnsiTheme="majorBidi" w:cstheme="majorBidi"/>
          <w:szCs w:val="22"/>
        </w:rPr>
        <w:t>. I</w:t>
      </w:r>
      <w:r w:rsidRPr="00550142">
        <w:rPr>
          <w:rFonts w:asciiTheme="majorBidi" w:hAnsiTheme="majorBidi" w:cstheme="majorBidi"/>
          <w:szCs w:val="22"/>
        </w:rPr>
        <w:t>t has also</w:t>
      </w:r>
      <w:r w:rsidRPr="009D551E">
        <w:rPr>
          <w:rFonts w:asciiTheme="majorBidi" w:hAnsiTheme="majorBidi" w:cstheme="majorBidi"/>
          <w:szCs w:val="22"/>
        </w:rPr>
        <w:t xml:space="preserve"> further</w:t>
      </w:r>
      <w:r w:rsidR="00550142">
        <w:rPr>
          <w:rFonts w:asciiTheme="majorBidi" w:hAnsiTheme="majorBidi" w:cstheme="majorBidi"/>
          <w:szCs w:val="22"/>
        </w:rPr>
        <w:t>ed</w:t>
      </w:r>
      <w:r w:rsidRPr="009D551E">
        <w:rPr>
          <w:rFonts w:asciiTheme="majorBidi" w:hAnsiTheme="majorBidi" w:cstheme="majorBidi"/>
          <w:szCs w:val="22"/>
        </w:rPr>
        <w:t xml:space="preserve"> ou</w:t>
      </w:r>
      <w:r w:rsidR="00550142">
        <w:rPr>
          <w:rFonts w:asciiTheme="majorBidi" w:hAnsiTheme="majorBidi" w:cstheme="majorBidi"/>
          <w:szCs w:val="22"/>
        </w:rPr>
        <w:t>r</w:t>
      </w:r>
      <w:r w:rsidRPr="009D551E">
        <w:rPr>
          <w:rFonts w:asciiTheme="majorBidi" w:hAnsiTheme="majorBidi" w:cstheme="majorBidi"/>
          <w:szCs w:val="22"/>
        </w:rPr>
        <w:t xml:space="preserve"> understanding of different biological processes and the ways in which society interacts with and impacts biodiversity. However</w:t>
      </w:r>
      <w:r w:rsidR="00550142">
        <w:rPr>
          <w:rFonts w:asciiTheme="majorBidi" w:hAnsiTheme="majorBidi" w:cstheme="majorBidi"/>
          <w:szCs w:val="22"/>
        </w:rPr>
        <w:t>,</w:t>
      </w:r>
      <w:r w:rsidRPr="009D551E">
        <w:rPr>
          <w:rFonts w:asciiTheme="majorBidi" w:hAnsiTheme="majorBidi" w:cstheme="majorBidi"/>
          <w:szCs w:val="22"/>
        </w:rPr>
        <w:t xml:space="preserve"> this information does not easily lend itself to an updated assessment of progress towards the Aichi Biodiversity Targets. Further</w:t>
      </w:r>
      <w:r w:rsidR="00550142">
        <w:rPr>
          <w:rFonts w:asciiTheme="majorBidi" w:hAnsiTheme="majorBidi" w:cstheme="majorBidi"/>
          <w:szCs w:val="22"/>
        </w:rPr>
        <w:t>,</w:t>
      </w:r>
      <w:r w:rsidRPr="009D551E">
        <w:rPr>
          <w:rFonts w:asciiTheme="majorBidi" w:hAnsiTheme="majorBidi" w:cstheme="majorBidi"/>
          <w:szCs w:val="22"/>
        </w:rPr>
        <w:t xml:space="preserve"> many of the studies reviewed in this note </w:t>
      </w:r>
      <w:r w:rsidR="00550142">
        <w:rPr>
          <w:rFonts w:asciiTheme="majorBidi" w:hAnsiTheme="majorBidi" w:cstheme="majorBidi"/>
          <w:szCs w:val="22"/>
        </w:rPr>
        <w:t xml:space="preserve">employ </w:t>
      </w:r>
      <w:r w:rsidRPr="009D551E">
        <w:rPr>
          <w:rFonts w:asciiTheme="majorBidi" w:hAnsiTheme="majorBidi" w:cstheme="majorBidi"/>
          <w:szCs w:val="22"/>
        </w:rPr>
        <w:t>different definitions</w:t>
      </w:r>
      <w:r w:rsidR="004E662F">
        <w:rPr>
          <w:rFonts w:asciiTheme="majorBidi" w:hAnsiTheme="majorBidi" w:cstheme="majorBidi"/>
          <w:szCs w:val="22"/>
        </w:rPr>
        <w:t xml:space="preserve"> for similar ecosystems and/or processes</w:t>
      </w:r>
      <w:r w:rsidRPr="009D551E">
        <w:rPr>
          <w:rFonts w:asciiTheme="majorBidi" w:hAnsiTheme="majorBidi" w:cstheme="majorBidi"/>
          <w:szCs w:val="22"/>
        </w:rPr>
        <w:t xml:space="preserve"> </w:t>
      </w:r>
      <w:r w:rsidR="004E662F">
        <w:rPr>
          <w:rFonts w:asciiTheme="majorBidi" w:hAnsiTheme="majorBidi" w:cstheme="majorBidi"/>
          <w:szCs w:val="22"/>
        </w:rPr>
        <w:t>as well</w:t>
      </w:r>
      <w:r w:rsidR="004E662F" w:rsidRPr="009D551E">
        <w:rPr>
          <w:rFonts w:asciiTheme="majorBidi" w:hAnsiTheme="majorBidi" w:cstheme="majorBidi"/>
          <w:szCs w:val="22"/>
        </w:rPr>
        <w:t xml:space="preserve"> </w:t>
      </w:r>
      <w:r w:rsidR="004E662F">
        <w:rPr>
          <w:rFonts w:asciiTheme="majorBidi" w:hAnsiTheme="majorBidi" w:cstheme="majorBidi"/>
          <w:szCs w:val="22"/>
        </w:rPr>
        <w:t xml:space="preserve">as apply </w:t>
      </w:r>
      <w:r w:rsidRPr="009D551E">
        <w:rPr>
          <w:rFonts w:asciiTheme="majorBidi" w:hAnsiTheme="majorBidi" w:cstheme="majorBidi"/>
          <w:szCs w:val="22"/>
        </w:rPr>
        <w:t>methodologies</w:t>
      </w:r>
      <w:r w:rsidR="004E662F">
        <w:rPr>
          <w:rFonts w:asciiTheme="majorBidi" w:hAnsiTheme="majorBidi" w:cstheme="majorBidi"/>
          <w:szCs w:val="22"/>
        </w:rPr>
        <w:t xml:space="preserve"> in their research.</w:t>
      </w:r>
      <w:r w:rsidR="0003653B">
        <w:rPr>
          <w:rFonts w:asciiTheme="majorBidi" w:hAnsiTheme="majorBidi" w:cstheme="majorBidi"/>
          <w:szCs w:val="22"/>
        </w:rPr>
        <w:t xml:space="preserve"> </w:t>
      </w:r>
      <w:r w:rsidR="004E662F">
        <w:rPr>
          <w:rFonts w:asciiTheme="majorBidi" w:hAnsiTheme="majorBidi" w:cstheme="majorBidi"/>
          <w:szCs w:val="22"/>
        </w:rPr>
        <w:t>This makes</w:t>
      </w:r>
      <w:r w:rsidRPr="009D551E">
        <w:rPr>
          <w:rFonts w:asciiTheme="majorBidi" w:hAnsiTheme="majorBidi" w:cstheme="majorBidi"/>
          <w:szCs w:val="22"/>
        </w:rPr>
        <w:t xml:space="preserve"> direct comparison</w:t>
      </w:r>
      <w:r w:rsidR="004E662F">
        <w:rPr>
          <w:rFonts w:asciiTheme="majorBidi" w:hAnsiTheme="majorBidi" w:cstheme="majorBidi"/>
          <w:szCs w:val="22"/>
        </w:rPr>
        <w:t>s</w:t>
      </w:r>
      <w:r w:rsidRPr="009D551E">
        <w:rPr>
          <w:rFonts w:asciiTheme="majorBidi" w:hAnsiTheme="majorBidi" w:cstheme="majorBidi"/>
          <w:szCs w:val="22"/>
        </w:rPr>
        <w:t xml:space="preserve"> </w:t>
      </w:r>
      <w:r w:rsidR="004E662F">
        <w:rPr>
          <w:rFonts w:asciiTheme="majorBidi" w:hAnsiTheme="majorBidi" w:cstheme="majorBidi"/>
          <w:szCs w:val="22"/>
        </w:rPr>
        <w:t>of</w:t>
      </w:r>
      <w:r w:rsidR="004E662F" w:rsidRPr="009D551E">
        <w:rPr>
          <w:rFonts w:asciiTheme="majorBidi" w:hAnsiTheme="majorBidi" w:cstheme="majorBidi"/>
          <w:szCs w:val="22"/>
        </w:rPr>
        <w:t xml:space="preserve"> </w:t>
      </w:r>
      <w:r w:rsidRPr="009D551E">
        <w:rPr>
          <w:rFonts w:asciiTheme="majorBidi" w:hAnsiTheme="majorBidi" w:cstheme="majorBidi"/>
          <w:szCs w:val="22"/>
        </w:rPr>
        <w:t>their conclusions difficult</w:t>
      </w:r>
      <w:r w:rsidR="00550142">
        <w:rPr>
          <w:rFonts w:asciiTheme="majorBidi" w:hAnsiTheme="majorBidi" w:cstheme="majorBidi"/>
          <w:szCs w:val="22"/>
        </w:rPr>
        <w:t>,</w:t>
      </w:r>
      <w:r w:rsidRPr="009D551E">
        <w:rPr>
          <w:rFonts w:asciiTheme="majorBidi" w:hAnsiTheme="majorBidi" w:cstheme="majorBidi"/>
          <w:szCs w:val="22"/>
        </w:rPr>
        <w:t xml:space="preserve"> if not impossible.</w:t>
      </w:r>
    </w:p>
    <w:p w:rsidR="009D551E" w:rsidRPr="00A00207" w:rsidRDefault="009D551E" w:rsidP="009D551E">
      <w:pPr>
        <w:pStyle w:val="Para1"/>
        <w:tabs>
          <w:tab w:val="clear" w:pos="360"/>
          <w:tab w:val="num" w:pos="720"/>
          <w:tab w:val="num" w:pos="3150"/>
        </w:tabs>
        <w:rPr>
          <w:rFonts w:asciiTheme="majorBidi" w:hAnsiTheme="majorBidi" w:cstheme="majorBidi"/>
          <w:szCs w:val="22"/>
        </w:rPr>
      </w:pPr>
      <w:r w:rsidRPr="00A00207">
        <w:rPr>
          <w:rFonts w:asciiTheme="majorBidi" w:hAnsiTheme="majorBidi" w:cstheme="majorBidi"/>
          <w:szCs w:val="22"/>
        </w:rPr>
        <w:t>For a number of the Aichi Biodiversity Targets</w:t>
      </w:r>
      <w:r w:rsidR="00AB3847" w:rsidRPr="00A00207">
        <w:rPr>
          <w:rFonts w:asciiTheme="majorBidi" w:hAnsiTheme="majorBidi" w:cstheme="majorBidi"/>
          <w:szCs w:val="22"/>
        </w:rPr>
        <w:t>,</w:t>
      </w:r>
      <w:r w:rsidRPr="00A00207">
        <w:rPr>
          <w:rFonts w:asciiTheme="majorBidi" w:hAnsiTheme="majorBidi" w:cstheme="majorBidi"/>
          <w:szCs w:val="22"/>
        </w:rPr>
        <w:t xml:space="preserve"> relatively little information has become available in </w:t>
      </w:r>
      <w:r w:rsidR="00AB3847" w:rsidRPr="00A00207">
        <w:rPr>
          <w:rFonts w:asciiTheme="majorBidi" w:hAnsiTheme="majorBidi" w:cstheme="majorBidi"/>
          <w:szCs w:val="22"/>
        </w:rPr>
        <w:t xml:space="preserve">the </w:t>
      </w:r>
      <w:r w:rsidRPr="00A00207">
        <w:rPr>
          <w:rFonts w:asciiTheme="majorBidi" w:hAnsiTheme="majorBidi" w:cstheme="majorBidi"/>
          <w:szCs w:val="22"/>
        </w:rPr>
        <w:t>last four years. This is particularly the case for those targets which address socio-economic issues, such as Aichi Biodiversity Targets 1, 2,</w:t>
      </w:r>
      <w:r w:rsidR="00AB3847" w:rsidRPr="00A00207">
        <w:rPr>
          <w:rFonts w:asciiTheme="majorBidi" w:hAnsiTheme="majorBidi" w:cstheme="majorBidi"/>
          <w:szCs w:val="22"/>
        </w:rPr>
        <w:t xml:space="preserve"> and</w:t>
      </w:r>
      <w:r w:rsidRPr="00A00207">
        <w:rPr>
          <w:rFonts w:asciiTheme="majorBidi" w:hAnsiTheme="majorBidi" w:cstheme="majorBidi"/>
          <w:szCs w:val="22"/>
        </w:rPr>
        <w:t xml:space="preserve"> 3, as well as Aichi B</w:t>
      </w:r>
      <w:r w:rsidR="00863F1A" w:rsidRPr="00A00207">
        <w:rPr>
          <w:rFonts w:asciiTheme="majorBidi" w:hAnsiTheme="majorBidi" w:cstheme="majorBidi"/>
          <w:szCs w:val="22"/>
        </w:rPr>
        <w:t>iodiversity Target 18. This gap</w:t>
      </w:r>
      <w:r w:rsidRPr="00A00207">
        <w:rPr>
          <w:rFonts w:asciiTheme="majorBidi" w:hAnsiTheme="majorBidi" w:cstheme="majorBidi"/>
          <w:szCs w:val="22"/>
        </w:rPr>
        <w:t xml:space="preserve"> points to the need to encourage </w:t>
      </w:r>
      <w:r w:rsidR="00A00207" w:rsidRPr="00720FA7">
        <w:rPr>
          <w:rFonts w:asciiTheme="majorBidi" w:hAnsiTheme="majorBidi" w:cstheme="majorBidi"/>
          <w:szCs w:val="22"/>
        </w:rPr>
        <w:t xml:space="preserve">a higher level of involvement </w:t>
      </w:r>
      <w:r w:rsidR="00CB70B8" w:rsidRPr="00720FA7">
        <w:rPr>
          <w:rFonts w:asciiTheme="majorBidi" w:hAnsiTheme="majorBidi" w:cstheme="majorBidi"/>
          <w:szCs w:val="22"/>
        </w:rPr>
        <w:t>of</w:t>
      </w:r>
      <w:r w:rsidR="00A00207" w:rsidRPr="00720FA7">
        <w:rPr>
          <w:rFonts w:asciiTheme="majorBidi" w:hAnsiTheme="majorBidi" w:cstheme="majorBidi"/>
          <w:szCs w:val="22"/>
        </w:rPr>
        <w:t xml:space="preserve"> the </w:t>
      </w:r>
      <w:r w:rsidRPr="00A00207">
        <w:rPr>
          <w:rFonts w:asciiTheme="majorBidi" w:hAnsiTheme="majorBidi" w:cstheme="majorBidi"/>
          <w:szCs w:val="22"/>
        </w:rPr>
        <w:t>social science</w:t>
      </w:r>
      <w:r w:rsidR="00A00207" w:rsidRPr="00720FA7">
        <w:rPr>
          <w:rFonts w:asciiTheme="majorBidi" w:hAnsiTheme="majorBidi" w:cstheme="majorBidi"/>
          <w:szCs w:val="22"/>
        </w:rPr>
        <w:t xml:space="preserve"> sector </w:t>
      </w:r>
      <w:r w:rsidR="00AB3847" w:rsidRPr="00A00207">
        <w:rPr>
          <w:rFonts w:asciiTheme="majorBidi" w:hAnsiTheme="majorBidi" w:cstheme="majorBidi"/>
          <w:szCs w:val="22"/>
        </w:rPr>
        <w:t xml:space="preserve">in </w:t>
      </w:r>
      <w:r w:rsidRPr="00A00207">
        <w:rPr>
          <w:rFonts w:asciiTheme="majorBidi" w:hAnsiTheme="majorBidi" w:cstheme="majorBidi"/>
          <w:szCs w:val="22"/>
        </w:rPr>
        <w:t>assess</w:t>
      </w:r>
      <w:r w:rsidR="00A00207" w:rsidRPr="00720FA7">
        <w:rPr>
          <w:rFonts w:asciiTheme="majorBidi" w:hAnsiTheme="majorBidi" w:cstheme="majorBidi"/>
          <w:szCs w:val="22"/>
        </w:rPr>
        <w:t>ments of</w:t>
      </w:r>
      <w:r w:rsidRPr="00A00207">
        <w:rPr>
          <w:rFonts w:asciiTheme="majorBidi" w:hAnsiTheme="majorBidi" w:cstheme="majorBidi"/>
          <w:szCs w:val="22"/>
        </w:rPr>
        <w:t xml:space="preserve"> progress towards the targets. </w:t>
      </w:r>
    </w:p>
    <w:p w:rsidR="00863F1A" w:rsidRDefault="00863F1A" w:rsidP="00863F1A">
      <w:pPr>
        <w:pStyle w:val="Para1"/>
      </w:pPr>
      <w:r>
        <w:t>Of the 46 indicators reviewed in this note</w:t>
      </w:r>
      <w:r w:rsidRPr="00720FA7">
        <w:rPr>
          <w:rStyle w:val="FootnoteReference"/>
          <w:rFonts w:asciiTheme="majorBidi" w:hAnsiTheme="majorBidi" w:cstheme="majorBidi"/>
          <w:szCs w:val="22"/>
        </w:rPr>
        <w:footnoteReference w:id="388"/>
      </w:r>
      <w:r>
        <w:t>, 19 showed trends that could be considered positive for biodiversity</w:t>
      </w:r>
      <w:r w:rsidR="00A00207">
        <w:t>,</w:t>
      </w:r>
      <w:r>
        <w:t xml:space="preserve"> and one </w:t>
      </w:r>
      <w:r w:rsidR="00CB70B8">
        <w:t xml:space="preserve">showed </w:t>
      </w:r>
      <w:r>
        <w:t xml:space="preserve">a trend which was unclear. The remainder </w:t>
      </w:r>
      <w:r w:rsidR="00CB70B8">
        <w:t xml:space="preserve">of the indicators showed trends that </w:t>
      </w:r>
      <w:r>
        <w:t>were negative</w:t>
      </w:r>
      <w:r w:rsidR="00CB70B8">
        <w:t xml:space="preserve"> for biodiversity</w:t>
      </w:r>
      <w:r>
        <w:t xml:space="preserve">. </w:t>
      </w:r>
      <w:proofErr w:type="gramStart"/>
      <w:r>
        <w:t>All of</w:t>
      </w:r>
      <w:proofErr w:type="gramEnd"/>
      <w:r>
        <w:t xml:space="preserve"> the 19 indicators show</w:t>
      </w:r>
      <w:r w:rsidR="004C385C">
        <w:t xml:space="preserve">ing positive trends related to </w:t>
      </w:r>
      <w:r>
        <w:t xml:space="preserve">responses </w:t>
      </w:r>
      <w:r w:rsidR="00A00207">
        <w:t xml:space="preserve">that </w:t>
      </w:r>
      <w:r>
        <w:t xml:space="preserve">Parties are taking to conserve and </w:t>
      </w:r>
      <w:r w:rsidR="005E289A">
        <w:t xml:space="preserve">use biodiversity in a </w:t>
      </w:r>
      <w:r>
        <w:t>sustainabl</w:t>
      </w:r>
      <w:r w:rsidR="005E289A">
        <w:t xml:space="preserve">e manner. </w:t>
      </w:r>
      <w:r>
        <w:t xml:space="preserve">The 26 indicators </w:t>
      </w:r>
      <w:r w:rsidR="00A00207">
        <w:t xml:space="preserve">that showed a negative </w:t>
      </w:r>
      <w:r>
        <w:t>trend</w:t>
      </w:r>
      <w:r w:rsidR="00A00207">
        <w:t xml:space="preserve"> </w:t>
      </w:r>
      <w:r>
        <w:t xml:space="preserve">for biodiversity related to the status of biodiversity, pressures </w:t>
      </w:r>
      <w:r w:rsidR="00A00207">
        <w:t xml:space="preserve">and derived benefits. </w:t>
      </w:r>
      <w:r>
        <w:t>Further</w:t>
      </w:r>
      <w:r w:rsidR="00A00207">
        <w:t>,</w:t>
      </w:r>
      <w:r>
        <w:t xml:space="preserve"> those indicators that were used in GBO-4</w:t>
      </w:r>
      <w:r w:rsidR="005E289A">
        <w:t>,</w:t>
      </w:r>
      <w:r>
        <w:t xml:space="preserve"> and</w:t>
      </w:r>
      <w:r w:rsidR="005E289A">
        <w:t xml:space="preserve"> that</w:t>
      </w:r>
      <w:r>
        <w:t xml:space="preserve"> have updated data</w:t>
      </w:r>
      <w:r w:rsidR="005E289A">
        <w:t xml:space="preserve"> </w:t>
      </w:r>
      <w:r>
        <w:t>points</w:t>
      </w:r>
      <w:r w:rsidR="005E289A">
        <w:t>,</w:t>
      </w:r>
      <w:r>
        <w:t xml:space="preserve"> </w:t>
      </w:r>
      <w:r w:rsidR="005E289A">
        <w:t xml:space="preserve">showed that </w:t>
      </w:r>
      <w:r>
        <w:t>the overall direction of the trend has not changed. This information suggests, as reported previously in GBO-4 that</w:t>
      </w:r>
      <w:r w:rsidR="005E289A">
        <w:t>,</w:t>
      </w:r>
      <w:r>
        <w:t xml:space="preserve"> while the responses to biodiversity loss are increasing, biodiversity is continuing to decline. </w:t>
      </w:r>
    </w:p>
    <w:p w:rsidR="009D551E" w:rsidRPr="0056262B" w:rsidRDefault="009D551E" w:rsidP="009D551E">
      <w:pPr>
        <w:pStyle w:val="Para1"/>
        <w:tabs>
          <w:tab w:val="clear" w:pos="360"/>
          <w:tab w:val="num" w:pos="720"/>
          <w:tab w:val="num" w:pos="3150"/>
        </w:tabs>
        <w:rPr>
          <w:rFonts w:asciiTheme="majorBidi" w:hAnsiTheme="majorBidi" w:cstheme="majorBidi"/>
          <w:szCs w:val="22"/>
        </w:rPr>
      </w:pPr>
      <w:r w:rsidRPr="0056262B">
        <w:rPr>
          <w:rFonts w:asciiTheme="majorBidi" w:hAnsiTheme="majorBidi" w:cstheme="majorBidi"/>
          <w:szCs w:val="22"/>
        </w:rPr>
        <w:t xml:space="preserve">In most cases, the information that is available does not suggest that there have </w:t>
      </w:r>
      <w:r w:rsidR="0056262B">
        <w:rPr>
          <w:rFonts w:asciiTheme="majorBidi" w:hAnsiTheme="majorBidi" w:cstheme="majorBidi"/>
          <w:szCs w:val="22"/>
        </w:rPr>
        <w:t xml:space="preserve">been </w:t>
      </w:r>
      <w:r w:rsidRPr="0056262B">
        <w:rPr>
          <w:rFonts w:asciiTheme="majorBidi" w:hAnsiTheme="majorBidi" w:cstheme="majorBidi"/>
          <w:szCs w:val="22"/>
        </w:rPr>
        <w:t>any significant changes to the assessment of progress towards the attainment of the Aichi Biodiversity Targets presented in GBO-4. However</w:t>
      </w:r>
      <w:r w:rsidR="0056262B" w:rsidRPr="0056262B">
        <w:rPr>
          <w:rFonts w:asciiTheme="majorBidi" w:hAnsiTheme="majorBidi" w:cstheme="majorBidi"/>
          <w:szCs w:val="22"/>
        </w:rPr>
        <w:t>,</w:t>
      </w:r>
      <w:r w:rsidRPr="0056262B">
        <w:rPr>
          <w:rFonts w:asciiTheme="majorBidi" w:hAnsiTheme="majorBidi" w:cstheme="majorBidi"/>
          <w:szCs w:val="22"/>
        </w:rPr>
        <w:t xml:space="preserve"> it is important to note that</w:t>
      </w:r>
      <w:r w:rsidR="0056262B" w:rsidRPr="0056262B">
        <w:rPr>
          <w:rFonts w:asciiTheme="majorBidi" w:hAnsiTheme="majorBidi" w:cstheme="majorBidi"/>
          <w:szCs w:val="22"/>
        </w:rPr>
        <w:t>,</w:t>
      </w:r>
      <w:r w:rsidRPr="0056262B">
        <w:rPr>
          <w:rFonts w:asciiTheme="majorBidi" w:hAnsiTheme="majorBidi" w:cstheme="majorBidi"/>
          <w:szCs w:val="22"/>
        </w:rPr>
        <w:t xml:space="preserve"> while this review has focused on research published after 2014, </w:t>
      </w:r>
      <w:r w:rsidR="0056262B" w:rsidRPr="0056262B">
        <w:rPr>
          <w:rFonts w:asciiTheme="majorBidi" w:hAnsiTheme="majorBidi" w:cstheme="majorBidi"/>
          <w:szCs w:val="22"/>
        </w:rPr>
        <w:t xml:space="preserve">a great deal of the </w:t>
      </w:r>
      <w:r w:rsidR="0056262B">
        <w:rPr>
          <w:rFonts w:asciiTheme="majorBidi" w:hAnsiTheme="majorBidi" w:cstheme="majorBidi"/>
          <w:szCs w:val="22"/>
        </w:rPr>
        <w:t xml:space="preserve">data sets and </w:t>
      </w:r>
      <w:r w:rsidR="0056262B" w:rsidRPr="0056262B">
        <w:rPr>
          <w:rFonts w:asciiTheme="majorBidi" w:hAnsiTheme="majorBidi" w:cstheme="majorBidi"/>
          <w:szCs w:val="22"/>
        </w:rPr>
        <w:t>information</w:t>
      </w:r>
      <w:r w:rsidR="0056262B">
        <w:rPr>
          <w:rFonts w:asciiTheme="majorBidi" w:hAnsiTheme="majorBidi" w:cstheme="majorBidi"/>
          <w:szCs w:val="22"/>
        </w:rPr>
        <w:t xml:space="preserve">, </w:t>
      </w:r>
      <w:r w:rsidR="0056262B" w:rsidRPr="0056262B">
        <w:rPr>
          <w:rFonts w:asciiTheme="majorBidi" w:hAnsiTheme="majorBidi" w:cstheme="majorBidi"/>
          <w:szCs w:val="22"/>
        </w:rPr>
        <w:t>on which these publications are based</w:t>
      </w:r>
      <w:r w:rsidR="0056262B">
        <w:rPr>
          <w:rFonts w:asciiTheme="majorBidi" w:hAnsiTheme="majorBidi" w:cstheme="majorBidi"/>
          <w:szCs w:val="22"/>
        </w:rPr>
        <w:t>,</w:t>
      </w:r>
      <w:r w:rsidR="0056262B" w:rsidRPr="0056262B">
        <w:rPr>
          <w:rFonts w:asciiTheme="majorBidi" w:hAnsiTheme="majorBidi" w:cstheme="majorBidi"/>
          <w:szCs w:val="22"/>
        </w:rPr>
        <w:t xml:space="preserve"> w</w:t>
      </w:r>
      <w:r w:rsidR="0056262B">
        <w:rPr>
          <w:rFonts w:asciiTheme="majorBidi" w:hAnsiTheme="majorBidi" w:cstheme="majorBidi"/>
          <w:szCs w:val="22"/>
        </w:rPr>
        <w:t>as</w:t>
      </w:r>
      <w:r w:rsidR="0056262B" w:rsidRPr="0056262B">
        <w:rPr>
          <w:rFonts w:asciiTheme="majorBidi" w:hAnsiTheme="majorBidi" w:cstheme="majorBidi"/>
          <w:szCs w:val="22"/>
        </w:rPr>
        <w:t xml:space="preserve"> </w:t>
      </w:r>
      <w:r w:rsidRPr="0056262B">
        <w:rPr>
          <w:rFonts w:asciiTheme="majorBidi" w:hAnsiTheme="majorBidi" w:cstheme="majorBidi"/>
          <w:szCs w:val="22"/>
        </w:rPr>
        <w:t xml:space="preserve">collected prior to </w:t>
      </w:r>
      <w:r w:rsidR="0056262B">
        <w:rPr>
          <w:rFonts w:asciiTheme="majorBidi" w:hAnsiTheme="majorBidi" w:cstheme="majorBidi"/>
          <w:szCs w:val="22"/>
        </w:rPr>
        <w:t xml:space="preserve">2014. </w:t>
      </w:r>
      <w:r w:rsidR="002B50DF">
        <w:rPr>
          <w:rFonts w:asciiTheme="majorBidi" w:hAnsiTheme="majorBidi" w:cstheme="majorBidi"/>
          <w:szCs w:val="22"/>
        </w:rPr>
        <w:t>T</w:t>
      </w:r>
      <w:r w:rsidRPr="0056262B">
        <w:rPr>
          <w:rFonts w:asciiTheme="majorBidi" w:hAnsiTheme="majorBidi" w:cstheme="majorBidi"/>
          <w:szCs w:val="22"/>
        </w:rPr>
        <w:t>here may</w:t>
      </w:r>
      <w:r w:rsidR="002B50DF">
        <w:rPr>
          <w:rFonts w:asciiTheme="majorBidi" w:hAnsiTheme="majorBidi" w:cstheme="majorBidi"/>
          <w:szCs w:val="22"/>
        </w:rPr>
        <w:t xml:space="preserve"> therefore</w:t>
      </w:r>
      <w:r w:rsidRPr="0056262B">
        <w:rPr>
          <w:rFonts w:asciiTheme="majorBidi" w:hAnsiTheme="majorBidi" w:cstheme="majorBidi"/>
          <w:szCs w:val="22"/>
        </w:rPr>
        <w:t xml:space="preserve"> be time lags between when information on observable changes </w:t>
      </w:r>
      <w:r w:rsidR="002B50DF">
        <w:rPr>
          <w:rFonts w:asciiTheme="majorBidi" w:hAnsiTheme="majorBidi" w:cstheme="majorBidi"/>
          <w:szCs w:val="22"/>
        </w:rPr>
        <w:t xml:space="preserve">was </w:t>
      </w:r>
      <w:r w:rsidRPr="0056262B">
        <w:rPr>
          <w:rFonts w:asciiTheme="majorBidi" w:hAnsiTheme="majorBidi" w:cstheme="majorBidi"/>
          <w:szCs w:val="22"/>
        </w:rPr>
        <w:t xml:space="preserve">collected and when </w:t>
      </w:r>
      <w:r w:rsidR="002B50DF">
        <w:rPr>
          <w:rFonts w:asciiTheme="majorBidi" w:hAnsiTheme="majorBidi" w:cstheme="majorBidi"/>
          <w:szCs w:val="22"/>
        </w:rPr>
        <w:t xml:space="preserve">it was </w:t>
      </w:r>
      <w:r w:rsidRPr="0056262B">
        <w:rPr>
          <w:rFonts w:asciiTheme="majorBidi" w:hAnsiTheme="majorBidi" w:cstheme="majorBidi"/>
          <w:szCs w:val="22"/>
        </w:rPr>
        <w:t>published. Similarly</w:t>
      </w:r>
      <w:r w:rsidR="0056262B">
        <w:rPr>
          <w:rFonts w:asciiTheme="majorBidi" w:hAnsiTheme="majorBidi" w:cstheme="majorBidi"/>
          <w:szCs w:val="22"/>
        </w:rPr>
        <w:t>,</w:t>
      </w:r>
      <w:r w:rsidRPr="0056262B">
        <w:rPr>
          <w:rFonts w:asciiTheme="majorBidi" w:hAnsiTheme="majorBidi" w:cstheme="majorBidi"/>
          <w:szCs w:val="22"/>
        </w:rPr>
        <w:t xml:space="preserve"> most biological systems require relatively long period</w:t>
      </w:r>
      <w:r w:rsidR="002B50DF">
        <w:rPr>
          <w:rFonts w:asciiTheme="majorBidi" w:hAnsiTheme="majorBidi" w:cstheme="majorBidi"/>
          <w:szCs w:val="22"/>
        </w:rPr>
        <w:t>s</w:t>
      </w:r>
      <w:r w:rsidRPr="0056262B">
        <w:rPr>
          <w:rFonts w:asciiTheme="majorBidi" w:hAnsiTheme="majorBidi" w:cstheme="majorBidi"/>
          <w:szCs w:val="22"/>
        </w:rPr>
        <w:t xml:space="preserve"> of time to respond to change. </w:t>
      </w:r>
      <w:r w:rsidR="002B50DF">
        <w:rPr>
          <w:rFonts w:asciiTheme="majorBidi" w:hAnsiTheme="majorBidi" w:cstheme="majorBidi"/>
          <w:szCs w:val="22"/>
        </w:rPr>
        <w:t xml:space="preserve">It </w:t>
      </w:r>
      <w:r w:rsidRPr="0056262B">
        <w:rPr>
          <w:rFonts w:asciiTheme="majorBidi" w:hAnsiTheme="majorBidi" w:cstheme="majorBidi"/>
          <w:szCs w:val="22"/>
        </w:rPr>
        <w:t xml:space="preserve">is </w:t>
      </w:r>
      <w:r w:rsidR="002B50DF">
        <w:rPr>
          <w:rFonts w:asciiTheme="majorBidi" w:hAnsiTheme="majorBidi" w:cstheme="majorBidi"/>
          <w:szCs w:val="22"/>
        </w:rPr>
        <w:t xml:space="preserve">therefore </w:t>
      </w:r>
      <w:r w:rsidRPr="0056262B">
        <w:rPr>
          <w:rFonts w:asciiTheme="majorBidi" w:hAnsiTheme="majorBidi" w:cstheme="majorBidi"/>
          <w:szCs w:val="22"/>
        </w:rPr>
        <w:t>not surprising that</w:t>
      </w:r>
      <w:r w:rsidR="002B50DF">
        <w:rPr>
          <w:rFonts w:asciiTheme="majorBidi" w:hAnsiTheme="majorBidi" w:cstheme="majorBidi"/>
          <w:szCs w:val="22"/>
        </w:rPr>
        <w:t>,</w:t>
      </w:r>
      <w:r w:rsidRPr="0056262B">
        <w:rPr>
          <w:rFonts w:asciiTheme="majorBidi" w:hAnsiTheme="majorBidi" w:cstheme="majorBidi"/>
          <w:szCs w:val="22"/>
        </w:rPr>
        <w:t xml:space="preserve"> in the four years since GBO-4 was published</w:t>
      </w:r>
      <w:r w:rsidR="002B50DF">
        <w:rPr>
          <w:rFonts w:asciiTheme="majorBidi" w:hAnsiTheme="majorBidi" w:cstheme="majorBidi"/>
          <w:szCs w:val="22"/>
        </w:rPr>
        <w:t>,</w:t>
      </w:r>
      <w:r w:rsidRPr="0056262B">
        <w:rPr>
          <w:rFonts w:asciiTheme="majorBidi" w:hAnsiTheme="majorBidi" w:cstheme="majorBidi"/>
          <w:szCs w:val="22"/>
        </w:rPr>
        <w:t xml:space="preserve"> there would </w:t>
      </w:r>
      <w:r w:rsidR="002B50DF">
        <w:rPr>
          <w:rFonts w:asciiTheme="majorBidi" w:hAnsiTheme="majorBidi" w:cstheme="majorBidi"/>
          <w:szCs w:val="22"/>
        </w:rPr>
        <w:t xml:space="preserve">be </w:t>
      </w:r>
      <w:r w:rsidRPr="0056262B">
        <w:rPr>
          <w:rFonts w:asciiTheme="majorBidi" w:hAnsiTheme="majorBidi" w:cstheme="majorBidi"/>
          <w:szCs w:val="22"/>
        </w:rPr>
        <w:t xml:space="preserve">little observable change to biological systems. </w:t>
      </w:r>
    </w:p>
    <w:p w:rsidR="009D551E" w:rsidRPr="009D551E" w:rsidRDefault="009D551E" w:rsidP="009D551E">
      <w:pPr>
        <w:pStyle w:val="Para1"/>
        <w:tabs>
          <w:tab w:val="clear" w:pos="360"/>
          <w:tab w:val="num" w:pos="720"/>
          <w:tab w:val="num" w:pos="3150"/>
        </w:tabs>
        <w:rPr>
          <w:rFonts w:asciiTheme="majorBidi" w:hAnsiTheme="majorBidi" w:cstheme="majorBidi"/>
          <w:szCs w:val="22"/>
        </w:rPr>
      </w:pPr>
      <w:r w:rsidRPr="009D551E">
        <w:rPr>
          <w:rFonts w:asciiTheme="majorBidi" w:hAnsiTheme="majorBidi" w:cstheme="majorBidi"/>
          <w:szCs w:val="22"/>
        </w:rPr>
        <w:t xml:space="preserve">The available scientific information suggests that the actions identified in </w:t>
      </w:r>
      <w:r w:rsidR="002B50DF">
        <w:rPr>
          <w:rFonts w:asciiTheme="majorBidi" w:hAnsiTheme="majorBidi" w:cstheme="majorBidi"/>
          <w:szCs w:val="22"/>
        </w:rPr>
        <w:t xml:space="preserve">GBO-4 </w:t>
      </w:r>
      <w:r w:rsidRPr="009D551E">
        <w:rPr>
          <w:rFonts w:asciiTheme="majorBidi" w:hAnsiTheme="majorBidi" w:cstheme="majorBidi"/>
          <w:szCs w:val="22"/>
        </w:rPr>
        <w:t>to accelerate progress towards the attainment of the Aichi Biodiversity Targets remain relevant. The information in the scientific literature generally provide</w:t>
      </w:r>
      <w:r w:rsidR="002B50DF">
        <w:rPr>
          <w:rFonts w:asciiTheme="majorBidi" w:hAnsiTheme="majorBidi" w:cstheme="majorBidi"/>
          <w:szCs w:val="22"/>
        </w:rPr>
        <w:t>s</w:t>
      </w:r>
      <w:r w:rsidRPr="009D551E">
        <w:rPr>
          <w:rFonts w:asciiTheme="majorBidi" w:hAnsiTheme="majorBidi" w:cstheme="majorBidi"/>
          <w:szCs w:val="22"/>
        </w:rPr>
        <w:t xml:space="preserve"> further specificity as to how the actions identified in GBO-4 could be implemented and/or different issues that should be considered when implementing them.</w:t>
      </w:r>
    </w:p>
    <w:p w:rsidR="00954CCE" w:rsidRDefault="00954CCE">
      <w:pPr>
        <w:jc w:val="left"/>
        <w:rPr>
          <w:i/>
          <w:iCs/>
        </w:rPr>
      </w:pPr>
      <w:r>
        <w:rPr>
          <w:i/>
          <w:iCs/>
        </w:rPr>
        <w:br w:type="page"/>
      </w:r>
    </w:p>
    <w:p w:rsidR="004E662F" w:rsidRDefault="00CE21E7" w:rsidP="00720FA7">
      <w:pPr>
        <w:jc w:val="center"/>
        <w:rPr>
          <w:i/>
          <w:iCs/>
        </w:rPr>
      </w:pPr>
      <w:r w:rsidRPr="00720FA7">
        <w:rPr>
          <w:i/>
          <w:iCs/>
        </w:rPr>
        <w:lastRenderedPageBreak/>
        <w:t>Annex</w:t>
      </w:r>
    </w:p>
    <w:p w:rsidR="004C385C" w:rsidRPr="00720FA7" w:rsidRDefault="004C385C" w:rsidP="004C385C">
      <w:pPr>
        <w:pStyle w:val="Heading1"/>
        <w:rPr>
          <w:i/>
          <w:iCs/>
        </w:rPr>
      </w:pPr>
      <w:r>
        <w:t>indicators with updated data points</w:t>
      </w:r>
    </w:p>
    <w:p w:rsidR="007A5379" w:rsidRDefault="007A5379" w:rsidP="004C385C">
      <w:pPr>
        <w:pStyle w:val="Para1"/>
        <w:numPr>
          <w:ilvl w:val="0"/>
          <w:numId w:val="46"/>
        </w:numPr>
        <w:tabs>
          <w:tab w:val="clear" w:pos="360"/>
        </w:tabs>
        <w:snapToGrid w:val="0"/>
        <w:rPr>
          <w:rFonts w:asciiTheme="majorBidi" w:hAnsiTheme="majorBidi" w:cstheme="majorBidi"/>
          <w:szCs w:val="22"/>
        </w:rPr>
      </w:pPr>
      <w:r>
        <w:rPr>
          <w:rFonts w:asciiTheme="majorBidi" w:hAnsiTheme="majorBidi" w:cstheme="majorBidi"/>
          <w:szCs w:val="22"/>
        </w:rPr>
        <w:t xml:space="preserve">55 indicators were used in the assessment of progress towards the Aichi Biodiversity Targets in the fourth edition of the </w:t>
      </w:r>
      <w:r w:rsidRPr="004C385C">
        <w:rPr>
          <w:rFonts w:asciiTheme="majorBidi" w:hAnsiTheme="majorBidi" w:cstheme="majorBidi"/>
          <w:i/>
          <w:szCs w:val="22"/>
        </w:rPr>
        <w:t>Global Biodiversity Outlook</w:t>
      </w:r>
      <w:r>
        <w:rPr>
          <w:rFonts w:asciiTheme="majorBidi" w:hAnsiTheme="majorBidi" w:cstheme="majorBidi"/>
          <w:szCs w:val="22"/>
        </w:rPr>
        <w:t>. Since 2014, 29 indicators have had additional data points added. In addition</w:t>
      </w:r>
      <w:r w:rsidR="0001177D">
        <w:rPr>
          <w:rFonts w:asciiTheme="majorBidi" w:hAnsiTheme="majorBidi" w:cstheme="majorBidi"/>
          <w:szCs w:val="22"/>
        </w:rPr>
        <w:t>,</w:t>
      </w:r>
      <w:r>
        <w:rPr>
          <w:rFonts w:asciiTheme="majorBidi" w:hAnsiTheme="majorBidi" w:cstheme="majorBidi"/>
          <w:szCs w:val="22"/>
        </w:rPr>
        <w:t xml:space="preserve"> a further 17 indicators </w:t>
      </w:r>
      <w:r w:rsidR="0001177D">
        <w:rPr>
          <w:rFonts w:asciiTheme="majorBidi" w:hAnsiTheme="majorBidi" w:cstheme="majorBidi"/>
          <w:szCs w:val="22"/>
        </w:rPr>
        <w:t xml:space="preserve">that were </w:t>
      </w:r>
      <w:r>
        <w:rPr>
          <w:rFonts w:asciiTheme="majorBidi" w:hAnsiTheme="majorBidi" w:cstheme="majorBidi"/>
          <w:szCs w:val="22"/>
        </w:rPr>
        <w:t>not used in GBO-4 have been identified as being relevant in assessing progress towards the Aichi Biodiversity Targets</w:t>
      </w:r>
      <w:r w:rsidRPr="004172CA">
        <w:rPr>
          <w:rStyle w:val="FootnoteReference"/>
          <w:rFonts w:asciiTheme="majorBidi" w:hAnsiTheme="majorBidi" w:cstheme="majorBidi"/>
          <w:szCs w:val="22"/>
        </w:rPr>
        <w:footnoteReference w:id="389"/>
      </w:r>
      <w:r>
        <w:rPr>
          <w:rFonts w:asciiTheme="majorBidi" w:hAnsiTheme="majorBidi" w:cstheme="majorBidi"/>
          <w:szCs w:val="22"/>
        </w:rPr>
        <w:t xml:space="preserve">. </w:t>
      </w:r>
      <w:r w:rsidR="002B50DF">
        <w:rPr>
          <w:rFonts w:asciiTheme="majorBidi" w:hAnsiTheme="majorBidi" w:cstheme="majorBidi"/>
          <w:szCs w:val="22"/>
        </w:rPr>
        <w:t>T</w:t>
      </w:r>
      <w:r>
        <w:rPr>
          <w:rFonts w:asciiTheme="majorBidi" w:hAnsiTheme="majorBidi" w:cstheme="majorBidi"/>
          <w:szCs w:val="22"/>
        </w:rPr>
        <w:t xml:space="preserve">he trends of </w:t>
      </w:r>
      <w:r w:rsidR="0001177D">
        <w:rPr>
          <w:rFonts w:asciiTheme="majorBidi" w:hAnsiTheme="majorBidi" w:cstheme="majorBidi"/>
          <w:szCs w:val="22"/>
        </w:rPr>
        <w:t xml:space="preserve">all </w:t>
      </w:r>
      <w:r>
        <w:rPr>
          <w:rFonts w:asciiTheme="majorBidi" w:hAnsiTheme="majorBidi" w:cstheme="majorBidi"/>
          <w:szCs w:val="22"/>
        </w:rPr>
        <w:t xml:space="preserve">46 </w:t>
      </w:r>
      <w:r w:rsidR="0001177D">
        <w:rPr>
          <w:rFonts w:asciiTheme="majorBidi" w:hAnsiTheme="majorBidi" w:cstheme="majorBidi"/>
          <w:szCs w:val="22"/>
        </w:rPr>
        <w:t>(</w:t>
      </w:r>
      <w:r>
        <w:rPr>
          <w:rFonts w:asciiTheme="majorBidi" w:hAnsiTheme="majorBidi" w:cstheme="majorBidi"/>
          <w:szCs w:val="22"/>
        </w:rPr>
        <w:t>updated and new</w:t>
      </w:r>
      <w:r w:rsidR="0001177D">
        <w:rPr>
          <w:rFonts w:asciiTheme="majorBidi" w:hAnsiTheme="majorBidi" w:cstheme="majorBidi"/>
          <w:szCs w:val="22"/>
        </w:rPr>
        <w:t>)</w:t>
      </w:r>
      <w:r>
        <w:rPr>
          <w:rFonts w:asciiTheme="majorBidi" w:hAnsiTheme="majorBidi" w:cstheme="majorBidi"/>
          <w:szCs w:val="22"/>
        </w:rPr>
        <w:t xml:space="preserve"> indicators</w:t>
      </w:r>
      <w:r w:rsidR="0001177D">
        <w:rPr>
          <w:rFonts w:asciiTheme="majorBidi" w:hAnsiTheme="majorBidi" w:cstheme="majorBidi"/>
          <w:szCs w:val="22"/>
        </w:rPr>
        <w:t xml:space="preserve"> used in the assessment</w:t>
      </w:r>
      <w:r>
        <w:rPr>
          <w:rFonts w:asciiTheme="majorBidi" w:hAnsiTheme="majorBidi" w:cstheme="majorBidi"/>
          <w:szCs w:val="22"/>
        </w:rPr>
        <w:t xml:space="preserve"> are presented</w:t>
      </w:r>
      <w:r w:rsidR="002B50DF">
        <w:rPr>
          <w:rFonts w:asciiTheme="majorBidi" w:hAnsiTheme="majorBidi" w:cstheme="majorBidi"/>
          <w:szCs w:val="22"/>
        </w:rPr>
        <w:t xml:space="preserve"> in the table below.</w:t>
      </w:r>
      <w:r>
        <w:rPr>
          <w:rFonts w:asciiTheme="majorBidi" w:hAnsiTheme="majorBidi" w:cstheme="majorBidi"/>
          <w:szCs w:val="22"/>
        </w:rPr>
        <w:t xml:space="preserve"> </w:t>
      </w:r>
    </w:p>
    <w:p w:rsidR="007A5379" w:rsidRDefault="007A5379" w:rsidP="004C385C">
      <w:pPr>
        <w:pStyle w:val="Para1"/>
        <w:numPr>
          <w:ilvl w:val="0"/>
          <w:numId w:val="46"/>
        </w:numPr>
        <w:tabs>
          <w:tab w:val="clear" w:pos="360"/>
        </w:tabs>
        <w:snapToGrid w:val="0"/>
        <w:rPr>
          <w:rFonts w:asciiTheme="majorBidi" w:hAnsiTheme="majorBidi" w:cstheme="majorBidi"/>
          <w:szCs w:val="22"/>
        </w:rPr>
      </w:pPr>
      <w:r>
        <w:rPr>
          <w:rFonts w:asciiTheme="majorBidi" w:hAnsiTheme="majorBidi" w:cstheme="majorBidi"/>
          <w:szCs w:val="22"/>
        </w:rPr>
        <w:t>Note that these trends refer only to the trend suggested by the indicator and do not represent an assessment of progress towards the Aichi Biodiversity Target</w:t>
      </w:r>
      <w:r w:rsidR="0001177D">
        <w:rPr>
          <w:rFonts w:asciiTheme="majorBidi" w:hAnsiTheme="majorBidi" w:cstheme="majorBidi"/>
          <w:szCs w:val="22"/>
        </w:rPr>
        <w:t xml:space="preserve">.  </w:t>
      </w:r>
      <w:r>
        <w:rPr>
          <w:rFonts w:asciiTheme="majorBidi" w:hAnsiTheme="majorBidi" w:cstheme="majorBidi"/>
          <w:szCs w:val="22"/>
        </w:rPr>
        <w:t xml:space="preserve"> </w:t>
      </w:r>
    </w:p>
    <w:p w:rsidR="007A5379" w:rsidRDefault="007A5379" w:rsidP="004C385C">
      <w:pPr>
        <w:pStyle w:val="Para1"/>
        <w:numPr>
          <w:ilvl w:val="0"/>
          <w:numId w:val="46"/>
        </w:numPr>
        <w:tabs>
          <w:tab w:val="clear" w:pos="360"/>
        </w:tabs>
        <w:snapToGrid w:val="0"/>
        <w:rPr>
          <w:rFonts w:asciiTheme="majorBidi" w:hAnsiTheme="majorBidi" w:cstheme="majorBidi"/>
          <w:szCs w:val="22"/>
        </w:rPr>
      </w:pPr>
      <w:r>
        <w:rPr>
          <w:rFonts w:asciiTheme="majorBidi" w:hAnsiTheme="majorBidi" w:cstheme="majorBidi"/>
          <w:szCs w:val="22"/>
        </w:rPr>
        <w:t xml:space="preserve">The assessment of progress towards the attainment of the Aichi Biodiversity Targets contained in the fourth edition of the </w:t>
      </w:r>
      <w:r w:rsidRPr="004C385C">
        <w:rPr>
          <w:rFonts w:asciiTheme="majorBidi" w:hAnsiTheme="majorBidi" w:cstheme="majorBidi"/>
          <w:i/>
          <w:szCs w:val="22"/>
        </w:rPr>
        <w:t>Global Biodiversity Outlook</w:t>
      </w:r>
      <w:r>
        <w:rPr>
          <w:rFonts w:asciiTheme="majorBidi" w:hAnsiTheme="majorBidi" w:cstheme="majorBidi"/>
          <w:szCs w:val="22"/>
        </w:rPr>
        <w:t xml:space="preserve"> was based on information from the fifth national reports, national biodiversity strategies and action plans, scientific literature and other reports,</w:t>
      </w:r>
      <w:r w:rsidR="0001177D">
        <w:rPr>
          <w:rFonts w:asciiTheme="majorBidi" w:hAnsiTheme="majorBidi" w:cstheme="majorBidi"/>
          <w:szCs w:val="22"/>
        </w:rPr>
        <w:br w:type="textWrapping" w:clear="all"/>
      </w:r>
      <w:r>
        <w:rPr>
          <w:rFonts w:asciiTheme="majorBidi" w:hAnsiTheme="majorBidi" w:cstheme="majorBidi"/>
          <w:szCs w:val="22"/>
        </w:rPr>
        <w:t>indicator</w:t>
      </w:r>
      <w:r w:rsidR="0001177D">
        <w:rPr>
          <w:rFonts w:asciiTheme="majorBidi" w:hAnsiTheme="majorBidi" w:cstheme="majorBidi"/>
          <w:szCs w:val="22"/>
        </w:rPr>
        <w:t>-</w:t>
      </w:r>
      <w:r>
        <w:rPr>
          <w:rFonts w:asciiTheme="majorBidi" w:hAnsiTheme="majorBidi" w:cstheme="majorBidi"/>
          <w:szCs w:val="22"/>
        </w:rPr>
        <w:t>based extrapolations and model</w:t>
      </w:r>
      <w:r w:rsidR="0001177D">
        <w:rPr>
          <w:rFonts w:asciiTheme="majorBidi" w:hAnsiTheme="majorBidi" w:cstheme="majorBidi"/>
          <w:szCs w:val="22"/>
        </w:rPr>
        <w:t>-</w:t>
      </w:r>
      <w:r>
        <w:rPr>
          <w:rFonts w:asciiTheme="majorBidi" w:hAnsiTheme="majorBidi" w:cstheme="majorBidi"/>
          <w:szCs w:val="22"/>
        </w:rPr>
        <w:t>based scenarios.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170"/>
        <w:gridCol w:w="1170"/>
        <w:gridCol w:w="1410"/>
        <w:gridCol w:w="1410"/>
        <w:gridCol w:w="1410"/>
      </w:tblGrid>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Indicator</w:t>
            </w:r>
            <w:r w:rsidRPr="00E87BC5">
              <w:rPr>
                <w:rStyle w:val="FootnoteReference"/>
                <w:rFonts w:asciiTheme="majorBidi" w:hAnsiTheme="majorBidi" w:cstheme="majorBidi"/>
                <w:b/>
                <w:bCs/>
                <w:color w:val="000000"/>
                <w:szCs w:val="20"/>
              </w:rPr>
              <w:footnoteReference w:id="390"/>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Most relevant Aichi Target</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Indicator type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Time period covered by the indicator data</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b/>
                <w:bCs/>
                <w:sz w:val="20"/>
                <w:szCs w:val="20"/>
              </w:rPr>
            </w:pPr>
            <w:r>
              <w:rPr>
                <w:rFonts w:asciiTheme="majorBidi" w:hAnsiTheme="majorBidi" w:cstheme="majorBidi"/>
                <w:b/>
                <w:bCs/>
                <w:sz w:val="20"/>
                <w:szCs w:val="20"/>
              </w:rPr>
              <w:t>Indicator trend reported in GBO-4 in 2014</w:t>
            </w:r>
            <w:r w:rsidRPr="00E87BC5">
              <w:rPr>
                <w:rStyle w:val="FootnoteReference"/>
                <w:rFonts w:asciiTheme="majorBidi" w:hAnsiTheme="majorBidi" w:cstheme="majorBidi"/>
                <w:b/>
                <w:bCs/>
                <w:szCs w:val="20"/>
              </w:rPr>
              <w:footnoteReference w:id="391"/>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 xml:space="preserve">Current trend suggested by the  indicator </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Biodiversity Barometer (% of respondents that have heard of biodiversity)</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2009-2016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Biodiversity Barometer (% of respondents giving correct definition of biodiversity)</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2009-2016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Online interest in biodiversity (proportion of google searches)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2004-2016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Percentage of countries that are Category 1 CITES Parties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1994-2016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Red List Index (internationally traded species)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1988-2016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Red List Index (impacts of utilisation)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Pressure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1986-2016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Ecological Footprint (number of earths needed to support human society)</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Pressure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1961-2012</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Area of tree cover loss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2001-2016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Wetland Extent Trends Index</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1970-2015</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Red List index (forest specialists)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1988-2016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Wild Bird Index (habitat specialists)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5</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1968-2014</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Marine Stewardship Council certified fisheries (tonnes)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1999-2016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Proportion of fish stocks in safe biological limits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1974-2013</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Marine trophic index*</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Pressure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1960-2014</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Red List Index (impacts of fisheries)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Pressure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1988-2016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lastRenderedPageBreak/>
              <w:t>Nitrogen use balance*</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7</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Pressure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1961-2011</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Area of agricultural land under organic production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7</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1999-2014</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Wild Bird Index (farmland birds)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7</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1980-2014</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Area of forest under sustainable management: total FSC and PEFC forest management certification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7</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2000-2016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 xml:space="preserve">Pesticide use </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Pressure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2000-2011</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Red List Index (impacts of pollution)</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8</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1988-2016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Red List Index (impacts of invasive alien species)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Pressure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1988-2016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Percentage live coral cover</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1972-2016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Climatic Impact Index for Birds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Pressure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1980-2010</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Area of mangrove forest cover*</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2000-2014</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Glacial mass balance*</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1957-2015</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Mean polar sea ice extent *</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1979-2015</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Percentage of marine and coastal areas covered by protected areas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1990-2016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Percentage of terrestrial areas covered by protected areas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1990-2016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Percentage of Key Biodiversity Areas covered by protected areas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11</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1980-2017</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Red List Index</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1994-2016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Living Planet Index</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12</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1970-2012</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Number of plant genetic resources for food and agriculture secured in conservation facilities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1995-2016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Red List Index (wild relatives of farmed and domesticated species)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13</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Benefit</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1988-2016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Percentage change in local species richness*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State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1970-2014</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Unclear</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Red List Index (pollinator species)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Benefit</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1988-2016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Decreasing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Red List Index (species used for food and medicine)</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Benefit</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1986-2017</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Decreasing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Percentage of global rural population with access to improved water resources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14</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1990-2015</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Percentage of countries that have ratified the Nagoya Protocol</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16</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2011-2017</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Percentage of countries with revised NBSAPs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17</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2010-2017</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Number of biodiversity papers published*</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1980-2016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 xml:space="preserve">Number of species occurrence records in the Global </w:t>
            </w:r>
            <w:r>
              <w:rPr>
                <w:rFonts w:asciiTheme="majorBidi" w:hAnsiTheme="majorBidi" w:cstheme="majorBidi"/>
                <w:color w:val="000000"/>
                <w:sz w:val="20"/>
                <w:szCs w:val="20"/>
              </w:rPr>
              <w:lastRenderedPageBreak/>
              <w:t>Biodiversity Information Facility</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lastRenderedPageBreak/>
              <w:t>19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2003-2016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Species Status Information Index</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1980-2014</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Proportion of known species assessed through the IUCN Red List</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2000-2017</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color w:val="000000"/>
                <w:sz w:val="20"/>
                <w:szCs w:val="20"/>
              </w:rPr>
              <w:t>Not available</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Official Development Assistance provided in support of the CBD objectives</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2006-2015</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r w:rsidR="007A5379" w:rsidTr="007A5379">
        <w:trPr>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left"/>
              <w:rPr>
                <w:rFonts w:asciiTheme="majorBidi" w:hAnsiTheme="majorBidi" w:cstheme="majorBidi"/>
                <w:color w:val="000000"/>
                <w:sz w:val="20"/>
                <w:szCs w:val="20"/>
              </w:rPr>
            </w:pPr>
            <w:r>
              <w:rPr>
                <w:rFonts w:asciiTheme="majorBidi" w:hAnsiTheme="majorBidi" w:cstheme="majorBidi"/>
                <w:color w:val="000000"/>
                <w:sz w:val="20"/>
                <w:szCs w:val="20"/>
              </w:rPr>
              <w:t>Funding provided by the Global Environment Facility</w:t>
            </w:r>
          </w:p>
        </w:tc>
        <w:tc>
          <w:tcPr>
            <w:tcW w:w="117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20</w:t>
            </w:r>
          </w:p>
        </w:tc>
        <w:tc>
          <w:tcPr>
            <w:tcW w:w="117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Response</w:t>
            </w:r>
          </w:p>
        </w:tc>
        <w:tc>
          <w:tcPr>
            <w:tcW w:w="1410" w:type="dxa"/>
            <w:tcBorders>
              <w:top w:val="single" w:sz="4" w:space="0" w:color="auto"/>
              <w:left w:val="single" w:sz="4" w:space="0" w:color="auto"/>
              <w:bottom w:val="single" w:sz="4" w:space="0" w:color="auto"/>
              <w:right w:val="single" w:sz="4" w:space="0" w:color="auto"/>
            </w:tcBorders>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1991-2016</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sz w:val="20"/>
                <w:szCs w:val="20"/>
              </w:rPr>
            </w:pPr>
            <w:r>
              <w:rPr>
                <w:rFonts w:asciiTheme="majorBidi" w:hAnsiTheme="majorBidi" w:cstheme="majorBidi"/>
                <w:sz w:val="20"/>
                <w:szCs w:val="20"/>
              </w:rPr>
              <w:t>Increasing</w:t>
            </w:r>
          </w:p>
        </w:tc>
        <w:tc>
          <w:tcPr>
            <w:tcW w:w="1410" w:type="dxa"/>
            <w:tcBorders>
              <w:top w:val="single" w:sz="4" w:space="0" w:color="auto"/>
              <w:left w:val="single" w:sz="4" w:space="0" w:color="auto"/>
              <w:bottom w:val="single" w:sz="4" w:space="0" w:color="auto"/>
              <w:right w:val="single" w:sz="4" w:space="0" w:color="auto"/>
            </w:tcBorders>
            <w:noWrap/>
            <w:vAlign w:val="center"/>
            <w:hideMark/>
          </w:tcPr>
          <w:p w:rsidR="007A5379" w:rsidRDefault="007A5379">
            <w:pPr>
              <w:jc w:val="center"/>
              <w:rPr>
                <w:rFonts w:asciiTheme="majorBidi" w:hAnsiTheme="majorBidi" w:cstheme="majorBidi"/>
                <w:color w:val="000000"/>
                <w:sz w:val="20"/>
                <w:szCs w:val="20"/>
              </w:rPr>
            </w:pPr>
            <w:r>
              <w:rPr>
                <w:rFonts w:asciiTheme="majorBidi" w:hAnsiTheme="majorBidi" w:cstheme="majorBidi"/>
                <w:color w:val="000000"/>
                <w:sz w:val="20"/>
                <w:szCs w:val="20"/>
              </w:rPr>
              <w:t>Increasing</w:t>
            </w:r>
          </w:p>
        </w:tc>
      </w:tr>
    </w:tbl>
    <w:p w:rsidR="00D15589" w:rsidRPr="009D551E" w:rsidRDefault="00CA6B87" w:rsidP="007A5379">
      <w:pPr>
        <w:jc w:val="center"/>
        <w:rPr>
          <w:rFonts w:asciiTheme="majorBidi" w:hAnsiTheme="majorBidi" w:cstheme="majorBidi"/>
          <w:snapToGrid w:val="0"/>
          <w:kern w:val="22"/>
          <w:szCs w:val="22"/>
        </w:rPr>
      </w:pPr>
      <w:r w:rsidRPr="009D551E">
        <w:rPr>
          <w:rFonts w:asciiTheme="majorBidi" w:hAnsiTheme="majorBidi" w:cstheme="majorBidi"/>
          <w:snapToGrid w:val="0"/>
          <w:kern w:val="22"/>
          <w:szCs w:val="22"/>
        </w:rPr>
        <w:t>__________</w:t>
      </w:r>
    </w:p>
    <w:p w:rsidR="00736BC2" w:rsidRPr="005440A6" w:rsidRDefault="00736BC2" w:rsidP="008E5F84">
      <w:pPr>
        <w:spacing w:before="120" w:after="120"/>
        <w:jc w:val="center"/>
        <w:rPr>
          <w:snapToGrid w:val="0"/>
          <w:kern w:val="22"/>
          <w:szCs w:val="22"/>
        </w:rPr>
      </w:pPr>
    </w:p>
    <w:sectPr w:rsidR="00736BC2" w:rsidRPr="005440A6" w:rsidSect="00CA1572">
      <w:headerReference w:type="even" r:id="rId14"/>
      <w:headerReference w:type="defaul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EBB" w:rsidRDefault="00071EBB">
      <w:r>
        <w:separator/>
      </w:r>
    </w:p>
  </w:endnote>
  <w:endnote w:type="continuationSeparator" w:id="0">
    <w:p w:rsidR="00071EBB" w:rsidRDefault="00071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0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EBB" w:rsidRDefault="00071EBB">
      <w:r>
        <w:separator/>
      </w:r>
    </w:p>
  </w:footnote>
  <w:footnote w:type="continuationSeparator" w:id="0">
    <w:p w:rsidR="00071EBB" w:rsidRDefault="00071EBB">
      <w:r>
        <w:continuationSeparator/>
      </w:r>
    </w:p>
  </w:footnote>
  <w:footnote w:id="1">
    <w:p w:rsidR="00071EBB" w:rsidRPr="009D551E" w:rsidRDefault="00071EBB" w:rsidP="00D51069">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t>*</w:t>
      </w:r>
      <w:r w:rsidRPr="009D551E">
        <w:rPr>
          <w:rFonts w:asciiTheme="majorBidi" w:hAnsiTheme="majorBidi" w:cstheme="majorBidi"/>
          <w:sz w:val="20"/>
          <w:szCs w:val="20"/>
        </w:rPr>
        <w:t xml:space="preserve"> CBD/</w:t>
      </w:r>
      <w:r w:rsidRPr="009D551E">
        <w:rPr>
          <w:rFonts w:asciiTheme="majorBidi" w:hAnsiTheme="majorBidi" w:cstheme="majorBidi"/>
          <w:sz w:val="20"/>
          <w:szCs w:val="20"/>
          <w:lang w:val="en-US"/>
        </w:rPr>
        <w:t>SBSTTA/22/1.</w:t>
      </w:r>
    </w:p>
  </w:footnote>
  <w:footnote w:id="2">
    <w:p w:rsidR="00071EBB" w:rsidRPr="009D551E" w:rsidRDefault="00071EBB" w:rsidP="009D551E">
      <w:pPr>
        <w:pStyle w:val="FootnoteText"/>
        <w:ind w:firstLine="0"/>
        <w:jc w:val="left"/>
        <w:rPr>
          <w:rFonts w:asciiTheme="majorBidi" w:hAnsiTheme="majorBidi" w:cstheme="majorBidi"/>
          <w:sz w:val="20"/>
          <w:szCs w:val="20"/>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David Barrington Marquis, Madeleine Cazes, Cristina del Rio </w:t>
      </w:r>
      <w:proofErr w:type="spellStart"/>
      <w:r w:rsidRPr="009D551E">
        <w:rPr>
          <w:rFonts w:asciiTheme="majorBidi" w:hAnsiTheme="majorBidi" w:cstheme="majorBidi"/>
          <w:sz w:val="20"/>
          <w:szCs w:val="20"/>
        </w:rPr>
        <w:t>Cubilledo</w:t>
      </w:r>
      <w:proofErr w:type="spellEnd"/>
      <w:r w:rsidRPr="009D551E">
        <w:rPr>
          <w:rFonts w:asciiTheme="majorBidi" w:hAnsiTheme="majorBidi" w:cstheme="majorBidi"/>
          <w:sz w:val="20"/>
          <w:szCs w:val="20"/>
        </w:rPr>
        <w:t xml:space="preserve">, El </w:t>
      </w:r>
      <w:proofErr w:type="spellStart"/>
      <w:r w:rsidRPr="009D551E">
        <w:rPr>
          <w:rFonts w:asciiTheme="majorBidi" w:hAnsiTheme="majorBidi" w:cstheme="majorBidi"/>
          <w:sz w:val="20"/>
          <w:szCs w:val="20"/>
        </w:rPr>
        <w:t>Gibbor</w:t>
      </w:r>
      <w:proofErr w:type="spellEnd"/>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Djiki</w:t>
      </w:r>
      <w:proofErr w:type="spellEnd"/>
      <w:r w:rsidRPr="009D551E">
        <w:rPr>
          <w:rFonts w:asciiTheme="majorBidi" w:hAnsiTheme="majorBidi" w:cstheme="majorBidi"/>
          <w:sz w:val="20"/>
          <w:szCs w:val="20"/>
        </w:rPr>
        <w:t>, Louis Donelle, Sara El-Nounou, Sebastien Macdonald Dupuis, David Hoffmann, Yui Matsuo, Gabriel Ouellette, Alexandre Poulin, Fatima Shire, Jan Bernd Sievernich, Yidan Xu</w:t>
      </w:r>
    </w:p>
  </w:footnote>
  <w:footnote w:id="3">
    <w:p w:rsidR="00071EBB" w:rsidRPr="009D551E" w:rsidRDefault="00071EBB" w:rsidP="009D551E">
      <w:pPr>
        <w:pStyle w:val="FootnoteText"/>
        <w:ind w:firstLine="0"/>
        <w:rPr>
          <w:rFonts w:asciiTheme="majorBidi" w:hAnsiTheme="majorBidi" w:cstheme="majorBidi"/>
          <w:sz w:val="20"/>
          <w:szCs w:val="20"/>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Comments were received from Brazil, Mexico, Japan, </w:t>
      </w:r>
      <w:proofErr w:type="spellStart"/>
      <w:r w:rsidRPr="009D551E">
        <w:rPr>
          <w:rFonts w:asciiTheme="majorBidi" w:hAnsiTheme="majorBidi" w:cstheme="majorBidi"/>
          <w:sz w:val="20"/>
          <w:szCs w:val="20"/>
        </w:rPr>
        <w:t>BirdLife</w:t>
      </w:r>
      <w:proofErr w:type="spellEnd"/>
      <w:r w:rsidRPr="009D551E">
        <w:rPr>
          <w:rFonts w:asciiTheme="majorBidi" w:hAnsiTheme="majorBidi" w:cstheme="majorBidi"/>
          <w:sz w:val="20"/>
          <w:szCs w:val="20"/>
        </w:rPr>
        <w:t xml:space="preserve"> International, IUCN, the IUCN Fisheries Expert Group, </w:t>
      </w:r>
      <w:r>
        <w:rPr>
          <w:rFonts w:asciiTheme="majorBidi" w:hAnsiTheme="majorBidi" w:cstheme="majorBidi"/>
          <w:sz w:val="20"/>
          <w:szCs w:val="20"/>
        </w:rPr>
        <w:t xml:space="preserve">and </w:t>
      </w:r>
      <w:r w:rsidRPr="009D551E">
        <w:rPr>
          <w:rFonts w:asciiTheme="majorBidi" w:hAnsiTheme="majorBidi" w:cstheme="majorBidi"/>
          <w:sz w:val="20"/>
          <w:szCs w:val="20"/>
        </w:rPr>
        <w:t>the Inter-American Institute for Global Change Research (IAI)</w:t>
      </w:r>
    </w:p>
  </w:footnote>
  <w:footnote w:id="4">
    <w:p w:rsidR="00071EBB" w:rsidRPr="009D551E" w:rsidRDefault="00071EBB" w:rsidP="009D551E">
      <w:pPr>
        <w:pStyle w:val="FootnoteText"/>
        <w:ind w:firstLine="0"/>
        <w:jc w:val="left"/>
        <w:rPr>
          <w:rFonts w:asciiTheme="majorBidi" w:hAnsiTheme="majorBidi" w:cstheme="majorBidi"/>
          <w:sz w:val="20"/>
          <w:szCs w:val="20"/>
          <w:lang w:val="en-US"/>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Legagneux</w:t>
      </w:r>
      <w:proofErr w:type="spellEnd"/>
      <w:r w:rsidRPr="009D551E">
        <w:rPr>
          <w:rFonts w:asciiTheme="majorBidi" w:hAnsiTheme="majorBidi" w:cstheme="majorBidi"/>
          <w:sz w:val="20"/>
          <w:szCs w:val="20"/>
        </w:rPr>
        <w:t xml:space="preserve"> P, et al (2018) Our House Is Burning: Discrepancy in Climate Change vs. Biodiversity Coverage in the Media as Compared to Scientific Literature. Front. Ecol. </w:t>
      </w:r>
      <w:proofErr w:type="spellStart"/>
      <w:r w:rsidRPr="009D551E">
        <w:rPr>
          <w:rFonts w:asciiTheme="majorBidi" w:hAnsiTheme="majorBidi" w:cstheme="majorBidi"/>
          <w:sz w:val="20"/>
          <w:szCs w:val="20"/>
        </w:rPr>
        <w:t>Evol</w:t>
      </w:r>
      <w:proofErr w:type="spellEnd"/>
      <w:r w:rsidRPr="009D551E">
        <w:rPr>
          <w:rFonts w:asciiTheme="majorBidi" w:hAnsiTheme="majorBidi" w:cstheme="majorBidi"/>
          <w:sz w:val="20"/>
          <w:szCs w:val="20"/>
        </w:rPr>
        <w:t xml:space="preserve">. 5:175. </w:t>
      </w:r>
      <w:proofErr w:type="spellStart"/>
      <w:r w:rsidRPr="009D551E">
        <w:rPr>
          <w:rFonts w:asciiTheme="majorBidi" w:hAnsiTheme="majorBidi" w:cstheme="majorBidi"/>
          <w:sz w:val="20"/>
          <w:szCs w:val="20"/>
        </w:rPr>
        <w:t>doi</w:t>
      </w:r>
      <w:proofErr w:type="spellEnd"/>
      <w:r w:rsidRPr="009D551E">
        <w:rPr>
          <w:rFonts w:asciiTheme="majorBidi" w:hAnsiTheme="majorBidi" w:cstheme="majorBidi"/>
          <w:sz w:val="20"/>
          <w:szCs w:val="20"/>
        </w:rPr>
        <w:t>: 10.3389/fevo.2017.00175</w:t>
      </w:r>
    </w:p>
  </w:footnote>
  <w:footnote w:id="5">
    <w:p w:rsidR="00071EBB" w:rsidRPr="009D551E" w:rsidRDefault="00071EBB" w:rsidP="009D551E">
      <w:pPr>
        <w:pStyle w:val="FootnoteText"/>
        <w:ind w:firstLine="0"/>
        <w:rPr>
          <w:rFonts w:asciiTheme="majorBidi" w:hAnsiTheme="majorBidi" w:cstheme="majorBidi"/>
          <w:sz w:val="20"/>
          <w:szCs w:val="20"/>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Veríssimo</w:t>
      </w:r>
      <w:proofErr w:type="spellEnd"/>
      <w:r w:rsidRPr="009D551E">
        <w:rPr>
          <w:rFonts w:asciiTheme="majorBidi" w:hAnsiTheme="majorBidi" w:cstheme="majorBidi"/>
          <w:sz w:val="20"/>
          <w:szCs w:val="20"/>
        </w:rPr>
        <w:t xml:space="preserve">, D. et al (2014). Has Climate Change Taken Prominence over Biodiversity Conservation?, </w:t>
      </w:r>
      <w:proofErr w:type="spellStart"/>
      <w:r w:rsidRPr="009D551E">
        <w:rPr>
          <w:rFonts w:asciiTheme="majorBidi" w:hAnsiTheme="majorBidi" w:cstheme="majorBidi"/>
          <w:sz w:val="20"/>
          <w:szCs w:val="20"/>
        </w:rPr>
        <w:t>BioScience</w:t>
      </w:r>
      <w:proofErr w:type="spellEnd"/>
      <w:r w:rsidRPr="009D551E">
        <w:rPr>
          <w:rFonts w:asciiTheme="majorBidi" w:hAnsiTheme="majorBidi" w:cstheme="majorBidi"/>
          <w:sz w:val="20"/>
          <w:szCs w:val="20"/>
        </w:rPr>
        <w:t>, 64 (7), 625–629, https://doi.org/10.1093/biosci/biu079</w:t>
      </w:r>
    </w:p>
  </w:footnote>
  <w:footnote w:id="6">
    <w:p w:rsidR="00071EBB" w:rsidRPr="009D551E" w:rsidRDefault="00071EBB" w:rsidP="009D551E">
      <w:pPr>
        <w:pStyle w:val="FootnoteText"/>
        <w:ind w:firstLine="0"/>
        <w:rPr>
          <w:rFonts w:asciiTheme="majorBidi" w:hAnsiTheme="majorBidi" w:cstheme="majorBidi"/>
          <w:sz w:val="20"/>
          <w:szCs w:val="20"/>
          <w:lang w:val="en-US"/>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lang w:val="fr-BE"/>
        </w:rPr>
        <w:t xml:space="preserve"> </w:t>
      </w:r>
      <w:proofErr w:type="spellStart"/>
      <w:r w:rsidRPr="009D551E">
        <w:rPr>
          <w:rFonts w:asciiTheme="majorBidi" w:hAnsiTheme="majorBidi" w:cstheme="majorBidi"/>
          <w:sz w:val="20"/>
          <w:szCs w:val="20"/>
          <w:lang w:val="fr-BE"/>
        </w:rPr>
        <w:t>Lotze</w:t>
      </w:r>
      <w:proofErr w:type="spellEnd"/>
      <w:r w:rsidRPr="009D551E">
        <w:rPr>
          <w:rFonts w:asciiTheme="majorBidi" w:hAnsiTheme="majorBidi" w:cstheme="majorBidi"/>
          <w:sz w:val="20"/>
          <w:szCs w:val="20"/>
          <w:lang w:val="fr-BE"/>
        </w:rPr>
        <w:t xml:space="preserve">, H. K. et al (2018). </w:t>
      </w:r>
      <w:r w:rsidRPr="009D551E">
        <w:rPr>
          <w:rFonts w:asciiTheme="majorBidi" w:hAnsiTheme="majorBidi" w:cstheme="majorBidi"/>
          <w:sz w:val="20"/>
          <w:szCs w:val="20"/>
          <w:lang w:val="en-US"/>
        </w:rPr>
        <w:t xml:space="preserve">Public perceptions of marine threats and protection from around the world. Ocean and Coastal Management 152, 14-22. </w:t>
      </w:r>
    </w:p>
  </w:footnote>
  <w:footnote w:id="7">
    <w:p w:rsidR="00071EBB" w:rsidRPr="009D551E" w:rsidRDefault="00071EBB" w:rsidP="009D551E">
      <w:pPr>
        <w:pStyle w:val="FootnoteText"/>
        <w:ind w:firstLine="0"/>
        <w:jc w:val="left"/>
        <w:rPr>
          <w:rFonts w:asciiTheme="majorBidi" w:hAnsiTheme="majorBidi" w:cstheme="majorBidi"/>
          <w:sz w:val="20"/>
          <w:szCs w:val="20"/>
          <w:shd w:val="clear" w:color="auto" w:fill="FFFFFF"/>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Moss, A., et al (2015) Evaluating the contribution of zoos and aquariums to Aichi Biodiversity Target 1. Conservation Biology, 29: 537–544. doi:10.1111/cobi.12383</w:t>
      </w:r>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author"/>
          <w:rFonts w:asciiTheme="majorBidi" w:hAnsiTheme="majorBidi" w:cstheme="majorBidi"/>
          <w:sz w:val="20"/>
          <w:szCs w:val="20"/>
          <w:bdr w:val="none" w:sz="0" w:space="0" w:color="auto" w:frame="1"/>
        </w:rPr>
        <w:t>Clayton</w:t>
      </w:r>
      <w:r w:rsidRPr="009D551E">
        <w:rPr>
          <w:rFonts w:asciiTheme="majorBidi" w:hAnsiTheme="majorBidi" w:cstheme="majorBidi"/>
          <w:sz w:val="20"/>
          <w:szCs w:val="20"/>
          <w:shd w:val="clear" w:color="auto" w:fill="FFFFFF"/>
        </w:rPr>
        <w:t xml:space="preserve">,  S. et al </w:t>
      </w:r>
      <w:r w:rsidRPr="009D551E">
        <w:rPr>
          <w:rStyle w:val="author"/>
          <w:rFonts w:asciiTheme="majorBidi" w:hAnsiTheme="majorBidi" w:cstheme="majorBidi"/>
          <w:sz w:val="20"/>
          <w:szCs w:val="20"/>
          <w:bdr w:val="none" w:sz="0" w:space="0" w:color="auto" w:frame="1"/>
        </w:rPr>
        <w:t>(2017)</w:t>
      </w:r>
      <w:r w:rsidRPr="009D551E">
        <w:rPr>
          <w:rFonts w:asciiTheme="majorBidi" w:hAnsiTheme="majorBidi" w:cstheme="majorBidi"/>
          <w:sz w:val="20"/>
          <w:szCs w:val="20"/>
          <w:shd w:val="clear" w:color="auto" w:fill="FFFFFF"/>
        </w:rPr>
        <w:t xml:space="preserve"> Public Support for Biodiversity After a Zoo Visit: Environmental Concern, Conservation Knowledge, and Self-Efficacy, </w:t>
      </w:r>
      <w:r w:rsidRPr="009D551E">
        <w:rPr>
          <w:rStyle w:val="journaltitle"/>
          <w:rFonts w:asciiTheme="majorBidi" w:hAnsiTheme="majorBidi" w:cstheme="majorBidi"/>
          <w:sz w:val="20"/>
          <w:szCs w:val="20"/>
          <w:bdr w:val="none" w:sz="0" w:space="0" w:color="auto" w:frame="1"/>
          <w:shd w:val="clear" w:color="auto" w:fill="FFFFFF"/>
        </w:rPr>
        <w:t>Curator: The Museum Journal</w:t>
      </w:r>
      <w:r w:rsidRPr="009D551E">
        <w:rPr>
          <w:rFonts w:asciiTheme="majorBidi" w:hAnsiTheme="majorBidi" w:cstheme="majorBidi"/>
          <w:sz w:val="20"/>
          <w:szCs w:val="20"/>
          <w:shd w:val="clear" w:color="auto" w:fill="FFFFFF"/>
        </w:rPr>
        <w:t>, </w:t>
      </w:r>
      <w:r w:rsidRPr="009D551E">
        <w:rPr>
          <w:rStyle w:val="vol"/>
          <w:rFonts w:asciiTheme="majorBidi" w:hAnsiTheme="majorBidi" w:cstheme="majorBidi"/>
          <w:sz w:val="20"/>
          <w:szCs w:val="20"/>
          <w:bdr w:val="none" w:sz="0" w:space="0" w:color="auto" w:frame="1"/>
          <w:shd w:val="clear" w:color="auto" w:fill="FFFFFF"/>
        </w:rPr>
        <w:t>60</w:t>
      </w:r>
      <w:r w:rsidRPr="009D551E">
        <w:rPr>
          <w:rFonts w:asciiTheme="majorBidi" w:hAnsiTheme="majorBidi" w:cstheme="majorBidi"/>
          <w:sz w:val="20"/>
          <w:szCs w:val="20"/>
          <w:shd w:val="clear" w:color="auto" w:fill="FFFFFF"/>
        </w:rPr>
        <w:t>, 1, 87</w:t>
      </w:r>
    </w:p>
  </w:footnote>
  <w:footnote w:id="8">
    <w:p w:rsidR="00071EBB" w:rsidRPr="009D551E" w:rsidRDefault="00071EBB" w:rsidP="009D551E">
      <w:pPr>
        <w:pStyle w:val="Heading1"/>
        <w:shd w:val="clear" w:color="auto" w:fill="FFFFFF"/>
        <w:spacing w:before="0" w:after="0"/>
        <w:jc w:val="left"/>
        <w:textAlignment w:val="baseline"/>
        <w:rPr>
          <w:rFonts w:asciiTheme="majorBidi" w:hAnsiTheme="majorBidi" w:cstheme="majorBidi"/>
          <w:b w:val="0"/>
          <w:sz w:val="20"/>
          <w:szCs w:val="20"/>
          <w:lang w:val="en-US"/>
        </w:rPr>
      </w:pPr>
      <w:r w:rsidRPr="003D295C">
        <w:rPr>
          <w:rStyle w:val="FootnoteReference"/>
          <w:rFonts w:asciiTheme="majorBidi" w:hAnsiTheme="majorBidi" w:cstheme="majorBidi"/>
          <w:b w:val="0"/>
          <w:caps w:val="0"/>
          <w:sz w:val="20"/>
          <w:szCs w:val="20"/>
        </w:rPr>
        <w:footnoteRef/>
      </w:r>
      <w:r w:rsidRPr="009D551E">
        <w:rPr>
          <w:rFonts w:asciiTheme="majorBidi" w:hAnsiTheme="majorBidi" w:cstheme="majorBidi"/>
          <w:b w:val="0"/>
          <w:sz w:val="20"/>
          <w:szCs w:val="20"/>
        </w:rPr>
        <w:t xml:space="preserve"> </w:t>
      </w:r>
      <w:r>
        <w:rPr>
          <w:rFonts w:asciiTheme="majorBidi" w:hAnsiTheme="majorBidi" w:cstheme="majorBidi"/>
          <w:b w:val="0"/>
          <w:caps w:val="0"/>
          <w:sz w:val="20"/>
          <w:szCs w:val="20"/>
          <w:shd w:val="clear" w:color="auto" w:fill="FFFFFF"/>
        </w:rPr>
        <w:t xml:space="preserve">Moss, A. et al </w:t>
      </w:r>
      <w:r w:rsidRPr="009D551E">
        <w:rPr>
          <w:rFonts w:asciiTheme="majorBidi" w:hAnsiTheme="majorBidi" w:cstheme="majorBidi"/>
          <w:b w:val="0"/>
          <w:caps w:val="0"/>
          <w:sz w:val="20"/>
          <w:szCs w:val="20"/>
          <w:shd w:val="clear" w:color="auto" w:fill="FFFFFF"/>
        </w:rPr>
        <w:t xml:space="preserve">(2017), </w:t>
      </w:r>
      <w:r w:rsidRPr="009D551E">
        <w:rPr>
          <w:rFonts w:asciiTheme="majorBidi" w:hAnsiTheme="majorBidi" w:cstheme="majorBidi"/>
          <w:b w:val="0"/>
          <w:caps w:val="0"/>
          <w:sz w:val="20"/>
          <w:szCs w:val="20"/>
        </w:rPr>
        <w:t>Impact of a global biodiversity education campaign on zoo and aquarium visitors</w:t>
      </w:r>
      <w:r w:rsidRPr="009D551E">
        <w:rPr>
          <w:rFonts w:asciiTheme="majorBidi" w:hAnsiTheme="majorBidi" w:cstheme="majorBidi"/>
          <w:b w:val="0"/>
          <w:sz w:val="20"/>
          <w:szCs w:val="20"/>
          <w:shd w:val="clear" w:color="auto" w:fill="FFFFFF"/>
        </w:rPr>
        <w:t xml:space="preserve">. </w:t>
      </w:r>
      <w:r w:rsidRPr="009D551E">
        <w:rPr>
          <w:rFonts w:asciiTheme="majorBidi" w:hAnsiTheme="majorBidi" w:cstheme="majorBidi"/>
          <w:b w:val="0"/>
          <w:caps w:val="0"/>
          <w:sz w:val="20"/>
          <w:szCs w:val="20"/>
          <w:shd w:val="clear" w:color="auto" w:fill="FFFFFF"/>
        </w:rPr>
        <w:t>Frontiers in Ecology and the Environment</w:t>
      </w:r>
      <w:r w:rsidRPr="009D551E">
        <w:rPr>
          <w:rFonts w:asciiTheme="majorBidi" w:hAnsiTheme="majorBidi" w:cstheme="majorBidi"/>
          <w:b w:val="0"/>
          <w:sz w:val="20"/>
          <w:szCs w:val="20"/>
          <w:shd w:val="clear" w:color="auto" w:fill="FFFFFF"/>
        </w:rPr>
        <w:t>, 15: 243–247. doi: 10.1002/fee.1493</w:t>
      </w:r>
    </w:p>
  </w:footnote>
  <w:footnote w:id="9">
    <w:p w:rsidR="00071EBB" w:rsidRPr="009D551E" w:rsidRDefault="00071EBB" w:rsidP="009D551E">
      <w:pPr>
        <w:pStyle w:val="FootnoteText"/>
        <w:ind w:firstLine="0"/>
        <w:jc w:val="left"/>
        <w:rPr>
          <w:rFonts w:asciiTheme="majorBidi" w:hAnsiTheme="majorBidi" w:cstheme="majorBidi"/>
          <w:sz w:val="20"/>
          <w:szCs w:val="20"/>
          <w:lang w:val="en-US"/>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Shwartz</w:t>
      </w:r>
      <w:proofErr w:type="spellEnd"/>
      <w:r w:rsidRPr="009D551E">
        <w:rPr>
          <w:rFonts w:asciiTheme="majorBidi" w:hAnsiTheme="majorBidi" w:cstheme="majorBidi"/>
          <w:sz w:val="20"/>
          <w:szCs w:val="20"/>
          <w:lang w:val="en-US"/>
        </w:rPr>
        <w:t>, A. (2014) Enhancing urban biodiversity and its influence on city-dwellers: An experiment, Biol</w:t>
      </w:r>
      <w:r>
        <w:rPr>
          <w:rFonts w:asciiTheme="majorBidi" w:hAnsiTheme="majorBidi" w:cstheme="majorBidi"/>
          <w:sz w:val="20"/>
          <w:szCs w:val="20"/>
          <w:lang w:val="en-US"/>
        </w:rPr>
        <w:t>ogical Conservation, 171- 82-90.</w:t>
      </w:r>
    </w:p>
  </w:footnote>
  <w:footnote w:id="10">
    <w:p w:rsidR="00071EBB" w:rsidRPr="009D551E" w:rsidRDefault="00071EBB" w:rsidP="009D551E">
      <w:pPr>
        <w:pStyle w:val="FootnoteText"/>
        <w:ind w:firstLine="0"/>
        <w:jc w:val="left"/>
        <w:rPr>
          <w:rFonts w:asciiTheme="majorBidi" w:hAnsiTheme="majorBidi" w:cstheme="majorBidi"/>
          <w:sz w:val="20"/>
          <w:szCs w:val="20"/>
          <w:lang w:val="en-US"/>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shd w:val="clear" w:color="auto" w:fill="FFFFFF"/>
        </w:rPr>
        <w:t>Sandbrook</w:t>
      </w:r>
      <w:proofErr w:type="spellEnd"/>
      <w:r w:rsidRPr="009D551E">
        <w:rPr>
          <w:rFonts w:asciiTheme="majorBidi" w:hAnsiTheme="majorBidi" w:cstheme="majorBidi"/>
          <w:sz w:val="20"/>
          <w:szCs w:val="20"/>
          <w:shd w:val="clear" w:color="auto" w:fill="FFFFFF"/>
        </w:rPr>
        <w:t xml:space="preserve">, C., (2015), Digital Games and Biodiversity Conservation. Conservation Letters, 8: 118–124. </w:t>
      </w:r>
    </w:p>
  </w:footnote>
  <w:footnote w:id="11">
    <w:p w:rsidR="00071EBB" w:rsidRPr="009D551E" w:rsidRDefault="00071EBB" w:rsidP="009D551E">
      <w:pPr>
        <w:pStyle w:val="FootnoteText"/>
        <w:ind w:firstLine="0"/>
        <w:jc w:val="left"/>
        <w:rPr>
          <w:rFonts w:asciiTheme="majorBidi" w:hAnsiTheme="majorBidi" w:cstheme="majorBidi"/>
          <w:sz w:val="20"/>
          <w:szCs w:val="20"/>
          <w:lang w:val="en-US"/>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Union for Ethical </w:t>
      </w:r>
      <w:proofErr w:type="spellStart"/>
      <w:r w:rsidRPr="009D551E">
        <w:rPr>
          <w:rFonts w:asciiTheme="majorBidi" w:hAnsiTheme="majorBidi" w:cstheme="majorBidi"/>
          <w:sz w:val="20"/>
          <w:szCs w:val="20"/>
          <w:lang w:val="en-US"/>
        </w:rPr>
        <w:t>BioTrade</w:t>
      </w:r>
      <w:proofErr w:type="spellEnd"/>
      <w:r w:rsidRPr="009D551E">
        <w:rPr>
          <w:rFonts w:asciiTheme="majorBidi" w:hAnsiTheme="majorBidi" w:cstheme="majorBidi"/>
          <w:sz w:val="20"/>
          <w:szCs w:val="20"/>
          <w:lang w:val="en-US"/>
        </w:rPr>
        <w:t xml:space="preserve"> (UEBT), Biodiversity Barometer (Amsterdam, 2017). </w:t>
      </w:r>
      <w:hyperlink r:id="rId1" w:history="1">
        <w:r w:rsidRPr="009D551E">
          <w:rPr>
            <w:rStyle w:val="Hyperlink"/>
            <w:rFonts w:asciiTheme="majorBidi" w:hAnsiTheme="majorBidi" w:cstheme="majorBidi"/>
            <w:sz w:val="20"/>
            <w:szCs w:val="20"/>
            <w:lang w:val="en-US"/>
          </w:rPr>
          <w:t>http://www.biodiversitybarometer.org/</w:t>
        </w:r>
      </w:hyperlink>
      <w:r w:rsidRPr="009D551E">
        <w:rPr>
          <w:rFonts w:asciiTheme="majorBidi" w:hAnsiTheme="majorBidi" w:cstheme="majorBidi"/>
          <w:sz w:val="20"/>
          <w:szCs w:val="20"/>
          <w:lang w:val="en-US"/>
        </w:rPr>
        <w:t xml:space="preserve"> </w:t>
      </w:r>
    </w:p>
  </w:footnote>
  <w:footnote w:id="12">
    <w:p w:rsidR="00071EBB" w:rsidRPr="009D551E" w:rsidRDefault="00071EBB" w:rsidP="009D551E">
      <w:pPr>
        <w:pStyle w:val="FootnoteText"/>
        <w:ind w:firstLine="0"/>
        <w:jc w:val="left"/>
        <w:rPr>
          <w:rFonts w:asciiTheme="majorBidi" w:hAnsiTheme="majorBidi" w:cstheme="majorBidi"/>
          <w:sz w:val="20"/>
          <w:szCs w:val="20"/>
          <w:lang w:val="en-US"/>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Internet Live Stats, 2017. Google Search Statistics. </w:t>
      </w:r>
      <w:hyperlink r:id="rId2" w:history="1">
        <w:r w:rsidRPr="009D551E">
          <w:rPr>
            <w:rStyle w:val="Hyperlink"/>
            <w:rFonts w:asciiTheme="majorBidi" w:hAnsiTheme="majorBidi" w:cstheme="majorBidi"/>
            <w:sz w:val="20"/>
            <w:szCs w:val="20"/>
            <w:lang w:val="en-US"/>
          </w:rPr>
          <w:t>http://www.internetlivestats.com/google-search-statistics/</w:t>
        </w:r>
      </w:hyperlink>
      <w:r w:rsidRPr="009D551E">
        <w:rPr>
          <w:rFonts w:asciiTheme="majorBidi" w:hAnsiTheme="majorBidi" w:cstheme="majorBidi"/>
          <w:sz w:val="20"/>
          <w:szCs w:val="20"/>
          <w:lang w:val="en-US"/>
        </w:rPr>
        <w:t xml:space="preserve"> </w:t>
      </w:r>
    </w:p>
  </w:footnote>
  <w:footnote w:id="13">
    <w:p w:rsidR="00071EBB" w:rsidRPr="009D551E" w:rsidRDefault="00071EBB" w:rsidP="009D551E">
      <w:pPr>
        <w:pStyle w:val="FootnoteText"/>
        <w:ind w:firstLine="0"/>
        <w:jc w:val="left"/>
        <w:rPr>
          <w:rFonts w:asciiTheme="majorBidi" w:hAnsiTheme="majorBidi" w:cstheme="majorBidi"/>
          <w:sz w:val="20"/>
          <w:szCs w:val="20"/>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z w:val="20"/>
          <w:szCs w:val="20"/>
          <w:shd w:val="clear" w:color="auto" w:fill="FFFFFF"/>
        </w:rPr>
        <w:t>Maze, K., et al (2016) Making the case for biodiversity in South Africa: Re-framing biodiversity communications. </w:t>
      </w:r>
      <w:proofErr w:type="spellStart"/>
      <w:r w:rsidRPr="002A01AE">
        <w:rPr>
          <w:rStyle w:val="Strong"/>
          <w:rFonts w:asciiTheme="majorBidi" w:hAnsiTheme="majorBidi" w:cstheme="majorBidi"/>
          <w:b w:val="0"/>
          <w:bCs w:val="0"/>
          <w:sz w:val="20"/>
          <w:szCs w:val="20"/>
          <w:shd w:val="clear" w:color="auto" w:fill="FFFFFF"/>
        </w:rPr>
        <w:t>Bothalia</w:t>
      </w:r>
      <w:proofErr w:type="spellEnd"/>
      <w:r w:rsidRPr="009D551E">
        <w:rPr>
          <w:rFonts w:asciiTheme="majorBidi" w:hAnsiTheme="majorBidi" w:cstheme="majorBidi"/>
          <w:sz w:val="20"/>
          <w:szCs w:val="20"/>
          <w:shd w:val="clear" w:color="auto" w:fill="FFFFFF"/>
        </w:rPr>
        <w:t xml:space="preserve">, 46, </w:t>
      </w:r>
      <w:proofErr w:type="spellStart"/>
      <w:r w:rsidRPr="009D551E">
        <w:rPr>
          <w:rFonts w:asciiTheme="majorBidi" w:hAnsiTheme="majorBidi" w:cstheme="majorBidi"/>
          <w:sz w:val="20"/>
          <w:szCs w:val="20"/>
          <w:shd w:val="clear" w:color="auto" w:fill="FFFFFF"/>
        </w:rPr>
        <w:t>dec.</w:t>
      </w:r>
      <w:proofErr w:type="spellEnd"/>
      <w:r w:rsidRPr="009D551E">
        <w:rPr>
          <w:rFonts w:asciiTheme="majorBidi" w:hAnsiTheme="majorBidi" w:cstheme="majorBidi"/>
          <w:sz w:val="20"/>
          <w:szCs w:val="20"/>
          <w:shd w:val="clear" w:color="auto" w:fill="FFFFFF"/>
        </w:rPr>
        <w:t> </w:t>
      </w:r>
    </w:p>
  </w:footnote>
  <w:footnote w:id="14">
    <w:p w:rsidR="00071EBB" w:rsidRPr="009D551E" w:rsidRDefault="00071EBB" w:rsidP="009D551E">
      <w:pPr>
        <w:pStyle w:val="FootnoteText"/>
        <w:ind w:firstLine="0"/>
        <w:jc w:val="left"/>
        <w:rPr>
          <w:rFonts w:asciiTheme="majorBidi" w:hAnsiTheme="majorBidi" w:cstheme="majorBidi"/>
          <w:sz w:val="20"/>
          <w:szCs w:val="20"/>
          <w:lang w:val="en-US"/>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Legagneux</w:t>
      </w:r>
      <w:proofErr w:type="spellEnd"/>
      <w:r w:rsidRPr="009D551E">
        <w:rPr>
          <w:rFonts w:asciiTheme="majorBidi" w:hAnsiTheme="majorBidi" w:cstheme="majorBidi"/>
          <w:sz w:val="20"/>
          <w:szCs w:val="20"/>
        </w:rPr>
        <w:t xml:space="preserve"> P, et al (2018) Our House Is Burning: Discrepancy in Climate Change vs. Biodiversity Coverage in the Media as Compared to Scientific Literature. Front. Ecol. </w:t>
      </w:r>
      <w:proofErr w:type="spellStart"/>
      <w:r w:rsidRPr="009D551E">
        <w:rPr>
          <w:rFonts w:asciiTheme="majorBidi" w:hAnsiTheme="majorBidi" w:cstheme="majorBidi"/>
          <w:sz w:val="20"/>
          <w:szCs w:val="20"/>
        </w:rPr>
        <w:t>Evol</w:t>
      </w:r>
      <w:proofErr w:type="spellEnd"/>
      <w:r w:rsidRPr="009D551E">
        <w:rPr>
          <w:rFonts w:asciiTheme="majorBidi" w:hAnsiTheme="majorBidi" w:cstheme="majorBidi"/>
          <w:sz w:val="20"/>
          <w:szCs w:val="20"/>
        </w:rPr>
        <w:t xml:space="preserve">. 5:175. </w:t>
      </w:r>
      <w:proofErr w:type="spellStart"/>
      <w:r w:rsidRPr="009D551E">
        <w:rPr>
          <w:rFonts w:asciiTheme="majorBidi" w:hAnsiTheme="majorBidi" w:cstheme="majorBidi"/>
          <w:sz w:val="20"/>
          <w:szCs w:val="20"/>
        </w:rPr>
        <w:t>doi</w:t>
      </w:r>
      <w:proofErr w:type="spellEnd"/>
      <w:r w:rsidRPr="009D551E">
        <w:rPr>
          <w:rFonts w:asciiTheme="majorBidi" w:hAnsiTheme="majorBidi" w:cstheme="majorBidi"/>
          <w:sz w:val="20"/>
          <w:szCs w:val="20"/>
        </w:rPr>
        <w:t>: 10.3389/fevo.2017.00175</w:t>
      </w:r>
      <w:r>
        <w:rPr>
          <w:rFonts w:asciiTheme="majorBidi" w:hAnsiTheme="majorBidi" w:cstheme="majorBidi"/>
          <w:sz w:val="20"/>
          <w:szCs w:val="20"/>
        </w:rPr>
        <w:t>.</w:t>
      </w:r>
    </w:p>
  </w:footnote>
  <w:footnote w:id="15">
    <w:p w:rsidR="00071EBB" w:rsidRPr="009D551E" w:rsidRDefault="00071EBB" w:rsidP="009D551E">
      <w:pPr>
        <w:pStyle w:val="FootnoteText"/>
        <w:ind w:firstLine="0"/>
        <w:rPr>
          <w:rFonts w:asciiTheme="majorBidi" w:hAnsiTheme="majorBidi" w:cstheme="majorBidi"/>
          <w:sz w:val="20"/>
          <w:szCs w:val="20"/>
        </w:rPr>
      </w:pPr>
      <w:r w:rsidRPr="003D295C">
        <w:rPr>
          <w:rStyle w:val="FootnoteReference"/>
          <w:rFonts w:asciiTheme="majorBidi" w:hAnsiTheme="majorBidi" w:cstheme="majorBidi"/>
          <w:sz w:val="20"/>
          <w:szCs w:val="20"/>
        </w:rPr>
        <w:footnoteRef/>
      </w:r>
      <w:r w:rsidRPr="00720FA7">
        <w:rPr>
          <w:rFonts w:asciiTheme="majorBidi" w:hAnsiTheme="majorBidi" w:cstheme="majorBidi"/>
          <w:sz w:val="20"/>
          <w:szCs w:val="20"/>
          <w:lang w:val="en-US"/>
        </w:rPr>
        <w:t xml:space="preserve"> Baynham-Herd, Z., et al (2018). </w:t>
      </w:r>
      <w:r w:rsidRPr="009D551E">
        <w:rPr>
          <w:rFonts w:asciiTheme="majorBidi" w:hAnsiTheme="majorBidi" w:cstheme="majorBidi"/>
          <w:sz w:val="20"/>
          <w:szCs w:val="20"/>
        </w:rPr>
        <w:t>Governance explains variation in national responses to the biodiversity crisis. Environmental Conservation, 1-12. doi:10.1017/S037689291700056X</w:t>
      </w:r>
      <w:r>
        <w:rPr>
          <w:rFonts w:asciiTheme="majorBidi" w:hAnsiTheme="majorBidi" w:cstheme="majorBidi"/>
          <w:sz w:val="20"/>
          <w:szCs w:val="20"/>
        </w:rPr>
        <w:t>.</w:t>
      </w:r>
    </w:p>
  </w:footnote>
  <w:footnote w:id="16">
    <w:p w:rsidR="00071EBB" w:rsidRPr="009D551E" w:rsidRDefault="00071EBB" w:rsidP="009D551E">
      <w:pPr>
        <w:pStyle w:val="FootnoteText"/>
        <w:ind w:firstLine="0"/>
        <w:jc w:val="left"/>
        <w:rPr>
          <w:rFonts w:asciiTheme="majorBidi" w:hAnsiTheme="majorBidi" w:cstheme="majorBidi"/>
          <w:sz w:val="20"/>
          <w:szCs w:val="20"/>
          <w:lang w:val="en-US"/>
        </w:rPr>
      </w:pPr>
      <w:r w:rsidRPr="003D295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Schleyer</w:t>
      </w:r>
      <w:proofErr w:type="spellEnd"/>
      <w:r w:rsidRPr="009D551E">
        <w:rPr>
          <w:rFonts w:asciiTheme="majorBidi" w:hAnsiTheme="majorBidi" w:cstheme="majorBidi"/>
          <w:sz w:val="20"/>
          <w:szCs w:val="20"/>
          <w:lang w:val="en-US"/>
        </w:rPr>
        <w:t xml:space="preserve">, C. et al (2015) Opportunities and challenges for mainstreaming the ecosystem services concept in the multi-level policy-making within the EU, </w:t>
      </w:r>
      <w:r>
        <w:rPr>
          <w:rFonts w:asciiTheme="majorBidi" w:hAnsiTheme="majorBidi" w:cstheme="majorBidi"/>
          <w:sz w:val="20"/>
          <w:szCs w:val="20"/>
          <w:lang w:val="en-US"/>
        </w:rPr>
        <w:t>Ecosystem Services. 16. 174-181.</w:t>
      </w:r>
    </w:p>
  </w:footnote>
  <w:footnote w:id="17">
    <w:p w:rsidR="00071EBB" w:rsidRPr="009D551E" w:rsidRDefault="00071EBB" w:rsidP="009D551E">
      <w:pPr>
        <w:pStyle w:val="FootnoteText"/>
        <w:ind w:firstLine="0"/>
        <w:jc w:val="left"/>
        <w:rPr>
          <w:rFonts w:asciiTheme="majorBidi" w:hAnsiTheme="majorBidi" w:cstheme="majorBidi"/>
          <w:sz w:val="20"/>
          <w:szCs w:val="20"/>
          <w:lang w:val="en-US"/>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Verburg</w:t>
      </w:r>
      <w:proofErr w:type="spellEnd"/>
      <w:r w:rsidRPr="009D551E">
        <w:rPr>
          <w:rFonts w:asciiTheme="majorBidi" w:hAnsiTheme="majorBidi" w:cstheme="majorBidi"/>
          <w:sz w:val="20"/>
          <w:szCs w:val="20"/>
          <w:lang w:val="en-US"/>
        </w:rPr>
        <w:t>, R. et al (2016) Governing ecosystem services, National and local lessons from policy appraisal and implementation, Ecosystem Services,18. 186-197,</w:t>
      </w:r>
    </w:p>
  </w:footnote>
  <w:footnote w:id="18">
    <w:p w:rsidR="00071EBB" w:rsidRPr="009D551E" w:rsidRDefault="00071EBB" w:rsidP="009D551E">
      <w:pPr>
        <w:pStyle w:val="FootnoteText"/>
        <w:ind w:firstLine="0"/>
        <w:jc w:val="left"/>
        <w:rPr>
          <w:rFonts w:asciiTheme="majorBidi" w:hAnsiTheme="majorBidi" w:cstheme="majorBidi"/>
          <w:sz w:val="20"/>
          <w:szCs w:val="20"/>
          <w:lang w:val="en-US"/>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Vardon, M. (2016). The accounting push and the policy pull: balancing environment and economic decisions, Ecological Economics, 124. 145-152.</w:t>
      </w:r>
    </w:p>
  </w:footnote>
  <w:footnote w:id="19">
    <w:p w:rsidR="00071EBB" w:rsidRPr="009D551E" w:rsidRDefault="00071EBB" w:rsidP="009D551E">
      <w:pPr>
        <w:pStyle w:val="FootnoteText"/>
        <w:ind w:firstLine="0"/>
        <w:rPr>
          <w:rFonts w:asciiTheme="majorBidi" w:hAnsiTheme="majorBidi" w:cstheme="majorBidi"/>
          <w:sz w:val="20"/>
          <w:szCs w:val="20"/>
          <w:lang w:val="en-US"/>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Merckx, T. et al (2015)  Reshaping </w:t>
      </w:r>
      <w:proofErr w:type="spellStart"/>
      <w:r w:rsidRPr="009D551E">
        <w:rPr>
          <w:rFonts w:asciiTheme="majorBidi" w:hAnsiTheme="majorBidi" w:cstheme="majorBidi"/>
          <w:sz w:val="20"/>
          <w:szCs w:val="20"/>
        </w:rPr>
        <w:t>agri</w:t>
      </w:r>
      <w:proofErr w:type="spellEnd"/>
      <w:r w:rsidRPr="009D551E">
        <w:rPr>
          <w:rFonts w:asciiTheme="majorBidi" w:hAnsiTheme="majorBidi" w:cstheme="majorBidi"/>
          <w:sz w:val="20"/>
          <w:szCs w:val="20"/>
        </w:rPr>
        <w:t xml:space="preserve">-environmental subsidies: From marginal farming to large-scale </w:t>
      </w:r>
      <w:proofErr w:type="spellStart"/>
      <w:r w:rsidRPr="009D551E">
        <w:rPr>
          <w:rFonts w:asciiTheme="majorBidi" w:hAnsiTheme="majorBidi" w:cstheme="majorBidi"/>
          <w:sz w:val="20"/>
          <w:szCs w:val="20"/>
        </w:rPr>
        <w:t>rewilding,Basic</w:t>
      </w:r>
      <w:proofErr w:type="spellEnd"/>
      <w:r w:rsidRPr="009D551E">
        <w:rPr>
          <w:rFonts w:asciiTheme="majorBidi" w:hAnsiTheme="majorBidi" w:cstheme="majorBidi"/>
          <w:sz w:val="20"/>
          <w:szCs w:val="20"/>
        </w:rPr>
        <w:t xml:space="preserve"> and Applied Ecology,16(2), 95-103,</w:t>
      </w:r>
    </w:p>
  </w:footnote>
  <w:footnote w:id="20">
    <w:p w:rsidR="00071EBB" w:rsidRPr="009D551E" w:rsidRDefault="00071EBB" w:rsidP="009D551E">
      <w:pPr>
        <w:pStyle w:val="FootnoteText"/>
        <w:ind w:firstLine="0"/>
        <w:jc w:val="left"/>
        <w:rPr>
          <w:rFonts w:asciiTheme="majorBidi" w:hAnsiTheme="majorBidi" w:cstheme="majorBidi"/>
          <w:sz w:val="20"/>
          <w:szCs w:val="20"/>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Gain, D. et al (2017).Expert Evaluation of Subsidies for the Management of Fragmented Private Forest in Regards to National Biodiversity Goals-The Case of Kochi Prefecture, Japan. Sustainability, 9, 626.</w:t>
      </w:r>
    </w:p>
  </w:footnote>
  <w:footnote w:id="21">
    <w:p w:rsidR="00071EBB" w:rsidRPr="009D551E" w:rsidRDefault="00071EBB" w:rsidP="009D551E">
      <w:pPr>
        <w:pStyle w:val="FootnoteText"/>
        <w:ind w:firstLine="0"/>
        <w:rPr>
          <w:rFonts w:asciiTheme="majorBidi" w:hAnsiTheme="majorBidi" w:cstheme="majorBidi"/>
          <w:sz w:val="20"/>
          <w:szCs w:val="20"/>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Salzman, J. et al (2018). The global status and trends of payments for ecosystem services. Nature </w:t>
      </w:r>
      <w:proofErr w:type="spellStart"/>
      <w:r w:rsidRPr="009D551E">
        <w:rPr>
          <w:rFonts w:asciiTheme="majorBidi" w:hAnsiTheme="majorBidi" w:cstheme="majorBidi"/>
          <w:sz w:val="20"/>
          <w:szCs w:val="20"/>
        </w:rPr>
        <w:t>Sustainabilityvolume</w:t>
      </w:r>
      <w:proofErr w:type="spellEnd"/>
      <w:r w:rsidRPr="009D551E">
        <w:rPr>
          <w:rFonts w:asciiTheme="majorBidi" w:hAnsiTheme="majorBidi" w:cstheme="majorBidi"/>
          <w:sz w:val="20"/>
          <w:szCs w:val="20"/>
        </w:rPr>
        <w:t xml:space="preserve"> 1, pages136–144</w:t>
      </w:r>
    </w:p>
  </w:footnote>
  <w:footnote w:id="22">
    <w:p w:rsidR="00071EBB" w:rsidRPr="009D551E" w:rsidRDefault="00071EBB" w:rsidP="009D551E">
      <w:pPr>
        <w:pStyle w:val="FootnoteText"/>
        <w:ind w:firstLine="0"/>
        <w:jc w:val="left"/>
        <w:rPr>
          <w:rFonts w:asciiTheme="majorBidi" w:hAnsiTheme="majorBidi" w:cstheme="majorBidi"/>
          <w:sz w:val="20"/>
          <w:szCs w:val="20"/>
          <w:lang w:val="en-US"/>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Pretty, J. and </w:t>
      </w:r>
      <w:proofErr w:type="spellStart"/>
      <w:r w:rsidRPr="009D551E">
        <w:rPr>
          <w:rFonts w:asciiTheme="majorBidi" w:hAnsiTheme="majorBidi" w:cstheme="majorBidi"/>
          <w:sz w:val="20"/>
          <w:szCs w:val="20"/>
          <w:lang w:val="en-US"/>
        </w:rPr>
        <w:t>Bharucha</w:t>
      </w:r>
      <w:proofErr w:type="spellEnd"/>
      <w:r w:rsidRPr="009D551E">
        <w:rPr>
          <w:rFonts w:asciiTheme="majorBidi" w:hAnsiTheme="majorBidi" w:cstheme="majorBidi"/>
          <w:sz w:val="20"/>
          <w:szCs w:val="20"/>
          <w:lang w:val="en-US"/>
        </w:rPr>
        <w:t>, Z. P. (2014). Sustainable intensification in agricultural systems, Annals of Botany, Volume 114, 8, 1571–1596, </w:t>
      </w:r>
    </w:p>
  </w:footnote>
  <w:footnote w:id="23">
    <w:p w:rsidR="00071EBB" w:rsidRPr="009D551E" w:rsidRDefault="00071EBB" w:rsidP="009D551E">
      <w:pPr>
        <w:pStyle w:val="FootnoteText"/>
        <w:ind w:firstLine="0"/>
        <w:jc w:val="left"/>
        <w:rPr>
          <w:rFonts w:asciiTheme="majorBidi" w:hAnsiTheme="majorBidi" w:cstheme="majorBidi"/>
          <w:sz w:val="20"/>
          <w:szCs w:val="20"/>
          <w:lang w:val="en-US"/>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Moraes</w:t>
      </w:r>
      <w:proofErr w:type="spellEnd"/>
      <w:r w:rsidRPr="009D551E">
        <w:rPr>
          <w:rFonts w:asciiTheme="majorBidi" w:hAnsiTheme="majorBidi" w:cstheme="majorBidi"/>
          <w:sz w:val="20"/>
          <w:szCs w:val="20"/>
          <w:lang w:val="en-US"/>
        </w:rPr>
        <w:t xml:space="preserve"> Sá, J. (2017). Low-carbon agriculture in South America to mitigate global climate change and advance food security, Environment International, 98, 102-112,</w:t>
      </w:r>
    </w:p>
  </w:footnote>
  <w:footnote w:id="24">
    <w:p w:rsidR="00071EBB" w:rsidRPr="009D551E" w:rsidRDefault="00071EBB" w:rsidP="009D551E">
      <w:pPr>
        <w:pStyle w:val="FootnoteText"/>
        <w:ind w:firstLine="0"/>
        <w:jc w:val="left"/>
        <w:rPr>
          <w:rFonts w:asciiTheme="majorBidi" w:hAnsiTheme="majorBidi" w:cstheme="majorBidi"/>
          <w:sz w:val="20"/>
          <w:szCs w:val="20"/>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Keahey</w:t>
      </w:r>
      <w:proofErr w:type="spellEnd"/>
      <w:r w:rsidRPr="009D551E">
        <w:rPr>
          <w:rFonts w:asciiTheme="majorBidi" w:hAnsiTheme="majorBidi" w:cstheme="majorBidi"/>
          <w:sz w:val="20"/>
          <w:szCs w:val="20"/>
        </w:rPr>
        <w:t xml:space="preserve">, J. (2017). The Promise and Perils of Market-based Sustainability Sociology of Development, 3(2), 43-162. </w:t>
      </w:r>
    </w:p>
  </w:footnote>
  <w:footnote w:id="25">
    <w:p w:rsidR="00071EBB" w:rsidRPr="009D551E" w:rsidRDefault="00071EBB" w:rsidP="009D551E">
      <w:pPr>
        <w:pStyle w:val="FootnoteText"/>
        <w:ind w:firstLine="0"/>
        <w:jc w:val="left"/>
        <w:rPr>
          <w:rFonts w:asciiTheme="majorBidi" w:hAnsiTheme="majorBidi" w:cstheme="majorBidi"/>
          <w:sz w:val="20"/>
          <w:szCs w:val="20"/>
          <w:lang w:val="en-US"/>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Blok, V. et al (2015). From best practices to bridges for a more sustainable future: advances and challenges in the transition to global sustainable production and consumption: Introduction to the ERSCP stream of the Special volume, Journal of Cleaner Production, 108(A), 19-30. </w:t>
      </w:r>
    </w:p>
  </w:footnote>
  <w:footnote w:id="26">
    <w:p w:rsidR="00071EBB" w:rsidRPr="009D551E" w:rsidRDefault="00071EBB" w:rsidP="009D551E">
      <w:pPr>
        <w:pStyle w:val="FootnoteText"/>
        <w:ind w:firstLine="0"/>
        <w:jc w:val="left"/>
        <w:rPr>
          <w:rFonts w:asciiTheme="majorBidi" w:hAnsiTheme="majorBidi" w:cstheme="majorBidi"/>
          <w:sz w:val="20"/>
          <w:szCs w:val="20"/>
        </w:rPr>
      </w:pPr>
      <w:r w:rsidRPr="000468BC">
        <w:rPr>
          <w:rStyle w:val="FootnoteReference"/>
          <w:rFonts w:asciiTheme="majorBidi" w:hAnsiTheme="majorBidi" w:cstheme="majorBidi"/>
          <w:sz w:val="20"/>
          <w:szCs w:val="20"/>
        </w:rPr>
        <w:footnoteRef/>
      </w:r>
      <w:r w:rsidRPr="00380AE4">
        <w:rPr>
          <w:rFonts w:asciiTheme="majorBidi" w:hAnsiTheme="majorBidi" w:cstheme="majorBidi"/>
          <w:sz w:val="20"/>
          <w:szCs w:val="20"/>
          <w:lang w:val="fr-BE"/>
        </w:rPr>
        <w:t xml:space="preserve"> Miranda-Ackerman, M. et al (2017). </w:t>
      </w:r>
      <w:r w:rsidRPr="009D551E">
        <w:rPr>
          <w:rFonts w:asciiTheme="majorBidi" w:hAnsiTheme="majorBidi" w:cstheme="majorBidi"/>
          <w:sz w:val="20"/>
          <w:szCs w:val="20"/>
        </w:rPr>
        <w:t>Extending the scope of eco-labelling in the food industry to drive change beyond sustainable agriculture practices, Journal of Environme</w:t>
      </w:r>
      <w:r>
        <w:rPr>
          <w:rFonts w:asciiTheme="majorBidi" w:hAnsiTheme="majorBidi" w:cstheme="majorBidi"/>
          <w:sz w:val="20"/>
          <w:szCs w:val="20"/>
        </w:rPr>
        <w:t>ntal Management,204(3), 814-824.</w:t>
      </w:r>
    </w:p>
  </w:footnote>
  <w:footnote w:id="27">
    <w:p w:rsidR="00071EBB" w:rsidRPr="009D551E" w:rsidRDefault="00071EBB" w:rsidP="009D551E">
      <w:pPr>
        <w:jc w:val="left"/>
        <w:rPr>
          <w:rFonts w:asciiTheme="majorBidi" w:hAnsiTheme="majorBidi" w:cstheme="majorBidi"/>
          <w:sz w:val="20"/>
          <w:szCs w:val="20"/>
          <w:lang w:val="en-US"/>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Vörösmarty</w:t>
      </w:r>
      <w:proofErr w:type="spellEnd"/>
      <w:r w:rsidRPr="009D551E">
        <w:rPr>
          <w:rFonts w:asciiTheme="majorBidi" w:hAnsiTheme="majorBidi" w:cstheme="majorBidi"/>
          <w:sz w:val="20"/>
          <w:szCs w:val="20"/>
        </w:rPr>
        <w:t xml:space="preserve">, C.J. et al (2015). What scale for water governance? </w:t>
      </w:r>
      <w:r w:rsidRPr="009D551E">
        <w:rPr>
          <w:rFonts w:asciiTheme="majorBidi" w:hAnsiTheme="majorBidi" w:cstheme="majorBidi"/>
          <w:sz w:val="20"/>
          <w:szCs w:val="20"/>
          <w:lang w:val="en-US"/>
        </w:rPr>
        <w:t xml:space="preserve">Science. 349 (6247).  </w:t>
      </w:r>
    </w:p>
  </w:footnote>
  <w:footnote w:id="28">
    <w:p w:rsidR="00071EBB" w:rsidRPr="009D551E" w:rsidRDefault="00071EBB" w:rsidP="009D551E">
      <w:pPr>
        <w:pStyle w:val="FootnoteText"/>
        <w:ind w:firstLine="0"/>
        <w:rPr>
          <w:rFonts w:asciiTheme="majorBidi" w:hAnsiTheme="majorBidi" w:cstheme="majorBidi"/>
          <w:sz w:val="20"/>
          <w:szCs w:val="20"/>
          <w:lang w:val="en-US"/>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Wiedmann</w:t>
      </w:r>
      <w:proofErr w:type="spellEnd"/>
      <w:r w:rsidRPr="009D551E">
        <w:rPr>
          <w:rFonts w:asciiTheme="majorBidi" w:hAnsiTheme="majorBidi" w:cstheme="majorBidi"/>
          <w:sz w:val="20"/>
          <w:szCs w:val="20"/>
          <w:lang w:val="en-US"/>
        </w:rPr>
        <w:t xml:space="preserve">, T.O. et al (2015). </w:t>
      </w:r>
      <w:r w:rsidRPr="009D551E">
        <w:rPr>
          <w:rFonts w:asciiTheme="majorBidi" w:hAnsiTheme="majorBidi" w:cstheme="majorBidi"/>
          <w:sz w:val="20"/>
          <w:szCs w:val="20"/>
        </w:rPr>
        <w:t xml:space="preserve">The material </w:t>
      </w:r>
      <w:proofErr w:type="spellStart"/>
      <w:r w:rsidRPr="009D551E">
        <w:rPr>
          <w:rFonts w:asciiTheme="majorBidi" w:hAnsiTheme="majorBidi" w:cstheme="majorBidi"/>
          <w:sz w:val="20"/>
          <w:szCs w:val="20"/>
        </w:rPr>
        <w:t>footpring</w:t>
      </w:r>
      <w:proofErr w:type="spellEnd"/>
      <w:r w:rsidRPr="009D551E">
        <w:rPr>
          <w:rFonts w:asciiTheme="majorBidi" w:hAnsiTheme="majorBidi" w:cstheme="majorBidi"/>
          <w:sz w:val="20"/>
          <w:szCs w:val="20"/>
        </w:rPr>
        <w:t xml:space="preserve"> of nations. Proceedings of the National Academy of Sciences 112(20), 6271-6276.</w:t>
      </w:r>
    </w:p>
  </w:footnote>
  <w:footnote w:id="29">
    <w:p w:rsidR="00071EBB" w:rsidRPr="009D551E" w:rsidRDefault="00071EBB" w:rsidP="009D551E">
      <w:pPr>
        <w:pStyle w:val="FootnoteText"/>
        <w:ind w:firstLine="0"/>
        <w:jc w:val="left"/>
        <w:rPr>
          <w:rFonts w:asciiTheme="majorBidi" w:hAnsiTheme="majorBidi" w:cstheme="majorBidi"/>
          <w:sz w:val="20"/>
          <w:szCs w:val="20"/>
          <w:lang w:val="en-US"/>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CITES, National laws for implementing the Convention. </w:t>
      </w:r>
      <w:hyperlink r:id="rId3" w:history="1">
        <w:r w:rsidRPr="009D551E">
          <w:rPr>
            <w:rStyle w:val="Hyperlink"/>
            <w:rFonts w:asciiTheme="majorBidi" w:hAnsiTheme="majorBidi" w:cstheme="majorBidi"/>
            <w:sz w:val="20"/>
            <w:szCs w:val="20"/>
            <w:lang w:val="en-US"/>
          </w:rPr>
          <w:t>https://cites.org/legislation</w:t>
        </w:r>
      </w:hyperlink>
    </w:p>
  </w:footnote>
  <w:footnote w:id="30">
    <w:p w:rsidR="00071EBB" w:rsidRPr="009D551E" w:rsidRDefault="00071EBB" w:rsidP="009D551E">
      <w:pPr>
        <w:jc w:val="left"/>
        <w:rPr>
          <w:rFonts w:asciiTheme="majorBidi" w:eastAsia="Calibri" w:hAnsiTheme="majorBidi" w:cstheme="majorBidi"/>
          <w:sz w:val="20"/>
          <w:szCs w:val="20"/>
          <w:lang w:val="en-US"/>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IUCN Red List Index. </w:t>
      </w:r>
      <w:hyperlink r:id="rId4" w:history="1">
        <w:r w:rsidRPr="009D551E">
          <w:rPr>
            <w:rStyle w:val="Hyperlink"/>
            <w:rFonts w:asciiTheme="majorBidi" w:eastAsia="Calibri" w:hAnsiTheme="majorBidi" w:cstheme="majorBidi"/>
            <w:color w:val="0563C1"/>
            <w:sz w:val="20"/>
            <w:szCs w:val="20"/>
            <w:lang w:val="en-US"/>
          </w:rPr>
          <w:t>http://www.iucnredlist.org/about/publication/red-list-index</w:t>
        </w:r>
      </w:hyperlink>
      <w:r w:rsidRPr="009D551E">
        <w:rPr>
          <w:rFonts w:asciiTheme="majorBidi" w:eastAsia="Calibri" w:hAnsiTheme="majorBidi" w:cstheme="majorBidi"/>
          <w:color w:val="0563C1"/>
          <w:sz w:val="20"/>
          <w:szCs w:val="20"/>
          <w:u w:val="single"/>
          <w:lang w:val="en-US"/>
        </w:rPr>
        <w:t xml:space="preserve"> </w:t>
      </w:r>
    </w:p>
  </w:footnote>
  <w:footnote w:id="31">
    <w:p w:rsidR="00071EBB" w:rsidRPr="009D551E" w:rsidRDefault="00071EBB" w:rsidP="009D551E">
      <w:pPr>
        <w:pStyle w:val="FootnoteText"/>
        <w:ind w:firstLine="0"/>
        <w:jc w:val="left"/>
        <w:rPr>
          <w:rFonts w:asciiTheme="majorBidi" w:hAnsiTheme="majorBidi" w:cstheme="majorBidi"/>
          <w:sz w:val="20"/>
          <w:szCs w:val="20"/>
          <w:lang w:val="en-US"/>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Galli, A., et al. (2014). Ecological footprint: Implications for biodiversity. Biological Conservation, 173, 121-132.</w:t>
      </w:r>
    </w:p>
  </w:footnote>
  <w:footnote w:id="32">
    <w:p w:rsidR="00071EBB" w:rsidRPr="009D551E" w:rsidRDefault="00071EBB" w:rsidP="009D551E">
      <w:pPr>
        <w:jc w:val="left"/>
        <w:rPr>
          <w:rFonts w:asciiTheme="majorBidi" w:hAnsiTheme="majorBidi" w:cstheme="majorBidi"/>
          <w:sz w:val="20"/>
          <w:szCs w:val="20"/>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z w:val="20"/>
          <w:szCs w:val="20"/>
          <w:lang w:val="en-US"/>
        </w:rPr>
        <w:t xml:space="preserve">IUCN Red List Index. </w:t>
      </w:r>
      <w:hyperlink r:id="rId5" w:history="1">
        <w:r w:rsidRPr="009D551E">
          <w:rPr>
            <w:rStyle w:val="Hyperlink"/>
            <w:rFonts w:asciiTheme="majorBidi" w:eastAsia="Calibri" w:hAnsiTheme="majorBidi" w:cstheme="majorBidi"/>
            <w:color w:val="0563C1"/>
            <w:sz w:val="20"/>
            <w:szCs w:val="20"/>
            <w:lang w:val="en-US"/>
          </w:rPr>
          <w:t>http://www.iucnredlist.org/about/publication/red-list-index</w:t>
        </w:r>
      </w:hyperlink>
    </w:p>
  </w:footnote>
  <w:footnote w:id="33">
    <w:p w:rsidR="00071EBB" w:rsidRPr="009D551E" w:rsidRDefault="00071EBB" w:rsidP="009D551E">
      <w:pPr>
        <w:pStyle w:val="FootnoteText"/>
        <w:ind w:firstLine="0"/>
        <w:jc w:val="left"/>
        <w:rPr>
          <w:rFonts w:asciiTheme="majorBidi" w:hAnsiTheme="majorBidi" w:cstheme="majorBidi"/>
          <w:sz w:val="20"/>
          <w:szCs w:val="20"/>
          <w:lang w:val="en-US"/>
        </w:rPr>
      </w:pPr>
      <w:r w:rsidRPr="000468B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Keenan, R. et al (2015). </w:t>
      </w:r>
      <w:r w:rsidRPr="009D551E">
        <w:rPr>
          <w:rFonts w:asciiTheme="majorBidi" w:hAnsiTheme="majorBidi" w:cstheme="majorBidi"/>
          <w:sz w:val="20"/>
          <w:szCs w:val="20"/>
        </w:rPr>
        <w:t>Dynamics of global forest area: Results from the FAO Global Forest Resources Assessment 2015, Forest Ec</w:t>
      </w:r>
      <w:r>
        <w:rPr>
          <w:rFonts w:asciiTheme="majorBidi" w:hAnsiTheme="majorBidi" w:cstheme="majorBidi"/>
          <w:sz w:val="20"/>
          <w:szCs w:val="20"/>
        </w:rPr>
        <w:t>ology and Management, 352, 9-20.</w:t>
      </w:r>
    </w:p>
  </w:footnote>
  <w:footnote w:id="34">
    <w:p w:rsidR="00071EBB" w:rsidRPr="009D551E" w:rsidRDefault="00071EBB" w:rsidP="00373B5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720FA7">
        <w:rPr>
          <w:rFonts w:asciiTheme="majorBidi" w:hAnsiTheme="majorBidi" w:cstheme="majorBidi"/>
          <w:sz w:val="20"/>
          <w:szCs w:val="20"/>
          <w:lang w:val="fr-BE"/>
        </w:rPr>
        <w:t xml:space="preserve"> Morales-Hidalgo, D. et al (2015). </w:t>
      </w:r>
      <w:r w:rsidRPr="009D551E">
        <w:rPr>
          <w:rFonts w:asciiTheme="majorBidi" w:hAnsiTheme="majorBidi" w:cstheme="majorBidi"/>
          <w:sz w:val="20"/>
          <w:szCs w:val="20"/>
        </w:rPr>
        <w:t>Status and trends in global primary forest, protected areas, and areas designated for conservation of biodiversity from the Global Forest Resources Assessment, Forest Ecol</w:t>
      </w:r>
      <w:r>
        <w:rPr>
          <w:rFonts w:asciiTheme="majorBidi" w:hAnsiTheme="majorBidi" w:cstheme="majorBidi"/>
          <w:sz w:val="20"/>
          <w:szCs w:val="20"/>
        </w:rPr>
        <w:t xml:space="preserve">ogy and </w:t>
      </w:r>
      <w:proofErr w:type="gramStart"/>
      <w:r>
        <w:rPr>
          <w:rFonts w:asciiTheme="majorBidi" w:hAnsiTheme="majorBidi" w:cstheme="majorBidi"/>
          <w:sz w:val="20"/>
          <w:szCs w:val="20"/>
        </w:rPr>
        <w:t>Management,  352</w:t>
      </w:r>
      <w:proofErr w:type="gramEnd"/>
      <w:r>
        <w:rPr>
          <w:rFonts w:asciiTheme="majorBidi" w:hAnsiTheme="majorBidi" w:cstheme="majorBidi"/>
          <w:sz w:val="20"/>
          <w:szCs w:val="20"/>
        </w:rPr>
        <w:t>, 68-77.</w:t>
      </w:r>
    </w:p>
  </w:footnote>
  <w:footnote w:id="35">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napToGrid w:val="0"/>
          <w:sz w:val="20"/>
          <w:szCs w:val="20"/>
        </w:rPr>
        <w:t>Potapov</w:t>
      </w:r>
      <w:proofErr w:type="spellEnd"/>
      <w:r w:rsidRPr="009D551E">
        <w:rPr>
          <w:rFonts w:asciiTheme="majorBidi" w:hAnsiTheme="majorBidi" w:cstheme="majorBidi"/>
          <w:snapToGrid w:val="0"/>
          <w:sz w:val="20"/>
          <w:szCs w:val="20"/>
        </w:rPr>
        <w:t>, P. et al (2017). The last frontiers of wilderness: Tracking loss of intact forest landscapes from 2000 to 2013.Science Advances 3(1)</w:t>
      </w:r>
      <w:r>
        <w:rPr>
          <w:rFonts w:asciiTheme="majorBidi" w:hAnsiTheme="majorBidi" w:cstheme="majorBidi"/>
          <w:snapToGrid w:val="0"/>
          <w:sz w:val="20"/>
          <w:szCs w:val="20"/>
        </w:rPr>
        <w:t>.</w:t>
      </w:r>
    </w:p>
  </w:footnote>
  <w:footnote w:id="36">
    <w:p w:rsidR="00071EBB" w:rsidRPr="009D551E" w:rsidRDefault="00071EBB" w:rsidP="009D551E">
      <w:pPr>
        <w:pStyle w:val="FootnoteText"/>
        <w:ind w:firstLine="0"/>
        <w:jc w:val="left"/>
        <w:rPr>
          <w:rFonts w:asciiTheme="majorBidi" w:hAnsiTheme="majorBidi" w:cstheme="majorBidi"/>
          <w:snapToGrid w:val="0"/>
          <w:sz w:val="20"/>
          <w:szCs w:val="20"/>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napToGrid w:val="0"/>
          <w:sz w:val="20"/>
          <w:szCs w:val="20"/>
        </w:rPr>
        <w:t>Haddad, Nick M. et al (2015). Habitat fragmentation and its lasting impact on Earth’s ecosystems. Science Advances. 1(2)</w:t>
      </w:r>
      <w:r>
        <w:rPr>
          <w:rFonts w:asciiTheme="majorBidi" w:hAnsiTheme="majorBidi" w:cstheme="majorBidi"/>
          <w:snapToGrid w:val="0"/>
          <w:sz w:val="20"/>
          <w:szCs w:val="20"/>
        </w:rPr>
        <w:t>.</w:t>
      </w:r>
    </w:p>
  </w:footnote>
  <w:footnote w:id="37">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pacing w:val="4"/>
          <w:sz w:val="20"/>
          <w:szCs w:val="20"/>
          <w:shd w:val="clear" w:color="auto" w:fill="FCFCFC"/>
        </w:rPr>
        <w:t xml:space="preserve"> </w:t>
      </w:r>
      <w:proofErr w:type="spellStart"/>
      <w:r w:rsidRPr="009D551E">
        <w:rPr>
          <w:rFonts w:asciiTheme="majorBidi" w:hAnsiTheme="majorBidi" w:cstheme="majorBidi"/>
          <w:spacing w:val="4"/>
          <w:sz w:val="20"/>
          <w:szCs w:val="20"/>
          <w:shd w:val="clear" w:color="auto" w:fill="FCFCFC"/>
        </w:rPr>
        <w:t>Riitters</w:t>
      </w:r>
      <w:proofErr w:type="spellEnd"/>
      <w:r w:rsidRPr="009D551E">
        <w:rPr>
          <w:rFonts w:asciiTheme="majorBidi" w:hAnsiTheme="majorBidi" w:cstheme="majorBidi"/>
          <w:spacing w:val="4"/>
          <w:sz w:val="20"/>
          <w:szCs w:val="20"/>
          <w:shd w:val="clear" w:color="auto" w:fill="FCFCFC"/>
        </w:rPr>
        <w:t>, K., et al. (2016) A global evaluation of forest interior area dynamics using tree cover data from 2000 to 2012. Landscape Ecology 31: 137. https://doi.org/10.1007/s10980-015-0270-9</w:t>
      </w:r>
      <w:r>
        <w:rPr>
          <w:rFonts w:asciiTheme="majorBidi" w:hAnsiTheme="majorBidi" w:cstheme="majorBidi"/>
          <w:spacing w:val="4"/>
          <w:sz w:val="20"/>
          <w:szCs w:val="20"/>
          <w:shd w:val="clear" w:color="auto" w:fill="FCFCFC"/>
        </w:rPr>
        <w:t>.</w:t>
      </w:r>
    </w:p>
  </w:footnote>
  <w:footnote w:id="38">
    <w:p w:rsidR="00071EBB" w:rsidRPr="009D551E" w:rsidRDefault="00071EBB" w:rsidP="009D551E">
      <w:pPr>
        <w:pStyle w:val="FootnoteText"/>
        <w:ind w:firstLine="0"/>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Heino</w:t>
      </w:r>
      <w:proofErr w:type="spellEnd"/>
      <w:r w:rsidRPr="009D551E">
        <w:rPr>
          <w:rFonts w:asciiTheme="majorBidi" w:hAnsiTheme="majorBidi" w:cstheme="majorBidi"/>
          <w:sz w:val="20"/>
          <w:szCs w:val="20"/>
        </w:rPr>
        <w:t xml:space="preserve">, Matias, et al. (2015). </w:t>
      </w:r>
      <w:r w:rsidRPr="009D551E">
        <w:rPr>
          <w:rFonts w:asciiTheme="majorBidi" w:hAnsiTheme="majorBidi" w:cstheme="majorBidi"/>
          <w:iCs/>
          <w:sz w:val="20"/>
          <w:szCs w:val="20"/>
        </w:rPr>
        <w:t>Forest loss in protected areas and intact forest landscapes: a global analysis</w:t>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PLoS</w:t>
      </w:r>
      <w:proofErr w:type="spellEnd"/>
      <w:r w:rsidRPr="009D551E">
        <w:rPr>
          <w:rFonts w:asciiTheme="majorBidi" w:hAnsiTheme="majorBidi" w:cstheme="majorBidi"/>
          <w:sz w:val="20"/>
          <w:szCs w:val="20"/>
        </w:rPr>
        <w:t xml:space="preserve"> One 10.10: e0138918</w:t>
      </w:r>
      <w:r>
        <w:rPr>
          <w:rFonts w:asciiTheme="majorBidi" w:hAnsiTheme="majorBidi" w:cstheme="majorBidi"/>
          <w:sz w:val="20"/>
          <w:szCs w:val="20"/>
        </w:rPr>
        <w:t>.</w:t>
      </w:r>
    </w:p>
  </w:footnote>
  <w:footnote w:id="39">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Jolly, W. et al (2015).  Climate-induced variations in global wildfire danger from 1979 to 2013, Nature Communications, 6, 7537.</w:t>
      </w:r>
    </w:p>
  </w:footnote>
  <w:footnote w:id="40">
    <w:p w:rsidR="00071EBB" w:rsidRPr="009D551E" w:rsidRDefault="00071EBB" w:rsidP="009D551E">
      <w:pPr>
        <w:pStyle w:val="FootnoteText"/>
        <w:ind w:firstLine="0"/>
        <w:jc w:val="left"/>
        <w:rPr>
          <w:rFonts w:asciiTheme="majorBidi" w:hAnsiTheme="majorBidi" w:cstheme="majorBidi"/>
          <w:sz w:val="20"/>
          <w:szCs w:val="20"/>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van </w:t>
      </w:r>
      <w:proofErr w:type="spellStart"/>
      <w:r w:rsidRPr="009D551E">
        <w:rPr>
          <w:rFonts w:asciiTheme="majorBidi" w:hAnsiTheme="majorBidi" w:cstheme="majorBidi"/>
          <w:sz w:val="20"/>
          <w:szCs w:val="20"/>
        </w:rPr>
        <w:t>Lierop</w:t>
      </w:r>
      <w:proofErr w:type="spellEnd"/>
      <w:r w:rsidRPr="009D551E">
        <w:rPr>
          <w:rFonts w:asciiTheme="majorBidi" w:hAnsiTheme="majorBidi" w:cstheme="majorBidi"/>
          <w:sz w:val="20"/>
          <w:szCs w:val="20"/>
        </w:rPr>
        <w:t xml:space="preserve">, P. (2015). Global forest area disturbance from fire, insect pests, diseases and severe weather events, Forest Ecology and Management, 352, 78-88. </w:t>
      </w:r>
    </w:p>
  </w:footnote>
  <w:footnote w:id="41">
    <w:p w:rsidR="00071EBB" w:rsidRPr="009D551E" w:rsidRDefault="00071EBB" w:rsidP="009D551E">
      <w:pPr>
        <w:pStyle w:val="Default"/>
        <w:rPr>
          <w:rFonts w:asciiTheme="majorBidi" w:hAnsiTheme="majorBidi" w:cstheme="majorBidi"/>
          <w:color w:val="auto"/>
          <w:sz w:val="20"/>
          <w:szCs w:val="20"/>
        </w:rPr>
      </w:pPr>
      <w:r w:rsidRPr="00CE04F9">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lang w:val="fr-BE"/>
        </w:rPr>
        <w:t xml:space="preserve"> </w:t>
      </w:r>
      <w:r w:rsidRPr="009D551E">
        <w:rPr>
          <w:rFonts w:asciiTheme="majorBidi" w:hAnsiTheme="majorBidi" w:cstheme="majorBidi"/>
          <w:color w:val="auto"/>
          <w:sz w:val="20"/>
          <w:szCs w:val="20"/>
          <w:shd w:val="clear" w:color="auto" w:fill="FFFFFF"/>
          <w:lang w:val="fr-BE"/>
        </w:rPr>
        <w:t xml:space="preserve">Brandt, J. S., et al (2017). </w:t>
      </w:r>
      <w:r w:rsidRPr="009D551E">
        <w:rPr>
          <w:rFonts w:asciiTheme="majorBidi" w:hAnsiTheme="majorBidi" w:cstheme="majorBidi"/>
          <w:color w:val="auto"/>
          <w:sz w:val="20"/>
          <w:szCs w:val="20"/>
          <w:shd w:val="clear" w:color="auto" w:fill="FFFFFF"/>
        </w:rPr>
        <w:t>Effects of national forest-management regimes on unprotected forests of the Himalaya, 31-6, 1271-1282.</w:t>
      </w:r>
    </w:p>
  </w:footnote>
  <w:footnote w:id="42">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napToGrid w:val="0"/>
          <w:sz w:val="20"/>
          <w:szCs w:val="20"/>
        </w:rPr>
        <w:t>d’Annunzio</w:t>
      </w:r>
      <w:proofErr w:type="spellEnd"/>
      <w:r w:rsidRPr="009D551E">
        <w:rPr>
          <w:rFonts w:asciiTheme="majorBidi" w:hAnsiTheme="majorBidi" w:cstheme="majorBidi"/>
          <w:snapToGrid w:val="0"/>
          <w:sz w:val="20"/>
          <w:szCs w:val="20"/>
        </w:rPr>
        <w:t>, R. (2015). Projecting global forest area towards 2030, Forest Ecology and Management, 352, 124-133.</w:t>
      </w:r>
    </w:p>
  </w:footnote>
  <w:footnote w:id="43">
    <w:p w:rsidR="00071EBB" w:rsidRPr="009D551E" w:rsidRDefault="00071EBB" w:rsidP="009D551E">
      <w:pPr>
        <w:pStyle w:val="FootnoteText"/>
        <w:ind w:firstLine="0"/>
        <w:jc w:val="left"/>
        <w:rPr>
          <w:rFonts w:asciiTheme="majorBidi" w:hAnsiTheme="majorBidi" w:cstheme="majorBidi"/>
          <w:snapToGrid w:val="0"/>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napToGrid w:val="0"/>
          <w:sz w:val="20"/>
          <w:szCs w:val="20"/>
          <w:lang w:val="en-US"/>
        </w:rPr>
        <w:t>Polidoro</w:t>
      </w:r>
      <w:proofErr w:type="spellEnd"/>
      <w:r w:rsidRPr="009D551E">
        <w:rPr>
          <w:rFonts w:asciiTheme="majorBidi" w:hAnsiTheme="majorBidi" w:cstheme="majorBidi"/>
          <w:snapToGrid w:val="0"/>
          <w:sz w:val="20"/>
          <w:szCs w:val="20"/>
          <w:lang w:val="en-US"/>
        </w:rPr>
        <w:t xml:space="preserve">, B., (2014). Global patterns of mangrove extinction risk: Implications for ecosystem services and biodiversity loss. In B. </w:t>
      </w:r>
      <w:proofErr w:type="spellStart"/>
      <w:r w:rsidRPr="009D551E">
        <w:rPr>
          <w:rFonts w:asciiTheme="majorBidi" w:hAnsiTheme="majorBidi" w:cstheme="majorBidi"/>
          <w:snapToGrid w:val="0"/>
          <w:sz w:val="20"/>
          <w:szCs w:val="20"/>
          <w:lang w:val="en-US"/>
        </w:rPr>
        <w:t>Maslo</w:t>
      </w:r>
      <w:proofErr w:type="spellEnd"/>
      <w:r w:rsidRPr="009D551E">
        <w:rPr>
          <w:rFonts w:asciiTheme="majorBidi" w:hAnsiTheme="majorBidi" w:cstheme="majorBidi"/>
          <w:snapToGrid w:val="0"/>
          <w:sz w:val="20"/>
          <w:szCs w:val="20"/>
          <w:lang w:val="en-US"/>
        </w:rPr>
        <w:t xml:space="preserve"> &amp; J. Lockwood (Eds.), Coastal Conservation</w:t>
      </w:r>
      <w:r>
        <w:rPr>
          <w:rFonts w:asciiTheme="majorBidi" w:hAnsiTheme="majorBidi" w:cstheme="majorBidi"/>
          <w:snapToGrid w:val="0"/>
          <w:sz w:val="20"/>
          <w:szCs w:val="20"/>
          <w:lang w:val="en-US"/>
        </w:rPr>
        <w:t xml:space="preserve"> </w:t>
      </w:r>
      <w:r w:rsidRPr="009D551E">
        <w:rPr>
          <w:rFonts w:asciiTheme="majorBidi" w:hAnsiTheme="majorBidi" w:cstheme="majorBidi"/>
          <w:snapToGrid w:val="0"/>
          <w:sz w:val="20"/>
          <w:szCs w:val="20"/>
          <w:lang w:val="en-US"/>
        </w:rPr>
        <w:t>(Conservation Biology, pp. 15-36). Cambridge: Cambridge University Press. doi:10.1017/CBO9781139137089.003</w:t>
      </w:r>
      <w:r>
        <w:rPr>
          <w:rFonts w:asciiTheme="majorBidi" w:hAnsiTheme="majorBidi" w:cstheme="majorBidi"/>
          <w:snapToGrid w:val="0"/>
          <w:sz w:val="20"/>
          <w:szCs w:val="20"/>
          <w:lang w:val="en-US"/>
        </w:rPr>
        <w:t>.</w:t>
      </w:r>
    </w:p>
  </w:footnote>
  <w:footnote w:id="44">
    <w:p w:rsidR="00071EBB" w:rsidRPr="009D551E" w:rsidRDefault="00071EBB" w:rsidP="009D551E">
      <w:pPr>
        <w:jc w:val="left"/>
        <w:rPr>
          <w:rFonts w:asciiTheme="majorBidi" w:hAnsiTheme="majorBidi" w:cstheme="majorBidi"/>
          <w:sz w:val="20"/>
          <w:szCs w:val="20"/>
          <w:shd w:val="clear" w:color="auto" w:fill="FFFFFF"/>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Pérez, A, et al. (2017). Changes in organic carbon accumulation driven by mangrove expansion and deforestation in a New Zealand estuary. Estuarine, Coastal and Shelf Science 192, 108-116. </w:t>
      </w:r>
    </w:p>
  </w:footnote>
  <w:footnote w:id="45">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 xml:space="preserve">Hamilton, S. E. et al (2016), Creation of a high </w:t>
      </w:r>
      <w:proofErr w:type="spellStart"/>
      <w:r w:rsidRPr="009D551E">
        <w:rPr>
          <w:rFonts w:asciiTheme="majorBidi" w:hAnsiTheme="majorBidi" w:cstheme="majorBidi"/>
          <w:sz w:val="20"/>
          <w:szCs w:val="20"/>
          <w:shd w:val="clear" w:color="auto" w:fill="FFFFFF"/>
        </w:rPr>
        <w:t>spatio</w:t>
      </w:r>
      <w:proofErr w:type="spellEnd"/>
      <w:r w:rsidRPr="009D551E">
        <w:rPr>
          <w:rFonts w:asciiTheme="majorBidi" w:hAnsiTheme="majorBidi" w:cstheme="majorBidi"/>
          <w:sz w:val="20"/>
          <w:szCs w:val="20"/>
          <w:shd w:val="clear" w:color="auto" w:fill="FFFFFF"/>
        </w:rPr>
        <w:t xml:space="preserve">-temporal resolution global database of continuous mangrove forest cover for the 21st century (CGMFC-21). Global Ecol. </w:t>
      </w:r>
      <w:proofErr w:type="spellStart"/>
      <w:r w:rsidRPr="009D551E">
        <w:rPr>
          <w:rFonts w:asciiTheme="majorBidi" w:hAnsiTheme="majorBidi" w:cstheme="majorBidi"/>
          <w:sz w:val="20"/>
          <w:szCs w:val="20"/>
          <w:shd w:val="clear" w:color="auto" w:fill="FFFFFF"/>
        </w:rPr>
        <w:t>Biogeogr</w:t>
      </w:r>
      <w:proofErr w:type="spellEnd"/>
      <w:r w:rsidRPr="009D551E">
        <w:rPr>
          <w:rFonts w:asciiTheme="majorBidi" w:hAnsiTheme="majorBidi" w:cstheme="majorBidi"/>
          <w:sz w:val="20"/>
          <w:szCs w:val="20"/>
          <w:shd w:val="clear" w:color="auto" w:fill="FFFFFF"/>
        </w:rPr>
        <w:t>., 25: 729–738. doi:10.1111/geb.12449</w:t>
      </w:r>
    </w:p>
  </w:footnote>
  <w:footnote w:id="46">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napToGrid w:val="0"/>
          <w:sz w:val="20"/>
          <w:szCs w:val="20"/>
          <w:lang w:val="en-US"/>
        </w:rPr>
        <w:t>Richard, D. et al (2016). Rates and drivers of mangrove deforestation in Southeast Asia, 2000–2012. Proceedings of the National Academy of Sciences, 113(2), 344-349.</w:t>
      </w:r>
    </w:p>
  </w:footnote>
  <w:footnote w:id="47">
    <w:p w:rsidR="00071EBB" w:rsidRPr="009D551E" w:rsidRDefault="00071EBB" w:rsidP="00317282">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shd w:val="clear" w:color="auto" w:fill="FFFFFF"/>
        </w:rPr>
        <w:t>Friess</w:t>
      </w:r>
      <w:proofErr w:type="spellEnd"/>
      <w:r w:rsidRPr="009D551E">
        <w:rPr>
          <w:rFonts w:asciiTheme="majorBidi" w:hAnsiTheme="majorBidi" w:cstheme="majorBidi"/>
          <w:sz w:val="20"/>
          <w:szCs w:val="20"/>
          <w:shd w:val="clear" w:color="auto" w:fill="FFFFFF"/>
        </w:rPr>
        <w:t xml:space="preserve">, D. A. et al (2014), Variability in mangrove change estimates and implications for the assessment of ecosystem service provision. Global Ecology and Biogeography, 23: 715–725. doi:10.1111/geb.12140. </w:t>
      </w:r>
    </w:p>
  </w:footnote>
  <w:footnote w:id="48">
    <w:p w:rsidR="00071EBB" w:rsidRPr="009D551E" w:rsidRDefault="00071EBB" w:rsidP="009D551E">
      <w:pPr>
        <w:pStyle w:val="FootnoteText"/>
        <w:ind w:firstLine="0"/>
        <w:jc w:val="left"/>
        <w:rPr>
          <w:rFonts w:asciiTheme="majorBidi" w:hAnsiTheme="majorBidi" w:cstheme="majorBidi"/>
          <w:sz w:val="20"/>
          <w:szCs w:val="20"/>
          <w:shd w:val="clear" w:color="auto" w:fill="FFFFFF"/>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z w:val="20"/>
          <w:szCs w:val="20"/>
          <w:shd w:val="clear" w:color="auto" w:fill="FFFFFF"/>
        </w:rPr>
        <w:t>Dixon, M.J.R., et al (2016) Tracking global change in ecosystem area: The Wetland Extent Trends index. Biological Conservation, 193, 27-35.</w:t>
      </w:r>
    </w:p>
  </w:footnote>
  <w:footnote w:id="49">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napToGrid w:val="0"/>
          <w:sz w:val="20"/>
          <w:szCs w:val="20"/>
        </w:rPr>
        <w:t>Shengjie</w:t>
      </w:r>
      <w:proofErr w:type="spellEnd"/>
      <w:r w:rsidRPr="009D551E">
        <w:rPr>
          <w:rFonts w:asciiTheme="majorBidi" w:hAnsiTheme="majorBidi" w:cstheme="majorBidi"/>
          <w:snapToGrid w:val="0"/>
          <w:sz w:val="20"/>
          <w:szCs w:val="20"/>
        </w:rPr>
        <w:t xml:space="preserve"> Hu, et al (2017). Global wetlands: Potential distribution, wetland loss, and </w:t>
      </w:r>
      <w:proofErr w:type="spellStart"/>
      <w:proofErr w:type="gramStart"/>
      <w:r w:rsidRPr="009D551E">
        <w:rPr>
          <w:rFonts w:asciiTheme="majorBidi" w:hAnsiTheme="majorBidi" w:cstheme="majorBidi"/>
          <w:snapToGrid w:val="0"/>
          <w:sz w:val="20"/>
          <w:szCs w:val="20"/>
        </w:rPr>
        <w:t>status,Science</w:t>
      </w:r>
      <w:proofErr w:type="spellEnd"/>
      <w:proofErr w:type="gramEnd"/>
      <w:r w:rsidRPr="009D551E">
        <w:rPr>
          <w:rFonts w:asciiTheme="majorBidi" w:hAnsiTheme="majorBidi" w:cstheme="majorBidi"/>
          <w:snapToGrid w:val="0"/>
          <w:sz w:val="20"/>
          <w:szCs w:val="20"/>
        </w:rPr>
        <w:t xml:space="preserve"> of The Total Environment, 586, 319-327.</w:t>
      </w:r>
    </w:p>
  </w:footnote>
  <w:footnote w:id="50">
    <w:p w:rsidR="00071EBB" w:rsidRPr="009D551E" w:rsidRDefault="00071EBB" w:rsidP="009D551E">
      <w:pPr>
        <w:pStyle w:val="FootnoteText"/>
        <w:ind w:firstLine="0"/>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CE04F9">
        <w:rPr>
          <w:rStyle w:val="FootnoteReference"/>
          <w:sz w:val="20"/>
        </w:rPr>
        <w:t xml:space="preserve"> </w:t>
      </w:r>
      <w:r w:rsidRPr="009D551E">
        <w:rPr>
          <w:rFonts w:asciiTheme="majorBidi" w:hAnsiTheme="majorBidi" w:cstheme="majorBidi"/>
          <w:sz w:val="20"/>
          <w:szCs w:val="20"/>
        </w:rPr>
        <w:t xml:space="preserve">Davidson, N. C. 2014. </w:t>
      </w:r>
      <w:r w:rsidRPr="009D551E">
        <w:rPr>
          <w:rFonts w:asciiTheme="majorBidi" w:hAnsiTheme="majorBidi" w:cstheme="majorBidi"/>
          <w:i/>
          <w:sz w:val="20"/>
          <w:szCs w:val="20"/>
        </w:rPr>
        <w:t>How much wetland has the world lost? Long-term and recent trends in global wetland area.</w:t>
      </w:r>
      <w:r w:rsidRPr="009D551E">
        <w:rPr>
          <w:rFonts w:asciiTheme="majorBidi" w:hAnsiTheme="majorBidi" w:cstheme="majorBidi"/>
          <w:sz w:val="20"/>
          <w:szCs w:val="20"/>
        </w:rPr>
        <w:t xml:space="preserve"> Marine and Freshwater Research 65:934–941</w:t>
      </w:r>
    </w:p>
  </w:footnote>
  <w:footnote w:id="51">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CE04F9">
        <w:rPr>
          <w:rStyle w:val="FootnoteReference"/>
          <w:sz w:val="20"/>
        </w:rPr>
        <w:t xml:space="preserve"> </w:t>
      </w:r>
      <w:proofErr w:type="spellStart"/>
      <w:r w:rsidRPr="009D551E">
        <w:rPr>
          <w:rFonts w:asciiTheme="majorBidi" w:hAnsiTheme="majorBidi" w:cstheme="majorBidi"/>
          <w:snapToGrid w:val="0"/>
          <w:sz w:val="20"/>
          <w:szCs w:val="20"/>
          <w:lang w:val="en-US"/>
        </w:rPr>
        <w:t>Pekel</w:t>
      </w:r>
      <w:proofErr w:type="spellEnd"/>
      <w:r w:rsidRPr="009D551E">
        <w:rPr>
          <w:rFonts w:asciiTheme="majorBidi" w:hAnsiTheme="majorBidi" w:cstheme="majorBidi"/>
          <w:snapToGrid w:val="0"/>
          <w:sz w:val="20"/>
          <w:szCs w:val="20"/>
          <w:lang w:val="en-US"/>
        </w:rPr>
        <w:t>, J et al (2016). High-resolution mapping of global surface water and its long-term changes. Nature, 540, 418-422.</w:t>
      </w:r>
    </w:p>
  </w:footnote>
  <w:footnote w:id="52">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proofErr w:type="gramStart"/>
      <w:r w:rsidRPr="009D551E">
        <w:rPr>
          <w:rFonts w:asciiTheme="majorBidi" w:hAnsiTheme="majorBidi" w:cstheme="majorBidi"/>
          <w:sz w:val="20"/>
          <w:szCs w:val="20"/>
          <w:lang w:val="en-US"/>
        </w:rPr>
        <w:t>Grill,G</w:t>
      </w:r>
      <w:proofErr w:type="spellEnd"/>
      <w:r w:rsidRPr="009D551E">
        <w:rPr>
          <w:rFonts w:asciiTheme="majorBidi" w:hAnsiTheme="majorBidi" w:cstheme="majorBidi"/>
          <w:sz w:val="20"/>
          <w:szCs w:val="20"/>
          <w:lang w:val="en-US"/>
        </w:rPr>
        <w:t>.</w:t>
      </w:r>
      <w:proofErr w:type="gramEnd"/>
      <w:r w:rsidRPr="009D551E">
        <w:rPr>
          <w:rFonts w:asciiTheme="majorBidi" w:hAnsiTheme="majorBidi" w:cstheme="majorBidi"/>
          <w:sz w:val="20"/>
          <w:szCs w:val="20"/>
          <w:lang w:val="en-US"/>
        </w:rPr>
        <w:t xml:space="preserve"> et al (2015)</w:t>
      </w:r>
      <w:r w:rsidRPr="009D551E">
        <w:rPr>
          <w:rFonts w:asciiTheme="majorBidi" w:hAnsiTheme="majorBidi" w:cstheme="majorBidi"/>
          <w:sz w:val="20"/>
          <w:szCs w:val="20"/>
        </w:rPr>
        <w:t xml:space="preserve"> </w:t>
      </w:r>
      <w:r w:rsidRPr="009D551E">
        <w:rPr>
          <w:rFonts w:asciiTheme="majorBidi" w:hAnsiTheme="majorBidi" w:cstheme="majorBidi"/>
          <w:sz w:val="20"/>
          <w:szCs w:val="20"/>
          <w:lang w:val="en-US"/>
        </w:rPr>
        <w:t xml:space="preserve">An index-based framework for assessing patterns and trends in river fragmentation and flow regulation by global dams at multiple scales Environmental. </w:t>
      </w:r>
      <w:r w:rsidRPr="009D551E">
        <w:rPr>
          <w:rFonts w:asciiTheme="majorBidi" w:hAnsiTheme="majorBidi" w:cstheme="majorBidi"/>
          <w:sz w:val="20"/>
          <w:szCs w:val="20"/>
        </w:rPr>
        <w:t>Research. Letters. 10 015001</w:t>
      </w:r>
    </w:p>
  </w:footnote>
  <w:footnote w:id="53">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Dunn, J. B., et al (2017), Measured extent of agricultural expansion depends on analysis technique. Biofuels, Bioproducts and Biorefining., 11: 247–257. doi:10.1002/bbb.1750</w:t>
      </w:r>
    </w:p>
  </w:footnote>
  <w:footnote w:id="54">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 xml:space="preserve">Dixon, A. P., et al (2014), Distribution mapping of world grassland types. J. </w:t>
      </w:r>
      <w:proofErr w:type="spellStart"/>
      <w:r w:rsidRPr="009D551E">
        <w:rPr>
          <w:rFonts w:asciiTheme="majorBidi" w:hAnsiTheme="majorBidi" w:cstheme="majorBidi"/>
          <w:sz w:val="20"/>
          <w:szCs w:val="20"/>
          <w:shd w:val="clear" w:color="auto" w:fill="FFFFFF"/>
        </w:rPr>
        <w:t>Biogeogr</w:t>
      </w:r>
      <w:proofErr w:type="spellEnd"/>
      <w:r w:rsidRPr="009D551E">
        <w:rPr>
          <w:rFonts w:asciiTheme="majorBidi" w:hAnsiTheme="majorBidi" w:cstheme="majorBidi"/>
          <w:sz w:val="20"/>
          <w:szCs w:val="20"/>
          <w:shd w:val="clear" w:color="auto" w:fill="FFFFFF"/>
        </w:rPr>
        <w:t>., 41: 2003–2019. doi:10.1111/jbi.12381</w:t>
      </w:r>
    </w:p>
  </w:footnote>
  <w:footnote w:id="55">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shd w:val="clear" w:color="auto" w:fill="FFFFFF"/>
        </w:rPr>
        <w:t>Congalton</w:t>
      </w:r>
      <w:proofErr w:type="spellEnd"/>
      <w:r w:rsidRPr="009D551E">
        <w:rPr>
          <w:rFonts w:asciiTheme="majorBidi" w:hAnsiTheme="majorBidi" w:cstheme="majorBidi"/>
          <w:sz w:val="20"/>
          <w:szCs w:val="20"/>
          <w:shd w:val="clear" w:color="auto" w:fill="FFFFFF"/>
        </w:rPr>
        <w:t>, R.G et al (2014) Global Land Cover Mapping: A Review and Uncertainty Analysis. </w:t>
      </w:r>
      <w:r w:rsidRPr="009D551E">
        <w:rPr>
          <w:rStyle w:val="Emphasis"/>
          <w:rFonts w:asciiTheme="majorBidi" w:hAnsiTheme="majorBidi" w:cstheme="majorBidi"/>
          <w:i w:val="0"/>
          <w:iCs w:val="0"/>
          <w:sz w:val="20"/>
          <w:szCs w:val="20"/>
          <w:shd w:val="clear" w:color="auto" w:fill="FFFFFF"/>
        </w:rPr>
        <w:t>Remote Sensing.</w:t>
      </w:r>
      <w:r w:rsidRPr="009D551E">
        <w:rPr>
          <w:rFonts w:asciiTheme="majorBidi" w:hAnsiTheme="majorBidi" w:cstheme="majorBidi"/>
          <w:sz w:val="20"/>
          <w:szCs w:val="20"/>
          <w:shd w:val="clear" w:color="auto" w:fill="FFFFFF"/>
        </w:rPr>
        <w:t> </w:t>
      </w:r>
      <w:r w:rsidRPr="009D551E">
        <w:rPr>
          <w:rStyle w:val="Emphasis"/>
          <w:rFonts w:asciiTheme="majorBidi" w:hAnsiTheme="majorBidi" w:cstheme="majorBidi"/>
          <w:i w:val="0"/>
          <w:iCs w:val="0"/>
          <w:sz w:val="20"/>
          <w:szCs w:val="20"/>
          <w:shd w:val="clear" w:color="auto" w:fill="FFFFFF"/>
        </w:rPr>
        <w:t>6</w:t>
      </w:r>
      <w:r w:rsidRPr="009D551E">
        <w:rPr>
          <w:rFonts w:asciiTheme="majorBidi" w:hAnsiTheme="majorBidi" w:cstheme="majorBidi"/>
          <w:sz w:val="20"/>
          <w:szCs w:val="20"/>
          <w:shd w:val="clear" w:color="auto" w:fill="FFFFFF"/>
        </w:rPr>
        <w:t>, 12070-12093.</w:t>
      </w:r>
    </w:p>
  </w:footnote>
  <w:footnote w:id="56">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Queiroz, C., et al (2014), Farmland abandonment: threat or opportunity for biodiversity conservation? A global review. Frontiers in Ecology and the Environment, 12: 288–296. doi:10.1890/120348</w:t>
      </w:r>
    </w:p>
  </w:footnote>
  <w:footnote w:id="57">
    <w:p w:rsidR="00071EBB" w:rsidRPr="009D551E" w:rsidRDefault="00071EBB" w:rsidP="009D551E">
      <w:pPr>
        <w:pStyle w:val="FootnoteText"/>
        <w:ind w:firstLine="0"/>
        <w:jc w:val="left"/>
        <w:rPr>
          <w:rFonts w:asciiTheme="majorBidi" w:hAnsiTheme="majorBidi" w:cstheme="majorBidi"/>
          <w:sz w:val="20"/>
          <w:szCs w:val="20"/>
          <w:lang w:val="en-US"/>
        </w:rPr>
      </w:pPr>
      <w:r w:rsidRPr="00CE04F9">
        <w:rPr>
          <w:rStyle w:val="FootnoteReference"/>
          <w:rFonts w:asciiTheme="majorBidi" w:hAnsiTheme="majorBidi" w:cstheme="majorBidi"/>
          <w:sz w:val="20"/>
          <w:szCs w:val="20"/>
        </w:rPr>
        <w:footnoteRef/>
      </w:r>
      <w:r w:rsidRPr="009D551E">
        <w:rPr>
          <w:rFonts w:asciiTheme="majorBidi" w:hAnsiTheme="majorBidi" w:cstheme="majorBidi"/>
          <w:sz w:val="20"/>
          <w:szCs w:val="20"/>
          <w:lang w:val="fr-BE"/>
        </w:rPr>
        <w:t xml:space="preserve"> </w:t>
      </w:r>
      <w:r w:rsidRPr="009D551E">
        <w:rPr>
          <w:rStyle w:val="author"/>
          <w:rFonts w:asciiTheme="majorBidi" w:hAnsiTheme="majorBidi" w:cstheme="majorBidi"/>
          <w:sz w:val="20"/>
          <w:szCs w:val="20"/>
          <w:bdr w:val="none" w:sz="0" w:space="0" w:color="auto" w:frame="1"/>
          <w:lang w:val="fr-BE"/>
        </w:rPr>
        <w:t>Hermann, J.-M.</w:t>
      </w:r>
      <w:r w:rsidRPr="009D551E">
        <w:rPr>
          <w:rFonts w:asciiTheme="majorBidi" w:hAnsiTheme="majorBidi" w:cstheme="majorBidi"/>
          <w:sz w:val="20"/>
          <w:szCs w:val="20"/>
          <w:shd w:val="clear" w:color="auto" w:fill="FFFFFF"/>
          <w:lang w:val="fr-BE"/>
        </w:rPr>
        <w:t>, </w:t>
      </w:r>
      <w:r w:rsidRPr="009D551E">
        <w:rPr>
          <w:rStyle w:val="author"/>
          <w:rFonts w:asciiTheme="majorBidi" w:hAnsiTheme="majorBidi" w:cstheme="majorBidi"/>
          <w:sz w:val="20"/>
          <w:szCs w:val="20"/>
          <w:bdr w:val="none" w:sz="0" w:space="0" w:color="auto" w:frame="1"/>
          <w:lang w:val="fr-BE"/>
        </w:rPr>
        <w:t>et al</w:t>
      </w:r>
      <w:r w:rsidRPr="009D551E">
        <w:rPr>
          <w:rFonts w:asciiTheme="majorBidi" w:hAnsiTheme="majorBidi" w:cstheme="majorBidi"/>
          <w:sz w:val="20"/>
          <w:szCs w:val="20"/>
          <w:shd w:val="clear" w:color="auto" w:fill="FFFFFF"/>
          <w:lang w:val="fr-BE"/>
        </w:rPr>
        <w:t>. </w:t>
      </w:r>
      <w:r w:rsidRPr="009D551E">
        <w:rPr>
          <w:rFonts w:asciiTheme="majorBidi" w:hAnsiTheme="majorBidi" w:cstheme="majorBidi"/>
          <w:sz w:val="20"/>
          <w:szCs w:val="20"/>
          <w:shd w:val="clear" w:color="auto" w:fill="FFFFFF"/>
        </w:rPr>
        <w:t>(</w:t>
      </w:r>
      <w:r w:rsidRPr="009D551E">
        <w:rPr>
          <w:rStyle w:val="pubyear"/>
          <w:rFonts w:asciiTheme="majorBidi" w:hAnsiTheme="majorBidi" w:cstheme="majorBidi"/>
          <w:sz w:val="20"/>
          <w:szCs w:val="20"/>
          <w:bdr w:val="none" w:sz="0" w:space="0" w:color="auto" w:frame="1"/>
          <w:shd w:val="clear" w:color="auto" w:fill="FFFFFF"/>
        </w:rPr>
        <w:t>2016)</w:t>
      </w:r>
      <w:r w:rsidRPr="009D551E">
        <w:rPr>
          <w:rFonts w:asciiTheme="majorBidi" w:hAnsiTheme="majorBidi" w:cstheme="majorBidi"/>
          <w:sz w:val="20"/>
          <w:szCs w:val="20"/>
          <w:shd w:val="clear" w:color="auto" w:fill="FFFFFF"/>
        </w:rPr>
        <w:t>. </w:t>
      </w:r>
      <w:r w:rsidRPr="009D551E">
        <w:rPr>
          <w:rStyle w:val="articletitle"/>
          <w:rFonts w:asciiTheme="majorBidi" w:hAnsiTheme="majorBidi" w:cstheme="majorBidi"/>
          <w:sz w:val="20"/>
          <w:szCs w:val="20"/>
          <w:bdr w:val="none" w:sz="0" w:space="0" w:color="auto" w:frame="1"/>
          <w:shd w:val="clear" w:color="auto" w:fill="FFFFFF"/>
        </w:rPr>
        <w:t>Forest–grassland biodiversity hotspot under siege: land conversion counteracts nature conservation</w:t>
      </w:r>
      <w:r w:rsidRPr="009D551E">
        <w:rPr>
          <w:rFonts w:asciiTheme="majorBidi" w:hAnsiTheme="majorBidi" w:cstheme="majorBidi"/>
          <w:sz w:val="20"/>
          <w:szCs w:val="20"/>
          <w:shd w:val="clear" w:color="auto" w:fill="FFFFFF"/>
        </w:rPr>
        <w:t>. </w:t>
      </w:r>
      <w:r w:rsidRPr="009D551E">
        <w:rPr>
          <w:rStyle w:val="journaltitle"/>
          <w:rFonts w:asciiTheme="majorBidi" w:hAnsiTheme="majorBidi" w:cstheme="majorBidi"/>
          <w:sz w:val="20"/>
          <w:szCs w:val="20"/>
          <w:bdr w:val="none" w:sz="0" w:space="0" w:color="auto" w:frame="1"/>
          <w:shd w:val="clear" w:color="auto" w:fill="FFFFFF"/>
        </w:rPr>
        <w:t>Ecosystem Health and Sustainability</w:t>
      </w:r>
      <w:r w:rsidRPr="009D551E">
        <w:rPr>
          <w:rStyle w:val="vol"/>
          <w:rFonts w:asciiTheme="majorBidi" w:hAnsiTheme="majorBidi" w:cstheme="majorBidi"/>
          <w:sz w:val="20"/>
          <w:szCs w:val="20"/>
          <w:bdr w:val="none" w:sz="0" w:space="0" w:color="auto" w:frame="1"/>
          <w:shd w:val="clear" w:color="auto" w:fill="FFFFFF"/>
        </w:rPr>
        <w:t>2</w:t>
      </w:r>
      <w:r w:rsidRPr="009D551E">
        <w:rPr>
          <w:rFonts w:asciiTheme="majorBidi" w:hAnsiTheme="majorBidi" w:cstheme="majorBidi"/>
          <w:sz w:val="20"/>
          <w:szCs w:val="20"/>
          <w:shd w:val="clear" w:color="auto" w:fill="FFFFFF"/>
        </w:rPr>
        <w:t>(</w:t>
      </w:r>
      <w:r w:rsidRPr="009D551E">
        <w:rPr>
          <w:rStyle w:val="citedissue"/>
          <w:rFonts w:asciiTheme="majorBidi" w:hAnsiTheme="majorBidi" w:cstheme="majorBidi"/>
          <w:sz w:val="20"/>
          <w:szCs w:val="20"/>
          <w:bdr w:val="none" w:sz="0" w:space="0" w:color="auto" w:frame="1"/>
          <w:shd w:val="clear" w:color="auto" w:fill="FFFFFF"/>
        </w:rPr>
        <w:t>6</w:t>
      </w:r>
      <w:proofErr w:type="gramStart"/>
      <w:r w:rsidRPr="009D551E">
        <w:rPr>
          <w:rFonts w:asciiTheme="majorBidi" w:hAnsiTheme="majorBidi" w:cstheme="majorBidi"/>
          <w:sz w:val="20"/>
          <w:szCs w:val="20"/>
          <w:shd w:val="clear" w:color="auto" w:fill="FFFFFF"/>
        </w:rPr>
        <w:t>):e</w:t>
      </w:r>
      <w:proofErr w:type="gramEnd"/>
      <w:r w:rsidRPr="009D551E">
        <w:rPr>
          <w:rFonts w:asciiTheme="majorBidi" w:hAnsiTheme="majorBidi" w:cstheme="majorBidi"/>
          <w:sz w:val="20"/>
          <w:szCs w:val="20"/>
          <w:shd w:val="clear" w:color="auto" w:fill="FFFFFF"/>
        </w:rPr>
        <w:t>01224. doi:</w:t>
      </w:r>
      <w:r w:rsidRPr="009D551E">
        <w:rPr>
          <w:rFonts w:asciiTheme="majorBidi" w:hAnsiTheme="majorBidi" w:cstheme="majorBidi"/>
          <w:sz w:val="20"/>
          <w:szCs w:val="20"/>
          <w:bdr w:val="none" w:sz="0" w:space="0" w:color="auto" w:frame="1"/>
          <w:shd w:val="clear" w:color="auto" w:fill="FFFFFF"/>
        </w:rPr>
        <w:t>10.1002/ehs2.1224</w:t>
      </w:r>
    </w:p>
  </w:footnote>
  <w:footnote w:id="58">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Pool, D et al (2014). Rapid expansion of croplands in Chihuahua, Mexico threatens declining North American grassland bird species, Biological Conservation, 170,274-281.</w:t>
      </w:r>
    </w:p>
  </w:footnote>
  <w:footnote w:id="59">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Wang, Z. et al (2017). What is the main cause of grassland degradation? A case study of grassland ecosystem service in the middle-south Inner Mongolia, CATENA, 150, 100-107.</w:t>
      </w:r>
    </w:p>
  </w:footnote>
  <w:footnote w:id="60">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fr-BE"/>
        </w:rPr>
        <w:t xml:space="preserve"> Halpern, B. S. et al. </w:t>
      </w:r>
      <w:r w:rsidRPr="009D551E">
        <w:rPr>
          <w:rFonts w:asciiTheme="majorBidi" w:hAnsiTheme="majorBidi" w:cstheme="majorBidi"/>
          <w:sz w:val="20"/>
          <w:szCs w:val="20"/>
          <w:lang w:val="en-US"/>
        </w:rPr>
        <w:t xml:space="preserve">(2015) </w:t>
      </w:r>
      <w:r w:rsidRPr="009D551E">
        <w:rPr>
          <w:rFonts w:asciiTheme="majorBidi" w:hAnsiTheme="majorBidi" w:cstheme="majorBidi"/>
          <w:sz w:val="20"/>
          <w:szCs w:val="20"/>
        </w:rPr>
        <w:t xml:space="preserve">Spatial and temporal changes in cumulative human impacts on the world’s ocean. Nature Communications. 6:7615 </w:t>
      </w:r>
      <w:proofErr w:type="spellStart"/>
      <w:r w:rsidRPr="009D551E">
        <w:rPr>
          <w:rFonts w:asciiTheme="majorBidi" w:hAnsiTheme="majorBidi" w:cstheme="majorBidi"/>
          <w:sz w:val="20"/>
          <w:szCs w:val="20"/>
        </w:rPr>
        <w:t>doi</w:t>
      </w:r>
      <w:proofErr w:type="spellEnd"/>
      <w:r w:rsidRPr="009D551E">
        <w:rPr>
          <w:rFonts w:asciiTheme="majorBidi" w:hAnsiTheme="majorBidi" w:cstheme="majorBidi"/>
          <w:sz w:val="20"/>
          <w:szCs w:val="20"/>
        </w:rPr>
        <w:t>: 10.1038/ncomms8615.</w:t>
      </w:r>
      <w:r w:rsidRPr="009D551E">
        <w:rPr>
          <w:rFonts w:asciiTheme="majorBidi" w:hAnsiTheme="majorBidi" w:cstheme="majorBidi"/>
          <w:snapToGrid w:val="0"/>
          <w:sz w:val="20"/>
          <w:szCs w:val="20"/>
        </w:rPr>
        <w:t xml:space="preserve"> </w:t>
      </w:r>
    </w:p>
  </w:footnote>
  <w:footnote w:id="61">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McCauley, D. J. et al (2015). Marine defaunation: Animal loss in the global ocean, Science 347(6219)</w:t>
      </w:r>
    </w:p>
  </w:footnote>
  <w:footnote w:id="62">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Victoria L. G. et al (2015) A review of impacts of marine dredging activities on marine mammals, </w:t>
      </w:r>
      <w:r w:rsidRPr="009D551E">
        <w:rPr>
          <w:rStyle w:val="Emphasis"/>
          <w:rFonts w:asciiTheme="majorBidi" w:hAnsiTheme="majorBidi" w:cstheme="majorBidi"/>
          <w:i w:val="0"/>
          <w:iCs w:val="0"/>
          <w:sz w:val="20"/>
          <w:szCs w:val="20"/>
          <w:bdr w:val="none" w:sz="0" w:space="0" w:color="auto" w:frame="1"/>
          <w:shd w:val="clear" w:color="auto" w:fill="FFFFFF"/>
        </w:rPr>
        <w:t>ICES Journal of Marine Science</w:t>
      </w:r>
      <w:r w:rsidRPr="009D551E">
        <w:rPr>
          <w:rFonts w:asciiTheme="majorBidi" w:hAnsiTheme="majorBidi" w:cstheme="majorBidi"/>
          <w:sz w:val="20"/>
          <w:szCs w:val="20"/>
          <w:shd w:val="clear" w:color="auto" w:fill="FFFFFF"/>
        </w:rPr>
        <w:t>, Volume 72, Issue 2, 328–340, </w:t>
      </w:r>
    </w:p>
  </w:footnote>
  <w:footnote w:id="63">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Clark, M.  et al (2016) The impacts of deep-sea fisheries on benthic communities: a review, </w:t>
      </w:r>
      <w:r w:rsidRPr="009D551E">
        <w:rPr>
          <w:rStyle w:val="Emphasis"/>
          <w:rFonts w:asciiTheme="majorBidi" w:hAnsiTheme="majorBidi" w:cstheme="majorBidi"/>
          <w:i w:val="0"/>
          <w:iCs w:val="0"/>
          <w:sz w:val="20"/>
          <w:szCs w:val="20"/>
          <w:bdr w:val="none" w:sz="0" w:space="0" w:color="auto" w:frame="1"/>
          <w:shd w:val="clear" w:color="auto" w:fill="FFFFFF"/>
        </w:rPr>
        <w:t>ICES Journal of Marine Science</w:t>
      </w:r>
      <w:r w:rsidRPr="009D551E">
        <w:rPr>
          <w:rFonts w:asciiTheme="majorBidi" w:hAnsiTheme="majorBidi" w:cstheme="majorBidi"/>
          <w:sz w:val="20"/>
          <w:szCs w:val="20"/>
          <w:shd w:val="clear" w:color="auto" w:fill="FFFFFF"/>
        </w:rPr>
        <w:t>, Volume 73, i51–i69.</w:t>
      </w:r>
    </w:p>
  </w:footnote>
  <w:footnote w:id="64">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fr-BE"/>
        </w:rPr>
        <w:t xml:space="preserve"> </w:t>
      </w:r>
      <w:proofErr w:type="spellStart"/>
      <w:r w:rsidRPr="009D551E">
        <w:rPr>
          <w:rFonts w:asciiTheme="majorBidi" w:hAnsiTheme="majorBidi" w:cstheme="majorBidi"/>
          <w:snapToGrid w:val="0"/>
          <w:sz w:val="20"/>
          <w:szCs w:val="20"/>
          <w:lang w:val="fr-BE"/>
        </w:rPr>
        <w:t>Krumhansl</w:t>
      </w:r>
      <w:proofErr w:type="spellEnd"/>
      <w:r w:rsidRPr="009D551E">
        <w:rPr>
          <w:rFonts w:asciiTheme="majorBidi" w:hAnsiTheme="majorBidi" w:cstheme="majorBidi"/>
          <w:snapToGrid w:val="0"/>
          <w:sz w:val="20"/>
          <w:szCs w:val="20"/>
          <w:lang w:val="fr-BE"/>
        </w:rPr>
        <w:t xml:space="preserve">, Kira A. et al (2016). </w:t>
      </w:r>
      <w:r w:rsidRPr="009D551E">
        <w:rPr>
          <w:rFonts w:asciiTheme="majorBidi" w:hAnsiTheme="majorBidi" w:cstheme="majorBidi"/>
          <w:snapToGrid w:val="0"/>
          <w:sz w:val="20"/>
          <w:szCs w:val="20"/>
        </w:rPr>
        <w:t>Global patterns of kelp forest change over the past half-century, Proceedings of the National Academy of Sciences 113 (48) 13785-13790.</w:t>
      </w:r>
    </w:p>
  </w:footnote>
  <w:footnote w:id="65">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Short, et al (2014). Monitoring in the Western Pacific region shows evidence of seagrass decline in line with global trends, Marine Pollution Bulletin, 83(2). 408-416.</w:t>
      </w:r>
    </w:p>
  </w:footnote>
  <w:footnote w:id="66">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noProof/>
          <w:sz w:val="20"/>
          <w:szCs w:val="20"/>
        </w:rPr>
        <w:t>Dixon, M.J.R.et al (2016, with updated data) Tracking global change in ecosystem area: The Wetland Extent Trends index. Biological Conservation 193, 27–35.</w:t>
      </w:r>
    </w:p>
  </w:footnote>
  <w:footnote w:id="67">
    <w:p w:rsidR="00071EBB" w:rsidRPr="009D551E" w:rsidRDefault="00071EBB" w:rsidP="009D551E">
      <w:pPr>
        <w:jc w:val="left"/>
        <w:rPr>
          <w:rFonts w:asciiTheme="majorBidi" w:hAnsiTheme="majorBidi" w:cstheme="majorBidi"/>
          <w:sz w:val="20"/>
          <w:szCs w:val="20"/>
        </w:rPr>
      </w:pPr>
      <w:r w:rsidRPr="005424FB">
        <w:rPr>
          <w:rStyle w:val="FootnoteReference"/>
          <w:rFonts w:asciiTheme="majorBidi" w:hAnsiTheme="majorBidi" w:cstheme="majorBidi"/>
          <w:sz w:val="20"/>
          <w:szCs w:val="20"/>
        </w:rPr>
        <w:footnoteRef/>
      </w:r>
      <w:r w:rsidRPr="005424FB">
        <w:rPr>
          <w:rStyle w:val="FootnoteReference"/>
          <w:sz w:val="20"/>
        </w:rPr>
        <w:t xml:space="preserve"> </w:t>
      </w:r>
      <w:r w:rsidRPr="00380AE4">
        <w:rPr>
          <w:rFonts w:asciiTheme="majorBidi" w:hAnsiTheme="majorBidi" w:cstheme="majorBidi"/>
          <w:sz w:val="20"/>
          <w:szCs w:val="20"/>
          <w:lang w:val="fr-BE"/>
        </w:rPr>
        <w:t xml:space="preserve">Hansen, M.C., et al  (2013). </w:t>
      </w:r>
      <w:r w:rsidRPr="009D551E">
        <w:rPr>
          <w:rFonts w:asciiTheme="majorBidi" w:hAnsiTheme="majorBidi" w:cstheme="majorBidi"/>
          <w:sz w:val="20"/>
          <w:szCs w:val="20"/>
        </w:rPr>
        <w:t xml:space="preserve">High-resolution global maps of 21st-century forest cover change. Science, 342(6160), pp.850-853. Data available online from </w:t>
      </w:r>
      <w:hyperlink r:id="rId6" w:history="1">
        <w:r w:rsidRPr="009D551E">
          <w:rPr>
            <w:rStyle w:val="Hyperlink"/>
            <w:rFonts w:asciiTheme="majorBidi" w:hAnsiTheme="majorBidi" w:cstheme="majorBidi"/>
            <w:sz w:val="20"/>
            <w:szCs w:val="20"/>
          </w:rPr>
          <w:t>http://earthenginepartners.appspot.com/science-2013-global-forest</w:t>
        </w:r>
      </w:hyperlink>
      <w:r w:rsidRPr="009D551E">
        <w:rPr>
          <w:rFonts w:asciiTheme="majorBidi" w:hAnsiTheme="majorBidi" w:cstheme="majorBidi"/>
          <w:sz w:val="20"/>
          <w:szCs w:val="20"/>
        </w:rPr>
        <w:t>.</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rPr>
        <w:t>Heino</w:t>
      </w:r>
      <w:proofErr w:type="spellEnd"/>
      <w:r w:rsidRPr="009D551E">
        <w:rPr>
          <w:rFonts w:asciiTheme="majorBidi" w:hAnsiTheme="majorBidi" w:cstheme="majorBidi"/>
          <w:sz w:val="20"/>
          <w:szCs w:val="20"/>
        </w:rPr>
        <w:t xml:space="preserve">, M., et al. </w:t>
      </w:r>
      <w:proofErr w:type="gramStart"/>
      <w:r w:rsidRPr="009D551E">
        <w:rPr>
          <w:rFonts w:asciiTheme="majorBidi" w:hAnsiTheme="majorBidi" w:cstheme="majorBidi"/>
          <w:sz w:val="20"/>
          <w:szCs w:val="20"/>
        </w:rPr>
        <w:t>( 2015</w:t>
      </w:r>
      <w:proofErr w:type="gramEnd"/>
      <w:r w:rsidRPr="009D551E">
        <w:rPr>
          <w:rFonts w:asciiTheme="majorBidi" w:hAnsiTheme="majorBidi" w:cstheme="majorBidi"/>
          <w:sz w:val="20"/>
          <w:szCs w:val="20"/>
        </w:rPr>
        <w:t>). Forest loss in protected areas and intact forest landscapes: a global analysis. </w:t>
      </w:r>
      <w:proofErr w:type="spellStart"/>
      <w:r w:rsidRPr="009D551E">
        <w:rPr>
          <w:rFonts w:asciiTheme="majorBidi" w:hAnsiTheme="majorBidi" w:cstheme="majorBidi"/>
          <w:sz w:val="20"/>
          <w:szCs w:val="20"/>
        </w:rPr>
        <w:t>PloS</w:t>
      </w:r>
      <w:proofErr w:type="spellEnd"/>
      <w:r w:rsidRPr="009D551E">
        <w:rPr>
          <w:rFonts w:asciiTheme="majorBidi" w:hAnsiTheme="majorBidi" w:cstheme="majorBidi"/>
          <w:sz w:val="20"/>
          <w:szCs w:val="20"/>
        </w:rPr>
        <w:t xml:space="preserve"> one, 10(10), </w:t>
      </w:r>
      <w:proofErr w:type="gramStart"/>
      <w:r w:rsidRPr="009D551E">
        <w:rPr>
          <w:rFonts w:asciiTheme="majorBidi" w:hAnsiTheme="majorBidi" w:cstheme="majorBidi"/>
          <w:sz w:val="20"/>
          <w:szCs w:val="20"/>
        </w:rPr>
        <w:t>p.e</w:t>
      </w:r>
      <w:proofErr w:type="gramEnd"/>
      <w:r w:rsidRPr="009D551E">
        <w:rPr>
          <w:rFonts w:asciiTheme="majorBidi" w:hAnsiTheme="majorBidi" w:cstheme="majorBidi"/>
          <w:sz w:val="20"/>
          <w:szCs w:val="20"/>
        </w:rPr>
        <w:t>0138918.</w:t>
      </w:r>
    </w:p>
  </w:footnote>
  <w:footnote w:id="68">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FAO. 2016. The State of World Fisheries and Aquaculture 2016. Contributing to food security and nutrition for all. Rome. 200 pp.</w:t>
      </w:r>
    </w:p>
  </w:footnote>
  <w:footnote w:id="69">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Pauly</w:t>
      </w:r>
      <w:proofErr w:type="spellEnd"/>
      <w:r w:rsidRPr="009D551E">
        <w:rPr>
          <w:rFonts w:asciiTheme="majorBidi" w:hAnsiTheme="majorBidi" w:cstheme="majorBidi"/>
          <w:sz w:val="20"/>
          <w:szCs w:val="20"/>
        </w:rPr>
        <w:t>, D., and Zeller, D. (2016). Catch reconstructions reveal that global marine fisheries catches are higher than reported and declining. Nature communications, 7</w:t>
      </w:r>
    </w:p>
  </w:footnote>
  <w:footnote w:id="70">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FAO. 2016. The State of World Fisheries and Aquaculture 2016. Contributing to food security and nutrition for all. Rome. 200 pp.</w:t>
      </w:r>
    </w:p>
  </w:footnote>
  <w:footnote w:id="71">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Worm, B. (2016). Averting a global fisheries disaster. Proceedings of the National Academy of Sciences, 113(18), 4895-4897.</w:t>
      </w:r>
    </w:p>
  </w:footnote>
  <w:footnote w:id="72">
    <w:p w:rsidR="00071EBB" w:rsidRPr="009D551E" w:rsidRDefault="00071EBB" w:rsidP="009D551E">
      <w:pPr>
        <w:pStyle w:val="FootnoteText"/>
        <w:ind w:firstLine="0"/>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Thorson, </w:t>
      </w:r>
      <w:proofErr w:type="spellStart"/>
      <w:proofErr w:type="gramStart"/>
      <w:r w:rsidRPr="009D551E">
        <w:rPr>
          <w:rFonts w:asciiTheme="majorBidi" w:hAnsiTheme="majorBidi" w:cstheme="majorBidi"/>
          <w:sz w:val="20"/>
          <w:szCs w:val="20"/>
        </w:rPr>
        <w:t>J.T.;et</w:t>
      </w:r>
      <w:proofErr w:type="spellEnd"/>
      <w:proofErr w:type="gramEnd"/>
      <w:r w:rsidRPr="009D551E">
        <w:rPr>
          <w:rFonts w:asciiTheme="majorBidi" w:hAnsiTheme="majorBidi" w:cstheme="majorBidi"/>
          <w:sz w:val="20"/>
          <w:szCs w:val="20"/>
        </w:rPr>
        <w:t xml:space="preserve"> al 2014. Probability of stochastic depletion an easily interpreted diagnostic for stock assessment modelling and fisheries management. ICES Journal of Marine Science, 72(2) 428-435.</w:t>
      </w:r>
    </w:p>
  </w:footnote>
  <w:footnote w:id="73">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Costello, C. et al. (2016). Global fishery prospects under contrasting management regimes. Proceedings of the National. Academy of Science5125.5129   </w:t>
      </w:r>
    </w:p>
  </w:footnote>
  <w:footnote w:id="74">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380AE4">
        <w:rPr>
          <w:rFonts w:asciiTheme="majorBidi" w:hAnsiTheme="majorBidi" w:cstheme="majorBidi"/>
          <w:sz w:val="20"/>
          <w:szCs w:val="20"/>
          <w:lang w:val="fr-BE"/>
        </w:rPr>
        <w:t xml:space="preserve"> Rosenberg, A.A et al., (2017). </w:t>
      </w:r>
      <w:r w:rsidRPr="009D551E">
        <w:rPr>
          <w:rFonts w:asciiTheme="majorBidi" w:hAnsiTheme="majorBidi" w:cstheme="majorBidi"/>
          <w:sz w:val="20"/>
          <w:szCs w:val="20"/>
        </w:rPr>
        <w:t xml:space="preserve">Applying a New Ensemble approach to estimating stock status of marine fisheries around the world. Conservation Letters. </w:t>
      </w:r>
      <w:proofErr w:type="spellStart"/>
      <w:r w:rsidRPr="009D551E">
        <w:rPr>
          <w:rFonts w:asciiTheme="majorBidi" w:hAnsiTheme="majorBidi" w:cstheme="majorBidi"/>
          <w:sz w:val="20"/>
          <w:szCs w:val="20"/>
        </w:rPr>
        <w:t>Doi</w:t>
      </w:r>
      <w:proofErr w:type="spellEnd"/>
      <w:r w:rsidRPr="009D551E">
        <w:rPr>
          <w:rFonts w:asciiTheme="majorBidi" w:hAnsiTheme="majorBidi" w:cstheme="majorBidi"/>
          <w:sz w:val="20"/>
          <w:szCs w:val="20"/>
        </w:rPr>
        <w:t>: 10.1111/conl.12363</w:t>
      </w:r>
    </w:p>
  </w:footnote>
  <w:footnote w:id="75">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380AE4">
        <w:rPr>
          <w:rFonts w:asciiTheme="majorBidi" w:hAnsiTheme="majorBidi" w:cstheme="majorBidi"/>
          <w:sz w:val="20"/>
          <w:szCs w:val="20"/>
          <w:lang w:val="fr-BE"/>
        </w:rPr>
        <w:t xml:space="preserve"> Beddington, J. R., et al  (2007). </w:t>
      </w:r>
      <w:r w:rsidRPr="009D551E">
        <w:rPr>
          <w:rFonts w:asciiTheme="majorBidi" w:hAnsiTheme="majorBidi" w:cstheme="majorBidi"/>
          <w:sz w:val="20"/>
          <w:szCs w:val="20"/>
        </w:rPr>
        <w:t>Current problems in the management of marine fisheries. science, 316(5832), 1713-1716.</w:t>
      </w:r>
    </w:p>
  </w:footnote>
  <w:footnote w:id="76">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fr-BE"/>
        </w:rPr>
        <w:t xml:space="preserve"> </w:t>
      </w:r>
      <w:proofErr w:type="spellStart"/>
      <w:r w:rsidRPr="009D551E">
        <w:rPr>
          <w:rFonts w:asciiTheme="majorBidi" w:hAnsiTheme="majorBidi" w:cstheme="majorBidi"/>
          <w:sz w:val="20"/>
          <w:szCs w:val="20"/>
          <w:lang w:val="fr-BE"/>
        </w:rPr>
        <w:t>Kjesbu</w:t>
      </w:r>
      <w:proofErr w:type="spellEnd"/>
      <w:r w:rsidRPr="009D551E">
        <w:rPr>
          <w:rFonts w:asciiTheme="majorBidi" w:hAnsiTheme="majorBidi" w:cstheme="majorBidi"/>
          <w:sz w:val="20"/>
          <w:szCs w:val="20"/>
          <w:lang w:val="fr-BE"/>
        </w:rPr>
        <w:t xml:space="preserve">, O. S., et al (2014). </w:t>
      </w:r>
      <w:r w:rsidRPr="009D551E">
        <w:rPr>
          <w:rFonts w:asciiTheme="majorBidi" w:hAnsiTheme="majorBidi" w:cstheme="majorBidi"/>
          <w:sz w:val="20"/>
          <w:szCs w:val="20"/>
        </w:rPr>
        <w:t>Synergies between climate and management for Atlantic cod fisheries at high latitudes. Proceedings of the National Academy of Sciences, 111(9), 3478-3483.</w:t>
      </w:r>
    </w:p>
  </w:footnote>
  <w:footnote w:id="77">
    <w:p w:rsidR="00071EBB" w:rsidRPr="009D551E" w:rsidRDefault="00071EBB" w:rsidP="009D551E">
      <w:pPr>
        <w:jc w:val="left"/>
        <w:rPr>
          <w:rFonts w:asciiTheme="majorBidi" w:hAnsiTheme="majorBidi" w:cstheme="majorBidi"/>
          <w:sz w:val="20"/>
          <w:szCs w:val="20"/>
          <w:shd w:val="clear" w:color="auto" w:fill="FFFFFF"/>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shd w:val="clear" w:color="auto" w:fill="FFFFFF"/>
        </w:rPr>
        <w:t>Liquete</w:t>
      </w:r>
      <w:proofErr w:type="spellEnd"/>
      <w:r w:rsidRPr="009D551E">
        <w:rPr>
          <w:rFonts w:asciiTheme="majorBidi" w:hAnsiTheme="majorBidi" w:cstheme="majorBidi"/>
          <w:sz w:val="20"/>
          <w:szCs w:val="20"/>
          <w:shd w:val="clear" w:color="auto" w:fill="FFFFFF"/>
        </w:rPr>
        <w:t>, C. et al (2016). Ecosystem services sustainability in the Mediterranean Sea: Assessment of status and trends using multiple modelling approaches. Scientific Reports 6, 34162.</w:t>
      </w:r>
    </w:p>
  </w:footnote>
  <w:footnote w:id="78">
    <w:p w:rsidR="00071EBB" w:rsidRPr="009D551E" w:rsidRDefault="00071EBB" w:rsidP="009D551E">
      <w:pPr>
        <w:jc w:val="left"/>
        <w:rPr>
          <w:rFonts w:asciiTheme="majorBidi" w:hAnsiTheme="majorBidi" w:cstheme="majorBidi"/>
          <w:sz w:val="20"/>
          <w:szCs w:val="20"/>
          <w:shd w:val="clear" w:color="auto" w:fill="FFFFFF"/>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lang w:val="en-US"/>
        </w:rPr>
        <w:t xml:space="preserve">Galbraith, E.D. et al (2017). </w:t>
      </w:r>
      <w:r w:rsidRPr="009D551E">
        <w:rPr>
          <w:rFonts w:asciiTheme="majorBidi" w:hAnsiTheme="majorBidi" w:cstheme="majorBidi"/>
          <w:sz w:val="20"/>
          <w:szCs w:val="20"/>
          <w:shd w:val="clear" w:color="auto" w:fill="FFFFFF"/>
        </w:rPr>
        <w:t>A coupled human-Earth model perspective on long-term trends in the global marine fishery. Nature Communications 8, 14884.</w:t>
      </w:r>
    </w:p>
  </w:footnote>
  <w:footnote w:id="79">
    <w:p w:rsidR="00071EBB" w:rsidRPr="009D551E" w:rsidRDefault="00071EBB" w:rsidP="009D551E">
      <w:pPr>
        <w:pStyle w:val="FootnoteText"/>
        <w:ind w:firstLine="0"/>
        <w:jc w:val="left"/>
        <w:rPr>
          <w:rFonts w:asciiTheme="majorBidi" w:hAnsiTheme="majorBidi" w:cstheme="majorBidi"/>
          <w:sz w:val="20"/>
          <w:szCs w:val="20"/>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Charles. A. et al (2016). Interactions of aquatic protected areas with fishery livelihoods and food security: concluding discussion: 149-155, In </w:t>
      </w:r>
      <w:proofErr w:type="spellStart"/>
      <w:r w:rsidRPr="009D551E">
        <w:rPr>
          <w:rFonts w:asciiTheme="majorBidi" w:hAnsiTheme="majorBidi" w:cstheme="majorBidi"/>
          <w:sz w:val="20"/>
          <w:szCs w:val="20"/>
        </w:rPr>
        <w:t>Westlund</w:t>
      </w:r>
      <w:proofErr w:type="spellEnd"/>
      <w:r w:rsidRPr="009D551E">
        <w:rPr>
          <w:rFonts w:asciiTheme="majorBidi" w:hAnsiTheme="majorBidi" w:cstheme="majorBidi"/>
          <w:sz w:val="20"/>
          <w:szCs w:val="20"/>
        </w:rPr>
        <w:t xml:space="preserve">, L et </w:t>
      </w:r>
      <w:proofErr w:type="gramStart"/>
      <w:r w:rsidRPr="009D551E">
        <w:rPr>
          <w:rFonts w:asciiTheme="majorBidi" w:hAnsiTheme="majorBidi" w:cstheme="majorBidi"/>
          <w:sz w:val="20"/>
          <w:szCs w:val="20"/>
        </w:rPr>
        <w:t>al  eds.</w:t>
      </w:r>
      <w:proofErr w:type="gramEnd"/>
      <w:r w:rsidRPr="009D551E">
        <w:rPr>
          <w:rFonts w:asciiTheme="majorBidi" w:hAnsiTheme="majorBidi" w:cstheme="majorBidi"/>
          <w:sz w:val="20"/>
          <w:szCs w:val="20"/>
        </w:rPr>
        <w:t xml:space="preserve"> Marine Protected Areas: Interactions with Fishery Livelihoods and Food Security. Rome, FAO. FAO Fisheries and Aquaculture Technical Paper, 603: 170</w:t>
      </w:r>
    </w:p>
    <w:p w:rsidR="00071EBB" w:rsidRPr="009D551E" w:rsidRDefault="00071EBB" w:rsidP="009D551E">
      <w:pPr>
        <w:pStyle w:val="FootnoteText"/>
        <w:ind w:firstLine="0"/>
        <w:jc w:val="left"/>
        <w:rPr>
          <w:rFonts w:asciiTheme="majorBidi" w:hAnsiTheme="majorBidi" w:cstheme="majorBidi"/>
          <w:sz w:val="20"/>
          <w:szCs w:val="20"/>
        </w:rPr>
      </w:pPr>
      <w:r w:rsidRPr="009D551E">
        <w:rPr>
          <w:rFonts w:asciiTheme="majorBidi" w:hAnsiTheme="majorBidi" w:cstheme="majorBidi"/>
          <w:sz w:val="20"/>
          <w:szCs w:val="20"/>
        </w:rPr>
        <w:t>Charles, A. et al (2016). Fishing livelihoods as key to marine protected areas: insights from the World Parks Congress: 165-184. In IUCN-WCPA, ed. The legacy from the 2014 Sydney World Parks Congress. Aquatic conservation, 26(2): 255 p</w:t>
      </w:r>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Fonts w:asciiTheme="majorBidi" w:hAnsiTheme="majorBidi" w:cstheme="majorBidi"/>
          <w:sz w:val="20"/>
          <w:szCs w:val="20"/>
          <w:lang w:val="en-US"/>
        </w:rPr>
        <w:t xml:space="preserve">De Leo, G.A. et al (2015). </w:t>
      </w:r>
      <w:r w:rsidRPr="009D551E">
        <w:rPr>
          <w:rFonts w:asciiTheme="majorBidi" w:hAnsiTheme="majorBidi" w:cstheme="majorBidi"/>
          <w:sz w:val="20"/>
          <w:szCs w:val="20"/>
        </w:rPr>
        <w:t xml:space="preserve">The good, the bad and the ugly of marine reserves for fishery yields. </w:t>
      </w:r>
      <w:r w:rsidRPr="009D551E">
        <w:rPr>
          <w:rFonts w:asciiTheme="majorBidi" w:hAnsiTheme="majorBidi" w:cstheme="majorBidi"/>
          <w:sz w:val="20"/>
          <w:szCs w:val="20"/>
          <w:lang w:val="en-US"/>
        </w:rPr>
        <w:t>Philosophical Transactions of the Royal Society B, 370: 20140276. http://dx.doi.org/10.1098/rstb.2014.0276</w:t>
      </w:r>
    </w:p>
    <w:p w:rsidR="00071EBB" w:rsidRPr="009D551E" w:rsidRDefault="00071EBB" w:rsidP="009D551E">
      <w:pPr>
        <w:pStyle w:val="FootnoteText"/>
        <w:ind w:firstLine="0"/>
        <w:jc w:val="left"/>
        <w:rPr>
          <w:rFonts w:asciiTheme="majorBidi" w:hAnsiTheme="majorBidi" w:cstheme="majorBidi"/>
          <w:sz w:val="20"/>
          <w:szCs w:val="20"/>
        </w:rPr>
      </w:pPr>
      <w:proofErr w:type="spellStart"/>
      <w:r w:rsidRPr="009D551E">
        <w:rPr>
          <w:rFonts w:asciiTheme="majorBidi" w:hAnsiTheme="majorBidi" w:cstheme="majorBidi"/>
          <w:sz w:val="20"/>
          <w:szCs w:val="20"/>
        </w:rPr>
        <w:t>Westlund</w:t>
      </w:r>
      <w:proofErr w:type="spellEnd"/>
      <w:r w:rsidRPr="009D551E">
        <w:rPr>
          <w:rFonts w:asciiTheme="majorBidi" w:hAnsiTheme="majorBidi" w:cstheme="majorBidi"/>
          <w:sz w:val="20"/>
          <w:szCs w:val="20"/>
        </w:rPr>
        <w:t xml:space="preserve">, L. et al (2017). Marine Protected Areas: Interactions with Fishery Livelihoods and Food Security. FAO Fisheries and Aquaculture Technical Paper, 603:172 </w:t>
      </w:r>
    </w:p>
    <w:p w:rsidR="00071EBB" w:rsidRPr="009D551E" w:rsidRDefault="00071EBB" w:rsidP="009D551E">
      <w:pPr>
        <w:pStyle w:val="FootnoteText"/>
        <w:ind w:firstLine="0"/>
        <w:jc w:val="left"/>
        <w:rPr>
          <w:rFonts w:asciiTheme="majorBidi" w:hAnsiTheme="majorBidi" w:cstheme="majorBidi"/>
          <w:sz w:val="20"/>
          <w:szCs w:val="20"/>
        </w:rPr>
      </w:pPr>
      <w:r w:rsidRPr="00380AE4">
        <w:rPr>
          <w:rFonts w:asciiTheme="majorBidi" w:hAnsiTheme="majorBidi" w:cstheme="majorBidi"/>
          <w:sz w:val="20"/>
          <w:szCs w:val="20"/>
          <w:lang w:val="fr-BE"/>
        </w:rPr>
        <w:t xml:space="preserve">Krueck, N. C., et al (2017). </w:t>
      </w:r>
      <w:r w:rsidRPr="009D551E">
        <w:rPr>
          <w:rFonts w:asciiTheme="majorBidi" w:hAnsiTheme="majorBidi" w:cstheme="majorBidi"/>
          <w:sz w:val="20"/>
          <w:szCs w:val="20"/>
        </w:rPr>
        <w:t xml:space="preserve">Marine Reserve Targets to Sustain and Rebuild Unregulated Fisheries. </w:t>
      </w:r>
      <w:proofErr w:type="spellStart"/>
      <w:r w:rsidRPr="009D551E">
        <w:rPr>
          <w:rFonts w:asciiTheme="majorBidi" w:hAnsiTheme="majorBidi" w:cstheme="majorBidi"/>
          <w:sz w:val="20"/>
          <w:szCs w:val="20"/>
        </w:rPr>
        <w:t>PLoS</w:t>
      </w:r>
      <w:proofErr w:type="spellEnd"/>
      <w:r w:rsidRPr="009D551E">
        <w:rPr>
          <w:rFonts w:asciiTheme="majorBidi" w:hAnsiTheme="majorBidi" w:cstheme="majorBidi"/>
          <w:sz w:val="20"/>
          <w:szCs w:val="20"/>
        </w:rPr>
        <w:t xml:space="preserve"> biology, 15(1), e2000537.</w:t>
      </w:r>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Costello, M. J., and Ballantine, B. (2015). Biodiversity conservation should focus on no-take Marine Reserves: 94% of Marine Protected Areas allow fishing. Trends in ecology &amp; evolution, 30(9), 507-509.</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rPr>
        <w:t>Boonzaier</w:t>
      </w:r>
      <w:proofErr w:type="spellEnd"/>
      <w:r w:rsidRPr="009D551E">
        <w:rPr>
          <w:rFonts w:asciiTheme="majorBidi" w:hAnsiTheme="majorBidi" w:cstheme="majorBidi"/>
          <w:sz w:val="20"/>
          <w:szCs w:val="20"/>
        </w:rPr>
        <w:t xml:space="preserve">, L., and </w:t>
      </w:r>
      <w:proofErr w:type="spellStart"/>
      <w:r w:rsidRPr="009D551E">
        <w:rPr>
          <w:rFonts w:asciiTheme="majorBidi" w:hAnsiTheme="majorBidi" w:cstheme="majorBidi"/>
          <w:sz w:val="20"/>
          <w:szCs w:val="20"/>
        </w:rPr>
        <w:t>Pauly</w:t>
      </w:r>
      <w:proofErr w:type="spellEnd"/>
      <w:r w:rsidRPr="009D551E">
        <w:rPr>
          <w:rFonts w:asciiTheme="majorBidi" w:hAnsiTheme="majorBidi" w:cstheme="majorBidi"/>
          <w:sz w:val="20"/>
          <w:szCs w:val="20"/>
        </w:rPr>
        <w:t>, D. (2016). Marine protection targets: an updated assessment of global progress. Oryx, 50(01), 27-35.</w:t>
      </w:r>
    </w:p>
  </w:footnote>
  <w:footnote w:id="80">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Pomeroy, R. (2016). A research framework for traditional fisheries: Revisited. Marine Policy, 70, 153-163.</w:t>
      </w:r>
    </w:p>
  </w:footnote>
  <w:footnote w:id="81">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Costello, C. et al. (2016). Global fishery prospects under contrasting management regimes. Proceedings of the National Academy of Science, 5125.5129   </w:t>
      </w:r>
    </w:p>
  </w:footnote>
  <w:footnote w:id="82">
    <w:p w:rsidR="00071EBB" w:rsidRPr="009D551E" w:rsidRDefault="00071EBB" w:rsidP="009D551E">
      <w:pPr>
        <w:pStyle w:val="FootnoteText"/>
        <w:ind w:firstLine="0"/>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Cabral, R. B. Rapid and lasting gains from solving illegal fishing. Nature Ecology and Evolution 2, 65-658. doi:10.1038/s41559-018-0499-1</w:t>
      </w:r>
    </w:p>
  </w:footnote>
  <w:footnote w:id="83">
    <w:p w:rsidR="00071EBB" w:rsidRPr="009D551E" w:rsidRDefault="00071EBB" w:rsidP="009D551E">
      <w:pPr>
        <w:pStyle w:val="FootnoteText"/>
        <w:ind w:firstLine="0"/>
        <w:jc w:val="left"/>
        <w:rPr>
          <w:rFonts w:asciiTheme="majorBidi" w:hAnsiTheme="majorBidi" w:cstheme="majorBidi"/>
          <w:sz w:val="20"/>
          <w:szCs w:val="20"/>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FAO (2016). </w:t>
      </w:r>
      <w:r w:rsidRPr="009D551E">
        <w:rPr>
          <w:rFonts w:asciiTheme="majorBidi" w:hAnsiTheme="majorBidi" w:cstheme="majorBidi"/>
          <w:i/>
          <w:iCs/>
          <w:sz w:val="20"/>
          <w:szCs w:val="20"/>
        </w:rPr>
        <w:t xml:space="preserve">The State of World Fisheries and Aquaculture 2016, </w:t>
      </w:r>
      <w:r w:rsidRPr="009D551E">
        <w:rPr>
          <w:rFonts w:asciiTheme="majorBidi" w:hAnsiTheme="majorBidi" w:cstheme="majorBidi"/>
          <w:sz w:val="20"/>
          <w:szCs w:val="20"/>
        </w:rPr>
        <w:t>Food and Agriculture Organization of the United Nations, Rome.</w:t>
      </w:r>
    </w:p>
  </w:footnote>
  <w:footnote w:id="84">
    <w:p w:rsidR="00071EBB" w:rsidRPr="009D551E" w:rsidRDefault="00071EBB" w:rsidP="009D551E">
      <w:pPr>
        <w:pStyle w:val="FootnoteText"/>
        <w:ind w:firstLine="0"/>
        <w:jc w:val="left"/>
        <w:rPr>
          <w:rFonts w:asciiTheme="majorBidi" w:hAnsiTheme="majorBidi" w:cstheme="majorBidi"/>
          <w:sz w:val="20"/>
          <w:szCs w:val="20"/>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Pauly</w:t>
      </w:r>
      <w:proofErr w:type="spellEnd"/>
      <w:r w:rsidRPr="009D551E">
        <w:rPr>
          <w:rFonts w:asciiTheme="majorBidi" w:hAnsiTheme="majorBidi" w:cstheme="majorBidi"/>
          <w:sz w:val="20"/>
          <w:szCs w:val="20"/>
        </w:rPr>
        <w:t xml:space="preserve"> D, and Watson R (2005) Background and interpretation of the “Marine Trophic Index” as a measure of biodiversity. Philosophical Transactions of the Royal Society-Biological Sciences 360: 415-423.</w:t>
      </w:r>
    </w:p>
    <w:p w:rsidR="00071EBB" w:rsidRPr="009D551E" w:rsidRDefault="00071EBB" w:rsidP="009D551E">
      <w:pPr>
        <w:pStyle w:val="FootnoteText"/>
        <w:ind w:firstLine="0"/>
        <w:jc w:val="left"/>
        <w:rPr>
          <w:rFonts w:asciiTheme="majorBidi" w:hAnsiTheme="majorBidi" w:cstheme="majorBidi"/>
          <w:sz w:val="20"/>
          <w:szCs w:val="20"/>
        </w:rPr>
      </w:pPr>
      <w:proofErr w:type="spellStart"/>
      <w:r w:rsidRPr="009D551E">
        <w:rPr>
          <w:rFonts w:asciiTheme="majorBidi" w:hAnsiTheme="majorBidi" w:cstheme="majorBidi"/>
          <w:sz w:val="20"/>
          <w:szCs w:val="20"/>
        </w:rPr>
        <w:t>Kleisner</w:t>
      </w:r>
      <w:proofErr w:type="spellEnd"/>
      <w:r w:rsidRPr="009D551E">
        <w:rPr>
          <w:rFonts w:asciiTheme="majorBidi" w:hAnsiTheme="majorBidi" w:cstheme="majorBidi"/>
          <w:sz w:val="20"/>
          <w:szCs w:val="20"/>
        </w:rPr>
        <w:t xml:space="preserve"> K, et al (2014) Region-based MTI: resolving geographic expansion in the Marine Trophic Index. Marine Ecology Progress Series 512:185-199. </w:t>
      </w:r>
    </w:p>
  </w:footnote>
  <w:footnote w:id="85">
    <w:p w:rsidR="00071EBB" w:rsidRPr="009D551E" w:rsidRDefault="00071EBB" w:rsidP="009D551E">
      <w:pPr>
        <w:jc w:val="left"/>
        <w:rPr>
          <w:rFonts w:asciiTheme="majorBidi" w:hAnsiTheme="majorBidi" w:cstheme="majorBidi"/>
          <w:sz w:val="20"/>
          <w:szCs w:val="20"/>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IUCN Red List Index. </w:t>
      </w:r>
      <w:hyperlink r:id="rId7" w:history="1">
        <w:r w:rsidRPr="009D551E">
          <w:rPr>
            <w:rStyle w:val="Hyperlink"/>
            <w:rFonts w:asciiTheme="majorBidi" w:hAnsiTheme="majorBidi" w:cstheme="majorBidi"/>
            <w:sz w:val="20"/>
            <w:szCs w:val="20"/>
          </w:rPr>
          <w:t>http://www.iucnredlist.org/about/publication/red-list-index</w:t>
        </w:r>
      </w:hyperlink>
    </w:p>
  </w:footnote>
  <w:footnote w:id="86">
    <w:p w:rsidR="00071EBB" w:rsidRPr="009D551E" w:rsidRDefault="00071EBB" w:rsidP="009D551E">
      <w:pPr>
        <w:jc w:val="left"/>
        <w:rPr>
          <w:rFonts w:asciiTheme="majorBidi" w:hAnsiTheme="majorBidi" w:cstheme="majorBidi"/>
          <w:sz w:val="20"/>
          <w:szCs w:val="20"/>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Marine Stewardship Council, 2017.</w:t>
      </w:r>
      <w:r w:rsidRPr="009D551E">
        <w:rPr>
          <w:rFonts w:asciiTheme="majorBidi" w:hAnsiTheme="majorBidi" w:cstheme="majorBidi"/>
          <w:i/>
          <w:iCs/>
          <w:sz w:val="20"/>
          <w:szCs w:val="20"/>
        </w:rPr>
        <w:t xml:space="preserve"> MSC global impacts report 2017. </w:t>
      </w:r>
      <w:r w:rsidRPr="009D551E">
        <w:rPr>
          <w:rFonts w:asciiTheme="majorBidi" w:hAnsiTheme="majorBidi" w:cstheme="majorBidi"/>
          <w:sz w:val="20"/>
          <w:szCs w:val="20"/>
        </w:rPr>
        <w:t xml:space="preserve">MSC, London. Marine Stewardship Council, 2014. </w:t>
      </w:r>
      <w:r w:rsidRPr="009D551E">
        <w:rPr>
          <w:rFonts w:asciiTheme="majorBidi" w:hAnsiTheme="majorBidi" w:cstheme="majorBidi"/>
          <w:i/>
          <w:iCs/>
          <w:sz w:val="20"/>
          <w:szCs w:val="20"/>
        </w:rPr>
        <w:t xml:space="preserve">MSC Fisheries Certification Requirements. Version 2. </w:t>
      </w:r>
      <w:r w:rsidRPr="009D551E">
        <w:rPr>
          <w:rFonts w:asciiTheme="majorBidi" w:hAnsiTheme="majorBidi" w:cstheme="majorBidi"/>
          <w:sz w:val="20"/>
          <w:szCs w:val="20"/>
        </w:rPr>
        <w:t>MSC, London.</w:t>
      </w:r>
    </w:p>
  </w:footnote>
  <w:footnote w:id="87">
    <w:p w:rsidR="00071EBB" w:rsidRPr="009D551E" w:rsidRDefault="00071EBB" w:rsidP="009D551E">
      <w:pPr>
        <w:pStyle w:val="Default"/>
        <w:rPr>
          <w:rFonts w:asciiTheme="majorBidi" w:hAnsiTheme="majorBidi" w:cstheme="majorBidi"/>
          <w:color w:val="auto"/>
          <w:sz w:val="20"/>
          <w:szCs w:val="20"/>
        </w:rPr>
      </w:pPr>
      <w:r w:rsidRPr="005424FB">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rPr>
        <w:t xml:space="preserve"> </w:t>
      </w:r>
      <w:r w:rsidRPr="009D551E">
        <w:rPr>
          <w:rFonts w:asciiTheme="majorBidi" w:hAnsiTheme="majorBidi" w:cstheme="majorBidi"/>
          <w:snapToGrid w:val="0"/>
          <w:color w:val="auto"/>
          <w:sz w:val="20"/>
          <w:szCs w:val="20"/>
        </w:rPr>
        <w:t xml:space="preserve"> </w:t>
      </w:r>
      <w:r w:rsidRPr="009D551E">
        <w:rPr>
          <w:rFonts w:asciiTheme="majorBidi" w:hAnsiTheme="majorBidi" w:cstheme="majorBidi"/>
          <w:color w:val="auto"/>
          <w:sz w:val="20"/>
          <w:szCs w:val="20"/>
          <w:shd w:val="clear" w:color="auto" w:fill="FFFFFF"/>
          <w:lang w:val="nl-NL"/>
        </w:rPr>
        <w:t>Kremen,</w:t>
      </w:r>
      <w:r w:rsidRPr="009D551E">
        <w:rPr>
          <w:rFonts w:asciiTheme="majorBidi" w:hAnsiTheme="majorBidi" w:cstheme="majorBidi"/>
          <w:color w:val="auto"/>
          <w:sz w:val="20"/>
          <w:szCs w:val="20"/>
          <w:shd w:val="clear" w:color="auto" w:fill="FFFFFF"/>
        </w:rPr>
        <w:t xml:space="preserve"> C. and M’</w:t>
      </w:r>
      <w:r w:rsidRPr="009D551E">
        <w:rPr>
          <w:rFonts w:asciiTheme="majorBidi" w:hAnsiTheme="majorBidi" w:cstheme="majorBidi"/>
          <w:color w:val="auto"/>
          <w:sz w:val="20"/>
          <w:szCs w:val="20"/>
          <w:shd w:val="clear" w:color="auto" w:fill="FFFFFF"/>
          <w:lang w:val="it-IT"/>
        </w:rPr>
        <w:t>Gonigle</w:t>
      </w:r>
      <w:r w:rsidRPr="009D551E">
        <w:rPr>
          <w:rFonts w:asciiTheme="majorBidi" w:hAnsiTheme="majorBidi" w:cstheme="majorBidi"/>
          <w:color w:val="auto"/>
          <w:sz w:val="20"/>
          <w:szCs w:val="20"/>
          <w:shd w:val="clear" w:color="auto" w:fill="FFFFFF"/>
        </w:rPr>
        <w:t xml:space="preserve">, L. K. (2015). Editor's Choice: Small-scale restoration in intensive agricultural landscapes supports more specialized and less mobile pollinator species. </w:t>
      </w:r>
      <w:r w:rsidRPr="009D551E">
        <w:rPr>
          <w:rStyle w:val="None"/>
          <w:rFonts w:asciiTheme="majorBidi" w:hAnsiTheme="majorBidi" w:cstheme="majorBidi"/>
          <w:color w:val="auto"/>
          <w:sz w:val="20"/>
          <w:szCs w:val="20"/>
          <w:shd w:val="clear" w:color="auto" w:fill="FFFFFF"/>
        </w:rPr>
        <w:t>Journal of Applied Science, 52-3,</w:t>
      </w:r>
      <w:r w:rsidRPr="009D551E">
        <w:rPr>
          <w:rFonts w:asciiTheme="majorBidi" w:hAnsiTheme="majorBidi" w:cstheme="majorBidi"/>
          <w:color w:val="auto"/>
          <w:sz w:val="20"/>
          <w:szCs w:val="20"/>
          <w:shd w:val="clear" w:color="auto" w:fill="FFFFFF"/>
        </w:rPr>
        <w:t xml:space="preserve"> 602–610.</w:t>
      </w:r>
    </w:p>
  </w:footnote>
  <w:footnote w:id="88">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5424FB">
        <w:rPr>
          <w:rStyle w:val="FootnoteReference"/>
          <w:sz w:val="20"/>
        </w:rPr>
        <w:t xml:space="preserve"> </w:t>
      </w:r>
      <w:r w:rsidRPr="009D551E">
        <w:rPr>
          <w:rFonts w:asciiTheme="majorBidi" w:hAnsiTheme="majorBidi" w:cstheme="majorBidi"/>
          <w:sz w:val="20"/>
          <w:szCs w:val="20"/>
          <w:lang w:val="en-US"/>
        </w:rPr>
        <w:t>Schulte, L. et al (2017). Prairie strips improve biodiversity and the delivery of multiple ecosystem services from corn–soybean croplands. Proceedings of the National Academy of Sciences. 10.1073/pnas.1620229114</w:t>
      </w:r>
    </w:p>
  </w:footnote>
  <w:footnote w:id="89">
    <w:p w:rsidR="00071EBB" w:rsidRPr="009D551E" w:rsidRDefault="00071EBB" w:rsidP="009D551E">
      <w:pPr>
        <w:pStyle w:val="FootnoteText"/>
        <w:ind w:firstLine="0"/>
        <w:rPr>
          <w:rFonts w:asciiTheme="majorBidi" w:hAnsiTheme="majorBidi" w:cstheme="majorBidi"/>
          <w:sz w:val="20"/>
          <w:szCs w:val="20"/>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Tschumi</w:t>
      </w:r>
      <w:proofErr w:type="spellEnd"/>
      <w:r w:rsidRPr="009D551E">
        <w:rPr>
          <w:rFonts w:asciiTheme="majorBidi" w:hAnsiTheme="majorBidi" w:cstheme="majorBidi"/>
          <w:sz w:val="20"/>
          <w:szCs w:val="20"/>
        </w:rPr>
        <w:t xml:space="preserve">, M. (2018). High effectiveness of tailored flower strips in reducing pests and crop plant damage. Proceedings of the Royal Society B. 282. </w:t>
      </w:r>
    </w:p>
  </w:footnote>
  <w:footnote w:id="90">
    <w:p w:rsidR="00071EBB" w:rsidRPr="009D551E" w:rsidRDefault="00071EBB" w:rsidP="009D551E">
      <w:pPr>
        <w:pStyle w:val="FootnoteText"/>
        <w:ind w:firstLine="0"/>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Lechenet</w:t>
      </w:r>
      <w:proofErr w:type="spellEnd"/>
      <w:r w:rsidRPr="009D551E">
        <w:rPr>
          <w:rFonts w:asciiTheme="majorBidi" w:hAnsiTheme="majorBidi" w:cstheme="majorBidi"/>
          <w:sz w:val="20"/>
          <w:szCs w:val="20"/>
        </w:rPr>
        <w:t>, M. et al (2017) Reducing pesticide use while preserving crop productivity and profitability on arable farms. Nature Plants 3, 17008.</w:t>
      </w:r>
    </w:p>
  </w:footnote>
  <w:footnote w:id="91">
    <w:p w:rsidR="00071EBB" w:rsidRPr="009D551E" w:rsidRDefault="00071EBB" w:rsidP="009D551E">
      <w:pPr>
        <w:pStyle w:val="Default"/>
        <w:rPr>
          <w:rFonts w:asciiTheme="majorBidi" w:hAnsiTheme="majorBidi" w:cstheme="majorBidi"/>
          <w:color w:val="auto"/>
          <w:sz w:val="20"/>
          <w:szCs w:val="20"/>
        </w:rPr>
      </w:pPr>
      <w:r w:rsidRPr="005424FB">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lang w:val="en-GB"/>
        </w:rPr>
        <w:t xml:space="preserve"> </w:t>
      </w:r>
      <w:proofErr w:type="spellStart"/>
      <w:r w:rsidRPr="009D551E">
        <w:rPr>
          <w:rStyle w:val="Hyperlink2"/>
          <w:rFonts w:asciiTheme="majorBidi" w:hAnsiTheme="majorBidi" w:cstheme="majorBidi"/>
          <w:color w:val="auto"/>
          <w:sz w:val="20"/>
          <w:szCs w:val="20"/>
          <w:lang w:val="en-GB"/>
        </w:rPr>
        <w:t>Gurr</w:t>
      </w:r>
      <w:proofErr w:type="spellEnd"/>
      <w:r w:rsidRPr="009D551E">
        <w:rPr>
          <w:rStyle w:val="Hyperlink2"/>
          <w:rFonts w:asciiTheme="majorBidi" w:hAnsiTheme="majorBidi" w:cstheme="majorBidi"/>
          <w:color w:val="auto"/>
          <w:sz w:val="20"/>
          <w:szCs w:val="20"/>
          <w:lang w:val="en-GB"/>
        </w:rPr>
        <w:t xml:space="preserve">, G.M., et </w:t>
      </w:r>
      <w:proofErr w:type="gramStart"/>
      <w:r w:rsidRPr="009D551E">
        <w:rPr>
          <w:rStyle w:val="Hyperlink2"/>
          <w:rFonts w:asciiTheme="majorBidi" w:hAnsiTheme="majorBidi" w:cstheme="majorBidi"/>
          <w:color w:val="auto"/>
          <w:sz w:val="20"/>
          <w:szCs w:val="20"/>
          <w:lang w:val="en-GB"/>
        </w:rPr>
        <w:t>al  (</w:t>
      </w:r>
      <w:proofErr w:type="gramEnd"/>
      <w:r w:rsidRPr="009D551E">
        <w:rPr>
          <w:rStyle w:val="Hyperlink2"/>
          <w:rFonts w:asciiTheme="majorBidi" w:hAnsiTheme="majorBidi" w:cstheme="majorBidi"/>
          <w:color w:val="auto"/>
          <w:sz w:val="20"/>
          <w:szCs w:val="20"/>
          <w:lang w:val="en-GB"/>
        </w:rPr>
        <w:t xml:space="preserve">2016). </w:t>
      </w:r>
      <w:r w:rsidRPr="009D551E">
        <w:rPr>
          <w:rStyle w:val="Hyperlink2"/>
          <w:rFonts w:asciiTheme="majorBidi" w:hAnsiTheme="majorBidi" w:cstheme="majorBidi"/>
          <w:color w:val="auto"/>
          <w:sz w:val="20"/>
          <w:szCs w:val="20"/>
        </w:rPr>
        <w:t xml:space="preserve">Multi-country evidence that crop diversification promotes ecological intensification of agriculture. </w:t>
      </w:r>
      <w:r w:rsidRPr="009D551E">
        <w:rPr>
          <w:rStyle w:val="None"/>
          <w:rFonts w:asciiTheme="majorBidi" w:hAnsiTheme="majorBidi" w:cstheme="majorBidi"/>
          <w:color w:val="auto"/>
          <w:sz w:val="20"/>
          <w:szCs w:val="20"/>
          <w:shd w:val="clear" w:color="auto" w:fill="FFFFFF"/>
        </w:rPr>
        <w:t>Nature Plants 2,</w:t>
      </w:r>
      <w:r w:rsidRPr="009D551E">
        <w:rPr>
          <w:rStyle w:val="Hyperlink2"/>
          <w:rFonts w:asciiTheme="majorBidi" w:hAnsiTheme="majorBidi" w:cstheme="majorBidi"/>
          <w:color w:val="auto"/>
          <w:sz w:val="20"/>
          <w:szCs w:val="20"/>
        </w:rPr>
        <w:t xml:space="preserve"> 16014.</w:t>
      </w:r>
    </w:p>
  </w:footnote>
  <w:footnote w:id="92">
    <w:p w:rsidR="00071EBB" w:rsidRPr="009D551E" w:rsidRDefault="00071EBB" w:rsidP="00DD474A">
      <w:pPr>
        <w:pStyle w:val="FootnoteText"/>
        <w:ind w:firstLine="0"/>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Zhang, W, et al (2016). Closing yield gaps in China by empowering smallholder farmers. Nature, 537, 671-674. </w:t>
      </w:r>
    </w:p>
  </w:footnote>
  <w:footnote w:id="93">
    <w:p w:rsidR="00071EBB" w:rsidRPr="009D551E" w:rsidRDefault="00071EBB" w:rsidP="009D551E">
      <w:pPr>
        <w:pStyle w:val="FootnoteText"/>
        <w:ind w:firstLine="0"/>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Cui, Z. et al (2018). Pursuing sustainable productivity with millions of smallholder farmers. Nature 555, 363-366. </w:t>
      </w:r>
    </w:p>
  </w:footnote>
  <w:footnote w:id="94">
    <w:p w:rsidR="00071EBB" w:rsidRPr="009D551E" w:rsidRDefault="00071EBB" w:rsidP="009D551E">
      <w:pPr>
        <w:pStyle w:val="Default"/>
        <w:rPr>
          <w:rFonts w:asciiTheme="majorBidi" w:hAnsiTheme="majorBidi" w:cstheme="majorBidi"/>
          <w:color w:val="auto"/>
          <w:sz w:val="20"/>
          <w:szCs w:val="20"/>
        </w:rPr>
      </w:pPr>
      <w:r w:rsidRPr="005424FB">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rPr>
        <w:t xml:space="preserve"> </w:t>
      </w:r>
      <w:r w:rsidRPr="009D551E">
        <w:rPr>
          <w:rFonts w:asciiTheme="majorBidi" w:hAnsiTheme="majorBidi" w:cstheme="majorBidi"/>
          <w:color w:val="auto"/>
          <w:sz w:val="20"/>
          <w:szCs w:val="20"/>
          <w:shd w:val="clear" w:color="auto" w:fill="FFFFFF"/>
          <w:lang w:val="it-IT"/>
        </w:rPr>
        <w:t>Jägermeyr, J., et al  (2016). Integrated crop water management might sustainably halve the global food gap. Environmental Research Letters, 11, 2.</w:t>
      </w:r>
    </w:p>
  </w:footnote>
  <w:footnote w:id="95">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lang w:val="nl-NL"/>
        </w:rPr>
        <w:t>Behmann, J., et al  (2015). A review of advanced machine learning methods for the detection of biotic stress in precision crop protection. Precision Agriculture 16,  239–260.</w:t>
      </w:r>
    </w:p>
  </w:footnote>
  <w:footnote w:id="96">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hyperlink r:id="rId8" w:tooltip="Search for Schieffer, J." w:history="1">
        <w:r w:rsidRPr="009D551E">
          <w:rPr>
            <w:rStyle w:val="Hyperlink2"/>
            <w:rFonts w:asciiTheme="majorBidi" w:hAnsiTheme="majorBidi" w:cstheme="majorBidi"/>
            <w:sz w:val="20"/>
            <w:szCs w:val="20"/>
          </w:rPr>
          <w:t>Schieffer, J.</w:t>
        </w:r>
      </w:hyperlink>
      <w:r w:rsidRPr="009D551E">
        <w:rPr>
          <w:rStyle w:val="Hyperlink2"/>
          <w:rFonts w:asciiTheme="majorBidi" w:hAnsiTheme="majorBidi" w:cstheme="majorBidi"/>
          <w:sz w:val="20"/>
          <w:szCs w:val="20"/>
        </w:rPr>
        <w:t xml:space="preserve"> and </w:t>
      </w:r>
      <w:hyperlink r:id="rId9" w:tooltip="Search for Dillon, C." w:history="1">
        <w:r w:rsidRPr="009D551E">
          <w:rPr>
            <w:rStyle w:val="Hyperlink2"/>
            <w:rFonts w:asciiTheme="majorBidi" w:hAnsiTheme="majorBidi" w:cstheme="majorBidi"/>
            <w:sz w:val="20"/>
            <w:szCs w:val="20"/>
          </w:rPr>
          <w:t>Dillon, C.</w:t>
        </w:r>
      </w:hyperlink>
      <w:r w:rsidRPr="009D551E">
        <w:rPr>
          <w:rStyle w:val="Hyperlink2"/>
          <w:rFonts w:asciiTheme="majorBidi" w:hAnsiTheme="majorBidi" w:cstheme="majorBidi"/>
          <w:sz w:val="20"/>
          <w:szCs w:val="20"/>
        </w:rPr>
        <w:t xml:space="preserve"> (2015).</w:t>
      </w:r>
      <w:bookmarkStart w:id="2" w:name="citation"/>
      <w:r w:rsidRPr="009D551E">
        <w:rPr>
          <w:rStyle w:val="Hyperlink2"/>
          <w:rFonts w:asciiTheme="majorBidi" w:hAnsiTheme="majorBidi" w:cstheme="majorBidi"/>
          <w:sz w:val="20"/>
          <w:szCs w:val="20"/>
        </w:rPr>
        <w:t xml:space="preserve"> </w:t>
      </w:r>
      <w:bookmarkEnd w:id="2"/>
      <w:r w:rsidRPr="009D551E">
        <w:rPr>
          <w:rStyle w:val="Hyperlink2"/>
          <w:rFonts w:asciiTheme="majorBidi" w:hAnsiTheme="majorBidi" w:cstheme="majorBidi"/>
          <w:sz w:val="20"/>
          <w:szCs w:val="20"/>
        </w:rPr>
        <w:t xml:space="preserve">The economic and environmental impacts of precision agriculture and interactions with agro-environmental policy. </w:t>
      </w:r>
      <w:r w:rsidRPr="009D551E">
        <w:rPr>
          <w:rStyle w:val="Hyperlink2"/>
          <w:rFonts w:asciiTheme="majorBidi" w:hAnsiTheme="majorBidi" w:cstheme="majorBidi"/>
          <w:sz w:val="20"/>
          <w:szCs w:val="20"/>
          <w:lang w:val="en-US"/>
        </w:rPr>
        <w:t>Precision Agriculture, 16-1, 46</w:t>
      </w:r>
    </w:p>
  </w:footnote>
  <w:footnote w:id="97">
    <w:p w:rsidR="00071EBB" w:rsidRPr="009D551E" w:rsidRDefault="00071EBB" w:rsidP="009D551E">
      <w:pPr>
        <w:pStyle w:val="FootnoteText"/>
        <w:ind w:firstLine="0"/>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Garibaldi, L.A. et al (2016). </w:t>
      </w:r>
      <w:r w:rsidRPr="009D551E">
        <w:rPr>
          <w:rFonts w:asciiTheme="majorBidi" w:hAnsiTheme="majorBidi" w:cstheme="majorBidi"/>
          <w:sz w:val="20"/>
          <w:szCs w:val="20"/>
        </w:rPr>
        <w:t xml:space="preserve">Mutually beneficial pollinator diversity and crop yield outcomes in small and large farms. Science 351 (6271), 388-391. </w:t>
      </w:r>
    </w:p>
  </w:footnote>
  <w:footnote w:id="98">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Lee, K.S. et al (2015). Measuring the environmental effects of organic farming: A meta-analysis of structural variables in empirical research, Journal of Environmental Management, 162, 263-274. </w:t>
      </w:r>
    </w:p>
  </w:footnote>
  <w:footnote w:id="99">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5424FB">
        <w:rPr>
          <w:rStyle w:val="FootnoteReference"/>
          <w:sz w:val="20"/>
        </w:rPr>
        <w:t xml:space="preserve"> </w:t>
      </w:r>
      <w:r w:rsidRPr="009D551E">
        <w:rPr>
          <w:rFonts w:asciiTheme="majorBidi" w:hAnsiTheme="majorBidi" w:cstheme="majorBidi"/>
          <w:sz w:val="20"/>
          <w:szCs w:val="20"/>
          <w:shd w:val="clear" w:color="auto" w:fill="FFFFFF"/>
          <w:lang w:val="pt-PT"/>
        </w:rPr>
        <w:t>Tuck, S. L., et al</w:t>
      </w:r>
      <w:r w:rsidRPr="009D551E">
        <w:rPr>
          <w:rFonts w:asciiTheme="majorBidi" w:hAnsiTheme="majorBidi" w:cstheme="majorBidi"/>
          <w:sz w:val="20"/>
          <w:szCs w:val="20"/>
          <w:shd w:val="clear" w:color="auto" w:fill="FFFFFF"/>
          <w:lang w:val="fr-BE"/>
        </w:rPr>
        <w:t xml:space="preserve"> (2014). </w:t>
      </w:r>
      <w:r w:rsidRPr="009D551E">
        <w:rPr>
          <w:rFonts w:asciiTheme="majorBidi" w:hAnsiTheme="majorBidi" w:cstheme="majorBidi"/>
          <w:sz w:val="20"/>
          <w:szCs w:val="20"/>
          <w:shd w:val="clear" w:color="auto" w:fill="FFFFFF"/>
        </w:rPr>
        <w:t>Land-use intensity and the effects of organic farming on biodiversity: a hierarchical meta-analysis. Journal of Applied Ecology, 51, 746–755.</w:t>
      </w:r>
    </w:p>
  </w:footnote>
  <w:footnote w:id="100">
    <w:p w:rsidR="00071EBB" w:rsidRPr="009D551E" w:rsidRDefault="00071EBB" w:rsidP="009D551E">
      <w:pPr>
        <w:pStyle w:val="FootnoteText"/>
        <w:ind w:firstLine="0"/>
        <w:jc w:val="left"/>
        <w:rPr>
          <w:rStyle w:val="Hyperlink2"/>
          <w:rFonts w:asciiTheme="majorBidi" w:hAnsiTheme="majorBidi" w:cstheme="majorBidi"/>
          <w:sz w:val="20"/>
          <w:szCs w:val="20"/>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Style w:val="Hyperlink2"/>
          <w:rFonts w:asciiTheme="majorBidi" w:hAnsiTheme="majorBidi" w:cstheme="majorBidi"/>
          <w:sz w:val="20"/>
          <w:szCs w:val="20"/>
        </w:rPr>
        <w:t>Reganold</w:t>
      </w:r>
      <w:proofErr w:type="spellEnd"/>
      <w:r w:rsidRPr="009D551E">
        <w:rPr>
          <w:rStyle w:val="Hyperlink2"/>
          <w:rFonts w:asciiTheme="majorBidi" w:hAnsiTheme="majorBidi" w:cstheme="majorBidi"/>
          <w:sz w:val="20"/>
          <w:szCs w:val="20"/>
        </w:rPr>
        <w:t xml:space="preserve">, J. P., and Wachter, J. M. (2016). Organic agriculture in the twenty-first century. </w:t>
      </w:r>
      <w:r w:rsidRPr="009D551E">
        <w:rPr>
          <w:rStyle w:val="None"/>
          <w:rFonts w:asciiTheme="majorBidi" w:hAnsiTheme="majorBidi" w:cstheme="majorBidi"/>
          <w:sz w:val="20"/>
          <w:szCs w:val="20"/>
          <w:shd w:val="clear" w:color="auto" w:fill="FFFFFF"/>
          <w:lang w:val="en-US"/>
        </w:rPr>
        <w:t>Nature Plants 2</w:t>
      </w:r>
      <w:r w:rsidRPr="009D551E">
        <w:rPr>
          <w:rStyle w:val="Hyperlink2"/>
          <w:rFonts w:asciiTheme="majorBidi" w:hAnsiTheme="majorBidi" w:cstheme="majorBidi"/>
          <w:sz w:val="20"/>
          <w:szCs w:val="20"/>
        </w:rPr>
        <w:t xml:space="preserve"> - 1522.</w:t>
      </w:r>
    </w:p>
    <w:p w:rsidR="00071EBB" w:rsidRPr="009D551E" w:rsidRDefault="00071EBB" w:rsidP="009D551E">
      <w:pPr>
        <w:pStyle w:val="FootnoteText"/>
        <w:ind w:firstLine="0"/>
        <w:jc w:val="left"/>
        <w:rPr>
          <w:rFonts w:asciiTheme="majorBidi" w:hAnsiTheme="majorBidi" w:cstheme="majorBidi"/>
          <w:sz w:val="20"/>
          <w:szCs w:val="20"/>
          <w:lang w:val="en-US"/>
        </w:rPr>
      </w:pPr>
      <w:r w:rsidRPr="00380AE4">
        <w:rPr>
          <w:rFonts w:asciiTheme="majorBidi" w:hAnsiTheme="majorBidi" w:cstheme="majorBidi"/>
          <w:sz w:val="20"/>
          <w:szCs w:val="20"/>
          <w:shd w:val="clear" w:color="auto" w:fill="FFFFFF"/>
          <w:lang w:val="fr-BE"/>
        </w:rPr>
        <w:t>Ponisio, L. C., et al (2015).</w:t>
      </w:r>
      <w:r w:rsidRPr="00CE6112">
        <w:rPr>
          <w:rFonts w:asciiTheme="majorBidi" w:hAnsiTheme="majorBidi" w:cstheme="majorBidi"/>
          <w:sz w:val="20"/>
          <w:szCs w:val="20"/>
          <w:shd w:val="clear" w:color="auto" w:fill="FFFFFF"/>
          <w:lang w:val="fr-BE"/>
        </w:rPr>
        <w:t xml:space="preserve"> </w:t>
      </w:r>
      <w:r w:rsidRPr="009D551E">
        <w:rPr>
          <w:rFonts w:asciiTheme="majorBidi" w:hAnsiTheme="majorBidi" w:cstheme="majorBidi"/>
          <w:sz w:val="20"/>
          <w:szCs w:val="20"/>
          <w:shd w:val="clear" w:color="auto" w:fill="FFFFFF"/>
        </w:rPr>
        <w:t>Diversification practices reduce organic to conventional yield gap. Proceedings of the Royal Society B-Biological Sciences, 282, 1799-7p.</w:t>
      </w:r>
    </w:p>
  </w:footnote>
  <w:footnote w:id="101">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Style w:val="Hyperlink2"/>
          <w:rFonts w:asciiTheme="majorBidi" w:hAnsiTheme="majorBidi" w:cstheme="majorBidi"/>
          <w:sz w:val="20"/>
          <w:szCs w:val="20"/>
        </w:rPr>
        <w:t>Reganold</w:t>
      </w:r>
      <w:proofErr w:type="spellEnd"/>
      <w:r w:rsidRPr="009D551E">
        <w:rPr>
          <w:rStyle w:val="Hyperlink2"/>
          <w:rFonts w:asciiTheme="majorBidi" w:hAnsiTheme="majorBidi" w:cstheme="majorBidi"/>
          <w:sz w:val="20"/>
          <w:szCs w:val="20"/>
        </w:rPr>
        <w:t xml:space="preserve">, J. P., and Wachter, J. M. (2016). Organic agriculture in the twenty-first century. </w:t>
      </w:r>
      <w:r w:rsidRPr="009D551E">
        <w:rPr>
          <w:rStyle w:val="None"/>
          <w:rFonts w:asciiTheme="majorBidi" w:hAnsiTheme="majorBidi" w:cstheme="majorBidi"/>
          <w:sz w:val="20"/>
          <w:szCs w:val="20"/>
          <w:shd w:val="clear" w:color="auto" w:fill="FFFFFF"/>
          <w:lang w:val="en-US"/>
        </w:rPr>
        <w:t>Nature Plants 2</w:t>
      </w:r>
      <w:r w:rsidRPr="009D551E">
        <w:rPr>
          <w:rStyle w:val="Hyperlink2"/>
          <w:rFonts w:asciiTheme="majorBidi" w:hAnsiTheme="majorBidi" w:cstheme="majorBidi"/>
          <w:sz w:val="20"/>
          <w:szCs w:val="20"/>
        </w:rPr>
        <w:t xml:space="preserve"> - 1522.</w:t>
      </w:r>
    </w:p>
  </w:footnote>
  <w:footnote w:id="102">
    <w:p w:rsidR="00071EBB" w:rsidRPr="009D551E" w:rsidRDefault="00071EBB" w:rsidP="009D551E">
      <w:pPr>
        <w:pStyle w:val="FootnoteText"/>
        <w:ind w:firstLine="0"/>
        <w:jc w:val="left"/>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720FA7">
        <w:rPr>
          <w:rFonts w:asciiTheme="majorBidi" w:hAnsiTheme="majorBidi" w:cstheme="majorBidi"/>
          <w:sz w:val="20"/>
          <w:szCs w:val="20"/>
          <w:lang w:val="en-US"/>
        </w:rPr>
        <w:t xml:space="preserve"> Pittelkow, C. M., et al (2014). </w:t>
      </w:r>
      <w:r w:rsidRPr="009D551E">
        <w:rPr>
          <w:rFonts w:asciiTheme="majorBidi" w:hAnsiTheme="majorBidi" w:cstheme="majorBidi"/>
          <w:sz w:val="20"/>
          <w:szCs w:val="20"/>
        </w:rPr>
        <w:t>Productivity limits and potentials of the principles of conservation agriculture. Nature 517,365-368,</w:t>
      </w:r>
    </w:p>
  </w:footnote>
  <w:footnote w:id="103">
    <w:p w:rsidR="00071EBB" w:rsidRPr="009D551E" w:rsidRDefault="00071EBB" w:rsidP="009D551E">
      <w:pPr>
        <w:pStyle w:val="Default"/>
        <w:rPr>
          <w:rFonts w:asciiTheme="majorBidi" w:hAnsiTheme="majorBidi" w:cstheme="majorBidi"/>
          <w:color w:val="auto"/>
          <w:sz w:val="20"/>
          <w:szCs w:val="20"/>
          <w:shd w:val="clear" w:color="auto" w:fill="FFFFFF"/>
        </w:rPr>
      </w:pPr>
      <w:r w:rsidRPr="005424FB">
        <w:rPr>
          <w:rStyle w:val="FootnoteReference"/>
          <w:rFonts w:asciiTheme="majorBidi" w:hAnsiTheme="majorBidi" w:cstheme="majorBidi"/>
          <w:color w:val="auto"/>
          <w:sz w:val="20"/>
          <w:szCs w:val="20"/>
          <w:lang w:val="en-GB"/>
        </w:rPr>
        <w:footnoteRef/>
      </w:r>
      <w:r w:rsidRPr="005424FB">
        <w:rPr>
          <w:rStyle w:val="FootnoteReference"/>
          <w:sz w:val="20"/>
          <w:lang w:val="en-GB"/>
        </w:rPr>
        <w:t xml:space="preserve"> </w:t>
      </w:r>
      <w:r w:rsidRPr="009D551E">
        <w:rPr>
          <w:rFonts w:asciiTheme="majorBidi" w:hAnsiTheme="majorBidi" w:cstheme="majorBidi"/>
          <w:snapToGrid w:val="0"/>
          <w:color w:val="auto"/>
          <w:sz w:val="20"/>
          <w:szCs w:val="20"/>
        </w:rPr>
        <w:t xml:space="preserve"> </w:t>
      </w:r>
      <w:r w:rsidRPr="009D551E">
        <w:rPr>
          <w:rFonts w:asciiTheme="majorBidi" w:hAnsiTheme="majorBidi" w:cstheme="majorBidi"/>
          <w:color w:val="auto"/>
          <w:sz w:val="20"/>
          <w:szCs w:val="20"/>
          <w:shd w:val="clear" w:color="auto" w:fill="FFFFFF"/>
          <w:lang w:val="it-IT"/>
        </w:rPr>
        <w:t>Henneron, L., et al</w:t>
      </w:r>
      <w:r w:rsidRPr="009D551E">
        <w:rPr>
          <w:rFonts w:asciiTheme="majorBidi" w:hAnsiTheme="majorBidi" w:cstheme="majorBidi"/>
          <w:color w:val="auto"/>
          <w:sz w:val="20"/>
          <w:szCs w:val="20"/>
          <w:shd w:val="clear" w:color="auto" w:fill="FFFFFF"/>
        </w:rPr>
        <w:t xml:space="preserve"> (2015). Fourteen years of evidence for positive effects of conservation agriculture and organic farming on soil life. Agronomy for Sustainable Development, 35 (1), 169-181.</w:t>
      </w:r>
    </w:p>
  </w:footnote>
  <w:footnote w:id="104">
    <w:p w:rsidR="00071EBB" w:rsidRPr="009D551E" w:rsidRDefault="00071EBB" w:rsidP="009D551E">
      <w:pPr>
        <w:pStyle w:val="Default"/>
        <w:rPr>
          <w:rStyle w:val="Hyperlink2"/>
          <w:rFonts w:asciiTheme="majorBidi" w:hAnsiTheme="majorBidi" w:cstheme="majorBidi"/>
          <w:color w:val="auto"/>
          <w:sz w:val="20"/>
          <w:szCs w:val="20"/>
          <w:lang w:val="en-GB"/>
        </w:rPr>
      </w:pPr>
      <w:r w:rsidRPr="005424FB">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rPr>
        <w:t xml:space="preserve"> </w:t>
      </w:r>
      <w:r w:rsidRPr="009D551E">
        <w:rPr>
          <w:rStyle w:val="Hyperlink2"/>
          <w:rFonts w:asciiTheme="majorBidi" w:hAnsiTheme="majorBidi" w:cstheme="majorBidi"/>
          <w:color w:val="auto"/>
          <w:sz w:val="20"/>
          <w:szCs w:val="20"/>
          <w:lang w:val="en-GB"/>
        </w:rPr>
        <w:t>Palm, C., et al (2014). Conservation agriculture and ecosystem services: An overview. Agriculture, Ecosystems &amp; Environment, 187, 87-105.</w:t>
      </w:r>
    </w:p>
    <w:p w:rsidR="00071EBB" w:rsidRPr="009D551E" w:rsidRDefault="00071EBB" w:rsidP="009D551E">
      <w:pPr>
        <w:pStyle w:val="Body"/>
        <w:spacing w:line="240" w:lineRule="auto"/>
        <w:rPr>
          <w:rFonts w:asciiTheme="majorBidi" w:hAnsiTheme="majorBidi" w:cstheme="majorBidi"/>
          <w:color w:val="auto"/>
          <w:sz w:val="20"/>
          <w:szCs w:val="20"/>
          <w:bdr w:val="none" w:sz="0" w:space="0" w:color="auto"/>
          <w:lang w:val="en-GB" w:eastAsia="en-US"/>
        </w:rPr>
      </w:pPr>
      <w:r w:rsidRPr="00380AE4">
        <w:rPr>
          <w:rStyle w:val="Hyperlink2"/>
          <w:rFonts w:asciiTheme="majorBidi" w:hAnsiTheme="majorBidi" w:cstheme="majorBidi"/>
          <w:color w:val="auto"/>
          <w:sz w:val="20"/>
          <w:szCs w:val="20"/>
          <w:bdr w:val="none" w:sz="0" w:space="0" w:color="auto"/>
          <w:lang w:val="fr-BE" w:eastAsia="en-US"/>
        </w:rPr>
        <w:t xml:space="preserve">Stevenson, J. R., et al (2014). </w:t>
      </w:r>
      <w:r w:rsidRPr="009D551E">
        <w:rPr>
          <w:rStyle w:val="Hyperlink2"/>
          <w:rFonts w:asciiTheme="majorBidi" w:hAnsiTheme="majorBidi" w:cstheme="majorBidi"/>
          <w:color w:val="auto"/>
          <w:sz w:val="20"/>
          <w:szCs w:val="20"/>
          <w:bdr w:val="none" w:sz="0" w:space="0" w:color="auto"/>
          <w:lang w:val="en-GB" w:eastAsia="en-US"/>
        </w:rPr>
        <w:t xml:space="preserve">Evaluating conservation agriculture for small-scale farmers in Sub-Saharan Africa and South Asia. </w:t>
      </w:r>
      <w:hyperlink r:id="rId10" w:tooltip="Go to Agriculture, Ecosystems &amp; Environment on ScienceDirect" w:history="1">
        <w:r w:rsidRPr="009D551E">
          <w:rPr>
            <w:rStyle w:val="Hyperlink2"/>
            <w:rFonts w:asciiTheme="majorBidi" w:hAnsiTheme="majorBidi" w:cstheme="majorBidi"/>
            <w:color w:val="auto"/>
            <w:sz w:val="20"/>
            <w:szCs w:val="20"/>
            <w:bdr w:val="none" w:sz="0" w:space="0" w:color="auto"/>
            <w:lang w:val="en-GB" w:eastAsia="en-US"/>
          </w:rPr>
          <w:t>Agriculture, Ecosystems &amp; Environment</w:t>
        </w:r>
      </w:hyperlink>
      <w:r w:rsidRPr="009D551E">
        <w:rPr>
          <w:rStyle w:val="Hyperlink2"/>
          <w:rFonts w:asciiTheme="majorBidi" w:hAnsiTheme="majorBidi" w:cstheme="majorBidi"/>
          <w:color w:val="auto"/>
          <w:sz w:val="20"/>
          <w:szCs w:val="20"/>
          <w:bdr w:val="none" w:sz="0" w:space="0" w:color="auto"/>
          <w:lang w:val="en-GB" w:eastAsia="en-US"/>
        </w:rPr>
        <w:t xml:space="preserve"> 187, 1-10.</w:t>
      </w:r>
    </w:p>
  </w:footnote>
  <w:footnote w:id="105">
    <w:p w:rsidR="00071EBB" w:rsidRPr="009D551E" w:rsidRDefault="00071EBB" w:rsidP="009D551E">
      <w:pPr>
        <w:pStyle w:val="FootnoteText"/>
        <w:ind w:firstLine="0"/>
        <w:rPr>
          <w:rFonts w:asciiTheme="majorBidi" w:hAnsiTheme="majorBidi" w:cstheme="majorBidi"/>
          <w:sz w:val="20"/>
          <w:szCs w:val="20"/>
          <w:lang w:val="en-US"/>
        </w:rPr>
      </w:pPr>
      <w:r w:rsidRPr="005424F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Muller, A. et al (2017) Strategies for feed the world more sustainably with organic agriculture. Nature Communications 8, 1290.</w:t>
      </w:r>
    </w:p>
  </w:footnote>
  <w:footnote w:id="106">
    <w:p w:rsidR="00071EBB" w:rsidRPr="009D551E" w:rsidRDefault="00071EBB" w:rsidP="009D551E">
      <w:pPr>
        <w:pStyle w:val="Default"/>
        <w:rPr>
          <w:rFonts w:asciiTheme="majorBidi" w:hAnsiTheme="majorBidi" w:cstheme="majorBidi"/>
          <w:color w:val="auto"/>
          <w:sz w:val="20"/>
          <w:szCs w:val="20"/>
          <w:shd w:val="clear" w:color="auto" w:fill="FFFFFF"/>
        </w:rPr>
      </w:pPr>
      <w:r w:rsidRPr="005424FB">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rPr>
        <w:t xml:space="preserve"> </w:t>
      </w:r>
      <w:proofErr w:type="spellStart"/>
      <w:r w:rsidRPr="009D551E">
        <w:rPr>
          <w:rFonts w:asciiTheme="majorBidi" w:hAnsiTheme="majorBidi" w:cstheme="majorBidi"/>
          <w:color w:val="auto"/>
          <w:sz w:val="20"/>
          <w:szCs w:val="20"/>
          <w:shd w:val="clear" w:color="auto" w:fill="FFFFFF"/>
        </w:rPr>
        <w:t>Ceddiaa</w:t>
      </w:r>
      <w:proofErr w:type="spellEnd"/>
      <w:r w:rsidRPr="009D551E">
        <w:rPr>
          <w:rFonts w:asciiTheme="majorBidi" w:hAnsiTheme="majorBidi" w:cstheme="majorBidi"/>
          <w:color w:val="auto"/>
          <w:sz w:val="20"/>
          <w:szCs w:val="20"/>
          <w:shd w:val="clear" w:color="auto" w:fill="FFFFFF"/>
        </w:rPr>
        <w:t xml:space="preserve">, M. G., et al (2014). Governance, agricultural intensification, and land sparing in tropical South America. </w:t>
      </w:r>
      <w:r w:rsidRPr="009D551E">
        <w:rPr>
          <w:rStyle w:val="None"/>
          <w:rFonts w:asciiTheme="majorBidi" w:hAnsiTheme="majorBidi" w:cstheme="majorBidi"/>
          <w:color w:val="auto"/>
          <w:sz w:val="20"/>
          <w:szCs w:val="20"/>
          <w:shd w:val="clear" w:color="auto" w:fill="FFFFFF"/>
        </w:rPr>
        <w:t>Proceedings of the National Academy of Sciences of the United States, 111</w:t>
      </w:r>
      <w:r w:rsidRPr="009D551E">
        <w:rPr>
          <w:rFonts w:asciiTheme="majorBidi" w:hAnsiTheme="majorBidi" w:cstheme="majorBidi"/>
          <w:color w:val="auto"/>
          <w:sz w:val="20"/>
          <w:szCs w:val="20"/>
          <w:shd w:val="clear" w:color="auto" w:fill="FFFFFF"/>
        </w:rPr>
        <w:t>, 20.</w:t>
      </w:r>
    </w:p>
  </w:footnote>
  <w:footnote w:id="107">
    <w:p w:rsidR="00071EBB" w:rsidRPr="009D551E" w:rsidRDefault="00071EBB" w:rsidP="009D551E">
      <w:pPr>
        <w:pStyle w:val="Default"/>
        <w:rPr>
          <w:rFonts w:asciiTheme="majorBidi" w:hAnsiTheme="majorBidi" w:cstheme="majorBidi"/>
          <w:color w:val="auto"/>
          <w:sz w:val="20"/>
          <w:szCs w:val="20"/>
          <w:shd w:val="clear" w:color="auto" w:fill="FFFFFF"/>
        </w:rPr>
      </w:pPr>
      <w:r w:rsidRPr="005424FB">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rPr>
        <w:t xml:space="preserve"> </w:t>
      </w:r>
      <w:r w:rsidRPr="009D551E">
        <w:rPr>
          <w:rFonts w:asciiTheme="majorBidi" w:hAnsiTheme="majorBidi" w:cstheme="majorBidi"/>
          <w:color w:val="auto"/>
          <w:sz w:val="20"/>
          <w:szCs w:val="20"/>
          <w:shd w:val="clear" w:color="auto" w:fill="FFFFFF"/>
          <w:lang w:val="sv-SE"/>
        </w:rPr>
        <w:t>Rockströ</w:t>
      </w:r>
      <w:r w:rsidRPr="009D551E">
        <w:rPr>
          <w:rFonts w:asciiTheme="majorBidi" w:hAnsiTheme="majorBidi" w:cstheme="majorBidi"/>
          <w:color w:val="auto"/>
          <w:sz w:val="20"/>
          <w:szCs w:val="20"/>
          <w:shd w:val="clear" w:color="auto" w:fill="FFFFFF"/>
        </w:rPr>
        <w:t xml:space="preserve">m, J., et al (2017). Sustainable intensification of agriculture for human prosperity and global sustainability. </w:t>
      </w:r>
      <w:r w:rsidRPr="009D551E">
        <w:rPr>
          <w:rStyle w:val="None"/>
          <w:rFonts w:asciiTheme="majorBidi" w:hAnsiTheme="majorBidi" w:cstheme="majorBidi"/>
          <w:color w:val="auto"/>
          <w:sz w:val="20"/>
          <w:szCs w:val="20"/>
          <w:shd w:val="clear" w:color="auto" w:fill="FFFFFF"/>
          <w:lang w:val="it-IT"/>
        </w:rPr>
        <w:t xml:space="preserve">Ambiom, 46-1, </w:t>
      </w:r>
      <w:r w:rsidRPr="009D551E">
        <w:rPr>
          <w:rFonts w:asciiTheme="majorBidi" w:hAnsiTheme="majorBidi" w:cstheme="majorBidi"/>
          <w:color w:val="auto"/>
          <w:sz w:val="20"/>
          <w:szCs w:val="20"/>
          <w:shd w:val="clear" w:color="auto" w:fill="FFFFFF"/>
        </w:rPr>
        <w:t>4–17.</w:t>
      </w:r>
    </w:p>
  </w:footnote>
  <w:footnote w:id="108">
    <w:p w:rsidR="00071EBB" w:rsidRPr="009D551E" w:rsidRDefault="00071EBB" w:rsidP="009D551E">
      <w:pPr>
        <w:pStyle w:val="Body"/>
        <w:spacing w:line="240" w:lineRule="auto"/>
        <w:rPr>
          <w:rFonts w:asciiTheme="majorBidi" w:hAnsiTheme="majorBidi" w:cstheme="majorBidi"/>
          <w:color w:val="auto"/>
          <w:sz w:val="20"/>
          <w:szCs w:val="20"/>
        </w:rPr>
      </w:pPr>
      <w:r w:rsidRPr="005424FB">
        <w:rPr>
          <w:rStyle w:val="FootnoteReference"/>
          <w:rFonts w:asciiTheme="majorBidi" w:hAnsiTheme="majorBidi" w:cstheme="majorBidi"/>
          <w:color w:val="auto"/>
          <w:sz w:val="20"/>
          <w:szCs w:val="20"/>
          <w:bdr w:val="none" w:sz="0" w:space="0" w:color="auto"/>
          <w:shd w:val="clear" w:color="auto" w:fill="auto"/>
          <w:lang w:val="en-GB" w:eastAsia="en-US"/>
        </w:rPr>
        <w:footnoteRef/>
      </w:r>
      <w:r w:rsidRPr="00380AE4">
        <w:rPr>
          <w:rFonts w:asciiTheme="majorBidi" w:hAnsiTheme="majorBidi" w:cstheme="majorBidi"/>
          <w:color w:val="auto"/>
          <w:sz w:val="20"/>
          <w:szCs w:val="20"/>
          <w:lang w:val="fr-BE"/>
        </w:rPr>
        <w:t xml:space="preserve"> MacDicken, K. G., et al (2015). </w:t>
      </w:r>
      <w:r w:rsidRPr="009D551E">
        <w:rPr>
          <w:rFonts w:asciiTheme="majorBidi" w:hAnsiTheme="majorBidi" w:cstheme="majorBidi"/>
          <w:color w:val="auto"/>
          <w:sz w:val="20"/>
          <w:szCs w:val="20"/>
        </w:rPr>
        <w:t>Global progress toward sustainable forest management. Forest Ecology and Management, 352, 47-56.</w:t>
      </w:r>
    </w:p>
    <w:p w:rsidR="00071EBB" w:rsidRPr="009D551E" w:rsidRDefault="00071EBB" w:rsidP="009D551E">
      <w:pPr>
        <w:pStyle w:val="Default"/>
        <w:rPr>
          <w:rFonts w:asciiTheme="majorBidi" w:hAnsiTheme="majorBidi" w:cstheme="majorBidi"/>
          <w:color w:val="auto"/>
          <w:sz w:val="20"/>
          <w:szCs w:val="20"/>
        </w:rPr>
      </w:pPr>
      <w:r w:rsidRPr="009D551E">
        <w:rPr>
          <w:rFonts w:asciiTheme="majorBidi" w:hAnsiTheme="majorBidi" w:cstheme="majorBidi"/>
          <w:color w:val="auto"/>
          <w:sz w:val="20"/>
          <w:szCs w:val="20"/>
        </w:rPr>
        <w:t xml:space="preserve">Food and Agriculture Organization </w:t>
      </w:r>
      <w:r w:rsidRPr="009D551E">
        <w:rPr>
          <w:rStyle w:val="Hyperlink2"/>
          <w:rFonts w:asciiTheme="majorBidi" w:hAnsiTheme="majorBidi" w:cstheme="majorBidi"/>
          <w:color w:val="auto"/>
          <w:sz w:val="20"/>
          <w:szCs w:val="20"/>
        </w:rPr>
        <w:t xml:space="preserve">of the United Nations </w:t>
      </w:r>
      <w:r w:rsidRPr="009D551E">
        <w:rPr>
          <w:rFonts w:asciiTheme="majorBidi" w:hAnsiTheme="majorBidi" w:cstheme="majorBidi"/>
          <w:color w:val="auto"/>
          <w:sz w:val="20"/>
          <w:szCs w:val="20"/>
        </w:rPr>
        <w:t xml:space="preserve">(FAO). (2015). Global Forest Resources Assessment 2015 - How are the world’s forests changing? Second edition. Food and Agriculture Organization (FAO). Rome, </w:t>
      </w:r>
      <w:r w:rsidRPr="009D551E">
        <w:rPr>
          <w:rStyle w:val="None"/>
          <w:rFonts w:asciiTheme="majorBidi" w:hAnsiTheme="majorBidi" w:cstheme="majorBidi"/>
          <w:color w:val="auto"/>
          <w:sz w:val="20"/>
          <w:szCs w:val="20"/>
        </w:rPr>
        <w:t>Mountain Forum</w:t>
      </w:r>
    </w:p>
  </w:footnote>
  <w:footnote w:id="109">
    <w:p w:rsidR="00071EBB" w:rsidRPr="009D551E" w:rsidRDefault="00071EBB" w:rsidP="009D551E">
      <w:pPr>
        <w:pStyle w:val="Default"/>
        <w:rPr>
          <w:rStyle w:val="None"/>
          <w:rFonts w:asciiTheme="majorBidi" w:hAnsiTheme="majorBidi" w:cstheme="majorBidi"/>
          <w:color w:val="auto"/>
          <w:sz w:val="20"/>
          <w:szCs w:val="20"/>
        </w:rPr>
      </w:pPr>
      <w:r w:rsidRPr="005424FB">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rPr>
        <w:t xml:space="preserve"> Food and Agriculture Organization </w:t>
      </w:r>
      <w:r w:rsidRPr="009D551E">
        <w:rPr>
          <w:rStyle w:val="Hyperlink2"/>
          <w:rFonts w:asciiTheme="majorBidi" w:hAnsiTheme="majorBidi" w:cstheme="majorBidi"/>
          <w:color w:val="auto"/>
          <w:sz w:val="20"/>
          <w:szCs w:val="20"/>
        </w:rPr>
        <w:t xml:space="preserve">of the United Nations </w:t>
      </w:r>
      <w:r w:rsidRPr="009D551E">
        <w:rPr>
          <w:rFonts w:asciiTheme="majorBidi" w:hAnsiTheme="majorBidi" w:cstheme="majorBidi"/>
          <w:color w:val="auto"/>
          <w:sz w:val="20"/>
          <w:szCs w:val="20"/>
        </w:rPr>
        <w:t xml:space="preserve">(FAO). (2015). Global Forest Resources Assessment 2015 - How are the world’s forests changing? Second edition. Food and Agriculture Organization (FAO). Rome, </w:t>
      </w:r>
      <w:r w:rsidRPr="009D551E">
        <w:rPr>
          <w:rStyle w:val="None"/>
          <w:rFonts w:asciiTheme="majorBidi" w:hAnsiTheme="majorBidi" w:cstheme="majorBidi"/>
          <w:color w:val="auto"/>
          <w:sz w:val="20"/>
          <w:szCs w:val="20"/>
        </w:rPr>
        <w:t>Mountain Forum</w:t>
      </w:r>
    </w:p>
    <w:p w:rsidR="00071EBB" w:rsidRPr="009D551E" w:rsidRDefault="00071EBB" w:rsidP="009D551E">
      <w:pPr>
        <w:pStyle w:val="Body"/>
        <w:spacing w:line="240" w:lineRule="auto"/>
        <w:rPr>
          <w:rFonts w:asciiTheme="majorBidi" w:hAnsiTheme="majorBidi" w:cstheme="majorBidi"/>
          <w:color w:val="auto"/>
          <w:sz w:val="20"/>
          <w:szCs w:val="20"/>
        </w:rPr>
      </w:pPr>
      <w:r w:rsidRPr="009D551E">
        <w:rPr>
          <w:rFonts w:asciiTheme="majorBidi" w:hAnsiTheme="majorBidi" w:cstheme="majorBidi"/>
          <w:color w:val="auto"/>
          <w:sz w:val="20"/>
          <w:szCs w:val="20"/>
        </w:rPr>
        <w:t>Sloan, S. and Jeffrey, A.S. (2015). Forest Resources Assessment of 2015 shows positive global trends but forest loss and degradation persist in poor tropical countries, Forest Ecology and Management, 352, 134.</w:t>
      </w:r>
    </w:p>
  </w:footnote>
  <w:footnote w:id="110">
    <w:p w:rsidR="00071EBB" w:rsidRPr="009D551E" w:rsidRDefault="00071EBB" w:rsidP="009D551E">
      <w:pPr>
        <w:pStyle w:val="Body"/>
        <w:spacing w:line="240" w:lineRule="auto"/>
        <w:rPr>
          <w:rFonts w:asciiTheme="majorBidi" w:hAnsiTheme="majorBidi" w:cstheme="majorBidi"/>
          <w:color w:val="auto"/>
          <w:sz w:val="20"/>
          <w:szCs w:val="20"/>
        </w:rPr>
      </w:pPr>
      <w:r w:rsidRPr="005424FB">
        <w:rPr>
          <w:rStyle w:val="FootnoteReference"/>
          <w:rFonts w:asciiTheme="majorBidi" w:hAnsiTheme="majorBidi" w:cstheme="majorBidi"/>
          <w:color w:val="auto"/>
          <w:sz w:val="20"/>
          <w:szCs w:val="20"/>
          <w:bdr w:val="none" w:sz="0" w:space="0" w:color="auto"/>
          <w:shd w:val="clear" w:color="auto" w:fill="auto"/>
          <w:lang w:val="en-GB" w:eastAsia="en-US"/>
        </w:rPr>
        <w:footnoteRef/>
      </w:r>
      <w:r w:rsidRPr="009D551E">
        <w:rPr>
          <w:rFonts w:asciiTheme="majorBidi" w:hAnsiTheme="majorBidi" w:cstheme="majorBidi"/>
          <w:color w:val="auto"/>
          <w:sz w:val="20"/>
          <w:szCs w:val="20"/>
        </w:rPr>
        <w:t xml:space="preserve"> </w:t>
      </w:r>
      <w:proofErr w:type="spellStart"/>
      <w:r w:rsidRPr="009D551E">
        <w:rPr>
          <w:rFonts w:asciiTheme="majorBidi" w:hAnsiTheme="majorBidi" w:cstheme="majorBidi"/>
          <w:color w:val="auto"/>
          <w:sz w:val="20"/>
          <w:szCs w:val="20"/>
        </w:rPr>
        <w:t>Payn</w:t>
      </w:r>
      <w:proofErr w:type="spellEnd"/>
      <w:r w:rsidRPr="009D551E">
        <w:rPr>
          <w:rFonts w:asciiTheme="majorBidi" w:hAnsiTheme="majorBidi" w:cstheme="majorBidi"/>
          <w:color w:val="auto"/>
          <w:sz w:val="20"/>
          <w:szCs w:val="20"/>
        </w:rPr>
        <w:t xml:space="preserve">, T et al (2015). Changes in planted forests and future global implications. Forest Ecology and Management, 352, 57. </w:t>
      </w:r>
    </w:p>
    <w:p w:rsidR="00071EBB" w:rsidRPr="009D551E" w:rsidRDefault="00071EBB" w:rsidP="009D551E">
      <w:pPr>
        <w:pStyle w:val="Default"/>
        <w:rPr>
          <w:rFonts w:asciiTheme="majorBidi" w:hAnsiTheme="majorBidi" w:cstheme="majorBidi"/>
          <w:color w:val="auto"/>
          <w:sz w:val="20"/>
          <w:szCs w:val="20"/>
        </w:rPr>
      </w:pPr>
      <w:r w:rsidRPr="009D551E">
        <w:rPr>
          <w:rFonts w:asciiTheme="majorBidi" w:hAnsiTheme="majorBidi" w:cstheme="majorBidi"/>
          <w:color w:val="auto"/>
          <w:sz w:val="20"/>
          <w:szCs w:val="20"/>
        </w:rPr>
        <w:t xml:space="preserve">Food and Agriculture Organization </w:t>
      </w:r>
      <w:r w:rsidRPr="009D551E">
        <w:rPr>
          <w:rStyle w:val="Hyperlink2"/>
          <w:rFonts w:asciiTheme="majorBidi" w:hAnsiTheme="majorBidi" w:cstheme="majorBidi"/>
          <w:color w:val="auto"/>
          <w:sz w:val="20"/>
          <w:szCs w:val="20"/>
        </w:rPr>
        <w:t xml:space="preserve">of the United Nations </w:t>
      </w:r>
      <w:r w:rsidRPr="009D551E">
        <w:rPr>
          <w:rFonts w:asciiTheme="majorBidi" w:hAnsiTheme="majorBidi" w:cstheme="majorBidi"/>
          <w:color w:val="auto"/>
          <w:sz w:val="20"/>
          <w:szCs w:val="20"/>
        </w:rPr>
        <w:t xml:space="preserve">(FAO). (2015). Global Forest Resources Assessment 2015 -How are the world’s forests changing? Second edition. Food and Agriculture Organization (FAO). Rome, </w:t>
      </w:r>
      <w:r w:rsidRPr="009D551E">
        <w:rPr>
          <w:rStyle w:val="None"/>
          <w:rFonts w:asciiTheme="majorBidi" w:hAnsiTheme="majorBidi" w:cstheme="majorBidi"/>
          <w:color w:val="auto"/>
          <w:sz w:val="20"/>
          <w:szCs w:val="20"/>
        </w:rPr>
        <w:t>Mountain Forum</w:t>
      </w:r>
    </w:p>
  </w:footnote>
  <w:footnote w:id="111">
    <w:p w:rsidR="00071EBB" w:rsidRPr="009D551E" w:rsidRDefault="00071EBB" w:rsidP="009D551E">
      <w:pPr>
        <w:pStyle w:val="Body"/>
        <w:spacing w:line="240" w:lineRule="auto"/>
        <w:rPr>
          <w:rFonts w:asciiTheme="majorBidi" w:hAnsiTheme="majorBidi" w:cstheme="majorBidi"/>
          <w:color w:val="auto"/>
          <w:sz w:val="20"/>
          <w:szCs w:val="20"/>
        </w:rPr>
      </w:pPr>
      <w:r w:rsidRPr="005424FB">
        <w:rPr>
          <w:rStyle w:val="FootnoteReference"/>
          <w:rFonts w:asciiTheme="majorBidi" w:hAnsiTheme="majorBidi" w:cstheme="majorBidi"/>
          <w:color w:val="auto"/>
          <w:sz w:val="20"/>
          <w:szCs w:val="20"/>
          <w:bdr w:val="none" w:sz="0" w:space="0" w:color="auto"/>
          <w:shd w:val="clear" w:color="auto" w:fill="auto"/>
          <w:lang w:val="en-GB" w:eastAsia="en-US"/>
        </w:rPr>
        <w:footnoteRef/>
      </w:r>
      <w:r w:rsidRPr="009D551E">
        <w:rPr>
          <w:rFonts w:asciiTheme="majorBidi" w:hAnsiTheme="majorBidi" w:cstheme="majorBidi"/>
          <w:color w:val="auto"/>
          <w:sz w:val="20"/>
          <w:szCs w:val="20"/>
        </w:rPr>
        <w:t xml:space="preserve"> </w:t>
      </w:r>
      <w:proofErr w:type="spellStart"/>
      <w:r w:rsidRPr="009D551E">
        <w:rPr>
          <w:rFonts w:asciiTheme="majorBidi" w:hAnsiTheme="majorBidi" w:cstheme="majorBidi"/>
          <w:color w:val="auto"/>
          <w:sz w:val="20"/>
          <w:szCs w:val="20"/>
        </w:rPr>
        <w:t>Payn</w:t>
      </w:r>
      <w:proofErr w:type="spellEnd"/>
      <w:r w:rsidRPr="009D551E">
        <w:rPr>
          <w:rFonts w:asciiTheme="majorBidi" w:hAnsiTheme="majorBidi" w:cstheme="majorBidi"/>
          <w:color w:val="auto"/>
          <w:sz w:val="20"/>
          <w:szCs w:val="20"/>
        </w:rPr>
        <w:t xml:space="preserve">, T., et al (2015). Changes in planted forests and future global implications. Forest Ecology and Management, 352, 57. </w:t>
      </w:r>
    </w:p>
    <w:p w:rsidR="00071EBB" w:rsidRPr="009D551E" w:rsidRDefault="00071EBB" w:rsidP="009D551E">
      <w:pPr>
        <w:pStyle w:val="Default"/>
        <w:rPr>
          <w:rFonts w:asciiTheme="majorBidi" w:hAnsiTheme="majorBidi" w:cstheme="majorBidi"/>
          <w:color w:val="auto"/>
          <w:sz w:val="20"/>
          <w:szCs w:val="20"/>
        </w:rPr>
      </w:pPr>
      <w:r w:rsidRPr="009D551E">
        <w:rPr>
          <w:rFonts w:asciiTheme="majorBidi" w:hAnsiTheme="majorBidi" w:cstheme="majorBidi"/>
          <w:color w:val="auto"/>
          <w:sz w:val="20"/>
          <w:szCs w:val="20"/>
        </w:rPr>
        <w:t xml:space="preserve">Food and Agriculture Organization </w:t>
      </w:r>
      <w:r w:rsidRPr="009D551E">
        <w:rPr>
          <w:rStyle w:val="Hyperlink2"/>
          <w:rFonts w:asciiTheme="majorBidi" w:hAnsiTheme="majorBidi" w:cstheme="majorBidi"/>
          <w:color w:val="auto"/>
          <w:sz w:val="20"/>
          <w:szCs w:val="20"/>
        </w:rPr>
        <w:t xml:space="preserve">of the United Nations </w:t>
      </w:r>
      <w:r w:rsidRPr="009D551E">
        <w:rPr>
          <w:rFonts w:asciiTheme="majorBidi" w:hAnsiTheme="majorBidi" w:cstheme="majorBidi"/>
          <w:color w:val="auto"/>
          <w:sz w:val="20"/>
          <w:szCs w:val="20"/>
        </w:rPr>
        <w:t xml:space="preserve">(FAO). (2015). Global Forest Resources Assessment 2015 - How are the world’s forests changing? Second edition. Food and Agriculture Organization (FAO). Rome, </w:t>
      </w:r>
      <w:r w:rsidRPr="009D551E">
        <w:rPr>
          <w:rStyle w:val="None"/>
          <w:rFonts w:asciiTheme="majorBidi" w:hAnsiTheme="majorBidi" w:cstheme="majorBidi"/>
          <w:color w:val="auto"/>
          <w:sz w:val="20"/>
          <w:szCs w:val="20"/>
        </w:rPr>
        <w:t>Mountain Forum</w:t>
      </w:r>
    </w:p>
  </w:footnote>
  <w:footnote w:id="112">
    <w:p w:rsidR="00071EBB" w:rsidRPr="009D551E" w:rsidRDefault="00071EBB" w:rsidP="009D551E">
      <w:pPr>
        <w:pStyle w:val="Default"/>
        <w:rPr>
          <w:rFonts w:asciiTheme="majorBidi" w:hAnsiTheme="majorBidi" w:cstheme="majorBidi"/>
          <w:color w:val="auto"/>
          <w:sz w:val="20"/>
          <w:szCs w:val="20"/>
          <w:shd w:val="clear" w:color="auto" w:fill="FFFFFF"/>
        </w:rPr>
      </w:pPr>
      <w:r w:rsidRPr="005424FB">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rPr>
        <w:t xml:space="preserve"> </w:t>
      </w:r>
      <w:hyperlink r:id="rId11" w:tooltip="Search for Liang, Jingjing" w:history="1">
        <w:r w:rsidRPr="009D551E">
          <w:rPr>
            <w:rStyle w:val="Hyperlink2"/>
            <w:rFonts w:asciiTheme="majorBidi" w:hAnsiTheme="majorBidi" w:cstheme="majorBidi"/>
            <w:color w:val="auto"/>
            <w:sz w:val="20"/>
            <w:szCs w:val="20"/>
          </w:rPr>
          <w:t>Liang, J.,</w:t>
        </w:r>
      </w:hyperlink>
      <w:r w:rsidRPr="009D551E">
        <w:rPr>
          <w:rStyle w:val="Hyperlink2"/>
          <w:rFonts w:asciiTheme="majorBidi" w:hAnsiTheme="majorBidi" w:cstheme="majorBidi"/>
          <w:color w:val="auto"/>
          <w:sz w:val="20"/>
          <w:szCs w:val="20"/>
        </w:rPr>
        <w:t xml:space="preserve"> et al (2016). Positive biodiversity-productivity relationship predominant in global forests. American Association for the Advancement of Science, 14-354, 6309.</w:t>
      </w:r>
    </w:p>
  </w:footnote>
  <w:footnote w:id="113">
    <w:p w:rsidR="00071EBB" w:rsidRPr="009D551E" w:rsidRDefault="00071EBB" w:rsidP="009D551E">
      <w:pPr>
        <w:pStyle w:val="Default"/>
        <w:rPr>
          <w:rFonts w:asciiTheme="majorBidi" w:hAnsiTheme="majorBidi" w:cstheme="majorBidi"/>
          <w:color w:val="auto"/>
          <w:sz w:val="20"/>
          <w:szCs w:val="20"/>
          <w:shd w:val="clear" w:color="auto" w:fill="FFFFFF"/>
          <w:lang w:val="de-DE"/>
        </w:rPr>
      </w:pPr>
      <w:r w:rsidRPr="005424FB">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rPr>
        <w:t xml:space="preserve"> </w:t>
      </w:r>
      <w:r w:rsidRPr="009D551E">
        <w:rPr>
          <w:rFonts w:asciiTheme="majorBidi" w:hAnsiTheme="majorBidi" w:cstheme="majorBidi"/>
          <w:color w:val="auto"/>
          <w:sz w:val="20"/>
          <w:szCs w:val="20"/>
          <w:lang w:val="de-DE"/>
        </w:rPr>
        <w:t>Food and Agriculture Organization of the United Nations (FAO</w:t>
      </w:r>
      <w:r w:rsidRPr="009D551E">
        <w:rPr>
          <w:rFonts w:asciiTheme="majorBidi" w:hAnsiTheme="majorBidi" w:cstheme="majorBidi"/>
          <w:color w:val="auto"/>
          <w:sz w:val="20"/>
          <w:szCs w:val="20"/>
          <w:shd w:val="clear" w:color="auto" w:fill="FFFFFF"/>
          <w:lang w:val="de-DE"/>
        </w:rPr>
        <w:t>). (2016). The State of World Fisheries and Aquaculture 2016. Contributing to food security and nutrition for all. Rome. 200 pp.</w:t>
      </w:r>
    </w:p>
  </w:footnote>
  <w:footnote w:id="114">
    <w:p w:rsidR="00071EBB" w:rsidRPr="009D551E" w:rsidRDefault="00071EBB" w:rsidP="009D551E">
      <w:pPr>
        <w:pStyle w:val="Default"/>
        <w:rPr>
          <w:rFonts w:asciiTheme="majorBidi" w:hAnsiTheme="majorBidi" w:cstheme="majorBidi"/>
          <w:color w:val="auto"/>
          <w:sz w:val="20"/>
          <w:szCs w:val="20"/>
          <w:shd w:val="clear" w:color="auto" w:fill="FFFFFF"/>
          <w:lang w:val="de-DE"/>
        </w:rPr>
      </w:pPr>
      <w:r w:rsidRPr="005424FB">
        <w:rPr>
          <w:rStyle w:val="FootnoteReference"/>
          <w:rFonts w:asciiTheme="majorBidi" w:hAnsiTheme="majorBidi" w:cstheme="majorBidi"/>
          <w:color w:val="auto"/>
          <w:sz w:val="20"/>
          <w:szCs w:val="20"/>
          <w:lang w:val="en-GB"/>
        </w:rPr>
        <w:footnoteRef/>
      </w:r>
      <w:r w:rsidRPr="005424FB">
        <w:rPr>
          <w:rStyle w:val="FootnoteReference"/>
          <w:sz w:val="20"/>
          <w:lang w:val="en-GB"/>
        </w:rPr>
        <w:t xml:space="preserve"> </w:t>
      </w:r>
      <w:r w:rsidRPr="00720FA7">
        <w:rPr>
          <w:rFonts w:asciiTheme="majorBidi" w:hAnsiTheme="majorBidi" w:cstheme="majorBidi"/>
          <w:color w:val="auto"/>
          <w:sz w:val="20"/>
          <w:szCs w:val="20"/>
        </w:rPr>
        <w:t xml:space="preserve">Troell, M., et al (2014b). </w:t>
      </w:r>
      <w:r w:rsidRPr="009D551E">
        <w:rPr>
          <w:rFonts w:asciiTheme="majorBidi" w:hAnsiTheme="majorBidi" w:cstheme="majorBidi"/>
          <w:color w:val="auto"/>
          <w:sz w:val="20"/>
          <w:szCs w:val="20"/>
        </w:rPr>
        <w:t xml:space="preserve">Does </w:t>
      </w:r>
      <w:r w:rsidRPr="009D551E">
        <w:rPr>
          <w:rFonts w:asciiTheme="majorBidi" w:hAnsiTheme="majorBidi" w:cstheme="majorBidi"/>
          <w:color w:val="auto"/>
          <w:sz w:val="20"/>
          <w:szCs w:val="20"/>
          <w:shd w:val="clear" w:color="auto" w:fill="FFFFFF"/>
          <w:lang w:val="de-DE"/>
        </w:rPr>
        <w:t>aquaculture add resilience to the global food system? Proc. Natl. Acad. 111(37), 13257-13263.</w:t>
      </w:r>
    </w:p>
  </w:footnote>
  <w:footnote w:id="115">
    <w:p w:rsidR="00071EBB" w:rsidRPr="009D551E" w:rsidRDefault="00071EBB" w:rsidP="009D551E">
      <w:pPr>
        <w:pStyle w:val="Default"/>
        <w:rPr>
          <w:rFonts w:asciiTheme="majorBidi" w:hAnsiTheme="majorBidi" w:cstheme="majorBidi"/>
          <w:color w:val="auto"/>
          <w:sz w:val="20"/>
          <w:szCs w:val="20"/>
          <w:shd w:val="clear" w:color="auto" w:fill="FFFFFF"/>
          <w:lang w:val="de-DE"/>
        </w:rPr>
      </w:pPr>
      <w:r w:rsidRPr="00F130D0">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rPr>
        <w:t xml:space="preserve"> </w:t>
      </w:r>
      <w:r w:rsidRPr="009D551E">
        <w:rPr>
          <w:rFonts w:asciiTheme="majorBidi" w:hAnsiTheme="majorBidi" w:cstheme="majorBidi"/>
          <w:color w:val="auto"/>
          <w:sz w:val="20"/>
          <w:szCs w:val="20"/>
          <w:shd w:val="clear" w:color="auto" w:fill="FFFFFF"/>
          <w:lang w:val="de-DE"/>
        </w:rPr>
        <w:t xml:space="preserve">Tacon, A.G. J. and </w:t>
      </w:r>
      <w:hyperlink r:id="rId12" w:tooltip="Search for Metian, Marc" w:history="1">
        <w:r w:rsidRPr="009D551E">
          <w:rPr>
            <w:rFonts w:asciiTheme="majorBidi" w:hAnsiTheme="majorBidi" w:cstheme="majorBidi"/>
            <w:color w:val="auto"/>
            <w:sz w:val="20"/>
            <w:szCs w:val="20"/>
            <w:shd w:val="clear" w:color="auto" w:fill="FFFFFF"/>
            <w:lang w:val="de-DE"/>
          </w:rPr>
          <w:t>Metian, M.</w:t>
        </w:r>
      </w:hyperlink>
      <w:r w:rsidRPr="009D551E">
        <w:rPr>
          <w:rFonts w:asciiTheme="majorBidi" w:hAnsiTheme="majorBidi" w:cstheme="majorBidi"/>
          <w:color w:val="auto"/>
          <w:sz w:val="20"/>
          <w:szCs w:val="20"/>
          <w:shd w:val="clear" w:color="auto" w:fill="FFFFFF"/>
          <w:lang w:val="de-DE"/>
        </w:rPr>
        <w:t xml:space="preserve"> (2015). Feed Matters: Satisfying the Feed Demand of Aquaculture. Reviews in Fisheries Science &amp; Aquaculture, 23-1, 1-10.</w:t>
      </w:r>
    </w:p>
  </w:footnote>
  <w:footnote w:id="116">
    <w:p w:rsidR="00071EBB" w:rsidRPr="009D551E" w:rsidRDefault="00071EBB" w:rsidP="009D551E">
      <w:pPr>
        <w:pStyle w:val="Default"/>
        <w:rPr>
          <w:rFonts w:asciiTheme="majorBidi" w:hAnsiTheme="majorBidi" w:cstheme="majorBidi"/>
          <w:color w:val="auto"/>
          <w:sz w:val="20"/>
          <w:szCs w:val="20"/>
          <w:shd w:val="clear" w:color="auto" w:fill="FFFFFF"/>
          <w:lang w:val="de-DE"/>
        </w:rPr>
      </w:pPr>
      <w:r w:rsidRPr="00F130D0">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lang w:val="fr-BE"/>
        </w:rPr>
        <w:t xml:space="preserve"> </w:t>
      </w:r>
      <w:proofErr w:type="spellStart"/>
      <w:r w:rsidRPr="009D551E">
        <w:rPr>
          <w:rFonts w:asciiTheme="majorBidi" w:hAnsiTheme="majorBidi" w:cstheme="majorBidi"/>
          <w:color w:val="auto"/>
          <w:sz w:val="20"/>
          <w:szCs w:val="20"/>
          <w:lang w:val="fr-BE"/>
        </w:rPr>
        <w:t>Troell</w:t>
      </w:r>
      <w:proofErr w:type="spellEnd"/>
      <w:r w:rsidRPr="009D551E">
        <w:rPr>
          <w:rFonts w:asciiTheme="majorBidi" w:hAnsiTheme="majorBidi" w:cstheme="majorBidi"/>
          <w:color w:val="auto"/>
          <w:sz w:val="20"/>
          <w:szCs w:val="20"/>
          <w:lang w:val="fr-BE"/>
        </w:rPr>
        <w:t xml:space="preserve">, M., et al (2014b). </w:t>
      </w:r>
      <w:r w:rsidRPr="009D551E">
        <w:rPr>
          <w:rFonts w:asciiTheme="majorBidi" w:hAnsiTheme="majorBidi" w:cstheme="majorBidi"/>
          <w:color w:val="auto"/>
          <w:sz w:val="20"/>
          <w:szCs w:val="20"/>
        </w:rPr>
        <w:t xml:space="preserve">Does </w:t>
      </w:r>
      <w:r w:rsidRPr="009D551E">
        <w:rPr>
          <w:rFonts w:asciiTheme="majorBidi" w:hAnsiTheme="majorBidi" w:cstheme="majorBidi"/>
          <w:color w:val="auto"/>
          <w:sz w:val="20"/>
          <w:szCs w:val="20"/>
          <w:shd w:val="clear" w:color="auto" w:fill="FFFFFF"/>
          <w:lang w:val="de-DE"/>
        </w:rPr>
        <w:t>aquaculture add resilience to the global food system? Proc. Natl. Acad. 111(37), 13257-13263.</w:t>
      </w:r>
    </w:p>
  </w:footnote>
  <w:footnote w:id="117">
    <w:p w:rsidR="00071EBB" w:rsidRPr="009D551E" w:rsidRDefault="00071EBB" w:rsidP="009D551E">
      <w:pPr>
        <w:pStyle w:val="Default"/>
        <w:rPr>
          <w:rFonts w:asciiTheme="majorBidi" w:hAnsiTheme="majorBidi" w:cstheme="majorBidi"/>
          <w:color w:val="auto"/>
          <w:sz w:val="20"/>
          <w:szCs w:val="20"/>
          <w:lang w:val="de-DE"/>
        </w:rPr>
      </w:pPr>
      <w:r w:rsidRPr="00F130D0">
        <w:rPr>
          <w:rStyle w:val="FootnoteReference"/>
          <w:rFonts w:asciiTheme="majorBidi" w:hAnsiTheme="majorBidi" w:cstheme="majorBidi"/>
          <w:color w:val="auto"/>
          <w:sz w:val="20"/>
          <w:szCs w:val="20"/>
          <w:lang w:val="en-GB"/>
        </w:rPr>
        <w:footnoteRef/>
      </w:r>
      <w:r w:rsidRPr="00720FA7">
        <w:rPr>
          <w:rFonts w:asciiTheme="majorBidi" w:hAnsiTheme="majorBidi" w:cstheme="majorBidi"/>
          <w:color w:val="auto"/>
          <w:sz w:val="20"/>
          <w:szCs w:val="20"/>
          <w:lang w:val="es-ES_tradnl"/>
        </w:rPr>
        <w:t xml:space="preserve"> </w:t>
      </w:r>
      <w:r w:rsidRPr="009D551E">
        <w:rPr>
          <w:rFonts w:asciiTheme="majorBidi" w:hAnsiTheme="majorBidi" w:cstheme="majorBidi"/>
          <w:color w:val="auto"/>
          <w:sz w:val="20"/>
          <w:szCs w:val="20"/>
          <w:lang w:val="de-DE"/>
        </w:rPr>
        <w:t>El-Sayed, A.-F.M., et al (2015). Value chain analysis of the aquaculture feed sector in Egypt. Aquaculture 437, 92-101.</w:t>
      </w:r>
    </w:p>
  </w:footnote>
  <w:footnote w:id="118">
    <w:p w:rsidR="00071EBB" w:rsidRPr="009D551E" w:rsidRDefault="00071EBB" w:rsidP="009D551E">
      <w:pPr>
        <w:pStyle w:val="FootnoteText"/>
        <w:ind w:firstLine="0"/>
        <w:jc w:val="left"/>
        <w:rPr>
          <w:rFonts w:asciiTheme="majorBidi" w:hAnsiTheme="majorBidi" w:cstheme="majorBidi"/>
          <w:sz w:val="20"/>
          <w:szCs w:val="20"/>
          <w:lang w:val="en-US"/>
        </w:rPr>
      </w:pPr>
      <w:r w:rsidRPr="00F130D0">
        <w:rPr>
          <w:rStyle w:val="FootnoteReference"/>
          <w:rFonts w:asciiTheme="majorBidi" w:hAnsiTheme="majorBidi" w:cstheme="majorBidi"/>
          <w:sz w:val="20"/>
          <w:szCs w:val="20"/>
        </w:rPr>
        <w:footnoteRef/>
      </w:r>
      <w:r w:rsidRPr="00380AE4">
        <w:rPr>
          <w:rFonts w:asciiTheme="majorBidi" w:hAnsiTheme="majorBidi" w:cstheme="majorBidi"/>
          <w:sz w:val="20"/>
          <w:szCs w:val="20"/>
          <w:lang w:val="fr-BE"/>
        </w:rPr>
        <w:t xml:space="preserve"> </w:t>
      </w:r>
      <w:hyperlink r:id="rId13" w:tooltip="Search for Little, D. C." w:history="1">
        <w:r w:rsidRPr="009D551E">
          <w:rPr>
            <w:rFonts w:asciiTheme="majorBidi" w:hAnsiTheme="majorBidi" w:cstheme="majorBidi"/>
            <w:sz w:val="20"/>
            <w:szCs w:val="20"/>
            <w:shd w:val="clear" w:color="auto" w:fill="FFFFFF"/>
            <w:lang w:val="de-DE"/>
          </w:rPr>
          <w:t xml:space="preserve">Little, D. </w:t>
        </w:r>
        <w:r w:rsidRPr="009D551E">
          <w:rPr>
            <w:rFonts w:asciiTheme="majorBidi" w:hAnsiTheme="majorBidi" w:cstheme="majorBidi"/>
            <w:sz w:val="20"/>
            <w:szCs w:val="20"/>
            <w:shd w:val="clear" w:color="auto" w:fill="FFFFFF"/>
            <w:lang w:val="de-DE"/>
          </w:rPr>
          <w:t>C.</w:t>
        </w:r>
      </w:hyperlink>
      <w:r w:rsidRPr="009D551E">
        <w:rPr>
          <w:rFonts w:asciiTheme="majorBidi" w:hAnsiTheme="majorBidi" w:cstheme="majorBidi"/>
          <w:sz w:val="20"/>
          <w:szCs w:val="20"/>
          <w:shd w:val="clear" w:color="auto" w:fill="FFFFFF"/>
          <w:lang w:val="de-DE"/>
        </w:rPr>
        <w:t>, </w:t>
      </w:r>
      <w:proofErr w:type="gramStart"/>
      <w:r w:rsidRPr="00380AE4">
        <w:rPr>
          <w:rFonts w:asciiTheme="majorBidi" w:hAnsiTheme="majorBidi" w:cstheme="majorBidi"/>
          <w:sz w:val="20"/>
          <w:szCs w:val="20"/>
          <w:lang w:val="fr-BE"/>
        </w:rPr>
        <w:t>et</w:t>
      </w:r>
      <w:proofErr w:type="gramEnd"/>
      <w:r w:rsidRPr="00380AE4">
        <w:rPr>
          <w:rFonts w:asciiTheme="majorBidi" w:hAnsiTheme="majorBidi" w:cstheme="majorBidi"/>
          <w:sz w:val="20"/>
          <w:szCs w:val="20"/>
          <w:lang w:val="fr-BE"/>
        </w:rPr>
        <w:t xml:space="preserve"> al</w:t>
      </w:r>
      <w:r w:rsidRPr="009D551E">
        <w:rPr>
          <w:rFonts w:asciiTheme="majorBidi" w:hAnsiTheme="majorBidi" w:cstheme="majorBidi"/>
          <w:sz w:val="20"/>
          <w:szCs w:val="20"/>
          <w:shd w:val="clear" w:color="auto" w:fill="FFFFFF"/>
          <w:lang w:val="de-DE"/>
        </w:rPr>
        <w:t xml:space="preserve"> (2016). Aquaculture: a rapidly growing and significant source of sustainable food? Status, transitions and potential. </w:t>
      </w:r>
      <w:hyperlink r:id="rId14" w:tooltip="Search for Proceedings of the Nutrition Society" w:history="1">
        <w:r w:rsidRPr="009D551E">
          <w:rPr>
            <w:rFonts w:asciiTheme="majorBidi" w:hAnsiTheme="majorBidi" w:cstheme="majorBidi"/>
            <w:sz w:val="20"/>
            <w:szCs w:val="20"/>
            <w:shd w:val="clear" w:color="auto" w:fill="FFFFFF"/>
            <w:lang w:val="de-DE"/>
          </w:rPr>
          <w:t>Proceedings of the Nutrition Society</w:t>
        </w:r>
      </w:hyperlink>
      <w:r w:rsidRPr="009D551E">
        <w:rPr>
          <w:rFonts w:asciiTheme="majorBidi" w:hAnsiTheme="majorBidi" w:cstheme="majorBidi"/>
          <w:sz w:val="20"/>
          <w:szCs w:val="20"/>
          <w:shd w:val="clear" w:color="auto" w:fill="FFFFFF"/>
          <w:lang w:val="de-DE"/>
        </w:rPr>
        <w:t> (PROC NUTR SOC), 75(3), 274-286</w:t>
      </w:r>
    </w:p>
  </w:footnote>
  <w:footnote w:id="119">
    <w:p w:rsidR="00071EBB" w:rsidRPr="009D551E" w:rsidRDefault="00071EBB" w:rsidP="009D551E">
      <w:pPr>
        <w:pStyle w:val="Default"/>
        <w:rPr>
          <w:rFonts w:asciiTheme="majorBidi" w:hAnsiTheme="majorBidi" w:cstheme="majorBidi"/>
          <w:color w:val="auto"/>
          <w:sz w:val="20"/>
          <w:szCs w:val="20"/>
          <w:shd w:val="clear" w:color="auto" w:fill="FFFFFF"/>
          <w:lang w:val="de-DE"/>
        </w:rPr>
      </w:pPr>
      <w:r w:rsidRPr="00F130D0">
        <w:rPr>
          <w:rStyle w:val="FootnoteReference"/>
          <w:rFonts w:asciiTheme="majorBidi" w:hAnsiTheme="majorBidi" w:cstheme="majorBidi"/>
          <w:color w:val="auto"/>
          <w:sz w:val="20"/>
          <w:szCs w:val="20"/>
          <w:lang w:val="en-GB"/>
        </w:rPr>
        <w:footnoteRef/>
      </w:r>
      <w:r w:rsidRPr="009D551E">
        <w:rPr>
          <w:rFonts w:asciiTheme="majorBidi" w:hAnsiTheme="majorBidi" w:cstheme="majorBidi"/>
          <w:color w:val="auto"/>
          <w:sz w:val="20"/>
          <w:szCs w:val="20"/>
        </w:rPr>
        <w:t xml:space="preserve"> </w:t>
      </w:r>
      <w:r w:rsidRPr="009D551E">
        <w:rPr>
          <w:rFonts w:asciiTheme="majorBidi" w:hAnsiTheme="majorBidi" w:cstheme="majorBidi"/>
          <w:color w:val="auto"/>
          <w:sz w:val="20"/>
          <w:szCs w:val="20"/>
          <w:shd w:val="clear" w:color="auto" w:fill="FFFFFF"/>
          <w:lang w:val="de-DE"/>
        </w:rPr>
        <w:t xml:space="preserve">Ottinger, M., </w:t>
      </w:r>
      <w:r w:rsidRPr="009D551E">
        <w:rPr>
          <w:rFonts w:asciiTheme="majorBidi" w:hAnsiTheme="majorBidi" w:cstheme="majorBidi"/>
          <w:color w:val="auto"/>
          <w:sz w:val="20"/>
          <w:szCs w:val="20"/>
        </w:rPr>
        <w:t>et al</w:t>
      </w:r>
      <w:r w:rsidRPr="009D551E">
        <w:rPr>
          <w:rFonts w:asciiTheme="majorBidi" w:hAnsiTheme="majorBidi" w:cstheme="majorBidi"/>
          <w:color w:val="auto"/>
          <w:sz w:val="20"/>
          <w:szCs w:val="20"/>
          <w:shd w:val="clear" w:color="auto" w:fill="FFFFFF"/>
          <w:lang w:val="de-DE"/>
        </w:rPr>
        <w:t xml:space="preserve"> (2016). Aquaculture: Relevance, distribution, impacts and spatial assessments - A review. Ocean and Coastal Management, 119, p244.</w:t>
      </w:r>
    </w:p>
  </w:footnote>
  <w:footnote w:id="120">
    <w:p w:rsidR="00071EBB" w:rsidRPr="009D551E" w:rsidRDefault="00071EBB" w:rsidP="009D551E">
      <w:pPr>
        <w:pStyle w:val="FootnoteText"/>
        <w:ind w:firstLine="0"/>
        <w:jc w:val="left"/>
        <w:rPr>
          <w:rFonts w:asciiTheme="majorBidi" w:hAnsiTheme="majorBidi" w:cstheme="majorBidi"/>
          <w:sz w:val="20"/>
          <w:szCs w:val="20"/>
          <w:lang w:val="en-US"/>
        </w:rPr>
      </w:pPr>
      <w:r w:rsidRPr="00F130D0">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Chen, Y., et al (2014). The influence of polarimetric parameters and an object-based approach on land cover classification in coastal wetlands. Remote Sens. 6, 12575-12592</w:t>
      </w:r>
    </w:p>
  </w:footnote>
  <w:footnote w:id="121">
    <w:p w:rsidR="00071EBB" w:rsidRPr="009D551E" w:rsidRDefault="00071EBB" w:rsidP="009D551E">
      <w:pPr>
        <w:pStyle w:val="FootnoteText"/>
        <w:ind w:firstLine="0"/>
        <w:jc w:val="left"/>
        <w:rPr>
          <w:rFonts w:asciiTheme="majorBidi" w:hAnsiTheme="majorBidi" w:cstheme="majorBidi"/>
          <w:sz w:val="20"/>
          <w:szCs w:val="20"/>
          <w:lang w:val="en-US"/>
        </w:rPr>
      </w:pPr>
      <w:r w:rsidRPr="00F130D0">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Rico, A., and Van den Brink, P.J., (2014). Probabilistic risk assessment of veterinary medicines applied to four major aquaculture species produced in Asia. Sci. Total Environ. 468-469, 630-641.</w:t>
      </w:r>
    </w:p>
  </w:footnote>
  <w:footnote w:id="122">
    <w:p w:rsidR="00071EBB" w:rsidRPr="009D551E" w:rsidRDefault="00071EBB" w:rsidP="009D551E">
      <w:pPr>
        <w:jc w:val="left"/>
        <w:rPr>
          <w:rFonts w:asciiTheme="majorBidi" w:hAnsiTheme="majorBidi" w:cstheme="majorBidi"/>
          <w:i/>
          <w:iCs/>
          <w:sz w:val="20"/>
          <w:szCs w:val="20"/>
        </w:rPr>
      </w:pPr>
      <w:r w:rsidRPr="00F130D0">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FiBL</w:t>
      </w:r>
      <w:proofErr w:type="spellEnd"/>
      <w:r w:rsidRPr="009D551E">
        <w:rPr>
          <w:rFonts w:asciiTheme="majorBidi" w:hAnsiTheme="majorBidi" w:cstheme="majorBidi"/>
          <w:sz w:val="20"/>
          <w:szCs w:val="20"/>
        </w:rPr>
        <w:t xml:space="preserve">, Data collection on organic agriculture world-wide </w:t>
      </w:r>
      <w:hyperlink r:id="rId15" w:history="1">
        <w:r w:rsidRPr="009D551E">
          <w:rPr>
            <w:rStyle w:val="Hyperlink"/>
            <w:rFonts w:asciiTheme="majorBidi" w:hAnsiTheme="majorBidi" w:cstheme="majorBidi"/>
            <w:sz w:val="20"/>
            <w:szCs w:val="20"/>
          </w:rPr>
          <w:t>http://www.organic-world.net/statistics/statistics-data-collection.html</w:t>
        </w:r>
      </w:hyperlink>
    </w:p>
    <w:p w:rsidR="00071EBB" w:rsidRPr="009D551E" w:rsidRDefault="00071EBB" w:rsidP="009D551E">
      <w:pPr>
        <w:pStyle w:val="FootnoteText"/>
        <w:ind w:firstLine="0"/>
        <w:jc w:val="left"/>
        <w:rPr>
          <w:rFonts w:asciiTheme="majorBidi" w:hAnsiTheme="majorBidi" w:cstheme="majorBidi"/>
          <w:sz w:val="20"/>
          <w:szCs w:val="20"/>
        </w:rPr>
      </w:pPr>
      <w:r w:rsidRPr="009D551E">
        <w:rPr>
          <w:rFonts w:asciiTheme="majorBidi" w:hAnsiTheme="majorBidi" w:cstheme="majorBidi"/>
          <w:sz w:val="20"/>
          <w:szCs w:val="20"/>
        </w:rPr>
        <w:t xml:space="preserve">Willer, H. and </w:t>
      </w:r>
      <w:proofErr w:type="spellStart"/>
      <w:r w:rsidRPr="009D551E">
        <w:rPr>
          <w:rFonts w:asciiTheme="majorBidi" w:hAnsiTheme="majorBidi" w:cstheme="majorBidi"/>
          <w:sz w:val="20"/>
          <w:szCs w:val="20"/>
        </w:rPr>
        <w:t>Lernoud</w:t>
      </w:r>
      <w:proofErr w:type="spellEnd"/>
      <w:r w:rsidRPr="009D551E">
        <w:rPr>
          <w:rFonts w:asciiTheme="majorBidi" w:hAnsiTheme="majorBidi" w:cstheme="majorBidi"/>
          <w:sz w:val="20"/>
          <w:szCs w:val="20"/>
        </w:rPr>
        <w:t>, J., 2017. The world of organic agriculture. Statistics and emerging trends 2017. Research Institute of Organic Agriculture (</w:t>
      </w:r>
      <w:proofErr w:type="spellStart"/>
      <w:r w:rsidRPr="009D551E">
        <w:rPr>
          <w:rFonts w:asciiTheme="majorBidi" w:hAnsiTheme="majorBidi" w:cstheme="majorBidi"/>
          <w:sz w:val="20"/>
          <w:szCs w:val="20"/>
        </w:rPr>
        <w:t>FiBL</w:t>
      </w:r>
      <w:proofErr w:type="spellEnd"/>
      <w:r w:rsidRPr="009D551E">
        <w:rPr>
          <w:rFonts w:asciiTheme="majorBidi" w:hAnsiTheme="majorBidi" w:cstheme="majorBidi"/>
          <w:sz w:val="20"/>
          <w:szCs w:val="20"/>
        </w:rPr>
        <w:t>) and IFOAM Organics International, Bonn</w:t>
      </w:r>
    </w:p>
  </w:footnote>
  <w:footnote w:id="123">
    <w:p w:rsidR="00071EBB" w:rsidRPr="009D551E" w:rsidRDefault="00071EBB" w:rsidP="009D551E">
      <w:pPr>
        <w:jc w:val="left"/>
        <w:rPr>
          <w:rFonts w:asciiTheme="majorBidi" w:hAnsiTheme="majorBidi" w:cstheme="majorBidi"/>
          <w:sz w:val="20"/>
          <w:szCs w:val="20"/>
        </w:rPr>
      </w:pPr>
      <w:r w:rsidRPr="00F130D0">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hyperlink r:id="rId16" w:history="1">
        <w:r w:rsidRPr="009D551E">
          <w:rPr>
            <w:rStyle w:val="Hyperlink"/>
            <w:rFonts w:asciiTheme="majorBidi" w:eastAsia="Calibri" w:hAnsiTheme="majorBidi" w:cstheme="majorBidi"/>
            <w:sz w:val="20"/>
            <w:szCs w:val="20"/>
          </w:rPr>
          <w:t>https://www.bipindicators.net/indicators/area-of-forest-under-sustainable-management-certification</w:t>
        </w:r>
      </w:hyperlink>
      <w:r w:rsidRPr="009D551E">
        <w:rPr>
          <w:rStyle w:val="Hyperlink"/>
          <w:rFonts w:asciiTheme="majorBidi" w:eastAsia="Calibri" w:hAnsiTheme="majorBidi" w:cstheme="majorBidi"/>
          <w:sz w:val="20"/>
          <w:szCs w:val="20"/>
        </w:rPr>
        <w:t xml:space="preserve">, </w:t>
      </w:r>
      <w:hyperlink r:id="rId17" w:history="1">
        <w:r w:rsidRPr="009D551E">
          <w:rPr>
            <w:rStyle w:val="Hyperlink"/>
            <w:rFonts w:asciiTheme="majorBidi" w:eastAsia="Calibri" w:hAnsiTheme="majorBidi" w:cstheme="majorBidi"/>
            <w:sz w:val="20"/>
            <w:szCs w:val="20"/>
          </w:rPr>
          <w:t>https://info.fsc.org/</w:t>
        </w:r>
      </w:hyperlink>
      <w:r w:rsidRPr="009D551E">
        <w:rPr>
          <w:rStyle w:val="Hyperlink"/>
          <w:rFonts w:asciiTheme="majorBidi" w:eastAsia="Calibri" w:hAnsiTheme="majorBidi" w:cstheme="majorBidi"/>
          <w:sz w:val="20"/>
          <w:szCs w:val="20"/>
        </w:rPr>
        <w:t xml:space="preserve">, </w:t>
      </w:r>
      <w:hyperlink r:id="rId18" w:history="1">
        <w:r w:rsidRPr="009D551E">
          <w:rPr>
            <w:rStyle w:val="Hyperlink"/>
            <w:rFonts w:asciiTheme="majorBidi" w:eastAsia="Calibri" w:hAnsiTheme="majorBidi" w:cstheme="majorBidi"/>
            <w:sz w:val="20"/>
            <w:szCs w:val="20"/>
          </w:rPr>
          <w:t>http://www.pefc.co.uk/</w:t>
        </w:r>
      </w:hyperlink>
      <w:r w:rsidRPr="009D551E">
        <w:rPr>
          <w:rFonts w:asciiTheme="majorBidi" w:eastAsia="Calibri" w:hAnsiTheme="majorBidi" w:cstheme="majorBidi"/>
          <w:sz w:val="20"/>
          <w:szCs w:val="20"/>
        </w:rPr>
        <w:t xml:space="preserve">  </w:t>
      </w:r>
    </w:p>
  </w:footnote>
  <w:footnote w:id="124">
    <w:p w:rsidR="00071EBB" w:rsidRPr="009D551E" w:rsidRDefault="00071EBB" w:rsidP="009D551E">
      <w:pPr>
        <w:pStyle w:val="FootnoteText"/>
        <w:ind w:firstLine="0"/>
        <w:jc w:val="left"/>
        <w:rPr>
          <w:rFonts w:asciiTheme="majorBidi" w:hAnsiTheme="majorBidi" w:cstheme="majorBidi"/>
          <w:sz w:val="20"/>
          <w:szCs w:val="20"/>
          <w:lang w:val="en-US"/>
        </w:rPr>
      </w:pPr>
      <w:r w:rsidRPr="00F130D0">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z w:val="20"/>
          <w:szCs w:val="20"/>
          <w:shd w:val="clear" w:color="auto" w:fill="FFFFFF"/>
        </w:rPr>
        <w:t xml:space="preserve">Zhang, X., et </w:t>
      </w:r>
      <w:proofErr w:type="gramStart"/>
      <w:r w:rsidRPr="009D551E">
        <w:rPr>
          <w:rFonts w:asciiTheme="majorBidi" w:hAnsiTheme="majorBidi" w:cstheme="majorBidi"/>
          <w:sz w:val="20"/>
          <w:szCs w:val="20"/>
          <w:shd w:val="clear" w:color="auto" w:fill="FFFFFF"/>
        </w:rPr>
        <w:t>al  (</w:t>
      </w:r>
      <w:proofErr w:type="gramEnd"/>
      <w:r w:rsidRPr="009D551E">
        <w:rPr>
          <w:rFonts w:asciiTheme="majorBidi" w:hAnsiTheme="majorBidi" w:cstheme="majorBidi"/>
          <w:sz w:val="20"/>
          <w:szCs w:val="20"/>
          <w:shd w:val="clear" w:color="auto" w:fill="FFFFFF"/>
        </w:rPr>
        <w:t>2015). Managing nitrogen for sustainable development. </w:t>
      </w:r>
      <w:r w:rsidRPr="009D551E">
        <w:rPr>
          <w:rFonts w:asciiTheme="majorBidi" w:hAnsiTheme="majorBidi" w:cstheme="majorBidi"/>
          <w:i/>
          <w:iCs/>
          <w:sz w:val="20"/>
          <w:szCs w:val="20"/>
          <w:shd w:val="clear" w:color="auto" w:fill="FFFFFF"/>
        </w:rPr>
        <w:t>Nature</w:t>
      </w:r>
      <w:r w:rsidRPr="009D551E">
        <w:rPr>
          <w:rFonts w:asciiTheme="majorBidi" w:hAnsiTheme="majorBidi" w:cstheme="majorBidi"/>
          <w:sz w:val="20"/>
          <w:szCs w:val="20"/>
          <w:shd w:val="clear" w:color="auto" w:fill="FFFFFF"/>
        </w:rPr>
        <w:t>, </w:t>
      </w:r>
      <w:r w:rsidRPr="009D551E">
        <w:rPr>
          <w:rFonts w:asciiTheme="majorBidi" w:hAnsiTheme="majorBidi" w:cstheme="majorBidi"/>
          <w:i/>
          <w:iCs/>
          <w:sz w:val="20"/>
          <w:szCs w:val="20"/>
          <w:shd w:val="clear" w:color="auto" w:fill="FFFFFF"/>
        </w:rPr>
        <w:t>528</w:t>
      </w:r>
      <w:r w:rsidRPr="009D551E">
        <w:rPr>
          <w:rFonts w:asciiTheme="majorBidi" w:hAnsiTheme="majorBidi" w:cstheme="majorBidi"/>
          <w:sz w:val="20"/>
          <w:szCs w:val="20"/>
          <w:shd w:val="clear" w:color="auto" w:fill="FFFFFF"/>
        </w:rPr>
        <w:t>(7580), pp.51-59.</w:t>
      </w:r>
    </w:p>
  </w:footnote>
  <w:footnote w:id="125">
    <w:p w:rsidR="00071EBB" w:rsidRPr="009D551E" w:rsidRDefault="00071EBB" w:rsidP="009D551E">
      <w:pPr>
        <w:jc w:val="left"/>
        <w:rPr>
          <w:rFonts w:asciiTheme="majorBidi" w:hAnsiTheme="majorBidi" w:cstheme="majorBidi"/>
          <w:sz w:val="20"/>
          <w:szCs w:val="20"/>
          <w:lang w:val="en-US"/>
        </w:rPr>
      </w:pPr>
      <w:r w:rsidRPr="00562243">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Bodirsky</w:t>
      </w:r>
      <w:proofErr w:type="spellEnd"/>
      <w:r w:rsidRPr="009D551E">
        <w:rPr>
          <w:rFonts w:asciiTheme="majorBidi" w:hAnsiTheme="majorBidi" w:cstheme="majorBidi"/>
          <w:sz w:val="20"/>
          <w:szCs w:val="20"/>
          <w:lang w:val="en-US"/>
        </w:rPr>
        <w:t xml:space="preserve">, B. L., et al (2014). </w:t>
      </w:r>
      <w:r w:rsidRPr="009D551E">
        <w:rPr>
          <w:rFonts w:asciiTheme="majorBidi" w:hAnsiTheme="majorBidi" w:cstheme="majorBidi"/>
          <w:sz w:val="20"/>
          <w:szCs w:val="20"/>
        </w:rPr>
        <w:t>Reactive nitrogen requirements to feed the world in 2050 and potential to mitigate nitrogen pollution. Nature Communications, 5, 3858.</w:t>
      </w:r>
    </w:p>
  </w:footnote>
  <w:footnote w:id="126">
    <w:p w:rsidR="00071EBB" w:rsidRPr="009D551E" w:rsidRDefault="00071EBB" w:rsidP="009D551E">
      <w:pPr>
        <w:jc w:val="left"/>
        <w:rPr>
          <w:rFonts w:asciiTheme="majorBidi" w:hAnsiTheme="majorBidi" w:cstheme="majorBidi"/>
          <w:sz w:val="20"/>
          <w:szCs w:val="20"/>
        </w:rPr>
      </w:pPr>
      <w:r w:rsidRPr="00562243">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Lassaletta</w:t>
      </w:r>
      <w:proofErr w:type="spellEnd"/>
      <w:r w:rsidRPr="009D551E">
        <w:rPr>
          <w:rFonts w:asciiTheme="majorBidi" w:hAnsiTheme="majorBidi" w:cstheme="majorBidi"/>
          <w:sz w:val="20"/>
          <w:szCs w:val="20"/>
        </w:rPr>
        <w:t>, L, et al (2014). 50 year trends in N use efficiency of world cropping systems: the relationship between yield and N input to cropland. Environmental Research Letters, 9(10), 105011.</w:t>
      </w:r>
    </w:p>
  </w:footnote>
  <w:footnote w:id="127">
    <w:p w:rsidR="00071EBB" w:rsidRPr="009D551E" w:rsidRDefault="00071EBB" w:rsidP="009D551E">
      <w:pPr>
        <w:jc w:val="left"/>
        <w:rPr>
          <w:rFonts w:asciiTheme="majorBidi" w:hAnsiTheme="majorBidi" w:cstheme="majorBidi"/>
          <w:sz w:val="20"/>
          <w:szCs w:val="20"/>
        </w:rPr>
      </w:pPr>
      <w:r w:rsidRPr="00562243">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Suwarno</w:t>
      </w:r>
      <w:proofErr w:type="spellEnd"/>
      <w:r w:rsidRPr="009D551E">
        <w:rPr>
          <w:rFonts w:asciiTheme="majorBidi" w:hAnsiTheme="majorBidi" w:cstheme="majorBidi"/>
          <w:sz w:val="20"/>
          <w:szCs w:val="20"/>
        </w:rPr>
        <w:t>, D., et al (2014). The effects of dams in rivers on N and P export to the coastal waters in Indonesia in the future. Sustainability of Water Quality and Ecology, 3, 55-66.</w:t>
      </w:r>
    </w:p>
    <w:p w:rsidR="00071EBB" w:rsidRPr="009D551E" w:rsidRDefault="00071EBB" w:rsidP="009D551E">
      <w:pPr>
        <w:jc w:val="left"/>
        <w:rPr>
          <w:rFonts w:asciiTheme="majorBidi" w:hAnsiTheme="majorBidi" w:cstheme="majorBidi"/>
          <w:sz w:val="20"/>
          <w:szCs w:val="20"/>
        </w:rPr>
      </w:pPr>
      <w:proofErr w:type="spellStart"/>
      <w:r w:rsidRPr="009D551E">
        <w:rPr>
          <w:rFonts w:asciiTheme="majorBidi" w:hAnsiTheme="majorBidi" w:cstheme="majorBidi"/>
          <w:sz w:val="20"/>
          <w:szCs w:val="20"/>
        </w:rPr>
        <w:t>Maavara</w:t>
      </w:r>
      <w:proofErr w:type="spellEnd"/>
      <w:r w:rsidRPr="009D551E">
        <w:rPr>
          <w:rFonts w:asciiTheme="majorBidi" w:hAnsiTheme="majorBidi" w:cstheme="majorBidi"/>
          <w:sz w:val="20"/>
          <w:szCs w:val="20"/>
        </w:rPr>
        <w:t xml:space="preserve">, T., et al (2015). Global phosphorus retention by river damming. Proceedings of the National Academy of Sciences, 112(51), 15603-15608. </w:t>
      </w:r>
    </w:p>
    <w:p w:rsidR="00071EBB" w:rsidRPr="009D551E" w:rsidRDefault="00071EBB" w:rsidP="009D551E">
      <w:pPr>
        <w:jc w:val="left"/>
        <w:rPr>
          <w:rFonts w:asciiTheme="majorBidi" w:hAnsiTheme="majorBidi" w:cstheme="majorBidi"/>
          <w:sz w:val="20"/>
          <w:szCs w:val="20"/>
        </w:rPr>
      </w:pPr>
      <w:r w:rsidRPr="00380AE4">
        <w:rPr>
          <w:rFonts w:asciiTheme="majorBidi" w:hAnsiTheme="majorBidi" w:cstheme="majorBidi"/>
          <w:sz w:val="20"/>
          <w:szCs w:val="20"/>
          <w:lang w:val="fr-BE"/>
        </w:rPr>
        <w:t>B</w:t>
      </w:r>
      <w:r w:rsidRPr="00CE6112">
        <w:rPr>
          <w:rFonts w:asciiTheme="majorBidi" w:hAnsiTheme="majorBidi" w:cstheme="majorBidi"/>
          <w:sz w:val="20"/>
          <w:szCs w:val="20"/>
          <w:lang w:val="fr-BE"/>
        </w:rPr>
        <w:t xml:space="preserve">eusen, A. H. W., et al (2015). </w:t>
      </w:r>
      <w:r w:rsidRPr="009D551E">
        <w:rPr>
          <w:rFonts w:asciiTheme="majorBidi" w:hAnsiTheme="majorBidi" w:cstheme="majorBidi"/>
          <w:sz w:val="20"/>
          <w:szCs w:val="20"/>
        </w:rPr>
        <w:t xml:space="preserve">Coupling global models for hydrology and nutrient loading to simulate nitrogen and phosphorus retention in surface water–description of IMAGE–GNM and analysis of performance. Geoscientific Model Development, 8(12), 4045-4067. </w:t>
      </w:r>
    </w:p>
  </w:footnote>
  <w:footnote w:id="128">
    <w:p w:rsidR="00071EBB" w:rsidRPr="009D551E" w:rsidRDefault="00071EBB" w:rsidP="009D551E">
      <w:pPr>
        <w:pStyle w:val="FootnoteText"/>
        <w:ind w:firstLine="0"/>
        <w:jc w:val="left"/>
        <w:rPr>
          <w:rFonts w:asciiTheme="majorBidi" w:hAnsiTheme="majorBidi" w:cstheme="majorBidi"/>
          <w:sz w:val="20"/>
          <w:szCs w:val="20"/>
        </w:rPr>
      </w:pPr>
      <w:r w:rsidRPr="00562243">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Ding, X. W., et al (2014). Effects of ecological factors and human activities on nonpoint source pollution in the upper reach of the Yangtze River and its management strategies. Hydrology and Earth System Sciences Discussions, 11(1), 691-721</w:t>
      </w:r>
    </w:p>
    <w:p w:rsidR="00071EBB" w:rsidRPr="009D551E" w:rsidRDefault="00071EBB" w:rsidP="009D551E">
      <w:pPr>
        <w:jc w:val="left"/>
        <w:rPr>
          <w:rFonts w:asciiTheme="majorBidi" w:hAnsiTheme="majorBidi" w:cstheme="majorBidi"/>
          <w:sz w:val="20"/>
          <w:szCs w:val="20"/>
        </w:rPr>
      </w:pPr>
      <w:r w:rsidRPr="009D551E">
        <w:rPr>
          <w:rFonts w:asciiTheme="majorBidi" w:hAnsiTheme="majorBidi" w:cstheme="majorBidi"/>
          <w:sz w:val="20"/>
          <w:szCs w:val="20"/>
        </w:rPr>
        <w:t xml:space="preserve">Li, H. M., et al (2014). Increased nutrient loads from the </w:t>
      </w:r>
      <w:proofErr w:type="spellStart"/>
      <w:r w:rsidRPr="009D551E">
        <w:rPr>
          <w:rFonts w:asciiTheme="majorBidi" w:hAnsiTheme="majorBidi" w:cstheme="majorBidi"/>
          <w:sz w:val="20"/>
          <w:szCs w:val="20"/>
        </w:rPr>
        <w:t>Changjiang</w:t>
      </w:r>
      <w:proofErr w:type="spellEnd"/>
      <w:r w:rsidRPr="009D551E">
        <w:rPr>
          <w:rFonts w:asciiTheme="majorBidi" w:hAnsiTheme="majorBidi" w:cstheme="majorBidi"/>
          <w:sz w:val="20"/>
          <w:szCs w:val="20"/>
        </w:rPr>
        <w:t xml:space="preserve"> (Yangtze) River have led to increased Harmful Algal Blooms. Harmful Algae, 39, 92-101.</w:t>
      </w:r>
    </w:p>
  </w:footnote>
  <w:footnote w:id="129">
    <w:p w:rsidR="00071EBB" w:rsidRPr="009D551E" w:rsidRDefault="00071EBB" w:rsidP="009D551E">
      <w:pPr>
        <w:pStyle w:val="FootnoteText"/>
        <w:ind w:firstLine="0"/>
        <w:jc w:val="left"/>
        <w:rPr>
          <w:rFonts w:asciiTheme="majorBidi" w:hAnsiTheme="majorBidi" w:cstheme="majorBidi"/>
          <w:sz w:val="20"/>
          <w:szCs w:val="20"/>
        </w:rPr>
      </w:pPr>
      <w:r w:rsidRPr="00562243">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Wang, J., et al (2015). </w:t>
      </w:r>
      <w:proofErr w:type="spellStart"/>
      <w:r w:rsidRPr="009D551E">
        <w:rPr>
          <w:rFonts w:asciiTheme="majorBidi" w:hAnsiTheme="majorBidi" w:cstheme="majorBidi"/>
          <w:sz w:val="20"/>
          <w:szCs w:val="20"/>
        </w:rPr>
        <w:t>Modeled</w:t>
      </w:r>
      <w:proofErr w:type="spellEnd"/>
      <w:r w:rsidRPr="009D551E">
        <w:rPr>
          <w:rFonts w:asciiTheme="majorBidi" w:hAnsiTheme="majorBidi" w:cstheme="majorBidi"/>
          <w:sz w:val="20"/>
          <w:szCs w:val="20"/>
        </w:rPr>
        <w:t xml:space="preserve"> long-term changes of DIN: DIP ratio in the </w:t>
      </w:r>
      <w:proofErr w:type="spellStart"/>
      <w:r w:rsidRPr="009D551E">
        <w:rPr>
          <w:rFonts w:asciiTheme="majorBidi" w:hAnsiTheme="majorBidi" w:cstheme="majorBidi"/>
          <w:sz w:val="20"/>
          <w:szCs w:val="20"/>
        </w:rPr>
        <w:t>Changjiang</w:t>
      </w:r>
      <w:proofErr w:type="spellEnd"/>
      <w:r w:rsidRPr="009D551E">
        <w:rPr>
          <w:rFonts w:asciiTheme="majorBidi" w:hAnsiTheme="majorBidi" w:cstheme="majorBidi"/>
          <w:sz w:val="20"/>
          <w:szCs w:val="20"/>
        </w:rPr>
        <w:t xml:space="preserve"> River in relation to </w:t>
      </w:r>
      <w:proofErr w:type="spellStart"/>
      <w:r w:rsidRPr="009D551E">
        <w:rPr>
          <w:rFonts w:asciiTheme="majorBidi" w:hAnsiTheme="majorBidi" w:cstheme="majorBidi"/>
          <w:sz w:val="20"/>
          <w:szCs w:val="20"/>
        </w:rPr>
        <w:t>Chl</w:t>
      </w:r>
      <w:proofErr w:type="spellEnd"/>
      <w:r w:rsidRPr="009D551E">
        <w:rPr>
          <w:rFonts w:asciiTheme="majorBidi" w:hAnsiTheme="majorBidi" w:cstheme="majorBidi"/>
          <w:sz w:val="20"/>
          <w:szCs w:val="20"/>
        </w:rPr>
        <w:t>-α and DO concentrations in adjacent estuary. Estuarine, Coastal and Shelf Science, 166, 153-160.</w:t>
      </w:r>
    </w:p>
    <w:p w:rsidR="00071EBB" w:rsidRPr="009D551E" w:rsidRDefault="00071EBB" w:rsidP="009D551E">
      <w:pPr>
        <w:jc w:val="left"/>
        <w:rPr>
          <w:rFonts w:asciiTheme="majorBidi" w:hAnsiTheme="majorBidi" w:cstheme="majorBidi"/>
          <w:sz w:val="20"/>
          <w:szCs w:val="20"/>
        </w:rPr>
      </w:pPr>
      <w:r w:rsidRPr="009D551E">
        <w:rPr>
          <w:rFonts w:asciiTheme="majorBidi" w:hAnsiTheme="majorBidi" w:cstheme="majorBidi"/>
          <w:sz w:val="20"/>
          <w:szCs w:val="20"/>
        </w:rPr>
        <w:t xml:space="preserve">Wang, H., et al (2016). Eutrophication-driven hypoxia in the East China Sea off the </w:t>
      </w:r>
      <w:proofErr w:type="spellStart"/>
      <w:r w:rsidRPr="009D551E">
        <w:rPr>
          <w:rFonts w:asciiTheme="majorBidi" w:hAnsiTheme="majorBidi" w:cstheme="majorBidi"/>
          <w:sz w:val="20"/>
          <w:szCs w:val="20"/>
        </w:rPr>
        <w:t>Changjiang</w:t>
      </w:r>
      <w:proofErr w:type="spellEnd"/>
      <w:r w:rsidRPr="009D551E">
        <w:rPr>
          <w:rFonts w:asciiTheme="majorBidi" w:hAnsiTheme="majorBidi" w:cstheme="majorBidi"/>
          <w:sz w:val="20"/>
          <w:szCs w:val="20"/>
        </w:rPr>
        <w:t xml:space="preserve"> Estuary. Environmental Science and Technology, 50(5), 2255-2263.</w:t>
      </w:r>
    </w:p>
  </w:footnote>
  <w:footnote w:id="130">
    <w:p w:rsidR="00071EBB" w:rsidRPr="009D551E" w:rsidRDefault="00071EBB" w:rsidP="009D551E">
      <w:pPr>
        <w:pStyle w:val="FootnoteText"/>
        <w:ind w:firstLine="0"/>
        <w:jc w:val="left"/>
        <w:rPr>
          <w:rFonts w:asciiTheme="majorBidi" w:hAnsiTheme="majorBidi" w:cstheme="majorBidi"/>
          <w:sz w:val="20"/>
          <w:szCs w:val="20"/>
          <w:lang w:val="en-US"/>
        </w:rPr>
      </w:pPr>
      <w:r w:rsidRPr="00562243">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Strokal</w:t>
      </w:r>
      <w:proofErr w:type="spellEnd"/>
      <w:r w:rsidRPr="009D551E">
        <w:rPr>
          <w:rFonts w:asciiTheme="majorBidi" w:hAnsiTheme="majorBidi" w:cstheme="majorBidi"/>
          <w:sz w:val="20"/>
          <w:szCs w:val="20"/>
        </w:rPr>
        <w:t>, M., et al (2015). Increasing dissolved nitrogen and phosphorus export by the Pearl River (</w:t>
      </w:r>
      <w:proofErr w:type="spellStart"/>
      <w:r w:rsidRPr="009D551E">
        <w:rPr>
          <w:rFonts w:asciiTheme="majorBidi" w:hAnsiTheme="majorBidi" w:cstheme="majorBidi"/>
          <w:sz w:val="20"/>
          <w:szCs w:val="20"/>
        </w:rPr>
        <w:t>Zhujiang</w:t>
      </w:r>
      <w:proofErr w:type="spellEnd"/>
      <w:r w:rsidRPr="009D551E">
        <w:rPr>
          <w:rFonts w:asciiTheme="majorBidi" w:hAnsiTheme="majorBidi" w:cstheme="majorBidi"/>
          <w:sz w:val="20"/>
          <w:szCs w:val="20"/>
        </w:rPr>
        <w:t xml:space="preserve">): a </w:t>
      </w:r>
      <w:proofErr w:type="spellStart"/>
      <w:r w:rsidRPr="009D551E">
        <w:rPr>
          <w:rFonts w:asciiTheme="majorBidi" w:hAnsiTheme="majorBidi" w:cstheme="majorBidi"/>
          <w:sz w:val="20"/>
          <w:szCs w:val="20"/>
        </w:rPr>
        <w:t>modeling</w:t>
      </w:r>
      <w:proofErr w:type="spellEnd"/>
      <w:r w:rsidRPr="009D551E">
        <w:rPr>
          <w:rFonts w:asciiTheme="majorBidi" w:hAnsiTheme="majorBidi" w:cstheme="majorBidi"/>
          <w:sz w:val="20"/>
          <w:szCs w:val="20"/>
        </w:rPr>
        <w:t xml:space="preserve"> approach at the sub-basin scale to assess effective nutrient management. Biogeochemistry, 125(2), 221-242</w:t>
      </w:r>
    </w:p>
  </w:footnote>
  <w:footnote w:id="131">
    <w:p w:rsidR="00071EBB" w:rsidRPr="009D551E" w:rsidRDefault="00071EBB" w:rsidP="009D551E">
      <w:pPr>
        <w:pStyle w:val="FootnoteText"/>
        <w:ind w:firstLine="0"/>
        <w:jc w:val="left"/>
        <w:rPr>
          <w:rFonts w:asciiTheme="majorBidi" w:hAnsiTheme="majorBidi" w:cstheme="majorBidi"/>
          <w:sz w:val="20"/>
          <w:szCs w:val="20"/>
          <w:lang w:val="en-US"/>
        </w:rPr>
      </w:pPr>
      <w:r w:rsidRPr="00562243">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Wang, X., et al (2014). </w:t>
      </w:r>
      <w:r w:rsidRPr="009D551E">
        <w:rPr>
          <w:rFonts w:asciiTheme="majorBidi" w:hAnsiTheme="majorBidi" w:cstheme="majorBidi"/>
          <w:sz w:val="20"/>
          <w:szCs w:val="20"/>
        </w:rPr>
        <w:t xml:space="preserve">An estimation of nutrient fluxes via submarine groundwater discharge into the </w:t>
      </w:r>
      <w:proofErr w:type="spellStart"/>
      <w:r w:rsidRPr="009D551E">
        <w:rPr>
          <w:rFonts w:asciiTheme="majorBidi" w:hAnsiTheme="majorBidi" w:cstheme="majorBidi"/>
          <w:sz w:val="20"/>
          <w:szCs w:val="20"/>
        </w:rPr>
        <w:t>Sanggou</w:t>
      </w:r>
      <w:proofErr w:type="spellEnd"/>
      <w:r w:rsidRPr="009D551E">
        <w:rPr>
          <w:rFonts w:asciiTheme="majorBidi" w:hAnsiTheme="majorBidi" w:cstheme="majorBidi"/>
          <w:sz w:val="20"/>
          <w:szCs w:val="20"/>
        </w:rPr>
        <w:t xml:space="preserve"> Bay—a typical multi-species culture ecosystem in China. </w:t>
      </w:r>
      <w:r w:rsidRPr="009D551E">
        <w:rPr>
          <w:rFonts w:asciiTheme="majorBidi" w:hAnsiTheme="majorBidi" w:cstheme="majorBidi"/>
          <w:sz w:val="20"/>
          <w:szCs w:val="20"/>
          <w:lang w:val="en-US"/>
        </w:rPr>
        <w:t>Marine Chemistry, 167, 113-122.</w:t>
      </w:r>
    </w:p>
  </w:footnote>
  <w:footnote w:id="132">
    <w:p w:rsidR="00071EBB" w:rsidRPr="009D551E" w:rsidRDefault="00071EBB" w:rsidP="009D551E">
      <w:pPr>
        <w:pStyle w:val="FootnoteText"/>
        <w:ind w:firstLine="0"/>
        <w:jc w:val="left"/>
        <w:rPr>
          <w:rFonts w:asciiTheme="majorBidi" w:hAnsiTheme="majorBidi" w:cstheme="majorBidi"/>
          <w:sz w:val="20"/>
          <w:szCs w:val="20"/>
          <w:lang w:val="en-US"/>
        </w:rPr>
      </w:pPr>
      <w:r w:rsidRPr="00562243">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Filho, F. et al (2015). </w:t>
      </w:r>
      <w:r w:rsidRPr="009D551E">
        <w:rPr>
          <w:rFonts w:asciiTheme="majorBidi" w:hAnsiTheme="majorBidi" w:cstheme="majorBidi"/>
          <w:sz w:val="20"/>
          <w:szCs w:val="20"/>
        </w:rPr>
        <w:t xml:space="preserve">Natural and anthropogenic emissions of N and P to the </w:t>
      </w:r>
      <w:proofErr w:type="spellStart"/>
      <w:r w:rsidRPr="009D551E">
        <w:rPr>
          <w:rFonts w:asciiTheme="majorBidi" w:hAnsiTheme="majorBidi" w:cstheme="majorBidi"/>
          <w:sz w:val="20"/>
          <w:szCs w:val="20"/>
        </w:rPr>
        <w:t>Parnaíba</w:t>
      </w:r>
      <w:proofErr w:type="spellEnd"/>
      <w:r w:rsidRPr="009D551E">
        <w:rPr>
          <w:rFonts w:asciiTheme="majorBidi" w:hAnsiTheme="majorBidi" w:cstheme="majorBidi"/>
          <w:sz w:val="20"/>
          <w:szCs w:val="20"/>
        </w:rPr>
        <w:t xml:space="preserve"> River Delta in NE Brazil. Estuarine, Coastal and Shelf Science, 166, 34-44.</w:t>
      </w:r>
    </w:p>
  </w:footnote>
  <w:footnote w:id="133">
    <w:p w:rsidR="00071EBB" w:rsidRPr="009D551E" w:rsidRDefault="00071EBB" w:rsidP="009D551E">
      <w:pPr>
        <w:jc w:val="left"/>
        <w:rPr>
          <w:rFonts w:asciiTheme="majorBidi" w:hAnsiTheme="majorBidi" w:cstheme="majorBidi"/>
          <w:sz w:val="20"/>
          <w:szCs w:val="20"/>
        </w:rPr>
      </w:pPr>
      <w:r w:rsidRPr="00562243">
        <w:rPr>
          <w:rStyle w:val="FootnoteReference"/>
          <w:rFonts w:asciiTheme="majorBidi" w:hAnsiTheme="majorBidi" w:cstheme="majorBidi"/>
          <w:sz w:val="20"/>
          <w:szCs w:val="20"/>
        </w:rPr>
        <w:footnoteRef/>
      </w:r>
      <w:r w:rsidRPr="00562243">
        <w:rPr>
          <w:rStyle w:val="FootnoteReference"/>
          <w:sz w:val="20"/>
        </w:rPr>
        <w:t xml:space="preserve"> </w:t>
      </w:r>
      <w:r w:rsidRPr="00380AE4">
        <w:rPr>
          <w:rFonts w:asciiTheme="majorBidi" w:hAnsiTheme="majorBidi" w:cstheme="majorBidi"/>
          <w:sz w:val="20"/>
          <w:szCs w:val="20"/>
          <w:lang w:val="fr-BE"/>
        </w:rPr>
        <w:t xml:space="preserve">Macuiane, M. A., et al (2016). </w:t>
      </w:r>
      <w:r w:rsidRPr="009D551E">
        <w:rPr>
          <w:rFonts w:asciiTheme="majorBidi" w:hAnsiTheme="majorBidi" w:cstheme="majorBidi"/>
          <w:sz w:val="20"/>
          <w:szCs w:val="20"/>
        </w:rPr>
        <w:t>Temporal and spatial changes in water quality in Lake Malawi/</w:t>
      </w:r>
      <w:proofErr w:type="spellStart"/>
      <w:r w:rsidRPr="009D551E">
        <w:rPr>
          <w:rFonts w:asciiTheme="majorBidi" w:hAnsiTheme="majorBidi" w:cstheme="majorBidi"/>
          <w:sz w:val="20"/>
          <w:szCs w:val="20"/>
        </w:rPr>
        <w:t>Niassa</w:t>
      </w:r>
      <w:proofErr w:type="spellEnd"/>
      <w:r w:rsidRPr="009D551E">
        <w:rPr>
          <w:rFonts w:asciiTheme="majorBidi" w:hAnsiTheme="majorBidi" w:cstheme="majorBidi"/>
          <w:sz w:val="20"/>
          <w:szCs w:val="20"/>
        </w:rPr>
        <w:t>, Africa: implications for cage aquaculture management. Oceanography and Fisheries, 1(1), 555552.</w:t>
      </w:r>
    </w:p>
    <w:p w:rsidR="00071EBB" w:rsidRPr="009D551E" w:rsidRDefault="00071EBB" w:rsidP="009D551E">
      <w:pPr>
        <w:jc w:val="left"/>
        <w:rPr>
          <w:rFonts w:asciiTheme="majorBidi" w:hAnsiTheme="majorBidi" w:cstheme="majorBidi"/>
          <w:sz w:val="20"/>
          <w:szCs w:val="20"/>
        </w:rPr>
      </w:pPr>
      <w:r w:rsidRPr="009D551E">
        <w:rPr>
          <w:rFonts w:asciiTheme="majorBidi" w:hAnsiTheme="majorBidi" w:cstheme="majorBidi"/>
          <w:sz w:val="20"/>
          <w:szCs w:val="20"/>
          <w:lang w:val="en-US"/>
        </w:rPr>
        <w:t xml:space="preserve">Li, H., et al (2017). </w:t>
      </w:r>
      <w:r w:rsidRPr="009D551E">
        <w:rPr>
          <w:rFonts w:asciiTheme="majorBidi" w:hAnsiTheme="majorBidi" w:cstheme="majorBidi"/>
          <w:sz w:val="20"/>
          <w:szCs w:val="20"/>
        </w:rPr>
        <w:t xml:space="preserve">Environmental response to long-term </w:t>
      </w:r>
      <w:proofErr w:type="spellStart"/>
      <w:r w:rsidRPr="009D551E">
        <w:rPr>
          <w:rFonts w:asciiTheme="majorBidi" w:hAnsiTheme="majorBidi" w:cstheme="majorBidi"/>
          <w:sz w:val="20"/>
          <w:szCs w:val="20"/>
        </w:rPr>
        <w:t>mariculture</w:t>
      </w:r>
      <w:proofErr w:type="spellEnd"/>
      <w:r w:rsidRPr="009D551E">
        <w:rPr>
          <w:rFonts w:asciiTheme="majorBidi" w:hAnsiTheme="majorBidi" w:cstheme="majorBidi"/>
          <w:sz w:val="20"/>
          <w:szCs w:val="20"/>
        </w:rPr>
        <w:t xml:space="preserve"> activities in the </w:t>
      </w:r>
      <w:proofErr w:type="spellStart"/>
      <w:r w:rsidRPr="009D551E">
        <w:rPr>
          <w:rFonts w:asciiTheme="majorBidi" w:hAnsiTheme="majorBidi" w:cstheme="majorBidi"/>
          <w:sz w:val="20"/>
          <w:szCs w:val="20"/>
        </w:rPr>
        <w:t>Weihai</w:t>
      </w:r>
      <w:proofErr w:type="spellEnd"/>
      <w:r w:rsidRPr="009D551E">
        <w:rPr>
          <w:rFonts w:asciiTheme="majorBidi" w:hAnsiTheme="majorBidi" w:cstheme="majorBidi"/>
          <w:sz w:val="20"/>
          <w:szCs w:val="20"/>
        </w:rPr>
        <w:t xml:space="preserve"> coastal area, China. Science of The Total Environment, 601, 22-31.</w:t>
      </w:r>
    </w:p>
  </w:footnote>
  <w:footnote w:id="134">
    <w:p w:rsidR="00071EBB" w:rsidRPr="009D551E" w:rsidRDefault="00071EBB" w:rsidP="009D551E">
      <w:pPr>
        <w:jc w:val="left"/>
        <w:rPr>
          <w:rFonts w:asciiTheme="majorBidi" w:hAnsiTheme="majorBidi" w:cstheme="majorBidi"/>
          <w:sz w:val="20"/>
          <w:szCs w:val="20"/>
        </w:rPr>
      </w:pPr>
      <w:r w:rsidRPr="00562243">
        <w:rPr>
          <w:rStyle w:val="FootnoteReference"/>
          <w:rFonts w:asciiTheme="majorBidi" w:hAnsiTheme="majorBidi" w:cstheme="majorBidi"/>
          <w:sz w:val="20"/>
          <w:szCs w:val="20"/>
        </w:rPr>
        <w:footnoteRef/>
      </w:r>
      <w:r w:rsidRPr="00562243">
        <w:rPr>
          <w:rStyle w:val="FootnoteReference"/>
          <w:sz w:val="20"/>
        </w:rPr>
        <w:t xml:space="preserve"> </w:t>
      </w:r>
      <w:r w:rsidRPr="009D551E">
        <w:rPr>
          <w:rFonts w:asciiTheme="majorBidi" w:hAnsiTheme="majorBidi" w:cstheme="majorBidi"/>
          <w:sz w:val="20"/>
          <w:szCs w:val="20"/>
        </w:rPr>
        <w:t>Zhang, Y., et al (2015). Nutrient discharge from China’s aquaculture industry and associated environmental impacts. Environmental Research Letters, 10(4), 045002.</w:t>
      </w:r>
    </w:p>
  </w:footnote>
  <w:footnote w:id="135">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 xml:space="preserve">Wu, H., et al (2014). </w:t>
      </w:r>
      <w:proofErr w:type="spellStart"/>
      <w:r w:rsidRPr="009D551E">
        <w:rPr>
          <w:rFonts w:asciiTheme="majorBidi" w:hAnsiTheme="majorBidi" w:cstheme="majorBidi"/>
          <w:sz w:val="20"/>
          <w:szCs w:val="20"/>
        </w:rPr>
        <w:t>Mariculture</w:t>
      </w:r>
      <w:proofErr w:type="spellEnd"/>
      <w:r w:rsidRPr="009D551E">
        <w:rPr>
          <w:rFonts w:asciiTheme="majorBidi" w:hAnsiTheme="majorBidi" w:cstheme="majorBidi"/>
          <w:sz w:val="20"/>
          <w:szCs w:val="20"/>
        </w:rPr>
        <w:t xml:space="preserve"> pond influence on mangrove areas in south China: Significantly larger nitrogen and phosphorus loadings from sediment wash-out than from tidal water exchange. Aquaculture, 426, 204-212</w:t>
      </w:r>
    </w:p>
  </w:footnote>
  <w:footnote w:id="136">
    <w:p w:rsidR="00071EBB" w:rsidRPr="009D551E" w:rsidRDefault="00071EBB" w:rsidP="009D551E">
      <w:pPr>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Ceulemans</w:t>
      </w:r>
      <w:proofErr w:type="spellEnd"/>
      <w:r w:rsidRPr="009D551E">
        <w:rPr>
          <w:rFonts w:asciiTheme="majorBidi" w:hAnsiTheme="majorBidi" w:cstheme="majorBidi"/>
          <w:sz w:val="20"/>
          <w:szCs w:val="20"/>
          <w:lang w:val="en-US"/>
        </w:rPr>
        <w:t xml:space="preserve">, T., et al (2014). </w:t>
      </w:r>
      <w:r w:rsidRPr="009D551E">
        <w:rPr>
          <w:rFonts w:asciiTheme="majorBidi" w:hAnsiTheme="majorBidi" w:cstheme="majorBidi"/>
          <w:sz w:val="20"/>
          <w:szCs w:val="20"/>
        </w:rPr>
        <w:t>Soil phosphorus constrains biodiversity across European grasslands. Global change biology, 20(12), 3814-3822.</w:t>
      </w:r>
    </w:p>
    <w:p w:rsidR="00071EBB" w:rsidRPr="009D551E" w:rsidRDefault="00071EBB" w:rsidP="009D551E">
      <w:pPr>
        <w:jc w:val="left"/>
        <w:rPr>
          <w:rFonts w:asciiTheme="majorBidi" w:hAnsiTheme="majorBidi" w:cstheme="majorBidi"/>
          <w:sz w:val="20"/>
          <w:szCs w:val="20"/>
        </w:rPr>
      </w:pPr>
      <w:r w:rsidRPr="009D551E">
        <w:rPr>
          <w:rFonts w:asciiTheme="majorBidi" w:hAnsiTheme="majorBidi" w:cstheme="majorBidi"/>
          <w:sz w:val="20"/>
          <w:szCs w:val="20"/>
        </w:rPr>
        <w:t>Field, C. D., et al (2014). The role of nitrogen deposition in widespread plant community change across semi-natural habitats. Ecosystems, 17(5), 864-877.</w:t>
      </w:r>
    </w:p>
    <w:p w:rsidR="00071EBB" w:rsidRPr="009D551E" w:rsidRDefault="00071EBB" w:rsidP="009D551E">
      <w:pPr>
        <w:jc w:val="left"/>
        <w:rPr>
          <w:rFonts w:asciiTheme="majorBidi" w:hAnsiTheme="majorBidi" w:cstheme="majorBidi"/>
          <w:sz w:val="20"/>
          <w:szCs w:val="20"/>
        </w:rPr>
      </w:pPr>
      <w:r w:rsidRPr="009D551E">
        <w:rPr>
          <w:rFonts w:asciiTheme="majorBidi" w:hAnsiTheme="majorBidi" w:cstheme="majorBidi"/>
          <w:sz w:val="20"/>
          <w:szCs w:val="20"/>
        </w:rPr>
        <w:t>Lan, Z., et al (2015). Testing the scaling effects and mechanisms of N</w:t>
      </w:r>
      <w:r w:rsidRPr="009D551E">
        <w:rPr>
          <w:rFonts w:ascii="Cambria Math" w:hAnsi="Cambria Math" w:cs="Cambria Math"/>
          <w:sz w:val="20"/>
          <w:szCs w:val="20"/>
        </w:rPr>
        <w:t>‐</w:t>
      </w:r>
      <w:r w:rsidRPr="009D551E">
        <w:rPr>
          <w:rFonts w:asciiTheme="majorBidi" w:hAnsiTheme="majorBidi" w:cstheme="majorBidi"/>
          <w:sz w:val="20"/>
          <w:szCs w:val="20"/>
        </w:rPr>
        <w:t>induced biodiversity loss: evidence from a decade</w:t>
      </w:r>
      <w:r w:rsidRPr="009D551E">
        <w:rPr>
          <w:rFonts w:ascii="Cambria Math" w:hAnsi="Cambria Math" w:cs="Cambria Math"/>
          <w:sz w:val="20"/>
          <w:szCs w:val="20"/>
        </w:rPr>
        <w:t>‐</w:t>
      </w:r>
      <w:r w:rsidRPr="009D551E">
        <w:rPr>
          <w:rFonts w:asciiTheme="majorBidi" w:hAnsiTheme="majorBidi" w:cstheme="majorBidi"/>
          <w:sz w:val="20"/>
          <w:szCs w:val="20"/>
        </w:rPr>
        <w:t>long grassland experiment. Journal of Ecology, 103(3), 750-760.</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rPr>
        <w:t>Lepš</w:t>
      </w:r>
      <w:proofErr w:type="spellEnd"/>
      <w:r w:rsidRPr="009D551E">
        <w:rPr>
          <w:rFonts w:asciiTheme="majorBidi" w:hAnsiTheme="majorBidi" w:cstheme="majorBidi"/>
          <w:sz w:val="20"/>
          <w:szCs w:val="20"/>
        </w:rPr>
        <w:t xml:space="preserve">, J. (2014). Scale-and time-dependent effects of fertilization, mowing and dominant removal on a grassland community during a 15-year experiment. </w:t>
      </w:r>
      <w:r w:rsidRPr="009D551E">
        <w:rPr>
          <w:rFonts w:asciiTheme="majorBidi" w:hAnsiTheme="majorBidi" w:cstheme="majorBidi"/>
          <w:sz w:val="20"/>
          <w:szCs w:val="20"/>
          <w:lang w:val="en-US"/>
        </w:rPr>
        <w:t>Journal of applied ecology, 51(4), 978-987.</w:t>
      </w:r>
    </w:p>
    <w:p w:rsidR="00071EBB" w:rsidRPr="009D551E" w:rsidRDefault="00071EBB" w:rsidP="009D551E">
      <w:pPr>
        <w:jc w:val="left"/>
        <w:rPr>
          <w:rFonts w:asciiTheme="majorBidi" w:hAnsiTheme="majorBidi" w:cstheme="majorBidi"/>
          <w:sz w:val="20"/>
          <w:szCs w:val="20"/>
          <w:lang w:val="en-US"/>
        </w:rPr>
      </w:pPr>
      <w:r w:rsidRPr="009D551E">
        <w:rPr>
          <w:rFonts w:asciiTheme="majorBidi" w:hAnsiTheme="majorBidi" w:cstheme="majorBidi"/>
          <w:sz w:val="20"/>
          <w:szCs w:val="20"/>
          <w:lang w:val="en-US"/>
        </w:rPr>
        <w:t>Li, K., et al</w:t>
      </w:r>
      <w:r w:rsidRPr="009D551E">
        <w:rPr>
          <w:rFonts w:asciiTheme="majorBidi" w:hAnsiTheme="majorBidi" w:cstheme="majorBidi"/>
          <w:sz w:val="20"/>
          <w:szCs w:val="20"/>
        </w:rPr>
        <w:t xml:space="preserve"> (2015). Response of alpine grassland to elevated nitrogen deposition and water supply in China. </w:t>
      </w:r>
      <w:proofErr w:type="spellStart"/>
      <w:r w:rsidRPr="009D551E">
        <w:rPr>
          <w:rFonts w:asciiTheme="majorBidi" w:hAnsiTheme="majorBidi" w:cstheme="majorBidi"/>
          <w:sz w:val="20"/>
          <w:szCs w:val="20"/>
          <w:lang w:val="en-US"/>
        </w:rPr>
        <w:t>Oecologia</w:t>
      </w:r>
      <w:proofErr w:type="spellEnd"/>
      <w:r w:rsidRPr="009D551E">
        <w:rPr>
          <w:rFonts w:asciiTheme="majorBidi" w:hAnsiTheme="majorBidi" w:cstheme="majorBidi"/>
          <w:sz w:val="20"/>
          <w:szCs w:val="20"/>
          <w:lang w:val="en-US"/>
        </w:rPr>
        <w:t>, 177(1), 65-72.</w:t>
      </w:r>
    </w:p>
    <w:p w:rsidR="00071EBB" w:rsidRPr="009D551E" w:rsidRDefault="00071EBB" w:rsidP="009D551E">
      <w:pPr>
        <w:jc w:val="left"/>
        <w:rPr>
          <w:rFonts w:asciiTheme="majorBidi" w:hAnsiTheme="majorBidi" w:cstheme="majorBidi"/>
          <w:sz w:val="20"/>
          <w:szCs w:val="20"/>
        </w:rPr>
      </w:pPr>
      <w:proofErr w:type="spellStart"/>
      <w:r w:rsidRPr="009D551E">
        <w:rPr>
          <w:rFonts w:asciiTheme="majorBidi" w:hAnsiTheme="majorBidi" w:cstheme="majorBidi"/>
          <w:sz w:val="20"/>
          <w:szCs w:val="20"/>
        </w:rPr>
        <w:t>Niu</w:t>
      </w:r>
      <w:proofErr w:type="spellEnd"/>
      <w:r w:rsidRPr="009D551E">
        <w:rPr>
          <w:rFonts w:asciiTheme="majorBidi" w:hAnsiTheme="majorBidi" w:cstheme="majorBidi"/>
          <w:sz w:val="20"/>
          <w:szCs w:val="20"/>
        </w:rPr>
        <w:t xml:space="preserve"> K, et al (2014) Fertilization decreases species diversity but increases functional diversity: a 3-year experiment in Tibetan meadow. Agriculture, ecosystems &amp; environment, 182, 106-112.</w:t>
      </w:r>
    </w:p>
    <w:p w:rsidR="00071EBB" w:rsidRPr="009D551E" w:rsidRDefault="00071EBB" w:rsidP="009D551E">
      <w:pPr>
        <w:jc w:val="left"/>
        <w:rPr>
          <w:rFonts w:asciiTheme="majorBidi" w:hAnsiTheme="majorBidi" w:cstheme="majorBidi"/>
          <w:sz w:val="20"/>
          <w:szCs w:val="20"/>
        </w:rPr>
      </w:pPr>
      <w:r w:rsidRPr="009D551E">
        <w:rPr>
          <w:rFonts w:asciiTheme="majorBidi" w:hAnsiTheme="majorBidi" w:cstheme="majorBidi"/>
          <w:sz w:val="20"/>
          <w:szCs w:val="20"/>
        </w:rPr>
        <w:t xml:space="preserve">Zhang, T., et al (2015). Responses of plant community composition and biomass production to warming and nitrogen deposition in a temperate meadow ecosystem. </w:t>
      </w:r>
      <w:proofErr w:type="spellStart"/>
      <w:r w:rsidRPr="009D551E">
        <w:rPr>
          <w:rFonts w:asciiTheme="majorBidi" w:hAnsiTheme="majorBidi" w:cstheme="majorBidi"/>
          <w:sz w:val="20"/>
          <w:szCs w:val="20"/>
        </w:rPr>
        <w:t>PloS</w:t>
      </w:r>
      <w:proofErr w:type="spellEnd"/>
      <w:r w:rsidRPr="009D551E">
        <w:rPr>
          <w:rFonts w:asciiTheme="majorBidi" w:hAnsiTheme="majorBidi" w:cstheme="majorBidi"/>
          <w:sz w:val="20"/>
          <w:szCs w:val="20"/>
        </w:rPr>
        <w:t xml:space="preserve"> one, 10(4), e0123160.</w:t>
      </w:r>
    </w:p>
    <w:p w:rsidR="00071EBB" w:rsidRPr="009D551E" w:rsidRDefault="00071EBB" w:rsidP="009D551E">
      <w:pPr>
        <w:pStyle w:val="FootnoteText"/>
        <w:ind w:firstLine="0"/>
        <w:jc w:val="left"/>
        <w:rPr>
          <w:rFonts w:asciiTheme="majorBidi" w:hAnsiTheme="majorBidi" w:cstheme="majorBidi"/>
          <w:sz w:val="20"/>
          <w:szCs w:val="20"/>
        </w:rPr>
      </w:pPr>
      <w:proofErr w:type="spellStart"/>
      <w:r w:rsidRPr="009D551E">
        <w:rPr>
          <w:rFonts w:asciiTheme="majorBidi" w:hAnsiTheme="majorBidi" w:cstheme="majorBidi"/>
          <w:sz w:val="20"/>
          <w:szCs w:val="20"/>
          <w:lang w:val="en-US"/>
        </w:rPr>
        <w:t>Simkin</w:t>
      </w:r>
      <w:proofErr w:type="spellEnd"/>
      <w:r w:rsidRPr="009D551E">
        <w:rPr>
          <w:rFonts w:asciiTheme="majorBidi" w:hAnsiTheme="majorBidi" w:cstheme="majorBidi"/>
          <w:sz w:val="20"/>
          <w:szCs w:val="20"/>
          <w:lang w:val="en-US"/>
        </w:rPr>
        <w:t xml:space="preserve">, S. M., et al (2016). </w:t>
      </w:r>
      <w:r w:rsidRPr="009D551E">
        <w:rPr>
          <w:rFonts w:asciiTheme="majorBidi" w:hAnsiTheme="majorBidi" w:cstheme="majorBidi"/>
          <w:sz w:val="20"/>
          <w:szCs w:val="20"/>
        </w:rPr>
        <w:t>Conditional vulnerability of plant diversity to atmospheric nitrogen deposition across the United States. Proceedings of the National Academy of Sciences, 113(15), 4086-4091</w:t>
      </w:r>
    </w:p>
    <w:p w:rsidR="00071EBB" w:rsidRPr="009D551E" w:rsidRDefault="00071EBB" w:rsidP="009D551E">
      <w:pPr>
        <w:jc w:val="left"/>
        <w:rPr>
          <w:rFonts w:asciiTheme="majorBidi" w:hAnsiTheme="majorBidi" w:cstheme="majorBidi"/>
          <w:sz w:val="20"/>
          <w:szCs w:val="20"/>
        </w:rPr>
      </w:pPr>
      <w:proofErr w:type="spellStart"/>
      <w:r w:rsidRPr="009D551E">
        <w:rPr>
          <w:rFonts w:asciiTheme="majorBidi" w:hAnsiTheme="majorBidi" w:cstheme="majorBidi"/>
          <w:sz w:val="20"/>
          <w:szCs w:val="20"/>
          <w:lang w:val="en-US"/>
        </w:rPr>
        <w:t>Soons</w:t>
      </w:r>
      <w:proofErr w:type="spellEnd"/>
      <w:r w:rsidRPr="009D551E">
        <w:rPr>
          <w:rFonts w:asciiTheme="majorBidi" w:hAnsiTheme="majorBidi" w:cstheme="majorBidi"/>
          <w:sz w:val="20"/>
          <w:szCs w:val="20"/>
          <w:lang w:val="en-US"/>
        </w:rPr>
        <w:t xml:space="preserve">, M.B., et al (2016). </w:t>
      </w:r>
      <w:r w:rsidRPr="009D551E">
        <w:rPr>
          <w:rFonts w:asciiTheme="majorBidi" w:hAnsiTheme="majorBidi" w:cstheme="majorBidi"/>
          <w:sz w:val="20"/>
          <w:szCs w:val="20"/>
        </w:rPr>
        <w:t>Nitrogen effects on plant species richness in herbaceous communities are more widespread and stronger than those of P. Biological Conservation.</w:t>
      </w:r>
    </w:p>
    <w:p w:rsidR="00071EBB" w:rsidRPr="009D551E" w:rsidRDefault="00071EBB" w:rsidP="009D551E">
      <w:pPr>
        <w:jc w:val="left"/>
        <w:rPr>
          <w:rFonts w:asciiTheme="majorBidi" w:hAnsiTheme="majorBidi" w:cstheme="majorBidi"/>
          <w:sz w:val="20"/>
          <w:szCs w:val="20"/>
        </w:rPr>
      </w:pPr>
      <w:r w:rsidRPr="00380AE4">
        <w:rPr>
          <w:rFonts w:asciiTheme="majorBidi" w:hAnsiTheme="majorBidi" w:cstheme="majorBidi"/>
          <w:sz w:val="20"/>
          <w:szCs w:val="20"/>
          <w:lang w:val="fr-BE"/>
        </w:rPr>
        <w:t xml:space="preserve">van den Berg, L. et al (2016). </w:t>
      </w:r>
      <w:r w:rsidRPr="009D551E">
        <w:rPr>
          <w:rFonts w:asciiTheme="majorBidi" w:hAnsiTheme="majorBidi" w:cstheme="majorBidi"/>
          <w:sz w:val="20"/>
          <w:szCs w:val="20"/>
        </w:rPr>
        <w:t>Evidence for differential effects of reduced and oxidised nitrogen deposition on vegetation independent of nitrogen load. Environmental Pollution, 208, 890-897.</w:t>
      </w:r>
    </w:p>
    <w:p w:rsidR="00071EBB" w:rsidRPr="009D551E" w:rsidRDefault="00071EBB" w:rsidP="009D551E">
      <w:pPr>
        <w:pStyle w:val="FootnoteText"/>
        <w:ind w:firstLine="0"/>
        <w:jc w:val="left"/>
        <w:rPr>
          <w:rFonts w:asciiTheme="majorBidi" w:hAnsiTheme="majorBidi" w:cstheme="majorBidi"/>
          <w:sz w:val="20"/>
          <w:szCs w:val="20"/>
        </w:rPr>
      </w:pPr>
      <w:r w:rsidRPr="009D551E">
        <w:rPr>
          <w:rFonts w:asciiTheme="majorBidi" w:hAnsiTheme="majorBidi" w:cstheme="majorBidi"/>
          <w:sz w:val="20"/>
          <w:szCs w:val="20"/>
        </w:rPr>
        <w:t>Zhang, Y., et al (2014). Rapid plant species loss at high rates and at low frequency of N addition in temperate steppe. Global change biology, 20(11), 3520-3529</w:t>
      </w:r>
    </w:p>
    <w:p w:rsidR="00071EBB" w:rsidRPr="009D551E" w:rsidRDefault="00071EBB" w:rsidP="009D551E">
      <w:pPr>
        <w:jc w:val="left"/>
        <w:rPr>
          <w:rFonts w:asciiTheme="majorBidi" w:hAnsiTheme="majorBidi" w:cstheme="majorBidi"/>
          <w:sz w:val="20"/>
          <w:szCs w:val="20"/>
        </w:rPr>
      </w:pPr>
      <w:r w:rsidRPr="009D551E">
        <w:rPr>
          <w:rFonts w:asciiTheme="majorBidi" w:hAnsiTheme="majorBidi" w:cstheme="majorBidi"/>
          <w:sz w:val="20"/>
          <w:szCs w:val="20"/>
        </w:rPr>
        <w:t xml:space="preserve">Zhang, T., et al (2015). Responses of plant community composition and biomass production to warming and nitrogen deposition in a temperate meadow ecosystem. </w:t>
      </w:r>
      <w:proofErr w:type="spellStart"/>
      <w:r w:rsidRPr="009D551E">
        <w:rPr>
          <w:rFonts w:asciiTheme="majorBidi" w:hAnsiTheme="majorBidi" w:cstheme="majorBidi"/>
          <w:sz w:val="20"/>
          <w:szCs w:val="20"/>
        </w:rPr>
        <w:t>PloS</w:t>
      </w:r>
      <w:proofErr w:type="spellEnd"/>
      <w:r w:rsidRPr="009D551E">
        <w:rPr>
          <w:rFonts w:asciiTheme="majorBidi" w:hAnsiTheme="majorBidi" w:cstheme="majorBidi"/>
          <w:sz w:val="20"/>
          <w:szCs w:val="20"/>
        </w:rPr>
        <w:t xml:space="preserve"> one, 10(4), e0123160.</w:t>
      </w:r>
    </w:p>
  </w:footnote>
  <w:footnote w:id="137">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Van Meter, K. J., et al (2016). </w:t>
      </w:r>
      <w:r w:rsidRPr="009D551E">
        <w:rPr>
          <w:rFonts w:asciiTheme="majorBidi" w:hAnsiTheme="majorBidi" w:cstheme="majorBidi"/>
          <w:sz w:val="20"/>
          <w:szCs w:val="20"/>
        </w:rPr>
        <w:t>The nitrogen legacy: emerging evidence of nitrogen accumulation in anthropogenic landscapes. Environmental Research Letters, 11(3), 035014.</w:t>
      </w:r>
    </w:p>
  </w:footnote>
  <w:footnote w:id="138">
    <w:p w:rsidR="00071EBB" w:rsidRPr="009D551E" w:rsidRDefault="00071EBB" w:rsidP="009D551E">
      <w:pPr>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Yan, X., et al (2014). Fertilizer N recovery efficiencies in crop production systems of China with &amp; without consideration of residual effect of N. Environmental Research Letters, 9(9), 095002.</w:t>
      </w:r>
    </w:p>
    <w:p w:rsidR="00071EBB" w:rsidRPr="009D551E" w:rsidRDefault="00071EBB" w:rsidP="009D551E">
      <w:pPr>
        <w:jc w:val="left"/>
        <w:rPr>
          <w:rFonts w:asciiTheme="majorBidi" w:hAnsiTheme="majorBidi" w:cstheme="majorBidi"/>
          <w:sz w:val="20"/>
          <w:szCs w:val="20"/>
        </w:rPr>
      </w:pPr>
      <w:r w:rsidRPr="009D551E">
        <w:rPr>
          <w:rFonts w:asciiTheme="majorBidi" w:hAnsiTheme="majorBidi" w:cstheme="majorBidi"/>
          <w:sz w:val="20"/>
          <w:szCs w:val="20"/>
        </w:rPr>
        <w:t>Powers, S. M., et al (2016). Long-term accumulation and transport of anthropogenic phosphorus in three river basins. Nature Geoscience, 9(5), 353-356.</w:t>
      </w:r>
    </w:p>
  </w:footnote>
  <w:footnote w:id="139">
    <w:p w:rsidR="00071EBB" w:rsidRPr="009D551E" w:rsidRDefault="00071EBB" w:rsidP="009D551E">
      <w:pPr>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Payne, R. J. (2014). The exposure of British peatlands to nitrogen deposition, 1900–2030. Mires and Peat, 14(04), 1-9.</w:t>
      </w:r>
    </w:p>
  </w:footnote>
  <w:footnote w:id="140">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380AE4">
        <w:rPr>
          <w:rFonts w:asciiTheme="majorBidi" w:hAnsiTheme="majorBidi" w:cstheme="majorBidi"/>
          <w:sz w:val="20"/>
          <w:szCs w:val="20"/>
          <w:lang w:val="fr-BE"/>
        </w:rPr>
        <w:t xml:space="preserve">Leff, J. W., et al (2015). </w:t>
      </w:r>
      <w:r w:rsidRPr="009D551E">
        <w:rPr>
          <w:rFonts w:asciiTheme="majorBidi" w:hAnsiTheme="majorBidi" w:cstheme="majorBidi"/>
          <w:sz w:val="20"/>
          <w:szCs w:val="20"/>
        </w:rPr>
        <w:t>Consistent responses of soil microbial communities to elevated nutrient inputs in grasslands across the globe. Proceedings of the National Academy of Sciences, 112(35), 10967-10972.</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rPr>
        <w:t>WallisDeVries</w:t>
      </w:r>
      <w:proofErr w:type="spellEnd"/>
      <w:r w:rsidRPr="009D551E">
        <w:rPr>
          <w:rFonts w:asciiTheme="majorBidi" w:hAnsiTheme="majorBidi" w:cstheme="majorBidi"/>
          <w:sz w:val="20"/>
          <w:szCs w:val="20"/>
        </w:rPr>
        <w:t xml:space="preserve">, M. F., and </w:t>
      </w:r>
      <w:proofErr w:type="spellStart"/>
      <w:r w:rsidRPr="009D551E">
        <w:rPr>
          <w:rFonts w:asciiTheme="majorBidi" w:hAnsiTheme="majorBidi" w:cstheme="majorBidi"/>
          <w:sz w:val="20"/>
          <w:szCs w:val="20"/>
        </w:rPr>
        <w:t>Bobbink</w:t>
      </w:r>
      <w:proofErr w:type="spellEnd"/>
      <w:r w:rsidRPr="009D551E">
        <w:rPr>
          <w:rFonts w:asciiTheme="majorBidi" w:hAnsiTheme="majorBidi" w:cstheme="majorBidi"/>
          <w:sz w:val="20"/>
          <w:szCs w:val="20"/>
        </w:rPr>
        <w:t>, R. (2017). Nitrogen deposition impacts on biodiversity in terrestrial ecosystems: Mechanisms and perspectives for restoration. Biological Conservation. Editorial.</w:t>
      </w:r>
    </w:p>
  </w:footnote>
  <w:footnote w:id="141">
    <w:p w:rsidR="00071EBB" w:rsidRPr="009D551E" w:rsidRDefault="00071EBB" w:rsidP="009D551E">
      <w:pPr>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Nijssen</w:t>
      </w:r>
      <w:proofErr w:type="spellEnd"/>
      <w:r w:rsidRPr="009D551E">
        <w:rPr>
          <w:rFonts w:asciiTheme="majorBidi" w:hAnsiTheme="majorBidi" w:cstheme="majorBidi"/>
          <w:sz w:val="20"/>
          <w:szCs w:val="20"/>
          <w:lang w:val="en-US"/>
        </w:rPr>
        <w:t xml:space="preserve">, M. E., et al (2017). </w:t>
      </w:r>
      <w:r w:rsidRPr="009D551E">
        <w:rPr>
          <w:rFonts w:asciiTheme="majorBidi" w:hAnsiTheme="majorBidi" w:cstheme="majorBidi"/>
          <w:sz w:val="20"/>
          <w:szCs w:val="20"/>
        </w:rPr>
        <w:t>Pathways for the effects of increased nitrogen deposition on fauna. Biological Conservation.</w:t>
      </w:r>
    </w:p>
    <w:p w:rsidR="00071EBB" w:rsidRPr="009D551E" w:rsidRDefault="00071EBB" w:rsidP="009D551E">
      <w:pPr>
        <w:jc w:val="left"/>
        <w:rPr>
          <w:rFonts w:asciiTheme="majorBidi" w:hAnsiTheme="majorBidi" w:cstheme="majorBidi"/>
          <w:sz w:val="20"/>
          <w:szCs w:val="20"/>
        </w:rPr>
      </w:pPr>
      <w:proofErr w:type="spellStart"/>
      <w:r w:rsidRPr="009D551E">
        <w:rPr>
          <w:rFonts w:asciiTheme="majorBidi" w:hAnsiTheme="majorBidi" w:cstheme="majorBidi"/>
          <w:sz w:val="20"/>
          <w:szCs w:val="20"/>
        </w:rPr>
        <w:t>WallisDeVries</w:t>
      </w:r>
      <w:proofErr w:type="spellEnd"/>
      <w:r w:rsidRPr="009D551E">
        <w:rPr>
          <w:rFonts w:asciiTheme="majorBidi" w:hAnsiTheme="majorBidi" w:cstheme="majorBidi"/>
          <w:sz w:val="20"/>
          <w:szCs w:val="20"/>
        </w:rPr>
        <w:t xml:space="preserve">, M. F., and </w:t>
      </w:r>
      <w:proofErr w:type="spellStart"/>
      <w:r w:rsidRPr="009D551E">
        <w:rPr>
          <w:rFonts w:asciiTheme="majorBidi" w:hAnsiTheme="majorBidi" w:cstheme="majorBidi"/>
          <w:sz w:val="20"/>
          <w:szCs w:val="20"/>
        </w:rPr>
        <w:t>Bobbink</w:t>
      </w:r>
      <w:proofErr w:type="spellEnd"/>
      <w:r w:rsidRPr="009D551E">
        <w:rPr>
          <w:rFonts w:asciiTheme="majorBidi" w:hAnsiTheme="majorBidi" w:cstheme="majorBidi"/>
          <w:sz w:val="20"/>
          <w:szCs w:val="20"/>
        </w:rPr>
        <w:t>, R. (2017). Nitrogen deposition impacts on biodiversity in terrestrial ecosystems: Mechanisms and perspectives for restoration. Biological Conservation. Editorial</w:t>
      </w:r>
    </w:p>
  </w:footnote>
  <w:footnote w:id="142">
    <w:p w:rsidR="00071EBB" w:rsidRPr="009D551E" w:rsidRDefault="00071EBB" w:rsidP="009D551E">
      <w:pPr>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380AE4">
        <w:rPr>
          <w:rFonts w:asciiTheme="majorBidi" w:hAnsiTheme="majorBidi" w:cstheme="majorBidi"/>
          <w:sz w:val="20"/>
          <w:szCs w:val="20"/>
          <w:lang w:val="fr-BE"/>
        </w:rPr>
        <w:t xml:space="preserve"> Ferreira, R. C., et al (2015). </w:t>
      </w:r>
      <w:r w:rsidRPr="009D551E">
        <w:rPr>
          <w:rFonts w:asciiTheme="majorBidi" w:hAnsiTheme="majorBidi" w:cstheme="majorBidi"/>
          <w:sz w:val="20"/>
          <w:szCs w:val="20"/>
        </w:rPr>
        <w:t>Responses of estuarine nematodes to an increase in nutrient supply: an in situ experiment. Marine pollution bulletin, 90(1), 115-120.</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lang w:val="en-US"/>
        </w:rPr>
        <w:t>Pöyry</w:t>
      </w:r>
      <w:proofErr w:type="spellEnd"/>
      <w:r w:rsidRPr="009D551E">
        <w:rPr>
          <w:rFonts w:asciiTheme="majorBidi" w:hAnsiTheme="majorBidi" w:cstheme="majorBidi"/>
          <w:sz w:val="20"/>
          <w:szCs w:val="20"/>
          <w:lang w:val="en-US"/>
        </w:rPr>
        <w:t xml:space="preserve">, J., </w:t>
      </w:r>
      <w:proofErr w:type="spellStart"/>
      <w:r w:rsidRPr="009D551E">
        <w:rPr>
          <w:rFonts w:asciiTheme="majorBidi" w:hAnsiTheme="majorBidi" w:cstheme="majorBidi"/>
          <w:sz w:val="20"/>
          <w:szCs w:val="20"/>
          <w:lang w:val="en-US"/>
        </w:rPr>
        <w:t>Carvalheiro</w:t>
      </w:r>
      <w:proofErr w:type="spellEnd"/>
      <w:r w:rsidRPr="009D551E">
        <w:rPr>
          <w:rFonts w:asciiTheme="majorBidi" w:hAnsiTheme="majorBidi" w:cstheme="majorBidi"/>
          <w:sz w:val="20"/>
          <w:szCs w:val="20"/>
          <w:lang w:val="en-US"/>
        </w:rPr>
        <w:t xml:space="preserve">, et al (2017). </w:t>
      </w:r>
      <w:r w:rsidRPr="009D551E">
        <w:rPr>
          <w:rFonts w:asciiTheme="majorBidi" w:hAnsiTheme="majorBidi" w:cstheme="majorBidi"/>
          <w:sz w:val="20"/>
          <w:szCs w:val="20"/>
        </w:rPr>
        <w:t>The effects of soil eutrophication propagate to higher trophic levels. Global Ecology and Biogeography, 26(1), 18-30.</w:t>
      </w:r>
    </w:p>
  </w:footnote>
  <w:footnote w:id="143">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380AE4">
        <w:rPr>
          <w:rFonts w:asciiTheme="majorBidi" w:hAnsiTheme="majorBidi" w:cstheme="majorBidi"/>
          <w:sz w:val="20"/>
          <w:szCs w:val="20"/>
          <w:lang w:val="fr-BE"/>
        </w:rPr>
        <w:t xml:space="preserve"> Meunier, C. L., et al (2016). </w:t>
      </w:r>
      <w:r w:rsidRPr="009D551E">
        <w:rPr>
          <w:rFonts w:asciiTheme="majorBidi" w:hAnsiTheme="majorBidi" w:cstheme="majorBidi"/>
          <w:sz w:val="20"/>
          <w:szCs w:val="20"/>
        </w:rPr>
        <w:t>Impact of nitrogen deposition on forest and lake food webs in nitrogen</w:t>
      </w:r>
      <w:r w:rsidRPr="009D551E">
        <w:rPr>
          <w:rFonts w:ascii="Cambria Math" w:hAnsi="Cambria Math" w:cs="Cambria Math"/>
          <w:sz w:val="20"/>
          <w:szCs w:val="20"/>
        </w:rPr>
        <w:t>‐</w:t>
      </w:r>
      <w:r w:rsidRPr="009D551E">
        <w:rPr>
          <w:rFonts w:asciiTheme="majorBidi" w:hAnsiTheme="majorBidi" w:cstheme="majorBidi"/>
          <w:sz w:val="20"/>
          <w:szCs w:val="20"/>
        </w:rPr>
        <w:t>limited environments. Global change biology, 22(1), 164-179.</w:t>
      </w:r>
    </w:p>
  </w:footnote>
  <w:footnote w:id="144">
    <w:p w:rsidR="00071EBB" w:rsidRPr="00720FA7" w:rsidRDefault="00071EBB" w:rsidP="009D551E">
      <w:pPr>
        <w:jc w:val="left"/>
        <w:rPr>
          <w:rFonts w:asciiTheme="majorBidi" w:hAnsiTheme="majorBidi" w:cstheme="majorBidi"/>
          <w:sz w:val="20"/>
          <w:szCs w:val="20"/>
          <w:lang w:val="es-ES_tradnl"/>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Silva, C. A. R., Sternberg, L. D. S. L., </w:t>
      </w:r>
      <w:proofErr w:type="spellStart"/>
      <w:r w:rsidRPr="009D551E">
        <w:rPr>
          <w:rFonts w:asciiTheme="majorBidi" w:hAnsiTheme="majorBidi" w:cstheme="majorBidi"/>
          <w:sz w:val="20"/>
          <w:szCs w:val="20"/>
        </w:rPr>
        <w:t>Dávalos</w:t>
      </w:r>
      <w:proofErr w:type="spellEnd"/>
      <w:r w:rsidRPr="009D551E">
        <w:rPr>
          <w:rFonts w:asciiTheme="majorBidi" w:hAnsiTheme="majorBidi" w:cstheme="majorBidi"/>
          <w:sz w:val="20"/>
          <w:szCs w:val="20"/>
        </w:rPr>
        <w:t xml:space="preserve">, P. B., &amp; de Souza, F. E. S. (2017). The impact of organic and intensive farming on the tropical estuary. </w:t>
      </w:r>
      <w:proofErr w:type="spellStart"/>
      <w:r w:rsidRPr="00720FA7">
        <w:rPr>
          <w:rFonts w:asciiTheme="majorBidi" w:hAnsiTheme="majorBidi" w:cstheme="majorBidi"/>
          <w:sz w:val="20"/>
          <w:szCs w:val="20"/>
          <w:lang w:val="es-ES_tradnl"/>
        </w:rPr>
        <w:t>Ocean</w:t>
      </w:r>
      <w:proofErr w:type="spellEnd"/>
      <w:r w:rsidRPr="00720FA7">
        <w:rPr>
          <w:rFonts w:asciiTheme="majorBidi" w:hAnsiTheme="majorBidi" w:cstheme="majorBidi"/>
          <w:sz w:val="20"/>
          <w:szCs w:val="20"/>
          <w:lang w:val="es-ES_tradnl"/>
        </w:rPr>
        <w:t xml:space="preserve"> &amp; </w:t>
      </w:r>
      <w:proofErr w:type="spellStart"/>
      <w:r w:rsidRPr="00720FA7">
        <w:rPr>
          <w:rFonts w:asciiTheme="majorBidi" w:hAnsiTheme="majorBidi" w:cstheme="majorBidi"/>
          <w:sz w:val="20"/>
          <w:szCs w:val="20"/>
          <w:lang w:val="es-ES_tradnl"/>
        </w:rPr>
        <w:t>Coastal</w:t>
      </w:r>
      <w:proofErr w:type="spellEnd"/>
      <w:r w:rsidRPr="00720FA7">
        <w:rPr>
          <w:rFonts w:asciiTheme="majorBidi" w:hAnsiTheme="majorBidi" w:cstheme="majorBidi"/>
          <w:sz w:val="20"/>
          <w:szCs w:val="20"/>
          <w:lang w:val="es-ES_tradnl"/>
        </w:rPr>
        <w:t xml:space="preserve"> Management, 141, 55-64.</w:t>
      </w:r>
    </w:p>
  </w:footnote>
  <w:footnote w:id="145">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720FA7">
        <w:rPr>
          <w:rFonts w:asciiTheme="majorBidi" w:hAnsiTheme="majorBidi" w:cstheme="majorBidi"/>
          <w:sz w:val="20"/>
          <w:szCs w:val="20"/>
          <w:lang w:val="es-ES_tradnl"/>
        </w:rPr>
        <w:t xml:space="preserve">Cardoso-Mohedano, J. G., Bernardello, R., Sanchez-Cabeza, J. A., Páez-Osuna, F., Ruiz-Fernández, A. C., Molino-Minero-Re, E., &amp; Cruzado, A. (2016). </w:t>
      </w:r>
      <w:r w:rsidRPr="009D551E">
        <w:rPr>
          <w:rFonts w:asciiTheme="majorBidi" w:hAnsiTheme="majorBidi" w:cstheme="majorBidi"/>
          <w:sz w:val="20"/>
          <w:szCs w:val="20"/>
        </w:rPr>
        <w:t>Reducing nutrient impacts from shrimp effluents in a subtropical coastal lagoon. Science of The Total Environment, 571, 388-397</w:t>
      </w:r>
    </w:p>
  </w:footnote>
  <w:footnote w:id="146">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9D551E">
        <w:rPr>
          <w:rFonts w:asciiTheme="majorBidi" w:hAnsiTheme="majorBidi" w:cstheme="majorBidi"/>
          <w:sz w:val="20"/>
          <w:szCs w:val="20"/>
        </w:rPr>
        <w:t xml:space="preserve">Wu, H., Peng, R., Yang, Y., He, L., Wang, W., Zheng, T., &amp; Lin, G. (2014). </w:t>
      </w:r>
      <w:proofErr w:type="spellStart"/>
      <w:r w:rsidRPr="009D551E">
        <w:rPr>
          <w:rFonts w:asciiTheme="majorBidi" w:hAnsiTheme="majorBidi" w:cstheme="majorBidi"/>
          <w:sz w:val="20"/>
          <w:szCs w:val="20"/>
        </w:rPr>
        <w:t>Mariculture</w:t>
      </w:r>
      <w:proofErr w:type="spellEnd"/>
      <w:r w:rsidRPr="009D551E">
        <w:rPr>
          <w:rFonts w:asciiTheme="majorBidi" w:hAnsiTheme="majorBidi" w:cstheme="majorBidi"/>
          <w:sz w:val="20"/>
          <w:szCs w:val="20"/>
        </w:rPr>
        <w:t xml:space="preserve"> pond influence on mangrove areas in south China: Significantly larger nitrogen and phosphorus loadings from sediment wash-out than from tidal water exchange. Aquaculture, 426, 204-212.</w:t>
      </w:r>
    </w:p>
  </w:footnote>
  <w:footnote w:id="147">
    <w:p w:rsidR="00071EBB" w:rsidRPr="009D551E" w:rsidRDefault="00071EBB" w:rsidP="009D551E">
      <w:pPr>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720FA7">
        <w:rPr>
          <w:rFonts w:asciiTheme="majorBidi" w:hAnsiTheme="majorBidi" w:cstheme="majorBidi"/>
          <w:sz w:val="20"/>
          <w:szCs w:val="20"/>
          <w:lang w:val="es-ES_tradnl"/>
        </w:rPr>
        <w:t xml:space="preserve">Suárez-Abelenda, M., Ferreira, T. O., Camps-Arbestain, M., Rivera-Monroy, V. H., Macías, F., Nóbrega, G. N., &amp; Otero, X. L. (2014). </w:t>
      </w:r>
      <w:r w:rsidRPr="009D551E">
        <w:rPr>
          <w:rFonts w:asciiTheme="majorBidi" w:hAnsiTheme="majorBidi" w:cstheme="majorBidi"/>
          <w:sz w:val="20"/>
          <w:szCs w:val="20"/>
        </w:rPr>
        <w:t xml:space="preserve">The effect of nutrient-rich effluents from shrimp farming on mangrove soil carbon storage and geochemistry under semi-arid climate conditions in northern Brazil. </w:t>
      </w:r>
      <w:proofErr w:type="spellStart"/>
      <w:r w:rsidRPr="009D551E">
        <w:rPr>
          <w:rFonts w:asciiTheme="majorBidi" w:hAnsiTheme="majorBidi" w:cstheme="majorBidi"/>
          <w:sz w:val="20"/>
          <w:szCs w:val="20"/>
        </w:rPr>
        <w:t>Geoderma</w:t>
      </w:r>
      <w:proofErr w:type="spellEnd"/>
      <w:r w:rsidRPr="009D551E">
        <w:rPr>
          <w:rFonts w:asciiTheme="majorBidi" w:hAnsiTheme="majorBidi" w:cstheme="majorBidi"/>
          <w:sz w:val="20"/>
          <w:szCs w:val="20"/>
        </w:rPr>
        <w:t>, 213, 551-559.</w:t>
      </w:r>
    </w:p>
  </w:footnote>
  <w:footnote w:id="148">
    <w:p w:rsidR="00071EBB" w:rsidRPr="009D551E" w:rsidRDefault="00071EBB" w:rsidP="009D551E">
      <w:pPr>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 xml:space="preserve">Withers, P. J., Sylvester-Bradley, R., Jones, D. L., Healey, J. R., &amp; </w:t>
      </w:r>
      <w:proofErr w:type="spellStart"/>
      <w:r w:rsidRPr="009D551E">
        <w:rPr>
          <w:rFonts w:asciiTheme="majorBidi" w:hAnsiTheme="majorBidi" w:cstheme="majorBidi"/>
          <w:sz w:val="20"/>
          <w:szCs w:val="20"/>
        </w:rPr>
        <w:t>Talboys</w:t>
      </w:r>
      <w:proofErr w:type="spellEnd"/>
      <w:r w:rsidRPr="009D551E">
        <w:rPr>
          <w:rFonts w:asciiTheme="majorBidi" w:hAnsiTheme="majorBidi" w:cstheme="majorBidi"/>
          <w:sz w:val="20"/>
          <w:szCs w:val="20"/>
        </w:rPr>
        <w:t>, P. J. (2014). Feed the crop not the soil: rethinking phosphorus management in the food chain.</w:t>
      </w:r>
    </w:p>
  </w:footnote>
  <w:footnote w:id="149">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fr-BE"/>
        </w:rPr>
        <w:t xml:space="preserve"> </w:t>
      </w:r>
      <w:r w:rsidRPr="009D551E">
        <w:rPr>
          <w:rFonts w:asciiTheme="majorBidi" w:hAnsiTheme="majorBidi" w:cstheme="majorBidi"/>
          <w:sz w:val="20"/>
          <w:szCs w:val="20"/>
          <w:lang w:val="fr-CA"/>
        </w:rPr>
        <w:t xml:space="preserve">Chen, X., Cui, Z., Fan, M., </w:t>
      </w:r>
      <w:proofErr w:type="spellStart"/>
      <w:r w:rsidRPr="009D551E">
        <w:rPr>
          <w:rFonts w:asciiTheme="majorBidi" w:hAnsiTheme="majorBidi" w:cstheme="majorBidi"/>
          <w:sz w:val="20"/>
          <w:szCs w:val="20"/>
          <w:lang w:val="fr-CA"/>
        </w:rPr>
        <w:t>Vitousek</w:t>
      </w:r>
      <w:proofErr w:type="spellEnd"/>
      <w:r w:rsidRPr="009D551E">
        <w:rPr>
          <w:rFonts w:asciiTheme="majorBidi" w:hAnsiTheme="majorBidi" w:cstheme="majorBidi"/>
          <w:sz w:val="20"/>
          <w:szCs w:val="20"/>
          <w:lang w:val="fr-CA"/>
        </w:rPr>
        <w:t xml:space="preserve">, P., Zhao, M., Ma, W., ... </w:t>
      </w:r>
      <w:r w:rsidRPr="009D551E">
        <w:rPr>
          <w:rFonts w:asciiTheme="majorBidi" w:hAnsiTheme="majorBidi" w:cstheme="majorBidi"/>
          <w:sz w:val="20"/>
          <w:szCs w:val="20"/>
        </w:rPr>
        <w:t>&amp; Deng, X. (2014). Producing more grain with lower environmental costs. Nature, 514(7523), 486-489.</w:t>
      </w:r>
    </w:p>
  </w:footnote>
  <w:footnote w:id="150">
    <w:p w:rsidR="00071EBB" w:rsidRPr="009D551E" w:rsidRDefault="00071EBB" w:rsidP="009D551E">
      <w:pPr>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fr-BE"/>
        </w:rPr>
        <w:t xml:space="preserve"> </w:t>
      </w:r>
      <w:r w:rsidRPr="009D551E">
        <w:rPr>
          <w:rFonts w:asciiTheme="majorBidi" w:hAnsiTheme="majorBidi" w:cstheme="majorBidi"/>
          <w:sz w:val="20"/>
          <w:szCs w:val="20"/>
          <w:lang w:val="fr-CA"/>
        </w:rPr>
        <w:t xml:space="preserve">Bai, Z., Ma, L., Ma, W., Qin, W., </w:t>
      </w:r>
      <w:proofErr w:type="spellStart"/>
      <w:r w:rsidRPr="009D551E">
        <w:rPr>
          <w:rFonts w:asciiTheme="majorBidi" w:hAnsiTheme="majorBidi" w:cstheme="majorBidi"/>
          <w:sz w:val="20"/>
          <w:szCs w:val="20"/>
          <w:lang w:val="fr-CA"/>
        </w:rPr>
        <w:t>Velthof</w:t>
      </w:r>
      <w:proofErr w:type="spellEnd"/>
      <w:r w:rsidRPr="009D551E">
        <w:rPr>
          <w:rFonts w:asciiTheme="majorBidi" w:hAnsiTheme="majorBidi" w:cstheme="majorBidi"/>
          <w:sz w:val="20"/>
          <w:szCs w:val="20"/>
          <w:lang w:val="fr-CA"/>
        </w:rPr>
        <w:t xml:space="preserve">, G. L., </w:t>
      </w:r>
      <w:proofErr w:type="spellStart"/>
      <w:r w:rsidRPr="009D551E">
        <w:rPr>
          <w:rFonts w:asciiTheme="majorBidi" w:hAnsiTheme="majorBidi" w:cstheme="majorBidi"/>
          <w:sz w:val="20"/>
          <w:szCs w:val="20"/>
          <w:lang w:val="fr-CA"/>
        </w:rPr>
        <w:t>Oenema</w:t>
      </w:r>
      <w:proofErr w:type="spellEnd"/>
      <w:r w:rsidRPr="009D551E">
        <w:rPr>
          <w:rFonts w:asciiTheme="majorBidi" w:hAnsiTheme="majorBidi" w:cstheme="majorBidi"/>
          <w:sz w:val="20"/>
          <w:szCs w:val="20"/>
          <w:lang w:val="fr-CA"/>
        </w:rPr>
        <w:t xml:space="preserve">, O., &amp; Zhang, F. (2015). </w:t>
      </w:r>
      <w:r w:rsidRPr="009D551E">
        <w:rPr>
          <w:rFonts w:asciiTheme="majorBidi" w:hAnsiTheme="majorBidi" w:cstheme="majorBidi"/>
          <w:sz w:val="20"/>
          <w:szCs w:val="20"/>
        </w:rPr>
        <w:t>Changes in phosphorus use and losses in the food chain of China during 1950–2010 and forecasts for 2030. Nutrient cycling in agroecosystems, 104(3), 361-372.</w:t>
      </w:r>
    </w:p>
  </w:footnote>
  <w:footnote w:id="151">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9D551E">
        <w:rPr>
          <w:rFonts w:asciiTheme="majorBidi" w:hAnsiTheme="majorBidi" w:cstheme="majorBidi"/>
          <w:sz w:val="20"/>
          <w:szCs w:val="20"/>
        </w:rPr>
        <w:t xml:space="preserve">Zhang, X., Davidson, E. A., </w:t>
      </w:r>
      <w:proofErr w:type="spellStart"/>
      <w:r w:rsidRPr="009D551E">
        <w:rPr>
          <w:rFonts w:asciiTheme="majorBidi" w:hAnsiTheme="majorBidi" w:cstheme="majorBidi"/>
          <w:sz w:val="20"/>
          <w:szCs w:val="20"/>
        </w:rPr>
        <w:t>Mauzerall</w:t>
      </w:r>
      <w:proofErr w:type="spellEnd"/>
      <w:r w:rsidRPr="009D551E">
        <w:rPr>
          <w:rFonts w:asciiTheme="majorBidi" w:hAnsiTheme="majorBidi" w:cstheme="majorBidi"/>
          <w:sz w:val="20"/>
          <w:szCs w:val="20"/>
        </w:rPr>
        <w:t xml:space="preserve">, D. L., </w:t>
      </w:r>
      <w:proofErr w:type="spellStart"/>
      <w:r w:rsidRPr="009D551E">
        <w:rPr>
          <w:rFonts w:asciiTheme="majorBidi" w:hAnsiTheme="majorBidi" w:cstheme="majorBidi"/>
          <w:sz w:val="20"/>
          <w:szCs w:val="20"/>
        </w:rPr>
        <w:t>Searchinger</w:t>
      </w:r>
      <w:proofErr w:type="spellEnd"/>
      <w:r w:rsidRPr="009D551E">
        <w:rPr>
          <w:rFonts w:asciiTheme="majorBidi" w:hAnsiTheme="majorBidi" w:cstheme="majorBidi"/>
          <w:sz w:val="20"/>
          <w:szCs w:val="20"/>
        </w:rPr>
        <w:t>, T. D., Dumas, P., &amp; Shen, Y. (2015). Managing nitrogen for sustainable development. Nature, 528(7580), 51-59.</w:t>
      </w:r>
    </w:p>
  </w:footnote>
  <w:footnote w:id="152">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Withers, P. J., et al (2014). Feed the crop not the soil: rethinking phosphorus management in the food chain</w:t>
      </w:r>
    </w:p>
  </w:footnote>
  <w:footnote w:id="153">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9D551E">
        <w:rPr>
          <w:rFonts w:asciiTheme="majorBidi" w:hAnsiTheme="majorBidi" w:cstheme="majorBidi"/>
          <w:sz w:val="20"/>
          <w:szCs w:val="20"/>
          <w:lang w:val="fr-BE"/>
        </w:rPr>
        <w:t xml:space="preserve">David, M. B., et al (2015). </w:t>
      </w:r>
      <w:r w:rsidRPr="009D551E">
        <w:rPr>
          <w:rFonts w:asciiTheme="majorBidi" w:hAnsiTheme="majorBidi" w:cstheme="majorBidi"/>
          <w:sz w:val="20"/>
          <w:szCs w:val="20"/>
        </w:rPr>
        <w:t>Navigating the socio-bio-geo-chemistry and engineering of nitrogen management in two Illinois tile-drained watersheds. Journal of environmental quality, 44(2), 368-381.</w:t>
      </w:r>
    </w:p>
  </w:footnote>
  <w:footnote w:id="154">
    <w:p w:rsidR="00071EBB" w:rsidRPr="009D551E" w:rsidRDefault="00071EBB" w:rsidP="009D551E">
      <w:pPr>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Bai, Z. H., et al (2014). </w:t>
      </w:r>
      <w:r w:rsidRPr="009D551E">
        <w:rPr>
          <w:rFonts w:asciiTheme="majorBidi" w:hAnsiTheme="majorBidi" w:cstheme="majorBidi"/>
          <w:sz w:val="20"/>
          <w:szCs w:val="20"/>
        </w:rPr>
        <w:t xml:space="preserve">Changes in pig production in China and their effects on nitrogen and phosphorus use and losses. </w:t>
      </w:r>
      <w:r w:rsidRPr="009D551E">
        <w:rPr>
          <w:rFonts w:asciiTheme="majorBidi" w:hAnsiTheme="majorBidi" w:cstheme="majorBidi"/>
          <w:sz w:val="20"/>
          <w:szCs w:val="20"/>
          <w:lang w:val="en-US"/>
        </w:rPr>
        <w:t>Environmental science &amp; technology, 48(21), 12742-12749.</w:t>
      </w:r>
    </w:p>
    <w:p w:rsidR="00071EBB" w:rsidRPr="009D551E" w:rsidRDefault="00071EBB" w:rsidP="009D551E">
      <w:pPr>
        <w:jc w:val="left"/>
        <w:rPr>
          <w:rFonts w:asciiTheme="majorBidi" w:hAnsiTheme="majorBidi" w:cstheme="majorBidi"/>
          <w:sz w:val="20"/>
          <w:szCs w:val="20"/>
        </w:rPr>
      </w:pPr>
      <w:r w:rsidRPr="009D551E">
        <w:rPr>
          <w:rFonts w:asciiTheme="majorBidi" w:hAnsiTheme="majorBidi" w:cstheme="majorBidi"/>
          <w:sz w:val="20"/>
          <w:szCs w:val="20"/>
          <w:lang w:val="en-US"/>
        </w:rPr>
        <w:t xml:space="preserve">Bai, Z., et al (2015). </w:t>
      </w:r>
      <w:r w:rsidRPr="009D551E">
        <w:rPr>
          <w:rFonts w:asciiTheme="majorBidi" w:hAnsiTheme="majorBidi" w:cstheme="majorBidi"/>
          <w:sz w:val="20"/>
          <w:szCs w:val="20"/>
        </w:rPr>
        <w:t>Changes in phosphorus use and losses in the food chain of China during 1950–2010 and forecasts for 2030. Nutrient cycling in agroecosystems, 104(3), 361-372.</w:t>
      </w:r>
    </w:p>
    <w:p w:rsidR="00071EBB" w:rsidRPr="009D551E" w:rsidRDefault="00071EBB" w:rsidP="009D551E">
      <w:pPr>
        <w:jc w:val="left"/>
        <w:rPr>
          <w:rFonts w:asciiTheme="majorBidi" w:hAnsiTheme="majorBidi" w:cstheme="majorBidi"/>
          <w:sz w:val="20"/>
          <w:szCs w:val="20"/>
        </w:rPr>
      </w:pPr>
      <w:proofErr w:type="spellStart"/>
      <w:r w:rsidRPr="009D551E">
        <w:rPr>
          <w:rFonts w:asciiTheme="majorBidi" w:hAnsiTheme="majorBidi" w:cstheme="majorBidi"/>
          <w:sz w:val="20"/>
          <w:szCs w:val="20"/>
          <w:lang w:val="en-US"/>
        </w:rPr>
        <w:t>Strokal</w:t>
      </w:r>
      <w:proofErr w:type="spellEnd"/>
      <w:r w:rsidRPr="009D551E">
        <w:rPr>
          <w:rFonts w:asciiTheme="majorBidi" w:hAnsiTheme="majorBidi" w:cstheme="majorBidi"/>
          <w:sz w:val="20"/>
          <w:szCs w:val="20"/>
          <w:lang w:val="en-US"/>
        </w:rPr>
        <w:t xml:space="preserve">, M., et al (2016). </w:t>
      </w:r>
      <w:r w:rsidRPr="009D551E">
        <w:rPr>
          <w:rFonts w:asciiTheme="majorBidi" w:hAnsiTheme="majorBidi" w:cstheme="majorBidi"/>
          <w:sz w:val="20"/>
          <w:szCs w:val="20"/>
        </w:rPr>
        <w:t xml:space="preserve">Alarming nutrient pollution of Chinese rivers </w:t>
      </w:r>
      <w:proofErr w:type="gramStart"/>
      <w:r w:rsidRPr="009D551E">
        <w:rPr>
          <w:rFonts w:asciiTheme="majorBidi" w:hAnsiTheme="majorBidi" w:cstheme="majorBidi"/>
          <w:sz w:val="20"/>
          <w:szCs w:val="20"/>
        </w:rPr>
        <w:t>as a result of</w:t>
      </w:r>
      <w:proofErr w:type="gramEnd"/>
      <w:r w:rsidRPr="009D551E">
        <w:rPr>
          <w:rFonts w:asciiTheme="majorBidi" w:hAnsiTheme="majorBidi" w:cstheme="majorBidi"/>
          <w:sz w:val="20"/>
          <w:szCs w:val="20"/>
        </w:rPr>
        <w:t xml:space="preserve"> agricultural transitions. Environmental Research Letters, 11(2), 024014.</w:t>
      </w:r>
    </w:p>
    <w:p w:rsidR="00071EBB" w:rsidRPr="009D551E" w:rsidRDefault="00071EBB" w:rsidP="009D551E">
      <w:pPr>
        <w:jc w:val="left"/>
        <w:rPr>
          <w:rFonts w:asciiTheme="majorBidi" w:hAnsiTheme="majorBidi" w:cstheme="majorBidi"/>
          <w:sz w:val="20"/>
          <w:szCs w:val="20"/>
        </w:rPr>
      </w:pPr>
      <w:r w:rsidRPr="009D551E">
        <w:rPr>
          <w:rFonts w:asciiTheme="majorBidi" w:hAnsiTheme="majorBidi" w:cstheme="majorBidi"/>
          <w:sz w:val="20"/>
          <w:szCs w:val="20"/>
        </w:rPr>
        <w:t>Withers, P. J., et al (2014). Feed the crop not the soil: rethinking phosphorus management in the food chain.</w:t>
      </w:r>
    </w:p>
  </w:footnote>
  <w:footnote w:id="155">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Simons, A., et al (2014). Filling the phosphorus fertilizer gap in developing countries. Nature Geoscience, 7(1), 3-3.</w:t>
      </w:r>
    </w:p>
  </w:footnote>
  <w:footnote w:id="156">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Van Meter, K. J., et al (2016). </w:t>
      </w:r>
      <w:r w:rsidRPr="009D551E">
        <w:rPr>
          <w:rFonts w:asciiTheme="majorBidi" w:hAnsiTheme="majorBidi" w:cstheme="majorBidi"/>
          <w:sz w:val="20"/>
          <w:szCs w:val="20"/>
        </w:rPr>
        <w:t>The nitrogen legacy: emerging evidence of nitrogen accumulation in anthropogenic landscapes. Environmental Research Letters, 11(3), 035014.</w:t>
      </w:r>
    </w:p>
  </w:footnote>
  <w:footnote w:id="157">
    <w:p w:rsidR="00071EBB" w:rsidRPr="009D551E" w:rsidRDefault="00071EBB" w:rsidP="009D551E">
      <w:pPr>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Withers, P. J., et al (2014). Feed the crop not the soil: rethinking phosphorus management in the food chain.</w:t>
      </w:r>
    </w:p>
  </w:footnote>
  <w:footnote w:id="158">
    <w:p w:rsidR="00071EBB" w:rsidRPr="009D551E" w:rsidRDefault="00071EBB" w:rsidP="009D551E">
      <w:pPr>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fr-BE"/>
        </w:rPr>
        <w:t xml:space="preserve"> </w:t>
      </w:r>
      <w:proofErr w:type="spellStart"/>
      <w:r w:rsidRPr="009D551E">
        <w:rPr>
          <w:rFonts w:asciiTheme="majorBidi" w:hAnsiTheme="majorBidi" w:cstheme="majorBidi"/>
          <w:sz w:val="20"/>
          <w:szCs w:val="20"/>
          <w:lang w:val="fr-BE"/>
        </w:rPr>
        <w:t>Sattari</w:t>
      </w:r>
      <w:proofErr w:type="spellEnd"/>
      <w:r w:rsidRPr="009D551E">
        <w:rPr>
          <w:rFonts w:asciiTheme="majorBidi" w:hAnsiTheme="majorBidi" w:cstheme="majorBidi"/>
          <w:sz w:val="20"/>
          <w:szCs w:val="20"/>
          <w:lang w:val="fr-BE"/>
        </w:rPr>
        <w:t xml:space="preserve">, S. Z., et al (2014). </w:t>
      </w:r>
      <w:r w:rsidRPr="009D551E">
        <w:rPr>
          <w:rFonts w:asciiTheme="majorBidi" w:hAnsiTheme="majorBidi" w:cstheme="majorBidi"/>
          <w:sz w:val="20"/>
          <w:szCs w:val="20"/>
        </w:rPr>
        <w:t>Key role of China and its agriculture in global sustainable phosphorus management. Environmental Research Letters, 9(5), 054003.</w:t>
      </w:r>
    </w:p>
  </w:footnote>
  <w:footnote w:id="159">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Andersen, J. H., et al (2017). </w:t>
      </w:r>
      <w:r w:rsidRPr="009D551E">
        <w:rPr>
          <w:rFonts w:asciiTheme="majorBidi" w:hAnsiTheme="majorBidi" w:cstheme="majorBidi"/>
          <w:sz w:val="20"/>
          <w:szCs w:val="20"/>
        </w:rPr>
        <w:t>Long</w:t>
      </w:r>
      <w:r w:rsidRPr="009D551E">
        <w:rPr>
          <w:rFonts w:ascii="Cambria Math" w:hAnsi="Cambria Math" w:cs="Cambria Math"/>
          <w:sz w:val="20"/>
          <w:szCs w:val="20"/>
        </w:rPr>
        <w:t>‐</w:t>
      </w:r>
      <w:r w:rsidRPr="009D551E">
        <w:rPr>
          <w:rFonts w:asciiTheme="majorBidi" w:hAnsiTheme="majorBidi" w:cstheme="majorBidi"/>
          <w:sz w:val="20"/>
          <w:szCs w:val="20"/>
        </w:rPr>
        <w:t>term temporal and spatial trends in eutrophication status of the Baltic Sea. Biological Reviews. 92:135-149.</w:t>
      </w:r>
    </w:p>
  </w:footnote>
  <w:footnote w:id="160">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Fleming-</w:t>
      </w:r>
      <w:proofErr w:type="spellStart"/>
      <w:r w:rsidRPr="009D551E">
        <w:rPr>
          <w:rFonts w:asciiTheme="majorBidi" w:hAnsiTheme="majorBidi" w:cstheme="majorBidi"/>
          <w:sz w:val="20"/>
          <w:szCs w:val="20"/>
        </w:rPr>
        <w:t>Lehtinen</w:t>
      </w:r>
      <w:proofErr w:type="spellEnd"/>
      <w:r w:rsidRPr="009D551E">
        <w:rPr>
          <w:rFonts w:asciiTheme="majorBidi" w:hAnsiTheme="majorBidi" w:cstheme="majorBidi"/>
          <w:sz w:val="20"/>
          <w:szCs w:val="20"/>
        </w:rPr>
        <w:t xml:space="preserve"> V., et al (2015). Recent developments in methodology reveal Baltic Sea eutrophication problem is expanding. Ecological Indicators 48, 380-388.</w:t>
      </w:r>
    </w:p>
  </w:footnote>
  <w:footnote w:id="161">
    <w:p w:rsidR="00071EBB" w:rsidRPr="009D551E" w:rsidRDefault="00071EBB" w:rsidP="009D551E">
      <w:pPr>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9D551E">
        <w:rPr>
          <w:rFonts w:asciiTheme="majorBidi" w:hAnsiTheme="majorBidi" w:cstheme="majorBidi"/>
          <w:sz w:val="20"/>
          <w:szCs w:val="20"/>
        </w:rPr>
        <w:t xml:space="preserve">Jones, L., et al (2016). Can on-site management mitigate nitrogen deposition impacts in non-wooded </w:t>
      </w:r>
      <w:proofErr w:type="gramStart"/>
      <w:r w:rsidRPr="009D551E">
        <w:rPr>
          <w:rFonts w:asciiTheme="majorBidi" w:hAnsiTheme="majorBidi" w:cstheme="majorBidi"/>
          <w:sz w:val="20"/>
          <w:szCs w:val="20"/>
        </w:rPr>
        <w:t>habitats?.</w:t>
      </w:r>
      <w:proofErr w:type="gramEnd"/>
      <w:r w:rsidRPr="009D551E">
        <w:rPr>
          <w:rFonts w:asciiTheme="majorBidi" w:hAnsiTheme="majorBidi" w:cstheme="majorBidi"/>
          <w:sz w:val="20"/>
          <w:szCs w:val="20"/>
        </w:rPr>
        <w:t xml:space="preserve"> Biological Conservation.</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rPr>
        <w:t>WallisDeVries</w:t>
      </w:r>
      <w:proofErr w:type="spellEnd"/>
      <w:r w:rsidRPr="009D551E">
        <w:rPr>
          <w:rFonts w:asciiTheme="majorBidi" w:hAnsiTheme="majorBidi" w:cstheme="majorBidi"/>
          <w:sz w:val="20"/>
          <w:szCs w:val="20"/>
        </w:rPr>
        <w:t xml:space="preserve">, M. F., and </w:t>
      </w:r>
      <w:proofErr w:type="spellStart"/>
      <w:r w:rsidRPr="009D551E">
        <w:rPr>
          <w:rFonts w:asciiTheme="majorBidi" w:hAnsiTheme="majorBidi" w:cstheme="majorBidi"/>
          <w:sz w:val="20"/>
          <w:szCs w:val="20"/>
        </w:rPr>
        <w:t>Bobbink</w:t>
      </w:r>
      <w:proofErr w:type="spellEnd"/>
      <w:r w:rsidRPr="009D551E">
        <w:rPr>
          <w:rFonts w:asciiTheme="majorBidi" w:hAnsiTheme="majorBidi" w:cstheme="majorBidi"/>
          <w:sz w:val="20"/>
          <w:szCs w:val="20"/>
        </w:rPr>
        <w:t>, R. (2017). Nitrogen deposition impacts on biodiversity in terrestrial ecosystems: Mechanisms and perspectives for restoration. Biological Conservation. Editorial.</w:t>
      </w:r>
    </w:p>
  </w:footnote>
  <w:footnote w:id="162">
    <w:p w:rsidR="00071EBB" w:rsidRPr="009D551E" w:rsidRDefault="00071EBB" w:rsidP="009D551E">
      <w:pPr>
        <w:pStyle w:val="FootnoteText"/>
        <w:ind w:firstLine="0"/>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720FA7">
        <w:rPr>
          <w:rFonts w:asciiTheme="majorBidi" w:hAnsiTheme="majorBidi" w:cstheme="majorBidi"/>
          <w:sz w:val="20"/>
          <w:szCs w:val="20"/>
          <w:lang w:val="en-US"/>
        </w:rPr>
        <w:t xml:space="preserve">Jepson, P. D. et al (2016). </w:t>
      </w:r>
      <w:r w:rsidRPr="009D551E">
        <w:rPr>
          <w:rFonts w:asciiTheme="majorBidi" w:hAnsiTheme="majorBidi" w:cstheme="majorBidi"/>
          <w:sz w:val="20"/>
          <w:szCs w:val="20"/>
        </w:rPr>
        <w:t>PCB pollution continues to impact populations of orcas and other dolphins in European waters. Scientific Reports 6 (18573)doi:10.1038/srep18573</w:t>
      </w:r>
    </w:p>
  </w:footnote>
  <w:footnote w:id="163">
    <w:p w:rsidR="00071EBB" w:rsidRPr="009D551E" w:rsidRDefault="00071EBB" w:rsidP="009D551E">
      <w:pPr>
        <w:pStyle w:val="FootnoteText"/>
        <w:ind w:firstLine="0"/>
        <w:jc w:val="left"/>
        <w:rPr>
          <w:rFonts w:asciiTheme="majorBidi" w:hAnsiTheme="majorBidi" w:cstheme="majorBidi"/>
          <w:sz w:val="20"/>
          <w:szCs w:val="20"/>
          <w:shd w:val="clear" w:color="auto" w:fill="FFFFFF"/>
          <w:lang w:val="fr-BE"/>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9D551E">
        <w:rPr>
          <w:rFonts w:asciiTheme="majorBidi" w:hAnsiTheme="majorBidi" w:cstheme="majorBidi"/>
          <w:sz w:val="20"/>
          <w:szCs w:val="20"/>
          <w:shd w:val="clear" w:color="auto" w:fill="FFFFFF"/>
          <w:lang w:val="en-US"/>
        </w:rPr>
        <w:t xml:space="preserve">Pham CK, et al. </w:t>
      </w:r>
      <w:r w:rsidRPr="009D551E">
        <w:rPr>
          <w:rFonts w:asciiTheme="majorBidi" w:hAnsiTheme="majorBidi" w:cstheme="majorBidi"/>
          <w:sz w:val="20"/>
          <w:szCs w:val="20"/>
          <w:shd w:val="clear" w:color="auto" w:fill="FFFFFF"/>
        </w:rPr>
        <w:t xml:space="preserve">(2014) Marine Litter Distribution and Density in European Seas, from the Shelves to Deep Basins. </w:t>
      </w:r>
      <w:proofErr w:type="spellStart"/>
      <w:r w:rsidRPr="009D551E">
        <w:rPr>
          <w:rFonts w:asciiTheme="majorBidi" w:hAnsiTheme="majorBidi" w:cstheme="majorBidi"/>
          <w:sz w:val="20"/>
          <w:szCs w:val="20"/>
          <w:shd w:val="clear" w:color="auto" w:fill="FFFFFF"/>
          <w:lang w:val="fr-BE"/>
        </w:rPr>
        <w:t>PLoS</w:t>
      </w:r>
      <w:proofErr w:type="spellEnd"/>
      <w:r w:rsidRPr="009D551E">
        <w:rPr>
          <w:rFonts w:asciiTheme="majorBidi" w:hAnsiTheme="majorBidi" w:cstheme="majorBidi"/>
          <w:sz w:val="20"/>
          <w:szCs w:val="20"/>
          <w:shd w:val="clear" w:color="auto" w:fill="FFFFFF"/>
          <w:lang w:val="fr-BE"/>
        </w:rPr>
        <w:t xml:space="preserve"> ONE 9(4): e95839. </w:t>
      </w:r>
      <w:hyperlink r:id="rId19" w:history="1">
        <w:r w:rsidRPr="009D551E">
          <w:rPr>
            <w:rStyle w:val="Hyperlink"/>
            <w:rFonts w:asciiTheme="majorBidi" w:hAnsiTheme="majorBidi" w:cstheme="majorBidi"/>
            <w:color w:val="auto"/>
            <w:sz w:val="20"/>
            <w:szCs w:val="20"/>
            <w:shd w:val="clear" w:color="auto" w:fill="FFFFFF"/>
            <w:lang w:val="fr-BE"/>
          </w:rPr>
          <w:t>https://doi.org/10.1371/journal.pone.0095839</w:t>
        </w:r>
      </w:hyperlink>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4B63C3">
        <w:rPr>
          <w:rFonts w:asciiTheme="majorBidi" w:hAnsiTheme="majorBidi" w:cstheme="majorBidi"/>
          <w:sz w:val="20"/>
          <w:szCs w:val="20"/>
          <w:lang w:val="en-US"/>
        </w:rPr>
        <w:t>Desforges</w:t>
      </w:r>
      <w:proofErr w:type="spellEnd"/>
      <w:r w:rsidRPr="004B63C3">
        <w:rPr>
          <w:rFonts w:asciiTheme="majorBidi" w:hAnsiTheme="majorBidi" w:cstheme="majorBidi"/>
          <w:sz w:val="20"/>
          <w:szCs w:val="20"/>
          <w:lang w:val="en-US"/>
        </w:rPr>
        <w:t xml:space="preserve">, J. et al (2014). </w:t>
      </w:r>
      <w:r w:rsidRPr="009D551E">
        <w:rPr>
          <w:rFonts w:asciiTheme="majorBidi" w:hAnsiTheme="majorBidi" w:cstheme="majorBidi"/>
          <w:sz w:val="20"/>
          <w:szCs w:val="20"/>
          <w:lang w:val="en-US"/>
        </w:rPr>
        <w:t>Widespread distribution of microplastics in subsurface seawater in the NE Pacific Ocean.  Marine Pollution Bulletin. 79 (1-2),94-99.</w:t>
      </w:r>
    </w:p>
  </w:footnote>
  <w:footnote w:id="164">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071EBB">
        <w:rPr>
          <w:rStyle w:val="FootnoteReference"/>
          <w:sz w:val="20"/>
        </w:rPr>
        <w:t xml:space="preserve"> </w:t>
      </w:r>
      <w:proofErr w:type="spellStart"/>
      <w:r w:rsidRPr="009D551E">
        <w:rPr>
          <w:rFonts w:asciiTheme="majorBidi" w:hAnsiTheme="majorBidi" w:cstheme="majorBidi"/>
          <w:sz w:val="20"/>
          <w:szCs w:val="20"/>
        </w:rPr>
        <w:t>Jambeck</w:t>
      </w:r>
      <w:proofErr w:type="spellEnd"/>
      <w:r w:rsidRPr="009D551E">
        <w:rPr>
          <w:rFonts w:asciiTheme="majorBidi" w:hAnsiTheme="majorBidi" w:cstheme="majorBidi"/>
          <w:sz w:val="20"/>
          <w:szCs w:val="20"/>
        </w:rPr>
        <w:t xml:space="preserve">, J.R., et al (2015) Plastic waste inputs from land into the ocean. </w:t>
      </w:r>
      <w:r w:rsidRPr="009D551E">
        <w:rPr>
          <w:rFonts w:asciiTheme="majorBidi" w:hAnsiTheme="majorBidi" w:cstheme="majorBidi"/>
          <w:sz w:val="20"/>
          <w:szCs w:val="20"/>
          <w:lang w:val="en-US"/>
        </w:rPr>
        <w:t>Science. 347 (6223), 768-770.</w:t>
      </w:r>
    </w:p>
  </w:footnote>
  <w:footnote w:id="165">
    <w:p w:rsidR="00071EBB" w:rsidRPr="009D551E" w:rsidRDefault="00071EBB" w:rsidP="007562E9">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Schmidt, C. et al (2017). Export of Plastic Debris by Rivers into the Sea Environmental Science &amp; Technology 51 (21), 12246-12253.</w:t>
      </w:r>
    </w:p>
  </w:footnote>
  <w:footnote w:id="166">
    <w:p w:rsidR="00071EBB" w:rsidRPr="009D551E" w:rsidRDefault="00071EBB" w:rsidP="009D551E">
      <w:pPr>
        <w:pStyle w:val="FootnoteText"/>
        <w:ind w:firstLine="0"/>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Lebreton</w:t>
      </w:r>
      <w:proofErr w:type="spellEnd"/>
      <w:r w:rsidRPr="009D551E">
        <w:rPr>
          <w:rFonts w:asciiTheme="majorBidi" w:hAnsiTheme="majorBidi" w:cstheme="majorBidi"/>
          <w:sz w:val="20"/>
          <w:szCs w:val="20"/>
        </w:rPr>
        <w:t xml:space="preserve">, L. et al (2018). Evidence that the Great Pacific Garbage Patch is rapidly accumulating plastic. </w:t>
      </w:r>
      <w:proofErr w:type="spellStart"/>
      <w:r w:rsidRPr="009D551E">
        <w:rPr>
          <w:rFonts w:asciiTheme="majorBidi" w:hAnsiTheme="majorBidi" w:cstheme="majorBidi"/>
          <w:sz w:val="20"/>
          <w:szCs w:val="20"/>
        </w:rPr>
        <w:t>Scentific</w:t>
      </w:r>
      <w:proofErr w:type="spellEnd"/>
      <w:r w:rsidRPr="009D551E">
        <w:rPr>
          <w:rFonts w:asciiTheme="majorBidi" w:hAnsiTheme="majorBidi" w:cstheme="majorBidi"/>
          <w:sz w:val="20"/>
          <w:szCs w:val="20"/>
        </w:rPr>
        <w:t xml:space="preserve"> Reports 8, 4666. doi:10.1038/s41598-018-22939-w</w:t>
      </w:r>
    </w:p>
  </w:footnote>
  <w:footnote w:id="167">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720FA7">
        <w:rPr>
          <w:rFonts w:asciiTheme="majorBidi" w:hAnsiTheme="majorBidi" w:cstheme="majorBidi"/>
          <w:sz w:val="20"/>
          <w:szCs w:val="20"/>
          <w:lang w:val="en-US"/>
        </w:rPr>
        <w:t xml:space="preserve">Eerkes-Medrano, D. et al (2015). </w:t>
      </w:r>
      <w:r w:rsidRPr="009D551E">
        <w:rPr>
          <w:rFonts w:asciiTheme="majorBidi" w:hAnsiTheme="majorBidi" w:cstheme="majorBidi"/>
          <w:sz w:val="20"/>
          <w:szCs w:val="20"/>
        </w:rPr>
        <w:t>Microplastics in freshwater systems: A review of the emerging threats, identification of knowledge gaps and prioritisation of research needs. Water Research 75, 63</w:t>
      </w:r>
    </w:p>
  </w:footnote>
  <w:footnote w:id="168">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Gall, S.C and Thompson, R.C. (2015). The impact of debris on marine life</w:t>
      </w:r>
      <w:r w:rsidRPr="009D551E">
        <w:rPr>
          <w:rFonts w:asciiTheme="majorBidi" w:hAnsiTheme="majorBidi" w:cstheme="majorBidi"/>
          <w:sz w:val="20"/>
          <w:szCs w:val="20"/>
          <w:lang w:val="en-US"/>
        </w:rPr>
        <w:t>. Marine Pollution Bulletin.92 (1-2). 170-179.</w:t>
      </w:r>
    </w:p>
  </w:footnote>
  <w:footnote w:id="169">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Wilcox, C. et al (2015). </w:t>
      </w:r>
      <w:r w:rsidRPr="009D551E">
        <w:rPr>
          <w:rFonts w:asciiTheme="majorBidi" w:hAnsiTheme="majorBidi" w:cstheme="majorBidi"/>
          <w:sz w:val="20"/>
          <w:szCs w:val="20"/>
        </w:rPr>
        <w:t>Threat of plastic pollution to seabirds is global, pervasive, and increasing. Proceedings of the National Academy of Sciences. 112 (38). 11899-11904</w:t>
      </w:r>
    </w:p>
  </w:footnote>
  <w:footnote w:id="170">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Besseling</w:t>
      </w:r>
      <w:proofErr w:type="spellEnd"/>
      <w:r w:rsidRPr="009D551E">
        <w:rPr>
          <w:rFonts w:asciiTheme="majorBidi" w:hAnsiTheme="majorBidi" w:cstheme="majorBidi"/>
          <w:sz w:val="20"/>
          <w:szCs w:val="20"/>
        </w:rPr>
        <w:t xml:space="preserve">, E, et al (2015)/ Microplastic in a macro filter feeder: Humpback whale </w:t>
      </w:r>
      <w:proofErr w:type="spellStart"/>
      <w:r w:rsidRPr="009D551E">
        <w:rPr>
          <w:rFonts w:asciiTheme="majorBidi" w:hAnsiTheme="majorBidi" w:cstheme="majorBidi"/>
          <w:sz w:val="20"/>
          <w:szCs w:val="20"/>
        </w:rPr>
        <w:t>Megaptera</w:t>
      </w:r>
      <w:proofErr w:type="spellEnd"/>
      <w:r w:rsidRPr="009D551E">
        <w:rPr>
          <w:rFonts w:asciiTheme="majorBidi" w:hAnsiTheme="majorBidi" w:cstheme="majorBidi"/>
          <w:sz w:val="20"/>
          <w:szCs w:val="20"/>
        </w:rPr>
        <w:t xml:space="preserve"> novaeangliae. Marine Pollution Bulleting. 95 (1), 248-252.</w:t>
      </w:r>
    </w:p>
    <w:p w:rsidR="00071EBB" w:rsidRPr="009D551E" w:rsidRDefault="00071EBB" w:rsidP="009D551E">
      <w:pPr>
        <w:pStyle w:val="FootnoteText"/>
        <w:ind w:firstLine="0"/>
        <w:jc w:val="left"/>
        <w:rPr>
          <w:rFonts w:asciiTheme="majorBidi" w:hAnsiTheme="majorBidi" w:cstheme="majorBidi"/>
          <w:sz w:val="20"/>
          <w:szCs w:val="20"/>
        </w:rPr>
      </w:pPr>
      <w:proofErr w:type="spellStart"/>
      <w:r w:rsidRPr="009D551E">
        <w:rPr>
          <w:rFonts w:asciiTheme="majorBidi" w:hAnsiTheme="majorBidi" w:cstheme="majorBidi"/>
          <w:sz w:val="20"/>
          <w:szCs w:val="20"/>
        </w:rPr>
        <w:t>Baulch</w:t>
      </w:r>
      <w:proofErr w:type="spellEnd"/>
      <w:r w:rsidRPr="009D551E">
        <w:rPr>
          <w:rFonts w:asciiTheme="majorBidi" w:hAnsiTheme="majorBidi" w:cstheme="majorBidi"/>
          <w:sz w:val="20"/>
          <w:szCs w:val="20"/>
        </w:rPr>
        <w:t>, S. and Perry C. (2014). Evaluating the impacts of marine debris on cetaceans</w:t>
      </w:r>
      <w:r w:rsidRPr="009D551E">
        <w:rPr>
          <w:rFonts w:asciiTheme="majorBidi" w:hAnsiTheme="majorBidi" w:cstheme="majorBidi"/>
          <w:sz w:val="20"/>
          <w:szCs w:val="20"/>
          <w:lang w:val="en-US"/>
        </w:rPr>
        <w:t>. Marine Pollution Bulletin. 80 (1-2). 210-221.</w:t>
      </w:r>
    </w:p>
  </w:footnote>
  <w:footnote w:id="171">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Lamb, </w:t>
      </w:r>
      <w:proofErr w:type="spellStart"/>
      <w:r w:rsidRPr="009D551E">
        <w:rPr>
          <w:rFonts w:asciiTheme="majorBidi" w:hAnsiTheme="majorBidi" w:cstheme="majorBidi"/>
          <w:sz w:val="20"/>
          <w:szCs w:val="20"/>
          <w:lang w:val="en-US"/>
        </w:rPr>
        <w:t>Joleah</w:t>
      </w:r>
      <w:proofErr w:type="spellEnd"/>
      <w:r w:rsidRPr="009D551E">
        <w:rPr>
          <w:rFonts w:asciiTheme="majorBidi" w:hAnsiTheme="majorBidi" w:cstheme="majorBidi"/>
          <w:sz w:val="20"/>
          <w:szCs w:val="20"/>
          <w:lang w:val="en-US"/>
        </w:rPr>
        <w:t xml:space="preserve"> B. et al (2018). Plastic waste associated with disease on coral reefs. Science 359 (6374) 460-462.</w:t>
      </w:r>
    </w:p>
  </w:footnote>
  <w:footnote w:id="172">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9D551E">
        <w:rPr>
          <w:rFonts w:asciiTheme="majorBidi" w:hAnsiTheme="majorBidi" w:cstheme="majorBidi"/>
          <w:sz w:val="20"/>
          <w:szCs w:val="20"/>
          <w:lang w:val="en-US"/>
        </w:rPr>
        <w:t xml:space="preserve">Xanthos, D. et al. </w:t>
      </w:r>
      <w:r w:rsidRPr="009D551E">
        <w:rPr>
          <w:rFonts w:asciiTheme="majorBidi" w:hAnsiTheme="majorBidi" w:cstheme="majorBidi"/>
          <w:sz w:val="20"/>
          <w:szCs w:val="20"/>
        </w:rPr>
        <w:t xml:space="preserve">(2017). International policies to reduce plastic marine pollution from single-use plastics (plastic bags and microbeads): A review. </w:t>
      </w:r>
      <w:r w:rsidRPr="009D551E">
        <w:rPr>
          <w:rFonts w:asciiTheme="majorBidi" w:hAnsiTheme="majorBidi" w:cstheme="majorBidi"/>
          <w:sz w:val="20"/>
          <w:szCs w:val="20"/>
          <w:lang w:val="en-US"/>
        </w:rPr>
        <w:t>Marine Pollution Bulletin, 118 (1–2), 17-26.</w:t>
      </w:r>
    </w:p>
  </w:footnote>
  <w:footnote w:id="173">
    <w:p w:rsidR="00071EBB" w:rsidRPr="009D551E" w:rsidRDefault="00071EBB" w:rsidP="009D551E">
      <w:pPr>
        <w:pStyle w:val="FootnoteText"/>
        <w:ind w:firstLine="0"/>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proofErr w:type="gramStart"/>
      <w:r w:rsidRPr="009D551E">
        <w:rPr>
          <w:rFonts w:asciiTheme="majorBidi" w:hAnsiTheme="majorBidi" w:cstheme="majorBidi"/>
          <w:sz w:val="20"/>
          <w:szCs w:val="20"/>
        </w:rPr>
        <w:t>Schuyler,Q</w:t>
      </w:r>
      <w:proofErr w:type="spellEnd"/>
      <w:proofErr w:type="gramEnd"/>
      <w:r w:rsidRPr="009D551E">
        <w:rPr>
          <w:rFonts w:asciiTheme="majorBidi" w:hAnsiTheme="majorBidi" w:cstheme="majorBidi"/>
          <w:sz w:val="20"/>
          <w:szCs w:val="20"/>
        </w:rPr>
        <w:t>, et al (2018). Economic incentives reduce plastic inputs to the ocean, Marine Policy,0308-597</w:t>
      </w:r>
      <w:proofErr w:type="gramStart"/>
      <w:r w:rsidRPr="009D551E">
        <w:rPr>
          <w:rFonts w:asciiTheme="majorBidi" w:hAnsiTheme="majorBidi" w:cstheme="majorBidi"/>
          <w:sz w:val="20"/>
          <w:szCs w:val="20"/>
        </w:rPr>
        <w:t>X,.</w:t>
      </w:r>
      <w:proofErr w:type="gramEnd"/>
      <w:r w:rsidRPr="009D551E">
        <w:rPr>
          <w:rFonts w:asciiTheme="majorBidi" w:hAnsiTheme="majorBidi" w:cstheme="majorBidi"/>
          <w:sz w:val="20"/>
          <w:szCs w:val="20"/>
        </w:rPr>
        <w:t xml:space="preserve"> doi.org/10.1016/j.marpol.2018.02.009.</w:t>
      </w:r>
    </w:p>
  </w:footnote>
  <w:footnote w:id="174">
    <w:p w:rsidR="00071EBB" w:rsidRPr="00F52992" w:rsidRDefault="00071EBB" w:rsidP="00F52992">
      <w:pPr>
        <w:pStyle w:val="FootnoteText"/>
        <w:ind w:firstLine="0"/>
      </w:pPr>
      <w:r w:rsidRPr="00071EBB">
        <w:rPr>
          <w:rStyle w:val="FootnoteReference"/>
          <w:rFonts w:asciiTheme="majorBidi" w:hAnsiTheme="majorBidi" w:cstheme="majorBidi"/>
          <w:sz w:val="20"/>
          <w:szCs w:val="20"/>
        </w:rPr>
        <w:footnoteRef/>
      </w:r>
      <w:r>
        <w:t xml:space="preserve"> </w:t>
      </w:r>
      <w:proofErr w:type="spellStart"/>
      <w:r>
        <w:t>Maes</w:t>
      </w:r>
      <w:proofErr w:type="spellEnd"/>
      <w:r>
        <w:t xml:space="preserve">, T. et al (2018). Below the surface: </w:t>
      </w:r>
      <w:proofErr w:type="spellStart"/>
      <w:r>
        <w:t>Twnety</w:t>
      </w:r>
      <w:proofErr w:type="spellEnd"/>
      <w:r>
        <w:t>-five years of seafloor litter monitoring in coastal seas of North West Europe (1992-2017). Science of the Total Environment. 630, 790-798.</w:t>
      </w:r>
    </w:p>
  </w:footnote>
  <w:footnote w:id="175">
    <w:p w:rsidR="00071EBB" w:rsidRPr="009D551E" w:rsidRDefault="00071EBB" w:rsidP="009D551E">
      <w:pPr>
        <w:jc w:val="left"/>
        <w:rPr>
          <w:rFonts w:asciiTheme="majorBidi" w:eastAsia="Calibri" w:hAnsiTheme="majorBidi" w:cstheme="majorBidi"/>
          <w:sz w:val="20"/>
          <w:szCs w:val="20"/>
          <w:lang w:val="en-US"/>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9D551E">
        <w:rPr>
          <w:rFonts w:asciiTheme="majorBidi" w:hAnsiTheme="majorBidi" w:cstheme="majorBidi"/>
          <w:sz w:val="20"/>
          <w:szCs w:val="20"/>
          <w:lang w:val="en-US"/>
        </w:rPr>
        <w:t xml:space="preserve">IUCN Red List Index </w:t>
      </w:r>
      <w:hyperlink r:id="rId20" w:history="1">
        <w:r w:rsidRPr="009D551E">
          <w:rPr>
            <w:rStyle w:val="Hyperlink"/>
            <w:rFonts w:asciiTheme="majorBidi" w:eastAsia="Calibri" w:hAnsiTheme="majorBidi" w:cstheme="majorBidi"/>
            <w:color w:val="0563C1"/>
            <w:sz w:val="20"/>
            <w:szCs w:val="20"/>
            <w:lang w:val="en-US"/>
          </w:rPr>
          <w:t>http://www.iucnredlist.org/about/publication/red-list-index</w:t>
        </w:r>
      </w:hyperlink>
      <w:r w:rsidRPr="009D551E">
        <w:rPr>
          <w:rFonts w:asciiTheme="majorBidi" w:eastAsia="Calibri" w:hAnsiTheme="majorBidi" w:cstheme="majorBidi"/>
          <w:color w:val="0563C1"/>
          <w:sz w:val="20"/>
          <w:szCs w:val="20"/>
          <w:u w:val="single"/>
          <w:lang w:val="en-US"/>
        </w:rPr>
        <w:t xml:space="preserve"> </w:t>
      </w:r>
    </w:p>
  </w:footnote>
  <w:footnote w:id="176">
    <w:p w:rsidR="00071EBB" w:rsidRPr="009D551E" w:rsidRDefault="00071EBB" w:rsidP="009D551E">
      <w:pPr>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9D551E">
        <w:rPr>
          <w:rFonts w:asciiTheme="majorBidi" w:hAnsiTheme="majorBidi" w:cstheme="majorBidi"/>
          <w:sz w:val="20"/>
          <w:szCs w:val="20"/>
        </w:rPr>
        <w:t xml:space="preserve">Food and Agriculture Organization of the United Nations. FAOSTAT. Pesticides (use). (Latest update: Dataset) Accessed (06 Mar 2014). </w:t>
      </w:r>
      <w:hyperlink r:id="rId21" w:history="1">
        <w:r w:rsidRPr="009D551E">
          <w:rPr>
            <w:rStyle w:val="Hyperlink"/>
            <w:rFonts w:asciiTheme="majorBidi" w:hAnsiTheme="majorBidi" w:cstheme="majorBidi"/>
            <w:sz w:val="20"/>
            <w:szCs w:val="20"/>
          </w:rPr>
          <w:t>http://ref.data.fao.org/dataset?entryId=5e70fee4-fb65-43b6-8da1-b6de4626b9bd&amp;tab=about</w:t>
        </w:r>
      </w:hyperlink>
    </w:p>
  </w:footnote>
  <w:footnote w:id="177">
    <w:p w:rsidR="00071EBB" w:rsidRPr="009D551E" w:rsidRDefault="00071EBB" w:rsidP="009D551E">
      <w:pPr>
        <w:pStyle w:val="FootnoteText"/>
        <w:ind w:firstLine="0"/>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Seebens</w:t>
      </w:r>
      <w:proofErr w:type="spellEnd"/>
      <w:r w:rsidRPr="009D551E">
        <w:rPr>
          <w:rFonts w:asciiTheme="majorBidi" w:hAnsiTheme="majorBidi" w:cstheme="majorBidi"/>
          <w:sz w:val="20"/>
          <w:szCs w:val="20"/>
        </w:rPr>
        <w:t xml:space="preserve"> et al. 2017. No saturation in the accumulation of alien species Worldwide. Nature Communications 8 (14435). doi:10.1038/ncomms14435</w:t>
      </w:r>
    </w:p>
  </w:footnote>
  <w:footnote w:id="178">
    <w:p w:rsidR="00071EBB" w:rsidRPr="009D551E" w:rsidRDefault="00071EBB" w:rsidP="009D551E">
      <w:pPr>
        <w:pStyle w:val="FootnoteText"/>
        <w:ind w:firstLine="0"/>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071EBB">
        <w:rPr>
          <w:rStyle w:val="FootnoteReference"/>
          <w:sz w:val="20"/>
        </w:rPr>
        <w:t xml:space="preserve"> </w:t>
      </w:r>
      <w:proofErr w:type="spellStart"/>
      <w:r w:rsidRPr="009D551E">
        <w:rPr>
          <w:rFonts w:asciiTheme="majorBidi" w:hAnsiTheme="majorBidi" w:cstheme="majorBidi"/>
          <w:sz w:val="20"/>
          <w:szCs w:val="20"/>
        </w:rPr>
        <w:t>Seebens</w:t>
      </w:r>
      <w:proofErr w:type="spellEnd"/>
      <w:r w:rsidRPr="009D551E">
        <w:rPr>
          <w:rFonts w:asciiTheme="majorBidi" w:hAnsiTheme="majorBidi" w:cstheme="majorBidi"/>
          <w:sz w:val="20"/>
          <w:szCs w:val="20"/>
        </w:rPr>
        <w:t xml:space="preserve"> et al. (2018). Global rise in emerging alien species results from increased accessibility of new source pools. Proceedings of the National Academy of Sciences. E2264. DOI: 10.1073/pnas.1719429115</w:t>
      </w:r>
    </w:p>
  </w:footnote>
  <w:footnote w:id="179">
    <w:p w:rsidR="00071EBB" w:rsidRPr="009D551E" w:rsidRDefault="00071EBB" w:rsidP="009D551E">
      <w:pPr>
        <w:pStyle w:val="FootnoteText"/>
        <w:ind w:firstLine="0"/>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Bradshaw et al (2016). Massive yet grossly underestimated global costs of invasive insects. Nature Communications. 7(12986). doi:10.1038/ncomms12986</w:t>
      </w:r>
    </w:p>
  </w:footnote>
  <w:footnote w:id="180">
    <w:p w:rsidR="00071EBB" w:rsidRPr="009D551E" w:rsidRDefault="00071EBB" w:rsidP="009D551E">
      <w:pPr>
        <w:pStyle w:val="FootnoteText"/>
        <w:ind w:firstLine="0"/>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9D551E">
        <w:rPr>
          <w:rFonts w:asciiTheme="majorBidi" w:hAnsiTheme="majorBidi" w:cstheme="majorBidi"/>
          <w:sz w:val="20"/>
          <w:szCs w:val="20"/>
          <w:lang w:val="en-US"/>
        </w:rPr>
        <w:t>Baker, C.M. (2016)</w:t>
      </w:r>
      <w:r w:rsidRPr="009D551E">
        <w:rPr>
          <w:rFonts w:asciiTheme="majorBidi" w:hAnsiTheme="majorBidi" w:cstheme="majorBidi"/>
          <w:sz w:val="20"/>
          <w:szCs w:val="20"/>
        </w:rPr>
        <w:t xml:space="preserve"> </w:t>
      </w:r>
      <w:r w:rsidRPr="009D551E">
        <w:rPr>
          <w:rFonts w:asciiTheme="majorBidi" w:hAnsiTheme="majorBidi" w:cstheme="majorBidi"/>
          <w:sz w:val="20"/>
          <w:szCs w:val="20"/>
          <w:lang w:val="en-US"/>
        </w:rPr>
        <w:t xml:space="preserve">Target the Source: Optimal Spatiotemporal Resource Allocation for Invasive Species Control. Conservation Letters 10(1), 41-48. </w:t>
      </w:r>
    </w:p>
    <w:p w:rsidR="00071EBB" w:rsidRPr="009D551E" w:rsidRDefault="00071EBB" w:rsidP="009D551E">
      <w:pPr>
        <w:pStyle w:val="FootnoteText"/>
        <w:ind w:firstLine="0"/>
        <w:rPr>
          <w:rFonts w:asciiTheme="majorBidi" w:hAnsiTheme="majorBidi" w:cstheme="majorBidi"/>
          <w:sz w:val="20"/>
          <w:szCs w:val="20"/>
          <w:lang w:val="en-US"/>
        </w:rPr>
      </w:pPr>
      <w:r w:rsidRPr="009D551E">
        <w:rPr>
          <w:rFonts w:asciiTheme="majorBidi" w:hAnsiTheme="majorBidi" w:cstheme="majorBidi"/>
          <w:sz w:val="20"/>
          <w:szCs w:val="20"/>
          <w:lang w:val="en-US"/>
        </w:rPr>
        <w:t>Chapman, D et al (2016). Modelling the introduction and spread of non-native species: international trade and climate change drive ragweed invasion.</w:t>
      </w:r>
      <w:r w:rsidRPr="009D551E">
        <w:rPr>
          <w:rFonts w:asciiTheme="majorBidi" w:hAnsiTheme="majorBidi" w:cstheme="majorBidi"/>
          <w:sz w:val="20"/>
          <w:szCs w:val="20"/>
        </w:rPr>
        <w:t xml:space="preserve"> </w:t>
      </w:r>
      <w:r w:rsidRPr="009D551E">
        <w:rPr>
          <w:rFonts w:asciiTheme="majorBidi" w:hAnsiTheme="majorBidi" w:cstheme="majorBidi"/>
          <w:sz w:val="20"/>
          <w:szCs w:val="20"/>
          <w:lang w:val="en-US"/>
        </w:rPr>
        <w:t xml:space="preserve">Global Change Biology 22, 3067–3079 </w:t>
      </w:r>
      <w:proofErr w:type="spellStart"/>
      <w:r w:rsidRPr="009D551E">
        <w:rPr>
          <w:rFonts w:asciiTheme="majorBidi" w:hAnsiTheme="majorBidi" w:cstheme="majorBidi"/>
          <w:sz w:val="20"/>
          <w:szCs w:val="20"/>
          <w:lang w:val="en-US"/>
        </w:rPr>
        <w:t>doi</w:t>
      </w:r>
      <w:proofErr w:type="spellEnd"/>
      <w:r w:rsidRPr="009D551E">
        <w:rPr>
          <w:rFonts w:asciiTheme="majorBidi" w:hAnsiTheme="majorBidi" w:cstheme="majorBidi"/>
          <w:sz w:val="20"/>
          <w:szCs w:val="20"/>
          <w:lang w:val="en-US"/>
        </w:rPr>
        <w:t>: 10.1111/gcb.13220.</w:t>
      </w:r>
    </w:p>
  </w:footnote>
  <w:footnote w:id="181">
    <w:p w:rsidR="00071EBB" w:rsidRPr="009D551E" w:rsidRDefault="00071EBB" w:rsidP="009D551E">
      <w:pPr>
        <w:jc w:val="left"/>
        <w:outlineLvl w:val="0"/>
        <w:rPr>
          <w:rFonts w:asciiTheme="majorBidi" w:hAnsiTheme="majorBidi" w:cstheme="majorBidi"/>
          <w:sz w:val="20"/>
          <w:szCs w:val="20"/>
          <w:shd w:val="clear" w:color="auto" w:fill="FFFFFF"/>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Green, A., J. (2016). The importance of water birds as an overlooked pathway of invasion for alien species. Diversity and Distribution Vol. 22</w:t>
      </w:r>
    </w:p>
  </w:footnote>
  <w:footnote w:id="182">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z w:val="20"/>
          <w:szCs w:val="20"/>
          <w:shd w:val="clear" w:color="auto" w:fill="FFFFFF"/>
        </w:rPr>
        <w:t xml:space="preserve">Davidson et al, (2017). </w:t>
      </w:r>
      <w:r w:rsidRPr="009D551E">
        <w:rPr>
          <w:rFonts w:asciiTheme="majorBidi" w:hAnsiTheme="majorBidi" w:cstheme="majorBidi"/>
          <w:sz w:val="20"/>
          <w:szCs w:val="20"/>
        </w:rPr>
        <w:t>Development of a risk assessment framework to predict invasive species establishment for multiple taxonomic groups and vectors of introduction. Management of Biological Invasions Vol. 8 Issue 1</w:t>
      </w:r>
    </w:p>
    <w:p w:rsidR="00071EBB" w:rsidRPr="009D551E" w:rsidRDefault="00071EBB" w:rsidP="009D551E">
      <w:pPr>
        <w:jc w:val="left"/>
        <w:outlineLvl w:val="0"/>
        <w:rPr>
          <w:rFonts w:asciiTheme="majorBidi" w:hAnsiTheme="majorBidi" w:cstheme="majorBidi"/>
          <w:sz w:val="20"/>
          <w:szCs w:val="20"/>
          <w:shd w:val="clear" w:color="auto" w:fill="FFFFFF"/>
        </w:rPr>
      </w:pPr>
      <w:proofErr w:type="spellStart"/>
      <w:r w:rsidRPr="009D551E">
        <w:rPr>
          <w:rFonts w:asciiTheme="majorBidi" w:hAnsiTheme="majorBidi" w:cstheme="majorBidi"/>
          <w:sz w:val="20"/>
          <w:szCs w:val="20"/>
        </w:rPr>
        <w:t>Greve</w:t>
      </w:r>
      <w:proofErr w:type="spellEnd"/>
      <w:r w:rsidRPr="009D551E">
        <w:rPr>
          <w:rFonts w:asciiTheme="majorBidi" w:hAnsiTheme="majorBidi" w:cstheme="majorBidi"/>
          <w:sz w:val="20"/>
          <w:szCs w:val="20"/>
        </w:rPr>
        <w:t xml:space="preserve"> et al, (2017). Terrestrial invasions on sub-Antarctic Marion and Prince Edward Islands. </w:t>
      </w:r>
      <w:proofErr w:type="spellStart"/>
      <w:r w:rsidRPr="009D551E">
        <w:rPr>
          <w:rFonts w:asciiTheme="majorBidi" w:hAnsiTheme="majorBidi" w:cstheme="majorBidi"/>
          <w:sz w:val="20"/>
          <w:szCs w:val="20"/>
        </w:rPr>
        <w:t>Bothalia</w:t>
      </w:r>
      <w:proofErr w:type="spellEnd"/>
      <w:r w:rsidRPr="009D551E">
        <w:rPr>
          <w:rFonts w:asciiTheme="majorBidi" w:hAnsiTheme="majorBidi" w:cstheme="majorBidi"/>
          <w:sz w:val="20"/>
          <w:szCs w:val="20"/>
        </w:rPr>
        <w:t xml:space="preserve"> - African Biodiversity &amp; Conservation Vol. 48</w:t>
      </w:r>
    </w:p>
  </w:footnote>
  <w:footnote w:id="183">
    <w:p w:rsidR="00071EBB" w:rsidRPr="009D551E" w:rsidRDefault="00071EBB" w:rsidP="009D551E">
      <w:pPr>
        <w:jc w:val="left"/>
        <w:outlineLvl w:val="0"/>
        <w:rPr>
          <w:rFonts w:asciiTheme="majorBidi" w:hAnsiTheme="majorBidi" w:cstheme="majorBidi"/>
          <w:sz w:val="20"/>
          <w:szCs w:val="20"/>
          <w:shd w:val="clear" w:color="auto" w:fill="FFFFFF"/>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Heikkila et al. (2016). </w:t>
      </w:r>
      <w:proofErr w:type="spellStart"/>
      <w:r w:rsidRPr="009D551E">
        <w:rPr>
          <w:rFonts w:asciiTheme="majorBidi" w:hAnsiTheme="majorBidi" w:cstheme="majorBidi"/>
          <w:sz w:val="20"/>
          <w:szCs w:val="20"/>
        </w:rPr>
        <w:t>FinnPRIO</w:t>
      </w:r>
      <w:proofErr w:type="spellEnd"/>
      <w:r w:rsidRPr="009D551E">
        <w:rPr>
          <w:rFonts w:asciiTheme="majorBidi" w:hAnsiTheme="majorBidi" w:cstheme="majorBidi"/>
          <w:sz w:val="20"/>
          <w:szCs w:val="20"/>
        </w:rPr>
        <w:t>: a model for ranking invasive plant pests based on risk. Biological Invasions Vol.18</w:t>
      </w:r>
      <w:r>
        <w:rPr>
          <w:rFonts w:asciiTheme="majorBidi" w:hAnsiTheme="majorBidi" w:cstheme="majorBidi"/>
          <w:sz w:val="20"/>
          <w:szCs w:val="20"/>
        </w:rPr>
        <w:t>.</w:t>
      </w:r>
    </w:p>
  </w:footnote>
  <w:footnote w:id="184">
    <w:p w:rsidR="00071EBB" w:rsidRPr="009D551E" w:rsidRDefault="00071EBB" w:rsidP="009D551E">
      <w:pPr>
        <w:jc w:val="left"/>
        <w:outlineLvl w:val="0"/>
        <w:rPr>
          <w:rFonts w:asciiTheme="majorBidi" w:hAnsiTheme="majorBidi" w:cstheme="majorBidi"/>
          <w:sz w:val="20"/>
          <w:szCs w:val="20"/>
          <w:shd w:val="clear" w:color="auto" w:fill="FFFFFF"/>
        </w:rPr>
      </w:pPr>
      <w:r w:rsidRPr="00071EBB">
        <w:rPr>
          <w:rStyle w:val="FootnoteReference"/>
          <w:rFonts w:asciiTheme="majorBidi" w:hAnsiTheme="majorBidi" w:cstheme="majorBidi"/>
          <w:sz w:val="20"/>
          <w:szCs w:val="20"/>
        </w:rPr>
        <w:footnoteRef/>
      </w:r>
      <w:r w:rsidRPr="00071EBB">
        <w:rPr>
          <w:rStyle w:val="FootnoteReference"/>
          <w:sz w:val="20"/>
        </w:rPr>
        <w:t xml:space="preserve"> </w:t>
      </w:r>
      <w:proofErr w:type="spellStart"/>
      <w:r w:rsidRPr="009D551E">
        <w:rPr>
          <w:rFonts w:asciiTheme="majorBidi" w:hAnsiTheme="majorBidi" w:cstheme="majorBidi"/>
          <w:sz w:val="20"/>
          <w:szCs w:val="20"/>
        </w:rPr>
        <w:t>Nentwig</w:t>
      </w:r>
      <w:proofErr w:type="spellEnd"/>
      <w:r w:rsidRPr="009D551E">
        <w:rPr>
          <w:rFonts w:asciiTheme="majorBidi" w:hAnsiTheme="majorBidi" w:cstheme="majorBidi"/>
          <w:sz w:val="20"/>
          <w:szCs w:val="20"/>
        </w:rPr>
        <w:t xml:space="preserve"> et al. (2016). The generic impact scoring system (GISS): a standardized tool to quantify the impacts of alien species. Environmental Monitoring Assessment Vol. 188</w:t>
      </w:r>
    </w:p>
  </w:footnote>
  <w:footnote w:id="185">
    <w:p w:rsidR="00071EBB" w:rsidRPr="009D551E" w:rsidRDefault="00071EBB" w:rsidP="009D551E">
      <w:pPr>
        <w:jc w:val="left"/>
        <w:outlineLvl w:val="0"/>
        <w:rPr>
          <w:rFonts w:asciiTheme="majorBidi" w:hAnsiTheme="majorBidi" w:cstheme="majorBidi"/>
          <w:sz w:val="20"/>
          <w:szCs w:val="20"/>
          <w:shd w:val="clear" w:color="auto" w:fill="FFFFFF"/>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9D551E">
        <w:rPr>
          <w:rFonts w:asciiTheme="majorBidi" w:hAnsiTheme="majorBidi" w:cstheme="majorBidi"/>
          <w:sz w:val="20"/>
          <w:szCs w:val="20"/>
        </w:rPr>
        <w:t>Dick et al. (2017). Invader Relative Impact Potential: a new metric to understand and predict the ecological impacts of existing, emerging and future invasive alien species. Journal of Applied Ecology Vol. 54</w:t>
      </w:r>
    </w:p>
  </w:footnote>
  <w:footnote w:id="186">
    <w:p w:rsidR="00071EBB" w:rsidRPr="009D551E" w:rsidRDefault="00071EBB" w:rsidP="009D551E">
      <w:pPr>
        <w:pStyle w:val="FootnoteText"/>
        <w:ind w:firstLine="0"/>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Bacher</w:t>
      </w:r>
      <w:proofErr w:type="spellEnd"/>
      <w:r w:rsidRPr="009D551E">
        <w:rPr>
          <w:rFonts w:asciiTheme="majorBidi" w:hAnsiTheme="majorBidi" w:cstheme="majorBidi"/>
          <w:sz w:val="20"/>
          <w:szCs w:val="20"/>
        </w:rPr>
        <w:t xml:space="preserve"> et al. 2017. Socio-economic impact classification of alien taxa (SEICAT). Methods in Ecology and Evolution 9 (1). doi.org/10.1111/2041-210X.12844</w:t>
      </w:r>
    </w:p>
  </w:footnote>
  <w:footnote w:id="187">
    <w:p w:rsidR="00071EBB" w:rsidRPr="009D551E" w:rsidRDefault="00071EBB" w:rsidP="009D551E">
      <w:pPr>
        <w:pStyle w:val="FootnoteText"/>
        <w:ind w:firstLine="0"/>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9D551E">
        <w:rPr>
          <w:rFonts w:asciiTheme="majorBidi" w:hAnsiTheme="majorBidi" w:cstheme="majorBidi"/>
          <w:sz w:val="20"/>
          <w:szCs w:val="20"/>
        </w:rPr>
        <w:t xml:space="preserve">Hawkins et al. 2015. Framework and guidelines for implementing the proposed IUCN Environmental Impact Classification for Alien Taxa (EICAT). Diversity and Distributions 21 (11). </w:t>
      </w:r>
    </w:p>
  </w:footnote>
  <w:footnote w:id="188">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Blackburn TM, et al. (2014) A Unified Classification of Alien Species Based on the Magnitude of their Environmental Impacts. </w:t>
      </w:r>
      <w:proofErr w:type="spellStart"/>
      <w:r w:rsidRPr="009D551E">
        <w:rPr>
          <w:rFonts w:asciiTheme="majorBidi" w:hAnsiTheme="majorBidi" w:cstheme="majorBidi"/>
          <w:sz w:val="20"/>
          <w:szCs w:val="20"/>
        </w:rPr>
        <w:t>PLoS</w:t>
      </w:r>
      <w:proofErr w:type="spellEnd"/>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Biol</w:t>
      </w:r>
      <w:proofErr w:type="spellEnd"/>
      <w:r w:rsidRPr="009D551E">
        <w:rPr>
          <w:rFonts w:asciiTheme="majorBidi" w:hAnsiTheme="majorBidi" w:cstheme="majorBidi"/>
          <w:sz w:val="20"/>
          <w:szCs w:val="20"/>
        </w:rPr>
        <w:t xml:space="preserve"> 12(5): e1001850. </w:t>
      </w:r>
    </w:p>
  </w:footnote>
  <w:footnote w:id="189">
    <w:p w:rsidR="00071EBB" w:rsidRPr="009D551E" w:rsidRDefault="00071EBB" w:rsidP="009D551E">
      <w:pPr>
        <w:pStyle w:val="FootnoteText"/>
        <w:ind w:firstLine="0"/>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071EBB">
        <w:rPr>
          <w:rStyle w:val="FootnoteReference"/>
          <w:sz w:val="20"/>
        </w:rPr>
        <w:t xml:space="preserve"> </w:t>
      </w:r>
      <w:r w:rsidRPr="009D551E">
        <w:rPr>
          <w:rFonts w:asciiTheme="majorBidi" w:hAnsiTheme="majorBidi" w:cstheme="majorBidi"/>
          <w:sz w:val="20"/>
          <w:szCs w:val="20"/>
        </w:rPr>
        <w:t xml:space="preserve">Roy et al 2014. Horizon scanning for invasive alien species with the potential to threaten biodiversity in Great Britain 20(12). </w:t>
      </w:r>
      <w:hyperlink r:id="rId22" w:history="1">
        <w:r w:rsidRPr="009D551E">
          <w:rPr>
            <w:rStyle w:val="Hyperlink"/>
            <w:rFonts w:asciiTheme="majorBidi" w:hAnsiTheme="majorBidi" w:cstheme="majorBidi"/>
            <w:sz w:val="20"/>
            <w:szCs w:val="20"/>
          </w:rPr>
          <w:t>https://doi.org/10.1111/gcb.12603</w:t>
        </w:r>
      </w:hyperlink>
    </w:p>
    <w:p w:rsidR="00071EBB" w:rsidRPr="009D551E" w:rsidRDefault="00071EBB" w:rsidP="009D551E">
      <w:pPr>
        <w:pStyle w:val="FootnoteText"/>
        <w:ind w:firstLine="0"/>
        <w:rPr>
          <w:rFonts w:asciiTheme="majorBidi" w:hAnsiTheme="majorBidi" w:cstheme="majorBidi"/>
          <w:sz w:val="20"/>
          <w:szCs w:val="20"/>
          <w:lang w:val="en-US"/>
        </w:rPr>
      </w:pPr>
      <w:r w:rsidRPr="009D551E">
        <w:rPr>
          <w:rFonts w:asciiTheme="majorBidi" w:hAnsiTheme="majorBidi" w:cstheme="majorBidi"/>
          <w:sz w:val="20"/>
          <w:szCs w:val="20"/>
          <w:lang w:val="en-US"/>
        </w:rPr>
        <w:t xml:space="preserve">Roy et al 2015. Invasive Alien Species - </w:t>
      </w:r>
      <w:proofErr w:type="spellStart"/>
      <w:r w:rsidRPr="009D551E">
        <w:rPr>
          <w:rFonts w:asciiTheme="majorBidi" w:hAnsiTheme="majorBidi" w:cstheme="majorBidi"/>
          <w:sz w:val="20"/>
          <w:szCs w:val="20"/>
          <w:lang w:val="en-US"/>
        </w:rPr>
        <w:t>Prioritising</w:t>
      </w:r>
      <w:proofErr w:type="spellEnd"/>
      <w:r w:rsidRPr="009D551E">
        <w:rPr>
          <w:rFonts w:asciiTheme="majorBidi" w:hAnsiTheme="majorBidi" w:cstheme="majorBidi"/>
          <w:sz w:val="20"/>
          <w:szCs w:val="20"/>
          <w:lang w:val="en-US"/>
        </w:rPr>
        <w:t xml:space="preserve"> prevention efforts through horizon scanning ENV.B.2/ETU/2014/0016. European Commission.</w:t>
      </w:r>
    </w:p>
  </w:footnote>
  <w:footnote w:id="190">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z w:val="20"/>
          <w:szCs w:val="20"/>
          <w:shd w:val="clear" w:color="auto" w:fill="FFFFFF"/>
        </w:rPr>
        <w:t>Matthews, J., et al (2017). A new approach to horizon-scanning: identifying potentially invasive alien species and their introduction pathways. </w:t>
      </w:r>
      <w:r w:rsidRPr="009D551E">
        <w:rPr>
          <w:rStyle w:val="Emphasis"/>
          <w:rFonts w:asciiTheme="majorBidi" w:hAnsiTheme="majorBidi" w:cstheme="majorBidi"/>
          <w:i w:val="0"/>
          <w:iCs w:val="0"/>
          <w:sz w:val="20"/>
          <w:szCs w:val="20"/>
          <w:shd w:val="clear" w:color="auto" w:fill="FFFFFF"/>
        </w:rPr>
        <w:t>Management of Biological Invasions</w:t>
      </w:r>
      <w:r w:rsidRPr="009D551E">
        <w:rPr>
          <w:rFonts w:asciiTheme="majorBidi" w:hAnsiTheme="majorBidi" w:cstheme="majorBidi"/>
          <w:sz w:val="20"/>
          <w:szCs w:val="20"/>
          <w:shd w:val="clear" w:color="auto" w:fill="FFFFFF"/>
        </w:rPr>
        <w:t>, </w:t>
      </w:r>
      <w:r w:rsidRPr="009D551E">
        <w:rPr>
          <w:rStyle w:val="Emphasis"/>
          <w:rFonts w:asciiTheme="majorBidi" w:hAnsiTheme="majorBidi" w:cstheme="majorBidi"/>
          <w:i w:val="0"/>
          <w:iCs w:val="0"/>
          <w:sz w:val="20"/>
          <w:szCs w:val="20"/>
          <w:shd w:val="clear" w:color="auto" w:fill="FFFFFF"/>
        </w:rPr>
        <w:t>8</w:t>
      </w:r>
      <w:r w:rsidRPr="009D551E">
        <w:rPr>
          <w:rFonts w:asciiTheme="majorBidi" w:hAnsiTheme="majorBidi" w:cstheme="majorBidi"/>
          <w:sz w:val="20"/>
          <w:szCs w:val="20"/>
          <w:shd w:val="clear" w:color="auto" w:fill="FFFFFF"/>
        </w:rPr>
        <w:t>(1), 37-52. DOI: 10.3391/mbi.2017.8.1.04.</w:t>
      </w:r>
    </w:p>
  </w:footnote>
  <w:footnote w:id="191">
    <w:p w:rsidR="00071EBB" w:rsidRPr="009D551E" w:rsidRDefault="00071EBB" w:rsidP="009D551E">
      <w:pPr>
        <w:pStyle w:val="FootnoteText"/>
        <w:ind w:firstLine="0"/>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McGeogh</w:t>
      </w:r>
      <w:proofErr w:type="spellEnd"/>
      <w:r w:rsidRPr="009D551E">
        <w:rPr>
          <w:rFonts w:asciiTheme="majorBidi" w:hAnsiTheme="majorBidi" w:cstheme="majorBidi"/>
          <w:sz w:val="20"/>
          <w:szCs w:val="20"/>
        </w:rPr>
        <w:t xml:space="preserve"> et al. 2016. Prioritizing species, pathways, and sites to achieve conservation targets for biological invasion. Biological Invasions 18 (2), 299-314.</w:t>
      </w:r>
    </w:p>
  </w:footnote>
  <w:footnote w:id="192">
    <w:p w:rsidR="00071EBB" w:rsidRPr="009D551E" w:rsidRDefault="00071EBB" w:rsidP="009D551E">
      <w:pPr>
        <w:pStyle w:val="FootnoteText"/>
        <w:ind w:firstLine="0"/>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071EBB">
        <w:rPr>
          <w:rStyle w:val="FootnoteReference"/>
          <w:sz w:val="20"/>
        </w:rPr>
        <w:t xml:space="preserve"> </w:t>
      </w:r>
      <w:proofErr w:type="spellStart"/>
      <w:r w:rsidRPr="009D551E">
        <w:rPr>
          <w:rFonts w:asciiTheme="majorBidi" w:hAnsiTheme="majorBidi" w:cstheme="majorBidi"/>
          <w:sz w:val="20"/>
          <w:szCs w:val="20"/>
        </w:rPr>
        <w:t>Booy</w:t>
      </w:r>
      <w:proofErr w:type="spellEnd"/>
      <w:r w:rsidRPr="009D551E">
        <w:rPr>
          <w:rFonts w:asciiTheme="majorBidi" w:hAnsiTheme="majorBidi" w:cstheme="majorBidi"/>
          <w:sz w:val="20"/>
          <w:szCs w:val="20"/>
        </w:rPr>
        <w:t xml:space="preserve"> et al. 2017. Risk management to prioritise the eradication of new and emerging invasive non-native species. Biological Invasions 19(8), 2401-2417.</w:t>
      </w:r>
    </w:p>
  </w:footnote>
  <w:footnote w:id="193">
    <w:p w:rsidR="00071EBB" w:rsidRPr="009D551E" w:rsidRDefault="00071EBB" w:rsidP="009D551E">
      <w:pPr>
        <w:pStyle w:val="FootnoteText"/>
        <w:ind w:firstLine="0"/>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Roy et al. 2017. Developing a framework of minimum standards for the risk assessment of alien species. Journal of Applied Ecology 55(2). doi.org/10.1111/1365-2664.13025</w:t>
      </w:r>
    </w:p>
  </w:footnote>
  <w:footnote w:id="194">
    <w:p w:rsidR="00071EBB" w:rsidRPr="009D551E" w:rsidRDefault="00071EBB" w:rsidP="009D551E">
      <w:pPr>
        <w:pStyle w:val="FootnoteText"/>
        <w:ind w:firstLine="0"/>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IUCN. 2017. Guidance for interpretation of CBD categories on introduction pathways. Technical note prepared by IUCN for the European Commission.</w:t>
      </w:r>
    </w:p>
  </w:footnote>
  <w:footnote w:id="195">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Shackleton et al. 2016. Identifying barriers to effective management of widespread invasive alien trees: Prosopis species (mesquite) in South Africa as a case study. Global Environmental Change Vol. 38</w:t>
      </w:r>
    </w:p>
    <w:p w:rsidR="00071EBB" w:rsidRPr="009D551E" w:rsidRDefault="00071EBB" w:rsidP="009D551E">
      <w:pPr>
        <w:pStyle w:val="FootnoteText"/>
        <w:ind w:firstLine="0"/>
        <w:jc w:val="left"/>
        <w:rPr>
          <w:rFonts w:asciiTheme="majorBidi" w:hAnsiTheme="majorBidi" w:cstheme="majorBidi"/>
          <w:sz w:val="20"/>
          <w:szCs w:val="20"/>
        </w:rPr>
      </w:pPr>
      <w:r w:rsidRPr="009D551E">
        <w:rPr>
          <w:rFonts w:asciiTheme="majorBidi" w:hAnsiTheme="majorBidi" w:cstheme="majorBidi"/>
          <w:sz w:val="20"/>
          <w:szCs w:val="20"/>
        </w:rPr>
        <w:t>Soliman and al. 2016. A Regional Decision Support Scheme for Pest Risk Analysis in Southeast Asia. Risk Analysis Vol 36</w:t>
      </w:r>
    </w:p>
    <w:p w:rsidR="00071EBB" w:rsidRPr="009D551E" w:rsidRDefault="00071EBB" w:rsidP="009D551E">
      <w:pPr>
        <w:jc w:val="left"/>
        <w:outlineLvl w:val="0"/>
        <w:rPr>
          <w:rFonts w:asciiTheme="majorBidi" w:hAnsiTheme="majorBidi" w:cstheme="majorBidi"/>
          <w:sz w:val="20"/>
          <w:szCs w:val="20"/>
          <w:shd w:val="clear" w:color="auto" w:fill="FFFFFF"/>
        </w:rPr>
      </w:pPr>
      <w:r w:rsidRPr="009D551E">
        <w:rPr>
          <w:rFonts w:asciiTheme="majorBidi" w:hAnsiTheme="majorBidi" w:cstheme="majorBidi"/>
          <w:sz w:val="20"/>
          <w:szCs w:val="20"/>
        </w:rPr>
        <w:t xml:space="preserve"> Walsh et al. 2016 Outbreak of an undetected invasive species triggered by a climate anomaly.  Ecosphere Vol. 7 </w:t>
      </w:r>
    </w:p>
  </w:footnote>
  <w:footnote w:id="196">
    <w:p w:rsidR="00071EBB" w:rsidRPr="009D551E" w:rsidRDefault="00071EBB" w:rsidP="009D551E">
      <w:pPr>
        <w:jc w:val="left"/>
        <w:outlineLvl w:val="0"/>
        <w:rPr>
          <w:rFonts w:asciiTheme="majorBidi" w:hAnsiTheme="majorBidi" w:cstheme="majorBidi"/>
          <w:sz w:val="20"/>
          <w:szCs w:val="20"/>
          <w:shd w:val="clear" w:color="auto" w:fill="FFFFFF"/>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Soliman et al. 2016. A Regional Decision Support Scheme for Pest Risk Analysis in Southeast Asia. Risk Analysis Vol 36</w:t>
      </w:r>
    </w:p>
    <w:p w:rsidR="00071EBB" w:rsidRPr="009D551E" w:rsidRDefault="00071EBB" w:rsidP="009D551E">
      <w:pPr>
        <w:jc w:val="left"/>
        <w:outlineLvl w:val="0"/>
        <w:rPr>
          <w:rFonts w:asciiTheme="majorBidi" w:hAnsiTheme="majorBidi" w:cstheme="majorBidi"/>
          <w:sz w:val="20"/>
          <w:szCs w:val="20"/>
          <w:shd w:val="clear" w:color="auto" w:fill="FFFFFF"/>
        </w:rPr>
      </w:pPr>
      <w:proofErr w:type="spellStart"/>
      <w:r w:rsidRPr="009D551E">
        <w:rPr>
          <w:rFonts w:asciiTheme="majorBidi" w:hAnsiTheme="majorBidi" w:cstheme="majorBidi"/>
          <w:sz w:val="20"/>
          <w:szCs w:val="20"/>
        </w:rPr>
        <w:t>Stamoulie</w:t>
      </w:r>
      <w:proofErr w:type="spellEnd"/>
      <w:r w:rsidRPr="009D551E">
        <w:rPr>
          <w:rFonts w:asciiTheme="majorBidi" w:hAnsiTheme="majorBidi" w:cstheme="majorBidi"/>
          <w:sz w:val="20"/>
          <w:szCs w:val="20"/>
        </w:rPr>
        <w:t xml:space="preserve"> and al. 2017. Coral reef grazer-benthos dynamics complicated by invasive algae in a small marine reserve. Scientific Reports.</w:t>
      </w:r>
    </w:p>
  </w:footnote>
  <w:footnote w:id="197">
    <w:p w:rsidR="00071EBB" w:rsidRPr="009D551E" w:rsidRDefault="00071EBB" w:rsidP="009D551E">
      <w:pPr>
        <w:pStyle w:val="FootnoteText"/>
        <w:ind w:firstLine="0"/>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Pagad</w:t>
      </w:r>
      <w:proofErr w:type="spellEnd"/>
      <w:r w:rsidRPr="009D551E">
        <w:rPr>
          <w:rFonts w:asciiTheme="majorBidi" w:hAnsiTheme="majorBidi" w:cstheme="majorBidi"/>
          <w:sz w:val="20"/>
          <w:szCs w:val="20"/>
        </w:rPr>
        <w:t xml:space="preserve"> et al. 2018. Introducing the Global Register of Introduced and Invasive Species. Scientific Data. 5 (170202) doi:10.1038/sdata.2017.202</w:t>
      </w:r>
    </w:p>
  </w:footnote>
  <w:footnote w:id="198">
    <w:p w:rsidR="00071EBB" w:rsidRPr="009D551E" w:rsidRDefault="00071EBB" w:rsidP="009D551E">
      <w:pPr>
        <w:jc w:val="left"/>
        <w:outlineLvl w:val="0"/>
        <w:rPr>
          <w:rFonts w:asciiTheme="majorBidi" w:hAnsiTheme="majorBidi" w:cstheme="majorBidi"/>
          <w:sz w:val="20"/>
          <w:szCs w:val="20"/>
          <w:shd w:val="clear" w:color="auto" w:fill="FFFFFF"/>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Simmons and al. 2015. Active and passive environmental DNA surveillance of aquatic invasive species. Canadian Journal of Fisheries and Aquatic Sciences Vol. 73</w:t>
      </w:r>
    </w:p>
    <w:p w:rsidR="00071EBB" w:rsidRPr="009D551E" w:rsidRDefault="00071EBB" w:rsidP="009D551E">
      <w:pPr>
        <w:jc w:val="left"/>
        <w:outlineLvl w:val="0"/>
        <w:rPr>
          <w:rFonts w:asciiTheme="majorBidi" w:hAnsiTheme="majorBidi" w:cstheme="majorBidi"/>
          <w:sz w:val="20"/>
          <w:szCs w:val="20"/>
          <w:shd w:val="clear" w:color="auto" w:fill="FFFFFF"/>
        </w:rPr>
      </w:pPr>
      <w:r w:rsidRPr="009D551E">
        <w:rPr>
          <w:rFonts w:asciiTheme="majorBidi" w:hAnsiTheme="majorBidi" w:cstheme="majorBidi"/>
          <w:sz w:val="20"/>
          <w:szCs w:val="20"/>
        </w:rPr>
        <w:t>Brown and al. 2016. Early detection of aquatic invaders using metabarcoding reveals a high number of non-indigenous species in Canadian ports. Diversity and Distribution: A journal of Conservation Biogeography Vol. 22</w:t>
      </w:r>
    </w:p>
  </w:footnote>
  <w:footnote w:id="199">
    <w:p w:rsidR="00071EBB" w:rsidRPr="009D551E" w:rsidRDefault="00071EBB" w:rsidP="009D551E">
      <w:pPr>
        <w:jc w:val="left"/>
        <w:outlineLvl w:val="0"/>
        <w:rPr>
          <w:rFonts w:asciiTheme="majorBidi" w:hAnsiTheme="majorBidi" w:cstheme="majorBidi"/>
          <w:sz w:val="20"/>
          <w:szCs w:val="20"/>
          <w:shd w:val="clear" w:color="auto" w:fill="FFFFFF"/>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Lim and al. 2016. Next-generation freshwater bioassessment: eDNA metabarcoding with a conserved metazoan primer reveals species-rich and reservoir-specific communities. Royal Society Open Science</w:t>
      </w:r>
    </w:p>
    <w:p w:rsidR="00071EBB" w:rsidRPr="009D551E" w:rsidRDefault="00071EBB" w:rsidP="009D551E">
      <w:pPr>
        <w:jc w:val="left"/>
        <w:outlineLvl w:val="0"/>
        <w:rPr>
          <w:rFonts w:asciiTheme="majorBidi" w:hAnsiTheme="majorBidi" w:cstheme="majorBidi"/>
          <w:sz w:val="20"/>
          <w:szCs w:val="20"/>
          <w:shd w:val="clear" w:color="auto" w:fill="FFFFFF"/>
        </w:rPr>
      </w:pPr>
      <w:proofErr w:type="spellStart"/>
      <w:r w:rsidRPr="009D551E">
        <w:rPr>
          <w:rFonts w:asciiTheme="majorBidi" w:hAnsiTheme="majorBidi" w:cstheme="majorBidi"/>
          <w:sz w:val="20"/>
          <w:szCs w:val="20"/>
        </w:rPr>
        <w:t>Comtet</w:t>
      </w:r>
      <w:proofErr w:type="spellEnd"/>
      <w:r w:rsidRPr="009D551E">
        <w:rPr>
          <w:rFonts w:asciiTheme="majorBidi" w:hAnsiTheme="majorBidi" w:cstheme="majorBidi"/>
          <w:sz w:val="20"/>
          <w:szCs w:val="20"/>
        </w:rPr>
        <w:t xml:space="preserve"> and al. 2015. DNA (meta)barcoding of biological invasions: a powerful tool to elucidate invasion processes and help managing aliens. Biological </w:t>
      </w:r>
      <w:proofErr w:type="spellStart"/>
      <w:r w:rsidRPr="009D551E">
        <w:rPr>
          <w:rFonts w:asciiTheme="majorBidi" w:hAnsiTheme="majorBidi" w:cstheme="majorBidi"/>
          <w:sz w:val="20"/>
          <w:szCs w:val="20"/>
        </w:rPr>
        <w:t>Invasins</w:t>
      </w:r>
      <w:proofErr w:type="spellEnd"/>
      <w:r w:rsidRPr="009D551E">
        <w:rPr>
          <w:rFonts w:asciiTheme="majorBidi" w:hAnsiTheme="majorBidi" w:cstheme="majorBidi"/>
          <w:sz w:val="20"/>
          <w:szCs w:val="20"/>
        </w:rPr>
        <w:t xml:space="preserve"> Vol. 10</w:t>
      </w:r>
    </w:p>
  </w:footnote>
  <w:footnote w:id="200">
    <w:p w:rsidR="00071EBB" w:rsidRPr="009D551E" w:rsidRDefault="00071EBB" w:rsidP="009D551E">
      <w:pPr>
        <w:jc w:val="left"/>
        <w:outlineLvl w:val="0"/>
        <w:rPr>
          <w:rFonts w:asciiTheme="majorBidi" w:hAnsiTheme="majorBidi" w:cstheme="majorBidi"/>
          <w:sz w:val="20"/>
          <w:szCs w:val="20"/>
          <w:shd w:val="clear" w:color="auto" w:fill="FFFFFF"/>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Corlett</w:t>
      </w:r>
      <w:proofErr w:type="spellEnd"/>
      <w:r w:rsidRPr="009D551E">
        <w:rPr>
          <w:rFonts w:asciiTheme="majorBidi" w:hAnsiTheme="majorBidi" w:cstheme="majorBidi"/>
          <w:sz w:val="20"/>
          <w:szCs w:val="20"/>
        </w:rPr>
        <w:t>, R.T. 2017. A bigger toolbox: Biotechnology in Biodiversity Conservation. Trends in Biotechnology Vol. 35</w:t>
      </w:r>
    </w:p>
    <w:p w:rsidR="00071EBB" w:rsidRPr="009D551E" w:rsidRDefault="00071EBB" w:rsidP="009D551E">
      <w:pPr>
        <w:pStyle w:val="FootnoteText"/>
        <w:ind w:firstLine="0"/>
        <w:jc w:val="left"/>
        <w:rPr>
          <w:rFonts w:asciiTheme="majorBidi" w:hAnsiTheme="majorBidi" w:cstheme="majorBidi"/>
          <w:spacing w:val="4"/>
          <w:sz w:val="20"/>
          <w:szCs w:val="20"/>
          <w:shd w:val="clear" w:color="auto" w:fill="FCFCFC"/>
        </w:rPr>
      </w:pPr>
      <w:r w:rsidRPr="009D551E">
        <w:rPr>
          <w:rFonts w:asciiTheme="majorBidi" w:hAnsiTheme="majorBidi" w:cstheme="majorBidi"/>
          <w:spacing w:val="4"/>
          <w:sz w:val="20"/>
          <w:szCs w:val="20"/>
          <w:shd w:val="clear" w:color="auto" w:fill="FCFCFC"/>
          <w:lang w:val="en-US"/>
        </w:rPr>
        <w:t xml:space="preserve">Dahl, K.A., Patterson, W.F., Robertson, A. et al. </w:t>
      </w:r>
      <w:proofErr w:type="spellStart"/>
      <w:r w:rsidRPr="009D551E">
        <w:rPr>
          <w:rFonts w:asciiTheme="majorBidi" w:hAnsiTheme="majorBidi" w:cstheme="majorBidi"/>
          <w:spacing w:val="4"/>
          <w:sz w:val="20"/>
          <w:szCs w:val="20"/>
          <w:shd w:val="clear" w:color="auto" w:fill="FCFCFC"/>
        </w:rPr>
        <w:t>Biol</w:t>
      </w:r>
      <w:proofErr w:type="spellEnd"/>
      <w:r w:rsidRPr="009D551E">
        <w:rPr>
          <w:rFonts w:asciiTheme="majorBidi" w:hAnsiTheme="majorBidi" w:cstheme="majorBidi"/>
          <w:spacing w:val="4"/>
          <w:sz w:val="20"/>
          <w:szCs w:val="20"/>
          <w:shd w:val="clear" w:color="auto" w:fill="FCFCFC"/>
        </w:rPr>
        <w:t xml:space="preserve"> Invasions (2017) 19: 1917. </w:t>
      </w:r>
      <w:hyperlink r:id="rId23" w:history="1">
        <w:r w:rsidRPr="009D551E">
          <w:rPr>
            <w:rStyle w:val="Hyperlink"/>
            <w:rFonts w:asciiTheme="majorBidi" w:hAnsiTheme="majorBidi" w:cstheme="majorBidi"/>
            <w:color w:val="auto"/>
            <w:spacing w:val="4"/>
            <w:sz w:val="20"/>
            <w:szCs w:val="20"/>
            <w:shd w:val="clear" w:color="auto" w:fill="FCFCFC"/>
          </w:rPr>
          <w:t>https://doi.org/10.1007/s10530-017-1407-3</w:t>
        </w:r>
      </w:hyperlink>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Fonts w:asciiTheme="majorBidi" w:hAnsiTheme="majorBidi" w:cstheme="majorBidi"/>
          <w:sz w:val="20"/>
          <w:szCs w:val="20"/>
          <w:shd w:val="clear" w:color="auto" w:fill="FFFFFF"/>
        </w:rPr>
        <w:t>Port, J. A., O'Donnell, J. L., Romero-</w:t>
      </w:r>
      <w:proofErr w:type="spellStart"/>
      <w:r w:rsidRPr="009D551E">
        <w:rPr>
          <w:rFonts w:asciiTheme="majorBidi" w:hAnsiTheme="majorBidi" w:cstheme="majorBidi"/>
          <w:sz w:val="20"/>
          <w:szCs w:val="20"/>
          <w:shd w:val="clear" w:color="auto" w:fill="FFFFFF"/>
        </w:rPr>
        <w:t>Maraccini</w:t>
      </w:r>
      <w:proofErr w:type="spellEnd"/>
      <w:r w:rsidRPr="009D551E">
        <w:rPr>
          <w:rFonts w:asciiTheme="majorBidi" w:hAnsiTheme="majorBidi" w:cstheme="majorBidi"/>
          <w:sz w:val="20"/>
          <w:szCs w:val="20"/>
          <w:shd w:val="clear" w:color="auto" w:fill="FFFFFF"/>
        </w:rPr>
        <w:t xml:space="preserve">, O. C., Leary, P. R., </w:t>
      </w:r>
      <w:proofErr w:type="spellStart"/>
      <w:r w:rsidRPr="009D551E">
        <w:rPr>
          <w:rFonts w:asciiTheme="majorBidi" w:hAnsiTheme="majorBidi" w:cstheme="majorBidi"/>
          <w:sz w:val="20"/>
          <w:szCs w:val="20"/>
          <w:shd w:val="clear" w:color="auto" w:fill="FFFFFF"/>
        </w:rPr>
        <w:t>Litvin</w:t>
      </w:r>
      <w:proofErr w:type="spellEnd"/>
      <w:r w:rsidRPr="009D551E">
        <w:rPr>
          <w:rFonts w:asciiTheme="majorBidi" w:hAnsiTheme="majorBidi" w:cstheme="majorBidi"/>
          <w:sz w:val="20"/>
          <w:szCs w:val="20"/>
          <w:shd w:val="clear" w:color="auto" w:fill="FFFFFF"/>
        </w:rPr>
        <w:t xml:space="preserve">, S. Y., Nickols, K. J., </w:t>
      </w:r>
      <w:proofErr w:type="spellStart"/>
      <w:r w:rsidRPr="009D551E">
        <w:rPr>
          <w:rFonts w:asciiTheme="majorBidi" w:hAnsiTheme="majorBidi" w:cstheme="majorBidi"/>
          <w:sz w:val="20"/>
          <w:szCs w:val="20"/>
          <w:shd w:val="clear" w:color="auto" w:fill="FFFFFF"/>
        </w:rPr>
        <w:t>Yamahara</w:t>
      </w:r>
      <w:proofErr w:type="spellEnd"/>
      <w:r w:rsidRPr="009D551E">
        <w:rPr>
          <w:rFonts w:asciiTheme="majorBidi" w:hAnsiTheme="majorBidi" w:cstheme="majorBidi"/>
          <w:sz w:val="20"/>
          <w:szCs w:val="20"/>
          <w:shd w:val="clear" w:color="auto" w:fill="FFFFFF"/>
        </w:rPr>
        <w:t>, K. M. and Kelly, R. P. (2016), Assessing vertebrate biodiversity in a kelp forest ecosystem using environmental DNA. Mol Ecol, 25: 527–541. doi:10.1111/mec.13481</w:t>
      </w:r>
    </w:p>
  </w:footnote>
  <w:footnote w:id="201">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Nathan L.M. et al (2014)Quantifying Environmental DNA Signals for Aquatic Invasive Species</w:t>
      </w:r>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Fonts w:asciiTheme="majorBidi" w:hAnsiTheme="majorBidi" w:cstheme="majorBidi"/>
          <w:sz w:val="20"/>
          <w:szCs w:val="20"/>
        </w:rPr>
        <w:t>Across Multiple Detection Platforms. Environmental Science and Technology. 48, 12800-12806.</w:t>
      </w:r>
    </w:p>
  </w:footnote>
  <w:footnote w:id="202">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Wang, A. et al (2017) Evaluation of six candidate DNA barcode loci for identification of five important invasive grasses in eastern Australia. </w:t>
      </w:r>
      <w:proofErr w:type="spellStart"/>
      <w:r w:rsidRPr="009D551E">
        <w:rPr>
          <w:rFonts w:asciiTheme="majorBidi" w:hAnsiTheme="majorBidi" w:cstheme="majorBidi"/>
          <w:sz w:val="20"/>
          <w:szCs w:val="20"/>
        </w:rPr>
        <w:t>PLoS</w:t>
      </w:r>
      <w:proofErr w:type="spellEnd"/>
      <w:r w:rsidRPr="009D551E">
        <w:rPr>
          <w:rFonts w:asciiTheme="majorBidi" w:hAnsiTheme="majorBidi" w:cstheme="majorBidi"/>
          <w:sz w:val="20"/>
          <w:szCs w:val="20"/>
        </w:rPr>
        <w:t xml:space="preserve"> ONE 12(4):e0175338. </w:t>
      </w:r>
    </w:p>
  </w:footnote>
  <w:footnote w:id="203">
    <w:p w:rsidR="00071EBB" w:rsidRPr="009D551E" w:rsidRDefault="00071EBB" w:rsidP="009D551E">
      <w:pPr>
        <w:pStyle w:val="FootnoteText"/>
        <w:ind w:firstLine="0"/>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Goczal</w:t>
      </w:r>
      <w:proofErr w:type="spellEnd"/>
      <w:r w:rsidRPr="009D551E">
        <w:rPr>
          <w:rFonts w:asciiTheme="majorBidi" w:hAnsiTheme="majorBidi" w:cstheme="majorBidi"/>
          <w:sz w:val="20"/>
          <w:szCs w:val="20"/>
        </w:rPr>
        <w:t>, R. et al (</w:t>
      </w:r>
      <w:proofErr w:type="gramStart"/>
      <w:r w:rsidRPr="009D551E">
        <w:rPr>
          <w:rFonts w:asciiTheme="majorBidi" w:hAnsiTheme="majorBidi" w:cstheme="majorBidi"/>
          <w:sz w:val="20"/>
          <w:szCs w:val="20"/>
        </w:rPr>
        <w:t>2016)Citizen</w:t>
      </w:r>
      <w:proofErr w:type="gramEnd"/>
      <w:r w:rsidRPr="009D551E">
        <w:rPr>
          <w:rFonts w:asciiTheme="majorBidi" w:hAnsiTheme="majorBidi" w:cstheme="majorBidi"/>
          <w:sz w:val="20"/>
          <w:szCs w:val="20"/>
        </w:rPr>
        <w:t xml:space="preserve"> monitoring of invasive species: wing morphometry as a tool for detection of alien </w:t>
      </w:r>
      <w:proofErr w:type="spellStart"/>
      <w:r w:rsidRPr="009D551E">
        <w:rPr>
          <w:rFonts w:asciiTheme="majorBidi" w:hAnsiTheme="majorBidi" w:cstheme="majorBidi"/>
          <w:sz w:val="20"/>
          <w:szCs w:val="20"/>
        </w:rPr>
        <w:t>Tetropium</w:t>
      </w:r>
      <w:proofErr w:type="spellEnd"/>
      <w:r w:rsidRPr="009D551E">
        <w:rPr>
          <w:rFonts w:asciiTheme="majorBidi" w:hAnsiTheme="majorBidi" w:cstheme="majorBidi"/>
          <w:sz w:val="20"/>
          <w:szCs w:val="20"/>
        </w:rPr>
        <w:t xml:space="preserve"> species. Journal of Applied Entomology. 141, 496-506.</w:t>
      </w:r>
    </w:p>
  </w:footnote>
  <w:footnote w:id="204">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Maistrello</w:t>
      </w:r>
      <w:proofErr w:type="spellEnd"/>
      <w:r w:rsidRPr="009D551E">
        <w:rPr>
          <w:rFonts w:asciiTheme="majorBidi" w:hAnsiTheme="majorBidi" w:cstheme="majorBidi"/>
          <w:sz w:val="20"/>
          <w:szCs w:val="20"/>
        </w:rPr>
        <w:t xml:space="preserve">, L. (2016). Citizen science and early detection of invasive species: phenology of first occurrences of </w:t>
      </w:r>
      <w:proofErr w:type="spellStart"/>
      <w:r w:rsidRPr="009D551E">
        <w:rPr>
          <w:rFonts w:asciiTheme="majorBidi" w:hAnsiTheme="majorBidi" w:cstheme="majorBidi"/>
          <w:sz w:val="20"/>
          <w:szCs w:val="20"/>
        </w:rPr>
        <w:t>Halyomorpha</w:t>
      </w:r>
      <w:proofErr w:type="spellEnd"/>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halys</w:t>
      </w:r>
      <w:proofErr w:type="spellEnd"/>
      <w:r w:rsidRPr="009D551E">
        <w:rPr>
          <w:rFonts w:asciiTheme="majorBidi" w:hAnsiTheme="majorBidi" w:cstheme="majorBidi"/>
          <w:sz w:val="20"/>
          <w:szCs w:val="20"/>
        </w:rPr>
        <w:t xml:space="preserve"> in Southern Europe. Biological Invasions. 18, 3109-3116. </w:t>
      </w:r>
    </w:p>
  </w:footnote>
  <w:footnote w:id="205">
    <w:p w:rsidR="00071EBB" w:rsidRPr="009D551E" w:rsidRDefault="00071EBB" w:rsidP="009D551E">
      <w:pPr>
        <w:jc w:val="left"/>
        <w:outlineLvl w:val="0"/>
        <w:rPr>
          <w:rFonts w:asciiTheme="majorBidi" w:hAnsiTheme="majorBidi" w:cstheme="majorBidi"/>
          <w:sz w:val="20"/>
          <w:szCs w:val="20"/>
          <w:shd w:val="clear" w:color="auto" w:fill="FFFFFF"/>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z w:val="20"/>
          <w:szCs w:val="20"/>
          <w:shd w:val="clear" w:color="auto" w:fill="FFFFFF"/>
        </w:rPr>
        <w:t xml:space="preserve">Lagos and al. 2017. </w:t>
      </w:r>
      <w:r w:rsidRPr="009D551E">
        <w:rPr>
          <w:rFonts w:asciiTheme="majorBidi" w:hAnsiTheme="majorBidi" w:cstheme="majorBidi"/>
          <w:sz w:val="20"/>
          <w:szCs w:val="20"/>
        </w:rPr>
        <w:t>Do low oxygen environments facilitate marine invasions? Relative tolerance of native and invasive species to low oxygen conditions. Global Change Biology Vol 23</w:t>
      </w:r>
    </w:p>
  </w:footnote>
  <w:footnote w:id="206">
    <w:p w:rsidR="00071EBB" w:rsidRPr="009D551E" w:rsidRDefault="00071EBB" w:rsidP="009D551E">
      <w:pPr>
        <w:jc w:val="left"/>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Hughes and al. 2016. Evaluation of non-native species policy development and implementation within the Antarctic Treaty area. </w:t>
      </w:r>
      <w:r w:rsidRPr="009D551E">
        <w:rPr>
          <w:rFonts w:asciiTheme="majorBidi" w:hAnsiTheme="majorBidi" w:cstheme="majorBidi"/>
          <w:sz w:val="20"/>
          <w:szCs w:val="20"/>
          <w:lang w:val="en-US"/>
        </w:rPr>
        <w:t>Biological Conservation Vol. 200</w:t>
      </w:r>
    </w:p>
  </w:footnote>
  <w:footnote w:id="207">
    <w:p w:rsidR="00071EBB" w:rsidRPr="009D551E" w:rsidRDefault="00071EBB" w:rsidP="009D551E">
      <w:pPr>
        <w:jc w:val="left"/>
        <w:outlineLvl w:val="0"/>
        <w:rPr>
          <w:rFonts w:asciiTheme="majorBidi" w:hAnsiTheme="majorBidi" w:cstheme="majorBidi"/>
          <w:sz w:val="20"/>
          <w:szCs w:val="20"/>
          <w:shd w:val="clear" w:color="auto" w:fill="FFFFFF"/>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shd w:val="clear" w:color="auto" w:fill="FFFFFF"/>
        </w:rPr>
        <w:t>Pedram</w:t>
      </w:r>
      <w:proofErr w:type="spellEnd"/>
      <w:r w:rsidRPr="009D551E">
        <w:rPr>
          <w:rFonts w:asciiTheme="majorBidi" w:hAnsiTheme="majorBidi" w:cstheme="majorBidi"/>
          <w:sz w:val="20"/>
          <w:szCs w:val="20"/>
          <w:shd w:val="clear" w:color="auto" w:fill="FFFFFF"/>
        </w:rPr>
        <w:t xml:space="preserve"> and al. 2016. </w:t>
      </w:r>
      <w:r w:rsidRPr="009D551E">
        <w:rPr>
          <w:rFonts w:asciiTheme="majorBidi" w:hAnsiTheme="majorBidi" w:cstheme="majorBidi"/>
          <w:sz w:val="20"/>
          <w:szCs w:val="20"/>
        </w:rPr>
        <w:t xml:space="preserve">The Role of Beach Nourishment on the Success of Invasive Asiatic Sand Sedge. </w:t>
      </w:r>
      <w:proofErr w:type="spellStart"/>
      <w:r w:rsidRPr="009D551E">
        <w:rPr>
          <w:rFonts w:asciiTheme="majorBidi" w:hAnsiTheme="majorBidi" w:cstheme="majorBidi"/>
          <w:sz w:val="20"/>
          <w:szCs w:val="20"/>
        </w:rPr>
        <w:t>Northeastern</w:t>
      </w:r>
      <w:proofErr w:type="spellEnd"/>
      <w:r w:rsidRPr="009D551E">
        <w:rPr>
          <w:rFonts w:asciiTheme="majorBidi" w:hAnsiTheme="majorBidi" w:cstheme="majorBidi"/>
          <w:sz w:val="20"/>
          <w:szCs w:val="20"/>
        </w:rPr>
        <w:t xml:space="preserve"> Naturalist Vol. 22</w:t>
      </w:r>
    </w:p>
  </w:footnote>
  <w:footnote w:id="208">
    <w:p w:rsidR="00071EBB" w:rsidRPr="009D551E" w:rsidRDefault="00071EBB" w:rsidP="009D551E">
      <w:pPr>
        <w:jc w:val="left"/>
        <w:outlineLvl w:val="0"/>
        <w:rPr>
          <w:rFonts w:asciiTheme="majorBidi" w:hAnsiTheme="majorBidi" w:cstheme="majorBidi"/>
          <w:sz w:val="20"/>
          <w:szCs w:val="20"/>
          <w:shd w:val="clear" w:color="auto" w:fill="FFFFFF"/>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Drake and al. 2017. Graph theory as an invasive species management tool: case study in the Sonoran Desert. Landscape Ecology Vol.32</w:t>
      </w:r>
    </w:p>
  </w:footnote>
  <w:footnote w:id="209">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071EBB">
        <w:rPr>
          <w:rStyle w:val="FootnoteReference"/>
          <w:sz w:val="20"/>
        </w:rPr>
        <w:t xml:space="preserve"> </w:t>
      </w:r>
      <w:proofErr w:type="spellStart"/>
      <w:r w:rsidRPr="009D551E">
        <w:rPr>
          <w:rFonts w:asciiTheme="majorBidi" w:hAnsiTheme="majorBidi" w:cstheme="majorBidi"/>
          <w:sz w:val="20"/>
          <w:szCs w:val="20"/>
        </w:rPr>
        <w:t>Altvater</w:t>
      </w:r>
      <w:proofErr w:type="spellEnd"/>
      <w:r w:rsidRPr="009D551E">
        <w:rPr>
          <w:rFonts w:asciiTheme="majorBidi" w:hAnsiTheme="majorBidi" w:cstheme="majorBidi"/>
          <w:sz w:val="20"/>
          <w:szCs w:val="20"/>
        </w:rPr>
        <w:t xml:space="preserve">, L. et al (2017). Use of sodium hypochlorite as a control method for the non-indigenous coral species </w:t>
      </w:r>
      <w:proofErr w:type="spellStart"/>
      <w:r w:rsidRPr="009D551E">
        <w:rPr>
          <w:rFonts w:asciiTheme="majorBidi" w:hAnsiTheme="majorBidi" w:cstheme="majorBidi"/>
          <w:sz w:val="20"/>
          <w:szCs w:val="20"/>
        </w:rPr>
        <w:t>Tubastraea</w:t>
      </w:r>
      <w:proofErr w:type="spellEnd"/>
      <w:r w:rsidRPr="009D551E">
        <w:rPr>
          <w:rFonts w:asciiTheme="majorBidi" w:hAnsiTheme="majorBidi" w:cstheme="majorBidi"/>
          <w:sz w:val="20"/>
          <w:szCs w:val="20"/>
        </w:rPr>
        <w:t xml:space="preserve"> coccinea Lesson, 1829. </w:t>
      </w:r>
      <w:r w:rsidRPr="009D551E">
        <w:rPr>
          <w:rFonts w:asciiTheme="majorBidi" w:hAnsiTheme="majorBidi" w:cstheme="majorBidi"/>
          <w:sz w:val="20"/>
          <w:szCs w:val="20"/>
          <w:lang w:val="en-US"/>
        </w:rPr>
        <w:t>Management of Biological Invasions 8(2), 197-204.</w:t>
      </w:r>
    </w:p>
  </w:footnote>
  <w:footnote w:id="210">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4B63C3">
        <w:rPr>
          <w:rFonts w:asciiTheme="majorBidi" w:hAnsiTheme="majorBidi" w:cstheme="majorBidi"/>
          <w:sz w:val="20"/>
          <w:szCs w:val="20"/>
          <w:lang w:val="fr-BE"/>
        </w:rPr>
        <w:t xml:space="preserve"> </w:t>
      </w:r>
      <w:proofErr w:type="spellStart"/>
      <w:r w:rsidRPr="004B63C3">
        <w:rPr>
          <w:rFonts w:asciiTheme="majorBidi" w:hAnsiTheme="majorBidi" w:cstheme="majorBidi"/>
          <w:sz w:val="20"/>
          <w:szCs w:val="20"/>
          <w:lang w:val="fr-BE"/>
        </w:rPr>
        <w:t>Starliper</w:t>
      </w:r>
      <w:proofErr w:type="spellEnd"/>
      <w:r w:rsidRPr="004B63C3">
        <w:rPr>
          <w:rFonts w:asciiTheme="majorBidi" w:hAnsiTheme="majorBidi" w:cstheme="majorBidi"/>
          <w:sz w:val="20"/>
          <w:szCs w:val="20"/>
          <w:lang w:val="fr-BE"/>
        </w:rPr>
        <w:t xml:space="preserve">, C.E. et al (2015). </w:t>
      </w:r>
      <w:r w:rsidRPr="009D551E">
        <w:rPr>
          <w:rFonts w:asciiTheme="majorBidi" w:hAnsiTheme="majorBidi" w:cstheme="majorBidi"/>
          <w:sz w:val="20"/>
          <w:szCs w:val="20"/>
        </w:rPr>
        <w:t>Efficacy of pH elevation as a bactericidal strategy for treating ballast water of freight carriers. Journal of Advanced Research. 6, 501-509.</w:t>
      </w:r>
    </w:p>
  </w:footnote>
  <w:footnote w:id="211">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Carter, A. et al (2016). Controlling sympatric pest mammal populations in New Zealand with self-resetting, toxicant-free traps: a promising tool for invasive species management. Biological Invasions. 18, 1272-1736.</w:t>
      </w:r>
    </w:p>
  </w:footnote>
  <w:footnote w:id="212">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Hallman, G. (2016).Phytosanitary Irradiation of </w:t>
      </w:r>
      <w:proofErr w:type="spellStart"/>
      <w:r w:rsidRPr="009D551E">
        <w:rPr>
          <w:rFonts w:asciiTheme="majorBidi" w:hAnsiTheme="majorBidi" w:cstheme="majorBidi"/>
          <w:sz w:val="20"/>
          <w:szCs w:val="20"/>
        </w:rPr>
        <w:t>Heliothis</w:t>
      </w:r>
      <w:proofErr w:type="spellEnd"/>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virescens</w:t>
      </w:r>
      <w:proofErr w:type="spellEnd"/>
      <w:r w:rsidRPr="009D551E">
        <w:rPr>
          <w:rFonts w:asciiTheme="majorBidi" w:hAnsiTheme="majorBidi" w:cstheme="majorBidi"/>
          <w:sz w:val="20"/>
          <w:szCs w:val="20"/>
        </w:rPr>
        <w:t xml:space="preserve"> and </w:t>
      </w:r>
      <w:proofErr w:type="spellStart"/>
      <w:r w:rsidRPr="009D551E">
        <w:rPr>
          <w:rFonts w:asciiTheme="majorBidi" w:hAnsiTheme="majorBidi" w:cstheme="majorBidi"/>
          <w:sz w:val="20"/>
          <w:szCs w:val="20"/>
        </w:rPr>
        <w:t>Helicoverpa</w:t>
      </w:r>
      <w:proofErr w:type="spellEnd"/>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zea</w:t>
      </w:r>
      <w:proofErr w:type="spellEnd"/>
      <w:r w:rsidRPr="009D551E">
        <w:rPr>
          <w:rFonts w:asciiTheme="majorBidi" w:hAnsiTheme="majorBidi" w:cstheme="majorBidi"/>
          <w:sz w:val="20"/>
          <w:szCs w:val="20"/>
        </w:rPr>
        <w:t xml:space="preserve"> (Lepidoptera: </w:t>
      </w:r>
      <w:proofErr w:type="spellStart"/>
      <w:r w:rsidRPr="009D551E">
        <w:rPr>
          <w:rFonts w:asciiTheme="majorBidi" w:hAnsiTheme="majorBidi" w:cstheme="majorBidi"/>
          <w:sz w:val="20"/>
          <w:szCs w:val="20"/>
        </w:rPr>
        <w:t>Noctuidae</w:t>
      </w:r>
      <w:proofErr w:type="spellEnd"/>
      <w:r w:rsidRPr="009D551E">
        <w:rPr>
          <w:rFonts w:asciiTheme="majorBidi" w:hAnsiTheme="majorBidi" w:cstheme="majorBidi"/>
          <w:sz w:val="20"/>
          <w:szCs w:val="20"/>
        </w:rPr>
        <w:t>). Florida Entomologist. 99(2). 178-181.</w:t>
      </w:r>
    </w:p>
  </w:footnote>
  <w:footnote w:id="213">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González, E. et al (2107). Secondary invasions of noxious weeds associated with control of invasive </w:t>
      </w:r>
      <w:proofErr w:type="spellStart"/>
      <w:r w:rsidRPr="009D551E">
        <w:rPr>
          <w:rFonts w:asciiTheme="majorBidi" w:hAnsiTheme="majorBidi" w:cstheme="majorBidi"/>
          <w:sz w:val="20"/>
          <w:szCs w:val="20"/>
        </w:rPr>
        <w:t>Tamarix</w:t>
      </w:r>
      <w:proofErr w:type="spellEnd"/>
      <w:r w:rsidRPr="009D551E">
        <w:rPr>
          <w:rFonts w:asciiTheme="majorBidi" w:hAnsiTheme="majorBidi" w:cstheme="majorBidi"/>
          <w:sz w:val="20"/>
          <w:szCs w:val="20"/>
        </w:rPr>
        <w:t xml:space="preserve"> are frequent, idiosyncratic and persistent. Biological Conservation. 213, 106-114.</w:t>
      </w:r>
    </w:p>
  </w:footnote>
  <w:footnote w:id="214">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Stamoulis</w:t>
      </w:r>
      <w:proofErr w:type="spellEnd"/>
      <w:r w:rsidRPr="009D551E">
        <w:rPr>
          <w:rFonts w:asciiTheme="majorBidi" w:hAnsiTheme="majorBidi" w:cstheme="majorBidi"/>
          <w:sz w:val="20"/>
          <w:szCs w:val="20"/>
        </w:rPr>
        <w:t xml:space="preserve">, K. A. (2016). Coral reef grazer-benthos dynamics complicated by invasive algae in a small marine reserve. Scientific Reports. 7. </w:t>
      </w:r>
    </w:p>
  </w:footnote>
  <w:footnote w:id="215">
    <w:p w:rsidR="00071EBB" w:rsidRPr="009D551E" w:rsidRDefault="00071EBB" w:rsidP="009D551E">
      <w:pPr>
        <w:pStyle w:val="FootnoteText"/>
        <w:ind w:firstLine="0"/>
        <w:jc w:val="left"/>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van </w:t>
      </w:r>
      <w:proofErr w:type="spellStart"/>
      <w:r w:rsidRPr="009D551E">
        <w:rPr>
          <w:rFonts w:asciiTheme="majorBidi" w:hAnsiTheme="majorBidi" w:cstheme="majorBidi"/>
          <w:sz w:val="20"/>
          <w:szCs w:val="20"/>
        </w:rPr>
        <w:t>Wilgen</w:t>
      </w:r>
      <w:proofErr w:type="spellEnd"/>
      <w:r w:rsidRPr="009D551E">
        <w:rPr>
          <w:rFonts w:asciiTheme="majorBidi" w:hAnsiTheme="majorBidi" w:cstheme="majorBidi"/>
          <w:sz w:val="20"/>
          <w:szCs w:val="20"/>
        </w:rPr>
        <w:t xml:space="preserve">, B, W. and </w:t>
      </w:r>
      <w:proofErr w:type="spellStart"/>
      <w:r w:rsidRPr="009D551E">
        <w:rPr>
          <w:rFonts w:asciiTheme="majorBidi" w:hAnsiTheme="majorBidi" w:cstheme="majorBidi"/>
          <w:sz w:val="20"/>
          <w:szCs w:val="20"/>
        </w:rPr>
        <w:t>Wannenburgh</w:t>
      </w:r>
      <w:proofErr w:type="spellEnd"/>
      <w:r w:rsidRPr="009D551E">
        <w:rPr>
          <w:rFonts w:asciiTheme="majorBidi" w:hAnsiTheme="majorBidi" w:cstheme="majorBidi"/>
          <w:sz w:val="20"/>
          <w:szCs w:val="20"/>
        </w:rPr>
        <w:t>, A. (2016). Co-facilitating invasive species control, water conservation and poverty relief: achievements and challenges in South Africa’s Working for Water programme. Current Opinion in Environmental Sustainability. 19, 7-17.</w:t>
      </w:r>
    </w:p>
    <w:p w:rsidR="00071EBB" w:rsidRPr="009D551E" w:rsidRDefault="00071EBB" w:rsidP="009D551E">
      <w:pPr>
        <w:pStyle w:val="FootnoteText"/>
        <w:ind w:firstLine="0"/>
        <w:jc w:val="left"/>
        <w:rPr>
          <w:rFonts w:asciiTheme="majorBidi" w:hAnsiTheme="majorBidi" w:cstheme="majorBidi"/>
          <w:sz w:val="20"/>
          <w:szCs w:val="20"/>
        </w:rPr>
      </w:pPr>
      <w:r w:rsidRPr="004B63C3">
        <w:rPr>
          <w:rFonts w:asciiTheme="majorBidi" w:hAnsiTheme="majorBidi" w:cstheme="majorBidi"/>
          <w:sz w:val="20"/>
          <w:szCs w:val="20"/>
          <w:lang w:val="fr-BE"/>
        </w:rPr>
        <w:t xml:space="preserve">Lodge, D.M. et al (2016). </w:t>
      </w:r>
      <w:r w:rsidRPr="009D551E">
        <w:rPr>
          <w:rFonts w:asciiTheme="majorBidi" w:hAnsiTheme="majorBidi" w:cstheme="majorBidi"/>
          <w:sz w:val="20"/>
          <w:szCs w:val="20"/>
        </w:rPr>
        <w:t xml:space="preserve">Risk Analysis and </w:t>
      </w:r>
      <w:proofErr w:type="spellStart"/>
      <w:r w:rsidRPr="009D551E">
        <w:rPr>
          <w:rFonts w:asciiTheme="majorBidi" w:hAnsiTheme="majorBidi" w:cstheme="majorBidi"/>
          <w:sz w:val="20"/>
          <w:szCs w:val="20"/>
        </w:rPr>
        <w:t>Bioeconomics</w:t>
      </w:r>
      <w:proofErr w:type="spellEnd"/>
      <w:r w:rsidRPr="009D551E">
        <w:rPr>
          <w:rFonts w:asciiTheme="majorBidi" w:hAnsiTheme="majorBidi" w:cstheme="majorBidi"/>
          <w:sz w:val="20"/>
          <w:szCs w:val="20"/>
        </w:rPr>
        <w:t xml:space="preserve"> of Invasive Species to Inform Policy and Management. Annual Review of Environment of Resources. 41, 453-88.</w:t>
      </w:r>
    </w:p>
  </w:footnote>
  <w:footnote w:id="216">
    <w:p w:rsidR="00071EBB" w:rsidRPr="009D551E" w:rsidRDefault="00071EBB" w:rsidP="009D551E">
      <w:pPr>
        <w:pStyle w:val="FootnoteText"/>
        <w:ind w:firstLine="0"/>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Jones, H. P. et al (2016). Invasive mammal eradication on islands results in </w:t>
      </w:r>
      <w:proofErr w:type="spellStart"/>
      <w:r w:rsidRPr="009D551E">
        <w:rPr>
          <w:rFonts w:asciiTheme="majorBidi" w:hAnsiTheme="majorBidi" w:cstheme="majorBidi"/>
          <w:sz w:val="20"/>
          <w:szCs w:val="20"/>
          <w:lang w:val="en-US"/>
        </w:rPr>
        <w:t>substnail</w:t>
      </w:r>
      <w:proofErr w:type="spellEnd"/>
      <w:r w:rsidRPr="009D551E">
        <w:rPr>
          <w:rFonts w:asciiTheme="majorBidi" w:hAnsiTheme="majorBidi" w:cstheme="majorBidi"/>
          <w:sz w:val="20"/>
          <w:szCs w:val="20"/>
          <w:lang w:val="en-US"/>
        </w:rPr>
        <w:t xml:space="preserve"> conservation gains. Proceedings of the National Academy of Sciences of the United States of America. </w:t>
      </w:r>
      <w:r w:rsidRPr="009D551E">
        <w:rPr>
          <w:rStyle w:val="highwire-cite-metadata-volume"/>
          <w:rFonts w:asciiTheme="majorBidi" w:hAnsiTheme="majorBidi" w:cstheme="majorBidi"/>
          <w:color w:val="333333"/>
          <w:sz w:val="20"/>
          <w:szCs w:val="20"/>
          <w:shd w:val="clear" w:color="auto" w:fill="FFFFFF"/>
        </w:rPr>
        <w:t>113 </w:t>
      </w:r>
      <w:r w:rsidRPr="009D551E">
        <w:rPr>
          <w:rStyle w:val="highwire-cite-metadata-issue"/>
          <w:rFonts w:asciiTheme="majorBidi" w:hAnsiTheme="majorBidi" w:cstheme="majorBidi"/>
          <w:color w:val="333333"/>
          <w:sz w:val="20"/>
          <w:szCs w:val="20"/>
          <w:shd w:val="clear" w:color="auto" w:fill="FFFFFF"/>
        </w:rPr>
        <w:t>(15), </w:t>
      </w:r>
      <w:r w:rsidRPr="009D551E">
        <w:rPr>
          <w:rStyle w:val="highwire-cite-metadata-pages"/>
          <w:rFonts w:asciiTheme="majorBidi" w:hAnsiTheme="majorBidi" w:cstheme="majorBidi"/>
          <w:color w:val="333333"/>
          <w:sz w:val="20"/>
          <w:szCs w:val="20"/>
          <w:shd w:val="clear" w:color="auto" w:fill="FFFFFF"/>
        </w:rPr>
        <w:t>4033-4038; </w:t>
      </w:r>
      <w:r w:rsidRPr="009D551E">
        <w:rPr>
          <w:rStyle w:val="highwire-cite-metadata-papdate"/>
          <w:rFonts w:asciiTheme="majorBidi" w:hAnsiTheme="majorBidi" w:cstheme="majorBidi"/>
          <w:color w:val="333333"/>
          <w:sz w:val="20"/>
          <w:szCs w:val="20"/>
          <w:shd w:val="clear" w:color="auto" w:fill="FFFFFF"/>
        </w:rPr>
        <w:t> </w:t>
      </w:r>
      <w:hyperlink r:id="rId24" w:history="1">
        <w:r w:rsidRPr="009D551E">
          <w:rPr>
            <w:rStyle w:val="Hyperlink"/>
            <w:rFonts w:asciiTheme="majorBidi" w:hAnsiTheme="majorBidi" w:cstheme="majorBidi"/>
            <w:color w:val="005A96"/>
            <w:sz w:val="20"/>
            <w:szCs w:val="20"/>
          </w:rPr>
          <w:t>doi.org/10.1073/pnas.1521179113</w:t>
        </w:r>
      </w:hyperlink>
    </w:p>
  </w:footnote>
  <w:footnote w:id="217">
    <w:p w:rsidR="00071EBB" w:rsidRPr="004B63C3" w:rsidRDefault="00071EBB" w:rsidP="009D551E">
      <w:pPr>
        <w:pStyle w:val="FootnoteText"/>
        <w:ind w:firstLine="0"/>
        <w:rPr>
          <w:rFonts w:asciiTheme="majorBidi" w:hAnsiTheme="majorBidi" w:cstheme="majorBidi"/>
          <w:sz w:val="20"/>
          <w:szCs w:val="20"/>
          <w:lang w:val="en-US"/>
        </w:rPr>
      </w:pPr>
      <w:r w:rsidRPr="00071EBB">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Chown</w:t>
      </w:r>
      <w:proofErr w:type="spellEnd"/>
      <w:r w:rsidRPr="009D551E">
        <w:rPr>
          <w:rFonts w:asciiTheme="majorBidi" w:hAnsiTheme="majorBidi" w:cstheme="majorBidi"/>
          <w:sz w:val="20"/>
          <w:szCs w:val="20"/>
        </w:rPr>
        <w:t xml:space="preserve"> SL, et al. (2017) Antarctica and the strategic plan for biodiversity. </w:t>
      </w:r>
      <w:proofErr w:type="spellStart"/>
      <w:r w:rsidRPr="004B63C3">
        <w:rPr>
          <w:rFonts w:asciiTheme="majorBidi" w:hAnsiTheme="majorBidi" w:cstheme="majorBidi"/>
          <w:sz w:val="20"/>
          <w:szCs w:val="20"/>
          <w:lang w:val="en-US"/>
        </w:rPr>
        <w:t>PLoS</w:t>
      </w:r>
      <w:proofErr w:type="spellEnd"/>
      <w:r w:rsidRPr="004B63C3">
        <w:rPr>
          <w:rFonts w:asciiTheme="majorBidi" w:hAnsiTheme="majorBidi" w:cstheme="majorBidi"/>
          <w:sz w:val="20"/>
          <w:szCs w:val="20"/>
          <w:lang w:val="en-US"/>
        </w:rPr>
        <w:t xml:space="preserve"> </w:t>
      </w:r>
      <w:proofErr w:type="spellStart"/>
      <w:r w:rsidRPr="004B63C3">
        <w:rPr>
          <w:rFonts w:asciiTheme="majorBidi" w:hAnsiTheme="majorBidi" w:cstheme="majorBidi"/>
          <w:sz w:val="20"/>
          <w:szCs w:val="20"/>
          <w:lang w:val="en-US"/>
        </w:rPr>
        <w:t>Biol</w:t>
      </w:r>
      <w:proofErr w:type="spellEnd"/>
      <w:r w:rsidRPr="004B63C3">
        <w:rPr>
          <w:rFonts w:asciiTheme="majorBidi" w:hAnsiTheme="majorBidi" w:cstheme="majorBidi"/>
          <w:sz w:val="20"/>
          <w:szCs w:val="20"/>
          <w:lang w:val="en-US"/>
        </w:rPr>
        <w:t xml:space="preserve"> 15(3): e2001656. https://doi.org/10.1371/journal.pbio.2001656</w:t>
      </w:r>
    </w:p>
  </w:footnote>
  <w:footnote w:id="218">
    <w:p w:rsidR="00071EBB" w:rsidRPr="009D551E" w:rsidRDefault="00071EBB" w:rsidP="009D551E">
      <w:pPr>
        <w:pStyle w:val="FootnoteText"/>
        <w:ind w:firstLine="0"/>
        <w:rPr>
          <w:rFonts w:asciiTheme="majorBidi" w:hAnsiTheme="majorBidi" w:cstheme="majorBidi"/>
          <w:sz w:val="20"/>
          <w:szCs w:val="20"/>
        </w:rPr>
      </w:pPr>
      <w:r w:rsidRPr="00071EBB">
        <w:rPr>
          <w:rStyle w:val="FootnoteReference"/>
          <w:rFonts w:asciiTheme="majorBidi" w:hAnsiTheme="majorBidi" w:cstheme="majorBidi"/>
          <w:sz w:val="20"/>
          <w:szCs w:val="20"/>
        </w:rPr>
        <w:footnoteRef/>
      </w:r>
      <w:r w:rsidRPr="004B63C3">
        <w:rPr>
          <w:rFonts w:asciiTheme="majorBidi" w:hAnsiTheme="majorBidi" w:cstheme="majorBidi"/>
          <w:sz w:val="20"/>
          <w:szCs w:val="20"/>
          <w:lang w:val="en-US"/>
        </w:rPr>
        <w:t xml:space="preserve"> Ricciardi et al. 2017. </w:t>
      </w:r>
      <w:r w:rsidRPr="009D551E">
        <w:rPr>
          <w:rFonts w:asciiTheme="majorBidi" w:hAnsiTheme="majorBidi" w:cstheme="majorBidi"/>
          <w:sz w:val="20"/>
          <w:szCs w:val="20"/>
        </w:rPr>
        <w:t>Invasion Science: A Horizon Scan of Emerging Challenges and Opportunities. Trends in Ecology and Evolution. 32 (6), 464-474.</w:t>
      </w:r>
    </w:p>
  </w:footnote>
  <w:footnote w:id="219">
    <w:p w:rsidR="00071EBB" w:rsidRPr="009D551E" w:rsidRDefault="00071EBB" w:rsidP="009D551E">
      <w:pPr>
        <w:pStyle w:val="FootnoteText"/>
        <w:ind w:firstLine="0"/>
        <w:jc w:val="left"/>
        <w:rPr>
          <w:rFonts w:asciiTheme="majorBidi" w:hAnsiTheme="majorBidi" w:cstheme="majorBidi"/>
          <w:sz w:val="20"/>
          <w:szCs w:val="20"/>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IUCN Red List Index </w:t>
      </w:r>
      <w:hyperlink r:id="rId25" w:history="1">
        <w:r w:rsidRPr="009D551E">
          <w:rPr>
            <w:rStyle w:val="Hyperlink"/>
            <w:rFonts w:asciiTheme="majorBidi" w:hAnsiTheme="majorBidi" w:cstheme="majorBidi"/>
            <w:sz w:val="20"/>
            <w:szCs w:val="20"/>
          </w:rPr>
          <w:t>http://www.iucnredlist.org/about/publication/red-list-index</w:t>
        </w:r>
      </w:hyperlink>
    </w:p>
  </w:footnote>
  <w:footnote w:id="220">
    <w:p w:rsidR="00071EBB" w:rsidRPr="009D551E" w:rsidRDefault="00071EBB" w:rsidP="009D551E">
      <w:pPr>
        <w:jc w:val="left"/>
        <w:outlineLvl w:val="0"/>
        <w:rPr>
          <w:rFonts w:asciiTheme="majorBidi" w:hAnsiTheme="majorBidi" w:cstheme="majorBidi"/>
          <w:sz w:val="20"/>
          <w:szCs w:val="20"/>
          <w:shd w:val="clear" w:color="auto" w:fill="FFFFFF"/>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shd w:val="clear" w:color="auto" w:fill="FFFFFF"/>
        </w:rPr>
        <w:t>Liedhold</w:t>
      </w:r>
      <w:proofErr w:type="spellEnd"/>
      <w:r w:rsidRPr="009D551E">
        <w:rPr>
          <w:rFonts w:asciiTheme="majorBidi" w:hAnsiTheme="majorBidi" w:cstheme="majorBidi"/>
          <w:sz w:val="20"/>
          <w:szCs w:val="20"/>
          <w:shd w:val="clear" w:color="auto" w:fill="FFFFFF"/>
        </w:rPr>
        <w:t xml:space="preserve"> et al. 2016 </w:t>
      </w:r>
      <w:r w:rsidRPr="009D551E">
        <w:rPr>
          <w:rFonts w:asciiTheme="majorBidi" w:hAnsiTheme="majorBidi" w:cstheme="majorBidi"/>
          <w:sz w:val="20"/>
          <w:szCs w:val="20"/>
        </w:rPr>
        <w:t>Global compositional variation among native and non-native regional insect assemblages emphasizes the importance of pathways. Biological Invasions Vol.18</w:t>
      </w:r>
    </w:p>
  </w:footnote>
  <w:footnote w:id="221">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shd w:val="clear" w:color="auto" w:fill="FFFFFF"/>
        </w:rPr>
        <w:t>Solarz</w:t>
      </w:r>
      <w:proofErr w:type="spellEnd"/>
      <w:r w:rsidRPr="009D551E">
        <w:rPr>
          <w:rFonts w:asciiTheme="majorBidi" w:hAnsiTheme="majorBidi" w:cstheme="majorBidi"/>
          <w:sz w:val="20"/>
          <w:szCs w:val="20"/>
          <w:shd w:val="clear" w:color="auto" w:fill="FFFFFF"/>
        </w:rPr>
        <w:t xml:space="preserve"> et al. 2017. </w:t>
      </w:r>
      <w:r w:rsidRPr="009D551E">
        <w:rPr>
          <w:rFonts w:asciiTheme="majorBidi" w:hAnsiTheme="majorBidi" w:cstheme="majorBidi"/>
          <w:sz w:val="20"/>
          <w:szCs w:val="20"/>
        </w:rPr>
        <w:t>Birds and alien species dispersal: on the need to focus management efforts on primary introduction pathways – comment on Reynolds et al. and Green. Diversity and Distribution: A journal of Conservation Biogeography Vol.23</w:t>
      </w:r>
    </w:p>
  </w:footnote>
  <w:footnote w:id="222">
    <w:p w:rsidR="00071EBB" w:rsidRPr="009D551E" w:rsidRDefault="00071EBB" w:rsidP="009D551E">
      <w:pPr>
        <w:pStyle w:val="FootnoteText"/>
        <w:ind w:firstLine="0"/>
        <w:jc w:val="left"/>
        <w:rPr>
          <w:rFonts w:asciiTheme="majorBidi" w:hAnsiTheme="majorBidi" w:cstheme="majorBidi"/>
          <w:sz w:val="20"/>
          <w:szCs w:val="20"/>
        </w:rPr>
      </w:pPr>
      <w:r w:rsidRPr="00D55B9C">
        <w:rPr>
          <w:rStyle w:val="FootnoteReference"/>
          <w:rFonts w:asciiTheme="majorBidi" w:hAnsiTheme="majorBidi" w:cstheme="majorBidi"/>
          <w:sz w:val="20"/>
          <w:szCs w:val="20"/>
        </w:rPr>
        <w:footnoteRef/>
      </w:r>
      <w:proofErr w:type="spellStart"/>
      <w:r w:rsidRPr="009D551E">
        <w:rPr>
          <w:rFonts w:asciiTheme="majorBidi" w:hAnsiTheme="majorBidi" w:cstheme="majorBidi"/>
          <w:sz w:val="20"/>
          <w:szCs w:val="20"/>
        </w:rPr>
        <w:t>Vanderhoeven</w:t>
      </w:r>
      <w:proofErr w:type="spellEnd"/>
      <w:r w:rsidRPr="009D551E">
        <w:rPr>
          <w:rFonts w:asciiTheme="majorBidi" w:hAnsiTheme="majorBidi" w:cstheme="majorBidi"/>
          <w:sz w:val="20"/>
          <w:szCs w:val="20"/>
        </w:rPr>
        <w:t xml:space="preserve"> et al. 2017. Tracking Invasive Alien Species (</w:t>
      </w:r>
      <w:proofErr w:type="spellStart"/>
      <w:r w:rsidRPr="009D551E">
        <w:rPr>
          <w:rFonts w:asciiTheme="majorBidi" w:hAnsiTheme="majorBidi" w:cstheme="majorBidi"/>
          <w:sz w:val="20"/>
          <w:szCs w:val="20"/>
        </w:rPr>
        <w:t>TrIAS</w:t>
      </w:r>
      <w:proofErr w:type="spellEnd"/>
      <w:r w:rsidRPr="009D551E">
        <w:rPr>
          <w:rFonts w:asciiTheme="majorBidi" w:hAnsiTheme="majorBidi" w:cstheme="majorBidi"/>
          <w:sz w:val="20"/>
          <w:szCs w:val="20"/>
        </w:rPr>
        <w:t>): Building a data-driven framework to inform policy. Research Ideas and Outcomes Vol. 3</w:t>
      </w:r>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Hyatt-</w:t>
      </w:r>
      <w:proofErr w:type="spellStart"/>
      <w:r w:rsidRPr="009D551E">
        <w:rPr>
          <w:rFonts w:asciiTheme="majorBidi" w:hAnsiTheme="majorBidi" w:cstheme="majorBidi"/>
          <w:sz w:val="20"/>
          <w:szCs w:val="20"/>
        </w:rPr>
        <w:t>Twynam</w:t>
      </w:r>
      <w:proofErr w:type="spellEnd"/>
      <w:r w:rsidRPr="009D551E">
        <w:rPr>
          <w:rFonts w:asciiTheme="majorBidi" w:hAnsiTheme="majorBidi" w:cstheme="majorBidi"/>
          <w:sz w:val="20"/>
          <w:szCs w:val="20"/>
        </w:rPr>
        <w:t xml:space="preserve"> et al. 2017. Risk-based management of invading plant disease. New </w:t>
      </w:r>
      <w:proofErr w:type="spellStart"/>
      <w:r w:rsidRPr="009D551E">
        <w:rPr>
          <w:rFonts w:asciiTheme="majorBidi" w:hAnsiTheme="majorBidi" w:cstheme="majorBidi"/>
          <w:sz w:val="20"/>
          <w:szCs w:val="20"/>
        </w:rPr>
        <w:t>Phytologist</w:t>
      </w:r>
      <w:proofErr w:type="spellEnd"/>
      <w:r w:rsidRPr="009D551E">
        <w:rPr>
          <w:rFonts w:asciiTheme="majorBidi" w:hAnsiTheme="majorBidi" w:cstheme="majorBidi"/>
          <w:sz w:val="20"/>
          <w:szCs w:val="20"/>
        </w:rPr>
        <w:t xml:space="preserve"> Vol. 214</w:t>
      </w:r>
    </w:p>
  </w:footnote>
  <w:footnote w:id="223">
    <w:p w:rsidR="00071EBB" w:rsidRPr="009D551E" w:rsidRDefault="00071EBB" w:rsidP="009D551E">
      <w:pPr>
        <w:jc w:val="left"/>
        <w:outlineLvl w:val="0"/>
        <w:rPr>
          <w:rFonts w:asciiTheme="majorBidi" w:hAnsiTheme="majorBidi" w:cstheme="majorBidi"/>
          <w:sz w:val="20"/>
          <w:szCs w:val="20"/>
          <w:shd w:val="clear" w:color="auto" w:fill="FFFFFF"/>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Saul et al. 2016. Assessing patterns in introduction pathways of alien species by linking major invasion data bases. Journal of Applied Ecology Vol.54</w:t>
      </w:r>
    </w:p>
  </w:footnote>
  <w:footnote w:id="224">
    <w:p w:rsidR="00071EBB" w:rsidRPr="009D551E" w:rsidRDefault="00071EBB" w:rsidP="009D551E">
      <w:pPr>
        <w:jc w:val="left"/>
        <w:outlineLvl w:val="0"/>
        <w:rPr>
          <w:rFonts w:asciiTheme="majorBidi" w:hAnsiTheme="majorBidi" w:cstheme="majorBidi"/>
          <w:sz w:val="20"/>
          <w:szCs w:val="20"/>
          <w:shd w:val="clear" w:color="auto" w:fill="FFFFFF"/>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Roy and al. 2014. Horizon scanning for invasive alien species with the potential to threaten biodiversity in Great Britain. Global Change Biology Vol 20, Issue 12</w:t>
      </w:r>
    </w:p>
  </w:footnote>
  <w:footnote w:id="225">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pacing w:val="3"/>
          <w:sz w:val="20"/>
          <w:szCs w:val="20"/>
          <w:shd w:val="clear" w:color="auto" w:fill="FFFFFF"/>
          <w:lang w:val="en-US"/>
        </w:rPr>
        <w:t xml:space="preserve">Heron, S. F. et al. (2016) </w:t>
      </w:r>
      <w:r w:rsidRPr="009D551E">
        <w:rPr>
          <w:rFonts w:asciiTheme="majorBidi" w:hAnsiTheme="majorBidi" w:cstheme="majorBidi"/>
          <w:spacing w:val="3"/>
          <w:sz w:val="20"/>
          <w:szCs w:val="20"/>
          <w:shd w:val="clear" w:color="auto" w:fill="FFFFFF"/>
        </w:rPr>
        <w:t xml:space="preserve">Warming Trends and Bleaching Stress of the World’s Coral Reefs 1985–2012. Sci. Rep. 6, 38402; </w:t>
      </w:r>
      <w:proofErr w:type="spellStart"/>
      <w:r w:rsidRPr="009D551E">
        <w:rPr>
          <w:rFonts w:asciiTheme="majorBidi" w:hAnsiTheme="majorBidi" w:cstheme="majorBidi"/>
          <w:spacing w:val="3"/>
          <w:sz w:val="20"/>
          <w:szCs w:val="20"/>
          <w:shd w:val="clear" w:color="auto" w:fill="FFFFFF"/>
        </w:rPr>
        <w:t>doi</w:t>
      </w:r>
      <w:proofErr w:type="spellEnd"/>
      <w:r w:rsidRPr="009D551E">
        <w:rPr>
          <w:rFonts w:asciiTheme="majorBidi" w:hAnsiTheme="majorBidi" w:cstheme="majorBidi"/>
          <w:spacing w:val="3"/>
          <w:sz w:val="20"/>
          <w:szCs w:val="20"/>
          <w:shd w:val="clear" w:color="auto" w:fill="FFFFFF"/>
        </w:rPr>
        <w:t>: 10.1038/srep38402.</w:t>
      </w:r>
    </w:p>
  </w:footnote>
  <w:footnote w:id="226">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pacing w:val="4"/>
          <w:sz w:val="20"/>
          <w:szCs w:val="20"/>
          <w:shd w:val="clear" w:color="auto" w:fill="FCFCFC"/>
        </w:rPr>
        <w:t>Tkachenko</w:t>
      </w:r>
      <w:proofErr w:type="spellEnd"/>
      <w:r w:rsidRPr="009D551E">
        <w:rPr>
          <w:rFonts w:asciiTheme="majorBidi" w:hAnsiTheme="majorBidi" w:cstheme="majorBidi"/>
          <w:spacing w:val="4"/>
          <w:sz w:val="20"/>
          <w:szCs w:val="20"/>
          <w:shd w:val="clear" w:color="auto" w:fill="FCFCFC"/>
        </w:rPr>
        <w:t>, K.S. (2017) Coral reefs in the face of ecological threats of the 21st century. Biology Bulletin Reviews 7: 64. https://doi.org/10.1134/S2079086416050091</w:t>
      </w:r>
    </w:p>
  </w:footnote>
  <w:footnote w:id="227">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White, A. T., et al (2014). </w:t>
      </w:r>
      <w:r w:rsidRPr="009D551E">
        <w:rPr>
          <w:rFonts w:asciiTheme="majorBidi" w:hAnsiTheme="majorBidi" w:cstheme="majorBidi"/>
          <w:sz w:val="20"/>
          <w:szCs w:val="20"/>
        </w:rPr>
        <w:t xml:space="preserve">Marine protected areas in the Coral Triangle: progress, issues, and options. </w:t>
      </w:r>
      <w:r w:rsidRPr="009D551E">
        <w:rPr>
          <w:rFonts w:asciiTheme="majorBidi" w:hAnsiTheme="majorBidi" w:cstheme="majorBidi"/>
          <w:sz w:val="20"/>
          <w:szCs w:val="20"/>
          <w:lang w:val="en-US"/>
        </w:rPr>
        <w:t>Coastal Management, 42(2), 87-106</w:t>
      </w:r>
    </w:p>
  </w:footnote>
  <w:footnote w:id="228">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Sale, P. F. (2015). Coral reef conservation and political will. Environmental Conservation, 42(02), 97-101.</w:t>
      </w:r>
    </w:p>
  </w:footnote>
  <w:footnote w:id="229">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Manzello, D. P. (2015). Rapid recent warming of coral reefs in the Florida Keys. Scientific reports, 5, 16762.</w:t>
      </w:r>
    </w:p>
  </w:footnote>
  <w:footnote w:id="230">
    <w:p w:rsidR="00071EBB" w:rsidRPr="009D551E" w:rsidRDefault="00071EBB" w:rsidP="009D551E">
      <w:pPr>
        <w:jc w:val="left"/>
        <w:rPr>
          <w:rFonts w:asciiTheme="majorBidi" w:hAnsiTheme="majorBidi" w:cstheme="majorBidi"/>
          <w:sz w:val="20"/>
          <w:szCs w:val="20"/>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Vega Thurber, R. L., et al (2014). </w:t>
      </w:r>
      <w:r w:rsidRPr="009D551E">
        <w:rPr>
          <w:rFonts w:asciiTheme="majorBidi" w:hAnsiTheme="majorBidi" w:cstheme="majorBidi"/>
          <w:sz w:val="20"/>
          <w:szCs w:val="20"/>
        </w:rPr>
        <w:t>Chronic nutrient enrichment increases prevalence and severity of coral disease and bleaching. Global change biology, 20(2), 544-554.</w:t>
      </w:r>
    </w:p>
  </w:footnote>
  <w:footnote w:id="231">
    <w:p w:rsidR="00071EBB" w:rsidRPr="009D551E" w:rsidRDefault="00071EBB" w:rsidP="009D551E">
      <w:pPr>
        <w:jc w:val="left"/>
        <w:rPr>
          <w:rFonts w:asciiTheme="majorBidi" w:hAnsiTheme="majorBidi" w:cstheme="majorBidi"/>
          <w:sz w:val="20"/>
          <w:szCs w:val="20"/>
          <w:lang w:val="fr-BE"/>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Kroon, F. J., et al (2014). </w:t>
      </w:r>
      <w:r w:rsidRPr="009D551E">
        <w:rPr>
          <w:rFonts w:asciiTheme="majorBidi" w:hAnsiTheme="majorBidi" w:cstheme="majorBidi"/>
          <w:sz w:val="20"/>
          <w:szCs w:val="20"/>
        </w:rPr>
        <w:t xml:space="preserve">Informing policy to protect coastal coral reefs: Insight from a global review of reducing agricultural pollution to coastal ecosystems. </w:t>
      </w:r>
      <w:r w:rsidRPr="009D551E">
        <w:rPr>
          <w:rFonts w:asciiTheme="majorBidi" w:hAnsiTheme="majorBidi" w:cstheme="majorBidi"/>
          <w:sz w:val="20"/>
          <w:szCs w:val="20"/>
          <w:lang w:val="fr-BE"/>
        </w:rPr>
        <w:t xml:space="preserve">Marine pollution bulletin, 85(1), 33-41. </w:t>
      </w:r>
    </w:p>
  </w:footnote>
  <w:footnote w:id="232">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380AE4">
        <w:rPr>
          <w:rFonts w:asciiTheme="majorBidi" w:hAnsiTheme="majorBidi" w:cstheme="majorBidi"/>
          <w:sz w:val="20"/>
          <w:szCs w:val="20"/>
          <w:lang w:val="fr-BE"/>
        </w:rPr>
        <w:t xml:space="preserve"> Kavousi, J., Reimer, J. D., Tanaka, Y., &amp; Nakamura, T. (2015). </w:t>
      </w:r>
      <w:r w:rsidRPr="009D551E">
        <w:rPr>
          <w:rFonts w:asciiTheme="majorBidi" w:hAnsiTheme="majorBidi" w:cstheme="majorBidi"/>
          <w:sz w:val="20"/>
          <w:szCs w:val="20"/>
        </w:rPr>
        <w:t xml:space="preserve">Colony-specific investigations reveal highly variable responses among individual corals to ocean acidification and warming. </w:t>
      </w:r>
      <w:r w:rsidRPr="009D551E">
        <w:rPr>
          <w:rFonts w:asciiTheme="majorBidi" w:hAnsiTheme="majorBidi" w:cstheme="majorBidi"/>
          <w:sz w:val="20"/>
          <w:szCs w:val="20"/>
          <w:lang w:val="en-US"/>
        </w:rPr>
        <w:t xml:space="preserve">Marine environmental research, 109, 9-20. </w:t>
      </w:r>
    </w:p>
    <w:p w:rsidR="00071EBB" w:rsidRPr="009D551E" w:rsidRDefault="00071EBB" w:rsidP="009D551E">
      <w:pPr>
        <w:pStyle w:val="FootnoteText"/>
        <w:ind w:firstLine="0"/>
        <w:jc w:val="left"/>
        <w:rPr>
          <w:rFonts w:asciiTheme="majorBidi" w:hAnsiTheme="majorBidi" w:cstheme="majorBidi"/>
          <w:sz w:val="20"/>
          <w:szCs w:val="20"/>
        </w:rPr>
      </w:pPr>
      <w:r w:rsidRPr="009D551E">
        <w:rPr>
          <w:rFonts w:asciiTheme="majorBidi" w:hAnsiTheme="majorBidi" w:cstheme="majorBidi"/>
          <w:sz w:val="20"/>
          <w:szCs w:val="20"/>
          <w:lang w:val="en-US"/>
        </w:rPr>
        <w:t xml:space="preserve">Elahi, R., et al (2016). </w:t>
      </w:r>
      <w:r w:rsidRPr="009D551E">
        <w:rPr>
          <w:rFonts w:asciiTheme="majorBidi" w:hAnsiTheme="majorBidi" w:cstheme="majorBidi"/>
          <w:sz w:val="20"/>
          <w:szCs w:val="20"/>
        </w:rPr>
        <w:t>Ocean warming and the demography of declines in coral body size. Marine Ecology Progress Series, 560, 147-158.</w:t>
      </w:r>
    </w:p>
    <w:p w:rsidR="00071EBB" w:rsidRPr="009D551E" w:rsidRDefault="00071EBB" w:rsidP="009D551E">
      <w:pPr>
        <w:pStyle w:val="FootnoteText"/>
        <w:ind w:firstLine="0"/>
        <w:jc w:val="left"/>
        <w:rPr>
          <w:rFonts w:asciiTheme="majorBidi" w:hAnsiTheme="majorBidi" w:cstheme="majorBidi"/>
          <w:sz w:val="20"/>
          <w:szCs w:val="20"/>
        </w:rPr>
      </w:pPr>
      <w:proofErr w:type="spellStart"/>
      <w:r w:rsidRPr="004B63C3">
        <w:rPr>
          <w:rFonts w:asciiTheme="majorBidi" w:hAnsiTheme="majorBidi" w:cstheme="majorBidi"/>
          <w:sz w:val="20"/>
          <w:szCs w:val="20"/>
          <w:lang w:val="fr-BE"/>
        </w:rPr>
        <w:t>Bozec</w:t>
      </w:r>
      <w:proofErr w:type="spellEnd"/>
      <w:r w:rsidRPr="004B63C3">
        <w:rPr>
          <w:rFonts w:asciiTheme="majorBidi" w:hAnsiTheme="majorBidi" w:cstheme="majorBidi"/>
          <w:sz w:val="20"/>
          <w:szCs w:val="20"/>
          <w:lang w:val="fr-BE"/>
        </w:rPr>
        <w:t xml:space="preserve">, Y. M., et al (2015). </w:t>
      </w:r>
      <w:r w:rsidRPr="009D551E">
        <w:rPr>
          <w:rFonts w:asciiTheme="majorBidi" w:hAnsiTheme="majorBidi" w:cstheme="majorBidi"/>
          <w:sz w:val="20"/>
          <w:szCs w:val="20"/>
        </w:rPr>
        <w:t xml:space="preserve">The dynamics of architectural complexity on coral reefs under climate change. Global change biology, 21(1), 223-235. </w:t>
      </w:r>
    </w:p>
    <w:p w:rsidR="00071EBB" w:rsidRPr="009D551E" w:rsidRDefault="00071EBB" w:rsidP="009D551E">
      <w:pPr>
        <w:pStyle w:val="FootnoteText"/>
        <w:ind w:firstLine="0"/>
        <w:jc w:val="left"/>
        <w:rPr>
          <w:rFonts w:asciiTheme="majorBidi" w:hAnsiTheme="majorBidi" w:cstheme="majorBidi"/>
          <w:sz w:val="20"/>
          <w:szCs w:val="20"/>
        </w:rPr>
      </w:pPr>
      <w:r w:rsidRPr="009D551E">
        <w:rPr>
          <w:rFonts w:asciiTheme="majorBidi" w:hAnsiTheme="majorBidi" w:cstheme="majorBidi"/>
          <w:sz w:val="20"/>
          <w:szCs w:val="20"/>
          <w:lang w:val="en-US"/>
        </w:rPr>
        <w:t xml:space="preserve">Burdett, H. L., et al (2014). </w:t>
      </w:r>
      <w:r w:rsidRPr="009D551E">
        <w:rPr>
          <w:rFonts w:asciiTheme="majorBidi" w:hAnsiTheme="majorBidi" w:cstheme="majorBidi"/>
          <w:sz w:val="20"/>
          <w:szCs w:val="20"/>
        </w:rPr>
        <w:t xml:space="preserve">Effects of high temperature and CO2 on intracellular DMSP in the cold-water coral </w:t>
      </w:r>
      <w:proofErr w:type="spellStart"/>
      <w:r w:rsidRPr="009D551E">
        <w:rPr>
          <w:rFonts w:asciiTheme="majorBidi" w:hAnsiTheme="majorBidi" w:cstheme="majorBidi"/>
          <w:sz w:val="20"/>
          <w:szCs w:val="20"/>
        </w:rPr>
        <w:t>Lophelia</w:t>
      </w:r>
      <w:proofErr w:type="spellEnd"/>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pertusa</w:t>
      </w:r>
      <w:proofErr w:type="spellEnd"/>
      <w:r w:rsidRPr="009D551E">
        <w:rPr>
          <w:rFonts w:asciiTheme="majorBidi" w:hAnsiTheme="majorBidi" w:cstheme="majorBidi"/>
          <w:sz w:val="20"/>
          <w:szCs w:val="20"/>
        </w:rPr>
        <w:t>. Marine biology, 161(7), 1499-1506.</w:t>
      </w:r>
    </w:p>
    <w:p w:rsidR="00071EBB" w:rsidRPr="009D551E" w:rsidRDefault="00071EBB" w:rsidP="009D551E">
      <w:pPr>
        <w:pStyle w:val="FootnoteText"/>
        <w:ind w:firstLine="0"/>
        <w:jc w:val="left"/>
        <w:rPr>
          <w:rFonts w:asciiTheme="majorBidi" w:hAnsiTheme="majorBidi" w:cstheme="majorBidi"/>
          <w:sz w:val="20"/>
          <w:szCs w:val="20"/>
        </w:rPr>
      </w:pPr>
      <w:r w:rsidRPr="009D551E">
        <w:rPr>
          <w:rFonts w:asciiTheme="majorBidi" w:hAnsiTheme="majorBidi" w:cstheme="majorBidi"/>
          <w:sz w:val="20"/>
          <w:szCs w:val="20"/>
          <w:lang w:val="en-US"/>
        </w:rPr>
        <w:t xml:space="preserve">Swain, T. D., et al (2016). </w:t>
      </w:r>
      <w:r w:rsidRPr="009D551E">
        <w:rPr>
          <w:rFonts w:asciiTheme="majorBidi" w:hAnsiTheme="majorBidi" w:cstheme="majorBidi"/>
          <w:sz w:val="20"/>
          <w:szCs w:val="20"/>
        </w:rPr>
        <w:t xml:space="preserve">Coral bleaching response index: a new tool to standardize and compare susceptibility to thermal bleaching. Global change biology, 22(7), 2475-2488. </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rPr>
        <w:t>Munday</w:t>
      </w:r>
      <w:proofErr w:type="spellEnd"/>
      <w:r w:rsidRPr="009D551E">
        <w:rPr>
          <w:rFonts w:asciiTheme="majorBidi" w:hAnsiTheme="majorBidi" w:cstheme="majorBidi"/>
          <w:sz w:val="20"/>
          <w:szCs w:val="20"/>
        </w:rPr>
        <w:t>, P. L., et al (2017). Potential for adaptation to climate change in a coral reef fish. Global change biology, 23(1), 307-317.</w:t>
      </w:r>
    </w:p>
  </w:footnote>
  <w:footnote w:id="233">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Logan, C. A., et al (2014). </w:t>
      </w:r>
      <w:r w:rsidRPr="009D551E">
        <w:rPr>
          <w:rFonts w:asciiTheme="majorBidi" w:hAnsiTheme="majorBidi" w:cstheme="majorBidi"/>
          <w:sz w:val="20"/>
          <w:szCs w:val="20"/>
        </w:rPr>
        <w:t>Incorporating adaptive responses into future projections of coral bleaching. Global Change Biology, 20(1), 125-139.</w:t>
      </w:r>
    </w:p>
  </w:footnote>
  <w:footnote w:id="234">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Ainsworth, T. D., et al (2016). Climate change disables coral bleaching protection on the Great Barrier Reef. Science, 352(6283), 338-342.</w:t>
      </w:r>
    </w:p>
  </w:footnote>
  <w:footnote w:id="235">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Nagelkerken</w:t>
      </w:r>
      <w:proofErr w:type="spellEnd"/>
      <w:r w:rsidRPr="009D551E">
        <w:rPr>
          <w:rFonts w:asciiTheme="majorBidi" w:hAnsiTheme="majorBidi" w:cstheme="majorBidi"/>
          <w:sz w:val="20"/>
          <w:szCs w:val="20"/>
        </w:rPr>
        <w:t xml:space="preserve">, I., and </w:t>
      </w:r>
      <w:proofErr w:type="spellStart"/>
      <w:r w:rsidRPr="009D551E">
        <w:rPr>
          <w:rFonts w:asciiTheme="majorBidi" w:hAnsiTheme="majorBidi" w:cstheme="majorBidi"/>
          <w:sz w:val="20"/>
          <w:szCs w:val="20"/>
        </w:rPr>
        <w:t>Munday</w:t>
      </w:r>
      <w:proofErr w:type="spellEnd"/>
      <w:r w:rsidRPr="009D551E">
        <w:rPr>
          <w:rFonts w:asciiTheme="majorBidi" w:hAnsiTheme="majorBidi" w:cstheme="majorBidi"/>
          <w:sz w:val="20"/>
          <w:szCs w:val="20"/>
        </w:rPr>
        <w:t>, P. L. (2015). Animal behaviour shapes the ecological effects of ocean acidification and warming: moving from individual to community-level responses. Global change biology. 22(3),974-989.</w:t>
      </w:r>
    </w:p>
  </w:footnote>
  <w:footnote w:id="236">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Ferrari, M, et al (2015). Interactive effects of ocean acidification and rising sea temperatures alter predation rate and predator selectivity in reef fish communities. Global change biology 21(5): 1848-1855.</w:t>
      </w:r>
    </w:p>
  </w:footnote>
  <w:footnote w:id="237">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Manzello, D. P. (2015). Rapid recent warming of coral reefs in the Florida Keys. Scientific reports, 5, 16762.</w:t>
      </w:r>
    </w:p>
  </w:footnote>
  <w:footnote w:id="238">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Bozec</w:t>
      </w:r>
      <w:proofErr w:type="spellEnd"/>
      <w:r w:rsidRPr="009D551E">
        <w:rPr>
          <w:rFonts w:asciiTheme="majorBidi" w:hAnsiTheme="majorBidi" w:cstheme="majorBidi"/>
          <w:sz w:val="20"/>
          <w:szCs w:val="20"/>
          <w:lang w:val="en-US"/>
        </w:rPr>
        <w:t xml:space="preserve">, Y. M., et al (2015). </w:t>
      </w:r>
      <w:r w:rsidRPr="009D551E">
        <w:rPr>
          <w:rFonts w:asciiTheme="majorBidi" w:hAnsiTheme="majorBidi" w:cstheme="majorBidi"/>
          <w:sz w:val="20"/>
          <w:szCs w:val="20"/>
        </w:rPr>
        <w:t>The dynamics of architectural complexity on coral reefs under climate change. Global change biology, 21(1), 223-235.</w:t>
      </w:r>
    </w:p>
  </w:footnote>
  <w:footnote w:id="239">
    <w:p w:rsidR="00071EBB" w:rsidRPr="009D551E" w:rsidRDefault="00071EBB" w:rsidP="009D551E">
      <w:pPr>
        <w:pStyle w:val="FootnoteText"/>
        <w:ind w:firstLine="0"/>
        <w:rPr>
          <w:rFonts w:asciiTheme="majorBidi" w:hAnsiTheme="majorBidi" w:cstheme="majorBidi"/>
          <w:sz w:val="20"/>
          <w:szCs w:val="20"/>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Rinkevich</w:t>
      </w:r>
      <w:proofErr w:type="spellEnd"/>
      <w:r w:rsidRPr="009D551E">
        <w:rPr>
          <w:rFonts w:asciiTheme="majorBidi" w:hAnsiTheme="majorBidi" w:cstheme="majorBidi"/>
          <w:sz w:val="20"/>
          <w:szCs w:val="20"/>
        </w:rPr>
        <w:t>, B. (2014). Rebuilding coral reefs: does active reef restoration lead to sustainable reefs? Current Opinion in Environmental Sustainability. 6, 28-36.</w:t>
      </w:r>
    </w:p>
  </w:footnote>
  <w:footnote w:id="240">
    <w:p w:rsidR="00071EBB" w:rsidRPr="009D551E" w:rsidRDefault="00071EBB" w:rsidP="009D551E">
      <w:pPr>
        <w:pStyle w:val="FootnoteText"/>
        <w:ind w:firstLine="0"/>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Edwards AJ, et al (2015) Direct seeding of mass-cultured coral larvae is not an effective option for reef rehabilitation. Marine Ecology Progress Series. 525:105-116. </w:t>
      </w:r>
    </w:p>
  </w:footnote>
  <w:footnote w:id="241">
    <w:p w:rsidR="00071EBB" w:rsidRPr="009D551E" w:rsidRDefault="00071EBB" w:rsidP="009D551E">
      <w:pPr>
        <w:pStyle w:val="FootnoteText"/>
        <w:ind w:firstLine="0"/>
        <w:jc w:val="left"/>
        <w:rPr>
          <w:rFonts w:asciiTheme="majorBidi" w:hAnsiTheme="majorBidi" w:cstheme="majorBidi"/>
          <w:sz w:val="20"/>
          <w:szCs w:val="20"/>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Mosley, L. (2015). Drought impacts on the water quality of freshwater systems; review and integration,</w:t>
      </w:r>
    </w:p>
    <w:p w:rsidR="00071EBB" w:rsidRPr="009D551E" w:rsidRDefault="00071EBB" w:rsidP="009D551E">
      <w:pPr>
        <w:pStyle w:val="FootnoteText"/>
        <w:ind w:firstLine="0"/>
        <w:jc w:val="left"/>
        <w:rPr>
          <w:rFonts w:asciiTheme="majorBidi" w:hAnsiTheme="majorBidi" w:cstheme="majorBidi"/>
          <w:sz w:val="20"/>
          <w:szCs w:val="20"/>
        </w:rPr>
      </w:pPr>
      <w:r w:rsidRPr="009D551E">
        <w:rPr>
          <w:rFonts w:asciiTheme="majorBidi" w:hAnsiTheme="majorBidi" w:cstheme="majorBidi"/>
          <w:sz w:val="20"/>
          <w:szCs w:val="20"/>
        </w:rPr>
        <w:t>Earth-Science Reviews, 140,203-214.</w:t>
      </w:r>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author"/>
          <w:rFonts w:asciiTheme="majorBidi" w:hAnsiTheme="majorBidi" w:cstheme="majorBidi"/>
          <w:sz w:val="20"/>
          <w:szCs w:val="20"/>
          <w:bdr w:val="none" w:sz="0" w:space="0" w:color="auto" w:frame="1"/>
        </w:rPr>
        <w:t>O'Reilly, C. M.</w:t>
      </w:r>
      <w:r w:rsidRPr="009D551E">
        <w:rPr>
          <w:rFonts w:asciiTheme="majorBidi" w:hAnsiTheme="majorBidi" w:cstheme="majorBidi"/>
          <w:sz w:val="20"/>
          <w:szCs w:val="20"/>
          <w:shd w:val="clear" w:color="auto" w:fill="FFFFFF"/>
        </w:rPr>
        <w:t xml:space="preserve"> et al. (</w:t>
      </w:r>
      <w:r w:rsidRPr="009D551E">
        <w:rPr>
          <w:rStyle w:val="pubyear"/>
          <w:rFonts w:asciiTheme="majorBidi" w:hAnsiTheme="majorBidi" w:cstheme="majorBidi"/>
          <w:sz w:val="20"/>
          <w:szCs w:val="20"/>
          <w:bdr w:val="none" w:sz="0" w:space="0" w:color="auto" w:frame="1"/>
          <w:shd w:val="clear" w:color="auto" w:fill="FFFFFF"/>
        </w:rPr>
        <w:t>2015</w:t>
      </w:r>
      <w:r w:rsidRPr="009D551E">
        <w:rPr>
          <w:rFonts w:asciiTheme="majorBidi" w:hAnsiTheme="majorBidi" w:cstheme="majorBidi"/>
          <w:sz w:val="20"/>
          <w:szCs w:val="20"/>
          <w:shd w:val="clear" w:color="auto" w:fill="FFFFFF"/>
        </w:rPr>
        <w:t>), </w:t>
      </w:r>
      <w:r w:rsidRPr="009D551E">
        <w:rPr>
          <w:rStyle w:val="articletitle"/>
          <w:rFonts w:asciiTheme="majorBidi" w:hAnsiTheme="majorBidi" w:cstheme="majorBidi"/>
          <w:sz w:val="20"/>
          <w:szCs w:val="20"/>
          <w:bdr w:val="none" w:sz="0" w:space="0" w:color="auto" w:frame="1"/>
          <w:shd w:val="clear" w:color="auto" w:fill="FFFFFF"/>
        </w:rPr>
        <w:t>Rapid and highly variable warming of lake surface waters around the globe</w:t>
      </w:r>
      <w:r w:rsidRPr="009D551E">
        <w:rPr>
          <w:rFonts w:asciiTheme="majorBidi" w:hAnsiTheme="majorBidi" w:cstheme="majorBidi"/>
          <w:sz w:val="20"/>
          <w:szCs w:val="20"/>
          <w:shd w:val="clear" w:color="auto" w:fill="FFFFFF"/>
        </w:rPr>
        <w:t>, </w:t>
      </w:r>
      <w:r w:rsidRPr="009D551E">
        <w:rPr>
          <w:rStyle w:val="journaltitle"/>
          <w:rFonts w:asciiTheme="majorBidi" w:hAnsiTheme="majorBidi" w:cstheme="majorBidi"/>
          <w:sz w:val="20"/>
          <w:szCs w:val="20"/>
          <w:bdr w:val="none" w:sz="0" w:space="0" w:color="auto" w:frame="1"/>
          <w:shd w:val="clear" w:color="auto" w:fill="FFFFFF"/>
        </w:rPr>
        <w:t xml:space="preserve">Geophysical Research Letters. </w:t>
      </w:r>
      <w:r w:rsidRPr="009D551E">
        <w:rPr>
          <w:rStyle w:val="vol"/>
          <w:rFonts w:asciiTheme="majorBidi" w:hAnsiTheme="majorBidi" w:cstheme="majorBidi"/>
          <w:sz w:val="20"/>
          <w:szCs w:val="20"/>
          <w:bdr w:val="none" w:sz="0" w:space="0" w:color="auto" w:frame="1"/>
          <w:shd w:val="clear" w:color="auto" w:fill="FFFFFF"/>
        </w:rPr>
        <w:t>42</w:t>
      </w:r>
      <w:r w:rsidRPr="009D551E">
        <w:rPr>
          <w:rFonts w:asciiTheme="majorBidi" w:hAnsiTheme="majorBidi" w:cstheme="majorBidi"/>
          <w:sz w:val="20"/>
          <w:szCs w:val="20"/>
          <w:shd w:val="clear" w:color="auto" w:fill="FFFFFF"/>
        </w:rPr>
        <w:t>, </w:t>
      </w:r>
      <w:r w:rsidRPr="009D551E">
        <w:rPr>
          <w:rStyle w:val="pagefirst"/>
          <w:rFonts w:asciiTheme="majorBidi" w:hAnsiTheme="majorBidi" w:cstheme="majorBidi"/>
          <w:sz w:val="20"/>
          <w:szCs w:val="20"/>
          <w:bdr w:val="none" w:sz="0" w:space="0" w:color="auto" w:frame="1"/>
          <w:shd w:val="clear" w:color="auto" w:fill="FFFFFF"/>
        </w:rPr>
        <w:t>10,773</w:t>
      </w:r>
      <w:r w:rsidRPr="009D551E">
        <w:rPr>
          <w:rFonts w:asciiTheme="majorBidi" w:hAnsiTheme="majorBidi" w:cstheme="majorBidi"/>
          <w:sz w:val="20"/>
          <w:szCs w:val="20"/>
          <w:shd w:val="clear" w:color="auto" w:fill="FFFFFF"/>
        </w:rPr>
        <w:t>–</w:t>
      </w:r>
      <w:r w:rsidRPr="009D551E">
        <w:rPr>
          <w:rStyle w:val="pagelast"/>
          <w:rFonts w:asciiTheme="majorBidi" w:hAnsiTheme="majorBidi" w:cstheme="majorBidi"/>
          <w:sz w:val="20"/>
          <w:szCs w:val="20"/>
          <w:bdr w:val="none" w:sz="0" w:space="0" w:color="auto" w:frame="1"/>
          <w:shd w:val="clear" w:color="auto" w:fill="FFFFFF"/>
        </w:rPr>
        <w:t>10,781</w:t>
      </w:r>
      <w:r w:rsidRPr="009D551E">
        <w:rPr>
          <w:rFonts w:asciiTheme="majorBidi" w:hAnsiTheme="majorBidi" w:cstheme="majorBidi"/>
          <w:sz w:val="20"/>
          <w:szCs w:val="20"/>
          <w:shd w:val="clear" w:color="auto" w:fill="FFFFFF"/>
        </w:rPr>
        <w:t>, doi:</w:t>
      </w:r>
      <w:hyperlink r:id="rId26" w:tgtFrame="_blank" w:tooltip="Link to external resource: 10.1002/2015GL066235" w:history="1">
        <w:r w:rsidRPr="009D551E">
          <w:rPr>
            <w:rStyle w:val="Hyperlink"/>
            <w:rFonts w:asciiTheme="majorBidi" w:hAnsiTheme="majorBidi" w:cstheme="majorBidi"/>
            <w:color w:val="auto"/>
            <w:sz w:val="20"/>
            <w:szCs w:val="20"/>
            <w:shd w:val="clear" w:color="auto" w:fill="FFFFFF"/>
          </w:rPr>
          <w:t>10.1002/2015GL066235</w:t>
        </w:r>
      </w:hyperlink>
      <w:r w:rsidRPr="009D551E">
        <w:rPr>
          <w:rFonts w:asciiTheme="majorBidi" w:hAnsiTheme="majorBidi" w:cstheme="majorBidi"/>
          <w:sz w:val="20"/>
          <w:szCs w:val="20"/>
          <w:shd w:val="clear" w:color="auto" w:fill="FFFFFF"/>
        </w:rPr>
        <w:t>.</w:t>
      </w:r>
    </w:p>
  </w:footnote>
  <w:footnote w:id="242">
    <w:p w:rsidR="00071EBB" w:rsidRPr="009D551E" w:rsidRDefault="00071EBB" w:rsidP="009D551E">
      <w:pPr>
        <w:pStyle w:val="FootnoteText"/>
        <w:ind w:firstLine="0"/>
        <w:rPr>
          <w:rFonts w:asciiTheme="majorBidi" w:hAnsiTheme="majorBidi" w:cstheme="majorBidi"/>
          <w:sz w:val="20"/>
          <w:szCs w:val="20"/>
          <w:lang w:val="fr-BE"/>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Chown</w:t>
      </w:r>
      <w:proofErr w:type="spellEnd"/>
      <w:r w:rsidRPr="009D551E">
        <w:rPr>
          <w:rFonts w:asciiTheme="majorBidi" w:hAnsiTheme="majorBidi" w:cstheme="majorBidi"/>
          <w:sz w:val="20"/>
          <w:szCs w:val="20"/>
        </w:rPr>
        <w:t xml:space="preserve"> SL, et al. (2017) Antarctica and the strategic plan for biodiversity. </w:t>
      </w:r>
      <w:proofErr w:type="spellStart"/>
      <w:r w:rsidRPr="009D551E">
        <w:rPr>
          <w:rFonts w:asciiTheme="majorBidi" w:hAnsiTheme="majorBidi" w:cstheme="majorBidi"/>
          <w:sz w:val="20"/>
          <w:szCs w:val="20"/>
          <w:lang w:val="fr-BE"/>
        </w:rPr>
        <w:t>PLoS</w:t>
      </w:r>
      <w:proofErr w:type="spellEnd"/>
      <w:r w:rsidRPr="009D551E">
        <w:rPr>
          <w:rFonts w:asciiTheme="majorBidi" w:hAnsiTheme="majorBidi" w:cstheme="majorBidi"/>
          <w:sz w:val="20"/>
          <w:szCs w:val="20"/>
          <w:lang w:val="fr-BE"/>
        </w:rPr>
        <w:t xml:space="preserve"> Biol 15(3): e2001656. https://doi.org/10.1371/journal.pbio.2001656</w:t>
      </w:r>
    </w:p>
  </w:footnote>
  <w:footnote w:id="243">
    <w:p w:rsidR="00071EBB" w:rsidRPr="009D551E" w:rsidRDefault="00071EBB" w:rsidP="009D551E">
      <w:pPr>
        <w:jc w:val="left"/>
        <w:rPr>
          <w:rFonts w:asciiTheme="majorBidi" w:hAnsiTheme="majorBidi" w:cstheme="majorBidi"/>
          <w:sz w:val="20"/>
          <w:szCs w:val="20"/>
        </w:rPr>
      </w:pPr>
      <w:r w:rsidRPr="00D55B9C">
        <w:rPr>
          <w:rStyle w:val="FootnoteReference"/>
          <w:rFonts w:asciiTheme="majorBidi" w:hAnsiTheme="majorBidi" w:cstheme="majorBidi"/>
          <w:sz w:val="20"/>
          <w:szCs w:val="20"/>
        </w:rPr>
        <w:footnoteRef/>
      </w:r>
      <w:r w:rsidRPr="00E7198A">
        <w:rPr>
          <w:rFonts w:asciiTheme="majorBidi" w:hAnsiTheme="majorBidi" w:cstheme="majorBidi"/>
          <w:sz w:val="20"/>
          <w:szCs w:val="20"/>
          <w:lang w:val="en-US"/>
        </w:rPr>
        <w:t xml:space="preserve"> </w:t>
      </w:r>
      <w:proofErr w:type="spellStart"/>
      <w:r w:rsidRPr="00E7198A">
        <w:rPr>
          <w:rFonts w:asciiTheme="majorBidi" w:hAnsiTheme="majorBidi" w:cstheme="majorBidi"/>
          <w:sz w:val="20"/>
          <w:szCs w:val="20"/>
          <w:lang w:val="en-US"/>
        </w:rPr>
        <w:t>Obura</w:t>
      </w:r>
      <w:proofErr w:type="spellEnd"/>
      <w:r w:rsidRPr="00E7198A">
        <w:rPr>
          <w:rFonts w:asciiTheme="majorBidi" w:hAnsiTheme="majorBidi" w:cstheme="majorBidi"/>
          <w:sz w:val="20"/>
          <w:szCs w:val="20"/>
          <w:lang w:val="en-US"/>
        </w:rPr>
        <w:t xml:space="preserve">, D., et al (2017). </w:t>
      </w:r>
      <w:r w:rsidRPr="009D551E">
        <w:rPr>
          <w:rFonts w:asciiTheme="majorBidi" w:hAnsiTheme="majorBidi" w:cstheme="majorBidi"/>
          <w:sz w:val="20"/>
          <w:szCs w:val="20"/>
        </w:rPr>
        <w:t xml:space="preserve">Coral reef status report for the Western Indian Ocean. Global Coral Reef Monitoring Network (GCRMN)/International Coral Reef Initiative (ICRI). pp 144. </w:t>
      </w:r>
    </w:p>
  </w:footnote>
  <w:footnote w:id="244">
    <w:p w:rsidR="00071EBB" w:rsidRPr="009D551E" w:rsidRDefault="00071EBB" w:rsidP="009D551E">
      <w:pPr>
        <w:jc w:val="left"/>
        <w:rPr>
          <w:rFonts w:asciiTheme="majorBidi" w:hAnsiTheme="majorBidi" w:cstheme="majorBidi"/>
          <w:sz w:val="20"/>
          <w:szCs w:val="20"/>
        </w:rPr>
      </w:pPr>
      <w:r w:rsidRPr="00D55B9C">
        <w:rPr>
          <w:rStyle w:val="FootnoteReference"/>
          <w:rFonts w:asciiTheme="majorBidi" w:hAnsiTheme="majorBidi" w:cstheme="majorBidi"/>
          <w:sz w:val="20"/>
          <w:szCs w:val="20"/>
        </w:rPr>
        <w:footnoteRef/>
      </w:r>
      <w:r w:rsidRPr="00D55B9C">
        <w:rPr>
          <w:rStyle w:val="FootnoteReference"/>
          <w:sz w:val="20"/>
        </w:rPr>
        <w:t xml:space="preserve"> </w:t>
      </w:r>
      <w:r w:rsidRPr="009D551E">
        <w:rPr>
          <w:rFonts w:asciiTheme="majorBidi" w:hAnsiTheme="majorBidi" w:cstheme="majorBidi"/>
          <w:sz w:val="20"/>
          <w:szCs w:val="20"/>
          <w:shd w:val="clear" w:color="auto" w:fill="FFFFFF"/>
        </w:rPr>
        <w:t xml:space="preserve">WGMS, 2016. Global Glacier Change Bulletin No. 1 (2012–2013). </w:t>
      </w:r>
      <w:proofErr w:type="spellStart"/>
      <w:r w:rsidRPr="009D551E">
        <w:rPr>
          <w:rFonts w:asciiTheme="majorBidi" w:hAnsiTheme="majorBidi" w:cstheme="majorBidi"/>
          <w:sz w:val="20"/>
          <w:szCs w:val="20"/>
          <w:shd w:val="clear" w:color="auto" w:fill="FFFFFF"/>
        </w:rPr>
        <w:t>Zemp</w:t>
      </w:r>
      <w:proofErr w:type="spellEnd"/>
      <w:r w:rsidRPr="009D551E">
        <w:rPr>
          <w:rFonts w:asciiTheme="majorBidi" w:hAnsiTheme="majorBidi" w:cstheme="majorBidi"/>
          <w:sz w:val="20"/>
          <w:szCs w:val="20"/>
          <w:shd w:val="clear" w:color="auto" w:fill="FFFFFF"/>
        </w:rPr>
        <w:t xml:space="preserve">, M., </w:t>
      </w:r>
      <w:proofErr w:type="spellStart"/>
      <w:r w:rsidRPr="009D551E">
        <w:rPr>
          <w:rFonts w:asciiTheme="majorBidi" w:hAnsiTheme="majorBidi" w:cstheme="majorBidi"/>
          <w:sz w:val="20"/>
          <w:szCs w:val="20"/>
          <w:shd w:val="clear" w:color="auto" w:fill="FFFFFF"/>
        </w:rPr>
        <w:t>Gärtner-Roer</w:t>
      </w:r>
      <w:proofErr w:type="spellEnd"/>
      <w:r w:rsidRPr="009D551E">
        <w:rPr>
          <w:rFonts w:asciiTheme="majorBidi" w:hAnsiTheme="majorBidi" w:cstheme="majorBidi"/>
          <w:sz w:val="20"/>
          <w:szCs w:val="20"/>
          <w:shd w:val="clear" w:color="auto" w:fill="FFFFFF"/>
        </w:rPr>
        <w:t xml:space="preserve">, I., </w:t>
      </w:r>
      <w:proofErr w:type="spellStart"/>
      <w:r w:rsidRPr="009D551E">
        <w:rPr>
          <w:rFonts w:asciiTheme="majorBidi" w:hAnsiTheme="majorBidi" w:cstheme="majorBidi"/>
          <w:sz w:val="20"/>
          <w:szCs w:val="20"/>
          <w:shd w:val="clear" w:color="auto" w:fill="FFFFFF"/>
        </w:rPr>
        <w:t>Nussbaumer</w:t>
      </w:r>
      <w:proofErr w:type="spellEnd"/>
      <w:r w:rsidRPr="009D551E">
        <w:rPr>
          <w:rFonts w:asciiTheme="majorBidi" w:hAnsiTheme="majorBidi" w:cstheme="majorBidi"/>
          <w:sz w:val="20"/>
          <w:szCs w:val="20"/>
          <w:shd w:val="clear" w:color="auto" w:fill="FFFFFF"/>
        </w:rPr>
        <w:t xml:space="preserve">, S. U., </w:t>
      </w:r>
      <w:proofErr w:type="spellStart"/>
      <w:r w:rsidRPr="009D551E">
        <w:rPr>
          <w:rFonts w:asciiTheme="majorBidi" w:hAnsiTheme="majorBidi" w:cstheme="majorBidi"/>
          <w:sz w:val="20"/>
          <w:szCs w:val="20"/>
          <w:shd w:val="clear" w:color="auto" w:fill="FFFFFF"/>
        </w:rPr>
        <w:t>Hüsler</w:t>
      </w:r>
      <w:proofErr w:type="spellEnd"/>
      <w:r w:rsidRPr="009D551E">
        <w:rPr>
          <w:rFonts w:asciiTheme="majorBidi" w:hAnsiTheme="majorBidi" w:cstheme="majorBidi"/>
          <w:sz w:val="20"/>
          <w:szCs w:val="20"/>
          <w:shd w:val="clear" w:color="auto" w:fill="FFFFFF"/>
        </w:rPr>
        <w:t xml:space="preserve">, F., </w:t>
      </w:r>
      <w:proofErr w:type="spellStart"/>
      <w:r w:rsidRPr="009D551E">
        <w:rPr>
          <w:rFonts w:asciiTheme="majorBidi" w:hAnsiTheme="majorBidi" w:cstheme="majorBidi"/>
          <w:sz w:val="20"/>
          <w:szCs w:val="20"/>
          <w:shd w:val="clear" w:color="auto" w:fill="FFFFFF"/>
        </w:rPr>
        <w:t>Machguth</w:t>
      </w:r>
      <w:proofErr w:type="spellEnd"/>
      <w:r w:rsidRPr="009D551E">
        <w:rPr>
          <w:rFonts w:asciiTheme="majorBidi" w:hAnsiTheme="majorBidi" w:cstheme="majorBidi"/>
          <w:sz w:val="20"/>
          <w:szCs w:val="20"/>
          <w:shd w:val="clear" w:color="auto" w:fill="FFFFFF"/>
        </w:rPr>
        <w:t xml:space="preserve">, H., </w:t>
      </w:r>
      <w:proofErr w:type="spellStart"/>
      <w:r w:rsidRPr="009D551E">
        <w:rPr>
          <w:rFonts w:asciiTheme="majorBidi" w:hAnsiTheme="majorBidi" w:cstheme="majorBidi"/>
          <w:sz w:val="20"/>
          <w:szCs w:val="20"/>
          <w:shd w:val="clear" w:color="auto" w:fill="FFFFFF"/>
        </w:rPr>
        <w:t>Mölg</w:t>
      </w:r>
      <w:proofErr w:type="spellEnd"/>
      <w:r w:rsidRPr="009D551E">
        <w:rPr>
          <w:rFonts w:asciiTheme="majorBidi" w:hAnsiTheme="majorBidi" w:cstheme="majorBidi"/>
          <w:sz w:val="20"/>
          <w:szCs w:val="20"/>
          <w:shd w:val="clear" w:color="auto" w:fill="FFFFFF"/>
        </w:rPr>
        <w:t xml:space="preserve">, N., Paul, F., and </w:t>
      </w:r>
      <w:proofErr w:type="spellStart"/>
      <w:r w:rsidRPr="009D551E">
        <w:rPr>
          <w:rFonts w:asciiTheme="majorBidi" w:hAnsiTheme="majorBidi" w:cstheme="majorBidi"/>
          <w:sz w:val="20"/>
          <w:szCs w:val="20"/>
          <w:shd w:val="clear" w:color="auto" w:fill="FFFFFF"/>
        </w:rPr>
        <w:t>Hoelzle</w:t>
      </w:r>
      <w:proofErr w:type="spellEnd"/>
      <w:r w:rsidRPr="009D551E">
        <w:rPr>
          <w:rFonts w:asciiTheme="majorBidi" w:hAnsiTheme="majorBidi" w:cstheme="majorBidi"/>
          <w:sz w:val="20"/>
          <w:szCs w:val="20"/>
          <w:shd w:val="clear" w:color="auto" w:fill="FFFFFF"/>
        </w:rPr>
        <w:t>, M. (eds.), ICSU(WDS)/IUGG(IACS) /UNEP/UNESCO/WMO, World Glacier Monitoring Service, Zurich, Switzerland, 230 pp., publication based on database version: doi:10.5904/wgms-fog-2015-11.</w:t>
      </w:r>
    </w:p>
  </w:footnote>
  <w:footnote w:id="245">
    <w:p w:rsidR="00071EBB" w:rsidRPr="009D551E" w:rsidRDefault="00071EBB" w:rsidP="009D551E">
      <w:pPr>
        <w:pStyle w:val="FootnoteText"/>
        <w:ind w:firstLine="0"/>
        <w:jc w:val="left"/>
        <w:rPr>
          <w:rFonts w:asciiTheme="majorBidi" w:hAnsiTheme="majorBidi" w:cstheme="majorBidi"/>
          <w:sz w:val="20"/>
          <w:szCs w:val="20"/>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Hamilton, S.E. and Casey, D., (2016). Creation of a high </w:t>
      </w:r>
      <w:proofErr w:type="spellStart"/>
      <w:r w:rsidRPr="009D551E">
        <w:rPr>
          <w:rFonts w:asciiTheme="majorBidi" w:hAnsiTheme="majorBidi" w:cstheme="majorBidi"/>
          <w:sz w:val="20"/>
          <w:szCs w:val="20"/>
        </w:rPr>
        <w:t>spatio</w:t>
      </w:r>
      <w:proofErr w:type="spellEnd"/>
      <w:r w:rsidRPr="009D551E">
        <w:rPr>
          <w:rFonts w:asciiTheme="majorBidi" w:hAnsiTheme="majorBidi" w:cstheme="majorBidi"/>
          <w:sz w:val="20"/>
          <w:szCs w:val="20"/>
        </w:rPr>
        <w:t xml:space="preserve">-temporal resolution global database of continuous mangrove forest cover for the 21st century (CGMFC-21). Global Ecology and Biogeography 25(6),729-738. </w:t>
      </w:r>
      <w:proofErr w:type="spellStart"/>
      <w:r w:rsidRPr="009D551E">
        <w:rPr>
          <w:rFonts w:asciiTheme="majorBidi" w:hAnsiTheme="majorBidi" w:cstheme="majorBidi"/>
          <w:sz w:val="20"/>
          <w:szCs w:val="20"/>
        </w:rPr>
        <w:t>doi</w:t>
      </w:r>
      <w:proofErr w:type="spellEnd"/>
      <w:r w:rsidRPr="009D551E">
        <w:rPr>
          <w:rFonts w:asciiTheme="majorBidi" w:hAnsiTheme="majorBidi" w:cstheme="majorBidi"/>
          <w:sz w:val="20"/>
          <w:szCs w:val="20"/>
        </w:rPr>
        <w:t>: 10.1111/geb.12449.</w:t>
      </w:r>
    </w:p>
  </w:footnote>
  <w:footnote w:id="246">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D55B9C">
        <w:rPr>
          <w:rStyle w:val="FootnoteReference"/>
          <w:sz w:val="20"/>
        </w:rPr>
        <w:t xml:space="preserve"> </w:t>
      </w:r>
      <w:proofErr w:type="spellStart"/>
      <w:r w:rsidRPr="00D55B9C">
        <w:rPr>
          <w:rFonts w:asciiTheme="majorBidi" w:hAnsiTheme="majorBidi" w:cstheme="majorBidi"/>
          <w:sz w:val="20"/>
          <w:szCs w:val="20"/>
          <w:lang w:val="fr-FR"/>
        </w:rPr>
        <w:t>Oleson</w:t>
      </w:r>
      <w:proofErr w:type="spellEnd"/>
      <w:r w:rsidRPr="00D55B9C">
        <w:rPr>
          <w:rFonts w:asciiTheme="majorBidi" w:hAnsiTheme="majorBidi" w:cstheme="majorBidi"/>
          <w:sz w:val="20"/>
          <w:szCs w:val="20"/>
          <w:lang w:val="fr-FR"/>
        </w:rPr>
        <w:t xml:space="preserve">, K. L., et al (2017). </w:t>
      </w:r>
      <w:r w:rsidRPr="009D551E">
        <w:rPr>
          <w:rFonts w:asciiTheme="majorBidi" w:hAnsiTheme="majorBidi" w:cstheme="majorBidi"/>
          <w:sz w:val="20"/>
          <w:szCs w:val="20"/>
        </w:rPr>
        <w:t>Upstream solutions to coral reef conservation: The payoffs of smart and cooperative decision-making. Journal of Environmental Management, 191, 8-18.</w:t>
      </w:r>
    </w:p>
  </w:footnote>
  <w:footnote w:id="247">
    <w:p w:rsidR="00071EBB" w:rsidRPr="009D551E" w:rsidRDefault="00071EBB" w:rsidP="009D551E">
      <w:pPr>
        <w:pStyle w:val="FootnoteText"/>
        <w:ind w:firstLine="0"/>
        <w:jc w:val="left"/>
        <w:rPr>
          <w:rFonts w:asciiTheme="majorBidi" w:hAnsiTheme="majorBidi" w:cstheme="majorBidi"/>
          <w:sz w:val="20"/>
          <w:szCs w:val="20"/>
          <w:lang w:val="en-US"/>
        </w:rPr>
      </w:pPr>
      <w:r w:rsidRPr="00D55B9C">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 xml:space="preserve">Sale, P. F. (2015). Coral reef conservation and political will. </w:t>
      </w:r>
      <w:r w:rsidRPr="009D551E">
        <w:rPr>
          <w:rFonts w:asciiTheme="majorBidi" w:hAnsiTheme="majorBidi" w:cstheme="majorBidi"/>
          <w:sz w:val="20"/>
          <w:szCs w:val="20"/>
          <w:lang w:val="en-US"/>
        </w:rPr>
        <w:t>Environmental Conservation, 42(02), 97-101.</w:t>
      </w:r>
    </w:p>
  </w:footnote>
  <w:footnote w:id="248">
    <w:p w:rsidR="00071EBB" w:rsidRPr="009D551E" w:rsidRDefault="00071EBB" w:rsidP="009D551E">
      <w:pPr>
        <w:pStyle w:val="FootnoteText"/>
        <w:ind w:firstLine="0"/>
        <w:jc w:val="left"/>
        <w:rPr>
          <w:rFonts w:asciiTheme="majorBidi" w:hAnsiTheme="majorBidi" w:cstheme="majorBidi"/>
          <w:sz w:val="20"/>
          <w:szCs w:val="20"/>
        </w:rPr>
      </w:pPr>
      <w:r w:rsidRPr="00D55B9C">
        <w:rPr>
          <w:rStyle w:val="FootnoteReference"/>
          <w:rFonts w:asciiTheme="majorBidi" w:hAnsiTheme="majorBidi" w:cstheme="majorBidi"/>
          <w:sz w:val="20"/>
          <w:szCs w:val="20"/>
        </w:rPr>
        <w:footnoteRef/>
      </w:r>
      <w:r w:rsidRPr="00E7198A">
        <w:rPr>
          <w:rFonts w:asciiTheme="majorBidi" w:hAnsiTheme="majorBidi" w:cstheme="majorBidi"/>
          <w:sz w:val="20"/>
          <w:szCs w:val="20"/>
          <w:lang w:val="fr-FR"/>
        </w:rPr>
        <w:t xml:space="preserve"> </w:t>
      </w:r>
      <w:proofErr w:type="spellStart"/>
      <w:r w:rsidRPr="00E7198A">
        <w:rPr>
          <w:rFonts w:asciiTheme="majorBidi" w:hAnsiTheme="majorBidi" w:cstheme="majorBidi"/>
          <w:sz w:val="20"/>
          <w:szCs w:val="20"/>
          <w:lang w:val="fr-FR"/>
        </w:rPr>
        <w:t>Magris</w:t>
      </w:r>
      <w:proofErr w:type="spellEnd"/>
      <w:r w:rsidRPr="00E7198A">
        <w:rPr>
          <w:rFonts w:asciiTheme="majorBidi" w:hAnsiTheme="majorBidi" w:cstheme="majorBidi"/>
          <w:sz w:val="20"/>
          <w:szCs w:val="20"/>
          <w:lang w:val="fr-FR"/>
        </w:rPr>
        <w:t xml:space="preserve">, R. A., et al. </w:t>
      </w:r>
      <w:r w:rsidRPr="009D551E">
        <w:rPr>
          <w:rFonts w:asciiTheme="majorBidi" w:hAnsiTheme="majorBidi" w:cstheme="majorBidi"/>
          <w:sz w:val="20"/>
          <w:szCs w:val="20"/>
          <w:lang w:val="en-US"/>
        </w:rPr>
        <w:t xml:space="preserve">(2015). </w:t>
      </w:r>
      <w:r w:rsidRPr="009D551E">
        <w:rPr>
          <w:rFonts w:asciiTheme="majorBidi" w:hAnsiTheme="majorBidi" w:cstheme="majorBidi"/>
          <w:sz w:val="20"/>
          <w:szCs w:val="20"/>
        </w:rPr>
        <w:t xml:space="preserve">Conservation planning for coral reefs accounting for climate warming disturbances. </w:t>
      </w:r>
      <w:proofErr w:type="spellStart"/>
      <w:r w:rsidRPr="009D551E">
        <w:rPr>
          <w:rFonts w:asciiTheme="majorBidi" w:hAnsiTheme="majorBidi" w:cstheme="majorBidi"/>
          <w:sz w:val="20"/>
          <w:szCs w:val="20"/>
        </w:rPr>
        <w:t>PloS</w:t>
      </w:r>
      <w:proofErr w:type="spellEnd"/>
      <w:r w:rsidRPr="009D551E">
        <w:rPr>
          <w:rFonts w:asciiTheme="majorBidi" w:hAnsiTheme="majorBidi" w:cstheme="majorBidi"/>
          <w:sz w:val="20"/>
          <w:szCs w:val="20"/>
        </w:rPr>
        <w:t xml:space="preserve"> one, 10(11), e0140828. </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rPr>
        <w:t>Chollett</w:t>
      </w:r>
      <w:proofErr w:type="spellEnd"/>
      <w:r w:rsidRPr="009D551E">
        <w:rPr>
          <w:rFonts w:asciiTheme="majorBidi" w:hAnsiTheme="majorBidi" w:cstheme="majorBidi"/>
          <w:sz w:val="20"/>
          <w:szCs w:val="20"/>
        </w:rPr>
        <w:t xml:space="preserve">, I., et al (2014). Redefining thermal regimes to design reserves for coral reefs in the face of climate change. </w:t>
      </w:r>
      <w:proofErr w:type="spellStart"/>
      <w:r w:rsidRPr="009D551E">
        <w:rPr>
          <w:rFonts w:asciiTheme="majorBidi" w:hAnsiTheme="majorBidi" w:cstheme="majorBidi"/>
          <w:sz w:val="20"/>
          <w:szCs w:val="20"/>
        </w:rPr>
        <w:t>PloS</w:t>
      </w:r>
      <w:proofErr w:type="spellEnd"/>
      <w:r w:rsidRPr="009D551E">
        <w:rPr>
          <w:rFonts w:asciiTheme="majorBidi" w:hAnsiTheme="majorBidi" w:cstheme="majorBidi"/>
          <w:sz w:val="20"/>
          <w:szCs w:val="20"/>
        </w:rPr>
        <w:t xml:space="preserve"> one, 9(10), e110634.</w:t>
      </w:r>
    </w:p>
  </w:footnote>
  <w:footnote w:id="249">
    <w:p w:rsidR="00071EBB" w:rsidRPr="009D551E" w:rsidRDefault="00071EBB" w:rsidP="009D551E">
      <w:pPr>
        <w:jc w:val="left"/>
        <w:rPr>
          <w:rFonts w:asciiTheme="majorBidi" w:hAnsiTheme="majorBidi" w:cstheme="majorBidi"/>
          <w:sz w:val="20"/>
          <w:szCs w:val="20"/>
          <w:shd w:val="clear" w:color="auto" w:fill="FFFFFF"/>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z w:val="20"/>
          <w:szCs w:val="20"/>
          <w:shd w:val="clear" w:color="auto" w:fill="FFFFFF"/>
        </w:rPr>
        <w:t>UNEP-WCMC and IUCN (2017a), Protected Planet: World Databas</w:t>
      </w:r>
      <w:r w:rsidR="00552484">
        <w:rPr>
          <w:rFonts w:asciiTheme="majorBidi" w:hAnsiTheme="majorBidi" w:cstheme="majorBidi"/>
          <w:sz w:val="20"/>
          <w:szCs w:val="20"/>
          <w:shd w:val="clear" w:color="auto" w:fill="FFFFFF"/>
        </w:rPr>
        <w:t>e on Protected Areas (WDPA) [On</w:t>
      </w:r>
      <w:r w:rsidRPr="009D551E">
        <w:rPr>
          <w:rFonts w:asciiTheme="majorBidi" w:hAnsiTheme="majorBidi" w:cstheme="majorBidi"/>
          <w:sz w:val="20"/>
          <w:szCs w:val="20"/>
          <w:shd w:val="clear" w:color="auto" w:fill="FFFFFF"/>
        </w:rPr>
        <w:t>line], [</w:t>
      </w:r>
      <w:proofErr w:type="gramStart"/>
      <w:r w:rsidRPr="009D551E">
        <w:rPr>
          <w:rFonts w:asciiTheme="majorBidi" w:hAnsiTheme="majorBidi" w:cstheme="majorBidi"/>
          <w:sz w:val="20"/>
          <w:szCs w:val="20"/>
          <w:shd w:val="clear" w:color="auto" w:fill="FFFFFF"/>
        </w:rPr>
        <w:t>December,</w:t>
      </w:r>
      <w:proofErr w:type="gramEnd"/>
      <w:r w:rsidRPr="009D551E">
        <w:rPr>
          <w:rFonts w:asciiTheme="majorBidi" w:hAnsiTheme="majorBidi" w:cstheme="majorBidi"/>
          <w:sz w:val="20"/>
          <w:szCs w:val="20"/>
          <w:shd w:val="clear" w:color="auto" w:fill="FFFFFF"/>
        </w:rPr>
        <w:t xml:space="preserve"> 2017], Cambridge, UK: UNEP-WCMC and IUCN. Available at: </w:t>
      </w:r>
      <w:hyperlink r:id="rId27" w:history="1">
        <w:r w:rsidRPr="009D551E">
          <w:rPr>
            <w:rStyle w:val="Hyperlink"/>
            <w:rFonts w:asciiTheme="majorBidi" w:hAnsiTheme="majorBidi" w:cstheme="majorBidi"/>
            <w:color w:val="auto"/>
            <w:sz w:val="20"/>
            <w:szCs w:val="20"/>
            <w:shd w:val="clear" w:color="auto" w:fill="FFFFFF"/>
          </w:rPr>
          <w:t>www.protectedplanet.net</w:t>
        </w:r>
      </w:hyperlink>
      <w:r w:rsidRPr="009D551E">
        <w:rPr>
          <w:rFonts w:asciiTheme="majorBidi" w:hAnsiTheme="majorBidi" w:cstheme="majorBidi"/>
          <w:sz w:val="20"/>
          <w:szCs w:val="20"/>
          <w:shd w:val="clear" w:color="auto" w:fill="FFFFFF"/>
        </w:rPr>
        <w:t>.  Reference for terrestrial protected area coverage.</w:t>
      </w:r>
    </w:p>
  </w:footnote>
  <w:footnote w:id="250">
    <w:p w:rsidR="00071EBB" w:rsidRPr="009D551E" w:rsidRDefault="00071EBB" w:rsidP="009D551E">
      <w:pPr>
        <w:jc w:val="left"/>
        <w:rPr>
          <w:rFonts w:asciiTheme="majorBidi" w:hAnsiTheme="majorBidi" w:cstheme="majorBidi"/>
          <w:sz w:val="20"/>
          <w:szCs w:val="20"/>
          <w:shd w:val="clear" w:color="auto" w:fill="FFFFFF"/>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z w:val="20"/>
          <w:szCs w:val="20"/>
          <w:shd w:val="clear" w:color="auto" w:fill="FFFFFF"/>
        </w:rPr>
        <w:t xml:space="preserve">UNEP-WCMC and IUCN (2017b) Marine Protected Planet [On-line], [December, 2017], Cambridge, UK: UNEP-WCMC and IUCN Available at: </w:t>
      </w:r>
      <w:hyperlink r:id="rId28" w:history="1">
        <w:r w:rsidRPr="009D551E">
          <w:rPr>
            <w:rStyle w:val="Hyperlink"/>
            <w:rFonts w:asciiTheme="majorBidi" w:hAnsiTheme="majorBidi" w:cstheme="majorBidi"/>
            <w:color w:val="auto"/>
            <w:sz w:val="20"/>
            <w:szCs w:val="20"/>
            <w:shd w:val="clear" w:color="auto" w:fill="FFFFFF"/>
          </w:rPr>
          <w:t>www.protectedplanet.net/marine</w:t>
        </w:r>
      </w:hyperlink>
      <w:r w:rsidRPr="009D551E">
        <w:rPr>
          <w:rFonts w:asciiTheme="majorBidi" w:hAnsiTheme="majorBidi" w:cstheme="majorBidi"/>
          <w:sz w:val="20"/>
          <w:szCs w:val="20"/>
          <w:shd w:val="clear" w:color="auto" w:fill="FFFFFF"/>
        </w:rPr>
        <w:t>.  Reference for marine protected area coverage.</w:t>
      </w:r>
    </w:p>
  </w:footnote>
  <w:footnote w:id="251">
    <w:p w:rsidR="00071EBB" w:rsidRPr="009D551E" w:rsidRDefault="00071EBB" w:rsidP="009D551E">
      <w:pPr>
        <w:pStyle w:val="FootnoteText"/>
        <w:ind w:firstLine="0"/>
        <w:jc w:val="left"/>
        <w:rPr>
          <w:rFonts w:asciiTheme="majorBidi" w:hAnsiTheme="majorBidi" w:cstheme="majorBidi"/>
          <w:sz w:val="20"/>
          <w:szCs w:val="20"/>
          <w:shd w:val="clear" w:color="auto" w:fill="FFFFFF"/>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shd w:val="clear" w:color="auto" w:fill="FFFFFF"/>
        </w:rPr>
        <w:t>Laffoley</w:t>
      </w:r>
      <w:proofErr w:type="spellEnd"/>
      <w:r w:rsidRPr="009D551E">
        <w:rPr>
          <w:rFonts w:asciiTheme="majorBidi" w:hAnsiTheme="majorBidi" w:cstheme="majorBidi"/>
          <w:sz w:val="20"/>
          <w:szCs w:val="20"/>
          <w:shd w:val="clear" w:color="auto" w:fill="FFFFFF"/>
        </w:rPr>
        <w:t xml:space="preserve"> D, et al. (2017). An introduction to ‘other effective area-based conservation measures’ under Aichi Target 11 of the Convention on Biological Diversity: Origin, interpretation and emerging ocean issues. Aquatic Conservation: Marine Freshwater Ecosystems. 2017;27(S1):130–137.</w:t>
      </w:r>
    </w:p>
  </w:footnote>
  <w:footnote w:id="252">
    <w:p w:rsidR="00071EBB" w:rsidRPr="009D551E" w:rsidRDefault="00071EBB" w:rsidP="009D551E">
      <w:pPr>
        <w:jc w:val="left"/>
        <w:rPr>
          <w:rFonts w:asciiTheme="majorBidi" w:hAnsiTheme="majorBidi" w:cstheme="majorBidi"/>
          <w:sz w:val="20"/>
          <w:szCs w:val="20"/>
          <w:shd w:val="clear" w:color="auto" w:fill="FFFFFF"/>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 xml:space="preserve">JRC (Joint Research Centre of the European Commission) (2017), The Digital Observatory for Protected Areas (DOPA) Explorer 2.0 [On-line], [10/2017], </w:t>
      </w:r>
      <w:proofErr w:type="spellStart"/>
      <w:r w:rsidRPr="009D551E">
        <w:rPr>
          <w:rFonts w:asciiTheme="majorBidi" w:hAnsiTheme="majorBidi" w:cstheme="majorBidi"/>
          <w:sz w:val="20"/>
          <w:szCs w:val="20"/>
          <w:shd w:val="clear" w:color="auto" w:fill="FFFFFF"/>
        </w:rPr>
        <w:t>Ispra</w:t>
      </w:r>
      <w:proofErr w:type="spellEnd"/>
      <w:r w:rsidRPr="009D551E">
        <w:rPr>
          <w:rFonts w:asciiTheme="majorBidi" w:hAnsiTheme="majorBidi" w:cstheme="majorBidi"/>
          <w:sz w:val="20"/>
          <w:szCs w:val="20"/>
          <w:shd w:val="clear" w:color="auto" w:fill="FFFFFF"/>
        </w:rPr>
        <w:t>, Italy. Available at: </w:t>
      </w:r>
      <w:hyperlink r:id="rId29" w:history="1">
        <w:r w:rsidRPr="009D551E">
          <w:rPr>
            <w:rStyle w:val="Hyperlink"/>
            <w:rFonts w:asciiTheme="majorBidi" w:hAnsiTheme="majorBidi" w:cstheme="majorBidi"/>
            <w:color w:val="auto"/>
            <w:sz w:val="20"/>
            <w:szCs w:val="20"/>
            <w:shd w:val="clear" w:color="auto" w:fill="FFFFFF"/>
          </w:rPr>
          <w:t>http://dopa-explorer.jrc.ec.europa.eu</w:t>
        </w:r>
      </w:hyperlink>
      <w:r w:rsidRPr="009D551E">
        <w:rPr>
          <w:rFonts w:asciiTheme="majorBidi" w:hAnsiTheme="majorBidi" w:cstheme="majorBidi"/>
          <w:sz w:val="20"/>
          <w:szCs w:val="20"/>
          <w:shd w:val="clear" w:color="auto" w:fill="FFFFFF"/>
        </w:rPr>
        <w:t>. Reference for coverage of terrestrial and marine ecoregions.</w:t>
      </w:r>
    </w:p>
  </w:footnote>
  <w:footnote w:id="253">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Dinerstein</w:t>
      </w:r>
      <w:proofErr w:type="spellEnd"/>
      <w:r w:rsidRPr="009D551E">
        <w:rPr>
          <w:rFonts w:asciiTheme="majorBidi" w:hAnsiTheme="majorBidi" w:cstheme="majorBidi"/>
          <w:sz w:val="20"/>
          <w:szCs w:val="20"/>
        </w:rPr>
        <w:t xml:space="preserve">, E., et al (2017). An ecoregion-based approach to </w:t>
      </w:r>
      <w:proofErr w:type="spellStart"/>
      <w:r w:rsidRPr="009D551E">
        <w:rPr>
          <w:rFonts w:asciiTheme="majorBidi" w:hAnsiTheme="majorBidi" w:cstheme="majorBidi"/>
          <w:sz w:val="20"/>
          <w:szCs w:val="20"/>
        </w:rPr>
        <w:t>protecƟng</w:t>
      </w:r>
      <w:proofErr w:type="spellEnd"/>
      <w:r w:rsidRPr="009D551E">
        <w:rPr>
          <w:rFonts w:asciiTheme="majorBidi" w:hAnsiTheme="majorBidi" w:cstheme="majorBidi"/>
          <w:sz w:val="20"/>
          <w:szCs w:val="20"/>
        </w:rPr>
        <w:t xml:space="preserve"> half the terrestrial realm. </w:t>
      </w:r>
      <w:proofErr w:type="spellStart"/>
      <w:r w:rsidRPr="009D551E">
        <w:rPr>
          <w:rFonts w:asciiTheme="majorBidi" w:hAnsiTheme="majorBidi" w:cstheme="majorBidi"/>
          <w:sz w:val="20"/>
          <w:szCs w:val="20"/>
        </w:rPr>
        <w:t>BioScience</w:t>
      </w:r>
      <w:proofErr w:type="spellEnd"/>
      <w:r w:rsidRPr="009D551E">
        <w:rPr>
          <w:rFonts w:asciiTheme="majorBidi" w:hAnsiTheme="majorBidi" w:cstheme="majorBidi"/>
          <w:sz w:val="20"/>
          <w:szCs w:val="20"/>
        </w:rPr>
        <w:t xml:space="preserve">, bix014, </w:t>
      </w:r>
      <w:proofErr w:type="spellStart"/>
      <w:r w:rsidRPr="009D551E">
        <w:rPr>
          <w:rFonts w:asciiTheme="majorBidi" w:hAnsiTheme="majorBidi" w:cstheme="majorBidi"/>
          <w:sz w:val="20"/>
          <w:szCs w:val="20"/>
        </w:rPr>
        <w:t>doi</w:t>
      </w:r>
      <w:proofErr w:type="spellEnd"/>
      <w:r w:rsidRPr="009D551E">
        <w:rPr>
          <w:rFonts w:asciiTheme="majorBidi" w:hAnsiTheme="majorBidi" w:cstheme="majorBidi"/>
          <w:sz w:val="20"/>
          <w:szCs w:val="20"/>
        </w:rPr>
        <w:t>: 10.1093/</w:t>
      </w:r>
      <w:proofErr w:type="spellStart"/>
      <w:r w:rsidRPr="009D551E">
        <w:rPr>
          <w:rFonts w:asciiTheme="majorBidi" w:hAnsiTheme="majorBidi" w:cstheme="majorBidi"/>
          <w:sz w:val="20"/>
          <w:szCs w:val="20"/>
        </w:rPr>
        <w:t>biosci</w:t>
      </w:r>
      <w:proofErr w:type="spellEnd"/>
      <w:r w:rsidRPr="009D551E">
        <w:rPr>
          <w:rFonts w:asciiTheme="majorBidi" w:hAnsiTheme="majorBidi" w:cstheme="majorBidi"/>
          <w:sz w:val="20"/>
          <w:szCs w:val="20"/>
        </w:rPr>
        <w:t>/bix014.</w:t>
      </w:r>
    </w:p>
  </w:footnote>
  <w:footnote w:id="254">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proofErr w:type="spellStart"/>
      <w:r w:rsidRPr="009D551E">
        <w:rPr>
          <w:rFonts w:asciiTheme="majorBidi" w:hAnsiTheme="majorBidi" w:cstheme="majorBidi"/>
          <w:sz w:val="20"/>
          <w:szCs w:val="20"/>
        </w:rPr>
        <w:t>BirdLife</w:t>
      </w:r>
      <w:proofErr w:type="spellEnd"/>
      <w:r w:rsidRPr="009D551E">
        <w:rPr>
          <w:rFonts w:asciiTheme="majorBidi" w:hAnsiTheme="majorBidi" w:cstheme="majorBidi"/>
          <w:sz w:val="20"/>
          <w:szCs w:val="20"/>
        </w:rPr>
        <w:t xml:space="preserve"> International (2016). Analysis of protected area coverage of Key Biodiversity Areas using the April 2016 WDPA release for the Protected Planet Report 2016.</w:t>
      </w:r>
    </w:p>
  </w:footnote>
  <w:footnote w:id="255">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fr-BE"/>
        </w:rPr>
        <w:t xml:space="preserve"> Pollock L. J. et al (2017). </w:t>
      </w:r>
      <w:r w:rsidRPr="009D551E">
        <w:rPr>
          <w:rFonts w:asciiTheme="majorBidi" w:hAnsiTheme="majorBidi" w:cstheme="majorBidi"/>
          <w:sz w:val="20"/>
          <w:szCs w:val="20"/>
          <w:lang w:val="en-US"/>
        </w:rPr>
        <w:t>Large conservation gains possible for global biodiversity facets. Nature 546, 141-144.</w:t>
      </w:r>
    </w:p>
  </w:footnote>
  <w:footnote w:id="256">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Lindegren</w:t>
      </w:r>
      <w:proofErr w:type="spellEnd"/>
      <w:r w:rsidRPr="009D551E">
        <w:rPr>
          <w:rFonts w:asciiTheme="majorBidi" w:hAnsiTheme="majorBidi" w:cstheme="majorBidi"/>
          <w:sz w:val="20"/>
          <w:szCs w:val="20"/>
          <w:lang w:val="en-US"/>
        </w:rPr>
        <w:t xml:space="preserve">, M. et al (2018). A global mismatch in the protection of multiple marine biodiversity components and ecosystem services. Scientific Reports 8, 4099. doi:10.1038/s41598-018-22419-1 </w:t>
      </w:r>
    </w:p>
  </w:footnote>
  <w:footnote w:id="257">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720FA7">
        <w:rPr>
          <w:rFonts w:asciiTheme="majorBidi" w:hAnsiTheme="majorBidi" w:cstheme="majorBidi"/>
          <w:sz w:val="20"/>
          <w:szCs w:val="20"/>
          <w:lang w:val="en-US"/>
        </w:rPr>
        <w:t xml:space="preserve"> Bastin, S.S., et al (2017). </w:t>
      </w:r>
      <w:r w:rsidRPr="009D551E">
        <w:rPr>
          <w:rFonts w:asciiTheme="majorBidi" w:hAnsiTheme="majorBidi" w:cstheme="majorBidi"/>
          <w:sz w:val="20"/>
          <w:szCs w:val="20"/>
        </w:rPr>
        <w:t xml:space="preserve">Protected areas in the world’s ecoregions: how well connected are they? Ecological Indicators, 76, 144– 158. </w:t>
      </w:r>
      <w:proofErr w:type="spellStart"/>
      <w:r w:rsidRPr="009D551E">
        <w:rPr>
          <w:rFonts w:asciiTheme="majorBidi" w:hAnsiTheme="majorBidi" w:cstheme="majorBidi"/>
          <w:sz w:val="20"/>
          <w:szCs w:val="20"/>
        </w:rPr>
        <w:t>doi</w:t>
      </w:r>
      <w:proofErr w:type="spellEnd"/>
      <w:r w:rsidRPr="009D551E">
        <w:rPr>
          <w:rFonts w:asciiTheme="majorBidi" w:hAnsiTheme="majorBidi" w:cstheme="majorBidi"/>
          <w:sz w:val="20"/>
          <w:szCs w:val="20"/>
        </w:rPr>
        <w:t>: 10.1016/j.ecolind.2016.12.047.</w:t>
      </w:r>
    </w:p>
  </w:footnote>
  <w:footnote w:id="258">
    <w:p w:rsidR="00071EBB" w:rsidRPr="009D551E" w:rsidRDefault="00071EBB" w:rsidP="009D551E">
      <w:pPr>
        <w:pStyle w:val="FootnoteText"/>
        <w:ind w:firstLine="0"/>
        <w:rPr>
          <w:rFonts w:asciiTheme="majorBidi" w:hAnsiTheme="majorBidi" w:cstheme="majorBidi"/>
          <w:sz w:val="20"/>
          <w:szCs w:val="20"/>
          <w:lang w:val="fr-BE"/>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Suara</w:t>
      </w:r>
      <w:proofErr w:type="spellEnd"/>
      <w:r w:rsidRPr="009D551E">
        <w:rPr>
          <w:rFonts w:asciiTheme="majorBidi" w:hAnsiTheme="majorBidi" w:cstheme="majorBidi"/>
          <w:sz w:val="20"/>
          <w:szCs w:val="20"/>
          <w:lang w:val="en-US"/>
        </w:rPr>
        <w:t xml:space="preserve">, S. et al (2017). Protected area connectivity: Shortfalls in global targets and country level priorities. </w:t>
      </w:r>
      <w:proofErr w:type="spellStart"/>
      <w:r w:rsidRPr="009D551E">
        <w:rPr>
          <w:rFonts w:asciiTheme="majorBidi" w:hAnsiTheme="majorBidi" w:cstheme="majorBidi"/>
          <w:sz w:val="20"/>
          <w:szCs w:val="20"/>
          <w:lang w:val="fr-BE"/>
        </w:rPr>
        <w:t>Biologixal</w:t>
      </w:r>
      <w:proofErr w:type="spellEnd"/>
      <w:r w:rsidRPr="009D551E">
        <w:rPr>
          <w:rFonts w:asciiTheme="majorBidi" w:hAnsiTheme="majorBidi" w:cstheme="majorBidi"/>
          <w:sz w:val="20"/>
          <w:szCs w:val="20"/>
          <w:lang w:val="fr-BE"/>
        </w:rPr>
        <w:t xml:space="preserve"> Conservation 219, 53-67. doi.org/10.1016/j.biocon.2017.12.020</w:t>
      </w:r>
    </w:p>
  </w:footnote>
  <w:footnote w:id="259">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fr-BE"/>
        </w:rPr>
        <w:t xml:space="preserve"> Runge, C.A. et al (2015). </w:t>
      </w:r>
      <w:r w:rsidRPr="009D551E">
        <w:rPr>
          <w:rFonts w:asciiTheme="majorBidi" w:hAnsiTheme="majorBidi" w:cstheme="majorBidi"/>
          <w:sz w:val="20"/>
          <w:szCs w:val="20"/>
          <w:lang w:val="en-US"/>
        </w:rPr>
        <w:t>Protected areas and global conservation of migratory birds. Science. 350 (6265), 1255-1258.</w:t>
      </w:r>
    </w:p>
  </w:footnote>
  <w:footnote w:id="260">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 xml:space="preserve">Coad, L., et al (2015). Measuring impact of protected area management interventions: current and future use of the Global Database of Protected Area Management Effectiveness. Philosophical Transactions of the Royal Society B, 370 (1681). </w:t>
      </w:r>
      <w:proofErr w:type="spellStart"/>
      <w:r w:rsidRPr="009D551E">
        <w:rPr>
          <w:rFonts w:asciiTheme="majorBidi" w:hAnsiTheme="majorBidi" w:cstheme="majorBidi"/>
          <w:sz w:val="20"/>
          <w:szCs w:val="20"/>
        </w:rPr>
        <w:t>doi</w:t>
      </w:r>
      <w:proofErr w:type="spellEnd"/>
      <w:r w:rsidRPr="009D551E">
        <w:rPr>
          <w:rFonts w:asciiTheme="majorBidi" w:hAnsiTheme="majorBidi" w:cstheme="majorBidi"/>
          <w:sz w:val="20"/>
          <w:szCs w:val="20"/>
        </w:rPr>
        <w:t>: 10.1098/rstb.2014.0281.</w:t>
      </w:r>
    </w:p>
  </w:footnote>
  <w:footnote w:id="261">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Geldmann</w:t>
      </w:r>
      <w:proofErr w:type="spellEnd"/>
      <w:r w:rsidRPr="009D551E">
        <w:rPr>
          <w:rFonts w:asciiTheme="majorBidi" w:hAnsiTheme="majorBidi" w:cstheme="majorBidi"/>
          <w:sz w:val="20"/>
          <w:szCs w:val="20"/>
        </w:rPr>
        <w:t xml:space="preserve">, J., et al (2015). Changes in protected area management </w:t>
      </w:r>
      <w:proofErr w:type="spellStart"/>
      <w:r w:rsidRPr="009D551E">
        <w:rPr>
          <w:rFonts w:asciiTheme="majorBidi" w:hAnsiTheme="majorBidi" w:cstheme="majorBidi"/>
          <w:sz w:val="20"/>
          <w:szCs w:val="20"/>
        </w:rPr>
        <w:t>effectiveveness</w:t>
      </w:r>
      <w:proofErr w:type="spellEnd"/>
      <w:r w:rsidRPr="009D551E">
        <w:rPr>
          <w:rFonts w:asciiTheme="majorBidi" w:hAnsiTheme="majorBidi" w:cstheme="majorBidi"/>
          <w:sz w:val="20"/>
          <w:szCs w:val="20"/>
        </w:rPr>
        <w:t xml:space="preserve"> over time: A global analysis. Biological </w:t>
      </w:r>
      <w:proofErr w:type="spellStart"/>
      <w:r w:rsidRPr="009D551E">
        <w:rPr>
          <w:rFonts w:asciiTheme="majorBidi" w:hAnsiTheme="majorBidi" w:cstheme="majorBidi"/>
          <w:sz w:val="20"/>
          <w:szCs w:val="20"/>
        </w:rPr>
        <w:t>ConservaƟon</w:t>
      </w:r>
      <w:proofErr w:type="spellEnd"/>
      <w:r w:rsidRPr="009D551E">
        <w:rPr>
          <w:rFonts w:asciiTheme="majorBidi" w:hAnsiTheme="majorBidi" w:cstheme="majorBidi"/>
          <w:sz w:val="20"/>
          <w:szCs w:val="20"/>
        </w:rPr>
        <w:t xml:space="preserve">, 191, 692–699. </w:t>
      </w:r>
      <w:proofErr w:type="spellStart"/>
      <w:r w:rsidRPr="009D551E">
        <w:rPr>
          <w:rFonts w:asciiTheme="majorBidi" w:hAnsiTheme="majorBidi" w:cstheme="majorBidi"/>
          <w:sz w:val="20"/>
          <w:szCs w:val="20"/>
        </w:rPr>
        <w:t>doi</w:t>
      </w:r>
      <w:proofErr w:type="spellEnd"/>
      <w:r w:rsidRPr="009D551E">
        <w:rPr>
          <w:rFonts w:asciiTheme="majorBidi" w:hAnsiTheme="majorBidi" w:cstheme="majorBidi"/>
          <w:sz w:val="20"/>
          <w:szCs w:val="20"/>
        </w:rPr>
        <w:t>: 10.1016/j.biocon.2015.08.029</w:t>
      </w:r>
    </w:p>
  </w:footnote>
  <w:footnote w:id="262">
    <w:p w:rsidR="00071EBB" w:rsidRPr="009D551E" w:rsidRDefault="00071EBB" w:rsidP="009D551E">
      <w:pPr>
        <w:pStyle w:val="FootnoteText"/>
        <w:ind w:firstLine="0"/>
        <w:jc w:val="left"/>
        <w:rPr>
          <w:rFonts w:asciiTheme="majorBidi" w:hAnsiTheme="majorBidi" w:cstheme="majorBidi"/>
          <w:sz w:val="20"/>
          <w:szCs w:val="20"/>
        </w:rPr>
      </w:pPr>
      <w:r w:rsidRPr="00D473F9">
        <w:rPr>
          <w:rStyle w:val="FootnoteReference"/>
          <w:sz w:val="20"/>
        </w:rPr>
        <w:footnoteRef/>
      </w:r>
      <w:r w:rsidRPr="009D551E">
        <w:rPr>
          <w:rFonts w:asciiTheme="majorBidi" w:hAnsiTheme="majorBidi" w:cstheme="majorBidi"/>
          <w:sz w:val="20"/>
          <w:szCs w:val="20"/>
        </w:rPr>
        <w:t xml:space="preserve"> Gill, D. A., et al (2017) Capacity shortfalls hinder the performance of marine protected areas globally. Nature 543, 665-669.</w:t>
      </w:r>
    </w:p>
  </w:footnote>
  <w:footnote w:id="263">
    <w:p w:rsidR="00071EBB" w:rsidRPr="009D551E" w:rsidRDefault="00071EBB" w:rsidP="009D551E">
      <w:pPr>
        <w:pStyle w:val="FootnoteText"/>
        <w:ind w:firstLine="0"/>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Zafra</w:t>
      </w:r>
      <w:proofErr w:type="spellEnd"/>
      <w:r w:rsidRPr="009D551E">
        <w:rPr>
          <w:rFonts w:asciiTheme="majorBidi" w:hAnsiTheme="majorBidi" w:cstheme="majorBidi"/>
          <w:sz w:val="20"/>
          <w:szCs w:val="20"/>
          <w:lang w:val="en-US"/>
        </w:rPr>
        <w:t xml:space="preserve">-Calvo, N. et al (2017). </w:t>
      </w:r>
      <w:r w:rsidRPr="009D551E">
        <w:rPr>
          <w:rFonts w:asciiTheme="majorBidi" w:hAnsiTheme="majorBidi" w:cstheme="majorBidi"/>
          <w:sz w:val="20"/>
          <w:szCs w:val="20"/>
        </w:rPr>
        <w:t>Towards an indicator system to assess equitable management in protected areas,</w:t>
      </w:r>
    </w:p>
    <w:p w:rsidR="00071EBB" w:rsidRPr="009D551E" w:rsidRDefault="00071EBB" w:rsidP="009D551E">
      <w:pPr>
        <w:pStyle w:val="FootnoteText"/>
        <w:ind w:firstLine="0"/>
        <w:jc w:val="left"/>
        <w:rPr>
          <w:rFonts w:asciiTheme="majorBidi" w:hAnsiTheme="majorBidi" w:cstheme="majorBidi"/>
          <w:sz w:val="20"/>
          <w:szCs w:val="20"/>
        </w:rPr>
      </w:pPr>
      <w:r w:rsidRPr="009D551E">
        <w:rPr>
          <w:rFonts w:asciiTheme="majorBidi" w:hAnsiTheme="majorBidi" w:cstheme="majorBidi"/>
          <w:sz w:val="20"/>
          <w:szCs w:val="20"/>
        </w:rPr>
        <w:t>Biological Conservation, 211(A).134-141.</w:t>
      </w:r>
    </w:p>
  </w:footnote>
  <w:footnote w:id="264">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Juffe-Bignoli, et al (2014). Protected Planet Report 2014. Cambridge, UK: UNEPWCMC</w:t>
      </w:r>
    </w:p>
  </w:footnote>
  <w:footnote w:id="265">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Oldekop</w:t>
      </w:r>
      <w:proofErr w:type="spellEnd"/>
      <w:r w:rsidRPr="009D551E">
        <w:rPr>
          <w:rFonts w:asciiTheme="majorBidi" w:hAnsiTheme="majorBidi" w:cstheme="majorBidi"/>
          <w:sz w:val="20"/>
          <w:szCs w:val="20"/>
        </w:rPr>
        <w:t xml:space="preserve">, J.A., et al A global assessment of the social and conservation outcomes of protected areas. Conservation Biology, 30(1), 133–141. </w:t>
      </w:r>
      <w:proofErr w:type="spellStart"/>
      <w:r w:rsidRPr="009D551E">
        <w:rPr>
          <w:rFonts w:asciiTheme="majorBidi" w:hAnsiTheme="majorBidi" w:cstheme="majorBidi"/>
          <w:sz w:val="20"/>
          <w:szCs w:val="20"/>
        </w:rPr>
        <w:t>doi</w:t>
      </w:r>
      <w:proofErr w:type="spellEnd"/>
      <w:r w:rsidRPr="009D551E">
        <w:rPr>
          <w:rFonts w:asciiTheme="majorBidi" w:hAnsiTheme="majorBidi" w:cstheme="majorBidi"/>
          <w:sz w:val="20"/>
          <w:szCs w:val="20"/>
        </w:rPr>
        <w:t>: 10.1111/cobi.12568</w:t>
      </w:r>
    </w:p>
  </w:footnote>
  <w:footnote w:id="266">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Franks, P. and Small, R. (2016). Understanding the social impacts of protected areas: a community </w:t>
      </w:r>
      <w:proofErr w:type="spellStart"/>
      <w:r w:rsidRPr="009D551E">
        <w:rPr>
          <w:rFonts w:asciiTheme="majorBidi" w:hAnsiTheme="majorBidi" w:cstheme="majorBidi"/>
          <w:sz w:val="20"/>
          <w:szCs w:val="20"/>
        </w:rPr>
        <w:t>perspecƟve</w:t>
      </w:r>
      <w:proofErr w:type="spellEnd"/>
      <w:r w:rsidRPr="009D551E">
        <w:rPr>
          <w:rFonts w:asciiTheme="majorBidi" w:hAnsiTheme="majorBidi" w:cstheme="majorBidi"/>
          <w:sz w:val="20"/>
          <w:szCs w:val="20"/>
        </w:rPr>
        <w:t>. IIED Research Report. London: IIED.</w:t>
      </w:r>
    </w:p>
  </w:footnote>
  <w:footnote w:id="267">
    <w:p w:rsidR="00071EBB" w:rsidRPr="009D551E" w:rsidRDefault="00071EBB" w:rsidP="009D551E">
      <w:pPr>
        <w:pStyle w:val="FootnoteText"/>
        <w:ind w:firstLine="0"/>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Schulze, K. et al (2018). An assessment of threats to terrestrial protected areas. Conservation Letters. DOI: 10.1111/conl.12435</w:t>
      </w:r>
    </w:p>
  </w:footnote>
  <w:footnote w:id="268">
    <w:p w:rsidR="00071EBB" w:rsidRPr="009D551E" w:rsidRDefault="00071EBB" w:rsidP="0016109C">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IUCN and UNEP-WCMC (2016), The World Database on Protected Areas (WDPA) [On-line], Cambridge, UK: UNEP-WCMC. Available at: www.protectedplanet.net.</w:t>
      </w:r>
    </w:p>
  </w:footnote>
  <w:footnote w:id="269">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Gannon, P. et al (2017). Status and prospects for achieving AICHI biodiversity target 11: Implications of national commitments and priority actions. Parks 23.2, 13-26.</w:t>
      </w:r>
    </w:p>
  </w:footnote>
  <w:footnote w:id="270">
    <w:p w:rsidR="00071EBB" w:rsidRPr="00720FA7" w:rsidRDefault="00071EBB" w:rsidP="009D551E">
      <w:pPr>
        <w:pStyle w:val="FootnoteText"/>
        <w:ind w:firstLine="0"/>
        <w:jc w:val="left"/>
        <w:rPr>
          <w:rFonts w:asciiTheme="majorBidi" w:hAnsiTheme="majorBidi" w:cstheme="majorBidi"/>
          <w:sz w:val="20"/>
          <w:szCs w:val="20"/>
          <w:lang w:val="es-ES_tradnl"/>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lang w:val="en-US"/>
        </w:rPr>
        <w:t xml:space="preserve">Rodrigues ASL, et al. </w:t>
      </w:r>
      <w:r w:rsidRPr="009D551E">
        <w:rPr>
          <w:rFonts w:asciiTheme="majorBidi" w:hAnsiTheme="majorBidi" w:cstheme="majorBidi"/>
          <w:sz w:val="20"/>
          <w:szCs w:val="20"/>
          <w:shd w:val="clear" w:color="auto" w:fill="FFFFFF"/>
        </w:rPr>
        <w:t xml:space="preserve">(2014) Spatially Explicit Trends in the Global Conservation Status of Vertebrates. </w:t>
      </w:r>
      <w:r w:rsidRPr="00720FA7">
        <w:rPr>
          <w:rFonts w:asciiTheme="majorBidi" w:hAnsiTheme="majorBidi" w:cstheme="majorBidi"/>
          <w:sz w:val="20"/>
          <w:szCs w:val="20"/>
          <w:shd w:val="clear" w:color="auto" w:fill="FFFFFF"/>
          <w:lang w:val="es-ES_tradnl"/>
        </w:rPr>
        <w:t>PLoS ONE 9(11): e113934. https://doi.org/10.1371/journal.pone.0113934</w:t>
      </w:r>
    </w:p>
  </w:footnote>
  <w:footnote w:id="271">
    <w:p w:rsidR="00071EBB" w:rsidRPr="009D551E" w:rsidRDefault="00071EBB" w:rsidP="009D551E">
      <w:pPr>
        <w:pStyle w:val="FootnoteText"/>
        <w:ind w:firstLine="0"/>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en-US"/>
        </w:rPr>
        <w:t xml:space="preserve"> Ceballos, G. et al (2017). </w:t>
      </w:r>
      <w:r w:rsidRPr="009D551E">
        <w:rPr>
          <w:rFonts w:asciiTheme="majorBidi" w:hAnsiTheme="majorBidi" w:cstheme="majorBidi"/>
          <w:sz w:val="20"/>
          <w:szCs w:val="20"/>
        </w:rPr>
        <w:t xml:space="preserve">Biological annihilation via the ongoing sixth mass extinction </w:t>
      </w:r>
      <w:proofErr w:type="spellStart"/>
      <w:r w:rsidRPr="009D551E">
        <w:rPr>
          <w:rFonts w:asciiTheme="majorBidi" w:hAnsiTheme="majorBidi" w:cstheme="majorBidi"/>
          <w:sz w:val="20"/>
          <w:szCs w:val="20"/>
        </w:rPr>
        <w:t>signaled</w:t>
      </w:r>
      <w:proofErr w:type="spellEnd"/>
      <w:r w:rsidRPr="009D551E">
        <w:rPr>
          <w:rFonts w:asciiTheme="majorBidi" w:hAnsiTheme="majorBidi" w:cstheme="majorBidi"/>
          <w:sz w:val="20"/>
          <w:szCs w:val="20"/>
        </w:rPr>
        <w:t xml:space="preserve"> by vertebrate population losses and declines. Proceedings of the National Academy of Sciences. 114(30):201704949 </w:t>
      </w:r>
    </w:p>
  </w:footnote>
  <w:footnote w:id="272">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B</w:t>
      </w:r>
      <w:r w:rsidRPr="009D551E">
        <w:rPr>
          <w:rFonts w:asciiTheme="majorBidi" w:hAnsiTheme="majorBidi" w:cstheme="majorBidi"/>
          <w:sz w:val="20"/>
          <w:szCs w:val="20"/>
          <w:shd w:val="clear" w:color="auto" w:fill="FFFFFF"/>
        </w:rPr>
        <w:t>rummitt</w:t>
      </w:r>
      <w:proofErr w:type="spellEnd"/>
      <w:r w:rsidRPr="009D551E">
        <w:rPr>
          <w:rFonts w:asciiTheme="majorBidi" w:hAnsiTheme="majorBidi" w:cstheme="majorBidi"/>
          <w:sz w:val="20"/>
          <w:szCs w:val="20"/>
          <w:shd w:val="clear" w:color="auto" w:fill="FFFFFF"/>
        </w:rPr>
        <w:t xml:space="preserve"> NA, et al. (2015) Green Plants in the Red: A Baseline Global Assessment for the IUCN Sampled Red List Index for Plants. </w:t>
      </w:r>
      <w:proofErr w:type="spellStart"/>
      <w:r w:rsidRPr="009D551E">
        <w:rPr>
          <w:rFonts w:asciiTheme="majorBidi" w:hAnsiTheme="majorBidi" w:cstheme="majorBidi"/>
          <w:sz w:val="20"/>
          <w:szCs w:val="20"/>
          <w:shd w:val="clear" w:color="auto" w:fill="FFFFFF"/>
        </w:rPr>
        <w:t>PLoS</w:t>
      </w:r>
      <w:proofErr w:type="spellEnd"/>
      <w:r w:rsidRPr="009D551E">
        <w:rPr>
          <w:rFonts w:asciiTheme="majorBidi" w:hAnsiTheme="majorBidi" w:cstheme="majorBidi"/>
          <w:sz w:val="20"/>
          <w:szCs w:val="20"/>
          <w:shd w:val="clear" w:color="auto" w:fill="FFFFFF"/>
        </w:rPr>
        <w:t xml:space="preserve"> ONE 10(8): e0135152. https://doi.org/10.1371/journal.pone.0135152</w:t>
      </w:r>
    </w:p>
  </w:footnote>
  <w:footnote w:id="273">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z w:val="20"/>
          <w:szCs w:val="20"/>
          <w:shd w:val="clear" w:color="auto" w:fill="FFFFFF"/>
        </w:rPr>
        <w:t>Regan, E. C., (2015), Global Trends in the Status of Bird and Mammal Pollinators. Conservation Letters, 8: 397–403. doi:10.1111/conl.12162</w:t>
      </w:r>
    </w:p>
  </w:footnote>
  <w:footnote w:id="274">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Hammerson, G.A. et al (2017). </w:t>
      </w:r>
      <w:r w:rsidRPr="009D551E">
        <w:rPr>
          <w:rFonts w:asciiTheme="majorBidi" w:hAnsiTheme="majorBidi" w:cstheme="majorBidi"/>
          <w:sz w:val="20"/>
          <w:szCs w:val="20"/>
        </w:rPr>
        <w:t>Strong geographic and temporal patterns in conservation status of North American bats, Biological Conservation, 212(A) 144-152,</w:t>
      </w:r>
    </w:p>
  </w:footnote>
  <w:footnote w:id="275">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Webb, Thomas J. and </w:t>
      </w:r>
      <w:proofErr w:type="spellStart"/>
      <w:r w:rsidRPr="009D551E">
        <w:rPr>
          <w:rFonts w:asciiTheme="majorBidi" w:hAnsiTheme="majorBidi" w:cstheme="majorBidi"/>
          <w:sz w:val="20"/>
          <w:szCs w:val="20"/>
          <w:lang w:val="en-US"/>
        </w:rPr>
        <w:t>Mindel</w:t>
      </w:r>
      <w:proofErr w:type="spellEnd"/>
      <w:r w:rsidRPr="009D551E">
        <w:rPr>
          <w:rFonts w:asciiTheme="majorBidi" w:hAnsiTheme="majorBidi" w:cstheme="majorBidi"/>
          <w:sz w:val="20"/>
          <w:szCs w:val="20"/>
          <w:lang w:val="en-US"/>
        </w:rPr>
        <w:t>, Beth L. (2015)</w:t>
      </w:r>
      <w:r w:rsidR="00D473F9">
        <w:rPr>
          <w:rFonts w:asciiTheme="majorBidi" w:hAnsiTheme="majorBidi" w:cstheme="majorBidi"/>
          <w:sz w:val="20"/>
          <w:szCs w:val="20"/>
          <w:lang w:val="en-US"/>
        </w:rPr>
        <w:t xml:space="preserve"> </w:t>
      </w:r>
      <w:r w:rsidRPr="009D551E">
        <w:rPr>
          <w:rFonts w:asciiTheme="majorBidi" w:hAnsiTheme="majorBidi" w:cstheme="majorBidi"/>
          <w:sz w:val="20"/>
          <w:szCs w:val="20"/>
          <w:lang w:val="en-US"/>
        </w:rPr>
        <w:t>Global Patterns of Extinction Risk in Marine and Non-</w:t>
      </w:r>
      <w:proofErr w:type="gramStart"/>
      <w:r w:rsidRPr="009D551E">
        <w:rPr>
          <w:rFonts w:asciiTheme="majorBidi" w:hAnsiTheme="majorBidi" w:cstheme="majorBidi"/>
          <w:sz w:val="20"/>
          <w:szCs w:val="20"/>
          <w:lang w:val="en-US"/>
        </w:rPr>
        <w:t>marine</w:t>
      </w:r>
      <w:proofErr w:type="gramEnd"/>
      <w:r w:rsidRPr="009D551E">
        <w:rPr>
          <w:rFonts w:asciiTheme="majorBidi" w:hAnsiTheme="majorBidi" w:cstheme="majorBidi"/>
          <w:sz w:val="20"/>
          <w:szCs w:val="20"/>
          <w:lang w:val="en-US"/>
        </w:rPr>
        <w:t xml:space="preserve"> Systems. Current Biology 25(4), 506-511.doi: 10.1016/j.cub.2014.12.023 </w:t>
      </w:r>
    </w:p>
  </w:footnote>
  <w:footnote w:id="276">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ter</w:t>
      </w:r>
      <w:proofErr w:type="spellEnd"/>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Steege</w:t>
      </w:r>
      <w:proofErr w:type="spellEnd"/>
      <w:r w:rsidRPr="009D551E">
        <w:rPr>
          <w:rFonts w:asciiTheme="majorBidi" w:hAnsiTheme="majorBidi" w:cstheme="majorBidi"/>
          <w:sz w:val="20"/>
          <w:szCs w:val="20"/>
          <w:lang w:val="en-US"/>
        </w:rPr>
        <w:t>, Han et al (2015). Estimating the global conservation status of more than 15,000 Amazonian tree species Science Advances 1(10) DOI: 10.1126/sciadv.1500936</w:t>
      </w:r>
    </w:p>
  </w:footnote>
  <w:footnote w:id="277">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Visconti, P., et al (2016), Projecting Global Biodiversity Indicators under Future Development Scenarios. CONSERVATION LETTERS, 9: 5–13. doi:10.1111/conl.12159</w:t>
      </w:r>
      <w:r w:rsidRPr="009D551E">
        <w:rPr>
          <w:rFonts w:asciiTheme="majorBidi" w:hAnsiTheme="majorBidi" w:cstheme="majorBidi"/>
          <w:snapToGrid w:val="0"/>
          <w:sz w:val="20"/>
          <w:szCs w:val="20"/>
          <w:lang w:val="en-US"/>
        </w:rPr>
        <w:t xml:space="preserve"> </w:t>
      </w:r>
    </w:p>
  </w:footnote>
  <w:footnote w:id="278">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Urban, Mark C. (2015). Accelerating extinction risk from climate change. Science 348 (6234)571-573</w:t>
      </w:r>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Fonts w:asciiTheme="majorBidi" w:hAnsiTheme="majorBidi" w:cstheme="majorBidi"/>
          <w:sz w:val="20"/>
          <w:szCs w:val="20"/>
          <w:lang w:val="en-US"/>
        </w:rPr>
        <w:t>10.1126/science.aaa4984</w:t>
      </w:r>
    </w:p>
  </w:footnote>
  <w:footnote w:id="279">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Strassburg</w:t>
      </w:r>
      <w:proofErr w:type="spellEnd"/>
      <w:r w:rsidRPr="009D551E">
        <w:rPr>
          <w:rFonts w:asciiTheme="majorBidi" w:hAnsiTheme="majorBidi" w:cstheme="majorBidi"/>
          <w:sz w:val="20"/>
          <w:szCs w:val="20"/>
          <w:lang w:val="en-US"/>
        </w:rPr>
        <w:t>, B.B.N. et al (2017). Moment of truth for the</w:t>
      </w:r>
    </w:p>
    <w:p w:rsidR="00071EBB" w:rsidRPr="009D551E" w:rsidRDefault="00071EBB" w:rsidP="009D551E">
      <w:pPr>
        <w:pStyle w:val="FootnoteText"/>
        <w:ind w:firstLine="0"/>
        <w:rPr>
          <w:rFonts w:asciiTheme="majorBidi" w:hAnsiTheme="majorBidi" w:cstheme="majorBidi"/>
          <w:sz w:val="20"/>
          <w:szCs w:val="20"/>
          <w:lang w:val="en-US"/>
        </w:rPr>
      </w:pPr>
      <w:proofErr w:type="spellStart"/>
      <w:r w:rsidRPr="009D551E">
        <w:rPr>
          <w:rFonts w:asciiTheme="majorBidi" w:hAnsiTheme="majorBidi" w:cstheme="majorBidi"/>
          <w:sz w:val="20"/>
          <w:szCs w:val="20"/>
          <w:lang w:val="en-US"/>
        </w:rPr>
        <w:t>Cerrado</w:t>
      </w:r>
      <w:proofErr w:type="spellEnd"/>
      <w:r w:rsidRPr="009D551E">
        <w:rPr>
          <w:rFonts w:asciiTheme="majorBidi" w:hAnsiTheme="majorBidi" w:cstheme="majorBidi"/>
          <w:sz w:val="20"/>
          <w:szCs w:val="20"/>
          <w:lang w:val="en-US"/>
        </w:rPr>
        <w:t xml:space="preserve"> hotspot. Nature Ecology and Evolution. 0099</w:t>
      </w:r>
    </w:p>
  </w:footnote>
  <w:footnote w:id="280">
    <w:p w:rsidR="00071EBB" w:rsidRPr="009D551E" w:rsidRDefault="00071EBB" w:rsidP="009D551E">
      <w:pPr>
        <w:pStyle w:val="FootnoteText"/>
        <w:ind w:firstLine="0"/>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Brochet</w:t>
      </w:r>
      <w:proofErr w:type="spellEnd"/>
      <w:r w:rsidRPr="009D551E">
        <w:rPr>
          <w:rFonts w:asciiTheme="majorBidi" w:hAnsiTheme="majorBidi" w:cstheme="majorBidi"/>
          <w:sz w:val="20"/>
          <w:szCs w:val="20"/>
          <w:lang w:val="en-US"/>
        </w:rPr>
        <w:t>, A., et al</w:t>
      </w:r>
      <w:r w:rsidRPr="009D551E">
        <w:rPr>
          <w:rFonts w:asciiTheme="majorBidi" w:hAnsiTheme="majorBidi" w:cstheme="majorBidi"/>
          <w:sz w:val="20"/>
          <w:szCs w:val="20"/>
        </w:rPr>
        <w:t xml:space="preserve"> (2017). Illegal killing and taking of birds in Europe outside the Mediterranean: Assessing the scope and scale of a complex issue. Bird Conservation International, 1-31. doi:10.1017/S0959270917000533.</w:t>
      </w:r>
    </w:p>
  </w:footnote>
  <w:footnote w:id="281">
    <w:p w:rsidR="00071EBB" w:rsidRPr="009D551E" w:rsidRDefault="00071EBB" w:rsidP="009D551E">
      <w:pPr>
        <w:pStyle w:val="FootnoteText"/>
        <w:ind w:firstLine="0"/>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Brochet</w:t>
      </w:r>
      <w:proofErr w:type="spellEnd"/>
      <w:r w:rsidRPr="009D551E">
        <w:rPr>
          <w:rFonts w:asciiTheme="majorBidi" w:hAnsiTheme="majorBidi" w:cstheme="majorBidi"/>
          <w:sz w:val="20"/>
          <w:szCs w:val="20"/>
          <w:lang w:val="en-US"/>
        </w:rPr>
        <w:t>, A., et al</w:t>
      </w:r>
      <w:r w:rsidRPr="009D551E">
        <w:rPr>
          <w:rFonts w:asciiTheme="majorBidi" w:hAnsiTheme="majorBidi" w:cstheme="majorBidi"/>
          <w:sz w:val="20"/>
          <w:szCs w:val="20"/>
        </w:rPr>
        <w:t xml:space="preserve"> (2016). Preliminary assessment of the scope and scale of illegal killing and taking of birds in the Mediterranean. Bird Conservation International, 26(1), 1-28. doi:10.1017/S0959270915000416.</w:t>
      </w:r>
    </w:p>
  </w:footnote>
  <w:footnote w:id="282">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Hallmann</w:t>
      </w:r>
      <w:proofErr w:type="spellEnd"/>
      <w:r w:rsidRPr="009D551E">
        <w:rPr>
          <w:rFonts w:asciiTheme="majorBidi" w:hAnsiTheme="majorBidi" w:cstheme="majorBidi"/>
          <w:sz w:val="20"/>
          <w:szCs w:val="20"/>
          <w:lang w:val="en-US"/>
        </w:rPr>
        <w:t>, C. A. et al (2017). More than 75 percent decline over 27 years in total flying insect biomass in protected areas. PLOS ONE 12(10): e0185809.</w:t>
      </w:r>
    </w:p>
  </w:footnote>
  <w:footnote w:id="283">
    <w:p w:rsidR="00071EBB" w:rsidRPr="009D551E" w:rsidRDefault="00071EBB" w:rsidP="009D551E">
      <w:pPr>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IUCN Red List Index </w:t>
      </w:r>
      <w:hyperlink r:id="rId30" w:history="1">
        <w:r w:rsidRPr="009D551E">
          <w:rPr>
            <w:rStyle w:val="Hyperlink"/>
            <w:rFonts w:asciiTheme="majorBidi" w:hAnsiTheme="majorBidi" w:cstheme="majorBidi"/>
            <w:sz w:val="20"/>
            <w:szCs w:val="20"/>
            <w:lang w:val="en-US"/>
          </w:rPr>
          <w:t>http://www.iucnredlist.org/about/publication/red-list-index</w:t>
        </w:r>
      </w:hyperlink>
      <w:r w:rsidRPr="009D551E">
        <w:rPr>
          <w:rFonts w:asciiTheme="majorBidi" w:hAnsiTheme="majorBidi" w:cstheme="majorBidi"/>
          <w:sz w:val="20"/>
          <w:szCs w:val="20"/>
          <w:lang w:val="en-US"/>
        </w:rPr>
        <w:t xml:space="preserve"> </w:t>
      </w:r>
    </w:p>
  </w:footnote>
  <w:footnote w:id="284">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Hoffmann, M., et al (2015), The difference conservation makes to extinction risk of the world's ungulates. Conservation Biology, 29: 1303–1313. doi:10.1111/cobi.12519</w:t>
      </w:r>
    </w:p>
  </w:footnote>
  <w:footnote w:id="285">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shd w:val="clear" w:color="auto" w:fill="FFFFFF"/>
        </w:rPr>
        <w:t>Rondinini</w:t>
      </w:r>
      <w:proofErr w:type="spellEnd"/>
      <w:r w:rsidRPr="009D551E">
        <w:rPr>
          <w:rFonts w:asciiTheme="majorBidi" w:hAnsiTheme="majorBidi" w:cstheme="majorBidi"/>
          <w:sz w:val="20"/>
          <w:szCs w:val="20"/>
          <w:shd w:val="clear" w:color="auto" w:fill="FFFFFF"/>
        </w:rPr>
        <w:t>, C., et al (2014), Update or Outdate: Long-Term Viability of the IUCN Red List. Conservation Letters, 7: 126–130. doi:10.1111/conl.12040</w:t>
      </w:r>
    </w:p>
  </w:footnote>
  <w:footnote w:id="286">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shd w:val="clear" w:color="auto" w:fill="FFFFFF"/>
        </w:rPr>
        <w:t>Hermoso</w:t>
      </w:r>
      <w:proofErr w:type="spellEnd"/>
      <w:r w:rsidRPr="009D551E">
        <w:rPr>
          <w:rFonts w:asciiTheme="majorBidi" w:hAnsiTheme="majorBidi" w:cstheme="majorBidi"/>
          <w:sz w:val="20"/>
          <w:szCs w:val="20"/>
          <w:shd w:val="clear" w:color="auto" w:fill="FFFFFF"/>
        </w:rPr>
        <w:t xml:space="preserve">, V., et al (2017), Optimal allocation of Red List assessments to guide conservation of biodiversity in a rapidly changing world. Glob Change </w:t>
      </w:r>
      <w:proofErr w:type="spellStart"/>
      <w:r w:rsidRPr="009D551E">
        <w:rPr>
          <w:rFonts w:asciiTheme="majorBidi" w:hAnsiTheme="majorBidi" w:cstheme="majorBidi"/>
          <w:sz w:val="20"/>
          <w:szCs w:val="20"/>
          <w:shd w:val="clear" w:color="auto" w:fill="FFFFFF"/>
        </w:rPr>
        <w:t>Biol</w:t>
      </w:r>
      <w:proofErr w:type="spellEnd"/>
      <w:r w:rsidRPr="009D551E">
        <w:rPr>
          <w:rFonts w:asciiTheme="majorBidi" w:hAnsiTheme="majorBidi" w:cstheme="majorBidi"/>
          <w:sz w:val="20"/>
          <w:szCs w:val="20"/>
          <w:shd w:val="clear" w:color="auto" w:fill="FFFFFF"/>
        </w:rPr>
        <w:t>, 23: 3525–3532. doi:10.1111/gcb.13651</w:t>
      </w:r>
    </w:p>
  </w:footnote>
  <w:footnote w:id="287">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Whitlock, R. et al., (2016). Consequences of in-situ strategies for the conservation of plant genetic diversity. Biological Conservation, Volume 203, pp. 134-142.</w:t>
      </w:r>
    </w:p>
  </w:footnote>
  <w:footnote w:id="288">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fr-FR"/>
        </w:rPr>
        <w:t xml:space="preserve"> Bellon, M. R., et al (2014). </w:t>
      </w:r>
      <w:r w:rsidRPr="009D551E">
        <w:rPr>
          <w:rFonts w:asciiTheme="majorBidi" w:hAnsiTheme="majorBidi" w:cstheme="majorBidi"/>
          <w:sz w:val="20"/>
          <w:szCs w:val="20"/>
        </w:rPr>
        <w:t>Conserving landr</w:t>
      </w:r>
      <w:r w:rsidR="00D473F9">
        <w:rPr>
          <w:rFonts w:asciiTheme="majorBidi" w:hAnsiTheme="majorBidi" w:cstheme="majorBidi"/>
          <w:sz w:val="20"/>
          <w:szCs w:val="20"/>
        </w:rPr>
        <w:t>aces and improving livelihoods:</w:t>
      </w:r>
      <w:r w:rsidRPr="009D551E">
        <w:rPr>
          <w:rFonts w:asciiTheme="majorBidi" w:hAnsiTheme="majorBidi" w:cstheme="majorBidi"/>
          <w:sz w:val="20"/>
          <w:szCs w:val="20"/>
        </w:rPr>
        <w:t xml:space="preserve"> International Journal of Agricultural Sustainability how to assess the success of on-farm conservation </w:t>
      </w:r>
      <w:proofErr w:type="gramStart"/>
      <w:r w:rsidRPr="009D551E">
        <w:rPr>
          <w:rFonts w:asciiTheme="majorBidi" w:hAnsiTheme="majorBidi" w:cstheme="majorBidi"/>
          <w:sz w:val="20"/>
          <w:szCs w:val="20"/>
        </w:rPr>
        <w:t>projects?,</w:t>
      </w:r>
      <w:proofErr w:type="gramEnd"/>
      <w:r w:rsidRPr="009D551E">
        <w:rPr>
          <w:rFonts w:asciiTheme="majorBidi" w:hAnsiTheme="majorBidi" w:cstheme="majorBidi"/>
          <w:sz w:val="20"/>
          <w:szCs w:val="20"/>
        </w:rPr>
        <w:t xml:space="preserve"> 13(2), p. 167–182.</w:t>
      </w:r>
    </w:p>
  </w:footnote>
  <w:footnote w:id="289">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Food and Agriculture O</w:t>
      </w:r>
      <w:r w:rsidR="00D473F9">
        <w:rPr>
          <w:rFonts w:asciiTheme="majorBidi" w:hAnsiTheme="majorBidi" w:cstheme="majorBidi"/>
          <w:sz w:val="20"/>
          <w:szCs w:val="20"/>
          <w:lang w:val="en-US"/>
        </w:rPr>
        <w:t xml:space="preserve">rganization. (2010) The Second </w:t>
      </w:r>
      <w:r w:rsidRPr="009D551E">
        <w:rPr>
          <w:rFonts w:asciiTheme="majorBidi" w:hAnsiTheme="majorBidi" w:cstheme="majorBidi"/>
          <w:sz w:val="20"/>
          <w:szCs w:val="20"/>
          <w:lang w:val="en-US"/>
        </w:rPr>
        <w:t xml:space="preserve">Report on the State of World’s Plant Genetic Resources for Food </w:t>
      </w:r>
      <w:proofErr w:type="gramStart"/>
      <w:r w:rsidRPr="009D551E">
        <w:rPr>
          <w:rFonts w:asciiTheme="majorBidi" w:hAnsiTheme="majorBidi" w:cstheme="majorBidi"/>
          <w:sz w:val="20"/>
          <w:szCs w:val="20"/>
          <w:lang w:val="en-US"/>
        </w:rPr>
        <w:t>and  Agriculture</w:t>
      </w:r>
      <w:proofErr w:type="gramEnd"/>
      <w:r w:rsidRPr="009D551E">
        <w:rPr>
          <w:rFonts w:asciiTheme="majorBidi" w:hAnsiTheme="majorBidi" w:cstheme="majorBidi"/>
          <w:sz w:val="20"/>
          <w:szCs w:val="20"/>
          <w:lang w:val="en-US"/>
        </w:rPr>
        <w:t xml:space="preserve">. Food and Agriculture Organization. Rome.  </w:t>
      </w:r>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Fonts w:asciiTheme="majorBidi" w:hAnsiTheme="majorBidi" w:cstheme="majorBidi"/>
          <w:sz w:val="20"/>
          <w:szCs w:val="20"/>
        </w:rPr>
        <w:t xml:space="preserve">Tyagi, R. K. and Agrawal, A., 2015. Revised </w:t>
      </w:r>
      <w:proofErr w:type="spellStart"/>
      <w:r w:rsidRPr="009D551E">
        <w:rPr>
          <w:rFonts w:asciiTheme="majorBidi" w:hAnsiTheme="majorBidi" w:cstheme="majorBidi"/>
          <w:sz w:val="20"/>
          <w:szCs w:val="20"/>
        </w:rPr>
        <w:t>genebank</w:t>
      </w:r>
      <w:proofErr w:type="spellEnd"/>
      <w:r w:rsidRPr="009D551E">
        <w:rPr>
          <w:rFonts w:asciiTheme="majorBidi" w:hAnsiTheme="majorBidi" w:cstheme="majorBidi"/>
          <w:sz w:val="20"/>
          <w:szCs w:val="20"/>
        </w:rPr>
        <w:t xml:space="preserve"> standards for management of plant genetic resources. Indian Journal of Agricultural Sciences, 85(2), pp. 157-165.</w:t>
      </w:r>
    </w:p>
  </w:footnote>
  <w:footnote w:id="290">
    <w:p w:rsidR="00071EBB" w:rsidRPr="009D551E" w:rsidRDefault="00071EBB" w:rsidP="009D551E">
      <w:pPr>
        <w:pStyle w:val="FootnoteText"/>
        <w:ind w:firstLine="0"/>
        <w:jc w:val="left"/>
        <w:rPr>
          <w:rFonts w:asciiTheme="majorBidi" w:eastAsia="MS Mincho" w:hAnsiTheme="majorBidi" w:cstheme="majorBidi"/>
          <w:sz w:val="20"/>
          <w:szCs w:val="20"/>
          <w:lang w:eastAsia="ja-JP"/>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eastAsia="MS Mincho" w:hAnsiTheme="majorBidi" w:cstheme="majorBidi"/>
          <w:sz w:val="20"/>
          <w:szCs w:val="20"/>
          <w:lang w:eastAsia="ja-JP"/>
        </w:rPr>
        <w:t>Godefroid</w:t>
      </w:r>
      <w:proofErr w:type="spellEnd"/>
      <w:r w:rsidRPr="009D551E">
        <w:rPr>
          <w:rFonts w:asciiTheme="majorBidi" w:eastAsia="MS Mincho" w:hAnsiTheme="majorBidi" w:cstheme="majorBidi"/>
          <w:sz w:val="20"/>
          <w:szCs w:val="20"/>
          <w:lang w:eastAsia="ja-JP"/>
        </w:rPr>
        <w:t xml:space="preserve"> et al. (2011) To what extent are threatened European plant species conserved in seed banks? </w:t>
      </w:r>
      <w:r w:rsidRPr="009D551E">
        <w:rPr>
          <w:rFonts w:asciiTheme="majorBidi" w:hAnsiTheme="majorBidi" w:cstheme="majorBidi"/>
          <w:sz w:val="20"/>
          <w:szCs w:val="20"/>
        </w:rPr>
        <w:t xml:space="preserve"> </w:t>
      </w:r>
      <w:r w:rsidRPr="009D551E">
        <w:rPr>
          <w:rFonts w:asciiTheme="majorBidi" w:eastAsia="MS Mincho" w:hAnsiTheme="majorBidi" w:cstheme="majorBidi"/>
          <w:sz w:val="20"/>
          <w:szCs w:val="20"/>
          <w:lang w:eastAsia="ja-JP"/>
        </w:rPr>
        <w:t>Biological Conservation 144(5), p.</w:t>
      </w:r>
      <w:r w:rsidRPr="009D551E">
        <w:rPr>
          <w:rFonts w:asciiTheme="majorBidi" w:hAnsiTheme="majorBidi" w:cstheme="majorBidi"/>
          <w:sz w:val="20"/>
          <w:szCs w:val="20"/>
        </w:rPr>
        <w:t xml:space="preserve"> </w:t>
      </w:r>
      <w:r w:rsidRPr="009D551E">
        <w:rPr>
          <w:rFonts w:asciiTheme="majorBidi" w:eastAsia="MS Mincho" w:hAnsiTheme="majorBidi" w:cstheme="majorBidi"/>
          <w:sz w:val="20"/>
          <w:szCs w:val="20"/>
          <w:lang w:eastAsia="ja-JP"/>
        </w:rPr>
        <w:t xml:space="preserve">1494-1498. </w:t>
      </w:r>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Fonts w:asciiTheme="majorBidi" w:hAnsiTheme="majorBidi" w:cstheme="majorBidi"/>
          <w:sz w:val="20"/>
          <w:szCs w:val="20"/>
        </w:rPr>
        <w:t>Whitlock, R. et al., 2016. Consequences of in-situ strategies for the conservation of plant genetic diversity. Biological Conservation, Volume 203, pp. 134-142.</w:t>
      </w:r>
    </w:p>
  </w:footnote>
  <w:footnote w:id="291">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Eastwood, H. (2016). Global conservation priorities for crop wild relatives. Nature Plants doi:10.1038/nplants.2016.22.</w:t>
      </w:r>
    </w:p>
  </w:footnote>
  <w:footnote w:id="292">
    <w:p w:rsidR="00071EBB" w:rsidRPr="009D551E" w:rsidRDefault="00071EBB" w:rsidP="009D551E">
      <w:pPr>
        <w:pStyle w:val="FootnoteText"/>
        <w:ind w:firstLine="0"/>
        <w:jc w:val="left"/>
        <w:rPr>
          <w:rFonts w:asciiTheme="majorBidi" w:eastAsia="MS Mincho" w:hAnsiTheme="majorBidi" w:cstheme="majorBidi"/>
          <w:sz w:val="20"/>
          <w:szCs w:val="20"/>
          <w:lang w:eastAsia="ja-JP"/>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eastAsia="MS Mincho" w:hAnsiTheme="majorBidi" w:cstheme="majorBidi"/>
          <w:sz w:val="20"/>
          <w:szCs w:val="20"/>
          <w:lang w:eastAsia="ja-JP"/>
        </w:rPr>
        <w:t xml:space="preserve">Guarino </w:t>
      </w:r>
      <w:proofErr w:type="gramStart"/>
      <w:r w:rsidRPr="009D551E">
        <w:rPr>
          <w:rFonts w:asciiTheme="majorBidi" w:eastAsia="MS Mincho" w:hAnsiTheme="majorBidi" w:cstheme="majorBidi"/>
          <w:sz w:val="20"/>
          <w:szCs w:val="20"/>
          <w:lang w:eastAsia="ja-JP"/>
        </w:rPr>
        <w:t>et al.(</w:t>
      </w:r>
      <w:proofErr w:type="gramEnd"/>
      <w:r w:rsidRPr="009D551E">
        <w:rPr>
          <w:rFonts w:asciiTheme="majorBidi" w:eastAsia="MS Mincho" w:hAnsiTheme="majorBidi" w:cstheme="majorBidi"/>
          <w:sz w:val="20"/>
          <w:szCs w:val="20"/>
          <w:lang w:eastAsia="ja-JP"/>
        </w:rPr>
        <w:t>2010) Adapting to climate change: the importance of ex situ conservation of crop genetic diversity. International conference on Food Security and Climate Change in Dry Areas. 1–4 February. Amman, Jordan.</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rPr>
        <w:t>Dempewolf</w:t>
      </w:r>
      <w:proofErr w:type="spellEnd"/>
      <w:r w:rsidRPr="009D551E">
        <w:rPr>
          <w:rFonts w:asciiTheme="majorBidi" w:hAnsiTheme="majorBidi" w:cstheme="majorBidi"/>
          <w:sz w:val="20"/>
          <w:szCs w:val="20"/>
        </w:rPr>
        <w:t>, H. et al., 2017. Past and Future Use of Wild Relatives in Crop Breeding. Crop Science, Volume 57, p. 1070–1082.</w:t>
      </w:r>
    </w:p>
  </w:footnote>
  <w:footnote w:id="293">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 xml:space="preserve">Khoury, C. K. et al., 2015. Crop wild relatives of </w:t>
      </w:r>
      <w:proofErr w:type="spellStart"/>
      <w:r w:rsidRPr="009D551E">
        <w:rPr>
          <w:rFonts w:asciiTheme="majorBidi" w:hAnsiTheme="majorBidi" w:cstheme="majorBidi"/>
          <w:sz w:val="20"/>
          <w:szCs w:val="20"/>
        </w:rPr>
        <w:t>pigeonpea</w:t>
      </w:r>
      <w:proofErr w:type="spellEnd"/>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Cajanus</w:t>
      </w:r>
      <w:proofErr w:type="spellEnd"/>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cajan</w:t>
      </w:r>
      <w:proofErr w:type="spellEnd"/>
      <w:r w:rsidRPr="009D551E">
        <w:rPr>
          <w:rFonts w:asciiTheme="majorBidi" w:hAnsiTheme="majorBidi" w:cstheme="majorBidi"/>
          <w:sz w:val="20"/>
          <w:szCs w:val="20"/>
        </w:rPr>
        <w:t xml:space="preserve"> (L.) </w:t>
      </w:r>
      <w:proofErr w:type="spellStart"/>
      <w:r w:rsidRPr="009D551E">
        <w:rPr>
          <w:rFonts w:asciiTheme="majorBidi" w:hAnsiTheme="majorBidi" w:cstheme="majorBidi"/>
          <w:sz w:val="20"/>
          <w:szCs w:val="20"/>
        </w:rPr>
        <w:t>Millsp</w:t>
      </w:r>
      <w:proofErr w:type="spellEnd"/>
      <w:r w:rsidRPr="009D551E">
        <w:rPr>
          <w:rFonts w:asciiTheme="majorBidi" w:hAnsiTheme="majorBidi" w:cstheme="majorBidi"/>
          <w:sz w:val="20"/>
          <w:szCs w:val="20"/>
        </w:rPr>
        <w:t>.]: Distributions, ex situ conservation status, and potential genetic resources for abiotic stress tolerance. Biological Conservation, Volume 184, pp. 259-270.</w:t>
      </w:r>
    </w:p>
  </w:footnote>
  <w:footnote w:id="294">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720FA7">
        <w:rPr>
          <w:rFonts w:asciiTheme="majorBidi" w:hAnsiTheme="majorBidi" w:cstheme="majorBidi"/>
          <w:sz w:val="20"/>
          <w:szCs w:val="20"/>
          <w:lang w:val="es-ES_tradnl"/>
        </w:rPr>
        <w:t xml:space="preserve"> Castaneda </w:t>
      </w:r>
      <w:proofErr w:type="spellStart"/>
      <w:r w:rsidRPr="00720FA7">
        <w:rPr>
          <w:rFonts w:asciiTheme="majorBidi" w:hAnsiTheme="majorBidi" w:cstheme="majorBidi"/>
          <w:sz w:val="20"/>
          <w:szCs w:val="20"/>
          <w:lang w:val="es-ES_tradnl"/>
        </w:rPr>
        <w:t>Alzarez</w:t>
      </w:r>
      <w:proofErr w:type="spellEnd"/>
      <w:r w:rsidRPr="00720FA7">
        <w:rPr>
          <w:rFonts w:asciiTheme="majorBidi" w:hAnsiTheme="majorBidi" w:cstheme="majorBidi"/>
          <w:sz w:val="20"/>
          <w:szCs w:val="20"/>
          <w:lang w:val="es-ES_tradnl"/>
        </w:rPr>
        <w:t xml:space="preserve">, N. P. et al., 2015. </w:t>
      </w:r>
      <w:r w:rsidRPr="009D551E">
        <w:rPr>
          <w:rFonts w:asciiTheme="majorBidi" w:hAnsiTheme="majorBidi" w:cstheme="majorBidi"/>
          <w:sz w:val="20"/>
          <w:szCs w:val="20"/>
        </w:rPr>
        <w:t xml:space="preserve">Ex Situ Conservation Priorities for the Wild Relatives of Potato (Solanum L. Section </w:t>
      </w:r>
      <w:proofErr w:type="spellStart"/>
      <w:r w:rsidRPr="009D551E">
        <w:rPr>
          <w:rFonts w:asciiTheme="majorBidi" w:hAnsiTheme="majorBidi" w:cstheme="majorBidi"/>
          <w:sz w:val="20"/>
          <w:szCs w:val="20"/>
        </w:rPr>
        <w:t>Petota</w:t>
      </w:r>
      <w:proofErr w:type="spellEnd"/>
      <w:r w:rsidRPr="009D551E">
        <w:rPr>
          <w:rFonts w:asciiTheme="majorBidi" w:hAnsiTheme="majorBidi" w:cstheme="majorBidi"/>
          <w:sz w:val="20"/>
          <w:szCs w:val="20"/>
        </w:rPr>
        <w:t>). PLOS One. 10(8): e0135152.</w:t>
      </w:r>
    </w:p>
  </w:footnote>
  <w:footnote w:id="295">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Syfert</w:t>
      </w:r>
      <w:proofErr w:type="spellEnd"/>
      <w:r w:rsidRPr="009D551E">
        <w:rPr>
          <w:rFonts w:asciiTheme="majorBidi" w:hAnsiTheme="majorBidi" w:cstheme="majorBidi"/>
          <w:sz w:val="20"/>
          <w:szCs w:val="20"/>
          <w:lang w:val="en-US"/>
        </w:rPr>
        <w:t xml:space="preserve">, M. M. et al., 2016. </w:t>
      </w:r>
      <w:r w:rsidRPr="009D551E">
        <w:rPr>
          <w:rFonts w:asciiTheme="majorBidi" w:hAnsiTheme="majorBidi" w:cstheme="majorBidi"/>
          <w:sz w:val="20"/>
          <w:szCs w:val="20"/>
        </w:rPr>
        <w:t xml:space="preserve">Crop wild relatives of the brinjal eggplant </w:t>
      </w:r>
      <w:proofErr w:type="gramStart"/>
      <w:r w:rsidRPr="009D551E">
        <w:rPr>
          <w:rFonts w:asciiTheme="majorBidi" w:hAnsiTheme="majorBidi" w:cstheme="majorBidi"/>
          <w:sz w:val="20"/>
          <w:szCs w:val="20"/>
        </w:rPr>
        <w:t>( Solanum</w:t>
      </w:r>
      <w:proofErr w:type="gramEnd"/>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melongena</w:t>
      </w:r>
      <w:proofErr w:type="spellEnd"/>
      <w:r w:rsidRPr="009D551E">
        <w:rPr>
          <w:rFonts w:asciiTheme="majorBidi" w:hAnsiTheme="majorBidi" w:cstheme="majorBidi"/>
          <w:sz w:val="20"/>
          <w:szCs w:val="20"/>
        </w:rPr>
        <w:t xml:space="preserve"> ): Poorly represented in </w:t>
      </w:r>
      <w:proofErr w:type="spellStart"/>
      <w:r w:rsidRPr="009D551E">
        <w:rPr>
          <w:rFonts w:asciiTheme="majorBidi" w:hAnsiTheme="majorBidi" w:cstheme="majorBidi"/>
          <w:sz w:val="20"/>
          <w:szCs w:val="20"/>
        </w:rPr>
        <w:t>genebanks</w:t>
      </w:r>
      <w:proofErr w:type="spellEnd"/>
      <w:r w:rsidRPr="009D551E">
        <w:rPr>
          <w:rFonts w:asciiTheme="majorBidi" w:hAnsiTheme="majorBidi" w:cstheme="majorBidi"/>
          <w:sz w:val="20"/>
          <w:szCs w:val="20"/>
        </w:rPr>
        <w:t xml:space="preserve"> and many species at risk of extinction. American </w:t>
      </w:r>
      <w:proofErr w:type="spellStart"/>
      <w:r w:rsidRPr="009D551E">
        <w:rPr>
          <w:rFonts w:asciiTheme="majorBidi" w:hAnsiTheme="majorBidi" w:cstheme="majorBidi"/>
          <w:sz w:val="20"/>
          <w:szCs w:val="20"/>
        </w:rPr>
        <w:t>Jounral</w:t>
      </w:r>
      <w:proofErr w:type="spellEnd"/>
      <w:r w:rsidRPr="009D551E">
        <w:rPr>
          <w:rFonts w:asciiTheme="majorBidi" w:hAnsiTheme="majorBidi" w:cstheme="majorBidi"/>
          <w:sz w:val="20"/>
          <w:szCs w:val="20"/>
        </w:rPr>
        <w:t xml:space="preserve"> of Botany, 103(4), pp. 635-651.</w:t>
      </w:r>
    </w:p>
  </w:footnote>
  <w:footnote w:id="296">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Edwards, C. E., 2017. Strengthening the Link between International Conservation Policy and Plant Conservation Genetics to Achieve More Effective Plant Conservation. Annals of the Missouri Botanical Garden, 102(2), pp. 397-407.</w:t>
      </w:r>
    </w:p>
  </w:footnote>
  <w:footnote w:id="297">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 xml:space="preserve">Maxted, N. et al., (2015). ECPGR Concept for in situ conservation of crop wild relatives in Europe, </w:t>
      </w:r>
      <w:proofErr w:type="spellStart"/>
      <w:r w:rsidRPr="009D551E">
        <w:rPr>
          <w:rFonts w:asciiTheme="majorBidi" w:hAnsiTheme="majorBidi" w:cstheme="majorBidi"/>
          <w:sz w:val="20"/>
          <w:szCs w:val="20"/>
        </w:rPr>
        <w:t>s.l.</w:t>
      </w:r>
      <w:proofErr w:type="spellEnd"/>
      <w:r w:rsidRPr="009D551E">
        <w:rPr>
          <w:rFonts w:asciiTheme="majorBidi" w:hAnsiTheme="majorBidi" w:cstheme="majorBidi"/>
          <w:sz w:val="20"/>
          <w:szCs w:val="20"/>
        </w:rPr>
        <w:t>: European Cooperative Programme for Plant Genetic Resources.</w:t>
      </w:r>
    </w:p>
  </w:footnote>
  <w:footnote w:id="298">
    <w:p w:rsidR="00071EBB" w:rsidRPr="009D551E" w:rsidRDefault="00071EBB" w:rsidP="009D551E">
      <w:pPr>
        <w:pStyle w:val="FootnoteText"/>
        <w:ind w:firstLine="0"/>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Brozynska</w:t>
      </w:r>
      <w:proofErr w:type="spellEnd"/>
      <w:r w:rsidRPr="009D551E">
        <w:rPr>
          <w:rFonts w:asciiTheme="majorBidi" w:hAnsiTheme="majorBidi" w:cstheme="majorBidi"/>
          <w:sz w:val="20"/>
          <w:szCs w:val="20"/>
        </w:rPr>
        <w:t xml:space="preserve">, M., et al (2016). Genomics of crop wild relatives: expanding the gene pool for crop improvement. Plant Biotechnology Survey, Volume 14, p. 1070–1085. </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rPr>
        <w:t>Dempewolf</w:t>
      </w:r>
      <w:proofErr w:type="spellEnd"/>
      <w:r w:rsidRPr="009D551E">
        <w:rPr>
          <w:rFonts w:asciiTheme="majorBidi" w:hAnsiTheme="majorBidi" w:cstheme="majorBidi"/>
          <w:sz w:val="20"/>
          <w:szCs w:val="20"/>
        </w:rPr>
        <w:t>, H. et al., (2017). Past and Future Use of Wild Relatives in Crop Breeding. Crop Science, Volume 57, p. 1070–1082.</w:t>
      </w:r>
    </w:p>
  </w:footnote>
  <w:footnote w:id="299">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Abberton</w:t>
      </w:r>
      <w:proofErr w:type="spellEnd"/>
      <w:r w:rsidRPr="009D551E">
        <w:rPr>
          <w:rFonts w:asciiTheme="majorBidi" w:hAnsiTheme="majorBidi" w:cstheme="majorBidi"/>
          <w:sz w:val="20"/>
          <w:szCs w:val="20"/>
        </w:rPr>
        <w:t>, M. et al., (2016). Global agricultural intensification during climate change: a role for genomics. Plant Biology Journal, Volume 14, p. 1095–1098.</w:t>
      </w:r>
    </w:p>
  </w:footnote>
  <w:footnote w:id="300">
    <w:p w:rsidR="00071EBB" w:rsidRPr="009D551E" w:rsidRDefault="00071EBB" w:rsidP="009D551E">
      <w:pPr>
        <w:pStyle w:val="FootnoteText"/>
        <w:ind w:firstLine="0"/>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Henry, R. J., (2014). Sequencing of wild crop relatives to support the conservation and utilization of plant genetic resources. Plant Genetic Resources, Volume 12, p. S9–S11. </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rPr>
        <w:t>Govindaraj</w:t>
      </w:r>
      <w:proofErr w:type="spellEnd"/>
      <w:r w:rsidRPr="009D551E">
        <w:rPr>
          <w:rFonts w:asciiTheme="majorBidi" w:hAnsiTheme="majorBidi" w:cstheme="majorBidi"/>
          <w:sz w:val="20"/>
          <w:szCs w:val="20"/>
        </w:rPr>
        <w:t xml:space="preserve">, M., et al (2015). Importance of Genetic Diversity Assessment in Crop Plants and Its Recent Advances: An Overview of Its Analytical Perspectives. Genetics Research International. Volume 2015, 431487, </w:t>
      </w:r>
    </w:p>
  </w:footnote>
  <w:footnote w:id="301">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Biscarini</w:t>
      </w:r>
      <w:proofErr w:type="spellEnd"/>
      <w:r w:rsidRPr="009D551E">
        <w:rPr>
          <w:rFonts w:asciiTheme="majorBidi" w:hAnsiTheme="majorBidi" w:cstheme="majorBidi"/>
          <w:sz w:val="20"/>
          <w:szCs w:val="20"/>
        </w:rPr>
        <w:t>, F. et al., 2015. Challenges and opportunities in genetic improvement of local livestock breeds. Frontiers in Genetics, Volume 6.</w:t>
      </w:r>
    </w:p>
  </w:footnote>
  <w:footnote w:id="302">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Leroy, G. et al., 2017. Stakeholder involvement and the management of animal genetic resources across the world. Livestock Science, Volume 198, pp. 120-128.</w:t>
      </w:r>
    </w:p>
  </w:footnote>
  <w:footnote w:id="303">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fr-FR"/>
        </w:rPr>
        <w:t xml:space="preserve"> </w:t>
      </w:r>
      <w:proofErr w:type="spellStart"/>
      <w:r w:rsidRPr="00E7198A">
        <w:rPr>
          <w:rFonts w:asciiTheme="majorBidi" w:hAnsiTheme="majorBidi" w:cstheme="majorBidi"/>
          <w:sz w:val="20"/>
          <w:szCs w:val="20"/>
          <w:lang w:val="fr-FR"/>
        </w:rPr>
        <w:t>Rezende</w:t>
      </w:r>
      <w:proofErr w:type="spellEnd"/>
      <w:r w:rsidRPr="00E7198A">
        <w:rPr>
          <w:rFonts w:asciiTheme="majorBidi" w:hAnsiTheme="majorBidi" w:cstheme="majorBidi"/>
          <w:sz w:val="20"/>
          <w:szCs w:val="20"/>
          <w:lang w:val="fr-FR"/>
        </w:rPr>
        <w:t xml:space="preserve"> Paiva, S., et al (2016). </w:t>
      </w:r>
      <w:r w:rsidRPr="009D551E">
        <w:rPr>
          <w:rFonts w:asciiTheme="majorBidi" w:hAnsiTheme="majorBidi" w:cstheme="majorBidi"/>
          <w:sz w:val="20"/>
          <w:szCs w:val="20"/>
        </w:rPr>
        <w:t>Conservation of animal genetic resources – A new tact. Livestock Science, Volume 193, pp. 32-38.</w:t>
      </w:r>
    </w:p>
  </w:footnote>
  <w:footnote w:id="304">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Mwai</w:t>
      </w:r>
      <w:proofErr w:type="spellEnd"/>
      <w:r w:rsidRPr="009D551E">
        <w:rPr>
          <w:rFonts w:asciiTheme="majorBidi" w:hAnsiTheme="majorBidi" w:cstheme="majorBidi"/>
          <w:sz w:val="20"/>
          <w:szCs w:val="20"/>
        </w:rPr>
        <w:t>, O., et al (2015). African Indigenous Cattle: Unique Genetic Resources in a Rapidly Changing World. Asian-Australasian Journal of Animal Sciences, 28(7), pp. 911-921.</w:t>
      </w:r>
    </w:p>
  </w:footnote>
  <w:footnote w:id="305">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Kim, J. et al., (2017). The genome landscape of indigenous African cattle. Genome Biology, 18(34).</w:t>
      </w:r>
    </w:p>
  </w:footnote>
  <w:footnote w:id="306">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Al-</w:t>
      </w:r>
      <w:proofErr w:type="spellStart"/>
      <w:r w:rsidRPr="009D551E">
        <w:rPr>
          <w:rFonts w:asciiTheme="majorBidi" w:hAnsiTheme="majorBidi" w:cstheme="majorBidi"/>
          <w:sz w:val="20"/>
          <w:szCs w:val="20"/>
          <w:lang w:val="en-US"/>
        </w:rPr>
        <w:t>Qamashoui</w:t>
      </w:r>
      <w:proofErr w:type="spellEnd"/>
      <w:r w:rsidRPr="009D551E">
        <w:rPr>
          <w:rFonts w:asciiTheme="majorBidi" w:hAnsiTheme="majorBidi" w:cstheme="majorBidi"/>
          <w:sz w:val="20"/>
          <w:szCs w:val="20"/>
          <w:lang w:val="en-US"/>
        </w:rPr>
        <w:t xml:space="preserve">, B., et al (2014). </w:t>
      </w:r>
      <w:r w:rsidRPr="009D551E">
        <w:rPr>
          <w:rFonts w:asciiTheme="majorBidi" w:hAnsiTheme="majorBidi" w:cstheme="majorBidi"/>
          <w:sz w:val="20"/>
          <w:szCs w:val="20"/>
        </w:rPr>
        <w:t>Assessment of genetic diversity and conservation priority of Omani local chickens using microsatellite markers. Tropical Animal Health and Production, 46(5), pp. 747-752.</w:t>
      </w:r>
    </w:p>
  </w:footnote>
  <w:footnote w:id="307">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fr-FR"/>
        </w:rPr>
        <w:t xml:space="preserve"> </w:t>
      </w:r>
      <w:proofErr w:type="spellStart"/>
      <w:r w:rsidRPr="00E7198A">
        <w:rPr>
          <w:rFonts w:asciiTheme="majorBidi" w:hAnsiTheme="majorBidi" w:cstheme="majorBidi"/>
          <w:sz w:val="20"/>
          <w:szCs w:val="20"/>
          <w:lang w:val="fr-FR"/>
        </w:rPr>
        <w:t>Lyimo</w:t>
      </w:r>
      <w:proofErr w:type="spellEnd"/>
      <w:r w:rsidRPr="00E7198A">
        <w:rPr>
          <w:rFonts w:asciiTheme="majorBidi" w:hAnsiTheme="majorBidi" w:cstheme="majorBidi"/>
          <w:sz w:val="20"/>
          <w:szCs w:val="20"/>
          <w:lang w:val="fr-FR"/>
        </w:rPr>
        <w:t xml:space="preserve">, C. M. et al., (2014). </w:t>
      </w:r>
      <w:r w:rsidRPr="009D551E">
        <w:rPr>
          <w:rFonts w:asciiTheme="majorBidi" w:hAnsiTheme="majorBidi" w:cstheme="majorBidi"/>
          <w:sz w:val="20"/>
          <w:szCs w:val="20"/>
        </w:rPr>
        <w:t>Global diversity and genetic contributions of chicken populations from African, Asian and European regions. Animal Genetics, 45(6), pp. 836-848.</w:t>
      </w:r>
    </w:p>
  </w:footnote>
  <w:footnote w:id="308">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Periasamy</w:t>
      </w:r>
      <w:proofErr w:type="spellEnd"/>
      <w:r w:rsidRPr="009D551E">
        <w:rPr>
          <w:rFonts w:asciiTheme="majorBidi" w:hAnsiTheme="majorBidi" w:cstheme="majorBidi"/>
          <w:sz w:val="20"/>
          <w:szCs w:val="20"/>
        </w:rPr>
        <w:t>, K. et al., (2017). Mapping molecular diversity of indigenous goat genetic resources of Asia. Small Ruminant Research, Volume 148, pp. 2-10.</w:t>
      </w:r>
    </w:p>
  </w:footnote>
  <w:footnote w:id="309">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rPr>
        <w:t>Cloete, S., et al (2014). The adaption of the South Africa sheep industry to new trends in animal breeding and genetics: A review. South African Journal of Animal Science, 44(2), pp. 307-321.</w:t>
      </w:r>
    </w:p>
  </w:footnote>
  <w:footnote w:id="310">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Ciani</w:t>
      </w:r>
      <w:proofErr w:type="spellEnd"/>
      <w:r w:rsidRPr="009D551E">
        <w:rPr>
          <w:rFonts w:asciiTheme="majorBidi" w:hAnsiTheme="majorBidi" w:cstheme="majorBidi"/>
          <w:sz w:val="20"/>
          <w:szCs w:val="20"/>
        </w:rPr>
        <w:t>, E. et al., (2014). Genome-wide analysis of Italian sheep diversity reveals a strong geographic pattern and cryptic relationships between breeds. Animals Genetics, 45(2), pp. 256-266.</w:t>
      </w:r>
    </w:p>
  </w:footnote>
  <w:footnote w:id="311">
    <w:p w:rsidR="00071EBB" w:rsidRPr="009D551E" w:rsidRDefault="00071EBB" w:rsidP="009D551E">
      <w:pPr>
        <w:pStyle w:val="FootnoteText"/>
        <w:ind w:firstLine="0"/>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fr-FR"/>
        </w:rPr>
        <w:t xml:space="preserve"> </w:t>
      </w:r>
      <w:proofErr w:type="spellStart"/>
      <w:r w:rsidRPr="00E7198A">
        <w:rPr>
          <w:rFonts w:asciiTheme="majorBidi" w:hAnsiTheme="majorBidi" w:cstheme="majorBidi"/>
          <w:sz w:val="20"/>
          <w:szCs w:val="20"/>
          <w:lang w:val="fr-FR"/>
        </w:rPr>
        <w:t>Bruford</w:t>
      </w:r>
      <w:proofErr w:type="spellEnd"/>
      <w:r w:rsidRPr="00E7198A">
        <w:rPr>
          <w:rFonts w:asciiTheme="majorBidi" w:hAnsiTheme="majorBidi" w:cstheme="majorBidi"/>
          <w:sz w:val="20"/>
          <w:szCs w:val="20"/>
          <w:lang w:val="fr-FR"/>
        </w:rPr>
        <w:t xml:space="preserve">, M. W. et al., (2015). </w:t>
      </w:r>
      <w:r w:rsidRPr="009D551E">
        <w:rPr>
          <w:rFonts w:asciiTheme="majorBidi" w:hAnsiTheme="majorBidi" w:cstheme="majorBidi"/>
          <w:sz w:val="20"/>
          <w:szCs w:val="20"/>
        </w:rPr>
        <w:t xml:space="preserve">Prospects and challenges for the conservation of farm animal genomic resources, 2015-2025. Frontiers in Genetics, Volume 6. </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rPr>
        <w:t>Mwai</w:t>
      </w:r>
      <w:proofErr w:type="spellEnd"/>
      <w:r w:rsidRPr="009D551E">
        <w:rPr>
          <w:rFonts w:asciiTheme="majorBidi" w:hAnsiTheme="majorBidi" w:cstheme="majorBidi"/>
          <w:sz w:val="20"/>
          <w:szCs w:val="20"/>
        </w:rPr>
        <w:t>, O., et al (2015). African Indigenous Cattle: Unique Genetic Resources in a Rapidly Changing World. Asian-Australasian Journal of Animal Sciences, 28(7), pp. 911-921.</w:t>
      </w:r>
    </w:p>
  </w:footnote>
  <w:footnote w:id="312">
    <w:p w:rsidR="00071EBB" w:rsidRPr="009D551E" w:rsidRDefault="00071EBB" w:rsidP="009D551E">
      <w:pPr>
        <w:pStyle w:val="FootnoteText"/>
        <w:ind w:firstLine="0"/>
        <w:jc w:val="left"/>
        <w:rPr>
          <w:rFonts w:asciiTheme="majorBidi" w:hAnsiTheme="majorBidi" w:cstheme="majorBidi"/>
          <w:sz w:val="20"/>
          <w:szCs w:val="20"/>
        </w:rPr>
      </w:pPr>
      <w:r w:rsidRPr="009D551E">
        <w:rPr>
          <w:rFonts w:asciiTheme="majorBidi" w:hAnsiTheme="majorBidi" w:cstheme="majorBidi"/>
          <w:sz w:val="20"/>
          <w:szCs w:val="20"/>
        </w:rPr>
        <w:t xml:space="preserve"> </w:t>
      </w: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Food and Agriculture Organization of the United Nations. SDG Indicator 2.5.1 - Conservation of genetic resources for food and agriculture. </w:t>
      </w:r>
      <w:hyperlink r:id="rId31" w:history="1">
        <w:r w:rsidRPr="009D551E">
          <w:rPr>
            <w:rStyle w:val="Hyperlink"/>
            <w:rFonts w:asciiTheme="majorBidi" w:hAnsiTheme="majorBidi" w:cstheme="majorBidi"/>
            <w:sz w:val="20"/>
            <w:szCs w:val="20"/>
          </w:rPr>
          <w:t>http://www.fao.org/sustainable-development-goals/indicators/2.5.1/en/</w:t>
        </w:r>
      </w:hyperlink>
    </w:p>
  </w:footnote>
  <w:footnote w:id="313">
    <w:p w:rsidR="00071EBB" w:rsidRPr="009D551E" w:rsidRDefault="00071EBB" w:rsidP="009D551E">
      <w:pPr>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IUCN Red List Index </w:t>
      </w:r>
      <w:hyperlink r:id="rId32" w:history="1">
        <w:r w:rsidRPr="009D551E">
          <w:rPr>
            <w:rStyle w:val="Hyperlink"/>
            <w:rFonts w:asciiTheme="majorBidi" w:hAnsiTheme="majorBidi" w:cstheme="majorBidi"/>
            <w:sz w:val="20"/>
            <w:szCs w:val="20"/>
          </w:rPr>
          <w:t>http://www.iucnredlist.org/about/publication/red-list-index</w:t>
        </w:r>
      </w:hyperlink>
      <w:r w:rsidRPr="009D551E">
        <w:rPr>
          <w:rFonts w:asciiTheme="majorBidi" w:hAnsiTheme="majorBidi" w:cstheme="majorBidi"/>
          <w:sz w:val="20"/>
          <w:szCs w:val="20"/>
        </w:rPr>
        <w:t xml:space="preserve"> </w:t>
      </w:r>
    </w:p>
  </w:footnote>
  <w:footnote w:id="314">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fr-BE"/>
        </w:rPr>
        <w:t xml:space="preserve"> </w:t>
      </w:r>
      <w:proofErr w:type="spellStart"/>
      <w:r w:rsidRPr="009D551E">
        <w:rPr>
          <w:rFonts w:asciiTheme="majorBidi" w:hAnsiTheme="majorBidi" w:cstheme="majorBidi"/>
          <w:sz w:val="20"/>
          <w:szCs w:val="20"/>
          <w:lang w:val="fr-BE"/>
        </w:rPr>
        <w:t>Belew</w:t>
      </w:r>
      <w:proofErr w:type="spellEnd"/>
      <w:r w:rsidRPr="009D551E">
        <w:rPr>
          <w:rFonts w:asciiTheme="majorBidi" w:hAnsiTheme="majorBidi" w:cstheme="majorBidi"/>
          <w:sz w:val="20"/>
          <w:szCs w:val="20"/>
          <w:lang w:val="fr-BE"/>
        </w:rPr>
        <w:t xml:space="preserve">, A. K., et al (2016). </w:t>
      </w:r>
      <w:r w:rsidRPr="009D551E">
        <w:rPr>
          <w:rFonts w:asciiTheme="majorBidi" w:hAnsiTheme="majorBidi" w:cstheme="majorBidi"/>
          <w:sz w:val="20"/>
          <w:szCs w:val="20"/>
        </w:rPr>
        <w:t>The State of Conservation of Animal Genetic Resources in Developing Countries: A Review. International Journal of Pharma Medicine and Biological Sciences, 5(1), pp. 58-66.</w:t>
      </w:r>
    </w:p>
  </w:footnote>
  <w:footnote w:id="315">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Scherf</w:t>
      </w:r>
      <w:proofErr w:type="spellEnd"/>
      <w:r w:rsidRPr="009D551E">
        <w:rPr>
          <w:rFonts w:asciiTheme="majorBidi" w:hAnsiTheme="majorBidi" w:cstheme="majorBidi"/>
          <w:sz w:val="20"/>
          <w:szCs w:val="20"/>
        </w:rPr>
        <w:t>, B. and Baumung, R., (2015). Monitoring the implementation of the Global Plan of Action for Animal Genetic Resources. Biodiversity, 16(2-3), pp. 149-156.</w:t>
      </w:r>
    </w:p>
  </w:footnote>
  <w:footnote w:id="316">
    <w:p w:rsidR="00071EBB" w:rsidRPr="009D551E" w:rsidRDefault="00071EBB" w:rsidP="009D551E">
      <w:pPr>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fr-FR"/>
        </w:rPr>
        <w:t xml:space="preserve"> Shepherd, E.J. et al. </w:t>
      </w:r>
      <w:r w:rsidRPr="009D551E">
        <w:rPr>
          <w:rFonts w:asciiTheme="majorBidi" w:hAnsiTheme="majorBidi" w:cstheme="majorBidi"/>
          <w:sz w:val="20"/>
          <w:szCs w:val="20"/>
        </w:rPr>
        <w:t>(2016). Status and Trends in Global Ecosystem Services and Natural Capital: Assessing Progress Toward Aichi Biodiversity Target 14. Conservation Letters, November/December 2016, 9(6), 429–437.</w:t>
      </w:r>
    </w:p>
  </w:footnote>
  <w:footnote w:id="317">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fr-FR"/>
        </w:rPr>
        <w:t xml:space="preserve"> Halpern, B. S. et al. </w:t>
      </w:r>
      <w:r w:rsidRPr="009D551E">
        <w:rPr>
          <w:rFonts w:asciiTheme="majorBidi" w:hAnsiTheme="majorBidi" w:cstheme="majorBidi"/>
          <w:sz w:val="20"/>
          <w:szCs w:val="20"/>
          <w:lang w:val="en-US"/>
        </w:rPr>
        <w:t xml:space="preserve">(2015) </w:t>
      </w:r>
      <w:r w:rsidRPr="009D551E">
        <w:rPr>
          <w:rFonts w:asciiTheme="majorBidi" w:hAnsiTheme="majorBidi" w:cstheme="majorBidi"/>
          <w:sz w:val="20"/>
          <w:szCs w:val="20"/>
        </w:rPr>
        <w:t xml:space="preserve">Spatial and temporal changes in cumulative human impacts on the world’s ocean. Nature Communications. 6:7615 </w:t>
      </w:r>
      <w:proofErr w:type="spellStart"/>
      <w:r w:rsidRPr="009D551E">
        <w:rPr>
          <w:rFonts w:asciiTheme="majorBidi" w:hAnsiTheme="majorBidi" w:cstheme="majorBidi"/>
          <w:sz w:val="20"/>
          <w:szCs w:val="20"/>
        </w:rPr>
        <w:t>doi</w:t>
      </w:r>
      <w:proofErr w:type="spellEnd"/>
      <w:r w:rsidRPr="009D551E">
        <w:rPr>
          <w:rFonts w:asciiTheme="majorBidi" w:hAnsiTheme="majorBidi" w:cstheme="majorBidi"/>
          <w:sz w:val="20"/>
          <w:szCs w:val="20"/>
        </w:rPr>
        <w:t>: 10.1038/ncomms8615.</w:t>
      </w:r>
      <w:r w:rsidRPr="009D551E">
        <w:rPr>
          <w:rFonts w:asciiTheme="majorBidi" w:hAnsiTheme="majorBidi" w:cstheme="majorBidi"/>
          <w:snapToGrid w:val="0"/>
          <w:sz w:val="20"/>
          <w:szCs w:val="20"/>
        </w:rPr>
        <w:t xml:space="preserve"> </w:t>
      </w:r>
    </w:p>
  </w:footnote>
  <w:footnote w:id="318">
    <w:p w:rsidR="00071EBB" w:rsidRPr="009D551E" w:rsidRDefault="00071EBB" w:rsidP="009D551E">
      <w:pPr>
        <w:jc w:val="left"/>
        <w:rPr>
          <w:rFonts w:asciiTheme="majorBidi" w:hAnsiTheme="majorBidi" w:cstheme="majorBidi"/>
          <w:sz w:val="20"/>
          <w:szCs w:val="20"/>
          <w:shd w:val="clear" w:color="auto" w:fill="FFFFFF"/>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shd w:val="clear" w:color="auto" w:fill="FFFFFF"/>
        </w:rPr>
        <w:t>Liquete</w:t>
      </w:r>
      <w:proofErr w:type="spellEnd"/>
      <w:r w:rsidRPr="009D551E">
        <w:rPr>
          <w:rFonts w:asciiTheme="majorBidi" w:hAnsiTheme="majorBidi" w:cstheme="majorBidi"/>
          <w:sz w:val="20"/>
          <w:szCs w:val="20"/>
          <w:shd w:val="clear" w:color="auto" w:fill="FFFFFF"/>
        </w:rPr>
        <w:t>, C. et al (2016). Ecosystem services sustainability in the Mediterranean Sea: Assessment of status and trends using multiple modelling approaches. Scientific Reports 6, 34162.</w:t>
      </w:r>
    </w:p>
  </w:footnote>
  <w:footnote w:id="319">
    <w:p w:rsidR="00071EBB" w:rsidRPr="009D551E" w:rsidRDefault="00071EBB" w:rsidP="009D551E">
      <w:pPr>
        <w:jc w:val="left"/>
        <w:rPr>
          <w:rFonts w:asciiTheme="majorBidi" w:hAnsiTheme="majorBidi" w:cstheme="majorBidi"/>
          <w:sz w:val="20"/>
          <w:szCs w:val="20"/>
          <w:shd w:val="clear" w:color="auto" w:fill="FFFFFF"/>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lang w:val="en-US"/>
        </w:rPr>
        <w:t xml:space="preserve">Galbraith, E.D. et al (2017). </w:t>
      </w:r>
      <w:r w:rsidRPr="009D551E">
        <w:rPr>
          <w:rFonts w:asciiTheme="majorBidi" w:hAnsiTheme="majorBidi" w:cstheme="majorBidi"/>
          <w:sz w:val="20"/>
          <w:szCs w:val="20"/>
          <w:shd w:val="clear" w:color="auto" w:fill="FFFFFF"/>
        </w:rPr>
        <w:t>A coupled human-Earth model perspective on long-term trends in the global marine fishery. Nature Communications 8, 14884.</w:t>
      </w:r>
    </w:p>
  </w:footnote>
  <w:footnote w:id="320">
    <w:p w:rsidR="00071EBB" w:rsidRPr="009D551E" w:rsidRDefault="00071EBB" w:rsidP="009D551E">
      <w:pPr>
        <w:jc w:val="left"/>
        <w:rPr>
          <w:rFonts w:asciiTheme="majorBidi" w:hAnsiTheme="majorBidi" w:cstheme="majorBidi"/>
          <w:sz w:val="20"/>
          <w:szCs w:val="20"/>
          <w:shd w:val="clear" w:color="auto" w:fill="FFFFFF"/>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Aziz, A. et al. (2015). Investigating the decline of ecosystem services in a production mangrove forest using Landsat and object-based image analysis. Estuarine, Coastal and Shelf Science 164, 353-366.</w:t>
      </w:r>
    </w:p>
  </w:footnote>
  <w:footnote w:id="321">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Green, P. A., (2015). Freshwater ecosystem services supporting humans: Pivoting from water crisis to water solutions. Global Environmental Change 34, 108-118. </w:t>
      </w:r>
    </w:p>
  </w:footnote>
  <w:footnote w:id="322">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Harrison, I.J. (2016). Protected areas and freshwater provisioning: a global assessment of freshwater provision, threats and management strategies to support human water security. Aquatic Conservation: Marine and Freshwater Ecosystems 26, 103-120. </w:t>
      </w:r>
    </w:p>
  </w:footnote>
  <w:footnote w:id="323">
    <w:p w:rsidR="00071EBB" w:rsidRPr="009D551E" w:rsidRDefault="00071EBB" w:rsidP="009D551E">
      <w:pPr>
        <w:jc w:val="left"/>
        <w:rPr>
          <w:rFonts w:asciiTheme="majorBidi" w:hAnsiTheme="majorBidi" w:cstheme="majorBidi"/>
          <w:sz w:val="20"/>
          <w:szCs w:val="20"/>
          <w:shd w:val="clear" w:color="auto" w:fill="FFFFFF"/>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Bamford, A et al. (2017). Profound and pervasive degradation of Madagascar’s freshwater wetlands and links with biodiversity. </w:t>
      </w:r>
      <w:proofErr w:type="spellStart"/>
      <w:r w:rsidRPr="009D551E">
        <w:rPr>
          <w:rFonts w:asciiTheme="majorBidi" w:hAnsiTheme="majorBidi" w:cstheme="majorBidi"/>
          <w:sz w:val="20"/>
          <w:szCs w:val="20"/>
          <w:shd w:val="clear" w:color="auto" w:fill="FFFFFF"/>
        </w:rPr>
        <w:t>Plos</w:t>
      </w:r>
      <w:proofErr w:type="spellEnd"/>
      <w:r w:rsidRPr="009D551E">
        <w:rPr>
          <w:rFonts w:asciiTheme="majorBidi" w:hAnsiTheme="majorBidi" w:cstheme="majorBidi"/>
          <w:sz w:val="20"/>
          <w:szCs w:val="20"/>
          <w:shd w:val="clear" w:color="auto" w:fill="FFFFFF"/>
        </w:rPr>
        <w:t xml:space="preserve"> ONE 12, no. 8: 1-15. </w:t>
      </w:r>
    </w:p>
  </w:footnote>
  <w:footnote w:id="324">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Rojas, R. V., et al (2016). </w:t>
      </w:r>
      <w:r w:rsidRPr="009D551E">
        <w:rPr>
          <w:rFonts w:asciiTheme="majorBidi" w:hAnsiTheme="majorBidi" w:cstheme="majorBidi"/>
          <w:sz w:val="20"/>
          <w:szCs w:val="20"/>
        </w:rPr>
        <w:t>Healthy soils, a prerequisite for sustainable food security. Environ. Earth Sci. 75:108.</w:t>
      </w:r>
    </w:p>
  </w:footnote>
  <w:footnote w:id="325">
    <w:p w:rsidR="00071EBB" w:rsidRPr="009D551E" w:rsidRDefault="00071EBB" w:rsidP="009D551E">
      <w:pPr>
        <w:pStyle w:val="FootnoteText"/>
        <w:ind w:firstLine="0"/>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z w:val="20"/>
          <w:szCs w:val="20"/>
          <w:shd w:val="clear" w:color="auto" w:fill="FFFFFF"/>
        </w:rPr>
        <w:t>European Environment Agency. (2015). The European Environment State and Outlook 2015.</w:t>
      </w:r>
    </w:p>
  </w:footnote>
  <w:footnote w:id="326">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Isbell, F. (2017). High plant diversity is needed to maintain ecosystem services. Nature 477, 199-202. </w:t>
      </w:r>
    </w:p>
  </w:footnote>
  <w:footnote w:id="327">
    <w:p w:rsidR="00071EBB" w:rsidRPr="009D551E" w:rsidRDefault="00071EBB" w:rsidP="009D551E">
      <w:pPr>
        <w:pStyle w:val="FootnoteText"/>
        <w:ind w:firstLine="0"/>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IPBES (2016). The assessment report of the Intergovernmental Science-Policy Platform on Biodiversity and Ecosystem Services on pollinators, pollination and food production. S.G. Potts, V. L. Imperatriz-Fonseca, and H. T. Ngo, (</w:t>
      </w:r>
      <w:proofErr w:type="spellStart"/>
      <w:r w:rsidRPr="009D551E">
        <w:rPr>
          <w:rFonts w:asciiTheme="majorBidi" w:hAnsiTheme="majorBidi" w:cstheme="majorBidi"/>
          <w:sz w:val="20"/>
          <w:szCs w:val="20"/>
        </w:rPr>
        <w:t>eds</w:t>
      </w:r>
      <w:proofErr w:type="spellEnd"/>
      <w:r w:rsidRPr="009D551E">
        <w:rPr>
          <w:rFonts w:asciiTheme="majorBidi" w:hAnsiTheme="majorBidi" w:cstheme="majorBidi"/>
          <w:sz w:val="20"/>
          <w:szCs w:val="20"/>
        </w:rPr>
        <w:t>). Secretariat of the Intergovernmental Science-Policy Platform on Biodiversity and Ecosystem Services, Bonn, Germany. 552 pages.</w:t>
      </w:r>
    </w:p>
  </w:footnote>
  <w:footnote w:id="328">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shd w:val="clear" w:color="auto" w:fill="FFFFFF"/>
        </w:rPr>
        <w:t>Deguines</w:t>
      </w:r>
      <w:proofErr w:type="spellEnd"/>
      <w:r w:rsidRPr="009D551E">
        <w:rPr>
          <w:rFonts w:asciiTheme="majorBidi" w:hAnsiTheme="majorBidi" w:cstheme="majorBidi"/>
          <w:sz w:val="20"/>
          <w:szCs w:val="20"/>
          <w:shd w:val="clear" w:color="auto" w:fill="FFFFFF"/>
        </w:rPr>
        <w:t>, N., et al (2014), Large-scale trade-off between agricultural intensification and crop pollination services. Frontiers in Ecology and the Environment, 12: 212–217. doi:10.1890/13005</w:t>
      </w:r>
    </w:p>
  </w:footnote>
  <w:footnote w:id="329">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Garibaldi, L. A., et al (2014), From research to action: enhancing crop yield through wild pollinators. Frontiers in Ecology and the Environment, 12: 439–447. doi:10.1890/130330</w:t>
      </w:r>
    </w:p>
  </w:footnote>
  <w:footnote w:id="330">
    <w:p w:rsidR="00071EBB" w:rsidRPr="009D551E" w:rsidRDefault="00071EBB" w:rsidP="009D551E">
      <w:pPr>
        <w:pStyle w:val="FootnoteText"/>
        <w:ind w:firstLine="0"/>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Winfree</w:t>
      </w:r>
      <w:proofErr w:type="spellEnd"/>
      <w:r w:rsidRPr="009D551E">
        <w:rPr>
          <w:rFonts w:asciiTheme="majorBidi" w:hAnsiTheme="majorBidi" w:cstheme="majorBidi"/>
          <w:sz w:val="20"/>
          <w:szCs w:val="20"/>
        </w:rPr>
        <w:t>, R. et al (2018). Species turnover promotes the importance of bee diversity for crop pollination at regional scales Science 359, 791-793.</w:t>
      </w:r>
    </w:p>
    <w:p w:rsidR="00071EBB" w:rsidRPr="009D551E" w:rsidRDefault="00071EBB" w:rsidP="009D551E">
      <w:pPr>
        <w:pStyle w:val="FootnoteText"/>
        <w:ind w:firstLine="0"/>
        <w:rPr>
          <w:rFonts w:asciiTheme="majorBidi" w:hAnsiTheme="majorBidi" w:cstheme="majorBidi"/>
          <w:sz w:val="20"/>
          <w:szCs w:val="20"/>
          <w:lang w:val="fr-BE"/>
        </w:rPr>
      </w:pPr>
      <w:proofErr w:type="spellStart"/>
      <w:r w:rsidRPr="009D551E">
        <w:rPr>
          <w:rFonts w:asciiTheme="majorBidi" w:hAnsiTheme="majorBidi" w:cstheme="majorBidi"/>
          <w:sz w:val="20"/>
          <w:szCs w:val="20"/>
        </w:rPr>
        <w:t>Kremen</w:t>
      </w:r>
      <w:proofErr w:type="spellEnd"/>
      <w:r w:rsidRPr="009D551E">
        <w:rPr>
          <w:rFonts w:asciiTheme="majorBidi" w:hAnsiTheme="majorBidi" w:cstheme="majorBidi"/>
          <w:sz w:val="20"/>
          <w:szCs w:val="20"/>
        </w:rPr>
        <w:t xml:space="preserve">, C. (2018). The value of pollinator species diversity. </w:t>
      </w:r>
      <w:r w:rsidRPr="009D551E">
        <w:rPr>
          <w:rFonts w:asciiTheme="majorBidi" w:hAnsiTheme="majorBidi" w:cstheme="majorBidi"/>
          <w:sz w:val="20"/>
          <w:szCs w:val="20"/>
          <w:lang w:val="fr-BE"/>
        </w:rPr>
        <w:t xml:space="preserve">Science 359 (6377), 741-742. </w:t>
      </w:r>
    </w:p>
  </w:footnote>
  <w:footnote w:id="331">
    <w:p w:rsidR="00071EBB" w:rsidRPr="009D551E" w:rsidRDefault="00071EBB" w:rsidP="009D551E">
      <w:pPr>
        <w:jc w:val="left"/>
        <w:rPr>
          <w:rFonts w:asciiTheme="majorBidi" w:hAnsiTheme="majorBidi" w:cstheme="majorBidi"/>
          <w:sz w:val="20"/>
          <w:szCs w:val="20"/>
          <w:shd w:val="clear" w:color="auto" w:fill="FFFFFF"/>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en-US"/>
        </w:rPr>
        <w:t xml:space="preserve"> </w:t>
      </w:r>
      <w:proofErr w:type="spellStart"/>
      <w:r w:rsidRPr="00E7198A">
        <w:rPr>
          <w:rFonts w:asciiTheme="majorBidi" w:hAnsiTheme="majorBidi" w:cstheme="majorBidi"/>
          <w:sz w:val="20"/>
          <w:szCs w:val="20"/>
          <w:shd w:val="clear" w:color="auto" w:fill="FFFFFF"/>
          <w:lang w:val="en-US"/>
        </w:rPr>
        <w:t>Liquete</w:t>
      </w:r>
      <w:proofErr w:type="spellEnd"/>
      <w:r w:rsidRPr="00E7198A">
        <w:rPr>
          <w:rFonts w:asciiTheme="majorBidi" w:hAnsiTheme="majorBidi" w:cstheme="majorBidi"/>
          <w:sz w:val="20"/>
          <w:szCs w:val="20"/>
          <w:shd w:val="clear" w:color="auto" w:fill="FFFFFF"/>
          <w:lang w:val="en-US"/>
        </w:rPr>
        <w:t xml:space="preserve">, C. et al (2016). </w:t>
      </w:r>
      <w:r w:rsidRPr="009D551E">
        <w:rPr>
          <w:rFonts w:asciiTheme="majorBidi" w:hAnsiTheme="majorBidi" w:cstheme="majorBidi"/>
          <w:sz w:val="20"/>
          <w:szCs w:val="20"/>
          <w:shd w:val="clear" w:color="auto" w:fill="FFFFFF"/>
        </w:rPr>
        <w:t>Ecosystem services sustainability in the Mediterranean Sea: Assessment of status and trends using multiple modelling approaches. Scientific Reports 6, 34162.</w:t>
      </w:r>
    </w:p>
  </w:footnote>
  <w:footnote w:id="332">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Herrera, D. et al (2017). Upstream watershed condition predicts rural children’s health across 35 developing countries. Nature Communications 8, 811. doi:10.1038/s41467-017-00775-2</w:t>
      </w:r>
    </w:p>
  </w:footnote>
  <w:footnote w:id="333">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Pienkowski</w:t>
      </w:r>
      <w:proofErr w:type="spellEnd"/>
      <w:r w:rsidRPr="009D551E">
        <w:rPr>
          <w:rFonts w:asciiTheme="majorBidi" w:hAnsiTheme="majorBidi" w:cstheme="majorBidi"/>
          <w:sz w:val="20"/>
          <w:szCs w:val="20"/>
        </w:rPr>
        <w:t>, T. et al (2017). Empirical evidence of the public health benefits of tropical forest conservation in Cambodia: a generalised linear mixed-effects model analysis, The Lancet Planetary Health 1(5) e180-e187.</w:t>
      </w:r>
    </w:p>
  </w:footnote>
  <w:footnote w:id="334">
    <w:p w:rsidR="00071EBB" w:rsidRPr="009D551E" w:rsidRDefault="00071EBB" w:rsidP="009D551E">
      <w:pPr>
        <w:jc w:val="left"/>
        <w:rPr>
          <w:rFonts w:asciiTheme="majorBidi" w:hAnsiTheme="majorBidi" w:cstheme="majorBidi"/>
          <w:sz w:val="20"/>
          <w:szCs w:val="20"/>
          <w:shd w:val="clear" w:color="auto" w:fill="FFFFFF"/>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shd w:val="clear" w:color="auto" w:fill="FFFFFF"/>
        </w:rPr>
        <w:t>Lakey</w:t>
      </w:r>
      <w:proofErr w:type="spellEnd"/>
      <w:r w:rsidRPr="009D551E">
        <w:rPr>
          <w:rFonts w:asciiTheme="majorBidi" w:hAnsiTheme="majorBidi" w:cstheme="majorBidi"/>
          <w:sz w:val="20"/>
          <w:szCs w:val="20"/>
          <w:shd w:val="clear" w:color="auto" w:fill="FFFFFF"/>
        </w:rPr>
        <w:t xml:space="preserve"> et al (2016). Ecological status of high altitude medicinal plants and their sustainability: </w:t>
      </w:r>
      <w:proofErr w:type="spellStart"/>
      <w:r w:rsidRPr="009D551E">
        <w:rPr>
          <w:rFonts w:asciiTheme="majorBidi" w:hAnsiTheme="majorBidi" w:cstheme="majorBidi"/>
          <w:sz w:val="20"/>
          <w:szCs w:val="20"/>
          <w:shd w:val="clear" w:color="auto" w:fill="FFFFFF"/>
        </w:rPr>
        <w:t>Lingshi</w:t>
      </w:r>
      <w:proofErr w:type="spellEnd"/>
      <w:r w:rsidRPr="009D551E">
        <w:rPr>
          <w:rFonts w:asciiTheme="majorBidi" w:hAnsiTheme="majorBidi" w:cstheme="majorBidi"/>
          <w:sz w:val="20"/>
          <w:szCs w:val="20"/>
          <w:shd w:val="clear" w:color="auto" w:fill="FFFFFF"/>
        </w:rPr>
        <w:t>, Bhutan. BMC Ecology 16, no. 1</w:t>
      </w:r>
    </w:p>
  </w:footnote>
  <w:footnote w:id="335">
    <w:p w:rsidR="00071EBB" w:rsidRPr="009D551E" w:rsidRDefault="00071EBB" w:rsidP="009D551E">
      <w:pPr>
        <w:jc w:val="left"/>
        <w:rPr>
          <w:rFonts w:asciiTheme="majorBidi" w:hAnsiTheme="majorBidi" w:cstheme="majorBidi"/>
          <w:sz w:val="20"/>
          <w:szCs w:val="20"/>
          <w:shd w:val="clear" w:color="auto" w:fill="FFFFFF"/>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r w:rsidRPr="009D551E">
        <w:rPr>
          <w:rFonts w:asciiTheme="majorBidi" w:hAnsiTheme="majorBidi" w:cstheme="majorBidi"/>
          <w:sz w:val="20"/>
          <w:szCs w:val="20"/>
          <w:shd w:val="clear" w:color="auto" w:fill="FFFFFF"/>
        </w:rPr>
        <w:t>Chi, X, et al. (2017). Threatened medicinal plants in China: Distributions and conservation priorities. Biological Conservation 210 (A): 89-95. </w:t>
      </w:r>
    </w:p>
  </w:footnote>
  <w:footnote w:id="336">
    <w:p w:rsidR="00071EBB" w:rsidRPr="009D551E" w:rsidRDefault="00071EBB" w:rsidP="009D551E">
      <w:pPr>
        <w:pStyle w:val="FootnoteText"/>
        <w:ind w:firstLine="0"/>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Flandroy</w:t>
      </w:r>
      <w:proofErr w:type="spellEnd"/>
      <w:r w:rsidRPr="009D551E">
        <w:rPr>
          <w:rFonts w:asciiTheme="majorBidi" w:hAnsiTheme="majorBidi" w:cstheme="majorBidi"/>
          <w:sz w:val="20"/>
          <w:szCs w:val="20"/>
        </w:rPr>
        <w:t xml:space="preserve">, L. et al (2018). The impact of human </w:t>
      </w:r>
      <w:proofErr w:type="spellStart"/>
      <w:r w:rsidRPr="009D551E">
        <w:rPr>
          <w:rFonts w:asciiTheme="majorBidi" w:hAnsiTheme="majorBidi" w:cstheme="majorBidi"/>
          <w:sz w:val="20"/>
          <w:szCs w:val="20"/>
        </w:rPr>
        <w:t>acitivities</w:t>
      </w:r>
      <w:proofErr w:type="spellEnd"/>
      <w:r w:rsidRPr="009D551E">
        <w:rPr>
          <w:rFonts w:asciiTheme="majorBidi" w:hAnsiTheme="majorBidi" w:cstheme="majorBidi"/>
          <w:sz w:val="20"/>
          <w:szCs w:val="20"/>
        </w:rPr>
        <w:t xml:space="preserve"> and lifestyles on the interlinked microbiota and health of humans and of ecosystems. Science of the Total Environment. 627, 10-18-1038.</w:t>
      </w:r>
    </w:p>
  </w:footnote>
  <w:footnote w:id="337">
    <w:p w:rsidR="00071EBB" w:rsidRPr="009D551E" w:rsidRDefault="00071EBB" w:rsidP="009D551E">
      <w:pPr>
        <w:pStyle w:val="FootnoteText"/>
        <w:ind w:firstLine="0"/>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Barral</w:t>
      </w:r>
      <w:proofErr w:type="spellEnd"/>
      <w:r w:rsidRPr="009D551E">
        <w:rPr>
          <w:rFonts w:asciiTheme="majorBidi" w:hAnsiTheme="majorBidi" w:cstheme="majorBidi"/>
          <w:sz w:val="20"/>
          <w:szCs w:val="20"/>
        </w:rPr>
        <w:t xml:space="preserve">, M. P. et al (2015) Quantifying the impacts of ecological restoration on biodiversity and ecosystem services in agroecosystems: A global meta-analysis, Agriculture, Ecosystems &amp; </w:t>
      </w:r>
      <w:proofErr w:type="gramStart"/>
      <w:r w:rsidRPr="009D551E">
        <w:rPr>
          <w:rFonts w:asciiTheme="majorBidi" w:hAnsiTheme="majorBidi" w:cstheme="majorBidi"/>
          <w:sz w:val="20"/>
          <w:szCs w:val="20"/>
        </w:rPr>
        <w:t>Environment,202,223</w:t>
      </w:r>
      <w:proofErr w:type="gramEnd"/>
      <w:r w:rsidRPr="009D551E">
        <w:rPr>
          <w:rFonts w:asciiTheme="majorBidi" w:hAnsiTheme="majorBidi" w:cstheme="majorBidi"/>
          <w:sz w:val="20"/>
          <w:szCs w:val="20"/>
        </w:rPr>
        <w:t>-231.</w:t>
      </w:r>
    </w:p>
    <w:p w:rsidR="00071EBB" w:rsidRPr="009D551E" w:rsidRDefault="00071EBB" w:rsidP="009D551E">
      <w:pPr>
        <w:pStyle w:val="FootnoteText"/>
        <w:ind w:firstLine="0"/>
        <w:jc w:val="left"/>
        <w:rPr>
          <w:rFonts w:asciiTheme="majorBidi" w:hAnsiTheme="majorBidi" w:cstheme="majorBidi"/>
          <w:sz w:val="20"/>
          <w:szCs w:val="20"/>
          <w:shd w:val="clear" w:color="auto" w:fill="FFFFFF"/>
        </w:rPr>
      </w:pPr>
      <w:proofErr w:type="spellStart"/>
      <w:r w:rsidRPr="009D551E">
        <w:rPr>
          <w:rStyle w:val="author"/>
          <w:rFonts w:asciiTheme="majorBidi" w:hAnsiTheme="majorBidi" w:cstheme="majorBidi"/>
          <w:sz w:val="20"/>
          <w:szCs w:val="20"/>
          <w:bdr w:val="none" w:sz="0" w:space="0" w:color="auto" w:frame="1"/>
        </w:rPr>
        <w:t>Lü</w:t>
      </w:r>
      <w:proofErr w:type="spellEnd"/>
      <w:r w:rsidRPr="009D551E">
        <w:rPr>
          <w:rStyle w:val="author"/>
          <w:rFonts w:asciiTheme="majorBidi" w:hAnsiTheme="majorBidi" w:cstheme="majorBidi"/>
          <w:sz w:val="20"/>
          <w:szCs w:val="20"/>
          <w:bdr w:val="none" w:sz="0" w:space="0" w:color="auto" w:frame="1"/>
        </w:rPr>
        <w:t>, R. Y. et al</w:t>
      </w:r>
      <w:r w:rsidRPr="009D551E">
        <w:rPr>
          <w:rFonts w:asciiTheme="majorBidi" w:hAnsiTheme="majorBidi" w:cstheme="majorBidi"/>
          <w:sz w:val="20"/>
          <w:szCs w:val="20"/>
          <w:shd w:val="clear" w:color="auto" w:fill="FFFFFF"/>
        </w:rPr>
        <w:t> (</w:t>
      </w:r>
      <w:r w:rsidRPr="009D551E">
        <w:rPr>
          <w:rStyle w:val="pubyear"/>
          <w:rFonts w:asciiTheme="majorBidi" w:hAnsiTheme="majorBidi" w:cstheme="majorBidi"/>
          <w:sz w:val="20"/>
          <w:szCs w:val="20"/>
          <w:bdr w:val="none" w:sz="0" w:space="0" w:color="auto" w:frame="1"/>
          <w:shd w:val="clear" w:color="auto" w:fill="FFFFFF"/>
        </w:rPr>
        <w:t>2017</w:t>
      </w:r>
      <w:r w:rsidRPr="009D551E">
        <w:rPr>
          <w:rFonts w:asciiTheme="majorBidi" w:hAnsiTheme="majorBidi" w:cstheme="majorBidi"/>
          <w:sz w:val="20"/>
          <w:szCs w:val="20"/>
          <w:shd w:val="clear" w:color="auto" w:fill="FFFFFF"/>
        </w:rPr>
        <w:t>) </w:t>
      </w:r>
      <w:r w:rsidRPr="009D551E">
        <w:rPr>
          <w:rStyle w:val="articletitle"/>
          <w:rFonts w:asciiTheme="majorBidi" w:hAnsiTheme="majorBidi" w:cstheme="majorBidi"/>
          <w:sz w:val="20"/>
          <w:szCs w:val="20"/>
          <w:bdr w:val="none" w:sz="0" w:space="0" w:color="auto" w:frame="1"/>
          <w:shd w:val="clear" w:color="auto" w:fill="FFFFFF"/>
        </w:rPr>
        <w:t>Biodiversity and Ecosystem Functional Enhancement by Forest Restoration: A Meta-analysis in China</w:t>
      </w:r>
      <w:r w:rsidRPr="009D551E">
        <w:rPr>
          <w:rFonts w:asciiTheme="majorBidi" w:hAnsiTheme="majorBidi" w:cstheme="majorBidi"/>
          <w:sz w:val="20"/>
          <w:szCs w:val="20"/>
          <w:shd w:val="clear" w:color="auto" w:fill="FFFFFF"/>
        </w:rPr>
        <w:t>. </w:t>
      </w:r>
      <w:r w:rsidRPr="009D551E">
        <w:rPr>
          <w:rStyle w:val="journaltitle"/>
          <w:rFonts w:asciiTheme="majorBidi" w:hAnsiTheme="majorBidi" w:cstheme="majorBidi"/>
          <w:sz w:val="20"/>
          <w:szCs w:val="20"/>
          <w:bdr w:val="none" w:sz="0" w:space="0" w:color="auto" w:frame="1"/>
          <w:shd w:val="clear" w:color="auto" w:fill="FFFFFF"/>
        </w:rPr>
        <w:t>Land Degradation and Development.</w:t>
      </w:r>
      <w:r w:rsidRPr="009D551E">
        <w:rPr>
          <w:rFonts w:asciiTheme="majorBidi" w:hAnsiTheme="majorBidi" w:cstheme="majorBidi"/>
          <w:sz w:val="20"/>
          <w:szCs w:val="20"/>
          <w:shd w:val="clear" w:color="auto" w:fill="FFFFFF"/>
        </w:rPr>
        <w:t>, </w:t>
      </w:r>
      <w:r w:rsidRPr="009D551E">
        <w:rPr>
          <w:rStyle w:val="vol"/>
          <w:rFonts w:asciiTheme="majorBidi" w:hAnsiTheme="majorBidi" w:cstheme="majorBidi"/>
          <w:sz w:val="20"/>
          <w:szCs w:val="20"/>
          <w:bdr w:val="none" w:sz="0" w:space="0" w:color="auto" w:frame="1"/>
          <w:shd w:val="clear" w:color="auto" w:fill="FFFFFF"/>
        </w:rPr>
        <w:t>28</w:t>
      </w:r>
      <w:r w:rsidRPr="009D551E">
        <w:rPr>
          <w:rFonts w:asciiTheme="majorBidi" w:hAnsiTheme="majorBidi" w:cstheme="majorBidi"/>
          <w:sz w:val="20"/>
          <w:szCs w:val="20"/>
          <w:shd w:val="clear" w:color="auto" w:fill="FFFFFF"/>
        </w:rPr>
        <w:t>: </w:t>
      </w:r>
      <w:r w:rsidRPr="009D551E">
        <w:rPr>
          <w:rStyle w:val="pagefirst"/>
          <w:rFonts w:asciiTheme="majorBidi" w:hAnsiTheme="majorBidi" w:cstheme="majorBidi"/>
          <w:sz w:val="20"/>
          <w:szCs w:val="20"/>
          <w:bdr w:val="none" w:sz="0" w:space="0" w:color="auto" w:frame="1"/>
          <w:shd w:val="clear" w:color="auto" w:fill="FFFFFF"/>
        </w:rPr>
        <w:t>2062</w:t>
      </w:r>
      <w:r w:rsidRPr="009D551E">
        <w:rPr>
          <w:rFonts w:asciiTheme="majorBidi" w:hAnsiTheme="majorBidi" w:cstheme="majorBidi"/>
          <w:sz w:val="20"/>
          <w:szCs w:val="20"/>
          <w:shd w:val="clear" w:color="auto" w:fill="FFFFFF"/>
        </w:rPr>
        <w:t>–</w:t>
      </w:r>
      <w:r w:rsidRPr="009D551E">
        <w:rPr>
          <w:rStyle w:val="pagelast"/>
          <w:rFonts w:asciiTheme="majorBidi" w:hAnsiTheme="majorBidi" w:cstheme="majorBidi"/>
          <w:sz w:val="20"/>
          <w:szCs w:val="20"/>
          <w:bdr w:val="none" w:sz="0" w:space="0" w:color="auto" w:frame="1"/>
          <w:shd w:val="clear" w:color="auto" w:fill="FFFFFF"/>
        </w:rPr>
        <w:t>2073</w:t>
      </w:r>
      <w:r w:rsidRPr="009D551E">
        <w:rPr>
          <w:rFonts w:asciiTheme="majorBidi" w:hAnsiTheme="majorBidi" w:cstheme="majorBidi"/>
          <w:sz w:val="20"/>
          <w:szCs w:val="20"/>
          <w:shd w:val="clear" w:color="auto" w:fill="FFFFFF"/>
        </w:rPr>
        <w:t xml:space="preserve">. </w:t>
      </w:r>
      <w:proofErr w:type="spellStart"/>
      <w:r w:rsidRPr="009D551E">
        <w:rPr>
          <w:rFonts w:asciiTheme="majorBidi" w:hAnsiTheme="majorBidi" w:cstheme="majorBidi"/>
          <w:sz w:val="20"/>
          <w:szCs w:val="20"/>
          <w:shd w:val="clear" w:color="auto" w:fill="FFFFFF"/>
        </w:rPr>
        <w:t>doi</w:t>
      </w:r>
      <w:proofErr w:type="spellEnd"/>
      <w:r w:rsidRPr="009D551E">
        <w:rPr>
          <w:rFonts w:asciiTheme="majorBidi" w:hAnsiTheme="majorBidi" w:cstheme="majorBidi"/>
          <w:sz w:val="20"/>
          <w:szCs w:val="20"/>
          <w:shd w:val="clear" w:color="auto" w:fill="FFFFFF"/>
        </w:rPr>
        <w:t>: </w:t>
      </w:r>
      <w:hyperlink r:id="rId33" w:tgtFrame="_blank" w:tooltip="Link to external resource: 10.1002/ldr.2728" w:history="1">
        <w:r w:rsidRPr="009D551E">
          <w:rPr>
            <w:rStyle w:val="Hyperlink"/>
            <w:rFonts w:asciiTheme="majorBidi" w:hAnsiTheme="majorBidi" w:cstheme="majorBidi"/>
            <w:color w:val="auto"/>
            <w:sz w:val="20"/>
            <w:szCs w:val="20"/>
            <w:shd w:val="clear" w:color="auto" w:fill="FFFFFF"/>
          </w:rPr>
          <w:t>10.1002/ldr.2728</w:t>
        </w:r>
      </w:hyperlink>
      <w:r w:rsidRPr="009D551E">
        <w:rPr>
          <w:rFonts w:asciiTheme="majorBidi" w:hAnsiTheme="majorBidi" w:cstheme="majorBidi"/>
          <w:sz w:val="20"/>
          <w:szCs w:val="20"/>
          <w:shd w:val="clear" w:color="auto" w:fill="FFFFFF"/>
        </w:rPr>
        <w:t>.</w:t>
      </w:r>
    </w:p>
    <w:p w:rsidR="00071EBB" w:rsidRPr="009D551E" w:rsidRDefault="00071EBB" w:rsidP="009D551E">
      <w:pPr>
        <w:autoSpaceDE w:val="0"/>
        <w:autoSpaceDN w:val="0"/>
        <w:adjustRightInd w:val="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lang w:val="en-US"/>
        </w:rPr>
        <w:t>Waldén</w:t>
      </w:r>
      <w:proofErr w:type="spellEnd"/>
      <w:r w:rsidRPr="009D551E">
        <w:rPr>
          <w:rFonts w:asciiTheme="majorBidi" w:hAnsiTheme="majorBidi" w:cstheme="majorBidi"/>
          <w:sz w:val="20"/>
          <w:szCs w:val="20"/>
          <w:lang w:val="en-US"/>
        </w:rPr>
        <w:t xml:space="preserve"> E, and Lindborg R (2016) Long Term Positive Effect of Grassland Restoration on Plant Diversity - Success or Not? </w:t>
      </w:r>
      <w:proofErr w:type="spellStart"/>
      <w:r w:rsidRPr="009D551E">
        <w:rPr>
          <w:rFonts w:asciiTheme="majorBidi" w:hAnsiTheme="majorBidi" w:cstheme="majorBidi"/>
          <w:sz w:val="20"/>
          <w:szCs w:val="20"/>
          <w:lang w:val="en-US"/>
        </w:rPr>
        <w:t>PLoS</w:t>
      </w:r>
      <w:proofErr w:type="spellEnd"/>
      <w:r w:rsidRPr="009D551E">
        <w:rPr>
          <w:rFonts w:asciiTheme="majorBidi" w:hAnsiTheme="majorBidi" w:cstheme="majorBidi"/>
          <w:sz w:val="20"/>
          <w:szCs w:val="20"/>
          <w:lang w:val="en-US"/>
        </w:rPr>
        <w:t xml:space="preserve"> ONE 11(5): e0155836. doi:10.1371/journal.pone.0155836</w:t>
      </w:r>
    </w:p>
  </w:footnote>
  <w:footnote w:id="338">
    <w:p w:rsidR="00071EBB" w:rsidRPr="009D551E" w:rsidRDefault="00071EBB" w:rsidP="009D551E">
      <w:pPr>
        <w:pStyle w:val="FootnoteText"/>
        <w:ind w:firstLine="0"/>
        <w:jc w:val="left"/>
        <w:rPr>
          <w:rFonts w:asciiTheme="majorBidi" w:hAnsiTheme="majorBidi" w:cstheme="majorBidi"/>
          <w:sz w:val="20"/>
          <w:szCs w:val="20"/>
          <w:shd w:val="clear" w:color="auto" w:fill="FFFFFF"/>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shd w:val="clear" w:color="auto" w:fill="FFFFFF"/>
        </w:rPr>
        <w:t>Kimiti</w:t>
      </w:r>
      <w:proofErr w:type="spellEnd"/>
      <w:r w:rsidRPr="009D551E">
        <w:rPr>
          <w:rFonts w:asciiTheme="majorBidi" w:hAnsiTheme="majorBidi" w:cstheme="majorBidi"/>
          <w:sz w:val="20"/>
          <w:szCs w:val="20"/>
          <w:shd w:val="clear" w:color="auto" w:fill="FFFFFF"/>
        </w:rPr>
        <w:t xml:space="preserve">, D. W et al (2017), Low-cost grass restoration using erosion barriers in a degraded African rangeland. </w:t>
      </w:r>
      <w:r w:rsidRPr="009D551E">
        <w:rPr>
          <w:rFonts w:asciiTheme="majorBidi" w:hAnsiTheme="majorBidi" w:cstheme="majorBidi"/>
          <w:sz w:val="20"/>
          <w:szCs w:val="20"/>
          <w:shd w:val="clear" w:color="auto" w:fill="FFFFFF"/>
          <w:lang w:val="en-US"/>
        </w:rPr>
        <w:t>Restoration Ecology, 25: 376–384. doi:10.1111/rec.12426</w:t>
      </w:r>
    </w:p>
    <w:p w:rsidR="00071EBB" w:rsidRPr="00720FA7" w:rsidRDefault="00071EBB" w:rsidP="009D551E">
      <w:pPr>
        <w:pStyle w:val="FootnoteText"/>
        <w:ind w:firstLine="0"/>
        <w:jc w:val="left"/>
        <w:rPr>
          <w:rFonts w:asciiTheme="majorBidi" w:hAnsiTheme="majorBidi" w:cstheme="majorBidi"/>
          <w:sz w:val="20"/>
          <w:szCs w:val="20"/>
          <w:lang w:val="es-ES_tradnl"/>
        </w:rPr>
      </w:pPr>
      <w:proofErr w:type="spellStart"/>
      <w:r w:rsidRPr="009D551E">
        <w:rPr>
          <w:rFonts w:asciiTheme="majorBidi" w:hAnsiTheme="majorBidi" w:cstheme="majorBidi"/>
          <w:sz w:val="20"/>
          <w:szCs w:val="20"/>
        </w:rPr>
        <w:t>YirdawE</w:t>
      </w:r>
      <w:proofErr w:type="spellEnd"/>
      <w:r w:rsidRPr="009D551E">
        <w:rPr>
          <w:rFonts w:asciiTheme="majorBidi" w:hAnsiTheme="majorBidi" w:cstheme="majorBidi"/>
          <w:sz w:val="20"/>
          <w:szCs w:val="20"/>
        </w:rPr>
        <w:t xml:space="preserve">., et al (2017). Rehabilitation of degraded dryland ecosystems – review. </w:t>
      </w:r>
      <w:r w:rsidRPr="00720FA7">
        <w:rPr>
          <w:rFonts w:asciiTheme="majorBidi" w:hAnsiTheme="majorBidi" w:cstheme="majorBidi"/>
          <w:sz w:val="20"/>
          <w:szCs w:val="20"/>
          <w:lang w:val="es-ES_tradnl"/>
        </w:rPr>
        <w:t xml:space="preserve">Silva Fennica vol. 51 no. 1B article id 1673. 32 p. </w:t>
      </w:r>
      <w:hyperlink r:id="rId34" w:history="1">
        <w:r w:rsidRPr="00720FA7">
          <w:rPr>
            <w:rStyle w:val="Hyperlink"/>
            <w:rFonts w:asciiTheme="majorBidi" w:hAnsiTheme="majorBidi" w:cstheme="majorBidi"/>
            <w:color w:val="auto"/>
            <w:sz w:val="20"/>
            <w:szCs w:val="20"/>
            <w:lang w:val="es-ES_tradnl"/>
          </w:rPr>
          <w:t>https://doi.org/10.14214/sf.1673</w:t>
        </w:r>
      </w:hyperlink>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Fonts w:asciiTheme="majorBidi" w:hAnsiTheme="majorBidi" w:cstheme="majorBidi"/>
          <w:sz w:val="20"/>
          <w:szCs w:val="20"/>
          <w:lang w:val="en-US"/>
        </w:rPr>
        <w:t xml:space="preserve">Jiang, T.  et al (2015). </w:t>
      </w:r>
      <w:proofErr w:type="gramStart"/>
      <w:r w:rsidRPr="009D551E">
        <w:rPr>
          <w:rFonts w:asciiTheme="majorBidi" w:hAnsiTheme="majorBidi" w:cstheme="majorBidi"/>
          <w:sz w:val="20"/>
          <w:szCs w:val="20"/>
          <w:lang w:val="en-US"/>
        </w:rPr>
        <w:t>Current status</w:t>
      </w:r>
      <w:proofErr w:type="gramEnd"/>
      <w:r w:rsidRPr="009D551E">
        <w:rPr>
          <w:rFonts w:asciiTheme="majorBidi" w:hAnsiTheme="majorBidi" w:cstheme="majorBidi"/>
          <w:sz w:val="20"/>
          <w:szCs w:val="20"/>
          <w:lang w:val="en-US"/>
        </w:rPr>
        <w:t xml:space="preserve"> of coastal wetlands in China: Degradation, restoration, and future management, Estuarine, Coastal and Shelf Science,164, 265-275.</w:t>
      </w:r>
    </w:p>
  </w:footnote>
  <w:footnote w:id="339">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Moreno-</w:t>
      </w:r>
      <w:proofErr w:type="spellStart"/>
      <w:r w:rsidRPr="009D551E">
        <w:rPr>
          <w:rFonts w:asciiTheme="majorBidi" w:hAnsiTheme="majorBidi" w:cstheme="majorBidi"/>
          <w:sz w:val="20"/>
          <w:szCs w:val="20"/>
          <w:shd w:val="clear" w:color="auto" w:fill="FFFFFF"/>
        </w:rPr>
        <w:t>Mateos</w:t>
      </w:r>
      <w:proofErr w:type="spellEnd"/>
      <w:r w:rsidRPr="009D551E">
        <w:rPr>
          <w:rFonts w:asciiTheme="majorBidi" w:hAnsiTheme="majorBidi" w:cstheme="majorBidi"/>
          <w:sz w:val="20"/>
          <w:szCs w:val="20"/>
          <w:shd w:val="clear" w:color="auto" w:fill="FFFFFF"/>
        </w:rPr>
        <w:t xml:space="preserve">, D., et al (2015), Ecosystem response to interventions: lessons from restored and created wetland ecosystems. J </w:t>
      </w:r>
      <w:proofErr w:type="spellStart"/>
      <w:r w:rsidRPr="009D551E">
        <w:rPr>
          <w:rFonts w:asciiTheme="majorBidi" w:hAnsiTheme="majorBidi" w:cstheme="majorBidi"/>
          <w:sz w:val="20"/>
          <w:szCs w:val="20"/>
          <w:shd w:val="clear" w:color="auto" w:fill="FFFFFF"/>
        </w:rPr>
        <w:t>Appl</w:t>
      </w:r>
      <w:proofErr w:type="spellEnd"/>
      <w:r w:rsidRPr="009D551E">
        <w:rPr>
          <w:rFonts w:asciiTheme="majorBidi" w:hAnsiTheme="majorBidi" w:cstheme="majorBidi"/>
          <w:sz w:val="20"/>
          <w:szCs w:val="20"/>
          <w:shd w:val="clear" w:color="auto" w:fill="FFFFFF"/>
        </w:rPr>
        <w:t xml:space="preserve"> </w:t>
      </w:r>
      <w:proofErr w:type="spellStart"/>
      <w:r w:rsidRPr="009D551E">
        <w:rPr>
          <w:rFonts w:asciiTheme="majorBidi" w:hAnsiTheme="majorBidi" w:cstheme="majorBidi"/>
          <w:sz w:val="20"/>
          <w:szCs w:val="20"/>
          <w:shd w:val="clear" w:color="auto" w:fill="FFFFFF"/>
        </w:rPr>
        <w:t>Ecol</w:t>
      </w:r>
      <w:proofErr w:type="spellEnd"/>
      <w:r w:rsidRPr="009D551E">
        <w:rPr>
          <w:rFonts w:asciiTheme="majorBidi" w:hAnsiTheme="majorBidi" w:cstheme="majorBidi"/>
          <w:sz w:val="20"/>
          <w:szCs w:val="20"/>
          <w:shd w:val="clear" w:color="auto" w:fill="FFFFFF"/>
        </w:rPr>
        <w:t>, 52: 1528–1537. doi:10.1111/1365-2664.12518</w:t>
      </w:r>
      <w:r w:rsidRPr="009D551E">
        <w:rPr>
          <w:rFonts w:asciiTheme="majorBidi" w:hAnsiTheme="majorBidi" w:cstheme="majorBidi"/>
          <w:sz w:val="20"/>
          <w:szCs w:val="20"/>
          <w:lang w:val="en-US"/>
        </w:rPr>
        <w:t xml:space="preserve"> </w:t>
      </w:r>
    </w:p>
    <w:p w:rsidR="00071EBB" w:rsidRPr="009D551E" w:rsidRDefault="00071EBB" w:rsidP="009D551E">
      <w:pPr>
        <w:pStyle w:val="FootnoteText"/>
        <w:ind w:firstLine="0"/>
        <w:jc w:val="left"/>
        <w:rPr>
          <w:rFonts w:asciiTheme="majorBidi" w:hAnsiTheme="majorBidi" w:cstheme="majorBidi"/>
          <w:spacing w:val="4"/>
          <w:sz w:val="20"/>
          <w:szCs w:val="20"/>
          <w:shd w:val="clear" w:color="auto" w:fill="FCFCFC"/>
        </w:rPr>
      </w:pPr>
      <w:proofErr w:type="spellStart"/>
      <w:r w:rsidRPr="009D551E">
        <w:rPr>
          <w:rFonts w:asciiTheme="majorBidi" w:hAnsiTheme="majorBidi" w:cstheme="majorBidi"/>
          <w:spacing w:val="4"/>
          <w:sz w:val="20"/>
          <w:szCs w:val="20"/>
          <w:shd w:val="clear" w:color="auto" w:fill="FCFCFC"/>
        </w:rPr>
        <w:t>Yamindago</w:t>
      </w:r>
      <w:proofErr w:type="spellEnd"/>
      <w:r w:rsidRPr="009D551E">
        <w:rPr>
          <w:rFonts w:asciiTheme="majorBidi" w:hAnsiTheme="majorBidi" w:cstheme="majorBidi"/>
          <w:spacing w:val="4"/>
          <w:sz w:val="20"/>
          <w:szCs w:val="20"/>
          <w:shd w:val="clear" w:color="auto" w:fill="FCFCFC"/>
        </w:rPr>
        <w:t>, R. (2015)</w:t>
      </w:r>
      <w:r w:rsidRPr="009D551E">
        <w:rPr>
          <w:rFonts w:asciiTheme="majorBidi" w:hAnsiTheme="majorBidi" w:cstheme="majorBidi"/>
          <w:sz w:val="20"/>
          <w:szCs w:val="20"/>
        </w:rPr>
        <w:t xml:space="preserve"> </w:t>
      </w:r>
      <w:r w:rsidRPr="009D551E">
        <w:rPr>
          <w:rFonts w:asciiTheme="majorBidi" w:hAnsiTheme="majorBidi" w:cstheme="majorBidi"/>
          <w:spacing w:val="4"/>
          <w:sz w:val="20"/>
          <w:szCs w:val="20"/>
          <w:shd w:val="clear" w:color="auto" w:fill="FCFCFC"/>
        </w:rPr>
        <w:t xml:space="preserve">Restoring coastal ecosystems - a case study Malang and Gresik regency, Indonesia. Journal of Coastal Conservation 19: 119. </w:t>
      </w:r>
      <w:hyperlink r:id="rId35" w:history="1">
        <w:r w:rsidRPr="009D551E">
          <w:rPr>
            <w:rStyle w:val="Hyperlink"/>
            <w:rFonts w:asciiTheme="majorBidi" w:hAnsiTheme="majorBidi" w:cstheme="majorBidi"/>
            <w:color w:val="auto"/>
            <w:spacing w:val="4"/>
            <w:sz w:val="20"/>
            <w:szCs w:val="20"/>
            <w:shd w:val="clear" w:color="auto" w:fill="FCFCFC"/>
          </w:rPr>
          <w:t>https://doi.org/10.1007/s11852-015-0373-0</w:t>
        </w:r>
      </w:hyperlink>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shd w:val="clear" w:color="auto" w:fill="FFFFFF"/>
        </w:rPr>
        <w:t>Durka</w:t>
      </w:r>
      <w:proofErr w:type="spellEnd"/>
      <w:r w:rsidRPr="009D551E">
        <w:rPr>
          <w:rFonts w:asciiTheme="majorBidi" w:hAnsiTheme="majorBidi" w:cstheme="majorBidi"/>
          <w:sz w:val="20"/>
          <w:szCs w:val="20"/>
          <w:shd w:val="clear" w:color="auto" w:fill="FFFFFF"/>
        </w:rPr>
        <w:t xml:space="preserve">, W., et al (2017), Genetic differentiation within multiple common grassland plants supports seed transfer zones for ecological restoration. </w:t>
      </w:r>
      <w:r w:rsidRPr="009D551E">
        <w:rPr>
          <w:rFonts w:asciiTheme="majorBidi" w:hAnsiTheme="majorBidi" w:cstheme="majorBidi"/>
          <w:sz w:val="20"/>
          <w:szCs w:val="20"/>
          <w:shd w:val="clear" w:color="auto" w:fill="FFFFFF"/>
          <w:lang w:val="en-US"/>
        </w:rPr>
        <w:t xml:space="preserve">J </w:t>
      </w:r>
      <w:proofErr w:type="spellStart"/>
      <w:r w:rsidRPr="009D551E">
        <w:rPr>
          <w:rFonts w:asciiTheme="majorBidi" w:hAnsiTheme="majorBidi" w:cstheme="majorBidi"/>
          <w:sz w:val="20"/>
          <w:szCs w:val="20"/>
          <w:shd w:val="clear" w:color="auto" w:fill="FFFFFF"/>
          <w:lang w:val="en-US"/>
        </w:rPr>
        <w:t>Appl</w:t>
      </w:r>
      <w:proofErr w:type="spellEnd"/>
      <w:r w:rsidRPr="009D551E">
        <w:rPr>
          <w:rFonts w:asciiTheme="majorBidi" w:hAnsiTheme="majorBidi" w:cstheme="majorBidi"/>
          <w:sz w:val="20"/>
          <w:szCs w:val="20"/>
          <w:shd w:val="clear" w:color="auto" w:fill="FFFFFF"/>
          <w:lang w:val="en-US"/>
        </w:rPr>
        <w:t xml:space="preserve"> </w:t>
      </w:r>
      <w:proofErr w:type="spellStart"/>
      <w:r w:rsidRPr="009D551E">
        <w:rPr>
          <w:rFonts w:asciiTheme="majorBidi" w:hAnsiTheme="majorBidi" w:cstheme="majorBidi"/>
          <w:sz w:val="20"/>
          <w:szCs w:val="20"/>
          <w:shd w:val="clear" w:color="auto" w:fill="FFFFFF"/>
          <w:lang w:val="en-US"/>
        </w:rPr>
        <w:t>Ecol</w:t>
      </w:r>
      <w:proofErr w:type="spellEnd"/>
      <w:r w:rsidRPr="009D551E">
        <w:rPr>
          <w:rFonts w:asciiTheme="majorBidi" w:hAnsiTheme="majorBidi" w:cstheme="majorBidi"/>
          <w:sz w:val="20"/>
          <w:szCs w:val="20"/>
          <w:shd w:val="clear" w:color="auto" w:fill="FFFFFF"/>
          <w:lang w:val="en-US"/>
        </w:rPr>
        <w:t xml:space="preserve">, 54: 116–126. doi:10.1111/1365-2664.12636 </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lang w:val="en-US"/>
        </w:rPr>
        <w:t>Crouzeilles</w:t>
      </w:r>
      <w:proofErr w:type="spellEnd"/>
      <w:r w:rsidRPr="009D551E">
        <w:rPr>
          <w:rFonts w:asciiTheme="majorBidi" w:hAnsiTheme="majorBidi" w:cstheme="majorBidi"/>
          <w:sz w:val="20"/>
          <w:szCs w:val="20"/>
          <w:lang w:val="en-US"/>
        </w:rPr>
        <w:t>, R. et al (2016). A global meta-analysis on the ecological drivers of forest restoration success. Nature Communications 7. http://dx.doi.org/10.1038/ncomms11666</w:t>
      </w:r>
    </w:p>
  </w:footnote>
  <w:footnote w:id="340">
    <w:p w:rsidR="00071EBB" w:rsidRPr="00720FA7" w:rsidRDefault="00071EBB" w:rsidP="009D551E">
      <w:pPr>
        <w:pStyle w:val="FootnoteText"/>
        <w:ind w:firstLine="0"/>
        <w:jc w:val="left"/>
        <w:rPr>
          <w:rFonts w:asciiTheme="majorBidi" w:hAnsiTheme="majorBidi" w:cstheme="majorBidi"/>
          <w:sz w:val="20"/>
          <w:szCs w:val="20"/>
          <w:lang w:val="es-ES_tradnl"/>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Yirdaw</w:t>
      </w:r>
      <w:proofErr w:type="spellEnd"/>
      <w:r w:rsidRPr="009D551E">
        <w:rPr>
          <w:rFonts w:asciiTheme="majorBidi" w:hAnsiTheme="majorBidi" w:cstheme="majorBidi"/>
          <w:sz w:val="20"/>
          <w:szCs w:val="20"/>
          <w:lang w:val="en-US"/>
        </w:rPr>
        <w:t xml:space="preserve">, E.et al (2017). </w:t>
      </w:r>
      <w:r w:rsidRPr="009D551E">
        <w:rPr>
          <w:rFonts w:asciiTheme="majorBidi" w:hAnsiTheme="majorBidi" w:cstheme="majorBidi"/>
          <w:sz w:val="20"/>
          <w:szCs w:val="20"/>
        </w:rPr>
        <w:t xml:space="preserve">Rehabilitation of degraded dryland ecosystems – review. </w:t>
      </w:r>
      <w:r w:rsidRPr="00720FA7">
        <w:rPr>
          <w:rFonts w:asciiTheme="majorBidi" w:hAnsiTheme="majorBidi" w:cstheme="majorBidi"/>
          <w:sz w:val="20"/>
          <w:szCs w:val="20"/>
          <w:lang w:val="es-ES_tradnl"/>
        </w:rPr>
        <w:t xml:space="preserve">Silva Fennica vol. 51 no. 1B article id 1673. 32 p. </w:t>
      </w:r>
      <w:hyperlink r:id="rId36" w:history="1">
        <w:r w:rsidRPr="00720FA7">
          <w:rPr>
            <w:rStyle w:val="Hyperlink"/>
            <w:rFonts w:asciiTheme="majorBidi" w:hAnsiTheme="majorBidi" w:cstheme="majorBidi"/>
            <w:color w:val="auto"/>
            <w:sz w:val="20"/>
            <w:szCs w:val="20"/>
            <w:lang w:val="es-ES_tradnl"/>
          </w:rPr>
          <w:t>https://doi.org/10.14214/sf.1673</w:t>
        </w:r>
      </w:hyperlink>
    </w:p>
  </w:footnote>
  <w:footnote w:id="341">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World Resources Institute (2014). Atlas of Forest and Landscape Restoration Opportunities. </w:t>
      </w:r>
    </w:p>
  </w:footnote>
  <w:footnote w:id="342">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Haapalehto</w:t>
      </w:r>
      <w:proofErr w:type="spellEnd"/>
      <w:r w:rsidRPr="009D551E">
        <w:rPr>
          <w:rFonts w:asciiTheme="majorBidi" w:hAnsiTheme="majorBidi" w:cstheme="majorBidi"/>
          <w:sz w:val="20"/>
          <w:szCs w:val="20"/>
          <w:lang w:val="en-US"/>
        </w:rPr>
        <w:t>, T. et al (2014). The effects of long-term drainage and subsequent restoration on water table level and pore water chemistry in boreal peatlands,</w:t>
      </w:r>
      <w:r w:rsidR="00D473F9">
        <w:rPr>
          <w:rFonts w:asciiTheme="majorBidi" w:hAnsiTheme="majorBidi" w:cstheme="majorBidi"/>
          <w:sz w:val="20"/>
          <w:szCs w:val="20"/>
          <w:lang w:val="en-US"/>
        </w:rPr>
        <w:t xml:space="preserve"> </w:t>
      </w:r>
      <w:r w:rsidRPr="009D551E">
        <w:rPr>
          <w:rFonts w:asciiTheme="majorBidi" w:hAnsiTheme="majorBidi" w:cstheme="majorBidi"/>
          <w:sz w:val="20"/>
          <w:szCs w:val="20"/>
          <w:lang w:val="en-US"/>
        </w:rPr>
        <w:t>Journal of Hydrology,519(B), 1493-1505.</w:t>
      </w:r>
    </w:p>
  </w:footnote>
  <w:footnote w:id="343">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Parry, L.E. (2014). Restoration of blanket peatlands, Journal of Environmental Management, 133, 193-205. </w:t>
      </w:r>
    </w:p>
    <w:p w:rsidR="00071EBB" w:rsidRPr="009D551E" w:rsidRDefault="00071EBB" w:rsidP="009D551E">
      <w:pPr>
        <w:pStyle w:val="FootnoteText"/>
        <w:ind w:firstLine="0"/>
        <w:jc w:val="left"/>
        <w:rPr>
          <w:rFonts w:asciiTheme="majorBidi" w:hAnsiTheme="majorBidi" w:cstheme="majorBidi"/>
          <w:sz w:val="20"/>
          <w:szCs w:val="20"/>
          <w:shd w:val="clear" w:color="auto" w:fill="FFFFFF"/>
        </w:rPr>
      </w:pPr>
      <w:proofErr w:type="spellStart"/>
      <w:r w:rsidRPr="009D551E">
        <w:rPr>
          <w:rFonts w:asciiTheme="majorBidi" w:hAnsiTheme="majorBidi" w:cstheme="majorBidi"/>
          <w:sz w:val="20"/>
          <w:szCs w:val="20"/>
          <w:shd w:val="clear" w:color="auto" w:fill="FFFFFF"/>
        </w:rPr>
        <w:t>Himner</w:t>
      </w:r>
      <w:proofErr w:type="spellEnd"/>
      <w:r w:rsidRPr="009D551E">
        <w:rPr>
          <w:rFonts w:asciiTheme="majorBidi" w:hAnsiTheme="majorBidi" w:cstheme="majorBidi"/>
          <w:sz w:val="20"/>
          <w:szCs w:val="20"/>
          <w:shd w:val="clear" w:color="auto" w:fill="FFFFFF"/>
        </w:rPr>
        <w:t xml:space="preserve">, R. A., et al (2017), An overview of peatland restoration in North America: where are we after 25 </w:t>
      </w:r>
      <w:proofErr w:type="gramStart"/>
      <w:r w:rsidRPr="009D551E">
        <w:rPr>
          <w:rFonts w:asciiTheme="majorBidi" w:hAnsiTheme="majorBidi" w:cstheme="majorBidi"/>
          <w:sz w:val="20"/>
          <w:szCs w:val="20"/>
          <w:shd w:val="clear" w:color="auto" w:fill="FFFFFF"/>
        </w:rPr>
        <w:t>years?.</w:t>
      </w:r>
      <w:proofErr w:type="gramEnd"/>
      <w:r w:rsidRPr="009D551E">
        <w:rPr>
          <w:rFonts w:asciiTheme="majorBidi" w:hAnsiTheme="majorBidi" w:cstheme="majorBidi"/>
          <w:sz w:val="20"/>
          <w:szCs w:val="20"/>
          <w:shd w:val="clear" w:color="auto" w:fill="FFFFFF"/>
        </w:rPr>
        <w:t xml:space="preserve"> Restoration Ecology, 25: 283–292. doi:10.1111/rec.12434</w:t>
      </w:r>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author"/>
          <w:rFonts w:asciiTheme="majorBidi" w:hAnsiTheme="majorBidi" w:cstheme="majorBidi"/>
          <w:sz w:val="20"/>
          <w:szCs w:val="20"/>
          <w:bdr w:val="none" w:sz="0" w:space="0" w:color="auto" w:frame="1"/>
        </w:rPr>
        <w:t>Liu, Y.</w:t>
      </w:r>
      <w:r w:rsidRPr="009D551E">
        <w:rPr>
          <w:rFonts w:asciiTheme="majorBidi" w:hAnsiTheme="majorBidi" w:cstheme="majorBidi"/>
          <w:sz w:val="20"/>
          <w:szCs w:val="20"/>
          <w:shd w:val="clear" w:color="auto" w:fill="FFFFFF"/>
        </w:rPr>
        <w:t>, </w:t>
      </w:r>
      <w:r w:rsidRPr="009D551E">
        <w:rPr>
          <w:rStyle w:val="author"/>
          <w:rFonts w:asciiTheme="majorBidi" w:hAnsiTheme="majorBidi" w:cstheme="majorBidi"/>
          <w:sz w:val="20"/>
          <w:szCs w:val="20"/>
          <w:bdr w:val="none" w:sz="0" w:space="0" w:color="auto" w:frame="1"/>
        </w:rPr>
        <w:t>et al</w:t>
      </w:r>
      <w:r w:rsidRPr="009D551E">
        <w:rPr>
          <w:rFonts w:asciiTheme="majorBidi" w:hAnsiTheme="majorBidi" w:cstheme="majorBidi"/>
          <w:sz w:val="20"/>
          <w:szCs w:val="20"/>
          <w:shd w:val="clear" w:color="auto" w:fill="FFFFFF"/>
        </w:rPr>
        <w:t xml:space="preserve"> (</w:t>
      </w:r>
      <w:r w:rsidRPr="009D551E">
        <w:rPr>
          <w:rStyle w:val="pubyear"/>
          <w:rFonts w:asciiTheme="majorBidi" w:hAnsiTheme="majorBidi" w:cstheme="majorBidi"/>
          <w:sz w:val="20"/>
          <w:szCs w:val="20"/>
          <w:bdr w:val="none" w:sz="0" w:space="0" w:color="auto" w:frame="1"/>
          <w:shd w:val="clear" w:color="auto" w:fill="FFFFFF"/>
        </w:rPr>
        <w:t>2017</w:t>
      </w:r>
      <w:r w:rsidRPr="009D551E">
        <w:rPr>
          <w:rFonts w:asciiTheme="majorBidi" w:hAnsiTheme="majorBidi" w:cstheme="majorBidi"/>
          <w:sz w:val="20"/>
          <w:szCs w:val="20"/>
          <w:shd w:val="clear" w:color="auto" w:fill="FFFFFF"/>
        </w:rPr>
        <w:t>) </w:t>
      </w:r>
      <w:r w:rsidRPr="009D551E">
        <w:rPr>
          <w:rStyle w:val="articletitle"/>
          <w:rFonts w:asciiTheme="majorBidi" w:hAnsiTheme="majorBidi" w:cstheme="majorBidi"/>
          <w:sz w:val="20"/>
          <w:szCs w:val="20"/>
          <w:bdr w:val="none" w:sz="0" w:space="0" w:color="auto" w:frame="1"/>
          <w:shd w:val="clear" w:color="auto" w:fill="FFFFFF"/>
        </w:rPr>
        <w:t xml:space="preserve">Soil Organic Carbon and Inorganic Carbon Accumulation Along a 30-year Grassland Restoration </w:t>
      </w:r>
      <w:proofErr w:type="spellStart"/>
      <w:r w:rsidRPr="009D551E">
        <w:rPr>
          <w:rStyle w:val="articletitle"/>
          <w:rFonts w:asciiTheme="majorBidi" w:hAnsiTheme="majorBidi" w:cstheme="majorBidi"/>
          <w:sz w:val="20"/>
          <w:szCs w:val="20"/>
          <w:bdr w:val="none" w:sz="0" w:space="0" w:color="auto" w:frame="1"/>
          <w:shd w:val="clear" w:color="auto" w:fill="FFFFFF"/>
        </w:rPr>
        <w:t>Chronosequence</w:t>
      </w:r>
      <w:proofErr w:type="spellEnd"/>
      <w:r w:rsidRPr="009D551E">
        <w:rPr>
          <w:rStyle w:val="articletitle"/>
          <w:rFonts w:asciiTheme="majorBidi" w:hAnsiTheme="majorBidi" w:cstheme="majorBidi"/>
          <w:sz w:val="20"/>
          <w:szCs w:val="20"/>
          <w:bdr w:val="none" w:sz="0" w:space="0" w:color="auto" w:frame="1"/>
          <w:shd w:val="clear" w:color="auto" w:fill="FFFFFF"/>
        </w:rPr>
        <w:t xml:space="preserve"> in Semi-</w:t>
      </w:r>
      <w:proofErr w:type="gramStart"/>
      <w:r w:rsidRPr="009D551E">
        <w:rPr>
          <w:rStyle w:val="articletitle"/>
          <w:rFonts w:asciiTheme="majorBidi" w:hAnsiTheme="majorBidi" w:cstheme="majorBidi"/>
          <w:sz w:val="20"/>
          <w:szCs w:val="20"/>
          <w:bdr w:val="none" w:sz="0" w:space="0" w:color="auto" w:frame="1"/>
          <w:shd w:val="clear" w:color="auto" w:fill="FFFFFF"/>
        </w:rPr>
        <w:t>arid</w:t>
      </w:r>
      <w:proofErr w:type="gramEnd"/>
      <w:r w:rsidRPr="009D551E">
        <w:rPr>
          <w:rStyle w:val="articletitle"/>
          <w:rFonts w:asciiTheme="majorBidi" w:hAnsiTheme="majorBidi" w:cstheme="majorBidi"/>
          <w:sz w:val="20"/>
          <w:szCs w:val="20"/>
          <w:bdr w:val="none" w:sz="0" w:space="0" w:color="auto" w:frame="1"/>
          <w:shd w:val="clear" w:color="auto" w:fill="FFFFFF"/>
        </w:rPr>
        <w:t xml:space="preserve"> Regions (China)</w:t>
      </w:r>
      <w:r w:rsidRPr="009D551E">
        <w:rPr>
          <w:rFonts w:asciiTheme="majorBidi" w:hAnsiTheme="majorBidi" w:cstheme="majorBidi"/>
          <w:sz w:val="20"/>
          <w:szCs w:val="20"/>
          <w:shd w:val="clear" w:color="auto" w:fill="FFFFFF"/>
        </w:rPr>
        <w:t>. </w:t>
      </w:r>
      <w:r w:rsidRPr="009D551E">
        <w:rPr>
          <w:rStyle w:val="journaltitle"/>
          <w:rFonts w:asciiTheme="majorBidi" w:hAnsiTheme="majorBidi" w:cstheme="majorBidi"/>
          <w:sz w:val="20"/>
          <w:szCs w:val="20"/>
          <w:bdr w:val="none" w:sz="0" w:space="0" w:color="auto" w:frame="1"/>
          <w:shd w:val="clear" w:color="auto" w:fill="FFFFFF"/>
        </w:rPr>
        <w:t xml:space="preserve">Land </w:t>
      </w:r>
      <w:proofErr w:type="spellStart"/>
      <w:r w:rsidRPr="009D551E">
        <w:rPr>
          <w:rStyle w:val="journaltitle"/>
          <w:rFonts w:asciiTheme="majorBidi" w:hAnsiTheme="majorBidi" w:cstheme="majorBidi"/>
          <w:sz w:val="20"/>
          <w:szCs w:val="20"/>
          <w:bdr w:val="none" w:sz="0" w:space="0" w:color="auto" w:frame="1"/>
          <w:shd w:val="clear" w:color="auto" w:fill="FFFFFF"/>
        </w:rPr>
        <w:t>Degrad</w:t>
      </w:r>
      <w:proofErr w:type="spellEnd"/>
      <w:r w:rsidRPr="009D551E">
        <w:rPr>
          <w:rStyle w:val="journaltitle"/>
          <w:rFonts w:asciiTheme="majorBidi" w:hAnsiTheme="majorBidi" w:cstheme="majorBidi"/>
          <w:sz w:val="20"/>
          <w:szCs w:val="20"/>
          <w:bdr w:val="none" w:sz="0" w:space="0" w:color="auto" w:frame="1"/>
          <w:shd w:val="clear" w:color="auto" w:fill="FFFFFF"/>
        </w:rPr>
        <w:t>. Develop.</w:t>
      </w:r>
      <w:r w:rsidRPr="009D551E">
        <w:rPr>
          <w:rFonts w:asciiTheme="majorBidi" w:hAnsiTheme="majorBidi" w:cstheme="majorBidi"/>
          <w:sz w:val="20"/>
          <w:szCs w:val="20"/>
          <w:shd w:val="clear" w:color="auto" w:fill="FFFFFF"/>
        </w:rPr>
        <w:t>, </w:t>
      </w:r>
      <w:r w:rsidRPr="009D551E">
        <w:rPr>
          <w:rStyle w:val="vol"/>
          <w:rFonts w:asciiTheme="majorBidi" w:hAnsiTheme="majorBidi" w:cstheme="majorBidi"/>
          <w:sz w:val="20"/>
          <w:szCs w:val="20"/>
          <w:bdr w:val="none" w:sz="0" w:space="0" w:color="auto" w:frame="1"/>
          <w:shd w:val="clear" w:color="auto" w:fill="FFFFFF"/>
        </w:rPr>
        <w:t>28</w:t>
      </w:r>
      <w:r w:rsidRPr="009D551E">
        <w:rPr>
          <w:rFonts w:asciiTheme="majorBidi" w:hAnsiTheme="majorBidi" w:cstheme="majorBidi"/>
          <w:sz w:val="20"/>
          <w:szCs w:val="20"/>
          <w:shd w:val="clear" w:color="auto" w:fill="FFFFFF"/>
        </w:rPr>
        <w:t>: </w:t>
      </w:r>
      <w:r w:rsidRPr="009D551E">
        <w:rPr>
          <w:rStyle w:val="pagefirst"/>
          <w:rFonts w:asciiTheme="majorBidi" w:hAnsiTheme="majorBidi" w:cstheme="majorBidi"/>
          <w:sz w:val="20"/>
          <w:szCs w:val="20"/>
          <w:bdr w:val="none" w:sz="0" w:space="0" w:color="auto" w:frame="1"/>
          <w:shd w:val="clear" w:color="auto" w:fill="FFFFFF"/>
        </w:rPr>
        <w:t>189</w:t>
      </w:r>
      <w:r w:rsidRPr="009D551E">
        <w:rPr>
          <w:rFonts w:asciiTheme="majorBidi" w:hAnsiTheme="majorBidi" w:cstheme="majorBidi"/>
          <w:sz w:val="20"/>
          <w:szCs w:val="20"/>
          <w:shd w:val="clear" w:color="auto" w:fill="FFFFFF"/>
        </w:rPr>
        <w:t>–</w:t>
      </w:r>
      <w:r w:rsidRPr="009D551E">
        <w:rPr>
          <w:rStyle w:val="pagelast"/>
          <w:rFonts w:asciiTheme="majorBidi" w:hAnsiTheme="majorBidi" w:cstheme="majorBidi"/>
          <w:sz w:val="20"/>
          <w:szCs w:val="20"/>
          <w:bdr w:val="none" w:sz="0" w:space="0" w:color="auto" w:frame="1"/>
          <w:shd w:val="clear" w:color="auto" w:fill="FFFFFF"/>
        </w:rPr>
        <w:t>198</w:t>
      </w:r>
      <w:r w:rsidRPr="009D551E">
        <w:rPr>
          <w:rFonts w:asciiTheme="majorBidi" w:hAnsiTheme="majorBidi" w:cstheme="majorBidi"/>
          <w:sz w:val="20"/>
          <w:szCs w:val="20"/>
          <w:shd w:val="clear" w:color="auto" w:fill="FFFFFF"/>
        </w:rPr>
        <w:t xml:space="preserve">. </w:t>
      </w:r>
      <w:proofErr w:type="spellStart"/>
      <w:r w:rsidRPr="009D551E">
        <w:rPr>
          <w:rFonts w:asciiTheme="majorBidi" w:hAnsiTheme="majorBidi" w:cstheme="majorBidi"/>
          <w:sz w:val="20"/>
          <w:szCs w:val="20"/>
          <w:shd w:val="clear" w:color="auto" w:fill="FFFFFF"/>
        </w:rPr>
        <w:t>doi</w:t>
      </w:r>
      <w:proofErr w:type="spellEnd"/>
      <w:r w:rsidRPr="009D551E">
        <w:rPr>
          <w:rFonts w:asciiTheme="majorBidi" w:hAnsiTheme="majorBidi" w:cstheme="majorBidi"/>
          <w:sz w:val="20"/>
          <w:szCs w:val="20"/>
          <w:shd w:val="clear" w:color="auto" w:fill="FFFFFF"/>
        </w:rPr>
        <w:t>: </w:t>
      </w:r>
      <w:hyperlink r:id="rId37" w:tgtFrame="_blank" w:tooltip="Link to external resource: 10.1002/ldr.2632" w:history="1">
        <w:r w:rsidRPr="009D551E">
          <w:rPr>
            <w:rStyle w:val="Hyperlink"/>
            <w:rFonts w:asciiTheme="majorBidi" w:hAnsiTheme="majorBidi" w:cstheme="majorBidi"/>
            <w:color w:val="auto"/>
            <w:sz w:val="20"/>
            <w:szCs w:val="20"/>
            <w:shd w:val="clear" w:color="auto" w:fill="FFFFFF"/>
          </w:rPr>
          <w:t>10.1002/ldr.2632</w:t>
        </w:r>
      </w:hyperlink>
      <w:r w:rsidRPr="009D551E">
        <w:rPr>
          <w:rFonts w:asciiTheme="majorBidi" w:hAnsiTheme="majorBidi" w:cstheme="majorBidi"/>
          <w:sz w:val="20"/>
          <w:szCs w:val="20"/>
          <w:shd w:val="clear" w:color="auto" w:fill="FFFFFF"/>
        </w:rPr>
        <w:t>.</w:t>
      </w:r>
      <w:r w:rsidRPr="009D551E">
        <w:rPr>
          <w:rFonts w:asciiTheme="majorBidi" w:hAnsiTheme="majorBidi" w:cstheme="majorBidi"/>
          <w:sz w:val="20"/>
          <w:szCs w:val="20"/>
          <w:lang w:val="en-US"/>
        </w:rPr>
        <w:t xml:space="preserve">, </w:t>
      </w:r>
    </w:p>
  </w:footnote>
  <w:footnote w:id="344">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Grill, G. et al (2015) An index-based framework for assessing patterns and trends in river fragmentation and flow regulation by global dams at multiple scales. Environmental Research Letters. 10 015001</w:t>
      </w:r>
    </w:p>
  </w:footnote>
  <w:footnote w:id="345">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Crouzeilles</w:t>
      </w:r>
      <w:proofErr w:type="spellEnd"/>
      <w:r w:rsidRPr="009D551E">
        <w:rPr>
          <w:rFonts w:asciiTheme="majorBidi" w:hAnsiTheme="majorBidi" w:cstheme="majorBidi"/>
          <w:sz w:val="20"/>
          <w:szCs w:val="20"/>
          <w:lang w:val="en-US"/>
        </w:rPr>
        <w:t>, R et al (2016).  A global meta-analysis on the ecological drivers of forest restoration success. Nature Communications 7. http://dx.doi.org/10.1038/ncomms11666</w:t>
      </w:r>
    </w:p>
  </w:footnote>
  <w:footnote w:id="346">
    <w:p w:rsidR="00071EBB" w:rsidRPr="009D551E" w:rsidRDefault="00071EBB" w:rsidP="009D551E">
      <w:pPr>
        <w:pStyle w:val="FootnoteText"/>
        <w:ind w:firstLine="0"/>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Moreno-</w:t>
      </w:r>
      <w:proofErr w:type="spellStart"/>
      <w:r w:rsidRPr="009D551E">
        <w:rPr>
          <w:rFonts w:asciiTheme="majorBidi" w:hAnsiTheme="majorBidi" w:cstheme="majorBidi"/>
          <w:sz w:val="20"/>
          <w:szCs w:val="20"/>
          <w:shd w:val="clear" w:color="auto" w:fill="FFFFFF"/>
        </w:rPr>
        <w:t>Mateos</w:t>
      </w:r>
      <w:proofErr w:type="spellEnd"/>
      <w:r w:rsidRPr="009D551E">
        <w:rPr>
          <w:rFonts w:asciiTheme="majorBidi" w:hAnsiTheme="majorBidi" w:cstheme="majorBidi"/>
          <w:sz w:val="20"/>
          <w:szCs w:val="20"/>
          <w:shd w:val="clear" w:color="auto" w:fill="FFFFFF"/>
        </w:rPr>
        <w:t xml:space="preserve">, D., et al (2015), Ecosystem response to interventions: lessons from restored and created wetland ecosystems. J </w:t>
      </w:r>
      <w:proofErr w:type="spellStart"/>
      <w:r w:rsidRPr="009D551E">
        <w:rPr>
          <w:rFonts w:asciiTheme="majorBidi" w:hAnsiTheme="majorBidi" w:cstheme="majorBidi"/>
          <w:sz w:val="20"/>
          <w:szCs w:val="20"/>
          <w:shd w:val="clear" w:color="auto" w:fill="FFFFFF"/>
        </w:rPr>
        <w:t>Appl</w:t>
      </w:r>
      <w:proofErr w:type="spellEnd"/>
      <w:r w:rsidRPr="009D551E">
        <w:rPr>
          <w:rFonts w:asciiTheme="majorBidi" w:hAnsiTheme="majorBidi" w:cstheme="majorBidi"/>
          <w:sz w:val="20"/>
          <w:szCs w:val="20"/>
          <w:shd w:val="clear" w:color="auto" w:fill="FFFFFF"/>
        </w:rPr>
        <w:t xml:space="preserve"> </w:t>
      </w:r>
      <w:proofErr w:type="spellStart"/>
      <w:r w:rsidRPr="009D551E">
        <w:rPr>
          <w:rFonts w:asciiTheme="majorBidi" w:hAnsiTheme="majorBidi" w:cstheme="majorBidi"/>
          <w:sz w:val="20"/>
          <w:szCs w:val="20"/>
          <w:shd w:val="clear" w:color="auto" w:fill="FFFFFF"/>
        </w:rPr>
        <w:t>Ecol</w:t>
      </w:r>
      <w:proofErr w:type="spellEnd"/>
      <w:r w:rsidRPr="009D551E">
        <w:rPr>
          <w:rFonts w:asciiTheme="majorBidi" w:hAnsiTheme="majorBidi" w:cstheme="majorBidi"/>
          <w:sz w:val="20"/>
          <w:szCs w:val="20"/>
          <w:shd w:val="clear" w:color="auto" w:fill="FFFFFF"/>
        </w:rPr>
        <w:t>, 52: 1528–1537. doi:10.1111/1365-2664.12518</w:t>
      </w:r>
    </w:p>
  </w:footnote>
  <w:footnote w:id="347">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shd w:val="clear" w:color="auto" w:fill="FFFFFF"/>
        </w:rPr>
        <w:t>Meli</w:t>
      </w:r>
      <w:proofErr w:type="spellEnd"/>
      <w:r w:rsidRPr="009D551E">
        <w:rPr>
          <w:rFonts w:asciiTheme="majorBidi" w:hAnsiTheme="majorBidi" w:cstheme="majorBidi"/>
          <w:sz w:val="20"/>
          <w:szCs w:val="20"/>
          <w:shd w:val="clear" w:color="auto" w:fill="FFFFFF"/>
        </w:rPr>
        <w:t xml:space="preserve"> P, et al. (2017) A global review of past land use, climate, and active vs. passive restoration effects on forest recovery. </w:t>
      </w:r>
      <w:proofErr w:type="spellStart"/>
      <w:r w:rsidRPr="009D551E">
        <w:rPr>
          <w:rFonts w:asciiTheme="majorBidi" w:hAnsiTheme="majorBidi" w:cstheme="majorBidi"/>
          <w:sz w:val="20"/>
          <w:szCs w:val="20"/>
          <w:shd w:val="clear" w:color="auto" w:fill="FFFFFF"/>
          <w:lang w:val="en-US"/>
        </w:rPr>
        <w:t>PLoS</w:t>
      </w:r>
      <w:proofErr w:type="spellEnd"/>
      <w:r w:rsidRPr="009D551E">
        <w:rPr>
          <w:rFonts w:asciiTheme="majorBidi" w:hAnsiTheme="majorBidi" w:cstheme="majorBidi"/>
          <w:sz w:val="20"/>
          <w:szCs w:val="20"/>
          <w:shd w:val="clear" w:color="auto" w:fill="FFFFFF"/>
          <w:lang w:val="en-US"/>
        </w:rPr>
        <w:t xml:space="preserve"> ONE 12(2): e0171368. https://doi.org/10.1371/journal.pone.0171368</w:t>
      </w:r>
    </w:p>
  </w:footnote>
  <w:footnote w:id="348">
    <w:p w:rsidR="00071EBB" w:rsidRPr="009D551E" w:rsidRDefault="00071EBB" w:rsidP="009D551E">
      <w:pPr>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Chengjie</w:t>
      </w:r>
      <w:proofErr w:type="spellEnd"/>
      <w:r w:rsidRPr="009D551E">
        <w:rPr>
          <w:rFonts w:asciiTheme="majorBidi" w:hAnsiTheme="majorBidi" w:cstheme="majorBidi"/>
          <w:sz w:val="20"/>
          <w:szCs w:val="20"/>
          <w:lang w:val="en-US"/>
        </w:rPr>
        <w:t xml:space="preserve"> R, et al (2016) Linkages of C:N:P stoichiometry and bacterial community in soil following afforestation of former </w:t>
      </w:r>
      <w:proofErr w:type="spellStart"/>
      <w:r w:rsidRPr="009D551E">
        <w:rPr>
          <w:rFonts w:asciiTheme="majorBidi" w:hAnsiTheme="majorBidi" w:cstheme="majorBidi"/>
          <w:sz w:val="20"/>
          <w:szCs w:val="20"/>
          <w:lang w:val="en-US"/>
        </w:rPr>
        <w:t>farmland,Forest</w:t>
      </w:r>
      <w:proofErr w:type="spellEnd"/>
      <w:r w:rsidRPr="009D551E">
        <w:rPr>
          <w:rFonts w:asciiTheme="majorBidi" w:hAnsiTheme="majorBidi" w:cstheme="majorBidi"/>
          <w:sz w:val="20"/>
          <w:szCs w:val="20"/>
          <w:lang w:val="en-US"/>
        </w:rPr>
        <w:t xml:space="preserve"> Ecology and Management,376, 59-66,</w:t>
      </w:r>
    </w:p>
  </w:footnote>
  <w:footnote w:id="349">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rPr>
        <w:t>Barral</w:t>
      </w:r>
      <w:proofErr w:type="spellEnd"/>
      <w:r w:rsidRPr="009D551E">
        <w:rPr>
          <w:rFonts w:asciiTheme="majorBidi" w:hAnsiTheme="majorBidi" w:cstheme="majorBidi"/>
          <w:sz w:val="20"/>
          <w:szCs w:val="20"/>
        </w:rPr>
        <w:t>, M. P. et al (2015) Quantifying the impacts of ecological restoration on biodiversity and ecosystem services in agroecosystems: A global meta-analysis, Agriculture, Ecosystems and Environment, 202, 223-231.</w:t>
      </w:r>
    </w:p>
  </w:footnote>
  <w:footnote w:id="350">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Poorter</w:t>
      </w:r>
      <w:proofErr w:type="spellEnd"/>
      <w:r w:rsidRPr="009D551E">
        <w:rPr>
          <w:rFonts w:asciiTheme="majorBidi" w:hAnsiTheme="majorBidi" w:cstheme="majorBidi"/>
          <w:sz w:val="20"/>
          <w:szCs w:val="20"/>
        </w:rPr>
        <w:t xml:space="preserve">, L. et al (2016) Biomass resilience of </w:t>
      </w:r>
      <w:proofErr w:type="spellStart"/>
      <w:r w:rsidRPr="009D551E">
        <w:rPr>
          <w:rFonts w:asciiTheme="majorBidi" w:hAnsiTheme="majorBidi" w:cstheme="majorBidi"/>
          <w:sz w:val="20"/>
          <w:szCs w:val="20"/>
        </w:rPr>
        <w:t>Neotrpopical</w:t>
      </w:r>
      <w:proofErr w:type="spellEnd"/>
      <w:r w:rsidRPr="009D551E">
        <w:rPr>
          <w:rFonts w:asciiTheme="majorBidi" w:hAnsiTheme="majorBidi" w:cstheme="majorBidi"/>
          <w:sz w:val="20"/>
          <w:szCs w:val="20"/>
        </w:rPr>
        <w:t xml:space="preserve"> secondary forests. Nature. 530, pages 211–214.  </w:t>
      </w:r>
    </w:p>
  </w:footnote>
  <w:footnote w:id="351">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Chazdon</w:t>
      </w:r>
      <w:proofErr w:type="spellEnd"/>
      <w:r w:rsidRPr="009D551E">
        <w:rPr>
          <w:rFonts w:asciiTheme="majorBidi" w:hAnsiTheme="majorBidi" w:cstheme="majorBidi"/>
          <w:sz w:val="20"/>
          <w:szCs w:val="20"/>
          <w:lang w:val="en-US"/>
        </w:rPr>
        <w:t xml:space="preserve">, R. L. et al (2016). </w:t>
      </w:r>
      <w:r w:rsidRPr="009D551E">
        <w:rPr>
          <w:rFonts w:asciiTheme="majorBidi" w:hAnsiTheme="majorBidi" w:cstheme="majorBidi"/>
          <w:sz w:val="20"/>
          <w:szCs w:val="20"/>
        </w:rPr>
        <w:t xml:space="preserve">Carbon sequestration potential of second-growth forest regeneration in the Latin American Tropics. Science </w:t>
      </w:r>
      <w:proofErr w:type="gramStart"/>
      <w:r w:rsidRPr="009D551E">
        <w:rPr>
          <w:rFonts w:asciiTheme="majorBidi" w:hAnsiTheme="majorBidi" w:cstheme="majorBidi"/>
          <w:sz w:val="20"/>
          <w:szCs w:val="20"/>
        </w:rPr>
        <w:t>Advances  2</w:t>
      </w:r>
      <w:proofErr w:type="gramEnd"/>
      <w:r w:rsidRPr="009D551E">
        <w:rPr>
          <w:rFonts w:asciiTheme="majorBidi" w:hAnsiTheme="majorBidi" w:cstheme="majorBidi"/>
          <w:sz w:val="20"/>
          <w:szCs w:val="20"/>
        </w:rPr>
        <w:t xml:space="preserve">(5) e1501639. </w:t>
      </w:r>
    </w:p>
  </w:footnote>
  <w:footnote w:id="352">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Baccini</w:t>
      </w:r>
      <w:proofErr w:type="spellEnd"/>
      <w:r w:rsidRPr="009D551E">
        <w:rPr>
          <w:rFonts w:asciiTheme="majorBidi" w:hAnsiTheme="majorBidi" w:cstheme="majorBidi"/>
          <w:sz w:val="20"/>
          <w:szCs w:val="20"/>
        </w:rPr>
        <w:t>, A. et al (2017). Tropical forests are a net carbon source based on aboveground measurements of gain and loss. Science. 10.1126/science.aam5962.</w:t>
      </w:r>
    </w:p>
  </w:footnote>
  <w:footnote w:id="353">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fr-FR"/>
        </w:rPr>
        <w:t xml:space="preserve"> Jones, H. P. et al (2018). </w:t>
      </w:r>
      <w:r w:rsidRPr="009D551E">
        <w:rPr>
          <w:rFonts w:asciiTheme="majorBidi" w:hAnsiTheme="majorBidi" w:cstheme="majorBidi"/>
          <w:sz w:val="20"/>
          <w:szCs w:val="20"/>
          <w:lang w:val="en-US"/>
        </w:rPr>
        <w:t>Restoration and repair of Earth’s damaged ecosystems. Proceedings of the Royal Society B. 285 (1873). DOI: 10.1098/rspb.2017.2577</w:t>
      </w:r>
    </w:p>
  </w:footnote>
  <w:footnote w:id="354">
    <w:p w:rsidR="00071EBB" w:rsidRPr="009D551E" w:rsidRDefault="00071EBB" w:rsidP="009D551E">
      <w:pPr>
        <w:pStyle w:val="FootnoteText"/>
        <w:ind w:firstLine="0"/>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fr-FR"/>
        </w:rPr>
        <w:t xml:space="preserve"> </w:t>
      </w:r>
      <w:proofErr w:type="spellStart"/>
      <w:r w:rsidRPr="00E7198A">
        <w:rPr>
          <w:rFonts w:asciiTheme="majorBidi" w:hAnsiTheme="majorBidi" w:cstheme="majorBidi"/>
          <w:sz w:val="20"/>
          <w:szCs w:val="20"/>
          <w:lang w:val="fr-FR"/>
        </w:rPr>
        <w:t>Griscom</w:t>
      </w:r>
      <w:proofErr w:type="spellEnd"/>
      <w:r w:rsidRPr="00E7198A">
        <w:rPr>
          <w:rFonts w:asciiTheme="majorBidi" w:hAnsiTheme="majorBidi" w:cstheme="majorBidi"/>
          <w:sz w:val="20"/>
          <w:szCs w:val="20"/>
          <w:lang w:val="fr-FR"/>
        </w:rPr>
        <w:t xml:space="preserve">, B. W. et al (2017). </w:t>
      </w:r>
      <w:r w:rsidRPr="009D551E">
        <w:rPr>
          <w:rFonts w:asciiTheme="majorBidi" w:hAnsiTheme="majorBidi" w:cstheme="majorBidi"/>
          <w:sz w:val="20"/>
          <w:szCs w:val="20"/>
        </w:rPr>
        <w:t xml:space="preserve">Natural climate solutions. Proceedings of the National Academy of Sciences. 114 (44) 11645-11650. </w:t>
      </w:r>
    </w:p>
  </w:footnote>
  <w:footnote w:id="355">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r w:rsidRPr="009D551E">
        <w:rPr>
          <w:rFonts w:asciiTheme="majorBidi" w:hAnsiTheme="majorBidi" w:cstheme="majorBidi"/>
          <w:sz w:val="20"/>
          <w:szCs w:val="20"/>
          <w:shd w:val="clear" w:color="auto" w:fill="FFFFFF"/>
        </w:rPr>
        <w:t>Moreno-</w:t>
      </w:r>
      <w:proofErr w:type="spellStart"/>
      <w:r w:rsidRPr="009D551E">
        <w:rPr>
          <w:rFonts w:asciiTheme="majorBidi" w:hAnsiTheme="majorBidi" w:cstheme="majorBidi"/>
          <w:sz w:val="20"/>
          <w:szCs w:val="20"/>
          <w:shd w:val="clear" w:color="auto" w:fill="FFFFFF"/>
        </w:rPr>
        <w:t>Mateos</w:t>
      </w:r>
      <w:proofErr w:type="spellEnd"/>
      <w:r w:rsidRPr="009D551E">
        <w:rPr>
          <w:rFonts w:asciiTheme="majorBidi" w:hAnsiTheme="majorBidi" w:cstheme="majorBidi"/>
          <w:sz w:val="20"/>
          <w:szCs w:val="20"/>
          <w:shd w:val="clear" w:color="auto" w:fill="FFFFFF"/>
        </w:rPr>
        <w:t xml:space="preserve">, D., et al (2015), Ecosystem response to interventions: lessons from restored and created wetland ecosystems. J </w:t>
      </w:r>
      <w:proofErr w:type="spellStart"/>
      <w:r w:rsidRPr="009D551E">
        <w:rPr>
          <w:rFonts w:asciiTheme="majorBidi" w:hAnsiTheme="majorBidi" w:cstheme="majorBidi"/>
          <w:sz w:val="20"/>
          <w:szCs w:val="20"/>
          <w:shd w:val="clear" w:color="auto" w:fill="FFFFFF"/>
        </w:rPr>
        <w:t>Appl</w:t>
      </w:r>
      <w:proofErr w:type="spellEnd"/>
      <w:r w:rsidRPr="009D551E">
        <w:rPr>
          <w:rFonts w:asciiTheme="majorBidi" w:hAnsiTheme="majorBidi" w:cstheme="majorBidi"/>
          <w:sz w:val="20"/>
          <w:szCs w:val="20"/>
          <w:shd w:val="clear" w:color="auto" w:fill="FFFFFF"/>
        </w:rPr>
        <w:t xml:space="preserve"> </w:t>
      </w:r>
      <w:proofErr w:type="spellStart"/>
      <w:r w:rsidRPr="009D551E">
        <w:rPr>
          <w:rFonts w:asciiTheme="majorBidi" w:hAnsiTheme="majorBidi" w:cstheme="majorBidi"/>
          <w:sz w:val="20"/>
          <w:szCs w:val="20"/>
          <w:shd w:val="clear" w:color="auto" w:fill="FFFFFF"/>
        </w:rPr>
        <w:t>Ecol</w:t>
      </w:r>
      <w:proofErr w:type="spellEnd"/>
      <w:r w:rsidRPr="009D551E">
        <w:rPr>
          <w:rFonts w:asciiTheme="majorBidi" w:hAnsiTheme="majorBidi" w:cstheme="majorBidi"/>
          <w:sz w:val="20"/>
          <w:szCs w:val="20"/>
          <w:shd w:val="clear" w:color="auto" w:fill="FFFFFF"/>
        </w:rPr>
        <w:t>, 52: 1528–1537. doi:10.1111/1365-2664.12518</w:t>
      </w:r>
    </w:p>
  </w:footnote>
  <w:footnote w:id="356">
    <w:p w:rsidR="00071EBB" w:rsidRPr="009D551E" w:rsidRDefault="00071EBB" w:rsidP="009D551E">
      <w:pPr>
        <w:pStyle w:val="FootnoteText"/>
        <w:ind w:firstLine="0"/>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Bayraktarov</w:t>
      </w:r>
      <w:proofErr w:type="spellEnd"/>
      <w:r w:rsidRPr="009D551E">
        <w:rPr>
          <w:rFonts w:asciiTheme="majorBidi" w:hAnsiTheme="majorBidi" w:cstheme="majorBidi"/>
          <w:sz w:val="20"/>
          <w:szCs w:val="20"/>
        </w:rPr>
        <w:t>, E., et al (2016). The cost and feasibility of marine coastal restoration. Ecological Applications, 26: 1055–1074.</w:t>
      </w:r>
    </w:p>
  </w:footnote>
  <w:footnote w:id="357">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shd w:val="clear" w:color="auto" w:fill="FFFFFF"/>
        </w:rPr>
        <w:t>BenDor</w:t>
      </w:r>
      <w:proofErr w:type="spellEnd"/>
      <w:r w:rsidRPr="009D551E">
        <w:rPr>
          <w:rFonts w:asciiTheme="majorBidi" w:hAnsiTheme="majorBidi" w:cstheme="majorBidi"/>
          <w:sz w:val="20"/>
          <w:szCs w:val="20"/>
          <w:shd w:val="clear" w:color="auto" w:fill="FFFFFF"/>
        </w:rPr>
        <w:t xml:space="preserve"> T, et al (2015) Estimating the Size and Impact of the Ecological Restoration Economy. </w:t>
      </w:r>
      <w:proofErr w:type="spellStart"/>
      <w:r w:rsidRPr="009D551E">
        <w:rPr>
          <w:rFonts w:asciiTheme="majorBidi" w:hAnsiTheme="majorBidi" w:cstheme="majorBidi"/>
          <w:sz w:val="20"/>
          <w:szCs w:val="20"/>
          <w:shd w:val="clear" w:color="auto" w:fill="FFFFFF"/>
        </w:rPr>
        <w:t>PLoS</w:t>
      </w:r>
      <w:proofErr w:type="spellEnd"/>
      <w:r w:rsidRPr="009D551E">
        <w:rPr>
          <w:rFonts w:asciiTheme="majorBidi" w:hAnsiTheme="majorBidi" w:cstheme="majorBidi"/>
          <w:sz w:val="20"/>
          <w:szCs w:val="20"/>
          <w:shd w:val="clear" w:color="auto" w:fill="FFFFFF"/>
        </w:rPr>
        <w:t xml:space="preserve"> ONE 10(6): e0128339. https://doi.org/10.1371/journal.pone.0128339</w:t>
      </w:r>
    </w:p>
  </w:footnote>
  <w:footnote w:id="358">
    <w:p w:rsidR="00071EBB" w:rsidRPr="009D551E" w:rsidRDefault="00071EBB" w:rsidP="009D551E">
      <w:pPr>
        <w:pStyle w:val="FootnoteText"/>
        <w:ind w:firstLine="0"/>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Isbell, F et al (2015). Biodiversity increases the resistance of ecosystem productivity to climate extremes. Nature 526, 574-577.</w:t>
      </w:r>
    </w:p>
    <w:p w:rsidR="00071EBB" w:rsidRPr="009D551E" w:rsidRDefault="00071EBB" w:rsidP="009D551E">
      <w:pPr>
        <w:pStyle w:val="FootnoteText"/>
        <w:ind w:firstLine="0"/>
        <w:jc w:val="left"/>
        <w:rPr>
          <w:rFonts w:asciiTheme="majorBidi" w:hAnsiTheme="majorBidi" w:cstheme="majorBidi"/>
          <w:sz w:val="20"/>
          <w:szCs w:val="20"/>
          <w:shd w:val="clear" w:color="auto" w:fill="FFFFFF"/>
        </w:rPr>
      </w:pPr>
      <w:proofErr w:type="spellStart"/>
      <w:r w:rsidRPr="009D551E">
        <w:rPr>
          <w:rFonts w:asciiTheme="majorBidi" w:hAnsiTheme="majorBidi" w:cstheme="majorBidi"/>
          <w:sz w:val="20"/>
          <w:szCs w:val="20"/>
          <w:shd w:val="clear" w:color="auto" w:fill="FFFFFF"/>
          <w:lang w:val="en-US"/>
        </w:rPr>
        <w:t>Lamers</w:t>
      </w:r>
      <w:proofErr w:type="spellEnd"/>
      <w:r w:rsidRPr="009D551E">
        <w:rPr>
          <w:rFonts w:asciiTheme="majorBidi" w:hAnsiTheme="majorBidi" w:cstheme="majorBidi"/>
          <w:sz w:val="20"/>
          <w:szCs w:val="20"/>
          <w:shd w:val="clear" w:color="auto" w:fill="FFFFFF"/>
          <w:lang w:val="en-US"/>
        </w:rPr>
        <w:t xml:space="preserve">, L. P. M., et al. </w:t>
      </w:r>
      <w:r w:rsidRPr="009D551E">
        <w:rPr>
          <w:rFonts w:asciiTheme="majorBidi" w:hAnsiTheme="majorBidi" w:cstheme="majorBidi"/>
          <w:sz w:val="20"/>
          <w:szCs w:val="20"/>
          <w:shd w:val="clear" w:color="auto" w:fill="FFFFFF"/>
        </w:rPr>
        <w:t xml:space="preserve">(2015), Ecological restoration of rich fens in Europe and North America: from trial and error to an evidence-based approach. </w:t>
      </w:r>
      <w:proofErr w:type="spellStart"/>
      <w:r w:rsidRPr="009D551E">
        <w:rPr>
          <w:rFonts w:asciiTheme="majorBidi" w:hAnsiTheme="majorBidi" w:cstheme="majorBidi"/>
          <w:sz w:val="20"/>
          <w:szCs w:val="20"/>
          <w:shd w:val="clear" w:color="auto" w:fill="FFFFFF"/>
        </w:rPr>
        <w:t>Biol</w:t>
      </w:r>
      <w:proofErr w:type="spellEnd"/>
      <w:r w:rsidRPr="009D551E">
        <w:rPr>
          <w:rFonts w:asciiTheme="majorBidi" w:hAnsiTheme="majorBidi" w:cstheme="majorBidi"/>
          <w:sz w:val="20"/>
          <w:szCs w:val="20"/>
          <w:shd w:val="clear" w:color="auto" w:fill="FFFFFF"/>
        </w:rPr>
        <w:t xml:space="preserve"> Rev, 90: 182–203. doi:10.1111/brv.12102</w:t>
      </w:r>
    </w:p>
    <w:p w:rsidR="00071EBB" w:rsidRPr="009D551E" w:rsidRDefault="00071EBB" w:rsidP="009D551E">
      <w:pPr>
        <w:pStyle w:val="FootnoteText"/>
        <w:ind w:firstLine="0"/>
        <w:jc w:val="left"/>
        <w:rPr>
          <w:rFonts w:asciiTheme="majorBidi" w:hAnsiTheme="majorBidi" w:cstheme="majorBidi"/>
          <w:sz w:val="20"/>
          <w:szCs w:val="20"/>
          <w:lang w:val="fr-BE"/>
        </w:rPr>
      </w:pPr>
      <w:proofErr w:type="spellStart"/>
      <w:r w:rsidRPr="009D551E">
        <w:rPr>
          <w:rFonts w:asciiTheme="majorBidi" w:hAnsiTheme="majorBidi" w:cstheme="majorBidi"/>
          <w:sz w:val="20"/>
          <w:szCs w:val="20"/>
          <w:shd w:val="clear" w:color="auto" w:fill="FFFFFF"/>
        </w:rPr>
        <w:t>Waldén</w:t>
      </w:r>
      <w:proofErr w:type="spellEnd"/>
      <w:r w:rsidRPr="009D551E">
        <w:rPr>
          <w:rFonts w:asciiTheme="majorBidi" w:hAnsiTheme="majorBidi" w:cstheme="majorBidi"/>
          <w:sz w:val="20"/>
          <w:szCs w:val="20"/>
          <w:shd w:val="clear" w:color="auto" w:fill="FFFFFF"/>
        </w:rPr>
        <w:t xml:space="preserve"> E, and Lindborg R (2016) Long Term Positive Effect of Grassland Restoration on Plant Diversity - Success or Not? </w:t>
      </w:r>
      <w:proofErr w:type="spellStart"/>
      <w:r w:rsidRPr="009D551E">
        <w:rPr>
          <w:rFonts w:asciiTheme="majorBidi" w:hAnsiTheme="majorBidi" w:cstheme="majorBidi"/>
          <w:sz w:val="20"/>
          <w:szCs w:val="20"/>
          <w:shd w:val="clear" w:color="auto" w:fill="FFFFFF"/>
          <w:lang w:val="fr-BE"/>
        </w:rPr>
        <w:t>PLoS</w:t>
      </w:r>
      <w:proofErr w:type="spellEnd"/>
      <w:r w:rsidRPr="009D551E">
        <w:rPr>
          <w:rFonts w:asciiTheme="majorBidi" w:hAnsiTheme="majorBidi" w:cstheme="majorBidi"/>
          <w:sz w:val="20"/>
          <w:szCs w:val="20"/>
          <w:shd w:val="clear" w:color="auto" w:fill="FFFFFF"/>
          <w:lang w:val="fr-BE"/>
        </w:rPr>
        <w:t xml:space="preserve"> ONE 11(5): e0155836. https://doi.org/10.1371/journal.pone.0155836</w:t>
      </w:r>
    </w:p>
  </w:footnote>
  <w:footnote w:id="359">
    <w:p w:rsidR="00071EBB" w:rsidRPr="009D551E" w:rsidRDefault="00071EBB" w:rsidP="009D551E">
      <w:pPr>
        <w:pStyle w:val="FootnoteText"/>
        <w:ind w:firstLine="0"/>
        <w:jc w:val="left"/>
        <w:rPr>
          <w:rFonts w:asciiTheme="majorBidi" w:hAnsiTheme="majorBidi" w:cstheme="majorBidi"/>
          <w:sz w:val="20"/>
          <w:szCs w:val="20"/>
          <w:lang w:val="fr-BE"/>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en-US"/>
        </w:rPr>
        <w:t xml:space="preserve"> </w:t>
      </w:r>
      <w:proofErr w:type="spellStart"/>
      <w:r w:rsidRPr="00E7198A">
        <w:rPr>
          <w:rFonts w:asciiTheme="majorBidi" w:hAnsiTheme="majorBidi" w:cstheme="majorBidi"/>
          <w:sz w:val="20"/>
          <w:szCs w:val="20"/>
          <w:lang w:val="en-US"/>
        </w:rPr>
        <w:t>Crouzeilles</w:t>
      </w:r>
      <w:proofErr w:type="spellEnd"/>
      <w:r w:rsidRPr="00E7198A">
        <w:rPr>
          <w:rFonts w:asciiTheme="majorBidi" w:hAnsiTheme="majorBidi" w:cstheme="majorBidi"/>
          <w:sz w:val="20"/>
          <w:szCs w:val="20"/>
          <w:lang w:val="en-US"/>
        </w:rPr>
        <w:t xml:space="preserve">, R et al (2016). </w:t>
      </w:r>
      <w:r w:rsidRPr="009D551E">
        <w:rPr>
          <w:rFonts w:asciiTheme="majorBidi" w:hAnsiTheme="majorBidi" w:cstheme="majorBidi"/>
          <w:sz w:val="20"/>
          <w:szCs w:val="20"/>
          <w:lang w:val="en-US"/>
        </w:rPr>
        <w:t xml:space="preserve">A global meta-analysis on the ecological drivers of forest restoration success. </w:t>
      </w:r>
      <w:r w:rsidRPr="009D551E">
        <w:rPr>
          <w:rFonts w:asciiTheme="majorBidi" w:hAnsiTheme="majorBidi" w:cstheme="majorBidi"/>
          <w:sz w:val="20"/>
          <w:szCs w:val="20"/>
          <w:lang w:val="fr-BE"/>
        </w:rPr>
        <w:t>Nature Communications 7. http://dx.doi.org/10.1038/ncomms11666</w:t>
      </w:r>
    </w:p>
  </w:footnote>
  <w:footnote w:id="360">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en-US"/>
        </w:rPr>
        <w:t xml:space="preserve"> Vidal, C. et al (2016). </w:t>
      </w:r>
      <w:r w:rsidRPr="009D551E">
        <w:rPr>
          <w:rFonts w:asciiTheme="majorBidi" w:hAnsiTheme="majorBidi" w:cstheme="majorBidi"/>
          <w:sz w:val="20"/>
          <w:szCs w:val="20"/>
          <w:lang w:val="en-US"/>
        </w:rPr>
        <w:t>Biodiversity Conservation of Forests and their Ecological Restoration in Highly-modified Landscapes. Biodiversity in Agricultural Landscapes of Southeastern Brazil. 136-150. 10.1515/9783110480849-010</w:t>
      </w:r>
    </w:p>
  </w:footnote>
  <w:footnote w:id="361">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shd w:val="clear" w:color="auto" w:fill="FFFFFF"/>
        </w:rPr>
        <w:t>Meli</w:t>
      </w:r>
      <w:proofErr w:type="spellEnd"/>
      <w:r w:rsidRPr="009D551E">
        <w:rPr>
          <w:rFonts w:asciiTheme="majorBidi" w:hAnsiTheme="majorBidi" w:cstheme="majorBidi"/>
          <w:sz w:val="20"/>
          <w:szCs w:val="20"/>
          <w:shd w:val="clear" w:color="auto" w:fill="FFFFFF"/>
        </w:rPr>
        <w:t xml:space="preserve"> P, et al. (2017) A global review of past land use, climate, and active vs. passive restoration effects on forest recovery. </w:t>
      </w:r>
      <w:proofErr w:type="spellStart"/>
      <w:r w:rsidRPr="009D551E">
        <w:rPr>
          <w:rFonts w:asciiTheme="majorBidi" w:hAnsiTheme="majorBidi" w:cstheme="majorBidi"/>
          <w:sz w:val="20"/>
          <w:szCs w:val="20"/>
          <w:shd w:val="clear" w:color="auto" w:fill="FFFFFF"/>
          <w:lang w:val="en-US"/>
        </w:rPr>
        <w:t>PLoS</w:t>
      </w:r>
      <w:proofErr w:type="spellEnd"/>
      <w:r w:rsidRPr="009D551E">
        <w:rPr>
          <w:rFonts w:asciiTheme="majorBidi" w:hAnsiTheme="majorBidi" w:cstheme="majorBidi"/>
          <w:sz w:val="20"/>
          <w:szCs w:val="20"/>
          <w:shd w:val="clear" w:color="auto" w:fill="FFFFFF"/>
          <w:lang w:val="en-US"/>
        </w:rPr>
        <w:t xml:space="preserve"> ONE 12(2): e0171368. https://doi.org/10.1371/journal.pone.0171368</w:t>
      </w:r>
    </w:p>
  </w:footnote>
  <w:footnote w:id="362">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Hidayati</w:t>
      </w:r>
      <w:proofErr w:type="spellEnd"/>
      <w:r w:rsidRPr="009D551E">
        <w:rPr>
          <w:rFonts w:asciiTheme="majorBidi" w:hAnsiTheme="majorBidi" w:cstheme="majorBidi"/>
          <w:sz w:val="20"/>
          <w:szCs w:val="20"/>
          <w:lang w:val="en-US"/>
        </w:rPr>
        <w:t xml:space="preserve">, S. et al (2017). Using </w:t>
      </w:r>
      <w:proofErr w:type="spellStart"/>
      <w:r w:rsidRPr="009D551E">
        <w:rPr>
          <w:rFonts w:asciiTheme="majorBidi" w:hAnsiTheme="majorBidi" w:cstheme="majorBidi"/>
          <w:sz w:val="20"/>
          <w:szCs w:val="20"/>
          <w:lang w:val="en-US"/>
        </w:rPr>
        <w:t>Ethnotaxonomy</w:t>
      </w:r>
      <w:proofErr w:type="spellEnd"/>
      <w:r w:rsidRPr="009D551E">
        <w:rPr>
          <w:rFonts w:asciiTheme="majorBidi" w:hAnsiTheme="majorBidi" w:cstheme="majorBidi"/>
          <w:sz w:val="20"/>
          <w:szCs w:val="20"/>
          <w:lang w:val="en-US"/>
        </w:rPr>
        <w:t xml:space="preserve"> to assess Traditional Knowledge and Language vitality: A case study with the </w:t>
      </w:r>
      <w:proofErr w:type="spellStart"/>
      <w:r w:rsidRPr="009D551E">
        <w:rPr>
          <w:rFonts w:asciiTheme="majorBidi" w:hAnsiTheme="majorBidi" w:cstheme="majorBidi"/>
          <w:sz w:val="20"/>
          <w:szCs w:val="20"/>
          <w:lang w:val="en-US"/>
        </w:rPr>
        <w:t>Urang</w:t>
      </w:r>
      <w:proofErr w:type="spellEnd"/>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Kanekes</w:t>
      </w:r>
      <w:proofErr w:type="spellEnd"/>
      <w:r w:rsidRPr="009D551E">
        <w:rPr>
          <w:rFonts w:asciiTheme="majorBidi" w:hAnsiTheme="majorBidi" w:cstheme="majorBidi"/>
          <w:sz w:val="20"/>
          <w:szCs w:val="20"/>
          <w:lang w:val="en-US"/>
        </w:rPr>
        <w:t xml:space="preserve"> (</w:t>
      </w:r>
      <w:proofErr w:type="spellStart"/>
      <w:r w:rsidRPr="009D551E">
        <w:rPr>
          <w:rFonts w:asciiTheme="majorBidi" w:hAnsiTheme="majorBidi" w:cstheme="majorBidi"/>
          <w:sz w:val="20"/>
          <w:szCs w:val="20"/>
          <w:lang w:val="en-US"/>
        </w:rPr>
        <w:t>Baduy</w:t>
      </w:r>
      <w:proofErr w:type="spellEnd"/>
      <w:r w:rsidRPr="009D551E">
        <w:rPr>
          <w:rFonts w:asciiTheme="majorBidi" w:hAnsiTheme="majorBidi" w:cstheme="majorBidi"/>
          <w:sz w:val="20"/>
          <w:szCs w:val="20"/>
          <w:lang w:val="en-US"/>
        </w:rPr>
        <w:t xml:space="preserve">) of </w:t>
      </w:r>
      <w:proofErr w:type="spellStart"/>
      <w:r w:rsidRPr="009D551E">
        <w:rPr>
          <w:rFonts w:asciiTheme="majorBidi" w:hAnsiTheme="majorBidi" w:cstheme="majorBidi"/>
          <w:sz w:val="20"/>
          <w:szCs w:val="20"/>
          <w:lang w:val="en-US"/>
        </w:rPr>
        <w:t>Banten</w:t>
      </w:r>
      <w:proofErr w:type="spellEnd"/>
      <w:r w:rsidRPr="009D551E">
        <w:rPr>
          <w:rFonts w:asciiTheme="majorBidi" w:hAnsiTheme="majorBidi" w:cstheme="majorBidi"/>
          <w:sz w:val="20"/>
          <w:szCs w:val="20"/>
          <w:lang w:val="en-US"/>
        </w:rPr>
        <w:t>, Indonesia. Indian journal of traditional knowledge. 16. 576-582.</w:t>
      </w:r>
    </w:p>
  </w:footnote>
  <w:footnote w:id="363">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Amechi</w:t>
      </w:r>
      <w:proofErr w:type="spellEnd"/>
      <w:r w:rsidRPr="009D551E">
        <w:rPr>
          <w:rFonts w:asciiTheme="majorBidi" w:hAnsiTheme="majorBidi" w:cstheme="majorBidi"/>
          <w:sz w:val="20"/>
          <w:szCs w:val="20"/>
        </w:rPr>
        <w:t>, E. P. (2015) Using Patents to Protect Traditional Knowledge on the Medicinal Uses of Plants in South Africa, Law, Environment and Development Journal 51,</w:t>
      </w:r>
    </w:p>
  </w:footnote>
  <w:footnote w:id="364">
    <w:p w:rsidR="00071EBB" w:rsidRPr="009D551E" w:rsidRDefault="00071EBB" w:rsidP="009D551E">
      <w:pPr>
        <w:autoSpaceDE w:val="0"/>
        <w:autoSpaceDN w:val="0"/>
        <w:adjustRightInd w:val="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380AE4">
        <w:rPr>
          <w:rFonts w:asciiTheme="majorBidi" w:hAnsiTheme="majorBidi" w:cstheme="majorBidi"/>
          <w:sz w:val="20"/>
          <w:szCs w:val="20"/>
          <w:lang w:val="fr-BE"/>
        </w:rPr>
        <w:t xml:space="preserve"> Barpujari, I., Sarma, U. K. (2017). </w:t>
      </w:r>
      <w:r w:rsidRPr="009D551E">
        <w:rPr>
          <w:rFonts w:asciiTheme="majorBidi" w:hAnsiTheme="majorBidi" w:cstheme="majorBidi"/>
          <w:sz w:val="20"/>
          <w:szCs w:val="20"/>
          <w:lang w:val="en-US"/>
        </w:rPr>
        <w:t xml:space="preserve">Traditional Knowledge in the Time of Neo-Liberalism: Access and Benefit-Sharing Regimes in India and </w:t>
      </w:r>
      <w:proofErr w:type="spellStart"/>
      <w:r w:rsidRPr="009D551E">
        <w:rPr>
          <w:rFonts w:asciiTheme="majorBidi" w:hAnsiTheme="majorBidi" w:cstheme="majorBidi"/>
          <w:sz w:val="20"/>
          <w:szCs w:val="20"/>
          <w:lang w:val="en-US"/>
        </w:rPr>
        <w:t>Bhutan.The</w:t>
      </w:r>
      <w:proofErr w:type="spellEnd"/>
      <w:r w:rsidRPr="009D551E">
        <w:rPr>
          <w:rFonts w:asciiTheme="majorBidi" w:hAnsiTheme="majorBidi" w:cstheme="majorBidi"/>
          <w:sz w:val="20"/>
          <w:szCs w:val="20"/>
          <w:lang w:val="en-US"/>
        </w:rPr>
        <w:t xml:space="preserve"> International Indigenous Policy Journal, 8(1</w:t>
      </w:r>
      <w:proofErr w:type="gramStart"/>
      <w:r w:rsidRPr="009D551E">
        <w:rPr>
          <w:rFonts w:asciiTheme="majorBidi" w:hAnsiTheme="majorBidi" w:cstheme="majorBidi"/>
          <w:sz w:val="20"/>
          <w:szCs w:val="20"/>
          <w:lang w:val="en-US"/>
        </w:rPr>
        <w:t>) .</w:t>
      </w:r>
      <w:proofErr w:type="gramEnd"/>
      <w:r w:rsidRPr="009D551E">
        <w:rPr>
          <w:rFonts w:asciiTheme="majorBidi" w:hAnsiTheme="majorBidi" w:cstheme="majorBidi"/>
          <w:sz w:val="20"/>
          <w:szCs w:val="20"/>
          <w:lang w:val="en-US"/>
        </w:rPr>
        <w:t xml:space="preserve"> Retrieved from: http://ir.lib.uwo.ca/iipj/vol8/iss1/3</w:t>
      </w:r>
    </w:p>
  </w:footnote>
  <w:footnote w:id="365">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Kaya, H.O. (2016). Indigenous knowledge and biodiversity for sustainable food security in South Africa. Journal of Human Ecology 52(2): 141-147. </w:t>
      </w:r>
    </w:p>
  </w:footnote>
  <w:footnote w:id="366">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Rah, P. (2016). Indigenous knowledge and practices of the </w:t>
      </w:r>
      <w:proofErr w:type="spellStart"/>
      <w:r w:rsidRPr="009D551E">
        <w:rPr>
          <w:rFonts w:asciiTheme="majorBidi" w:hAnsiTheme="majorBidi" w:cstheme="majorBidi"/>
          <w:sz w:val="20"/>
          <w:szCs w:val="20"/>
          <w:lang w:val="en-US"/>
        </w:rPr>
        <w:t>Phakeyals</w:t>
      </w:r>
      <w:proofErr w:type="spellEnd"/>
      <w:r w:rsidRPr="009D551E">
        <w:rPr>
          <w:rFonts w:asciiTheme="majorBidi" w:hAnsiTheme="majorBidi" w:cstheme="majorBidi"/>
          <w:sz w:val="20"/>
          <w:szCs w:val="20"/>
          <w:lang w:val="en-US"/>
        </w:rPr>
        <w:t xml:space="preserve">: a study in </w:t>
      </w:r>
      <w:proofErr w:type="spellStart"/>
      <w:r w:rsidRPr="009D551E">
        <w:rPr>
          <w:rFonts w:asciiTheme="majorBidi" w:hAnsiTheme="majorBidi" w:cstheme="majorBidi"/>
          <w:sz w:val="20"/>
          <w:szCs w:val="20"/>
          <w:lang w:val="en-US"/>
        </w:rPr>
        <w:t>Barphake</w:t>
      </w:r>
      <w:proofErr w:type="spellEnd"/>
      <w:r w:rsidRPr="009D551E">
        <w:rPr>
          <w:rFonts w:asciiTheme="majorBidi" w:hAnsiTheme="majorBidi" w:cstheme="majorBidi"/>
          <w:sz w:val="20"/>
          <w:szCs w:val="20"/>
          <w:lang w:val="en-US"/>
        </w:rPr>
        <w:t xml:space="preserve"> village of Margherita. The Clarion- International Multidisciplinary Journal. 5. 98. 10.5958/2277-937X.2016.00038.1. </w:t>
      </w:r>
    </w:p>
    <w:p w:rsidR="00071EBB" w:rsidRPr="009D551E" w:rsidRDefault="00071EBB" w:rsidP="009D551E">
      <w:pPr>
        <w:autoSpaceDE w:val="0"/>
        <w:autoSpaceDN w:val="0"/>
        <w:adjustRightInd w:val="0"/>
        <w:jc w:val="left"/>
        <w:rPr>
          <w:rFonts w:asciiTheme="majorBidi" w:hAnsiTheme="majorBidi" w:cstheme="majorBidi"/>
          <w:sz w:val="20"/>
          <w:szCs w:val="20"/>
          <w:lang w:val="en-US"/>
        </w:rPr>
      </w:pPr>
      <w:r w:rsidRPr="009D551E">
        <w:rPr>
          <w:rFonts w:asciiTheme="majorBidi" w:hAnsiTheme="majorBidi" w:cstheme="majorBidi"/>
          <w:sz w:val="20"/>
          <w:szCs w:val="20"/>
          <w:lang w:val="en-US"/>
        </w:rPr>
        <w:t xml:space="preserve">Leni D.et al (2016) Indigenous knowledge and practices for the sustainable management of Ifugao forests in Cordillera, Philippines, International Journal of Biodiversity Science, Ecosystem Services &amp; Management, 12:1-2, 5-13, DOI: 10.1080/21513732.2015.1124453 </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proofErr w:type="gramStart"/>
      <w:r w:rsidRPr="009D551E">
        <w:rPr>
          <w:rFonts w:asciiTheme="majorBidi" w:hAnsiTheme="majorBidi" w:cstheme="majorBidi"/>
          <w:sz w:val="20"/>
          <w:szCs w:val="20"/>
          <w:lang w:val="en-US"/>
        </w:rPr>
        <w:t>Chun,J</w:t>
      </w:r>
      <w:proofErr w:type="spellEnd"/>
      <w:r w:rsidRPr="009D551E">
        <w:rPr>
          <w:rFonts w:asciiTheme="majorBidi" w:hAnsiTheme="majorBidi" w:cstheme="majorBidi"/>
          <w:sz w:val="20"/>
          <w:szCs w:val="20"/>
          <w:lang w:val="en-US"/>
        </w:rPr>
        <w:t>.</w:t>
      </w:r>
      <w:proofErr w:type="gramEnd"/>
      <w:r w:rsidRPr="009D551E">
        <w:rPr>
          <w:rFonts w:asciiTheme="majorBidi" w:hAnsiTheme="majorBidi" w:cstheme="majorBidi"/>
          <w:sz w:val="20"/>
          <w:szCs w:val="20"/>
          <w:lang w:val="en-US"/>
        </w:rPr>
        <w:t xml:space="preserve"> (2014). A legal approach to induce the traditional knowledge of forest </w:t>
      </w:r>
      <w:proofErr w:type="spellStart"/>
      <w:proofErr w:type="gramStart"/>
      <w:r w:rsidRPr="009D551E">
        <w:rPr>
          <w:rFonts w:asciiTheme="majorBidi" w:hAnsiTheme="majorBidi" w:cstheme="majorBidi"/>
          <w:sz w:val="20"/>
          <w:szCs w:val="20"/>
          <w:lang w:val="en-US"/>
        </w:rPr>
        <w:t>resources,Forest</w:t>
      </w:r>
      <w:proofErr w:type="spellEnd"/>
      <w:proofErr w:type="gramEnd"/>
      <w:r w:rsidRPr="009D551E">
        <w:rPr>
          <w:rFonts w:asciiTheme="majorBidi" w:hAnsiTheme="majorBidi" w:cstheme="majorBidi"/>
          <w:sz w:val="20"/>
          <w:szCs w:val="20"/>
          <w:lang w:val="en-US"/>
        </w:rPr>
        <w:t xml:space="preserve"> Policy and Economics, 38,40-45. </w:t>
      </w:r>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Fonts w:asciiTheme="majorBidi" w:hAnsiTheme="majorBidi" w:cstheme="majorBidi"/>
          <w:sz w:val="20"/>
          <w:szCs w:val="20"/>
          <w:lang w:val="en-US"/>
        </w:rPr>
        <w:t xml:space="preserve">O’Neill, Alexander R.et al (2017). Integrating ethnobiological knowledge into biodiversity conservation in the Eastern Himalayas. Journal of Ethnobiology and Ethnomedicine13(21). </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lang w:val="en-US"/>
        </w:rPr>
        <w:t>Pásková</w:t>
      </w:r>
      <w:proofErr w:type="spellEnd"/>
      <w:r w:rsidRPr="009D551E">
        <w:rPr>
          <w:rFonts w:asciiTheme="majorBidi" w:hAnsiTheme="majorBidi" w:cstheme="majorBidi"/>
          <w:sz w:val="20"/>
          <w:szCs w:val="20"/>
          <w:lang w:val="en-US"/>
        </w:rPr>
        <w:t xml:space="preserve">, M. (2015). The Potential of Indigenous knowledge for Rio Coco Geopark </w:t>
      </w:r>
      <w:proofErr w:type="spellStart"/>
      <w:r w:rsidRPr="009D551E">
        <w:rPr>
          <w:rFonts w:asciiTheme="majorBidi" w:hAnsiTheme="majorBidi" w:cstheme="majorBidi"/>
          <w:sz w:val="20"/>
          <w:szCs w:val="20"/>
          <w:lang w:val="en-US"/>
        </w:rPr>
        <w:t>Geotourism</w:t>
      </w:r>
      <w:proofErr w:type="spellEnd"/>
      <w:r w:rsidRPr="009D551E">
        <w:rPr>
          <w:rFonts w:asciiTheme="majorBidi" w:hAnsiTheme="majorBidi" w:cstheme="majorBidi"/>
          <w:sz w:val="20"/>
          <w:szCs w:val="20"/>
          <w:lang w:val="en-US"/>
        </w:rPr>
        <w:t>, Procedia Earth and Planetary 15,886-891.</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lang w:val="en-US"/>
        </w:rPr>
        <w:t>Quave</w:t>
      </w:r>
      <w:proofErr w:type="spellEnd"/>
      <w:r w:rsidRPr="009D551E">
        <w:rPr>
          <w:rFonts w:asciiTheme="majorBidi" w:hAnsiTheme="majorBidi" w:cstheme="majorBidi"/>
          <w:sz w:val="20"/>
          <w:szCs w:val="20"/>
          <w:lang w:val="en-US"/>
        </w:rPr>
        <w:t xml:space="preserve">, C. L. and </w:t>
      </w:r>
      <w:proofErr w:type="spellStart"/>
      <w:r w:rsidRPr="009D551E">
        <w:rPr>
          <w:rFonts w:asciiTheme="majorBidi" w:hAnsiTheme="majorBidi" w:cstheme="majorBidi"/>
          <w:sz w:val="20"/>
          <w:szCs w:val="20"/>
          <w:lang w:val="en-US"/>
        </w:rPr>
        <w:t>Pieroni</w:t>
      </w:r>
      <w:proofErr w:type="spellEnd"/>
      <w:r w:rsidRPr="009D551E">
        <w:rPr>
          <w:rFonts w:asciiTheme="majorBidi" w:hAnsiTheme="majorBidi" w:cstheme="majorBidi"/>
          <w:sz w:val="20"/>
          <w:szCs w:val="20"/>
          <w:lang w:val="en-US"/>
        </w:rPr>
        <w:t xml:space="preserve">, Andrea (2015). A reservoir of ethnobotanical knowledge informs resilient food security and health strategies in the Balkans. Nature Plants 1 (14021). Ritchie, 2015; </w:t>
      </w:r>
    </w:p>
    <w:p w:rsidR="00071EBB" w:rsidRPr="009D551E" w:rsidRDefault="00071EBB" w:rsidP="009D551E">
      <w:pPr>
        <w:pStyle w:val="FootnoteText"/>
        <w:ind w:firstLine="0"/>
        <w:jc w:val="left"/>
        <w:rPr>
          <w:rFonts w:asciiTheme="majorBidi" w:hAnsiTheme="majorBidi" w:cstheme="majorBidi"/>
          <w:sz w:val="20"/>
          <w:szCs w:val="20"/>
          <w:lang w:val="en-US"/>
        </w:rPr>
      </w:pPr>
      <w:r w:rsidRPr="00720FA7">
        <w:rPr>
          <w:rFonts w:asciiTheme="majorBidi" w:hAnsiTheme="majorBidi" w:cstheme="majorBidi"/>
          <w:sz w:val="20"/>
          <w:szCs w:val="20"/>
          <w:lang w:val="es-ES_tradnl"/>
        </w:rPr>
        <w:t xml:space="preserve">Rivero-Romero, A. D. et al (2016). </w:t>
      </w:r>
      <w:r w:rsidRPr="009D551E">
        <w:rPr>
          <w:rFonts w:asciiTheme="majorBidi" w:hAnsiTheme="majorBidi" w:cstheme="majorBidi"/>
          <w:sz w:val="20"/>
          <w:szCs w:val="20"/>
          <w:lang w:val="en-US"/>
        </w:rPr>
        <w:t>Traditional climate knowledge: a case study in a peasant community of Tlaxcala, Mexico. Journal of Ethnobiology and Ethnomedicine 12(33).</w:t>
      </w:r>
    </w:p>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Fonts w:asciiTheme="majorBidi" w:hAnsiTheme="majorBidi" w:cstheme="majorBidi"/>
          <w:sz w:val="20"/>
          <w:szCs w:val="20"/>
          <w:lang w:val="en-US"/>
        </w:rPr>
        <w:t>Kaya, H.O. (2016). Indigenous knowledge and biodiversity for sustainable food security in South Africa. Journal of Human Ecology 52(2): 141-147.</w:t>
      </w:r>
    </w:p>
  </w:footnote>
  <w:footnote w:id="367">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E7198A">
        <w:rPr>
          <w:rFonts w:asciiTheme="majorBidi" w:hAnsiTheme="majorBidi" w:cstheme="majorBidi"/>
          <w:sz w:val="20"/>
          <w:szCs w:val="20"/>
          <w:lang w:val="fr-FR"/>
        </w:rPr>
        <w:t xml:space="preserve"> Abreu, J. S. et al (2017). </w:t>
      </w:r>
      <w:r w:rsidRPr="009D551E">
        <w:rPr>
          <w:rFonts w:asciiTheme="majorBidi" w:hAnsiTheme="majorBidi" w:cstheme="majorBidi"/>
          <w:sz w:val="20"/>
          <w:szCs w:val="20"/>
          <w:lang w:val="en-US"/>
        </w:rPr>
        <w:t xml:space="preserve">Is there dialogue between researchers and traditional community members? The importance of integration between traditional knowledge and scientific knowledge to coastal </w:t>
      </w:r>
      <w:proofErr w:type="spellStart"/>
      <w:proofErr w:type="gramStart"/>
      <w:r w:rsidRPr="009D551E">
        <w:rPr>
          <w:rFonts w:asciiTheme="majorBidi" w:hAnsiTheme="majorBidi" w:cstheme="majorBidi"/>
          <w:sz w:val="20"/>
          <w:szCs w:val="20"/>
          <w:lang w:val="en-US"/>
        </w:rPr>
        <w:t>management,Ocean</w:t>
      </w:r>
      <w:proofErr w:type="spellEnd"/>
      <w:proofErr w:type="gramEnd"/>
      <w:r w:rsidRPr="009D551E">
        <w:rPr>
          <w:rFonts w:asciiTheme="majorBidi" w:hAnsiTheme="majorBidi" w:cstheme="majorBidi"/>
          <w:sz w:val="20"/>
          <w:szCs w:val="20"/>
          <w:lang w:val="en-US"/>
        </w:rPr>
        <w:t xml:space="preserve"> &amp; Coastal Management,141, 10-19.</w:t>
      </w:r>
    </w:p>
  </w:footnote>
  <w:footnote w:id="368">
    <w:p w:rsidR="00071EBB" w:rsidRPr="000F0CA4"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Sutherland, W., et al (2014). How can local and traditional knowledge be effectively incorporated into international assessments? </w:t>
      </w:r>
      <w:r w:rsidRPr="000F0CA4">
        <w:rPr>
          <w:rFonts w:asciiTheme="majorBidi" w:hAnsiTheme="majorBidi" w:cstheme="majorBidi"/>
          <w:sz w:val="20"/>
          <w:szCs w:val="20"/>
          <w:lang w:val="en-US"/>
        </w:rPr>
        <w:t>Oryx, 48(1), 1-2. doi:10.1017/S0030605313001543</w:t>
      </w:r>
    </w:p>
  </w:footnote>
  <w:footnote w:id="369">
    <w:p w:rsidR="00071EBB" w:rsidRPr="000F0CA4"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0F0CA4">
        <w:rPr>
          <w:rFonts w:asciiTheme="majorBidi" w:hAnsiTheme="majorBidi" w:cstheme="majorBidi"/>
          <w:sz w:val="20"/>
          <w:szCs w:val="20"/>
          <w:lang w:val="en-US"/>
        </w:rPr>
        <w:t xml:space="preserve"> </w:t>
      </w:r>
      <w:proofErr w:type="spellStart"/>
      <w:r w:rsidRPr="000F0CA4">
        <w:rPr>
          <w:rFonts w:asciiTheme="majorBidi" w:hAnsiTheme="majorBidi" w:cstheme="majorBidi"/>
          <w:spacing w:val="4"/>
          <w:sz w:val="20"/>
          <w:szCs w:val="20"/>
          <w:shd w:val="clear" w:color="auto" w:fill="FCFCFC"/>
          <w:lang w:val="en-US"/>
        </w:rPr>
        <w:t>Tengö</w:t>
      </w:r>
      <w:proofErr w:type="spellEnd"/>
      <w:r w:rsidRPr="000F0CA4">
        <w:rPr>
          <w:rFonts w:asciiTheme="majorBidi" w:hAnsiTheme="majorBidi" w:cstheme="majorBidi"/>
          <w:spacing w:val="4"/>
          <w:sz w:val="20"/>
          <w:szCs w:val="20"/>
          <w:shd w:val="clear" w:color="auto" w:fill="FCFCFC"/>
          <w:lang w:val="en-US"/>
        </w:rPr>
        <w:t>, M., et al. AMBIO (2014) 43: 579. https://doi.org/10.1007/s13280-014-0501-3</w:t>
      </w:r>
    </w:p>
  </w:footnote>
  <w:footnote w:id="370">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0F0CA4">
        <w:rPr>
          <w:rFonts w:asciiTheme="majorBidi" w:hAnsiTheme="majorBidi" w:cstheme="majorBidi"/>
          <w:sz w:val="20"/>
          <w:szCs w:val="20"/>
          <w:lang w:val="en-US"/>
        </w:rPr>
        <w:t xml:space="preserve"> </w:t>
      </w:r>
      <w:proofErr w:type="spellStart"/>
      <w:r w:rsidRPr="000F0CA4">
        <w:rPr>
          <w:rFonts w:asciiTheme="majorBidi" w:hAnsiTheme="majorBidi" w:cstheme="majorBidi"/>
          <w:sz w:val="20"/>
          <w:szCs w:val="20"/>
          <w:lang w:val="en-US"/>
        </w:rPr>
        <w:t>Barua</w:t>
      </w:r>
      <w:proofErr w:type="spellEnd"/>
      <w:r w:rsidRPr="000F0CA4">
        <w:rPr>
          <w:rFonts w:asciiTheme="majorBidi" w:hAnsiTheme="majorBidi" w:cstheme="majorBidi"/>
          <w:sz w:val="20"/>
          <w:szCs w:val="20"/>
          <w:lang w:val="en-US"/>
        </w:rPr>
        <w:t xml:space="preserve">, Prabal. </w:t>
      </w:r>
      <w:r w:rsidRPr="009D551E">
        <w:rPr>
          <w:rFonts w:asciiTheme="majorBidi" w:hAnsiTheme="majorBidi" w:cstheme="majorBidi"/>
          <w:sz w:val="20"/>
          <w:szCs w:val="20"/>
          <w:lang w:val="en-US"/>
        </w:rPr>
        <w:t>(2017). Indigenous Knowledge Practices for Climate Change Adaptation in the Southern Coast of Bangladesh. International Journal of Knowledge Management. 15. 1-21.</w:t>
      </w:r>
    </w:p>
  </w:footnote>
  <w:footnote w:id="371">
    <w:p w:rsidR="00071EBB" w:rsidRPr="009D551E" w:rsidRDefault="00071EBB" w:rsidP="009D551E">
      <w:pPr>
        <w:pStyle w:val="FootnoteText"/>
        <w:ind w:firstLine="0"/>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Diaz, S. et al (2015). The IPBES Conceptual Framework – connecting nature and people. Current Opinion in Environmental Sustainability 14, 1-16.</w:t>
      </w:r>
    </w:p>
    <w:p w:rsidR="00071EBB" w:rsidRPr="009D551E" w:rsidRDefault="00071EBB" w:rsidP="009D551E">
      <w:pPr>
        <w:pStyle w:val="FootnoteText"/>
        <w:ind w:firstLine="0"/>
        <w:rPr>
          <w:rFonts w:asciiTheme="majorBidi" w:hAnsiTheme="majorBidi" w:cstheme="majorBidi"/>
          <w:sz w:val="20"/>
          <w:szCs w:val="20"/>
        </w:rPr>
      </w:pPr>
      <w:r w:rsidRPr="009D551E">
        <w:rPr>
          <w:rFonts w:asciiTheme="majorBidi" w:hAnsiTheme="majorBidi" w:cstheme="majorBidi"/>
          <w:sz w:val="20"/>
          <w:szCs w:val="20"/>
        </w:rPr>
        <w:t xml:space="preserve">IPBES Decision 2/4: Conceptual framework for the Intergovernmental Science-Policy Platform on Biodiversity and Ecosystem Services. </w:t>
      </w:r>
      <w:hyperlink r:id="rId38" w:history="1">
        <w:r w:rsidRPr="009D551E">
          <w:rPr>
            <w:rStyle w:val="Hyperlink"/>
            <w:rFonts w:asciiTheme="majorBidi" w:hAnsiTheme="majorBidi" w:cstheme="majorBidi"/>
            <w:sz w:val="20"/>
            <w:szCs w:val="20"/>
          </w:rPr>
          <w:t>https://www.ipbes.net/sites/default/files/downloads/Decision%20IPBES_2_4.pdf</w:t>
        </w:r>
      </w:hyperlink>
      <w:r w:rsidRPr="009D551E">
        <w:rPr>
          <w:rFonts w:asciiTheme="majorBidi" w:hAnsiTheme="majorBidi" w:cstheme="majorBidi"/>
          <w:sz w:val="20"/>
          <w:szCs w:val="20"/>
        </w:rPr>
        <w:t xml:space="preserve"> </w:t>
      </w:r>
    </w:p>
  </w:footnote>
  <w:footnote w:id="372">
    <w:p w:rsidR="00071EBB" w:rsidRPr="009D551E" w:rsidRDefault="00071EBB" w:rsidP="009D551E">
      <w:pPr>
        <w:autoSpaceDE w:val="0"/>
        <w:autoSpaceDN w:val="0"/>
        <w:adjustRightInd w:val="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Ferrari, M. et al (2015) Community-based monitoring and information systems (CBMIS) in the context of the Convention on Biological Diversity (CBD), Biodiversity, 16:2-3, 57-67, DOI: 10.1080/14888386.2015.1074111</w:t>
      </w:r>
    </w:p>
  </w:footnote>
  <w:footnote w:id="373">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Escott, H. et al (2015). Incentives and constraints to Indigenous engagement in water management,</w:t>
      </w:r>
      <w:r>
        <w:rPr>
          <w:rFonts w:asciiTheme="majorBidi" w:hAnsiTheme="majorBidi" w:cstheme="majorBidi"/>
          <w:sz w:val="20"/>
          <w:szCs w:val="20"/>
          <w:lang w:val="en-US"/>
        </w:rPr>
        <w:t xml:space="preserve"> </w:t>
      </w:r>
      <w:r w:rsidRPr="009D551E">
        <w:rPr>
          <w:rFonts w:asciiTheme="majorBidi" w:hAnsiTheme="majorBidi" w:cstheme="majorBidi"/>
          <w:sz w:val="20"/>
          <w:szCs w:val="20"/>
          <w:lang w:val="en-US"/>
        </w:rPr>
        <w:t xml:space="preserve">Land Use </w:t>
      </w:r>
      <w:proofErr w:type="gramStart"/>
      <w:r w:rsidRPr="009D551E">
        <w:rPr>
          <w:rFonts w:asciiTheme="majorBidi" w:hAnsiTheme="majorBidi" w:cstheme="majorBidi"/>
          <w:sz w:val="20"/>
          <w:szCs w:val="20"/>
          <w:lang w:val="en-US"/>
        </w:rPr>
        <w:t>Policy,49,382</w:t>
      </w:r>
      <w:proofErr w:type="gramEnd"/>
      <w:r w:rsidRPr="009D551E">
        <w:rPr>
          <w:rFonts w:asciiTheme="majorBidi" w:hAnsiTheme="majorBidi" w:cstheme="majorBidi"/>
          <w:sz w:val="20"/>
          <w:szCs w:val="20"/>
          <w:lang w:val="en-US"/>
        </w:rPr>
        <w:t>-393.</w:t>
      </w:r>
    </w:p>
    <w:p w:rsidR="00071EBB" w:rsidRPr="009D551E" w:rsidRDefault="00071EBB" w:rsidP="009D551E">
      <w:pPr>
        <w:pStyle w:val="FootnoteText"/>
        <w:ind w:firstLine="0"/>
        <w:jc w:val="left"/>
        <w:rPr>
          <w:rFonts w:asciiTheme="majorBidi" w:hAnsiTheme="majorBidi" w:cstheme="majorBidi"/>
          <w:sz w:val="20"/>
          <w:szCs w:val="20"/>
          <w:lang w:val="en-US"/>
        </w:rPr>
      </w:pPr>
      <w:proofErr w:type="spellStart"/>
      <w:r w:rsidRPr="009D551E">
        <w:rPr>
          <w:rFonts w:asciiTheme="majorBidi" w:hAnsiTheme="majorBidi" w:cstheme="majorBidi"/>
          <w:sz w:val="20"/>
          <w:szCs w:val="20"/>
          <w:lang w:val="fr-BE"/>
        </w:rPr>
        <w:t>Brondizio</w:t>
      </w:r>
      <w:proofErr w:type="spellEnd"/>
      <w:r w:rsidRPr="009D551E">
        <w:rPr>
          <w:rFonts w:asciiTheme="majorBidi" w:hAnsiTheme="majorBidi" w:cstheme="majorBidi"/>
          <w:sz w:val="20"/>
          <w:szCs w:val="20"/>
          <w:lang w:val="fr-BE"/>
        </w:rPr>
        <w:t xml:space="preserve">, E. </w:t>
      </w:r>
      <w:proofErr w:type="spellStart"/>
      <w:r w:rsidRPr="009D551E">
        <w:rPr>
          <w:rFonts w:asciiTheme="majorBidi" w:hAnsiTheme="majorBidi" w:cstheme="majorBidi"/>
          <w:sz w:val="20"/>
          <w:szCs w:val="20"/>
          <w:lang w:val="fr-BE"/>
        </w:rPr>
        <w:t>S.and</w:t>
      </w:r>
      <w:proofErr w:type="spellEnd"/>
      <w:r w:rsidRPr="009D551E">
        <w:rPr>
          <w:rFonts w:asciiTheme="majorBidi" w:hAnsiTheme="majorBidi" w:cstheme="majorBidi"/>
          <w:sz w:val="20"/>
          <w:szCs w:val="20"/>
          <w:lang w:val="fr-BE"/>
        </w:rPr>
        <w:t xml:space="preserve"> </w:t>
      </w:r>
      <w:proofErr w:type="spellStart"/>
      <w:r w:rsidRPr="009D551E">
        <w:rPr>
          <w:rFonts w:asciiTheme="majorBidi" w:hAnsiTheme="majorBidi" w:cstheme="majorBidi"/>
          <w:sz w:val="20"/>
          <w:szCs w:val="20"/>
          <w:lang w:val="fr-BE"/>
        </w:rPr>
        <w:t>Tourneau</w:t>
      </w:r>
      <w:proofErr w:type="spellEnd"/>
      <w:r w:rsidRPr="009D551E">
        <w:rPr>
          <w:rFonts w:asciiTheme="majorBidi" w:hAnsiTheme="majorBidi" w:cstheme="majorBidi"/>
          <w:sz w:val="20"/>
          <w:szCs w:val="20"/>
          <w:lang w:val="fr-BE"/>
        </w:rPr>
        <w:t xml:space="preserve">, F (2016). </w:t>
      </w:r>
      <w:r w:rsidRPr="009D551E">
        <w:rPr>
          <w:rFonts w:asciiTheme="majorBidi" w:hAnsiTheme="majorBidi" w:cstheme="majorBidi"/>
          <w:sz w:val="20"/>
          <w:szCs w:val="20"/>
          <w:lang w:val="en-US"/>
        </w:rPr>
        <w:t>Environmental governance for all. Science. 352 (6291)</w:t>
      </w:r>
    </w:p>
  </w:footnote>
  <w:footnote w:id="374">
    <w:p w:rsidR="00071EBB" w:rsidRPr="009D551E" w:rsidRDefault="00071EBB" w:rsidP="009D551E">
      <w:pPr>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Nesshover</w:t>
      </w:r>
      <w:proofErr w:type="spellEnd"/>
      <w:r w:rsidRPr="009D551E">
        <w:rPr>
          <w:rFonts w:asciiTheme="majorBidi" w:hAnsiTheme="majorBidi" w:cstheme="majorBidi"/>
          <w:sz w:val="20"/>
          <w:szCs w:val="20"/>
        </w:rPr>
        <w:t xml:space="preserve"> et al. 2016. The Network of Knowledge approach: improving the science and society dialogue on biodiversity and ecosystem services in Europe. Biodiversity Conservation Vol. 25</w:t>
      </w:r>
    </w:p>
  </w:footnote>
  <w:footnote w:id="375">
    <w:p w:rsidR="00071EBB" w:rsidRPr="009D551E" w:rsidRDefault="00071EBB" w:rsidP="009D551E">
      <w:pPr>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Despot-Belmont et al. 2017. EU BON’s contributions towards meeting Aichi Biodiversity Target 19. Research Ideas and Outcomes Vol. 3</w:t>
      </w:r>
    </w:p>
  </w:footnote>
  <w:footnote w:id="376">
    <w:p w:rsidR="00071EBB" w:rsidRPr="009D551E" w:rsidRDefault="00071EBB" w:rsidP="009D551E">
      <w:pPr>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Celis</w:t>
      </w:r>
      <w:proofErr w:type="spellEnd"/>
      <w:r w:rsidRPr="009D551E">
        <w:rPr>
          <w:rFonts w:asciiTheme="majorBidi" w:hAnsiTheme="majorBidi" w:cstheme="majorBidi"/>
          <w:sz w:val="20"/>
          <w:szCs w:val="20"/>
        </w:rPr>
        <w:t>- Diez et al 2017. Biocultural Homogenization in Urban Settings: Public Knowledge of Birds in City Parks of Santiago, Chile Sustainability Vol.9</w:t>
      </w:r>
    </w:p>
  </w:footnote>
  <w:footnote w:id="377">
    <w:p w:rsidR="00071EBB" w:rsidRPr="009D551E" w:rsidRDefault="00071EBB" w:rsidP="009D551E">
      <w:pPr>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Kim </w:t>
      </w:r>
      <w:proofErr w:type="spellStart"/>
      <w:r w:rsidRPr="009D551E">
        <w:rPr>
          <w:rFonts w:asciiTheme="majorBidi" w:hAnsiTheme="majorBidi" w:cstheme="majorBidi"/>
          <w:sz w:val="20"/>
          <w:szCs w:val="20"/>
        </w:rPr>
        <w:t>eral</w:t>
      </w:r>
      <w:proofErr w:type="spellEnd"/>
      <w:r w:rsidRPr="009D551E">
        <w:rPr>
          <w:rFonts w:asciiTheme="majorBidi" w:hAnsiTheme="majorBidi" w:cstheme="majorBidi"/>
          <w:sz w:val="20"/>
          <w:szCs w:val="20"/>
        </w:rPr>
        <w:t xml:space="preserve">. 2015 Development of a template for the classification of traditional medical knowledge in Korea. Journal of Ethnopharmacology Vol. 178 </w:t>
      </w:r>
    </w:p>
  </w:footnote>
  <w:footnote w:id="378">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Sher et al. 2017. Promoting Sustainable Use of Medicinal and Aromatic Plants for Livelihood Improvement and Biodiversity Conservation under Global Climate Change, through Capacity Building in the Himalaya Mountains, Swat District, Pakistan. Annals of the Missouri Botanical Garden, Vol.102</w:t>
      </w:r>
    </w:p>
  </w:footnote>
  <w:footnote w:id="379">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Ashfaq et al. 2017. Mapping global biodiversity connections with DNA barcodes: Lepidoptera of Pakistan. </w:t>
      </w:r>
      <w:proofErr w:type="spellStart"/>
      <w:r w:rsidRPr="009D551E">
        <w:rPr>
          <w:rFonts w:asciiTheme="majorBidi" w:hAnsiTheme="majorBidi" w:cstheme="majorBidi"/>
          <w:sz w:val="20"/>
          <w:szCs w:val="20"/>
        </w:rPr>
        <w:t>PLoS</w:t>
      </w:r>
      <w:proofErr w:type="spellEnd"/>
      <w:r w:rsidRPr="009D551E">
        <w:rPr>
          <w:rFonts w:asciiTheme="majorBidi" w:hAnsiTheme="majorBidi" w:cstheme="majorBidi"/>
          <w:sz w:val="20"/>
          <w:szCs w:val="20"/>
        </w:rPr>
        <w:t xml:space="preserve"> ONE Vol. 12</w:t>
      </w:r>
    </w:p>
  </w:footnote>
  <w:footnote w:id="380">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t>
      </w:r>
      <w:proofErr w:type="spellStart"/>
      <w:r w:rsidRPr="009D551E">
        <w:rPr>
          <w:rFonts w:asciiTheme="majorBidi" w:hAnsiTheme="majorBidi" w:cstheme="majorBidi"/>
          <w:sz w:val="20"/>
          <w:szCs w:val="20"/>
        </w:rPr>
        <w:t>Schmeller</w:t>
      </w:r>
      <w:proofErr w:type="spellEnd"/>
      <w:r w:rsidRPr="009D551E">
        <w:rPr>
          <w:rFonts w:asciiTheme="majorBidi" w:hAnsiTheme="majorBidi" w:cstheme="majorBidi"/>
          <w:sz w:val="20"/>
          <w:szCs w:val="20"/>
        </w:rPr>
        <w:t xml:space="preserve"> et al (2017). Building capacity in biodiversity monitoring at the global scale. Biodiversity and Conservation 26(12) 2765–2790</w:t>
      </w:r>
    </w:p>
  </w:footnote>
  <w:footnote w:id="381">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Juffe-Bignoli et al. (2016). Assessing the Cost of Global Biodiversity and Conservation Knowledge. </w:t>
      </w:r>
      <w:proofErr w:type="spellStart"/>
      <w:r w:rsidRPr="009D551E">
        <w:rPr>
          <w:rFonts w:asciiTheme="majorBidi" w:hAnsiTheme="majorBidi" w:cstheme="majorBidi"/>
          <w:sz w:val="20"/>
          <w:szCs w:val="20"/>
        </w:rPr>
        <w:t>PLoS</w:t>
      </w:r>
      <w:proofErr w:type="spellEnd"/>
      <w:r w:rsidRPr="009D551E">
        <w:rPr>
          <w:rFonts w:asciiTheme="majorBidi" w:hAnsiTheme="majorBidi" w:cstheme="majorBidi"/>
          <w:sz w:val="20"/>
          <w:szCs w:val="20"/>
        </w:rPr>
        <w:t xml:space="preserve"> ONE Vol. 11 Issue 8</w:t>
      </w:r>
    </w:p>
  </w:footnote>
  <w:footnote w:id="382">
    <w:p w:rsidR="00071EBB" w:rsidRPr="009D551E" w:rsidRDefault="00071EBB" w:rsidP="009D551E">
      <w:pPr>
        <w:pStyle w:val="FootnoteText"/>
        <w:ind w:firstLine="0"/>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Web of Science Service for UK Education </w:t>
      </w:r>
      <w:hyperlink r:id="rId39" w:history="1">
        <w:r w:rsidRPr="009D551E">
          <w:rPr>
            <w:rStyle w:val="Hyperlink"/>
            <w:rFonts w:asciiTheme="majorBidi" w:hAnsiTheme="majorBidi" w:cstheme="majorBidi"/>
            <w:sz w:val="20"/>
            <w:szCs w:val="20"/>
          </w:rPr>
          <w:t>http://wok.mimas.ac.uk/</w:t>
        </w:r>
      </w:hyperlink>
    </w:p>
  </w:footnote>
  <w:footnote w:id="383">
    <w:p w:rsidR="00071EBB" w:rsidRPr="009D551E" w:rsidRDefault="00071EBB" w:rsidP="009D551E">
      <w:pPr>
        <w:pStyle w:val="FootnoteText"/>
        <w:ind w:firstLine="0"/>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The GBIF Network </w:t>
      </w:r>
      <w:hyperlink r:id="rId40" w:history="1">
        <w:r w:rsidRPr="009D551E">
          <w:rPr>
            <w:rStyle w:val="Hyperlink"/>
            <w:rFonts w:asciiTheme="majorBidi" w:hAnsiTheme="majorBidi" w:cstheme="majorBidi"/>
            <w:color w:val="000000" w:themeColor="text1"/>
            <w:sz w:val="20"/>
            <w:szCs w:val="20"/>
          </w:rPr>
          <w:t>https://www.gbif.org/the-gbif-network</w:t>
        </w:r>
      </w:hyperlink>
    </w:p>
  </w:footnote>
  <w:footnote w:id="384">
    <w:p w:rsidR="00071EBB" w:rsidRPr="009D551E" w:rsidRDefault="00071EBB" w:rsidP="009D551E">
      <w:pPr>
        <w:pStyle w:val="FootnoteText"/>
        <w:ind w:firstLine="0"/>
        <w:jc w:val="left"/>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rPr>
        <w:t xml:space="preserve"> Meyer, C., et al (2015). Global priorities for an effective information basis of biodiversity distributions. </w:t>
      </w:r>
      <w:r w:rsidRPr="009D551E">
        <w:rPr>
          <w:rFonts w:asciiTheme="majorBidi" w:hAnsiTheme="majorBidi" w:cstheme="majorBidi"/>
          <w:sz w:val="20"/>
          <w:szCs w:val="20"/>
          <w:lang w:val="en-US"/>
        </w:rPr>
        <w:t>Nature communications 6: 8221.</w:t>
      </w:r>
    </w:p>
  </w:footnote>
  <w:footnote w:id="385">
    <w:p w:rsidR="00071EBB" w:rsidRPr="009D551E" w:rsidRDefault="00071EBB" w:rsidP="009D551E">
      <w:pPr>
        <w:pStyle w:val="FootnoteText"/>
        <w:ind w:firstLine="0"/>
        <w:jc w:val="left"/>
        <w:rPr>
          <w:rFonts w:asciiTheme="majorBidi" w:hAnsiTheme="majorBidi" w:cstheme="majorBidi"/>
          <w:sz w:val="20"/>
          <w:szCs w:val="20"/>
          <w:lang w:val="fr-BE"/>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IUCN Red List of Threatened Species. Summary Statistics. </w:t>
      </w:r>
      <w:hyperlink r:id="rId41" w:history="1">
        <w:r w:rsidRPr="009D551E">
          <w:rPr>
            <w:rStyle w:val="Hyperlink"/>
            <w:rFonts w:asciiTheme="majorBidi" w:hAnsiTheme="majorBidi" w:cstheme="majorBidi"/>
            <w:sz w:val="20"/>
            <w:szCs w:val="20"/>
            <w:lang w:val="fr-BE"/>
          </w:rPr>
          <w:t>http://www.iucnredlist.org/about/summary-statistics</w:t>
        </w:r>
      </w:hyperlink>
    </w:p>
  </w:footnote>
  <w:footnote w:id="386">
    <w:p w:rsidR="00071EBB" w:rsidRPr="009D551E" w:rsidRDefault="00071EBB" w:rsidP="009D551E">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fr-BE"/>
        </w:rPr>
        <w:t xml:space="preserve"> Waldron, A. et al (2017). </w:t>
      </w:r>
      <w:r w:rsidRPr="009D551E">
        <w:rPr>
          <w:rFonts w:asciiTheme="majorBidi" w:hAnsiTheme="majorBidi" w:cstheme="majorBidi"/>
          <w:sz w:val="20"/>
          <w:szCs w:val="20"/>
        </w:rPr>
        <w:t xml:space="preserve">Reductions in global biodiversity loss predicted from conservation spending. Nature 551, 356-367. </w:t>
      </w:r>
    </w:p>
  </w:footnote>
  <w:footnote w:id="387">
    <w:p w:rsidR="00071EBB" w:rsidRPr="00422C31" w:rsidRDefault="00071EBB" w:rsidP="009D551E">
      <w:pPr>
        <w:jc w:val="left"/>
        <w:rPr>
          <w:rFonts w:asciiTheme="majorBidi" w:hAnsiTheme="majorBidi" w:cstheme="majorBidi"/>
          <w:sz w:val="20"/>
          <w:szCs w:val="20"/>
        </w:rPr>
      </w:pPr>
      <w:r w:rsidRPr="009D551E">
        <w:rPr>
          <w:rStyle w:val="FootnoteReference"/>
          <w:rFonts w:asciiTheme="majorBidi" w:hAnsiTheme="majorBidi" w:cstheme="majorBidi"/>
          <w:sz w:val="20"/>
          <w:szCs w:val="20"/>
        </w:rPr>
        <w:footnoteRef/>
      </w:r>
      <w:r w:rsidRPr="009D551E">
        <w:rPr>
          <w:rFonts w:asciiTheme="majorBidi" w:hAnsiTheme="majorBidi" w:cstheme="majorBidi"/>
          <w:sz w:val="20"/>
          <w:szCs w:val="20"/>
          <w:lang w:val="en-US"/>
        </w:rPr>
        <w:t xml:space="preserve"> OECD, 2015. </w:t>
      </w:r>
      <w:r w:rsidRPr="009D551E">
        <w:rPr>
          <w:rFonts w:asciiTheme="majorBidi" w:hAnsiTheme="majorBidi" w:cstheme="majorBidi"/>
          <w:sz w:val="20"/>
          <w:szCs w:val="20"/>
        </w:rPr>
        <w:t xml:space="preserve">Biodiversity related official development assistance 2015. Available at: </w:t>
      </w:r>
      <w:hyperlink r:id="rId42" w:history="1">
        <w:r w:rsidRPr="009D551E">
          <w:rPr>
            <w:rStyle w:val="Hyperlink"/>
            <w:rFonts w:asciiTheme="majorBidi" w:hAnsiTheme="majorBidi" w:cstheme="majorBidi"/>
            <w:sz w:val="20"/>
            <w:szCs w:val="20"/>
          </w:rPr>
          <w:t>https://www.oecd.org/dac/environment-development/Biodiversity-related-ODA.pdf</w:t>
        </w:r>
      </w:hyperlink>
      <w:r w:rsidRPr="009C25A3">
        <w:rPr>
          <w:rFonts w:asciiTheme="majorBidi" w:hAnsiTheme="majorBidi" w:cstheme="majorBidi"/>
          <w:sz w:val="20"/>
          <w:szCs w:val="20"/>
        </w:rPr>
        <w:t xml:space="preserve"> </w:t>
      </w:r>
    </w:p>
  </w:footnote>
  <w:footnote w:id="388">
    <w:p w:rsidR="00071EBB" w:rsidRDefault="00071EBB" w:rsidP="00863F1A">
      <w:pPr>
        <w:pStyle w:val="FootnoteText"/>
        <w:ind w:firstLine="0"/>
        <w:rPr>
          <w:lang w:val="en-US"/>
        </w:rPr>
      </w:pPr>
      <w:r>
        <w:rPr>
          <w:rStyle w:val="FootnoteReference"/>
        </w:rPr>
        <w:footnoteRef/>
      </w:r>
      <w:r>
        <w:t xml:space="preserve"> </w:t>
      </w:r>
      <w:r>
        <w:rPr>
          <w:rFonts w:asciiTheme="majorBidi" w:hAnsiTheme="majorBidi" w:cstheme="majorBidi"/>
          <w:szCs w:val="22"/>
        </w:rPr>
        <w:t>7 of these indicators are not currently included in the list of indicators welcomed by the Conference of the Parties in decision XIII/28</w:t>
      </w:r>
      <w:r w:rsidR="004C385C">
        <w:rPr>
          <w:rFonts w:asciiTheme="majorBidi" w:hAnsiTheme="majorBidi" w:cstheme="majorBidi"/>
          <w:szCs w:val="22"/>
        </w:rPr>
        <w:t>.</w:t>
      </w:r>
    </w:p>
  </w:footnote>
  <w:footnote w:id="389">
    <w:p w:rsidR="00071EBB" w:rsidRDefault="00071EBB" w:rsidP="007A5379">
      <w:pPr>
        <w:pStyle w:val="FootnoteText"/>
        <w:ind w:firstLine="0"/>
      </w:pPr>
      <w:r>
        <w:rPr>
          <w:rStyle w:val="FootnoteReference"/>
        </w:rPr>
        <w:footnoteRef/>
      </w:r>
      <w:r>
        <w:t xml:space="preserve"> The updated indicator information was provided through the Biodiversity Indicators Partnership.</w:t>
      </w:r>
    </w:p>
  </w:footnote>
  <w:footnote w:id="390">
    <w:p w:rsidR="00071EBB" w:rsidRDefault="00071EBB" w:rsidP="007A5379">
      <w:pPr>
        <w:pStyle w:val="FootnoteText"/>
        <w:ind w:firstLine="0"/>
      </w:pPr>
      <w:r>
        <w:rPr>
          <w:rStyle w:val="FootnoteReference"/>
        </w:rPr>
        <w:footnoteRef/>
      </w:r>
      <w:r>
        <w:t xml:space="preserve"> Those indicators marked with an * are not currently reflected in the list of indicators welcomed by the Conference of the Parties in decision </w:t>
      </w:r>
      <w:r>
        <w:rPr>
          <w:rFonts w:asciiTheme="majorBidi" w:hAnsiTheme="majorBidi" w:cstheme="majorBidi"/>
          <w:szCs w:val="22"/>
        </w:rPr>
        <w:t>XIII/28</w:t>
      </w:r>
    </w:p>
  </w:footnote>
  <w:footnote w:id="391">
    <w:p w:rsidR="00071EBB" w:rsidRDefault="00071EBB" w:rsidP="007A5379">
      <w:pPr>
        <w:pStyle w:val="FootnoteText"/>
        <w:ind w:firstLine="0"/>
      </w:pPr>
      <w:r>
        <w:rPr>
          <w:rStyle w:val="FootnoteReference"/>
        </w:rPr>
        <w:footnoteRef/>
      </w:r>
      <w:r>
        <w:t xml:space="preserve"> For those indicators not available at the time GBO-4 was prepared the term “not available” is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rsidR="00071EBB" w:rsidRDefault="00071EBB" w:rsidP="005440A6">
        <w:pPr>
          <w:pStyle w:val="Header"/>
          <w:tabs>
            <w:tab w:val="clear" w:pos="4320"/>
            <w:tab w:val="clear" w:pos="8640"/>
          </w:tabs>
          <w:jc w:val="left"/>
          <w:rPr>
            <w:noProof/>
            <w:kern w:val="22"/>
          </w:rPr>
        </w:pPr>
        <w:r>
          <w:rPr>
            <w:noProof/>
            <w:kern w:val="22"/>
            <w:lang w:val="en-US"/>
          </w:rPr>
          <w:t>CBD/SBSTTA/22/INF/10</w:t>
        </w:r>
      </w:p>
    </w:sdtContent>
  </w:sdt>
  <w:p w:rsidR="00071EBB" w:rsidRPr="005440A6" w:rsidRDefault="00071EBB"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170F8F">
      <w:rPr>
        <w:noProof/>
        <w:kern w:val="22"/>
      </w:rPr>
      <w:t>20</w:t>
    </w:r>
    <w:r w:rsidRPr="005440A6">
      <w:rPr>
        <w:noProof/>
        <w:kern w:val="22"/>
      </w:rPr>
      <w:fldChar w:fldCharType="end"/>
    </w:r>
  </w:p>
  <w:p w:rsidR="00071EBB" w:rsidRPr="005440A6" w:rsidRDefault="00071EBB"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rsidR="00071EBB" w:rsidRPr="005440A6" w:rsidRDefault="00071EBB" w:rsidP="00BE45DE">
        <w:pPr>
          <w:pStyle w:val="Header"/>
          <w:tabs>
            <w:tab w:val="clear" w:pos="4320"/>
            <w:tab w:val="clear" w:pos="8640"/>
          </w:tabs>
          <w:jc w:val="right"/>
          <w:rPr>
            <w:noProof/>
            <w:kern w:val="22"/>
          </w:rPr>
        </w:pPr>
        <w:r>
          <w:rPr>
            <w:noProof/>
            <w:kern w:val="22"/>
            <w:lang w:val="en-US"/>
          </w:rPr>
          <w:t>CBD/SBSTTA/22/INF/10</w:t>
        </w:r>
      </w:p>
    </w:sdtContent>
  </w:sdt>
  <w:p w:rsidR="00071EBB" w:rsidRPr="005440A6" w:rsidRDefault="00071EBB"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170F8F">
      <w:rPr>
        <w:noProof/>
        <w:kern w:val="22"/>
      </w:rPr>
      <w:t>21</w:t>
    </w:r>
    <w:r w:rsidRPr="005440A6">
      <w:rPr>
        <w:noProof/>
        <w:kern w:val="22"/>
      </w:rPr>
      <w:fldChar w:fldCharType="end"/>
    </w:r>
  </w:p>
  <w:p w:rsidR="00071EBB" w:rsidRPr="005440A6" w:rsidRDefault="00071EBB"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AE3"/>
    <w:multiLevelType w:val="hybridMultilevel"/>
    <w:tmpl w:val="798EDEBE"/>
    <w:lvl w:ilvl="0" w:tplc="CFB62B08">
      <w:start w:val="1"/>
      <w:numFmt w:val="decimal"/>
      <w:lvlText w:val="%1."/>
      <w:lvlJc w:val="left"/>
      <w:pPr>
        <w:tabs>
          <w:tab w:val="num" w:pos="1080"/>
        </w:tabs>
        <w:ind w:left="1080" w:hanging="360"/>
      </w:pPr>
      <w:rPr>
        <w:rFonts w:hint="default"/>
        <w:i w:val="0"/>
        <w:i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3EB46D3"/>
    <w:multiLevelType w:val="multilevel"/>
    <w:tmpl w:val="4FF01174"/>
    <w:lvl w:ilvl="0">
      <w:start w:val="1"/>
      <w:numFmt w:val="decimal"/>
      <w:lvlText w:val="%1."/>
      <w:lvlJc w:val="left"/>
      <w:pPr>
        <w:tabs>
          <w:tab w:val="num" w:pos="1080"/>
        </w:tabs>
        <w:ind w:left="72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F466C4C"/>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3727E55"/>
    <w:multiLevelType w:val="hybridMultilevel"/>
    <w:tmpl w:val="A17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8586A"/>
    <w:multiLevelType w:val="hybridMultilevel"/>
    <w:tmpl w:val="8FDC69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6132566"/>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9604FA6"/>
    <w:multiLevelType w:val="hybridMultilevel"/>
    <w:tmpl w:val="D31424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B847943"/>
    <w:multiLevelType w:val="hybridMultilevel"/>
    <w:tmpl w:val="BA0A804A"/>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600CE"/>
    <w:multiLevelType w:val="hybridMultilevel"/>
    <w:tmpl w:val="7FF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B441293"/>
    <w:multiLevelType w:val="hybridMultilevel"/>
    <w:tmpl w:val="DEAE3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689C"/>
    <w:multiLevelType w:val="hybridMultilevel"/>
    <w:tmpl w:val="CF489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12"/>
  </w:num>
  <w:num w:numId="5">
    <w:abstractNumId w:val="11"/>
  </w:num>
  <w:num w:numId="6">
    <w:abstractNumId w:val="8"/>
  </w:num>
  <w:num w:numId="7">
    <w:abstractNumId w:val="9"/>
  </w:num>
  <w:num w:numId="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num>
  <w:num w:numId="15">
    <w:abstractNumId w:val="12"/>
  </w:num>
  <w:num w:numId="16">
    <w:abstractNumId w:val="4"/>
  </w:num>
  <w:num w:numId="17">
    <w:abstractNumId w:val="6"/>
  </w:num>
  <w:num w:numId="18">
    <w:abstractNumId w:val="2"/>
  </w:num>
  <w:num w:numId="19">
    <w:abstractNumId w:val="7"/>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0"/>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4"/>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78CC"/>
    <w:rsid w:val="0001177D"/>
    <w:rsid w:val="00016A8F"/>
    <w:rsid w:val="00017C0B"/>
    <w:rsid w:val="0002160A"/>
    <w:rsid w:val="000219AC"/>
    <w:rsid w:val="000319D0"/>
    <w:rsid w:val="00031D24"/>
    <w:rsid w:val="0003653B"/>
    <w:rsid w:val="00037873"/>
    <w:rsid w:val="000408E7"/>
    <w:rsid w:val="00043509"/>
    <w:rsid w:val="000468BC"/>
    <w:rsid w:val="00051466"/>
    <w:rsid w:val="00054381"/>
    <w:rsid w:val="000553B4"/>
    <w:rsid w:val="0006411B"/>
    <w:rsid w:val="00065C1E"/>
    <w:rsid w:val="000711E1"/>
    <w:rsid w:val="00071EBB"/>
    <w:rsid w:val="00073708"/>
    <w:rsid w:val="00074E7C"/>
    <w:rsid w:val="000809A8"/>
    <w:rsid w:val="00091416"/>
    <w:rsid w:val="000B6DD4"/>
    <w:rsid w:val="000D3438"/>
    <w:rsid w:val="000D3B65"/>
    <w:rsid w:val="000D67F9"/>
    <w:rsid w:val="000E637D"/>
    <w:rsid w:val="000E7E6A"/>
    <w:rsid w:val="000F0CA4"/>
    <w:rsid w:val="000F1F23"/>
    <w:rsid w:val="000F52B2"/>
    <w:rsid w:val="000F63AB"/>
    <w:rsid w:val="000F79D0"/>
    <w:rsid w:val="00106129"/>
    <w:rsid w:val="0011093A"/>
    <w:rsid w:val="00116AB8"/>
    <w:rsid w:val="0012214B"/>
    <w:rsid w:val="00125F47"/>
    <w:rsid w:val="001278B8"/>
    <w:rsid w:val="00130BAD"/>
    <w:rsid w:val="00143991"/>
    <w:rsid w:val="00147D77"/>
    <w:rsid w:val="001515B6"/>
    <w:rsid w:val="00153D15"/>
    <w:rsid w:val="0015655D"/>
    <w:rsid w:val="0016109C"/>
    <w:rsid w:val="00166367"/>
    <w:rsid w:val="00166A15"/>
    <w:rsid w:val="00170F8F"/>
    <w:rsid w:val="00174F7A"/>
    <w:rsid w:val="00183D37"/>
    <w:rsid w:val="001912BA"/>
    <w:rsid w:val="00192E06"/>
    <w:rsid w:val="0019543C"/>
    <w:rsid w:val="00197F1D"/>
    <w:rsid w:val="001A5072"/>
    <w:rsid w:val="001A693A"/>
    <w:rsid w:val="001B364A"/>
    <w:rsid w:val="001B37AC"/>
    <w:rsid w:val="001B3A4E"/>
    <w:rsid w:val="001C3205"/>
    <w:rsid w:val="001C3352"/>
    <w:rsid w:val="001C6802"/>
    <w:rsid w:val="001D1175"/>
    <w:rsid w:val="001F059B"/>
    <w:rsid w:val="001F11D1"/>
    <w:rsid w:val="001F6379"/>
    <w:rsid w:val="002002B9"/>
    <w:rsid w:val="00204415"/>
    <w:rsid w:val="002076C2"/>
    <w:rsid w:val="00207A6E"/>
    <w:rsid w:val="002116D9"/>
    <w:rsid w:val="0021187D"/>
    <w:rsid w:val="00221410"/>
    <w:rsid w:val="002214CD"/>
    <w:rsid w:val="00222952"/>
    <w:rsid w:val="00223512"/>
    <w:rsid w:val="00223B5B"/>
    <w:rsid w:val="00224B92"/>
    <w:rsid w:val="00225363"/>
    <w:rsid w:val="00226182"/>
    <w:rsid w:val="002268EF"/>
    <w:rsid w:val="002311DD"/>
    <w:rsid w:val="002322DF"/>
    <w:rsid w:val="002357E1"/>
    <w:rsid w:val="002430F7"/>
    <w:rsid w:val="00252897"/>
    <w:rsid w:val="00253572"/>
    <w:rsid w:val="00255D78"/>
    <w:rsid w:val="00271AC1"/>
    <w:rsid w:val="00277C97"/>
    <w:rsid w:val="00282B6D"/>
    <w:rsid w:val="00287F5B"/>
    <w:rsid w:val="00290BBD"/>
    <w:rsid w:val="00291944"/>
    <w:rsid w:val="002924FC"/>
    <w:rsid w:val="002A01AE"/>
    <w:rsid w:val="002A269D"/>
    <w:rsid w:val="002B0942"/>
    <w:rsid w:val="002B50DF"/>
    <w:rsid w:val="002C4BDB"/>
    <w:rsid w:val="002F04F2"/>
    <w:rsid w:val="00312428"/>
    <w:rsid w:val="003127B3"/>
    <w:rsid w:val="00315DE7"/>
    <w:rsid w:val="00317282"/>
    <w:rsid w:val="0031733B"/>
    <w:rsid w:val="003210FF"/>
    <w:rsid w:val="00325DE3"/>
    <w:rsid w:val="003348BE"/>
    <w:rsid w:val="00336766"/>
    <w:rsid w:val="003377BF"/>
    <w:rsid w:val="00344C8C"/>
    <w:rsid w:val="00344E86"/>
    <w:rsid w:val="003452C5"/>
    <w:rsid w:val="00357F75"/>
    <w:rsid w:val="00367963"/>
    <w:rsid w:val="00373B5E"/>
    <w:rsid w:val="00380AE4"/>
    <w:rsid w:val="003964EF"/>
    <w:rsid w:val="003A4B18"/>
    <w:rsid w:val="003B10B9"/>
    <w:rsid w:val="003B2BAA"/>
    <w:rsid w:val="003B461D"/>
    <w:rsid w:val="003B5F29"/>
    <w:rsid w:val="003C113F"/>
    <w:rsid w:val="003C1256"/>
    <w:rsid w:val="003D0416"/>
    <w:rsid w:val="003D0FB7"/>
    <w:rsid w:val="003D295C"/>
    <w:rsid w:val="003D2ACA"/>
    <w:rsid w:val="003E0995"/>
    <w:rsid w:val="003E2DAE"/>
    <w:rsid w:val="003E3329"/>
    <w:rsid w:val="003E5673"/>
    <w:rsid w:val="003E56AF"/>
    <w:rsid w:val="003E5B21"/>
    <w:rsid w:val="003F10C3"/>
    <w:rsid w:val="003F43F7"/>
    <w:rsid w:val="003F63AE"/>
    <w:rsid w:val="003F6E44"/>
    <w:rsid w:val="00401143"/>
    <w:rsid w:val="00401713"/>
    <w:rsid w:val="00406BC6"/>
    <w:rsid w:val="004076BA"/>
    <w:rsid w:val="004172CA"/>
    <w:rsid w:val="004225BF"/>
    <w:rsid w:val="0042311C"/>
    <w:rsid w:val="004327F7"/>
    <w:rsid w:val="00436FE0"/>
    <w:rsid w:val="00440667"/>
    <w:rsid w:val="0044424E"/>
    <w:rsid w:val="004448C7"/>
    <w:rsid w:val="00444F01"/>
    <w:rsid w:val="0045449E"/>
    <w:rsid w:val="00454553"/>
    <w:rsid w:val="00461994"/>
    <w:rsid w:val="00480298"/>
    <w:rsid w:val="00483D38"/>
    <w:rsid w:val="00486545"/>
    <w:rsid w:val="00486A7D"/>
    <w:rsid w:val="00493D97"/>
    <w:rsid w:val="004A4E35"/>
    <w:rsid w:val="004A6A4D"/>
    <w:rsid w:val="004B597A"/>
    <w:rsid w:val="004B63C3"/>
    <w:rsid w:val="004C0FE5"/>
    <w:rsid w:val="004C385C"/>
    <w:rsid w:val="004C418A"/>
    <w:rsid w:val="004D6A8D"/>
    <w:rsid w:val="004E508F"/>
    <w:rsid w:val="004E662F"/>
    <w:rsid w:val="004F71A2"/>
    <w:rsid w:val="004F7BDC"/>
    <w:rsid w:val="00500530"/>
    <w:rsid w:val="00501607"/>
    <w:rsid w:val="005032C9"/>
    <w:rsid w:val="005034F5"/>
    <w:rsid w:val="00505804"/>
    <w:rsid w:val="00507602"/>
    <w:rsid w:val="00516C26"/>
    <w:rsid w:val="00516C93"/>
    <w:rsid w:val="00523AF1"/>
    <w:rsid w:val="00526B6E"/>
    <w:rsid w:val="005304CF"/>
    <w:rsid w:val="00540276"/>
    <w:rsid w:val="00540797"/>
    <w:rsid w:val="005424FB"/>
    <w:rsid w:val="005440A6"/>
    <w:rsid w:val="00550142"/>
    <w:rsid w:val="00552484"/>
    <w:rsid w:val="00561403"/>
    <w:rsid w:val="005618B3"/>
    <w:rsid w:val="00562243"/>
    <w:rsid w:val="0056262B"/>
    <w:rsid w:val="0056486D"/>
    <w:rsid w:val="005763A7"/>
    <w:rsid w:val="005821DE"/>
    <w:rsid w:val="005830AC"/>
    <w:rsid w:val="00593C8A"/>
    <w:rsid w:val="005955D2"/>
    <w:rsid w:val="005A4284"/>
    <w:rsid w:val="005A615F"/>
    <w:rsid w:val="005C09E7"/>
    <w:rsid w:val="005C3F77"/>
    <w:rsid w:val="005C5BFE"/>
    <w:rsid w:val="005D139C"/>
    <w:rsid w:val="005D578C"/>
    <w:rsid w:val="005E289A"/>
    <w:rsid w:val="005F4C74"/>
    <w:rsid w:val="006060B3"/>
    <w:rsid w:val="0061078B"/>
    <w:rsid w:val="0061216B"/>
    <w:rsid w:val="006204CC"/>
    <w:rsid w:val="006210D0"/>
    <w:rsid w:val="006260D5"/>
    <w:rsid w:val="00630867"/>
    <w:rsid w:val="00642297"/>
    <w:rsid w:val="006507F2"/>
    <w:rsid w:val="00660F7F"/>
    <w:rsid w:val="006762B0"/>
    <w:rsid w:val="0067682C"/>
    <w:rsid w:val="006811D6"/>
    <w:rsid w:val="006857DC"/>
    <w:rsid w:val="00690847"/>
    <w:rsid w:val="00695800"/>
    <w:rsid w:val="006B074E"/>
    <w:rsid w:val="006B2BD5"/>
    <w:rsid w:val="006B331E"/>
    <w:rsid w:val="006B33BA"/>
    <w:rsid w:val="006C42B6"/>
    <w:rsid w:val="006D0E3D"/>
    <w:rsid w:val="006E4969"/>
    <w:rsid w:val="006F284C"/>
    <w:rsid w:val="006F4774"/>
    <w:rsid w:val="006F7227"/>
    <w:rsid w:val="00702366"/>
    <w:rsid w:val="00705E68"/>
    <w:rsid w:val="007112C4"/>
    <w:rsid w:val="007163BC"/>
    <w:rsid w:val="007173D3"/>
    <w:rsid w:val="00720FA7"/>
    <w:rsid w:val="007255FE"/>
    <w:rsid w:val="00726685"/>
    <w:rsid w:val="0072681F"/>
    <w:rsid w:val="0072763C"/>
    <w:rsid w:val="00730AE3"/>
    <w:rsid w:val="00735E62"/>
    <w:rsid w:val="00736BC2"/>
    <w:rsid w:val="00737AD9"/>
    <w:rsid w:val="00737B73"/>
    <w:rsid w:val="007414C0"/>
    <w:rsid w:val="007416CF"/>
    <w:rsid w:val="00751CCD"/>
    <w:rsid w:val="007562E9"/>
    <w:rsid w:val="007712D7"/>
    <w:rsid w:val="00781A80"/>
    <w:rsid w:val="0079325E"/>
    <w:rsid w:val="007945D5"/>
    <w:rsid w:val="00796907"/>
    <w:rsid w:val="007A2C7A"/>
    <w:rsid w:val="007A5379"/>
    <w:rsid w:val="007B1587"/>
    <w:rsid w:val="007B4220"/>
    <w:rsid w:val="007C5285"/>
    <w:rsid w:val="007C633B"/>
    <w:rsid w:val="007D0AB7"/>
    <w:rsid w:val="007D3182"/>
    <w:rsid w:val="007D354F"/>
    <w:rsid w:val="007D456F"/>
    <w:rsid w:val="007D6133"/>
    <w:rsid w:val="007E3903"/>
    <w:rsid w:val="008053F7"/>
    <w:rsid w:val="00812CB3"/>
    <w:rsid w:val="008145E0"/>
    <w:rsid w:val="00825524"/>
    <w:rsid w:val="0083211E"/>
    <w:rsid w:val="00840863"/>
    <w:rsid w:val="00844BB5"/>
    <w:rsid w:val="00847801"/>
    <w:rsid w:val="008623C7"/>
    <w:rsid w:val="00863F1A"/>
    <w:rsid w:val="00864BCD"/>
    <w:rsid w:val="00865878"/>
    <w:rsid w:val="008707FF"/>
    <w:rsid w:val="00870D40"/>
    <w:rsid w:val="00874EA7"/>
    <w:rsid w:val="0088112B"/>
    <w:rsid w:val="00882D67"/>
    <w:rsid w:val="00891B42"/>
    <w:rsid w:val="008921E6"/>
    <w:rsid w:val="008929A9"/>
    <w:rsid w:val="008A0F65"/>
    <w:rsid w:val="008C013C"/>
    <w:rsid w:val="008C1E35"/>
    <w:rsid w:val="008D5AA2"/>
    <w:rsid w:val="008D78B3"/>
    <w:rsid w:val="008E57F4"/>
    <w:rsid w:val="008E5F84"/>
    <w:rsid w:val="008E7500"/>
    <w:rsid w:val="008F03D2"/>
    <w:rsid w:val="008F09C3"/>
    <w:rsid w:val="008F3B26"/>
    <w:rsid w:val="009004B9"/>
    <w:rsid w:val="00901E2D"/>
    <w:rsid w:val="009067F8"/>
    <w:rsid w:val="00907134"/>
    <w:rsid w:val="0091409B"/>
    <w:rsid w:val="0091709C"/>
    <w:rsid w:val="00922EAD"/>
    <w:rsid w:val="0092794B"/>
    <w:rsid w:val="00930CE7"/>
    <w:rsid w:val="0093192D"/>
    <w:rsid w:val="00932F23"/>
    <w:rsid w:val="00934E89"/>
    <w:rsid w:val="009368CB"/>
    <w:rsid w:val="00937BAC"/>
    <w:rsid w:val="00947F31"/>
    <w:rsid w:val="0095331E"/>
    <w:rsid w:val="00953856"/>
    <w:rsid w:val="00954CCE"/>
    <w:rsid w:val="009554D5"/>
    <w:rsid w:val="009718B7"/>
    <w:rsid w:val="00975C8D"/>
    <w:rsid w:val="00977485"/>
    <w:rsid w:val="00984071"/>
    <w:rsid w:val="00984082"/>
    <w:rsid w:val="00997684"/>
    <w:rsid w:val="009A5991"/>
    <w:rsid w:val="009B3D1C"/>
    <w:rsid w:val="009B5E1D"/>
    <w:rsid w:val="009D2F92"/>
    <w:rsid w:val="009D551E"/>
    <w:rsid w:val="009E2B79"/>
    <w:rsid w:val="009E3B3A"/>
    <w:rsid w:val="00A00207"/>
    <w:rsid w:val="00A10051"/>
    <w:rsid w:val="00A16320"/>
    <w:rsid w:val="00A202B6"/>
    <w:rsid w:val="00A20F36"/>
    <w:rsid w:val="00A27E22"/>
    <w:rsid w:val="00A30DAD"/>
    <w:rsid w:val="00A50D70"/>
    <w:rsid w:val="00A52EBF"/>
    <w:rsid w:val="00A56847"/>
    <w:rsid w:val="00A611E3"/>
    <w:rsid w:val="00A61216"/>
    <w:rsid w:val="00A61246"/>
    <w:rsid w:val="00A85291"/>
    <w:rsid w:val="00AA014E"/>
    <w:rsid w:val="00AA3DD9"/>
    <w:rsid w:val="00AB3847"/>
    <w:rsid w:val="00AC1E69"/>
    <w:rsid w:val="00AC485E"/>
    <w:rsid w:val="00AD096C"/>
    <w:rsid w:val="00AD2914"/>
    <w:rsid w:val="00AD5572"/>
    <w:rsid w:val="00AF2EE7"/>
    <w:rsid w:val="00B12E4C"/>
    <w:rsid w:val="00B22705"/>
    <w:rsid w:val="00B271A0"/>
    <w:rsid w:val="00B30884"/>
    <w:rsid w:val="00B3189E"/>
    <w:rsid w:val="00B3299A"/>
    <w:rsid w:val="00B41F1F"/>
    <w:rsid w:val="00B45EAD"/>
    <w:rsid w:val="00B51370"/>
    <w:rsid w:val="00B564D7"/>
    <w:rsid w:val="00B56B11"/>
    <w:rsid w:val="00B6695D"/>
    <w:rsid w:val="00B67240"/>
    <w:rsid w:val="00B679A7"/>
    <w:rsid w:val="00B74DFD"/>
    <w:rsid w:val="00B82E15"/>
    <w:rsid w:val="00B85F9B"/>
    <w:rsid w:val="00B901C6"/>
    <w:rsid w:val="00BA1498"/>
    <w:rsid w:val="00BA3233"/>
    <w:rsid w:val="00BB4E25"/>
    <w:rsid w:val="00BB653E"/>
    <w:rsid w:val="00BC1ABC"/>
    <w:rsid w:val="00BD67E2"/>
    <w:rsid w:val="00BD7295"/>
    <w:rsid w:val="00BE37A4"/>
    <w:rsid w:val="00BE45DE"/>
    <w:rsid w:val="00BF3DC8"/>
    <w:rsid w:val="00BF7FAC"/>
    <w:rsid w:val="00C05456"/>
    <w:rsid w:val="00C06A3B"/>
    <w:rsid w:val="00C076A9"/>
    <w:rsid w:val="00C15BBB"/>
    <w:rsid w:val="00C21052"/>
    <w:rsid w:val="00C31FC0"/>
    <w:rsid w:val="00C37FF1"/>
    <w:rsid w:val="00C40168"/>
    <w:rsid w:val="00C40969"/>
    <w:rsid w:val="00C507CD"/>
    <w:rsid w:val="00C85EA4"/>
    <w:rsid w:val="00C877AD"/>
    <w:rsid w:val="00C912FE"/>
    <w:rsid w:val="00C94BEB"/>
    <w:rsid w:val="00CA1572"/>
    <w:rsid w:val="00CA6B87"/>
    <w:rsid w:val="00CB2917"/>
    <w:rsid w:val="00CB70B8"/>
    <w:rsid w:val="00CC2031"/>
    <w:rsid w:val="00CC56A6"/>
    <w:rsid w:val="00CC77BC"/>
    <w:rsid w:val="00CD271B"/>
    <w:rsid w:val="00CE04F9"/>
    <w:rsid w:val="00CE1D6B"/>
    <w:rsid w:val="00CE21E7"/>
    <w:rsid w:val="00CE51C3"/>
    <w:rsid w:val="00CE6112"/>
    <w:rsid w:val="00CF4F69"/>
    <w:rsid w:val="00CF6183"/>
    <w:rsid w:val="00CF7820"/>
    <w:rsid w:val="00D05963"/>
    <w:rsid w:val="00D113E8"/>
    <w:rsid w:val="00D1411A"/>
    <w:rsid w:val="00D15589"/>
    <w:rsid w:val="00D16DA6"/>
    <w:rsid w:val="00D22711"/>
    <w:rsid w:val="00D22754"/>
    <w:rsid w:val="00D22AE8"/>
    <w:rsid w:val="00D23C85"/>
    <w:rsid w:val="00D41231"/>
    <w:rsid w:val="00D432AD"/>
    <w:rsid w:val="00D4440A"/>
    <w:rsid w:val="00D44ACC"/>
    <w:rsid w:val="00D4538C"/>
    <w:rsid w:val="00D46AB4"/>
    <w:rsid w:val="00D473F9"/>
    <w:rsid w:val="00D51069"/>
    <w:rsid w:val="00D55B9C"/>
    <w:rsid w:val="00D63C84"/>
    <w:rsid w:val="00D6780A"/>
    <w:rsid w:val="00D73C73"/>
    <w:rsid w:val="00D81568"/>
    <w:rsid w:val="00D843EA"/>
    <w:rsid w:val="00D8775B"/>
    <w:rsid w:val="00D94558"/>
    <w:rsid w:val="00D9537D"/>
    <w:rsid w:val="00D95CE5"/>
    <w:rsid w:val="00DA1081"/>
    <w:rsid w:val="00DB1C24"/>
    <w:rsid w:val="00DC36BD"/>
    <w:rsid w:val="00DD03F6"/>
    <w:rsid w:val="00DD474A"/>
    <w:rsid w:val="00DD52CC"/>
    <w:rsid w:val="00DE308B"/>
    <w:rsid w:val="00DE5015"/>
    <w:rsid w:val="00DF1C44"/>
    <w:rsid w:val="00DF263E"/>
    <w:rsid w:val="00DF6515"/>
    <w:rsid w:val="00E00656"/>
    <w:rsid w:val="00E05B48"/>
    <w:rsid w:val="00E14902"/>
    <w:rsid w:val="00E1653D"/>
    <w:rsid w:val="00E31A5E"/>
    <w:rsid w:val="00E37A7A"/>
    <w:rsid w:val="00E435EA"/>
    <w:rsid w:val="00E47630"/>
    <w:rsid w:val="00E55B3B"/>
    <w:rsid w:val="00E55E91"/>
    <w:rsid w:val="00E622E3"/>
    <w:rsid w:val="00E62C21"/>
    <w:rsid w:val="00E63096"/>
    <w:rsid w:val="00E63EEC"/>
    <w:rsid w:val="00E7198A"/>
    <w:rsid w:val="00E73562"/>
    <w:rsid w:val="00E80107"/>
    <w:rsid w:val="00E83554"/>
    <w:rsid w:val="00E8732E"/>
    <w:rsid w:val="00E87BC5"/>
    <w:rsid w:val="00E92C82"/>
    <w:rsid w:val="00EA7525"/>
    <w:rsid w:val="00EC0210"/>
    <w:rsid w:val="00EC04EA"/>
    <w:rsid w:val="00EC0891"/>
    <w:rsid w:val="00EC1826"/>
    <w:rsid w:val="00EC2441"/>
    <w:rsid w:val="00ED3E8B"/>
    <w:rsid w:val="00EE51DB"/>
    <w:rsid w:val="00EE5900"/>
    <w:rsid w:val="00EF5C9B"/>
    <w:rsid w:val="00EF6314"/>
    <w:rsid w:val="00F130D0"/>
    <w:rsid w:val="00F13DC0"/>
    <w:rsid w:val="00F14485"/>
    <w:rsid w:val="00F14A09"/>
    <w:rsid w:val="00F16F02"/>
    <w:rsid w:val="00F2325B"/>
    <w:rsid w:val="00F26A60"/>
    <w:rsid w:val="00F3247A"/>
    <w:rsid w:val="00F33B96"/>
    <w:rsid w:val="00F354EE"/>
    <w:rsid w:val="00F465B6"/>
    <w:rsid w:val="00F50EC1"/>
    <w:rsid w:val="00F52992"/>
    <w:rsid w:val="00F53C42"/>
    <w:rsid w:val="00F628C4"/>
    <w:rsid w:val="00F63D9D"/>
    <w:rsid w:val="00F64CB9"/>
    <w:rsid w:val="00F67181"/>
    <w:rsid w:val="00F7067E"/>
    <w:rsid w:val="00F77628"/>
    <w:rsid w:val="00F8057B"/>
    <w:rsid w:val="00F838DD"/>
    <w:rsid w:val="00F84D45"/>
    <w:rsid w:val="00F86065"/>
    <w:rsid w:val="00F97342"/>
    <w:rsid w:val="00F97505"/>
    <w:rsid w:val="00FB30DB"/>
    <w:rsid w:val="00FB3B70"/>
    <w:rsid w:val="00FC0A9E"/>
    <w:rsid w:val="00FC4D83"/>
    <w:rsid w:val="00FC6159"/>
    <w:rsid w:val="00FD061C"/>
    <w:rsid w:val="00FE084A"/>
    <w:rsid w:val="00FE1426"/>
    <w:rsid w:val="00FE4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6027F8"/>
  <w15:docId w15:val="{9E73B900-A84C-4538-99FB-17C2C5CB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552484"/>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440A"/>
    <w:pPr>
      <w:spacing w:before="100" w:beforeAutospacing="1" w:after="100" w:afterAutospacing="1"/>
      <w:jc w:val="left"/>
    </w:pPr>
    <w:rPr>
      <w:rFonts w:ascii="Times" w:hAnsi="Times"/>
      <w:sz w:val="20"/>
      <w:szCs w:val="20"/>
      <w:lang w:val="en-CA"/>
    </w:rPr>
  </w:style>
  <w:style w:type="character" w:styleId="Strong">
    <w:name w:val="Strong"/>
    <w:basedOn w:val="DefaultParagraphFont"/>
    <w:uiPriority w:val="22"/>
    <w:qFormat/>
    <w:rsid w:val="004F7BDC"/>
    <w:rPr>
      <w:b/>
      <w:bCs/>
    </w:rPr>
  </w:style>
  <w:style w:type="paragraph" w:customStyle="1" w:styleId="Default">
    <w:name w:val="Default"/>
    <w:rsid w:val="00F53C42"/>
    <w:pPr>
      <w:autoSpaceDE w:val="0"/>
      <w:autoSpaceDN w:val="0"/>
      <w:adjustRightInd w:val="0"/>
    </w:pPr>
    <w:rPr>
      <w:color w:val="000000"/>
      <w:sz w:val="24"/>
      <w:szCs w:val="24"/>
      <w:lang w:val="en-US"/>
    </w:rPr>
  </w:style>
  <w:style w:type="character" w:customStyle="1" w:styleId="BodyTextChar">
    <w:name w:val="Body Text Char"/>
    <w:aliases w:val=" Car Char,Car Char"/>
    <w:link w:val="BodyText"/>
    <w:rsid w:val="001278B8"/>
    <w:rPr>
      <w:iCs/>
      <w:sz w:val="22"/>
      <w:szCs w:val="24"/>
      <w:lang w:val="en-GB"/>
    </w:rPr>
  </w:style>
  <w:style w:type="paragraph" w:customStyle="1" w:styleId="Normal1">
    <w:name w:val="Normal1"/>
    <w:rsid w:val="009D551E"/>
    <w:pPr>
      <w:pBdr>
        <w:top w:val="nil"/>
        <w:left w:val="nil"/>
        <w:bottom w:val="nil"/>
        <w:right w:val="nil"/>
        <w:between w:val="nil"/>
      </w:pBdr>
      <w:spacing w:line="276" w:lineRule="auto"/>
    </w:pPr>
    <w:rPr>
      <w:rFonts w:ascii="Arial" w:eastAsia="Arial" w:hAnsi="Arial" w:cs="Arial"/>
      <w:color w:val="000000"/>
      <w:sz w:val="22"/>
      <w:szCs w:val="22"/>
      <w:lang w:val="en-US"/>
    </w:rPr>
  </w:style>
  <w:style w:type="character" w:customStyle="1" w:styleId="Hyperlink2">
    <w:name w:val="Hyperlink.2"/>
    <w:rsid w:val="009D551E"/>
    <w:rPr>
      <w:shd w:val="clear" w:color="auto" w:fill="FFFFFF"/>
    </w:rPr>
  </w:style>
  <w:style w:type="character" w:customStyle="1" w:styleId="author">
    <w:name w:val="author"/>
    <w:basedOn w:val="DefaultParagraphFont"/>
    <w:rsid w:val="009D551E"/>
  </w:style>
  <w:style w:type="character" w:customStyle="1" w:styleId="journaltitle">
    <w:name w:val="journaltitle"/>
    <w:basedOn w:val="DefaultParagraphFont"/>
    <w:rsid w:val="009D551E"/>
  </w:style>
  <w:style w:type="character" w:customStyle="1" w:styleId="pubyear">
    <w:name w:val="pubyear"/>
    <w:basedOn w:val="DefaultParagraphFont"/>
    <w:rsid w:val="009D551E"/>
  </w:style>
  <w:style w:type="character" w:customStyle="1" w:styleId="vol">
    <w:name w:val="vol"/>
    <w:basedOn w:val="DefaultParagraphFont"/>
    <w:rsid w:val="009D551E"/>
  </w:style>
  <w:style w:type="character" w:styleId="Emphasis">
    <w:name w:val="Emphasis"/>
    <w:basedOn w:val="DefaultParagraphFont"/>
    <w:uiPriority w:val="20"/>
    <w:qFormat/>
    <w:rsid w:val="009D551E"/>
    <w:rPr>
      <w:i/>
      <w:iCs/>
    </w:rPr>
  </w:style>
  <w:style w:type="character" w:customStyle="1" w:styleId="articletitle">
    <w:name w:val="articletitle"/>
    <w:basedOn w:val="DefaultParagraphFont"/>
    <w:rsid w:val="009D551E"/>
  </w:style>
  <w:style w:type="character" w:customStyle="1" w:styleId="pagefirst">
    <w:name w:val="pagefirst"/>
    <w:basedOn w:val="DefaultParagraphFont"/>
    <w:rsid w:val="009D551E"/>
  </w:style>
  <w:style w:type="character" w:customStyle="1" w:styleId="pagelast">
    <w:name w:val="pagelast"/>
    <w:basedOn w:val="DefaultParagraphFont"/>
    <w:rsid w:val="009D551E"/>
  </w:style>
  <w:style w:type="character" w:customStyle="1" w:styleId="citedissue">
    <w:name w:val="citedissue"/>
    <w:basedOn w:val="DefaultParagraphFont"/>
    <w:rsid w:val="009D551E"/>
  </w:style>
  <w:style w:type="character" w:customStyle="1" w:styleId="None">
    <w:name w:val="None"/>
    <w:rsid w:val="009D551E"/>
  </w:style>
  <w:style w:type="paragraph" w:customStyle="1" w:styleId="Body">
    <w:name w:val="Body"/>
    <w:rsid w:val="009D551E"/>
    <w:pPr>
      <w:pBdr>
        <w:top w:val="nil"/>
        <w:left w:val="nil"/>
        <w:bottom w:val="nil"/>
        <w:right w:val="nil"/>
        <w:between w:val="nil"/>
        <w:bar w:val="nil"/>
      </w:pBdr>
      <w:spacing w:line="360" w:lineRule="auto"/>
      <w:outlineLvl w:val="3"/>
    </w:pPr>
    <w:rPr>
      <w:color w:val="000000"/>
      <w:sz w:val="22"/>
      <w:szCs w:val="22"/>
      <w:bdr w:val="nil"/>
      <w:shd w:val="clear" w:color="auto" w:fill="FFFFFF"/>
      <w:lang w:val="en-US" w:eastAsia="zh-CN"/>
    </w:rPr>
  </w:style>
  <w:style w:type="paragraph" w:customStyle="1" w:styleId="mb15">
    <w:name w:val="mb15"/>
    <w:basedOn w:val="Normal"/>
    <w:rsid w:val="009D551E"/>
    <w:pPr>
      <w:spacing w:before="100" w:beforeAutospacing="1" w:after="100" w:afterAutospacing="1"/>
      <w:jc w:val="left"/>
    </w:pPr>
    <w:rPr>
      <w:rFonts w:ascii="Times" w:hAnsi="Times"/>
      <w:sz w:val="20"/>
      <w:szCs w:val="20"/>
      <w:lang w:val="en-CA"/>
    </w:rPr>
  </w:style>
  <w:style w:type="character" w:customStyle="1" w:styleId="highwire-cite-metadata-journal">
    <w:name w:val="highwire-cite-metadata-journal"/>
    <w:basedOn w:val="DefaultParagraphFont"/>
    <w:rsid w:val="009D551E"/>
  </w:style>
  <w:style w:type="character" w:customStyle="1" w:styleId="highwire-cite-metadata-date">
    <w:name w:val="highwire-cite-metadata-date"/>
    <w:basedOn w:val="DefaultParagraphFont"/>
    <w:rsid w:val="009D551E"/>
  </w:style>
  <w:style w:type="character" w:customStyle="1" w:styleId="highwire-cite-metadata-volume">
    <w:name w:val="highwire-cite-metadata-volume"/>
    <w:basedOn w:val="DefaultParagraphFont"/>
    <w:rsid w:val="009D551E"/>
  </w:style>
  <w:style w:type="character" w:customStyle="1" w:styleId="highwire-cite-metadata-issue">
    <w:name w:val="highwire-cite-metadata-issue"/>
    <w:basedOn w:val="DefaultParagraphFont"/>
    <w:rsid w:val="009D551E"/>
  </w:style>
  <w:style w:type="character" w:customStyle="1" w:styleId="highwire-cite-metadata-pages">
    <w:name w:val="highwire-cite-metadata-pages"/>
    <w:basedOn w:val="DefaultParagraphFont"/>
    <w:rsid w:val="009D551E"/>
  </w:style>
  <w:style w:type="character" w:customStyle="1" w:styleId="highwire-cite-metadata-papdate">
    <w:name w:val="highwire-cite-metadata-papdate"/>
    <w:basedOn w:val="DefaultParagraphFont"/>
    <w:rsid w:val="009D551E"/>
  </w:style>
  <w:style w:type="character" w:customStyle="1" w:styleId="highwire-cite-metadata-doi">
    <w:name w:val="highwire-cite-metadata-doi"/>
    <w:basedOn w:val="DefaultParagraphFont"/>
    <w:rsid w:val="009D551E"/>
  </w:style>
  <w:style w:type="character" w:customStyle="1" w:styleId="Para1Char">
    <w:name w:val="Para1 Char"/>
    <w:link w:val="Para1"/>
    <w:locked/>
    <w:rsid w:val="00863F1A"/>
    <w:rPr>
      <w:snapToGrid w:val="0"/>
      <w:sz w:val="22"/>
      <w:szCs w:val="18"/>
      <w:lang w:val="en-GB"/>
    </w:rPr>
  </w:style>
  <w:style w:type="character" w:styleId="UnresolvedMention">
    <w:name w:val="Unresolved Mention"/>
    <w:basedOn w:val="DefaultParagraphFont"/>
    <w:uiPriority w:val="99"/>
    <w:semiHidden/>
    <w:unhideWhenUsed/>
    <w:rsid w:val="003D29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395">
      <w:bodyDiv w:val="1"/>
      <w:marLeft w:val="0"/>
      <w:marRight w:val="0"/>
      <w:marTop w:val="0"/>
      <w:marBottom w:val="0"/>
      <w:divBdr>
        <w:top w:val="none" w:sz="0" w:space="0" w:color="auto"/>
        <w:left w:val="none" w:sz="0" w:space="0" w:color="auto"/>
        <w:bottom w:val="none" w:sz="0" w:space="0" w:color="auto"/>
        <w:right w:val="none" w:sz="0" w:space="0" w:color="auto"/>
      </w:divBdr>
      <w:divsChild>
        <w:div w:id="1830292354">
          <w:marLeft w:val="0"/>
          <w:marRight w:val="0"/>
          <w:marTop w:val="0"/>
          <w:marBottom w:val="0"/>
          <w:divBdr>
            <w:top w:val="none" w:sz="0" w:space="0" w:color="auto"/>
            <w:left w:val="none" w:sz="0" w:space="0" w:color="auto"/>
            <w:bottom w:val="none" w:sz="0" w:space="0" w:color="auto"/>
            <w:right w:val="none" w:sz="0" w:space="0" w:color="auto"/>
          </w:divBdr>
          <w:divsChild>
            <w:div w:id="447355618">
              <w:marLeft w:val="0"/>
              <w:marRight w:val="0"/>
              <w:marTop w:val="0"/>
              <w:marBottom w:val="0"/>
              <w:divBdr>
                <w:top w:val="none" w:sz="0" w:space="0" w:color="auto"/>
                <w:left w:val="none" w:sz="0" w:space="0" w:color="auto"/>
                <w:bottom w:val="none" w:sz="0" w:space="0" w:color="auto"/>
                <w:right w:val="none" w:sz="0" w:space="0" w:color="auto"/>
              </w:divBdr>
              <w:divsChild>
                <w:div w:id="237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047">
      <w:bodyDiv w:val="1"/>
      <w:marLeft w:val="0"/>
      <w:marRight w:val="0"/>
      <w:marTop w:val="0"/>
      <w:marBottom w:val="0"/>
      <w:divBdr>
        <w:top w:val="none" w:sz="0" w:space="0" w:color="auto"/>
        <w:left w:val="none" w:sz="0" w:space="0" w:color="auto"/>
        <w:bottom w:val="none" w:sz="0" w:space="0" w:color="auto"/>
        <w:right w:val="none" w:sz="0" w:space="0" w:color="auto"/>
      </w:divBdr>
    </w:div>
    <w:div w:id="815073553">
      <w:bodyDiv w:val="1"/>
      <w:marLeft w:val="0"/>
      <w:marRight w:val="0"/>
      <w:marTop w:val="0"/>
      <w:marBottom w:val="0"/>
      <w:divBdr>
        <w:top w:val="none" w:sz="0" w:space="0" w:color="auto"/>
        <w:left w:val="none" w:sz="0" w:space="0" w:color="auto"/>
        <w:bottom w:val="none" w:sz="0" w:space="0" w:color="auto"/>
        <w:right w:val="none" w:sz="0" w:space="0" w:color="auto"/>
      </w:divBdr>
      <w:divsChild>
        <w:div w:id="1058743803">
          <w:marLeft w:val="0"/>
          <w:marRight w:val="0"/>
          <w:marTop w:val="0"/>
          <w:marBottom w:val="0"/>
          <w:divBdr>
            <w:top w:val="none" w:sz="0" w:space="0" w:color="auto"/>
            <w:left w:val="none" w:sz="0" w:space="0" w:color="auto"/>
            <w:bottom w:val="none" w:sz="0" w:space="0" w:color="auto"/>
            <w:right w:val="none" w:sz="0" w:space="0" w:color="auto"/>
          </w:divBdr>
          <w:divsChild>
            <w:div w:id="154103807">
              <w:marLeft w:val="0"/>
              <w:marRight w:val="0"/>
              <w:marTop w:val="0"/>
              <w:marBottom w:val="0"/>
              <w:divBdr>
                <w:top w:val="none" w:sz="0" w:space="0" w:color="auto"/>
                <w:left w:val="none" w:sz="0" w:space="0" w:color="auto"/>
                <w:bottom w:val="none" w:sz="0" w:space="0" w:color="auto"/>
                <w:right w:val="none" w:sz="0" w:space="0" w:color="auto"/>
              </w:divBdr>
              <w:divsChild>
                <w:div w:id="1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4715">
      <w:bodyDiv w:val="1"/>
      <w:marLeft w:val="0"/>
      <w:marRight w:val="0"/>
      <w:marTop w:val="0"/>
      <w:marBottom w:val="0"/>
      <w:divBdr>
        <w:top w:val="none" w:sz="0" w:space="0" w:color="auto"/>
        <w:left w:val="none" w:sz="0" w:space="0" w:color="auto"/>
        <w:bottom w:val="none" w:sz="0" w:space="0" w:color="auto"/>
        <w:right w:val="none" w:sz="0" w:space="0" w:color="auto"/>
      </w:divBdr>
      <w:divsChild>
        <w:div w:id="1598058789">
          <w:marLeft w:val="0"/>
          <w:marRight w:val="0"/>
          <w:marTop w:val="0"/>
          <w:marBottom w:val="0"/>
          <w:divBdr>
            <w:top w:val="none" w:sz="0" w:space="0" w:color="auto"/>
            <w:left w:val="none" w:sz="0" w:space="0" w:color="auto"/>
            <w:bottom w:val="none" w:sz="0" w:space="0" w:color="auto"/>
            <w:right w:val="none" w:sz="0" w:space="0" w:color="auto"/>
          </w:divBdr>
          <w:divsChild>
            <w:div w:id="1670476780">
              <w:marLeft w:val="0"/>
              <w:marRight w:val="0"/>
              <w:marTop w:val="0"/>
              <w:marBottom w:val="0"/>
              <w:divBdr>
                <w:top w:val="none" w:sz="0" w:space="0" w:color="auto"/>
                <w:left w:val="none" w:sz="0" w:space="0" w:color="auto"/>
                <w:bottom w:val="none" w:sz="0" w:space="0" w:color="auto"/>
                <w:right w:val="none" w:sz="0" w:space="0" w:color="auto"/>
              </w:divBdr>
              <w:divsChild>
                <w:div w:id="975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6127">
      <w:bodyDiv w:val="1"/>
      <w:marLeft w:val="0"/>
      <w:marRight w:val="0"/>
      <w:marTop w:val="0"/>
      <w:marBottom w:val="0"/>
      <w:divBdr>
        <w:top w:val="none" w:sz="0" w:space="0" w:color="auto"/>
        <w:left w:val="none" w:sz="0" w:space="0" w:color="auto"/>
        <w:bottom w:val="none" w:sz="0" w:space="0" w:color="auto"/>
        <w:right w:val="none" w:sz="0" w:space="0" w:color="auto"/>
      </w:divBdr>
      <w:divsChild>
        <w:div w:id="1396855916">
          <w:marLeft w:val="0"/>
          <w:marRight w:val="0"/>
          <w:marTop w:val="0"/>
          <w:marBottom w:val="0"/>
          <w:divBdr>
            <w:top w:val="none" w:sz="0" w:space="0" w:color="auto"/>
            <w:left w:val="none" w:sz="0" w:space="0" w:color="auto"/>
            <w:bottom w:val="none" w:sz="0" w:space="0" w:color="auto"/>
            <w:right w:val="none" w:sz="0" w:space="0" w:color="auto"/>
          </w:divBdr>
          <w:divsChild>
            <w:div w:id="513806739">
              <w:marLeft w:val="0"/>
              <w:marRight w:val="0"/>
              <w:marTop w:val="0"/>
              <w:marBottom w:val="0"/>
              <w:divBdr>
                <w:top w:val="none" w:sz="0" w:space="0" w:color="auto"/>
                <w:left w:val="none" w:sz="0" w:space="0" w:color="auto"/>
                <w:bottom w:val="none" w:sz="0" w:space="0" w:color="auto"/>
                <w:right w:val="none" w:sz="0" w:space="0" w:color="auto"/>
              </w:divBdr>
              <w:divsChild>
                <w:div w:id="12360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5616">
      <w:bodyDiv w:val="1"/>
      <w:marLeft w:val="0"/>
      <w:marRight w:val="0"/>
      <w:marTop w:val="0"/>
      <w:marBottom w:val="0"/>
      <w:divBdr>
        <w:top w:val="none" w:sz="0" w:space="0" w:color="auto"/>
        <w:left w:val="none" w:sz="0" w:space="0" w:color="auto"/>
        <w:bottom w:val="none" w:sz="0" w:space="0" w:color="auto"/>
        <w:right w:val="none" w:sz="0" w:space="0" w:color="auto"/>
      </w:divBdr>
    </w:div>
    <w:div w:id="1678925658">
      <w:bodyDiv w:val="1"/>
      <w:marLeft w:val="0"/>
      <w:marRight w:val="0"/>
      <w:marTop w:val="0"/>
      <w:marBottom w:val="0"/>
      <w:divBdr>
        <w:top w:val="none" w:sz="0" w:space="0" w:color="auto"/>
        <w:left w:val="none" w:sz="0" w:space="0" w:color="auto"/>
        <w:bottom w:val="none" w:sz="0" w:space="0" w:color="auto"/>
        <w:right w:val="none" w:sz="0" w:space="0" w:color="auto"/>
      </w:divBdr>
      <w:divsChild>
        <w:div w:id="1756439657">
          <w:marLeft w:val="0"/>
          <w:marRight w:val="0"/>
          <w:marTop w:val="0"/>
          <w:marBottom w:val="0"/>
          <w:divBdr>
            <w:top w:val="none" w:sz="0" w:space="0" w:color="auto"/>
            <w:left w:val="none" w:sz="0" w:space="0" w:color="auto"/>
            <w:bottom w:val="none" w:sz="0" w:space="0" w:color="auto"/>
            <w:right w:val="none" w:sz="0" w:space="0" w:color="auto"/>
          </w:divBdr>
          <w:divsChild>
            <w:div w:id="1265381575">
              <w:marLeft w:val="0"/>
              <w:marRight w:val="0"/>
              <w:marTop w:val="0"/>
              <w:marBottom w:val="0"/>
              <w:divBdr>
                <w:top w:val="none" w:sz="0" w:space="0" w:color="auto"/>
                <w:left w:val="none" w:sz="0" w:space="0" w:color="auto"/>
                <w:bottom w:val="none" w:sz="0" w:space="0" w:color="auto"/>
                <w:right w:val="none" w:sz="0" w:space="0" w:color="auto"/>
              </w:divBdr>
              <w:divsChild>
                <w:div w:id="605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3710">
      <w:bodyDiv w:val="1"/>
      <w:marLeft w:val="0"/>
      <w:marRight w:val="0"/>
      <w:marTop w:val="0"/>
      <w:marBottom w:val="0"/>
      <w:divBdr>
        <w:top w:val="none" w:sz="0" w:space="0" w:color="auto"/>
        <w:left w:val="none" w:sz="0" w:space="0" w:color="auto"/>
        <w:bottom w:val="none" w:sz="0" w:space="0" w:color="auto"/>
        <w:right w:val="none" w:sz="0" w:space="0" w:color="auto"/>
      </w:divBdr>
    </w:div>
    <w:div w:id="2131120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28-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30-en.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1-en.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javascript:__doLinkPostBack('','ss~~AR%20%22Schieffer%2C%20J.%22%7C%7Csl~~rl','');" TargetMode="External"/><Relationship Id="rId13" Type="http://schemas.openxmlformats.org/officeDocument/2006/relationships/hyperlink" Target="javascript:__doLinkPostBack('','ss~~AR%20%22Little%2C%20D.%20C.%22%7C%7Csl~~rl','');" TargetMode="External"/><Relationship Id="rId18" Type="http://schemas.openxmlformats.org/officeDocument/2006/relationships/hyperlink" Target="http://www.pefc.co.uk/" TargetMode="External"/><Relationship Id="rId26" Type="http://schemas.openxmlformats.org/officeDocument/2006/relationships/hyperlink" Target="http://dx.doi.org/10.1002/2015GL066235" TargetMode="External"/><Relationship Id="rId39" Type="http://schemas.openxmlformats.org/officeDocument/2006/relationships/hyperlink" Target="http://wok.mimas.ac.uk/" TargetMode="External"/><Relationship Id="rId3" Type="http://schemas.openxmlformats.org/officeDocument/2006/relationships/hyperlink" Target="https://cites.org/legislation" TargetMode="External"/><Relationship Id="rId21" Type="http://schemas.openxmlformats.org/officeDocument/2006/relationships/hyperlink" Target="http://ref.data.fao.org/dataset?entryId=5e70fee4-fb65-43b6-8da1-b6de4626b9bd&amp;tab=about" TargetMode="External"/><Relationship Id="rId34" Type="http://schemas.openxmlformats.org/officeDocument/2006/relationships/hyperlink" Target="https://doi.org/10.14214/sf.1673" TargetMode="External"/><Relationship Id="rId42" Type="http://schemas.openxmlformats.org/officeDocument/2006/relationships/hyperlink" Target="https://www.oecd.org/dac/environment-development/Biodiversity-related-ODA.pdf" TargetMode="External"/><Relationship Id="rId7" Type="http://schemas.openxmlformats.org/officeDocument/2006/relationships/hyperlink" Target="http://www.iucnredlist.org/about/publication/red-list-index" TargetMode="External"/><Relationship Id="rId12" Type="http://schemas.openxmlformats.org/officeDocument/2006/relationships/hyperlink" Target="javascript:__doLinkPostBack('','ss~~AR%20%22Metian%2C%20Marc%22%7C%7Csl~~rl','');" TargetMode="External"/><Relationship Id="rId17" Type="http://schemas.openxmlformats.org/officeDocument/2006/relationships/hyperlink" Target="https://info.fsc.org/" TargetMode="External"/><Relationship Id="rId25" Type="http://schemas.openxmlformats.org/officeDocument/2006/relationships/hyperlink" Target="http://www.iucnredlist.org/about/publication/red-list-index" TargetMode="External"/><Relationship Id="rId33" Type="http://schemas.openxmlformats.org/officeDocument/2006/relationships/hyperlink" Target="http://dx.doi.org/10.1002/ldr.2728" TargetMode="External"/><Relationship Id="rId38" Type="http://schemas.openxmlformats.org/officeDocument/2006/relationships/hyperlink" Target="https://www.ipbes.net/sites/default/files/downloads/Decision%20IPBES_2_4.pdf" TargetMode="External"/><Relationship Id="rId2" Type="http://schemas.openxmlformats.org/officeDocument/2006/relationships/hyperlink" Target="http://www.internetlivestats.com/google-search-statistics/" TargetMode="External"/><Relationship Id="rId16" Type="http://schemas.openxmlformats.org/officeDocument/2006/relationships/hyperlink" Target="https://www.bipindicators.net/indicators/area-of-forest-under-sustainable-management-certification" TargetMode="External"/><Relationship Id="rId20" Type="http://schemas.openxmlformats.org/officeDocument/2006/relationships/hyperlink" Target="http://www.iucnredlist.org/about/publication/red-list-index" TargetMode="External"/><Relationship Id="rId29" Type="http://schemas.openxmlformats.org/officeDocument/2006/relationships/hyperlink" Target="http://dopa-explorer.jrc.ec.europa.eu/" TargetMode="External"/><Relationship Id="rId41" Type="http://schemas.openxmlformats.org/officeDocument/2006/relationships/hyperlink" Target="http://www.iucnredlist.org/about/summary-statistics" TargetMode="External"/><Relationship Id="rId1" Type="http://schemas.openxmlformats.org/officeDocument/2006/relationships/hyperlink" Target="http://www.biodiversitybarometer.org/" TargetMode="External"/><Relationship Id="rId6" Type="http://schemas.openxmlformats.org/officeDocument/2006/relationships/hyperlink" Target="http://earthenginepartners.appspot.com/science-2013-global-forest" TargetMode="External"/><Relationship Id="rId11" Type="http://schemas.openxmlformats.org/officeDocument/2006/relationships/hyperlink" Target="javascript:__doLinkPostBack('','ss~~AR%20%22Liang%2C%20Jingjing%22%7C%7Csl~~rl','');" TargetMode="External"/><Relationship Id="rId24" Type="http://schemas.openxmlformats.org/officeDocument/2006/relationships/hyperlink" Target="https://doi.org/10.1073/pnas.1521179113" TargetMode="External"/><Relationship Id="rId32" Type="http://schemas.openxmlformats.org/officeDocument/2006/relationships/hyperlink" Target="http://www.iucnredlist.org/about/publication/red-list-index" TargetMode="External"/><Relationship Id="rId37" Type="http://schemas.openxmlformats.org/officeDocument/2006/relationships/hyperlink" Target="http://dx.doi.org/10.1002/ldr.2632" TargetMode="External"/><Relationship Id="rId40" Type="http://schemas.openxmlformats.org/officeDocument/2006/relationships/hyperlink" Target="https://www.gbif.org/the-gbif-network" TargetMode="External"/><Relationship Id="rId5" Type="http://schemas.openxmlformats.org/officeDocument/2006/relationships/hyperlink" Target="http://www.iucnredlist.org/about/publication/red-list-index" TargetMode="External"/><Relationship Id="rId15" Type="http://schemas.openxmlformats.org/officeDocument/2006/relationships/hyperlink" Target="http://www.organic-world.net/statistics/statistics-data-collection.html" TargetMode="External"/><Relationship Id="rId23" Type="http://schemas.openxmlformats.org/officeDocument/2006/relationships/hyperlink" Target="https://doi.org/10.1007/s10530-017-1407-3" TargetMode="External"/><Relationship Id="rId28" Type="http://schemas.openxmlformats.org/officeDocument/2006/relationships/hyperlink" Target="http://www.protectedplanet.net/marine" TargetMode="External"/><Relationship Id="rId36" Type="http://schemas.openxmlformats.org/officeDocument/2006/relationships/hyperlink" Target="https://doi.org/10.14214/sf.1673" TargetMode="External"/><Relationship Id="rId10" Type="http://schemas.openxmlformats.org/officeDocument/2006/relationships/hyperlink" Target="https://www.sciencedirect.com/science/journal/01678809" TargetMode="External"/><Relationship Id="rId19" Type="http://schemas.openxmlformats.org/officeDocument/2006/relationships/hyperlink" Target="https://doi.org/10.1371/journal.pone.0095839" TargetMode="External"/><Relationship Id="rId31" Type="http://schemas.openxmlformats.org/officeDocument/2006/relationships/hyperlink" Target="http://www.fao.org/sustainable-development-goals/indicators/2.5.1/en/" TargetMode="External"/><Relationship Id="rId4" Type="http://schemas.openxmlformats.org/officeDocument/2006/relationships/hyperlink" Target="http://www.iucnredlist.org/about/publication/red-list-index" TargetMode="External"/><Relationship Id="rId9" Type="http://schemas.openxmlformats.org/officeDocument/2006/relationships/hyperlink" Target="javascript:__doLinkPostBack('','ss~~AR%20%22Dillon%2C%20C.%22%7C%7Csl~~rl','');" TargetMode="External"/><Relationship Id="rId14" Type="http://schemas.openxmlformats.org/officeDocument/2006/relationships/hyperlink" Target="javascript:__doLinkPostBack('','mdb~~cin20%7C%7Cjdb~~cin20jnh%7C%7Css~~JN%20%22Proceedings%20of%20the%20Nutrition%20Society%22%7C%7Csl~~jh','');" TargetMode="External"/><Relationship Id="rId22" Type="http://schemas.openxmlformats.org/officeDocument/2006/relationships/hyperlink" Target="https://doi.org/10.1111/gcb.12603" TargetMode="External"/><Relationship Id="rId27" Type="http://schemas.openxmlformats.org/officeDocument/2006/relationships/hyperlink" Target="http://www.protectedplanet.net" TargetMode="External"/><Relationship Id="rId30" Type="http://schemas.openxmlformats.org/officeDocument/2006/relationships/hyperlink" Target="http://www.iucnredlist.org/about/publication/red-list-index" TargetMode="External"/><Relationship Id="rId35" Type="http://schemas.openxmlformats.org/officeDocument/2006/relationships/hyperlink" Target="https://doi.org/10.1007/s11852-015-037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0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1B29AF"/>
    <w:rsid w:val="00015BC6"/>
    <w:rsid w:val="00092F6E"/>
    <w:rsid w:val="001A309A"/>
    <w:rsid w:val="001B05F9"/>
    <w:rsid w:val="001B29AF"/>
    <w:rsid w:val="001E14E2"/>
    <w:rsid w:val="00204239"/>
    <w:rsid w:val="002E7AA7"/>
    <w:rsid w:val="0037757D"/>
    <w:rsid w:val="00384E9E"/>
    <w:rsid w:val="003A4786"/>
    <w:rsid w:val="004A69EC"/>
    <w:rsid w:val="004D0728"/>
    <w:rsid w:val="0054691F"/>
    <w:rsid w:val="005E11F5"/>
    <w:rsid w:val="006452CC"/>
    <w:rsid w:val="006A0535"/>
    <w:rsid w:val="006A6745"/>
    <w:rsid w:val="006B3F75"/>
    <w:rsid w:val="00773BD6"/>
    <w:rsid w:val="007E501A"/>
    <w:rsid w:val="0083264A"/>
    <w:rsid w:val="00934195"/>
    <w:rsid w:val="009C4FB5"/>
    <w:rsid w:val="00A27574"/>
    <w:rsid w:val="00AD03C7"/>
    <w:rsid w:val="00AE360E"/>
    <w:rsid w:val="00AF1B8A"/>
    <w:rsid w:val="00B36C7B"/>
    <w:rsid w:val="00BB2CFE"/>
    <w:rsid w:val="00C024BD"/>
    <w:rsid w:val="00C51B77"/>
    <w:rsid w:val="00CF288C"/>
    <w:rsid w:val="00D06136"/>
    <w:rsid w:val="00D5481D"/>
    <w:rsid w:val="00D9150E"/>
    <w:rsid w:val="00D92634"/>
    <w:rsid w:val="00DC2F7D"/>
    <w:rsid w:val="00EC17B5"/>
    <w:rsid w:val="00FC5E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9150E"/>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070D0498495D400D87DB6F0140BAA664">
    <w:name w:val="070D0498495D400D87DB6F0140BAA664"/>
    <w:rsid w:val="00D91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5236-03C7-4A27-BAD0-AF1FBE81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112</TotalTime>
  <Pages>48</Pages>
  <Words>17903</Words>
  <Characters>102048</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UPDATED SCIENTIFIC ASSESSMENT OF PROGRESS TOWARDS SELECTED AICHI BIODIVERSITY TARGETS AND OPTIONS TO ACCELERATE PROGRESS</vt:lpstr>
    </vt:vector>
  </TitlesOfParts>
  <Company>Biodiversity</Company>
  <LinksUpToDate>false</LinksUpToDate>
  <CharactersWithSpaces>119712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scientific assessment of progress towards selected Aichi Biodiversity Targets and options to accelerate progress</dc:title>
  <dc:subject>CBD/SBSTTA/22/INF/10</dc:subject>
  <dc:creator>SCBD</dc:creator>
  <cp:lastModifiedBy>veronique lefebvre</cp:lastModifiedBy>
  <cp:revision>10</cp:revision>
  <cp:lastPrinted>2017-02-22T19:35:00Z</cp:lastPrinted>
  <dcterms:created xsi:type="dcterms:W3CDTF">2018-05-18T14:33:00Z</dcterms:created>
  <dcterms:modified xsi:type="dcterms:W3CDTF">2018-05-18T16:25:00Z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