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7"/>
        <w:gridCol w:w="3765"/>
        <w:gridCol w:w="599"/>
      </w:tblGrid>
      <w:tr w:rsidR="00C9161D" w:rsidRPr="00D16AC1" w14:paraId="3C82EFF3" w14:textId="77777777" w:rsidTr="00CF1848">
        <w:trPr>
          <w:gridAfter w:val="1"/>
          <w:wAfter w:w="720" w:type="dxa"/>
          <w:trHeight w:val="709"/>
        </w:trPr>
        <w:tc>
          <w:tcPr>
            <w:tcW w:w="976" w:type="dxa"/>
            <w:tcBorders>
              <w:bottom w:val="single" w:sz="12" w:space="0" w:color="auto"/>
            </w:tcBorders>
          </w:tcPr>
          <w:p w14:paraId="06E99AEF" w14:textId="01FDB571" w:rsidR="00C9161D" w:rsidRPr="00AA5D70" w:rsidRDefault="00C9161D" w:rsidP="00AA5D70">
            <w:pPr>
              <w:suppressLineNumbers/>
              <w:suppressAutoHyphens/>
              <w:kinsoku w:val="0"/>
              <w:overflowPunct w:val="0"/>
              <w:autoSpaceDE w:val="0"/>
              <w:autoSpaceDN w:val="0"/>
              <w:adjustRightInd w:val="0"/>
              <w:snapToGrid w:val="0"/>
              <w:rPr>
                <w:snapToGrid w:val="0"/>
                <w:kern w:val="22"/>
              </w:rPr>
            </w:pPr>
            <w:bookmarkStart w:id="0" w:name="_GoBack"/>
            <w:bookmarkEnd w:id="0"/>
            <w:r w:rsidRPr="00AA5D70">
              <w:rPr>
                <w:noProof/>
                <w:snapToGrid w:val="0"/>
                <w:kern w:val="22"/>
              </w:rPr>
              <w:drawing>
                <wp:inline distT="0" distB="0" distL="0" distR="0" wp14:anchorId="4D325686" wp14:editId="41DF651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AE9661D" w14:textId="274E105F" w:rsidR="00C9161D" w:rsidRPr="00AA5D70" w:rsidRDefault="00C9161D" w:rsidP="00AA5D70">
            <w:pPr>
              <w:suppressLineNumbers/>
              <w:suppressAutoHyphens/>
              <w:kinsoku w:val="0"/>
              <w:overflowPunct w:val="0"/>
              <w:autoSpaceDE w:val="0"/>
              <w:autoSpaceDN w:val="0"/>
              <w:adjustRightInd w:val="0"/>
              <w:snapToGrid w:val="0"/>
              <w:rPr>
                <w:snapToGrid w:val="0"/>
                <w:kern w:val="22"/>
              </w:rPr>
            </w:pPr>
          </w:p>
        </w:tc>
        <w:tc>
          <w:tcPr>
            <w:tcW w:w="4090" w:type="dxa"/>
            <w:tcBorders>
              <w:bottom w:val="single" w:sz="12" w:space="0" w:color="auto"/>
            </w:tcBorders>
          </w:tcPr>
          <w:p w14:paraId="76FF5593" w14:textId="77777777" w:rsidR="00C9161D" w:rsidRPr="00AA5D70" w:rsidRDefault="00C9161D" w:rsidP="00AA5D70">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AA5D70">
              <w:rPr>
                <w:rFonts w:ascii="Arial" w:hAnsi="Arial" w:cs="Arial"/>
                <w:b/>
                <w:snapToGrid w:val="0"/>
                <w:kern w:val="22"/>
                <w:sz w:val="32"/>
                <w:szCs w:val="32"/>
              </w:rPr>
              <w:t>CBD</w:t>
            </w:r>
          </w:p>
        </w:tc>
      </w:tr>
      <w:tr w:rsidR="00C9161D" w:rsidRPr="00D16AC1" w14:paraId="1078384E" w14:textId="77777777" w:rsidTr="009A571D">
        <w:tc>
          <w:tcPr>
            <w:tcW w:w="6117" w:type="dxa"/>
            <w:gridSpan w:val="2"/>
            <w:tcBorders>
              <w:top w:val="single" w:sz="12" w:space="0" w:color="auto"/>
              <w:bottom w:val="single" w:sz="36" w:space="0" w:color="auto"/>
            </w:tcBorders>
            <w:vAlign w:val="center"/>
          </w:tcPr>
          <w:p w14:paraId="063C0763" w14:textId="77777777" w:rsidR="00C9161D" w:rsidRPr="00AA5D70" w:rsidRDefault="00C9161D" w:rsidP="00AA5D70">
            <w:pPr>
              <w:suppressLineNumbers/>
              <w:suppressAutoHyphens/>
              <w:kinsoku w:val="0"/>
              <w:overflowPunct w:val="0"/>
              <w:autoSpaceDE w:val="0"/>
              <w:autoSpaceDN w:val="0"/>
              <w:adjustRightInd w:val="0"/>
              <w:snapToGrid w:val="0"/>
              <w:rPr>
                <w:snapToGrid w:val="0"/>
                <w:kern w:val="22"/>
              </w:rPr>
            </w:pPr>
            <w:r w:rsidRPr="00AA5D70">
              <w:rPr>
                <w:noProof/>
                <w:snapToGrid w:val="0"/>
                <w:kern w:val="22"/>
              </w:rPr>
              <w:drawing>
                <wp:inline distT="0" distB="0" distL="0" distR="0" wp14:anchorId="16C2746E" wp14:editId="3CF96B6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47F406BB" w14:textId="77777777" w:rsidR="00C9161D" w:rsidRPr="00AA5D70" w:rsidRDefault="00C9161D" w:rsidP="00AA5D70">
            <w:pPr>
              <w:suppressLineNumbers/>
              <w:suppressAutoHyphens/>
              <w:kinsoku w:val="0"/>
              <w:overflowPunct w:val="0"/>
              <w:autoSpaceDE w:val="0"/>
              <w:autoSpaceDN w:val="0"/>
              <w:adjustRightInd w:val="0"/>
              <w:snapToGrid w:val="0"/>
              <w:ind w:left="1215"/>
              <w:rPr>
                <w:snapToGrid w:val="0"/>
                <w:kern w:val="22"/>
                <w:szCs w:val="22"/>
              </w:rPr>
            </w:pPr>
            <w:r w:rsidRPr="00AA5D70">
              <w:rPr>
                <w:snapToGrid w:val="0"/>
                <w:kern w:val="22"/>
                <w:szCs w:val="22"/>
              </w:rPr>
              <w:t>Distr.</w:t>
            </w:r>
          </w:p>
          <w:p w14:paraId="77B2FC63" w14:textId="77777777" w:rsidR="00C9161D" w:rsidRPr="00AA5D70" w:rsidRDefault="00D15059" w:rsidP="00AA5D70">
            <w:pPr>
              <w:suppressLineNumbers/>
              <w:suppressAutoHyphens/>
              <w:kinsoku w:val="0"/>
              <w:overflowPunct w:val="0"/>
              <w:autoSpaceDE w:val="0"/>
              <w:autoSpaceDN w:val="0"/>
              <w:adjustRightInd w:val="0"/>
              <w:snapToGrid w:val="0"/>
              <w:ind w:left="1215"/>
              <w:rPr>
                <w:snapToGrid w:val="0"/>
                <w:kern w:val="22"/>
                <w:szCs w:val="22"/>
              </w:rPr>
            </w:pPr>
            <w:sdt>
              <w:sdtPr>
                <w:rPr>
                  <w:caps/>
                  <w:snapToGrid w:val="0"/>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D262DC" w:rsidRPr="00AA5D70">
                  <w:rPr>
                    <w:caps/>
                    <w:snapToGrid w:val="0"/>
                    <w:kern w:val="22"/>
                    <w:szCs w:val="22"/>
                  </w:rPr>
                  <w:t>GENERAL</w:t>
                </w:r>
              </w:sdtContent>
            </w:sdt>
          </w:p>
          <w:p w14:paraId="2889549B" w14:textId="77777777" w:rsidR="00C9161D" w:rsidRPr="00AA5D70" w:rsidRDefault="00C9161D" w:rsidP="00AA5D70">
            <w:pPr>
              <w:suppressLineNumbers/>
              <w:suppressAutoHyphens/>
              <w:kinsoku w:val="0"/>
              <w:overflowPunct w:val="0"/>
              <w:autoSpaceDE w:val="0"/>
              <w:autoSpaceDN w:val="0"/>
              <w:adjustRightInd w:val="0"/>
              <w:snapToGrid w:val="0"/>
              <w:ind w:left="1215"/>
              <w:rPr>
                <w:snapToGrid w:val="0"/>
                <w:kern w:val="22"/>
                <w:szCs w:val="22"/>
              </w:rPr>
            </w:pPr>
          </w:p>
          <w:p w14:paraId="377F94DA" w14:textId="5D1A0214" w:rsidR="00C9161D" w:rsidRPr="00AA5D70" w:rsidRDefault="00D15059" w:rsidP="00AA5D70">
            <w:pPr>
              <w:suppressLineNumbers/>
              <w:suppressAutoHyphens/>
              <w:kinsoku w:val="0"/>
              <w:overflowPunct w:val="0"/>
              <w:autoSpaceDE w:val="0"/>
              <w:autoSpaceDN w:val="0"/>
              <w:adjustRightInd w:val="0"/>
              <w:snapToGrid w:val="0"/>
              <w:ind w:left="1215"/>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D262DC" w:rsidRPr="00AA5D70">
                  <w:rPr>
                    <w:snapToGrid w:val="0"/>
                    <w:kern w:val="22"/>
                  </w:rPr>
                  <w:t>CBD/SBI/3/7</w:t>
                </w:r>
              </w:sdtContent>
            </w:sdt>
          </w:p>
          <w:p w14:paraId="347E412B" w14:textId="24DABE5C" w:rsidR="00C9161D" w:rsidRPr="00AA5D70" w:rsidRDefault="000C4E8F" w:rsidP="00AA5D70">
            <w:pPr>
              <w:suppressLineNumbers/>
              <w:suppressAutoHyphens/>
              <w:kinsoku w:val="0"/>
              <w:overflowPunct w:val="0"/>
              <w:autoSpaceDE w:val="0"/>
              <w:autoSpaceDN w:val="0"/>
              <w:adjustRightInd w:val="0"/>
              <w:snapToGrid w:val="0"/>
              <w:ind w:left="1215"/>
              <w:rPr>
                <w:snapToGrid w:val="0"/>
                <w:kern w:val="22"/>
                <w:szCs w:val="22"/>
              </w:rPr>
            </w:pPr>
            <w:r w:rsidRPr="00AA5D70">
              <w:rPr>
                <w:snapToGrid w:val="0"/>
                <w:kern w:val="22"/>
                <w:szCs w:val="22"/>
              </w:rPr>
              <w:t>2 November</w:t>
            </w:r>
            <w:r w:rsidRPr="00AA5D70">
              <w:rPr>
                <w:snapToGrid w:val="0"/>
                <w:kern w:val="22"/>
              </w:rPr>
              <w:t xml:space="preserve"> </w:t>
            </w:r>
            <w:r w:rsidR="00BA769C" w:rsidRPr="00AA5D70">
              <w:rPr>
                <w:snapToGrid w:val="0"/>
                <w:kern w:val="22"/>
              </w:rPr>
              <w:t>2020</w:t>
            </w:r>
          </w:p>
          <w:p w14:paraId="6A96DD85" w14:textId="77777777" w:rsidR="00C9161D" w:rsidRPr="00AA5D70" w:rsidRDefault="00C9161D" w:rsidP="00AA5D70">
            <w:pPr>
              <w:suppressLineNumbers/>
              <w:suppressAutoHyphens/>
              <w:kinsoku w:val="0"/>
              <w:overflowPunct w:val="0"/>
              <w:autoSpaceDE w:val="0"/>
              <w:autoSpaceDN w:val="0"/>
              <w:adjustRightInd w:val="0"/>
              <w:snapToGrid w:val="0"/>
              <w:ind w:left="1215"/>
              <w:rPr>
                <w:snapToGrid w:val="0"/>
                <w:kern w:val="22"/>
                <w:szCs w:val="22"/>
              </w:rPr>
            </w:pPr>
          </w:p>
          <w:p w14:paraId="38BD1B6C" w14:textId="77777777" w:rsidR="00C9161D" w:rsidRPr="00AA5D70" w:rsidRDefault="006B2290" w:rsidP="00AA5D70">
            <w:pPr>
              <w:suppressLineNumbers/>
              <w:suppressAutoHyphens/>
              <w:kinsoku w:val="0"/>
              <w:overflowPunct w:val="0"/>
              <w:autoSpaceDE w:val="0"/>
              <w:autoSpaceDN w:val="0"/>
              <w:adjustRightInd w:val="0"/>
              <w:snapToGrid w:val="0"/>
              <w:ind w:left="1215"/>
              <w:rPr>
                <w:snapToGrid w:val="0"/>
                <w:kern w:val="22"/>
                <w:szCs w:val="22"/>
              </w:rPr>
            </w:pPr>
            <w:r w:rsidRPr="00AA5D70">
              <w:rPr>
                <w:snapToGrid w:val="0"/>
                <w:kern w:val="22"/>
                <w:szCs w:val="22"/>
              </w:rPr>
              <w:t xml:space="preserve">ORIGINAL: </w:t>
            </w:r>
            <w:r w:rsidR="00C9161D" w:rsidRPr="00AA5D70">
              <w:rPr>
                <w:snapToGrid w:val="0"/>
                <w:kern w:val="22"/>
                <w:szCs w:val="22"/>
              </w:rPr>
              <w:t>ENGLISH</w:t>
            </w:r>
          </w:p>
          <w:p w14:paraId="49D1CB7C" w14:textId="77777777" w:rsidR="00C9161D" w:rsidRPr="00AA5D70" w:rsidRDefault="00C9161D" w:rsidP="00AA5D70">
            <w:pPr>
              <w:suppressLineNumbers/>
              <w:suppressAutoHyphens/>
              <w:kinsoku w:val="0"/>
              <w:overflowPunct w:val="0"/>
              <w:autoSpaceDE w:val="0"/>
              <w:autoSpaceDN w:val="0"/>
              <w:adjustRightInd w:val="0"/>
              <w:snapToGrid w:val="0"/>
              <w:rPr>
                <w:snapToGrid w:val="0"/>
                <w:kern w:val="22"/>
              </w:rPr>
            </w:pPr>
          </w:p>
        </w:tc>
      </w:tr>
    </w:tbl>
    <w:p w14:paraId="6F14BD28" w14:textId="13C83162" w:rsidR="00BA769C" w:rsidRPr="00AA5D70" w:rsidRDefault="00D262DC" w:rsidP="00AA5D70">
      <w:pPr>
        <w:pStyle w:val="meetingname"/>
        <w:suppressLineNumbers/>
        <w:suppressAutoHyphens/>
        <w:kinsoku w:val="0"/>
        <w:overflowPunct w:val="0"/>
        <w:autoSpaceDE w:val="0"/>
        <w:autoSpaceDN w:val="0"/>
        <w:adjustRightInd w:val="0"/>
        <w:snapToGrid w:val="0"/>
        <w:ind w:left="284" w:right="4398" w:hanging="284"/>
        <w:rPr>
          <w:snapToGrid w:val="0"/>
          <w:kern w:val="22"/>
        </w:rPr>
      </w:pPr>
      <w:bookmarkStart w:id="1" w:name="Meeting"/>
      <w:r w:rsidRPr="00AA5D70">
        <w:rPr>
          <w:noProof/>
          <w:snapToGrid w:val="0"/>
          <w:kern w:val="22"/>
        </w:rPr>
        <w:drawing>
          <wp:anchor distT="0" distB="0" distL="114300" distR="114300" simplePos="0" relativeHeight="251658240" behindDoc="0" locked="0" layoutInCell="1" allowOverlap="1" wp14:anchorId="5FB8357E" wp14:editId="0E07DAAD">
            <wp:simplePos x="0" y="0"/>
            <wp:positionH relativeFrom="column">
              <wp:posOffset>334534</wp:posOffset>
            </wp:positionH>
            <wp:positionV relativeFrom="page">
              <wp:posOffset>262393</wp:posOffset>
            </wp:positionV>
            <wp:extent cx="866983" cy="546487"/>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8264" cy="547295"/>
                    </a:xfrm>
                    <a:prstGeom prst="rect">
                      <a:avLst/>
                    </a:prstGeom>
                  </pic:spPr>
                </pic:pic>
              </a:graphicData>
            </a:graphic>
            <wp14:sizeRelH relativeFrom="margin">
              <wp14:pctWidth>0</wp14:pctWidth>
            </wp14:sizeRelH>
            <wp14:sizeRelV relativeFrom="margin">
              <wp14:pctHeight>0</wp14:pctHeight>
            </wp14:sizeRelV>
          </wp:anchor>
        </w:drawing>
      </w:r>
      <w:r w:rsidR="00BA769C" w:rsidRPr="00AA5D70">
        <w:rPr>
          <w:snapToGrid w:val="0"/>
          <w:kern w:val="22"/>
        </w:rPr>
        <w:t>SUBSIDIARY BODY ON IMPLEMENTATION</w:t>
      </w:r>
      <w:bookmarkEnd w:id="1"/>
    </w:p>
    <w:p w14:paraId="09A9A9E9" w14:textId="77777777" w:rsidR="00BA769C" w:rsidRPr="00AA5D70" w:rsidRDefault="00BA769C" w:rsidP="00AA5D70">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bookmarkStart w:id="2" w:name="_Hlk47946195"/>
      <w:r w:rsidRPr="00AA5D70">
        <w:rPr>
          <w:snapToGrid w:val="0"/>
          <w:kern w:val="22"/>
          <w:szCs w:val="22"/>
          <w:lang w:eastAsia="nb-NO"/>
        </w:rPr>
        <w:t>Third meeting</w:t>
      </w:r>
    </w:p>
    <w:p w14:paraId="2AD5841D" w14:textId="77777777" w:rsidR="005B753C" w:rsidRPr="00AA5D70" w:rsidRDefault="005B753C" w:rsidP="00AA5D70">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szCs w:val="22"/>
          <w:lang w:eastAsia="ko-KR"/>
        </w:rPr>
      </w:pPr>
      <w:r w:rsidRPr="00AA5D70">
        <w:rPr>
          <w:rFonts w:eastAsia="Batang"/>
          <w:snapToGrid w:val="0"/>
          <w:color w:val="000000"/>
          <w:kern w:val="22"/>
          <w:lang w:eastAsia="ko-KR"/>
        </w:rPr>
        <w:t>Venue and dates to be determined</w:t>
      </w:r>
    </w:p>
    <w:bookmarkEnd w:id="2"/>
    <w:p w14:paraId="51C5B7F1" w14:textId="45D4441F" w:rsidR="002270F4" w:rsidRPr="00AA5D70" w:rsidRDefault="00BA769C" w:rsidP="00AA5D70">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eastAsia="ko-KR"/>
        </w:rPr>
      </w:pPr>
      <w:r w:rsidRPr="00AA5D70">
        <w:rPr>
          <w:snapToGrid w:val="0"/>
          <w:kern w:val="22"/>
          <w:szCs w:val="22"/>
        </w:rPr>
        <w:t xml:space="preserve">Item </w:t>
      </w:r>
      <w:r w:rsidR="003B0DD0" w:rsidRPr="00AA5D70">
        <w:rPr>
          <w:snapToGrid w:val="0"/>
          <w:kern w:val="22"/>
          <w:szCs w:val="22"/>
        </w:rPr>
        <w:t>7</w:t>
      </w:r>
      <w:r w:rsidRPr="00AA5D70">
        <w:rPr>
          <w:snapToGrid w:val="0"/>
          <w:kern w:val="22"/>
          <w:szCs w:val="22"/>
        </w:rPr>
        <w:t xml:space="preserve"> of the provisional agenda</w:t>
      </w:r>
      <w:bookmarkStart w:id="3" w:name="_Hlk35353706"/>
      <w:r w:rsidR="00317363" w:rsidRPr="00AA5D70">
        <w:rPr>
          <w:rStyle w:val="FootnoteReference"/>
          <w:snapToGrid w:val="0"/>
          <w:kern w:val="22"/>
          <w:szCs w:val="22"/>
          <w:vertAlign w:val="baseline"/>
        </w:rPr>
        <w:footnoteReference w:customMarkFollows="1" w:id="2"/>
        <w:t>*</w:t>
      </w:r>
      <w:bookmarkEnd w:id="3"/>
    </w:p>
    <w:sdt>
      <w:sdtPr>
        <w:rPr>
          <w:rFonts w:asciiTheme="majorBidi" w:hAnsiTheme="majorBidi" w:cstheme="majorBidi"/>
          <w:b/>
          <w:caps/>
          <w:snapToGrid w:val="0"/>
          <w:kern w:val="22"/>
        </w:rPr>
        <w:alias w:val="Title"/>
        <w:tag w:val=""/>
        <w:id w:val="772832786"/>
        <w:placeholder>
          <w:docPart w:val="BEB20ED685304A1C91A992BF91A9937D"/>
        </w:placeholder>
        <w:dataBinding w:prefixMappings="xmlns:ns0='http://purl.org/dc/elements/1.1/' xmlns:ns1='http://schemas.openxmlformats.org/package/2006/metadata/core-properties' " w:xpath="/ns1:coreProperties[1]/ns0:title[1]" w:storeItemID="{6C3C8BC8-F283-45AE-878A-BAB7291924A1}"/>
        <w:text/>
      </w:sdtPr>
      <w:sdtEndPr/>
      <w:sdtContent>
        <w:p w14:paraId="292E83A0" w14:textId="4BA8FECC" w:rsidR="002270F4" w:rsidRPr="00AA5D70" w:rsidRDefault="00D262DC" w:rsidP="00AA5D70">
          <w:pPr>
            <w:suppressLineNumbers/>
            <w:suppressAutoHyphens/>
            <w:kinsoku w:val="0"/>
            <w:overflowPunct w:val="0"/>
            <w:autoSpaceDE w:val="0"/>
            <w:autoSpaceDN w:val="0"/>
            <w:adjustRightInd w:val="0"/>
            <w:snapToGrid w:val="0"/>
            <w:spacing w:before="240" w:after="120"/>
            <w:jc w:val="center"/>
            <w:rPr>
              <w:rFonts w:asciiTheme="majorBidi" w:hAnsiTheme="majorBidi" w:cstheme="majorBidi"/>
              <w:b/>
              <w:caps/>
              <w:snapToGrid w:val="0"/>
              <w:kern w:val="22"/>
              <w:szCs w:val="22"/>
              <w:lang w:eastAsia="ko-KR"/>
            </w:rPr>
          </w:pPr>
          <w:r w:rsidRPr="00AA5D70">
            <w:rPr>
              <w:rFonts w:asciiTheme="majorBidi" w:hAnsiTheme="majorBidi" w:cstheme="majorBidi"/>
              <w:b/>
              <w:caps/>
              <w:snapToGrid w:val="0"/>
              <w:kern w:val="22"/>
            </w:rPr>
            <w:t>Capacity development, technical and scientific cooperation and technology transfer</w:t>
          </w:r>
        </w:p>
      </w:sdtContent>
    </w:sdt>
    <w:p w14:paraId="6E50C869" w14:textId="0EBAC4F3" w:rsidR="00D57DEB" w:rsidRPr="00AA5D70" w:rsidRDefault="00BE1FE4" w:rsidP="00AA5D70">
      <w:pPr>
        <w:pStyle w:val="Para1"/>
        <w:numPr>
          <w:ilvl w:val="0"/>
          <w:numId w:val="0"/>
        </w:numPr>
        <w:suppressLineNumbers/>
        <w:suppressAutoHyphens/>
        <w:kinsoku w:val="0"/>
        <w:overflowPunct w:val="0"/>
        <w:autoSpaceDE w:val="0"/>
        <w:autoSpaceDN w:val="0"/>
        <w:adjustRightInd w:val="0"/>
        <w:snapToGrid w:val="0"/>
        <w:jc w:val="center"/>
        <w:rPr>
          <w:i/>
          <w:kern w:val="22"/>
        </w:rPr>
      </w:pPr>
      <w:r w:rsidRPr="00AA5D70">
        <w:rPr>
          <w:i/>
          <w:kern w:val="22"/>
        </w:rPr>
        <w:t>Note by the Executive Secretary</w:t>
      </w:r>
    </w:p>
    <w:p w14:paraId="6CF04934" w14:textId="3CB0D87E" w:rsidR="00964A8F" w:rsidRPr="00AA5D70" w:rsidRDefault="00B13D66" w:rsidP="00AA5D70">
      <w:pPr>
        <w:pStyle w:val="Heading1"/>
        <w:numPr>
          <w:ilvl w:val="0"/>
          <w:numId w:val="5"/>
        </w:numPr>
        <w:suppressLineNumbers/>
        <w:tabs>
          <w:tab w:val="clear" w:pos="720"/>
          <w:tab w:val="left" w:pos="284"/>
        </w:tabs>
        <w:suppressAutoHyphens/>
        <w:kinsoku w:val="0"/>
        <w:overflowPunct w:val="0"/>
        <w:autoSpaceDE w:val="0"/>
        <w:autoSpaceDN w:val="0"/>
        <w:adjustRightInd w:val="0"/>
        <w:snapToGrid w:val="0"/>
        <w:spacing w:before="120"/>
        <w:ind w:left="0" w:firstLine="0"/>
        <w:rPr>
          <w:rFonts w:ascii="Times New Roman Bold" w:hAnsi="Times New Roman Bold"/>
          <w:snapToGrid w:val="0"/>
          <w:kern w:val="22"/>
        </w:rPr>
      </w:pPr>
      <w:bookmarkStart w:id="4" w:name="_Toc57214880"/>
      <w:r w:rsidRPr="00AA5D70">
        <w:rPr>
          <w:rFonts w:ascii="Times New Roman Bold" w:hAnsi="Times New Roman Bold"/>
          <w:snapToGrid w:val="0"/>
          <w:kern w:val="22"/>
        </w:rPr>
        <w:t>Introduction</w:t>
      </w:r>
      <w:bookmarkEnd w:id="4"/>
    </w:p>
    <w:p w14:paraId="43A1DC5E" w14:textId="748F143A" w:rsidR="000273F1" w:rsidRPr="00AA5D70" w:rsidRDefault="000273F1"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In decisions</w:t>
      </w:r>
      <w:r w:rsidRPr="00AA5D70">
        <w:rPr>
          <w:snapToGrid w:val="0"/>
          <w:color w:val="000000"/>
          <w:kern w:val="22"/>
        </w:rPr>
        <w:t xml:space="preserve"> </w:t>
      </w:r>
      <w:hyperlink r:id="rId15">
        <w:r w:rsidRPr="00AA5D70">
          <w:rPr>
            <w:snapToGrid w:val="0"/>
            <w:color w:val="0000FF"/>
            <w:kern w:val="22"/>
            <w:u w:val="single"/>
          </w:rPr>
          <w:t>XIII/23</w:t>
        </w:r>
      </w:hyperlink>
      <w:r w:rsidRPr="00AA5D70">
        <w:rPr>
          <w:snapToGrid w:val="0"/>
          <w:color w:val="000000"/>
          <w:kern w:val="22"/>
        </w:rPr>
        <w:t xml:space="preserve"> and </w:t>
      </w:r>
      <w:hyperlink r:id="rId16">
        <w:r w:rsidRPr="00AA5D70">
          <w:rPr>
            <w:snapToGrid w:val="0"/>
            <w:color w:val="0000FF"/>
            <w:kern w:val="22"/>
            <w:u w:val="single"/>
          </w:rPr>
          <w:t>14/24</w:t>
        </w:r>
      </w:hyperlink>
      <w:r w:rsidRPr="00AA5D70">
        <w:rPr>
          <w:snapToGrid w:val="0"/>
          <w:color w:val="000000"/>
          <w:kern w:val="22"/>
        </w:rPr>
        <w:t xml:space="preserve">, </w:t>
      </w:r>
      <w:r w:rsidRPr="00AA5D70">
        <w:rPr>
          <w:snapToGrid w:val="0"/>
          <w:kern w:val="22"/>
        </w:rPr>
        <w:t xml:space="preserve">the Conference of the Parties addressed issues relating to capacity-building, technical and scientific cooperation and technology transfer. Among other things, the Executive Secretary was requested to initiate the process for preparing a draft long-term strategic framework for capacity-building beyond 2020 aligned with the draft post-2020 global biodiversity framework and the </w:t>
      </w:r>
      <w:bookmarkStart w:id="5" w:name="_Ref516653888"/>
      <w:r w:rsidR="00CB1A49" w:rsidRPr="00AA5D70">
        <w:rPr>
          <w:snapToGrid w:val="0"/>
          <w:kern w:val="22"/>
        </w:rPr>
        <w:t>2030 Agenda for Sustainable Development</w:t>
      </w:r>
      <w:r w:rsidR="00C769AD" w:rsidRPr="00D16AC1">
        <w:rPr>
          <w:rStyle w:val="FootnoteReference"/>
          <w:rFonts w:eastAsiaTheme="majorEastAsia"/>
          <w:snapToGrid w:val="0"/>
          <w:color w:val="000000" w:themeColor="text1"/>
          <w:kern w:val="22"/>
          <w:szCs w:val="22"/>
        </w:rPr>
        <w:footnoteReference w:id="3"/>
      </w:r>
      <w:bookmarkEnd w:id="5"/>
      <w:r w:rsidRPr="00AA5D70">
        <w:rPr>
          <w:snapToGrid w:val="0"/>
          <w:kern w:val="22"/>
        </w:rPr>
        <w:t xml:space="preserve"> for consideration by the Subsidiary Body on Implementation at its third meeting and subsequently by the Conference of the Parties at its fifteenth meeting.</w:t>
      </w:r>
    </w:p>
    <w:p w14:paraId="338FE820" w14:textId="106E0420" w:rsidR="000273F1" w:rsidRPr="00AA5D70" w:rsidRDefault="000273F1" w:rsidP="00AA5D70">
      <w:pPr>
        <w:pStyle w:val="Para1"/>
        <w:numPr>
          <w:ilvl w:val="0"/>
          <w:numId w:val="49"/>
        </w:numPr>
        <w:suppressLineNumbers/>
        <w:suppressAutoHyphens/>
        <w:kinsoku w:val="0"/>
        <w:overflowPunct w:val="0"/>
        <w:autoSpaceDE w:val="0"/>
        <w:autoSpaceDN w:val="0"/>
        <w:adjustRightInd w:val="0"/>
        <w:snapToGrid w:val="0"/>
        <w:rPr>
          <w:bCs/>
          <w:kern w:val="22"/>
          <w:szCs w:val="22"/>
        </w:rPr>
      </w:pPr>
      <w:r w:rsidRPr="00AA5D70">
        <w:rPr>
          <w:bCs/>
          <w:kern w:val="22"/>
          <w:szCs w:val="22"/>
        </w:rPr>
        <w:t>The Executive S</w:t>
      </w:r>
      <w:r w:rsidRPr="00AA5D70">
        <w:rPr>
          <w:kern w:val="22"/>
          <w:szCs w:val="22"/>
        </w:rPr>
        <w:t>ecretary was also requested</w:t>
      </w:r>
      <w:r w:rsidR="00914C52" w:rsidRPr="00AA5D70">
        <w:rPr>
          <w:kern w:val="22"/>
        </w:rPr>
        <w:t xml:space="preserve">, in decision </w:t>
      </w:r>
      <w:r w:rsidR="00EE30E1" w:rsidRPr="00AA5D70">
        <w:rPr>
          <w:kern w:val="22"/>
        </w:rPr>
        <w:t xml:space="preserve">14/24 B, </w:t>
      </w:r>
      <w:r w:rsidR="00AE49D1" w:rsidRPr="00AA5D70">
        <w:rPr>
          <w:kern w:val="22"/>
        </w:rPr>
        <w:t xml:space="preserve">to further promote and facilitate technical and scientific cooperation </w:t>
      </w:r>
      <w:r w:rsidR="00914C52" w:rsidRPr="00AA5D70">
        <w:rPr>
          <w:kern w:val="22"/>
        </w:rPr>
        <w:t>(para.</w:t>
      </w:r>
      <w:r w:rsidR="00EE30E1" w:rsidRPr="00AA5D70">
        <w:rPr>
          <w:kern w:val="22"/>
        </w:rPr>
        <w:t> </w:t>
      </w:r>
      <w:r w:rsidR="00914C52" w:rsidRPr="00AA5D70">
        <w:rPr>
          <w:kern w:val="22"/>
        </w:rPr>
        <w:t>8)</w:t>
      </w:r>
      <w:r w:rsidR="000A7BC7" w:rsidRPr="00AA5D70">
        <w:rPr>
          <w:kern w:val="22"/>
        </w:rPr>
        <w:t>,</w:t>
      </w:r>
      <w:r w:rsidR="00914C52" w:rsidRPr="00AA5D70">
        <w:rPr>
          <w:kern w:val="22"/>
        </w:rPr>
        <w:t xml:space="preserve"> </w:t>
      </w:r>
      <w:r w:rsidR="00EE30E1" w:rsidRPr="00AA5D70">
        <w:rPr>
          <w:kern w:val="22"/>
        </w:rPr>
        <w:t xml:space="preserve">and </w:t>
      </w:r>
      <w:r w:rsidRPr="00AA5D70">
        <w:rPr>
          <w:kern w:val="22"/>
          <w:szCs w:val="22"/>
        </w:rPr>
        <w:t>to prepare proposals for an inclusive process to review and renew technical and scientific cooperation programmes and submit the proposals for consideration by the Subsidiary Body on Scientific, Technical and Technological Advice and the Subsidiary Body on Implementation at their meetings prior to the fifteenth meeting of the Conference of the Parties</w:t>
      </w:r>
      <w:r w:rsidR="00EE30E1" w:rsidRPr="00AA5D70">
        <w:rPr>
          <w:kern w:val="22"/>
          <w:szCs w:val="22"/>
        </w:rPr>
        <w:t xml:space="preserve"> (para. 9)</w:t>
      </w:r>
      <w:r w:rsidRPr="00AA5D70">
        <w:rPr>
          <w:kern w:val="22"/>
          <w:szCs w:val="22"/>
        </w:rPr>
        <w:t xml:space="preserve">. </w:t>
      </w:r>
    </w:p>
    <w:p w14:paraId="32C8F5A2" w14:textId="23814ACB" w:rsidR="000273F1" w:rsidRPr="00AA5D70" w:rsidRDefault="000273F1"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In its recommendation </w:t>
      </w:r>
      <w:hyperlink r:id="rId17" w:history="1">
        <w:r w:rsidRPr="00AA5D70">
          <w:rPr>
            <w:rStyle w:val="Hyperlink"/>
            <w:snapToGrid w:val="0"/>
            <w:kern w:val="22"/>
            <w:sz w:val="22"/>
            <w:szCs w:val="22"/>
          </w:rPr>
          <w:t>23/6</w:t>
        </w:r>
      </w:hyperlink>
      <w:r w:rsidRPr="00AA5D70">
        <w:rPr>
          <w:snapToGrid w:val="0"/>
          <w:kern w:val="22"/>
        </w:rPr>
        <w:t xml:space="preserve">, </w:t>
      </w:r>
      <w:r w:rsidR="00DF1929" w:rsidRPr="00AA5D70">
        <w:rPr>
          <w:snapToGrid w:val="0"/>
          <w:kern w:val="22"/>
        </w:rPr>
        <w:t xml:space="preserve">the </w:t>
      </w:r>
      <w:r w:rsidR="00DF1929" w:rsidRPr="00AA5D70">
        <w:rPr>
          <w:iCs/>
          <w:snapToGrid w:val="0"/>
          <w:kern w:val="22"/>
        </w:rPr>
        <w:t>Subsidiary Body on Scientific, Technical and Technological Advice</w:t>
      </w:r>
      <w:r w:rsidRPr="00AA5D70">
        <w:rPr>
          <w:snapToGrid w:val="0"/>
          <w:kern w:val="22"/>
        </w:rPr>
        <w:t xml:space="preserve"> took note of the draft proposals to strengthen technical and scientific cooperation in support of the post-2020 global biodiversity framework</w:t>
      </w:r>
      <w:r w:rsidR="006B47FE" w:rsidRPr="00AA5D70">
        <w:rPr>
          <w:snapToGrid w:val="0"/>
          <w:kern w:val="22"/>
        </w:rPr>
        <w:t xml:space="preserve"> contained in annex I to the recommendation</w:t>
      </w:r>
      <w:r w:rsidR="009420EB" w:rsidRPr="00AA5D70">
        <w:rPr>
          <w:snapToGrid w:val="0"/>
          <w:kern w:val="22"/>
        </w:rPr>
        <w:t>,</w:t>
      </w:r>
      <w:r w:rsidRPr="00AA5D70">
        <w:rPr>
          <w:snapToGrid w:val="0"/>
          <w:kern w:val="22"/>
        </w:rPr>
        <w:t xml:space="preserve"> and requested the Executive Secretary to further develop them</w:t>
      </w:r>
      <w:r w:rsidR="002F33D5" w:rsidRPr="00D16AC1">
        <w:rPr>
          <w:snapToGrid w:val="0"/>
          <w:kern w:val="22"/>
        </w:rPr>
        <w:t>,</w:t>
      </w:r>
      <w:r w:rsidRPr="00AA5D70">
        <w:rPr>
          <w:snapToGrid w:val="0"/>
          <w:kern w:val="22"/>
        </w:rPr>
        <w:t xml:space="preserve"> taking into account views and suggestions from Parties, other Governments and relevant organizations. In doing so, the Executive Secretar</w:t>
      </w:r>
      <w:r w:rsidR="00BE3F56" w:rsidRPr="00AA5D70">
        <w:rPr>
          <w:snapToGrid w:val="0"/>
          <w:kern w:val="22"/>
        </w:rPr>
        <w:t>y</w:t>
      </w:r>
      <w:r w:rsidRPr="00AA5D70">
        <w:rPr>
          <w:snapToGrid w:val="0"/>
          <w:kern w:val="22"/>
        </w:rPr>
        <w:t xml:space="preserve"> was also requested to provide information on </w:t>
      </w:r>
      <w:r w:rsidR="003661CA" w:rsidRPr="00AA5D70">
        <w:rPr>
          <w:snapToGrid w:val="0"/>
          <w:kern w:val="22"/>
        </w:rPr>
        <w:t xml:space="preserve">the </w:t>
      </w:r>
      <w:r w:rsidRPr="00AA5D70">
        <w:rPr>
          <w:snapToGrid w:val="0"/>
          <w:color w:val="000000"/>
          <w:kern w:val="22"/>
        </w:rPr>
        <w:t>advantages, disadvantages and costs of the three options for institutional arrangements to facilitate and enhance technical and scientific cooperation</w:t>
      </w:r>
      <w:r w:rsidR="00677452" w:rsidRPr="00AA5D70">
        <w:rPr>
          <w:snapToGrid w:val="0"/>
          <w:color w:val="000000"/>
          <w:kern w:val="22"/>
        </w:rPr>
        <w:t>,</w:t>
      </w:r>
      <w:r w:rsidRPr="00AA5D70">
        <w:rPr>
          <w:snapToGrid w:val="0"/>
          <w:color w:val="000000"/>
          <w:kern w:val="22"/>
        </w:rPr>
        <w:t xml:space="preserve"> and</w:t>
      </w:r>
      <w:r w:rsidRPr="00AA5D70">
        <w:rPr>
          <w:snapToGrid w:val="0"/>
          <w:kern w:val="22"/>
        </w:rPr>
        <w:t xml:space="preserve"> a compilation of relevant institutional arrangements and networks for technical and scientific cooperation relating to different thematic topics.</w:t>
      </w:r>
    </w:p>
    <w:p w14:paraId="364B92DF" w14:textId="4127EFDE" w:rsidR="004A3E7E" w:rsidRPr="00AA5D70" w:rsidRDefault="000273F1"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The present document presents an overview of the actions taken and the documents prepared pursuant to the above decisions. Section II provides a</w:t>
      </w:r>
      <w:r w:rsidR="005E3D28" w:rsidRPr="00AA5D70">
        <w:rPr>
          <w:snapToGrid w:val="0"/>
          <w:kern w:val="22"/>
        </w:rPr>
        <w:t xml:space="preserve"> </w:t>
      </w:r>
      <w:r w:rsidR="0074751A" w:rsidRPr="00AA5D70">
        <w:rPr>
          <w:snapToGrid w:val="0"/>
          <w:kern w:val="22"/>
        </w:rPr>
        <w:t>s</w:t>
      </w:r>
      <w:r w:rsidR="001226C8" w:rsidRPr="00AA5D70">
        <w:rPr>
          <w:snapToGrid w:val="0"/>
          <w:kern w:val="22"/>
        </w:rPr>
        <w:t>ummary</w:t>
      </w:r>
      <w:r w:rsidR="0074751A" w:rsidRPr="00AA5D70">
        <w:rPr>
          <w:snapToGrid w:val="0"/>
          <w:kern w:val="22"/>
        </w:rPr>
        <w:t xml:space="preserve"> of the </w:t>
      </w:r>
      <w:r w:rsidRPr="00AA5D70">
        <w:rPr>
          <w:snapToGrid w:val="0"/>
          <w:kern w:val="22"/>
        </w:rPr>
        <w:t>preliminary final report on the implementation of the short-term action plan (2017-2020) to enhance and support capacity-building for the implementation of the Convention and its Protocols</w:t>
      </w:r>
      <w:r w:rsidR="00232E16" w:rsidRPr="00AA5D70">
        <w:rPr>
          <w:snapToGrid w:val="0"/>
          <w:kern w:val="22"/>
        </w:rPr>
        <w:t>,</w:t>
      </w:r>
      <w:r w:rsidR="0074751A" w:rsidRPr="00AA5D70">
        <w:rPr>
          <w:rStyle w:val="FootnoteReference"/>
          <w:snapToGrid w:val="0"/>
          <w:kern w:val="22"/>
        </w:rPr>
        <w:footnoteReference w:id="4"/>
      </w:r>
      <w:r w:rsidRPr="00AA5D70">
        <w:rPr>
          <w:snapToGrid w:val="0"/>
          <w:kern w:val="22"/>
        </w:rPr>
        <w:t xml:space="preserve"> and introduces the long-term strategic framework for capacity development to support implementation of the post-2020 global biodiversity framework</w:t>
      </w:r>
      <w:r w:rsidR="00673BD4" w:rsidRPr="00AA5D70">
        <w:rPr>
          <w:snapToGrid w:val="0"/>
          <w:kern w:val="22"/>
        </w:rPr>
        <w:t xml:space="preserve"> (</w:t>
      </w:r>
      <w:r w:rsidRPr="00AA5D70">
        <w:rPr>
          <w:snapToGrid w:val="0"/>
          <w:kern w:val="22"/>
        </w:rPr>
        <w:t xml:space="preserve">contained in </w:t>
      </w:r>
      <w:r w:rsidR="0063603B" w:rsidRPr="00AA5D70">
        <w:rPr>
          <w:snapToGrid w:val="0"/>
          <w:kern w:val="22"/>
        </w:rPr>
        <w:t>a</w:t>
      </w:r>
      <w:r w:rsidRPr="00AA5D70">
        <w:rPr>
          <w:snapToGrid w:val="0"/>
          <w:kern w:val="22"/>
        </w:rPr>
        <w:t>nnex</w:t>
      </w:r>
      <w:r w:rsidR="0063603B" w:rsidRPr="00AA5D70">
        <w:rPr>
          <w:snapToGrid w:val="0"/>
          <w:kern w:val="22"/>
        </w:rPr>
        <w:t> I</w:t>
      </w:r>
      <w:r w:rsidRPr="00AA5D70">
        <w:rPr>
          <w:snapToGrid w:val="0"/>
          <w:kern w:val="22"/>
        </w:rPr>
        <w:t xml:space="preserve"> below and elaborated in document CBD/SBI/3/7/Add.1</w:t>
      </w:r>
      <w:r w:rsidR="00673BD4" w:rsidRPr="00AA5D70">
        <w:rPr>
          <w:snapToGrid w:val="0"/>
          <w:kern w:val="22"/>
        </w:rPr>
        <w:t>)</w:t>
      </w:r>
      <w:r w:rsidRPr="00AA5D70">
        <w:rPr>
          <w:snapToGrid w:val="0"/>
          <w:kern w:val="22"/>
        </w:rPr>
        <w:t>. Section III provides a summary progress report on technical and scientific cooperation and technology transfer</w:t>
      </w:r>
      <w:r w:rsidR="001C1B3B" w:rsidRPr="00AA5D70">
        <w:rPr>
          <w:snapToGrid w:val="0"/>
          <w:kern w:val="22"/>
        </w:rPr>
        <w:t>,</w:t>
      </w:r>
      <w:r w:rsidR="00A33A36" w:rsidRPr="00AA5D70">
        <w:rPr>
          <w:rStyle w:val="FootnoteReference"/>
          <w:snapToGrid w:val="0"/>
          <w:kern w:val="22"/>
        </w:rPr>
        <w:footnoteReference w:id="5"/>
      </w:r>
      <w:r w:rsidRPr="00AA5D70">
        <w:rPr>
          <w:snapToGrid w:val="0"/>
          <w:kern w:val="22"/>
        </w:rPr>
        <w:t xml:space="preserve"> </w:t>
      </w:r>
      <w:r w:rsidR="00B735EF" w:rsidRPr="00AA5D70">
        <w:rPr>
          <w:snapToGrid w:val="0"/>
          <w:kern w:val="22"/>
        </w:rPr>
        <w:t xml:space="preserve">and </w:t>
      </w:r>
      <w:r w:rsidRPr="00AA5D70">
        <w:rPr>
          <w:snapToGrid w:val="0"/>
          <w:kern w:val="22"/>
        </w:rPr>
        <w:t>introduces the proposals to strengthen technical and scientific cooperation</w:t>
      </w:r>
      <w:r w:rsidR="000B525D" w:rsidRPr="00AA5D70">
        <w:rPr>
          <w:snapToGrid w:val="0"/>
          <w:kern w:val="22"/>
        </w:rPr>
        <w:t xml:space="preserve"> (</w:t>
      </w:r>
      <w:r w:rsidRPr="00AA5D70">
        <w:rPr>
          <w:snapToGrid w:val="0"/>
          <w:kern w:val="22"/>
        </w:rPr>
        <w:t>made available in document CBD/SBI/3/7/Add.2</w:t>
      </w:r>
      <w:r w:rsidR="00B735EF" w:rsidRPr="00AA5D70">
        <w:rPr>
          <w:snapToGrid w:val="0"/>
          <w:kern w:val="22"/>
        </w:rPr>
        <w:t>)</w:t>
      </w:r>
      <w:r w:rsidR="00426069" w:rsidRPr="00AA5D70">
        <w:rPr>
          <w:snapToGrid w:val="0"/>
          <w:kern w:val="22"/>
        </w:rPr>
        <w:t xml:space="preserve"> and the </w:t>
      </w:r>
      <w:r w:rsidR="00426069" w:rsidRPr="00AA5D70">
        <w:rPr>
          <w:snapToGrid w:val="0"/>
          <w:kern w:val="22"/>
        </w:rPr>
        <w:lastRenderedPageBreak/>
        <w:t>proposals for an inclusive review and renewal process</w:t>
      </w:r>
      <w:r w:rsidRPr="00AA5D70">
        <w:rPr>
          <w:snapToGrid w:val="0"/>
          <w:kern w:val="22"/>
        </w:rPr>
        <w:t>. Section IV highlights the interlinkages between the various means of implementation for the post-2020 global biodiversity framework (including capacity development, technical and scientific cooperation, technology transfer, knowledge management and communication), the enabling conditions, as well as the enhanced planning, reporting and review mechanism. Section V presents draft elements of a decision on capacity development, technical and scientific cooperation and technology transfer</w:t>
      </w:r>
      <w:r w:rsidR="006009CB" w:rsidRPr="00AA5D70">
        <w:rPr>
          <w:snapToGrid w:val="0"/>
          <w:kern w:val="22"/>
        </w:rPr>
        <w:t>.</w:t>
      </w:r>
    </w:p>
    <w:p w14:paraId="0C4E5825" w14:textId="78E59A97" w:rsidR="004A3E7E" w:rsidRPr="00AA5D70" w:rsidRDefault="00E41066" w:rsidP="00AA5D70">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rPr>
      </w:pPr>
      <w:bookmarkStart w:id="6" w:name="_Toc57214881"/>
      <w:r w:rsidRPr="00AA5D70">
        <w:rPr>
          <w:rFonts w:asciiTheme="majorBidi" w:hAnsiTheme="majorBidi" w:cstheme="majorBidi"/>
          <w:snapToGrid w:val="0"/>
          <w:kern w:val="22"/>
        </w:rPr>
        <w:t>Capacity development</w:t>
      </w:r>
      <w:bookmarkEnd w:id="6"/>
    </w:p>
    <w:p w14:paraId="349842D5" w14:textId="32F53FD9" w:rsidR="004A3E7E" w:rsidRPr="00AA5D70" w:rsidRDefault="00203566" w:rsidP="00AA5D70">
      <w:pPr>
        <w:pStyle w:val="Heading2"/>
        <w:numPr>
          <w:ilvl w:val="0"/>
          <w:numId w:val="52"/>
        </w:numPr>
        <w:suppressLineNumbers/>
        <w:tabs>
          <w:tab w:val="clear" w:pos="720"/>
        </w:tabs>
        <w:suppressAutoHyphens/>
        <w:kinsoku w:val="0"/>
        <w:overflowPunct w:val="0"/>
        <w:autoSpaceDE w:val="0"/>
        <w:autoSpaceDN w:val="0"/>
        <w:adjustRightInd w:val="0"/>
        <w:snapToGrid w:val="0"/>
        <w:ind w:left="284" w:firstLine="0"/>
        <w:rPr>
          <w:snapToGrid w:val="0"/>
          <w:kern w:val="22"/>
        </w:rPr>
      </w:pPr>
      <w:bookmarkStart w:id="7" w:name="_Toc57214882"/>
      <w:bookmarkStart w:id="8" w:name="_Hlk51599746"/>
      <w:r w:rsidRPr="00AA5D70">
        <w:rPr>
          <w:snapToGrid w:val="0"/>
          <w:kern w:val="22"/>
        </w:rPr>
        <w:t>Preliminary final r</w:t>
      </w:r>
      <w:r w:rsidR="004A3E7E" w:rsidRPr="00AA5D70">
        <w:rPr>
          <w:snapToGrid w:val="0"/>
          <w:kern w:val="22"/>
        </w:rPr>
        <w:t>eport on the implementation of the short-term action plan (2017-2020)</w:t>
      </w:r>
      <w:bookmarkEnd w:id="7"/>
    </w:p>
    <w:p w14:paraId="5048B27B" w14:textId="10128F68"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In its decision </w:t>
      </w:r>
      <w:r w:rsidR="008D7C62" w:rsidRPr="00AA5D70">
        <w:rPr>
          <w:snapToGrid w:val="0"/>
          <w:kern w:val="22"/>
        </w:rPr>
        <w:t>XIII/23</w:t>
      </w:r>
      <w:r w:rsidRPr="00AA5D70">
        <w:rPr>
          <w:snapToGrid w:val="0"/>
          <w:kern w:val="22"/>
        </w:rPr>
        <w:t>, the Conference of the Parties adopted a short-term action plan (2017-2020) to enhance and support capacity-building for the implementation of the Convention and its Protocols and requested the Executive Secretary, in collaboration with partners, to support and facilitate its implementation.</w:t>
      </w:r>
    </w:p>
    <w:p w14:paraId="0FF3EF01" w14:textId="5B37571F"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Decision XII</w:t>
      </w:r>
      <w:r w:rsidR="00C72915" w:rsidRPr="00AA5D70">
        <w:rPr>
          <w:snapToGrid w:val="0"/>
          <w:kern w:val="22"/>
        </w:rPr>
        <w:t>I</w:t>
      </w:r>
      <w:r w:rsidRPr="00AA5D70">
        <w:rPr>
          <w:snapToGrid w:val="0"/>
          <w:kern w:val="22"/>
        </w:rPr>
        <w:t>/23 also requested the Executive Secretary, subject to the availability of resources, to commission an independent evaluation of the impacts, outcomes and effectiveness of the short-term action plan (2017-2020), including recommendations for improvement, to be submitted to the Subsidiary Body on Implementation for its consideration at its third meeting. However, the required financial resources were not secured to undertake this independent evaluation.</w:t>
      </w:r>
    </w:p>
    <w:bookmarkEnd w:id="8"/>
    <w:p w14:paraId="7BD0AE2E" w14:textId="63960BA8" w:rsidR="00553D7A"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sidDel="00930E6E">
        <w:rPr>
          <w:kern w:val="22"/>
        </w:rPr>
        <w:t>F</w:t>
      </w:r>
      <w:r w:rsidRPr="00AA5D70">
        <w:rPr>
          <w:kern w:val="22"/>
        </w:rPr>
        <w:t xml:space="preserve">rom January 2017 to June 2020, the Secretariat </w:t>
      </w:r>
      <w:r w:rsidR="00BE3F56" w:rsidRPr="00AA5D70">
        <w:rPr>
          <w:kern w:val="22"/>
        </w:rPr>
        <w:t xml:space="preserve">of the Convention </w:t>
      </w:r>
      <w:r w:rsidR="0022236E" w:rsidRPr="00AA5D70">
        <w:rPr>
          <w:kern w:val="22"/>
        </w:rPr>
        <w:t xml:space="preserve">on Biological Diversity, </w:t>
      </w:r>
      <w:r w:rsidRPr="00AA5D70" w:rsidDel="00930E6E">
        <w:rPr>
          <w:kern w:val="22"/>
        </w:rPr>
        <w:t>in collaboration</w:t>
      </w:r>
      <w:r w:rsidRPr="00AA5D70">
        <w:rPr>
          <w:kern w:val="22"/>
        </w:rPr>
        <w:t xml:space="preserve"> with partners</w:t>
      </w:r>
      <w:r w:rsidR="0022236E" w:rsidRPr="00AA5D70">
        <w:rPr>
          <w:kern w:val="22"/>
        </w:rPr>
        <w:t>,</w:t>
      </w:r>
      <w:r w:rsidRPr="00AA5D70">
        <w:rPr>
          <w:kern w:val="22"/>
        </w:rPr>
        <w:t xml:space="preserve"> facilitated the implementation of several capacity</w:t>
      </w:r>
      <w:r w:rsidR="005611E3" w:rsidRPr="00AA5D70">
        <w:rPr>
          <w:kern w:val="22"/>
        </w:rPr>
        <w:t xml:space="preserve"> development</w:t>
      </w:r>
      <w:r w:rsidRPr="00AA5D70">
        <w:rPr>
          <w:kern w:val="22"/>
        </w:rPr>
        <w:t xml:space="preserve"> activities </w:t>
      </w:r>
      <w:r w:rsidRPr="00AA5D70" w:rsidDel="00930E6E">
        <w:rPr>
          <w:kern w:val="22"/>
        </w:rPr>
        <w:t>in the short-term action plan</w:t>
      </w:r>
      <w:r w:rsidRPr="00AA5D70">
        <w:rPr>
          <w:kern w:val="22"/>
        </w:rPr>
        <w:t xml:space="preserve">, </w:t>
      </w:r>
      <w:r w:rsidR="005611E3" w:rsidRPr="00AA5D70">
        <w:rPr>
          <w:kern w:val="22"/>
        </w:rPr>
        <w:t>s</w:t>
      </w:r>
      <w:r w:rsidRPr="00AA5D70">
        <w:rPr>
          <w:kern w:val="22"/>
        </w:rPr>
        <w:t xml:space="preserve">upported </w:t>
      </w:r>
      <w:r w:rsidR="005611E3" w:rsidRPr="00AA5D70">
        <w:rPr>
          <w:kern w:val="22"/>
        </w:rPr>
        <w:t xml:space="preserve">mainly </w:t>
      </w:r>
      <w:r w:rsidRPr="00AA5D70">
        <w:rPr>
          <w:kern w:val="22"/>
        </w:rPr>
        <w:t>by the Governments of Japan (through the Japan Biodiversity Fund), the Republic of Korea and the European Union. Other</w:t>
      </w:r>
      <w:r w:rsidR="005611E3" w:rsidRPr="00AA5D70">
        <w:rPr>
          <w:kern w:val="22"/>
        </w:rPr>
        <w:t xml:space="preserve"> Parties that</w:t>
      </w:r>
      <w:r w:rsidRPr="00AA5D70">
        <w:rPr>
          <w:kern w:val="22"/>
        </w:rPr>
        <w:t xml:space="preserve"> provided financial support include</w:t>
      </w:r>
      <w:r w:rsidR="008D7C62" w:rsidRPr="00AA5D70">
        <w:rPr>
          <w:kern w:val="22"/>
        </w:rPr>
        <w:t>d</w:t>
      </w:r>
      <w:r w:rsidRPr="00AA5D70">
        <w:rPr>
          <w:kern w:val="22"/>
        </w:rPr>
        <w:t xml:space="preserve"> Belgium, Canada, Denmark, Finland, France, </w:t>
      </w:r>
      <w:r w:rsidR="0022236E" w:rsidRPr="00AA5D70">
        <w:rPr>
          <w:kern w:val="22"/>
        </w:rPr>
        <w:t xml:space="preserve">Germany, </w:t>
      </w:r>
      <w:r w:rsidRPr="00AA5D70">
        <w:rPr>
          <w:kern w:val="22"/>
        </w:rPr>
        <w:t>Norway, Sweden, Switzerland and the United</w:t>
      </w:r>
      <w:r w:rsidR="006F4BBD" w:rsidRPr="00D16AC1">
        <w:rPr>
          <w:kern w:val="22"/>
        </w:rPr>
        <w:t> </w:t>
      </w:r>
      <w:r w:rsidRPr="00AA5D70">
        <w:rPr>
          <w:kern w:val="22"/>
        </w:rPr>
        <w:t>Kingdom of Great Britain</w:t>
      </w:r>
      <w:r w:rsidR="0022236E" w:rsidRPr="00AA5D70">
        <w:rPr>
          <w:kern w:val="22"/>
        </w:rPr>
        <w:t xml:space="preserve"> and Northern Ireland</w:t>
      </w:r>
      <w:r w:rsidRPr="00AA5D70">
        <w:rPr>
          <w:kern w:val="22"/>
          <w:szCs w:val="22"/>
        </w:rPr>
        <w:t>.</w:t>
      </w:r>
      <w:r w:rsidR="00C54ACC" w:rsidRPr="00AA5D70">
        <w:rPr>
          <w:kern w:val="22"/>
          <w:szCs w:val="22"/>
        </w:rPr>
        <w:t xml:space="preserve"> </w:t>
      </w:r>
      <w:r w:rsidR="00FE660D" w:rsidRPr="00AA5D70">
        <w:rPr>
          <w:kern w:val="22"/>
          <w:szCs w:val="22"/>
        </w:rPr>
        <w:t>For instance:</w:t>
      </w:r>
    </w:p>
    <w:p w14:paraId="47777539" w14:textId="028EEBCD" w:rsidR="004A3E7E" w:rsidRPr="00AA5D70" w:rsidRDefault="001F146F" w:rsidP="00AA5D70">
      <w:pPr>
        <w:pStyle w:val="Para1"/>
        <w:numPr>
          <w:ilvl w:val="1"/>
          <w:numId w:val="49"/>
        </w:numPr>
        <w:suppressLineNumbers/>
        <w:suppressAutoHyphens/>
        <w:kinsoku w:val="0"/>
        <w:overflowPunct w:val="0"/>
        <w:autoSpaceDE w:val="0"/>
        <w:autoSpaceDN w:val="0"/>
        <w:adjustRightInd w:val="0"/>
        <w:snapToGrid w:val="0"/>
        <w:rPr>
          <w:kern w:val="22"/>
        </w:rPr>
      </w:pPr>
      <w:r w:rsidRPr="00AA5D70">
        <w:rPr>
          <w:kern w:val="22"/>
        </w:rPr>
        <w:t>M</w:t>
      </w:r>
      <w:r w:rsidR="004A3E7E" w:rsidRPr="00AA5D70">
        <w:rPr>
          <w:kern w:val="22"/>
        </w:rPr>
        <w:t>ore than 105</w:t>
      </w:r>
      <w:r w:rsidR="004A3E7E" w:rsidRPr="00AA5D70">
        <w:rPr>
          <w:kern w:val="22"/>
          <w:szCs w:val="22"/>
        </w:rPr>
        <w:t xml:space="preserve"> </w:t>
      </w:r>
      <w:r w:rsidR="004A3E7E" w:rsidRPr="00AA5D70">
        <w:rPr>
          <w:kern w:val="22"/>
        </w:rPr>
        <w:t>face-to-face workshops</w:t>
      </w:r>
      <w:r w:rsidR="004A3E7E" w:rsidRPr="00AA5D70">
        <w:rPr>
          <w:kern w:val="22"/>
          <w:szCs w:val="22"/>
        </w:rPr>
        <w:t xml:space="preserve"> </w:t>
      </w:r>
      <w:r w:rsidR="004A3E7E" w:rsidRPr="00AA5D70">
        <w:rPr>
          <w:kern w:val="22"/>
        </w:rPr>
        <w:t>and round tables were organi</w:t>
      </w:r>
      <w:r w:rsidR="00576760" w:rsidRPr="00AA5D70">
        <w:rPr>
          <w:kern w:val="22"/>
        </w:rPr>
        <w:t>z</w:t>
      </w:r>
      <w:r w:rsidR="004A3E7E" w:rsidRPr="00AA5D70">
        <w:rPr>
          <w:kern w:val="22"/>
        </w:rPr>
        <w:t>ed</w:t>
      </w:r>
      <w:r w:rsidR="00244A8C" w:rsidRPr="00AA5D70">
        <w:rPr>
          <w:kern w:val="22"/>
        </w:rPr>
        <w:t xml:space="preserve"> on different topics</w:t>
      </w:r>
      <w:r w:rsidR="007B3167" w:rsidRPr="00AA5D70">
        <w:rPr>
          <w:kern w:val="22"/>
        </w:rPr>
        <w:t>,</w:t>
      </w:r>
      <w:r w:rsidR="004A3E7E" w:rsidRPr="00AA5D70">
        <w:rPr>
          <w:kern w:val="22"/>
        </w:rPr>
        <w:t xml:space="preserve"> benefiting more than 2,800 participants</w:t>
      </w:r>
      <w:r w:rsidR="00643D53" w:rsidRPr="00AA5D70">
        <w:rPr>
          <w:kern w:val="22"/>
        </w:rPr>
        <w:t>;</w:t>
      </w:r>
    </w:p>
    <w:p w14:paraId="4CD8EEB0" w14:textId="63338F8B" w:rsidR="004A3E7E" w:rsidRPr="00AA5D70" w:rsidRDefault="001F146F" w:rsidP="00AA5D70">
      <w:pPr>
        <w:pStyle w:val="Para1"/>
        <w:numPr>
          <w:ilvl w:val="1"/>
          <w:numId w:val="49"/>
        </w:numPr>
        <w:suppressLineNumbers/>
        <w:suppressAutoHyphens/>
        <w:kinsoku w:val="0"/>
        <w:overflowPunct w:val="0"/>
        <w:autoSpaceDE w:val="0"/>
        <w:autoSpaceDN w:val="0"/>
        <w:adjustRightInd w:val="0"/>
        <w:snapToGrid w:val="0"/>
        <w:rPr>
          <w:kern w:val="22"/>
        </w:rPr>
      </w:pPr>
      <w:r w:rsidRPr="00AA5D70">
        <w:rPr>
          <w:kern w:val="22"/>
        </w:rPr>
        <w:t>N</w:t>
      </w:r>
      <w:r w:rsidR="004A3E7E" w:rsidRPr="00AA5D70">
        <w:rPr>
          <w:kern w:val="22"/>
        </w:rPr>
        <w:t>early 90 pilot and demonstration projects were supported by the Secretariat through the Japan Biodiversity Fund (JBF), the Forest Ecosystem Restoration Initiative (FERI), the Bio-Bridge Initiative (BBI), the Global Taxonomy Initiative (GTI), the Peace and Biodiversity Dialogue Initiative (PBDI) and the Biosafety Capacity-building Initiative</w:t>
      </w:r>
      <w:r w:rsidR="00643D53" w:rsidRPr="00AA5D70">
        <w:rPr>
          <w:kern w:val="22"/>
        </w:rPr>
        <w:t>;</w:t>
      </w:r>
    </w:p>
    <w:p w14:paraId="3949ADC1" w14:textId="1FBE9DCC" w:rsidR="004A3E7E" w:rsidRPr="00AA5D70" w:rsidRDefault="004A3E7E" w:rsidP="00AA5D70">
      <w:pPr>
        <w:pStyle w:val="Para1"/>
        <w:numPr>
          <w:ilvl w:val="1"/>
          <w:numId w:val="49"/>
        </w:numPr>
        <w:suppressLineNumbers/>
        <w:suppressAutoHyphens/>
        <w:kinsoku w:val="0"/>
        <w:overflowPunct w:val="0"/>
        <w:autoSpaceDE w:val="0"/>
        <w:autoSpaceDN w:val="0"/>
        <w:adjustRightInd w:val="0"/>
        <w:snapToGrid w:val="0"/>
        <w:rPr>
          <w:kern w:val="22"/>
        </w:rPr>
      </w:pPr>
      <w:r w:rsidRPr="00AA5D70">
        <w:rPr>
          <w:kern w:val="22"/>
        </w:rPr>
        <w:t>15 online courses and 17 webinars were conducted</w:t>
      </w:r>
      <w:r w:rsidR="00F33E0A" w:rsidRPr="00D16AC1">
        <w:rPr>
          <w:kern w:val="22"/>
        </w:rPr>
        <w:t>,</w:t>
      </w:r>
      <w:r w:rsidRPr="00AA5D70">
        <w:rPr>
          <w:kern w:val="22"/>
        </w:rPr>
        <w:t xml:space="preserve"> through which more than 4,000 participants were trained in various fields, including biodiversity finance, sustainable tourism, wildlife and sustainable use for conservation, protected areas, traditional knowledge, DNA technologies</w:t>
      </w:r>
      <w:r w:rsidR="00033C47" w:rsidRPr="00AA5D70">
        <w:rPr>
          <w:kern w:val="22"/>
        </w:rPr>
        <w:t>,</w:t>
      </w:r>
      <w:r w:rsidRPr="00AA5D70">
        <w:rPr>
          <w:kern w:val="22"/>
        </w:rPr>
        <w:t xml:space="preserve"> seed conservation, </w:t>
      </w:r>
      <w:r w:rsidR="001C3214" w:rsidRPr="00AA5D70">
        <w:rPr>
          <w:kern w:val="22"/>
        </w:rPr>
        <w:t xml:space="preserve">the </w:t>
      </w:r>
      <w:r w:rsidRPr="00AA5D70">
        <w:rPr>
          <w:kern w:val="22"/>
        </w:rPr>
        <w:t>online reporting tool for the sixth national report, detection and identification of living modified organisms (LMOs), risk assessment of LMOs, public awareness, education and participation, implementation of the Nagoya Protocol and the access and benefit-sharing (ABS) clearing-house.</w:t>
      </w:r>
    </w:p>
    <w:p w14:paraId="5A9B9A75" w14:textId="2EAAA9B1"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 xml:space="preserve">A </w:t>
      </w:r>
      <w:r w:rsidR="00132D24" w:rsidRPr="00AA5D70">
        <w:rPr>
          <w:kern w:val="22"/>
        </w:rPr>
        <w:t xml:space="preserve">detailed </w:t>
      </w:r>
      <w:r w:rsidR="006E3F3D" w:rsidRPr="00AA5D70">
        <w:rPr>
          <w:kern w:val="22"/>
        </w:rPr>
        <w:t>preliminary final report on</w:t>
      </w:r>
      <w:r w:rsidRPr="00AA5D70">
        <w:rPr>
          <w:kern w:val="22"/>
        </w:rPr>
        <w:t xml:space="preserve"> the main </w:t>
      </w:r>
      <w:r w:rsidR="00ED73F0" w:rsidRPr="00AA5D70">
        <w:rPr>
          <w:kern w:val="22"/>
        </w:rPr>
        <w:t>outputs and outcomes</w:t>
      </w:r>
      <w:r w:rsidRPr="00AA5D70">
        <w:rPr>
          <w:kern w:val="22"/>
        </w:rPr>
        <w:t xml:space="preserve"> </w:t>
      </w:r>
      <w:r w:rsidR="000C29EC" w:rsidRPr="00AA5D70">
        <w:rPr>
          <w:kern w:val="22"/>
        </w:rPr>
        <w:t>of the</w:t>
      </w:r>
      <w:r w:rsidRPr="00AA5D70">
        <w:rPr>
          <w:kern w:val="22"/>
        </w:rPr>
        <w:t xml:space="preserve"> </w:t>
      </w:r>
      <w:r w:rsidR="000C29EC" w:rsidRPr="00AA5D70">
        <w:rPr>
          <w:kern w:val="22"/>
        </w:rPr>
        <w:t>s</w:t>
      </w:r>
      <w:r w:rsidRPr="00AA5D70">
        <w:rPr>
          <w:kern w:val="22"/>
        </w:rPr>
        <w:t>hort-</w:t>
      </w:r>
      <w:r w:rsidR="000C29EC" w:rsidRPr="00AA5D70">
        <w:rPr>
          <w:kern w:val="22"/>
        </w:rPr>
        <w:t>t</w:t>
      </w:r>
      <w:r w:rsidRPr="00AA5D70">
        <w:rPr>
          <w:kern w:val="22"/>
        </w:rPr>
        <w:t xml:space="preserve">erm </w:t>
      </w:r>
      <w:r w:rsidR="000C29EC" w:rsidRPr="00AA5D70">
        <w:rPr>
          <w:kern w:val="22"/>
        </w:rPr>
        <w:t>a</w:t>
      </w:r>
      <w:r w:rsidRPr="00AA5D70">
        <w:rPr>
          <w:kern w:val="22"/>
        </w:rPr>
        <w:t xml:space="preserve">ction </w:t>
      </w:r>
      <w:r w:rsidR="000C29EC" w:rsidRPr="00AA5D70">
        <w:rPr>
          <w:kern w:val="22"/>
        </w:rPr>
        <w:t>p</w:t>
      </w:r>
      <w:r w:rsidRPr="00AA5D70">
        <w:rPr>
          <w:kern w:val="22"/>
        </w:rPr>
        <w:t>lan is made available in document CBD/SBI/3/INF/14. The document also identifies relevant implementation partners and sources of funding for the respective activities</w:t>
      </w:r>
      <w:r w:rsidRPr="00AA5D70">
        <w:rPr>
          <w:kern w:val="22"/>
          <w:szCs w:val="22"/>
        </w:rPr>
        <w:t xml:space="preserve">. </w:t>
      </w:r>
      <w:r w:rsidRPr="00AA5D70">
        <w:rPr>
          <w:kern w:val="22"/>
        </w:rPr>
        <w:t xml:space="preserve">More details on some of those activities are presented in past editions of a quarterly e-newsletter </w:t>
      </w:r>
      <w:r w:rsidR="00F13EBC" w:rsidRPr="00D16AC1">
        <w:rPr>
          <w:kern w:val="22"/>
        </w:rPr>
        <w:t>entitled</w:t>
      </w:r>
      <w:r w:rsidRPr="00AA5D70">
        <w:rPr>
          <w:kern w:val="22"/>
        </w:rPr>
        <w:t xml:space="preserve"> </w:t>
      </w:r>
      <w:proofErr w:type="spellStart"/>
      <w:r w:rsidRPr="00AA5D70">
        <w:rPr>
          <w:i/>
          <w:iCs/>
          <w:kern w:val="22"/>
        </w:rPr>
        <w:t>BioCAP</w:t>
      </w:r>
      <w:proofErr w:type="spellEnd"/>
      <w:r w:rsidRPr="00AA5D70">
        <w:rPr>
          <w:i/>
          <w:iCs/>
          <w:kern w:val="22"/>
        </w:rPr>
        <w:t>: Biodiversity Capacity Development Update</w:t>
      </w:r>
      <w:r w:rsidRPr="00AA5D70">
        <w:rPr>
          <w:kern w:val="22"/>
        </w:rPr>
        <w:t>.</w:t>
      </w:r>
      <w:r w:rsidRPr="00AA5D70">
        <w:rPr>
          <w:rStyle w:val="FootnoteReference"/>
          <w:kern w:val="22"/>
        </w:rPr>
        <w:footnoteReference w:id="6"/>
      </w:r>
    </w:p>
    <w:p w14:paraId="1E815013" w14:textId="6C52500A"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 xml:space="preserve">The Secretariat adopted a systematic </w:t>
      </w:r>
      <w:r w:rsidR="00AC09CC" w:rsidRPr="00AA5D70">
        <w:rPr>
          <w:kern w:val="22"/>
        </w:rPr>
        <w:t xml:space="preserve">approach to the </w:t>
      </w:r>
      <w:r w:rsidRPr="00AA5D70">
        <w:rPr>
          <w:kern w:val="22"/>
        </w:rPr>
        <w:t xml:space="preserve">engagement of partners to promote integrated </w:t>
      </w:r>
      <w:r w:rsidR="006560B9" w:rsidRPr="00AA5D70">
        <w:rPr>
          <w:kern w:val="22"/>
        </w:rPr>
        <w:t xml:space="preserve">and coordinated </w:t>
      </w:r>
      <w:r w:rsidRPr="00AA5D70">
        <w:rPr>
          <w:kern w:val="22"/>
        </w:rPr>
        <w:t xml:space="preserve">implementation of capacity development. For example, it continued to convene </w:t>
      </w:r>
      <w:r w:rsidR="00EE6EC2" w:rsidRPr="00AA5D70">
        <w:rPr>
          <w:kern w:val="22"/>
        </w:rPr>
        <w:t xml:space="preserve">a group of </w:t>
      </w:r>
      <w:r w:rsidR="0000462D" w:rsidRPr="00AA5D70">
        <w:rPr>
          <w:kern w:val="22"/>
        </w:rPr>
        <w:t xml:space="preserve">capacity development coordinators of biodiversity-related convention secretariats and relevant international organizations </w:t>
      </w:r>
      <w:r w:rsidRPr="00AA5D70">
        <w:rPr>
          <w:kern w:val="22"/>
        </w:rPr>
        <w:t xml:space="preserve">to advance implementation of decisions XIII/23 and 14/24 and relevant elements of decision </w:t>
      </w:r>
      <w:hyperlink r:id="rId18" w:history="1">
        <w:r w:rsidRPr="00AA5D70">
          <w:rPr>
            <w:rStyle w:val="Hyperlink"/>
            <w:kern w:val="22"/>
            <w:sz w:val="22"/>
          </w:rPr>
          <w:t>XIII/24</w:t>
        </w:r>
      </w:hyperlink>
      <w:r w:rsidRPr="00AA5D70">
        <w:rPr>
          <w:kern w:val="22"/>
        </w:rPr>
        <w:t xml:space="preserve">. Among other things, the </w:t>
      </w:r>
      <w:r w:rsidR="00EE6EC2" w:rsidRPr="00AA5D70">
        <w:rPr>
          <w:kern w:val="22"/>
        </w:rPr>
        <w:t>g</w:t>
      </w:r>
      <w:r w:rsidRPr="00AA5D70">
        <w:rPr>
          <w:kern w:val="22"/>
        </w:rPr>
        <w:t xml:space="preserve">roup identified the following priority areas for collaboration: strengthening the capacities of national focal points in data collection and management, biodiversity project design and resource mobilization, spatial planning and gender mainstreaming. The </w:t>
      </w:r>
      <w:r w:rsidR="00CC5005" w:rsidRPr="00AA5D70">
        <w:rPr>
          <w:kern w:val="22"/>
        </w:rPr>
        <w:t>g</w:t>
      </w:r>
      <w:r w:rsidRPr="00AA5D70">
        <w:rPr>
          <w:kern w:val="22"/>
        </w:rPr>
        <w:t xml:space="preserve">roup developed a </w:t>
      </w:r>
      <w:r w:rsidRPr="00AA5D70">
        <w:rPr>
          <w:kern w:val="22"/>
        </w:rPr>
        <w:lastRenderedPageBreak/>
        <w:t xml:space="preserve">concept note for a joint initiative to strengthen biodiversity project design and resource mobilization. The </w:t>
      </w:r>
      <w:r w:rsidR="00CC5005" w:rsidRPr="00AA5D70">
        <w:rPr>
          <w:kern w:val="22"/>
        </w:rPr>
        <w:t>g</w:t>
      </w:r>
      <w:r w:rsidRPr="00AA5D70">
        <w:rPr>
          <w:kern w:val="22"/>
        </w:rPr>
        <w:t>roup also participated in the peer review of the draft long-term strategic framework for capacity development.</w:t>
      </w:r>
    </w:p>
    <w:p w14:paraId="61E9AD03" w14:textId="79C4A792"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Furthermore, progress was made in diversifying the modalities and approaches for delivering capacity development support</w:t>
      </w:r>
      <w:r w:rsidRPr="00AA5D70">
        <w:rPr>
          <w:kern w:val="22"/>
          <w:szCs w:val="22"/>
        </w:rPr>
        <w:t>.</w:t>
      </w:r>
      <w:r w:rsidRPr="00AA5D70">
        <w:rPr>
          <w:kern w:val="22"/>
        </w:rPr>
        <w:t xml:space="preserve"> In addition to face-to-face workshops, the Secretariat and its partners expanded the use of e-learning, help desk support, small-scale projects, regional dialogues and learning missions, training-of-trainers activities, provision of learning and guidance materials and the development of support tools (such as the </w:t>
      </w:r>
      <w:proofErr w:type="spellStart"/>
      <w:r w:rsidRPr="00AA5D70">
        <w:rPr>
          <w:kern w:val="22"/>
        </w:rPr>
        <w:t>Bioland</w:t>
      </w:r>
      <w:proofErr w:type="spellEnd"/>
      <w:r w:rsidRPr="00AA5D70">
        <w:rPr>
          <w:kern w:val="22"/>
        </w:rPr>
        <w:t xml:space="preserve"> tool for national clearing-house mechanism websites).</w:t>
      </w:r>
      <w:r w:rsidRPr="00AA5D70">
        <w:rPr>
          <w:rStyle w:val="FootnoteReference"/>
          <w:kern w:val="22"/>
        </w:rPr>
        <w:footnoteReference w:id="7"/>
      </w:r>
      <w:r w:rsidRPr="00AA5D70">
        <w:rPr>
          <w:kern w:val="22"/>
        </w:rPr>
        <w:t xml:space="preserve"> Some capacity</w:t>
      </w:r>
      <w:r w:rsidR="008043ED" w:rsidRPr="00AA5D70">
        <w:rPr>
          <w:kern w:val="22"/>
        </w:rPr>
        <w:t xml:space="preserve"> </w:t>
      </w:r>
      <w:r w:rsidR="005611E3" w:rsidRPr="00AA5D70">
        <w:rPr>
          <w:kern w:val="22"/>
        </w:rPr>
        <w:t>development</w:t>
      </w:r>
      <w:r w:rsidRPr="00AA5D70">
        <w:rPr>
          <w:kern w:val="22"/>
        </w:rPr>
        <w:t xml:space="preserve"> activities successfully adopted a “blended learning” approach involving two or more of these modalities. E-learning (including self-directed e-learning modules, massive open online courses and webinars) has grown steadily as a delivery modality with the potential to broaden accessibility of the learning content developed by the Secretariat and partner organizations to a wider range of users in different parts of the world. However, some developing countries have reported difficulties in accessing the modules and courses offered through the Biodiversity e-Learning Platform due to limited </w:t>
      </w:r>
      <w:r w:rsidR="00BE61C0" w:rsidRPr="00AA5D70">
        <w:rPr>
          <w:kern w:val="22"/>
        </w:rPr>
        <w:t>I</w:t>
      </w:r>
      <w:r w:rsidRPr="00AA5D70">
        <w:rPr>
          <w:kern w:val="22"/>
        </w:rPr>
        <w:t>nternet connectivity.</w:t>
      </w:r>
    </w:p>
    <w:p w14:paraId="692FDDD4" w14:textId="7081D341" w:rsidR="000A22CD"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The training-of-trainers approach has been applied</w:t>
      </w:r>
      <w:r w:rsidR="00332B5E" w:rsidRPr="00AA5D70">
        <w:rPr>
          <w:kern w:val="22"/>
        </w:rPr>
        <w:t xml:space="preserve"> by </w:t>
      </w:r>
      <w:r w:rsidR="000A22CD" w:rsidRPr="00AA5D70">
        <w:rPr>
          <w:kern w:val="22"/>
        </w:rPr>
        <w:t xml:space="preserve">various programmes, including </w:t>
      </w:r>
      <w:r w:rsidRPr="00AA5D70">
        <w:rPr>
          <w:kern w:val="22"/>
        </w:rPr>
        <w:t xml:space="preserve">the </w:t>
      </w:r>
      <w:r w:rsidR="00431635" w:rsidRPr="00D16AC1">
        <w:rPr>
          <w:kern w:val="22"/>
        </w:rPr>
        <w:t>GTI</w:t>
      </w:r>
      <w:r w:rsidRPr="00AA5D70">
        <w:rPr>
          <w:kern w:val="22"/>
        </w:rPr>
        <w:t xml:space="preserve"> training programme, the Sustainable Ocean Initiative</w:t>
      </w:r>
      <w:r w:rsidR="00512275" w:rsidRPr="00AA5D70">
        <w:rPr>
          <w:kern w:val="22"/>
        </w:rPr>
        <w:t>,</w:t>
      </w:r>
      <w:r w:rsidRPr="00AA5D70">
        <w:rPr>
          <w:kern w:val="22"/>
        </w:rPr>
        <w:t xml:space="preserve"> and the indigenous peoples and local communities training programme. This approach has proven to be a useful model for scaling training delivery, by training pools of trainers who have, in turn, </w:t>
      </w:r>
      <w:r w:rsidR="00551E1E" w:rsidRPr="00D16AC1">
        <w:rPr>
          <w:kern w:val="22"/>
        </w:rPr>
        <w:t>gone on</w:t>
      </w:r>
      <w:r w:rsidR="00551E1E" w:rsidRPr="00AA5D70">
        <w:rPr>
          <w:kern w:val="22"/>
        </w:rPr>
        <w:t xml:space="preserve"> </w:t>
      </w:r>
      <w:r w:rsidRPr="00AA5D70">
        <w:rPr>
          <w:kern w:val="22"/>
        </w:rPr>
        <w:t>to train others in their respective regions.</w:t>
      </w:r>
      <w:r w:rsidR="00D15035" w:rsidRPr="00AA5D70">
        <w:rPr>
          <w:rStyle w:val="FootnoteReference"/>
          <w:kern w:val="22"/>
        </w:rPr>
        <w:footnoteReference w:id="8"/>
      </w:r>
    </w:p>
    <w:p w14:paraId="6122C5C2" w14:textId="17653350"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rFonts w:eastAsiaTheme="minorEastAsia"/>
          <w:kern w:val="22"/>
        </w:rPr>
      </w:pPr>
      <w:r w:rsidRPr="00AA5D70">
        <w:rPr>
          <w:kern w:val="22"/>
        </w:rPr>
        <w:t>The use of targeted pilot and demonstration projects as an approach to capacity development has also grown. As described in document CBD/SBI/3/INF/14</w:t>
      </w:r>
      <w:r w:rsidRPr="00AA5D70">
        <w:rPr>
          <w:kern w:val="22"/>
          <w:szCs w:val="22"/>
        </w:rPr>
        <w:t>,</w:t>
      </w:r>
      <w:r w:rsidRPr="00AA5D70">
        <w:rPr>
          <w:kern w:val="22"/>
        </w:rPr>
        <w:t xml:space="preserve"> the Secretariat has supported at least 50 pilot projects which have directly benefited more than 40 countries</w:t>
      </w:r>
      <w:r w:rsidR="00E67A25" w:rsidRPr="00AA5D70">
        <w:rPr>
          <w:kern w:val="22"/>
        </w:rPr>
        <w:t>.</w:t>
      </w:r>
      <w:r w:rsidRPr="00AA5D70">
        <w:rPr>
          <w:rStyle w:val="FootnoteReference"/>
          <w:kern w:val="22"/>
        </w:rPr>
        <w:footnoteReference w:id="9"/>
      </w:r>
      <w:r w:rsidRPr="00AA5D70">
        <w:rPr>
          <w:kern w:val="22"/>
        </w:rPr>
        <w:t xml:space="preserve"> The pilot projects focused on various issues</w:t>
      </w:r>
      <w:r w:rsidR="00517CF3" w:rsidRPr="00AA5D70">
        <w:rPr>
          <w:kern w:val="22"/>
        </w:rPr>
        <w:t>,</w:t>
      </w:r>
      <w:r w:rsidRPr="00AA5D70">
        <w:rPr>
          <w:kern w:val="22"/>
        </w:rPr>
        <w:t xml:space="preserve"> including ecosystem restoration, spatial data and information, socioeconomic data, biodiversity mainstreaming, biosafety mainstreaming, ecosystem accounting and DNA barcoding, among others. These projects have contributed to learning by doing</w:t>
      </w:r>
      <w:r w:rsidR="00A507AC" w:rsidRPr="00AA5D70">
        <w:rPr>
          <w:kern w:val="22"/>
        </w:rPr>
        <w:t>,</w:t>
      </w:r>
      <w:r w:rsidRPr="00AA5D70">
        <w:rPr>
          <w:kern w:val="22"/>
        </w:rPr>
        <w:t xml:space="preserve"> helped strengthen institutional capacities, </w:t>
      </w:r>
      <w:r w:rsidR="00CD13C7" w:rsidRPr="00AA5D70">
        <w:rPr>
          <w:kern w:val="22"/>
        </w:rPr>
        <w:t xml:space="preserve">and </w:t>
      </w:r>
      <w:r w:rsidR="00274BA9" w:rsidRPr="00AA5D70">
        <w:rPr>
          <w:kern w:val="22"/>
        </w:rPr>
        <w:t xml:space="preserve">enhanced </w:t>
      </w:r>
      <w:r w:rsidRPr="00AA5D70">
        <w:rPr>
          <w:kern w:val="22"/>
        </w:rPr>
        <w:t>collaboration and networking at the national and regional levels.</w:t>
      </w:r>
    </w:p>
    <w:p w14:paraId="0E099E83" w14:textId="206E3B70"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rFonts w:eastAsiaTheme="minorEastAsia"/>
          <w:kern w:val="22"/>
        </w:rPr>
      </w:pPr>
      <w:r w:rsidRPr="00AA5D70">
        <w:rPr>
          <w:kern w:val="22"/>
        </w:rPr>
        <w:t>The Secretariat expanded the provision of help desk support for the access and benefit-sharing clearing-house, national reporting</w:t>
      </w:r>
      <w:r w:rsidR="00845E0C" w:rsidRPr="00AA5D70">
        <w:rPr>
          <w:kern w:val="22"/>
        </w:rPr>
        <w:t xml:space="preserve">, </w:t>
      </w:r>
      <w:r w:rsidR="00874430" w:rsidRPr="00AA5D70">
        <w:rPr>
          <w:kern w:val="22"/>
        </w:rPr>
        <w:t xml:space="preserve">the </w:t>
      </w:r>
      <w:r w:rsidR="00845E0C" w:rsidRPr="00AA5D70">
        <w:rPr>
          <w:kern w:val="22"/>
        </w:rPr>
        <w:t>Bio-Bridge Initiative</w:t>
      </w:r>
      <w:r w:rsidRPr="00AA5D70">
        <w:rPr>
          <w:kern w:val="22"/>
        </w:rPr>
        <w:t xml:space="preserve"> and national clearing-house mechanisms. Advice and </w:t>
      </w:r>
      <w:r w:rsidR="00AA18C0" w:rsidRPr="00AA5D70">
        <w:rPr>
          <w:kern w:val="22"/>
        </w:rPr>
        <w:t>prompt</w:t>
      </w:r>
      <w:r w:rsidRPr="00AA5D70">
        <w:rPr>
          <w:kern w:val="22"/>
        </w:rPr>
        <w:t xml:space="preserve"> responses to specific questions or requests for information were provided to Parties and relevant stakeholders. According to the feedback received, a number of stakeholders have found this service very helpful.</w:t>
      </w:r>
    </w:p>
    <w:p w14:paraId="2212C4CF" w14:textId="33A28C8A"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Furthermore, the Secretariat in collaboration with partners broadened efforts to facilitate the establishment or strengthening of regional and global support networks. Examples include the regional implementation support networks for protected areas,</w:t>
      </w:r>
      <w:r w:rsidRPr="00AA5D70">
        <w:rPr>
          <w:rStyle w:val="FootnoteReference"/>
          <w:kern w:val="22"/>
        </w:rPr>
        <w:footnoteReference w:id="10"/>
      </w:r>
      <w:r w:rsidRPr="00AA5D70">
        <w:rPr>
          <w:kern w:val="22"/>
        </w:rPr>
        <w:t xml:space="preserve"> CBD-BIOFIN regional technical support nodes,</w:t>
      </w:r>
      <w:r w:rsidRPr="00AA5D70">
        <w:rPr>
          <w:rStyle w:val="StyleFootnoteReferencenumberFootnoteReferenceSuperscript-EF"/>
          <w:sz w:val="22"/>
          <w:szCs w:val="22"/>
        </w:rPr>
        <w:footnoteReference w:id="11"/>
      </w:r>
      <w:r w:rsidRPr="00AA5D70">
        <w:rPr>
          <w:kern w:val="22"/>
        </w:rPr>
        <w:t xml:space="preserve"> regional networks of laboratories for the detection and identification of living modified organisms,</w:t>
      </w:r>
      <w:r w:rsidRPr="00AA5D70">
        <w:rPr>
          <w:rStyle w:val="FootnoteReference"/>
          <w:kern w:val="22"/>
        </w:rPr>
        <w:footnoteReference w:id="12"/>
      </w:r>
      <w:r w:rsidRPr="00AA5D70">
        <w:rPr>
          <w:kern w:val="22"/>
        </w:rPr>
        <w:t xml:space="preserve"> and the global network </w:t>
      </w:r>
      <w:r w:rsidR="00C3345D" w:rsidRPr="00AA5D70">
        <w:rPr>
          <w:kern w:val="22"/>
        </w:rPr>
        <w:t>of a</w:t>
      </w:r>
      <w:r w:rsidRPr="00AA5D70">
        <w:rPr>
          <w:kern w:val="22"/>
        </w:rPr>
        <w:t xml:space="preserve">ccess and </w:t>
      </w:r>
      <w:r w:rsidR="00C3345D" w:rsidRPr="00AA5D70">
        <w:rPr>
          <w:kern w:val="22"/>
        </w:rPr>
        <w:t>b</w:t>
      </w:r>
      <w:r w:rsidRPr="00AA5D70">
        <w:rPr>
          <w:kern w:val="22"/>
        </w:rPr>
        <w:t>enefit-</w:t>
      </w:r>
      <w:r w:rsidR="00C3345D" w:rsidRPr="00AA5D70">
        <w:rPr>
          <w:kern w:val="22"/>
        </w:rPr>
        <w:t>s</w:t>
      </w:r>
      <w:r w:rsidRPr="00AA5D70">
        <w:rPr>
          <w:kern w:val="22"/>
        </w:rPr>
        <w:t>haring legal experts.</w:t>
      </w:r>
      <w:r w:rsidRPr="00AA5D70">
        <w:rPr>
          <w:rStyle w:val="FootnoteReference"/>
          <w:kern w:val="22"/>
        </w:rPr>
        <w:footnoteReference w:id="13"/>
      </w:r>
    </w:p>
    <w:p w14:paraId="4514FC09" w14:textId="7DF66BD6"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rFonts w:eastAsiaTheme="minorEastAsia"/>
          <w:color w:val="000000"/>
          <w:kern w:val="22"/>
        </w:rPr>
      </w:pPr>
      <w:r w:rsidRPr="00AA5D70">
        <w:rPr>
          <w:kern w:val="22"/>
        </w:rPr>
        <w:lastRenderedPageBreak/>
        <w:t xml:space="preserve">Countries’ capacities have also been enhanced through processes and activities that are not traditionally considered to be </w:t>
      </w:r>
      <w:r w:rsidRPr="00AA5D70">
        <w:rPr>
          <w:color w:val="000000"/>
          <w:kern w:val="22"/>
        </w:rPr>
        <w:t>capacity</w:t>
      </w:r>
      <w:r w:rsidR="00B24407" w:rsidRPr="00AA5D70">
        <w:rPr>
          <w:color w:val="000000"/>
          <w:kern w:val="22"/>
        </w:rPr>
        <w:t>-</w:t>
      </w:r>
      <w:r w:rsidRPr="00AA5D70">
        <w:rPr>
          <w:color w:val="000000"/>
          <w:kern w:val="22"/>
        </w:rPr>
        <w:t xml:space="preserve">building. For example, the </w:t>
      </w:r>
      <w:r w:rsidRPr="00AA5D70">
        <w:rPr>
          <w:color w:val="000000" w:themeColor="text1"/>
          <w:kern w:val="22"/>
        </w:rPr>
        <w:t>v</w:t>
      </w:r>
      <w:r w:rsidRPr="00AA5D70">
        <w:rPr>
          <w:color w:val="000000"/>
          <w:kern w:val="22"/>
        </w:rPr>
        <w:t xml:space="preserve">oluntary </w:t>
      </w:r>
      <w:r w:rsidRPr="00AA5D70">
        <w:rPr>
          <w:color w:val="000000" w:themeColor="text1"/>
          <w:kern w:val="22"/>
        </w:rPr>
        <w:t>p</w:t>
      </w:r>
      <w:r w:rsidRPr="00AA5D70">
        <w:rPr>
          <w:color w:val="000000"/>
          <w:kern w:val="22"/>
        </w:rPr>
        <w:t xml:space="preserve">eer </w:t>
      </w:r>
      <w:r w:rsidRPr="00AA5D70">
        <w:rPr>
          <w:color w:val="000000" w:themeColor="text1"/>
          <w:kern w:val="22"/>
        </w:rPr>
        <w:t>r</w:t>
      </w:r>
      <w:r w:rsidRPr="00AA5D70">
        <w:rPr>
          <w:color w:val="000000"/>
          <w:kern w:val="22"/>
        </w:rPr>
        <w:t xml:space="preserve">eview (VPR) </w:t>
      </w:r>
      <w:r w:rsidRPr="00AA5D70">
        <w:rPr>
          <w:color w:val="000000" w:themeColor="text1"/>
          <w:kern w:val="22"/>
        </w:rPr>
        <w:t xml:space="preserve">of national biodiversity strategies and action plans </w:t>
      </w:r>
      <w:r w:rsidR="00C46630" w:rsidRPr="00AA5D70">
        <w:rPr>
          <w:color w:val="000000" w:themeColor="text1"/>
          <w:kern w:val="22"/>
        </w:rPr>
        <w:t xml:space="preserve">(NBSAPs) </w:t>
      </w:r>
      <w:r w:rsidRPr="00AA5D70">
        <w:rPr>
          <w:color w:val="000000"/>
          <w:kern w:val="22"/>
        </w:rPr>
        <w:t>provide</w:t>
      </w:r>
      <w:r w:rsidRPr="00AA5D70">
        <w:rPr>
          <w:color w:val="000000" w:themeColor="text1"/>
          <w:kern w:val="22"/>
        </w:rPr>
        <w:t>s</w:t>
      </w:r>
      <w:r w:rsidRPr="00AA5D70">
        <w:rPr>
          <w:color w:val="000000"/>
          <w:kern w:val="22"/>
        </w:rPr>
        <w:t xml:space="preserve"> opportunities for peer learning for </w:t>
      </w:r>
      <w:r w:rsidRPr="00AA5D70">
        <w:rPr>
          <w:color w:val="000000" w:themeColor="text1"/>
          <w:kern w:val="22"/>
        </w:rPr>
        <w:t xml:space="preserve">the </w:t>
      </w:r>
      <w:r w:rsidRPr="00AA5D70">
        <w:rPr>
          <w:color w:val="000000"/>
          <w:kern w:val="22"/>
        </w:rPr>
        <w:t>Parties involved</w:t>
      </w:r>
      <w:bookmarkStart w:id="9" w:name="_Hlk51600910"/>
      <w:r w:rsidRPr="00AA5D70">
        <w:rPr>
          <w:color w:val="000000"/>
          <w:kern w:val="22"/>
        </w:rPr>
        <w:t>.</w:t>
      </w:r>
    </w:p>
    <w:p w14:paraId="5115C002" w14:textId="7193EB8C"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color w:val="000000"/>
          <w:kern w:val="22"/>
        </w:rPr>
      </w:pPr>
      <w:r w:rsidRPr="00AA5D70">
        <w:rPr>
          <w:kern w:val="22"/>
        </w:rPr>
        <w:t>Overall, the short-term action plan has been successfully implemented (estimated 90</w:t>
      </w:r>
      <w:r w:rsidR="00E017A9" w:rsidRPr="00AA5D70">
        <w:rPr>
          <w:kern w:val="22"/>
        </w:rPr>
        <w:t> per cent</w:t>
      </w:r>
      <w:r w:rsidRPr="00AA5D70">
        <w:rPr>
          <w:kern w:val="22"/>
        </w:rPr>
        <w:t xml:space="preserve"> implementation rate) and a number of concrete capacity results envisaged in the plan have been achieved.</w:t>
      </w:r>
    </w:p>
    <w:p w14:paraId="4A73E54B" w14:textId="77777777"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color w:val="000000"/>
          <w:kern w:val="22"/>
        </w:rPr>
      </w:pPr>
      <w:r w:rsidRPr="00AA5D70">
        <w:rPr>
          <w:kern w:val="22"/>
        </w:rPr>
        <w:t>Some of the main limitations and challenges encountered include the following:</w:t>
      </w:r>
    </w:p>
    <w:p w14:paraId="5B303C8B" w14:textId="3BA389CB" w:rsidR="004A3E7E" w:rsidRPr="00AA5D70" w:rsidRDefault="004A3E7E" w:rsidP="00AA5D70">
      <w:pPr>
        <w:pStyle w:val="Para1"/>
        <w:numPr>
          <w:ilvl w:val="1"/>
          <w:numId w:val="49"/>
        </w:numPr>
        <w:suppressLineNumbers/>
        <w:suppressAutoHyphens/>
        <w:kinsoku w:val="0"/>
        <w:overflowPunct w:val="0"/>
        <w:autoSpaceDE w:val="0"/>
        <w:autoSpaceDN w:val="0"/>
        <w:adjustRightInd w:val="0"/>
        <w:snapToGrid w:val="0"/>
        <w:rPr>
          <w:color w:val="000000"/>
          <w:kern w:val="22"/>
        </w:rPr>
      </w:pPr>
      <w:r w:rsidRPr="00AA5D70">
        <w:rPr>
          <w:color w:val="000000" w:themeColor="text1"/>
          <w:kern w:val="22"/>
        </w:rPr>
        <w:t>The short-term vision of the action plan resulted in a high</w:t>
      </w:r>
      <w:r w:rsidR="0056740E" w:rsidRPr="00AA5D70">
        <w:rPr>
          <w:color w:val="000000" w:themeColor="text1"/>
          <w:kern w:val="22"/>
        </w:rPr>
        <w:t xml:space="preserve"> </w:t>
      </w:r>
      <w:r w:rsidRPr="00AA5D70">
        <w:rPr>
          <w:color w:val="000000" w:themeColor="text1"/>
          <w:kern w:val="22"/>
        </w:rPr>
        <w:t>volume of one-off face-to-face workshops, with high transaction costs and limited follow-up;</w:t>
      </w:r>
    </w:p>
    <w:p w14:paraId="648F9994" w14:textId="2DF53F09" w:rsidR="004A3E7E" w:rsidRPr="00AA5D70" w:rsidRDefault="004A3E7E" w:rsidP="00AA5D70">
      <w:pPr>
        <w:pStyle w:val="Para1"/>
        <w:numPr>
          <w:ilvl w:val="1"/>
          <w:numId w:val="49"/>
        </w:numPr>
        <w:suppressLineNumbers/>
        <w:suppressAutoHyphens/>
        <w:kinsoku w:val="0"/>
        <w:overflowPunct w:val="0"/>
        <w:autoSpaceDE w:val="0"/>
        <w:autoSpaceDN w:val="0"/>
        <w:adjustRightInd w:val="0"/>
        <w:snapToGrid w:val="0"/>
        <w:rPr>
          <w:color w:val="000000"/>
          <w:kern w:val="22"/>
        </w:rPr>
      </w:pPr>
      <w:r w:rsidRPr="00AA5D70">
        <w:rPr>
          <w:color w:val="000000" w:themeColor="text1"/>
          <w:kern w:val="22"/>
        </w:rPr>
        <w:t xml:space="preserve">The absence of a common monitoring and evaluation and reporting framework made it difficult to assess the effectiveness and impact of the activities across </w:t>
      </w:r>
      <w:r w:rsidR="00CD3C71" w:rsidRPr="00AA5D70">
        <w:rPr>
          <w:color w:val="000000" w:themeColor="text1"/>
          <w:kern w:val="22"/>
        </w:rPr>
        <w:t xml:space="preserve">the </w:t>
      </w:r>
      <w:r w:rsidRPr="00AA5D70">
        <w:rPr>
          <w:color w:val="000000" w:themeColor="text1"/>
          <w:kern w:val="22"/>
        </w:rPr>
        <w:t>board;</w:t>
      </w:r>
    </w:p>
    <w:p w14:paraId="7403B0FB" w14:textId="347FFFDB" w:rsidR="004A3E7E" w:rsidRPr="00AA5D70" w:rsidRDefault="004A3E7E" w:rsidP="00AA5D70">
      <w:pPr>
        <w:pStyle w:val="Para1"/>
        <w:numPr>
          <w:ilvl w:val="1"/>
          <w:numId w:val="49"/>
        </w:numPr>
        <w:suppressLineNumbers/>
        <w:suppressAutoHyphens/>
        <w:kinsoku w:val="0"/>
        <w:overflowPunct w:val="0"/>
        <w:autoSpaceDE w:val="0"/>
        <w:autoSpaceDN w:val="0"/>
        <w:adjustRightInd w:val="0"/>
        <w:snapToGrid w:val="0"/>
        <w:rPr>
          <w:color w:val="000000"/>
          <w:kern w:val="22"/>
        </w:rPr>
      </w:pPr>
      <w:r w:rsidRPr="00AA5D70">
        <w:rPr>
          <w:color w:val="000000" w:themeColor="text1"/>
          <w:kern w:val="22"/>
        </w:rPr>
        <w:t xml:space="preserve">The implementation of some activities was subject to the availability of resources, </w:t>
      </w:r>
      <w:r w:rsidRPr="00AA5D70" w:rsidDel="001A33F4">
        <w:rPr>
          <w:color w:val="000000" w:themeColor="text1"/>
          <w:kern w:val="22"/>
        </w:rPr>
        <w:t xml:space="preserve">which </w:t>
      </w:r>
      <w:r w:rsidRPr="00AA5D70">
        <w:rPr>
          <w:color w:val="000000" w:themeColor="text1"/>
          <w:kern w:val="22"/>
        </w:rPr>
        <w:t>in some cases were secured late or not secured at all, thus limiting the level of implementation;</w:t>
      </w:r>
    </w:p>
    <w:p w14:paraId="4CA994CE" w14:textId="39EBBB55" w:rsidR="004A3E7E" w:rsidRPr="00AA5D70" w:rsidRDefault="004A3E7E" w:rsidP="00AA5D70">
      <w:pPr>
        <w:pStyle w:val="Para1"/>
        <w:numPr>
          <w:ilvl w:val="1"/>
          <w:numId w:val="49"/>
        </w:numPr>
        <w:suppressLineNumbers/>
        <w:suppressAutoHyphens/>
        <w:kinsoku w:val="0"/>
        <w:overflowPunct w:val="0"/>
        <w:autoSpaceDE w:val="0"/>
        <w:autoSpaceDN w:val="0"/>
        <w:adjustRightInd w:val="0"/>
        <w:snapToGrid w:val="0"/>
        <w:rPr>
          <w:color w:val="000000"/>
          <w:kern w:val="22"/>
        </w:rPr>
      </w:pPr>
      <w:r w:rsidRPr="00AA5D70">
        <w:rPr>
          <w:color w:val="000000" w:themeColor="text1"/>
          <w:kern w:val="22"/>
        </w:rPr>
        <w:t xml:space="preserve">The high-level process through which the action plan </w:t>
      </w:r>
      <w:r w:rsidR="00C57A96" w:rsidRPr="00AA5D70">
        <w:rPr>
          <w:color w:val="000000" w:themeColor="text1"/>
          <w:kern w:val="22"/>
        </w:rPr>
        <w:t xml:space="preserve">was </w:t>
      </w:r>
      <w:r w:rsidRPr="00AA5D70">
        <w:rPr>
          <w:color w:val="000000" w:themeColor="text1"/>
          <w:kern w:val="22"/>
        </w:rPr>
        <w:t>negotiated and adopted, with limited input from partners, also constrained the collaboration of relevant organizations and stakeholders;</w:t>
      </w:r>
    </w:p>
    <w:p w14:paraId="20BE73FC" w14:textId="2C915DB7" w:rsidR="004A3E7E" w:rsidRPr="00AA5D70" w:rsidRDefault="004A3E7E" w:rsidP="00AA5D70">
      <w:pPr>
        <w:pStyle w:val="Para1"/>
        <w:numPr>
          <w:ilvl w:val="1"/>
          <w:numId w:val="49"/>
        </w:numPr>
        <w:suppressLineNumbers/>
        <w:suppressAutoHyphens/>
        <w:kinsoku w:val="0"/>
        <w:overflowPunct w:val="0"/>
        <w:autoSpaceDE w:val="0"/>
        <w:autoSpaceDN w:val="0"/>
        <w:adjustRightInd w:val="0"/>
        <w:snapToGrid w:val="0"/>
        <w:rPr>
          <w:color w:val="000000"/>
          <w:kern w:val="22"/>
        </w:rPr>
      </w:pPr>
      <w:r w:rsidRPr="00AA5D70">
        <w:rPr>
          <w:color w:val="000000" w:themeColor="text1"/>
          <w:kern w:val="22"/>
        </w:rPr>
        <w:t>Finally, no formal or informal mechanism was established to mobilize and leverage partnerships</w:t>
      </w:r>
      <w:r w:rsidR="00DF5B8E" w:rsidRPr="00AA5D70">
        <w:rPr>
          <w:color w:val="000000" w:themeColor="text1"/>
          <w:kern w:val="22"/>
        </w:rPr>
        <w:t>,</w:t>
      </w:r>
      <w:r w:rsidRPr="00AA5D70">
        <w:rPr>
          <w:color w:val="000000" w:themeColor="text1"/>
          <w:kern w:val="22"/>
        </w:rPr>
        <w:t xml:space="preserve"> and no resources were allocated or offered to facilitate the process.</w:t>
      </w:r>
    </w:p>
    <w:p w14:paraId="45745985" w14:textId="77777777"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A number of lessons have been learned during the implementation of the action plan. Some of the main lessons learned include the following:</w:t>
      </w:r>
    </w:p>
    <w:bookmarkEnd w:id="9"/>
    <w:p w14:paraId="1B9B2E64" w14:textId="12A7276D" w:rsidR="004A3E7E" w:rsidRPr="00AA5D70" w:rsidRDefault="004A3E7E"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Capacity</w:t>
      </w:r>
      <w:r w:rsidR="005611E3" w:rsidRPr="00AA5D70">
        <w:rPr>
          <w:snapToGrid w:val="0"/>
          <w:kern w:val="22"/>
        </w:rPr>
        <w:t xml:space="preserve"> development</w:t>
      </w:r>
      <w:r w:rsidRPr="00AA5D70">
        <w:rPr>
          <w:snapToGrid w:val="0"/>
          <w:kern w:val="22"/>
        </w:rPr>
        <w:t xml:space="preserve"> activities need to move beyond training workshops focused at the individual level. Focusing on other levels of capacity (i.e. organizational and/or enabling) and other delivery modalities must be encouraged;</w:t>
      </w:r>
    </w:p>
    <w:p w14:paraId="2B4F7B76" w14:textId="44BC1529" w:rsidR="004A3E7E" w:rsidRPr="00AA5D70" w:rsidRDefault="004A3E7E"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A long-term vision and holistic approach, including financial considerations, must be contemplated when designing capacity</w:t>
      </w:r>
      <w:r w:rsidR="00C01EBA" w:rsidRPr="00AA5D70">
        <w:rPr>
          <w:snapToGrid w:val="0"/>
          <w:kern w:val="22"/>
        </w:rPr>
        <w:t xml:space="preserve"> development</w:t>
      </w:r>
      <w:r w:rsidRPr="00AA5D70">
        <w:rPr>
          <w:snapToGrid w:val="0"/>
          <w:kern w:val="22"/>
        </w:rPr>
        <w:t xml:space="preserve"> interventions;</w:t>
      </w:r>
    </w:p>
    <w:p w14:paraId="23401C22" w14:textId="6BB53AA8" w:rsidR="004A3E7E" w:rsidRPr="00AA5D70" w:rsidRDefault="004A3E7E"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A monitoring and evaluation framework must accompany </w:t>
      </w:r>
      <w:r w:rsidR="005611E3" w:rsidRPr="00AA5D70">
        <w:rPr>
          <w:snapToGrid w:val="0"/>
          <w:kern w:val="22"/>
        </w:rPr>
        <w:t>capacity development</w:t>
      </w:r>
      <w:r w:rsidRPr="00AA5D70">
        <w:rPr>
          <w:snapToGrid w:val="0"/>
          <w:kern w:val="22"/>
        </w:rPr>
        <w:t xml:space="preserve"> interventions;</w:t>
      </w:r>
    </w:p>
    <w:p w14:paraId="6D841C04" w14:textId="46DFEC5A" w:rsidR="004A3E7E" w:rsidRPr="00AA5D70" w:rsidRDefault="004A3E7E"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Potential partners must be involved in the design of joint </w:t>
      </w:r>
      <w:r w:rsidR="005611E3" w:rsidRPr="00AA5D70">
        <w:rPr>
          <w:snapToGrid w:val="0"/>
          <w:kern w:val="22"/>
        </w:rPr>
        <w:t>capacity development</w:t>
      </w:r>
      <w:r w:rsidRPr="00AA5D70">
        <w:rPr>
          <w:snapToGrid w:val="0"/>
          <w:kern w:val="22"/>
        </w:rPr>
        <w:t xml:space="preserve"> interventions to avoid duplication of efforts.</w:t>
      </w:r>
    </w:p>
    <w:p w14:paraId="0033B33A" w14:textId="229829F5"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The Subsidiary Body on Implementation may wish to take note </w:t>
      </w:r>
      <w:r w:rsidR="00BF55EC" w:rsidRPr="00AA5D70">
        <w:rPr>
          <w:snapToGrid w:val="0"/>
          <w:kern w:val="22"/>
        </w:rPr>
        <w:t xml:space="preserve">of the preliminary final report presented in document CBD/SBI/3/INF/14 </w:t>
      </w:r>
      <w:r w:rsidR="00BC3A77" w:rsidRPr="00AA5D70">
        <w:rPr>
          <w:snapToGrid w:val="0"/>
          <w:kern w:val="22"/>
        </w:rPr>
        <w:t>and</w:t>
      </w:r>
      <w:r w:rsidRPr="00AA5D70">
        <w:rPr>
          <w:snapToGrid w:val="0"/>
          <w:kern w:val="22"/>
        </w:rPr>
        <w:t xml:space="preserve"> the lessons learned</w:t>
      </w:r>
      <w:r w:rsidR="00CB63B2" w:rsidRPr="00AA5D70">
        <w:rPr>
          <w:snapToGrid w:val="0"/>
          <w:kern w:val="22"/>
        </w:rPr>
        <w:t>,</w:t>
      </w:r>
      <w:r w:rsidRPr="00AA5D70">
        <w:rPr>
          <w:snapToGrid w:val="0"/>
          <w:kern w:val="22"/>
        </w:rPr>
        <w:t xml:space="preserve"> and</w:t>
      </w:r>
      <w:r w:rsidRPr="00AA5D70">
        <w:rPr>
          <w:snapToGrid w:val="0"/>
          <w:kern w:val="22"/>
          <w:szCs w:val="22"/>
        </w:rPr>
        <w:t xml:space="preserve"> </w:t>
      </w:r>
      <w:r w:rsidR="00910992" w:rsidRPr="00AA5D70">
        <w:rPr>
          <w:snapToGrid w:val="0"/>
          <w:kern w:val="22"/>
          <w:szCs w:val="22"/>
        </w:rPr>
        <w:t xml:space="preserve">may wish to </w:t>
      </w:r>
      <w:r w:rsidRPr="00AA5D70">
        <w:rPr>
          <w:snapToGrid w:val="0"/>
          <w:kern w:val="22"/>
        </w:rPr>
        <w:t xml:space="preserve">request the Executive Secretary to submit a final report to the Conference of the Parties at its </w:t>
      </w:r>
      <w:r w:rsidR="00C01EBA" w:rsidRPr="00AA5D70">
        <w:rPr>
          <w:snapToGrid w:val="0"/>
          <w:kern w:val="22"/>
        </w:rPr>
        <w:t>fifteen</w:t>
      </w:r>
      <w:r w:rsidRPr="00AA5D70">
        <w:rPr>
          <w:snapToGrid w:val="0"/>
          <w:kern w:val="22"/>
        </w:rPr>
        <w:t>th meeting.</w:t>
      </w:r>
    </w:p>
    <w:p w14:paraId="5A6F6F97" w14:textId="1C060B75" w:rsidR="004A3E7E" w:rsidRPr="00AA5D70" w:rsidRDefault="004A3E7E" w:rsidP="00AA5D70">
      <w:pPr>
        <w:pStyle w:val="Heading2"/>
        <w:numPr>
          <w:ilvl w:val="0"/>
          <w:numId w:val="52"/>
        </w:numPr>
        <w:suppressLineNumbers/>
        <w:tabs>
          <w:tab w:val="clear" w:pos="720"/>
        </w:tabs>
        <w:suppressAutoHyphens/>
        <w:kinsoku w:val="0"/>
        <w:overflowPunct w:val="0"/>
        <w:autoSpaceDE w:val="0"/>
        <w:autoSpaceDN w:val="0"/>
        <w:adjustRightInd w:val="0"/>
        <w:snapToGrid w:val="0"/>
        <w:ind w:left="907" w:hanging="340"/>
        <w:jc w:val="left"/>
        <w:rPr>
          <w:snapToGrid w:val="0"/>
          <w:kern w:val="22"/>
        </w:rPr>
      </w:pPr>
      <w:bookmarkStart w:id="10" w:name="_Toc57214883"/>
      <w:r w:rsidRPr="00AA5D70">
        <w:rPr>
          <w:snapToGrid w:val="0"/>
          <w:kern w:val="22"/>
        </w:rPr>
        <w:t>Preparation of the long-term strategic framework for capacity development to support implementation of the post-2020 global biodiversity framework</w:t>
      </w:r>
      <w:bookmarkEnd w:id="10"/>
    </w:p>
    <w:p w14:paraId="0018E48E" w14:textId="206582FC"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color w:val="000000" w:themeColor="text1"/>
          <w:kern w:val="22"/>
          <w:szCs w:val="22"/>
        </w:rPr>
      </w:pPr>
      <w:r w:rsidRPr="00AA5D70">
        <w:rPr>
          <w:snapToGrid w:val="0"/>
          <w:color w:val="000000"/>
          <w:kern w:val="22"/>
        </w:rPr>
        <w:t xml:space="preserve">Pursuant to decisions </w:t>
      </w:r>
      <w:hyperlink r:id="rId19">
        <w:r w:rsidRPr="00AA5D70">
          <w:rPr>
            <w:snapToGrid w:val="0"/>
            <w:color w:val="0000FF"/>
            <w:kern w:val="22"/>
            <w:u w:val="single"/>
          </w:rPr>
          <w:t>XIII/23</w:t>
        </w:r>
      </w:hyperlink>
      <w:r w:rsidRPr="00AA5D70">
        <w:rPr>
          <w:snapToGrid w:val="0"/>
          <w:color w:val="000000"/>
          <w:kern w:val="22"/>
        </w:rPr>
        <w:t xml:space="preserve"> and </w:t>
      </w:r>
      <w:hyperlink r:id="rId20">
        <w:r w:rsidRPr="00AA5D70">
          <w:rPr>
            <w:snapToGrid w:val="0"/>
            <w:color w:val="0000FF"/>
            <w:kern w:val="22"/>
            <w:u w:val="single"/>
          </w:rPr>
          <w:t>14/24</w:t>
        </w:r>
      </w:hyperlink>
      <w:r w:rsidRPr="00AA5D70">
        <w:rPr>
          <w:snapToGrid w:val="0"/>
          <w:color w:val="000000"/>
          <w:kern w:val="22"/>
        </w:rPr>
        <w:t xml:space="preserve">, the Executive Secretary has, with the support of a consultant, prepared a draft long-term strategic framework for capacity development, ensuring its alignment with the draft post-2020 global biodiversity framework, the 2030 Agenda for Sustainable Development and the capacity-building work of the Cartagena and the Nagoya Protocols. </w:t>
      </w:r>
      <w:r w:rsidRPr="00AA5D70">
        <w:rPr>
          <w:snapToGrid w:val="0"/>
          <w:kern w:val="22"/>
        </w:rPr>
        <w:t xml:space="preserve">A condensed version of the draft long-term strategic framework is presented in </w:t>
      </w:r>
      <w:r w:rsidR="0063603B" w:rsidRPr="00AA5D70">
        <w:rPr>
          <w:snapToGrid w:val="0"/>
          <w:kern w:val="22"/>
        </w:rPr>
        <w:t>a</w:t>
      </w:r>
      <w:r w:rsidRPr="00AA5D70">
        <w:rPr>
          <w:snapToGrid w:val="0"/>
          <w:kern w:val="22"/>
        </w:rPr>
        <w:t>nnex</w:t>
      </w:r>
      <w:r w:rsidR="0063603B" w:rsidRPr="00AA5D70">
        <w:rPr>
          <w:snapToGrid w:val="0"/>
          <w:kern w:val="22"/>
        </w:rPr>
        <w:t> I</w:t>
      </w:r>
      <w:r w:rsidR="008E49FC" w:rsidRPr="00AA5D70">
        <w:rPr>
          <w:snapToGrid w:val="0"/>
          <w:kern w:val="22"/>
        </w:rPr>
        <w:t xml:space="preserve"> below</w:t>
      </w:r>
      <w:r w:rsidRPr="00AA5D70">
        <w:rPr>
          <w:snapToGrid w:val="0"/>
          <w:kern w:val="22"/>
        </w:rPr>
        <w:t xml:space="preserve">. </w:t>
      </w:r>
      <w:r w:rsidRPr="00AA5D70">
        <w:rPr>
          <w:snapToGrid w:val="0"/>
          <w:color w:val="000000" w:themeColor="text1"/>
          <w:kern w:val="22"/>
        </w:rPr>
        <w:t>A detailed version is presented in CBD/SBI/3/7/Add.1.</w:t>
      </w:r>
    </w:p>
    <w:p w14:paraId="5604BE47" w14:textId="3135A3B7"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bookmarkStart w:id="11" w:name="_Hlk51349855"/>
      <w:r w:rsidRPr="00AA5D70">
        <w:rPr>
          <w:snapToGrid w:val="0"/>
          <w:color w:val="000000"/>
          <w:kern w:val="22"/>
        </w:rPr>
        <w:t xml:space="preserve">The draft </w:t>
      </w:r>
      <w:r w:rsidRPr="00AA5D70">
        <w:rPr>
          <w:snapToGrid w:val="0"/>
          <w:color w:val="000000" w:themeColor="text1"/>
          <w:kern w:val="22"/>
        </w:rPr>
        <w:t xml:space="preserve">strategic </w:t>
      </w:r>
      <w:r w:rsidRPr="00AA5D70">
        <w:rPr>
          <w:snapToGrid w:val="0"/>
          <w:color w:val="000000"/>
          <w:kern w:val="22"/>
        </w:rPr>
        <w:t xml:space="preserve">framework takes into account findings of the study </w:t>
      </w:r>
      <w:r w:rsidR="00AC2DF6" w:rsidRPr="00AA5D70">
        <w:rPr>
          <w:snapToGrid w:val="0"/>
          <w:color w:val="000000"/>
          <w:kern w:val="22"/>
        </w:rPr>
        <w:t xml:space="preserve">conducted by </w:t>
      </w:r>
      <w:r w:rsidR="006A443B" w:rsidRPr="00AA5D70">
        <w:rPr>
          <w:snapToGrid w:val="0"/>
          <w:color w:val="000000"/>
          <w:kern w:val="22"/>
        </w:rPr>
        <w:t>the United Nations Environment Programme World Conservation Monitoring Centre (</w:t>
      </w:r>
      <w:r w:rsidR="00AC2DF6" w:rsidRPr="00AA5D70">
        <w:rPr>
          <w:snapToGrid w:val="0"/>
          <w:color w:val="000000"/>
          <w:kern w:val="22"/>
        </w:rPr>
        <w:t>UNEP-WCMC</w:t>
      </w:r>
      <w:r w:rsidR="006A443B" w:rsidRPr="00AA5D70">
        <w:rPr>
          <w:snapToGrid w:val="0"/>
          <w:color w:val="000000"/>
          <w:kern w:val="22"/>
        </w:rPr>
        <w:t>)</w:t>
      </w:r>
      <w:r w:rsidR="00AC2DF6" w:rsidRPr="00AA5D70">
        <w:rPr>
          <w:snapToGrid w:val="0"/>
          <w:color w:val="000000"/>
          <w:kern w:val="22"/>
        </w:rPr>
        <w:t xml:space="preserve"> on behalf of the Secretariat </w:t>
      </w:r>
      <w:r w:rsidRPr="00AA5D70">
        <w:rPr>
          <w:snapToGrid w:val="0"/>
          <w:color w:val="000000"/>
          <w:kern w:val="22"/>
        </w:rPr>
        <w:t>to provide an information base</w:t>
      </w:r>
      <w:r w:rsidR="00CA6FB6" w:rsidRPr="00AA5D70">
        <w:rPr>
          <w:snapToGrid w:val="0"/>
          <w:color w:val="000000"/>
          <w:kern w:val="22"/>
        </w:rPr>
        <w:t>,</w:t>
      </w:r>
      <w:r w:rsidRPr="00AA5D70">
        <w:rPr>
          <w:rStyle w:val="FootnoteReference"/>
          <w:snapToGrid w:val="0"/>
          <w:color w:val="000000"/>
          <w:kern w:val="22"/>
        </w:rPr>
        <w:footnoteReference w:id="14"/>
      </w:r>
      <w:r w:rsidR="00D51248" w:rsidRPr="00AA5D70">
        <w:rPr>
          <w:snapToGrid w:val="0"/>
          <w:color w:val="000000"/>
          <w:kern w:val="22"/>
        </w:rPr>
        <w:t xml:space="preserve"> </w:t>
      </w:r>
      <w:r w:rsidRPr="00AA5D70">
        <w:rPr>
          <w:snapToGrid w:val="0"/>
          <w:color w:val="000000"/>
          <w:kern w:val="22"/>
        </w:rPr>
        <w:t xml:space="preserve">the </w:t>
      </w:r>
      <w:r w:rsidRPr="00AA5D70">
        <w:rPr>
          <w:snapToGrid w:val="0"/>
          <w:kern w:val="22"/>
        </w:rPr>
        <w:t xml:space="preserve">survey on capacity-building for coherent implementation of </w:t>
      </w:r>
      <w:r w:rsidRPr="00AA5D70">
        <w:rPr>
          <w:snapToGrid w:val="0"/>
          <w:kern w:val="22"/>
        </w:rPr>
        <w:lastRenderedPageBreak/>
        <w:t>the biodiversity-related conventions conducted by the International Union for Conservation of Nature (IUCN)</w:t>
      </w:r>
      <w:r w:rsidR="00CA6FB6" w:rsidRPr="00AA5D70">
        <w:rPr>
          <w:snapToGrid w:val="0"/>
          <w:kern w:val="22"/>
        </w:rPr>
        <w:t>,</w:t>
      </w:r>
      <w:r w:rsidRPr="00AA5D70">
        <w:rPr>
          <w:rStyle w:val="FootnoteReference"/>
          <w:snapToGrid w:val="0"/>
          <w:kern w:val="22"/>
        </w:rPr>
        <w:footnoteReference w:id="15"/>
      </w:r>
      <w:r w:rsidRPr="00AA5D70">
        <w:rPr>
          <w:snapToGrid w:val="0"/>
          <w:color w:val="000000"/>
          <w:kern w:val="22"/>
        </w:rPr>
        <w:t xml:space="preserve"> and </w:t>
      </w:r>
      <w:r w:rsidRPr="00AA5D70">
        <w:rPr>
          <w:snapToGrid w:val="0"/>
          <w:kern w:val="22"/>
        </w:rPr>
        <w:t>the work of other multilateral-environmental agreements processes and organizations</w:t>
      </w:r>
      <w:r w:rsidR="00CA6FB6" w:rsidRPr="00AA5D70">
        <w:rPr>
          <w:snapToGrid w:val="0"/>
          <w:kern w:val="22"/>
        </w:rPr>
        <w:t>.</w:t>
      </w:r>
      <w:r w:rsidRPr="00AA5D70">
        <w:rPr>
          <w:snapToGrid w:val="0"/>
          <w:color w:val="000000"/>
          <w:kern w:val="22"/>
          <w:vertAlign w:val="superscript"/>
        </w:rPr>
        <w:footnoteReference w:id="16"/>
      </w:r>
      <w:bookmarkEnd w:id="11"/>
      <w:r w:rsidR="00C01EBA" w:rsidRPr="00AA5D70">
        <w:rPr>
          <w:snapToGrid w:val="0"/>
          <w:kern w:val="22"/>
        </w:rPr>
        <w:t xml:space="preserve"> </w:t>
      </w:r>
      <w:r w:rsidRPr="00AA5D70">
        <w:rPr>
          <w:snapToGrid w:val="0"/>
          <w:kern w:val="22"/>
        </w:rPr>
        <w:t xml:space="preserve">It also took </w:t>
      </w:r>
      <w:r w:rsidR="00C01EBA" w:rsidRPr="00AA5D70">
        <w:rPr>
          <w:snapToGrid w:val="0"/>
          <w:kern w:val="22"/>
        </w:rPr>
        <w:t xml:space="preserve">into </w:t>
      </w:r>
      <w:r w:rsidRPr="00AA5D70">
        <w:rPr>
          <w:snapToGrid w:val="0"/>
          <w:kern w:val="22"/>
        </w:rPr>
        <w:t xml:space="preserve">account the outcomes of </w:t>
      </w:r>
      <w:r w:rsidRPr="00AA5D70">
        <w:rPr>
          <w:snapToGrid w:val="0"/>
          <w:color w:val="000000"/>
          <w:kern w:val="22"/>
        </w:rPr>
        <w:t>the regional consultations on the post-2020 global biodiversity framework held in 2019</w:t>
      </w:r>
      <w:r w:rsidR="00CA6FB6" w:rsidRPr="00AA5D70">
        <w:rPr>
          <w:snapToGrid w:val="0"/>
          <w:color w:val="000000"/>
          <w:kern w:val="22"/>
        </w:rPr>
        <w:t>,</w:t>
      </w:r>
      <w:r w:rsidRPr="00AA5D70">
        <w:rPr>
          <w:rStyle w:val="FootnoteReference"/>
          <w:snapToGrid w:val="0"/>
          <w:color w:val="000000"/>
          <w:kern w:val="22"/>
        </w:rPr>
        <w:footnoteReference w:id="17"/>
      </w:r>
      <w:r w:rsidRPr="00AA5D70">
        <w:rPr>
          <w:snapToGrid w:val="0"/>
          <w:color w:val="000000"/>
          <w:kern w:val="22"/>
        </w:rPr>
        <w:t xml:space="preserve"> the meetings of the Liaison Group on the Cartagena Protocol on Biosafety</w:t>
      </w:r>
      <w:r w:rsidR="00CA6FB6" w:rsidRPr="00AA5D70">
        <w:rPr>
          <w:snapToGrid w:val="0"/>
          <w:color w:val="000000"/>
          <w:kern w:val="22"/>
        </w:rPr>
        <w:t>,</w:t>
      </w:r>
      <w:r w:rsidRPr="00AA5D70">
        <w:rPr>
          <w:rStyle w:val="FootnoteReference"/>
          <w:snapToGrid w:val="0"/>
          <w:color w:val="000000"/>
          <w:kern w:val="22"/>
        </w:rPr>
        <w:footnoteReference w:id="18"/>
      </w:r>
      <w:r w:rsidRPr="00AA5D70">
        <w:rPr>
          <w:snapToGrid w:val="0"/>
          <w:color w:val="000000"/>
          <w:kern w:val="22"/>
        </w:rPr>
        <w:t xml:space="preserve"> the Informal Advisory Committee on Capacity-building for the Implementation of the Nagoya Protocol</w:t>
      </w:r>
      <w:r w:rsidRPr="00AA5D70">
        <w:rPr>
          <w:rStyle w:val="FootnoteReference"/>
          <w:snapToGrid w:val="0"/>
          <w:color w:val="000000"/>
          <w:kern w:val="22"/>
        </w:rPr>
        <w:footnoteReference w:id="19"/>
      </w:r>
      <w:r w:rsidRPr="00AA5D70">
        <w:rPr>
          <w:snapToGrid w:val="0"/>
          <w:color w:val="000000"/>
          <w:kern w:val="22"/>
        </w:rPr>
        <w:t xml:space="preserve"> and consultation workshops of biodiversity-related conventions on the post-2020 global biodiversity framework</w:t>
      </w:r>
      <w:r w:rsidR="00CA6FB6" w:rsidRPr="00AA5D70">
        <w:rPr>
          <w:snapToGrid w:val="0"/>
          <w:color w:val="000000"/>
          <w:kern w:val="22"/>
        </w:rPr>
        <w:t>.</w:t>
      </w:r>
      <w:r w:rsidRPr="00AA5D70">
        <w:rPr>
          <w:rStyle w:val="FootnoteReference"/>
          <w:snapToGrid w:val="0"/>
          <w:color w:val="000000"/>
          <w:kern w:val="22"/>
        </w:rPr>
        <w:footnoteReference w:id="20"/>
      </w:r>
      <w:r w:rsidRPr="00AA5D70">
        <w:rPr>
          <w:snapToGrid w:val="0"/>
          <w:color w:val="000000"/>
          <w:kern w:val="22"/>
        </w:rPr>
        <w:t xml:space="preserve"> It also considers input provided during the thematic consultation on capacity-building and technical and scientific cooperation for the post-2020 global biodiversity framework held </w:t>
      </w:r>
      <w:r w:rsidR="007D1FC9" w:rsidRPr="00AA5D70">
        <w:rPr>
          <w:snapToGrid w:val="0"/>
          <w:color w:val="000000"/>
          <w:kern w:val="22"/>
        </w:rPr>
        <w:t xml:space="preserve">on </w:t>
      </w:r>
      <w:r w:rsidRPr="00AA5D70">
        <w:rPr>
          <w:snapToGrid w:val="0"/>
          <w:color w:val="000000"/>
          <w:kern w:val="22"/>
        </w:rPr>
        <w:t>1</w:t>
      </w:r>
      <w:r w:rsidR="006D4027" w:rsidRPr="00AA5D70">
        <w:rPr>
          <w:snapToGrid w:val="0"/>
          <w:color w:val="000000"/>
          <w:kern w:val="22"/>
        </w:rPr>
        <w:t> </w:t>
      </w:r>
      <w:r w:rsidR="007D1FC9" w:rsidRPr="00AA5D70">
        <w:rPr>
          <w:snapToGrid w:val="0"/>
          <w:color w:val="000000"/>
          <w:kern w:val="22"/>
        </w:rPr>
        <w:t>and</w:t>
      </w:r>
      <w:r w:rsidRPr="00AA5D70">
        <w:rPr>
          <w:snapToGrid w:val="0"/>
          <w:color w:val="000000" w:themeColor="text1"/>
          <w:kern w:val="22"/>
        </w:rPr>
        <w:t xml:space="preserve"> </w:t>
      </w:r>
      <w:r w:rsidRPr="00AA5D70">
        <w:rPr>
          <w:snapToGrid w:val="0"/>
          <w:color w:val="000000"/>
          <w:kern w:val="22"/>
        </w:rPr>
        <w:t xml:space="preserve">2 </w:t>
      </w:r>
      <w:r w:rsidRPr="00AA5D70">
        <w:rPr>
          <w:snapToGrid w:val="0"/>
          <w:kern w:val="22"/>
        </w:rPr>
        <w:t>March 2020 in Rome</w:t>
      </w:r>
      <w:r w:rsidR="00CA6FB6" w:rsidRPr="00AA5D70">
        <w:rPr>
          <w:snapToGrid w:val="0"/>
          <w:kern w:val="22"/>
        </w:rPr>
        <w:t>;</w:t>
      </w:r>
      <w:r w:rsidRPr="00AA5D70">
        <w:rPr>
          <w:rStyle w:val="FootnoteReference"/>
          <w:snapToGrid w:val="0"/>
          <w:kern w:val="22"/>
        </w:rPr>
        <w:footnoteReference w:id="21"/>
      </w:r>
      <w:r w:rsidRPr="00AA5D70">
        <w:rPr>
          <w:snapToGrid w:val="0"/>
          <w:kern w:val="22"/>
        </w:rPr>
        <w:t xml:space="preserve"> the online discussion forum held from 25 May to 5 June 2020</w:t>
      </w:r>
      <w:r w:rsidR="00CA6FB6" w:rsidRPr="00AA5D70">
        <w:rPr>
          <w:snapToGrid w:val="0"/>
          <w:kern w:val="22"/>
        </w:rPr>
        <w:t>;</w:t>
      </w:r>
      <w:r w:rsidRPr="00AA5D70">
        <w:rPr>
          <w:rStyle w:val="FootnoteReference"/>
          <w:snapToGrid w:val="0"/>
          <w:kern w:val="22"/>
        </w:rPr>
        <w:footnoteReference w:id="22"/>
      </w:r>
      <w:r w:rsidRPr="00AA5D70">
        <w:rPr>
          <w:snapToGrid w:val="0"/>
          <w:kern w:val="22"/>
        </w:rPr>
        <w:t xml:space="preserve"> and the </w:t>
      </w:r>
      <w:r w:rsidRPr="00AA5D70">
        <w:rPr>
          <w:snapToGrid w:val="0"/>
          <w:color w:val="000000"/>
          <w:kern w:val="22"/>
        </w:rPr>
        <w:t>submissions from Parties, other governments and relevant organizations</w:t>
      </w:r>
      <w:r w:rsidR="006D4027" w:rsidRPr="00AA5D70">
        <w:rPr>
          <w:snapToGrid w:val="0"/>
          <w:color w:val="000000"/>
          <w:kern w:val="22"/>
        </w:rPr>
        <w:t>.</w:t>
      </w:r>
      <w:r w:rsidRPr="00AA5D70">
        <w:rPr>
          <w:rStyle w:val="FootnoteReference"/>
          <w:snapToGrid w:val="0"/>
          <w:color w:val="000000"/>
          <w:kern w:val="22"/>
        </w:rPr>
        <w:footnoteReference w:id="23"/>
      </w:r>
    </w:p>
    <w:p w14:paraId="75EFCBF2" w14:textId="263BD037" w:rsidR="0067493D"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color w:val="000000"/>
          <w:kern w:val="22"/>
        </w:rPr>
        <w:t xml:space="preserve"> The </w:t>
      </w:r>
      <w:r w:rsidRPr="00AA5D70">
        <w:rPr>
          <w:color w:val="000000" w:themeColor="text1"/>
          <w:kern w:val="22"/>
        </w:rPr>
        <w:t xml:space="preserve">strategic </w:t>
      </w:r>
      <w:r w:rsidRPr="00AA5D70">
        <w:rPr>
          <w:color w:val="000000"/>
          <w:kern w:val="22"/>
        </w:rPr>
        <w:t xml:space="preserve">framework </w:t>
      </w:r>
      <w:r w:rsidRPr="00AA5D70">
        <w:rPr>
          <w:kern w:val="22"/>
        </w:rPr>
        <w:t xml:space="preserve">aims to guide the capacity development efforts of government and non-government actors in support of the implementation of the post-2020 global biodiversity framework. The </w:t>
      </w:r>
      <w:r w:rsidR="00943343" w:rsidRPr="00AA5D70">
        <w:rPr>
          <w:kern w:val="22"/>
        </w:rPr>
        <w:t xml:space="preserve">strategic </w:t>
      </w:r>
      <w:r w:rsidRPr="00AA5D70">
        <w:rPr>
          <w:kern w:val="22"/>
        </w:rPr>
        <w:t>framework describes the overall vision and theory of change for capacity development</w:t>
      </w:r>
      <w:r w:rsidR="00BA7020" w:rsidRPr="00AA5D70">
        <w:rPr>
          <w:kern w:val="22"/>
        </w:rPr>
        <w:t>,</w:t>
      </w:r>
      <w:r w:rsidRPr="00AA5D70">
        <w:rPr>
          <w:kern w:val="22"/>
        </w:rPr>
        <w:t xml:space="preserve"> along with examples of </w:t>
      </w:r>
      <w:r w:rsidR="00FE632A" w:rsidRPr="00AA5D70">
        <w:rPr>
          <w:kern w:val="22"/>
        </w:rPr>
        <w:t xml:space="preserve">the </w:t>
      </w:r>
      <w:r w:rsidR="004D3D9B" w:rsidRPr="00AA5D70">
        <w:rPr>
          <w:kern w:val="22"/>
        </w:rPr>
        <w:t xml:space="preserve">expected </w:t>
      </w:r>
      <w:r w:rsidRPr="00AA5D70">
        <w:rPr>
          <w:kern w:val="22"/>
        </w:rPr>
        <w:t>high-level capacity results</w:t>
      </w:r>
      <w:r w:rsidR="007A255E" w:rsidRPr="00AA5D70">
        <w:rPr>
          <w:kern w:val="22"/>
        </w:rPr>
        <w:t xml:space="preserve">. It also </w:t>
      </w:r>
      <w:r w:rsidRPr="00AA5D70">
        <w:rPr>
          <w:kern w:val="22"/>
        </w:rPr>
        <w:t>outlines the key guiding principles and success factors for effective capacity development</w:t>
      </w:r>
      <w:r w:rsidR="005C09DE" w:rsidRPr="00AA5D70">
        <w:rPr>
          <w:kern w:val="22"/>
        </w:rPr>
        <w:t>;</w:t>
      </w:r>
      <w:r w:rsidRPr="00AA5D70">
        <w:rPr>
          <w:kern w:val="22"/>
          <w:szCs w:val="22"/>
        </w:rPr>
        <w:t xml:space="preserve"> </w:t>
      </w:r>
      <w:r w:rsidRPr="00AA5D70">
        <w:rPr>
          <w:kern w:val="22"/>
        </w:rPr>
        <w:t>proposes key strategies for improving capacity development; and outlines key mechanisms to help put the proposed elements into action.</w:t>
      </w:r>
    </w:p>
    <w:p w14:paraId="620BE359" w14:textId="5451C667" w:rsidR="00077F14" w:rsidRPr="00AA5D70" w:rsidRDefault="0067493D"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Complementary to the strategic framework, an action plan on capacity</w:t>
      </w:r>
      <w:r w:rsidR="00B24407" w:rsidRPr="00AA5D70">
        <w:rPr>
          <w:kern w:val="22"/>
        </w:rPr>
        <w:t>-</w:t>
      </w:r>
      <w:r w:rsidRPr="00AA5D70">
        <w:rPr>
          <w:kern w:val="22"/>
        </w:rPr>
        <w:t>building for the Cartagena Protocol</w:t>
      </w:r>
      <w:r w:rsidR="00240C3D" w:rsidRPr="00AA5D70">
        <w:rPr>
          <w:kern w:val="22"/>
        </w:rPr>
        <w:t>, which</w:t>
      </w:r>
      <w:r w:rsidR="00D74677" w:rsidRPr="00AA5D70">
        <w:rPr>
          <w:kern w:val="22"/>
        </w:rPr>
        <w:t xml:space="preserve"> references </w:t>
      </w:r>
      <w:r w:rsidR="00C84D15" w:rsidRPr="00AA5D70">
        <w:rPr>
          <w:kern w:val="22"/>
        </w:rPr>
        <w:t xml:space="preserve">a number of the </w:t>
      </w:r>
      <w:r w:rsidR="00240C3D" w:rsidRPr="00AA5D70">
        <w:rPr>
          <w:kern w:val="22"/>
        </w:rPr>
        <w:t>general principles</w:t>
      </w:r>
      <w:r w:rsidR="002D5FB1" w:rsidRPr="00AA5D70">
        <w:rPr>
          <w:kern w:val="22"/>
        </w:rPr>
        <w:t>,</w:t>
      </w:r>
      <w:r w:rsidR="00240C3D" w:rsidRPr="00AA5D70">
        <w:rPr>
          <w:kern w:val="22"/>
        </w:rPr>
        <w:t xml:space="preserve"> approaches and strategies set out in the strategic framework,</w:t>
      </w:r>
      <w:r w:rsidRPr="00AA5D70">
        <w:rPr>
          <w:kern w:val="22"/>
        </w:rPr>
        <w:t xml:space="preserve"> has been developed in response to decision CP-</w:t>
      </w:r>
      <w:hyperlink r:id="rId21" w:history="1">
        <w:r w:rsidRPr="00AA5D70">
          <w:rPr>
            <w:rStyle w:val="Hyperlink"/>
            <w:kern w:val="22"/>
            <w:sz w:val="22"/>
          </w:rPr>
          <w:t>9/3</w:t>
        </w:r>
      </w:hyperlink>
      <w:r w:rsidRPr="00AA5D70">
        <w:rPr>
          <w:kern w:val="22"/>
        </w:rPr>
        <w:t>.</w:t>
      </w:r>
      <w:r w:rsidR="002A72FF" w:rsidRPr="00AA5D70">
        <w:rPr>
          <w:rStyle w:val="FootnoteReference"/>
          <w:kern w:val="22"/>
        </w:rPr>
        <w:footnoteReference w:id="24"/>
      </w:r>
    </w:p>
    <w:p w14:paraId="0F048775" w14:textId="7FBAAF1B" w:rsidR="004A3E7E" w:rsidRPr="00AA5D70" w:rsidRDefault="0067493D"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spacing w:val="-2"/>
          <w:kern w:val="22"/>
          <w:szCs w:val="22"/>
        </w:rPr>
        <w:t xml:space="preserve">While the discussion on the capacity-building action plan </w:t>
      </w:r>
      <w:r w:rsidR="00004551" w:rsidRPr="00AA5D70">
        <w:rPr>
          <w:spacing w:val="-2"/>
          <w:kern w:val="22"/>
          <w:szCs w:val="22"/>
        </w:rPr>
        <w:t xml:space="preserve">and implementation plan </w:t>
      </w:r>
      <w:r w:rsidR="003630EE" w:rsidRPr="00AA5D70">
        <w:rPr>
          <w:spacing w:val="-2"/>
          <w:kern w:val="22"/>
          <w:szCs w:val="22"/>
        </w:rPr>
        <w:t xml:space="preserve">for the Cartagena Protocol </w:t>
      </w:r>
      <w:r w:rsidR="003A530D" w:rsidRPr="00D16AC1">
        <w:rPr>
          <w:spacing w:val="-2"/>
          <w:kern w:val="22"/>
          <w:szCs w:val="22"/>
        </w:rPr>
        <w:t>is</w:t>
      </w:r>
      <w:r w:rsidR="00004551" w:rsidRPr="00AA5D70">
        <w:rPr>
          <w:spacing w:val="-2"/>
          <w:kern w:val="22"/>
          <w:szCs w:val="22"/>
        </w:rPr>
        <w:t xml:space="preserve"> </w:t>
      </w:r>
      <w:r w:rsidRPr="00AA5D70">
        <w:rPr>
          <w:spacing w:val="-2"/>
          <w:kern w:val="22"/>
          <w:szCs w:val="22"/>
        </w:rPr>
        <w:t>planned to take place under item 5 of the provisional agenda (</w:t>
      </w:r>
      <w:r w:rsidR="003A6F46" w:rsidRPr="00D16AC1">
        <w:rPr>
          <w:spacing w:val="-2"/>
          <w:kern w:val="22"/>
          <w:szCs w:val="22"/>
        </w:rPr>
        <w:t xml:space="preserve">see </w:t>
      </w:r>
      <w:hyperlink r:id="rId22" w:history="1">
        <w:r w:rsidRPr="00AA5D70">
          <w:rPr>
            <w:rStyle w:val="Hyperlink"/>
            <w:spacing w:val="-2"/>
            <w:kern w:val="22"/>
            <w:sz w:val="22"/>
            <w:szCs w:val="22"/>
          </w:rPr>
          <w:t>CBD/SBI/3/1/Add.1/Rev.2</w:t>
        </w:r>
      </w:hyperlink>
      <w:r w:rsidRPr="00AA5D70">
        <w:rPr>
          <w:spacing w:val="-2"/>
          <w:kern w:val="22"/>
          <w:szCs w:val="22"/>
        </w:rPr>
        <w:t xml:space="preserve">), the Subsidiary Body on Implementation may also wish to </w:t>
      </w:r>
      <w:r w:rsidR="00103E1C" w:rsidRPr="00AA5D70">
        <w:rPr>
          <w:spacing w:val="-2"/>
          <w:kern w:val="22"/>
          <w:szCs w:val="22"/>
        </w:rPr>
        <w:t xml:space="preserve">take </w:t>
      </w:r>
      <w:r w:rsidRPr="00AA5D70">
        <w:rPr>
          <w:spacing w:val="-2"/>
          <w:kern w:val="22"/>
          <w:szCs w:val="22"/>
        </w:rPr>
        <w:t xml:space="preserve">account of the capacity-building action plan </w:t>
      </w:r>
      <w:r w:rsidR="00DD22DB" w:rsidRPr="00AA5D70">
        <w:rPr>
          <w:spacing w:val="-2"/>
          <w:kern w:val="22"/>
          <w:szCs w:val="22"/>
        </w:rPr>
        <w:t xml:space="preserve">for the Protocol </w:t>
      </w:r>
      <w:r w:rsidRPr="00AA5D70">
        <w:rPr>
          <w:spacing w:val="-2"/>
          <w:kern w:val="22"/>
          <w:szCs w:val="22"/>
        </w:rPr>
        <w:t>under item 7.</w:t>
      </w:r>
    </w:p>
    <w:p w14:paraId="3BCD5691" w14:textId="4D04CF7F"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 xml:space="preserve">The Subsidiary Body on Implementation may wish to review and revise, as appropriate, the draft long-term strategic framework and the draft recommendations along the lines proposed in section </w:t>
      </w:r>
      <w:r w:rsidR="009C796D" w:rsidRPr="00AA5D70">
        <w:rPr>
          <w:kern w:val="22"/>
        </w:rPr>
        <w:t xml:space="preserve">V </w:t>
      </w:r>
      <w:r w:rsidRPr="00AA5D70">
        <w:rPr>
          <w:kern w:val="22"/>
        </w:rPr>
        <w:t>below and forward them for consideration by the Conference of the Parties at its fifteenth meeting.</w:t>
      </w:r>
    </w:p>
    <w:p w14:paraId="4F7EC1F4" w14:textId="2634832F" w:rsidR="004A3E7E" w:rsidRPr="00AA5D70" w:rsidRDefault="00E41066" w:rsidP="00AA5D70">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heme="majorBidi" w:hAnsiTheme="majorBidi" w:cstheme="majorBidi"/>
          <w:snapToGrid w:val="0"/>
          <w:kern w:val="22"/>
        </w:rPr>
      </w:pPr>
      <w:bookmarkStart w:id="13" w:name="_Toc57214884"/>
      <w:r w:rsidRPr="00AA5D70">
        <w:rPr>
          <w:rFonts w:asciiTheme="majorBidi" w:hAnsiTheme="majorBidi" w:cstheme="majorBidi"/>
          <w:snapToGrid w:val="0"/>
          <w:kern w:val="22"/>
        </w:rPr>
        <w:lastRenderedPageBreak/>
        <w:t>Technical and scientific cooperation and technology transfer</w:t>
      </w:r>
      <w:bookmarkEnd w:id="13"/>
      <w:r w:rsidRPr="00AA5D70">
        <w:rPr>
          <w:rFonts w:asciiTheme="majorBidi" w:hAnsiTheme="majorBidi" w:cstheme="majorBidi"/>
          <w:snapToGrid w:val="0"/>
          <w:kern w:val="22"/>
        </w:rPr>
        <w:t xml:space="preserve"> </w:t>
      </w:r>
    </w:p>
    <w:p w14:paraId="4CE3A035" w14:textId="61496B68" w:rsidR="004A3E7E" w:rsidRPr="00AA5D70" w:rsidRDefault="004A3E7E" w:rsidP="00AA5D70">
      <w:pPr>
        <w:pStyle w:val="Heading2"/>
        <w:numPr>
          <w:ilvl w:val="0"/>
          <w:numId w:val="53"/>
        </w:numPr>
        <w:suppressLineNumbers/>
        <w:tabs>
          <w:tab w:val="clear" w:pos="720"/>
        </w:tabs>
        <w:suppressAutoHyphens/>
        <w:kinsoku w:val="0"/>
        <w:overflowPunct w:val="0"/>
        <w:autoSpaceDE w:val="0"/>
        <w:autoSpaceDN w:val="0"/>
        <w:adjustRightInd w:val="0"/>
        <w:snapToGrid w:val="0"/>
        <w:ind w:left="714" w:hanging="357"/>
        <w:rPr>
          <w:rFonts w:asciiTheme="majorBidi" w:hAnsiTheme="majorBidi" w:cstheme="majorBidi"/>
          <w:snapToGrid w:val="0"/>
          <w:kern w:val="22"/>
        </w:rPr>
      </w:pPr>
      <w:bookmarkStart w:id="14" w:name="_Toc57214885"/>
      <w:bookmarkStart w:id="15" w:name="_Hlk57389678"/>
      <w:r w:rsidRPr="00AA5D70">
        <w:rPr>
          <w:rFonts w:asciiTheme="majorBidi" w:hAnsiTheme="majorBidi" w:cstheme="majorBidi"/>
          <w:snapToGrid w:val="0"/>
          <w:kern w:val="22"/>
        </w:rPr>
        <w:t>Progress report on technical and scientific cooperation and technology transfer</w:t>
      </w:r>
      <w:bookmarkStart w:id="16" w:name="_Toc57201904"/>
      <w:bookmarkEnd w:id="14"/>
      <w:bookmarkEnd w:id="16"/>
    </w:p>
    <w:bookmarkEnd w:id="15"/>
    <w:p w14:paraId="22B7747A" w14:textId="6535B988"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Pursuant to </w:t>
      </w:r>
      <w:r w:rsidRPr="00AA5D70">
        <w:rPr>
          <w:snapToGrid w:val="0"/>
          <w:kern w:val="22"/>
          <w:szCs w:val="22"/>
        </w:rPr>
        <w:t xml:space="preserve">decisions </w:t>
      </w:r>
      <w:hyperlink r:id="rId23" w:history="1">
        <w:r w:rsidRPr="00AA5D70">
          <w:rPr>
            <w:rStyle w:val="Hyperlink"/>
            <w:snapToGrid w:val="0"/>
            <w:kern w:val="22"/>
            <w:sz w:val="22"/>
            <w:szCs w:val="22"/>
          </w:rPr>
          <w:t>XI/29</w:t>
        </w:r>
      </w:hyperlink>
      <w:r w:rsidRPr="00AA5D70">
        <w:rPr>
          <w:snapToGrid w:val="0"/>
          <w:kern w:val="22"/>
          <w:szCs w:val="22"/>
        </w:rPr>
        <w:t xml:space="preserve">, </w:t>
      </w:r>
      <w:hyperlink r:id="rId24" w:history="1">
        <w:r w:rsidRPr="00AA5D70">
          <w:rPr>
            <w:rStyle w:val="Hyperlink"/>
            <w:snapToGrid w:val="0"/>
            <w:kern w:val="22"/>
            <w:sz w:val="22"/>
            <w:szCs w:val="22"/>
          </w:rPr>
          <w:t>XII/2</w:t>
        </w:r>
      </w:hyperlink>
      <w:r w:rsidRPr="00AA5D70">
        <w:rPr>
          <w:snapToGrid w:val="0"/>
          <w:kern w:val="22"/>
          <w:szCs w:val="22"/>
        </w:rPr>
        <w:t xml:space="preserve"> B,</w:t>
      </w:r>
      <w:r w:rsidRPr="00AA5D70">
        <w:rPr>
          <w:snapToGrid w:val="0"/>
          <w:kern w:val="22"/>
        </w:rPr>
        <w:t xml:space="preserve"> XIII/23 B and 14/24 of the Conference of the Parties, the Executive Secretary has, in collaboration with partners, undertaken activities to support and facilitate technical and scientific cooperation and technology transfer under the Convention. The activities have been implemented through various partnerships, programmes and initiatives, including GTI, the Bio-Bridge Initiative (BBI), FERI, the Sustainable Ocean Initiative (SOI), the Global Partnership for Plant Conservation, the </w:t>
      </w:r>
      <w:r w:rsidRPr="00AA5D70">
        <w:rPr>
          <w:snapToGrid w:val="0"/>
          <w:kern w:val="22"/>
          <w:szCs w:val="22"/>
        </w:rPr>
        <w:t>Collaborative Partnership on Sustainable Wildlife Management,</w:t>
      </w:r>
      <w:r w:rsidRPr="00AA5D70">
        <w:rPr>
          <w:snapToGrid w:val="0"/>
          <w:kern w:val="22"/>
        </w:rPr>
        <w:t xml:space="preserve"> and the Inter-agency Liaison Group on Invasive Alien Species.</w:t>
      </w:r>
      <w:r w:rsidR="006135FE" w:rsidRPr="00AA5D70">
        <w:rPr>
          <w:rStyle w:val="FootnoteReference"/>
          <w:snapToGrid w:val="0"/>
          <w:kern w:val="22"/>
        </w:rPr>
        <w:footnoteReference w:id="25"/>
      </w:r>
    </w:p>
    <w:p w14:paraId="72FC227E" w14:textId="62FB9326" w:rsidR="00555F79" w:rsidRPr="00AA5D70" w:rsidRDefault="00B2222C"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D16AC1">
        <w:rPr>
          <w:snapToGrid w:val="0"/>
          <w:kern w:val="22"/>
        </w:rPr>
        <w:t>GTI</w:t>
      </w:r>
      <w:r w:rsidR="00555F79" w:rsidRPr="00AA5D70">
        <w:rPr>
          <w:snapToGrid w:val="0"/>
          <w:kern w:val="22"/>
        </w:rPr>
        <w:t xml:space="preserve"> </w:t>
      </w:r>
      <w:r w:rsidR="00130961" w:rsidRPr="00AA5D70">
        <w:rPr>
          <w:snapToGrid w:val="0"/>
          <w:kern w:val="22"/>
        </w:rPr>
        <w:t xml:space="preserve">has </w:t>
      </w:r>
      <w:r w:rsidR="00555F79" w:rsidRPr="00AA5D70">
        <w:rPr>
          <w:snapToGrid w:val="0"/>
          <w:kern w:val="22"/>
        </w:rPr>
        <w:t xml:space="preserve">provided a collaborative forum among taxonomic institutions in line with decision XI/29. The activities have been largely undertaken by partner institutions, </w:t>
      </w:r>
      <w:r w:rsidR="00E3524F" w:rsidRPr="00D16AC1">
        <w:rPr>
          <w:snapToGrid w:val="0"/>
          <w:kern w:val="22"/>
        </w:rPr>
        <w:t>such as</w:t>
      </w:r>
      <w:r w:rsidR="00555F79" w:rsidRPr="00AA5D70">
        <w:rPr>
          <w:snapToGrid w:val="0"/>
          <w:kern w:val="22"/>
        </w:rPr>
        <w:t xml:space="preserve"> the Global Biodiversity Information Facility (GBIF), the International Barcode of Life Consortium, the Consortium of European Taxonomic Facilities, national museums, botanical gardens and culture collections. The numerous international projects contributed to discovery of biodiversity, advanced education for young taxonomists, databasing and data-sharing</w:t>
      </w:r>
      <w:r w:rsidR="00DD44A3" w:rsidRPr="00AA5D70">
        <w:rPr>
          <w:snapToGrid w:val="0"/>
          <w:kern w:val="22"/>
        </w:rPr>
        <w:t>,</w:t>
      </w:r>
      <w:r w:rsidR="00555F79" w:rsidRPr="00AA5D70">
        <w:rPr>
          <w:snapToGrid w:val="0"/>
          <w:kern w:val="22"/>
        </w:rPr>
        <w:t xml:space="preserve"> and engagement of regulatory bodies and regional organizations to apply advanced technologies in taxonomy. Their technical and scientific products include</w:t>
      </w:r>
      <w:r w:rsidR="00BF5994" w:rsidRPr="00D16AC1">
        <w:rPr>
          <w:snapToGrid w:val="0"/>
          <w:kern w:val="22"/>
        </w:rPr>
        <w:t>:</w:t>
      </w:r>
      <w:r w:rsidR="00555F79" w:rsidRPr="00AA5D70">
        <w:rPr>
          <w:snapToGrid w:val="0"/>
          <w:kern w:val="22"/>
        </w:rPr>
        <w:t xml:space="preserve"> (a)</w:t>
      </w:r>
      <w:r w:rsidR="008D0688" w:rsidRPr="00AA5D70">
        <w:rPr>
          <w:snapToGrid w:val="0"/>
          <w:kern w:val="22"/>
        </w:rPr>
        <w:t> </w:t>
      </w:r>
      <w:r w:rsidR="00555F79" w:rsidRPr="00AA5D70">
        <w:rPr>
          <w:snapToGrid w:val="0"/>
          <w:kern w:val="22"/>
        </w:rPr>
        <w:t>documentation on biodiversity and specimen collections; (b) digital libraries</w:t>
      </w:r>
      <w:r w:rsidR="00555F79" w:rsidRPr="00AA5D70">
        <w:rPr>
          <w:rStyle w:val="FootnoteReference"/>
          <w:snapToGrid w:val="0"/>
          <w:kern w:val="22"/>
        </w:rPr>
        <w:footnoteReference w:id="26"/>
      </w:r>
      <w:r w:rsidR="00555F79" w:rsidRPr="00AA5D70">
        <w:rPr>
          <w:snapToGrid w:val="0"/>
          <w:kern w:val="22"/>
        </w:rPr>
        <w:t xml:space="preserve"> in taxonomy; and (c)</w:t>
      </w:r>
      <w:r w:rsidR="008D0688" w:rsidRPr="00AA5D70">
        <w:rPr>
          <w:snapToGrid w:val="0"/>
          <w:kern w:val="22"/>
        </w:rPr>
        <w:t> </w:t>
      </w:r>
      <w:r w:rsidR="00555F79" w:rsidRPr="00AA5D70">
        <w:rPr>
          <w:snapToGrid w:val="0"/>
          <w:kern w:val="22"/>
        </w:rPr>
        <w:t>technical guidance for access and benefit-sharing.</w:t>
      </w:r>
      <w:r w:rsidR="00555F79" w:rsidRPr="00AA5D70">
        <w:rPr>
          <w:rStyle w:val="FootnoteReference"/>
          <w:snapToGrid w:val="0"/>
          <w:kern w:val="22"/>
        </w:rPr>
        <w:footnoteReference w:id="27"/>
      </w:r>
      <w:r w:rsidR="00555F79" w:rsidRPr="00AA5D70">
        <w:rPr>
          <w:snapToGrid w:val="0"/>
          <w:kern w:val="22"/>
        </w:rPr>
        <w:t xml:space="preserve"> The products further contributed to advancing taxonomic studies, development of biodiversity field guide</w:t>
      </w:r>
      <w:r w:rsidR="00DD44A3" w:rsidRPr="00AA5D70">
        <w:rPr>
          <w:snapToGrid w:val="0"/>
          <w:kern w:val="22"/>
        </w:rPr>
        <w:t>s</w:t>
      </w:r>
      <w:r w:rsidR="00555F79" w:rsidRPr="00AA5D70">
        <w:rPr>
          <w:snapToGrid w:val="0"/>
          <w:kern w:val="22"/>
        </w:rPr>
        <w:t xml:space="preserve"> and the strong participation of citizen scientists in monitoring and recording of biodiversity at the local level.</w:t>
      </w:r>
      <w:r w:rsidR="00555F79" w:rsidRPr="00AA5D70">
        <w:rPr>
          <w:rStyle w:val="FootnoteReference"/>
          <w:snapToGrid w:val="0"/>
          <w:kern w:val="22"/>
        </w:rPr>
        <w:footnoteReference w:id="28"/>
      </w:r>
    </w:p>
    <w:p w14:paraId="4DC42220" w14:textId="68490599"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Since the last meeting of the Conference of the Parties, held in November 2018, BBI has launched and successfully completed ten new demonstration projects, in Benin, Brazil, Liberia, </w:t>
      </w:r>
      <w:r w:rsidR="00FF5248" w:rsidRPr="00D16AC1">
        <w:rPr>
          <w:snapToGrid w:val="0"/>
          <w:kern w:val="22"/>
        </w:rPr>
        <w:t xml:space="preserve">the </w:t>
      </w:r>
      <w:r w:rsidRPr="00AA5D70">
        <w:rPr>
          <w:snapToGrid w:val="0"/>
          <w:kern w:val="22"/>
        </w:rPr>
        <w:t>Republic of Moldova, Namibia, Senegal, Singapore, South Africa, Sri Lanka and Thailand.</w:t>
      </w:r>
      <w:r w:rsidRPr="00AA5D70">
        <w:rPr>
          <w:rStyle w:val="FootnoteReference"/>
          <w:snapToGrid w:val="0"/>
          <w:kern w:val="22"/>
        </w:rPr>
        <w:footnoteReference w:id="29"/>
      </w:r>
      <w:r w:rsidRPr="00AA5D70">
        <w:rPr>
          <w:snapToGrid w:val="0"/>
          <w:kern w:val="22"/>
        </w:rPr>
        <w:t xml:space="preserve"> Following a call for proposals for the third round of BBI demonstration projects issued in June 2020,</w:t>
      </w:r>
      <w:r w:rsidRPr="00AA5D70">
        <w:rPr>
          <w:rStyle w:val="FootnoteReference"/>
          <w:snapToGrid w:val="0"/>
          <w:kern w:val="22"/>
        </w:rPr>
        <w:footnoteReference w:id="30"/>
      </w:r>
      <w:r w:rsidRPr="00AA5D70">
        <w:rPr>
          <w:snapToGrid w:val="0"/>
          <w:kern w:val="22"/>
        </w:rPr>
        <w:t xml:space="preserve"> a total of 99 proposals were received and evaluated, and</w:t>
      </w:r>
      <w:r w:rsidR="00A25494" w:rsidRPr="00D16AC1">
        <w:rPr>
          <w:snapToGrid w:val="0"/>
          <w:kern w:val="22"/>
        </w:rPr>
        <w:t>,</w:t>
      </w:r>
      <w:r w:rsidRPr="00AA5D70">
        <w:rPr>
          <w:snapToGrid w:val="0"/>
          <w:kern w:val="22"/>
        </w:rPr>
        <w:t xml:space="preserve"> out of these</w:t>
      </w:r>
      <w:r w:rsidR="00A25494" w:rsidRPr="00D16AC1">
        <w:rPr>
          <w:snapToGrid w:val="0"/>
          <w:kern w:val="22"/>
        </w:rPr>
        <w:t>,</w:t>
      </w:r>
      <w:r w:rsidRPr="00AA5D70">
        <w:rPr>
          <w:snapToGrid w:val="0"/>
          <w:kern w:val="22"/>
        </w:rPr>
        <w:t xml:space="preserve"> another 15 projects will be supported.</w:t>
      </w:r>
    </w:p>
    <w:p w14:paraId="785E0442" w14:textId="77777777"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t>The Secretariat has updated the BBI web-based matchmaking platform and provided help desk services to support Parties having identified technical and scientific cooperation needs. To date, 48 entities from 21 countries are registered as providers of technical assistance on the platform, and 160 opportunities (including grants, fellowships or training opportunities) have been publicized.</w:t>
      </w:r>
    </w:p>
    <w:p w14:paraId="49D641A0" w14:textId="2893516A"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The Secretariat has also continued to support the Consortium of Scientific Partners on Biodiversity (CSP) to implement its programme of work. It notably helped CSP organize its general meeting and host two side-events in the margins of the twenty-third meeting of the Subsidiary Body on Scientific, Technical and Technological Advice</w:t>
      </w:r>
      <w:r w:rsidR="005D00A0" w:rsidRPr="00D16AC1">
        <w:rPr>
          <w:snapToGrid w:val="0"/>
          <w:kern w:val="22"/>
        </w:rPr>
        <w:t>,</w:t>
      </w:r>
      <w:r w:rsidRPr="00AA5D70">
        <w:rPr>
          <w:snapToGrid w:val="0"/>
          <w:kern w:val="22"/>
        </w:rPr>
        <w:t xml:space="preserve"> in November 2019. Furthermore, the Secretariat has continued to provide support to interested institutions in joining CSP as members. One institution, the National Institute of Biodiversity of Ecuador, joined the </w:t>
      </w:r>
      <w:r w:rsidR="001745E8" w:rsidRPr="00AA5D70">
        <w:rPr>
          <w:snapToGrid w:val="0"/>
          <w:kern w:val="22"/>
        </w:rPr>
        <w:t>CSP</w:t>
      </w:r>
      <w:r w:rsidRPr="00AA5D70">
        <w:rPr>
          <w:snapToGrid w:val="0"/>
          <w:kern w:val="22"/>
        </w:rPr>
        <w:t>, while five are in the process of doing so.</w:t>
      </w:r>
    </w:p>
    <w:p w14:paraId="3BA07576" w14:textId="5697A6E6"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The Secretariat is facilitating preparations for the fifth science-policy forum for biodiversity to be held back-to-back with </w:t>
      </w:r>
      <w:bookmarkStart w:id="17" w:name="_Hlk55326208"/>
      <w:r w:rsidRPr="00AA5D70">
        <w:rPr>
          <w:snapToGrid w:val="0"/>
          <w:kern w:val="22"/>
        </w:rPr>
        <w:t>the fifteenth meeting of the Conference of the Parties</w:t>
      </w:r>
      <w:bookmarkEnd w:id="17"/>
      <w:r w:rsidRPr="00AA5D70">
        <w:rPr>
          <w:snapToGrid w:val="0"/>
          <w:kern w:val="22"/>
        </w:rPr>
        <w:t xml:space="preserve"> under the theme of the role of science, technology and innovation in stemming the loss of biodiversity and contributing to the achievement of the 2050 Vision of Living in Harmony with Nature.</w:t>
      </w:r>
      <w:r w:rsidRPr="00AA5D70">
        <w:rPr>
          <w:rStyle w:val="FootnoteReference"/>
          <w:snapToGrid w:val="0"/>
          <w:kern w:val="22"/>
        </w:rPr>
        <w:footnoteReference w:id="31"/>
      </w:r>
    </w:p>
    <w:p w14:paraId="15C6FDA5" w14:textId="2A3A310E"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lastRenderedPageBreak/>
        <w:t>Building on the success of the Biodiversity Innovation and Solutions Fair,</w:t>
      </w:r>
      <w:r w:rsidRPr="00AA5D70">
        <w:rPr>
          <w:rStyle w:val="FootnoteReference"/>
          <w:snapToGrid w:val="0"/>
          <w:kern w:val="22"/>
        </w:rPr>
        <w:footnoteReference w:id="32"/>
      </w:r>
      <w:r w:rsidRPr="00AA5D70">
        <w:rPr>
          <w:snapToGrid w:val="0"/>
          <w:kern w:val="22"/>
        </w:rPr>
        <w:t xml:space="preserve"> which was held back-to-back with the fourteenth meeting of the Conference of the Parties, the Secretariat is working towards the organization of a Biodiversity Technology and Innovation Expo to take place during the fifteenth meeting of the Conference of the Parties. The Expo is designed to provide a platform to showcase state-of-the-art technologies and innovative solutions relevant for the conservation and sustainable use of biodiversity, including indigenous and traditional technologies, and to highlight opportunities offered by technology and innovation in support of the post-2020 global biodiversity framework. In addition, the Secretariat </w:t>
      </w:r>
      <w:bookmarkStart w:id="18" w:name="_Hlk54787958"/>
      <w:r w:rsidRPr="00AA5D70">
        <w:rPr>
          <w:snapToGrid w:val="0"/>
          <w:kern w:val="22"/>
        </w:rPr>
        <w:t>is revamping the “Database on Scientific and Technological Cooperation and Technology Transfer”</w:t>
      </w:r>
      <w:r w:rsidRPr="00AA5D70">
        <w:rPr>
          <w:rStyle w:val="FootnoteReference"/>
          <w:snapToGrid w:val="0"/>
          <w:kern w:val="22"/>
        </w:rPr>
        <w:footnoteReference w:id="33"/>
      </w:r>
      <w:r w:rsidRPr="00AA5D70">
        <w:rPr>
          <w:snapToGrid w:val="0"/>
          <w:kern w:val="22"/>
        </w:rPr>
        <w:t xml:space="preserve"> to include the latest biodiversity-related technologies and make it more interactive and user-friendly.</w:t>
      </w:r>
      <w:bookmarkEnd w:id="18"/>
    </w:p>
    <w:p w14:paraId="0DFD6B40" w14:textId="64DD1C25" w:rsidR="00555F79" w:rsidRPr="00AA5D70" w:rsidRDefault="008704F1"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spacing w:val="-1"/>
          <w:kern w:val="22"/>
        </w:rPr>
      </w:pPr>
      <w:r w:rsidRPr="00AA5D70">
        <w:rPr>
          <w:snapToGrid w:val="0"/>
          <w:spacing w:val="-1"/>
          <w:kern w:val="22"/>
        </w:rPr>
        <w:t>FERI</w:t>
      </w:r>
      <w:r w:rsidR="00555F79" w:rsidRPr="00AA5D70">
        <w:rPr>
          <w:snapToGrid w:val="0"/>
          <w:spacing w:val="-1"/>
          <w:kern w:val="22"/>
        </w:rPr>
        <w:t xml:space="preserve"> has </w:t>
      </w:r>
      <w:r w:rsidR="00555F79" w:rsidRPr="00AA5D70">
        <w:rPr>
          <w:snapToGrid w:val="0"/>
          <w:spacing w:val="-1"/>
          <w:kern w:val="22"/>
          <w:szCs w:val="22"/>
        </w:rPr>
        <w:t xml:space="preserve">provided financial and technical support </w:t>
      </w:r>
      <w:r w:rsidR="00FA510A" w:rsidRPr="00AA5D70">
        <w:rPr>
          <w:snapToGrid w:val="0"/>
          <w:spacing w:val="-1"/>
          <w:kern w:val="22"/>
          <w:szCs w:val="22"/>
        </w:rPr>
        <w:t xml:space="preserve">for </w:t>
      </w:r>
      <w:r w:rsidR="00555F79" w:rsidRPr="00AA5D70">
        <w:rPr>
          <w:snapToGrid w:val="0"/>
          <w:spacing w:val="-1"/>
          <w:kern w:val="22"/>
          <w:szCs w:val="22"/>
        </w:rPr>
        <w:t>at least 12 pilot restoration projects that test a variety of innovative restoration techniques</w:t>
      </w:r>
      <w:r w:rsidR="00555F79" w:rsidRPr="00AA5D70">
        <w:rPr>
          <w:snapToGrid w:val="0"/>
          <w:spacing w:val="-1"/>
          <w:kern w:val="22"/>
          <w:szCs w:val="22"/>
          <w:lang w:eastAsia="en-CA"/>
        </w:rPr>
        <w:t xml:space="preserve"> and has facilitated exchange of information on ecosystem restoration guidance and tools, </w:t>
      </w:r>
      <w:r w:rsidR="00555F79" w:rsidRPr="00AA5D70">
        <w:rPr>
          <w:snapToGrid w:val="0"/>
          <w:spacing w:val="-1"/>
          <w:kern w:val="22"/>
          <w:szCs w:val="22"/>
        </w:rPr>
        <w:t xml:space="preserve">solutions, and lessons learned. </w:t>
      </w:r>
      <w:r w:rsidR="005803D4" w:rsidRPr="00AA5D70">
        <w:rPr>
          <w:snapToGrid w:val="0"/>
          <w:spacing w:val="-1"/>
          <w:kern w:val="22"/>
          <w:szCs w:val="22"/>
        </w:rPr>
        <w:t>In addition</w:t>
      </w:r>
      <w:r w:rsidR="00555F79" w:rsidRPr="00AA5D70">
        <w:rPr>
          <w:snapToGrid w:val="0"/>
          <w:spacing w:val="-1"/>
          <w:kern w:val="22"/>
          <w:szCs w:val="22"/>
        </w:rPr>
        <w:t xml:space="preserve">, the Initiative has supported </w:t>
      </w:r>
      <w:r w:rsidR="00555F79" w:rsidRPr="00AA5D70">
        <w:rPr>
          <w:snapToGrid w:val="0"/>
          <w:spacing w:val="-1"/>
          <w:kern w:val="22"/>
        </w:rPr>
        <w:t>events bringing together Parties and stakeholders to, inter alia, exchange experiences and identify common challenges and solutions on the development and implementation of national plans for ecosystem restoration.</w:t>
      </w:r>
      <w:r w:rsidR="00555F79" w:rsidRPr="00AA5D70">
        <w:rPr>
          <w:rStyle w:val="FootnoteReference"/>
          <w:snapToGrid w:val="0"/>
          <w:spacing w:val="-1"/>
          <w:kern w:val="22"/>
        </w:rPr>
        <w:footnoteReference w:id="34"/>
      </w:r>
    </w:p>
    <w:p w14:paraId="4E083497" w14:textId="375F23B1"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The Sustainable Ocean Initiative (SOI) brings together a wide range of partners to share and build on their experiences, knowledge and resources to achieve common goals. Among the recent achievements, the second meeting of the SOI Global Dialogue was convened in 2018 with a view to identifying opportunities to improve regional-scale cooperation urgently needed to accelerate national efforts to achieve the Aichi Biodiversity Targets and the Sustainable Development Goals. The resulting “Seoul Outcome +2” identifies practical ways forward for cross-sectoral collaboration at the regional scale, including the development of regional dialogues/partnership initiatives.</w:t>
      </w:r>
      <w:r w:rsidRPr="00AA5D70">
        <w:rPr>
          <w:rStyle w:val="FootnoteReference"/>
          <w:snapToGrid w:val="0"/>
          <w:kern w:val="22"/>
        </w:rPr>
        <w:footnoteReference w:id="35"/>
      </w:r>
    </w:p>
    <w:p w14:paraId="2BD6637E" w14:textId="57E8FE7D"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The Global Partnership for Plant Conservation, which brings together various international, regional and national plant and conservation organizations to facilitate and promote implementation and monitoring of the Global Strategy for Plant Conservation, has fostered networks and partnerships at national and global levels and resulted in the development of a broad-based, multi-stakeholder, united community, committed to ensuring the conservation and sustainable use of plant diversity.</w:t>
      </w:r>
      <w:r w:rsidRPr="00AA5D70">
        <w:rPr>
          <w:rStyle w:val="FootnoteReference"/>
          <w:snapToGrid w:val="0"/>
          <w:kern w:val="22"/>
        </w:rPr>
        <w:footnoteReference w:id="36"/>
      </w:r>
    </w:p>
    <w:p w14:paraId="5AB39C0F" w14:textId="34BDAE69"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szCs w:val="22"/>
        </w:rPr>
        <w:t>The Collaborative Partnership on Sustainable Wildlife Management has facilitated cooperation and coordination among its members to address wildlife management issues and promote the sustainable use and conservation of wildlife resources.</w:t>
      </w:r>
      <w:r w:rsidRPr="00AA5D70">
        <w:rPr>
          <w:rStyle w:val="FootnoteReference"/>
          <w:snapToGrid w:val="0"/>
          <w:kern w:val="22"/>
          <w:szCs w:val="22"/>
        </w:rPr>
        <w:footnoteReference w:id="37"/>
      </w:r>
    </w:p>
    <w:p w14:paraId="3776C9A3" w14:textId="77777777"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The Inter-agency Liaison Group on Invasive Alien Species seeks to facilitate cooperation among relevant organizations to support measures to prevent the introduction and mitigate the impacts of invasive alien species. Among its other activities, the Group co-organized an online discussion forum on the development of invasive alien species management tools and guidance in November 2019.</w:t>
      </w:r>
      <w:r w:rsidRPr="00AA5D70">
        <w:rPr>
          <w:rStyle w:val="FootnoteReference"/>
          <w:snapToGrid w:val="0"/>
          <w:kern w:val="22"/>
        </w:rPr>
        <w:footnoteReference w:id="38"/>
      </w:r>
    </w:p>
    <w:p w14:paraId="31E713A3" w14:textId="6BD8B906" w:rsidR="00555F79" w:rsidRPr="00AA5D70" w:rsidRDefault="00555F79"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Some of the main observations and lessons learned regarding technical and scientific cooperation and technology transfer </w:t>
      </w:r>
      <w:r w:rsidR="00AF34D2" w:rsidRPr="00D16AC1">
        <w:rPr>
          <w:snapToGrid w:val="0"/>
          <w:kern w:val="22"/>
        </w:rPr>
        <w:t>are</w:t>
      </w:r>
      <w:r w:rsidR="00AF34D2" w:rsidRPr="00AA5D70">
        <w:rPr>
          <w:snapToGrid w:val="0"/>
          <w:kern w:val="22"/>
        </w:rPr>
        <w:t xml:space="preserve"> </w:t>
      </w:r>
      <w:r w:rsidRPr="00AA5D70">
        <w:rPr>
          <w:snapToGrid w:val="0"/>
          <w:kern w:val="22"/>
        </w:rPr>
        <w:t>the following:</w:t>
      </w:r>
    </w:p>
    <w:p w14:paraId="08E911CF" w14:textId="743F14EF" w:rsidR="00555F79" w:rsidRPr="00AA5D70" w:rsidRDefault="00555F79"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t>There is a high demand for opportunities to engage in biodiversity-related cooperation, including sharing of expertise and technical resources, collaborative initiatives for the development of and access to technologies, joint research and opportunities for mutual learning, as demonstrated by the number of Parties and organizations that have engaged with the initiatives highlighted above;</w:t>
      </w:r>
    </w:p>
    <w:p w14:paraId="705CF183" w14:textId="33131B79" w:rsidR="00555F79" w:rsidRPr="00AA5D70" w:rsidRDefault="00555F79" w:rsidP="00AA5D70">
      <w:pPr>
        <w:numPr>
          <w:ilvl w:val="1"/>
          <w:numId w:val="49"/>
        </w:numPr>
        <w:suppressLineNumbers/>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lastRenderedPageBreak/>
        <w:t>There are opportunities for mutual learning and coordinated action among Parties within the same region or with similar ecosystems and environmental characteristics through South-South cooperation;</w:t>
      </w:r>
    </w:p>
    <w:p w14:paraId="38AA1B16" w14:textId="70A87810" w:rsidR="00555F79" w:rsidRPr="00AA5D70" w:rsidRDefault="00555F79"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t xml:space="preserve"> Reliance </w:t>
      </w:r>
      <w:r w:rsidR="008440E7" w:rsidRPr="00D16AC1">
        <w:rPr>
          <w:snapToGrid w:val="0"/>
          <w:kern w:val="22"/>
        </w:rPr>
        <w:t xml:space="preserve">solely </w:t>
      </w:r>
      <w:r w:rsidRPr="00AA5D70">
        <w:rPr>
          <w:snapToGrid w:val="0"/>
          <w:kern w:val="22"/>
        </w:rPr>
        <w:t>on databases to collect and communicate the needs of Parties on the one hand, and opportunities and/or existing technologies to meet those needs on the other is not sufficient to catalyse and facilitate technical cooperation and technology transfer. Interventions to facilitate the liaison between</w:t>
      </w:r>
      <w:r w:rsidRPr="00AA5D70" w:rsidDel="00A57844">
        <w:rPr>
          <w:snapToGrid w:val="0"/>
          <w:kern w:val="22"/>
        </w:rPr>
        <w:t xml:space="preserve"> </w:t>
      </w:r>
      <w:r w:rsidRPr="00AA5D70">
        <w:rPr>
          <w:snapToGrid w:val="0"/>
          <w:kern w:val="22"/>
        </w:rPr>
        <w:t>Parties and stakeholders that have needs with those that can offer assistance is often required. Matchmaking continues to be a key modality for facilitating technical and scientific cooperation;</w:t>
      </w:r>
    </w:p>
    <w:p w14:paraId="70DDF56E" w14:textId="0A12F45A" w:rsidR="00555F79" w:rsidRPr="00AA5D70" w:rsidRDefault="00555F79"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t>The current approach to technical and scientific cooperation has</w:t>
      </w:r>
      <w:r w:rsidRPr="00AA5D70" w:rsidDel="00B12399">
        <w:rPr>
          <w:snapToGrid w:val="0"/>
          <w:kern w:val="22"/>
        </w:rPr>
        <w:t xml:space="preserve"> assumed</w:t>
      </w:r>
      <w:r w:rsidRPr="00AA5D70">
        <w:rPr>
          <w:snapToGrid w:val="0"/>
          <w:kern w:val="22"/>
        </w:rPr>
        <w:t xml:space="preserve"> that relevant partners would be in a position</w:t>
      </w:r>
      <w:r w:rsidRPr="00AA5D70" w:rsidDel="00B12399">
        <w:rPr>
          <w:snapToGrid w:val="0"/>
          <w:kern w:val="22"/>
        </w:rPr>
        <w:t xml:space="preserve"> to offer technical assistance </w:t>
      </w:r>
      <w:r w:rsidRPr="00AA5D70">
        <w:rPr>
          <w:snapToGrid w:val="0"/>
          <w:kern w:val="22"/>
        </w:rPr>
        <w:t>to Parties with their own resources. However, finding Parties or organizations able to do so on such terms has proven challenging without supplementary financial resources to enable them to cover at least the operational costs, such as travel and accommodation;</w:t>
      </w:r>
    </w:p>
    <w:p w14:paraId="0E1D6005" w14:textId="1434E1F6" w:rsidR="00555F79" w:rsidRPr="00AA5D70" w:rsidRDefault="00555F79" w:rsidP="00AA5D70">
      <w:pPr>
        <w:pStyle w:val="ListParagraph"/>
        <w:numPr>
          <w:ilvl w:val="1"/>
          <w:numId w:val="49"/>
        </w:numPr>
        <w:suppressLineNumbers/>
        <w:suppressAutoHyphens/>
        <w:kinsoku w:val="0"/>
        <w:overflowPunct w:val="0"/>
        <w:autoSpaceDE w:val="0"/>
        <w:autoSpaceDN w:val="0"/>
        <w:adjustRightInd w:val="0"/>
        <w:snapToGrid w:val="0"/>
        <w:spacing w:before="120" w:after="120"/>
        <w:contextualSpacing w:val="0"/>
        <w:rPr>
          <w:snapToGrid w:val="0"/>
          <w:kern w:val="22"/>
        </w:rPr>
      </w:pPr>
      <w:r w:rsidRPr="00AA5D70">
        <w:rPr>
          <w:snapToGrid w:val="0"/>
          <w:kern w:val="22"/>
        </w:rPr>
        <w:t>Facilitation of technical and scientific cooperation requires a strong and explicit mandate from the Conference of the Parties to broaden the ownership of initiatives and enable resource mobilization, and an effective governance mechanism to provide strategic vision and guidance, as well as a corresponding commitment in terms of financial and human resources commensurate to the demands from Parties;</w:t>
      </w:r>
    </w:p>
    <w:p w14:paraId="17F95864" w14:textId="1F63BB4E" w:rsidR="00555F79" w:rsidRPr="00AA5D70" w:rsidRDefault="00555F79" w:rsidP="00AA5D70">
      <w:pPr>
        <w:numPr>
          <w:ilvl w:val="1"/>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Past technical and scientific cooperation initiatives under the Secretariat have been small and short-term, limiting their ability to leverage additional resources and deliver greater and sustainable results. This has also made it difficult to adopt a long-term programmatic approach to address identified needs and gaps through multi-stakeholder partnerships.</w:t>
      </w:r>
    </w:p>
    <w:p w14:paraId="6A9FA283" w14:textId="77777777" w:rsidR="004A3E7E" w:rsidRPr="00AA5D70" w:rsidRDefault="004A3E7E" w:rsidP="00AA5D70">
      <w:pPr>
        <w:pStyle w:val="Heading2"/>
        <w:numPr>
          <w:ilvl w:val="0"/>
          <w:numId w:val="53"/>
        </w:numPr>
        <w:suppressLineNumbers/>
        <w:tabs>
          <w:tab w:val="clear" w:pos="720"/>
        </w:tabs>
        <w:suppressAutoHyphens/>
        <w:kinsoku w:val="0"/>
        <w:overflowPunct w:val="0"/>
        <w:autoSpaceDE w:val="0"/>
        <w:autoSpaceDN w:val="0"/>
        <w:adjustRightInd w:val="0"/>
        <w:snapToGrid w:val="0"/>
        <w:ind w:left="964" w:hanging="397"/>
        <w:jc w:val="left"/>
        <w:rPr>
          <w:snapToGrid w:val="0"/>
          <w:kern w:val="22"/>
        </w:rPr>
      </w:pPr>
      <w:bookmarkStart w:id="19" w:name="_Toc57214886"/>
      <w:r w:rsidRPr="00AA5D70">
        <w:rPr>
          <w:snapToGrid w:val="0"/>
          <w:kern w:val="22"/>
        </w:rPr>
        <w:t>Preparation of proposals to strengthen technical and scientific cooperation in support of the post-2020 global biodiversity framework</w:t>
      </w:r>
      <w:bookmarkEnd w:id="19"/>
    </w:p>
    <w:p w14:paraId="39837E78" w14:textId="06029150"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In response to paragraphs 4 and 5 of </w:t>
      </w:r>
      <w:r w:rsidR="0052795F" w:rsidRPr="00AA5D70">
        <w:rPr>
          <w:snapToGrid w:val="0"/>
          <w:kern w:val="22"/>
        </w:rPr>
        <w:t>r</w:t>
      </w:r>
      <w:r w:rsidRPr="00AA5D70">
        <w:rPr>
          <w:snapToGrid w:val="0"/>
          <w:kern w:val="22"/>
        </w:rPr>
        <w:t>ecommendation 23/6</w:t>
      </w:r>
      <w:r w:rsidR="00451145" w:rsidRPr="00AA5D70">
        <w:rPr>
          <w:snapToGrid w:val="0"/>
          <w:kern w:val="22"/>
        </w:rPr>
        <w:t xml:space="preserve"> of the Subsidiary Body</w:t>
      </w:r>
      <w:r w:rsidR="00465FF2" w:rsidRPr="00AA5D70">
        <w:rPr>
          <w:iCs/>
          <w:snapToGrid w:val="0"/>
          <w:kern w:val="22"/>
        </w:rPr>
        <w:t xml:space="preserve"> on Scientific, Technical and Technological Advice</w:t>
      </w:r>
      <w:r w:rsidRPr="00AA5D70">
        <w:rPr>
          <w:snapToGrid w:val="0"/>
          <w:kern w:val="22"/>
        </w:rPr>
        <w:t xml:space="preserve">, the </w:t>
      </w:r>
      <w:bookmarkStart w:id="20" w:name="_Hlk49803992"/>
      <w:r w:rsidRPr="00AA5D70">
        <w:rPr>
          <w:snapToGrid w:val="0"/>
          <w:kern w:val="22"/>
        </w:rPr>
        <w:t>Executive Secretary further developed</w:t>
      </w:r>
      <w:bookmarkEnd w:id="20"/>
      <w:r w:rsidRPr="00AA5D70">
        <w:rPr>
          <w:snapToGrid w:val="0"/>
          <w:kern w:val="22"/>
        </w:rPr>
        <w:t xml:space="preserve"> proposals to strengthen technical and scientific cooperation in support of the post-2020 global biodiversity framework, which are contained in document CBD/SBI/3/7/Add.2. The document incorporates the views and suggestions received from Parties, other Governments and relevant organizations in response to </w:t>
      </w:r>
      <w:r w:rsidR="00D170FA" w:rsidRPr="00AA5D70">
        <w:rPr>
          <w:snapToGrid w:val="0"/>
          <w:kern w:val="22"/>
        </w:rPr>
        <w:t>n</w:t>
      </w:r>
      <w:r w:rsidRPr="00AA5D70">
        <w:rPr>
          <w:snapToGrid w:val="0"/>
          <w:kern w:val="22"/>
        </w:rPr>
        <w:t xml:space="preserve">otification </w:t>
      </w:r>
      <w:hyperlink r:id="rId25" w:history="1">
        <w:r w:rsidRPr="00AA5D70">
          <w:rPr>
            <w:rStyle w:val="Hyperlink"/>
            <w:snapToGrid w:val="0"/>
            <w:kern w:val="22"/>
            <w:sz w:val="22"/>
          </w:rPr>
          <w:t>2020-001</w:t>
        </w:r>
      </w:hyperlink>
      <w:r w:rsidRPr="00AA5D70">
        <w:rPr>
          <w:snapToGrid w:val="0"/>
          <w:kern w:val="22"/>
        </w:rPr>
        <w:t>.</w:t>
      </w:r>
      <w:r w:rsidRPr="00AA5D70">
        <w:rPr>
          <w:rStyle w:val="FootnoteReference"/>
          <w:snapToGrid w:val="0"/>
          <w:kern w:val="22"/>
        </w:rPr>
        <w:footnoteReference w:id="39"/>
      </w:r>
      <w:r w:rsidRPr="00AA5D70">
        <w:rPr>
          <w:snapToGrid w:val="0"/>
          <w:kern w:val="22"/>
        </w:rPr>
        <w:t xml:space="preserve"> </w:t>
      </w:r>
      <w:r w:rsidR="00274139" w:rsidRPr="00AA5D70">
        <w:rPr>
          <w:snapToGrid w:val="0"/>
          <w:kern w:val="22"/>
        </w:rPr>
        <w:t>I</w:t>
      </w:r>
      <w:r w:rsidRPr="00AA5D70">
        <w:rPr>
          <w:snapToGrid w:val="0"/>
          <w:color w:val="000000"/>
          <w:kern w:val="22"/>
        </w:rPr>
        <w:t>nformation on the advantages and disadvantages of the three options for institutional arrangements suggested in the proposals, and the costs associated with those options, is provided in</w:t>
      </w:r>
      <w:r w:rsidRPr="00AA5D70">
        <w:rPr>
          <w:snapToGrid w:val="0"/>
          <w:kern w:val="22"/>
        </w:rPr>
        <w:t xml:space="preserve"> document </w:t>
      </w:r>
      <w:bookmarkStart w:id="21" w:name="_Hlk54777988"/>
      <w:r w:rsidRPr="00AA5D70">
        <w:rPr>
          <w:snapToGrid w:val="0"/>
          <w:kern w:val="22"/>
        </w:rPr>
        <w:t>CBD/SBI/3/INF/16</w:t>
      </w:r>
      <w:bookmarkEnd w:id="21"/>
      <w:r w:rsidRPr="00AA5D70">
        <w:rPr>
          <w:snapToGrid w:val="0"/>
          <w:kern w:val="22"/>
        </w:rPr>
        <w:t xml:space="preserve">. </w:t>
      </w:r>
      <w:r w:rsidR="009F70DA" w:rsidRPr="00AA5D70">
        <w:rPr>
          <w:snapToGrid w:val="0"/>
          <w:kern w:val="22"/>
        </w:rPr>
        <w:t>A</w:t>
      </w:r>
      <w:r w:rsidRPr="00AA5D70">
        <w:rPr>
          <w:snapToGrid w:val="0"/>
          <w:kern w:val="22"/>
        </w:rPr>
        <w:t>n initial compilation of relevant institutional arrangements and networks for technical and scientific cooperation relating to different thematic topics is made available in document CBD/SBI/3/INF/17.</w:t>
      </w:r>
    </w:p>
    <w:p w14:paraId="44AC0018" w14:textId="07D76E48"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Operationalizing the proposals to strengthen technical and scientific cooperation will require predictable additional resources to support relevant activities of Parties, stakeholders and the Secretariat. In particular, the Secretariat would require dedicated resources, including human resources</w:t>
      </w:r>
      <w:r w:rsidR="00AB4938" w:rsidRPr="00AA5D70">
        <w:rPr>
          <w:snapToGrid w:val="0"/>
          <w:kern w:val="22"/>
        </w:rPr>
        <w:t>,</w:t>
      </w:r>
      <w:r w:rsidRPr="00AA5D70">
        <w:rPr>
          <w:rStyle w:val="FootnoteReference"/>
          <w:snapToGrid w:val="0"/>
          <w:kern w:val="22"/>
        </w:rPr>
        <w:footnoteReference w:id="40"/>
      </w:r>
      <w:r w:rsidRPr="00AA5D70">
        <w:rPr>
          <w:snapToGrid w:val="0"/>
          <w:kern w:val="22"/>
        </w:rPr>
        <w:t xml:space="preserve"> to</w:t>
      </w:r>
      <w:r w:rsidRPr="00AA5D70">
        <w:rPr>
          <w:rFonts w:eastAsiaTheme="minorEastAsia"/>
          <w:snapToGrid w:val="0"/>
          <w:kern w:val="22"/>
          <w:szCs w:val="18"/>
        </w:rPr>
        <w:t>,</w:t>
      </w:r>
      <w:r w:rsidRPr="00AA5D70">
        <w:rPr>
          <w:rFonts w:eastAsiaTheme="minorEastAsia"/>
          <w:snapToGrid w:val="0"/>
          <w:kern w:val="22"/>
        </w:rPr>
        <w:t xml:space="preserve"> inter alia</w:t>
      </w:r>
      <w:r w:rsidRPr="00AA5D70">
        <w:rPr>
          <w:rFonts w:eastAsiaTheme="minorEastAsia"/>
          <w:snapToGrid w:val="0"/>
          <w:kern w:val="22"/>
          <w:szCs w:val="18"/>
        </w:rPr>
        <w:t>:</w:t>
      </w:r>
    </w:p>
    <w:p w14:paraId="158C78A1" w14:textId="6EAE6385" w:rsidR="004A3E7E" w:rsidRPr="00AA5D70" w:rsidRDefault="004A3E7E" w:rsidP="00AA5D70">
      <w:pPr>
        <w:pStyle w:val="ListParagraph"/>
        <w:numPr>
          <w:ilvl w:val="1"/>
          <w:numId w:val="49"/>
        </w:numPr>
        <w:suppressLineNumbers/>
        <w:suppressAutoHyphens/>
        <w:kinsoku w:val="0"/>
        <w:overflowPunct w:val="0"/>
        <w:autoSpaceDE w:val="0"/>
        <w:autoSpaceDN w:val="0"/>
        <w:adjustRightInd w:val="0"/>
        <w:snapToGrid w:val="0"/>
        <w:spacing w:after="120"/>
        <w:contextualSpacing w:val="0"/>
        <w:rPr>
          <w:snapToGrid w:val="0"/>
          <w:kern w:val="22"/>
        </w:rPr>
      </w:pPr>
      <w:r w:rsidRPr="00AA5D70">
        <w:rPr>
          <w:snapToGrid w:val="0"/>
          <w:kern w:val="22"/>
        </w:rPr>
        <w:t xml:space="preserve">Promote and facilitate </w:t>
      </w:r>
      <w:r w:rsidRPr="00AA5D70">
        <w:rPr>
          <w:snapToGrid w:val="0"/>
          <w:color w:val="000000" w:themeColor="text1"/>
          <w:kern w:val="22"/>
        </w:rPr>
        <w:t>technical and scientific cooperation in support of the post-2020 global biodiversity framework</w:t>
      </w:r>
      <w:r w:rsidR="00AB4938" w:rsidRPr="00AA5D70">
        <w:rPr>
          <w:snapToGrid w:val="0"/>
          <w:color w:val="000000" w:themeColor="text1"/>
          <w:kern w:val="22"/>
        </w:rPr>
        <w:t>;</w:t>
      </w:r>
    </w:p>
    <w:p w14:paraId="48FC7F25" w14:textId="332CDB54" w:rsidR="004A3E7E" w:rsidRPr="00AA5D70" w:rsidRDefault="004A3E7E" w:rsidP="00AA5D70">
      <w:pPr>
        <w:pStyle w:val="ListParagraph"/>
        <w:numPr>
          <w:ilvl w:val="1"/>
          <w:numId w:val="49"/>
        </w:numPr>
        <w:suppressLineNumbers/>
        <w:suppressAutoHyphens/>
        <w:kinsoku w:val="0"/>
        <w:overflowPunct w:val="0"/>
        <w:autoSpaceDE w:val="0"/>
        <w:autoSpaceDN w:val="0"/>
        <w:adjustRightInd w:val="0"/>
        <w:snapToGrid w:val="0"/>
        <w:spacing w:after="120"/>
        <w:contextualSpacing w:val="0"/>
        <w:rPr>
          <w:snapToGrid w:val="0"/>
          <w:kern w:val="22"/>
        </w:rPr>
      </w:pPr>
      <w:r w:rsidRPr="00AA5D70">
        <w:rPr>
          <w:snapToGrid w:val="0"/>
          <w:kern w:val="22"/>
        </w:rPr>
        <w:t xml:space="preserve">Compile relevant information related to technical and scientific cooperation and technology transfer in the field of biological diversity and make it available to Parties through the clearing-house mechanism, in line with the knowledge management </w:t>
      </w:r>
      <w:r w:rsidR="00FB7E1E" w:rsidRPr="00AA5D70">
        <w:rPr>
          <w:snapToGrid w:val="0"/>
          <w:kern w:val="22"/>
        </w:rPr>
        <w:t>component of the post-2020 global biodiversity framework</w:t>
      </w:r>
      <w:r w:rsidRPr="00AA5D70">
        <w:rPr>
          <w:snapToGrid w:val="0"/>
          <w:kern w:val="22"/>
        </w:rPr>
        <w:t>;</w:t>
      </w:r>
    </w:p>
    <w:p w14:paraId="19A6934C" w14:textId="6B5D920A" w:rsidR="004A3E7E" w:rsidRPr="00AA5D70" w:rsidRDefault="004A3E7E" w:rsidP="00AA5D70">
      <w:pPr>
        <w:pStyle w:val="ListParagraph"/>
        <w:numPr>
          <w:ilvl w:val="1"/>
          <w:numId w:val="49"/>
        </w:numPr>
        <w:suppressLineNumbers/>
        <w:suppressAutoHyphens/>
        <w:kinsoku w:val="0"/>
        <w:overflowPunct w:val="0"/>
        <w:autoSpaceDE w:val="0"/>
        <w:autoSpaceDN w:val="0"/>
        <w:adjustRightInd w:val="0"/>
        <w:snapToGrid w:val="0"/>
        <w:spacing w:after="120"/>
        <w:contextualSpacing w:val="0"/>
        <w:rPr>
          <w:rFonts w:eastAsiaTheme="minorEastAsia"/>
          <w:snapToGrid w:val="0"/>
          <w:kern w:val="22"/>
        </w:rPr>
      </w:pPr>
      <w:r w:rsidRPr="00AA5D70">
        <w:rPr>
          <w:snapToGrid w:val="0"/>
          <w:kern w:val="22"/>
        </w:rPr>
        <w:lastRenderedPageBreak/>
        <w:t>Facilitate coordination and synergy, as appropriate, with biodiversity-related conventions, relevant agencies, the Consortium of Scientific Partners</w:t>
      </w:r>
      <w:r w:rsidR="00442D63" w:rsidRPr="00AA5D70">
        <w:rPr>
          <w:snapToGrid w:val="0"/>
          <w:kern w:val="22"/>
        </w:rPr>
        <w:t xml:space="preserve"> on Bio</w:t>
      </w:r>
      <w:r w:rsidR="000701F3" w:rsidRPr="00AA5D70">
        <w:rPr>
          <w:snapToGrid w:val="0"/>
          <w:kern w:val="22"/>
        </w:rPr>
        <w:t>diversity</w:t>
      </w:r>
      <w:r w:rsidRPr="00AA5D70">
        <w:rPr>
          <w:snapToGrid w:val="0"/>
          <w:kern w:val="22"/>
        </w:rPr>
        <w:t xml:space="preserve">, the </w:t>
      </w:r>
      <w:r w:rsidR="001F3378" w:rsidRPr="00AA5D70">
        <w:rPr>
          <w:snapToGrid w:val="0"/>
          <w:kern w:val="22"/>
          <w:szCs w:val="22"/>
        </w:rPr>
        <w:t xml:space="preserve">Global Partnership for </w:t>
      </w:r>
      <w:r w:rsidR="001F3378" w:rsidRPr="00AA5D70">
        <w:rPr>
          <w:snapToGrid w:val="0"/>
          <w:kern w:val="22"/>
        </w:rPr>
        <w:t>Business and Biodiversity</w:t>
      </w:r>
      <w:r w:rsidRPr="00AA5D70">
        <w:rPr>
          <w:snapToGrid w:val="0"/>
          <w:kern w:val="22"/>
        </w:rPr>
        <w:t xml:space="preserve">, and other relevant networks and initiatives </w:t>
      </w:r>
      <w:r w:rsidR="002E156E" w:rsidRPr="00AA5D70">
        <w:rPr>
          <w:snapToGrid w:val="0"/>
          <w:kern w:val="22"/>
        </w:rPr>
        <w:t>with</w:t>
      </w:r>
      <w:r w:rsidRPr="00AA5D70">
        <w:rPr>
          <w:snapToGrid w:val="0"/>
          <w:kern w:val="22"/>
        </w:rPr>
        <w:t xml:space="preserve"> technical and scientific expertise and/or involved in cooperation;</w:t>
      </w:r>
    </w:p>
    <w:p w14:paraId="266D90D2" w14:textId="614E195F" w:rsidR="004A3E7E" w:rsidRPr="00AA5D70" w:rsidRDefault="004A3E7E" w:rsidP="00AA5D70">
      <w:pPr>
        <w:pStyle w:val="ListParagraph"/>
        <w:numPr>
          <w:ilvl w:val="1"/>
          <w:numId w:val="49"/>
        </w:numPr>
        <w:suppressLineNumbers/>
        <w:suppressAutoHyphens/>
        <w:kinsoku w:val="0"/>
        <w:overflowPunct w:val="0"/>
        <w:autoSpaceDE w:val="0"/>
        <w:autoSpaceDN w:val="0"/>
        <w:adjustRightInd w:val="0"/>
        <w:snapToGrid w:val="0"/>
        <w:spacing w:after="120"/>
        <w:contextualSpacing w:val="0"/>
        <w:rPr>
          <w:rFonts w:eastAsiaTheme="minorEastAsia"/>
          <w:snapToGrid w:val="0"/>
          <w:kern w:val="22"/>
        </w:rPr>
      </w:pPr>
      <w:r w:rsidRPr="00AA5D70">
        <w:rPr>
          <w:snapToGrid w:val="0"/>
          <w:kern w:val="22"/>
        </w:rPr>
        <w:t>Co-organize with partners biodiversity science forums, technology and innovation expos, round tables and other events to showcase cooperation initiatives, technologies and opportunities;</w:t>
      </w:r>
    </w:p>
    <w:p w14:paraId="54598355" w14:textId="0C30492D" w:rsidR="004A3E7E" w:rsidRPr="00AA5D70" w:rsidRDefault="004A3E7E" w:rsidP="00AA5D70">
      <w:pPr>
        <w:pStyle w:val="ListParagraph"/>
        <w:numPr>
          <w:ilvl w:val="1"/>
          <w:numId w:val="49"/>
        </w:numPr>
        <w:suppressLineNumbers/>
        <w:suppressAutoHyphens/>
        <w:kinsoku w:val="0"/>
        <w:overflowPunct w:val="0"/>
        <w:autoSpaceDE w:val="0"/>
        <w:autoSpaceDN w:val="0"/>
        <w:adjustRightInd w:val="0"/>
        <w:snapToGrid w:val="0"/>
        <w:spacing w:after="120"/>
        <w:contextualSpacing w:val="0"/>
        <w:rPr>
          <w:snapToGrid w:val="0"/>
          <w:kern w:val="22"/>
        </w:rPr>
      </w:pPr>
      <w:r w:rsidRPr="00AA5D70">
        <w:rPr>
          <w:snapToGrid w:val="0"/>
          <w:kern w:val="22"/>
        </w:rPr>
        <w:t>Prepare relevant documents and reports on technical and scientific cooperation and technology transfer for consideration by the Conference of Parties and its subsidiary bodies.</w:t>
      </w:r>
    </w:p>
    <w:p w14:paraId="081C5202" w14:textId="6655B8D5" w:rsidR="00505D7E" w:rsidRPr="00AA5D70" w:rsidRDefault="00505D7E" w:rsidP="00AA5D70">
      <w:pPr>
        <w:pStyle w:val="Heading2"/>
        <w:numPr>
          <w:ilvl w:val="0"/>
          <w:numId w:val="53"/>
        </w:numPr>
        <w:suppressLineNumbers/>
        <w:tabs>
          <w:tab w:val="clear" w:pos="720"/>
        </w:tabs>
        <w:suppressAutoHyphens/>
        <w:kinsoku w:val="0"/>
        <w:overflowPunct w:val="0"/>
        <w:autoSpaceDE w:val="0"/>
        <w:autoSpaceDN w:val="0"/>
        <w:adjustRightInd w:val="0"/>
        <w:snapToGrid w:val="0"/>
        <w:ind w:left="1248" w:hanging="397"/>
        <w:jc w:val="left"/>
        <w:rPr>
          <w:snapToGrid w:val="0"/>
          <w:kern w:val="22"/>
        </w:rPr>
      </w:pPr>
      <w:bookmarkStart w:id="22" w:name="_Toc57214887"/>
      <w:r w:rsidRPr="00AA5D70">
        <w:rPr>
          <w:snapToGrid w:val="0"/>
          <w:kern w:val="22"/>
        </w:rPr>
        <w:t>Proposals for an inclusive process to review and renew technical and scientific cooperation programmes</w:t>
      </w:r>
      <w:bookmarkEnd w:id="22"/>
    </w:p>
    <w:p w14:paraId="4182C542" w14:textId="72F2EE56" w:rsidR="00505D7E" w:rsidRPr="00AA5D70" w:rsidRDefault="00505D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spacing w:val="-2"/>
          <w:kern w:val="22"/>
        </w:rPr>
      </w:pPr>
      <w:r w:rsidRPr="00AA5D70">
        <w:rPr>
          <w:snapToGrid w:val="0"/>
          <w:spacing w:val="-2"/>
          <w:kern w:val="22"/>
        </w:rPr>
        <w:t xml:space="preserve">Pursuant to paragraph 9 of decision 14/24 B of the Conference of the Parties, and paragraph 2 of recommendation 23/6 of the </w:t>
      </w:r>
      <w:r w:rsidRPr="00AA5D70">
        <w:rPr>
          <w:iCs/>
          <w:snapToGrid w:val="0"/>
          <w:spacing w:val="-2"/>
          <w:kern w:val="22"/>
        </w:rPr>
        <w:t>Subsidiary Body on Scientific, Technical and Technological Advice</w:t>
      </w:r>
      <w:r w:rsidRPr="00AA5D70">
        <w:rPr>
          <w:snapToGrid w:val="0"/>
          <w:spacing w:val="-2"/>
          <w:kern w:val="22"/>
        </w:rPr>
        <w:t xml:space="preserve">, the Executive Secretary has prepared proposals for an inclusive process to review and renew technical and scientific cooperation programmes contained in annex II below and </w:t>
      </w:r>
      <w:r w:rsidRPr="00AA5D70">
        <w:rPr>
          <w:snapToGrid w:val="0"/>
          <w:color w:val="000000"/>
          <w:spacing w:val="-2"/>
          <w:kern w:val="22"/>
        </w:rPr>
        <w:t xml:space="preserve">elaborated in document </w:t>
      </w:r>
      <w:r w:rsidRPr="00AA5D70">
        <w:rPr>
          <w:snapToGrid w:val="0"/>
          <w:spacing w:val="-2"/>
          <w:kern w:val="22"/>
        </w:rPr>
        <w:t>CBD/SBI/3/INF/15.</w:t>
      </w:r>
    </w:p>
    <w:p w14:paraId="3F86410E" w14:textId="7264B358" w:rsidR="00FB7E1E" w:rsidRPr="00AA5D70" w:rsidRDefault="00FB7E1E" w:rsidP="00AA5D70">
      <w:pPr>
        <w:pStyle w:val="Heading2"/>
        <w:numPr>
          <w:ilvl w:val="0"/>
          <w:numId w:val="53"/>
        </w:numPr>
        <w:suppressLineNumbers/>
        <w:tabs>
          <w:tab w:val="clear" w:pos="720"/>
          <w:tab w:val="left" w:pos="426"/>
        </w:tabs>
        <w:suppressAutoHyphens/>
        <w:kinsoku w:val="0"/>
        <w:overflowPunct w:val="0"/>
        <w:autoSpaceDE w:val="0"/>
        <w:autoSpaceDN w:val="0"/>
        <w:adjustRightInd w:val="0"/>
        <w:snapToGrid w:val="0"/>
        <w:ind w:left="0" w:firstLine="0"/>
        <w:rPr>
          <w:snapToGrid w:val="0"/>
          <w:kern w:val="22"/>
        </w:rPr>
      </w:pPr>
      <w:bookmarkStart w:id="23" w:name="_Toc57214888"/>
      <w:r w:rsidRPr="00AA5D70">
        <w:rPr>
          <w:snapToGrid w:val="0"/>
          <w:kern w:val="22"/>
        </w:rPr>
        <w:t>Informal Advisory Group on Technical and Scientific Cooperation</w:t>
      </w:r>
      <w:bookmarkEnd w:id="23"/>
    </w:p>
    <w:p w14:paraId="11A6BB24" w14:textId="53B1401E" w:rsidR="00FB7E1E" w:rsidRPr="00AA5D70" w:rsidRDefault="00FB7E1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rPr>
      </w:pPr>
      <w:r w:rsidRPr="00AA5D70">
        <w:rPr>
          <w:snapToGrid w:val="0"/>
          <w:kern w:val="22"/>
        </w:rPr>
        <w:t xml:space="preserve">In paragraph 6 of recommendation 23/6, the Subsidiary Body </w:t>
      </w:r>
      <w:r w:rsidR="00465FF2" w:rsidRPr="00AA5D70">
        <w:rPr>
          <w:iCs/>
          <w:snapToGrid w:val="0"/>
          <w:kern w:val="22"/>
        </w:rPr>
        <w:t>on Scientific, Technical and Technological Advice</w:t>
      </w:r>
      <w:r w:rsidR="00465FF2" w:rsidRPr="00AA5D70">
        <w:rPr>
          <w:snapToGrid w:val="0"/>
          <w:kern w:val="22"/>
        </w:rPr>
        <w:t xml:space="preserve"> </w:t>
      </w:r>
      <w:r w:rsidRPr="00AA5D70">
        <w:rPr>
          <w:snapToGrid w:val="0"/>
          <w:kern w:val="22"/>
        </w:rPr>
        <w:t xml:space="preserve">also welcomed the draft terms of reference of </w:t>
      </w:r>
      <w:r w:rsidR="00DC304E" w:rsidRPr="00D16AC1">
        <w:rPr>
          <w:snapToGrid w:val="0"/>
          <w:kern w:val="22"/>
        </w:rPr>
        <w:t>a proposed</w:t>
      </w:r>
      <w:r w:rsidRPr="00AA5D70">
        <w:rPr>
          <w:snapToGrid w:val="0"/>
          <w:kern w:val="22"/>
        </w:rPr>
        <w:t xml:space="preserve"> Informal Advisory Group on Technical and Scientific Cooperation and invited the Subsidiary Body on Implementation at its third meeting to consider them and make a recommendation to the Conference of the Parties at its fifteenth meeting. The draft terms of reference are made available in annex III below.</w:t>
      </w:r>
    </w:p>
    <w:p w14:paraId="4D7A34B9" w14:textId="2CEC477F" w:rsidR="004A3E7E" w:rsidRPr="00AA5D70" w:rsidRDefault="00E41066" w:rsidP="00AA5D70">
      <w:pPr>
        <w:pStyle w:val="Heading1"/>
        <w:numPr>
          <w:ilvl w:val="0"/>
          <w:numId w:val="5"/>
        </w:numPr>
        <w:suppressLineNumbers/>
        <w:tabs>
          <w:tab w:val="clear" w:pos="720"/>
        </w:tabs>
        <w:suppressAutoHyphens/>
        <w:kinsoku w:val="0"/>
        <w:overflowPunct w:val="0"/>
        <w:autoSpaceDE w:val="0"/>
        <w:autoSpaceDN w:val="0"/>
        <w:adjustRightInd w:val="0"/>
        <w:snapToGrid w:val="0"/>
        <w:spacing w:before="120"/>
        <w:ind w:left="1021" w:hanging="454"/>
        <w:jc w:val="left"/>
        <w:rPr>
          <w:rFonts w:ascii="Times New Roman Bold" w:hAnsi="Times New Roman Bold" w:cs="Times New Roman Bold"/>
          <w:bCs/>
          <w:snapToGrid w:val="0"/>
          <w:kern w:val="22"/>
        </w:rPr>
      </w:pPr>
      <w:bookmarkStart w:id="24" w:name="_Toc57201927"/>
      <w:bookmarkStart w:id="25" w:name="_Toc57214889"/>
      <w:bookmarkStart w:id="26" w:name="_Toc57214890"/>
      <w:bookmarkEnd w:id="24"/>
      <w:bookmarkEnd w:id="25"/>
      <w:r w:rsidRPr="00AA5D70">
        <w:rPr>
          <w:rFonts w:ascii="Times New Roman Bold" w:hAnsi="Times New Roman Bold" w:cs="Times New Roman Bold"/>
          <w:bCs/>
          <w:snapToGrid w:val="0"/>
          <w:kern w:val="22"/>
        </w:rPr>
        <w:t>Linkages between capacity development, technical and scientific cooperation, technology transfer, knowledge management and communication</w:t>
      </w:r>
      <w:bookmarkEnd w:id="26"/>
    </w:p>
    <w:p w14:paraId="64456AE8" w14:textId="79920A2F" w:rsidR="004A3E7E" w:rsidRPr="00AA5D70" w:rsidRDefault="004A3E7E" w:rsidP="00AA5D70">
      <w:pPr>
        <w:numPr>
          <w:ilvl w:val="0"/>
          <w:numId w:val="49"/>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t>There are close interlinkages between the various means of implementation for the post-2020 global biodiversity framework (including capacity development, technical and scientific cooperation, technology transfer, knowledge management and communication), the enabling conditions, as well as the enhanced planning, reporting and review mechanism.</w:t>
      </w:r>
      <w:r w:rsidRPr="00AA5D70">
        <w:rPr>
          <w:snapToGrid w:val="0"/>
          <w:kern w:val="22"/>
          <w:vertAlign w:val="superscript"/>
        </w:rPr>
        <w:footnoteReference w:id="41"/>
      </w:r>
      <w:r w:rsidRPr="00AA5D70">
        <w:rPr>
          <w:snapToGrid w:val="0"/>
          <w:kern w:val="22"/>
        </w:rPr>
        <w:t xml:space="preserve"> For example, capacity development projects and programmes often contain elements on technical and scientific cooperation, technology transfer, knowledge management and communication. Likewise, technical and scientific cooperation initiatives, especially those involving developing countries</w:t>
      </w:r>
      <w:r w:rsidR="004E507F" w:rsidRPr="00AA5D70">
        <w:rPr>
          <w:snapToGrid w:val="0"/>
          <w:kern w:val="22"/>
        </w:rPr>
        <w:t>,</w:t>
      </w:r>
      <w:r w:rsidRPr="00AA5D70">
        <w:rPr>
          <w:snapToGrid w:val="0"/>
          <w:kern w:val="22"/>
        </w:rPr>
        <w:t xml:space="preserve"> often include components for strengthening of capacities and sharing of knowledge and information. Furthermore, knowledge management initiatives often support organizational learning and sharing of expertise and transfer of know</w:t>
      </w:r>
      <w:r w:rsidR="0089798B" w:rsidRPr="00AA5D70">
        <w:rPr>
          <w:snapToGrid w:val="0"/>
          <w:kern w:val="22"/>
        </w:rPr>
        <w:t>-</w:t>
      </w:r>
      <w:r w:rsidRPr="00AA5D70">
        <w:rPr>
          <w:snapToGrid w:val="0"/>
          <w:kern w:val="22"/>
        </w:rPr>
        <w:t>how.</w:t>
      </w:r>
    </w:p>
    <w:p w14:paraId="0D83814B" w14:textId="62845FFC" w:rsidR="004A3E7E" w:rsidRPr="00AA5D70" w:rsidRDefault="004057FC" w:rsidP="00AA5D70">
      <w:pPr>
        <w:numPr>
          <w:ilvl w:val="0"/>
          <w:numId w:val="49"/>
        </w:numPr>
        <w:suppressLineNumbers/>
        <w:suppressAutoHyphens/>
        <w:kinsoku w:val="0"/>
        <w:overflowPunct w:val="0"/>
        <w:autoSpaceDE w:val="0"/>
        <w:autoSpaceDN w:val="0"/>
        <w:adjustRightInd w:val="0"/>
        <w:snapToGrid w:val="0"/>
        <w:spacing w:before="120" w:after="120"/>
        <w:rPr>
          <w:rFonts w:eastAsiaTheme="minorEastAsia"/>
          <w:snapToGrid w:val="0"/>
          <w:kern w:val="22"/>
        </w:rPr>
      </w:pPr>
      <w:r w:rsidRPr="00D16AC1">
        <w:rPr>
          <w:snapToGrid w:val="0"/>
          <w:kern w:val="22"/>
        </w:rPr>
        <w:t>Thus</w:t>
      </w:r>
      <w:r w:rsidR="004A3E7E" w:rsidRPr="00AA5D70">
        <w:rPr>
          <w:snapToGrid w:val="0"/>
          <w:kern w:val="22"/>
        </w:rPr>
        <w:t>, while these different work streams are not one and the same, they need to be treated as a package to foster synergies among them and avoid duplication of effort</w:t>
      </w:r>
      <w:r w:rsidR="0089798B" w:rsidRPr="00AA5D70">
        <w:rPr>
          <w:snapToGrid w:val="0"/>
          <w:kern w:val="22"/>
        </w:rPr>
        <w:t>s</w:t>
      </w:r>
      <w:r w:rsidR="004A3E7E" w:rsidRPr="00AA5D70">
        <w:rPr>
          <w:snapToGrid w:val="0"/>
          <w:kern w:val="22"/>
        </w:rPr>
        <w:t xml:space="preserve">. </w:t>
      </w:r>
      <w:r w:rsidR="006A1339" w:rsidRPr="00AA5D70">
        <w:rPr>
          <w:snapToGrid w:val="0"/>
          <w:kern w:val="22"/>
        </w:rPr>
        <w:t xml:space="preserve">The </w:t>
      </w:r>
      <w:r w:rsidR="004A3E7E" w:rsidRPr="00AA5D70">
        <w:rPr>
          <w:snapToGrid w:val="0"/>
          <w:kern w:val="22"/>
        </w:rPr>
        <w:t xml:space="preserve">Subsidiary Body on Implementation may </w:t>
      </w:r>
      <w:r w:rsidR="006A1339" w:rsidRPr="00AA5D70">
        <w:rPr>
          <w:snapToGrid w:val="0"/>
          <w:kern w:val="22"/>
        </w:rPr>
        <w:t xml:space="preserve">therefore </w:t>
      </w:r>
      <w:r w:rsidR="004A3E7E" w:rsidRPr="00AA5D70">
        <w:rPr>
          <w:snapToGrid w:val="0"/>
          <w:kern w:val="22"/>
        </w:rPr>
        <w:t>wish to recommend</w:t>
      </w:r>
      <w:r w:rsidR="003C0035" w:rsidRPr="00AA5D70">
        <w:rPr>
          <w:snapToGrid w:val="0"/>
          <w:kern w:val="22"/>
        </w:rPr>
        <w:t xml:space="preserve"> </w:t>
      </w:r>
      <w:r w:rsidR="004A3E7E" w:rsidRPr="00AA5D70">
        <w:rPr>
          <w:snapToGrid w:val="0"/>
          <w:kern w:val="22"/>
        </w:rPr>
        <w:t xml:space="preserve">to the Conference of the Parties that </w:t>
      </w:r>
      <w:r w:rsidR="00B44BA9" w:rsidRPr="00AA5D70">
        <w:rPr>
          <w:snapToGrid w:val="0"/>
          <w:kern w:val="22"/>
        </w:rPr>
        <w:t xml:space="preserve">it designate </w:t>
      </w:r>
      <w:r w:rsidR="00BA2054" w:rsidRPr="00AA5D70">
        <w:rPr>
          <w:snapToGrid w:val="0"/>
          <w:kern w:val="22"/>
        </w:rPr>
        <w:t xml:space="preserve">a </w:t>
      </w:r>
      <w:r w:rsidR="004A3E7E" w:rsidRPr="00AA5D70">
        <w:rPr>
          <w:snapToGrid w:val="0"/>
          <w:kern w:val="22"/>
        </w:rPr>
        <w:t>common institutional mechanism</w:t>
      </w:r>
      <w:r w:rsidR="007B1A8D" w:rsidRPr="00AA5D70">
        <w:rPr>
          <w:snapToGrid w:val="0"/>
          <w:kern w:val="22"/>
        </w:rPr>
        <w:t xml:space="preserve"> </w:t>
      </w:r>
      <w:r w:rsidR="00B44BA9" w:rsidRPr="00AA5D70">
        <w:rPr>
          <w:snapToGrid w:val="0"/>
          <w:kern w:val="22"/>
        </w:rPr>
        <w:t xml:space="preserve">to </w:t>
      </w:r>
      <w:r w:rsidR="003C0035" w:rsidRPr="00AA5D70">
        <w:rPr>
          <w:snapToGrid w:val="0"/>
          <w:kern w:val="22"/>
        </w:rPr>
        <w:t>foster coordinated and synerg</w:t>
      </w:r>
      <w:r w:rsidR="00AA6E02" w:rsidRPr="00AA5D70">
        <w:rPr>
          <w:snapToGrid w:val="0"/>
          <w:kern w:val="22"/>
        </w:rPr>
        <w:t>is</w:t>
      </w:r>
      <w:r w:rsidR="003C0035" w:rsidRPr="00AA5D70">
        <w:rPr>
          <w:snapToGrid w:val="0"/>
          <w:kern w:val="22"/>
        </w:rPr>
        <w:t xml:space="preserve">tic </w:t>
      </w:r>
      <w:r w:rsidR="004A3E7E" w:rsidRPr="00AA5D70">
        <w:rPr>
          <w:snapToGrid w:val="0"/>
          <w:kern w:val="22"/>
        </w:rPr>
        <w:t>implementation of the long-term strategic framework for capacity development, the proposals to strengthen technical and scientific cooperation</w:t>
      </w:r>
      <w:r w:rsidR="00FE569C" w:rsidRPr="00AA5D70">
        <w:rPr>
          <w:snapToGrid w:val="0"/>
          <w:kern w:val="22"/>
        </w:rPr>
        <w:t>,</w:t>
      </w:r>
      <w:r w:rsidR="004A3E7E" w:rsidRPr="00AA5D70">
        <w:rPr>
          <w:snapToGrid w:val="0"/>
          <w:kern w:val="22"/>
        </w:rPr>
        <w:t xml:space="preserve"> and the knowledge management component of the post 2020 global biodiversity framework. For example, </w:t>
      </w:r>
      <w:r w:rsidR="00EB4744" w:rsidRPr="00AA5D70">
        <w:rPr>
          <w:snapToGrid w:val="0"/>
          <w:kern w:val="22"/>
        </w:rPr>
        <w:t>the proposed Informal Advisory Group on Technical and Scientific Cooperation</w:t>
      </w:r>
      <w:r w:rsidR="00FB7081" w:rsidRPr="00AA5D70">
        <w:rPr>
          <w:snapToGrid w:val="0"/>
          <w:kern w:val="22"/>
        </w:rPr>
        <w:t xml:space="preserve"> (</w:t>
      </w:r>
      <w:r w:rsidR="00A277DF" w:rsidRPr="00D16AC1">
        <w:rPr>
          <w:snapToGrid w:val="0"/>
          <w:kern w:val="22"/>
        </w:rPr>
        <w:t xml:space="preserve">see </w:t>
      </w:r>
      <w:r w:rsidR="00FB7081" w:rsidRPr="00AA5D70">
        <w:rPr>
          <w:snapToGrid w:val="0"/>
          <w:kern w:val="22"/>
        </w:rPr>
        <w:t>annex</w:t>
      </w:r>
      <w:r w:rsidR="00A277DF" w:rsidRPr="00D16AC1">
        <w:rPr>
          <w:snapToGrid w:val="0"/>
          <w:kern w:val="22"/>
        </w:rPr>
        <w:t> </w:t>
      </w:r>
      <w:r w:rsidR="00FB7081" w:rsidRPr="00AA5D70">
        <w:rPr>
          <w:snapToGrid w:val="0"/>
          <w:kern w:val="22"/>
        </w:rPr>
        <w:t>III)</w:t>
      </w:r>
      <w:r w:rsidR="00EB4744" w:rsidRPr="00AA5D70">
        <w:rPr>
          <w:snapToGrid w:val="0"/>
          <w:kern w:val="22"/>
        </w:rPr>
        <w:t xml:space="preserve"> </w:t>
      </w:r>
      <w:r w:rsidR="00DF428B" w:rsidRPr="00AA5D70">
        <w:rPr>
          <w:snapToGrid w:val="0"/>
          <w:kern w:val="22"/>
        </w:rPr>
        <w:t xml:space="preserve">could be </w:t>
      </w:r>
      <w:r w:rsidR="00074CAC" w:rsidRPr="00AA5D70">
        <w:rPr>
          <w:snapToGrid w:val="0"/>
          <w:kern w:val="22"/>
        </w:rPr>
        <w:t xml:space="preserve">requested </w:t>
      </w:r>
      <w:r w:rsidR="00DF428B" w:rsidRPr="00AA5D70">
        <w:rPr>
          <w:snapToGrid w:val="0"/>
          <w:kern w:val="22"/>
        </w:rPr>
        <w:t xml:space="preserve">to </w:t>
      </w:r>
      <w:r w:rsidR="00BA2054" w:rsidRPr="00AA5D70">
        <w:rPr>
          <w:snapToGrid w:val="0"/>
          <w:kern w:val="22"/>
        </w:rPr>
        <w:t xml:space="preserve">provide </w:t>
      </w:r>
      <w:r w:rsidR="00BC30A6" w:rsidRPr="00AA5D70">
        <w:rPr>
          <w:snapToGrid w:val="0"/>
          <w:kern w:val="22"/>
        </w:rPr>
        <w:t xml:space="preserve">such </w:t>
      </w:r>
      <w:r w:rsidR="00BA2054" w:rsidRPr="00AA5D70">
        <w:rPr>
          <w:snapToGrid w:val="0"/>
          <w:kern w:val="22"/>
        </w:rPr>
        <w:t>guidance and support</w:t>
      </w:r>
      <w:r w:rsidR="00BC30A6" w:rsidRPr="00AA5D70">
        <w:rPr>
          <w:snapToGrid w:val="0"/>
          <w:kern w:val="22"/>
        </w:rPr>
        <w:t>.</w:t>
      </w:r>
    </w:p>
    <w:p w14:paraId="1EA7DF03" w14:textId="32E0EF4F" w:rsidR="004A3E7E" w:rsidRPr="00AA5D70" w:rsidRDefault="004A3E7E" w:rsidP="00AA5D70">
      <w:pPr>
        <w:pStyle w:val="Heading1"/>
        <w:numPr>
          <w:ilvl w:val="0"/>
          <w:numId w:val="5"/>
        </w:numPr>
        <w:suppressLineNumbers/>
        <w:tabs>
          <w:tab w:val="clear" w:pos="720"/>
          <w:tab w:val="left" w:pos="426"/>
        </w:tabs>
        <w:suppressAutoHyphens/>
        <w:kinsoku w:val="0"/>
        <w:overflowPunct w:val="0"/>
        <w:autoSpaceDE w:val="0"/>
        <w:autoSpaceDN w:val="0"/>
        <w:adjustRightInd w:val="0"/>
        <w:snapToGrid w:val="0"/>
        <w:spacing w:before="120"/>
        <w:ind w:left="0" w:firstLine="0"/>
        <w:rPr>
          <w:rFonts w:ascii="Times New Roman Bold" w:hAnsi="Times New Roman Bold" w:cs="Times New Roman Bold"/>
          <w:bCs/>
          <w:snapToGrid w:val="0"/>
          <w:kern w:val="22"/>
        </w:rPr>
      </w:pPr>
      <w:bookmarkStart w:id="27" w:name="_Toc57214891"/>
      <w:r w:rsidRPr="00AA5D70">
        <w:rPr>
          <w:rFonts w:ascii="Times New Roman Bold" w:hAnsi="Times New Roman Bold" w:cs="Times New Roman Bold"/>
          <w:bCs/>
          <w:snapToGrid w:val="0"/>
          <w:kern w:val="22"/>
        </w:rPr>
        <w:t>Elements of a draft recommendation</w:t>
      </w:r>
      <w:bookmarkEnd w:id="27"/>
    </w:p>
    <w:p w14:paraId="29232DFD" w14:textId="7A497141" w:rsidR="004A3E7E" w:rsidRPr="00AA5D70" w:rsidRDefault="004A3E7E" w:rsidP="00AA5D70">
      <w:pPr>
        <w:pStyle w:val="Para1"/>
        <w:numPr>
          <w:ilvl w:val="0"/>
          <w:numId w:val="49"/>
        </w:numPr>
        <w:suppressLineNumbers/>
        <w:suppressAutoHyphens/>
        <w:kinsoku w:val="0"/>
        <w:overflowPunct w:val="0"/>
        <w:autoSpaceDE w:val="0"/>
        <w:autoSpaceDN w:val="0"/>
        <w:adjustRightInd w:val="0"/>
        <w:snapToGrid w:val="0"/>
        <w:rPr>
          <w:kern w:val="22"/>
        </w:rPr>
      </w:pPr>
      <w:r w:rsidRPr="00AA5D70">
        <w:rPr>
          <w:kern w:val="22"/>
        </w:rPr>
        <w:t xml:space="preserve">The Subsidiary Body on Implementation may wish to consider recommending to the Conference of the Parties </w:t>
      </w:r>
      <w:r w:rsidR="00DA6D5A" w:rsidRPr="00AA5D70">
        <w:rPr>
          <w:kern w:val="22"/>
        </w:rPr>
        <w:t xml:space="preserve">that it </w:t>
      </w:r>
      <w:r w:rsidRPr="00AA5D70">
        <w:rPr>
          <w:kern w:val="22"/>
        </w:rPr>
        <w:t>adopt a decision along the following lines:</w:t>
      </w:r>
    </w:p>
    <w:p w14:paraId="45A809B8" w14:textId="33A73604" w:rsidR="004A3E7E" w:rsidRPr="00D16AC1" w:rsidRDefault="004A3E7E" w:rsidP="00AA5D70">
      <w:pPr>
        <w:pStyle w:val="Para1"/>
        <w:numPr>
          <w:ilvl w:val="0"/>
          <w:numId w:val="0"/>
        </w:numPr>
        <w:suppressLineNumbers/>
        <w:suppressAutoHyphens/>
        <w:kinsoku w:val="0"/>
        <w:overflowPunct w:val="0"/>
        <w:autoSpaceDE w:val="0"/>
        <w:autoSpaceDN w:val="0"/>
        <w:adjustRightInd w:val="0"/>
        <w:snapToGrid w:val="0"/>
        <w:ind w:left="720"/>
        <w:rPr>
          <w:kern w:val="22"/>
        </w:rPr>
      </w:pPr>
      <w:r w:rsidRPr="00AA5D70">
        <w:rPr>
          <w:i/>
          <w:kern w:val="22"/>
          <w:szCs w:val="22"/>
        </w:rPr>
        <w:lastRenderedPageBreak/>
        <w:t>The Conference of the Parties</w:t>
      </w:r>
      <w:r w:rsidR="006569C2" w:rsidRPr="00AA5D70">
        <w:rPr>
          <w:i/>
          <w:kern w:val="22"/>
          <w:szCs w:val="22"/>
        </w:rPr>
        <w:t>,</w:t>
      </w:r>
    </w:p>
    <w:p w14:paraId="5A89A445" w14:textId="77777777" w:rsidR="004A3E7E" w:rsidRPr="00AA5D70" w:rsidRDefault="004A3E7E" w:rsidP="00AA5D70">
      <w:pPr>
        <w:pStyle w:val="Para1"/>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rPr>
      </w:pPr>
      <w:bookmarkStart w:id="28" w:name="_Toc57214892"/>
      <w:r w:rsidRPr="00AA5D70">
        <w:rPr>
          <w:b/>
          <w:bCs/>
          <w:kern w:val="22"/>
        </w:rPr>
        <w:t>A.</w:t>
      </w:r>
      <w:r w:rsidRPr="00AA5D70">
        <w:rPr>
          <w:b/>
          <w:kern w:val="22"/>
          <w:szCs w:val="22"/>
        </w:rPr>
        <w:tab/>
      </w:r>
      <w:r w:rsidRPr="00AA5D70">
        <w:rPr>
          <w:b/>
          <w:bCs/>
          <w:kern w:val="22"/>
        </w:rPr>
        <w:t>Capacity development</w:t>
      </w:r>
      <w:bookmarkEnd w:id="28"/>
    </w:p>
    <w:p w14:paraId="6D6FCF65" w14:textId="4EBC16B9"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i/>
          <w:kern w:val="22"/>
          <w:szCs w:val="22"/>
        </w:rPr>
        <w:t>Recalling</w:t>
      </w:r>
      <w:r w:rsidRPr="00AA5D70">
        <w:rPr>
          <w:kern w:val="22"/>
          <w:szCs w:val="22"/>
        </w:rPr>
        <w:t xml:space="preserve"> decisions </w:t>
      </w:r>
      <w:hyperlink r:id="rId26" w:history="1">
        <w:r w:rsidRPr="00AA5D70">
          <w:rPr>
            <w:rStyle w:val="Hyperlink"/>
            <w:kern w:val="22"/>
            <w:sz w:val="22"/>
            <w:szCs w:val="22"/>
          </w:rPr>
          <w:t>XIII/23</w:t>
        </w:r>
      </w:hyperlink>
      <w:r w:rsidRPr="00AA5D70">
        <w:rPr>
          <w:kern w:val="22"/>
          <w:szCs w:val="22"/>
        </w:rPr>
        <w:t xml:space="preserve"> and </w:t>
      </w:r>
      <w:hyperlink r:id="rId27" w:history="1">
        <w:r w:rsidR="003D4541" w:rsidRPr="00AA5D70">
          <w:rPr>
            <w:rStyle w:val="Hyperlink"/>
            <w:kern w:val="22"/>
            <w:sz w:val="22"/>
            <w:szCs w:val="22"/>
          </w:rPr>
          <w:t>14/24</w:t>
        </w:r>
      </w:hyperlink>
      <w:r w:rsidR="006569C2" w:rsidRPr="00AA5D70">
        <w:rPr>
          <w:kern w:val="22"/>
          <w:szCs w:val="22"/>
        </w:rPr>
        <w:t>,</w:t>
      </w:r>
    </w:p>
    <w:p w14:paraId="757437D8" w14:textId="20C09DB6"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 xml:space="preserve">Noting with appreciation </w:t>
      </w:r>
      <w:r w:rsidRPr="00AA5D70">
        <w:rPr>
          <w:kern w:val="22"/>
        </w:rPr>
        <w:t>the support provided by Parties, other Governments, the Global Environmental Facility and relevant organizations for capacity development and technical and scientific cooperation activities to assist developing country Parties</w:t>
      </w:r>
      <w:r w:rsidR="001D66AC" w:rsidRPr="00AA5D70">
        <w:rPr>
          <w:kern w:val="22"/>
        </w:rPr>
        <w:t>, Parties with economies in transition,</w:t>
      </w:r>
      <w:r w:rsidRPr="00AA5D70">
        <w:rPr>
          <w:kern w:val="22"/>
        </w:rPr>
        <w:t xml:space="preserve"> and indigenous peoples and local communities</w:t>
      </w:r>
      <w:r w:rsidR="006569C2" w:rsidRPr="00AA5D70">
        <w:rPr>
          <w:kern w:val="22"/>
        </w:rPr>
        <w:t>,</w:t>
      </w:r>
    </w:p>
    <w:p w14:paraId="068F57E0" w14:textId="788C32D1"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 xml:space="preserve">Reaffirming </w:t>
      </w:r>
      <w:r w:rsidRPr="00AA5D70">
        <w:rPr>
          <w:kern w:val="22"/>
        </w:rPr>
        <w:t>the need to promote strategic and coherent approaches to capacity development and technical and scientific cooperation in supporting the implementation of the Convention and its Protocols</w:t>
      </w:r>
      <w:r w:rsidR="006569C2" w:rsidRPr="00AA5D70">
        <w:rPr>
          <w:kern w:val="22"/>
        </w:rPr>
        <w:t>,</w:t>
      </w:r>
    </w:p>
    <w:p w14:paraId="442AF056" w14:textId="3586631A"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 xml:space="preserve">Underscoring </w:t>
      </w:r>
      <w:r w:rsidRPr="00AA5D70">
        <w:rPr>
          <w:kern w:val="22"/>
        </w:rPr>
        <w:t>the critical importance of capacity development for the effective implementation of the post-2020 global biodiversity framework</w:t>
      </w:r>
      <w:r w:rsidR="006569C2" w:rsidRPr="00AA5D70">
        <w:rPr>
          <w:kern w:val="22"/>
        </w:rPr>
        <w:t>,</w:t>
      </w:r>
    </w:p>
    <w:p w14:paraId="3E52E36A" w14:textId="6EB03669"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Taking note</w:t>
      </w:r>
      <w:r w:rsidRPr="00AA5D70">
        <w:rPr>
          <w:kern w:val="22"/>
        </w:rPr>
        <w:t xml:space="preserve"> of the final report on the implementation </w:t>
      </w:r>
      <w:r w:rsidR="006D4B9B" w:rsidRPr="00AA5D70">
        <w:rPr>
          <w:kern w:val="22"/>
        </w:rPr>
        <w:t xml:space="preserve">of </w:t>
      </w:r>
      <w:r w:rsidRPr="00AA5D70">
        <w:rPr>
          <w:kern w:val="22"/>
        </w:rPr>
        <w:t>the short-term action plan (2017-2020) to enhance and support capacity-building for the implementation of the Convention and its Protocols</w:t>
      </w:r>
      <w:r w:rsidR="006569C2" w:rsidRPr="00AA5D70">
        <w:rPr>
          <w:kern w:val="22"/>
        </w:rPr>
        <w:t>,</w:t>
      </w:r>
      <w:r w:rsidR="004961EB" w:rsidRPr="00AA5D70">
        <w:rPr>
          <w:kern w:val="22"/>
        </w:rPr>
        <w:t xml:space="preserve"> and the lessons learned,</w:t>
      </w:r>
      <w:r w:rsidRPr="00AA5D70">
        <w:rPr>
          <w:rStyle w:val="StyleFootnoteReferencenumberFootnoteReferenceSuperscript-EF"/>
          <w:sz w:val="22"/>
          <w:szCs w:val="22"/>
        </w:rPr>
        <w:footnoteReference w:id="42"/>
      </w:r>
    </w:p>
    <w:p w14:paraId="0CEB40FD" w14:textId="274E469B" w:rsidR="004A3E7E" w:rsidRPr="00AA5D70" w:rsidRDefault="004C2BB3"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Welcoming</w:t>
      </w:r>
      <w:r w:rsidR="004A3E7E" w:rsidRPr="00AA5D70">
        <w:rPr>
          <w:kern w:val="22"/>
        </w:rPr>
        <w:t xml:space="preserve"> the </w:t>
      </w:r>
      <w:r w:rsidR="00B376F6" w:rsidRPr="00AA5D70">
        <w:rPr>
          <w:kern w:val="22"/>
        </w:rPr>
        <w:t xml:space="preserve">outcomes of </w:t>
      </w:r>
      <w:r w:rsidR="004A3E7E" w:rsidRPr="00AA5D70">
        <w:rPr>
          <w:kern w:val="22"/>
        </w:rPr>
        <w:t>the United Nations Summit on Biodiversity held on 30 September 2020,</w:t>
      </w:r>
      <w:r w:rsidR="0061284C" w:rsidRPr="00AA5D70">
        <w:rPr>
          <w:rStyle w:val="FootnoteReference"/>
          <w:kern w:val="22"/>
        </w:rPr>
        <w:footnoteReference w:id="43"/>
      </w:r>
      <w:r w:rsidR="004A3E7E" w:rsidRPr="00AA5D70">
        <w:rPr>
          <w:kern w:val="22"/>
        </w:rPr>
        <w:t xml:space="preserve"> in particular the outcomes of the leaders</w:t>
      </w:r>
      <w:r w:rsidR="00A34E9B" w:rsidRPr="00AA5D70">
        <w:rPr>
          <w:kern w:val="22"/>
        </w:rPr>
        <w:t>’</w:t>
      </w:r>
      <w:r w:rsidR="004A3E7E" w:rsidRPr="00AA5D70">
        <w:rPr>
          <w:kern w:val="22"/>
        </w:rPr>
        <w:t xml:space="preserve"> dialogue on harnessing science, technology and innovation, strengthening capacity development, and enhancing access and benefit-sharing, financing and partnerships for biodiversity</w:t>
      </w:r>
      <w:r w:rsidR="006569C2" w:rsidRPr="00AA5D70">
        <w:rPr>
          <w:kern w:val="22"/>
        </w:rPr>
        <w:t>,</w:t>
      </w:r>
    </w:p>
    <w:p w14:paraId="3828D778" w14:textId="095ABEDC"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szCs w:val="22"/>
        </w:rPr>
      </w:pPr>
      <w:r w:rsidRPr="00AA5D70">
        <w:rPr>
          <w:kern w:val="22"/>
          <w:szCs w:val="22"/>
        </w:rPr>
        <w:t>1.</w:t>
      </w:r>
      <w:r w:rsidRPr="00AA5D70">
        <w:rPr>
          <w:kern w:val="22"/>
          <w:szCs w:val="22"/>
        </w:rPr>
        <w:tab/>
      </w:r>
      <w:r w:rsidR="004A3E7E" w:rsidRPr="00AA5D70">
        <w:rPr>
          <w:i/>
          <w:iCs/>
          <w:kern w:val="22"/>
          <w:szCs w:val="22"/>
        </w:rPr>
        <w:t xml:space="preserve">Adopts </w:t>
      </w:r>
      <w:r w:rsidR="004A3E7E" w:rsidRPr="00AA5D70">
        <w:rPr>
          <w:kern w:val="22"/>
          <w:szCs w:val="22"/>
        </w:rPr>
        <w:t xml:space="preserve">the long-term strategic framework for capacity development </w:t>
      </w:r>
      <w:r w:rsidR="004A3E7E" w:rsidRPr="00AA5D70">
        <w:rPr>
          <w:kern w:val="22"/>
          <w:szCs w:val="22"/>
          <w:lang w:eastAsia="ko-KR"/>
        </w:rPr>
        <w:t xml:space="preserve">to </w:t>
      </w:r>
      <w:r w:rsidR="004A3E7E" w:rsidRPr="00AA5D70">
        <w:rPr>
          <w:kern w:val="22"/>
          <w:szCs w:val="22"/>
        </w:rPr>
        <w:t xml:space="preserve">support </w:t>
      </w:r>
      <w:r w:rsidR="001E05F8" w:rsidRPr="00D16AC1">
        <w:rPr>
          <w:kern w:val="22"/>
          <w:szCs w:val="22"/>
        </w:rPr>
        <w:t xml:space="preserve">the </w:t>
      </w:r>
      <w:r w:rsidR="004A3E7E" w:rsidRPr="00AA5D70">
        <w:rPr>
          <w:kern w:val="22"/>
          <w:szCs w:val="22"/>
        </w:rPr>
        <w:t xml:space="preserve">implementation of the post-2020 global biodiversity framework, contained in </w:t>
      </w:r>
      <w:r w:rsidR="006A76D2" w:rsidRPr="00AA5D70">
        <w:rPr>
          <w:kern w:val="22"/>
          <w:szCs w:val="22"/>
        </w:rPr>
        <w:t>a</w:t>
      </w:r>
      <w:r w:rsidR="004A3E7E" w:rsidRPr="00AA5D70">
        <w:rPr>
          <w:kern w:val="22"/>
          <w:szCs w:val="22"/>
        </w:rPr>
        <w:t>nnex</w:t>
      </w:r>
      <w:r w:rsidR="006A76D2" w:rsidRPr="00AA5D70">
        <w:rPr>
          <w:kern w:val="22"/>
          <w:szCs w:val="22"/>
        </w:rPr>
        <w:t> I</w:t>
      </w:r>
      <w:r w:rsidR="004A3E7E" w:rsidRPr="00AA5D70">
        <w:rPr>
          <w:kern w:val="22"/>
          <w:szCs w:val="22"/>
        </w:rPr>
        <w:t xml:space="preserve"> to </w:t>
      </w:r>
      <w:r w:rsidR="006A76D2" w:rsidRPr="00AA5D70">
        <w:rPr>
          <w:kern w:val="22"/>
          <w:szCs w:val="22"/>
        </w:rPr>
        <w:t>the present</w:t>
      </w:r>
      <w:r w:rsidR="004A3E7E" w:rsidRPr="00AA5D70">
        <w:rPr>
          <w:kern w:val="22"/>
          <w:szCs w:val="22"/>
        </w:rPr>
        <w:t xml:space="preserve"> decision</w:t>
      </w:r>
      <w:r w:rsidR="006569C2" w:rsidRPr="00AA5D70">
        <w:rPr>
          <w:kern w:val="22"/>
          <w:szCs w:val="22"/>
        </w:rPr>
        <w:t>;</w:t>
      </w:r>
      <w:r w:rsidR="00905C3B" w:rsidRPr="00AA5D70">
        <w:rPr>
          <w:rStyle w:val="FootnoteReference"/>
          <w:kern w:val="22"/>
          <w:szCs w:val="22"/>
        </w:rPr>
        <w:footnoteReference w:id="44"/>
      </w:r>
    </w:p>
    <w:p w14:paraId="19EBC190" w14:textId="588F3F43" w:rsidR="00066573"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2.</w:t>
      </w:r>
      <w:r w:rsidRPr="00AA5D70">
        <w:rPr>
          <w:kern w:val="22"/>
          <w:szCs w:val="22"/>
        </w:rPr>
        <w:tab/>
      </w:r>
      <w:r w:rsidR="00B001C6" w:rsidRPr="00AA5D70">
        <w:rPr>
          <w:i/>
          <w:iCs/>
          <w:kern w:val="22"/>
          <w:szCs w:val="22"/>
        </w:rPr>
        <w:t>Welcomes</w:t>
      </w:r>
      <w:r w:rsidR="00066573" w:rsidRPr="00AA5D70">
        <w:rPr>
          <w:kern w:val="22"/>
          <w:szCs w:val="22"/>
        </w:rPr>
        <w:t xml:space="preserve"> the </w:t>
      </w:r>
      <w:r w:rsidR="00AF6CF3" w:rsidRPr="00AA5D70">
        <w:rPr>
          <w:kern w:val="22"/>
          <w:szCs w:val="22"/>
        </w:rPr>
        <w:t>c</w:t>
      </w:r>
      <w:r w:rsidR="00066573" w:rsidRPr="00AA5D70">
        <w:rPr>
          <w:kern w:val="22"/>
          <w:szCs w:val="22"/>
        </w:rPr>
        <w:t>apacity-</w:t>
      </w:r>
      <w:r w:rsidR="00F45991" w:rsidRPr="00AA5D70">
        <w:rPr>
          <w:kern w:val="22"/>
          <w:szCs w:val="22"/>
        </w:rPr>
        <w:t>b</w:t>
      </w:r>
      <w:r w:rsidR="00066573" w:rsidRPr="00AA5D70">
        <w:rPr>
          <w:kern w:val="22"/>
          <w:szCs w:val="22"/>
        </w:rPr>
        <w:t xml:space="preserve">uilding </w:t>
      </w:r>
      <w:r w:rsidR="00AF6CF3" w:rsidRPr="00AA5D70">
        <w:rPr>
          <w:kern w:val="22"/>
          <w:szCs w:val="22"/>
        </w:rPr>
        <w:t>a</w:t>
      </w:r>
      <w:r w:rsidR="00066573" w:rsidRPr="00AA5D70">
        <w:rPr>
          <w:kern w:val="22"/>
          <w:szCs w:val="22"/>
        </w:rPr>
        <w:t xml:space="preserve">ction </w:t>
      </w:r>
      <w:r w:rsidR="00AF6CF3" w:rsidRPr="00AA5D70">
        <w:rPr>
          <w:kern w:val="22"/>
          <w:szCs w:val="22"/>
        </w:rPr>
        <w:t>p</w:t>
      </w:r>
      <w:r w:rsidR="00066573" w:rsidRPr="00AA5D70">
        <w:rPr>
          <w:kern w:val="22"/>
          <w:szCs w:val="22"/>
        </w:rPr>
        <w:t xml:space="preserve">lan for the Cartagena Protocol </w:t>
      </w:r>
      <w:r w:rsidR="00244FF6" w:rsidRPr="00AA5D70">
        <w:rPr>
          <w:kern w:val="22"/>
          <w:szCs w:val="22"/>
        </w:rPr>
        <w:t xml:space="preserve">on Biosafety </w:t>
      </w:r>
      <w:r w:rsidR="00066573" w:rsidRPr="00AA5D70">
        <w:rPr>
          <w:kern w:val="22"/>
          <w:szCs w:val="22"/>
        </w:rPr>
        <w:t>and its Supplementary Protocol</w:t>
      </w:r>
      <w:r w:rsidR="00113FA3" w:rsidRPr="00AA5D70">
        <w:rPr>
          <w:kern w:val="22"/>
          <w:szCs w:val="22"/>
        </w:rPr>
        <w:t>,</w:t>
      </w:r>
      <w:r w:rsidR="00E639AA" w:rsidRPr="00AA5D70">
        <w:rPr>
          <w:rStyle w:val="FootnoteReference"/>
          <w:kern w:val="22"/>
          <w:szCs w:val="22"/>
        </w:rPr>
        <w:footnoteReference w:id="45"/>
      </w:r>
      <w:r w:rsidR="00813F02" w:rsidRPr="00AA5D70">
        <w:rPr>
          <w:kern w:val="22"/>
          <w:szCs w:val="22"/>
        </w:rPr>
        <w:t xml:space="preserve"> </w:t>
      </w:r>
      <w:r w:rsidR="00372CFF" w:rsidRPr="00AA5D70">
        <w:rPr>
          <w:kern w:val="22"/>
          <w:szCs w:val="22"/>
        </w:rPr>
        <w:t xml:space="preserve">which has been developed </w:t>
      </w:r>
      <w:r w:rsidR="00A30964" w:rsidRPr="00D16AC1">
        <w:rPr>
          <w:kern w:val="22"/>
          <w:szCs w:val="22"/>
        </w:rPr>
        <w:t xml:space="preserve">to be </w:t>
      </w:r>
      <w:r w:rsidR="00372CFF" w:rsidRPr="00AA5D70">
        <w:rPr>
          <w:kern w:val="22"/>
          <w:szCs w:val="22"/>
        </w:rPr>
        <w:t xml:space="preserve">complementary to </w:t>
      </w:r>
      <w:r w:rsidR="00813F02" w:rsidRPr="00AA5D70">
        <w:rPr>
          <w:kern w:val="22"/>
          <w:szCs w:val="22"/>
        </w:rPr>
        <w:t>the long-term strategic framework</w:t>
      </w:r>
      <w:r w:rsidR="00C33B4B" w:rsidRPr="00AA5D70">
        <w:rPr>
          <w:kern w:val="22"/>
          <w:szCs w:val="22"/>
        </w:rPr>
        <w:t xml:space="preserve"> referred to in paragra</w:t>
      </w:r>
      <w:r w:rsidR="00AB529D" w:rsidRPr="00AA5D70">
        <w:rPr>
          <w:kern w:val="22"/>
          <w:szCs w:val="22"/>
        </w:rPr>
        <w:t>ph 1 above</w:t>
      </w:r>
      <w:r w:rsidR="006569C2" w:rsidRPr="00AA5D70">
        <w:rPr>
          <w:kern w:val="22"/>
          <w:szCs w:val="22"/>
        </w:rPr>
        <w:t>;</w:t>
      </w:r>
    </w:p>
    <w:p w14:paraId="34075F9C" w14:textId="575F8776" w:rsidR="00066573"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szCs w:val="22"/>
        </w:rPr>
      </w:pPr>
      <w:r w:rsidRPr="00AA5D70">
        <w:rPr>
          <w:kern w:val="22"/>
          <w:szCs w:val="22"/>
        </w:rPr>
        <w:t>3.</w:t>
      </w:r>
      <w:r w:rsidRPr="00AA5D70">
        <w:rPr>
          <w:kern w:val="22"/>
          <w:szCs w:val="22"/>
        </w:rPr>
        <w:tab/>
      </w:r>
      <w:r w:rsidR="00813F02" w:rsidRPr="00AA5D70">
        <w:rPr>
          <w:rFonts w:eastAsiaTheme="minorEastAsia"/>
          <w:i/>
          <w:iCs/>
          <w:kern w:val="22"/>
          <w:szCs w:val="22"/>
        </w:rPr>
        <w:t>Takes note</w:t>
      </w:r>
      <w:r w:rsidR="00813F02" w:rsidRPr="00AA5D70">
        <w:rPr>
          <w:rFonts w:eastAsiaTheme="minorEastAsia"/>
          <w:kern w:val="22"/>
          <w:szCs w:val="22"/>
        </w:rPr>
        <w:t xml:space="preserve"> of</w:t>
      </w:r>
      <w:r w:rsidR="00B93D50" w:rsidRPr="00AA5D70">
        <w:rPr>
          <w:rFonts w:eastAsiaTheme="minorEastAsia"/>
          <w:kern w:val="22"/>
          <w:szCs w:val="22"/>
        </w:rPr>
        <w:t xml:space="preserve"> the findings and recommendations of the evaluation of the strategic framework for capacity-building and development to support the effective implementation of the Nagoya Protocol</w:t>
      </w:r>
      <w:r w:rsidR="002C3E14" w:rsidRPr="00D16AC1">
        <w:rPr>
          <w:rFonts w:eastAsiaTheme="minorEastAsia"/>
          <w:kern w:val="22"/>
          <w:szCs w:val="22"/>
        </w:rPr>
        <w:t>,</w:t>
      </w:r>
      <w:r w:rsidR="00E639AA" w:rsidRPr="00AA5D70">
        <w:rPr>
          <w:rStyle w:val="FootnoteReference"/>
          <w:rFonts w:eastAsiaTheme="minorEastAsia"/>
          <w:kern w:val="22"/>
          <w:szCs w:val="22"/>
        </w:rPr>
        <w:footnoteReference w:id="46"/>
      </w:r>
      <w:r w:rsidR="00B93D50" w:rsidRPr="00AA5D70">
        <w:rPr>
          <w:rFonts w:eastAsiaTheme="minorEastAsia"/>
          <w:kern w:val="22"/>
          <w:szCs w:val="22"/>
        </w:rPr>
        <w:t xml:space="preserve"> and </w:t>
      </w:r>
      <w:r w:rsidR="0096447D" w:rsidRPr="00D16AC1">
        <w:rPr>
          <w:rFonts w:eastAsiaTheme="minorEastAsia"/>
          <w:i/>
          <w:iCs/>
          <w:kern w:val="22"/>
          <w:szCs w:val="22"/>
        </w:rPr>
        <w:t>reiterates</w:t>
      </w:r>
      <w:r w:rsidR="0096447D" w:rsidRPr="00AA5D70">
        <w:rPr>
          <w:rFonts w:eastAsiaTheme="minorEastAsia"/>
          <w:kern w:val="22"/>
          <w:szCs w:val="22"/>
        </w:rPr>
        <w:t xml:space="preserve"> </w:t>
      </w:r>
      <w:r w:rsidR="00C72FA4" w:rsidRPr="00D16AC1">
        <w:rPr>
          <w:rFonts w:eastAsiaTheme="minorEastAsia"/>
          <w:kern w:val="22"/>
          <w:szCs w:val="22"/>
        </w:rPr>
        <w:t>its</w:t>
      </w:r>
      <w:r w:rsidR="00C72FA4" w:rsidRPr="00AA5D70">
        <w:rPr>
          <w:rFonts w:eastAsiaTheme="minorEastAsia"/>
          <w:kern w:val="22"/>
          <w:szCs w:val="22"/>
        </w:rPr>
        <w:t xml:space="preserve"> </w:t>
      </w:r>
      <w:r w:rsidR="00B93D50" w:rsidRPr="00AA5D70">
        <w:rPr>
          <w:rFonts w:eastAsiaTheme="minorEastAsia"/>
          <w:kern w:val="22"/>
          <w:szCs w:val="22"/>
        </w:rPr>
        <w:t xml:space="preserve">decision requesting the Executive Secretary to facilitate its revision in line with the </w:t>
      </w:r>
      <w:r w:rsidR="00B93D50" w:rsidRPr="00AA5D70">
        <w:rPr>
          <w:kern w:val="22"/>
          <w:szCs w:val="22"/>
        </w:rPr>
        <w:t>long-term strategic framework</w:t>
      </w:r>
      <w:r w:rsidR="00FB45C6" w:rsidRPr="00AA5D70">
        <w:rPr>
          <w:kern w:val="22"/>
          <w:szCs w:val="22"/>
        </w:rPr>
        <w:t xml:space="preserve"> referred to in paragraph 1 above</w:t>
      </w:r>
      <w:r w:rsidR="006569C2" w:rsidRPr="00AA5D70">
        <w:rPr>
          <w:kern w:val="22"/>
          <w:szCs w:val="22"/>
        </w:rPr>
        <w:t>;</w:t>
      </w:r>
    </w:p>
    <w:p w14:paraId="3FA1C70F" w14:textId="58D044C4" w:rsidR="008F5B8B" w:rsidRPr="00AA5D70" w:rsidRDefault="008B7BF3"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4</w:t>
      </w:r>
      <w:r w:rsidR="00BC4DEE" w:rsidRPr="00AA5D70">
        <w:rPr>
          <w:kern w:val="22"/>
          <w:szCs w:val="22"/>
        </w:rPr>
        <w:t>.</w:t>
      </w:r>
      <w:r w:rsidR="00BC4DEE" w:rsidRPr="00AA5D70">
        <w:rPr>
          <w:kern w:val="22"/>
          <w:szCs w:val="22"/>
        </w:rPr>
        <w:tab/>
      </w:r>
      <w:r w:rsidR="004A3E7E" w:rsidRPr="00AA5D70">
        <w:rPr>
          <w:i/>
          <w:iCs/>
          <w:kern w:val="22"/>
          <w:szCs w:val="22"/>
        </w:rPr>
        <w:t xml:space="preserve">Invites </w:t>
      </w:r>
      <w:r w:rsidR="004A3E7E" w:rsidRPr="00AA5D70">
        <w:rPr>
          <w:kern w:val="22"/>
          <w:szCs w:val="22"/>
        </w:rPr>
        <w:t>Parties, other Governments, indigenous peoples and local communities and relevant organizations, to use the guidance provided in the long-term strategic framework in the design, implementation, monitoring and evaluation of their capacity development initiatives supporting the achievement of the vision, mission, goals and targets of the post-2020 global biodiversity framework</w:t>
      </w:r>
      <w:r w:rsidR="006569C2" w:rsidRPr="00AA5D70">
        <w:rPr>
          <w:kern w:val="22"/>
          <w:szCs w:val="22"/>
        </w:rPr>
        <w:t>;</w:t>
      </w:r>
    </w:p>
    <w:p w14:paraId="72843848" w14:textId="7AE56993" w:rsidR="008F5B8B" w:rsidRPr="00AA5D70" w:rsidRDefault="00886E83"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5.</w:t>
      </w:r>
      <w:r w:rsidR="00B000E6" w:rsidRPr="00AA5D70">
        <w:rPr>
          <w:kern w:val="22"/>
          <w:szCs w:val="22"/>
        </w:rPr>
        <w:tab/>
      </w:r>
      <w:r w:rsidR="008F5B8B" w:rsidRPr="00AA5D70">
        <w:rPr>
          <w:i/>
          <w:iCs/>
          <w:kern w:val="22"/>
          <w:szCs w:val="22"/>
        </w:rPr>
        <w:t xml:space="preserve">Urges </w:t>
      </w:r>
      <w:r w:rsidR="008F5B8B" w:rsidRPr="00AA5D70">
        <w:rPr>
          <w:kern w:val="22"/>
          <w:szCs w:val="22"/>
        </w:rPr>
        <w:t>Parties and other Governments to put in place enabling environment</w:t>
      </w:r>
      <w:r w:rsidR="005477AF" w:rsidRPr="00AA5D70">
        <w:rPr>
          <w:kern w:val="22"/>
          <w:szCs w:val="22"/>
        </w:rPr>
        <w:t>s</w:t>
      </w:r>
      <w:r w:rsidR="008F5B8B" w:rsidRPr="00AA5D70">
        <w:rPr>
          <w:kern w:val="22"/>
          <w:szCs w:val="22"/>
        </w:rPr>
        <w:t xml:space="preserve"> (including relevant policies, laws and incentives) to promote and facilitate </w:t>
      </w:r>
      <w:r w:rsidR="005477AF" w:rsidRPr="00AA5D70">
        <w:rPr>
          <w:kern w:val="22"/>
          <w:szCs w:val="22"/>
        </w:rPr>
        <w:t>capacity development</w:t>
      </w:r>
      <w:r w:rsidR="00544281" w:rsidRPr="00AA5D70">
        <w:rPr>
          <w:kern w:val="22"/>
          <w:szCs w:val="22"/>
        </w:rPr>
        <w:t xml:space="preserve"> at various levels</w:t>
      </w:r>
      <w:r w:rsidR="005477AF" w:rsidRPr="00AA5D70">
        <w:rPr>
          <w:kern w:val="22"/>
          <w:szCs w:val="22"/>
        </w:rPr>
        <w:t>;</w:t>
      </w:r>
    </w:p>
    <w:p w14:paraId="2D7EC93E" w14:textId="7B6024F4" w:rsidR="004A3E7E" w:rsidRPr="00AA5D70" w:rsidRDefault="0055470F"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szCs w:val="22"/>
        </w:rPr>
      </w:pPr>
      <w:r w:rsidRPr="00AA5D70">
        <w:rPr>
          <w:rFonts w:eastAsiaTheme="minorEastAsia"/>
          <w:kern w:val="22"/>
          <w:szCs w:val="22"/>
        </w:rPr>
        <w:t>6</w:t>
      </w:r>
      <w:r w:rsidR="00BC4DEE" w:rsidRPr="00AA5D70">
        <w:rPr>
          <w:kern w:val="22"/>
          <w:szCs w:val="22"/>
        </w:rPr>
        <w:t>.</w:t>
      </w:r>
      <w:r w:rsidR="00BC4DEE" w:rsidRPr="00AA5D70">
        <w:rPr>
          <w:kern w:val="22"/>
          <w:szCs w:val="22"/>
        </w:rPr>
        <w:tab/>
      </w:r>
      <w:r w:rsidR="004A3E7E" w:rsidRPr="00AA5D70">
        <w:rPr>
          <w:i/>
          <w:iCs/>
          <w:kern w:val="22"/>
          <w:szCs w:val="22"/>
        </w:rPr>
        <w:t xml:space="preserve">Invites </w:t>
      </w:r>
      <w:r w:rsidR="004A3E7E" w:rsidRPr="00AA5D70">
        <w:rPr>
          <w:kern w:val="22"/>
          <w:szCs w:val="22"/>
        </w:rPr>
        <w:t>biodiversity-related conventions and other multilateral environment agreements and processes to align their capacity development strategies, action plans, work programmes and mechanisms with the long-term strategic framework, as appropriate, to foster synergy, integrated programming and/or joint implementation of biodiversity capacity development initiatives</w:t>
      </w:r>
      <w:r w:rsidR="006569C2" w:rsidRPr="00AA5D70">
        <w:rPr>
          <w:kern w:val="22"/>
          <w:szCs w:val="22"/>
        </w:rPr>
        <w:t>;</w:t>
      </w:r>
    </w:p>
    <w:p w14:paraId="73FB2683" w14:textId="1CBE7C46" w:rsidR="004A3E7E" w:rsidRPr="00AA5D70" w:rsidRDefault="0055470F"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lastRenderedPageBreak/>
        <w:t>7</w:t>
      </w:r>
      <w:r w:rsidR="00BC4DEE" w:rsidRPr="00AA5D70">
        <w:rPr>
          <w:kern w:val="22"/>
          <w:szCs w:val="22"/>
        </w:rPr>
        <w:t>.</w:t>
      </w:r>
      <w:r w:rsidR="00BC4DEE" w:rsidRPr="00AA5D70">
        <w:rPr>
          <w:kern w:val="22"/>
          <w:szCs w:val="22"/>
        </w:rPr>
        <w:tab/>
      </w:r>
      <w:r w:rsidR="004A3E7E" w:rsidRPr="00AA5D70">
        <w:rPr>
          <w:i/>
          <w:iCs/>
          <w:kern w:val="22"/>
          <w:szCs w:val="22"/>
        </w:rPr>
        <w:t xml:space="preserve">Also invites </w:t>
      </w:r>
      <w:r w:rsidR="004A3E7E" w:rsidRPr="00AA5D70">
        <w:rPr>
          <w:kern w:val="22"/>
          <w:szCs w:val="22"/>
        </w:rPr>
        <w:t xml:space="preserve">Parties, other Governments, and relevant organizations in a position to do so, </w:t>
      </w:r>
      <w:r w:rsidR="00C01083" w:rsidRPr="00AA5D70">
        <w:rPr>
          <w:kern w:val="22"/>
          <w:szCs w:val="22"/>
        </w:rPr>
        <w:t xml:space="preserve">as well as the Global Environmental Facility, </w:t>
      </w:r>
      <w:r w:rsidR="004A3E7E" w:rsidRPr="00AA5D70">
        <w:rPr>
          <w:kern w:val="22"/>
          <w:szCs w:val="22"/>
        </w:rPr>
        <w:t>to provide financial and technical support to enable developing country Parties, Parties with economies in transition and indigenous peoples and local communities to design and implement capacity development programmes aligned with the long-term strategic framework</w:t>
      </w:r>
      <w:r w:rsidR="006569C2" w:rsidRPr="00AA5D70">
        <w:rPr>
          <w:kern w:val="22"/>
          <w:szCs w:val="22"/>
        </w:rPr>
        <w:t>;</w:t>
      </w:r>
    </w:p>
    <w:p w14:paraId="05016B60" w14:textId="32ABCAEA" w:rsidR="004A3E7E" w:rsidRPr="00AA5D70" w:rsidRDefault="0055470F"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8</w:t>
      </w:r>
      <w:r w:rsidR="00BC4DEE" w:rsidRPr="00AA5D70">
        <w:rPr>
          <w:kern w:val="22"/>
          <w:szCs w:val="22"/>
        </w:rPr>
        <w:t>.</w:t>
      </w:r>
      <w:r w:rsidR="00BC4DEE" w:rsidRPr="00AA5D70">
        <w:rPr>
          <w:kern w:val="22"/>
          <w:szCs w:val="22"/>
        </w:rPr>
        <w:tab/>
      </w:r>
      <w:r w:rsidR="004A3E7E" w:rsidRPr="00AA5D70">
        <w:rPr>
          <w:i/>
          <w:iCs/>
          <w:kern w:val="22"/>
          <w:szCs w:val="22"/>
        </w:rPr>
        <w:t>Invites</w:t>
      </w:r>
      <w:r w:rsidR="004A3E7E" w:rsidRPr="00AA5D70">
        <w:rPr>
          <w:kern w:val="22"/>
          <w:szCs w:val="22"/>
        </w:rPr>
        <w:t xml:space="preserve"> </w:t>
      </w:r>
      <w:r w:rsidR="00CB24B8" w:rsidRPr="00D16AC1">
        <w:rPr>
          <w:kern w:val="22"/>
          <w:szCs w:val="22"/>
        </w:rPr>
        <w:t xml:space="preserve">the </w:t>
      </w:r>
      <w:r w:rsidR="00335026" w:rsidRPr="00AA5D70">
        <w:rPr>
          <w:kern w:val="22"/>
          <w:szCs w:val="22"/>
        </w:rPr>
        <w:t xml:space="preserve">secretariats of </w:t>
      </w:r>
      <w:r w:rsidR="004A3E7E" w:rsidRPr="00AA5D70">
        <w:rPr>
          <w:kern w:val="22"/>
          <w:szCs w:val="22"/>
        </w:rPr>
        <w:t>biodiversity-related convention</w:t>
      </w:r>
      <w:r w:rsidR="0057146E" w:rsidRPr="00AA5D70">
        <w:rPr>
          <w:kern w:val="22"/>
          <w:szCs w:val="22"/>
        </w:rPr>
        <w:t>s</w:t>
      </w:r>
      <w:r w:rsidR="004A3E7E" w:rsidRPr="00AA5D70">
        <w:rPr>
          <w:kern w:val="22"/>
          <w:szCs w:val="22"/>
        </w:rPr>
        <w:t>, in collaboration with governments, relevant organizations and stakeholders</w:t>
      </w:r>
      <w:r w:rsidR="00E00CF8" w:rsidRPr="00AA5D70">
        <w:rPr>
          <w:kern w:val="22"/>
          <w:szCs w:val="22"/>
        </w:rPr>
        <w:t>,</w:t>
      </w:r>
      <w:r w:rsidR="004A3E7E" w:rsidRPr="00AA5D70">
        <w:rPr>
          <w:kern w:val="22"/>
          <w:szCs w:val="22"/>
        </w:rPr>
        <w:t xml:space="preserve"> to prepare, immediately following the adoption of the post-2020 global biodiversity framework, thematic capacity development action plans for specific 2030 targets or groups of related targets, and </w:t>
      </w:r>
      <w:r w:rsidR="00A15A2D" w:rsidRPr="00AA5D70">
        <w:rPr>
          <w:kern w:val="22"/>
          <w:szCs w:val="22"/>
        </w:rPr>
        <w:t xml:space="preserve">to </w:t>
      </w:r>
      <w:r w:rsidR="004A3E7E" w:rsidRPr="00AA5D70">
        <w:rPr>
          <w:kern w:val="22"/>
          <w:szCs w:val="22"/>
        </w:rPr>
        <w:t>develop dedicated global, regional and subregional programmes to implement those thematic plans, in line with the long-term strategic framework</w:t>
      </w:r>
      <w:r w:rsidR="006569C2" w:rsidRPr="00AA5D70">
        <w:rPr>
          <w:kern w:val="22"/>
          <w:szCs w:val="22"/>
        </w:rPr>
        <w:t>;</w:t>
      </w:r>
    </w:p>
    <w:p w14:paraId="2280F80D" w14:textId="039453E5" w:rsidR="004A3E7E" w:rsidRPr="00AA5D70" w:rsidRDefault="0055470F"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9</w:t>
      </w:r>
      <w:r w:rsidR="00BC4DEE" w:rsidRPr="00AA5D70">
        <w:rPr>
          <w:kern w:val="22"/>
          <w:szCs w:val="22"/>
        </w:rPr>
        <w:t>.</w:t>
      </w:r>
      <w:r w:rsidR="00BC4DEE" w:rsidRPr="00AA5D70">
        <w:rPr>
          <w:kern w:val="22"/>
          <w:szCs w:val="22"/>
        </w:rPr>
        <w:tab/>
      </w:r>
      <w:r w:rsidR="004A3E7E" w:rsidRPr="00AA5D70">
        <w:rPr>
          <w:i/>
          <w:iCs/>
          <w:kern w:val="22"/>
          <w:szCs w:val="22"/>
        </w:rPr>
        <w:t>Invites</w:t>
      </w:r>
      <w:r w:rsidR="004A3E7E" w:rsidRPr="00AA5D70">
        <w:rPr>
          <w:kern w:val="22"/>
          <w:szCs w:val="22"/>
        </w:rPr>
        <w:t xml:space="preserve"> Parties and other Governments to integrate capacity development components in their national biodiversity strategies and action plans and/or develop dedicated biodiversity capacity development action plans, as appropriate</w:t>
      </w:r>
      <w:r w:rsidR="006569C2" w:rsidRPr="00AA5D70">
        <w:rPr>
          <w:kern w:val="22"/>
          <w:szCs w:val="22"/>
        </w:rPr>
        <w:t>;</w:t>
      </w:r>
    </w:p>
    <w:p w14:paraId="48B8CAB6" w14:textId="7CFCB6F8" w:rsidR="004A3E7E" w:rsidRPr="00AA5D70" w:rsidRDefault="0055470F"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10</w:t>
      </w:r>
      <w:r w:rsidR="00BC4DEE" w:rsidRPr="00AA5D70">
        <w:rPr>
          <w:kern w:val="22"/>
          <w:szCs w:val="22"/>
        </w:rPr>
        <w:t>.</w:t>
      </w:r>
      <w:r w:rsidR="00BC4DEE" w:rsidRPr="00AA5D70">
        <w:rPr>
          <w:kern w:val="22"/>
          <w:szCs w:val="22"/>
        </w:rPr>
        <w:tab/>
      </w:r>
      <w:r w:rsidR="004A3E7E" w:rsidRPr="00AA5D70">
        <w:rPr>
          <w:i/>
          <w:iCs/>
          <w:kern w:val="22"/>
          <w:szCs w:val="22"/>
        </w:rPr>
        <w:t>Invites</w:t>
      </w:r>
      <w:r w:rsidR="004A3E7E" w:rsidRPr="00AA5D70">
        <w:rPr>
          <w:kern w:val="22"/>
          <w:szCs w:val="22"/>
        </w:rPr>
        <w:t xml:space="preserve"> Parties, other Governments and relevant organizations to institutionali</w:t>
      </w:r>
      <w:r w:rsidR="00054558" w:rsidRPr="00AA5D70">
        <w:rPr>
          <w:kern w:val="22"/>
          <w:szCs w:val="22"/>
        </w:rPr>
        <w:t>z</w:t>
      </w:r>
      <w:r w:rsidR="004A3E7E" w:rsidRPr="00AA5D70">
        <w:rPr>
          <w:kern w:val="22"/>
          <w:szCs w:val="22"/>
        </w:rPr>
        <w:t>e and deliver capacity development interventions as part of their regular policies, plans and programmes</w:t>
      </w:r>
      <w:r w:rsidR="006569C2" w:rsidRPr="00AA5D70">
        <w:rPr>
          <w:kern w:val="22"/>
          <w:szCs w:val="22"/>
        </w:rPr>
        <w:t>;</w:t>
      </w:r>
    </w:p>
    <w:p w14:paraId="74458699" w14:textId="06044F6B"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w:t>
      </w:r>
      <w:r w:rsidR="0055470F" w:rsidRPr="00AA5D70">
        <w:rPr>
          <w:kern w:val="22"/>
          <w:szCs w:val="22"/>
        </w:rPr>
        <w:t>1</w:t>
      </w:r>
      <w:r w:rsidRPr="00AA5D70">
        <w:rPr>
          <w:kern w:val="22"/>
          <w:szCs w:val="22"/>
        </w:rPr>
        <w:t>.</w:t>
      </w:r>
      <w:r w:rsidRPr="00AA5D70">
        <w:rPr>
          <w:kern w:val="22"/>
          <w:szCs w:val="22"/>
        </w:rPr>
        <w:tab/>
      </w:r>
      <w:r w:rsidR="004A3E7E" w:rsidRPr="00AA5D70">
        <w:rPr>
          <w:i/>
          <w:iCs/>
          <w:kern w:val="22"/>
          <w:szCs w:val="22"/>
        </w:rPr>
        <w:t>Invites</w:t>
      </w:r>
      <w:r w:rsidR="004A3E7E" w:rsidRPr="00AA5D70">
        <w:rPr>
          <w:kern w:val="22"/>
          <w:szCs w:val="22"/>
        </w:rPr>
        <w:t xml:space="preserve"> Parties, other Governments and relevant organizations to allocate additional financial resources to support biodiversity capacity development, taking into account the priority needs identified in national biodiversity strategies and action plans and/or national capacity development strategies</w:t>
      </w:r>
      <w:r w:rsidR="006569C2" w:rsidRPr="00AA5D70">
        <w:rPr>
          <w:kern w:val="22"/>
          <w:szCs w:val="22"/>
        </w:rPr>
        <w:t>;</w:t>
      </w:r>
    </w:p>
    <w:p w14:paraId="2A499DA9" w14:textId="6E677125"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w:t>
      </w:r>
      <w:r w:rsidR="0055470F" w:rsidRPr="00AA5D70">
        <w:rPr>
          <w:kern w:val="22"/>
          <w:szCs w:val="22"/>
        </w:rPr>
        <w:t>2</w:t>
      </w:r>
      <w:r w:rsidRPr="00AA5D70">
        <w:rPr>
          <w:kern w:val="22"/>
          <w:szCs w:val="22"/>
        </w:rPr>
        <w:t>.</w:t>
      </w:r>
      <w:r w:rsidRPr="00AA5D70">
        <w:rPr>
          <w:kern w:val="22"/>
          <w:szCs w:val="22"/>
        </w:rPr>
        <w:tab/>
      </w:r>
      <w:r w:rsidR="004A3E7E" w:rsidRPr="00AA5D70">
        <w:rPr>
          <w:i/>
          <w:iCs/>
          <w:kern w:val="22"/>
          <w:szCs w:val="22"/>
        </w:rPr>
        <w:t>Invites</w:t>
      </w:r>
      <w:r w:rsidR="004A3E7E" w:rsidRPr="00AA5D70">
        <w:rPr>
          <w:kern w:val="22"/>
          <w:szCs w:val="22"/>
        </w:rPr>
        <w:t xml:space="preserve"> Parties and other Governments to include biodiversity capacity development, as appropriate, in relevant development cooperation frameworks, partnerships and programmes</w:t>
      </w:r>
      <w:r w:rsidR="006569C2" w:rsidRPr="00AA5D70">
        <w:rPr>
          <w:kern w:val="22"/>
          <w:szCs w:val="22"/>
        </w:rPr>
        <w:t>;</w:t>
      </w:r>
    </w:p>
    <w:p w14:paraId="65321C75" w14:textId="116C77E7"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w:t>
      </w:r>
      <w:r w:rsidR="0055470F" w:rsidRPr="00AA5D70">
        <w:rPr>
          <w:kern w:val="22"/>
          <w:szCs w:val="22"/>
        </w:rPr>
        <w:t>3</w:t>
      </w:r>
      <w:r w:rsidRPr="00AA5D70">
        <w:rPr>
          <w:kern w:val="22"/>
          <w:szCs w:val="22"/>
        </w:rPr>
        <w:t>.</w:t>
      </w:r>
      <w:r w:rsidRPr="00AA5D70">
        <w:rPr>
          <w:kern w:val="22"/>
          <w:szCs w:val="22"/>
        </w:rPr>
        <w:tab/>
      </w:r>
      <w:r w:rsidR="004A3E7E" w:rsidRPr="00AA5D70">
        <w:rPr>
          <w:i/>
          <w:iCs/>
          <w:kern w:val="22"/>
          <w:szCs w:val="22"/>
        </w:rPr>
        <w:t>Invites</w:t>
      </w:r>
      <w:r w:rsidR="004A3E7E" w:rsidRPr="00AA5D70">
        <w:rPr>
          <w:kern w:val="22"/>
          <w:szCs w:val="22"/>
        </w:rPr>
        <w:t xml:space="preserve"> universities and other academic institutions to integrate into their curricula new specialized and transdisciplinary academic courses and programmes and/or expand and strengthen existing ones, generate and share new knowledge, and implement continuing education programmes to support the post-2020 global biodiversity framework</w:t>
      </w:r>
      <w:r w:rsidR="006569C2" w:rsidRPr="00AA5D70">
        <w:rPr>
          <w:kern w:val="22"/>
          <w:szCs w:val="22"/>
        </w:rPr>
        <w:t>;</w:t>
      </w:r>
    </w:p>
    <w:p w14:paraId="4E7A99F5" w14:textId="5B8D82AC"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w:t>
      </w:r>
      <w:r w:rsidR="0055470F" w:rsidRPr="00AA5D70">
        <w:rPr>
          <w:kern w:val="22"/>
          <w:szCs w:val="22"/>
        </w:rPr>
        <w:t>4</w:t>
      </w:r>
      <w:r w:rsidRPr="00AA5D70">
        <w:rPr>
          <w:kern w:val="22"/>
          <w:szCs w:val="22"/>
        </w:rPr>
        <w:t>.</w:t>
      </w:r>
      <w:r w:rsidRPr="00AA5D70">
        <w:rPr>
          <w:kern w:val="22"/>
          <w:szCs w:val="22"/>
        </w:rPr>
        <w:tab/>
      </w:r>
      <w:r w:rsidR="004A3E7E" w:rsidRPr="00AA5D70">
        <w:rPr>
          <w:i/>
          <w:iCs/>
          <w:kern w:val="22"/>
          <w:szCs w:val="22"/>
        </w:rPr>
        <w:t>Invites</w:t>
      </w:r>
      <w:r w:rsidR="004A3E7E" w:rsidRPr="00AA5D70">
        <w:rPr>
          <w:kern w:val="22"/>
          <w:szCs w:val="22"/>
        </w:rPr>
        <w:t xml:space="preserve"> relevant organizations and regional and subregional bodies, including regional economic integration organizations, to establish or, as appropriate, strengthen existing regional and subregional support networks to provide, upon request, assistance to enable national and subnational government institutions, local authorities and non-government actors within the respective regions or subregions to strengthen their capacities, while also mobilizing and fostering effective use and retention of the capacities developed</w:t>
      </w:r>
      <w:r w:rsidR="00D77D2E" w:rsidRPr="00AA5D70">
        <w:rPr>
          <w:kern w:val="22"/>
          <w:szCs w:val="22"/>
        </w:rPr>
        <w:t>;</w:t>
      </w:r>
    </w:p>
    <w:p w14:paraId="50712398" w14:textId="72DE74B6"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sidRPr="00AA5D70">
        <w:rPr>
          <w:kern w:val="22"/>
          <w:szCs w:val="22"/>
        </w:rPr>
        <w:t>1</w:t>
      </w:r>
      <w:r w:rsidR="0055470F" w:rsidRPr="00AA5D70">
        <w:rPr>
          <w:kern w:val="22"/>
          <w:szCs w:val="22"/>
        </w:rPr>
        <w:t>5</w:t>
      </w:r>
      <w:r w:rsidRPr="00AA5D70">
        <w:rPr>
          <w:kern w:val="22"/>
          <w:szCs w:val="22"/>
        </w:rPr>
        <w:t>.</w:t>
      </w:r>
      <w:r w:rsidRPr="00AA5D70">
        <w:rPr>
          <w:kern w:val="22"/>
          <w:szCs w:val="22"/>
        </w:rPr>
        <w:tab/>
      </w:r>
      <w:r w:rsidR="004A3E7E" w:rsidRPr="00AA5D70">
        <w:rPr>
          <w:i/>
          <w:iCs/>
          <w:kern w:val="22"/>
          <w:szCs w:val="22"/>
        </w:rPr>
        <w:t xml:space="preserve">Invites </w:t>
      </w:r>
      <w:r w:rsidR="004A3E7E" w:rsidRPr="00AA5D70">
        <w:rPr>
          <w:kern w:val="22"/>
          <w:szCs w:val="22"/>
        </w:rPr>
        <w:t xml:space="preserve">the United Nations Environment Management Group, in collaboration with the Liaison Group of Biodiversity-related Conventions, to designate a biodiversity capacity development task team to foster </w:t>
      </w:r>
      <w:r w:rsidR="009C1FA1" w:rsidRPr="00AA5D70">
        <w:rPr>
          <w:kern w:val="22"/>
          <w:szCs w:val="22"/>
        </w:rPr>
        <w:t>United Nations</w:t>
      </w:r>
      <w:r w:rsidR="004A3E7E" w:rsidRPr="00AA5D70">
        <w:rPr>
          <w:kern w:val="22"/>
          <w:szCs w:val="22"/>
        </w:rPr>
        <w:t xml:space="preserve"> system-wide synergy, coherence and effectiveness in the provision of capacity development support and guidance for the implementation of the post-2020 global biodiversity framework, in line with the proposed </w:t>
      </w:r>
      <w:r w:rsidR="009656FA" w:rsidRPr="00AA5D70">
        <w:rPr>
          <w:kern w:val="22"/>
          <w:szCs w:val="22"/>
        </w:rPr>
        <w:t>United Nations</w:t>
      </w:r>
      <w:r w:rsidR="004A3E7E" w:rsidRPr="00AA5D70">
        <w:rPr>
          <w:kern w:val="22"/>
          <w:szCs w:val="22"/>
        </w:rPr>
        <w:t xml:space="preserve"> common approach to integrating biodiversity and nature-based solutions for sustainable development into </w:t>
      </w:r>
      <w:r w:rsidR="009656FA" w:rsidRPr="00AA5D70">
        <w:rPr>
          <w:kern w:val="22"/>
          <w:szCs w:val="22"/>
        </w:rPr>
        <w:t>United Nations</w:t>
      </w:r>
      <w:r w:rsidR="004A3E7E" w:rsidRPr="00AA5D70">
        <w:rPr>
          <w:kern w:val="22"/>
          <w:szCs w:val="22"/>
        </w:rPr>
        <w:t xml:space="preserve"> policy and programme planning and delivery</w:t>
      </w:r>
      <w:r w:rsidR="00D77D2E" w:rsidRPr="00AA5D70">
        <w:rPr>
          <w:kern w:val="22"/>
          <w:szCs w:val="22"/>
        </w:rPr>
        <w:t>;</w:t>
      </w:r>
      <w:r w:rsidR="004A3E7E" w:rsidRPr="00AA5D70">
        <w:rPr>
          <w:rStyle w:val="FootnoteReference"/>
          <w:kern w:val="22"/>
          <w:szCs w:val="22"/>
        </w:rPr>
        <w:footnoteReference w:id="47"/>
      </w:r>
    </w:p>
    <w:p w14:paraId="1F6F6506" w14:textId="1FB92CD5"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w:t>
      </w:r>
      <w:r w:rsidR="00A32140" w:rsidRPr="00AA5D70">
        <w:rPr>
          <w:kern w:val="22"/>
          <w:szCs w:val="22"/>
        </w:rPr>
        <w:t>6</w:t>
      </w:r>
      <w:r w:rsidRPr="00AA5D70">
        <w:rPr>
          <w:kern w:val="22"/>
          <w:szCs w:val="22"/>
        </w:rPr>
        <w:t>.</w:t>
      </w:r>
      <w:r w:rsidRPr="00AA5D70">
        <w:rPr>
          <w:kern w:val="22"/>
          <w:szCs w:val="22"/>
        </w:rPr>
        <w:tab/>
      </w:r>
      <w:r w:rsidR="004A3E7E" w:rsidRPr="00AA5D70">
        <w:rPr>
          <w:i/>
          <w:iCs/>
          <w:kern w:val="22"/>
          <w:szCs w:val="22"/>
        </w:rPr>
        <w:t xml:space="preserve">Invites </w:t>
      </w:r>
      <w:r w:rsidR="00DF2E59" w:rsidRPr="00AA5D70">
        <w:rPr>
          <w:kern w:val="22"/>
          <w:szCs w:val="22"/>
        </w:rPr>
        <w:t>r</w:t>
      </w:r>
      <w:r w:rsidR="004A3E7E" w:rsidRPr="00AA5D70">
        <w:rPr>
          <w:kern w:val="22"/>
          <w:szCs w:val="22"/>
        </w:rPr>
        <w:t xml:space="preserve">egional </w:t>
      </w:r>
      <w:r w:rsidR="00DF2E59" w:rsidRPr="00AA5D70">
        <w:rPr>
          <w:kern w:val="22"/>
          <w:szCs w:val="22"/>
        </w:rPr>
        <w:t>t</w:t>
      </w:r>
      <w:r w:rsidR="004A3E7E" w:rsidRPr="00AA5D70">
        <w:rPr>
          <w:kern w:val="22"/>
          <w:szCs w:val="22"/>
        </w:rPr>
        <w:t xml:space="preserve">eams of the United Nations Sustainable Development Group and the United Nations </w:t>
      </w:r>
      <w:r w:rsidR="00DC4D7E" w:rsidRPr="00AA5D70">
        <w:rPr>
          <w:kern w:val="22"/>
          <w:szCs w:val="22"/>
        </w:rPr>
        <w:t>r</w:t>
      </w:r>
      <w:r w:rsidR="004A3E7E" w:rsidRPr="00AA5D70">
        <w:rPr>
          <w:kern w:val="22"/>
          <w:szCs w:val="22"/>
        </w:rPr>
        <w:t xml:space="preserve">egional </w:t>
      </w:r>
      <w:r w:rsidR="00DC4D7E" w:rsidRPr="00AA5D70">
        <w:rPr>
          <w:kern w:val="22"/>
          <w:szCs w:val="22"/>
        </w:rPr>
        <w:t>c</w:t>
      </w:r>
      <w:r w:rsidR="004A3E7E" w:rsidRPr="00AA5D70">
        <w:rPr>
          <w:kern w:val="22"/>
          <w:szCs w:val="22"/>
        </w:rPr>
        <w:t>ommissions to initiate and facilitate the coordination and synerg</w:t>
      </w:r>
      <w:r w:rsidR="00AA6E02" w:rsidRPr="00AA5D70">
        <w:rPr>
          <w:kern w:val="22"/>
          <w:szCs w:val="22"/>
        </w:rPr>
        <w:t>istic</w:t>
      </w:r>
      <w:r w:rsidR="004A3E7E" w:rsidRPr="00AA5D70">
        <w:rPr>
          <w:kern w:val="22"/>
          <w:szCs w:val="22"/>
        </w:rPr>
        <w:t xml:space="preserve"> implementation of capacity development interventions in support of the post-2020 global biodiversity framework</w:t>
      </w:r>
      <w:r w:rsidR="00D77D2E" w:rsidRPr="00AA5D70">
        <w:rPr>
          <w:kern w:val="22"/>
          <w:szCs w:val="22"/>
        </w:rPr>
        <w:t>;</w:t>
      </w:r>
    </w:p>
    <w:p w14:paraId="0F8352C0" w14:textId="03D10E81"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t>1</w:t>
      </w:r>
      <w:r w:rsidR="00A32140" w:rsidRPr="00AA5D70">
        <w:rPr>
          <w:kern w:val="22"/>
          <w:szCs w:val="22"/>
        </w:rPr>
        <w:t>7</w:t>
      </w:r>
      <w:r w:rsidRPr="00AA5D70">
        <w:rPr>
          <w:kern w:val="22"/>
          <w:szCs w:val="22"/>
        </w:rPr>
        <w:t>.</w:t>
      </w:r>
      <w:r w:rsidRPr="00AA5D70">
        <w:rPr>
          <w:kern w:val="22"/>
          <w:szCs w:val="22"/>
        </w:rPr>
        <w:tab/>
      </w:r>
      <w:r w:rsidR="004A3E7E" w:rsidRPr="00AA5D70">
        <w:rPr>
          <w:i/>
          <w:kern w:val="22"/>
          <w:szCs w:val="22"/>
        </w:rPr>
        <w:t>Also</w:t>
      </w:r>
      <w:r w:rsidR="004A3E7E" w:rsidRPr="00AA5D70">
        <w:rPr>
          <w:i/>
          <w:iCs/>
          <w:kern w:val="22"/>
          <w:szCs w:val="22"/>
        </w:rPr>
        <w:t xml:space="preserve"> invites </w:t>
      </w:r>
      <w:r w:rsidR="004A3E7E" w:rsidRPr="00AA5D70">
        <w:rPr>
          <w:kern w:val="22"/>
          <w:szCs w:val="22"/>
        </w:rPr>
        <w:t xml:space="preserve">United Nations Resident Coordinators and the United Nations </w:t>
      </w:r>
      <w:r w:rsidR="00DF2E59" w:rsidRPr="00AA5D70">
        <w:rPr>
          <w:kern w:val="22"/>
          <w:szCs w:val="22"/>
        </w:rPr>
        <w:t>c</w:t>
      </w:r>
      <w:r w:rsidR="004A3E7E" w:rsidRPr="00AA5D70">
        <w:rPr>
          <w:kern w:val="22"/>
          <w:szCs w:val="22"/>
        </w:rPr>
        <w:t xml:space="preserve">ountry </w:t>
      </w:r>
      <w:r w:rsidR="00DF2E59" w:rsidRPr="00AA5D70">
        <w:rPr>
          <w:kern w:val="22"/>
          <w:szCs w:val="22"/>
        </w:rPr>
        <w:t>t</w:t>
      </w:r>
      <w:r w:rsidR="004A3E7E" w:rsidRPr="00AA5D70">
        <w:rPr>
          <w:kern w:val="22"/>
          <w:szCs w:val="22"/>
        </w:rPr>
        <w:t>eams to integrate biodiversity capacity development into country</w:t>
      </w:r>
      <w:r w:rsidR="00F07423" w:rsidRPr="00D16AC1">
        <w:rPr>
          <w:kern w:val="22"/>
          <w:szCs w:val="22"/>
        </w:rPr>
        <w:t>-level</w:t>
      </w:r>
      <w:r w:rsidR="004A3E7E" w:rsidRPr="00AA5D70">
        <w:rPr>
          <w:kern w:val="22"/>
          <w:szCs w:val="22"/>
        </w:rPr>
        <w:t xml:space="preserve"> United Nations </w:t>
      </w:r>
      <w:r w:rsidR="00F07423" w:rsidRPr="00D16AC1">
        <w:rPr>
          <w:kern w:val="22"/>
          <w:szCs w:val="22"/>
        </w:rPr>
        <w:t>s</w:t>
      </w:r>
      <w:r w:rsidR="004A3E7E" w:rsidRPr="00AA5D70">
        <w:rPr>
          <w:kern w:val="22"/>
          <w:szCs w:val="22"/>
        </w:rPr>
        <w:t xml:space="preserve">ustainable </w:t>
      </w:r>
      <w:r w:rsidR="00F07423" w:rsidRPr="00D16AC1">
        <w:rPr>
          <w:kern w:val="22"/>
          <w:szCs w:val="22"/>
        </w:rPr>
        <w:t>d</w:t>
      </w:r>
      <w:r w:rsidR="004A3E7E" w:rsidRPr="00AA5D70">
        <w:rPr>
          <w:kern w:val="22"/>
          <w:szCs w:val="22"/>
        </w:rPr>
        <w:t xml:space="preserve">evelopment </w:t>
      </w:r>
      <w:r w:rsidR="00F07423" w:rsidRPr="00D16AC1">
        <w:rPr>
          <w:kern w:val="22"/>
          <w:szCs w:val="22"/>
        </w:rPr>
        <w:t>c</w:t>
      </w:r>
      <w:r w:rsidR="004A3E7E" w:rsidRPr="00AA5D70">
        <w:rPr>
          <w:kern w:val="22"/>
          <w:szCs w:val="22"/>
        </w:rPr>
        <w:t xml:space="preserve">ooperation </w:t>
      </w:r>
      <w:r w:rsidR="00F07423" w:rsidRPr="00D16AC1">
        <w:rPr>
          <w:kern w:val="22"/>
          <w:szCs w:val="22"/>
        </w:rPr>
        <w:t>f</w:t>
      </w:r>
      <w:r w:rsidR="004A3E7E" w:rsidRPr="00AA5D70">
        <w:rPr>
          <w:kern w:val="22"/>
          <w:szCs w:val="22"/>
        </w:rPr>
        <w:t xml:space="preserve">rameworks to support national implementation of the post-2020 global biodiversity framework and the </w:t>
      </w:r>
      <w:r w:rsidR="0098560E" w:rsidRPr="00AA5D70">
        <w:rPr>
          <w:kern w:val="22"/>
          <w:szCs w:val="22"/>
        </w:rPr>
        <w:t>S</w:t>
      </w:r>
      <w:r w:rsidR="004A3E7E" w:rsidRPr="00AA5D70">
        <w:rPr>
          <w:kern w:val="22"/>
          <w:szCs w:val="22"/>
        </w:rPr>
        <w:t xml:space="preserve">ustainable </w:t>
      </w:r>
      <w:r w:rsidR="0098560E" w:rsidRPr="00AA5D70">
        <w:rPr>
          <w:kern w:val="22"/>
          <w:szCs w:val="22"/>
        </w:rPr>
        <w:t>D</w:t>
      </w:r>
      <w:r w:rsidR="004A3E7E" w:rsidRPr="00AA5D70">
        <w:rPr>
          <w:kern w:val="22"/>
          <w:szCs w:val="22"/>
        </w:rPr>
        <w:t xml:space="preserve">evelopment </w:t>
      </w:r>
      <w:r w:rsidR="0098560E" w:rsidRPr="00AA5D70">
        <w:rPr>
          <w:kern w:val="22"/>
          <w:szCs w:val="22"/>
        </w:rPr>
        <w:t>G</w:t>
      </w:r>
      <w:r w:rsidR="004A3E7E" w:rsidRPr="00AA5D70">
        <w:rPr>
          <w:kern w:val="22"/>
          <w:szCs w:val="22"/>
        </w:rPr>
        <w:t>oals</w:t>
      </w:r>
      <w:r w:rsidR="003F0354" w:rsidRPr="00AA5D70">
        <w:rPr>
          <w:kern w:val="22"/>
          <w:szCs w:val="22"/>
        </w:rPr>
        <w:t>;</w:t>
      </w:r>
    </w:p>
    <w:p w14:paraId="3C0A52BD" w14:textId="7E360EFB" w:rsidR="004A3E7E" w:rsidRPr="00AA5D70" w:rsidRDefault="00BC4DEE" w:rsidP="00015FFB">
      <w:pPr>
        <w:pStyle w:val="Para1"/>
        <w:keepNext/>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kern w:val="22"/>
          <w:szCs w:val="22"/>
        </w:rPr>
        <w:lastRenderedPageBreak/>
        <w:t>1</w:t>
      </w:r>
      <w:r w:rsidR="00A32140" w:rsidRPr="00AA5D70">
        <w:rPr>
          <w:kern w:val="22"/>
          <w:szCs w:val="22"/>
        </w:rPr>
        <w:t>8</w:t>
      </w:r>
      <w:r w:rsidRPr="00AA5D70">
        <w:rPr>
          <w:kern w:val="22"/>
          <w:szCs w:val="22"/>
        </w:rPr>
        <w:t>.</w:t>
      </w:r>
      <w:r w:rsidRPr="00AA5D70">
        <w:rPr>
          <w:kern w:val="22"/>
          <w:szCs w:val="22"/>
        </w:rPr>
        <w:tab/>
      </w:r>
      <w:r w:rsidR="004A3E7E" w:rsidRPr="00AA5D70" w:rsidDel="003A51F3">
        <w:rPr>
          <w:i/>
          <w:iCs/>
          <w:kern w:val="22"/>
          <w:szCs w:val="22"/>
        </w:rPr>
        <w:t>R</w:t>
      </w:r>
      <w:r w:rsidR="004A3E7E" w:rsidRPr="00AA5D70">
        <w:rPr>
          <w:i/>
          <w:iCs/>
          <w:kern w:val="22"/>
          <w:szCs w:val="22"/>
        </w:rPr>
        <w:t xml:space="preserve">equests </w:t>
      </w:r>
      <w:r w:rsidR="004A3E7E" w:rsidRPr="00AA5D70">
        <w:rPr>
          <w:kern w:val="22"/>
          <w:szCs w:val="22"/>
        </w:rPr>
        <w:t>the Executive Secretary, subject to the availability of resources:</w:t>
      </w:r>
    </w:p>
    <w:p w14:paraId="7314DEF8" w14:textId="74BB95E1" w:rsidR="004A3E7E" w:rsidRPr="00AA5D70" w:rsidRDefault="00220F4C" w:rsidP="00AA5D7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AA5D70">
        <w:rPr>
          <w:rStyle w:val="normaltextrun"/>
          <w:kern w:val="22"/>
          <w:szCs w:val="22"/>
        </w:rPr>
        <w:t>(a)</w:t>
      </w:r>
      <w:r w:rsidRPr="00AA5D70">
        <w:rPr>
          <w:rStyle w:val="normaltextrun"/>
          <w:kern w:val="22"/>
          <w:szCs w:val="22"/>
        </w:rPr>
        <w:tab/>
      </w:r>
      <w:r w:rsidR="002E0EA4" w:rsidRPr="00D16AC1">
        <w:rPr>
          <w:rStyle w:val="normaltextrun"/>
          <w:kern w:val="22"/>
          <w:szCs w:val="22"/>
        </w:rPr>
        <w:t>To p</w:t>
      </w:r>
      <w:r w:rsidR="004A3E7E" w:rsidRPr="00AA5D70">
        <w:rPr>
          <w:rStyle w:val="normaltextrun"/>
          <w:kern w:val="22"/>
          <w:szCs w:val="22"/>
        </w:rPr>
        <w:t>romote awareness of the long-term strategic framework including through the creation of a dedicated web</w:t>
      </w:r>
      <w:r w:rsidR="003B05C2" w:rsidRPr="00AA5D70">
        <w:rPr>
          <w:rStyle w:val="normaltextrun"/>
          <w:kern w:val="22"/>
          <w:szCs w:val="22"/>
        </w:rPr>
        <w:t> </w:t>
      </w:r>
      <w:r w:rsidR="004A3E7E" w:rsidRPr="00AA5D70">
        <w:rPr>
          <w:rStyle w:val="normaltextrun"/>
          <w:kern w:val="22"/>
          <w:szCs w:val="22"/>
        </w:rPr>
        <w:t>page as part of the Secretariat’s capacity development portal;</w:t>
      </w:r>
    </w:p>
    <w:p w14:paraId="02BAC6C9" w14:textId="5B71C78E" w:rsidR="004A3E7E" w:rsidRPr="00AA5D70" w:rsidRDefault="00220F4C" w:rsidP="00AA5D7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AA5D70">
        <w:rPr>
          <w:rStyle w:val="normaltextrun"/>
          <w:kern w:val="22"/>
          <w:szCs w:val="22"/>
        </w:rPr>
        <w:t>(b)</w:t>
      </w:r>
      <w:r w:rsidRPr="00AA5D70">
        <w:rPr>
          <w:rStyle w:val="normaltextrun"/>
          <w:kern w:val="22"/>
          <w:szCs w:val="22"/>
        </w:rPr>
        <w:tab/>
      </w:r>
      <w:r w:rsidR="002E0EA4" w:rsidRPr="00D16AC1">
        <w:rPr>
          <w:rStyle w:val="normaltextrun"/>
          <w:kern w:val="22"/>
          <w:szCs w:val="22"/>
        </w:rPr>
        <w:t>To d</w:t>
      </w:r>
      <w:r w:rsidR="004A3E7E" w:rsidRPr="00AA5D70">
        <w:rPr>
          <w:rStyle w:val="normaltextrun"/>
          <w:kern w:val="22"/>
          <w:szCs w:val="22"/>
        </w:rPr>
        <w:t>evelop and make available additional guidance on capacity development, including tools, methods and case studies on good practices and lessons learned that can assist Parties, indigenous peoples and local communities and other relevant stakeholders in their capacity development efforts;</w:t>
      </w:r>
    </w:p>
    <w:p w14:paraId="5268B5B4" w14:textId="3701854D" w:rsidR="004A3E7E" w:rsidRPr="00AA5D70" w:rsidRDefault="00220F4C" w:rsidP="00AA5D7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AA5D70">
        <w:rPr>
          <w:rStyle w:val="normaltextrun"/>
          <w:kern w:val="22"/>
          <w:szCs w:val="22"/>
        </w:rPr>
        <w:t>(c)</w:t>
      </w:r>
      <w:r w:rsidRPr="00AA5D70">
        <w:rPr>
          <w:rStyle w:val="normaltextrun"/>
          <w:kern w:val="22"/>
          <w:szCs w:val="22"/>
        </w:rPr>
        <w:tab/>
      </w:r>
      <w:r w:rsidR="002E0EA4" w:rsidRPr="00D16AC1">
        <w:rPr>
          <w:rStyle w:val="normaltextrun"/>
          <w:kern w:val="22"/>
          <w:szCs w:val="22"/>
        </w:rPr>
        <w:t>To c</w:t>
      </w:r>
      <w:r w:rsidR="004A3E7E" w:rsidRPr="00AA5D70">
        <w:rPr>
          <w:rStyle w:val="normaltextrun"/>
          <w:kern w:val="22"/>
          <w:szCs w:val="22"/>
        </w:rPr>
        <w:t>ollaborate with and support Parties and relevant organizations to prepare, immediately following the adoption of the post-2020 global biodiversity framework, thematic capacity development action plans for specific 2030 targets or groups of related targets, as appropriate;</w:t>
      </w:r>
    </w:p>
    <w:p w14:paraId="160FAC70" w14:textId="5063B855" w:rsidR="004A3E7E" w:rsidRPr="00AA5D70" w:rsidRDefault="00BE10DC" w:rsidP="00AA5D7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AA5D70">
        <w:rPr>
          <w:rStyle w:val="normaltextrun"/>
          <w:kern w:val="22"/>
          <w:szCs w:val="22"/>
        </w:rPr>
        <w:t>(d)</w:t>
      </w:r>
      <w:r w:rsidRPr="00AA5D70">
        <w:rPr>
          <w:rStyle w:val="normaltextrun"/>
          <w:kern w:val="22"/>
          <w:szCs w:val="22"/>
        </w:rPr>
        <w:tab/>
      </w:r>
      <w:r w:rsidR="002E0EA4" w:rsidRPr="00D16AC1">
        <w:rPr>
          <w:rStyle w:val="normaltextrun"/>
          <w:kern w:val="22"/>
          <w:szCs w:val="22"/>
        </w:rPr>
        <w:t>To d</w:t>
      </w:r>
      <w:r w:rsidR="004A3E7E" w:rsidRPr="00AA5D70">
        <w:rPr>
          <w:rStyle w:val="normaltextrun"/>
          <w:kern w:val="22"/>
          <w:szCs w:val="22"/>
        </w:rPr>
        <w:t xml:space="preserve">evelop, in collaboration with relevant partners, complementary indicators and a methodology for measuring progress in the achievement of the long-term strategic framework </w:t>
      </w:r>
      <w:r w:rsidR="004C2BB3" w:rsidRPr="00AA5D70">
        <w:rPr>
          <w:rStyle w:val="normaltextrun"/>
          <w:kern w:val="22"/>
          <w:szCs w:val="22"/>
        </w:rPr>
        <w:t xml:space="preserve">goals </w:t>
      </w:r>
      <w:r w:rsidR="004A3E7E" w:rsidRPr="00AA5D70">
        <w:rPr>
          <w:rStyle w:val="normaltextrun"/>
          <w:kern w:val="22"/>
          <w:szCs w:val="22"/>
        </w:rPr>
        <w:t>and for enabling Parties to monitor, assess and report on the capacity development at the national level;</w:t>
      </w:r>
    </w:p>
    <w:p w14:paraId="7256FA55" w14:textId="46B8850C" w:rsidR="004A3E7E" w:rsidRPr="00AA5D70" w:rsidRDefault="00BE10DC" w:rsidP="00AA5D7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AA5D70">
        <w:rPr>
          <w:rStyle w:val="normaltextrun"/>
          <w:rFonts w:eastAsia="MS Mincho"/>
          <w:kern w:val="22"/>
          <w:szCs w:val="22"/>
        </w:rPr>
        <w:t>(e)</w:t>
      </w:r>
      <w:r w:rsidRPr="00AA5D70">
        <w:rPr>
          <w:rStyle w:val="normaltextrun"/>
          <w:rFonts w:eastAsia="MS Mincho"/>
          <w:kern w:val="22"/>
          <w:szCs w:val="22"/>
        </w:rPr>
        <w:tab/>
      </w:r>
      <w:r w:rsidR="002E0EA4" w:rsidRPr="00D16AC1">
        <w:rPr>
          <w:rStyle w:val="normaltextrun"/>
          <w:rFonts w:eastAsia="MS Mincho"/>
          <w:kern w:val="22"/>
          <w:szCs w:val="22"/>
        </w:rPr>
        <w:t>To c</w:t>
      </w:r>
      <w:r w:rsidR="004A3E7E" w:rsidRPr="00AA5D70">
        <w:rPr>
          <w:rStyle w:val="normaltextrun"/>
          <w:rFonts w:eastAsia="MS Mincho"/>
          <w:kern w:val="22"/>
          <w:szCs w:val="22"/>
        </w:rPr>
        <w:t xml:space="preserve">onvene, in collaboration with partners, the first biodiversity capacity development forum, in collaboration with partners, to share experiences, good practices and lessons learned in capacity development for biodiversity, back-to-back with </w:t>
      </w:r>
      <w:r w:rsidR="00D170FA" w:rsidRPr="00AA5D70">
        <w:rPr>
          <w:kern w:val="22"/>
          <w:szCs w:val="22"/>
        </w:rPr>
        <w:t>the sixteenth meeting of the Conference of the Parties</w:t>
      </w:r>
      <w:r w:rsidR="004A3E7E" w:rsidRPr="00AA5D70">
        <w:rPr>
          <w:rStyle w:val="normaltextrun"/>
          <w:rFonts w:eastAsia="MS Mincho"/>
          <w:kern w:val="22"/>
          <w:szCs w:val="22"/>
        </w:rPr>
        <w:t>;</w:t>
      </w:r>
    </w:p>
    <w:p w14:paraId="0DCE912F" w14:textId="190226DB" w:rsidR="004A3E7E" w:rsidRPr="00AA5D70" w:rsidRDefault="00BE10DC" w:rsidP="00AA5D70">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szCs w:val="22"/>
        </w:rPr>
      </w:pPr>
      <w:r w:rsidRPr="00AA5D70">
        <w:rPr>
          <w:rStyle w:val="normaltextrun"/>
          <w:kern w:val="22"/>
          <w:szCs w:val="22"/>
        </w:rPr>
        <w:t>(f)</w:t>
      </w:r>
      <w:r w:rsidRPr="00AA5D70">
        <w:rPr>
          <w:rStyle w:val="normaltextrun"/>
          <w:kern w:val="22"/>
          <w:szCs w:val="22"/>
        </w:rPr>
        <w:tab/>
      </w:r>
      <w:r w:rsidR="002E0EA4" w:rsidRPr="00D16AC1">
        <w:rPr>
          <w:rStyle w:val="normaltextrun"/>
          <w:kern w:val="22"/>
          <w:szCs w:val="22"/>
        </w:rPr>
        <w:t>To p</w:t>
      </w:r>
      <w:r w:rsidR="004A3E7E" w:rsidRPr="00AA5D70">
        <w:rPr>
          <w:rStyle w:val="normaltextrun"/>
          <w:kern w:val="22"/>
          <w:szCs w:val="22"/>
        </w:rPr>
        <w:t>repare updates on the status of implementation of the guidance provided in the long-term strategic framework for consideration by the Subsidiary Body o</w:t>
      </w:r>
      <w:r w:rsidR="00CC1257" w:rsidRPr="00AA5D70">
        <w:rPr>
          <w:rStyle w:val="normaltextrun"/>
          <w:kern w:val="22"/>
          <w:szCs w:val="22"/>
        </w:rPr>
        <w:t>n</w:t>
      </w:r>
      <w:r w:rsidR="004A3E7E" w:rsidRPr="00AA5D70">
        <w:rPr>
          <w:rStyle w:val="normaltextrun"/>
          <w:kern w:val="22"/>
          <w:szCs w:val="22"/>
        </w:rPr>
        <w:t xml:space="preserve"> Implementation;</w:t>
      </w:r>
    </w:p>
    <w:p w14:paraId="48A466C1" w14:textId="0299622D" w:rsidR="004A3E7E" w:rsidRPr="00AA5D70" w:rsidRDefault="00BE10DC" w:rsidP="00AA5D70">
      <w:pPr>
        <w:pStyle w:val="Para1"/>
        <w:numPr>
          <w:ilvl w:val="0"/>
          <w:numId w:val="0"/>
        </w:numPr>
        <w:suppressLineNumbers/>
        <w:suppressAutoHyphens/>
        <w:kinsoku w:val="0"/>
        <w:overflowPunct w:val="0"/>
        <w:autoSpaceDE w:val="0"/>
        <w:autoSpaceDN w:val="0"/>
        <w:adjustRightInd w:val="0"/>
        <w:snapToGrid w:val="0"/>
        <w:ind w:firstLine="720"/>
        <w:rPr>
          <w:rStyle w:val="eop"/>
          <w:kern w:val="22"/>
          <w:szCs w:val="22"/>
        </w:rPr>
      </w:pPr>
      <w:r w:rsidRPr="00AA5D70">
        <w:rPr>
          <w:rStyle w:val="normaltextrun"/>
          <w:kern w:val="22"/>
          <w:szCs w:val="22"/>
        </w:rPr>
        <w:t>(g)</w:t>
      </w:r>
      <w:r w:rsidRPr="00AA5D70">
        <w:rPr>
          <w:rStyle w:val="normaltextrun"/>
          <w:kern w:val="22"/>
          <w:szCs w:val="22"/>
        </w:rPr>
        <w:tab/>
      </w:r>
      <w:r w:rsidR="00D80657" w:rsidRPr="00D16AC1">
        <w:rPr>
          <w:rStyle w:val="normaltextrun"/>
          <w:kern w:val="22"/>
          <w:szCs w:val="22"/>
        </w:rPr>
        <w:t>To u</w:t>
      </w:r>
      <w:r w:rsidR="004A3E7E" w:rsidRPr="00AA5D70">
        <w:rPr>
          <w:rStyle w:val="normaltextrun"/>
          <w:kern w:val="22"/>
          <w:szCs w:val="22"/>
        </w:rPr>
        <w:t>ndertake, in collaboration with other biodiversity-related conventions and partners, a review</w:t>
      </w:r>
      <w:r w:rsidR="004A3E7E" w:rsidRPr="00AA5D70" w:rsidDel="009340CD">
        <w:rPr>
          <w:rStyle w:val="normaltextrun"/>
          <w:kern w:val="22"/>
          <w:szCs w:val="22"/>
        </w:rPr>
        <w:t xml:space="preserve"> </w:t>
      </w:r>
      <w:r w:rsidR="004A3E7E" w:rsidRPr="00AA5D70">
        <w:rPr>
          <w:rStyle w:val="normaltextrun"/>
          <w:kern w:val="22"/>
          <w:szCs w:val="22"/>
        </w:rPr>
        <w:t>of the long-term strategic framework in 2025 to assess its use by Parties, indigenous peoples and local communities and relevant stakeholders and, if necessary, propose updates to ensure its continued relevance and effectiveness;</w:t>
      </w:r>
    </w:p>
    <w:p w14:paraId="6606DA2B" w14:textId="22AD42BD" w:rsidR="004A3E7E" w:rsidRPr="00AA5D70" w:rsidRDefault="00BE10DC"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rStyle w:val="normaltextrun"/>
          <w:kern w:val="22"/>
          <w:szCs w:val="22"/>
        </w:rPr>
        <w:t>(h)</w:t>
      </w:r>
      <w:r w:rsidRPr="00AA5D70">
        <w:rPr>
          <w:rStyle w:val="normaltextrun"/>
          <w:kern w:val="22"/>
          <w:szCs w:val="22"/>
        </w:rPr>
        <w:tab/>
      </w:r>
      <w:r w:rsidR="00D80657" w:rsidRPr="00D16AC1">
        <w:rPr>
          <w:rStyle w:val="normaltextrun"/>
          <w:kern w:val="22"/>
          <w:szCs w:val="22"/>
        </w:rPr>
        <w:t>To c</w:t>
      </w:r>
      <w:r w:rsidR="004A3E7E" w:rsidRPr="00AA5D70">
        <w:rPr>
          <w:rStyle w:val="normaltextrun"/>
          <w:kern w:val="22"/>
          <w:szCs w:val="22"/>
        </w:rPr>
        <w:t>ommission an independent evaluation of the long-term strategic framework in 2029 and submit a report to facilitate its review by the Subsidiary Body on Implementation and the Conference of the Parties in conjunction with the review of the post-2020 global biodiversity framework</w:t>
      </w:r>
      <w:r w:rsidR="001A616F" w:rsidRPr="00AA5D70">
        <w:rPr>
          <w:rStyle w:val="normaltextrun"/>
          <w:kern w:val="22"/>
          <w:szCs w:val="22"/>
        </w:rPr>
        <w:t>;</w:t>
      </w:r>
    </w:p>
    <w:p w14:paraId="2FEC9E94" w14:textId="6BE620E1" w:rsidR="004A3E7E" w:rsidRPr="00AA5D70" w:rsidRDefault="004A3E7E" w:rsidP="00AA5D70">
      <w:pPr>
        <w:pStyle w:val="Para1"/>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rPr>
      </w:pPr>
      <w:bookmarkStart w:id="29" w:name="_Toc57214893"/>
      <w:r w:rsidRPr="00AA5D70">
        <w:rPr>
          <w:b/>
          <w:bCs/>
          <w:kern w:val="22"/>
        </w:rPr>
        <w:t xml:space="preserve">B. </w:t>
      </w:r>
      <w:r w:rsidRPr="00AA5D70">
        <w:rPr>
          <w:b/>
          <w:kern w:val="22"/>
          <w:szCs w:val="22"/>
        </w:rPr>
        <w:tab/>
      </w:r>
      <w:r w:rsidRPr="00AA5D70">
        <w:rPr>
          <w:b/>
          <w:bCs/>
          <w:kern w:val="22"/>
        </w:rPr>
        <w:t xml:space="preserve">Technical and </w:t>
      </w:r>
      <w:r w:rsidR="001A616F" w:rsidRPr="00AA5D70">
        <w:rPr>
          <w:b/>
          <w:bCs/>
          <w:kern w:val="22"/>
        </w:rPr>
        <w:t>s</w:t>
      </w:r>
      <w:r w:rsidRPr="00AA5D70">
        <w:rPr>
          <w:b/>
          <w:bCs/>
          <w:kern w:val="22"/>
        </w:rPr>
        <w:t xml:space="preserve">cientific </w:t>
      </w:r>
      <w:r w:rsidR="001A616F" w:rsidRPr="00AA5D70">
        <w:rPr>
          <w:b/>
          <w:bCs/>
          <w:kern w:val="22"/>
        </w:rPr>
        <w:t>c</w:t>
      </w:r>
      <w:r w:rsidRPr="00AA5D70">
        <w:rPr>
          <w:b/>
          <w:bCs/>
          <w:kern w:val="22"/>
        </w:rPr>
        <w:t>ooperation</w:t>
      </w:r>
      <w:bookmarkEnd w:id="29"/>
    </w:p>
    <w:p w14:paraId="238C7061" w14:textId="2AC6CCB4"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i/>
          <w:iCs/>
          <w:kern w:val="22"/>
        </w:rPr>
      </w:pPr>
      <w:r w:rsidRPr="00AA5D70">
        <w:rPr>
          <w:i/>
          <w:iCs/>
          <w:kern w:val="22"/>
        </w:rPr>
        <w:t xml:space="preserve">Recalling </w:t>
      </w:r>
      <w:r w:rsidRPr="00AA5D70">
        <w:rPr>
          <w:kern w:val="22"/>
        </w:rPr>
        <w:t>decisions 14/24 B, XIII/23, XIII/31, XII/2</w:t>
      </w:r>
      <w:r w:rsidR="00C243C4" w:rsidRPr="00AA5D70">
        <w:rPr>
          <w:kern w:val="22"/>
        </w:rPr>
        <w:t xml:space="preserve"> B</w:t>
      </w:r>
      <w:r w:rsidRPr="00AA5D70">
        <w:rPr>
          <w:kern w:val="22"/>
        </w:rPr>
        <w:t>, X/16, IX/14, VIII/12 and VII/29 regarding technical and scientific cooperation and technology transfer</w:t>
      </w:r>
      <w:r w:rsidR="001A616F" w:rsidRPr="00AA5D70">
        <w:rPr>
          <w:kern w:val="22"/>
        </w:rPr>
        <w:t>,</w:t>
      </w:r>
    </w:p>
    <w:p w14:paraId="5DC00032" w14:textId="27A7E4E4"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 xml:space="preserve">Reaffirming </w:t>
      </w:r>
      <w:r w:rsidRPr="00AA5D70">
        <w:rPr>
          <w:kern w:val="22"/>
        </w:rPr>
        <w:t>that technical and scientific cooperation is essential to the effective implementation of the post-2020 global biodiversity framework</w:t>
      </w:r>
      <w:r w:rsidR="001A616F" w:rsidRPr="00AA5D70">
        <w:rPr>
          <w:kern w:val="22"/>
        </w:rPr>
        <w:t>,</w:t>
      </w:r>
    </w:p>
    <w:p w14:paraId="29D45887" w14:textId="265DDC4A" w:rsidR="004A3E7E" w:rsidRPr="00AA5D70" w:rsidRDefault="004A3E7E" w:rsidP="00AA5D70">
      <w:pPr>
        <w:pStyle w:val="Para1"/>
        <w:numPr>
          <w:ilvl w:val="0"/>
          <w:numId w:val="0"/>
        </w:numPr>
        <w:suppressLineNumbers/>
        <w:suppressAutoHyphens/>
        <w:kinsoku w:val="0"/>
        <w:overflowPunct w:val="0"/>
        <w:autoSpaceDE w:val="0"/>
        <w:autoSpaceDN w:val="0"/>
        <w:adjustRightInd w:val="0"/>
        <w:snapToGrid w:val="0"/>
        <w:ind w:firstLine="720"/>
        <w:rPr>
          <w:i/>
          <w:iCs/>
          <w:kern w:val="22"/>
        </w:rPr>
      </w:pPr>
      <w:r w:rsidRPr="00AA5D70">
        <w:rPr>
          <w:i/>
          <w:iCs/>
          <w:kern w:val="22"/>
        </w:rPr>
        <w:t>Acknowledging</w:t>
      </w:r>
      <w:r w:rsidRPr="00AA5D70">
        <w:rPr>
          <w:kern w:val="22"/>
        </w:rPr>
        <w:t xml:space="preserve"> the close interlinkages between technical and scientific cooperation and the other means of implementation (capacity development, knowledge management, communication and others)</w:t>
      </w:r>
      <w:r w:rsidR="004A7728" w:rsidRPr="00AA5D70">
        <w:rPr>
          <w:kern w:val="22"/>
        </w:rPr>
        <w:t>,</w:t>
      </w:r>
      <w:r w:rsidRPr="00AA5D70">
        <w:rPr>
          <w:kern w:val="22"/>
        </w:rPr>
        <w:t xml:space="preserve"> and the need to consider them as a package and not in isolation</w:t>
      </w:r>
      <w:r w:rsidR="001A616F" w:rsidRPr="00AA5D70">
        <w:rPr>
          <w:kern w:val="22"/>
        </w:rPr>
        <w:t>,</w:t>
      </w:r>
    </w:p>
    <w:p w14:paraId="52550F21" w14:textId="0BDE21D2" w:rsidR="004A3E7E" w:rsidRPr="00AA5D70" w:rsidRDefault="00FB45C6"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i/>
          <w:iCs/>
          <w:kern w:val="22"/>
        </w:rPr>
        <w:t xml:space="preserve">Welcoming </w:t>
      </w:r>
      <w:r w:rsidR="004A3E7E" w:rsidRPr="00AA5D70">
        <w:rPr>
          <w:kern w:val="22"/>
        </w:rPr>
        <w:t xml:space="preserve">the </w:t>
      </w:r>
      <w:r w:rsidR="00631881" w:rsidRPr="00AA5D70">
        <w:rPr>
          <w:kern w:val="22"/>
        </w:rPr>
        <w:t xml:space="preserve">progress </w:t>
      </w:r>
      <w:r w:rsidR="004A3E7E" w:rsidRPr="00AA5D70">
        <w:rPr>
          <w:kern w:val="22"/>
        </w:rPr>
        <w:t xml:space="preserve">report </w:t>
      </w:r>
      <w:r w:rsidR="00EF4CD9" w:rsidRPr="00AA5D70">
        <w:rPr>
          <w:kern w:val="22"/>
        </w:rPr>
        <w:t xml:space="preserve">on </w:t>
      </w:r>
      <w:r w:rsidR="004A3E7E" w:rsidRPr="00AA5D70">
        <w:rPr>
          <w:kern w:val="22"/>
        </w:rPr>
        <w:t>technical and scientific cooperation, including the achievements made under the Bio-Bridge Initiative</w:t>
      </w:r>
      <w:r w:rsidR="005F29DE" w:rsidRPr="00AA5D70">
        <w:rPr>
          <w:kern w:val="22"/>
        </w:rPr>
        <w:t>,</w:t>
      </w:r>
      <w:r w:rsidR="00AE539F" w:rsidRPr="00AA5D70">
        <w:rPr>
          <w:kern w:val="22"/>
        </w:rPr>
        <w:t xml:space="preserve"> presented in document CBD/SBI/3/INF/18</w:t>
      </w:r>
      <w:r w:rsidR="00B70EC0" w:rsidRPr="00AA5D70">
        <w:rPr>
          <w:kern w:val="22"/>
        </w:rPr>
        <w:t>,</w:t>
      </w:r>
    </w:p>
    <w:p w14:paraId="37FCED0A" w14:textId="6AC47601"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i/>
          <w:iCs/>
          <w:kern w:val="22"/>
        </w:rPr>
      </w:pPr>
      <w:r w:rsidRPr="00AA5D70">
        <w:rPr>
          <w:kern w:val="22"/>
        </w:rPr>
        <w:t>1</w:t>
      </w:r>
      <w:r w:rsidR="00A32140" w:rsidRPr="00AA5D70">
        <w:rPr>
          <w:kern w:val="22"/>
        </w:rPr>
        <w:t>9</w:t>
      </w:r>
      <w:r w:rsidRPr="00AA5D70">
        <w:rPr>
          <w:kern w:val="22"/>
        </w:rPr>
        <w:t>.</w:t>
      </w:r>
      <w:r w:rsidRPr="00AA5D70">
        <w:rPr>
          <w:kern w:val="22"/>
        </w:rPr>
        <w:tab/>
      </w:r>
      <w:r w:rsidR="004A3E7E" w:rsidRPr="00AA5D70">
        <w:rPr>
          <w:i/>
          <w:iCs/>
          <w:kern w:val="22"/>
        </w:rPr>
        <w:t xml:space="preserve">Adopts </w:t>
      </w:r>
      <w:r w:rsidR="004A3E7E" w:rsidRPr="00AA5D70">
        <w:rPr>
          <w:kern w:val="22"/>
        </w:rPr>
        <w:t xml:space="preserve">the proposals to strengthen technical and scientific cooperation in support of the post-2020 global biodiversity framework contained in </w:t>
      </w:r>
      <w:r w:rsidR="00B75CDE" w:rsidRPr="00D16AC1">
        <w:rPr>
          <w:kern w:val="22"/>
        </w:rPr>
        <w:t>the note by the Executive Secretary</w:t>
      </w:r>
      <w:r w:rsidR="00B70EC0" w:rsidRPr="00AA5D70">
        <w:rPr>
          <w:kern w:val="22"/>
        </w:rPr>
        <w:t>;</w:t>
      </w:r>
      <w:r w:rsidR="00A0114A" w:rsidRPr="00D16AC1">
        <w:rPr>
          <w:rStyle w:val="FootnoteReference"/>
          <w:kern w:val="22"/>
        </w:rPr>
        <w:footnoteReference w:id="48"/>
      </w:r>
    </w:p>
    <w:p w14:paraId="7D1E7218" w14:textId="6918ECAF" w:rsidR="004A3E7E" w:rsidRPr="00AA5D70" w:rsidRDefault="00A32140" w:rsidP="00AA5D70">
      <w:pPr>
        <w:pStyle w:val="Para1"/>
        <w:numPr>
          <w:ilvl w:val="0"/>
          <w:numId w:val="0"/>
        </w:numPr>
        <w:suppressLineNumbers/>
        <w:suppressAutoHyphens/>
        <w:kinsoku w:val="0"/>
        <w:overflowPunct w:val="0"/>
        <w:autoSpaceDE w:val="0"/>
        <w:autoSpaceDN w:val="0"/>
        <w:adjustRightInd w:val="0"/>
        <w:snapToGrid w:val="0"/>
        <w:ind w:firstLine="720"/>
        <w:rPr>
          <w:i/>
          <w:iCs/>
          <w:kern w:val="22"/>
        </w:rPr>
      </w:pPr>
      <w:r w:rsidRPr="00AA5D70">
        <w:rPr>
          <w:kern w:val="22"/>
        </w:rPr>
        <w:t>20</w:t>
      </w:r>
      <w:r w:rsidR="00BC4DEE" w:rsidRPr="00AA5D70">
        <w:rPr>
          <w:kern w:val="22"/>
        </w:rPr>
        <w:t>.</w:t>
      </w:r>
      <w:r w:rsidR="00BC4DEE" w:rsidRPr="00AA5D70">
        <w:rPr>
          <w:kern w:val="22"/>
        </w:rPr>
        <w:tab/>
      </w:r>
      <w:r w:rsidR="004A3E7E" w:rsidRPr="00AA5D70">
        <w:rPr>
          <w:i/>
          <w:iCs/>
          <w:kern w:val="22"/>
        </w:rPr>
        <w:t xml:space="preserve">Takes note </w:t>
      </w:r>
      <w:r w:rsidR="004A3E7E" w:rsidRPr="00AA5D70">
        <w:rPr>
          <w:kern w:val="22"/>
        </w:rPr>
        <w:t xml:space="preserve">of the </w:t>
      </w:r>
      <w:r w:rsidR="004257A5" w:rsidRPr="00AA5D70">
        <w:rPr>
          <w:kern w:val="22"/>
        </w:rPr>
        <w:t xml:space="preserve">proposals for an inclusive </w:t>
      </w:r>
      <w:r w:rsidR="004A3E7E" w:rsidRPr="00AA5D70">
        <w:rPr>
          <w:kern w:val="22"/>
        </w:rPr>
        <w:t xml:space="preserve">process to review and renew technical and scientific cooperation programmes contained in </w:t>
      </w:r>
      <w:r w:rsidR="009420D5" w:rsidRPr="00AA5D70">
        <w:rPr>
          <w:kern w:val="22"/>
        </w:rPr>
        <w:t>a</w:t>
      </w:r>
      <w:r w:rsidR="004A3E7E" w:rsidRPr="00AA5D70">
        <w:rPr>
          <w:kern w:val="22"/>
        </w:rPr>
        <w:t>nnex</w:t>
      </w:r>
      <w:r w:rsidR="009420D5" w:rsidRPr="00AA5D70">
        <w:rPr>
          <w:kern w:val="22"/>
        </w:rPr>
        <w:t> II</w:t>
      </w:r>
      <w:r w:rsidR="004A3E7E" w:rsidRPr="00AA5D70">
        <w:rPr>
          <w:kern w:val="22"/>
        </w:rPr>
        <w:t xml:space="preserve"> below</w:t>
      </w:r>
      <w:r w:rsidR="00C61648" w:rsidRPr="00AA5D70">
        <w:rPr>
          <w:kern w:val="22"/>
        </w:rPr>
        <w:t>,</w:t>
      </w:r>
      <w:r w:rsidR="00C61648" w:rsidRPr="00AA5D70">
        <w:rPr>
          <w:rStyle w:val="FootnoteReference"/>
          <w:kern w:val="22"/>
        </w:rPr>
        <w:footnoteReference w:id="49"/>
      </w:r>
      <w:r w:rsidR="004A3E7E" w:rsidRPr="00AA5D70">
        <w:rPr>
          <w:kern w:val="22"/>
        </w:rPr>
        <w:t xml:space="preserve"> and </w:t>
      </w:r>
      <w:r w:rsidR="004A3E7E" w:rsidRPr="00AA5D70">
        <w:rPr>
          <w:i/>
          <w:iCs/>
          <w:kern w:val="22"/>
        </w:rPr>
        <w:t>requests</w:t>
      </w:r>
      <w:r w:rsidR="004A3E7E" w:rsidRPr="00AA5D70">
        <w:rPr>
          <w:kern w:val="22"/>
        </w:rPr>
        <w:t xml:space="preserve"> the Executive Secretary, subject to the availability of resources, to commission the review process and submit a report for consideration by the Subsidiary Body on Implementation at its fourth meeting</w:t>
      </w:r>
      <w:r w:rsidR="00B70EC0" w:rsidRPr="00AA5D70">
        <w:rPr>
          <w:kern w:val="22"/>
        </w:rPr>
        <w:t>;</w:t>
      </w:r>
    </w:p>
    <w:p w14:paraId="140BFE47" w14:textId="260D1F35"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rPr>
      </w:pPr>
      <w:r w:rsidRPr="00AA5D70">
        <w:rPr>
          <w:kern w:val="22"/>
        </w:rPr>
        <w:t>2</w:t>
      </w:r>
      <w:r w:rsidR="00A32140" w:rsidRPr="00AA5D70">
        <w:rPr>
          <w:kern w:val="22"/>
        </w:rPr>
        <w:t>1</w:t>
      </w:r>
      <w:r w:rsidRPr="00AA5D70">
        <w:rPr>
          <w:kern w:val="22"/>
        </w:rPr>
        <w:t>.</w:t>
      </w:r>
      <w:r w:rsidRPr="00AA5D70">
        <w:rPr>
          <w:kern w:val="22"/>
        </w:rPr>
        <w:tab/>
      </w:r>
      <w:r w:rsidR="004A3E7E" w:rsidRPr="00AA5D70">
        <w:rPr>
          <w:i/>
          <w:iCs/>
          <w:kern w:val="22"/>
        </w:rPr>
        <w:t xml:space="preserve">Reminds </w:t>
      </w:r>
      <w:r w:rsidR="004A3E7E" w:rsidRPr="00AA5D70">
        <w:rPr>
          <w:kern w:val="22"/>
        </w:rPr>
        <w:t>Parties, pursuant to decision XIII/23</w:t>
      </w:r>
      <w:r w:rsidR="003643F2" w:rsidRPr="00D16AC1">
        <w:rPr>
          <w:kern w:val="22"/>
        </w:rPr>
        <w:t>, paragraph 6</w:t>
      </w:r>
      <w:r w:rsidR="004A3E7E" w:rsidRPr="00AA5D70">
        <w:rPr>
          <w:kern w:val="22"/>
        </w:rPr>
        <w:t>, to identify and communicate their biodiversity-related technical and scientific needs and requests for assistance</w:t>
      </w:r>
      <w:r w:rsidR="00E84E9F" w:rsidRPr="00D16AC1">
        <w:rPr>
          <w:kern w:val="22"/>
        </w:rPr>
        <w:t>,</w:t>
      </w:r>
      <w:r w:rsidR="004A3E7E" w:rsidRPr="00AA5D70">
        <w:rPr>
          <w:kern w:val="22"/>
        </w:rPr>
        <w:t xml:space="preserve"> and </w:t>
      </w:r>
      <w:r w:rsidR="004A3E7E" w:rsidRPr="00AA5D70">
        <w:rPr>
          <w:i/>
          <w:iCs/>
          <w:kern w:val="22"/>
        </w:rPr>
        <w:t xml:space="preserve">invites </w:t>
      </w:r>
      <w:r w:rsidR="004A3E7E" w:rsidRPr="00AA5D70">
        <w:rPr>
          <w:kern w:val="22"/>
        </w:rPr>
        <w:t xml:space="preserve">Parties, other </w:t>
      </w:r>
      <w:r w:rsidR="004A3E7E" w:rsidRPr="00AA5D70">
        <w:rPr>
          <w:kern w:val="22"/>
        </w:rPr>
        <w:lastRenderedPageBreak/>
        <w:t>Governments and relevant organizations in a position to do so to register as providers of technical assistance and offer support to address the needs identified by Parties through the matchmaking platform of the clearing-house mechanism</w:t>
      </w:r>
      <w:r w:rsidR="00B70EC0" w:rsidRPr="00AA5D70">
        <w:rPr>
          <w:kern w:val="22"/>
        </w:rPr>
        <w:t>;</w:t>
      </w:r>
    </w:p>
    <w:p w14:paraId="2B26B180" w14:textId="3453158B"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rPr>
      </w:pPr>
      <w:r w:rsidRPr="00AA5D70">
        <w:rPr>
          <w:kern w:val="22"/>
        </w:rPr>
        <w:t>2</w:t>
      </w:r>
      <w:r w:rsidR="00A32140" w:rsidRPr="00AA5D70">
        <w:rPr>
          <w:kern w:val="22"/>
        </w:rPr>
        <w:t>2</w:t>
      </w:r>
      <w:r w:rsidRPr="00AA5D70">
        <w:rPr>
          <w:kern w:val="22"/>
        </w:rPr>
        <w:t>.</w:t>
      </w:r>
      <w:r w:rsidRPr="00AA5D70">
        <w:rPr>
          <w:kern w:val="22"/>
        </w:rPr>
        <w:tab/>
      </w:r>
      <w:r w:rsidR="004A3E7E" w:rsidRPr="00AA5D70">
        <w:rPr>
          <w:i/>
          <w:iCs/>
          <w:kern w:val="22"/>
        </w:rPr>
        <w:t xml:space="preserve">Urges </w:t>
      </w:r>
      <w:r w:rsidR="004A3E7E" w:rsidRPr="00AA5D70">
        <w:rPr>
          <w:kern w:val="22"/>
        </w:rPr>
        <w:t>Parties and other Governments to put in place enabling environment</w:t>
      </w:r>
      <w:r w:rsidR="005477AF" w:rsidRPr="00AA5D70">
        <w:rPr>
          <w:kern w:val="22"/>
        </w:rPr>
        <w:t>s</w:t>
      </w:r>
      <w:r w:rsidR="004A3E7E" w:rsidRPr="00AA5D70">
        <w:rPr>
          <w:kern w:val="22"/>
        </w:rPr>
        <w:t xml:space="preserve"> (including relevant policies, laws and incentives) to promote and facilitate technical and scientific cooperation, joint research, and joint ventures for the development of appropriate biodiversity-related technologies and innovative solutions</w:t>
      </w:r>
      <w:r w:rsidR="00AC0656" w:rsidRPr="00AA5D70">
        <w:rPr>
          <w:kern w:val="22"/>
        </w:rPr>
        <w:t>;</w:t>
      </w:r>
    </w:p>
    <w:p w14:paraId="06744ED3" w14:textId="726E54A7"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szCs w:val="22"/>
        </w:rPr>
      </w:pPr>
      <w:r w:rsidRPr="00AA5D70">
        <w:rPr>
          <w:kern w:val="22"/>
        </w:rPr>
        <w:t>2</w:t>
      </w:r>
      <w:r w:rsidR="00A32140" w:rsidRPr="00AA5D70">
        <w:rPr>
          <w:kern w:val="22"/>
        </w:rPr>
        <w:t>3</w:t>
      </w:r>
      <w:r w:rsidRPr="00AA5D70">
        <w:rPr>
          <w:kern w:val="22"/>
        </w:rPr>
        <w:t>.</w:t>
      </w:r>
      <w:r w:rsidRPr="00AA5D70">
        <w:rPr>
          <w:kern w:val="22"/>
        </w:rPr>
        <w:tab/>
      </w:r>
      <w:r w:rsidR="004A3E7E" w:rsidRPr="00AA5D70">
        <w:rPr>
          <w:i/>
          <w:iCs/>
          <w:kern w:val="22"/>
        </w:rPr>
        <w:t xml:space="preserve">Encourages </w:t>
      </w:r>
      <w:r w:rsidR="004A3E7E" w:rsidRPr="00AA5D70">
        <w:rPr>
          <w:kern w:val="22"/>
        </w:rPr>
        <w:t xml:space="preserve">Parties and other Governments, </w:t>
      </w:r>
      <w:r w:rsidR="00997611" w:rsidRPr="00AA5D70">
        <w:rPr>
          <w:kern w:val="22"/>
        </w:rPr>
        <w:t xml:space="preserve">in collaboration </w:t>
      </w:r>
      <w:r w:rsidR="004A3E7E" w:rsidRPr="00AA5D70">
        <w:rPr>
          <w:kern w:val="22"/>
        </w:rPr>
        <w:t xml:space="preserve">with relevant partners and financial institutions, </w:t>
      </w:r>
      <w:r w:rsidR="004A3E7E" w:rsidRPr="00AA5D70">
        <w:rPr>
          <w:color w:val="000000" w:themeColor="text1"/>
          <w:kern w:val="22"/>
        </w:rPr>
        <w:t>to</w:t>
      </w:r>
      <w:r w:rsidR="004A3E7E" w:rsidRPr="00AA5D70">
        <w:rPr>
          <w:b/>
          <w:bCs/>
          <w:color w:val="000000" w:themeColor="text1"/>
          <w:kern w:val="22"/>
          <w:szCs w:val="22"/>
        </w:rPr>
        <w:t xml:space="preserve"> </w:t>
      </w:r>
      <w:r w:rsidR="004A3E7E" w:rsidRPr="00AA5D70">
        <w:rPr>
          <w:color w:val="000000" w:themeColor="text1"/>
          <w:kern w:val="22"/>
          <w:szCs w:val="22"/>
        </w:rPr>
        <w:t xml:space="preserve">support the establishment </w:t>
      </w:r>
      <w:r w:rsidR="004A3E7E" w:rsidRPr="00AA5D70">
        <w:rPr>
          <w:kern w:val="22"/>
          <w:szCs w:val="22"/>
        </w:rPr>
        <w:t>or strengthening of incubator programmes and accelerator mechanisms to promote and facilitate the development of appropriate biodiversity-related technologies and innovations, including indigenous technologies and locally designed solutions</w:t>
      </w:r>
      <w:r w:rsidR="00AC0656" w:rsidRPr="00AA5D70">
        <w:rPr>
          <w:kern w:val="22"/>
          <w:szCs w:val="22"/>
        </w:rPr>
        <w:t>;</w:t>
      </w:r>
    </w:p>
    <w:p w14:paraId="3700A788" w14:textId="13B4B3B6" w:rsidR="004A3E7E"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i/>
          <w:iCs/>
          <w:kern w:val="22"/>
        </w:rPr>
      </w:pPr>
      <w:r w:rsidRPr="00AA5D70">
        <w:rPr>
          <w:kern w:val="22"/>
        </w:rPr>
        <w:t>2</w:t>
      </w:r>
      <w:r w:rsidR="00A32140" w:rsidRPr="00AA5D70">
        <w:rPr>
          <w:kern w:val="22"/>
        </w:rPr>
        <w:t>4</w:t>
      </w:r>
      <w:r w:rsidRPr="00AA5D70">
        <w:rPr>
          <w:kern w:val="22"/>
        </w:rPr>
        <w:t>.</w:t>
      </w:r>
      <w:r w:rsidRPr="00AA5D70">
        <w:rPr>
          <w:kern w:val="22"/>
        </w:rPr>
        <w:tab/>
      </w:r>
      <w:r w:rsidR="004A3E7E" w:rsidRPr="00AA5D70">
        <w:rPr>
          <w:i/>
          <w:iCs/>
          <w:kern w:val="22"/>
        </w:rPr>
        <w:t xml:space="preserve">Further encourages </w:t>
      </w:r>
      <w:r w:rsidR="004A3E7E" w:rsidRPr="00AA5D70">
        <w:rPr>
          <w:kern w:val="22"/>
        </w:rPr>
        <w:t>Parties, other Governments and relevant organizations to take practical steps to promote and strengthen relevant networks of institutions and communities of practice to facilitate the exchange of biodiversity-related information, experiences, skills and technical know-how</w:t>
      </w:r>
      <w:r w:rsidR="00AC0656" w:rsidRPr="00AA5D70">
        <w:rPr>
          <w:kern w:val="22"/>
        </w:rPr>
        <w:t>;</w:t>
      </w:r>
    </w:p>
    <w:p w14:paraId="2F27CCB2" w14:textId="29DB6E2F" w:rsidR="00057BF0" w:rsidRPr="00AA5D70" w:rsidRDefault="00BC4DEE" w:rsidP="00AA5D70">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kern w:val="22"/>
        </w:rPr>
        <w:t>2</w:t>
      </w:r>
      <w:r w:rsidR="00A32140" w:rsidRPr="00AA5D70">
        <w:rPr>
          <w:kern w:val="22"/>
        </w:rPr>
        <w:t>5</w:t>
      </w:r>
      <w:r w:rsidRPr="00AA5D70">
        <w:rPr>
          <w:kern w:val="22"/>
        </w:rPr>
        <w:t>.</w:t>
      </w:r>
      <w:r w:rsidRPr="00AA5D70">
        <w:rPr>
          <w:kern w:val="22"/>
        </w:rPr>
        <w:tab/>
      </w:r>
      <w:r w:rsidR="004A3E7E" w:rsidRPr="00AA5D70">
        <w:rPr>
          <w:i/>
          <w:iCs/>
          <w:kern w:val="22"/>
        </w:rPr>
        <w:t xml:space="preserve">Decides </w:t>
      </w:r>
      <w:r w:rsidR="004A3E7E" w:rsidRPr="00AA5D70">
        <w:rPr>
          <w:kern w:val="22"/>
        </w:rPr>
        <w:t xml:space="preserve">to establish an Informal Advisory Group on Technical and Scientific Cooperation to provide strategic advice on practical measures, tools and opportunities to promote and facilitate technical and scientific cooperation in accordance with the terms of reference contained in </w:t>
      </w:r>
      <w:r w:rsidR="00AC0656" w:rsidRPr="00AA5D70">
        <w:rPr>
          <w:kern w:val="22"/>
        </w:rPr>
        <w:t>a</w:t>
      </w:r>
      <w:r w:rsidR="004A3E7E" w:rsidRPr="00AA5D70">
        <w:rPr>
          <w:kern w:val="22"/>
        </w:rPr>
        <w:t>nnex</w:t>
      </w:r>
      <w:r w:rsidR="00AC0656" w:rsidRPr="00AA5D70">
        <w:rPr>
          <w:kern w:val="22"/>
        </w:rPr>
        <w:t> III</w:t>
      </w:r>
      <w:r w:rsidR="004A3E7E" w:rsidRPr="00AA5D70">
        <w:rPr>
          <w:kern w:val="22"/>
        </w:rPr>
        <w:t xml:space="preserve"> below</w:t>
      </w:r>
      <w:r w:rsidR="00AC0656" w:rsidRPr="00AA5D70">
        <w:rPr>
          <w:kern w:val="22"/>
        </w:rPr>
        <w:t>;</w:t>
      </w:r>
    </w:p>
    <w:p w14:paraId="157B4BC2" w14:textId="288F1D16" w:rsidR="00C730C8" w:rsidRPr="00AA5D70" w:rsidRDefault="00BE5C66" w:rsidP="00AA5D70">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AA5D70">
        <w:rPr>
          <w:rFonts w:eastAsiaTheme="minorEastAsia"/>
          <w:kern w:val="22"/>
          <w:szCs w:val="22"/>
        </w:rPr>
        <w:t>2</w:t>
      </w:r>
      <w:r w:rsidR="00A32140" w:rsidRPr="00AA5D70">
        <w:rPr>
          <w:rFonts w:eastAsiaTheme="minorEastAsia"/>
          <w:kern w:val="22"/>
          <w:szCs w:val="22"/>
        </w:rPr>
        <w:t>6</w:t>
      </w:r>
      <w:r w:rsidRPr="00AA5D70">
        <w:rPr>
          <w:rFonts w:eastAsiaTheme="minorEastAsia"/>
          <w:kern w:val="22"/>
          <w:szCs w:val="22"/>
        </w:rPr>
        <w:t>.</w:t>
      </w:r>
      <w:r w:rsidRPr="00AA5D70">
        <w:rPr>
          <w:rFonts w:eastAsiaTheme="minorEastAsia"/>
          <w:kern w:val="22"/>
          <w:szCs w:val="22"/>
        </w:rPr>
        <w:tab/>
      </w:r>
      <w:r w:rsidR="00060C16" w:rsidRPr="00AA5D70">
        <w:rPr>
          <w:rFonts w:eastAsiaTheme="minorEastAsia"/>
          <w:i/>
          <w:iCs/>
          <w:kern w:val="22"/>
          <w:szCs w:val="22"/>
        </w:rPr>
        <w:t>Also</w:t>
      </w:r>
      <w:r w:rsidR="00060C16" w:rsidRPr="00D16AC1">
        <w:rPr>
          <w:i/>
          <w:iCs/>
          <w:kern w:val="22"/>
          <w:szCs w:val="22"/>
        </w:rPr>
        <w:t xml:space="preserve"> decides</w:t>
      </w:r>
      <w:r w:rsidR="00060C16" w:rsidRPr="00AA5D70">
        <w:rPr>
          <w:kern w:val="22"/>
          <w:szCs w:val="22"/>
        </w:rPr>
        <w:t>,</w:t>
      </w:r>
      <w:r w:rsidR="00060C16" w:rsidRPr="00D16AC1">
        <w:rPr>
          <w:kern w:val="22"/>
          <w:szCs w:val="22"/>
        </w:rPr>
        <w:t xml:space="preserve"> </w:t>
      </w:r>
      <w:r w:rsidR="00060C16" w:rsidRPr="00D16AC1">
        <w:rPr>
          <w:rFonts w:eastAsiaTheme="minorEastAsia"/>
          <w:kern w:val="22"/>
          <w:szCs w:val="22"/>
        </w:rPr>
        <w:t>i</w:t>
      </w:r>
      <w:r w:rsidR="00A76F02" w:rsidRPr="00AA5D70">
        <w:rPr>
          <w:rFonts w:eastAsiaTheme="minorEastAsia"/>
          <w:kern w:val="22"/>
          <w:szCs w:val="22"/>
        </w:rPr>
        <w:t xml:space="preserve">n </w:t>
      </w:r>
      <w:r w:rsidR="00B802B6" w:rsidRPr="00D16AC1">
        <w:rPr>
          <w:rFonts w:eastAsiaTheme="minorEastAsia"/>
          <w:kern w:val="22"/>
          <w:szCs w:val="22"/>
        </w:rPr>
        <w:t xml:space="preserve">the </w:t>
      </w:r>
      <w:r w:rsidR="00A76F02" w:rsidRPr="00AA5D70">
        <w:rPr>
          <w:rFonts w:eastAsiaTheme="minorEastAsia"/>
          <w:kern w:val="22"/>
          <w:szCs w:val="22"/>
        </w:rPr>
        <w:t>light</w:t>
      </w:r>
      <w:r w:rsidRPr="00AA5D70">
        <w:rPr>
          <w:rFonts w:eastAsiaTheme="minorEastAsia"/>
          <w:kern w:val="22"/>
          <w:szCs w:val="22"/>
        </w:rPr>
        <w:t xml:space="preserve"> of the </w:t>
      </w:r>
      <w:r w:rsidRPr="00AA5D70">
        <w:rPr>
          <w:kern w:val="22"/>
          <w:szCs w:val="22"/>
        </w:rPr>
        <w:t xml:space="preserve">advantages, disadvantages and costs presented in document CBD/SBI/3/INF/16, to pursue </w:t>
      </w:r>
      <w:r w:rsidR="0080215B" w:rsidRPr="00AA5D70">
        <w:rPr>
          <w:kern w:val="22"/>
          <w:szCs w:val="22"/>
        </w:rPr>
        <w:t xml:space="preserve">a hybrid of </w:t>
      </w:r>
      <w:r w:rsidRPr="00AA5D70">
        <w:rPr>
          <w:kern w:val="22"/>
          <w:szCs w:val="22"/>
        </w:rPr>
        <w:t>options A and B</w:t>
      </w:r>
      <w:r w:rsidR="00E76265" w:rsidRPr="00AA5D70">
        <w:rPr>
          <w:kern w:val="22"/>
          <w:szCs w:val="22"/>
        </w:rPr>
        <w:t xml:space="preserve"> of the institutional mechanisms to promote and facilitate technical and scientific cooperation proposed in section</w:t>
      </w:r>
      <w:r w:rsidR="00310811" w:rsidRPr="00AA5D70">
        <w:rPr>
          <w:kern w:val="22"/>
          <w:szCs w:val="22"/>
        </w:rPr>
        <w:t> </w:t>
      </w:r>
      <w:r w:rsidR="00E76265" w:rsidRPr="00AA5D70">
        <w:rPr>
          <w:kern w:val="22"/>
          <w:szCs w:val="22"/>
        </w:rPr>
        <w:t xml:space="preserve">V of </w:t>
      </w:r>
      <w:r w:rsidR="001D6009" w:rsidRPr="00D16AC1">
        <w:rPr>
          <w:kern w:val="22"/>
          <w:szCs w:val="22"/>
        </w:rPr>
        <w:t>the note by the Executive Secretary</w:t>
      </w:r>
      <w:r w:rsidRPr="00AA5D70">
        <w:rPr>
          <w:kern w:val="22"/>
          <w:szCs w:val="22"/>
        </w:rPr>
        <w:t>,</w:t>
      </w:r>
      <w:r w:rsidR="00D743B5" w:rsidRPr="00D16AC1">
        <w:rPr>
          <w:rStyle w:val="FootnoteReference"/>
          <w:kern w:val="22"/>
          <w:szCs w:val="22"/>
        </w:rPr>
        <w:footnoteReference w:id="50"/>
      </w:r>
      <w:r w:rsidRPr="00AA5D70">
        <w:rPr>
          <w:kern w:val="22"/>
          <w:szCs w:val="22"/>
        </w:rPr>
        <w:t xml:space="preserve"> whereby a global technical and scientific cooperation support centre </w:t>
      </w:r>
      <w:r w:rsidR="0061369B" w:rsidRPr="00AA5D70">
        <w:rPr>
          <w:kern w:val="22"/>
          <w:szCs w:val="22"/>
        </w:rPr>
        <w:t xml:space="preserve">would work together with </w:t>
      </w:r>
      <w:r w:rsidRPr="00AA5D70">
        <w:rPr>
          <w:kern w:val="22"/>
          <w:szCs w:val="22"/>
        </w:rPr>
        <w:t xml:space="preserve">a network of regional support centres and </w:t>
      </w:r>
      <w:r w:rsidR="00515F52" w:rsidRPr="00AA5D70">
        <w:rPr>
          <w:kern w:val="22"/>
          <w:szCs w:val="22"/>
        </w:rPr>
        <w:t xml:space="preserve">other relevant </w:t>
      </w:r>
      <w:r w:rsidRPr="00AA5D70">
        <w:rPr>
          <w:kern w:val="22"/>
          <w:szCs w:val="22"/>
        </w:rPr>
        <w:t>organizations;</w:t>
      </w:r>
    </w:p>
    <w:p w14:paraId="715ACA9F" w14:textId="7112373E" w:rsidR="004A3E7E" w:rsidRPr="00AA5D70" w:rsidRDefault="007F7869"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szCs w:val="22"/>
        </w:rPr>
      </w:pPr>
      <w:r w:rsidRPr="00AA5D70">
        <w:rPr>
          <w:kern w:val="22"/>
          <w:szCs w:val="22"/>
        </w:rPr>
        <w:t>2</w:t>
      </w:r>
      <w:r w:rsidR="00A32140" w:rsidRPr="00AA5D70">
        <w:rPr>
          <w:kern w:val="22"/>
          <w:szCs w:val="22"/>
        </w:rPr>
        <w:t>7</w:t>
      </w:r>
      <w:r w:rsidRPr="00AA5D70">
        <w:rPr>
          <w:kern w:val="22"/>
          <w:szCs w:val="22"/>
        </w:rPr>
        <w:t>.</w:t>
      </w:r>
      <w:r w:rsidRPr="00AA5D70">
        <w:rPr>
          <w:kern w:val="22"/>
          <w:szCs w:val="22"/>
        </w:rPr>
        <w:tab/>
      </w:r>
      <w:r w:rsidR="004A3E7E" w:rsidRPr="00AA5D70">
        <w:rPr>
          <w:i/>
          <w:iCs/>
          <w:kern w:val="22"/>
          <w:szCs w:val="22"/>
        </w:rPr>
        <w:t>Invites</w:t>
      </w:r>
      <w:r w:rsidR="004A3E7E" w:rsidRPr="00AA5D70">
        <w:rPr>
          <w:kern w:val="22"/>
          <w:szCs w:val="22"/>
        </w:rPr>
        <w:t xml:space="preserve"> the United Nations Environment Programme to establish</w:t>
      </w:r>
      <w:r w:rsidR="00ED38B7" w:rsidRPr="00AA5D70">
        <w:rPr>
          <w:kern w:val="22"/>
          <w:szCs w:val="22"/>
        </w:rPr>
        <w:t>,</w:t>
      </w:r>
      <w:r w:rsidR="004A3E7E" w:rsidRPr="00AA5D70">
        <w:rPr>
          <w:kern w:val="22"/>
          <w:szCs w:val="22"/>
        </w:rPr>
        <w:t xml:space="preserve"> </w:t>
      </w:r>
      <w:r w:rsidR="00ED38B7" w:rsidRPr="00AA5D70">
        <w:rPr>
          <w:kern w:val="22"/>
          <w:szCs w:val="22"/>
        </w:rPr>
        <w:t xml:space="preserve">in collaboration with relevant organizations, </w:t>
      </w:r>
      <w:r w:rsidR="00D9273B" w:rsidRPr="00AA5D70">
        <w:rPr>
          <w:kern w:val="22"/>
          <w:szCs w:val="22"/>
        </w:rPr>
        <w:t>the</w:t>
      </w:r>
      <w:r w:rsidR="004A3E7E" w:rsidRPr="00AA5D70">
        <w:rPr>
          <w:kern w:val="22"/>
          <w:szCs w:val="22"/>
        </w:rPr>
        <w:t xml:space="preserve"> global technical and scientific cooperation support centre for biodiversity to catalyse, facilitate and enhance technical and scientific cooperation </w:t>
      </w:r>
      <w:r w:rsidR="00AF6CFB" w:rsidRPr="00AA5D70">
        <w:rPr>
          <w:kern w:val="22"/>
          <w:szCs w:val="22"/>
        </w:rPr>
        <w:t xml:space="preserve">and technology transfer </w:t>
      </w:r>
      <w:r w:rsidR="004A3E7E" w:rsidRPr="00AA5D70">
        <w:rPr>
          <w:kern w:val="22"/>
          <w:szCs w:val="22"/>
        </w:rPr>
        <w:t xml:space="preserve">to support </w:t>
      </w:r>
      <w:r w:rsidR="00D6339D" w:rsidRPr="00AA5D70">
        <w:rPr>
          <w:kern w:val="22"/>
          <w:szCs w:val="22"/>
        </w:rPr>
        <w:t xml:space="preserve">achievement </w:t>
      </w:r>
      <w:r w:rsidR="003319F3" w:rsidRPr="00AA5D70">
        <w:rPr>
          <w:kern w:val="22"/>
          <w:szCs w:val="22"/>
        </w:rPr>
        <w:t xml:space="preserve">of </w:t>
      </w:r>
      <w:r w:rsidR="004A3E7E" w:rsidRPr="00AA5D70">
        <w:rPr>
          <w:kern w:val="22"/>
          <w:szCs w:val="22"/>
        </w:rPr>
        <w:t xml:space="preserve">the </w:t>
      </w:r>
      <w:r w:rsidR="00D6339D" w:rsidRPr="00AA5D70">
        <w:rPr>
          <w:kern w:val="22"/>
          <w:szCs w:val="22"/>
        </w:rPr>
        <w:t xml:space="preserve">goals and targets </w:t>
      </w:r>
      <w:r w:rsidR="004A3E7E" w:rsidRPr="00AA5D70">
        <w:rPr>
          <w:kern w:val="22"/>
          <w:szCs w:val="22"/>
        </w:rPr>
        <w:t xml:space="preserve">of the post-2020 global biodiversity framework and </w:t>
      </w:r>
      <w:r w:rsidR="004A1F85" w:rsidRPr="00AA5D70">
        <w:rPr>
          <w:kern w:val="22"/>
          <w:szCs w:val="22"/>
        </w:rPr>
        <w:t xml:space="preserve">of </w:t>
      </w:r>
      <w:r w:rsidR="004A3E7E" w:rsidRPr="00AA5D70">
        <w:rPr>
          <w:kern w:val="22"/>
          <w:szCs w:val="22"/>
        </w:rPr>
        <w:t>the 2030 Agenda for Sustainable Development</w:t>
      </w:r>
      <w:r w:rsidR="006739F1" w:rsidRPr="00AA5D70">
        <w:rPr>
          <w:kern w:val="22"/>
          <w:szCs w:val="22"/>
        </w:rPr>
        <w:t>,</w:t>
      </w:r>
      <w:r w:rsidR="004D625F" w:rsidRPr="00AA5D70">
        <w:rPr>
          <w:rStyle w:val="FootnoteReference"/>
          <w:kern w:val="22"/>
          <w:szCs w:val="22"/>
        </w:rPr>
        <w:footnoteReference w:id="51"/>
      </w:r>
      <w:r w:rsidR="006739F1" w:rsidRPr="00AA5D70">
        <w:rPr>
          <w:kern w:val="22"/>
          <w:szCs w:val="22"/>
        </w:rPr>
        <w:t xml:space="preserve"> </w:t>
      </w:r>
      <w:r w:rsidR="004019D5" w:rsidRPr="00AA5D70">
        <w:rPr>
          <w:kern w:val="22"/>
          <w:szCs w:val="22"/>
        </w:rPr>
        <w:t xml:space="preserve">drawing on the lessons learned from, and </w:t>
      </w:r>
      <w:r w:rsidR="00A415DE" w:rsidRPr="00AA5D70">
        <w:rPr>
          <w:kern w:val="22"/>
          <w:szCs w:val="22"/>
        </w:rPr>
        <w:t>maximizing</w:t>
      </w:r>
      <w:r w:rsidR="004019D5" w:rsidRPr="00AA5D70">
        <w:rPr>
          <w:kern w:val="22"/>
          <w:szCs w:val="22"/>
        </w:rPr>
        <w:t xml:space="preserve"> synergies with, the Climate Technology Centre and Network</w:t>
      </w:r>
      <w:r w:rsidR="00C7239B" w:rsidRPr="00AA5D70">
        <w:rPr>
          <w:kern w:val="22"/>
          <w:szCs w:val="22"/>
        </w:rPr>
        <w:t>;</w:t>
      </w:r>
    </w:p>
    <w:p w14:paraId="431C1DB0" w14:textId="1FF2DF35" w:rsidR="004A3E7E" w:rsidRPr="00AA5D70" w:rsidRDefault="007F7869"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szCs w:val="22"/>
        </w:rPr>
      </w:pPr>
      <w:r w:rsidRPr="00AA5D70">
        <w:rPr>
          <w:kern w:val="22"/>
        </w:rPr>
        <w:t>2</w:t>
      </w:r>
      <w:r w:rsidR="00A32140" w:rsidRPr="00AA5D70">
        <w:rPr>
          <w:kern w:val="22"/>
        </w:rPr>
        <w:t>8</w:t>
      </w:r>
      <w:r w:rsidRPr="00AA5D70">
        <w:rPr>
          <w:kern w:val="22"/>
        </w:rPr>
        <w:t>.</w:t>
      </w:r>
      <w:r w:rsidRPr="00AA5D70">
        <w:rPr>
          <w:kern w:val="22"/>
        </w:rPr>
        <w:tab/>
      </w:r>
      <w:r w:rsidR="004A3E7E" w:rsidRPr="00AA5D70">
        <w:rPr>
          <w:i/>
          <w:iCs/>
          <w:kern w:val="22"/>
        </w:rPr>
        <w:t xml:space="preserve">Decides </w:t>
      </w:r>
      <w:r w:rsidR="004A3E7E" w:rsidRPr="00AA5D70">
        <w:rPr>
          <w:kern w:val="22"/>
          <w:szCs w:val="22"/>
        </w:rPr>
        <w:t>that the core functions of the global support centre</w:t>
      </w:r>
      <w:r w:rsidR="0067594D" w:rsidRPr="00AA5D70">
        <w:rPr>
          <w:kern w:val="22"/>
          <w:szCs w:val="22"/>
        </w:rPr>
        <w:t xml:space="preserve"> and the regional support centres and organizations</w:t>
      </w:r>
      <w:r w:rsidR="004A3E7E" w:rsidRPr="00AA5D70">
        <w:rPr>
          <w:kern w:val="22"/>
          <w:szCs w:val="22"/>
        </w:rPr>
        <w:t xml:space="preserve"> will </w:t>
      </w:r>
      <w:r w:rsidR="00AB34D5" w:rsidRPr="00AA5D70">
        <w:rPr>
          <w:kern w:val="22"/>
          <w:szCs w:val="22"/>
        </w:rPr>
        <w:t>be</w:t>
      </w:r>
      <w:r w:rsidR="004A3E7E" w:rsidRPr="00AA5D70">
        <w:rPr>
          <w:kern w:val="22"/>
          <w:szCs w:val="22"/>
        </w:rPr>
        <w:t>:</w:t>
      </w:r>
    </w:p>
    <w:p w14:paraId="28ABC061" w14:textId="50AC015F" w:rsidR="004A3E7E"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AA5D70">
        <w:rPr>
          <w:snapToGrid w:val="0"/>
          <w:color w:val="000000" w:themeColor="text1"/>
          <w:kern w:val="22"/>
          <w:szCs w:val="22"/>
        </w:rPr>
        <w:t>(a)</w:t>
      </w:r>
      <w:r w:rsidRPr="00AA5D70">
        <w:rPr>
          <w:snapToGrid w:val="0"/>
          <w:color w:val="000000" w:themeColor="text1"/>
          <w:kern w:val="22"/>
          <w:szCs w:val="22"/>
        </w:rPr>
        <w:tab/>
      </w:r>
      <w:r w:rsidR="00AB34D5" w:rsidRPr="00AA5D70">
        <w:rPr>
          <w:snapToGrid w:val="0"/>
          <w:color w:val="000000" w:themeColor="text1"/>
          <w:kern w:val="22"/>
          <w:szCs w:val="22"/>
        </w:rPr>
        <w:t>To p</w:t>
      </w:r>
      <w:r w:rsidR="004A3E7E" w:rsidRPr="00AA5D70">
        <w:rPr>
          <w:snapToGrid w:val="0"/>
          <w:color w:val="000000" w:themeColor="text1"/>
          <w:kern w:val="22"/>
          <w:szCs w:val="22"/>
        </w:rPr>
        <w:t>romote and facilitate technical and scientific cooperation and technology transfer among Parties to support</w:t>
      </w:r>
      <w:r w:rsidR="00F70ACE" w:rsidRPr="00AA5D70">
        <w:rPr>
          <w:snapToGrid w:val="0"/>
          <w:color w:val="000000" w:themeColor="text1"/>
          <w:kern w:val="22"/>
          <w:szCs w:val="22"/>
        </w:rPr>
        <w:t xml:space="preserve"> the</w:t>
      </w:r>
      <w:r w:rsidR="004A3E7E" w:rsidRPr="00AA5D70">
        <w:rPr>
          <w:snapToGrid w:val="0"/>
          <w:color w:val="000000" w:themeColor="text1"/>
          <w:kern w:val="22"/>
          <w:szCs w:val="22"/>
        </w:rPr>
        <w:t xml:space="preserve"> implementation of the post-2020 global biodiversity framework;</w:t>
      </w:r>
    </w:p>
    <w:p w14:paraId="6000221A" w14:textId="62DE2D72" w:rsidR="004A3E7E"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AA5D70">
        <w:rPr>
          <w:snapToGrid w:val="0"/>
          <w:color w:val="000000" w:themeColor="text1"/>
          <w:kern w:val="22"/>
          <w:szCs w:val="22"/>
        </w:rPr>
        <w:t>(b)</w:t>
      </w:r>
      <w:r w:rsidRPr="00AA5D70">
        <w:rPr>
          <w:snapToGrid w:val="0"/>
          <w:color w:val="000000" w:themeColor="text1"/>
          <w:kern w:val="22"/>
          <w:szCs w:val="22"/>
        </w:rPr>
        <w:tab/>
      </w:r>
      <w:r w:rsidR="00AB34D5" w:rsidRPr="00AA5D70">
        <w:rPr>
          <w:snapToGrid w:val="0"/>
          <w:color w:val="000000" w:themeColor="text1"/>
          <w:kern w:val="22"/>
          <w:szCs w:val="22"/>
        </w:rPr>
        <w:t>To p</w:t>
      </w:r>
      <w:r w:rsidR="004A3E7E" w:rsidRPr="00AA5D70">
        <w:rPr>
          <w:snapToGrid w:val="0"/>
          <w:color w:val="000000" w:themeColor="text1"/>
          <w:kern w:val="22"/>
          <w:szCs w:val="22"/>
        </w:rPr>
        <w:t xml:space="preserve">rovide a “one-stop service centre” for Parties to biodiversity-related conventions, </w:t>
      </w:r>
      <w:r w:rsidR="004A3E7E" w:rsidRPr="00AA5D70">
        <w:rPr>
          <w:snapToGrid w:val="0"/>
          <w:kern w:val="22"/>
          <w:szCs w:val="22"/>
        </w:rPr>
        <w:t xml:space="preserve">indigenous peoples and local communities and relevant stakeholders </w:t>
      </w:r>
      <w:r w:rsidR="004A3E7E" w:rsidRPr="00AA5D70">
        <w:rPr>
          <w:snapToGrid w:val="0"/>
          <w:color w:val="000000" w:themeColor="text1"/>
          <w:kern w:val="22"/>
          <w:szCs w:val="22"/>
        </w:rPr>
        <w:t>to access</w:t>
      </w:r>
      <w:r w:rsidR="004A3E7E" w:rsidRPr="00AA5D70">
        <w:rPr>
          <w:snapToGrid w:val="0"/>
          <w:kern w:val="22"/>
          <w:szCs w:val="22"/>
        </w:rPr>
        <w:t xml:space="preserve"> technical and scientific knowledge, expertise, tools and other resources;</w:t>
      </w:r>
    </w:p>
    <w:p w14:paraId="0029299F" w14:textId="6C933E38" w:rsidR="004A3E7E"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AA5D70">
        <w:rPr>
          <w:snapToGrid w:val="0"/>
          <w:kern w:val="22"/>
          <w:szCs w:val="22"/>
        </w:rPr>
        <w:t>(c)</w:t>
      </w:r>
      <w:r w:rsidRPr="00AA5D70">
        <w:rPr>
          <w:snapToGrid w:val="0"/>
          <w:kern w:val="22"/>
          <w:szCs w:val="22"/>
        </w:rPr>
        <w:tab/>
      </w:r>
      <w:r w:rsidR="00AB34D5" w:rsidRPr="00AA5D70">
        <w:rPr>
          <w:snapToGrid w:val="0"/>
          <w:kern w:val="22"/>
          <w:szCs w:val="22"/>
        </w:rPr>
        <w:t>To p</w:t>
      </w:r>
      <w:r w:rsidR="004A3E7E" w:rsidRPr="00AA5D70">
        <w:rPr>
          <w:snapToGrid w:val="0"/>
          <w:kern w:val="22"/>
          <w:szCs w:val="22"/>
        </w:rPr>
        <w:t xml:space="preserve">rovide </w:t>
      </w:r>
      <w:r w:rsidR="004A3E7E" w:rsidRPr="00AA5D70">
        <w:rPr>
          <w:snapToGrid w:val="0"/>
          <w:color w:val="000000" w:themeColor="text1"/>
          <w:kern w:val="22"/>
          <w:szCs w:val="22"/>
        </w:rPr>
        <w:t>access to information on opportunities for technical and scientific cooperation, technology transfer and innovations;</w:t>
      </w:r>
    </w:p>
    <w:p w14:paraId="462E7B00" w14:textId="3798E191" w:rsidR="004A3E7E"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AA5D70">
        <w:rPr>
          <w:snapToGrid w:val="0"/>
          <w:color w:val="000000" w:themeColor="text1"/>
          <w:kern w:val="22"/>
          <w:szCs w:val="22"/>
        </w:rPr>
        <w:t>(d)</w:t>
      </w:r>
      <w:r w:rsidRPr="00AA5D70">
        <w:rPr>
          <w:snapToGrid w:val="0"/>
          <w:color w:val="000000" w:themeColor="text1"/>
          <w:kern w:val="22"/>
          <w:szCs w:val="22"/>
        </w:rPr>
        <w:tab/>
      </w:r>
      <w:r w:rsidR="00AB34D5" w:rsidRPr="00AA5D70">
        <w:rPr>
          <w:snapToGrid w:val="0"/>
          <w:color w:val="000000" w:themeColor="text1"/>
          <w:kern w:val="22"/>
          <w:szCs w:val="22"/>
        </w:rPr>
        <w:t>To m</w:t>
      </w:r>
      <w:r w:rsidR="004A3E7E" w:rsidRPr="00AA5D70">
        <w:rPr>
          <w:snapToGrid w:val="0"/>
          <w:color w:val="000000" w:themeColor="text1"/>
          <w:kern w:val="22"/>
          <w:szCs w:val="22"/>
        </w:rPr>
        <w:t xml:space="preserve">obilize resources to </w:t>
      </w:r>
      <w:r w:rsidR="004A3E7E" w:rsidRPr="00AA5D70">
        <w:rPr>
          <w:snapToGrid w:val="0"/>
          <w:kern w:val="22"/>
          <w:szCs w:val="22"/>
        </w:rPr>
        <w:t>provide punctual and targeted support for small-scale projects and activities to address specific identified technical and scientific needs</w:t>
      </w:r>
      <w:r w:rsidR="004A3E7E" w:rsidRPr="00AA5D70">
        <w:rPr>
          <w:snapToGrid w:val="0"/>
          <w:color w:val="000000" w:themeColor="text1"/>
          <w:kern w:val="22"/>
          <w:szCs w:val="22"/>
        </w:rPr>
        <w:t>;</w:t>
      </w:r>
    </w:p>
    <w:p w14:paraId="0031785C" w14:textId="267E7936" w:rsidR="004A3E7E"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AA5D70">
        <w:rPr>
          <w:snapToGrid w:val="0"/>
          <w:kern w:val="22"/>
          <w:szCs w:val="22"/>
        </w:rPr>
        <w:t>(e)</w:t>
      </w:r>
      <w:r w:rsidRPr="00AA5D70">
        <w:rPr>
          <w:snapToGrid w:val="0"/>
          <w:kern w:val="22"/>
          <w:szCs w:val="22"/>
        </w:rPr>
        <w:tab/>
      </w:r>
      <w:r w:rsidR="00AB34D5" w:rsidRPr="00AA5D70">
        <w:rPr>
          <w:snapToGrid w:val="0"/>
          <w:kern w:val="22"/>
          <w:szCs w:val="22"/>
        </w:rPr>
        <w:t>To f</w:t>
      </w:r>
      <w:r w:rsidR="004A3E7E" w:rsidRPr="00AA5D70">
        <w:rPr>
          <w:snapToGrid w:val="0"/>
          <w:kern w:val="22"/>
          <w:szCs w:val="22"/>
        </w:rPr>
        <w:t>acilitate matchmaking between Parties with specific needs and Parties or organizations in a position to provide assistance in response to the priority needs</w:t>
      </w:r>
      <w:r w:rsidR="00B37E55" w:rsidRPr="00D16AC1">
        <w:t xml:space="preserve"> </w:t>
      </w:r>
      <w:r w:rsidR="00B37E55" w:rsidRPr="00D16AC1">
        <w:rPr>
          <w:snapToGrid w:val="0"/>
          <w:kern w:val="22"/>
          <w:szCs w:val="22"/>
        </w:rPr>
        <w:t>identified</w:t>
      </w:r>
      <w:r w:rsidR="004A3E7E" w:rsidRPr="00AA5D70">
        <w:rPr>
          <w:snapToGrid w:val="0"/>
          <w:kern w:val="22"/>
          <w:szCs w:val="22"/>
        </w:rPr>
        <w:t>;</w:t>
      </w:r>
    </w:p>
    <w:p w14:paraId="04E31C9F" w14:textId="69D4D9B2" w:rsidR="004A3E7E"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AA5D70">
        <w:rPr>
          <w:snapToGrid w:val="0"/>
          <w:kern w:val="22"/>
          <w:szCs w:val="22"/>
        </w:rPr>
        <w:lastRenderedPageBreak/>
        <w:t>(f)</w:t>
      </w:r>
      <w:r w:rsidRPr="00AA5D70">
        <w:rPr>
          <w:snapToGrid w:val="0"/>
          <w:kern w:val="22"/>
          <w:szCs w:val="22"/>
        </w:rPr>
        <w:tab/>
      </w:r>
      <w:r w:rsidR="00AB34D5" w:rsidRPr="00AA5D70">
        <w:rPr>
          <w:snapToGrid w:val="0"/>
          <w:kern w:val="22"/>
          <w:szCs w:val="22"/>
        </w:rPr>
        <w:t>To c</w:t>
      </w:r>
      <w:r w:rsidR="004A3E7E" w:rsidRPr="00AA5D70">
        <w:rPr>
          <w:snapToGrid w:val="0"/>
          <w:kern w:val="22"/>
          <w:szCs w:val="22"/>
        </w:rPr>
        <w:t>ataly</w:t>
      </w:r>
      <w:r w:rsidR="00C8159C" w:rsidRPr="00AA5D70">
        <w:rPr>
          <w:snapToGrid w:val="0"/>
          <w:kern w:val="22"/>
          <w:szCs w:val="22"/>
        </w:rPr>
        <w:t>s</w:t>
      </w:r>
      <w:r w:rsidR="004A3E7E" w:rsidRPr="00AA5D70">
        <w:rPr>
          <w:snapToGrid w:val="0"/>
          <w:kern w:val="22"/>
          <w:szCs w:val="22"/>
        </w:rPr>
        <w:t>e and support the development, implementation, monitoring and evaluation of technical and scientific cooperation projects and programmes that:</w:t>
      </w:r>
    </w:p>
    <w:p w14:paraId="17CD9FE9" w14:textId="115FC08A" w:rsidR="004A3E7E" w:rsidRPr="00AA5D70" w:rsidRDefault="007F7869" w:rsidP="00AA5D70">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AA5D70">
        <w:rPr>
          <w:snapToGrid w:val="0"/>
          <w:kern w:val="22"/>
          <w:szCs w:val="22"/>
        </w:rPr>
        <w:t>(</w:t>
      </w:r>
      <w:proofErr w:type="spellStart"/>
      <w:r w:rsidRPr="00AA5D70">
        <w:rPr>
          <w:snapToGrid w:val="0"/>
          <w:kern w:val="22"/>
          <w:szCs w:val="22"/>
        </w:rPr>
        <w:t>i</w:t>
      </w:r>
      <w:proofErr w:type="spellEnd"/>
      <w:r w:rsidRPr="00AA5D70">
        <w:rPr>
          <w:snapToGrid w:val="0"/>
          <w:kern w:val="22"/>
          <w:szCs w:val="22"/>
        </w:rPr>
        <w:t>)</w:t>
      </w:r>
      <w:r w:rsidRPr="00AA5D70">
        <w:rPr>
          <w:snapToGrid w:val="0"/>
          <w:kern w:val="22"/>
          <w:szCs w:val="22"/>
        </w:rPr>
        <w:tab/>
      </w:r>
      <w:r w:rsidR="004A3E7E" w:rsidRPr="00AA5D70">
        <w:rPr>
          <w:snapToGrid w:val="0"/>
          <w:kern w:val="22"/>
          <w:szCs w:val="22"/>
        </w:rPr>
        <w:t>Promote and incubate international and regional cooperation and partnerships using a programmatic approach;</w:t>
      </w:r>
    </w:p>
    <w:p w14:paraId="467C6C92" w14:textId="25B07FFF" w:rsidR="004A3E7E" w:rsidRPr="00AA5D70" w:rsidRDefault="007F7869" w:rsidP="00AA5D70">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AA5D70">
        <w:rPr>
          <w:snapToGrid w:val="0"/>
          <w:kern w:val="22"/>
          <w:szCs w:val="22"/>
        </w:rPr>
        <w:t>(ii)</w:t>
      </w:r>
      <w:r w:rsidRPr="00AA5D70">
        <w:rPr>
          <w:snapToGrid w:val="0"/>
          <w:kern w:val="22"/>
          <w:szCs w:val="22"/>
        </w:rPr>
        <w:tab/>
      </w:r>
      <w:r w:rsidR="004A3E7E" w:rsidRPr="00AA5D70">
        <w:rPr>
          <w:snapToGrid w:val="0"/>
          <w:kern w:val="22"/>
          <w:szCs w:val="22"/>
        </w:rPr>
        <w:t>Facilitate the development, transfer and diffusion of technologies</w:t>
      </w:r>
      <w:r w:rsidR="0023460C" w:rsidRPr="00AA5D70">
        <w:rPr>
          <w:snapToGrid w:val="0"/>
          <w:kern w:val="22"/>
          <w:szCs w:val="22"/>
        </w:rPr>
        <w:t xml:space="preserve"> and innovative local solutions</w:t>
      </w:r>
      <w:r w:rsidR="004A3E7E" w:rsidRPr="00AA5D70">
        <w:rPr>
          <w:snapToGrid w:val="0"/>
          <w:kern w:val="22"/>
          <w:szCs w:val="22"/>
        </w:rPr>
        <w:t>, including through scalable initiatives;</w:t>
      </w:r>
    </w:p>
    <w:p w14:paraId="2E5DF62B" w14:textId="685BA54F" w:rsidR="004A3E7E" w:rsidRPr="00AA5D70" w:rsidRDefault="007F7869" w:rsidP="00AA5D70">
      <w:pPr>
        <w:suppressLineNumbers/>
        <w:suppressAutoHyphens/>
        <w:kinsoku w:val="0"/>
        <w:overflowPunct w:val="0"/>
        <w:autoSpaceDE w:val="0"/>
        <w:autoSpaceDN w:val="0"/>
        <w:adjustRightInd w:val="0"/>
        <w:snapToGrid w:val="0"/>
        <w:spacing w:after="120"/>
        <w:ind w:left="1584" w:hanging="720"/>
        <w:rPr>
          <w:snapToGrid w:val="0"/>
          <w:kern w:val="22"/>
          <w:szCs w:val="22"/>
        </w:rPr>
      </w:pPr>
      <w:r w:rsidRPr="00AA5D70">
        <w:rPr>
          <w:snapToGrid w:val="0"/>
          <w:kern w:val="22"/>
          <w:szCs w:val="22"/>
        </w:rPr>
        <w:t>(iii)</w:t>
      </w:r>
      <w:r w:rsidRPr="00AA5D70">
        <w:rPr>
          <w:snapToGrid w:val="0"/>
          <w:kern w:val="22"/>
          <w:szCs w:val="22"/>
        </w:rPr>
        <w:tab/>
      </w:r>
      <w:r w:rsidR="004A3E7E" w:rsidRPr="00AA5D70">
        <w:rPr>
          <w:snapToGrid w:val="0"/>
          <w:kern w:val="22"/>
          <w:szCs w:val="22"/>
        </w:rPr>
        <w:t>Facilitate access to and utilization of available scientific knowledge, information and data, as well as indigenous and traditional knowledge, subject to prior informed consent;</w:t>
      </w:r>
    </w:p>
    <w:p w14:paraId="46C576B7" w14:textId="7F2B168D" w:rsidR="006C5C72" w:rsidRPr="00AA5D70" w:rsidRDefault="007F7869"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AA5D70">
        <w:rPr>
          <w:snapToGrid w:val="0"/>
          <w:kern w:val="22"/>
          <w:szCs w:val="22"/>
        </w:rPr>
        <w:t>(g)</w:t>
      </w:r>
      <w:r w:rsidRPr="00AA5D70">
        <w:rPr>
          <w:snapToGrid w:val="0"/>
          <w:kern w:val="22"/>
          <w:szCs w:val="22"/>
        </w:rPr>
        <w:tab/>
      </w:r>
      <w:r w:rsidR="006C5C72" w:rsidRPr="00AA5D70">
        <w:rPr>
          <w:snapToGrid w:val="0"/>
          <w:kern w:val="22"/>
          <w:szCs w:val="22"/>
        </w:rPr>
        <w:t>To strengthen capacities of regional and national centres to facilitate technical and scientific cooperation;</w:t>
      </w:r>
    </w:p>
    <w:p w14:paraId="5A149839" w14:textId="09449AE8" w:rsidR="006C5C72" w:rsidRPr="00AA5D70" w:rsidRDefault="004A2392"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AA5D70">
        <w:rPr>
          <w:snapToGrid w:val="0"/>
          <w:kern w:val="22"/>
          <w:szCs w:val="22"/>
        </w:rPr>
        <w:t>(h)</w:t>
      </w:r>
      <w:r w:rsidRPr="00AA5D70">
        <w:rPr>
          <w:snapToGrid w:val="0"/>
          <w:kern w:val="22"/>
          <w:szCs w:val="22"/>
        </w:rPr>
        <w:tab/>
      </w:r>
      <w:r w:rsidR="00AB34D5" w:rsidRPr="00AA5D70">
        <w:rPr>
          <w:snapToGrid w:val="0"/>
          <w:kern w:val="22"/>
          <w:szCs w:val="22"/>
        </w:rPr>
        <w:t>To f</w:t>
      </w:r>
      <w:r w:rsidR="004A3E7E" w:rsidRPr="00AA5D70">
        <w:rPr>
          <w:snapToGrid w:val="0"/>
          <w:kern w:val="22"/>
          <w:szCs w:val="22"/>
        </w:rPr>
        <w:t>acilitate knowledge sharing and organizational learning;</w:t>
      </w:r>
    </w:p>
    <w:p w14:paraId="1C2022A4" w14:textId="179B5FDF" w:rsidR="004A3E7E" w:rsidRPr="00AA5D70" w:rsidRDefault="004A2392"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AA5D70">
        <w:rPr>
          <w:snapToGrid w:val="0"/>
          <w:kern w:val="22"/>
        </w:rPr>
        <w:t>(</w:t>
      </w:r>
      <w:proofErr w:type="spellStart"/>
      <w:r w:rsidRPr="00AA5D70">
        <w:rPr>
          <w:snapToGrid w:val="0"/>
          <w:kern w:val="22"/>
        </w:rPr>
        <w:t>i</w:t>
      </w:r>
      <w:proofErr w:type="spellEnd"/>
      <w:r w:rsidRPr="00AA5D70">
        <w:rPr>
          <w:snapToGrid w:val="0"/>
          <w:kern w:val="22"/>
        </w:rPr>
        <w:t>)</w:t>
      </w:r>
      <w:r w:rsidRPr="00AA5D70">
        <w:rPr>
          <w:snapToGrid w:val="0"/>
          <w:kern w:val="22"/>
        </w:rPr>
        <w:tab/>
      </w:r>
      <w:r w:rsidR="00AB34D5" w:rsidRPr="00AA5D70">
        <w:rPr>
          <w:snapToGrid w:val="0"/>
          <w:kern w:val="22"/>
        </w:rPr>
        <w:t>To i</w:t>
      </w:r>
      <w:r w:rsidR="004A3E7E" w:rsidRPr="00AA5D70">
        <w:rPr>
          <w:snapToGrid w:val="0"/>
          <w:kern w:val="22"/>
        </w:rPr>
        <w:t>dentify, collate and disseminate good practices and lessons learned regarding biodiversity-related technical and scientific cooperation, technology transfer and innovation;</w:t>
      </w:r>
    </w:p>
    <w:p w14:paraId="17DDA720" w14:textId="720AAEDD" w:rsidR="004A3E7E" w:rsidRPr="00AA5D70" w:rsidRDefault="004A2392"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AA5D70">
        <w:rPr>
          <w:snapToGrid w:val="0"/>
          <w:kern w:val="22"/>
        </w:rPr>
        <w:t>(j)</w:t>
      </w:r>
      <w:r w:rsidRPr="00AA5D70">
        <w:rPr>
          <w:snapToGrid w:val="0"/>
          <w:kern w:val="22"/>
        </w:rPr>
        <w:tab/>
      </w:r>
      <w:r w:rsidR="00AB34D5" w:rsidRPr="00AA5D70">
        <w:rPr>
          <w:snapToGrid w:val="0"/>
          <w:kern w:val="22"/>
        </w:rPr>
        <w:t>To p</w:t>
      </w:r>
      <w:r w:rsidR="004A3E7E" w:rsidRPr="00AA5D70">
        <w:rPr>
          <w:snapToGrid w:val="0"/>
          <w:kern w:val="22"/>
        </w:rPr>
        <w:t>erform such other activities as may be necessary</w:t>
      </w:r>
      <w:r w:rsidR="00C7239B" w:rsidRPr="00AA5D70">
        <w:rPr>
          <w:snapToGrid w:val="0"/>
          <w:kern w:val="22"/>
        </w:rPr>
        <w:t>;</w:t>
      </w:r>
    </w:p>
    <w:p w14:paraId="2D613D49" w14:textId="11F6738B" w:rsidR="004A3E7E" w:rsidRPr="00AA5D70" w:rsidRDefault="00232751"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rPr>
      </w:pPr>
      <w:r w:rsidRPr="00AA5D70">
        <w:rPr>
          <w:kern w:val="22"/>
        </w:rPr>
        <w:t>2</w:t>
      </w:r>
      <w:r w:rsidR="00A32140" w:rsidRPr="00AA5D70">
        <w:rPr>
          <w:kern w:val="22"/>
        </w:rPr>
        <w:t>9</w:t>
      </w:r>
      <w:r w:rsidRPr="00AA5D70">
        <w:rPr>
          <w:kern w:val="22"/>
        </w:rPr>
        <w:t>.</w:t>
      </w:r>
      <w:r w:rsidRPr="00AA5D70">
        <w:rPr>
          <w:kern w:val="22"/>
        </w:rPr>
        <w:tab/>
      </w:r>
      <w:r w:rsidR="00F90563" w:rsidRPr="00D16AC1">
        <w:rPr>
          <w:i/>
          <w:iCs/>
          <w:kern w:val="22"/>
        </w:rPr>
        <w:t>Also d</w:t>
      </w:r>
      <w:r w:rsidR="004A3E7E" w:rsidRPr="00AA5D70">
        <w:rPr>
          <w:i/>
          <w:iCs/>
          <w:kern w:val="22"/>
        </w:rPr>
        <w:t xml:space="preserve">ecides </w:t>
      </w:r>
      <w:r w:rsidR="004A3E7E" w:rsidRPr="00AA5D70">
        <w:rPr>
          <w:kern w:val="22"/>
        </w:rPr>
        <w:t>that the global support centre shall begin its operations as soon as possible</w:t>
      </w:r>
      <w:r w:rsidR="00C7239B" w:rsidRPr="00AA5D70">
        <w:rPr>
          <w:kern w:val="22"/>
        </w:rPr>
        <w:t>;</w:t>
      </w:r>
    </w:p>
    <w:p w14:paraId="6503B14C" w14:textId="4AFC9630" w:rsidR="004A3E7E" w:rsidRPr="00AA5D70" w:rsidRDefault="00A32140"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rPr>
      </w:pPr>
      <w:r w:rsidRPr="00AA5D70">
        <w:rPr>
          <w:kern w:val="22"/>
        </w:rPr>
        <w:t>30</w:t>
      </w:r>
      <w:r w:rsidR="00232751" w:rsidRPr="00AA5D70">
        <w:rPr>
          <w:kern w:val="22"/>
        </w:rPr>
        <w:t>.</w:t>
      </w:r>
      <w:r w:rsidR="00232751" w:rsidRPr="00AA5D70">
        <w:rPr>
          <w:kern w:val="22"/>
        </w:rPr>
        <w:tab/>
      </w:r>
      <w:r w:rsidR="004A3E7E" w:rsidRPr="00AA5D70">
        <w:rPr>
          <w:i/>
          <w:iCs/>
          <w:kern w:val="22"/>
        </w:rPr>
        <w:t>Requests</w:t>
      </w:r>
      <w:r w:rsidR="004A3E7E" w:rsidRPr="00AA5D70">
        <w:rPr>
          <w:kern w:val="22"/>
        </w:rPr>
        <w:t xml:space="preserve"> the Global Environment Facility to support </w:t>
      </w:r>
      <w:r w:rsidR="002E5522" w:rsidRPr="00AA5D70">
        <w:rPr>
          <w:kern w:val="22"/>
        </w:rPr>
        <w:t xml:space="preserve">eligible </w:t>
      </w:r>
      <w:r w:rsidR="004A3E7E" w:rsidRPr="00AA5D70">
        <w:rPr>
          <w:kern w:val="22"/>
        </w:rPr>
        <w:t>activities of the global technical and scientific cooperation support centre for biodiversity</w:t>
      </w:r>
      <w:r w:rsidR="00A13385" w:rsidRPr="00AA5D70">
        <w:rPr>
          <w:kern w:val="22"/>
        </w:rPr>
        <w:t xml:space="preserve"> and</w:t>
      </w:r>
      <w:r w:rsidR="004128C5" w:rsidRPr="00AA5D70">
        <w:rPr>
          <w:kern w:val="22"/>
        </w:rPr>
        <w:t>, as appropriate,</w:t>
      </w:r>
      <w:r w:rsidR="00A13385" w:rsidRPr="00AA5D70">
        <w:rPr>
          <w:kern w:val="22"/>
        </w:rPr>
        <w:t xml:space="preserve"> </w:t>
      </w:r>
      <w:r w:rsidR="004128C5" w:rsidRPr="00AA5D70">
        <w:rPr>
          <w:kern w:val="22"/>
        </w:rPr>
        <w:t xml:space="preserve">of the </w:t>
      </w:r>
      <w:r w:rsidR="00FD3AB3" w:rsidRPr="00AA5D70">
        <w:rPr>
          <w:kern w:val="22"/>
        </w:rPr>
        <w:t xml:space="preserve">regional support centres </w:t>
      </w:r>
      <w:r w:rsidR="009D5136" w:rsidRPr="00AA5D70">
        <w:rPr>
          <w:kern w:val="22"/>
        </w:rPr>
        <w:t xml:space="preserve">and organizations </w:t>
      </w:r>
      <w:r w:rsidR="004128C5" w:rsidRPr="00AA5D70">
        <w:rPr>
          <w:kern w:val="22"/>
        </w:rPr>
        <w:t xml:space="preserve">referred </w:t>
      </w:r>
      <w:r w:rsidR="00E76D17" w:rsidRPr="00AA5D70">
        <w:rPr>
          <w:kern w:val="22"/>
        </w:rPr>
        <w:t xml:space="preserve">to </w:t>
      </w:r>
      <w:r w:rsidR="004128C5" w:rsidRPr="00AA5D70">
        <w:rPr>
          <w:kern w:val="22"/>
        </w:rPr>
        <w:t xml:space="preserve">in paragraph </w:t>
      </w:r>
      <w:r w:rsidR="009D3596" w:rsidRPr="00AA5D70">
        <w:rPr>
          <w:kern w:val="22"/>
        </w:rPr>
        <w:t>26</w:t>
      </w:r>
      <w:r w:rsidR="004128C5" w:rsidRPr="00AA5D70">
        <w:rPr>
          <w:kern w:val="22"/>
        </w:rPr>
        <w:t xml:space="preserve"> above</w:t>
      </w:r>
      <w:r w:rsidR="00C7239B" w:rsidRPr="00AA5D70">
        <w:rPr>
          <w:kern w:val="22"/>
        </w:rPr>
        <w:t>;</w:t>
      </w:r>
    </w:p>
    <w:p w14:paraId="59B59204" w14:textId="48CBB764" w:rsidR="004A3E7E" w:rsidRPr="00AA5D70" w:rsidRDefault="006C5806"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rPr>
      </w:pPr>
      <w:r w:rsidRPr="00AA5D70">
        <w:rPr>
          <w:kern w:val="22"/>
        </w:rPr>
        <w:t>3</w:t>
      </w:r>
      <w:r w:rsidR="00A32140" w:rsidRPr="00AA5D70">
        <w:rPr>
          <w:kern w:val="22"/>
        </w:rPr>
        <w:t>1</w:t>
      </w:r>
      <w:r w:rsidRPr="00AA5D70">
        <w:rPr>
          <w:kern w:val="22"/>
        </w:rPr>
        <w:t>.</w:t>
      </w:r>
      <w:r w:rsidRPr="00AA5D70">
        <w:rPr>
          <w:kern w:val="22"/>
        </w:rPr>
        <w:tab/>
      </w:r>
      <w:r w:rsidR="004A3E7E" w:rsidRPr="00AA5D70">
        <w:rPr>
          <w:i/>
          <w:iCs/>
          <w:kern w:val="22"/>
        </w:rPr>
        <w:t>Invites</w:t>
      </w:r>
      <w:r w:rsidR="004A3E7E" w:rsidRPr="00AA5D70">
        <w:rPr>
          <w:kern w:val="22"/>
        </w:rPr>
        <w:t xml:space="preserve"> Parties</w:t>
      </w:r>
      <w:r w:rsidR="009048A8" w:rsidRPr="00AA5D70">
        <w:rPr>
          <w:kern w:val="22"/>
        </w:rPr>
        <w:t>, other Governments and relevant organizations</w:t>
      </w:r>
      <w:r w:rsidR="004A3E7E" w:rsidRPr="00AA5D70">
        <w:rPr>
          <w:kern w:val="22"/>
        </w:rPr>
        <w:t xml:space="preserve"> in a position to do so to provide financial, technical and human resources to </w:t>
      </w:r>
      <w:r w:rsidR="00AD5B39" w:rsidRPr="00AA5D70">
        <w:rPr>
          <w:kern w:val="22"/>
        </w:rPr>
        <w:t>support</w:t>
      </w:r>
      <w:r w:rsidR="0084123C" w:rsidRPr="00AA5D70">
        <w:rPr>
          <w:kern w:val="22"/>
        </w:rPr>
        <w:t xml:space="preserve"> </w:t>
      </w:r>
      <w:r w:rsidR="004A3E7E" w:rsidRPr="00AA5D70">
        <w:rPr>
          <w:kern w:val="22"/>
        </w:rPr>
        <w:t>the global technical and scientific cooperation support centre for biodiversity</w:t>
      </w:r>
      <w:r w:rsidR="001064B4" w:rsidRPr="00AA5D70">
        <w:rPr>
          <w:kern w:val="22"/>
        </w:rPr>
        <w:t xml:space="preserve"> and</w:t>
      </w:r>
      <w:r w:rsidR="00EB64BC" w:rsidRPr="00AA5D70">
        <w:rPr>
          <w:kern w:val="22"/>
        </w:rPr>
        <w:t>,</w:t>
      </w:r>
      <w:r w:rsidR="001064B4" w:rsidRPr="00AA5D70">
        <w:rPr>
          <w:kern w:val="22"/>
        </w:rPr>
        <w:t xml:space="preserve"> </w:t>
      </w:r>
      <w:r w:rsidR="00EB64BC" w:rsidRPr="00AA5D70">
        <w:rPr>
          <w:kern w:val="22"/>
        </w:rPr>
        <w:t xml:space="preserve">as appropriate, </w:t>
      </w:r>
      <w:r w:rsidR="00F23C53" w:rsidRPr="00AA5D70">
        <w:rPr>
          <w:kern w:val="22"/>
        </w:rPr>
        <w:t xml:space="preserve">activities of </w:t>
      </w:r>
      <w:r w:rsidR="00FD3AB3" w:rsidRPr="00AA5D70">
        <w:rPr>
          <w:kern w:val="22"/>
        </w:rPr>
        <w:t xml:space="preserve">the regional support centres </w:t>
      </w:r>
      <w:r w:rsidR="00956A5C" w:rsidRPr="00AA5D70">
        <w:rPr>
          <w:kern w:val="22"/>
        </w:rPr>
        <w:t xml:space="preserve">and organizations </w:t>
      </w:r>
      <w:r w:rsidR="00190D85" w:rsidRPr="00AA5D70">
        <w:rPr>
          <w:kern w:val="22"/>
        </w:rPr>
        <w:t>referred</w:t>
      </w:r>
      <w:r w:rsidR="00C75BE4" w:rsidRPr="00AA5D70">
        <w:rPr>
          <w:kern w:val="22"/>
        </w:rPr>
        <w:t xml:space="preserve"> to</w:t>
      </w:r>
      <w:r w:rsidR="00190D85" w:rsidRPr="00AA5D70">
        <w:rPr>
          <w:kern w:val="22"/>
        </w:rPr>
        <w:t xml:space="preserve"> </w:t>
      </w:r>
      <w:r w:rsidR="00F23C53" w:rsidRPr="00AA5D70">
        <w:rPr>
          <w:kern w:val="22"/>
        </w:rPr>
        <w:t xml:space="preserve">in paragraph </w:t>
      </w:r>
      <w:r w:rsidR="009D3596" w:rsidRPr="00AA5D70">
        <w:rPr>
          <w:kern w:val="22"/>
        </w:rPr>
        <w:t>26</w:t>
      </w:r>
      <w:r w:rsidR="00F23C53" w:rsidRPr="00AA5D70">
        <w:rPr>
          <w:kern w:val="22"/>
        </w:rPr>
        <w:t xml:space="preserve"> above</w:t>
      </w:r>
      <w:r w:rsidR="00C7239B" w:rsidRPr="00AA5D70">
        <w:rPr>
          <w:kern w:val="22"/>
        </w:rPr>
        <w:t>;</w:t>
      </w:r>
    </w:p>
    <w:p w14:paraId="25AF8264" w14:textId="4A474122" w:rsidR="004A3E7E" w:rsidRPr="00AA5D70" w:rsidRDefault="006C5806" w:rsidP="00AA5D70">
      <w:pPr>
        <w:pStyle w:val="Para1"/>
        <w:numPr>
          <w:ilvl w:val="0"/>
          <w:numId w:val="0"/>
        </w:numPr>
        <w:suppressLineNumbers/>
        <w:suppressAutoHyphens/>
        <w:kinsoku w:val="0"/>
        <w:overflowPunct w:val="0"/>
        <w:autoSpaceDE w:val="0"/>
        <w:autoSpaceDN w:val="0"/>
        <w:adjustRightInd w:val="0"/>
        <w:snapToGrid w:val="0"/>
        <w:ind w:firstLine="720"/>
        <w:rPr>
          <w:rFonts w:eastAsiaTheme="minorEastAsia"/>
          <w:kern w:val="22"/>
        </w:rPr>
      </w:pPr>
      <w:r w:rsidRPr="00AA5D70">
        <w:rPr>
          <w:kern w:val="22"/>
        </w:rPr>
        <w:t>3</w:t>
      </w:r>
      <w:r w:rsidR="00A32140" w:rsidRPr="00AA5D70">
        <w:rPr>
          <w:kern w:val="22"/>
        </w:rPr>
        <w:t>2</w:t>
      </w:r>
      <w:r w:rsidRPr="00AA5D70">
        <w:rPr>
          <w:kern w:val="22"/>
        </w:rPr>
        <w:t>.</w:t>
      </w:r>
      <w:r w:rsidRPr="00AA5D70">
        <w:rPr>
          <w:kern w:val="22"/>
        </w:rPr>
        <w:tab/>
      </w:r>
      <w:r w:rsidR="004A3E7E" w:rsidRPr="00AA5D70">
        <w:rPr>
          <w:i/>
          <w:iCs/>
          <w:kern w:val="22"/>
        </w:rPr>
        <w:t>Requests</w:t>
      </w:r>
      <w:r w:rsidR="004A3E7E" w:rsidRPr="00AA5D70">
        <w:rPr>
          <w:kern w:val="22"/>
        </w:rPr>
        <w:t xml:space="preserve"> the Executive Secretary, subject to the availability of resources:</w:t>
      </w:r>
    </w:p>
    <w:p w14:paraId="38C76C54" w14:textId="29A15E0D" w:rsidR="004A3E7E" w:rsidRPr="00AA5D70" w:rsidRDefault="006C5806" w:rsidP="00AA5D70">
      <w:pPr>
        <w:suppressLineNumbers/>
        <w:suppressAutoHyphens/>
        <w:kinsoku w:val="0"/>
        <w:overflowPunct w:val="0"/>
        <w:autoSpaceDE w:val="0"/>
        <w:autoSpaceDN w:val="0"/>
        <w:adjustRightInd w:val="0"/>
        <w:snapToGrid w:val="0"/>
        <w:spacing w:before="120" w:after="120"/>
        <w:ind w:firstLine="720"/>
        <w:rPr>
          <w:snapToGrid w:val="0"/>
          <w:kern w:val="22"/>
        </w:rPr>
      </w:pPr>
      <w:r w:rsidRPr="00AA5D70">
        <w:rPr>
          <w:snapToGrid w:val="0"/>
          <w:kern w:val="22"/>
        </w:rPr>
        <w:t>(a)</w:t>
      </w:r>
      <w:r w:rsidRPr="00AA5D70">
        <w:rPr>
          <w:snapToGrid w:val="0"/>
          <w:kern w:val="22"/>
        </w:rPr>
        <w:tab/>
      </w:r>
      <w:r w:rsidR="007C2016" w:rsidRPr="00D16AC1">
        <w:rPr>
          <w:snapToGrid w:val="0"/>
          <w:kern w:val="22"/>
        </w:rPr>
        <w:t>To f</w:t>
      </w:r>
      <w:r w:rsidR="00F84B42" w:rsidRPr="00AA5D70">
        <w:rPr>
          <w:snapToGrid w:val="0"/>
          <w:kern w:val="22"/>
        </w:rPr>
        <w:t>urther p</w:t>
      </w:r>
      <w:r w:rsidR="004A3E7E" w:rsidRPr="00AA5D70">
        <w:rPr>
          <w:snapToGrid w:val="0"/>
          <w:kern w:val="22"/>
        </w:rPr>
        <w:t>romote and facilitate</w:t>
      </w:r>
      <w:r w:rsidR="00EF1936" w:rsidRPr="00AA5D70">
        <w:rPr>
          <w:snapToGrid w:val="0"/>
          <w:kern w:val="22"/>
        </w:rPr>
        <w:t xml:space="preserve"> </w:t>
      </w:r>
      <w:r w:rsidR="004A3E7E" w:rsidRPr="00AA5D70">
        <w:rPr>
          <w:snapToGrid w:val="0"/>
          <w:color w:val="000000" w:themeColor="text1"/>
          <w:kern w:val="22"/>
        </w:rPr>
        <w:t>technical and scientific cooperation in support of the post-2020 global biodiversity framework</w:t>
      </w:r>
      <w:r w:rsidR="009D3591" w:rsidRPr="00AA5D70">
        <w:rPr>
          <w:snapToGrid w:val="0"/>
          <w:color w:val="000000" w:themeColor="text1"/>
          <w:kern w:val="22"/>
        </w:rPr>
        <w:t>, in collaboration with</w:t>
      </w:r>
      <w:r w:rsidR="005128D2" w:rsidRPr="00AA5D70">
        <w:rPr>
          <w:snapToGrid w:val="0"/>
          <w:color w:val="000000" w:themeColor="text1"/>
          <w:kern w:val="22"/>
        </w:rPr>
        <w:t xml:space="preserve"> relevant partners, including </w:t>
      </w:r>
      <w:r w:rsidR="009D3591" w:rsidRPr="00AA5D70">
        <w:rPr>
          <w:snapToGrid w:val="0"/>
          <w:color w:val="000000" w:themeColor="text1"/>
          <w:kern w:val="22"/>
        </w:rPr>
        <w:t xml:space="preserve">the global </w:t>
      </w:r>
      <w:r w:rsidR="00513CF7" w:rsidRPr="00AA5D70">
        <w:rPr>
          <w:snapToGrid w:val="0"/>
          <w:color w:val="000000" w:themeColor="text1"/>
          <w:kern w:val="22"/>
        </w:rPr>
        <w:t xml:space="preserve">support centre </w:t>
      </w:r>
      <w:r w:rsidR="009D3591" w:rsidRPr="00AA5D70">
        <w:rPr>
          <w:snapToGrid w:val="0"/>
          <w:color w:val="000000" w:themeColor="text1"/>
          <w:kern w:val="22"/>
        </w:rPr>
        <w:t>and regional support centres</w:t>
      </w:r>
      <w:r w:rsidR="00513CF7" w:rsidRPr="00AA5D70">
        <w:rPr>
          <w:snapToGrid w:val="0"/>
          <w:color w:val="000000" w:themeColor="text1"/>
          <w:kern w:val="22"/>
        </w:rPr>
        <w:t xml:space="preserve"> and other organizations</w:t>
      </w:r>
      <w:r w:rsidR="00C7239B" w:rsidRPr="00AA5D70">
        <w:rPr>
          <w:snapToGrid w:val="0"/>
          <w:color w:val="000000" w:themeColor="text1"/>
          <w:kern w:val="22"/>
        </w:rPr>
        <w:t>;</w:t>
      </w:r>
    </w:p>
    <w:p w14:paraId="559393DA" w14:textId="2D3B8D64" w:rsidR="004A3E7E" w:rsidRPr="00AA5D70" w:rsidRDefault="006C5806" w:rsidP="00AA5D70">
      <w:pPr>
        <w:suppressLineNumbers/>
        <w:suppressAutoHyphens/>
        <w:kinsoku w:val="0"/>
        <w:overflowPunct w:val="0"/>
        <w:autoSpaceDE w:val="0"/>
        <w:autoSpaceDN w:val="0"/>
        <w:adjustRightInd w:val="0"/>
        <w:snapToGrid w:val="0"/>
        <w:spacing w:before="120" w:after="120"/>
        <w:ind w:firstLine="720"/>
        <w:rPr>
          <w:snapToGrid w:val="0"/>
          <w:spacing w:val="-4"/>
          <w:kern w:val="22"/>
        </w:rPr>
      </w:pPr>
      <w:r w:rsidRPr="00AA5D70">
        <w:rPr>
          <w:snapToGrid w:val="0"/>
          <w:spacing w:val="-4"/>
          <w:kern w:val="22"/>
        </w:rPr>
        <w:t>(</w:t>
      </w:r>
      <w:r w:rsidR="00BD2757" w:rsidRPr="00AA5D70">
        <w:rPr>
          <w:snapToGrid w:val="0"/>
          <w:spacing w:val="-4"/>
          <w:kern w:val="22"/>
        </w:rPr>
        <w:t>b</w:t>
      </w:r>
      <w:r w:rsidRPr="00AA5D70">
        <w:rPr>
          <w:snapToGrid w:val="0"/>
          <w:spacing w:val="-4"/>
          <w:kern w:val="22"/>
        </w:rPr>
        <w:t>)</w:t>
      </w:r>
      <w:r w:rsidRPr="00AA5D70">
        <w:rPr>
          <w:snapToGrid w:val="0"/>
          <w:spacing w:val="-4"/>
          <w:kern w:val="22"/>
        </w:rPr>
        <w:tab/>
      </w:r>
      <w:r w:rsidR="007C2016" w:rsidRPr="00AA5D70">
        <w:rPr>
          <w:snapToGrid w:val="0"/>
          <w:spacing w:val="-4"/>
          <w:kern w:val="22"/>
        </w:rPr>
        <w:t>To m</w:t>
      </w:r>
      <w:r w:rsidR="004A3E7E" w:rsidRPr="00AA5D70">
        <w:rPr>
          <w:snapToGrid w:val="0"/>
          <w:spacing w:val="-4"/>
          <w:kern w:val="22"/>
        </w:rPr>
        <w:t>aintain synergy and collaboration with biodiversity-related conventions and relevant organizations, initiatives and networks, including the Consortium of Scientific Partners</w:t>
      </w:r>
      <w:r w:rsidR="005821F4" w:rsidRPr="00AA5D70">
        <w:rPr>
          <w:snapToGrid w:val="0"/>
          <w:spacing w:val="-4"/>
          <w:kern w:val="22"/>
        </w:rPr>
        <w:t xml:space="preserve"> on Biodiversity</w:t>
      </w:r>
      <w:r w:rsidR="004A3E7E" w:rsidRPr="00AA5D70">
        <w:rPr>
          <w:snapToGrid w:val="0"/>
          <w:spacing w:val="-4"/>
          <w:kern w:val="22"/>
        </w:rPr>
        <w:t xml:space="preserve">, the </w:t>
      </w:r>
      <w:r w:rsidR="001F3378" w:rsidRPr="00AA5D70">
        <w:rPr>
          <w:snapToGrid w:val="0"/>
          <w:spacing w:val="-4"/>
          <w:kern w:val="22"/>
          <w:szCs w:val="22"/>
        </w:rPr>
        <w:t xml:space="preserve">Global Partnership for </w:t>
      </w:r>
      <w:r w:rsidR="001F3378" w:rsidRPr="00AA5D70">
        <w:rPr>
          <w:snapToGrid w:val="0"/>
          <w:spacing w:val="-4"/>
          <w:kern w:val="22"/>
        </w:rPr>
        <w:t>Business and Biodiversity</w:t>
      </w:r>
      <w:r w:rsidR="004A3E7E" w:rsidRPr="00AA5D70">
        <w:rPr>
          <w:snapToGrid w:val="0"/>
          <w:spacing w:val="-4"/>
          <w:kern w:val="22"/>
        </w:rPr>
        <w:t xml:space="preserve">, and others with technical and scientific expertise, technologies and information, and/or </w:t>
      </w:r>
      <w:r w:rsidR="006F4CFD" w:rsidRPr="00AA5D70">
        <w:rPr>
          <w:snapToGrid w:val="0"/>
          <w:spacing w:val="-4"/>
          <w:kern w:val="22"/>
        </w:rPr>
        <w:t xml:space="preserve">that are </w:t>
      </w:r>
      <w:r w:rsidR="004A3E7E" w:rsidRPr="00AA5D70">
        <w:rPr>
          <w:snapToGrid w:val="0"/>
          <w:spacing w:val="-4"/>
          <w:kern w:val="22"/>
        </w:rPr>
        <w:t xml:space="preserve">involved </w:t>
      </w:r>
      <w:r w:rsidR="002E6B54" w:rsidRPr="00AA5D70">
        <w:rPr>
          <w:snapToGrid w:val="0"/>
          <w:spacing w:val="-4"/>
          <w:kern w:val="22"/>
        </w:rPr>
        <w:t xml:space="preserve">in </w:t>
      </w:r>
      <w:r w:rsidR="004A3E7E" w:rsidRPr="00AA5D70">
        <w:rPr>
          <w:snapToGrid w:val="0"/>
          <w:spacing w:val="-4"/>
          <w:kern w:val="22"/>
        </w:rPr>
        <w:t>biodiversity-related technical and scientific cooperation;</w:t>
      </w:r>
    </w:p>
    <w:p w14:paraId="23F23DD3" w14:textId="417E90EF" w:rsidR="00FB4A70" w:rsidRPr="00AA5D70" w:rsidRDefault="00FB4A70" w:rsidP="00AA5D70">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AA5D70">
        <w:rPr>
          <w:snapToGrid w:val="0"/>
          <w:kern w:val="22"/>
        </w:rPr>
        <w:t>(</w:t>
      </w:r>
      <w:r w:rsidR="00BD2757" w:rsidRPr="00AA5D70">
        <w:rPr>
          <w:snapToGrid w:val="0"/>
          <w:kern w:val="22"/>
        </w:rPr>
        <w:t>c</w:t>
      </w:r>
      <w:r w:rsidRPr="00AA5D70">
        <w:rPr>
          <w:snapToGrid w:val="0"/>
          <w:kern w:val="22"/>
        </w:rPr>
        <w:t xml:space="preserve">) </w:t>
      </w:r>
      <w:r w:rsidRPr="00AA5D70">
        <w:rPr>
          <w:snapToGrid w:val="0"/>
          <w:kern w:val="22"/>
        </w:rPr>
        <w:tab/>
      </w:r>
      <w:r w:rsidR="007C2016" w:rsidRPr="00D16AC1">
        <w:rPr>
          <w:snapToGrid w:val="0"/>
          <w:kern w:val="22"/>
        </w:rPr>
        <w:t>To m</w:t>
      </w:r>
      <w:r w:rsidRPr="00AA5D70">
        <w:rPr>
          <w:snapToGrid w:val="0"/>
          <w:kern w:val="22"/>
        </w:rPr>
        <w:t>aintain active communication with Parties and relevant stakeholders with a view to keeping them and the public informed of the achievements of the technical and scientific cooperation support activities;</w:t>
      </w:r>
    </w:p>
    <w:p w14:paraId="199BFB06" w14:textId="7459AFCA" w:rsidR="004A3E7E" w:rsidRPr="00AA5D70" w:rsidRDefault="006C5806" w:rsidP="00AA5D70">
      <w:pPr>
        <w:suppressLineNumbers/>
        <w:suppressAutoHyphens/>
        <w:kinsoku w:val="0"/>
        <w:overflowPunct w:val="0"/>
        <w:autoSpaceDE w:val="0"/>
        <w:autoSpaceDN w:val="0"/>
        <w:adjustRightInd w:val="0"/>
        <w:snapToGrid w:val="0"/>
        <w:spacing w:before="120" w:after="120"/>
        <w:ind w:firstLine="720"/>
        <w:rPr>
          <w:snapToGrid w:val="0"/>
          <w:kern w:val="22"/>
        </w:rPr>
      </w:pPr>
      <w:r w:rsidRPr="00AA5D70">
        <w:rPr>
          <w:snapToGrid w:val="0"/>
          <w:kern w:val="22"/>
        </w:rPr>
        <w:t>(d)</w:t>
      </w:r>
      <w:r w:rsidRPr="00AA5D70">
        <w:rPr>
          <w:snapToGrid w:val="0"/>
          <w:kern w:val="22"/>
        </w:rPr>
        <w:tab/>
      </w:r>
      <w:r w:rsidR="007C2016" w:rsidRPr="00D16AC1">
        <w:rPr>
          <w:snapToGrid w:val="0"/>
          <w:kern w:val="22"/>
        </w:rPr>
        <w:t>To o</w:t>
      </w:r>
      <w:r w:rsidR="004A3E7E" w:rsidRPr="00AA5D70">
        <w:rPr>
          <w:snapToGrid w:val="0"/>
          <w:kern w:val="22"/>
        </w:rPr>
        <w:t>rganize, in collaboration with partners, biodiversity science forums, technology and innovation expos, round tables and other events to showcase cooperation initiatives, technologies and opportunities;</w:t>
      </w:r>
    </w:p>
    <w:p w14:paraId="1A6BB99C" w14:textId="2FB9BD17" w:rsidR="00FA7ED2" w:rsidRPr="00AA5D70" w:rsidRDefault="00FA7ED2" w:rsidP="00AA5D70">
      <w:pPr>
        <w:suppressLineNumbers/>
        <w:suppressAutoHyphens/>
        <w:kinsoku w:val="0"/>
        <w:overflowPunct w:val="0"/>
        <w:autoSpaceDE w:val="0"/>
        <w:autoSpaceDN w:val="0"/>
        <w:adjustRightInd w:val="0"/>
        <w:snapToGrid w:val="0"/>
        <w:spacing w:before="120" w:after="120"/>
        <w:ind w:firstLine="720"/>
        <w:rPr>
          <w:snapToGrid w:val="0"/>
          <w:kern w:val="22"/>
        </w:rPr>
      </w:pPr>
      <w:r w:rsidRPr="00AA5D70">
        <w:rPr>
          <w:snapToGrid w:val="0"/>
          <w:kern w:val="22"/>
        </w:rPr>
        <w:t>(</w:t>
      </w:r>
      <w:r w:rsidR="00BD2757" w:rsidRPr="00AA5D70">
        <w:rPr>
          <w:snapToGrid w:val="0"/>
          <w:kern w:val="22"/>
        </w:rPr>
        <w:t>e</w:t>
      </w:r>
      <w:r w:rsidRPr="00AA5D70">
        <w:rPr>
          <w:snapToGrid w:val="0"/>
          <w:kern w:val="22"/>
        </w:rPr>
        <w:t>)</w:t>
      </w:r>
      <w:r w:rsidRPr="00AA5D70">
        <w:rPr>
          <w:snapToGrid w:val="0"/>
          <w:kern w:val="22"/>
        </w:rPr>
        <w:tab/>
      </w:r>
      <w:r w:rsidR="007C2016" w:rsidRPr="00D16AC1">
        <w:rPr>
          <w:snapToGrid w:val="0"/>
          <w:kern w:val="22"/>
        </w:rPr>
        <w:t>To c</w:t>
      </w:r>
      <w:r w:rsidRPr="00AA5D70">
        <w:rPr>
          <w:snapToGrid w:val="0"/>
          <w:kern w:val="22"/>
        </w:rPr>
        <w:t>ompile relevant information related to technical and scientific cooperation and technology transfer in the field of biological diversity and make it available to Parties through the clearing-house mechanism, in line with the knowledge management component of the post-2020 global biodiversity framework;</w:t>
      </w:r>
    </w:p>
    <w:p w14:paraId="0FF9CD14" w14:textId="73F61270" w:rsidR="004A3E7E" w:rsidRPr="00AA5D70" w:rsidRDefault="00FB4A70" w:rsidP="00AA5D70">
      <w:pPr>
        <w:suppressLineNumbers/>
        <w:suppressAutoHyphens/>
        <w:kinsoku w:val="0"/>
        <w:overflowPunct w:val="0"/>
        <w:autoSpaceDE w:val="0"/>
        <w:autoSpaceDN w:val="0"/>
        <w:adjustRightInd w:val="0"/>
        <w:snapToGrid w:val="0"/>
        <w:spacing w:before="120" w:after="120"/>
        <w:rPr>
          <w:rFonts w:eastAsiaTheme="minorEastAsia"/>
          <w:snapToGrid w:val="0"/>
          <w:kern w:val="22"/>
        </w:rPr>
      </w:pPr>
      <w:r w:rsidRPr="00AA5D70">
        <w:rPr>
          <w:snapToGrid w:val="0"/>
          <w:kern w:val="22"/>
        </w:rPr>
        <w:tab/>
      </w:r>
      <w:r w:rsidR="006C5806" w:rsidRPr="00AA5D70">
        <w:rPr>
          <w:snapToGrid w:val="0"/>
          <w:kern w:val="22"/>
        </w:rPr>
        <w:t>(</w:t>
      </w:r>
      <w:r w:rsidR="00BD2757" w:rsidRPr="00AA5D70">
        <w:rPr>
          <w:snapToGrid w:val="0"/>
          <w:kern w:val="22"/>
        </w:rPr>
        <w:t>f</w:t>
      </w:r>
      <w:r w:rsidR="006C5806" w:rsidRPr="00AA5D70">
        <w:rPr>
          <w:snapToGrid w:val="0"/>
          <w:kern w:val="22"/>
        </w:rPr>
        <w:t>)</w:t>
      </w:r>
      <w:r w:rsidR="006C5806" w:rsidRPr="00AA5D70">
        <w:rPr>
          <w:snapToGrid w:val="0"/>
          <w:kern w:val="22"/>
        </w:rPr>
        <w:tab/>
      </w:r>
      <w:r w:rsidR="007C2016" w:rsidRPr="00D16AC1">
        <w:rPr>
          <w:snapToGrid w:val="0"/>
          <w:kern w:val="22"/>
        </w:rPr>
        <w:t>To p</w:t>
      </w:r>
      <w:r w:rsidR="004A3E7E" w:rsidRPr="00AA5D70">
        <w:rPr>
          <w:snapToGrid w:val="0"/>
          <w:kern w:val="22"/>
        </w:rPr>
        <w:t xml:space="preserve">erform such other activities as may be necessary to facilitate </w:t>
      </w:r>
      <w:r w:rsidR="004A3E7E" w:rsidRPr="00AA5D70">
        <w:rPr>
          <w:snapToGrid w:val="0"/>
          <w:color w:val="000000" w:themeColor="text1"/>
          <w:kern w:val="22"/>
        </w:rPr>
        <w:t>technical and scientific cooperation in support of the post-2020 global biodiversity framework</w:t>
      </w:r>
      <w:r w:rsidR="008D7138" w:rsidRPr="00AA5D70">
        <w:rPr>
          <w:snapToGrid w:val="0"/>
          <w:color w:val="000000" w:themeColor="text1"/>
          <w:kern w:val="22"/>
        </w:rPr>
        <w:t>;</w:t>
      </w:r>
    </w:p>
    <w:p w14:paraId="31A98855" w14:textId="6C985168" w:rsidR="004A3E7E" w:rsidRPr="00AA5D70" w:rsidRDefault="006C5806" w:rsidP="00015FFB">
      <w:pPr>
        <w:pStyle w:val="Para1"/>
        <w:numPr>
          <w:ilvl w:val="0"/>
          <w:numId w:val="0"/>
        </w:numPr>
        <w:suppressLineNumbers/>
        <w:suppressAutoHyphens/>
        <w:kinsoku w:val="0"/>
        <w:overflowPunct w:val="0"/>
        <w:autoSpaceDE w:val="0"/>
        <w:autoSpaceDN w:val="0"/>
        <w:adjustRightInd w:val="0"/>
        <w:snapToGrid w:val="0"/>
        <w:ind w:firstLine="720"/>
        <w:rPr>
          <w:kern w:val="22"/>
        </w:rPr>
      </w:pPr>
      <w:r w:rsidRPr="00AA5D70">
        <w:rPr>
          <w:kern w:val="22"/>
        </w:rPr>
        <w:t>(</w:t>
      </w:r>
      <w:r w:rsidR="00BD2757" w:rsidRPr="00AA5D70">
        <w:rPr>
          <w:kern w:val="22"/>
        </w:rPr>
        <w:t>g</w:t>
      </w:r>
      <w:r w:rsidRPr="00AA5D70">
        <w:rPr>
          <w:kern w:val="22"/>
        </w:rPr>
        <w:t>)</w:t>
      </w:r>
      <w:r w:rsidRPr="00AA5D70">
        <w:rPr>
          <w:kern w:val="22"/>
        </w:rPr>
        <w:tab/>
      </w:r>
      <w:r w:rsidR="007C2016" w:rsidRPr="00D16AC1">
        <w:rPr>
          <w:kern w:val="22"/>
        </w:rPr>
        <w:t>To p</w:t>
      </w:r>
      <w:r w:rsidR="004A3E7E" w:rsidRPr="00AA5D70">
        <w:rPr>
          <w:kern w:val="22"/>
        </w:rPr>
        <w:t>repare relevant documents and reports on technical and scientific cooperation and technology transfer for consideration by the Conference of Parties and its subsidiary bodies.</w:t>
      </w:r>
      <w:r w:rsidR="004A3E7E" w:rsidRPr="00AA5D70">
        <w:rPr>
          <w:kern w:val="22"/>
        </w:rPr>
        <w:br w:type="page"/>
      </w:r>
    </w:p>
    <w:p w14:paraId="4FDFE2D8" w14:textId="4E6ACF03" w:rsidR="004A3E7E" w:rsidRPr="00AA5D70" w:rsidRDefault="00423C8C" w:rsidP="00AA5D70">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rPr>
      </w:pPr>
      <w:bookmarkStart w:id="30" w:name="_Toc57214894"/>
      <w:r w:rsidRPr="00AA5D70">
        <w:rPr>
          <w:i/>
          <w:iCs/>
          <w:snapToGrid w:val="0"/>
          <w:kern w:val="22"/>
        </w:rPr>
        <w:lastRenderedPageBreak/>
        <w:t>Annex</w:t>
      </w:r>
      <w:r w:rsidR="004A3E7E" w:rsidRPr="00AA5D70">
        <w:rPr>
          <w:i/>
          <w:iCs/>
          <w:snapToGrid w:val="0"/>
          <w:kern w:val="22"/>
        </w:rPr>
        <w:t xml:space="preserve"> </w:t>
      </w:r>
      <w:r w:rsidRPr="00AA5D70">
        <w:rPr>
          <w:i/>
          <w:iCs/>
          <w:snapToGrid w:val="0"/>
          <w:kern w:val="22"/>
        </w:rPr>
        <w:t>I</w:t>
      </w:r>
      <w:bookmarkEnd w:id="30"/>
    </w:p>
    <w:p w14:paraId="5B0E5AA0" w14:textId="26495940" w:rsidR="004A3E7E" w:rsidRPr="00AA5D70" w:rsidRDefault="00E37046" w:rsidP="00AA5D70">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rPr>
      </w:pPr>
      <w:bookmarkStart w:id="31" w:name="_Toc57214895"/>
      <w:r w:rsidRPr="00AA5D70">
        <w:rPr>
          <w:b/>
          <w:bCs/>
          <w:caps/>
          <w:snapToGrid w:val="0"/>
          <w:kern w:val="22"/>
          <w:szCs w:val="22"/>
        </w:rPr>
        <w:t>Long-term strategic framework for capacity development</w:t>
      </w:r>
      <w:bookmarkEnd w:id="31"/>
    </w:p>
    <w:p w14:paraId="50B78404" w14:textId="05BA14ED" w:rsidR="004A3E7E" w:rsidRPr="00AA5D70" w:rsidRDefault="00E37046" w:rsidP="00AA5D70">
      <w:pPr>
        <w:pStyle w:val="Heading1"/>
        <w:numPr>
          <w:ilvl w:val="0"/>
          <w:numId w:val="84"/>
        </w:numPr>
        <w:suppressLineNumbers/>
        <w:tabs>
          <w:tab w:val="clear" w:pos="720"/>
          <w:tab w:val="left" w:pos="284"/>
        </w:tabs>
        <w:suppressAutoHyphens/>
        <w:kinsoku w:val="0"/>
        <w:overflowPunct w:val="0"/>
        <w:autoSpaceDE w:val="0"/>
        <w:autoSpaceDN w:val="0"/>
        <w:adjustRightInd w:val="0"/>
        <w:snapToGrid w:val="0"/>
        <w:ind w:left="0" w:firstLine="0"/>
        <w:rPr>
          <w:rFonts w:ascii="Times New Roman Bold" w:hAnsi="Times New Roman Bold"/>
          <w:snapToGrid w:val="0"/>
          <w:kern w:val="22"/>
        </w:rPr>
      </w:pPr>
      <w:bookmarkStart w:id="32" w:name="_Toc57214896"/>
      <w:r w:rsidRPr="00AA5D70">
        <w:rPr>
          <w:rFonts w:ascii="Times New Roman Bold" w:hAnsi="Times New Roman Bold"/>
          <w:snapToGrid w:val="0"/>
          <w:kern w:val="22"/>
        </w:rPr>
        <w:t>Introduction</w:t>
      </w:r>
      <w:bookmarkEnd w:id="32"/>
    </w:p>
    <w:p w14:paraId="2B5069C4" w14:textId="6032E3CA"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The long-term strategic framework for capacity development is intended to guide the capacity development efforts of government and non-government actors</w:t>
      </w:r>
      <w:r w:rsidRPr="00AA5D70">
        <w:rPr>
          <w:rStyle w:val="FootnoteReference"/>
          <w:kern w:val="22"/>
        </w:rPr>
        <w:footnoteReference w:id="52"/>
      </w:r>
      <w:r w:rsidRPr="00AA5D70">
        <w:rPr>
          <w:kern w:val="22"/>
        </w:rPr>
        <w:t xml:space="preserve"> in support of the post-2020 </w:t>
      </w:r>
      <w:r w:rsidR="00E53895" w:rsidRPr="00AA5D70">
        <w:rPr>
          <w:kern w:val="22"/>
        </w:rPr>
        <w:t>g</w:t>
      </w:r>
      <w:r w:rsidRPr="00AA5D70">
        <w:rPr>
          <w:kern w:val="22"/>
        </w:rPr>
        <w:t xml:space="preserve">lobal </w:t>
      </w:r>
      <w:r w:rsidR="00E53895" w:rsidRPr="00AA5D70">
        <w:rPr>
          <w:kern w:val="22"/>
        </w:rPr>
        <w:t>b</w:t>
      </w:r>
      <w:r w:rsidRPr="00AA5D70">
        <w:rPr>
          <w:kern w:val="22"/>
        </w:rPr>
        <w:t xml:space="preserve">iodiversity </w:t>
      </w:r>
      <w:r w:rsidR="00E53895" w:rsidRPr="00AA5D70">
        <w:rPr>
          <w:kern w:val="22"/>
        </w:rPr>
        <w:t>f</w:t>
      </w:r>
      <w:r w:rsidRPr="00AA5D70">
        <w:rPr>
          <w:kern w:val="22"/>
        </w:rPr>
        <w:t>ramework and the Sustainable Development Goals. It seeks to catalyse institutionali</w:t>
      </w:r>
      <w:r w:rsidR="00054558" w:rsidRPr="00AA5D70">
        <w:rPr>
          <w:kern w:val="22"/>
        </w:rPr>
        <w:t>z</w:t>
      </w:r>
      <w:r w:rsidRPr="00AA5D70">
        <w:rPr>
          <w:kern w:val="22"/>
        </w:rPr>
        <w:t>ed capacity development interventions that are robust, coordinated and delivered in a holistic and complementary manner and promote coherence, efficiency and effectiveness of capacity development efforts at all levels through strategic, coordinated and harmoni</w:t>
      </w:r>
      <w:r w:rsidR="00054558" w:rsidRPr="00AA5D70">
        <w:rPr>
          <w:kern w:val="22"/>
        </w:rPr>
        <w:t>z</w:t>
      </w:r>
      <w:r w:rsidRPr="00AA5D70">
        <w:rPr>
          <w:kern w:val="22"/>
        </w:rPr>
        <w:t>ed approaches.</w:t>
      </w:r>
    </w:p>
    <w:p w14:paraId="46F655A6" w14:textId="59463EF6"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The study carried out to provide the knowledge base for the framework</w:t>
      </w:r>
      <w:r w:rsidRPr="00AA5D70">
        <w:rPr>
          <w:kern w:val="22"/>
          <w:vertAlign w:val="superscript"/>
        </w:rPr>
        <w:footnoteReference w:id="53"/>
      </w:r>
      <w:r w:rsidRPr="00AA5D70">
        <w:rPr>
          <w:kern w:val="22"/>
        </w:rPr>
        <w:t xml:space="preserve"> noted that </w:t>
      </w:r>
      <w:bookmarkStart w:id="33" w:name="_Hlk47869803"/>
      <w:r w:rsidRPr="00AA5D70">
        <w:rPr>
          <w:kern w:val="22"/>
        </w:rPr>
        <w:t xml:space="preserve">capacity development </w:t>
      </w:r>
      <w:bookmarkEnd w:id="33"/>
      <w:r w:rsidRPr="00AA5D70">
        <w:rPr>
          <w:kern w:val="22"/>
        </w:rPr>
        <w:t>efforts, especially in developing countries</w:t>
      </w:r>
      <w:r w:rsidR="00D71EAC" w:rsidRPr="00AA5D70">
        <w:rPr>
          <w:kern w:val="22"/>
        </w:rPr>
        <w:t>,</w:t>
      </w:r>
      <w:r w:rsidRPr="00AA5D70">
        <w:rPr>
          <w:kern w:val="22"/>
        </w:rPr>
        <w:t xml:space="preserve"> are fragmented and undertaken in silos, largely through externally funded short-term projects. Many countries have not yet adopted systemic, long-term and institutionali</w:t>
      </w:r>
      <w:r w:rsidR="00054558" w:rsidRPr="00AA5D70">
        <w:rPr>
          <w:kern w:val="22"/>
        </w:rPr>
        <w:t>z</w:t>
      </w:r>
      <w:r w:rsidRPr="00AA5D70">
        <w:rPr>
          <w:kern w:val="22"/>
        </w:rPr>
        <w:t>ed approaches to capacity development. Capacity development interventions are often implemented in an ad</w:t>
      </w:r>
      <w:r w:rsidR="00447F51" w:rsidRPr="00AA5D70">
        <w:rPr>
          <w:kern w:val="22"/>
        </w:rPr>
        <w:t> </w:t>
      </w:r>
      <w:r w:rsidRPr="00AA5D70">
        <w:rPr>
          <w:kern w:val="22"/>
        </w:rPr>
        <w:t xml:space="preserve">hoc manner and not as part of coherent long-term programmes, and without </w:t>
      </w:r>
      <w:r w:rsidR="00C576E2" w:rsidRPr="00AA5D70">
        <w:rPr>
          <w:kern w:val="22"/>
        </w:rPr>
        <w:t xml:space="preserve">an </w:t>
      </w:r>
      <w:r w:rsidRPr="00AA5D70">
        <w:rPr>
          <w:kern w:val="22"/>
        </w:rPr>
        <w:t>adequate enabling environment. Consequently, many have not succeeded in bringing about the desired changes in a sustainable manner. The strategic framework aims to help address these shortcomings.</w:t>
      </w:r>
    </w:p>
    <w:p w14:paraId="7340AC26" w14:textId="38BB3C76"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szCs w:val="22"/>
        </w:rPr>
      </w:pPr>
      <w:r w:rsidRPr="00AA5D70">
        <w:rPr>
          <w:kern w:val="22"/>
          <w:szCs w:val="22"/>
        </w:rPr>
        <w:t>In this strategic framework, capacity is described as “the ability of people, organizations and societies as a whole to achieve the biodiversity-related goals and action targets”</w:t>
      </w:r>
      <w:r w:rsidR="00263D1B" w:rsidRPr="00AA5D70">
        <w:rPr>
          <w:kern w:val="22"/>
          <w:szCs w:val="22"/>
        </w:rPr>
        <w:t>,</w:t>
      </w:r>
      <w:r w:rsidRPr="00AA5D70">
        <w:rPr>
          <w:kern w:val="22"/>
          <w:szCs w:val="22"/>
        </w:rPr>
        <w:t xml:space="preserve"> and capacity development is understood as “the process whereby people, organizations and society as a whole unleash, strengthen, create, adapt and maintain capacity over time to achieve positive biodiversity results.”</w:t>
      </w:r>
      <w:r w:rsidRPr="00AA5D70">
        <w:rPr>
          <w:kern w:val="22"/>
          <w:szCs w:val="22"/>
          <w:vertAlign w:val="superscript"/>
        </w:rPr>
        <w:footnoteReference w:id="54"/>
      </w:r>
      <w:r w:rsidRPr="00AA5D70">
        <w:rPr>
          <w:kern w:val="22"/>
          <w:szCs w:val="22"/>
        </w:rPr>
        <w:t xml:space="preserve"> Capacity development is considered at three levels: the enabling environment, organizational and individual levels.</w:t>
      </w:r>
    </w:p>
    <w:p w14:paraId="13192EC2" w14:textId="05E1BA69" w:rsidR="004A3E7E" w:rsidRPr="00AA5D70" w:rsidRDefault="004A3E7E" w:rsidP="00AA5D70">
      <w:pPr>
        <w:pStyle w:val="Heading1"/>
        <w:suppressLineNumbers/>
        <w:tabs>
          <w:tab w:val="clear" w:pos="720"/>
          <w:tab w:val="left" w:pos="426"/>
        </w:tabs>
        <w:suppressAutoHyphens/>
        <w:kinsoku w:val="0"/>
        <w:overflowPunct w:val="0"/>
        <w:autoSpaceDE w:val="0"/>
        <w:autoSpaceDN w:val="0"/>
        <w:adjustRightInd w:val="0"/>
        <w:snapToGrid w:val="0"/>
        <w:spacing w:before="120"/>
        <w:rPr>
          <w:bCs/>
          <w:snapToGrid w:val="0"/>
          <w:kern w:val="22"/>
        </w:rPr>
      </w:pPr>
      <w:bookmarkStart w:id="34" w:name="_Toc57214897"/>
      <w:r w:rsidRPr="00AA5D70">
        <w:rPr>
          <w:bCs/>
          <w:snapToGrid w:val="0"/>
          <w:kern w:val="22"/>
        </w:rPr>
        <w:t>II.</w:t>
      </w:r>
      <w:r w:rsidRPr="00AA5D70">
        <w:rPr>
          <w:bCs/>
          <w:snapToGrid w:val="0"/>
          <w:kern w:val="22"/>
        </w:rPr>
        <w:tab/>
      </w:r>
      <w:r w:rsidR="00E37046" w:rsidRPr="00AA5D70">
        <w:rPr>
          <w:snapToGrid w:val="0"/>
          <w:kern w:val="22"/>
        </w:rPr>
        <w:t>Strategic direction and outcomes</w:t>
      </w:r>
      <w:bookmarkEnd w:id="34"/>
    </w:p>
    <w:p w14:paraId="4823932E" w14:textId="77777777" w:rsidR="004A3E7E" w:rsidRPr="00AA5D70" w:rsidRDefault="004A3E7E" w:rsidP="00AA5D70">
      <w:pPr>
        <w:pStyle w:val="Heading2"/>
        <w:keepNext w:val="0"/>
        <w:numPr>
          <w:ilvl w:val="0"/>
          <w:numId w:val="7"/>
        </w:numPr>
        <w:suppressLineNumbers/>
        <w:tabs>
          <w:tab w:val="clear" w:pos="720"/>
        </w:tabs>
        <w:suppressAutoHyphens/>
        <w:kinsoku w:val="0"/>
        <w:overflowPunct w:val="0"/>
        <w:autoSpaceDE w:val="0"/>
        <w:autoSpaceDN w:val="0"/>
        <w:adjustRightInd w:val="0"/>
        <w:snapToGrid w:val="0"/>
        <w:ind w:left="714" w:hanging="357"/>
        <w:rPr>
          <w:snapToGrid w:val="0"/>
          <w:kern w:val="22"/>
        </w:rPr>
      </w:pPr>
      <w:bookmarkStart w:id="35" w:name="_Toc39228082"/>
      <w:bookmarkStart w:id="36" w:name="_Toc57214898"/>
      <w:r w:rsidRPr="00AA5D70">
        <w:rPr>
          <w:snapToGrid w:val="0"/>
          <w:kern w:val="22"/>
        </w:rPr>
        <w:t>Overall vision and theory of change</w:t>
      </w:r>
      <w:bookmarkEnd w:id="35"/>
      <w:bookmarkEnd w:id="36"/>
    </w:p>
    <w:p w14:paraId="17D22939" w14:textId="4CBE883D"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 xml:space="preserve">The long-term vision of this strategic framework is that by 2050 all societies will be fully empowered and effectively living in harmony with nature. The medium-term vision is that by 2030 governments and relevant non-government actors will have the requisite capacities to effectively and sustainably contribute to the achievement of the goals and 2030 action targets of the </w:t>
      </w:r>
      <w:bookmarkStart w:id="37" w:name="_Hlk47652963"/>
      <w:r w:rsidRPr="00AA5D70">
        <w:rPr>
          <w:kern w:val="22"/>
        </w:rPr>
        <w:t xml:space="preserve">post-2020 </w:t>
      </w:r>
      <w:bookmarkEnd w:id="37"/>
      <w:r w:rsidRPr="00AA5D70">
        <w:rPr>
          <w:kern w:val="22"/>
        </w:rPr>
        <w:t>global biodiversity framework.</w:t>
      </w:r>
    </w:p>
    <w:p w14:paraId="74843D8E" w14:textId="1407EDC5"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 xml:space="preserve">The overall goal is to support ongoing development and strengthening of the capacities necessary for the achievement of </w:t>
      </w:r>
      <w:r w:rsidR="007C054E" w:rsidRPr="00AA5D70">
        <w:rPr>
          <w:kern w:val="22"/>
        </w:rPr>
        <w:t xml:space="preserve">the goals and targets of </w:t>
      </w:r>
      <w:r w:rsidRPr="00AA5D70">
        <w:rPr>
          <w:kern w:val="22"/>
        </w:rPr>
        <w:t xml:space="preserve">the post-2020 </w:t>
      </w:r>
      <w:r w:rsidR="004F5A25" w:rsidRPr="00AA5D70">
        <w:rPr>
          <w:kern w:val="22"/>
        </w:rPr>
        <w:t>global biodiversity framework</w:t>
      </w:r>
      <w:r w:rsidRPr="00AA5D70">
        <w:rPr>
          <w:kern w:val="22"/>
        </w:rPr>
        <w:t xml:space="preserve">. This calls for enhancing the coherence, efficiency and effectiveness of capacity development initiatives at all levels and ensuring alignment with relevant initiatives supporting the achievement of the </w:t>
      </w:r>
      <w:r w:rsidR="00232A5B" w:rsidRPr="00AA5D70">
        <w:rPr>
          <w:kern w:val="22"/>
        </w:rPr>
        <w:t>Sustainable Development Goal</w:t>
      </w:r>
      <w:r w:rsidRPr="00AA5D70">
        <w:rPr>
          <w:kern w:val="22"/>
        </w:rPr>
        <w:t>s. These changes can only be achieved by having in place effective, agile and continuously</w:t>
      </w:r>
      <w:r w:rsidR="005550E4" w:rsidRPr="00AA5D70">
        <w:rPr>
          <w:kern w:val="22"/>
        </w:rPr>
        <w:t xml:space="preserve"> </w:t>
      </w:r>
      <w:r w:rsidRPr="00AA5D70">
        <w:rPr>
          <w:kern w:val="22"/>
        </w:rPr>
        <w:t>learning organizations</w:t>
      </w:r>
      <w:r w:rsidRPr="00AA5D70">
        <w:rPr>
          <w:rStyle w:val="FootnoteReference"/>
          <w:kern w:val="22"/>
        </w:rPr>
        <w:footnoteReference w:id="55"/>
      </w:r>
      <w:r w:rsidRPr="00AA5D70">
        <w:rPr>
          <w:kern w:val="22"/>
        </w:rPr>
        <w:t xml:space="preserve"> supported with sufficient financial and technical resources.</w:t>
      </w:r>
    </w:p>
    <w:p w14:paraId="103A663A" w14:textId="303F552E"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The long-term strategic framework, similar</w:t>
      </w:r>
      <w:r w:rsidR="00987AAB" w:rsidRPr="00AA5D70">
        <w:rPr>
          <w:kern w:val="22"/>
        </w:rPr>
        <w:t>ly</w:t>
      </w:r>
      <w:r w:rsidRPr="00AA5D70">
        <w:rPr>
          <w:kern w:val="22"/>
        </w:rPr>
        <w:t xml:space="preserve"> to the post-2020 </w:t>
      </w:r>
      <w:r w:rsidR="00450EFB" w:rsidRPr="00AA5D70">
        <w:rPr>
          <w:kern w:val="22"/>
        </w:rPr>
        <w:t>global biodiversity framework</w:t>
      </w:r>
      <w:r w:rsidRPr="00AA5D70">
        <w:rPr>
          <w:kern w:val="22"/>
        </w:rPr>
        <w:t>, is underpinned by a theory of change, which is elaborated and visuali</w:t>
      </w:r>
      <w:r w:rsidR="00054558" w:rsidRPr="00AA5D70">
        <w:rPr>
          <w:kern w:val="22"/>
        </w:rPr>
        <w:t>z</w:t>
      </w:r>
      <w:r w:rsidRPr="00AA5D70">
        <w:rPr>
          <w:kern w:val="22"/>
        </w:rPr>
        <w:t xml:space="preserve">ed in figure </w:t>
      </w:r>
      <w:r w:rsidR="004A3E78" w:rsidRPr="00AA5D70">
        <w:rPr>
          <w:kern w:val="22"/>
        </w:rPr>
        <w:t>3</w:t>
      </w:r>
      <w:r w:rsidRPr="00AA5D70">
        <w:rPr>
          <w:kern w:val="22"/>
        </w:rPr>
        <w:t xml:space="preserve"> of document </w:t>
      </w:r>
      <w:r w:rsidRPr="00AA5D70">
        <w:rPr>
          <w:kern w:val="22"/>
        </w:rPr>
        <w:lastRenderedPageBreak/>
        <w:t>CBD/SBI/3/7/Add.1.</w:t>
      </w:r>
      <w:r w:rsidRPr="00AA5D70">
        <w:rPr>
          <w:kern w:val="22"/>
          <w:vertAlign w:val="superscript"/>
        </w:rPr>
        <w:footnoteReference w:id="56"/>
      </w:r>
      <w:r w:rsidRPr="00AA5D70">
        <w:rPr>
          <w:kern w:val="22"/>
        </w:rPr>
        <w:t xml:space="preserve"> The </w:t>
      </w:r>
      <w:r w:rsidR="00BD7503" w:rsidRPr="00AA5D70">
        <w:rPr>
          <w:kern w:val="22"/>
        </w:rPr>
        <w:t>theory of change</w:t>
      </w:r>
      <w:r w:rsidRPr="00AA5D70">
        <w:rPr>
          <w:kern w:val="22"/>
        </w:rPr>
        <w:t xml:space="preserve"> outlines the intended pathways of change in capacity, the underlying assumptions and the anticipated high-level changes/outcomes. The purpose of the </w:t>
      </w:r>
      <w:r w:rsidR="00BD7503" w:rsidRPr="00AA5D70">
        <w:rPr>
          <w:kern w:val="22"/>
        </w:rPr>
        <w:t>theory of change</w:t>
      </w:r>
      <w:r w:rsidRPr="00AA5D70">
        <w:rPr>
          <w:kern w:val="22"/>
        </w:rPr>
        <w:t xml:space="preserve"> is to ensure that relevant actors are conscious of the causal relationships, the change pathways, the expected changes/capacity results, and the important contextual factors and underlying assumptions.</w:t>
      </w:r>
    </w:p>
    <w:p w14:paraId="2B707971" w14:textId="77777777" w:rsidR="004A3E7E" w:rsidRPr="00AA5D70" w:rsidRDefault="004A3E7E" w:rsidP="00AA5D70">
      <w:pPr>
        <w:pStyle w:val="Heading2"/>
        <w:keepNext w:val="0"/>
        <w:numPr>
          <w:ilvl w:val="0"/>
          <w:numId w:val="6"/>
        </w:numPr>
        <w:suppressLineNumbers/>
        <w:tabs>
          <w:tab w:val="clear" w:pos="720"/>
        </w:tabs>
        <w:suppressAutoHyphens/>
        <w:kinsoku w:val="0"/>
        <w:overflowPunct w:val="0"/>
        <w:autoSpaceDE w:val="0"/>
        <w:autoSpaceDN w:val="0"/>
        <w:adjustRightInd w:val="0"/>
        <w:snapToGrid w:val="0"/>
        <w:spacing w:before="0" w:after="0"/>
        <w:rPr>
          <w:snapToGrid w:val="0"/>
          <w:kern w:val="22"/>
        </w:rPr>
      </w:pPr>
      <w:bookmarkStart w:id="38" w:name="_Toc57214899"/>
      <w:r w:rsidRPr="00AA5D70">
        <w:rPr>
          <w:snapToGrid w:val="0"/>
          <w:kern w:val="22"/>
        </w:rPr>
        <w:t>Capacity results</w:t>
      </w:r>
      <w:bookmarkEnd w:id="38"/>
    </w:p>
    <w:p w14:paraId="14EFAAA3" w14:textId="5397125F"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spacing w:after="240"/>
        <w:rPr>
          <w:kern w:val="22"/>
        </w:rPr>
      </w:pPr>
      <w:r w:rsidRPr="00AA5D70">
        <w:rPr>
          <w:kern w:val="22"/>
        </w:rPr>
        <w:t xml:space="preserve">The strategic framework establishes indicative high-level and long-term capacity development results relevant to the achievement of the post-2020 </w:t>
      </w:r>
      <w:r w:rsidR="00450EFB" w:rsidRPr="00AA5D70">
        <w:rPr>
          <w:kern w:val="22"/>
        </w:rPr>
        <w:t>global biodiversity framework</w:t>
      </w:r>
      <w:r w:rsidRPr="00AA5D70">
        <w:rPr>
          <w:kern w:val="22"/>
        </w:rPr>
        <w:t xml:space="preserve"> goals and targets and the </w:t>
      </w:r>
      <w:r w:rsidR="0098560E" w:rsidRPr="00AA5D70">
        <w:rPr>
          <w:kern w:val="22"/>
        </w:rPr>
        <w:t>S</w:t>
      </w:r>
      <w:r w:rsidRPr="00AA5D70">
        <w:rPr>
          <w:kern w:val="22"/>
        </w:rPr>
        <w:t xml:space="preserve">ustainable </w:t>
      </w:r>
      <w:r w:rsidR="0098560E" w:rsidRPr="00AA5D70">
        <w:rPr>
          <w:kern w:val="22"/>
        </w:rPr>
        <w:t>D</w:t>
      </w:r>
      <w:r w:rsidRPr="00AA5D70">
        <w:rPr>
          <w:kern w:val="22"/>
        </w:rPr>
        <w:t xml:space="preserve">evelopment </w:t>
      </w:r>
      <w:r w:rsidR="0098560E" w:rsidRPr="00AA5D70">
        <w:rPr>
          <w:kern w:val="22"/>
        </w:rPr>
        <w:t>G</w:t>
      </w:r>
      <w:r w:rsidRPr="00AA5D70">
        <w:rPr>
          <w:kern w:val="22"/>
        </w:rPr>
        <w:t xml:space="preserve">oals (see Box 1). Government and relevant non-government actors are also encouraged to set capacity development targets at various levels and clearly include them in relevant documents, such as </w:t>
      </w:r>
      <w:r w:rsidR="00BD3034" w:rsidRPr="00AA5D70">
        <w:rPr>
          <w:kern w:val="22"/>
        </w:rPr>
        <w:t>national biodiversity strategies and action plans (</w:t>
      </w:r>
      <w:r w:rsidRPr="00AA5D70">
        <w:rPr>
          <w:kern w:val="22"/>
        </w:rPr>
        <w:t>NBSAPs</w:t>
      </w:r>
      <w:r w:rsidR="00BD3034" w:rsidRPr="00AA5D70">
        <w:rPr>
          <w:kern w:val="22"/>
        </w:rPr>
        <w:t>)</w:t>
      </w:r>
      <w:r w:rsidRPr="00AA5D70">
        <w:rPr>
          <w:kern w:val="22"/>
        </w:rPr>
        <w:t>, programme strategies and plans. Capacit</w:t>
      </w:r>
      <w:r w:rsidR="000A552D" w:rsidRPr="00AA5D70">
        <w:rPr>
          <w:kern w:val="22"/>
        </w:rPr>
        <w:t>ies</w:t>
      </w:r>
      <w:r w:rsidRPr="00AA5D70">
        <w:rPr>
          <w:kern w:val="22"/>
        </w:rPr>
        <w:t xml:space="preserve"> can be categorized as </w:t>
      </w:r>
      <w:r w:rsidR="0050202D" w:rsidRPr="00AA5D70">
        <w:rPr>
          <w:kern w:val="22"/>
        </w:rPr>
        <w:t>“</w:t>
      </w:r>
      <w:r w:rsidRPr="00AA5D70">
        <w:rPr>
          <w:kern w:val="22"/>
        </w:rPr>
        <w:t>functional</w:t>
      </w:r>
      <w:r w:rsidR="0050202D" w:rsidRPr="00AA5D70">
        <w:rPr>
          <w:kern w:val="22"/>
        </w:rPr>
        <w:t>”</w:t>
      </w:r>
      <w:r w:rsidRPr="00AA5D70">
        <w:rPr>
          <w:kern w:val="22"/>
        </w:rPr>
        <w:t xml:space="preserve"> capacities (cross-cutting skills needed to get things done and not associated with any one particular sector or theme); and </w:t>
      </w:r>
      <w:r w:rsidR="0050202D" w:rsidRPr="00AA5D70">
        <w:rPr>
          <w:kern w:val="22"/>
        </w:rPr>
        <w:t>“</w:t>
      </w:r>
      <w:r w:rsidRPr="00AA5D70">
        <w:rPr>
          <w:kern w:val="22"/>
        </w:rPr>
        <w:t>technical</w:t>
      </w:r>
      <w:r w:rsidR="0050202D" w:rsidRPr="00AA5D70">
        <w:rPr>
          <w:kern w:val="22"/>
        </w:rPr>
        <w:t>”</w:t>
      </w:r>
      <w:r w:rsidRPr="00AA5D70">
        <w:rPr>
          <w:kern w:val="22"/>
        </w:rPr>
        <w:t xml:space="preserve"> capacities (associated with specific areas of expertise, sectors or themes).</w:t>
      </w:r>
    </w:p>
    <w:tbl>
      <w:tblPr>
        <w:tblStyle w:val="TableGrid"/>
        <w:tblW w:w="0" w:type="auto"/>
        <w:tblLook w:val="04A0" w:firstRow="1" w:lastRow="0" w:firstColumn="1" w:lastColumn="0" w:noHBand="0" w:noVBand="1"/>
      </w:tblPr>
      <w:tblGrid>
        <w:gridCol w:w="9452"/>
      </w:tblGrid>
      <w:tr w:rsidR="00AF0CDA" w:rsidRPr="00D16AC1" w14:paraId="7F6560F2" w14:textId="77777777" w:rsidTr="00AF0CDA">
        <w:tc>
          <w:tcPr>
            <w:tcW w:w="9452" w:type="dxa"/>
          </w:tcPr>
          <w:p w14:paraId="6D318222" w14:textId="65A8BB06" w:rsidR="00AF0CDA" w:rsidRPr="00AA5D70" w:rsidRDefault="00AF0CDA" w:rsidP="00AA5D70">
            <w:pPr>
              <w:suppressLineNumbers/>
              <w:suppressAutoHyphens/>
              <w:kinsoku w:val="0"/>
              <w:overflowPunct w:val="0"/>
              <w:autoSpaceDE w:val="0"/>
              <w:autoSpaceDN w:val="0"/>
              <w:adjustRightInd w:val="0"/>
              <w:snapToGrid w:val="0"/>
              <w:spacing w:before="120" w:after="120"/>
              <w:jc w:val="center"/>
              <w:rPr>
                <w:snapToGrid w:val="0"/>
                <w:kern w:val="22"/>
              </w:rPr>
            </w:pPr>
            <w:r w:rsidRPr="00AA5D70">
              <w:rPr>
                <w:b/>
                <w:bCs/>
                <w:snapToGrid w:val="0"/>
                <w:color w:val="000000"/>
                <w:kern w:val="22"/>
              </w:rPr>
              <w:t>Box 1. Examples of expected capacity results</w:t>
            </w:r>
          </w:p>
          <w:p w14:paraId="1F5A3230" w14:textId="77777777" w:rsidR="00AF0CDA" w:rsidRPr="00AA5D70" w:rsidRDefault="00AF0CDA" w:rsidP="00AA5D70">
            <w:pPr>
              <w:pStyle w:val="ListParagraph"/>
              <w:suppressLineNumbers/>
              <w:suppressAutoHyphens/>
              <w:kinsoku w:val="0"/>
              <w:overflowPunct w:val="0"/>
              <w:autoSpaceDE w:val="0"/>
              <w:autoSpaceDN w:val="0"/>
              <w:adjustRightInd w:val="0"/>
              <w:snapToGrid w:val="0"/>
              <w:spacing w:after="60"/>
              <w:ind w:left="0"/>
              <w:contextualSpacing w:val="0"/>
              <w:rPr>
                <w:rFonts w:eastAsia="Calibri"/>
                <w:bCs/>
                <w:snapToGrid w:val="0"/>
                <w:color w:val="000000"/>
                <w:kern w:val="22"/>
              </w:rPr>
            </w:pPr>
            <w:r w:rsidRPr="00AA5D70">
              <w:rPr>
                <w:rFonts w:eastAsia="Calibri"/>
                <w:bCs/>
                <w:snapToGrid w:val="0"/>
                <w:color w:val="000000"/>
                <w:kern w:val="22"/>
              </w:rPr>
              <w:t>Long-term, high-level outcomes</w:t>
            </w:r>
          </w:p>
          <w:p w14:paraId="62441B33" w14:textId="151BC055" w:rsidR="00AF0CDA" w:rsidRPr="00AA5D70" w:rsidRDefault="00AF0CDA" w:rsidP="00AA5D70">
            <w:pPr>
              <w:pStyle w:val="ListParagraph"/>
              <w:numPr>
                <w:ilvl w:val="0"/>
                <w:numId w:val="57"/>
              </w:numPr>
              <w:suppressLineNumbers/>
              <w:suppressAutoHyphens/>
              <w:kinsoku w:val="0"/>
              <w:overflowPunct w:val="0"/>
              <w:autoSpaceDE w:val="0"/>
              <w:autoSpaceDN w:val="0"/>
              <w:adjustRightInd w:val="0"/>
              <w:snapToGrid w:val="0"/>
              <w:contextualSpacing w:val="0"/>
              <w:rPr>
                <w:rFonts w:eastAsia="Calibri"/>
                <w:bCs/>
                <w:snapToGrid w:val="0"/>
                <w:color w:val="000000"/>
                <w:kern w:val="22"/>
              </w:rPr>
            </w:pPr>
            <w:r w:rsidRPr="00AA5D70">
              <w:rPr>
                <w:bCs/>
                <w:snapToGrid w:val="0"/>
                <w:kern w:val="22"/>
              </w:rPr>
              <w:t xml:space="preserve">Successful implementation of </w:t>
            </w:r>
            <w:r w:rsidR="00B92090" w:rsidRPr="00AA5D70">
              <w:rPr>
                <w:snapToGrid w:val="0"/>
                <w:kern w:val="22"/>
              </w:rPr>
              <w:t>national biodiversity strategies and action plans (</w:t>
            </w:r>
            <w:r w:rsidRPr="00AA5D70">
              <w:rPr>
                <w:bCs/>
                <w:snapToGrid w:val="0"/>
                <w:kern w:val="22"/>
              </w:rPr>
              <w:t>NBSAPs</w:t>
            </w:r>
            <w:r w:rsidR="00B92090" w:rsidRPr="00AA5D70">
              <w:rPr>
                <w:bCs/>
                <w:snapToGrid w:val="0"/>
                <w:kern w:val="22"/>
              </w:rPr>
              <w:t>)</w:t>
            </w:r>
          </w:p>
          <w:p w14:paraId="69D46378" w14:textId="64AE269D" w:rsidR="00AF0CDA" w:rsidRPr="00AA5D70" w:rsidRDefault="00AF0CDA" w:rsidP="00AA5D70">
            <w:pPr>
              <w:pStyle w:val="ListParagraph"/>
              <w:numPr>
                <w:ilvl w:val="0"/>
                <w:numId w:val="57"/>
              </w:numPr>
              <w:suppressLineNumbers/>
              <w:suppressAutoHyphens/>
              <w:kinsoku w:val="0"/>
              <w:overflowPunct w:val="0"/>
              <w:autoSpaceDE w:val="0"/>
              <w:autoSpaceDN w:val="0"/>
              <w:adjustRightInd w:val="0"/>
              <w:snapToGrid w:val="0"/>
              <w:contextualSpacing w:val="0"/>
              <w:rPr>
                <w:rFonts w:eastAsia="Calibri"/>
                <w:bCs/>
                <w:snapToGrid w:val="0"/>
                <w:color w:val="000000"/>
                <w:kern w:val="22"/>
              </w:rPr>
            </w:pPr>
            <w:r w:rsidRPr="00AA5D70">
              <w:rPr>
                <w:bCs/>
                <w:snapToGrid w:val="0"/>
                <w:kern w:val="22"/>
              </w:rPr>
              <w:t>Achievement of 2030 action targets</w:t>
            </w:r>
          </w:p>
          <w:p w14:paraId="13F8DAAC" w14:textId="77777777" w:rsidR="00AF0CDA" w:rsidRPr="00AA5D70" w:rsidRDefault="00AF0CDA" w:rsidP="00AA5D70">
            <w:pPr>
              <w:pStyle w:val="ListParagraph"/>
              <w:numPr>
                <w:ilvl w:val="0"/>
                <w:numId w:val="57"/>
              </w:numPr>
              <w:suppressLineNumbers/>
              <w:suppressAutoHyphens/>
              <w:kinsoku w:val="0"/>
              <w:overflowPunct w:val="0"/>
              <w:autoSpaceDE w:val="0"/>
              <w:autoSpaceDN w:val="0"/>
              <w:adjustRightInd w:val="0"/>
              <w:snapToGrid w:val="0"/>
              <w:contextualSpacing w:val="0"/>
              <w:rPr>
                <w:rFonts w:eastAsia="Calibri"/>
                <w:bCs/>
                <w:snapToGrid w:val="0"/>
                <w:color w:val="000000"/>
                <w:kern w:val="22"/>
              </w:rPr>
            </w:pPr>
            <w:r w:rsidRPr="00AA5D70">
              <w:rPr>
                <w:bCs/>
                <w:snapToGrid w:val="0"/>
                <w:kern w:val="22"/>
              </w:rPr>
              <w:t>Biodiversity mainstreamed throughout sectors and society</w:t>
            </w:r>
          </w:p>
          <w:p w14:paraId="4CE9B76C" w14:textId="77777777" w:rsidR="00AF0CDA" w:rsidRPr="00AA5D70" w:rsidRDefault="00AF0CDA" w:rsidP="00AA5D70">
            <w:pPr>
              <w:pStyle w:val="ListParagraph"/>
              <w:suppressLineNumbers/>
              <w:suppressAutoHyphens/>
              <w:kinsoku w:val="0"/>
              <w:overflowPunct w:val="0"/>
              <w:autoSpaceDE w:val="0"/>
              <w:autoSpaceDN w:val="0"/>
              <w:adjustRightInd w:val="0"/>
              <w:snapToGrid w:val="0"/>
              <w:ind w:left="0"/>
              <w:contextualSpacing w:val="0"/>
              <w:rPr>
                <w:rFonts w:eastAsia="Calibri"/>
                <w:bCs/>
                <w:snapToGrid w:val="0"/>
                <w:color w:val="000000"/>
                <w:kern w:val="22"/>
              </w:rPr>
            </w:pPr>
          </w:p>
          <w:p w14:paraId="3D2E9A41" w14:textId="77777777" w:rsidR="00AF0CDA" w:rsidRPr="00AA5D70" w:rsidRDefault="00AF0CDA" w:rsidP="00AA5D70">
            <w:pPr>
              <w:pStyle w:val="ListParagraph"/>
              <w:suppressLineNumbers/>
              <w:suppressAutoHyphens/>
              <w:kinsoku w:val="0"/>
              <w:overflowPunct w:val="0"/>
              <w:autoSpaceDE w:val="0"/>
              <w:autoSpaceDN w:val="0"/>
              <w:adjustRightInd w:val="0"/>
              <w:snapToGrid w:val="0"/>
              <w:spacing w:after="60"/>
              <w:ind w:left="0"/>
              <w:contextualSpacing w:val="0"/>
              <w:rPr>
                <w:rFonts w:eastAsia="Calibri"/>
                <w:bCs/>
                <w:snapToGrid w:val="0"/>
                <w:color w:val="000000"/>
                <w:kern w:val="22"/>
              </w:rPr>
            </w:pPr>
            <w:r w:rsidRPr="00AA5D70">
              <w:rPr>
                <w:rFonts w:eastAsia="Calibri"/>
                <w:bCs/>
                <w:snapToGrid w:val="0"/>
                <w:color w:val="000000"/>
                <w:kern w:val="22"/>
              </w:rPr>
              <w:t>Medium-term outcomes</w:t>
            </w:r>
          </w:p>
          <w:p w14:paraId="3FE0784B" w14:textId="77777777" w:rsidR="00AF0CDA" w:rsidRPr="00AA5D70" w:rsidRDefault="00AF0CDA" w:rsidP="00AA5D70">
            <w:pPr>
              <w:pStyle w:val="ListParagraph"/>
              <w:numPr>
                <w:ilvl w:val="0"/>
                <w:numId w:val="55"/>
              </w:numPr>
              <w:suppressLineNumbers/>
              <w:suppressAutoHyphens/>
              <w:kinsoku w:val="0"/>
              <w:overflowPunct w:val="0"/>
              <w:autoSpaceDE w:val="0"/>
              <w:autoSpaceDN w:val="0"/>
              <w:adjustRightInd w:val="0"/>
              <w:snapToGrid w:val="0"/>
              <w:spacing w:after="60"/>
              <w:contextualSpacing w:val="0"/>
              <w:rPr>
                <w:rFonts w:eastAsia="Calibri"/>
                <w:bCs/>
                <w:snapToGrid w:val="0"/>
                <w:color w:val="000000"/>
                <w:kern w:val="22"/>
              </w:rPr>
            </w:pPr>
            <w:r w:rsidRPr="00AA5D70">
              <w:rPr>
                <w:bCs/>
                <w:snapToGrid w:val="0"/>
                <w:kern w:val="22"/>
              </w:rPr>
              <w:t>Sound enabling frameworks and institutional arrangements support achievement of NBSAPs</w:t>
            </w:r>
          </w:p>
          <w:p w14:paraId="2173B66E" w14:textId="77777777" w:rsidR="00AF0CDA" w:rsidRPr="00AA5D70" w:rsidRDefault="00AF0CDA" w:rsidP="00AA5D70">
            <w:pPr>
              <w:pStyle w:val="ListParagraph"/>
              <w:numPr>
                <w:ilvl w:val="0"/>
                <w:numId w:val="55"/>
              </w:numPr>
              <w:suppressLineNumbers/>
              <w:suppressAutoHyphens/>
              <w:kinsoku w:val="0"/>
              <w:overflowPunct w:val="0"/>
              <w:autoSpaceDE w:val="0"/>
              <w:autoSpaceDN w:val="0"/>
              <w:adjustRightInd w:val="0"/>
              <w:snapToGrid w:val="0"/>
              <w:spacing w:after="60"/>
              <w:contextualSpacing w:val="0"/>
              <w:rPr>
                <w:rFonts w:eastAsia="Calibri"/>
                <w:bCs/>
                <w:snapToGrid w:val="0"/>
                <w:color w:val="000000"/>
                <w:kern w:val="22"/>
              </w:rPr>
            </w:pPr>
            <w:r w:rsidRPr="00AA5D70">
              <w:rPr>
                <w:rFonts w:eastAsia="Calibri"/>
                <w:bCs/>
                <w:snapToGrid w:val="0"/>
                <w:color w:val="000000"/>
                <w:kern w:val="22"/>
              </w:rPr>
              <w:t>Strategic partnerships and learning networks enhance biodiversity conservation and sustainable use efforts along with the equitable sharing of benefits arising from the use of genetic resources</w:t>
            </w:r>
          </w:p>
          <w:p w14:paraId="6F2A63FD" w14:textId="4B310805" w:rsidR="00AF0CDA" w:rsidRPr="00AA5D70" w:rsidRDefault="00AF0CDA" w:rsidP="00AA5D70">
            <w:pPr>
              <w:pStyle w:val="ListParagraph"/>
              <w:numPr>
                <w:ilvl w:val="0"/>
                <w:numId w:val="55"/>
              </w:numPr>
              <w:suppressLineNumbers/>
              <w:suppressAutoHyphens/>
              <w:kinsoku w:val="0"/>
              <w:overflowPunct w:val="0"/>
              <w:autoSpaceDE w:val="0"/>
              <w:autoSpaceDN w:val="0"/>
              <w:adjustRightInd w:val="0"/>
              <w:snapToGrid w:val="0"/>
              <w:spacing w:after="60"/>
              <w:contextualSpacing w:val="0"/>
              <w:rPr>
                <w:rFonts w:eastAsia="Calibri"/>
                <w:bCs/>
                <w:snapToGrid w:val="0"/>
                <w:color w:val="000000"/>
                <w:kern w:val="22"/>
              </w:rPr>
            </w:pPr>
            <w:r w:rsidRPr="00AA5D70">
              <w:rPr>
                <w:rFonts w:eastAsia="Calibri"/>
                <w:bCs/>
                <w:snapToGrid w:val="0"/>
                <w:color w:val="000000"/>
                <w:kern w:val="22"/>
              </w:rPr>
              <w:t>High-quality programmes and projects that are technically sound</w:t>
            </w:r>
            <w:r w:rsidR="00CF2542" w:rsidRPr="00AA5D70">
              <w:rPr>
                <w:rFonts w:eastAsia="Calibri"/>
                <w:bCs/>
                <w:snapToGrid w:val="0"/>
                <w:color w:val="000000"/>
                <w:kern w:val="22"/>
              </w:rPr>
              <w:t>,</w:t>
            </w:r>
            <w:r w:rsidRPr="00AA5D70">
              <w:rPr>
                <w:rFonts w:eastAsia="Calibri"/>
                <w:bCs/>
                <w:snapToGrid w:val="0"/>
                <w:color w:val="000000"/>
                <w:kern w:val="22"/>
              </w:rPr>
              <w:t xml:space="preserve"> have realistic and achievable plans</w:t>
            </w:r>
            <w:r w:rsidR="00CF2542" w:rsidRPr="00AA5D70">
              <w:rPr>
                <w:rFonts w:eastAsia="Calibri"/>
                <w:bCs/>
                <w:snapToGrid w:val="0"/>
                <w:color w:val="000000"/>
                <w:kern w:val="22"/>
              </w:rPr>
              <w:t>,</w:t>
            </w:r>
            <w:r w:rsidRPr="00AA5D70">
              <w:rPr>
                <w:rFonts w:eastAsia="Calibri"/>
                <w:bCs/>
                <w:snapToGrid w:val="0"/>
                <w:color w:val="000000"/>
                <w:kern w:val="22"/>
              </w:rPr>
              <w:t xml:space="preserve"> address gender considerations</w:t>
            </w:r>
            <w:r w:rsidR="00CF2542" w:rsidRPr="00AA5D70">
              <w:rPr>
                <w:rFonts w:eastAsia="Calibri"/>
                <w:bCs/>
                <w:snapToGrid w:val="0"/>
                <w:color w:val="000000"/>
                <w:kern w:val="22"/>
              </w:rPr>
              <w:t>,</w:t>
            </w:r>
            <w:r w:rsidRPr="00AA5D70">
              <w:rPr>
                <w:rFonts w:eastAsia="Calibri"/>
                <w:bCs/>
                <w:snapToGrid w:val="0"/>
                <w:color w:val="000000"/>
                <w:kern w:val="22"/>
              </w:rPr>
              <w:t xml:space="preserve"> and embed monitoring</w:t>
            </w:r>
          </w:p>
          <w:p w14:paraId="484ACC6F" w14:textId="57DCE1E4" w:rsidR="00AF0CDA" w:rsidRPr="00AA5D70" w:rsidRDefault="00AF0CDA" w:rsidP="00AA5D70">
            <w:pPr>
              <w:pStyle w:val="ListParagraph"/>
              <w:numPr>
                <w:ilvl w:val="0"/>
                <w:numId w:val="55"/>
              </w:numPr>
              <w:suppressLineNumbers/>
              <w:suppressAutoHyphens/>
              <w:kinsoku w:val="0"/>
              <w:overflowPunct w:val="0"/>
              <w:autoSpaceDE w:val="0"/>
              <w:autoSpaceDN w:val="0"/>
              <w:adjustRightInd w:val="0"/>
              <w:snapToGrid w:val="0"/>
              <w:spacing w:after="60"/>
              <w:contextualSpacing w:val="0"/>
              <w:rPr>
                <w:rFonts w:eastAsia="Calibri"/>
                <w:snapToGrid w:val="0"/>
                <w:color w:val="000000"/>
                <w:kern w:val="22"/>
              </w:rPr>
            </w:pPr>
            <w:r w:rsidRPr="00AA5D70">
              <w:rPr>
                <w:rFonts w:eastAsia="Calibri"/>
                <w:snapToGrid w:val="0"/>
                <w:color w:val="000000"/>
                <w:kern w:val="22"/>
              </w:rPr>
              <w:t xml:space="preserve">Effective monitoring and evaluation (M&amp;E) and learning processes embedded into </w:t>
            </w:r>
            <w:r w:rsidR="00783394" w:rsidRPr="00AA5D70">
              <w:rPr>
                <w:rFonts w:eastAsia="Calibri"/>
                <w:snapToGrid w:val="0"/>
                <w:color w:val="000000"/>
                <w:kern w:val="22"/>
              </w:rPr>
              <w:t xml:space="preserve">projects and </w:t>
            </w:r>
            <w:r w:rsidRPr="00AA5D70">
              <w:rPr>
                <w:rFonts w:eastAsia="Calibri"/>
                <w:snapToGrid w:val="0"/>
                <w:color w:val="000000"/>
                <w:kern w:val="22"/>
              </w:rPr>
              <w:t>programmes from the start</w:t>
            </w:r>
            <w:r w:rsidR="00F43F89" w:rsidRPr="00AA5D70">
              <w:rPr>
                <w:rFonts w:eastAsia="Calibri"/>
                <w:snapToGrid w:val="0"/>
                <w:color w:val="000000"/>
                <w:kern w:val="22"/>
              </w:rPr>
              <w:t>, to</w:t>
            </w:r>
            <w:r w:rsidRPr="00AA5D70">
              <w:rPr>
                <w:rFonts w:eastAsia="Calibri"/>
                <w:snapToGrid w:val="0"/>
                <w:color w:val="000000"/>
                <w:kern w:val="22"/>
              </w:rPr>
              <w:t xml:space="preserve"> support evidence-based decision-making at all levels</w:t>
            </w:r>
          </w:p>
          <w:p w14:paraId="40906AFE" w14:textId="772F6149" w:rsidR="00AF0CDA" w:rsidRPr="00AA5D70" w:rsidRDefault="00AF0CDA" w:rsidP="00AA5D70">
            <w:pPr>
              <w:pStyle w:val="ListParagraph"/>
              <w:numPr>
                <w:ilvl w:val="0"/>
                <w:numId w:val="56"/>
              </w:numPr>
              <w:suppressLineNumbers/>
              <w:suppressAutoHyphens/>
              <w:kinsoku w:val="0"/>
              <w:overflowPunct w:val="0"/>
              <w:autoSpaceDE w:val="0"/>
              <w:autoSpaceDN w:val="0"/>
              <w:adjustRightInd w:val="0"/>
              <w:snapToGrid w:val="0"/>
              <w:spacing w:after="120"/>
              <w:contextualSpacing w:val="0"/>
              <w:rPr>
                <w:rFonts w:eastAsia="Calibri"/>
                <w:bCs/>
                <w:snapToGrid w:val="0"/>
                <w:color w:val="000000"/>
                <w:kern w:val="22"/>
              </w:rPr>
            </w:pPr>
            <w:r w:rsidRPr="00AA5D70">
              <w:rPr>
                <w:rFonts w:eastAsia="Calibri"/>
                <w:bCs/>
                <w:snapToGrid w:val="0"/>
                <w:color w:val="000000"/>
                <w:kern w:val="22"/>
              </w:rPr>
              <w:t>Reinforcing mechanisms, incentive structures and investments ensure utilization and retention of capacity of all types at all levels</w:t>
            </w:r>
          </w:p>
        </w:tc>
      </w:tr>
    </w:tbl>
    <w:p w14:paraId="7D5A72B7" w14:textId="2826A881" w:rsidR="004A3E7E" w:rsidRPr="00AA5D70" w:rsidRDefault="004A3E7E" w:rsidP="00AA5D70">
      <w:pPr>
        <w:pStyle w:val="Heading1"/>
        <w:suppressLineNumbers/>
        <w:tabs>
          <w:tab w:val="clear" w:pos="720"/>
          <w:tab w:val="left" w:pos="426"/>
        </w:tabs>
        <w:suppressAutoHyphens/>
        <w:kinsoku w:val="0"/>
        <w:overflowPunct w:val="0"/>
        <w:autoSpaceDE w:val="0"/>
        <w:autoSpaceDN w:val="0"/>
        <w:adjustRightInd w:val="0"/>
        <w:snapToGrid w:val="0"/>
        <w:ind w:right="14"/>
        <w:rPr>
          <w:bCs/>
          <w:snapToGrid w:val="0"/>
          <w:kern w:val="22"/>
        </w:rPr>
      </w:pPr>
      <w:bookmarkStart w:id="39" w:name="_Toc57214900"/>
      <w:r w:rsidRPr="00AA5D70">
        <w:rPr>
          <w:bCs/>
          <w:snapToGrid w:val="0"/>
          <w:kern w:val="22"/>
        </w:rPr>
        <w:t>III.</w:t>
      </w:r>
      <w:r w:rsidRPr="00AA5D70">
        <w:rPr>
          <w:bCs/>
          <w:snapToGrid w:val="0"/>
          <w:kern w:val="22"/>
        </w:rPr>
        <w:tab/>
      </w:r>
      <w:r w:rsidR="00E37046" w:rsidRPr="00AA5D70">
        <w:rPr>
          <w:rFonts w:ascii="Times New Roman Bold" w:hAnsi="Times New Roman Bold"/>
          <w:bCs/>
          <w:snapToGrid w:val="0"/>
          <w:kern w:val="22"/>
        </w:rPr>
        <w:t>Guiding principles</w:t>
      </w:r>
      <w:bookmarkEnd w:id="39"/>
    </w:p>
    <w:p w14:paraId="11EFC946" w14:textId="23D51729"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szCs w:val="22"/>
        </w:rPr>
      </w:pPr>
      <w:r w:rsidRPr="00AA5D70">
        <w:rPr>
          <w:kern w:val="22"/>
          <w:szCs w:val="22"/>
        </w:rPr>
        <w:t>Governments and non-government</w:t>
      </w:r>
      <w:r w:rsidR="00C843B2" w:rsidRPr="00D16AC1">
        <w:rPr>
          <w:kern w:val="22"/>
          <w:szCs w:val="22"/>
        </w:rPr>
        <w:t>al</w:t>
      </w:r>
      <w:r w:rsidRPr="00AA5D70">
        <w:rPr>
          <w:kern w:val="22"/>
          <w:szCs w:val="22"/>
        </w:rPr>
        <w:t xml:space="preserve"> actors are encouraged to apply the following overarching guiding principles, which, if applied</w:t>
      </w:r>
      <w:r w:rsidR="00C843B2" w:rsidRPr="00D16AC1">
        <w:rPr>
          <w:kern w:val="22"/>
          <w:szCs w:val="22"/>
        </w:rPr>
        <w:t>,</w:t>
      </w:r>
      <w:r w:rsidRPr="00AA5D70">
        <w:rPr>
          <w:kern w:val="22"/>
          <w:szCs w:val="22"/>
        </w:rPr>
        <w:t xml:space="preserve"> would contribute to more effective and sustainable capacities to support the post-2020 </w:t>
      </w:r>
      <w:r w:rsidR="00E1255B" w:rsidRPr="00AA5D70">
        <w:rPr>
          <w:kern w:val="22"/>
        </w:rPr>
        <w:t>global biodiversity framework</w:t>
      </w:r>
      <w:r w:rsidRPr="00AA5D70">
        <w:rPr>
          <w:kern w:val="22"/>
          <w:szCs w:val="22"/>
        </w:rPr>
        <w:t>:</w:t>
      </w:r>
    </w:p>
    <w:p w14:paraId="37094065" w14:textId="5E52A6E2" w:rsidR="004A3E7E" w:rsidRPr="00AA5D70" w:rsidRDefault="004A3E7E" w:rsidP="00AA5D70">
      <w:pPr>
        <w:pStyle w:val="ListParagraph"/>
        <w:numPr>
          <w:ilvl w:val="0"/>
          <w:numId w:val="5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AA5D70">
        <w:rPr>
          <w:snapToGrid w:val="0"/>
          <w:color w:val="000000"/>
          <w:kern w:val="22"/>
        </w:rPr>
        <w:t xml:space="preserve">Inclusive analysis of existing capacities and needs </w:t>
      </w:r>
      <w:r w:rsidR="00236C22" w:rsidRPr="00AA5D70">
        <w:rPr>
          <w:snapToGrid w:val="0"/>
          <w:color w:val="000000"/>
          <w:kern w:val="22"/>
        </w:rPr>
        <w:t>is</w:t>
      </w:r>
      <w:r w:rsidRPr="00AA5D70">
        <w:rPr>
          <w:snapToGrid w:val="0"/>
          <w:color w:val="000000"/>
          <w:kern w:val="22"/>
        </w:rPr>
        <w:t xml:space="preserve"> essential to ensure effective interventions</w:t>
      </w:r>
      <w:r w:rsidR="00E1255B" w:rsidRPr="00AA5D70">
        <w:rPr>
          <w:snapToGrid w:val="0"/>
          <w:color w:val="000000"/>
          <w:kern w:val="22"/>
        </w:rPr>
        <w:t>;</w:t>
      </w:r>
    </w:p>
    <w:p w14:paraId="78F844D8" w14:textId="2D0B28F4" w:rsidR="004A3E7E" w:rsidRPr="00AA5D70" w:rsidRDefault="004A3E7E" w:rsidP="00AA5D70">
      <w:pPr>
        <w:pStyle w:val="ListParagraph"/>
        <w:numPr>
          <w:ilvl w:val="0"/>
          <w:numId w:val="5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AA5D70">
        <w:rPr>
          <w:snapToGrid w:val="0"/>
          <w:color w:val="000000"/>
          <w:kern w:val="22"/>
        </w:rPr>
        <w:t>Country ownership and commitment should be cornerstones for capacity development actions</w:t>
      </w:r>
      <w:r w:rsidR="00E1255B" w:rsidRPr="00AA5D70">
        <w:rPr>
          <w:snapToGrid w:val="0"/>
          <w:color w:val="000000"/>
          <w:kern w:val="22"/>
        </w:rPr>
        <w:t>;</w:t>
      </w:r>
    </w:p>
    <w:p w14:paraId="677610B9" w14:textId="202EE6F1" w:rsidR="004A3E7E" w:rsidRPr="00AA5D70" w:rsidRDefault="004A3E7E" w:rsidP="00AA5D70">
      <w:pPr>
        <w:pStyle w:val="ListParagraph"/>
        <w:numPr>
          <w:ilvl w:val="0"/>
          <w:numId w:val="5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kern w:val="22"/>
        </w:rPr>
      </w:pPr>
      <w:r w:rsidRPr="00AA5D70">
        <w:rPr>
          <w:snapToGrid w:val="0"/>
          <w:color w:val="000000"/>
          <w:kern w:val="22"/>
        </w:rPr>
        <w:t>Strategic and integrated system-wide approaches to capacity development should be promoted</w:t>
      </w:r>
      <w:r w:rsidR="00E1255B" w:rsidRPr="00AA5D70">
        <w:rPr>
          <w:snapToGrid w:val="0"/>
          <w:color w:val="000000"/>
          <w:kern w:val="22"/>
        </w:rPr>
        <w:t>;</w:t>
      </w:r>
    </w:p>
    <w:p w14:paraId="376C6598" w14:textId="23D91A53" w:rsidR="004A3E7E" w:rsidRPr="00AA5D70" w:rsidRDefault="004A3E7E" w:rsidP="00AA5D70">
      <w:pPr>
        <w:pStyle w:val="ListParagraph"/>
        <w:numPr>
          <w:ilvl w:val="0"/>
          <w:numId w:val="5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AA5D70">
        <w:rPr>
          <w:snapToGrid w:val="0"/>
          <w:color w:val="000000"/>
          <w:kern w:val="22"/>
        </w:rPr>
        <w:lastRenderedPageBreak/>
        <w:t>Interventions</w:t>
      </w:r>
      <w:r w:rsidRPr="00AA5D70">
        <w:rPr>
          <w:snapToGrid w:val="0"/>
          <w:color w:val="000000" w:themeColor="text1"/>
          <w:kern w:val="22"/>
        </w:rPr>
        <w:t xml:space="preserve"> should be designed and implemented according to recognized good practice and lessons learned</w:t>
      </w:r>
      <w:r w:rsidR="00E1255B" w:rsidRPr="00AA5D70">
        <w:rPr>
          <w:snapToGrid w:val="0"/>
          <w:color w:val="000000" w:themeColor="text1"/>
          <w:kern w:val="22"/>
        </w:rPr>
        <w:t>;</w:t>
      </w:r>
    </w:p>
    <w:p w14:paraId="548250A2" w14:textId="3E1F0B49" w:rsidR="004A3E7E" w:rsidRPr="00AA5D70" w:rsidRDefault="004A3E7E" w:rsidP="00AA5D70">
      <w:pPr>
        <w:pStyle w:val="ListParagraph"/>
        <w:numPr>
          <w:ilvl w:val="0"/>
          <w:numId w:val="5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snapToGrid w:val="0"/>
          <w:color w:val="000000"/>
          <w:kern w:val="22"/>
        </w:rPr>
        <w:t>Gender</w:t>
      </w:r>
      <w:r w:rsidRPr="00AA5D70">
        <w:rPr>
          <w:snapToGrid w:val="0"/>
          <w:kern w:val="22"/>
        </w:rPr>
        <w:t xml:space="preserve"> perspectives should be fully integrated into biodiversity capacity development efforts</w:t>
      </w:r>
      <w:r w:rsidR="00E1255B" w:rsidRPr="00AA5D70">
        <w:rPr>
          <w:snapToGrid w:val="0"/>
          <w:kern w:val="22"/>
        </w:rPr>
        <w:t>;</w:t>
      </w:r>
    </w:p>
    <w:p w14:paraId="265C3D95" w14:textId="77777777" w:rsidR="004A3E7E" w:rsidRPr="00AA5D70" w:rsidRDefault="004A3E7E" w:rsidP="00AA5D70">
      <w:pPr>
        <w:pStyle w:val="ListParagraph"/>
        <w:numPr>
          <w:ilvl w:val="0"/>
          <w:numId w:val="5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themeColor="text1"/>
          <w:kern w:val="22"/>
        </w:rPr>
      </w:pPr>
      <w:r w:rsidRPr="00AA5D70">
        <w:rPr>
          <w:snapToGrid w:val="0"/>
          <w:color w:val="000000"/>
          <w:kern w:val="22"/>
        </w:rPr>
        <w:t>Monitoring</w:t>
      </w:r>
      <w:r w:rsidRPr="00AA5D70">
        <w:rPr>
          <w:snapToGrid w:val="0"/>
          <w:color w:val="000000" w:themeColor="text1"/>
          <w:kern w:val="22"/>
        </w:rPr>
        <w:t>, evaluation and learning frameworks should be incorporated into capacity development strategies, plans and programmes from the start.</w:t>
      </w:r>
    </w:p>
    <w:p w14:paraId="3BB331BB" w14:textId="15189EAD" w:rsidR="004A3E7E" w:rsidRPr="00AA5D70" w:rsidRDefault="004A3E7E" w:rsidP="00AA5D70">
      <w:pPr>
        <w:pStyle w:val="Heading1"/>
        <w:suppressLineNumbers/>
        <w:tabs>
          <w:tab w:val="clear" w:pos="720"/>
          <w:tab w:val="left" w:pos="567"/>
        </w:tabs>
        <w:suppressAutoHyphens/>
        <w:kinsoku w:val="0"/>
        <w:overflowPunct w:val="0"/>
        <w:autoSpaceDE w:val="0"/>
        <w:autoSpaceDN w:val="0"/>
        <w:adjustRightInd w:val="0"/>
        <w:snapToGrid w:val="0"/>
        <w:ind w:right="-130"/>
        <w:rPr>
          <w:snapToGrid w:val="0"/>
          <w:kern w:val="22"/>
        </w:rPr>
      </w:pPr>
      <w:bookmarkStart w:id="40" w:name="_Toc57214901"/>
      <w:r w:rsidRPr="00AA5D70">
        <w:rPr>
          <w:snapToGrid w:val="0"/>
          <w:kern w:val="22"/>
        </w:rPr>
        <w:t>I</w:t>
      </w:r>
      <w:bookmarkStart w:id="41" w:name="_Toc39228093"/>
      <w:r w:rsidRPr="00AA5D70">
        <w:rPr>
          <w:snapToGrid w:val="0"/>
          <w:kern w:val="22"/>
        </w:rPr>
        <w:t>V.</w:t>
      </w:r>
      <w:r w:rsidRPr="00AA5D70">
        <w:rPr>
          <w:bCs/>
          <w:snapToGrid w:val="0"/>
          <w:kern w:val="22"/>
        </w:rPr>
        <w:tab/>
      </w:r>
      <w:r w:rsidR="00E37046" w:rsidRPr="00AA5D70">
        <w:rPr>
          <w:snapToGrid w:val="0"/>
          <w:kern w:val="22"/>
        </w:rPr>
        <w:t>Key strategies to improve capacity development</w:t>
      </w:r>
      <w:bookmarkEnd w:id="40"/>
      <w:bookmarkEnd w:id="41"/>
    </w:p>
    <w:p w14:paraId="64879A0A" w14:textId="15409780"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 xml:space="preserve">Government and non-government actors are encouraged to adopt, as appropriate, the strategies below to enhance capacity development initiatives in support of the post-2020 </w:t>
      </w:r>
      <w:r w:rsidR="00FF7885" w:rsidRPr="00AA5D70">
        <w:rPr>
          <w:kern w:val="22"/>
        </w:rPr>
        <w:t xml:space="preserve">global biodiversity framework </w:t>
      </w:r>
      <w:r w:rsidRPr="00AA5D70">
        <w:rPr>
          <w:kern w:val="22"/>
        </w:rPr>
        <w:t xml:space="preserve">and ensure alignment and synergy with the </w:t>
      </w:r>
      <w:r w:rsidR="00232A5B" w:rsidRPr="00AA5D70">
        <w:rPr>
          <w:kern w:val="22"/>
        </w:rPr>
        <w:t>Sustainable Development Goal</w:t>
      </w:r>
      <w:r w:rsidRPr="00AA5D70">
        <w:rPr>
          <w:kern w:val="22"/>
        </w:rPr>
        <w:t xml:space="preserve">s and other relevant national and global processes. Each country should decide which strategies to apply, taking into account </w:t>
      </w:r>
      <w:r w:rsidR="00B37B42" w:rsidRPr="00AA5D70">
        <w:rPr>
          <w:kern w:val="22"/>
        </w:rPr>
        <w:t>its</w:t>
      </w:r>
      <w:r w:rsidRPr="00AA5D70">
        <w:rPr>
          <w:kern w:val="22"/>
        </w:rPr>
        <w:t xml:space="preserve"> needs, circumstances and local contexts</w:t>
      </w:r>
      <w:r w:rsidR="00767D0C" w:rsidRPr="00AA5D70">
        <w:rPr>
          <w:kern w:val="22"/>
        </w:rPr>
        <w:t>:</w:t>
      </w:r>
    </w:p>
    <w:p w14:paraId="412D59EF" w14:textId="20E314F6"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bookmarkStart w:id="42" w:name="_Toc39228094"/>
      <w:r w:rsidRPr="00AA5D70">
        <w:rPr>
          <w:i/>
          <w:snapToGrid w:val="0"/>
          <w:kern w:val="22"/>
        </w:rPr>
        <w:t>Institutionalize capacity development</w:t>
      </w:r>
      <w:bookmarkEnd w:id="42"/>
      <w:r w:rsidRPr="00AA5D70">
        <w:rPr>
          <w:snapToGrid w:val="0"/>
          <w:kern w:val="22"/>
        </w:rPr>
        <w:t xml:space="preserve">: </w:t>
      </w:r>
      <w:r w:rsidR="00767D0C" w:rsidRPr="00AA5D70">
        <w:rPr>
          <w:snapToGrid w:val="0"/>
          <w:kern w:val="22"/>
        </w:rPr>
        <w:t>E</w:t>
      </w:r>
      <w:r w:rsidRPr="00AA5D70">
        <w:rPr>
          <w:snapToGrid w:val="0"/>
          <w:kern w:val="22"/>
          <w:szCs w:val="22"/>
        </w:rPr>
        <w:t>nsure</w:t>
      </w:r>
      <w:r w:rsidRPr="00AA5D70">
        <w:rPr>
          <w:snapToGrid w:val="0"/>
          <w:kern w:val="22"/>
        </w:rPr>
        <w:t xml:space="preserve"> that capacity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learned</w:t>
      </w:r>
      <w:r w:rsidR="00F301CB" w:rsidRPr="00AA5D70">
        <w:rPr>
          <w:snapToGrid w:val="0"/>
          <w:kern w:val="22"/>
          <w:szCs w:val="22"/>
        </w:rPr>
        <w:t>;</w:t>
      </w:r>
      <w:bookmarkStart w:id="43" w:name="_Toc39228095"/>
    </w:p>
    <w:p w14:paraId="03DFF9AC" w14:textId="4135E171"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Integrate long-term capacity development in</w:t>
      </w:r>
      <w:r w:rsidR="00FE3C2B" w:rsidRPr="00AA5D70">
        <w:rPr>
          <w:i/>
          <w:snapToGrid w:val="0"/>
          <w:kern w:val="22"/>
        </w:rPr>
        <w:t>to</w:t>
      </w:r>
      <w:r w:rsidRPr="00AA5D70">
        <w:rPr>
          <w:i/>
          <w:snapToGrid w:val="0"/>
          <w:kern w:val="22"/>
        </w:rPr>
        <w:t xml:space="preserve"> national strategies and action plans</w:t>
      </w:r>
      <w:bookmarkEnd w:id="43"/>
      <w:r w:rsidRPr="00AA5D70">
        <w:rPr>
          <w:i/>
          <w:snapToGrid w:val="0"/>
          <w:kern w:val="22"/>
        </w:rPr>
        <w:t>:</w:t>
      </w:r>
      <w:r w:rsidRPr="00AA5D70">
        <w:rPr>
          <w:snapToGrid w:val="0"/>
          <w:kern w:val="22"/>
        </w:rPr>
        <w:t xml:space="preserve"> </w:t>
      </w:r>
      <w:r w:rsidR="00767D0C" w:rsidRPr="00AA5D70">
        <w:rPr>
          <w:snapToGrid w:val="0"/>
          <w:kern w:val="22"/>
        </w:rPr>
        <w:t>I</w:t>
      </w:r>
      <w:r w:rsidRPr="00AA5D70">
        <w:rPr>
          <w:snapToGrid w:val="0"/>
          <w:kern w:val="22"/>
        </w:rPr>
        <w:t>ntegrate capacity development components into NBSAPs and similar strategic documents or develop dedicated national capacity development action plans, as appropriate,</w:t>
      </w:r>
      <w:r w:rsidRPr="00AA5D70">
        <w:rPr>
          <w:rStyle w:val="FootnoteReference"/>
          <w:snapToGrid w:val="0"/>
          <w:kern w:val="22"/>
        </w:rPr>
        <w:footnoteReference w:id="57"/>
      </w:r>
      <w:r w:rsidRPr="00AA5D70">
        <w:rPr>
          <w:snapToGrid w:val="0"/>
          <w:kern w:val="22"/>
        </w:rPr>
        <w:t xml:space="preserve"> to identify the core capacity development needs, goals, targets and milestones and foster their alignment with the strategic framework, alongside initiatives on related </w:t>
      </w:r>
      <w:r w:rsidR="00232A5B" w:rsidRPr="00AA5D70">
        <w:rPr>
          <w:snapToGrid w:val="0"/>
          <w:kern w:val="22"/>
        </w:rPr>
        <w:t>Sustainable Development Goal</w:t>
      </w:r>
      <w:r w:rsidRPr="00AA5D70">
        <w:rPr>
          <w:snapToGrid w:val="0"/>
          <w:kern w:val="22"/>
        </w:rPr>
        <w:t>s. This would help ensure that capacity development for biodiversity is planned strategically and streamlined into national development investments and budgeting processes</w:t>
      </w:r>
      <w:r w:rsidR="00F301CB" w:rsidRPr="00AA5D70">
        <w:rPr>
          <w:snapToGrid w:val="0"/>
          <w:kern w:val="22"/>
        </w:rPr>
        <w:t>;</w:t>
      </w:r>
    </w:p>
    <w:p w14:paraId="4279F8C7" w14:textId="12B82F70"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spacing w:val="-2"/>
          <w:kern w:val="22"/>
        </w:rPr>
      </w:pPr>
      <w:r w:rsidRPr="00AA5D70">
        <w:rPr>
          <w:i/>
          <w:snapToGrid w:val="0"/>
          <w:spacing w:val="-2"/>
          <w:kern w:val="22"/>
        </w:rPr>
        <w:t>Align biodiversity capacity development with broader cross-sectoral plans and programmes:</w:t>
      </w:r>
      <w:r w:rsidRPr="00AA5D70">
        <w:rPr>
          <w:snapToGrid w:val="0"/>
          <w:spacing w:val="-2"/>
          <w:kern w:val="22"/>
        </w:rPr>
        <w:t xml:space="preserve"> Apply the whole-of-government and whole-of-society approaches to national implementation proposed in the post-2020 </w:t>
      </w:r>
      <w:r w:rsidR="00AF6640" w:rsidRPr="00AA5D70">
        <w:rPr>
          <w:snapToGrid w:val="0"/>
          <w:spacing w:val="-2"/>
          <w:kern w:val="22"/>
          <w:szCs w:val="22"/>
        </w:rPr>
        <w:t xml:space="preserve">global biodiversity </w:t>
      </w:r>
      <w:r w:rsidRPr="00AA5D70">
        <w:rPr>
          <w:snapToGrid w:val="0"/>
          <w:spacing w:val="-2"/>
          <w:kern w:val="22"/>
        </w:rPr>
        <w:t xml:space="preserve">framework to galvanize capacity development for the achievement of the </w:t>
      </w:r>
      <w:r w:rsidR="00232A5B" w:rsidRPr="00AA5D70">
        <w:rPr>
          <w:snapToGrid w:val="0"/>
          <w:spacing w:val="-2"/>
          <w:kern w:val="22"/>
        </w:rPr>
        <w:t>Sustainable Development Goal</w:t>
      </w:r>
      <w:r w:rsidRPr="00AA5D70">
        <w:rPr>
          <w:snapToGrid w:val="0"/>
          <w:spacing w:val="-2"/>
          <w:kern w:val="22"/>
          <w:szCs w:val="22"/>
        </w:rPr>
        <w:t>s</w:t>
      </w:r>
      <w:r w:rsidRPr="00AA5D70">
        <w:rPr>
          <w:snapToGrid w:val="0"/>
          <w:spacing w:val="-2"/>
          <w:kern w:val="22"/>
        </w:rPr>
        <w:t xml:space="preserve"> and the biodiversity goals and targets. Focal points of the Rio </w:t>
      </w:r>
      <w:r w:rsidR="001B2D51" w:rsidRPr="00AA5D70">
        <w:rPr>
          <w:snapToGrid w:val="0"/>
          <w:spacing w:val="-2"/>
          <w:kern w:val="22"/>
          <w:szCs w:val="22"/>
        </w:rPr>
        <w:t>conventions</w:t>
      </w:r>
      <w:r w:rsidR="000D57AD" w:rsidRPr="00AA5D70">
        <w:rPr>
          <w:snapToGrid w:val="0"/>
          <w:spacing w:val="-2"/>
          <w:kern w:val="22"/>
          <w:szCs w:val="22"/>
        </w:rPr>
        <w:t>,</w:t>
      </w:r>
      <w:r w:rsidR="001B2D51" w:rsidRPr="00AA5D70">
        <w:rPr>
          <w:snapToGrid w:val="0"/>
          <w:spacing w:val="-2"/>
          <w:kern w:val="22"/>
        </w:rPr>
        <w:t xml:space="preserve"> </w:t>
      </w:r>
      <w:r w:rsidRPr="00AA5D70">
        <w:rPr>
          <w:snapToGrid w:val="0"/>
          <w:spacing w:val="-2"/>
          <w:kern w:val="22"/>
        </w:rPr>
        <w:t>biodiversity-related conventions</w:t>
      </w:r>
      <w:r w:rsidR="000D57AD" w:rsidRPr="00AA5D70">
        <w:rPr>
          <w:snapToGrid w:val="0"/>
          <w:spacing w:val="-2"/>
          <w:kern w:val="22"/>
          <w:szCs w:val="22"/>
        </w:rPr>
        <w:t xml:space="preserve"> and</w:t>
      </w:r>
      <w:r w:rsidRPr="00AA5D70">
        <w:rPr>
          <w:snapToGrid w:val="0"/>
          <w:spacing w:val="-2"/>
          <w:kern w:val="22"/>
          <w:szCs w:val="22"/>
        </w:rPr>
        <w:t xml:space="preserve"> </w:t>
      </w:r>
      <w:r w:rsidR="00443A85" w:rsidRPr="00AA5D70">
        <w:rPr>
          <w:snapToGrid w:val="0"/>
          <w:spacing w:val="-2"/>
          <w:kern w:val="22"/>
          <w:szCs w:val="22"/>
        </w:rPr>
        <w:t xml:space="preserve">the </w:t>
      </w:r>
      <w:r w:rsidR="007632B1" w:rsidRPr="00AA5D70">
        <w:rPr>
          <w:snapToGrid w:val="0"/>
          <w:spacing w:val="-2"/>
          <w:kern w:val="22"/>
        </w:rPr>
        <w:t>Sustainable Development Goal</w:t>
      </w:r>
      <w:r w:rsidRPr="00AA5D70">
        <w:rPr>
          <w:snapToGrid w:val="0"/>
          <w:spacing w:val="-2"/>
          <w:kern w:val="22"/>
          <w:szCs w:val="22"/>
        </w:rPr>
        <w:t>s</w:t>
      </w:r>
      <w:r w:rsidR="00E04FCB" w:rsidRPr="00AA5D70">
        <w:rPr>
          <w:snapToGrid w:val="0"/>
          <w:spacing w:val="-2"/>
          <w:kern w:val="22"/>
          <w:szCs w:val="22"/>
        </w:rPr>
        <w:t>,</w:t>
      </w:r>
      <w:r w:rsidRPr="00AA5D70">
        <w:rPr>
          <w:snapToGrid w:val="0"/>
          <w:spacing w:val="-2"/>
          <w:kern w:val="22"/>
        </w:rPr>
        <w:t xml:space="preserve"> and </w:t>
      </w:r>
      <w:r w:rsidR="004C524A" w:rsidRPr="00AA5D70">
        <w:rPr>
          <w:snapToGrid w:val="0"/>
          <w:spacing w:val="-2"/>
          <w:kern w:val="22"/>
          <w:szCs w:val="22"/>
        </w:rPr>
        <w:t>representatives of</w:t>
      </w:r>
      <w:r w:rsidR="004C524A" w:rsidRPr="00AA5D70">
        <w:rPr>
          <w:snapToGrid w:val="0"/>
          <w:spacing w:val="-2"/>
          <w:kern w:val="22"/>
        </w:rPr>
        <w:t xml:space="preserve"> </w:t>
      </w:r>
      <w:r w:rsidRPr="00AA5D70">
        <w:rPr>
          <w:snapToGrid w:val="0"/>
          <w:spacing w:val="-2"/>
          <w:kern w:val="22"/>
        </w:rPr>
        <w:t xml:space="preserve">line ministries and sectors should adopt a road map for alignment and coordinated action. The United Nations </w:t>
      </w:r>
      <w:r w:rsidR="00DF2E59" w:rsidRPr="00AA5D70">
        <w:rPr>
          <w:snapToGrid w:val="0"/>
          <w:spacing w:val="-2"/>
          <w:kern w:val="22"/>
          <w:szCs w:val="22"/>
        </w:rPr>
        <w:t>c</w:t>
      </w:r>
      <w:r w:rsidRPr="00AA5D70">
        <w:rPr>
          <w:snapToGrid w:val="0"/>
          <w:spacing w:val="-2"/>
          <w:kern w:val="22"/>
          <w:szCs w:val="22"/>
        </w:rPr>
        <w:t xml:space="preserve">ountry </w:t>
      </w:r>
      <w:r w:rsidR="00DF2E59" w:rsidRPr="00AA5D70">
        <w:rPr>
          <w:snapToGrid w:val="0"/>
          <w:spacing w:val="-2"/>
          <w:kern w:val="22"/>
          <w:szCs w:val="22"/>
        </w:rPr>
        <w:t>t</w:t>
      </w:r>
      <w:r w:rsidRPr="00AA5D70">
        <w:rPr>
          <w:snapToGrid w:val="0"/>
          <w:spacing w:val="-2"/>
          <w:kern w:val="22"/>
          <w:szCs w:val="22"/>
        </w:rPr>
        <w:t>eams</w:t>
      </w:r>
      <w:r w:rsidRPr="00AA5D70">
        <w:rPr>
          <w:snapToGrid w:val="0"/>
          <w:spacing w:val="-2"/>
          <w:kern w:val="22"/>
        </w:rPr>
        <w:t xml:space="preserve"> should also play a key role in promoting integrated programming and coordination of capacity development as part of the United Nations Sustainable Development Cooperation Framework</w:t>
      </w:r>
      <w:r w:rsidR="00F301CB" w:rsidRPr="00AA5D70">
        <w:rPr>
          <w:snapToGrid w:val="0"/>
          <w:spacing w:val="-2"/>
          <w:kern w:val="22"/>
          <w:szCs w:val="22"/>
        </w:rPr>
        <w:t>;</w:t>
      </w:r>
      <w:r w:rsidRPr="00AA5D70">
        <w:rPr>
          <w:snapToGrid w:val="0"/>
          <w:spacing w:val="-2"/>
          <w:kern w:val="22"/>
          <w:vertAlign w:val="superscript"/>
        </w:rPr>
        <w:footnoteReference w:id="58"/>
      </w:r>
    </w:p>
    <w:p w14:paraId="5C49B419" w14:textId="07FAA1A4"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Undertake measures to fully utili</w:t>
      </w:r>
      <w:r w:rsidR="00054558" w:rsidRPr="00AA5D70">
        <w:rPr>
          <w:i/>
          <w:snapToGrid w:val="0"/>
          <w:kern w:val="22"/>
        </w:rPr>
        <w:t>z</w:t>
      </w:r>
      <w:r w:rsidRPr="00AA5D70">
        <w:rPr>
          <w:i/>
          <w:snapToGrid w:val="0"/>
          <w:kern w:val="22"/>
        </w:rPr>
        <w:t>e and retain existing capacity:</w:t>
      </w:r>
      <w:r w:rsidRPr="00AA5D70">
        <w:rPr>
          <w:snapToGrid w:val="0"/>
          <w:kern w:val="22"/>
        </w:rPr>
        <w:t xml:space="preserve"> </w:t>
      </w:r>
      <w:r w:rsidR="00767D0C" w:rsidRPr="00AA5D70">
        <w:rPr>
          <w:snapToGrid w:val="0"/>
          <w:kern w:val="22"/>
        </w:rPr>
        <w:t>U</w:t>
      </w:r>
      <w:r w:rsidRPr="00AA5D70">
        <w:rPr>
          <w:snapToGrid w:val="0"/>
          <w:kern w:val="22"/>
        </w:rPr>
        <w:t>ndertake context-specific assessments and stocktaking processes to identify existing capacity, and the obstacles preventing its utili</w:t>
      </w:r>
      <w:r w:rsidR="00BA3567" w:rsidRPr="00AA5D70">
        <w:rPr>
          <w:snapToGrid w:val="0"/>
          <w:kern w:val="22"/>
        </w:rPr>
        <w:t>z</w:t>
      </w:r>
      <w:r w:rsidRPr="00AA5D70">
        <w:rPr>
          <w:snapToGrid w:val="0"/>
          <w:kern w:val="22"/>
        </w:rPr>
        <w:t>ation and retention. Likewise, identify and promote incentives that will help retain and fully utili</w:t>
      </w:r>
      <w:r w:rsidR="00054558" w:rsidRPr="00AA5D70">
        <w:rPr>
          <w:snapToGrid w:val="0"/>
          <w:kern w:val="22"/>
        </w:rPr>
        <w:t>z</w:t>
      </w:r>
      <w:r w:rsidRPr="00AA5D70">
        <w:rPr>
          <w:snapToGrid w:val="0"/>
          <w:kern w:val="22"/>
        </w:rPr>
        <w:t>e existing capacity and minimi</w:t>
      </w:r>
      <w:r w:rsidR="00054558" w:rsidRPr="00AA5D70">
        <w:rPr>
          <w:snapToGrid w:val="0"/>
          <w:kern w:val="22"/>
        </w:rPr>
        <w:t>z</w:t>
      </w:r>
      <w:r w:rsidRPr="00AA5D70">
        <w:rPr>
          <w:snapToGrid w:val="0"/>
          <w:kern w:val="22"/>
        </w:rPr>
        <w:t>e not only loss of expertise and institutional memory, but discontinuity of partnerships/relationships built</w:t>
      </w:r>
      <w:r w:rsidR="00F301CB" w:rsidRPr="00AA5D70">
        <w:rPr>
          <w:snapToGrid w:val="0"/>
          <w:kern w:val="22"/>
        </w:rPr>
        <w:t>;</w:t>
      </w:r>
      <w:r w:rsidRPr="00AA5D70">
        <w:rPr>
          <w:snapToGrid w:val="0"/>
          <w:kern w:val="22"/>
          <w:vertAlign w:val="superscript"/>
        </w:rPr>
        <w:footnoteReference w:id="59"/>
      </w:r>
      <w:bookmarkStart w:id="44" w:name="_Toc39228096"/>
    </w:p>
    <w:p w14:paraId="128EF9B4" w14:textId="0ED0477D"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Develop thematic and regional capacity development action plans and programmes</w:t>
      </w:r>
      <w:bookmarkEnd w:id="44"/>
      <w:r w:rsidRPr="00AA5D70">
        <w:rPr>
          <w:i/>
          <w:snapToGrid w:val="0"/>
          <w:kern w:val="22"/>
        </w:rPr>
        <w:t>:</w:t>
      </w:r>
      <w:r w:rsidRPr="00AA5D70">
        <w:rPr>
          <w:snapToGrid w:val="0"/>
          <w:kern w:val="22"/>
        </w:rPr>
        <w:t xml:space="preserve"> It is recommended that, following the adoption of the post-2020 </w:t>
      </w:r>
      <w:r w:rsidR="00FF7885" w:rsidRPr="00AA5D70">
        <w:rPr>
          <w:snapToGrid w:val="0"/>
          <w:kern w:val="22"/>
        </w:rPr>
        <w:t>global biodiversity framework</w:t>
      </w:r>
      <w:r w:rsidRPr="00AA5D70">
        <w:rPr>
          <w:snapToGrid w:val="0"/>
          <w:kern w:val="22"/>
        </w:rPr>
        <w:t>, thematic capacity development strategies or action plans be developed to support the achievement of the respective targets or groups of related targets. Stakeholders in a position to do so should, as appropriate, consider</w:t>
      </w:r>
      <w:r w:rsidRPr="00AA5D70" w:rsidDel="00502988">
        <w:rPr>
          <w:snapToGrid w:val="0"/>
          <w:kern w:val="22"/>
        </w:rPr>
        <w:t xml:space="preserve"> </w:t>
      </w:r>
      <w:r w:rsidRPr="00AA5D70">
        <w:rPr>
          <w:snapToGrid w:val="0"/>
          <w:kern w:val="22"/>
        </w:rPr>
        <w:lastRenderedPageBreak/>
        <w:t>developing dedicated regional, subregional, national and subnational capacity development action plans and programmes across multiple thematic sectors</w:t>
      </w:r>
      <w:r w:rsidR="00897325" w:rsidRPr="00AA5D70">
        <w:rPr>
          <w:snapToGrid w:val="0"/>
          <w:kern w:val="22"/>
        </w:rPr>
        <w:t>,</w:t>
      </w:r>
      <w:r w:rsidRPr="00AA5D70">
        <w:rPr>
          <w:snapToGrid w:val="0"/>
          <w:kern w:val="22"/>
        </w:rPr>
        <w:t xml:space="preserve"> with specific capacity targets and indicators</w:t>
      </w:r>
      <w:r w:rsidR="00F301CB" w:rsidRPr="00AA5D70">
        <w:rPr>
          <w:snapToGrid w:val="0"/>
          <w:kern w:val="22"/>
        </w:rPr>
        <w:t>;</w:t>
      </w:r>
      <w:bookmarkStart w:id="45" w:name="_Toc39228097"/>
    </w:p>
    <w:p w14:paraId="120E20F8" w14:textId="1CDF8E14"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Promote partnerships and networks for implementation</w:t>
      </w:r>
      <w:bookmarkEnd w:id="45"/>
      <w:r w:rsidRPr="00AA5D70">
        <w:rPr>
          <w:i/>
          <w:snapToGrid w:val="0"/>
          <w:kern w:val="22"/>
        </w:rPr>
        <w:t xml:space="preserve"> and learning:</w:t>
      </w:r>
      <w:r w:rsidRPr="00AA5D70">
        <w:rPr>
          <w:snapToGrid w:val="0"/>
          <w:kern w:val="22"/>
        </w:rPr>
        <w:t xml:space="preserve"> </w:t>
      </w:r>
      <w:r w:rsidR="00767D0C" w:rsidRPr="00AA5D70">
        <w:rPr>
          <w:snapToGrid w:val="0"/>
          <w:kern w:val="22"/>
        </w:rPr>
        <w:t>E</w:t>
      </w:r>
      <w:r w:rsidRPr="00AA5D70">
        <w:rPr>
          <w:snapToGrid w:val="0"/>
          <w:kern w:val="22"/>
        </w:rPr>
        <w:t>stablish and strengthen partnerships for effective mobilization of capacities and resources; the sharing of existing knowledge, expertise and technologies; and implementation of medium to long-term capacity development programmes on specific issues related to the post-2020 targets, in line with national priorities</w:t>
      </w:r>
      <w:r w:rsidR="00F301CB" w:rsidRPr="00AA5D70">
        <w:rPr>
          <w:snapToGrid w:val="0"/>
          <w:kern w:val="22"/>
        </w:rPr>
        <w:t>;</w:t>
      </w:r>
    </w:p>
    <w:p w14:paraId="431394DF" w14:textId="53906FD9"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Enhance synergies between capacity development efforts of relevant processes:</w:t>
      </w:r>
      <w:r w:rsidRPr="00AA5D70">
        <w:rPr>
          <w:snapToGrid w:val="0"/>
          <w:kern w:val="22"/>
        </w:rPr>
        <w:t xml:space="preserve"> </w:t>
      </w:r>
      <w:r w:rsidR="00767D0C" w:rsidRPr="00AA5D70">
        <w:rPr>
          <w:snapToGrid w:val="0"/>
          <w:kern w:val="22"/>
        </w:rPr>
        <w:t>E</w:t>
      </w:r>
      <w:r w:rsidRPr="00AA5D70">
        <w:rPr>
          <w:snapToGrid w:val="0"/>
          <w:kern w:val="22"/>
        </w:rPr>
        <w:t xml:space="preserve">nhance synergies with the capacity development initiatives of biodiversity-related conventions, the Rio </w:t>
      </w:r>
      <w:r w:rsidR="00767D0C" w:rsidRPr="00AA5D70">
        <w:rPr>
          <w:snapToGrid w:val="0"/>
          <w:kern w:val="22"/>
        </w:rPr>
        <w:t>c</w:t>
      </w:r>
      <w:r w:rsidRPr="00AA5D70">
        <w:rPr>
          <w:snapToGrid w:val="0"/>
          <w:kern w:val="22"/>
        </w:rPr>
        <w:t xml:space="preserve">onventions and the </w:t>
      </w:r>
      <w:r w:rsidR="007632B1" w:rsidRPr="00AA5D70">
        <w:rPr>
          <w:snapToGrid w:val="0"/>
          <w:kern w:val="22"/>
        </w:rPr>
        <w:t>Sustainable Development Goal</w:t>
      </w:r>
      <w:r w:rsidRPr="00AA5D70">
        <w:rPr>
          <w:snapToGrid w:val="0"/>
          <w:kern w:val="22"/>
        </w:rPr>
        <w:t xml:space="preserve"> implementation processes at the global, regional and national levels. At the national level, the focal points of relevant conventions</w:t>
      </w:r>
      <w:r w:rsidR="00E445FD" w:rsidRPr="00AA5D70">
        <w:rPr>
          <w:snapToGrid w:val="0"/>
          <w:kern w:val="22"/>
        </w:rPr>
        <w:t xml:space="preserve"> and</w:t>
      </w:r>
      <w:r w:rsidRPr="00AA5D70">
        <w:rPr>
          <w:snapToGrid w:val="0"/>
          <w:kern w:val="22"/>
        </w:rPr>
        <w:t xml:space="preserve"> processes, and </w:t>
      </w:r>
      <w:r w:rsidR="00021C2A" w:rsidRPr="00AA5D70">
        <w:rPr>
          <w:snapToGrid w:val="0"/>
          <w:kern w:val="22"/>
        </w:rPr>
        <w:t xml:space="preserve">of </w:t>
      </w:r>
      <w:r w:rsidRPr="00AA5D70">
        <w:rPr>
          <w:snapToGrid w:val="0"/>
          <w:kern w:val="22"/>
        </w:rPr>
        <w:t xml:space="preserve">funding mechanisms, such as the </w:t>
      </w:r>
      <w:r w:rsidR="00021C2A" w:rsidRPr="00AA5D70">
        <w:rPr>
          <w:snapToGrid w:val="0"/>
          <w:kern w:val="22"/>
        </w:rPr>
        <w:t xml:space="preserve">Global Environment Facility </w:t>
      </w:r>
      <w:r w:rsidRPr="00AA5D70">
        <w:rPr>
          <w:snapToGrid w:val="0"/>
          <w:kern w:val="22"/>
        </w:rPr>
        <w:t xml:space="preserve">and </w:t>
      </w:r>
      <w:r w:rsidR="00021C2A" w:rsidRPr="00AA5D70">
        <w:rPr>
          <w:snapToGrid w:val="0"/>
          <w:kern w:val="22"/>
        </w:rPr>
        <w:t xml:space="preserve">the </w:t>
      </w:r>
      <w:r w:rsidR="005A5473" w:rsidRPr="00AA5D70">
        <w:rPr>
          <w:snapToGrid w:val="0"/>
          <w:kern w:val="22"/>
        </w:rPr>
        <w:t>Green</w:t>
      </w:r>
      <w:r w:rsidRPr="00AA5D70">
        <w:rPr>
          <w:snapToGrid w:val="0"/>
          <w:kern w:val="22"/>
        </w:rPr>
        <w:t xml:space="preserve"> Climate Fund, should consider establishing a mechanism to foster integrated and/or coordinated planning, programming, monitoring and evaluation</w:t>
      </w:r>
      <w:r w:rsidR="00F301CB" w:rsidRPr="00AA5D70">
        <w:rPr>
          <w:snapToGrid w:val="0"/>
          <w:kern w:val="22"/>
        </w:rPr>
        <w:t>;</w:t>
      </w:r>
    </w:p>
    <w:p w14:paraId="6143137D" w14:textId="671FC1A1"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Promote South-South and triangular cooperation</w:t>
      </w:r>
      <w:r w:rsidRPr="00AA5D70">
        <w:rPr>
          <w:snapToGrid w:val="0"/>
          <w:kern w:val="22"/>
        </w:rPr>
        <w:t xml:space="preserve"> to support capacity development of developing countries that have common challenges and share similar characteristics (e.g. economic and social conditions and language). This could include sharing of knowledge, expertise, technologies and resources and establishment of regional nodes, networks or centres of excellence</w:t>
      </w:r>
      <w:r w:rsidR="00F301CB" w:rsidRPr="00AA5D70">
        <w:rPr>
          <w:snapToGrid w:val="0"/>
          <w:kern w:val="22"/>
        </w:rPr>
        <w:t>;</w:t>
      </w:r>
    </w:p>
    <w:p w14:paraId="654F9280" w14:textId="5FCD23A1"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Engage the private sector:</w:t>
      </w:r>
      <w:r w:rsidRPr="00AA5D70">
        <w:rPr>
          <w:snapToGrid w:val="0"/>
          <w:kern w:val="22"/>
        </w:rPr>
        <w:t xml:space="preserve"> </w:t>
      </w:r>
      <w:r w:rsidR="002223BA" w:rsidRPr="00AA5D70">
        <w:rPr>
          <w:snapToGrid w:val="0"/>
          <w:kern w:val="22"/>
        </w:rPr>
        <w:t>E</w:t>
      </w:r>
      <w:r w:rsidRPr="00AA5D70">
        <w:rPr>
          <w:snapToGrid w:val="0"/>
          <w:kern w:val="22"/>
          <w:szCs w:val="22"/>
        </w:rPr>
        <w:t>ngage</w:t>
      </w:r>
      <w:r w:rsidRPr="00AA5D70">
        <w:rPr>
          <w:snapToGrid w:val="0"/>
          <w:kern w:val="22"/>
        </w:rPr>
        <w:t xml:space="preserve"> the private sector, proactively and as appropriate, in the development of national capacities</w:t>
      </w:r>
      <w:r w:rsidR="00606AE6" w:rsidRPr="00AA5D70">
        <w:rPr>
          <w:snapToGrid w:val="0"/>
          <w:kern w:val="22"/>
          <w:szCs w:val="22"/>
        </w:rPr>
        <w:t>,</w:t>
      </w:r>
      <w:r w:rsidRPr="00AA5D70">
        <w:rPr>
          <w:snapToGrid w:val="0"/>
          <w:kern w:val="22"/>
        </w:rPr>
        <w:t xml:space="preserve"> as many technical and financial resources and relevant expertise and technologies lie in the hands of private entities. In doing so</w:t>
      </w:r>
      <w:r w:rsidR="00064203" w:rsidRPr="00AA5D70">
        <w:rPr>
          <w:snapToGrid w:val="0"/>
          <w:kern w:val="22"/>
          <w:szCs w:val="22"/>
        </w:rPr>
        <w:t>,</w:t>
      </w:r>
      <w:r w:rsidRPr="00AA5D70">
        <w:rPr>
          <w:snapToGrid w:val="0"/>
          <w:kern w:val="22"/>
        </w:rPr>
        <w:t xml:space="preserve"> ensure transparency and accountability. Also strengthen the capacity of small and medium enterprises to address biodiversity-related issues</w:t>
      </w:r>
      <w:r w:rsidR="00F301CB" w:rsidRPr="00AA5D70">
        <w:rPr>
          <w:snapToGrid w:val="0"/>
          <w:kern w:val="22"/>
          <w:szCs w:val="22"/>
        </w:rPr>
        <w:t>;</w:t>
      </w:r>
      <w:bookmarkStart w:id="46" w:name="_Toc39228098"/>
    </w:p>
    <w:p w14:paraId="38B42E83" w14:textId="3B962B05" w:rsidR="004A3E7E" w:rsidRPr="00AA5D70" w:rsidRDefault="004A3E7E" w:rsidP="00AA5D70">
      <w:pPr>
        <w:pStyle w:val="ListParagraph"/>
        <w:numPr>
          <w:ilvl w:val="0"/>
          <w:numId w:val="8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i/>
          <w:snapToGrid w:val="0"/>
          <w:kern w:val="22"/>
        </w:rPr>
        <w:t xml:space="preserve">Strengthen </w:t>
      </w:r>
      <w:bookmarkEnd w:id="46"/>
      <w:r w:rsidRPr="00AA5D70">
        <w:rPr>
          <w:i/>
          <w:snapToGrid w:val="0"/>
          <w:kern w:val="22"/>
        </w:rPr>
        <w:t>the monitoring and evaluation of capacity development interventions:</w:t>
      </w:r>
      <w:r w:rsidRPr="00AA5D70">
        <w:rPr>
          <w:snapToGrid w:val="0"/>
          <w:kern w:val="22"/>
        </w:rPr>
        <w:t xml:space="preserve"> </w:t>
      </w:r>
      <w:r w:rsidR="002223BA" w:rsidRPr="00AA5D70">
        <w:rPr>
          <w:snapToGrid w:val="0"/>
          <w:kern w:val="22"/>
        </w:rPr>
        <w:t>D</w:t>
      </w:r>
      <w:r w:rsidRPr="00AA5D70">
        <w:rPr>
          <w:snapToGrid w:val="0"/>
          <w:kern w:val="22"/>
        </w:rPr>
        <w:t>evelop and implement adaptive management systems for monitoring and evaluation of biodiversity capacity development efforts</w:t>
      </w:r>
      <w:r w:rsidR="006478B3" w:rsidRPr="00AA5D70">
        <w:rPr>
          <w:snapToGrid w:val="0"/>
          <w:kern w:val="22"/>
        </w:rPr>
        <w:t>,</w:t>
      </w:r>
      <w:r w:rsidRPr="00AA5D70">
        <w:rPr>
          <w:snapToGrid w:val="0"/>
          <w:kern w:val="22"/>
        </w:rPr>
        <w:t xml:space="preserve"> to assess </w:t>
      </w:r>
      <w:r w:rsidR="006478B3" w:rsidRPr="00AA5D70">
        <w:rPr>
          <w:snapToGrid w:val="0"/>
          <w:kern w:val="22"/>
        </w:rPr>
        <w:t>whether</w:t>
      </w:r>
      <w:r w:rsidRPr="00AA5D70">
        <w:rPr>
          <w:snapToGrid w:val="0"/>
          <w:kern w:val="22"/>
        </w:rPr>
        <w:t xml:space="preserve"> the intended capacity results are achieved in an impactful and sustainable manner, to identify and correct mistakes, and to capture and share good practices and lessons.</w:t>
      </w:r>
    </w:p>
    <w:p w14:paraId="736934A6" w14:textId="249768DB" w:rsidR="004A3E7E" w:rsidRPr="00AA5D70" w:rsidRDefault="004A3E7E" w:rsidP="00AA5D70">
      <w:pPr>
        <w:pStyle w:val="Heading1"/>
        <w:suppressLineNumbers/>
        <w:tabs>
          <w:tab w:val="clear" w:pos="720"/>
          <w:tab w:val="left" w:pos="426"/>
        </w:tabs>
        <w:suppressAutoHyphens/>
        <w:kinsoku w:val="0"/>
        <w:overflowPunct w:val="0"/>
        <w:autoSpaceDE w:val="0"/>
        <w:autoSpaceDN w:val="0"/>
        <w:adjustRightInd w:val="0"/>
        <w:snapToGrid w:val="0"/>
        <w:spacing w:before="120"/>
        <w:rPr>
          <w:bCs/>
          <w:snapToGrid w:val="0"/>
          <w:kern w:val="22"/>
        </w:rPr>
      </w:pPr>
      <w:bookmarkStart w:id="47" w:name="_Toc57214902"/>
      <w:r w:rsidRPr="00AA5D70">
        <w:rPr>
          <w:bCs/>
          <w:snapToGrid w:val="0"/>
          <w:kern w:val="22"/>
        </w:rPr>
        <w:t xml:space="preserve">V. </w:t>
      </w:r>
      <w:r w:rsidRPr="00AA5D70">
        <w:rPr>
          <w:bCs/>
          <w:snapToGrid w:val="0"/>
          <w:kern w:val="22"/>
        </w:rPr>
        <w:tab/>
      </w:r>
      <w:r w:rsidR="00E37046" w:rsidRPr="00AA5D70">
        <w:rPr>
          <w:bCs/>
          <w:snapToGrid w:val="0"/>
          <w:kern w:val="22"/>
        </w:rPr>
        <w:t>Mechanisms for implementation</w:t>
      </w:r>
      <w:bookmarkEnd w:id="47"/>
    </w:p>
    <w:p w14:paraId="2615B513" w14:textId="317DF17D" w:rsidR="004A3E7E" w:rsidRPr="00AA5D70" w:rsidRDefault="004A3E7E" w:rsidP="00AA5D70">
      <w:pPr>
        <w:pStyle w:val="Heading2"/>
        <w:numPr>
          <w:ilvl w:val="0"/>
          <w:numId w:val="59"/>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rPr>
      </w:pPr>
      <w:bookmarkStart w:id="48" w:name="_Toc57214903"/>
      <w:r w:rsidRPr="00AA5D70">
        <w:rPr>
          <w:snapToGrid w:val="0"/>
          <w:kern w:val="22"/>
        </w:rPr>
        <w:t xml:space="preserve">Governance and </w:t>
      </w:r>
      <w:r w:rsidR="00E37046" w:rsidRPr="00AA5D70">
        <w:rPr>
          <w:snapToGrid w:val="0"/>
          <w:kern w:val="22"/>
        </w:rPr>
        <w:t>c</w:t>
      </w:r>
      <w:r w:rsidRPr="00AA5D70">
        <w:rPr>
          <w:snapToGrid w:val="0"/>
          <w:kern w:val="22"/>
        </w:rPr>
        <w:t xml:space="preserve">oordination </w:t>
      </w:r>
      <w:r w:rsidR="00E37046" w:rsidRPr="00AA5D70">
        <w:rPr>
          <w:snapToGrid w:val="0"/>
          <w:kern w:val="22"/>
        </w:rPr>
        <w:t>m</w:t>
      </w:r>
      <w:r w:rsidRPr="00AA5D70">
        <w:rPr>
          <w:snapToGrid w:val="0"/>
          <w:kern w:val="22"/>
        </w:rPr>
        <w:t>echanisms</w:t>
      </w:r>
      <w:bookmarkEnd w:id="48"/>
    </w:p>
    <w:p w14:paraId="29D05B9E" w14:textId="13006BF6"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There is a need for mechanisms that could provide strategic leadership and foster coordinated capacity development action for biodiversity at the global, regional and national levels. Specifically, the roles of such mechanisms may include</w:t>
      </w:r>
      <w:r w:rsidR="009D6238" w:rsidRPr="00D16AC1">
        <w:rPr>
          <w:kern w:val="22"/>
        </w:rPr>
        <w:t>:</w:t>
      </w:r>
      <w:r w:rsidR="000E2145" w:rsidRPr="00AA5D70">
        <w:rPr>
          <w:kern w:val="22"/>
        </w:rPr>
        <w:t xml:space="preserve"> </w:t>
      </w:r>
      <w:r w:rsidRPr="00AA5D70">
        <w:rPr>
          <w:kern w:val="22"/>
        </w:rPr>
        <w:t>(</w:t>
      </w:r>
      <w:r w:rsidR="00757B5C" w:rsidRPr="00AA5D70">
        <w:rPr>
          <w:kern w:val="22"/>
        </w:rPr>
        <w:t>a</w:t>
      </w:r>
      <w:r w:rsidRPr="00AA5D70">
        <w:rPr>
          <w:kern w:val="22"/>
        </w:rPr>
        <w:t xml:space="preserve">) </w:t>
      </w:r>
      <w:r w:rsidR="00F05379" w:rsidRPr="00AA5D70">
        <w:rPr>
          <w:kern w:val="22"/>
        </w:rPr>
        <w:t>e</w:t>
      </w:r>
      <w:r w:rsidRPr="00AA5D70">
        <w:rPr>
          <w:kern w:val="22"/>
        </w:rPr>
        <w:t>nhanc</w:t>
      </w:r>
      <w:r w:rsidR="009D6238" w:rsidRPr="00D16AC1">
        <w:rPr>
          <w:kern w:val="22"/>
        </w:rPr>
        <w:t>ing</w:t>
      </w:r>
      <w:r w:rsidRPr="00AA5D70">
        <w:rPr>
          <w:kern w:val="22"/>
        </w:rPr>
        <w:t xml:space="preserve"> synergy, </w:t>
      </w:r>
      <w:r w:rsidR="009D6238" w:rsidRPr="00D16AC1">
        <w:rPr>
          <w:kern w:val="22"/>
        </w:rPr>
        <w:t>by</w:t>
      </w:r>
      <w:r w:rsidR="009D6238" w:rsidRPr="00AA5D70">
        <w:rPr>
          <w:kern w:val="22"/>
        </w:rPr>
        <w:t xml:space="preserve"> </w:t>
      </w:r>
      <w:r w:rsidRPr="00AA5D70">
        <w:rPr>
          <w:kern w:val="22"/>
        </w:rPr>
        <w:t>facilitating inter-agency coordination and cooperation among relevant organi</w:t>
      </w:r>
      <w:r w:rsidR="00BA3567" w:rsidRPr="00AA5D70">
        <w:rPr>
          <w:kern w:val="22"/>
        </w:rPr>
        <w:t>z</w:t>
      </w:r>
      <w:r w:rsidRPr="00AA5D70">
        <w:rPr>
          <w:kern w:val="22"/>
        </w:rPr>
        <w:t>ations, initiatives, and funding agencies</w:t>
      </w:r>
      <w:r w:rsidR="00F05379" w:rsidRPr="00AA5D70">
        <w:rPr>
          <w:kern w:val="22"/>
        </w:rPr>
        <w:t>;</w:t>
      </w:r>
      <w:r w:rsidRPr="00AA5D70">
        <w:rPr>
          <w:kern w:val="22"/>
        </w:rPr>
        <w:t xml:space="preserve"> (</w:t>
      </w:r>
      <w:r w:rsidR="000E2145" w:rsidRPr="00AA5D70">
        <w:rPr>
          <w:kern w:val="22"/>
        </w:rPr>
        <w:t>b</w:t>
      </w:r>
      <w:r w:rsidRPr="00AA5D70">
        <w:rPr>
          <w:kern w:val="22"/>
        </w:rPr>
        <w:t>)</w:t>
      </w:r>
      <w:r w:rsidR="00F05379" w:rsidRPr="00AA5D70">
        <w:rPr>
          <w:kern w:val="22"/>
        </w:rPr>
        <w:t> p</w:t>
      </w:r>
      <w:r w:rsidRPr="00AA5D70">
        <w:rPr>
          <w:kern w:val="22"/>
        </w:rPr>
        <w:t>rovid</w:t>
      </w:r>
      <w:r w:rsidR="009D6238" w:rsidRPr="00D16AC1">
        <w:rPr>
          <w:kern w:val="22"/>
        </w:rPr>
        <w:t>ing</w:t>
      </w:r>
      <w:r w:rsidRPr="00AA5D70">
        <w:rPr>
          <w:kern w:val="22"/>
        </w:rPr>
        <w:t xml:space="preserve"> strategic guidance, advice and support to government and non-government actors; (</w:t>
      </w:r>
      <w:r w:rsidR="00F05379" w:rsidRPr="00AA5D70">
        <w:rPr>
          <w:kern w:val="22"/>
        </w:rPr>
        <w:t>c</w:t>
      </w:r>
      <w:r w:rsidRPr="00AA5D70">
        <w:rPr>
          <w:kern w:val="22"/>
        </w:rPr>
        <w:t>)</w:t>
      </w:r>
      <w:r w:rsidR="00F05379" w:rsidRPr="00AA5D70">
        <w:rPr>
          <w:kern w:val="22"/>
        </w:rPr>
        <w:t> p</w:t>
      </w:r>
      <w:r w:rsidRPr="00AA5D70">
        <w:rPr>
          <w:kern w:val="22"/>
        </w:rPr>
        <w:t>romot</w:t>
      </w:r>
      <w:r w:rsidR="009D6238" w:rsidRPr="00D16AC1">
        <w:rPr>
          <w:kern w:val="22"/>
        </w:rPr>
        <w:t>ing</w:t>
      </w:r>
      <w:r w:rsidRPr="00AA5D70">
        <w:rPr>
          <w:kern w:val="22"/>
        </w:rPr>
        <w:t xml:space="preserve"> strategic and coherent approaches to capacity development; (</w:t>
      </w:r>
      <w:r w:rsidR="00F05379" w:rsidRPr="00AA5D70">
        <w:rPr>
          <w:kern w:val="22"/>
        </w:rPr>
        <w:t>d</w:t>
      </w:r>
      <w:r w:rsidRPr="00AA5D70">
        <w:rPr>
          <w:kern w:val="22"/>
        </w:rPr>
        <w:t>)</w:t>
      </w:r>
      <w:r w:rsidR="00F05379" w:rsidRPr="00AA5D70">
        <w:rPr>
          <w:kern w:val="22"/>
        </w:rPr>
        <w:t> f</w:t>
      </w:r>
      <w:r w:rsidRPr="00AA5D70">
        <w:rPr>
          <w:kern w:val="22"/>
        </w:rPr>
        <w:t>oster</w:t>
      </w:r>
      <w:r w:rsidR="009D6238" w:rsidRPr="00D16AC1">
        <w:rPr>
          <w:kern w:val="22"/>
        </w:rPr>
        <w:t>ing</w:t>
      </w:r>
      <w:r w:rsidRPr="00AA5D70">
        <w:rPr>
          <w:kern w:val="22"/>
        </w:rPr>
        <w:t xml:space="preserve"> partnerships and multi-stakeholder initiatives</w:t>
      </w:r>
      <w:r w:rsidR="00F05379" w:rsidRPr="00AA5D70">
        <w:rPr>
          <w:kern w:val="22"/>
        </w:rPr>
        <w:t>;</w:t>
      </w:r>
      <w:r w:rsidRPr="00AA5D70">
        <w:rPr>
          <w:kern w:val="22"/>
        </w:rPr>
        <w:t xml:space="preserve"> (</w:t>
      </w:r>
      <w:r w:rsidR="00F05379" w:rsidRPr="00AA5D70">
        <w:rPr>
          <w:kern w:val="22"/>
        </w:rPr>
        <w:t>e</w:t>
      </w:r>
      <w:r w:rsidRPr="00AA5D70">
        <w:rPr>
          <w:kern w:val="22"/>
        </w:rPr>
        <w:t>)</w:t>
      </w:r>
      <w:r w:rsidR="00F05379" w:rsidRPr="00AA5D70">
        <w:rPr>
          <w:kern w:val="22"/>
        </w:rPr>
        <w:t> i</w:t>
      </w:r>
      <w:r w:rsidRPr="00AA5D70">
        <w:rPr>
          <w:kern w:val="22"/>
        </w:rPr>
        <w:t>dentify</w:t>
      </w:r>
      <w:r w:rsidR="009D6238" w:rsidRPr="00D16AC1">
        <w:rPr>
          <w:kern w:val="22"/>
        </w:rPr>
        <w:t>ing</w:t>
      </w:r>
      <w:r w:rsidRPr="00AA5D70">
        <w:rPr>
          <w:kern w:val="22"/>
        </w:rPr>
        <w:t xml:space="preserve"> opportunities to mobilize additional resources for biodiversity capacity development efforts</w:t>
      </w:r>
      <w:bookmarkStart w:id="49" w:name="_Hlk50342860"/>
      <w:r w:rsidRPr="00AA5D70">
        <w:rPr>
          <w:kern w:val="22"/>
        </w:rPr>
        <w:t>; and (</w:t>
      </w:r>
      <w:r w:rsidR="00F05379" w:rsidRPr="00AA5D70">
        <w:rPr>
          <w:kern w:val="22"/>
        </w:rPr>
        <w:t>f</w:t>
      </w:r>
      <w:r w:rsidRPr="00AA5D70">
        <w:rPr>
          <w:kern w:val="22"/>
        </w:rPr>
        <w:t>)</w:t>
      </w:r>
      <w:bookmarkStart w:id="50" w:name="_Hlk50348775"/>
      <w:r w:rsidR="00F05379" w:rsidRPr="00AA5D70">
        <w:rPr>
          <w:kern w:val="22"/>
        </w:rPr>
        <w:t> p</w:t>
      </w:r>
      <w:r w:rsidRPr="00AA5D70">
        <w:rPr>
          <w:kern w:val="22"/>
        </w:rPr>
        <w:t>ropos</w:t>
      </w:r>
      <w:r w:rsidR="005A7B44" w:rsidRPr="00D16AC1">
        <w:rPr>
          <w:kern w:val="22"/>
        </w:rPr>
        <w:t>ing</w:t>
      </w:r>
      <w:r w:rsidRPr="00AA5D70">
        <w:rPr>
          <w:kern w:val="22"/>
        </w:rPr>
        <w:t xml:space="preserve"> innovative ideas to improve and advance </w:t>
      </w:r>
      <w:r w:rsidR="005A7B44" w:rsidRPr="00D16AC1">
        <w:rPr>
          <w:kern w:val="22"/>
        </w:rPr>
        <w:t xml:space="preserve">the </w:t>
      </w:r>
      <w:r w:rsidRPr="00AA5D70">
        <w:rPr>
          <w:kern w:val="22"/>
        </w:rPr>
        <w:t>implementation of the strategic framework</w:t>
      </w:r>
      <w:bookmarkEnd w:id="50"/>
      <w:r w:rsidRPr="00AA5D70">
        <w:rPr>
          <w:kern w:val="22"/>
        </w:rPr>
        <w:t>.</w:t>
      </w:r>
      <w:bookmarkEnd w:id="49"/>
    </w:p>
    <w:p w14:paraId="39577B57" w14:textId="0782A978"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At the global level, the above roles could be accomplished through:</w:t>
      </w:r>
    </w:p>
    <w:p w14:paraId="6C238242" w14:textId="0420ED85" w:rsidR="004A3E7E" w:rsidRPr="00AA5D70" w:rsidRDefault="005A7B44" w:rsidP="00AA5D70">
      <w:pPr>
        <w:pStyle w:val="Para1"/>
        <w:numPr>
          <w:ilvl w:val="1"/>
          <w:numId w:val="10"/>
        </w:numPr>
        <w:suppressLineNumbers/>
        <w:suppressAutoHyphens/>
        <w:kinsoku w:val="0"/>
        <w:overflowPunct w:val="0"/>
        <w:autoSpaceDE w:val="0"/>
        <w:autoSpaceDN w:val="0"/>
        <w:adjustRightInd w:val="0"/>
        <w:snapToGrid w:val="0"/>
        <w:rPr>
          <w:kern w:val="22"/>
          <w:szCs w:val="22"/>
        </w:rPr>
      </w:pPr>
      <w:bookmarkStart w:id="51" w:name="_Hlk50335725"/>
      <w:r w:rsidRPr="00D16AC1">
        <w:rPr>
          <w:kern w:val="22"/>
          <w:szCs w:val="22"/>
        </w:rPr>
        <w:t>The e</w:t>
      </w:r>
      <w:r w:rsidR="004A3E7E" w:rsidRPr="00AA5D70">
        <w:rPr>
          <w:kern w:val="22"/>
          <w:szCs w:val="22"/>
        </w:rPr>
        <w:t>stablishment of a new high-level biodiversity capacity development committee or a broader inter-agency implementation support committee</w:t>
      </w:r>
      <w:r w:rsidR="00F0386C" w:rsidRPr="00AA5D70">
        <w:rPr>
          <w:kern w:val="22"/>
          <w:szCs w:val="22"/>
        </w:rPr>
        <w:t>;</w:t>
      </w:r>
      <w:r w:rsidR="004A3E7E" w:rsidRPr="00AA5D70">
        <w:rPr>
          <w:rStyle w:val="FootnoteReference"/>
          <w:kern w:val="22"/>
          <w:szCs w:val="22"/>
        </w:rPr>
        <w:footnoteReference w:id="60"/>
      </w:r>
    </w:p>
    <w:p w14:paraId="29490D06" w14:textId="60DB1EB9" w:rsidR="004A3E7E" w:rsidRPr="00AA5D70" w:rsidRDefault="00AA2B6D" w:rsidP="00AA5D70">
      <w:pPr>
        <w:pStyle w:val="Para1"/>
        <w:numPr>
          <w:ilvl w:val="1"/>
          <w:numId w:val="10"/>
        </w:numPr>
        <w:suppressLineNumbers/>
        <w:suppressAutoHyphens/>
        <w:kinsoku w:val="0"/>
        <w:overflowPunct w:val="0"/>
        <w:autoSpaceDE w:val="0"/>
        <w:autoSpaceDN w:val="0"/>
        <w:adjustRightInd w:val="0"/>
        <w:snapToGrid w:val="0"/>
        <w:rPr>
          <w:kern w:val="22"/>
          <w:szCs w:val="22"/>
        </w:rPr>
      </w:pPr>
      <w:bookmarkStart w:id="53" w:name="_Hlk50335767"/>
      <w:bookmarkEnd w:id="51"/>
      <w:r w:rsidRPr="00D16AC1">
        <w:rPr>
          <w:kern w:val="22"/>
          <w:szCs w:val="22"/>
        </w:rPr>
        <w:t>The d</w:t>
      </w:r>
      <w:r w:rsidR="004A3E7E" w:rsidRPr="00AA5D70">
        <w:rPr>
          <w:kern w:val="22"/>
          <w:szCs w:val="22"/>
        </w:rPr>
        <w:t>esignation of a biodiversity capacity development task team under existing mechanisms such as the United Nations Environment Management Group (EMG) or the Liaison Group of Biodiversity-related Conventions (BLG)</w:t>
      </w:r>
      <w:r w:rsidR="00F0386C" w:rsidRPr="00AA5D70">
        <w:rPr>
          <w:kern w:val="22"/>
          <w:szCs w:val="22"/>
        </w:rPr>
        <w:t>.</w:t>
      </w:r>
      <w:r w:rsidR="004A3E7E" w:rsidRPr="00AA5D70">
        <w:rPr>
          <w:kern w:val="22"/>
          <w:szCs w:val="22"/>
          <w:vertAlign w:val="superscript"/>
        </w:rPr>
        <w:footnoteReference w:id="61"/>
      </w:r>
    </w:p>
    <w:p w14:paraId="72855A25" w14:textId="513676DF"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bookmarkStart w:id="54" w:name="_Hlk50335824"/>
      <w:bookmarkEnd w:id="53"/>
      <w:r w:rsidRPr="00AA5D70">
        <w:rPr>
          <w:kern w:val="22"/>
        </w:rPr>
        <w:lastRenderedPageBreak/>
        <w:t xml:space="preserve">At the regional level, biodiversity capacity development coordination and coherence could be achieved with the support of the United Nations </w:t>
      </w:r>
      <w:r w:rsidR="00DC4D7E" w:rsidRPr="00AA5D70">
        <w:rPr>
          <w:kern w:val="22"/>
        </w:rPr>
        <w:t>r</w:t>
      </w:r>
      <w:r w:rsidRPr="00AA5D70">
        <w:rPr>
          <w:kern w:val="22"/>
        </w:rPr>
        <w:t xml:space="preserve">egional </w:t>
      </w:r>
      <w:r w:rsidR="00DC4D7E" w:rsidRPr="00AA5D70">
        <w:rPr>
          <w:kern w:val="22"/>
        </w:rPr>
        <w:t>e</w:t>
      </w:r>
      <w:r w:rsidRPr="00AA5D70">
        <w:rPr>
          <w:kern w:val="22"/>
        </w:rPr>
        <w:t xml:space="preserve">conomic </w:t>
      </w:r>
      <w:r w:rsidR="00DC4D7E" w:rsidRPr="00AA5D70">
        <w:rPr>
          <w:kern w:val="22"/>
        </w:rPr>
        <w:t>c</w:t>
      </w:r>
      <w:r w:rsidRPr="00AA5D70">
        <w:rPr>
          <w:kern w:val="22"/>
        </w:rPr>
        <w:t>ommissions and the regional teams of the United Nations Sustainable Development Group (UNSDG</w:t>
      </w:r>
      <w:bookmarkEnd w:id="54"/>
      <w:r w:rsidRPr="00AA5D70">
        <w:rPr>
          <w:kern w:val="22"/>
        </w:rPr>
        <w:t>);</w:t>
      </w:r>
    </w:p>
    <w:p w14:paraId="00E03BC6" w14:textId="51F7CAD4"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 xml:space="preserve">At the country level, coordination of biodiversity capacity development could be done through the national biodiversity committees or similar mechanisms and facilitated through the United Nations </w:t>
      </w:r>
      <w:r w:rsidR="00DF2E59" w:rsidRPr="00AA5D70">
        <w:rPr>
          <w:kern w:val="22"/>
        </w:rPr>
        <w:t>c</w:t>
      </w:r>
      <w:r w:rsidRPr="00AA5D70">
        <w:rPr>
          <w:kern w:val="22"/>
        </w:rPr>
        <w:t xml:space="preserve">ountry </w:t>
      </w:r>
      <w:r w:rsidR="00DF2E59" w:rsidRPr="00AA5D70">
        <w:rPr>
          <w:kern w:val="22"/>
        </w:rPr>
        <w:t>t</w:t>
      </w:r>
      <w:r w:rsidRPr="00AA5D70">
        <w:rPr>
          <w:kern w:val="22"/>
        </w:rPr>
        <w:t>eams, within the United Nations Sustainable Development Cooperation Framework for the country.</w:t>
      </w:r>
    </w:p>
    <w:p w14:paraId="3561D7FF" w14:textId="77777777" w:rsidR="004A3E7E" w:rsidRPr="00AA5D70" w:rsidRDefault="004A3E7E" w:rsidP="00AA5D70">
      <w:pPr>
        <w:pStyle w:val="Para1"/>
        <w:numPr>
          <w:ilvl w:val="0"/>
          <w:numId w:val="54"/>
        </w:numPr>
        <w:suppressLineNumbers/>
        <w:tabs>
          <w:tab w:val="clear" w:pos="360"/>
        </w:tabs>
        <w:suppressAutoHyphens/>
        <w:kinsoku w:val="0"/>
        <w:overflowPunct w:val="0"/>
        <w:autoSpaceDE w:val="0"/>
        <w:autoSpaceDN w:val="0"/>
        <w:adjustRightInd w:val="0"/>
        <w:snapToGrid w:val="0"/>
        <w:rPr>
          <w:kern w:val="22"/>
        </w:rPr>
      </w:pPr>
      <w:r w:rsidRPr="00AA5D70">
        <w:rPr>
          <w:kern w:val="22"/>
        </w:rPr>
        <w:t>In addition, an informal biodiversity capacity development forum could be established and convened periodically on a rotational basis by different biodiversity-related conventions to bring together government and non-government actors to network and share experiences, good practices and lessons learned.</w:t>
      </w:r>
    </w:p>
    <w:p w14:paraId="05A82CE8" w14:textId="77777777" w:rsidR="004A3E7E" w:rsidRPr="00AA5D70" w:rsidRDefault="004A3E7E" w:rsidP="00AA5D70">
      <w:pPr>
        <w:pStyle w:val="Heading2"/>
        <w:keepNext w:val="0"/>
        <w:numPr>
          <w:ilvl w:val="0"/>
          <w:numId w:val="59"/>
        </w:numPr>
        <w:suppressLineNumbers/>
        <w:tabs>
          <w:tab w:val="clear" w:pos="720"/>
        </w:tabs>
        <w:suppressAutoHyphens/>
        <w:kinsoku w:val="0"/>
        <w:overflowPunct w:val="0"/>
        <w:autoSpaceDE w:val="0"/>
        <w:autoSpaceDN w:val="0"/>
        <w:adjustRightInd w:val="0"/>
        <w:snapToGrid w:val="0"/>
        <w:spacing w:before="0" w:after="0"/>
        <w:rPr>
          <w:snapToGrid w:val="0"/>
          <w:kern w:val="22"/>
        </w:rPr>
      </w:pPr>
      <w:bookmarkStart w:id="55" w:name="_Toc57214904"/>
      <w:r w:rsidRPr="00AA5D70">
        <w:rPr>
          <w:snapToGrid w:val="0"/>
          <w:kern w:val="22"/>
        </w:rPr>
        <w:t>Mutual supportiveness between various implementation strategies and processes</w:t>
      </w:r>
      <w:bookmarkEnd w:id="55"/>
    </w:p>
    <w:p w14:paraId="1FCF6214" w14:textId="28BC3936"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spacing w:val="-4"/>
          <w:kern w:val="22"/>
          <w:szCs w:val="22"/>
        </w:rPr>
      </w:pPr>
      <w:r w:rsidRPr="00AA5D70">
        <w:rPr>
          <w:spacing w:val="-4"/>
          <w:kern w:val="22"/>
          <w:szCs w:val="22"/>
        </w:rPr>
        <w:t>This long-term strategic framework should be synergi</w:t>
      </w:r>
      <w:r w:rsidR="00576760" w:rsidRPr="00AA5D70">
        <w:rPr>
          <w:spacing w:val="-4"/>
          <w:kern w:val="22"/>
          <w:szCs w:val="22"/>
        </w:rPr>
        <w:t>z</w:t>
      </w:r>
      <w:r w:rsidRPr="00AA5D70">
        <w:rPr>
          <w:spacing w:val="-4"/>
          <w:kern w:val="22"/>
          <w:szCs w:val="22"/>
        </w:rPr>
        <w:t xml:space="preserve">ed with the other means of implementation and enabling conditions for the post-2020 </w:t>
      </w:r>
      <w:r w:rsidR="00FF7885" w:rsidRPr="00AA5D70">
        <w:rPr>
          <w:spacing w:val="-4"/>
          <w:kern w:val="22"/>
        </w:rPr>
        <w:t>global biodiversity framework</w:t>
      </w:r>
      <w:r w:rsidRPr="00AA5D70">
        <w:rPr>
          <w:spacing w:val="-4"/>
          <w:kern w:val="22"/>
          <w:szCs w:val="22"/>
        </w:rPr>
        <w:t xml:space="preserve"> (including technical and scientific cooperation, technology transfer, knowledge management and resource mobilization), the long-term approach to mainstreaming biodiversity and with the mechanisms for reporting, assessment and review of implementation.</w:t>
      </w:r>
    </w:p>
    <w:p w14:paraId="71F249AB" w14:textId="77777777" w:rsidR="004A3E7E" w:rsidRPr="00AA5D70" w:rsidRDefault="004A3E7E" w:rsidP="00AA5D70">
      <w:pPr>
        <w:pStyle w:val="Heading2"/>
        <w:keepNext w:val="0"/>
        <w:numPr>
          <w:ilvl w:val="0"/>
          <w:numId w:val="59"/>
        </w:numPr>
        <w:suppressLineNumbers/>
        <w:tabs>
          <w:tab w:val="clear" w:pos="720"/>
        </w:tabs>
        <w:suppressAutoHyphens/>
        <w:kinsoku w:val="0"/>
        <w:overflowPunct w:val="0"/>
        <w:autoSpaceDE w:val="0"/>
        <w:autoSpaceDN w:val="0"/>
        <w:adjustRightInd w:val="0"/>
        <w:snapToGrid w:val="0"/>
        <w:spacing w:before="0" w:after="0"/>
        <w:rPr>
          <w:snapToGrid w:val="0"/>
          <w:kern w:val="22"/>
        </w:rPr>
      </w:pPr>
      <w:bookmarkStart w:id="56" w:name="_Toc57214905"/>
      <w:r w:rsidRPr="00AA5D70">
        <w:rPr>
          <w:snapToGrid w:val="0"/>
          <w:kern w:val="22"/>
        </w:rPr>
        <w:t>Domestic resource mobilization for capacity development</w:t>
      </w:r>
      <w:bookmarkEnd w:id="56"/>
    </w:p>
    <w:p w14:paraId="77010BFF" w14:textId="337F3C05"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szCs w:val="22"/>
        </w:rPr>
      </w:pPr>
      <w:r w:rsidRPr="00AA5D70">
        <w:rPr>
          <w:kern w:val="22"/>
          <w:szCs w:val="22"/>
        </w:rPr>
        <w:t xml:space="preserve">There is a need to mobilize domestic financial resources to support national capacity development and help create an enabling environment. The </w:t>
      </w:r>
      <w:r w:rsidR="00753DCE" w:rsidRPr="00AA5D70">
        <w:rPr>
          <w:kern w:val="22"/>
          <w:szCs w:val="22"/>
        </w:rPr>
        <w:t xml:space="preserve">Biodiversity Finance Initiative </w:t>
      </w:r>
      <w:r w:rsidR="007762AA" w:rsidRPr="00D16AC1">
        <w:rPr>
          <w:kern w:val="22"/>
          <w:szCs w:val="22"/>
        </w:rPr>
        <w:t>of the United Nations Development Programme</w:t>
      </w:r>
      <w:r w:rsidR="007762AA" w:rsidRPr="00AA5D70">
        <w:rPr>
          <w:kern w:val="22"/>
          <w:szCs w:val="22"/>
        </w:rPr>
        <w:t xml:space="preserve"> </w:t>
      </w:r>
      <w:r w:rsidR="00753DCE" w:rsidRPr="00AA5D70">
        <w:rPr>
          <w:kern w:val="22"/>
          <w:szCs w:val="22"/>
        </w:rPr>
        <w:t>(</w:t>
      </w:r>
      <w:r w:rsidRPr="00AA5D70">
        <w:rPr>
          <w:kern w:val="22"/>
          <w:szCs w:val="22"/>
        </w:rPr>
        <w:t>BIOFIN</w:t>
      </w:r>
      <w:r w:rsidR="00753DCE" w:rsidRPr="00AA5D70">
        <w:rPr>
          <w:kern w:val="22"/>
          <w:szCs w:val="22"/>
        </w:rPr>
        <w:t>)</w:t>
      </w:r>
      <w:r w:rsidRPr="00AA5D70">
        <w:rPr>
          <w:kern w:val="22"/>
          <w:szCs w:val="22"/>
        </w:rPr>
        <w:t xml:space="preserve"> could support countries to include options to mobilize resources for capacity development in their national resource mobilization strategies.</w:t>
      </w:r>
    </w:p>
    <w:p w14:paraId="7E361E9C" w14:textId="77777777" w:rsidR="004A3E7E" w:rsidRPr="00AA5D70" w:rsidRDefault="004A3E7E" w:rsidP="00AA5D70">
      <w:pPr>
        <w:pStyle w:val="Heading2"/>
        <w:keepNext w:val="0"/>
        <w:numPr>
          <w:ilvl w:val="0"/>
          <w:numId w:val="59"/>
        </w:numPr>
        <w:suppressLineNumbers/>
        <w:tabs>
          <w:tab w:val="clear" w:pos="720"/>
        </w:tabs>
        <w:suppressAutoHyphens/>
        <w:kinsoku w:val="0"/>
        <w:overflowPunct w:val="0"/>
        <w:autoSpaceDE w:val="0"/>
        <w:autoSpaceDN w:val="0"/>
        <w:adjustRightInd w:val="0"/>
        <w:snapToGrid w:val="0"/>
        <w:spacing w:before="0" w:after="0"/>
        <w:rPr>
          <w:snapToGrid w:val="0"/>
          <w:kern w:val="22"/>
        </w:rPr>
      </w:pPr>
      <w:bookmarkStart w:id="57" w:name="_Toc57214906"/>
      <w:r w:rsidRPr="00AA5D70">
        <w:rPr>
          <w:snapToGrid w:val="0"/>
          <w:kern w:val="22"/>
        </w:rPr>
        <w:t>Regional and global support networks</w:t>
      </w:r>
      <w:bookmarkEnd w:id="57"/>
    </w:p>
    <w:p w14:paraId="7D4132F1" w14:textId="0526A783"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szCs w:val="22"/>
        </w:rPr>
      </w:pPr>
      <w:r w:rsidRPr="00AA5D70">
        <w:rPr>
          <w:kern w:val="22"/>
          <w:szCs w:val="22"/>
        </w:rPr>
        <w:t>Regional and global support networks should be strengthened, or established to provide, upon request, capacity development support to national government institutions, subnational</w:t>
      </w:r>
      <w:r w:rsidR="008A350A" w:rsidRPr="00AA5D70">
        <w:rPr>
          <w:kern w:val="22"/>
          <w:szCs w:val="22"/>
        </w:rPr>
        <w:t xml:space="preserve"> </w:t>
      </w:r>
      <w:r w:rsidRPr="00AA5D70">
        <w:rPr>
          <w:kern w:val="22"/>
          <w:szCs w:val="22"/>
        </w:rPr>
        <w:t>governments</w:t>
      </w:r>
      <w:r w:rsidR="00C87834" w:rsidRPr="00AA5D70">
        <w:rPr>
          <w:kern w:val="22"/>
          <w:szCs w:val="22"/>
        </w:rPr>
        <w:t>,</w:t>
      </w:r>
      <w:r w:rsidRPr="00AA5D70">
        <w:rPr>
          <w:kern w:val="22"/>
          <w:szCs w:val="22"/>
        </w:rPr>
        <w:t xml:space="preserve"> local authorities and non-government actors within the respective geographic regions or subregions.</w:t>
      </w:r>
    </w:p>
    <w:p w14:paraId="494C3386" w14:textId="77777777" w:rsidR="004A3E7E" w:rsidRPr="00AA5D70" w:rsidRDefault="004A3E7E" w:rsidP="00AA5D70">
      <w:pPr>
        <w:pStyle w:val="Heading2"/>
        <w:keepNext w:val="0"/>
        <w:numPr>
          <w:ilvl w:val="0"/>
          <w:numId w:val="59"/>
        </w:numPr>
        <w:suppressLineNumbers/>
        <w:tabs>
          <w:tab w:val="clear" w:pos="720"/>
        </w:tabs>
        <w:suppressAutoHyphens/>
        <w:kinsoku w:val="0"/>
        <w:overflowPunct w:val="0"/>
        <w:autoSpaceDE w:val="0"/>
        <w:autoSpaceDN w:val="0"/>
        <w:adjustRightInd w:val="0"/>
        <w:snapToGrid w:val="0"/>
        <w:spacing w:before="0" w:after="0"/>
        <w:rPr>
          <w:snapToGrid w:val="0"/>
          <w:kern w:val="22"/>
        </w:rPr>
      </w:pPr>
      <w:bookmarkStart w:id="58" w:name="_Toc57214907"/>
      <w:r w:rsidRPr="00AA5D70">
        <w:rPr>
          <w:snapToGrid w:val="0"/>
          <w:kern w:val="22"/>
        </w:rPr>
        <w:t>Enhanced review mechanisms</w:t>
      </w:r>
      <w:bookmarkEnd w:id="58"/>
    </w:p>
    <w:p w14:paraId="0B616BC8" w14:textId="4FED941C"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szCs w:val="22"/>
        </w:rPr>
      </w:pPr>
      <w:r w:rsidRPr="00AA5D70">
        <w:rPr>
          <w:kern w:val="22"/>
          <w:szCs w:val="22"/>
        </w:rPr>
        <w:t xml:space="preserve">The enhanced planning, reporting and review mechanism should consider the capacity development dimension. The guidelines for national reporting by governments should also include provisions for reporting on capacity development and provide opportunities for countries to share experiences and lessons learned. The NBSAP review and revision process and </w:t>
      </w:r>
      <w:r w:rsidRPr="00AA5D70">
        <w:rPr>
          <w:kern w:val="22"/>
        </w:rPr>
        <w:t xml:space="preserve">the </w:t>
      </w:r>
      <w:r w:rsidRPr="00AA5D70">
        <w:rPr>
          <w:kern w:val="22"/>
          <w:szCs w:val="22"/>
        </w:rPr>
        <w:t>voluntary peer</w:t>
      </w:r>
      <w:r w:rsidR="00BF0EAE" w:rsidRPr="00AA5D70">
        <w:rPr>
          <w:kern w:val="22"/>
          <w:szCs w:val="22"/>
        </w:rPr>
        <w:t xml:space="preserve"> </w:t>
      </w:r>
      <w:r w:rsidRPr="00AA5D70">
        <w:rPr>
          <w:kern w:val="22"/>
          <w:szCs w:val="22"/>
        </w:rPr>
        <w:t>review of NBSAP implementation should also include a review of the capacity development strategies and approaches.</w:t>
      </w:r>
    </w:p>
    <w:p w14:paraId="337091CD" w14:textId="6857C9F1" w:rsidR="004A3E7E" w:rsidRPr="00AA5D70" w:rsidRDefault="004A3E7E" w:rsidP="00AA5D70">
      <w:pPr>
        <w:pStyle w:val="Heading2"/>
        <w:keepNext w:val="0"/>
        <w:numPr>
          <w:ilvl w:val="0"/>
          <w:numId w:val="59"/>
        </w:numPr>
        <w:suppressLineNumbers/>
        <w:tabs>
          <w:tab w:val="clear" w:pos="720"/>
        </w:tabs>
        <w:suppressAutoHyphens/>
        <w:kinsoku w:val="0"/>
        <w:overflowPunct w:val="0"/>
        <w:autoSpaceDE w:val="0"/>
        <w:autoSpaceDN w:val="0"/>
        <w:adjustRightInd w:val="0"/>
        <w:snapToGrid w:val="0"/>
        <w:spacing w:before="0" w:after="0"/>
        <w:rPr>
          <w:snapToGrid w:val="0"/>
          <w:kern w:val="22"/>
        </w:rPr>
      </w:pPr>
      <w:bookmarkStart w:id="59" w:name="_Toc57214908"/>
      <w:r w:rsidRPr="00AA5D70">
        <w:rPr>
          <w:snapToGrid w:val="0"/>
          <w:kern w:val="22"/>
        </w:rPr>
        <w:t xml:space="preserve">Outreach and dissemination of the </w:t>
      </w:r>
      <w:r w:rsidR="002454A2" w:rsidRPr="00AA5D70">
        <w:rPr>
          <w:snapToGrid w:val="0"/>
          <w:kern w:val="22"/>
        </w:rPr>
        <w:t>f</w:t>
      </w:r>
      <w:r w:rsidRPr="00AA5D70">
        <w:rPr>
          <w:snapToGrid w:val="0"/>
          <w:kern w:val="22"/>
        </w:rPr>
        <w:t>ramework</w:t>
      </w:r>
      <w:bookmarkEnd w:id="59"/>
    </w:p>
    <w:p w14:paraId="00963D85" w14:textId="22F19356"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rPr>
      </w:pPr>
      <w:r w:rsidRPr="00AA5D70">
        <w:rPr>
          <w:kern w:val="22"/>
        </w:rPr>
        <w:t xml:space="preserve">A campaign targeting various stakeholders and actors will be undertaken to raise awareness of, and support for, the long-term strategic framework. Key partners and stakeholders will be invited to support the implementation, including through alignment of their capacity development actions with the framework, elaboration of thematic action plans, and establishment of coalitions and communities of practice. A dedicated web portal will be created </w:t>
      </w:r>
      <w:bookmarkStart w:id="60" w:name="_Hlk47923928"/>
      <w:r w:rsidRPr="00AA5D70">
        <w:rPr>
          <w:kern w:val="22"/>
        </w:rPr>
        <w:t xml:space="preserve">and linked to the websites of biodiversity-related conventions and organizations </w:t>
      </w:r>
      <w:bookmarkEnd w:id="60"/>
      <w:r w:rsidRPr="00AA5D70">
        <w:rPr>
          <w:kern w:val="22"/>
        </w:rPr>
        <w:t>to share information about the framework and the activities and experiences of various actors.</w:t>
      </w:r>
      <w:bookmarkStart w:id="61" w:name="_Hlk50340087"/>
    </w:p>
    <w:p w14:paraId="1EC2B4D7" w14:textId="6AAE9531" w:rsidR="004A3E7E" w:rsidRPr="00AA5D70" w:rsidRDefault="004A3E7E" w:rsidP="00AA5D70">
      <w:pPr>
        <w:pStyle w:val="Heading2"/>
        <w:numPr>
          <w:ilvl w:val="0"/>
          <w:numId w:val="59"/>
        </w:numPr>
        <w:suppressLineNumbers/>
        <w:tabs>
          <w:tab w:val="clear" w:pos="720"/>
        </w:tabs>
        <w:suppressAutoHyphens/>
        <w:kinsoku w:val="0"/>
        <w:overflowPunct w:val="0"/>
        <w:autoSpaceDE w:val="0"/>
        <w:autoSpaceDN w:val="0"/>
        <w:adjustRightInd w:val="0"/>
        <w:snapToGrid w:val="0"/>
        <w:spacing w:before="0" w:after="0"/>
        <w:ind w:left="714" w:hanging="357"/>
        <w:rPr>
          <w:snapToGrid w:val="0"/>
          <w:kern w:val="22"/>
        </w:rPr>
      </w:pPr>
      <w:bookmarkStart w:id="62" w:name="_Toc57214909"/>
      <w:r w:rsidRPr="00AA5D70">
        <w:rPr>
          <w:snapToGrid w:val="0"/>
          <w:kern w:val="22"/>
        </w:rPr>
        <w:t xml:space="preserve">Reporting and </w:t>
      </w:r>
      <w:r w:rsidR="00E37046" w:rsidRPr="00AA5D70">
        <w:rPr>
          <w:snapToGrid w:val="0"/>
          <w:kern w:val="22"/>
        </w:rPr>
        <w:t>r</w:t>
      </w:r>
      <w:r w:rsidRPr="00AA5D70">
        <w:rPr>
          <w:snapToGrid w:val="0"/>
          <w:kern w:val="22"/>
        </w:rPr>
        <w:t xml:space="preserve">eview of the </w:t>
      </w:r>
      <w:r w:rsidR="002454A2" w:rsidRPr="00AA5D70">
        <w:rPr>
          <w:snapToGrid w:val="0"/>
          <w:kern w:val="22"/>
        </w:rPr>
        <w:t>f</w:t>
      </w:r>
      <w:r w:rsidRPr="00AA5D70">
        <w:rPr>
          <w:snapToGrid w:val="0"/>
          <w:kern w:val="22"/>
        </w:rPr>
        <w:t>ramework</w:t>
      </w:r>
      <w:bookmarkEnd w:id="62"/>
    </w:p>
    <w:p w14:paraId="2EA06550" w14:textId="7790B47C"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szCs w:val="22"/>
        </w:rPr>
      </w:pPr>
      <w:r w:rsidRPr="00AA5D70">
        <w:rPr>
          <w:kern w:val="22"/>
          <w:szCs w:val="22"/>
        </w:rPr>
        <w:t xml:space="preserve">The long-term strategic framework is intended to be a living document. It will be reviewed periodically </w:t>
      </w:r>
      <w:bookmarkStart w:id="63" w:name="_Hlk46691380"/>
      <w:r w:rsidRPr="00AA5D70">
        <w:rPr>
          <w:kern w:val="22"/>
          <w:szCs w:val="22"/>
        </w:rPr>
        <w:t>and, if necessary, updated to ensure its continued relevance, effectiveness and use by government and non-government actors</w:t>
      </w:r>
      <w:bookmarkEnd w:id="63"/>
      <w:r w:rsidRPr="00AA5D70">
        <w:rPr>
          <w:kern w:val="22"/>
          <w:szCs w:val="22"/>
        </w:rPr>
        <w:t xml:space="preserve">. A first review will be carried out in 2025 and an independent evaluation will be undertaken in 2030, to coincide with the review of the post-2020 global biodiversity framework. Reporting on its application and the lessons learned by governments will </w:t>
      </w:r>
      <w:r w:rsidR="00CE5758" w:rsidRPr="00AA5D70">
        <w:rPr>
          <w:kern w:val="22"/>
          <w:szCs w:val="22"/>
        </w:rPr>
        <w:t xml:space="preserve">be </w:t>
      </w:r>
      <w:r w:rsidRPr="00AA5D70">
        <w:rPr>
          <w:kern w:val="22"/>
          <w:szCs w:val="22"/>
        </w:rPr>
        <w:t xml:space="preserve">done through </w:t>
      </w:r>
      <w:bookmarkStart w:id="64" w:name="_Hlk50983404"/>
      <w:r w:rsidRPr="00AA5D70">
        <w:rPr>
          <w:kern w:val="22"/>
          <w:szCs w:val="22"/>
        </w:rPr>
        <w:t>national reports</w:t>
      </w:r>
      <w:r w:rsidR="00D42115" w:rsidRPr="00AA5D70">
        <w:rPr>
          <w:kern w:val="22"/>
          <w:szCs w:val="22"/>
        </w:rPr>
        <w:t>,</w:t>
      </w:r>
      <w:r w:rsidRPr="00AA5D70">
        <w:rPr>
          <w:kern w:val="22"/>
          <w:szCs w:val="22"/>
        </w:rPr>
        <w:t xml:space="preserve"> and reporting by non-government actors will be through voluntary submission of reports and case studies to the Secretariats of biodiversity-related conventions and processes</w:t>
      </w:r>
      <w:bookmarkEnd w:id="64"/>
      <w:r w:rsidRPr="00AA5D70">
        <w:rPr>
          <w:kern w:val="22"/>
          <w:szCs w:val="22"/>
        </w:rPr>
        <w:t>.</w:t>
      </w:r>
    </w:p>
    <w:p w14:paraId="5A5B7ECC" w14:textId="0568ED7D"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rPr>
      </w:pPr>
      <w:bookmarkStart w:id="65" w:name="_Hlk49788243"/>
      <w:bookmarkStart w:id="66" w:name="_Hlk50341369"/>
      <w:r w:rsidRPr="00AA5D70">
        <w:rPr>
          <w:kern w:val="22"/>
        </w:rPr>
        <w:lastRenderedPageBreak/>
        <w:t>A set of headline indicators for capacity development will be included in the monitoring framework for the post-2020 global biodiversity framework</w:t>
      </w:r>
      <w:bookmarkEnd w:id="65"/>
      <w:r w:rsidRPr="00AA5D70">
        <w:rPr>
          <w:kern w:val="22"/>
        </w:rPr>
        <w:t xml:space="preserve">. </w:t>
      </w:r>
      <w:bookmarkStart w:id="67" w:name="_Hlk49788308"/>
      <w:r w:rsidRPr="00AA5D70">
        <w:rPr>
          <w:kern w:val="22"/>
        </w:rPr>
        <w:t xml:space="preserve">A complementary set of indicators </w:t>
      </w:r>
      <w:bookmarkEnd w:id="67"/>
      <w:r w:rsidRPr="00AA5D70">
        <w:rPr>
          <w:kern w:val="22"/>
        </w:rPr>
        <w:t>and a methodology for measuring progress towards the achievement of the strategic directions proposed in the long-term strategic framework for capacity development could be prepared with the support of experts and made available immediately following the adoption of the strategic framework. Government and non</w:t>
      </w:r>
      <w:r w:rsidR="006F3484" w:rsidRPr="00AA5D70">
        <w:rPr>
          <w:kern w:val="22"/>
        </w:rPr>
        <w:t>-</w:t>
      </w:r>
      <w:r w:rsidRPr="00AA5D70">
        <w:rPr>
          <w:kern w:val="22"/>
        </w:rPr>
        <w:t>government actors could also adapt and use the complementary indicators to monitor, assess and report on their capacity development efforts at the subnational, national and regional levels. The information generated from the monitoring and capacity development assessments processes at the national and regional levels should inform the periodic review and update of the framework</w:t>
      </w:r>
      <w:bookmarkEnd w:id="66"/>
      <w:r w:rsidRPr="00AA5D70">
        <w:rPr>
          <w:kern w:val="22"/>
        </w:rPr>
        <w:t>.</w:t>
      </w:r>
      <w:bookmarkEnd w:id="61"/>
    </w:p>
    <w:p w14:paraId="031C3A4F" w14:textId="77777777" w:rsidR="004A3E7E" w:rsidRPr="00AA5D70" w:rsidRDefault="004A3E7E" w:rsidP="00AA5D70">
      <w:pPr>
        <w:pStyle w:val="Para1"/>
        <w:numPr>
          <w:ilvl w:val="0"/>
          <w:numId w:val="10"/>
        </w:numPr>
        <w:suppressLineNumbers/>
        <w:tabs>
          <w:tab w:val="clear" w:pos="360"/>
        </w:tabs>
        <w:suppressAutoHyphens/>
        <w:kinsoku w:val="0"/>
        <w:overflowPunct w:val="0"/>
        <w:autoSpaceDE w:val="0"/>
        <w:autoSpaceDN w:val="0"/>
        <w:adjustRightInd w:val="0"/>
        <w:snapToGrid w:val="0"/>
        <w:rPr>
          <w:kern w:val="22"/>
        </w:rPr>
      </w:pPr>
      <w:r w:rsidRPr="00AA5D70">
        <w:rPr>
          <w:kern w:val="22"/>
        </w:rPr>
        <w:br w:type="page"/>
      </w:r>
    </w:p>
    <w:p w14:paraId="6CF58A90" w14:textId="35E32B12" w:rsidR="004A3E7E" w:rsidRPr="00AA5D70" w:rsidRDefault="004A3E7E" w:rsidP="00AA5D70">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rPr>
      </w:pPr>
      <w:bookmarkStart w:id="68" w:name="_Toc57214910"/>
      <w:r w:rsidRPr="00AA5D70">
        <w:rPr>
          <w:i/>
          <w:iCs/>
          <w:snapToGrid w:val="0"/>
          <w:kern w:val="22"/>
          <w:szCs w:val="22"/>
        </w:rPr>
        <w:lastRenderedPageBreak/>
        <w:t>A</w:t>
      </w:r>
      <w:r w:rsidR="00E37046" w:rsidRPr="00AA5D70">
        <w:rPr>
          <w:i/>
          <w:iCs/>
          <w:snapToGrid w:val="0"/>
          <w:kern w:val="22"/>
          <w:szCs w:val="22"/>
        </w:rPr>
        <w:t>nnex</w:t>
      </w:r>
      <w:r w:rsidRPr="00AA5D70">
        <w:rPr>
          <w:i/>
          <w:iCs/>
          <w:snapToGrid w:val="0"/>
          <w:kern w:val="22"/>
          <w:szCs w:val="22"/>
        </w:rPr>
        <w:t xml:space="preserve"> </w:t>
      </w:r>
      <w:r w:rsidR="00E37046" w:rsidRPr="00AA5D70">
        <w:rPr>
          <w:i/>
          <w:iCs/>
          <w:snapToGrid w:val="0"/>
          <w:kern w:val="22"/>
          <w:szCs w:val="22"/>
        </w:rPr>
        <w:t>II</w:t>
      </w:r>
      <w:bookmarkEnd w:id="68"/>
    </w:p>
    <w:p w14:paraId="22D1BA6A" w14:textId="2F8D9AD0" w:rsidR="004A3E7E" w:rsidRPr="00AA5D70" w:rsidRDefault="00E37046" w:rsidP="00AA5D70">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b/>
          <w:bCs/>
          <w:caps/>
          <w:snapToGrid w:val="0"/>
          <w:kern w:val="22"/>
          <w:sz w:val="22"/>
          <w:lang w:val="en-GB"/>
        </w:rPr>
      </w:pPr>
      <w:bookmarkStart w:id="69" w:name="_Toc57214911"/>
      <w:r w:rsidRPr="00AA5D70">
        <w:rPr>
          <w:b/>
          <w:bCs/>
          <w:caps/>
          <w:snapToGrid w:val="0"/>
          <w:kern w:val="22"/>
          <w:sz w:val="22"/>
          <w:lang w:val="en-GB"/>
        </w:rPr>
        <w:t>Proposals for an inclusive process to review and renew technical and scientific cooperation programmes</w:t>
      </w:r>
      <w:bookmarkEnd w:id="69"/>
    </w:p>
    <w:p w14:paraId="615414DA" w14:textId="6D110904" w:rsidR="00ED5BE2" w:rsidRPr="00AA5D70" w:rsidRDefault="004A3E7E" w:rsidP="00AA5D70">
      <w:pPr>
        <w:pStyle w:val="CBD-Para"/>
        <w:keepLines w:val="0"/>
        <w:numPr>
          <w:ilvl w:val="0"/>
          <w:numId w:val="80"/>
        </w:numPr>
        <w:suppressLineNumbers/>
        <w:suppressAutoHyphens/>
        <w:kinsoku w:val="0"/>
        <w:overflowPunct w:val="0"/>
        <w:autoSpaceDE w:val="0"/>
        <w:autoSpaceDN w:val="0"/>
        <w:adjustRightInd w:val="0"/>
        <w:snapToGrid w:val="0"/>
        <w:spacing w:before="0"/>
        <w:ind w:left="0" w:firstLine="0"/>
        <w:rPr>
          <w:snapToGrid w:val="0"/>
          <w:kern w:val="22"/>
          <w:lang w:val="en-GB"/>
        </w:rPr>
      </w:pPr>
      <w:r w:rsidRPr="00AA5D70">
        <w:rPr>
          <w:iCs/>
          <w:snapToGrid w:val="0"/>
          <w:kern w:val="22"/>
          <w:lang w:val="en-GB"/>
        </w:rPr>
        <w:t xml:space="preserve">In decision </w:t>
      </w:r>
      <w:hyperlink r:id="rId28" w:history="1">
        <w:r w:rsidRPr="00AA5D70">
          <w:rPr>
            <w:rStyle w:val="Hyperlink"/>
            <w:snapToGrid w:val="0"/>
            <w:kern w:val="22"/>
            <w:sz w:val="22"/>
            <w:lang w:val="en-GB"/>
          </w:rPr>
          <w:t>14/24 B</w:t>
        </w:r>
      </w:hyperlink>
      <w:r w:rsidRPr="00AA5D70">
        <w:rPr>
          <w:iCs/>
          <w:snapToGrid w:val="0"/>
          <w:kern w:val="22"/>
          <w:lang w:val="en-GB"/>
        </w:rPr>
        <w:t>, paragraph 9, the Conference of the Parties requested the Executive Secretary to prepare proposals for an inclusive process to review and renew technical and scientific cooperation programmes in order to support the post-2020 global biodiversity framework</w:t>
      </w:r>
      <w:r w:rsidR="005232FA" w:rsidRPr="00AA5D70">
        <w:rPr>
          <w:iCs/>
          <w:snapToGrid w:val="0"/>
          <w:kern w:val="22"/>
          <w:lang w:val="en-GB"/>
        </w:rPr>
        <w:t>,</w:t>
      </w:r>
      <w:r w:rsidRPr="00AA5D70">
        <w:rPr>
          <w:iCs/>
          <w:snapToGrid w:val="0"/>
          <w:kern w:val="22"/>
          <w:lang w:val="en-GB"/>
        </w:rPr>
        <w:t xml:space="preserve"> and to submit these proposals for consideration by the Subsidiary Body on Scientific, Technical and Technological Advice and the Subsidiary Body on Implementation at their meetings prior to the fifteenth meeting of the Conference of the Parties. In response</w:t>
      </w:r>
      <w:r w:rsidR="00097089" w:rsidRPr="00AA5D70">
        <w:rPr>
          <w:iCs/>
          <w:snapToGrid w:val="0"/>
          <w:kern w:val="22"/>
          <w:lang w:val="en-GB"/>
        </w:rPr>
        <w:t>,</w:t>
      </w:r>
      <w:r w:rsidRPr="00AA5D70">
        <w:rPr>
          <w:iCs/>
          <w:snapToGrid w:val="0"/>
          <w:kern w:val="22"/>
          <w:lang w:val="en-GB"/>
        </w:rPr>
        <w:t xml:space="preserve"> the Executive Secretary developed </w:t>
      </w:r>
      <w:r w:rsidR="00CF07F2" w:rsidRPr="00AA5D70">
        <w:rPr>
          <w:iCs/>
          <w:snapToGrid w:val="0"/>
          <w:kern w:val="22"/>
          <w:lang w:val="en-GB"/>
        </w:rPr>
        <w:t xml:space="preserve">the present </w:t>
      </w:r>
      <w:r w:rsidR="000F1529" w:rsidRPr="00AA5D70">
        <w:rPr>
          <w:iCs/>
          <w:snapToGrid w:val="0"/>
          <w:kern w:val="22"/>
          <w:lang w:val="en-GB"/>
        </w:rPr>
        <w:t>proposals</w:t>
      </w:r>
      <w:r w:rsidR="0024141D" w:rsidRPr="00AA5D70">
        <w:rPr>
          <w:iCs/>
          <w:snapToGrid w:val="0"/>
          <w:kern w:val="22"/>
          <w:lang w:val="en-GB"/>
        </w:rPr>
        <w:t xml:space="preserve">; </w:t>
      </w:r>
      <w:r w:rsidR="00101BFA" w:rsidRPr="00AA5D70">
        <w:rPr>
          <w:iCs/>
          <w:snapToGrid w:val="0"/>
          <w:kern w:val="22"/>
          <w:lang w:val="en-GB"/>
        </w:rPr>
        <w:t xml:space="preserve">further </w:t>
      </w:r>
      <w:r w:rsidR="001E274F" w:rsidRPr="00AA5D70">
        <w:rPr>
          <w:iCs/>
          <w:snapToGrid w:val="0"/>
          <w:kern w:val="22"/>
          <w:lang w:val="en-GB"/>
        </w:rPr>
        <w:t xml:space="preserve">details </w:t>
      </w:r>
      <w:r w:rsidR="00774130" w:rsidRPr="00AA5D70">
        <w:rPr>
          <w:iCs/>
          <w:snapToGrid w:val="0"/>
          <w:kern w:val="22"/>
          <w:lang w:val="en-GB"/>
        </w:rPr>
        <w:t xml:space="preserve">are </w:t>
      </w:r>
      <w:r w:rsidR="001E274F" w:rsidRPr="00AA5D70">
        <w:rPr>
          <w:iCs/>
          <w:snapToGrid w:val="0"/>
          <w:kern w:val="22"/>
          <w:lang w:val="en-GB"/>
        </w:rPr>
        <w:t>provided in CBD/SBI/3/INF/15</w:t>
      </w:r>
      <w:r w:rsidR="005D0B19" w:rsidRPr="00AA5D70">
        <w:rPr>
          <w:iCs/>
          <w:snapToGrid w:val="0"/>
          <w:kern w:val="22"/>
          <w:lang w:val="en-GB"/>
        </w:rPr>
        <w:t>.</w:t>
      </w:r>
    </w:p>
    <w:p w14:paraId="5DB16818" w14:textId="25245064" w:rsidR="0057428A" w:rsidRPr="00AA5D70" w:rsidRDefault="008038BC" w:rsidP="00AA5D70">
      <w:pPr>
        <w:pStyle w:val="CBD-Para"/>
        <w:keepLines w:val="0"/>
        <w:numPr>
          <w:ilvl w:val="0"/>
          <w:numId w:val="80"/>
        </w:numPr>
        <w:suppressLineNumbers/>
        <w:suppressAutoHyphens/>
        <w:kinsoku w:val="0"/>
        <w:overflowPunct w:val="0"/>
        <w:autoSpaceDE w:val="0"/>
        <w:autoSpaceDN w:val="0"/>
        <w:adjustRightInd w:val="0"/>
        <w:snapToGrid w:val="0"/>
        <w:spacing w:before="0"/>
        <w:ind w:left="0" w:firstLine="0"/>
        <w:rPr>
          <w:snapToGrid w:val="0"/>
          <w:kern w:val="22"/>
          <w:lang w:val="en-GB"/>
        </w:rPr>
      </w:pPr>
      <w:r w:rsidRPr="00AA5D70">
        <w:rPr>
          <w:iCs/>
          <w:snapToGrid w:val="0"/>
          <w:kern w:val="22"/>
          <w:lang w:val="en-GB"/>
        </w:rPr>
        <w:t>The following t</w:t>
      </w:r>
      <w:r w:rsidR="0057428A" w:rsidRPr="00AA5D70">
        <w:rPr>
          <w:iCs/>
          <w:snapToGrid w:val="0"/>
          <w:kern w:val="22"/>
          <w:lang w:val="en-GB"/>
        </w:rPr>
        <w:t>hree options are proposed</w:t>
      </w:r>
      <w:r w:rsidRPr="00AA5D70">
        <w:rPr>
          <w:iCs/>
          <w:snapToGrid w:val="0"/>
          <w:kern w:val="22"/>
          <w:lang w:val="en-GB"/>
        </w:rPr>
        <w:t>:</w:t>
      </w:r>
    </w:p>
    <w:p w14:paraId="2A784921" w14:textId="348F703A" w:rsidR="004A3E7E" w:rsidRPr="00AA5D70" w:rsidRDefault="004A3E7E" w:rsidP="00AA5D70">
      <w:pPr>
        <w:pStyle w:val="ListParagraph"/>
        <w:numPr>
          <w:ilvl w:val="0"/>
          <w:numId w:val="8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snapToGrid w:val="0"/>
          <w:kern w:val="22"/>
        </w:rPr>
        <w:t xml:space="preserve">Option 1: </w:t>
      </w:r>
      <w:r w:rsidRPr="00AA5D70">
        <w:rPr>
          <w:iCs/>
          <w:snapToGrid w:val="0"/>
          <w:kern w:val="22"/>
        </w:rPr>
        <w:t>A</w:t>
      </w:r>
      <w:r w:rsidR="00E11AC2" w:rsidRPr="00AA5D70">
        <w:rPr>
          <w:iCs/>
          <w:snapToGrid w:val="0"/>
          <w:kern w:val="22"/>
        </w:rPr>
        <w:t>n</w:t>
      </w:r>
      <w:r w:rsidRPr="00AA5D70">
        <w:rPr>
          <w:iCs/>
          <w:snapToGrid w:val="0"/>
          <w:kern w:val="22"/>
        </w:rPr>
        <w:t xml:space="preserve"> </w:t>
      </w:r>
      <w:r w:rsidR="00323F25" w:rsidRPr="00AA5D70">
        <w:rPr>
          <w:iCs/>
          <w:snapToGrid w:val="0"/>
          <w:kern w:val="22"/>
        </w:rPr>
        <w:t>independent</w:t>
      </w:r>
      <w:r w:rsidR="00323F25" w:rsidRPr="00AA5D70">
        <w:rPr>
          <w:snapToGrid w:val="0"/>
          <w:kern w:val="22"/>
        </w:rPr>
        <w:t xml:space="preserve"> </w:t>
      </w:r>
      <w:r w:rsidRPr="00AA5D70">
        <w:rPr>
          <w:snapToGrid w:val="0"/>
          <w:kern w:val="22"/>
        </w:rPr>
        <w:t xml:space="preserve">expert review team would provide a comprehensive and inclusive review of </w:t>
      </w:r>
      <w:r w:rsidR="00DF552C" w:rsidRPr="00AA5D70">
        <w:rPr>
          <w:iCs/>
          <w:snapToGrid w:val="0"/>
          <w:kern w:val="22"/>
        </w:rPr>
        <w:t xml:space="preserve">relevant </w:t>
      </w:r>
      <w:r w:rsidR="00C362F0" w:rsidRPr="00AA5D70">
        <w:rPr>
          <w:iCs/>
          <w:snapToGrid w:val="0"/>
          <w:kern w:val="22"/>
        </w:rPr>
        <w:t>technical and scientific cooperation</w:t>
      </w:r>
      <w:r w:rsidRPr="00AA5D70">
        <w:rPr>
          <w:snapToGrid w:val="0"/>
          <w:kern w:val="22"/>
        </w:rPr>
        <w:t xml:space="preserve"> initiatives and programmes and present recommendations for the renewal process for the consideration of Parties. The review process would include a desk review as well as interviews and surveys. Engaging an expert review team would allow for a detailed, focused and relatively quick </w:t>
      </w:r>
      <w:r w:rsidR="00B460F1" w:rsidRPr="00AA5D70">
        <w:rPr>
          <w:iCs/>
          <w:snapToGrid w:val="0"/>
          <w:kern w:val="22"/>
        </w:rPr>
        <w:t xml:space="preserve">and unbiased </w:t>
      </w:r>
      <w:r w:rsidRPr="00AA5D70">
        <w:rPr>
          <w:snapToGrid w:val="0"/>
          <w:kern w:val="22"/>
        </w:rPr>
        <w:t>assessment</w:t>
      </w:r>
      <w:r w:rsidRPr="00AA5D70">
        <w:rPr>
          <w:iCs/>
          <w:snapToGrid w:val="0"/>
          <w:kern w:val="22"/>
        </w:rPr>
        <w:t>.</w:t>
      </w:r>
      <w:r w:rsidRPr="00AA5D70">
        <w:rPr>
          <w:snapToGrid w:val="0"/>
          <w:kern w:val="22"/>
        </w:rPr>
        <w:t xml:space="preserve"> However, </w:t>
      </w:r>
      <w:r w:rsidRPr="00AA5D70">
        <w:rPr>
          <w:iCs/>
          <w:snapToGrid w:val="0"/>
          <w:kern w:val="22"/>
        </w:rPr>
        <w:t>th</w:t>
      </w:r>
      <w:r w:rsidR="008653BE" w:rsidRPr="00AA5D70">
        <w:rPr>
          <w:iCs/>
          <w:snapToGrid w:val="0"/>
          <w:kern w:val="22"/>
        </w:rPr>
        <w:t>is option</w:t>
      </w:r>
      <w:r w:rsidRPr="00AA5D70">
        <w:rPr>
          <w:snapToGrid w:val="0"/>
          <w:kern w:val="22"/>
        </w:rPr>
        <w:t xml:space="preserve"> would come with a high cost and could limit country engagement and the integration of local experiences</w:t>
      </w:r>
      <w:r w:rsidR="006454C3" w:rsidRPr="00AA5D70">
        <w:rPr>
          <w:iCs/>
          <w:snapToGrid w:val="0"/>
          <w:kern w:val="22"/>
        </w:rPr>
        <w:t>;</w:t>
      </w:r>
    </w:p>
    <w:p w14:paraId="035BA4A2" w14:textId="56F049EC" w:rsidR="00CB4799" w:rsidRPr="00AA5D70" w:rsidRDefault="004A3E7E" w:rsidP="00AA5D70">
      <w:pPr>
        <w:pStyle w:val="ListParagraph"/>
        <w:numPr>
          <w:ilvl w:val="0"/>
          <w:numId w:val="8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snapToGrid w:val="0"/>
          <w:kern w:val="22"/>
        </w:rPr>
        <w:t>Option 2:</w:t>
      </w:r>
      <w:r w:rsidRPr="00AA5D70">
        <w:rPr>
          <w:iCs/>
          <w:snapToGrid w:val="0"/>
          <w:kern w:val="22"/>
        </w:rPr>
        <w:t xml:space="preserve"> </w:t>
      </w:r>
      <w:r w:rsidRPr="00AA5D70">
        <w:rPr>
          <w:snapToGrid w:val="0"/>
          <w:kern w:val="22"/>
        </w:rPr>
        <w:t xml:space="preserve">A technical workshop </w:t>
      </w:r>
      <w:r w:rsidR="00EE3664" w:rsidRPr="00AA5D70">
        <w:rPr>
          <w:iCs/>
          <w:snapToGrid w:val="0"/>
          <w:kern w:val="22"/>
        </w:rPr>
        <w:t>or series of technical workshops</w:t>
      </w:r>
      <w:r w:rsidR="00EE3664" w:rsidRPr="00AA5D70">
        <w:rPr>
          <w:iCs/>
          <w:snapToGrid w:val="0"/>
          <w:kern w:val="22"/>
          <w:vertAlign w:val="superscript"/>
        </w:rPr>
        <w:footnoteReference w:id="62"/>
      </w:r>
      <w:r w:rsidR="00EE3664" w:rsidRPr="00AA5D70">
        <w:rPr>
          <w:iCs/>
          <w:snapToGrid w:val="0"/>
          <w:kern w:val="22"/>
        </w:rPr>
        <w:t xml:space="preserve"> </w:t>
      </w:r>
      <w:r w:rsidR="00D6394E" w:rsidRPr="00AA5D70">
        <w:rPr>
          <w:iCs/>
          <w:snapToGrid w:val="0"/>
          <w:kern w:val="22"/>
        </w:rPr>
        <w:t xml:space="preserve">would </w:t>
      </w:r>
      <w:r w:rsidRPr="00AA5D70">
        <w:rPr>
          <w:iCs/>
          <w:snapToGrid w:val="0"/>
          <w:kern w:val="22"/>
        </w:rPr>
        <w:t xml:space="preserve">review </w:t>
      </w:r>
      <w:r w:rsidR="001C22D3" w:rsidRPr="00AA5D70">
        <w:rPr>
          <w:iCs/>
          <w:snapToGrid w:val="0"/>
          <w:kern w:val="22"/>
        </w:rPr>
        <w:t>and</w:t>
      </w:r>
      <w:r w:rsidR="001C22D3" w:rsidRPr="00AA5D70">
        <w:rPr>
          <w:snapToGrid w:val="0"/>
          <w:kern w:val="22"/>
        </w:rPr>
        <w:t xml:space="preserve"> </w:t>
      </w:r>
      <w:r w:rsidRPr="00AA5D70">
        <w:rPr>
          <w:snapToGrid w:val="0"/>
          <w:kern w:val="22"/>
        </w:rPr>
        <w:t xml:space="preserve">assess the efficiency and effectiveness of </w:t>
      </w:r>
      <w:r w:rsidR="00B77AAE" w:rsidRPr="00AA5D70">
        <w:rPr>
          <w:iCs/>
          <w:snapToGrid w:val="0"/>
          <w:kern w:val="22"/>
        </w:rPr>
        <w:t xml:space="preserve">relevant </w:t>
      </w:r>
      <w:r w:rsidR="00335408" w:rsidRPr="00AA5D70">
        <w:rPr>
          <w:iCs/>
          <w:snapToGrid w:val="0"/>
          <w:kern w:val="22"/>
        </w:rPr>
        <w:t>technical and scientific cooperation</w:t>
      </w:r>
      <w:r w:rsidRPr="00AA5D70">
        <w:rPr>
          <w:snapToGrid w:val="0"/>
          <w:kern w:val="22"/>
        </w:rPr>
        <w:t xml:space="preserve"> programmes and initiatives</w:t>
      </w:r>
      <w:r w:rsidR="00C441D3" w:rsidRPr="00AA5D70">
        <w:rPr>
          <w:iCs/>
          <w:snapToGrid w:val="0"/>
          <w:kern w:val="22"/>
        </w:rPr>
        <w:t>, on the basis of inputs prepared by the Secretariat</w:t>
      </w:r>
      <w:r w:rsidR="00374808" w:rsidRPr="00AA5D70">
        <w:rPr>
          <w:iCs/>
          <w:snapToGrid w:val="0"/>
          <w:kern w:val="22"/>
        </w:rPr>
        <w:t>, and</w:t>
      </w:r>
      <w:r w:rsidR="00627163" w:rsidRPr="00AA5D70">
        <w:rPr>
          <w:iCs/>
          <w:snapToGrid w:val="0"/>
          <w:kern w:val="22"/>
        </w:rPr>
        <w:t xml:space="preserve"> </w:t>
      </w:r>
      <w:r w:rsidRPr="00AA5D70">
        <w:rPr>
          <w:iCs/>
          <w:snapToGrid w:val="0"/>
          <w:kern w:val="22"/>
        </w:rPr>
        <w:t>prepar</w:t>
      </w:r>
      <w:r w:rsidR="00FF72C9" w:rsidRPr="00AA5D70">
        <w:rPr>
          <w:iCs/>
          <w:snapToGrid w:val="0"/>
          <w:kern w:val="22"/>
        </w:rPr>
        <w:t>e</w:t>
      </w:r>
      <w:r w:rsidRPr="00AA5D70">
        <w:rPr>
          <w:iCs/>
          <w:snapToGrid w:val="0"/>
          <w:kern w:val="22"/>
        </w:rPr>
        <w:t xml:space="preserve"> </w:t>
      </w:r>
      <w:r w:rsidRPr="00AA5D70">
        <w:rPr>
          <w:snapToGrid w:val="0"/>
          <w:kern w:val="22"/>
        </w:rPr>
        <w:t>recommendations for the renewal</w:t>
      </w:r>
      <w:r w:rsidR="0020104C" w:rsidRPr="00AA5D70">
        <w:rPr>
          <w:iCs/>
          <w:snapToGrid w:val="0"/>
          <w:kern w:val="22"/>
        </w:rPr>
        <w:t xml:space="preserve"> process</w:t>
      </w:r>
      <w:r w:rsidRPr="00AA5D70">
        <w:rPr>
          <w:snapToGrid w:val="0"/>
          <w:kern w:val="22"/>
        </w:rPr>
        <w:t xml:space="preserve">. The </w:t>
      </w:r>
      <w:r w:rsidR="00CE0A27" w:rsidRPr="00AA5D70">
        <w:rPr>
          <w:snapToGrid w:val="0"/>
          <w:kern w:val="22"/>
        </w:rPr>
        <w:t xml:space="preserve">workshop </w:t>
      </w:r>
      <w:r w:rsidRPr="00AA5D70">
        <w:rPr>
          <w:iCs/>
          <w:snapToGrid w:val="0"/>
          <w:kern w:val="22"/>
        </w:rPr>
        <w:t xml:space="preserve">agenda </w:t>
      </w:r>
      <w:r w:rsidR="00CE0A27" w:rsidRPr="00AA5D70">
        <w:rPr>
          <w:iCs/>
          <w:snapToGrid w:val="0"/>
          <w:kern w:val="22"/>
        </w:rPr>
        <w:t xml:space="preserve">and approach </w:t>
      </w:r>
      <w:r w:rsidRPr="00AA5D70">
        <w:rPr>
          <w:snapToGrid w:val="0"/>
          <w:kern w:val="22"/>
        </w:rPr>
        <w:t>would be flexible</w:t>
      </w:r>
      <w:r w:rsidR="002033A6" w:rsidRPr="00AA5D70">
        <w:rPr>
          <w:iCs/>
          <w:snapToGrid w:val="0"/>
          <w:kern w:val="22"/>
        </w:rPr>
        <w:t>,</w:t>
      </w:r>
      <w:r w:rsidRPr="00AA5D70">
        <w:rPr>
          <w:snapToGrid w:val="0"/>
          <w:kern w:val="22"/>
        </w:rPr>
        <w:t xml:space="preserve"> inclusive</w:t>
      </w:r>
      <w:r w:rsidR="002033A6" w:rsidRPr="00AA5D70">
        <w:rPr>
          <w:iCs/>
          <w:snapToGrid w:val="0"/>
          <w:kern w:val="22"/>
        </w:rPr>
        <w:t xml:space="preserve">, and </w:t>
      </w:r>
      <w:r w:rsidRPr="00AA5D70">
        <w:rPr>
          <w:snapToGrid w:val="0"/>
          <w:kern w:val="22"/>
        </w:rPr>
        <w:t>highly participatory</w:t>
      </w:r>
      <w:r w:rsidR="001B7A50" w:rsidRPr="00AA5D70">
        <w:rPr>
          <w:iCs/>
          <w:snapToGrid w:val="0"/>
          <w:kern w:val="22"/>
        </w:rPr>
        <w:t>, as well as</w:t>
      </w:r>
      <w:r w:rsidR="001B7A50" w:rsidRPr="00AA5D70">
        <w:rPr>
          <w:snapToGrid w:val="0"/>
          <w:kern w:val="22"/>
        </w:rPr>
        <w:t xml:space="preserve"> country-driven</w:t>
      </w:r>
      <w:r w:rsidRPr="00AA5D70">
        <w:rPr>
          <w:iCs/>
          <w:snapToGrid w:val="0"/>
          <w:kern w:val="22"/>
        </w:rPr>
        <w:t xml:space="preserve">. </w:t>
      </w:r>
      <w:r w:rsidR="00644CE7" w:rsidRPr="00AA5D70">
        <w:rPr>
          <w:iCs/>
          <w:snapToGrid w:val="0"/>
          <w:kern w:val="22"/>
        </w:rPr>
        <w:t xml:space="preserve">However, </w:t>
      </w:r>
      <w:r w:rsidR="003468E3" w:rsidRPr="00AA5D70">
        <w:rPr>
          <w:iCs/>
          <w:snapToGrid w:val="0"/>
          <w:kern w:val="22"/>
        </w:rPr>
        <w:t>costs could be</w:t>
      </w:r>
      <w:r w:rsidRPr="00AA5D70">
        <w:rPr>
          <w:iCs/>
          <w:snapToGrid w:val="0"/>
          <w:kern w:val="22"/>
        </w:rPr>
        <w:t xml:space="preserve"> </w:t>
      </w:r>
      <w:r w:rsidRPr="00AA5D70">
        <w:rPr>
          <w:snapToGrid w:val="0"/>
          <w:kern w:val="22"/>
        </w:rPr>
        <w:t xml:space="preserve">very high if </w:t>
      </w:r>
      <w:r w:rsidR="00106EA3" w:rsidRPr="00AA5D70">
        <w:rPr>
          <w:iCs/>
          <w:snapToGrid w:val="0"/>
          <w:kern w:val="22"/>
        </w:rPr>
        <w:t xml:space="preserve">a series of </w:t>
      </w:r>
      <w:r w:rsidRPr="00AA5D70">
        <w:rPr>
          <w:snapToGrid w:val="0"/>
          <w:kern w:val="22"/>
        </w:rPr>
        <w:t xml:space="preserve">in-person workshops </w:t>
      </w:r>
      <w:r w:rsidR="00106EA3" w:rsidRPr="00AA5D70">
        <w:rPr>
          <w:iCs/>
          <w:snapToGrid w:val="0"/>
          <w:kern w:val="22"/>
        </w:rPr>
        <w:t>is</w:t>
      </w:r>
      <w:r w:rsidRPr="00AA5D70">
        <w:rPr>
          <w:snapToGrid w:val="0"/>
          <w:kern w:val="22"/>
        </w:rPr>
        <w:t xml:space="preserve"> held, the achievement of neutrality in the review process may be challenging</w:t>
      </w:r>
      <w:r w:rsidR="006454C3" w:rsidRPr="00AA5D70">
        <w:rPr>
          <w:iCs/>
          <w:snapToGrid w:val="0"/>
          <w:kern w:val="22"/>
        </w:rPr>
        <w:t>;</w:t>
      </w:r>
    </w:p>
    <w:p w14:paraId="2DA959E7" w14:textId="541DB133" w:rsidR="004A3E7E" w:rsidRPr="00AA5D70" w:rsidRDefault="004A3E7E" w:rsidP="00AA5D70">
      <w:pPr>
        <w:pStyle w:val="ListParagraph"/>
        <w:numPr>
          <w:ilvl w:val="0"/>
          <w:numId w:val="8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rPr>
      </w:pPr>
      <w:r w:rsidRPr="00AA5D70">
        <w:rPr>
          <w:snapToGrid w:val="0"/>
          <w:kern w:val="22"/>
        </w:rPr>
        <w:t xml:space="preserve">Option 3: </w:t>
      </w:r>
      <w:r w:rsidRPr="00AA5D70">
        <w:rPr>
          <w:iCs/>
          <w:snapToGrid w:val="0"/>
          <w:kern w:val="22"/>
        </w:rPr>
        <w:t>A</w:t>
      </w:r>
      <w:r w:rsidRPr="00AA5D70">
        <w:rPr>
          <w:snapToGrid w:val="0"/>
          <w:kern w:val="22"/>
        </w:rPr>
        <w:t xml:space="preserve"> review by the Secretariat</w:t>
      </w:r>
      <w:r w:rsidR="00DA5713" w:rsidRPr="00AA5D70">
        <w:rPr>
          <w:iCs/>
          <w:snapToGrid w:val="0"/>
          <w:kern w:val="22"/>
        </w:rPr>
        <w:t>,</w:t>
      </w:r>
      <w:r w:rsidR="00663BEE" w:rsidRPr="00AA5D70">
        <w:rPr>
          <w:iCs/>
          <w:snapToGrid w:val="0"/>
          <w:kern w:val="22"/>
        </w:rPr>
        <w:t xml:space="preserve"> </w:t>
      </w:r>
      <w:r w:rsidR="00C8024E" w:rsidRPr="00AA5D70">
        <w:rPr>
          <w:iCs/>
          <w:snapToGrid w:val="0"/>
          <w:kern w:val="22"/>
        </w:rPr>
        <w:t>with support from a consultant,</w:t>
      </w:r>
      <w:r w:rsidR="00C8024E" w:rsidRPr="00AA5D70">
        <w:rPr>
          <w:snapToGrid w:val="0"/>
          <w:kern w:val="22"/>
        </w:rPr>
        <w:t xml:space="preserve"> </w:t>
      </w:r>
      <w:r w:rsidRPr="00AA5D70">
        <w:rPr>
          <w:snapToGrid w:val="0"/>
          <w:kern w:val="22"/>
        </w:rPr>
        <w:t xml:space="preserve">would </w:t>
      </w:r>
      <w:r w:rsidR="001C7348" w:rsidRPr="00AA5D70">
        <w:rPr>
          <w:snapToGrid w:val="0"/>
          <w:kern w:val="22"/>
        </w:rPr>
        <w:t xml:space="preserve">examine </w:t>
      </w:r>
      <w:r w:rsidR="00B77AAE" w:rsidRPr="00AA5D70">
        <w:rPr>
          <w:iCs/>
          <w:snapToGrid w:val="0"/>
          <w:kern w:val="22"/>
        </w:rPr>
        <w:t xml:space="preserve">and assess relevant </w:t>
      </w:r>
      <w:r w:rsidR="00335408" w:rsidRPr="00AA5D70">
        <w:rPr>
          <w:iCs/>
          <w:snapToGrid w:val="0"/>
          <w:kern w:val="22"/>
        </w:rPr>
        <w:t>technical and scientific cooperation</w:t>
      </w:r>
      <w:r w:rsidRPr="00AA5D70">
        <w:rPr>
          <w:snapToGrid w:val="0"/>
          <w:kern w:val="22"/>
        </w:rPr>
        <w:t xml:space="preserve"> programmes and initiatives </w:t>
      </w:r>
      <w:r w:rsidR="00B77AAE" w:rsidRPr="00AA5D70">
        <w:rPr>
          <w:iCs/>
          <w:snapToGrid w:val="0"/>
          <w:kern w:val="22"/>
        </w:rPr>
        <w:t>and</w:t>
      </w:r>
      <w:r w:rsidR="00B77AAE" w:rsidRPr="00AA5D70">
        <w:rPr>
          <w:snapToGrid w:val="0"/>
          <w:kern w:val="22"/>
        </w:rPr>
        <w:t xml:space="preserve"> </w:t>
      </w:r>
      <w:r w:rsidR="006333F2" w:rsidRPr="00AA5D70">
        <w:rPr>
          <w:snapToGrid w:val="0"/>
          <w:kern w:val="22"/>
        </w:rPr>
        <w:t xml:space="preserve">produce </w:t>
      </w:r>
      <w:r w:rsidR="00B77AAE" w:rsidRPr="00AA5D70">
        <w:rPr>
          <w:iCs/>
          <w:snapToGrid w:val="0"/>
          <w:kern w:val="22"/>
        </w:rPr>
        <w:t>a</w:t>
      </w:r>
      <w:r w:rsidR="00B77AAE" w:rsidRPr="00AA5D70">
        <w:rPr>
          <w:snapToGrid w:val="0"/>
          <w:kern w:val="22"/>
        </w:rPr>
        <w:t xml:space="preserve"> </w:t>
      </w:r>
      <w:r w:rsidRPr="00AA5D70">
        <w:rPr>
          <w:snapToGrid w:val="0"/>
          <w:kern w:val="22"/>
        </w:rPr>
        <w:t>report on strengths and weaknesses for consideration by the Parties</w:t>
      </w:r>
      <w:r w:rsidR="00192CE1" w:rsidRPr="00AA5D70">
        <w:rPr>
          <w:snapToGrid w:val="0"/>
          <w:kern w:val="22"/>
        </w:rPr>
        <w:t xml:space="preserve"> </w:t>
      </w:r>
      <w:r w:rsidR="00330BEC" w:rsidRPr="00AA5D70">
        <w:rPr>
          <w:iCs/>
          <w:snapToGrid w:val="0"/>
          <w:kern w:val="22"/>
        </w:rPr>
        <w:t xml:space="preserve">with </w:t>
      </w:r>
      <w:r w:rsidR="00192CE1" w:rsidRPr="00AA5D70">
        <w:rPr>
          <w:iCs/>
          <w:snapToGrid w:val="0"/>
          <w:kern w:val="22"/>
        </w:rPr>
        <w:t>recommendations for the renewal process</w:t>
      </w:r>
      <w:r w:rsidRPr="00AA5D70">
        <w:rPr>
          <w:iCs/>
          <w:snapToGrid w:val="0"/>
          <w:kern w:val="22"/>
        </w:rPr>
        <w:t xml:space="preserve">. </w:t>
      </w:r>
      <w:r w:rsidR="00212B49" w:rsidRPr="00AA5D70">
        <w:rPr>
          <w:iCs/>
          <w:snapToGrid w:val="0"/>
          <w:kern w:val="22"/>
        </w:rPr>
        <w:t>This may</w:t>
      </w:r>
      <w:r w:rsidRPr="00AA5D70">
        <w:rPr>
          <w:iCs/>
          <w:snapToGrid w:val="0"/>
          <w:kern w:val="22"/>
        </w:rPr>
        <w:t xml:space="preserve"> </w:t>
      </w:r>
      <w:r w:rsidR="00083E0A" w:rsidRPr="00AA5D70">
        <w:rPr>
          <w:iCs/>
          <w:snapToGrid w:val="0"/>
          <w:kern w:val="22"/>
        </w:rPr>
        <w:t xml:space="preserve">be </w:t>
      </w:r>
      <w:r w:rsidRPr="00AA5D70">
        <w:rPr>
          <w:iCs/>
          <w:snapToGrid w:val="0"/>
          <w:kern w:val="22"/>
        </w:rPr>
        <w:t>the lowest</w:t>
      </w:r>
      <w:r w:rsidR="00ED1E33" w:rsidRPr="00AA5D70">
        <w:rPr>
          <w:iCs/>
          <w:snapToGrid w:val="0"/>
          <w:kern w:val="22"/>
        </w:rPr>
        <w:t>-</w:t>
      </w:r>
      <w:r w:rsidRPr="00AA5D70">
        <w:rPr>
          <w:snapToGrid w:val="0"/>
          <w:kern w:val="22"/>
        </w:rPr>
        <w:t>cost option</w:t>
      </w:r>
      <w:r w:rsidR="00FD585C" w:rsidRPr="00AA5D70">
        <w:rPr>
          <w:iCs/>
          <w:snapToGrid w:val="0"/>
          <w:kern w:val="22"/>
        </w:rPr>
        <w:t>;</w:t>
      </w:r>
      <w:r w:rsidRPr="00AA5D70">
        <w:rPr>
          <w:iCs/>
          <w:snapToGrid w:val="0"/>
          <w:kern w:val="22"/>
        </w:rPr>
        <w:t xml:space="preserve"> </w:t>
      </w:r>
      <w:r w:rsidR="00FD585C" w:rsidRPr="00AA5D70">
        <w:rPr>
          <w:iCs/>
          <w:snapToGrid w:val="0"/>
          <w:kern w:val="22"/>
        </w:rPr>
        <w:t>h</w:t>
      </w:r>
      <w:r w:rsidRPr="00AA5D70">
        <w:rPr>
          <w:iCs/>
          <w:snapToGrid w:val="0"/>
          <w:kern w:val="22"/>
        </w:rPr>
        <w:t xml:space="preserve">owever, the approach </w:t>
      </w:r>
      <w:r w:rsidR="00D47463" w:rsidRPr="00AA5D70">
        <w:rPr>
          <w:iCs/>
          <w:snapToGrid w:val="0"/>
          <w:kern w:val="22"/>
        </w:rPr>
        <w:t>may be</w:t>
      </w:r>
      <w:r w:rsidRPr="00AA5D70">
        <w:rPr>
          <w:iCs/>
          <w:snapToGrid w:val="0"/>
          <w:kern w:val="22"/>
        </w:rPr>
        <w:t xml:space="preserve"> </w:t>
      </w:r>
      <w:r w:rsidRPr="00AA5D70">
        <w:rPr>
          <w:snapToGrid w:val="0"/>
          <w:kern w:val="22"/>
        </w:rPr>
        <w:t>limited in the extent to which it engages with Parties and other stakeholders</w:t>
      </w:r>
      <w:r w:rsidR="000370C3" w:rsidRPr="00AA5D70">
        <w:rPr>
          <w:iCs/>
          <w:snapToGrid w:val="0"/>
          <w:kern w:val="22"/>
        </w:rPr>
        <w:t xml:space="preserve">, and may </w:t>
      </w:r>
      <w:r w:rsidR="000D1DAD" w:rsidRPr="00AA5D70">
        <w:rPr>
          <w:iCs/>
          <w:snapToGrid w:val="0"/>
          <w:kern w:val="22"/>
        </w:rPr>
        <w:t>not be fully</w:t>
      </w:r>
      <w:r w:rsidR="004E5709" w:rsidRPr="00AA5D70">
        <w:rPr>
          <w:iCs/>
          <w:snapToGrid w:val="0"/>
          <w:kern w:val="22"/>
        </w:rPr>
        <w:t xml:space="preserve"> objectiv</w:t>
      </w:r>
      <w:r w:rsidR="000D1DAD" w:rsidRPr="00AA5D70">
        <w:rPr>
          <w:iCs/>
          <w:snapToGrid w:val="0"/>
          <w:kern w:val="22"/>
        </w:rPr>
        <w:t>e</w:t>
      </w:r>
      <w:r w:rsidR="004E5709" w:rsidRPr="00AA5D70">
        <w:rPr>
          <w:snapToGrid w:val="0"/>
          <w:kern w:val="22"/>
        </w:rPr>
        <w:t>.</w:t>
      </w:r>
    </w:p>
    <w:p w14:paraId="02E2832A" w14:textId="4F3C2C7A" w:rsidR="00ED5BE2" w:rsidRPr="00AA5D70" w:rsidRDefault="00ED5BE2" w:rsidP="00AA5D70">
      <w:pPr>
        <w:suppressLineNumbers/>
        <w:suppressAutoHyphens/>
        <w:kinsoku w:val="0"/>
        <w:overflowPunct w:val="0"/>
        <w:autoSpaceDE w:val="0"/>
        <w:autoSpaceDN w:val="0"/>
        <w:adjustRightInd w:val="0"/>
        <w:snapToGrid w:val="0"/>
        <w:spacing w:after="120"/>
        <w:rPr>
          <w:iCs/>
          <w:snapToGrid w:val="0"/>
          <w:kern w:val="22"/>
        </w:rPr>
      </w:pPr>
      <w:r w:rsidRPr="00AA5D70">
        <w:rPr>
          <w:iCs/>
          <w:snapToGrid w:val="0"/>
          <w:kern w:val="22"/>
        </w:rPr>
        <w:t>3.</w:t>
      </w:r>
      <w:r w:rsidRPr="00AA5D70">
        <w:rPr>
          <w:iCs/>
          <w:snapToGrid w:val="0"/>
          <w:kern w:val="22"/>
        </w:rPr>
        <w:tab/>
        <w:t>The review and renewal process will be aligned with relevant targets and indicators under the post-2020 global biodiversity framework and will be implemented with due consideration for gender and indigenous and traditional knowledge.</w:t>
      </w:r>
    </w:p>
    <w:p w14:paraId="645C041A" w14:textId="29939B4C" w:rsidR="00F4623E" w:rsidRPr="00AA5D70" w:rsidRDefault="00ED5BE2" w:rsidP="00AA5D70">
      <w:pPr>
        <w:suppressLineNumbers/>
        <w:suppressAutoHyphens/>
        <w:kinsoku w:val="0"/>
        <w:overflowPunct w:val="0"/>
        <w:autoSpaceDE w:val="0"/>
        <w:autoSpaceDN w:val="0"/>
        <w:adjustRightInd w:val="0"/>
        <w:snapToGrid w:val="0"/>
        <w:spacing w:after="120"/>
        <w:rPr>
          <w:rFonts w:ascii="TimesNewRomanPS" w:hAnsi="TimesNewRomanPS"/>
          <w:snapToGrid w:val="0"/>
          <w:kern w:val="22"/>
        </w:rPr>
      </w:pPr>
      <w:r w:rsidRPr="00AA5D70">
        <w:rPr>
          <w:iCs/>
          <w:snapToGrid w:val="0"/>
          <w:kern w:val="22"/>
        </w:rPr>
        <w:t xml:space="preserve">4. </w:t>
      </w:r>
      <w:r w:rsidRPr="00AA5D70">
        <w:rPr>
          <w:iCs/>
          <w:snapToGrid w:val="0"/>
          <w:kern w:val="22"/>
        </w:rPr>
        <w:tab/>
      </w:r>
      <w:r w:rsidR="00A54E22" w:rsidRPr="00AA5D70">
        <w:rPr>
          <w:rFonts w:ascii="TimesNewRomanPS" w:hAnsi="TimesNewRomanPS"/>
          <w:snapToGrid w:val="0"/>
          <w:kern w:val="22"/>
        </w:rPr>
        <w:t xml:space="preserve">The </w:t>
      </w:r>
      <w:r w:rsidR="0071302A" w:rsidRPr="00AA5D70">
        <w:rPr>
          <w:rFonts w:ascii="TimesNewRomanPS" w:hAnsi="TimesNewRomanPS"/>
          <w:snapToGrid w:val="0"/>
          <w:kern w:val="22"/>
        </w:rPr>
        <w:t xml:space="preserve">outcome of the process </w:t>
      </w:r>
      <w:r w:rsidR="00F4623E" w:rsidRPr="00AA5D70">
        <w:rPr>
          <w:rFonts w:ascii="TimesNewRomanPS" w:hAnsi="TimesNewRomanPS"/>
          <w:snapToGrid w:val="0"/>
          <w:kern w:val="22"/>
        </w:rPr>
        <w:t xml:space="preserve">for the review and </w:t>
      </w:r>
      <w:r w:rsidR="0071302A" w:rsidRPr="00AA5D70">
        <w:rPr>
          <w:rFonts w:ascii="TimesNewRomanPS" w:hAnsi="TimesNewRomanPS"/>
          <w:snapToGrid w:val="0"/>
          <w:kern w:val="22"/>
        </w:rPr>
        <w:t>renew</w:t>
      </w:r>
      <w:r w:rsidR="00F4623E" w:rsidRPr="00AA5D70">
        <w:rPr>
          <w:rFonts w:ascii="TimesNewRomanPS" w:hAnsi="TimesNewRomanPS"/>
          <w:snapToGrid w:val="0"/>
          <w:kern w:val="22"/>
        </w:rPr>
        <w:t>al</w:t>
      </w:r>
      <w:r w:rsidR="0071302A" w:rsidRPr="00AA5D70">
        <w:rPr>
          <w:rFonts w:ascii="TimesNewRomanPS" w:hAnsi="TimesNewRomanPS"/>
          <w:snapToGrid w:val="0"/>
          <w:kern w:val="22"/>
        </w:rPr>
        <w:t xml:space="preserve"> </w:t>
      </w:r>
      <w:r w:rsidR="00F4623E" w:rsidRPr="00AA5D70">
        <w:rPr>
          <w:rFonts w:ascii="TimesNewRomanPS" w:hAnsi="TimesNewRomanPS"/>
          <w:snapToGrid w:val="0"/>
          <w:kern w:val="22"/>
        </w:rPr>
        <w:t xml:space="preserve">of </w:t>
      </w:r>
      <w:r w:rsidR="0071302A" w:rsidRPr="00AA5D70">
        <w:rPr>
          <w:rFonts w:ascii="TimesNewRomanPS" w:hAnsi="TimesNewRomanPS"/>
          <w:snapToGrid w:val="0"/>
          <w:kern w:val="22"/>
        </w:rPr>
        <w:t xml:space="preserve">technical and scientific cooperation programmes </w:t>
      </w:r>
      <w:r w:rsidR="00B422C0" w:rsidRPr="00AA5D70">
        <w:rPr>
          <w:rFonts w:ascii="TimesNewRomanPS" w:hAnsi="TimesNewRomanPS"/>
          <w:snapToGrid w:val="0"/>
          <w:kern w:val="22"/>
        </w:rPr>
        <w:t xml:space="preserve">may </w:t>
      </w:r>
      <w:r w:rsidR="0071302A" w:rsidRPr="00AA5D70">
        <w:rPr>
          <w:rFonts w:ascii="TimesNewRomanPS" w:hAnsi="TimesNewRomanPS"/>
          <w:snapToGrid w:val="0"/>
          <w:kern w:val="22"/>
        </w:rPr>
        <w:t>include the following</w:t>
      </w:r>
      <w:r w:rsidR="00F4623E" w:rsidRPr="00AA5D70">
        <w:rPr>
          <w:rFonts w:ascii="TimesNewRomanPS" w:hAnsi="TimesNewRomanPS"/>
          <w:snapToGrid w:val="0"/>
          <w:kern w:val="22"/>
        </w:rPr>
        <w:t xml:space="preserve"> elements</w:t>
      </w:r>
      <w:r w:rsidR="0071302A" w:rsidRPr="00AA5D70">
        <w:rPr>
          <w:rFonts w:ascii="TimesNewRomanPS" w:hAnsi="TimesNewRomanPS"/>
          <w:snapToGrid w:val="0"/>
          <w:kern w:val="22"/>
        </w:rPr>
        <w:t>:</w:t>
      </w:r>
    </w:p>
    <w:p w14:paraId="2B8871A8" w14:textId="051429D5" w:rsidR="004A3E7E" w:rsidRPr="00AA5D70" w:rsidRDefault="004A3E7E" w:rsidP="00AA5D70">
      <w:pPr>
        <w:pStyle w:val="Para1"/>
        <w:numPr>
          <w:ilvl w:val="1"/>
          <w:numId w:val="95"/>
        </w:numPr>
        <w:suppressLineNumbers/>
        <w:suppressAutoHyphens/>
        <w:kinsoku w:val="0"/>
        <w:overflowPunct w:val="0"/>
        <w:autoSpaceDE w:val="0"/>
        <w:autoSpaceDN w:val="0"/>
        <w:adjustRightInd w:val="0"/>
        <w:snapToGrid w:val="0"/>
        <w:rPr>
          <w:kern w:val="22"/>
        </w:rPr>
      </w:pPr>
      <w:r w:rsidRPr="00AA5D70">
        <w:rPr>
          <w:kern w:val="22"/>
        </w:rPr>
        <w:t xml:space="preserve">A summary of </w:t>
      </w:r>
      <w:r w:rsidR="009C1F34" w:rsidRPr="00AA5D70">
        <w:rPr>
          <w:iCs/>
          <w:kern w:val="22"/>
        </w:rPr>
        <w:t xml:space="preserve">the main findings, including the </w:t>
      </w:r>
      <w:r w:rsidRPr="00AA5D70">
        <w:rPr>
          <w:kern w:val="22"/>
        </w:rPr>
        <w:t>lessons learned drawn from the review;</w:t>
      </w:r>
    </w:p>
    <w:p w14:paraId="2C7CFA52" w14:textId="131B1B18" w:rsidR="004A3E7E" w:rsidRPr="00AA5D70" w:rsidRDefault="004C4EAB" w:rsidP="00AA5D70">
      <w:pPr>
        <w:pStyle w:val="ListParagraph"/>
        <w:numPr>
          <w:ilvl w:val="1"/>
          <w:numId w:val="2"/>
        </w:numPr>
        <w:suppressLineNumbers/>
        <w:pBdr>
          <w:top w:val="nil"/>
          <w:left w:val="nil"/>
          <w:bottom w:val="nil"/>
          <w:right w:val="nil"/>
          <w:between w:val="nil"/>
        </w:pBdr>
        <w:suppressAutoHyphens/>
        <w:kinsoku w:val="0"/>
        <w:overflowPunct w:val="0"/>
        <w:autoSpaceDE w:val="0"/>
        <w:autoSpaceDN w:val="0"/>
        <w:adjustRightInd w:val="0"/>
        <w:snapToGrid w:val="0"/>
        <w:spacing w:after="120"/>
        <w:contextualSpacing w:val="0"/>
        <w:rPr>
          <w:snapToGrid w:val="0"/>
          <w:kern w:val="22"/>
        </w:rPr>
      </w:pPr>
      <w:r w:rsidRPr="00AA5D70">
        <w:rPr>
          <w:iCs/>
          <w:snapToGrid w:val="0"/>
          <w:kern w:val="22"/>
        </w:rPr>
        <w:t xml:space="preserve">Proposals for </w:t>
      </w:r>
      <w:r w:rsidR="00B422C0" w:rsidRPr="00AA5D70">
        <w:rPr>
          <w:iCs/>
          <w:snapToGrid w:val="0"/>
          <w:kern w:val="22"/>
        </w:rPr>
        <w:t xml:space="preserve">possible </w:t>
      </w:r>
      <w:r w:rsidRPr="00AA5D70">
        <w:rPr>
          <w:iCs/>
          <w:snapToGrid w:val="0"/>
          <w:kern w:val="22"/>
        </w:rPr>
        <w:t>renewal</w:t>
      </w:r>
      <w:r w:rsidR="00013486" w:rsidRPr="00AA5D70">
        <w:rPr>
          <w:iCs/>
          <w:snapToGrid w:val="0"/>
          <w:kern w:val="22"/>
        </w:rPr>
        <w:t xml:space="preserve"> </w:t>
      </w:r>
      <w:r w:rsidR="000537AD" w:rsidRPr="00AA5D70">
        <w:rPr>
          <w:iCs/>
          <w:snapToGrid w:val="0"/>
          <w:kern w:val="22"/>
        </w:rPr>
        <w:t>of the programmes and initiatives</w:t>
      </w:r>
      <w:r w:rsidR="00ED5BE2" w:rsidRPr="00AA5D70">
        <w:rPr>
          <w:iCs/>
          <w:snapToGrid w:val="0"/>
          <w:kern w:val="22"/>
        </w:rPr>
        <w:t xml:space="preserve"> (</w:t>
      </w:r>
      <w:r w:rsidRPr="00AA5D70">
        <w:rPr>
          <w:iCs/>
          <w:snapToGrid w:val="0"/>
          <w:kern w:val="22"/>
        </w:rPr>
        <w:t>including a</w:t>
      </w:r>
      <w:r w:rsidR="004A3E7E" w:rsidRPr="00AA5D70">
        <w:rPr>
          <w:iCs/>
          <w:snapToGrid w:val="0"/>
          <w:kern w:val="22"/>
        </w:rPr>
        <w:t xml:space="preserve"> </w:t>
      </w:r>
      <w:r w:rsidR="004A3E7E" w:rsidRPr="00AA5D70">
        <w:rPr>
          <w:snapToGrid w:val="0"/>
          <w:kern w:val="22"/>
        </w:rPr>
        <w:t xml:space="preserve">theory of change </w:t>
      </w:r>
      <w:r w:rsidR="00D037A9" w:rsidRPr="00AA5D70">
        <w:rPr>
          <w:iCs/>
          <w:snapToGrid w:val="0"/>
          <w:kern w:val="22"/>
        </w:rPr>
        <w:t xml:space="preserve">aligned </w:t>
      </w:r>
      <w:r w:rsidR="004A3E7E" w:rsidRPr="00AA5D70">
        <w:rPr>
          <w:iCs/>
          <w:snapToGrid w:val="0"/>
          <w:kern w:val="22"/>
        </w:rPr>
        <w:t xml:space="preserve">with </w:t>
      </w:r>
      <w:r w:rsidR="004A3E7E" w:rsidRPr="00AA5D70">
        <w:rPr>
          <w:snapToGrid w:val="0"/>
          <w:kern w:val="22"/>
        </w:rPr>
        <w:t>the theory of change for the post-2020 global biodiversity framework</w:t>
      </w:r>
      <w:r w:rsidR="004A3E7E" w:rsidRPr="00AA5D70">
        <w:rPr>
          <w:iCs/>
          <w:snapToGrid w:val="0"/>
          <w:kern w:val="22"/>
        </w:rPr>
        <w:t>)</w:t>
      </w:r>
      <w:r w:rsidR="00ED5BE2" w:rsidRPr="00AA5D70">
        <w:rPr>
          <w:iCs/>
          <w:snapToGrid w:val="0"/>
          <w:kern w:val="22"/>
        </w:rPr>
        <w:t>, and a description of the renewal process</w:t>
      </w:r>
      <w:r w:rsidR="004A3E7E" w:rsidRPr="00AA5D70">
        <w:rPr>
          <w:iCs/>
          <w:snapToGrid w:val="0"/>
          <w:kern w:val="22"/>
        </w:rPr>
        <w:t>;</w:t>
      </w:r>
    </w:p>
    <w:p w14:paraId="3EC7C389" w14:textId="6E615871" w:rsidR="00ED5BE2" w:rsidRPr="00AA5D70" w:rsidRDefault="00843056" w:rsidP="00AA5D70">
      <w:pPr>
        <w:pStyle w:val="Para1"/>
        <w:numPr>
          <w:ilvl w:val="1"/>
          <w:numId w:val="2"/>
        </w:numPr>
        <w:suppressLineNumbers/>
        <w:suppressAutoHyphens/>
        <w:kinsoku w:val="0"/>
        <w:overflowPunct w:val="0"/>
        <w:autoSpaceDE w:val="0"/>
        <w:autoSpaceDN w:val="0"/>
        <w:adjustRightInd w:val="0"/>
        <w:snapToGrid w:val="0"/>
        <w:rPr>
          <w:kern w:val="22"/>
        </w:rPr>
      </w:pPr>
      <w:r w:rsidRPr="00AA5D70">
        <w:rPr>
          <w:iCs/>
          <w:kern w:val="22"/>
        </w:rPr>
        <w:t>A p</w:t>
      </w:r>
      <w:r w:rsidR="00407BFF" w:rsidRPr="00AA5D70">
        <w:rPr>
          <w:iCs/>
          <w:kern w:val="22"/>
        </w:rPr>
        <w:t xml:space="preserve">roposed monitoring, review and reporting </w:t>
      </w:r>
      <w:r w:rsidRPr="00AA5D70">
        <w:rPr>
          <w:iCs/>
          <w:kern w:val="22"/>
        </w:rPr>
        <w:t>framework for the programmes and initiatives</w:t>
      </w:r>
      <w:r w:rsidR="00407BFF" w:rsidRPr="00AA5D70">
        <w:rPr>
          <w:iCs/>
          <w:kern w:val="22"/>
        </w:rPr>
        <w:t>, including p</w:t>
      </w:r>
      <w:r w:rsidR="00D037A9" w:rsidRPr="00AA5D70">
        <w:rPr>
          <w:iCs/>
          <w:kern w:val="22"/>
        </w:rPr>
        <w:t>ossible k</w:t>
      </w:r>
      <w:r w:rsidR="004A3E7E" w:rsidRPr="00AA5D70">
        <w:rPr>
          <w:iCs/>
          <w:kern w:val="22"/>
        </w:rPr>
        <w:t>ey</w:t>
      </w:r>
      <w:r w:rsidR="004A3E7E" w:rsidRPr="00AA5D70">
        <w:rPr>
          <w:kern w:val="22"/>
        </w:rPr>
        <w:t xml:space="preserve"> performance indicators associated </w:t>
      </w:r>
      <w:r w:rsidR="00A71D4A" w:rsidRPr="00AA5D70">
        <w:rPr>
          <w:iCs/>
          <w:kern w:val="22"/>
        </w:rPr>
        <w:t xml:space="preserve">with the relevant goals and </w:t>
      </w:r>
      <w:r w:rsidR="004A3E7E" w:rsidRPr="00AA5D70">
        <w:rPr>
          <w:kern w:val="22"/>
        </w:rPr>
        <w:t xml:space="preserve">targets of the post-2020 </w:t>
      </w:r>
      <w:r w:rsidR="007D35C5" w:rsidRPr="00AA5D70">
        <w:rPr>
          <w:iCs/>
          <w:kern w:val="22"/>
        </w:rPr>
        <w:t>g</w:t>
      </w:r>
      <w:r w:rsidR="004A3E7E" w:rsidRPr="00AA5D70">
        <w:rPr>
          <w:iCs/>
          <w:kern w:val="22"/>
        </w:rPr>
        <w:t xml:space="preserve">lobal </w:t>
      </w:r>
      <w:r w:rsidR="007D35C5" w:rsidRPr="00AA5D70">
        <w:rPr>
          <w:iCs/>
          <w:kern w:val="22"/>
        </w:rPr>
        <w:t>b</w:t>
      </w:r>
      <w:r w:rsidR="004A3E7E" w:rsidRPr="00AA5D70">
        <w:rPr>
          <w:iCs/>
          <w:kern w:val="22"/>
        </w:rPr>
        <w:t xml:space="preserve">iodiversity </w:t>
      </w:r>
      <w:r w:rsidR="007D35C5" w:rsidRPr="00AA5D70">
        <w:rPr>
          <w:iCs/>
          <w:kern w:val="22"/>
        </w:rPr>
        <w:t>f</w:t>
      </w:r>
      <w:r w:rsidR="004A3E7E" w:rsidRPr="00AA5D70">
        <w:rPr>
          <w:iCs/>
          <w:kern w:val="22"/>
        </w:rPr>
        <w:t>ramework</w:t>
      </w:r>
      <w:r w:rsidR="004A3E7E" w:rsidRPr="00AA5D70">
        <w:rPr>
          <w:kern w:val="22"/>
        </w:rPr>
        <w:t>;</w:t>
      </w:r>
    </w:p>
    <w:p w14:paraId="2629FB22" w14:textId="1BF52ED1" w:rsidR="00FD0CBF" w:rsidRPr="00AA5D70" w:rsidRDefault="004A3E7E" w:rsidP="00AA5D70">
      <w:pPr>
        <w:pStyle w:val="Para1"/>
        <w:numPr>
          <w:ilvl w:val="1"/>
          <w:numId w:val="2"/>
        </w:numPr>
        <w:suppressLineNumbers/>
        <w:suppressAutoHyphens/>
        <w:kinsoku w:val="0"/>
        <w:overflowPunct w:val="0"/>
        <w:autoSpaceDE w:val="0"/>
        <w:autoSpaceDN w:val="0"/>
        <w:adjustRightInd w:val="0"/>
        <w:snapToGrid w:val="0"/>
        <w:rPr>
          <w:kern w:val="22"/>
        </w:rPr>
      </w:pPr>
      <w:r w:rsidRPr="00AA5D70">
        <w:rPr>
          <w:iCs/>
          <w:kern w:val="22"/>
        </w:rPr>
        <w:t>Estimate</w:t>
      </w:r>
      <w:r w:rsidR="005525B0" w:rsidRPr="00AA5D70">
        <w:rPr>
          <w:iCs/>
          <w:kern w:val="22"/>
        </w:rPr>
        <w:t>s of</w:t>
      </w:r>
      <w:r w:rsidR="005525B0" w:rsidRPr="00AA5D70">
        <w:rPr>
          <w:kern w:val="22"/>
        </w:rPr>
        <w:t xml:space="preserve"> </w:t>
      </w:r>
      <w:r w:rsidRPr="00AA5D70">
        <w:rPr>
          <w:kern w:val="22"/>
        </w:rPr>
        <w:t>resource requirements</w:t>
      </w:r>
      <w:r w:rsidR="005525B0" w:rsidRPr="00AA5D70">
        <w:rPr>
          <w:iCs/>
          <w:kern w:val="22"/>
        </w:rPr>
        <w:t>,</w:t>
      </w:r>
      <w:r w:rsidRPr="00AA5D70">
        <w:rPr>
          <w:kern w:val="22"/>
        </w:rPr>
        <w:t xml:space="preserve"> and an associated resource mobilization strategy</w:t>
      </w:r>
      <w:r w:rsidR="005525B0" w:rsidRPr="00AA5D70">
        <w:rPr>
          <w:iCs/>
          <w:kern w:val="22"/>
        </w:rPr>
        <w:t>, for the programmes and initiatives.</w:t>
      </w:r>
    </w:p>
    <w:p w14:paraId="2E6C610A" w14:textId="09140831" w:rsidR="00F52EF9" w:rsidRPr="00AA5D70" w:rsidRDefault="00F52EF9" w:rsidP="00AA5D70">
      <w:pPr>
        <w:suppressLineNumbers/>
        <w:pBdr>
          <w:top w:val="nil"/>
          <w:left w:val="nil"/>
          <w:bottom w:val="nil"/>
          <w:right w:val="nil"/>
          <w:between w:val="nil"/>
        </w:pBdr>
        <w:suppressAutoHyphens/>
        <w:kinsoku w:val="0"/>
        <w:overflowPunct w:val="0"/>
        <w:autoSpaceDE w:val="0"/>
        <w:autoSpaceDN w:val="0"/>
        <w:adjustRightInd w:val="0"/>
        <w:snapToGrid w:val="0"/>
        <w:rPr>
          <w:iCs/>
          <w:snapToGrid w:val="0"/>
          <w:kern w:val="22"/>
        </w:rPr>
      </w:pPr>
    </w:p>
    <w:p w14:paraId="33EF435A" w14:textId="77777777" w:rsidR="00187AE5" w:rsidRPr="00AA5D70" w:rsidRDefault="00187AE5">
      <w:pPr>
        <w:jc w:val="left"/>
        <w:rPr>
          <w:rFonts w:asciiTheme="majorBidi" w:hAnsiTheme="majorBidi" w:cstheme="majorBidi"/>
          <w:snapToGrid w:val="0"/>
          <w:kern w:val="22"/>
          <w:szCs w:val="22"/>
        </w:rPr>
      </w:pPr>
      <w:bookmarkStart w:id="70" w:name="_Toc57214912"/>
      <w:r w:rsidRPr="00AA5D70">
        <w:rPr>
          <w:rFonts w:asciiTheme="majorBidi" w:hAnsiTheme="majorBidi" w:cstheme="majorBidi"/>
          <w:snapToGrid w:val="0"/>
          <w:kern w:val="22"/>
        </w:rPr>
        <w:br w:type="page"/>
      </w:r>
    </w:p>
    <w:p w14:paraId="1819FF5C" w14:textId="01C66A79" w:rsidR="004A3E7E" w:rsidRPr="00AA5D70" w:rsidRDefault="00E37046" w:rsidP="00AA5D70">
      <w:pPr>
        <w:pStyle w:val="CBD-Para"/>
        <w:keepNext/>
        <w:keepLines w:val="0"/>
        <w:numPr>
          <w:ilvl w:val="0"/>
          <w:numId w:val="0"/>
        </w:numPr>
        <w:suppressLineNumbers/>
        <w:suppressAutoHyphens/>
        <w:kinsoku w:val="0"/>
        <w:overflowPunct w:val="0"/>
        <w:autoSpaceDE w:val="0"/>
        <w:autoSpaceDN w:val="0"/>
        <w:adjustRightInd w:val="0"/>
        <w:snapToGrid w:val="0"/>
        <w:jc w:val="center"/>
        <w:outlineLvl w:val="2"/>
        <w:rPr>
          <w:rFonts w:asciiTheme="majorBidi" w:hAnsiTheme="majorBidi" w:cstheme="majorBidi"/>
          <w:i/>
          <w:iCs/>
          <w:snapToGrid w:val="0"/>
          <w:kern w:val="22"/>
          <w:lang w:val="en-GB"/>
        </w:rPr>
      </w:pPr>
      <w:r w:rsidRPr="00AA5D70">
        <w:rPr>
          <w:rFonts w:asciiTheme="majorBidi" w:hAnsiTheme="majorBidi" w:cstheme="majorBidi"/>
          <w:i/>
          <w:iCs/>
          <w:snapToGrid w:val="0"/>
          <w:kern w:val="22"/>
          <w:lang w:val="en-GB"/>
        </w:rPr>
        <w:lastRenderedPageBreak/>
        <w:t>Annex</w:t>
      </w:r>
      <w:r w:rsidR="008D7138" w:rsidRPr="00AA5D70">
        <w:rPr>
          <w:rFonts w:asciiTheme="majorBidi" w:hAnsiTheme="majorBidi" w:cstheme="majorBidi"/>
          <w:i/>
          <w:iCs/>
          <w:snapToGrid w:val="0"/>
          <w:kern w:val="22"/>
          <w:lang w:val="en-GB"/>
        </w:rPr>
        <w:t xml:space="preserve"> </w:t>
      </w:r>
      <w:r w:rsidRPr="00AA5D70">
        <w:rPr>
          <w:rFonts w:asciiTheme="majorBidi" w:hAnsiTheme="majorBidi" w:cstheme="majorBidi"/>
          <w:i/>
          <w:iCs/>
          <w:snapToGrid w:val="0"/>
          <w:kern w:val="22"/>
          <w:lang w:val="en-GB"/>
        </w:rPr>
        <w:t>III</w:t>
      </w:r>
      <w:bookmarkEnd w:id="70"/>
    </w:p>
    <w:p w14:paraId="3866345B" w14:textId="440D1B21" w:rsidR="004A3E7E" w:rsidRPr="00AA5D70" w:rsidRDefault="00B352F6" w:rsidP="00AA5D70">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en-GB"/>
        </w:rPr>
      </w:pPr>
      <w:bookmarkStart w:id="71" w:name="_Toc57214913"/>
      <w:r w:rsidRPr="00AA5D70">
        <w:rPr>
          <w:rFonts w:asciiTheme="majorBidi" w:hAnsiTheme="majorBidi" w:cs="Times New Roman (Headings CS)"/>
          <w:b/>
          <w:bCs/>
          <w:caps/>
          <w:snapToGrid w:val="0"/>
          <w:kern w:val="22"/>
          <w:sz w:val="22"/>
          <w:lang w:val="en-GB"/>
        </w:rPr>
        <w:t>Draft terms of reference of the Informal Advisory Group on Technical</w:t>
      </w:r>
      <w:r w:rsidRPr="00AA5D70">
        <w:rPr>
          <w:rFonts w:asciiTheme="majorBidi" w:hAnsiTheme="majorBidi" w:cs="Times New Roman (Headings CS)" w:hint="eastAsia"/>
          <w:b/>
          <w:bCs/>
          <w:caps/>
          <w:snapToGrid w:val="0"/>
          <w:kern w:val="22"/>
          <w:sz w:val="22"/>
          <w:lang w:val="en-GB"/>
        </w:rPr>
        <w:t> </w:t>
      </w:r>
      <w:r w:rsidRPr="00AA5D70">
        <w:rPr>
          <w:rFonts w:asciiTheme="majorBidi" w:hAnsiTheme="majorBidi" w:cs="Times New Roman (Headings CS)"/>
          <w:b/>
          <w:bCs/>
          <w:caps/>
          <w:snapToGrid w:val="0"/>
          <w:kern w:val="22"/>
          <w:sz w:val="22"/>
          <w:lang w:val="en-GB"/>
        </w:rPr>
        <w:t>and Scientific Cooperation</w:t>
      </w:r>
      <w:bookmarkEnd w:id="71"/>
    </w:p>
    <w:p w14:paraId="43F348EC" w14:textId="37904B09" w:rsidR="004A3E7E" w:rsidRPr="00AA5D70" w:rsidRDefault="00C26575" w:rsidP="00AA5D70">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eastAsia="en-CA"/>
        </w:rPr>
      </w:pPr>
      <w:bookmarkStart w:id="72" w:name="_Toc57214914"/>
      <w:r w:rsidRPr="00AA5D70">
        <w:rPr>
          <w:rFonts w:asciiTheme="majorBidi" w:hAnsiTheme="majorBidi" w:cstheme="majorBidi"/>
          <w:b/>
          <w:snapToGrid w:val="0"/>
          <w:kern w:val="22"/>
          <w:szCs w:val="22"/>
          <w:lang w:eastAsia="en-CA"/>
        </w:rPr>
        <w:t>A.</w:t>
      </w:r>
      <w:r w:rsidRPr="00AA5D70">
        <w:rPr>
          <w:rFonts w:asciiTheme="majorBidi" w:hAnsiTheme="majorBidi" w:cstheme="majorBidi"/>
          <w:b/>
          <w:snapToGrid w:val="0"/>
          <w:kern w:val="22"/>
          <w:szCs w:val="22"/>
          <w:lang w:eastAsia="en-CA"/>
        </w:rPr>
        <w:tab/>
      </w:r>
      <w:r w:rsidR="004A3E7E" w:rsidRPr="00AA5D70">
        <w:rPr>
          <w:rFonts w:asciiTheme="majorBidi" w:hAnsiTheme="majorBidi" w:cstheme="majorBidi"/>
          <w:b/>
          <w:snapToGrid w:val="0"/>
          <w:kern w:val="22"/>
          <w:szCs w:val="22"/>
          <w:lang w:eastAsia="en-CA"/>
        </w:rPr>
        <w:t>Background</w:t>
      </w:r>
      <w:bookmarkEnd w:id="72"/>
    </w:p>
    <w:p w14:paraId="6741529C" w14:textId="77777777"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spacing w:val="-2"/>
          <w:kern w:val="22"/>
          <w:lang w:val="en-GB"/>
        </w:rPr>
      </w:pPr>
      <w:r w:rsidRPr="00AA5D70">
        <w:rPr>
          <w:snapToGrid w:val="0"/>
          <w:spacing w:val="-2"/>
          <w:kern w:val="22"/>
          <w:lang w:val="en-GB"/>
        </w:rPr>
        <w:t>Article 18 of the Convention on Biological Diversity requires Parties to promote international technical and scientific cooperation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development of relevant technologies. Article 18 also stresses the importance of the clearing-house mechanism for fostering technical and scientific cooperation.</w:t>
      </w:r>
    </w:p>
    <w:p w14:paraId="500B1272" w14:textId="0A416AFC"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rPr>
      </w:pPr>
      <w:r w:rsidRPr="00AA5D70">
        <w:rPr>
          <w:snapToGrid w:val="0"/>
          <w:kern w:val="22"/>
          <w:lang w:val="en-GB" w:eastAsia="en-CA"/>
        </w:rPr>
        <w:t>In decisions, VII/29, VIII/12, IX/14, X/15, X/16, XII/2</w:t>
      </w:r>
      <w:r w:rsidR="00081DF5" w:rsidRPr="00AA5D70">
        <w:rPr>
          <w:snapToGrid w:val="0"/>
          <w:kern w:val="22"/>
          <w:lang w:val="en-GB" w:eastAsia="en-CA"/>
        </w:rPr>
        <w:t xml:space="preserve"> B</w:t>
      </w:r>
      <w:r w:rsidRPr="00AA5D70">
        <w:rPr>
          <w:snapToGrid w:val="0"/>
          <w:kern w:val="22"/>
          <w:lang w:val="en-GB" w:eastAsia="en-CA"/>
        </w:rPr>
        <w:t xml:space="preserve">, XIII/23 and XIII/31, the Conference of the Parties </w:t>
      </w:r>
      <w:r w:rsidRPr="00AA5D70">
        <w:rPr>
          <w:snapToGrid w:val="0"/>
          <w:kern w:val="22"/>
          <w:lang w:val="en-GB"/>
        </w:rPr>
        <w:t xml:space="preserve">adopted a number of measures and provided guidance on various aspects </w:t>
      </w:r>
      <w:r w:rsidRPr="00AA5D70">
        <w:rPr>
          <w:snapToGrid w:val="0"/>
          <w:kern w:val="22"/>
          <w:lang w:val="en-GB" w:eastAsia="en-CA"/>
        </w:rPr>
        <w:t>relating to technical and scientific cooperation and technology transfer.</w:t>
      </w:r>
    </w:p>
    <w:p w14:paraId="53CF8F35" w14:textId="7AA38A4E"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rPr>
      </w:pPr>
      <w:r w:rsidRPr="00AA5D70">
        <w:rPr>
          <w:snapToGrid w:val="0"/>
          <w:kern w:val="22"/>
          <w:lang w:val="en-GB" w:eastAsia="en-CA"/>
        </w:rPr>
        <w:t>In decision 1</w:t>
      </w:r>
      <w:r w:rsidRPr="00AA5D70">
        <w:rPr>
          <w:rFonts w:eastAsia="Malgun Gothic"/>
          <w:snapToGrid w:val="0"/>
          <w:kern w:val="22"/>
          <w:lang w:val="en-GB"/>
        </w:rPr>
        <w:t>4/24</w:t>
      </w:r>
      <w:r w:rsidR="0031272C" w:rsidRPr="00AA5D70">
        <w:rPr>
          <w:rFonts w:eastAsia="Malgun Gothic"/>
          <w:snapToGrid w:val="0"/>
          <w:kern w:val="22"/>
          <w:lang w:val="en-GB"/>
        </w:rPr>
        <w:t xml:space="preserve"> B</w:t>
      </w:r>
      <w:r w:rsidRPr="00AA5D70">
        <w:rPr>
          <w:rFonts w:eastAsia="Malgun Gothic"/>
          <w:snapToGrid w:val="0"/>
          <w:kern w:val="22"/>
          <w:lang w:val="en-GB"/>
        </w:rPr>
        <w:t xml:space="preserve">, the Conference of the Parties </w:t>
      </w:r>
      <w:r w:rsidRPr="00AA5D70">
        <w:rPr>
          <w:snapToGrid w:val="0"/>
          <w:kern w:val="22"/>
          <w:lang w:val="en-GB"/>
        </w:rPr>
        <w:t>decided to consider establishing, at its fifteenth meeting, an informal advisory group on technical and scientific cooperation, to be operational at the end of the mandate of the current Informal Advisory Committee to the Clearing-house Mechanism in 2020, to provide the Executive Secretary with advice on practical measures, tools and opportunities to promote technical and scientific cooperation for the effective implementation of the Convention.</w:t>
      </w:r>
    </w:p>
    <w:p w14:paraId="5CB5BE64" w14:textId="16B5334A" w:rsidR="004A3E7E" w:rsidRPr="00AA5D70" w:rsidRDefault="00C26575" w:rsidP="00AA5D7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73" w:name="_Toc57214915"/>
      <w:r w:rsidRPr="00AA5D70">
        <w:rPr>
          <w:b/>
          <w:snapToGrid w:val="0"/>
          <w:kern w:val="22"/>
          <w:szCs w:val="22"/>
          <w:lang w:eastAsia="en-CA"/>
        </w:rPr>
        <w:t>B</w:t>
      </w:r>
      <w:r w:rsidR="004A3E7E" w:rsidRPr="00AA5D70">
        <w:rPr>
          <w:b/>
          <w:snapToGrid w:val="0"/>
          <w:kern w:val="22"/>
          <w:szCs w:val="22"/>
          <w:lang w:eastAsia="en-CA"/>
        </w:rPr>
        <w:t>.</w:t>
      </w:r>
      <w:r w:rsidR="004A3E7E" w:rsidRPr="00AA5D70">
        <w:rPr>
          <w:b/>
          <w:snapToGrid w:val="0"/>
          <w:kern w:val="22"/>
          <w:szCs w:val="22"/>
          <w:lang w:eastAsia="en-CA"/>
        </w:rPr>
        <w:tab/>
        <w:t>Purpose</w:t>
      </w:r>
      <w:bookmarkEnd w:id="73"/>
    </w:p>
    <w:p w14:paraId="4355EFE0" w14:textId="77777777"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The Informal Advisory Group on Technical and Scientific Cooperation will provide advice and guidance to the Executive Secretary of the Convention on Biological Diversity and other relevant bodies and stakeholders on ways and means to promote and facilitate technical and scientific cooperation, technology transfer, capacity development, knowledge management, and the clearing-house mechanism in support of the post-2020 global biodiversity framework. In particular, the Informal Advisory Group will provide advice, guidance and recommendations on:</w:t>
      </w:r>
    </w:p>
    <w:p w14:paraId="52E02D48"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bookmarkStart w:id="74" w:name="_Hlk15470906"/>
      <w:r w:rsidRPr="00AA5D70">
        <w:rPr>
          <w:kern w:val="22"/>
          <w:szCs w:val="22"/>
        </w:rPr>
        <w:t>Practical measures and approaches to promote technical and scientific cooperation for the effective implementation of the Convention;</w:t>
      </w:r>
    </w:p>
    <w:p w14:paraId="7D35F2E0"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Measures to enhance collaboration with other relevant international agreements, processes and organizations with respect to technical and scientific cooperation and technology transfer initiatives;</w:t>
      </w:r>
    </w:p>
    <w:p w14:paraId="19B385C5"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Strategic approaches to addressing the needs and priorities of Parties through programmatic implementation of relevant technical and scientific cooperation initiatives established under the Convention;</w:t>
      </w:r>
    </w:p>
    <w:p w14:paraId="171F9CED"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Monitoring the implementation of the strategies on technical and scientific cooperation, capacity development and knowledge management in support of the post-2020 global biodiversity framework to ensure coherence and consistency;</w:t>
      </w:r>
    </w:p>
    <w:p w14:paraId="32D3F914"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Development and implementation of tools and mechanisms for promoting and facilitating technical and scientific cooperation, capacity development and knowledge management, including science and traditional knowledge systems;</w:t>
      </w:r>
    </w:p>
    <w:p w14:paraId="09074AF6" w14:textId="53E22554"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Matters relating to the clearing</w:t>
      </w:r>
      <w:r w:rsidR="00920418" w:rsidRPr="00AA5D70">
        <w:rPr>
          <w:kern w:val="22"/>
          <w:szCs w:val="22"/>
        </w:rPr>
        <w:t>-</w:t>
      </w:r>
      <w:r w:rsidRPr="00AA5D70">
        <w:rPr>
          <w:kern w:val="22"/>
          <w:szCs w:val="22"/>
        </w:rPr>
        <w:t>house</w:t>
      </w:r>
      <w:r w:rsidR="00920418" w:rsidRPr="00AA5D70">
        <w:rPr>
          <w:kern w:val="22"/>
          <w:szCs w:val="22"/>
        </w:rPr>
        <w:t xml:space="preserve"> </w:t>
      </w:r>
      <w:r w:rsidRPr="00AA5D70">
        <w:rPr>
          <w:kern w:val="22"/>
          <w:szCs w:val="22"/>
        </w:rPr>
        <w:t>mechanism and, in particular, on how to improve its effectiveness as a mechanism for promoting and facilitating technical and scientific cooperation and exchange of information;</w:t>
      </w:r>
    </w:p>
    <w:p w14:paraId="77D378E9"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Potential opportunities for mobilizing technical and financial resources to promote and sustain technical and scientific cooperation activities;</w:t>
      </w:r>
      <w:bookmarkEnd w:id="74"/>
    </w:p>
    <w:p w14:paraId="06D26FAB" w14:textId="77777777" w:rsidR="004A3E7E" w:rsidRPr="00AA5D70" w:rsidRDefault="004A3E7E" w:rsidP="00AA5D70">
      <w:pPr>
        <w:pStyle w:val="Para1"/>
        <w:numPr>
          <w:ilvl w:val="0"/>
          <w:numId w:val="64"/>
        </w:numPr>
        <w:suppressLineNumbers/>
        <w:tabs>
          <w:tab w:val="left" w:pos="720"/>
        </w:tabs>
        <w:suppressAutoHyphens/>
        <w:kinsoku w:val="0"/>
        <w:overflowPunct w:val="0"/>
        <w:autoSpaceDE w:val="0"/>
        <w:autoSpaceDN w:val="0"/>
        <w:adjustRightInd w:val="0"/>
        <w:snapToGrid w:val="0"/>
        <w:ind w:left="0" w:firstLine="720"/>
        <w:rPr>
          <w:kern w:val="22"/>
          <w:szCs w:val="22"/>
        </w:rPr>
      </w:pPr>
      <w:r w:rsidRPr="00AA5D70">
        <w:rPr>
          <w:kern w:val="22"/>
          <w:szCs w:val="22"/>
        </w:rPr>
        <w:t>Identification and mapping of existing collaboration activities.</w:t>
      </w:r>
    </w:p>
    <w:p w14:paraId="5212B1AF" w14:textId="03F3BE0C" w:rsidR="004A3E7E" w:rsidRPr="00AA5D70" w:rsidRDefault="004A3E7E" w:rsidP="00AA5D70">
      <w:pPr>
        <w:pStyle w:val="CBD-Para"/>
        <w:keepLines w:val="0"/>
        <w:numPr>
          <w:ilvl w:val="0"/>
          <w:numId w:val="6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lastRenderedPageBreak/>
        <w:t xml:space="preserve">The Secretariat of the Convention on Biological Diversity will support the work of the Informal Advisory Group, including </w:t>
      </w:r>
      <w:r w:rsidR="007C59E0" w:rsidRPr="00AA5D70">
        <w:rPr>
          <w:snapToGrid w:val="0"/>
          <w:kern w:val="22"/>
          <w:lang w:val="en-GB" w:eastAsia="en-CA"/>
        </w:rPr>
        <w:t xml:space="preserve">through </w:t>
      </w:r>
      <w:r w:rsidRPr="00AA5D70">
        <w:rPr>
          <w:snapToGrid w:val="0"/>
          <w:kern w:val="22"/>
          <w:lang w:val="en-GB" w:eastAsia="en-CA"/>
        </w:rPr>
        <w:t>the provision of necessary logistical and secretarial support for its work.</w:t>
      </w:r>
    </w:p>
    <w:p w14:paraId="32377A1D" w14:textId="5962C5FC" w:rsidR="004A3E7E" w:rsidRPr="00AA5D70" w:rsidRDefault="00C26575" w:rsidP="00AA5D7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75" w:name="_Toc57214916"/>
      <w:r w:rsidRPr="00AA5D70">
        <w:rPr>
          <w:b/>
          <w:snapToGrid w:val="0"/>
          <w:kern w:val="22"/>
          <w:szCs w:val="22"/>
          <w:lang w:eastAsia="en-CA"/>
        </w:rPr>
        <w:t>C</w:t>
      </w:r>
      <w:r w:rsidR="004A3E7E" w:rsidRPr="00AA5D70">
        <w:rPr>
          <w:b/>
          <w:snapToGrid w:val="0"/>
          <w:kern w:val="22"/>
          <w:szCs w:val="22"/>
          <w:lang w:eastAsia="en-CA"/>
        </w:rPr>
        <w:t>.</w:t>
      </w:r>
      <w:r w:rsidR="004A3E7E" w:rsidRPr="00AA5D70">
        <w:rPr>
          <w:b/>
          <w:snapToGrid w:val="0"/>
          <w:kern w:val="22"/>
          <w:szCs w:val="22"/>
          <w:lang w:eastAsia="en-CA"/>
        </w:rPr>
        <w:tab/>
        <w:t>Membership</w:t>
      </w:r>
      <w:bookmarkEnd w:id="75"/>
    </w:p>
    <w:p w14:paraId="155487D3" w14:textId="77777777" w:rsidR="004A3E7E" w:rsidRPr="00AA5D70" w:rsidRDefault="004A3E7E" w:rsidP="00AA5D70">
      <w:pPr>
        <w:pStyle w:val="CBD-Para"/>
        <w:keepLines w:val="0"/>
        <w:numPr>
          <w:ilvl w:val="0"/>
          <w:numId w:val="66"/>
        </w:numPr>
        <w:suppressLineNumbers/>
        <w:tabs>
          <w:tab w:val="left"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The Informal Advisory Group will be composed of experts nominated by Parties, with due regard to equitable regional representation and gender balance, as well as experts from indigenous peoples and local communities and relevant organizations. The number of experts from organizations will not exceed the number of experts nominated by Parties. Members will be selected on the basis of the following criteria, as evidenced in their curriculum vitae:</w:t>
      </w:r>
    </w:p>
    <w:p w14:paraId="66EB6299" w14:textId="77777777" w:rsidR="004A3E7E" w:rsidRPr="00AA5D70" w:rsidRDefault="004A3E7E" w:rsidP="00AA5D70">
      <w:pPr>
        <w:pStyle w:val="Para1"/>
        <w:numPr>
          <w:ilvl w:val="1"/>
          <w:numId w:val="65"/>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AA5D70">
        <w:rPr>
          <w:kern w:val="22"/>
          <w:szCs w:val="22"/>
          <w:lang w:eastAsia="en-CA"/>
        </w:rPr>
        <w:t xml:space="preserve">At </w:t>
      </w:r>
      <w:r w:rsidRPr="00AA5D70">
        <w:rPr>
          <w:kern w:val="22"/>
          <w:szCs w:val="22"/>
        </w:rPr>
        <w:t>least five years of working experience on technical and scientific issues related to the implementation of the Convention on Biological Diversity and/or other relevant international agreements and processes;</w:t>
      </w:r>
    </w:p>
    <w:p w14:paraId="6F326337" w14:textId="77777777" w:rsidR="004A3E7E" w:rsidRPr="00AA5D70" w:rsidRDefault="004A3E7E" w:rsidP="00AA5D70">
      <w:pPr>
        <w:pStyle w:val="Para1"/>
        <w:numPr>
          <w:ilvl w:val="1"/>
          <w:numId w:val="65"/>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AA5D70">
        <w:rPr>
          <w:kern w:val="22"/>
          <w:szCs w:val="22"/>
        </w:rPr>
        <w:t>Expertise relevant to technical and scientific cooperation, capacity development, and knowledge management and the clearing-house mechanism or similar online information-sharing platforms;</w:t>
      </w:r>
    </w:p>
    <w:p w14:paraId="7B153ACD" w14:textId="77777777" w:rsidR="004A3E7E" w:rsidRPr="00AA5D70" w:rsidRDefault="004A3E7E" w:rsidP="00AA5D70">
      <w:pPr>
        <w:pStyle w:val="Para1"/>
        <w:numPr>
          <w:ilvl w:val="1"/>
          <w:numId w:val="65"/>
        </w:numPr>
        <w:suppressLineNumbers/>
        <w:tabs>
          <w:tab w:val="clear" w:pos="1080"/>
        </w:tabs>
        <w:suppressAutoHyphens/>
        <w:kinsoku w:val="0"/>
        <w:overflowPunct w:val="0"/>
        <w:autoSpaceDE w:val="0"/>
        <w:autoSpaceDN w:val="0"/>
        <w:adjustRightInd w:val="0"/>
        <w:snapToGrid w:val="0"/>
        <w:ind w:left="0" w:firstLine="720"/>
        <w:rPr>
          <w:kern w:val="22"/>
          <w:szCs w:val="22"/>
        </w:rPr>
      </w:pPr>
      <w:r w:rsidRPr="00AA5D70">
        <w:rPr>
          <w:kern w:val="22"/>
          <w:szCs w:val="22"/>
        </w:rPr>
        <w:t>Demonstrated</w:t>
      </w:r>
      <w:r w:rsidRPr="00AA5D70">
        <w:rPr>
          <w:kern w:val="22"/>
          <w:szCs w:val="22"/>
          <w:lang w:eastAsia="en-CA"/>
        </w:rPr>
        <w:t xml:space="preserve"> experience with regional or international cooperation processes and programmes related to biodiversity</w:t>
      </w:r>
      <w:r w:rsidRPr="00AA5D70">
        <w:rPr>
          <w:kern w:val="22"/>
          <w:szCs w:val="22"/>
        </w:rPr>
        <w:t xml:space="preserve"> </w:t>
      </w:r>
      <w:r w:rsidRPr="00AA5D70">
        <w:rPr>
          <w:kern w:val="22"/>
          <w:szCs w:val="22"/>
          <w:lang w:eastAsia="en-CA"/>
        </w:rPr>
        <w:t>and/or the environment.</w:t>
      </w:r>
    </w:p>
    <w:p w14:paraId="787DB432" w14:textId="77777777"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The co-chairs of the Consortium of Scientific Partners on Biodiversity will be invited as ex officio members.</w:t>
      </w:r>
    </w:p>
    <w:p w14:paraId="0976C765" w14:textId="77777777"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2CCC3074" w14:textId="77777777"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Members of the Informal Advisory Group will serve for a term of two years, with a possibility of renewal for one additional two-year term.</w:t>
      </w:r>
    </w:p>
    <w:p w14:paraId="306BA5E9" w14:textId="54F64C28" w:rsidR="004A3E7E" w:rsidRPr="00AA5D70" w:rsidRDefault="00C26575" w:rsidP="00AA5D70">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eastAsia="en-CA"/>
        </w:rPr>
      </w:pPr>
      <w:bookmarkStart w:id="76" w:name="_Toc57214917"/>
      <w:r w:rsidRPr="00AA5D70">
        <w:rPr>
          <w:b/>
          <w:snapToGrid w:val="0"/>
          <w:kern w:val="22"/>
          <w:szCs w:val="22"/>
          <w:lang w:eastAsia="en-CA"/>
        </w:rPr>
        <w:t>D</w:t>
      </w:r>
      <w:r w:rsidR="004A3E7E" w:rsidRPr="00AA5D70">
        <w:rPr>
          <w:b/>
          <w:snapToGrid w:val="0"/>
          <w:kern w:val="22"/>
          <w:szCs w:val="22"/>
          <w:lang w:eastAsia="en-CA"/>
        </w:rPr>
        <w:t>.</w:t>
      </w:r>
      <w:r w:rsidR="004A3E7E" w:rsidRPr="00AA5D70">
        <w:rPr>
          <w:b/>
          <w:snapToGrid w:val="0"/>
          <w:kern w:val="22"/>
          <w:szCs w:val="22"/>
          <w:lang w:eastAsia="en-CA"/>
        </w:rPr>
        <w:tab/>
        <w:t>Modus operandi</w:t>
      </w:r>
      <w:bookmarkEnd w:id="76"/>
    </w:p>
    <w:p w14:paraId="2CC8B855" w14:textId="17E5CA4E"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 xml:space="preserve">The Advisory Group will meet face-to-face at least once per year, subject to the availability of resources, wherever possible in the margins of other meetings. The frequency of meetings may be adjusted by the members as the need arises. </w:t>
      </w:r>
      <w:r w:rsidR="00BF0D1D" w:rsidRPr="00AA5D70">
        <w:rPr>
          <w:snapToGrid w:val="0"/>
          <w:kern w:val="22"/>
          <w:lang w:val="en-GB" w:eastAsia="en-CA"/>
        </w:rPr>
        <w:t xml:space="preserve">Between </w:t>
      </w:r>
      <w:r w:rsidR="00D75844" w:rsidRPr="00AA5D70">
        <w:rPr>
          <w:snapToGrid w:val="0"/>
          <w:kern w:val="22"/>
          <w:lang w:val="en-GB" w:eastAsia="en-CA"/>
        </w:rPr>
        <w:t xml:space="preserve">the </w:t>
      </w:r>
      <w:r w:rsidR="00BF0D1D" w:rsidRPr="00AA5D70">
        <w:rPr>
          <w:snapToGrid w:val="0"/>
          <w:kern w:val="22"/>
          <w:lang w:val="en-GB" w:eastAsia="en-CA"/>
        </w:rPr>
        <w:t>face-to-face sessions, t</w:t>
      </w:r>
      <w:r w:rsidRPr="00AA5D70">
        <w:rPr>
          <w:snapToGrid w:val="0"/>
          <w:kern w:val="22"/>
          <w:lang w:val="en-GB" w:eastAsia="en-CA"/>
        </w:rPr>
        <w:t xml:space="preserve">he </w:t>
      </w:r>
      <w:r w:rsidR="00636F5B" w:rsidRPr="00AA5D70">
        <w:rPr>
          <w:snapToGrid w:val="0"/>
          <w:kern w:val="22"/>
          <w:lang w:val="en-GB" w:eastAsia="en-CA"/>
        </w:rPr>
        <w:t xml:space="preserve">Advisory </w:t>
      </w:r>
      <w:r w:rsidRPr="00AA5D70">
        <w:rPr>
          <w:snapToGrid w:val="0"/>
          <w:kern w:val="22"/>
          <w:lang w:val="en-GB" w:eastAsia="en-CA"/>
        </w:rPr>
        <w:t xml:space="preserve">Group </w:t>
      </w:r>
      <w:r w:rsidR="00C62753" w:rsidRPr="00AA5D70">
        <w:rPr>
          <w:snapToGrid w:val="0"/>
          <w:kern w:val="22"/>
          <w:lang w:val="en-GB" w:eastAsia="en-CA"/>
        </w:rPr>
        <w:t xml:space="preserve">may </w:t>
      </w:r>
      <w:r w:rsidRPr="00AA5D70">
        <w:rPr>
          <w:snapToGrid w:val="0"/>
          <w:kern w:val="22"/>
          <w:lang w:val="en-GB" w:eastAsia="en-CA"/>
        </w:rPr>
        <w:t>work remotely via electronic means</w:t>
      </w:r>
      <w:r w:rsidR="00B1286D" w:rsidRPr="00AA5D70">
        <w:rPr>
          <w:snapToGrid w:val="0"/>
          <w:kern w:val="22"/>
          <w:lang w:val="en-GB" w:eastAsia="en-CA"/>
        </w:rPr>
        <w:t>, as appropriate</w:t>
      </w:r>
      <w:r w:rsidRPr="00AA5D70">
        <w:rPr>
          <w:snapToGrid w:val="0"/>
          <w:kern w:val="22"/>
          <w:lang w:val="en-GB" w:eastAsia="en-CA"/>
        </w:rPr>
        <w:t>.</w:t>
      </w:r>
    </w:p>
    <w:p w14:paraId="2B5462CE" w14:textId="77777777"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The Advisory Group may, as appropriate, establish subcommittees to support it in addressing specific issues or thematic areas and co-opt relevant experts to assist.</w:t>
      </w:r>
    </w:p>
    <w:p w14:paraId="5F5F4F14" w14:textId="14991EB0"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eastAsia="en-CA"/>
        </w:rPr>
      </w:pPr>
      <w:r w:rsidRPr="00AA5D70">
        <w:rPr>
          <w:snapToGrid w:val="0"/>
          <w:kern w:val="22"/>
          <w:lang w:val="en-GB" w:eastAsia="en-CA"/>
        </w:rPr>
        <w:t xml:space="preserve">The Advisory Group members shall not receive any honorarium, fee or other remuneration from the United Nations. However, costs for the participation of </w:t>
      </w:r>
      <w:r w:rsidR="00636F5B" w:rsidRPr="00AA5D70">
        <w:rPr>
          <w:snapToGrid w:val="0"/>
          <w:kern w:val="22"/>
          <w:lang w:val="en-GB" w:eastAsia="en-CA"/>
        </w:rPr>
        <w:t xml:space="preserve">Advisory </w:t>
      </w:r>
      <w:r w:rsidRPr="00AA5D70">
        <w:rPr>
          <w:snapToGrid w:val="0"/>
          <w:kern w:val="22"/>
          <w:lang w:val="en-GB" w:eastAsia="en-CA"/>
        </w:rPr>
        <w:t>Group members nominated by developing country Parties and Parties with economies in transition will be covered, in line with the rules and regulations of the United Nations.</w:t>
      </w:r>
    </w:p>
    <w:p w14:paraId="5704FA0E" w14:textId="658EDBEA" w:rsidR="004A3E7E"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spacing w:val="-2"/>
          <w:kern w:val="22"/>
          <w:lang w:val="en-GB" w:eastAsia="en-CA"/>
        </w:rPr>
      </w:pPr>
      <w:r w:rsidRPr="00AA5D70">
        <w:rPr>
          <w:snapToGrid w:val="0"/>
          <w:spacing w:val="-2"/>
          <w:kern w:val="22"/>
          <w:lang w:val="en-GB" w:eastAsia="en-CA"/>
        </w:rPr>
        <w:t>The Informal Advisory Group will elect two co-chairs and a rapporteur to serve for a two-year period.</w:t>
      </w:r>
    </w:p>
    <w:p w14:paraId="5D511F0A" w14:textId="1FFC0D64" w:rsidR="00315555" w:rsidRPr="00AA5D70" w:rsidRDefault="004A3E7E" w:rsidP="00AA5D70">
      <w:pPr>
        <w:pStyle w:val="CBD-Para"/>
        <w:keepLines w:val="0"/>
        <w:numPr>
          <w:ilvl w:val="0"/>
          <w:numId w:val="66"/>
        </w:numPr>
        <w:suppressLineNumbers/>
        <w:tabs>
          <w:tab w:val="clear" w:pos="720"/>
        </w:tabs>
        <w:suppressAutoHyphens/>
        <w:kinsoku w:val="0"/>
        <w:overflowPunct w:val="0"/>
        <w:autoSpaceDE w:val="0"/>
        <w:autoSpaceDN w:val="0"/>
        <w:adjustRightInd w:val="0"/>
        <w:snapToGrid w:val="0"/>
        <w:rPr>
          <w:snapToGrid w:val="0"/>
          <w:kern w:val="22"/>
          <w:lang w:val="en-GB"/>
        </w:rPr>
      </w:pPr>
      <w:r w:rsidRPr="00AA5D70">
        <w:rPr>
          <w:snapToGrid w:val="0"/>
          <w:kern w:val="22"/>
          <w:lang w:val="en-GB" w:eastAsia="en-CA"/>
        </w:rPr>
        <w:t xml:space="preserve">The working language of the </w:t>
      </w:r>
      <w:r w:rsidR="00636F5B" w:rsidRPr="00AA5D70">
        <w:rPr>
          <w:snapToGrid w:val="0"/>
          <w:kern w:val="22"/>
          <w:lang w:val="en-GB" w:eastAsia="en-CA"/>
        </w:rPr>
        <w:t xml:space="preserve">Advisory </w:t>
      </w:r>
      <w:r w:rsidRPr="00AA5D70">
        <w:rPr>
          <w:snapToGrid w:val="0"/>
          <w:kern w:val="22"/>
          <w:lang w:val="en-GB" w:eastAsia="en-CA"/>
        </w:rPr>
        <w:t>Group will be English</w:t>
      </w:r>
      <w:r w:rsidR="00D47DB7" w:rsidRPr="00D16AC1">
        <w:rPr>
          <w:snapToGrid w:val="0"/>
          <w:kern w:val="22"/>
          <w:lang w:val="en-GB" w:eastAsia="en-CA"/>
        </w:rPr>
        <w:t>.</w:t>
      </w:r>
    </w:p>
    <w:p w14:paraId="7C3DC06B" w14:textId="344C72EF" w:rsidR="00B3369F" w:rsidRPr="00AA5D70" w:rsidRDefault="006B112D" w:rsidP="00AA5D70">
      <w:pPr>
        <w:pStyle w:val="CBD-Para"/>
        <w:keepLines w:val="0"/>
        <w:numPr>
          <w:ilvl w:val="0"/>
          <w:numId w:val="0"/>
        </w:numPr>
        <w:suppressLineNumbers/>
        <w:suppressAutoHyphens/>
        <w:kinsoku w:val="0"/>
        <w:overflowPunct w:val="0"/>
        <w:autoSpaceDE w:val="0"/>
        <w:autoSpaceDN w:val="0"/>
        <w:adjustRightInd w:val="0"/>
        <w:snapToGrid w:val="0"/>
        <w:spacing w:before="0" w:after="0"/>
        <w:jc w:val="center"/>
        <w:rPr>
          <w:snapToGrid w:val="0"/>
          <w:kern w:val="22"/>
          <w:lang w:val="en-GB"/>
        </w:rPr>
      </w:pPr>
      <w:r w:rsidRPr="00AA5D70">
        <w:rPr>
          <w:snapToGrid w:val="0"/>
          <w:kern w:val="22"/>
          <w:lang w:val="en-GB"/>
        </w:rPr>
        <w:t>______</w:t>
      </w:r>
      <w:r w:rsidR="00E41066" w:rsidRPr="00AA5D70">
        <w:rPr>
          <w:snapToGrid w:val="0"/>
          <w:kern w:val="22"/>
          <w:lang w:val="en-GB"/>
        </w:rPr>
        <w:t>____</w:t>
      </w:r>
    </w:p>
    <w:sectPr w:rsidR="00B3369F" w:rsidRPr="00AA5D70" w:rsidSect="00D704C9">
      <w:headerReference w:type="even" r:id="rId29"/>
      <w:headerReference w:type="default" r:id="rId30"/>
      <w:pgSz w:w="12240" w:h="15840"/>
      <w:pgMar w:top="567" w:right="1389" w:bottom="1134" w:left="1389" w:header="5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1348" w14:textId="77777777" w:rsidR="00D15059" w:rsidRDefault="00D15059" w:rsidP="00CF1848">
      <w:r>
        <w:separator/>
      </w:r>
    </w:p>
  </w:endnote>
  <w:endnote w:type="continuationSeparator" w:id="0">
    <w:p w14:paraId="1A0456CD" w14:textId="77777777" w:rsidR="00D15059" w:rsidRDefault="00D15059" w:rsidP="00CF1848">
      <w:r>
        <w:continuationSeparator/>
      </w:r>
    </w:p>
  </w:endnote>
  <w:endnote w:type="continuationNotice" w:id="1">
    <w:p w14:paraId="366864D4" w14:textId="77777777" w:rsidR="00D15059" w:rsidRDefault="00D15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NewRomanPS">
    <w:altName w:val="Times New Roman"/>
    <w:panose1 w:val="00000000000000000000"/>
    <w:charset w:val="00"/>
    <w:family w:val="roman"/>
    <w:notTrueType/>
    <w:pitch w:val="default"/>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6E16F" w14:textId="77777777" w:rsidR="00D15059" w:rsidRDefault="00D15059" w:rsidP="00CF1848">
      <w:r>
        <w:separator/>
      </w:r>
    </w:p>
  </w:footnote>
  <w:footnote w:type="continuationSeparator" w:id="0">
    <w:p w14:paraId="11D1BC26" w14:textId="77777777" w:rsidR="00D15059" w:rsidRDefault="00D15059" w:rsidP="00CF1848">
      <w:r>
        <w:continuationSeparator/>
      </w:r>
    </w:p>
  </w:footnote>
  <w:footnote w:type="continuationNotice" w:id="1">
    <w:p w14:paraId="47F76967" w14:textId="77777777" w:rsidR="00D15059" w:rsidRDefault="00D15059"/>
  </w:footnote>
  <w:footnote w:id="2">
    <w:p w14:paraId="3BC4B8E5" w14:textId="77777777"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vertAlign w:val="baseline"/>
        </w:rPr>
        <w:t>*</w:t>
      </w:r>
      <w:r w:rsidRPr="00AA5D70">
        <w:rPr>
          <w:snapToGrid w:val="0"/>
          <w:kern w:val="18"/>
          <w:szCs w:val="18"/>
        </w:rPr>
        <w:t xml:space="preserve"> CBD/SBI/3/1.</w:t>
      </w:r>
    </w:p>
  </w:footnote>
  <w:footnote w:id="3">
    <w:p w14:paraId="199068AA" w14:textId="77777777"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spacing w:val="-8"/>
          <w:kern w:val="18"/>
          <w:szCs w:val="18"/>
        </w:rPr>
      </w:pPr>
      <w:r w:rsidRPr="00AA5D70">
        <w:rPr>
          <w:rStyle w:val="FootnoteReference"/>
          <w:rFonts w:eastAsiaTheme="majorEastAsia"/>
          <w:snapToGrid w:val="0"/>
          <w:spacing w:val="-8"/>
          <w:kern w:val="18"/>
          <w:sz w:val="18"/>
          <w:szCs w:val="18"/>
        </w:rPr>
        <w:footnoteRef/>
      </w:r>
      <w:r w:rsidRPr="00AA5D70">
        <w:rPr>
          <w:snapToGrid w:val="0"/>
          <w:spacing w:val="-8"/>
          <w:kern w:val="18"/>
          <w:szCs w:val="18"/>
        </w:rPr>
        <w:t xml:space="preserve"> See General Assembly resolution </w:t>
      </w:r>
      <w:hyperlink r:id="rId1" w:history="1">
        <w:r w:rsidRPr="00AA5D70">
          <w:rPr>
            <w:rStyle w:val="Hyperlink"/>
            <w:snapToGrid w:val="0"/>
            <w:spacing w:val="-8"/>
            <w:kern w:val="18"/>
            <w:szCs w:val="18"/>
          </w:rPr>
          <w:t>70/1</w:t>
        </w:r>
      </w:hyperlink>
      <w:r w:rsidRPr="00AA5D70">
        <w:rPr>
          <w:snapToGrid w:val="0"/>
          <w:spacing w:val="-8"/>
          <w:kern w:val="18"/>
          <w:szCs w:val="18"/>
        </w:rPr>
        <w:t xml:space="preserve"> of 25 September 2015 entitled “Transforming our world: the 2030 Agenda for Sustainable Development”.</w:t>
      </w:r>
    </w:p>
  </w:footnote>
  <w:footnote w:id="4">
    <w:p w14:paraId="5B330479" w14:textId="73E2047A" w:rsidR="0074751A" w:rsidRPr="00AA5D70" w:rsidRDefault="0074751A"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full </w:t>
      </w:r>
      <w:r w:rsidR="005C4493" w:rsidRPr="00AA5D70">
        <w:rPr>
          <w:snapToGrid w:val="0"/>
          <w:kern w:val="18"/>
          <w:szCs w:val="18"/>
        </w:rPr>
        <w:t xml:space="preserve">version of the </w:t>
      </w:r>
      <w:r w:rsidRPr="00AA5D70">
        <w:rPr>
          <w:snapToGrid w:val="0"/>
          <w:kern w:val="18"/>
          <w:szCs w:val="18"/>
        </w:rPr>
        <w:t>report is available as CBD/SBI/3/INF/14.</w:t>
      </w:r>
    </w:p>
  </w:footnote>
  <w:footnote w:id="5">
    <w:p w14:paraId="2DC9C682" w14:textId="08D37831" w:rsidR="00A33A36" w:rsidRPr="00AA5D70" w:rsidRDefault="00A33A36"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r w:rsidR="00817C63" w:rsidRPr="00AA5D70">
        <w:rPr>
          <w:snapToGrid w:val="0"/>
          <w:kern w:val="18"/>
          <w:szCs w:val="18"/>
        </w:rPr>
        <w:t xml:space="preserve">The full progress report </w:t>
      </w:r>
      <w:r w:rsidR="001F09CA" w:rsidRPr="00AA5D70">
        <w:rPr>
          <w:snapToGrid w:val="0"/>
          <w:kern w:val="18"/>
          <w:szCs w:val="18"/>
        </w:rPr>
        <w:t xml:space="preserve">is available </w:t>
      </w:r>
      <w:r w:rsidR="00817C63" w:rsidRPr="00AA5D70">
        <w:rPr>
          <w:snapToGrid w:val="0"/>
          <w:kern w:val="18"/>
          <w:szCs w:val="18"/>
        </w:rPr>
        <w:t>in CBD/</w:t>
      </w:r>
      <w:r w:rsidR="000B1F5A" w:rsidRPr="00AA5D70">
        <w:rPr>
          <w:snapToGrid w:val="0"/>
          <w:kern w:val="18"/>
          <w:szCs w:val="18"/>
        </w:rPr>
        <w:t>SBI/3/INF/18</w:t>
      </w:r>
      <w:r w:rsidRPr="00AA5D70">
        <w:rPr>
          <w:snapToGrid w:val="0"/>
          <w:kern w:val="18"/>
          <w:szCs w:val="18"/>
        </w:rPr>
        <w:t>.</w:t>
      </w:r>
    </w:p>
  </w:footnote>
  <w:footnote w:id="6">
    <w:p w14:paraId="7D620739" w14:textId="6D04F01D"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The </w:t>
      </w:r>
      <w:proofErr w:type="spellStart"/>
      <w:r w:rsidRPr="004F4953">
        <w:rPr>
          <w:snapToGrid w:val="0"/>
          <w:kern w:val="18"/>
          <w:szCs w:val="18"/>
        </w:rPr>
        <w:t>BioCAP</w:t>
      </w:r>
      <w:proofErr w:type="spellEnd"/>
      <w:r w:rsidRPr="004F4953">
        <w:rPr>
          <w:snapToGrid w:val="0"/>
          <w:kern w:val="18"/>
          <w:szCs w:val="18"/>
        </w:rPr>
        <w:t xml:space="preserve"> issues are available on the Convention’s website, at </w:t>
      </w:r>
      <w:hyperlink r:id="rId2" w:history="1">
        <w:r w:rsidRPr="004F4953">
          <w:rPr>
            <w:rStyle w:val="Hyperlink"/>
            <w:snapToGrid w:val="0"/>
            <w:kern w:val="18"/>
            <w:szCs w:val="18"/>
          </w:rPr>
          <w:t>https://www.cbd.int/cb/BioCAP/</w:t>
        </w:r>
      </w:hyperlink>
      <w:r w:rsidRPr="004F4953">
        <w:rPr>
          <w:snapToGrid w:val="0"/>
          <w:kern w:val="18"/>
          <w:szCs w:val="18"/>
        </w:rPr>
        <w:t>.</w:t>
      </w:r>
    </w:p>
  </w:footnote>
  <w:footnote w:id="7">
    <w:p w14:paraId="34BBFFA8" w14:textId="01C39EDC"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See further details about </w:t>
      </w:r>
      <w:proofErr w:type="spellStart"/>
      <w:r w:rsidRPr="004F4953">
        <w:rPr>
          <w:snapToGrid w:val="0"/>
          <w:kern w:val="18"/>
          <w:szCs w:val="18"/>
        </w:rPr>
        <w:t>Bioland</w:t>
      </w:r>
      <w:proofErr w:type="spellEnd"/>
      <w:r w:rsidRPr="004F4953">
        <w:rPr>
          <w:snapToGrid w:val="0"/>
          <w:kern w:val="18"/>
          <w:szCs w:val="18"/>
        </w:rPr>
        <w:t xml:space="preserve"> at </w:t>
      </w:r>
      <w:hyperlink r:id="rId3" w:history="1">
        <w:r w:rsidRPr="004F4953">
          <w:rPr>
            <w:rStyle w:val="Hyperlink"/>
            <w:snapToGrid w:val="0"/>
            <w:kern w:val="18"/>
            <w:szCs w:val="18"/>
          </w:rPr>
          <w:t>https://demo.chm-cbd.net/</w:t>
        </w:r>
      </w:hyperlink>
      <w:r w:rsidRPr="004F4953">
        <w:rPr>
          <w:snapToGrid w:val="0"/>
          <w:kern w:val="18"/>
          <w:szCs w:val="18"/>
        </w:rPr>
        <w:t>.</w:t>
      </w:r>
    </w:p>
  </w:footnote>
  <w:footnote w:id="8">
    <w:p w14:paraId="776474A9" w14:textId="3263C811" w:rsidR="00D15035" w:rsidRPr="00AA5D70" w:rsidRDefault="00D15035" w:rsidP="00AA5D70">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AA5D70">
        <w:rPr>
          <w:rStyle w:val="FootnoteReference"/>
          <w:snapToGrid w:val="0"/>
          <w:spacing w:val="-2"/>
          <w:kern w:val="18"/>
          <w:sz w:val="18"/>
          <w:szCs w:val="18"/>
        </w:rPr>
        <w:footnoteRef/>
      </w:r>
      <w:r w:rsidRPr="00AA5D70">
        <w:rPr>
          <w:rStyle w:val="FootnoteReference"/>
          <w:snapToGrid w:val="0"/>
          <w:spacing w:val="-2"/>
          <w:kern w:val="18"/>
          <w:sz w:val="18"/>
          <w:szCs w:val="18"/>
          <w:vertAlign w:val="baseline"/>
        </w:rPr>
        <w:t xml:space="preserve"> </w:t>
      </w:r>
      <w:r w:rsidR="005601F6" w:rsidRPr="00AA5D70">
        <w:rPr>
          <w:rStyle w:val="FootnoteReference"/>
          <w:snapToGrid w:val="0"/>
          <w:spacing w:val="-2"/>
          <w:kern w:val="18"/>
          <w:sz w:val="18"/>
          <w:szCs w:val="18"/>
          <w:vertAlign w:val="baseline"/>
        </w:rPr>
        <w:t>For example, since 2015, the Global Taxonomy Initiative (GTI) has been providing training opportunities on DNA technologies useful for biodiversity management that requires rapid species identification. Trainers trained in the first phase of the GTI trainings (2015-2017) have since co-facilitated additional trainings, thus further spreading the skills attained (</w:t>
      </w:r>
      <w:r w:rsidR="009448A3" w:rsidRPr="00AA5D70">
        <w:rPr>
          <w:snapToGrid w:val="0"/>
          <w:spacing w:val="-2"/>
          <w:kern w:val="18"/>
          <w:szCs w:val="18"/>
        </w:rPr>
        <w:t>s</w:t>
      </w:r>
      <w:r w:rsidR="005601F6" w:rsidRPr="00AA5D70">
        <w:rPr>
          <w:rStyle w:val="FootnoteReference"/>
          <w:snapToGrid w:val="0"/>
          <w:spacing w:val="-2"/>
          <w:kern w:val="18"/>
          <w:sz w:val="18"/>
          <w:szCs w:val="18"/>
          <w:vertAlign w:val="baseline"/>
        </w:rPr>
        <w:t xml:space="preserve">ee </w:t>
      </w:r>
      <w:hyperlink r:id="rId4" w:history="1">
        <w:r w:rsidR="005601F6" w:rsidRPr="00AA5D70">
          <w:rPr>
            <w:rStyle w:val="FootnoteReference"/>
            <w:snapToGrid w:val="0"/>
            <w:spacing w:val="-2"/>
            <w:kern w:val="18"/>
            <w:sz w:val="18"/>
            <w:szCs w:val="18"/>
            <w:vertAlign w:val="baseline"/>
          </w:rPr>
          <w:t>CBD/SBSTTA/23/INF/18</w:t>
        </w:r>
      </w:hyperlink>
      <w:r w:rsidR="005601F6" w:rsidRPr="00AA5D70">
        <w:rPr>
          <w:rStyle w:val="FootnoteReference"/>
          <w:snapToGrid w:val="0"/>
          <w:spacing w:val="-2"/>
          <w:kern w:val="18"/>
          <w:sz w:val="18"/>
          <w:szCs w:val="18"/>
          <w:vertAlign w:val="baseline"/>
        </w:rPr>
        <w:t>)</w:t>
      </w:r>
      <w:r w:rsidR="009448A3" w:rsidRPr="00AA5D70">
        <w:rPr>
          <w:rStyle w:val="FootnoteReference"/>
          <w:snapToGrid w:val="0"/>
          <w:spacing w:val="-2"/>
          <w:kern w:val="18"/>
          <w:sz w:val="18"/>
          <w:szCs w:val="18"/>
          <w:vertAlign w:val="baseline"/>
        </w:rPr>
        <w:t>.</w:t>
      </w:r>
    </w:p>
  </w:footnote>
  <w:footnote w:id="9">
    <w:p w14:paraId="2B4BA3E1" w14:textId="52B7DAD1"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Some of the countries that have directly benefited from small-scale projects include Antigua and Barbuda, Belarus, Benin, Bhutan, Botswana, Brazil, Burundi, Cambodia, Cameroon, China, Colombia, Costa Rica, Cuba, Ecuador, Ethiopia, Ghana, India, Kenya, Liberia, Madagascar, Malawi, Mexico, Mongolia, Morocco, Namibia, Nigeria, Peru, Philippines, Republic of Moldova, Senegal, Singapore, South Africa, Sri Lanka, Suriname, Thailand, Togo, Tunisia, Turkey, Uruguay, Venezuela (Bolivarian Republic of), Viet Nam and Zimbabwe.</w:t>
      </w:r>
    </w:p>
  </w:footnote>
  <w:footnote w:id="10">
    <w:p w14:paraId="0FDAAC08" w14:textId="5F4DFE11"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To facilitate decentralized implementation of the </w:t>
      </w:r>
      <w:r w:rsidR="00072D03" w:rsidRPr="004F4953">
        <w:rPr>
          <w:snapToGrid w:val="0"/>
          <w:kern w:val="18"/>
          <w:szCs w:val="18"/>
        </w:rPr>
        <w:t xml:space="preserve">Aichi Biodiversity </w:t>
      </w:r>
      <w:r w:rsidRPr="004F4953">
        <w:rPr>
          <w:snapToGrid w:val="0"/>
          <w:kern w:val="18"/>
          <w:szCs w:val="18"/>
        </w:rPr>
        <w:t>Target 11 road</w:t>
      </w:r>
      <w:r w:rsidR="00177498" w:rsidRPr="004F4953">
        <w:rPr>
          <w:snapToGrid w:val="0"/>
          <w:kern w:val="18"/>
          <w:szCs w:val="18"/>
        </w:rPr>
        <w:t xml:space="preserve"> </w:t>
      </w:r>
      <w:r w:rsidRPr="004F4953">
        <w:rPr>
          <w:snapToGrid w:val="0"/>
          <w:kern w:val="18"/>
          <w:szCs w:val="18"/>
        </w:rPr>
        <w:t>maps, the Secretariat facilitated the establishment and operationalization of implementation support networks in 10 subregions.</w:t>
      </w:r>
    </w:p>
  </w:footnote>
  <w:footnote w:id="11">
    <w:p w14:paraId="530678B6" w14:textId="77777777"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See details at </w:t>
      </w:r>
      <w:hyperlink r:id="rId5" w:history="1">
        <w:r w:rsidRPr="004F4953">
          <w:rPr>
            <w:rStyle w:val="Hyperlink"/>
            <w:snapToGrid w:val="0"/>
            <w:kern w:val="18"/>
            <w:szCs w:val="18"/>
          </w:rPr>
          <w:t>http://www.biodiversityfinance.net/regional-nodes</w:t>
        </w:r>
      </w:hyperlink>
      <w:r w:rsidRPr="004F4953">
        <w:rPr>
          <w:snapToGrid w:val="0"/>
          <w:kern w:val="18"/>
          <w:szCs w:val="18"/>
        </w:rPr>
        <w:t>.</w:t>
      </w:r>
    </w:p>
  </w:footnote>
  <w:footnote w:id="12">
    <w:p w14:paraId="3A51B4BC" w14:textId="4E18CE55"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See details at </w:t>
      </w:r>
      <w:hyperlink r:id="rId6" w:history="1">
        <w:r w:rsidRPr="004F4953">
          <w:rPr>
            <w:rStyle w:val="Hyperlink"/>
            <w:snapToGrid w:val="0"/>
            <w:kern w:val="18"/>
            <w:szCs w:val="18"/>
          </w:rPr>
          <w:t>http://bch.cbd.int/onlineconferences/portal_detection/lab_network.shtml</w:t>
        </w:r>
      </w:hyperlink>
      <w:r w:rsidRPr="004F4953">
        <w:rPr>
          <w:snapToGrid w:val="0"/>
          <w:kern w:val="18"/>
          <w:szCs w:val="18"/>
        </w:rPr>
        <w:t>.</w:t>
      </w:r>
    </w:p>
  </w:footnote>
  <w:footnote w:id="13">
    <w:p w14:paraId="6B8F693C" w14:textId="00DF348D" w:rsidR="004A2392" w:rsidRPr="004F4953"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4F4953">
        <w:rPr>
          <w:snapToGrid w:val="0"/>
          <w:kern w:val="18"/>
          <w:szCs w:val="18"/>
        </w:rPr>
        <w:t xml:space="preserve"> See </w:t>
      </w:r>
      <w:hyperlink r:id="rId7" w:history="1">
        <w:r w:rsidRPr="004F4953">
          <w:rPr>
            <w:rStyle w:val="Hyperlink"/>
            <w:snapToGrid w:val="0"/>
            <w:kern w:val="18"/>
            <w:szCs w:val="18"/>
          </w:rPr>
          <w:t>https://www.idlo.int/fr/what-we-do/initiatives/capacity-building-programme-support-implementation-nagoya-protocol</w:t>
        </w:r>
      </w:hyperlink>
      <w:r w:rsidRPr="004F4953">
        <w:rPr>
          <w:snapToGrid w:val="0"/>
          <w:kern w:val="18"/>
          <w:szCs w:val="18"/>
        </w:rPr>
        <w:t>.</w:t>
      </w:r>
    </w:p>
  </w:footnote>
  <w:footnote w:id="14">
    <w:p w14:paraId="77C513EF" w14:textId="0DEFA8F8"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study, carried out by UNEP-WCMC from May to December 2019 with funding from the European Union, is made available as document </w:t>
      </w:r>
      <w:hyperlink r:id="rId8" w:history="1">
        <w:r w:rsidRPr="00AA5D70">
          <w:rPr>
            <w:rStyle w:val="Hyperlink"/>
            <w:snapToGrid w:val="0"/>
            <w:kern w:val="18"/>
            <w:szCs w:val="18"/>
          </w:rPr>
          <w:t>CBD/SBI/3/INF/9</w:t>
        </w:r>
      </w:hyperlink>
      <w:r w:rsidRPr="00AA5D70">
        <w:rPr>
          <w:snapToGrid w:val="0"/>
          <w:kern w:val="18"/>
          <w:szCs w:val="18"/>
        </w:rPr>
        <w:t xml:space="preserve">. </w:t>
      </w:r>
    </w:p>
  </w:footnote>
  <w:footnote w:id="15">
    <w:p w14:paraId="5E9AC2D1" w14:textId="50D020B3" w:rsidR="004A2392" w:rsidRPr="00AA5D70" w:rsidRDefault="004A2392" w:rsidP="00AA5D70">
      <w:pPr>
        <w:pStyle w:val="CommentText"/>
        <w:keepLines/>
        <w:suppressLineNumbers/>
        <w:suppressAutoHyphens/>
        <w:kinsoku w:val="0"/>
        <w:overflowPunct w:val="0"/>
        <w:autoSpaceDE w:val="0"/>
        <w:autoSpaceDN w:val="0"/>
        <w:adjustRightInd w:val="0"/>
        <w:snapToGrid w:val="0"/>
        <w:spacing w:after="60" w:line="240" w:lineRule="auto"/>
        <w:jc w:val="left"/>
        <w:rPr>
          <w:snapToGrid w:val="0"/>
          <w:kern w:val="18"/>
          <w:sz w:val="18"/>
          <w:szCs w:val="18"/>
        </w:rPr>
      </w:pPr>
      <w:r w:rsidRPr="00AA5D70">
        <w:rPr>
          <w:rStyle w:val="FootnoteReference"/>
          <w:snapToGrid w:val="0"/>
          <w:kern w:val="18"/>
          <w:sz w:val="18"/>
          <w:szCs w:val="18"/>
        </w:rPr>
        <w:footnoteRef/>
      </w:r>
      <w:r w:rsidRPr="00AA5D70">
        <w:rPr>
          <w:snapToGrid w:val="0"/>
          <w:kern w:val="18"/>
          <w:sz w:val="18"/>
          <w:szCs w:val="18"/>
        </w:rPr>
        <w:t xml:space="preserve"> The IUCN survey report is available at</w:t>
      </w:r>
      <w:hyperlink w:history="1"/>
      <w:r w:rsidR="00C4529E" w:rsidRPr="00AA5D70">
        <w:rPr>
          <w:rStyle w:val="Hyperlink"/>
          <w:snapToGrid w:val="0"/>
          <w:kern w:val="18"/>
          <w:szCs w:val="18"/>
        </w:rPr>
        <w:t xml:space="preserve"> </w:t>
      </w:r>
      <w:hyperlink r:id="rId9" w:history="1">
        <w:r w:rsidR="00C4529E" w:rsidRPr="00AA5D70">
          <w:rPr>
            <w:rStyle w:val="Hyperlink"/>
            <w:snapToGrid w:val="0"/>
            <w:kern w:val="18"/>
            <w:szCs w:val="18"/>
          </w:rPr>
          <w:t>https://www.iucn.org/sites/dev/files/capacity_building_and_synergies_-_contribution_to_the_long-term_strategic_framework_for_capacity_building.pdf</w:t>
        </w:r>
      </w:hyperlink>
      <w:r w:rsidRPr="00AA5D70">
        <w:rPr>
          <w:snapToGrid w:val="0"/>
          <w:kern w:val="18"/>
          <w:sz w:val="18"/>
          <w:szCs w:val="18"/>
        </w:rPr>
        <w:t>.</w:t>
      </w:r>
    </w:p>
  </w:footnote>
  <w:footnote w:id="16">
    <w:p w14:paraId="7230A3AA" w14:textId="37E9A004" w:rsidR="004A2392" w:rsidRPr="00AA5D70" w:rsidRDefault="004A2392" w:rsidP="00AA5D70">
      <w:pPr>
        <w:keepLines/>
        <w:suppressLineNumbers/>
        <w:pBdr>
          <w:top w:val="nil"/>
          <w:left w:val="nil"/>
          <w:bottom w:val="nil"/>
          <w:right w:val="nil"/>
          <w:between w:val="nil"/>
        </w:pBdr>
        <w:suppressAutoHyphens/>
        <w:kinsoku w:val="0"/>
        <w:overflowPunct w:val="0"/>
        <w:autoSpaceDE w:val="0"/>
        <w:autoSpaceDN w:val="0"/>
        <w:adjustRightInd w:val="0"/>
        <w:snapToGrid w:val="0"/>
        <w:spacing w:after="60"/>
        <w:jc w:val="left"/>
        <w:rPr>
          <w:snapToGrid w:val="0"/>
          <w:color w:val="000000"/>
          <w:kern w:val="18"/>
          <w:sz w:val="18"/>
          <w:szCs w:val="18"/>
        </w:rPr>
      </w:pPr>
      <w:r w:rsidRPr="00AA5D70">
        <w:rPr>
          <w:rStyle w:val="FootnoteReference"/>
          <w:snapToGrid w:val="0"/>
          <w:kern w:val="18"/>
          <w:sz w:val="18"/>
          <w:szCs w:val="18"/>
        </w:rPr>
        <w:footnoteRef/>
      </w:r>
      <w:r w:rsidRPr="00AA5D70">
        <w:rPr>
          <w:snapToGrid w:val="0"/>
          <w:color w:val="000000"/>
          <w:kern w:val="18"/>
          <w:sz w:val="18"/>
          <w:szCs w:val="18"/>
        </w:rPr>
        <w:t xml:space="preserve"> Biodiversity-related conventions have developed or are in the process of developing capacity development strategies or action plans</w:t>
      </w:r>
      <w:r w:rsidR="00C356E2" w:rsidRPr="00AA5D70">
        <w:rPr>
          <w:snapToGrid w:val="0"/>
          <w:color w:val="000000"/>
          <w:kern w:val="18"/>
          <w:sz w:val="18"/>
          <w:szCs w:val="18"/>
        </w:rPr>
        <w:t xml:space="preserve"> (</w:t>
      </w:r>
      <w:r w:rsidR="004873BD" w:rsidRPr="00AA5D70">
        <w:rPr>
          <w:snapToGrid w:val="0"/>
          <w:color w:val="000000"/>
          <w:kern w:val="18"/>
          <w:sz w:val="18"/>
          <w:szCs w:val="18"/>
        </w:rPr>
        <w:t xml:space="preserve">see </w:t>
      </w:r>
      <w:hyperlink r:id="rId10">
        <w:r w:rsidR="00C356E2" w:rsidRPr="00AA5D70">
          <w:rPr>
            <w:snapToGrid w:val="0"/>
            <w:color w:val="0000FF"/>
            <w:kern w:val="18"/>
            <w:sz w:val="18"/>
            <w:szCs w:val="18"/>
            <w:u w:val="single"/>
          </w:rPr>
          <w:t>CBD</w:t>
        </w:r>
      </w:hyperlink>
      <w:r w:rsidR="00C356E2" w:rsidRPr="00AA5D70">
        <w:rPr>
          <w:snapToGrid w:val="0"/>
          <w:color w:val="000000"/>
          <w:kern w:val="18"/>
          <w:sz w:val="18"/>
          <w:szCs w:val="18"/>
        </w:rPr>
        <w:t xml:space="preserve">, </w:t>
      </w:r>
      <w:hyperlink r:id="rId11">
        <w:r w:rsidR="00C356E2" w:rsidRPr="00AA5D70">
          <w:rPr>
            <w:snapToGrid w:val="0"/>
            <w:color w:val="0000FF"/>
            <w:kern w:val="18"/>
            <w:sz w:val="18"/>
            <w:szCs w:val="18"/>
            <w:u w:val="single"/>
          </w:rPr>
          <w:t>CITES</w:t>
        </w:r>
      </w:hyperlink>
      <w:r w:rsidR="00C356E2" w:rsidRPr="00AA5D70">
        <w:rPr>
          <w:snapToGrid w:val="0"/>
          <w:color w:val="000000"/>
          <w:kern w:val="18"/>
          <w:sz w:val="18"/>
          <w:szCs w:val="18"/>
        </w:rPr>
        <w:t xml:space="preserve">, </w:t>
      </w:r>
      <w:hyperlink r:id="rId12">
        <w:r w:rsidR="00C356E2" w:rsidRPr="00AA5D70">
          <w:rPr>
            <w:snapToGrid w:val="0"/>
            <w:color w:val="0000FF"/>
            <w:kern w:val="18"/>
            <w:sz w:val="18"/>
            <w:szCs w:val="18"/>
            <w:u w:val="single"/>
          </w:rPr>
          <w:t>CMS</w:t>
        </w:r>
      </w:hyperlink>
      <w:r w:rsidR="00C356E2" w:rsidRPr="00AA5D70">
        <w:rPr>
          <w:snapToGrid w:val="0"/>
          <w:color w:val="000000"/>
          <w:kern w:val="18"/>
          <w:sz w:val="18"/>
          <w:szCs w:val="18"/>
        </w:rPr>
        <w:t xml:space="preserve">, </w:t>
      </w:r>
      <w:hyperlink r:id="rId13">
        <w:r w:rsidR="00C356E2" w:rsidRPr="00AA5D70">
          <w:rPr>
            <w:snapToGrid w:val="0"/>
            <w:color w:val="0000FF"/>
            <w:kern w:val="18"/>
            <w:sz w:val="18"/>
            <w:szCs w:val="18"/>
            <w:u w:val="single"/>
          </w:rPr>
          <w:t>IPPC</w:t>
        </w:r>
      </w:hyperlink>
      <w:r w:rsidR="00C356E2" w:rsidRPr="00AA5D70">
        <w:rPr>
          <w:snapToGrid w:val="0"/>
          <w:color w:val="000000"/>
          <w:kern w:val="18"/>
          <w:sz w:val="18"/>
          <w:szCs w:val="18"/>
        </w:rPr>
        <w:t xml:space="preserve">, </w:t>
      </w:r>
      <w:hyperlink r:id="rId14" w:history="1">
        <w:r w:rsidR="00C356E2" w:rsidRPr="00AA5D70">
          <w:rPr>
            <w:rStyle w:val="Hyperlink"/>
            <w:snapToGrid w:val="0"/>
            <w:kern w:val="18"/>
            <w:szCs w:val="18"/>
          </w:rPr>
          <w:t>ITPGRFA</w:t>
        </w:r>
      </w:hyperlink>
      <w:r w:rsidR="00C356E2" w:rsidRPr="00AA5D70">
        <w:rPr>
          <w:snapToGrid w:val="0"/>
          <w:color w:val="000000"/>
          <w:kern w:val="18"/>
          <w:sz w:val="18"/>
          <w:szCs w:val="18"/>
        </w:rPr>
        <w:t xml:space="preserve">, </w:t>
      </w:r>
      <w:hyperlink r:id="rId15">
        <w:r w:rsidR="00C356E2" w:rsidRPr="00AA5D70">
          <w:rPr>
            <w:snapToGrid w:val="0"/>
            <w:color w:val="0000FF"/>
            <w:kern w:val="18"/>
            <w:sz w:val="18"/>
            <w:szCs w:val="18"/>
            <w:u w:val="single"/>
          </w:rPr>
          <w:t>Ramsar</w:t>
        </w:r>
      </w:hyperlink>
      <w:r w:rsidR="00C356E2" w:rsidRPr="00AA5D70">
        <w:rPr>
          <w:snapToGrid w:val="0"/>
          <w:color w:val="000000"/>
          <w:kern w:val="18"/>
          <w:sz w:val="18"/>
          <w:szCs w:val="18"/>
        </w:rPr>
        <w:t xml:space="preserve"> and </w:t>
      </w:r>
      <w:hyperlink r:id="rId16">
        <w:r w:rsidR="00C356E2" w:rsidRPr="00AA5D70">
          <w:rPr>
            <w:snapToGrid w:val="0"/>
            <w:color w:val="0000FF"/>
            <w:kern w:val="18"/>
            <w:sz w:val="18"/>
            <w:szCs w:val="18"/>
            <w:u w:val="single"/>
          </w:rPr>
          <w:t>WHC</w:t>
        </w:r>
      </w:hyperlink>
      <w:r w:rsidR="00C356E2" w:rsidRPr="00AA5D70">
        <w:rPr>
          <w:snapToGrid w:val="0"/>
          <w:color w:val="000000"/>
          <w:kern w:val="18"/>
          <w:sz w:val="18"/>
          <w:szCs w:val="18"/>
        </w:rPr>
        <w:t>)</w:t>
      </w:r>
      <w:r w:rsidRPr="00AA5D70">
        <w:rPr>
          <w:snapToGrid w:val="0"/>
          <w:color w:val="000000"/>
          <w:kern w:val="18"/>
          <w:sz w:val="18"/>
          <w:szCs w:val="18"/>
        </w:rPr>
        <w:t>.</w:t>
      </w:r>
      <w:r w:rsidRPr="00AA5D70">
        <w:rPr>
          <w:snapToGrid w:val="0"/>
          <w:kern w:val="18"/>
          <w:sz w:val="18"/>
          <w:szCs w:val="18"/>
        </w:rPr>
        <w:t xml:space="preserve"> </w:t>
      </w:r>
      <w:r w:rsidRPr="00AA5D70">
        <w:rPr>
          <w:snapToGrid w:val="0"/>
          <w:color w:val="000000"/>
          <w:kern w:val="18"/>
          <w:sz w:val="18"/>
          <w:szCs w:val="18"/>
        </w:rPr>
        <w:t>The Intergovernmental Science-Policy Platform on Biodiversity and Ecosystem Services</w:t>
      </w:r>
      <w:r w:rsidRPr="00AA5D70">
        <w:rPr>
          <w:snapToGrid w:val="0"/>
          <w:kern w:val="18"/>
          <w:sz w:val="18"/>
          <w:szCs w:val="18"/>
        </w:rPr>
        <w:t xml:space="preserve"> also adopted a </w:t>
      </w:r>
      <w:r w:rsidR="00157E1E" w:rsidRPr="00AA5D70">
        <w:rPr>
          <w:snapToGrid w:val="0"/>
          <w:kern w:val="18"/>
          <w:sz w:val="18"/>
          <w:szCs w:val="18"/>
        </w:rPr>
        <w:t>c</w:t>
      </w:r>
      <w:hyperlink w:history="1"/>
      <w:r w:rsidR="00D76002" w:rsidRPr="00AA5D70">
        <w:rPr>
          <w:snapToGrid w:val="0"/>
          <w:kern w:val="18"/>
          <w:sz w:val="18"/>
          <w:szCs w:val="18"/>
        </w:rPr>
        <w:t xml:space="preserve">apacity-building </w:t>
      </w:r>
      <w:r w:rsidR="00157E1E" w:rsidRPr="00AA5D70">
        <w:rPr>
          <w:snapToGrid w:val="0"/>
          <w:kern w:val="18"/>
          <w:sz w:val="18"/>
          <w:szCs w:val="18"/>
        </w:rPr>
        <w:t>r</w:t>
      </w:r>
      <w:r w:rsidR="00D76002" w:rsidRPr="00AA5D70">
        <w:rPr>
          <w:snapToGrid w:val="0"/>
          <w:kern w:val="18"/>
          <w:sz w:val="18"/>
          <w:szCs w:val="18"/>
        </w:rPr>
        <w:t xml:space="preserve">olling </w:t>
      </w:r>
      <w:r w:rsidR="00157E1E" w:rsidRPr="00AA5D70">
        <w:rPr>
          <w:snapToGrid w:val="0"/>
          <w:kern w:val="18"/>
          <w:sz w:val="18"/>
          <w:szCs w:val="18"/>
        </w:rPr>
        <w:t>p</w:t>
      </w:r>
      <w:r w:rsidR="00D76002" w:rsidRPr="00AA5D70">
        <w:rPr>
          <w:snapToGrid w:val="0"/>
          <w:kern w:val="18"/>
          <w:sz w:val="18"/>
          <w:szCs w:val="18"/>
        </w:rPr>
        <w:t>lan</w:t>
      </w:r>
      <w:r w:rsidR="00157E1E" w:rsidRPr="00AA5D70">
        <w:rPr>
          <w:snapToGrid w:val="0"/>
          <w:kern w:val="18"/>
          <w:sz w:val="18"/>
          <w:szCs w:val="18"/>
        </w:rPr>
        <w:t xml:space="preserve"> (</w:t>
      </w:r>
      <w:hyperlink r:id="rId17" w:history="1">
        <w:r w:rsidR="00157E1E" w:rsidRPr="00AA5D70">
          <w:rPr>
            <w:rStyle w:val="Hyperlink"/>
            <w:snapToGrid w:val="0"/>
            <w:kern w:val="18"/>
            <w:szCs w:val="18"/>
          </w:rPr>
          <w:t>https://ipbes.net/building-capacity</w:t>
        </w:r>
      </w:hyperlink>
      <w:r w:rsidR="00157E1E" w:rsidRPr="00AA5D70">
        <w:rPr>
          <w:snapToGrid w:val="0"/>
          <w:kern w:val="18"/>
          <w:sz w:val="18"/>
          <w:szCs w:val="18"/>
        </w:rPr>
        <w:t>)</w:t>
      </w:r>
      <w:r w:rsidRPr="004F4953">
        <w:rPr>
          <w:snapToGrid w:val="0"/>
          <w:kern w:val="18"/>
          <w:sz w:val="18"/>
          <w:szCs w:val="18"/>
        </w:rPr>
        <w:t>.</w:t>
      </w:r>
    </w:p>
  </w:footnote>
  <w:footnote w:id="17">
    <w:p w14:paraId="4F03A57F" w14:textId="2F78F779"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Five regional consultations were organized between January and May 2019 (</w:t>
      </w:r>
      <w:hyperlink r:id="rId18" w:history="1">
        <w:r w:rsidRPr="00AA5D70">
          <w:rPr>
            <w:rStyle w:val="Hyperlink"/>
            <w:snapToGrid w:val="0"/>
            <w:kern w:val="18"/>
            <w:szCs w:val="18"/>
          </w:rPr>
          <w:t>https://www.cbd.int/conferences/post2020</w:t>
        </w:r>
      </w:hyperlink>
      <w:r w:rsidRPr="00AA5D70">
        <w:rPr>
          <w:snapToGrid w:val="0"/>
          <w:kern w:val="18"/>
          <w:szCs w:val="18"/>
        </w:rPr>
        <w:t>)</w:t>
      </w:r>
      <w:r w:rsidRPr="004F4953">
        <w:rPr>
          <w:snapToGrid w:val="0"/>
          <w:kern w:val="18"/>
          <w:szCs w:val="18"/>
        </w:rPr>
        <w:t>.</w:t>
      </w:r>
    </w:p>
  </w:footnote>
  <w:footnote w:id="18">
    <w:p w14:paraId="59F0D2F9" w14:textId="45560C39"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w:t>
      </w:r>
      <w:r w:rsidR="009E0D67" w:rsidRPr="00AA5D70">
        <w:rPr>
          <w:snapToGrid w:val="0"/>
          <w:kern w:val="18"/>
          <w:szCs w:val="18"/>
        </w:rPr>
        <w:t>Liaison Group</w:t>
      </w:r>
      <w:r w:rsidRPr="00AA5D70">
        <w:rPr>
          <w:snapToGrid w:val="0"/>
          <w:kern w:val="18"/>
          <w:szCs w:val="18"/>
        </w:rPr>
        <w:t xml:space="preserve"> provided input in the development of the draft strategic framework</w:t>
      </w:r>
      <w:r w:rsidR="005D567D" w:rsidRPr="00AA5D70">
        <w:rPr>
          <w:snapToGrid w:val="0"/>
          <w:kern w:val="18"/>
          <w:szCs w:val="18"/>
        </w:rPr>
        <w:t xml:space="preserve"> </w:t>
      </w:r>
      <w:r w:rsidR="009E0D67" w:rsidRPr="00AA5D70">
        <w:rPr>
          <w:snapToGrid w:val="0"/>
          <w:kern w:val="18"/>
          <w:szCs w:val="18"/>
        </w:rPr>
        <w:t xml:space="preserve">(see </w:t>
      </w:r>
      <w:hyperlink r:id="rId19" w:history="1">
        <w:r w:rsidR="009E0D67" w:rsidRPr="00AA5D70">
          <w:rPr>
            <w:rStyle w:val="Hyperlink"/>
            <w:snapToGrid w:val="0"/>
            <w:kern w:val="18"/>
            <w:szCs w:val="18"/>
          </w:rPr>
          <w:t>https://bch.cbd.int/protocol/post2020/portal/review.shtml</w:t>
        </w:r>
      </w:hyperlink>
      <w:r w:rsidR="009E0D67" w:rsidRPr="00AA5D70">
        <w:rPr>
          <w:snapToGrid w:val="0"/>
          <w:kern w:val="18"/>
          <w:szCs w:val="18"/>
        </w:rPr>
        <w:t>)</w:t>
      </w:r>
      <w:r w:rsidRPr="00AA5D70">
        <w:rPr>
          <w:snapToGrid w:val="0"/>
          <w:kern w:val="18"/>
          <w:szCs w:val="18"/>
        </w:rPr>
        <w:t>. It also contributed to the development of</w:t>
      </w:r>
      <w:r w:rsidRPr="00AA5D70" w:rsidDel="0046742C">
        <w:rPr>
          <w:snapToGrid w:val="0"/>
          <w:kern w:val="18"/>
          <w:szCs w:val="18"/>
        </w:rPr>
        <w:t xml:space="preserve"> </w:t>
      </w:r>
      <w:r w:rsidRPr="00AA5D70">
        <w:rPr>
          <w:snapToGrid w:val="0"/>
          <w:kern w:val="18"/>
          <w:szCs w:val="18"/>
        </w:rPr>
        <w:t xml:space="preserve">a draft capacity-building action plan for the Cartagena Protocol </w:t>
      </w:r>
      <w:r w:rsidR="003B0252" w:rsidRPr="00AA5D70">
        <w:rPr>
          <w:snapToGrid w:val="0"/>
          <w:kern w:val="18"/>
          <w:szCs w:val="18"/>
        </w:rPr>
        <w:t xml:space="preserve">for </w:t>
      </w:r>
      <w:r w:rsidRPr="00AA5D70">
        <w:rPr>
          <w:snapToGrid w:val="0"/>
          <w:kern w:val="18"/>
          <w:szCs w:val="18"/>
        </w:rPr>
        <w:t xml:space="preserve">2021-2030 </w:t>
      </w:r>
      <w:r w:rsidR="005260D9" w:rsidRPr="00AA5D70">
        <w:rPr>
          <w:snapToGrid w:val="0"/>
          <w:kern w:val="18"/>
          <w:szCs w:val="18"/>
        </w:rPr>
        <w:t>(</w:t>
      </w:r>
      <w:r w:rsidR="003B0252" w:rsidRPr="00AA5D70">
        <w:rPr>
          <w:snapToGrid w:val="0"/>
          <w:kern w:val="18"/>
          <w:szCs w:val="18"/>
        </w:rPr>
        <w:t xml:space="preserve">see </w:t>
      </w:r>
      <w:hyperlink r:id="rId20" w:history="1">
        <w:r w:rsidR="005260D9" w:rsidRPr="00AA5D70">
          <w:rPr>
            <w:rStyle w:val="Hyperlink"/>
            <w:snapToGrid w:val="0"/>
            <w:kern w:val="18"/>
            <w:szCs w:val="18"/>
          </w:rPr>
          <w:t>CBD/SBI/3/18</w:t>
        </w:r>
      </w:hyperlink>
      <w:r w:rsidR="005260D9" w:rsidRPr="00AA5D70">
        <w:rPr>
          <w:snapToGrid w:val="0"/>
          <w:kern w:val="18"/>
          <w:szCs w:val="18"/>
        </w:rPr>
        <w:t>)</w:t>
      </w:r>
      <w:r w:rsidR="004B16D4" w:rsidRPr="00AA5D70">
        <w:rPr>
          <w:snapToGrid w:val="0"/>
          <w:kern w:val="18"/>
          <w:szCs w:val="18"/>
        </w:rPr>
        <w:t xml:space="preserve">, </w:t>
      </w:r>
      <w:r w:rsidR="000B2F0E" w:rsidRPr="00AA5D70">
        <w:rPr>
          <w:snapToGrid w:val="0"/>
          <w:kern w:val="18"/>
          <w:szCs w:val="18"/>
        </w:rPr>
        <w:t xml:space="preserve">developed </w:t>
      </w:r>
      <w:r w:rsidRPr="00AA5D70">
        <w:rPr>
          <w:snapToGrid w:val="0"/>
          <w:kern w:val="18"/>
          <w:szCs w:val="18"/>
        </w:rPr>
        <w:t>complementary to the long-term strategic framework.</w:t>
      </w:r>
    </w:p>
  </w:footnote>
  <w:footnote w:id="19">
    <w:p w14:paraId="06DA927F" w14:textId="111FBCCE"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AA5D70">
        <w:rPr>
          <w:rStyle w:val="FootnoteReference"/>
          <w:snapToGrid w:val="0"/>
          <w:spacing w:val="-2"/>
          <w:kern w:val="18"/>
          <w:sz w:val="18"/>
          <w:szCs w:val="18"/>
        </w:rPr>
        <w:footnoteRef/>
      </w:r>
      <w:r w:rsidRPr="00AA5D70">
        <w:rPr>
          <w:snapToGrid w:val="0"/>
          <w:spacing w:val="-2"/>
          <w:kern w:val="18"/>
          <w:szCs w:val="18"/>
        </w:rPr>
        <w:t xml:space="preserve"> The Informal Advisory Committee considered an evaluation of the Nagoya Protocol strategic framework for capacity-building and development with a view to ensuring an effective approach to capacity-building, consistent with the long-term strategic framework.</w:t>
      </w:r>
    </w:p>
  </w:footnote>
  <w:footnote w:id="20">
    <w:p w14:paraId="2298D470" w14:textId="139D6844"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21" w:history="1">
        <w:r w:rsidRPr="00AA5D70">
          <w:rPr>
            <w:rStyle w:val="Hyperlink"/>
            <w:snapToGrid w:val="0"/>
            <w:kern w:val="18"/>
            <w:szCs w:val="18"/>
          </w:rPr>
          <w:t>https://www.cbd.int/conferences/post2020/brc-ws</w:t>
        </w:r>
      </w:hyperlink>
      <w:r w:rsidRPr="004F4953">
        <w:rPr>
          <w:snapToGrid w:val="0"/>
          <w:kern w:val="18"/>
          <w:szCs w:val="18"/>
        </w:rPr>
        <w:t>.</w:t>
      </w:r>
    </w:p>
  </w:footnote>
  <w:footnote w:id="21">
    <w:p w14:paraId="58C2AA7B" w14:textId="5056F54B"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consultation was attended by 115 participants </w:t>
      </w:r>
      <w:bookmarkStart w:id="12" w:name="_Hlk50987435"/>
      <w:r w:rsidRPr="00AA5D70">
        <w:rPr>
          <w:snapToGrid w:val="0"/>
          <w:kern w:val="18"/>
          <w:szCs w:val="18"/>
        </w:rPr>
        <w:t>(62 females:53 males), representing 58 Parties and 32 organizations</w:t>
      </w:r>
      <w:bookmarkEnd w:id="12"/>
      <w:r w:rsidRPr="00AA5D70">
        <w:rPr>
          <w:snapToGrid w:val="0"/>
          <w:kern w:val="18"/>
          <w:szCs w:val="18"/>
        </w:rPr>
        <w:t xml:space="preserve"> </w:t>
      </w:r>
      <w:r w:rsidR="00B436D1" w:rsidRPr="00AA5D70">
        <w:rPr>
          <w:snapToGrid w:val="0"/>
          <w:kern w:val="18"/>
          <w:szCs w:val="18"/>
        </w:rPr>
        <w:t>(CBD/POST2020/WS/2020/2/4)</w:t>
      </w:r>
      <w:r w:rsidRPr="00AA5D70">
        <w:rPr>
          <w:snapToGrid w:val="0"/>
          <w:kern w:val="18"/>
          <w:szCs w:val="18"/>
        </w:rPr>
        <w:t>.</w:t>
      </w:r>
    </w:p>
  </w:footnote>
  <w:footnote w:id="22">
    <w:p w14:paraId="3F1322CD" w14:textId="16E666BD"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spacing w:val="-2"/>
          <w:kern w:val="18"/>
          <w:szCs w:val="18"/>
        </w:rPr>
      </w:pPr>
      <w:r w:rsidRPr="00AA5D70">
        <w:rPr>
          <w:rStyle w:val="FootnoteReference"/>
          <w:snapToGrid w:val="0"/>
          <w:spacing w:val="-2"/>
          <w:kern w:val="18"/>
          <w:sz w:val="18"/>
          <w:szCs w:val="18"/>
        </w:rPr>
        <w:footnoteRef/>
      </w:r>
      <w:r w:rsidRPr="00AA5D70">
        <w:rPr>
          <w:snapToGrid w:val="0"/>
          <w:spacing w:val="-2"/>
          <w:kern w:val="18"/>
          <w:szCs w:val="18"/>
        </w:rPr>
        <w:t xml:space="preserve"> A total of 53 individuals (29 male:24 female) participated, and 99 messages were posted (</w:t>
      </w:r>
      <w:hyperlink r:id="rId22" w:history="1">
        <w:r w:rsidRPr="00AA5D70">
          <w:rPr>
            <w:rStyle w:val="Hyperlink"/>
            <w:snapToGrid w:val="0"/>
            <w:spacing w:val="-2"/>
            <w:kern w:val="18"/>
            <w:szCs w:val="18"/>
          </w:rPr>
          <w:t>https://www.cbd.int/cb/discussion-forum/</w:t>
        </w:r>
      </w:hyperlink>
      <w:r w:rsidRPr="00AA5D70">
        <w:rPr>
          <w:rStyle w:val="Hyperlink"/>
          <w:snapToGrid w:val="0"/>
          <w:spacing w:val="-2"/>
          <w:kern w:val="18"/>
          <w:szCs w:val="18"/>
        </w:rPr>
        <w:t>)</w:t>
      </w:r>
      <w:r w:rsidRPr="00AA5D70">
        <w:rPr>
          <w:snapToGrid w:val="0"/>
          <w:spacing w:val="-2"/>
          <w:kern w:val="18"/>
          <w:szCs w:val="18"/>
        </w:rPr>
        <w:t>.</w:t>
      </w:r>
    </w:p>
  </w:footnote>
  <w:footnote w:id="23">
    <w:p w14:paraId="5C2ADE73" w14:textId="1EB4394B"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A compilation of the 27 submissions received is available: </w:t>
      </w:r>
      <w:hyperlink r:id="rId23" w:history="1">
        <w:r w:rsidRPr="00AA5D70">
          <w:rPr>
            <w:rStyle w:val="Hyperlink"/>
            <w:snapToGrid w:val="0"/>
            <w:kern w:val="18"/>
            <w:szCs w:val="18"/>
          </w:rPr>
          <w:t>https://www.cbd.int/cb/strategic-framework/</w:t>
        </w:r>
      </w:hyperlink>
      <w:r w:rsidRPr="004F4953">
        <w:rPr>
          <w:snapToGrid w:val="0"/>
          <w:kern w:val="18"/>
          <w:szCs w:val="18"/>
        </w:rPr>
        <w:t>.</w:t>
      </w:r>
    </w:p>
  </w:footnote>
  <w:footnote w:id="24">
    <w:p w14:paraId="49CDF496" w14:textId="7C3AB771" w:rsidR="00BF0AF4" w:rsidRPr="00AA5D70" w:rsidRDefault="002A72FF"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r w:rsidR="003359AC" w:rsidRPr="00AA5D70">
        <w:rPr>
          <w:snapToGrid w:val="0"/>
          <w:kern w:val="18"/>
          <w:szCs w:val="18"/>
        </w:rPr>
        <w:t xml:space="preserve">Pursuant to decisions CP-9/7 and CP-9/3, the capacity-building action plan for the </w:t>
      </w:r>
      <w:r w:rsidR="004019BE" w:rsidRPr="00AA5D70">
        <w:rPr>
          <w:snapToGrid w:val="0"/>
          <w:kern w:val="18"/>
          <w:szCs w:val="18"/>
        </w:rPr>
        <w:t xml:space="preserve">Cartagena </w:t>
      </w:r>
      <w:r w:rsidR="003359AC" w:rsidRPr="00AA5D70">
        <w:rPr>
          <w:snapToGrid w:val="0"/>
          <w:kern w:val="18"/>
          <w:szCs w:val="18"/>
        </w:rPr>
        <w:t>Protocol was developed in alignment with the implementation plan for the Protocol, and the two are presented alongside each other in CBD/SBI/3/18 to show their complementarity and to avoid duplication. The Subsidiary Body on Implementation, at its present meeting, is expected to consider these plans and make a recommendation to the Parties to the Cartagena Protocol at their tenth meeting.</w:t>
      </w:r>
    </w:p>
  </w:footnote>
  <w:footnote w:id="25">
    <w:p w14:paraId="7CA4A855" w14:textId="32773E1D" w:rsidR="006135FE" w:rsidRPr="00AA5D70" w:rsidRDefault="006135FE"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A full progress report on technical and scientific cooperation </w:t>
      </w:r>
      <w:r w:rsidR="004A5541" w:rsidRPr="00AA5D70">
        <w:rPr>
          <w:snapToGrid w:val="0"/>
          <w:kern w:val="18"/>
          <w:szCs w:val="18"/>
        </w:rPr>
        <w:t xml:space="preserve">and technology transfer </w:t>
      </w:r>
      <w:r w:rsidRPr="00AA5D70">
        <w:rPr>
          <w:snapToGrid w:val="0"/>
          <w:kern w:val="18"/>
          <w:szCs w:val="18"/>
        </w:rPr>
        <w:t>is available in CBD/SBI/3/INF/18.</w:t>
      </w:r>
    </w:p>
  </w:footnote>
  <w:footnote w:id="26">
    <w:p w14:paraId="21BE7254" w14:textId="20001A95"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rFonts w:eastAsiaTheme="minorEastAsia"/>
          <w:snapToGrid w:val="0"/>
          <w:kern w:val="18"/>
          <w:szCs w:val="18"/>
          <w:lang w:eastAsia="ja-JP"/>
        </w:rPr>
      </w:pPr>
      <w:r w:rsidRPr="00AA5D70">
        <w:rPr>
          <w:rStyle w:val="FootnoteReference"/>
          <w:snapToGrid w:val="0"/>
          <w:kern w:val="18"/>
          <w:sz w:val="18"/>
          <w:szCs w:val="18"/>
        </w:rPr>
        <w:footnoteRef/>
      </w:r>
      <w:r w:rsidRPr="00AA5D70">
        <w:rPr>
          <w:snapToGrid w:val="0"/>
          <w:kern w:val="18"/>
          <w:szCs w:val="18"/>
        </w:rPr>
        <w:t xml:space="preserve"> The Biodiversity Heritage Library (</w:t>
      </w:r>
      <w:hyperlink r:id="rId24" w:history="1">
        <w:r w:rsidRPr="00AA5D70">
          <w:rPr>
            <w:rStyle w:val="Hyperlink"/>
            <w:snapToGrid w:val="0"/>
            <w:kern w:val="18"/>
            <w:szCs w:val="18"/>
          </w:rPr>
          <w:t>https://www.biodiversitylibrary.org/</w:t>
        </w:r>
      </w:hyperlink>
      <w:r w:rsidRPr="00AA5D70">
        <w:rPr>
          <w:snapToGrid w:val="0"/>
          <w:kern w:val="18"/>
          <w:szCs w:val="18"/>
        </w:rPr>
        <w:t>), Barcode of Life Data Systems (</w:t>
      </w:r>
      <w:hyperlink r:id="rId25" w:history="1">
        <w:r w:rsidRPr="00AA5D70">
          <w:rPr>
            <w:rStyle w:val="Hyperlink"/>
            <w:snapToGrid w:val="0"/>
            <w:kern w:val="18"/>
            <w:szCs w:val="18"/>
          </w:rPr>
          <w:t>http://boldsystems.org/</w:t>
        </w:r>
      </w:hyperlink>
      <w:r w:rsidRPr="00AA5D70">
        <w:rPr>
          <w:snapToGrid w:val="0"/>
          <w:kern w:val="18"/>
          <w:szCs w:val="18"/>
        </w:rPr>
        <w:t>), Global Register of Introduced and Invasive Species (</w:t>
      </w:r>
      <w:hyperlink r:id="rId26" w:history="1">
        <w:r w:rsidRPr="00AA5D70">
          <w:rPr>
            <w:rStyle w:val="Hyperlink"/>
            <w:snapToGrid w:val="0"/>
            <w:kern w:val="18"/>
            <w:szCs w:val="18"/>
          </w:rPr>
          <w:t>https://www.gbif.org/search?q=GRIIS</w:t>
        </w:r>
      </w:hyperlink>
      <w:r w:rsidRPr="00AA5D70">
        <w:rPr>
          <w:snapToGrid w:val="0"/>
          <w:kern w:val="18"/>
          <w:szCs w:val="18"/>
        </w:rPr>
        <w:t>)</w:t>
      </w:r>
      <w:r w:rsidRPr="004F4953">
        <w:rPr>
          <w:snapToGrid w:val="0"/>
          <w:kern w:val="18"/>
          <w:szCs w:val="18"/>
        </w:rPr>
        <w:t>.</w:t>
      </w:r>
    </w:p>
  </w:footnote>
  <w:footnote w:id="27">
    <w:p w14:paraId="2234C1DB" w14:textId="77777777"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rFonts w:eastAsiaTheme="minorEastAsia"/>
          <w:snapToGrid w:val="0"/>
          <w:kern w:val="18"/>
          <w:szCs w:val="18"/>
          <w:lang w:eastAsia="ja-JP"/>
        </w:rPr>
      </w:pPr>
      <w:r w:rsidRPr="00AA5D70">
        <w:rPr>
          <w:rStyle w:val="FootnoteReference"/>
          <w:snapToGrid w:val="0"/>
          <w:kern w:val="18"/>
          <w:sz w:val="18"/>
          <w:szCs w:val="18"/>
        </w:rPr>
        <w:footnoteRef/>
      </w:r>
      <w:r w:rsidRPr="00AA5D70">
        <w:rPr>
          <w:snapToGrid w:val="0"/>
          <w:kern w:val="18"/>
          <w:szCs w:val="18"/>
        </w:rPr>
        <w:t xml:space="preserve"> </w:t>
      </w:r>
      <w:hyperlink r:id="rId27" w:history="1">
        <w:r w:rsidRPr="00AA5D70">
          <w:rPr>
            <w:rStyle w:val="Hyperlink"/>
            <w:snapToGrid w:val="0"/>
            <w:kern w:val="18"/>
            <w:szCs w:val="18"/>
          </w:rPr>
          <w:t>https://absch.cbd.int/database/VLR/ABSCH-VLR-SCBD-239199</w:t>
        </w:r>
      </w:hyperlink>
      <w:r w:rsidRPr="00AA5D70">
        <w:rPr>
          <w:snapToGrid w:val="0"/>
          <w:kern w:val="18"/>
          <w:szCs w:val="18"/>
        </w:rPr>
        <w:t xml:space="preserve"> and </w:t>
      </w:r>
      <w:hyperlink r:id="rId28" w:history="1">
        <w:r w:rsidRPr="00AA5D70">
          <w:rPr>
            <w:rStyle w:val="Hyperlink"/>
            <w:snapToGrid w:val="0"/>
            <w:kern w:val="18"/>
            <w:szCs w:val="18"/>
          </w:rPr>
          <w:t>https://cetaf.org/services/natural-science-collections-and-access-and-benefit-sharing</w:t>
        </w:r>
      </w:hyperlink>
      <w:r w:rsidRPr="004F4953">
        <w:rPr>
          <w:snapToGrid w:val="0"/>
          <w:kern w:val="18"/>
          <w:szCs w:val="18"/>
        </w:rPr>
        <w:t>.</w:t>
      </w:r>
    </w:p>
  </w:footnote>
  <w:footnote w:id="28">
    <w:p w14:paraId="5CFDB105" w14:textId="77777777"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rFonts w:eastAsiaTheme="minorEastAsia"/>
          <w:snapToGrid w:val="0"/>
          <w:kern w:val="18"/>
          <w:szCs w:val="18"/>
          <w:lang w:eastAsia="ja-JP"/>
        </w:rPr>
      </w:pPr>
      <w:r w:rsidRPr="00AA5D70">
        <w:rPr>
          <w:rStyle w:val="FootnoteReference"/>
          <w:snapToGrid w:val="0"/>
          <w:kern w:val="18"/>
          <w:sz w:val="18"/>
          <w:szCs w:val="18"/>
        </w:rPr>
        <w:footnoteRef/>
      </w:r>
      <w:r w:rsidRPr="00AA5D70">
        <w:rPr>
          <w:snapToGrid w:val="0"/>
          <w:kern w:val="18"/>
          <w:szCs w:val="18"/>
        </w:rPr>
        <w:t xml:space="preserve"> </w:t>
      </w:r>
      <w:hyperlink r:id="rId29" w:history="1">
        <w:r w:rsidRPr="00AA5D70">
          <w:rPr>
            <w:rStyle w:val="Hyperlink"/>
            <w:snapToGrid w:val="0"/>
            <w:kern w:val="18"/>
            <w:szCs w:val="18"/>
          </w:rPr>
          <w:t>https://www.mdpi.com/2071-1050/11/10/2780</w:t>
        </w:r>
      </w:hyperlink>
      <w:r w:rsidRPr="004F4953">
        <w:rPr>
          <w:snapToGrid w:val="0"/>
          <w:kern w:val="18"/>
          <w:szCs w:val="18"/>
        </w:rPr>
        <w:t>.</w:t>
      </w:r>
    </w:p>
  </w:footnote>
  <w:footnote w:id="29">
    <w:p w14:paraId="0B7CEB14" w14:textId="77777777"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terms of reference and final reports of these projects are available here: </w:t>
      </w:r>
      <w:hyperlink r:id="rId30" w:history="1">
        <w:r w:rsidRPr="00AA5D70">
          <w:rPr>
            <w:rStyle w:val="Hyperlink"/>
            <w:snapToGrid w:val="0"/>
            <w:kern w:val="18"/>
            <w:szCs w:val="18"/>
          </w:rPr>
          <w:t>https://www.cbd.int/biobridge/projects/selected</w:t>
        </w:r>
      </w:hyperlink>
      <w:r w:rsidRPr="00AA5D70">
        <w:rPr>
          <w:snapToGrid w:val="0"/>
          <w:kern w:val="18"/>
          <w:szCs w:val="18"/>
        </w:rPr>
        <w:t>.</w:t>
      </w:r>
    </w:p>
  </w:footnote>
  <w:footnote w:id="30">
    <w:p w14:paraId="52532512" w14:textId="3F088944"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Notification 2020-042: </w:t>
      </w:r>
      <w:hyperlink r:id="rId31" w:history="1">
        <w:r w:rsidRPr="00AA5D70">
          <w:rPr>
            <w:rStyle w:val="Hyperlink"/>
            <w:snapToGrid w:val="0"/>
            <w:kern w:val="18"/>
            <w:szCs w:val="18"/>
          </w:rPr>
          <w:t>https://www.cbd.int/doc/notifications/2020/ntf-2020-042-bbi-en.pdf</w:t>
        </w:r>
      </w:hyperlink>
      <w:r w:rsidRPr="004F4953">
        <w:rPr>
          <w:snapToGrid w:val="0"/>
          <w:kern w:val="18"/>
          <w:szCs w:val="18"/>
        </w:rPr>
        <w:t>.</w:t>
      </w:r>
    </w:p>
  </w:footnote>
  <w:footnote w:id="31">
    <w:p w14:paraId="5AC21654" w14:textId="4586C5F4"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forum will be organized in collaboration with various partners</w:t>
      </w:r>
      <w:r w:rsidRPr="004F4953">
        <w:rPr>
          <w:snapToGrid w:val="0"/>
          <w:kern w:val="18"/>
          <w:szCs w:val="18"/>
        </w:rPr>
        <w:t>.</w:t>
      </w:r>
    </w:p>
  </w:footnote>
  <w:footnote w:id="32">
    <w:p w14:paraId="62DF78D8" w14:textId="5E64E9B8"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2" w:history="1">
        <w:r w:rsidRPr="00AA5D70">
          <w:rPr>
            <w:rStyle w:val="Hyperlink"/>
            <w:snapToGrid w:val="0"/>
            <w:kern w:val="18"/>
            <w:szCs w:val="18"/>
          </w:rPr>
          <w:t>https://www.cbd.int/conferences/2018/parallel-meetings/innovation-fair</w:t>
        </w:r>
      </w:hyperlink>
      <w:r w:rsidRPr="004F4953">
        <w:rPr>
          <w:snapToGrid w:val="0"/>
          <w:kern w:val="18"/>
          <w:szCs w:val="18"/>
        </w:rPr>
        <w:t>.</w:t>
      </w:r>
    </w:p>
  </w:footnote>
  <w:footnote w:id="33">
    <w:p w14:paraId="322BD8A0" w14:textId="60672E01"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3" w:history="1">
        <w:r w:rsidRPr="00AA5D70">
          <w:rPr>
            <w:rStyle w:val="Hyperlink"/>
            <w:snapToGrid w:val="0"/>
            <w:kern w:val="18"/>
            <w:szCs w:val="18"/>
          </w:rPr>
          <w:t>https://www.cbd.int/programmes/cross-cutting/technology/search.aspx</w:t>
        </w:r>
      </w:hyperlink>
      <w:r w:rsidRPr="004F4953">
        <w:rPr>
          <w:snapToGrid w:val="0"/>
          <w:kern w:val="18"/>
          <w:szCs w:val="18"/>
        </w:rPr>
        <w:t>.</w:t>
      </w:r>
    </w:p>
  </w:footnote>
  <w:footnote w:id="34">
    <w:p w14:paraId="57224A04" w14:textId="715CC75C"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4" w:history="1">
        <w:r w:rsidRPr="00AA5D70">
          <w:rPr>
            <w:rStyle w:val="Hyperlink"/>
            <w:snapToGrid w:val="0"/>
            <w:kern w:val="18"/>
            <w:szCs w:val="18"/>
          </w:rPr>
          <w:t>https://www.cbd.int/restoration/feri/</w:t>
        </w:r>
      </w:hyperlink>
      <w:r w:rsidRPr="004F4953">
        <w:rPr>
          <w:snapToGrid w:val="0"/>
          <w:kern w:val="18"/>
          <w:szCs w:val="18"/>
        </w:rPr>
        <w:t>.</w:t>
      </w:r>
    </w:p>
  </w:footnote>
  <w:footnote w:id="35">
    <w:p w14:paraId="597E57C3" w14:textId="16FB0C8B"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5" w:history="1">
        <w:r w:rsidRPr="00AA5D70">
          <w:rPr>
            <w:rStyle w:val="Hyperlink"/>
            <w:snapToGrid w:val="0"/>
            <w:kern w:val="18"/>
            <w:szCs w:val="18"/>
          </w:rPr>
          <w:t>https://www.cbd.int/meetings/SOI-OM-2018-01</w:t>
        </w:r>
      </w:hyperlink>
      <w:r w:rsidRPr="00AA5D70">
        <w:rPr>
          <w:snapToGrid w:val="0"/>
          <w:kern w:val="18"/>
          <w:szCs w:val="18"/>
        </w:rPr>
        <w:t xml:space="preserve">; </w:t>
      </w:r>
      <w:hyperlink r:id="rId36" w:history="1">
        <w:r w:rsidRPr="00AA5D70">
          <w:rPr>
            <w:rStyle w:val="Hyperlink"/>
            <w:snapToGrid w:val="0"/>
            <w:kern w:val="18"/>
            <w:szCs w:val="18"/>
          </w:rPr>
          <w:t>https://www.cbd.int/soi/</w:t>
        </w:r>
      </w:hyperlink>
      <w:r w:rsidRPr="004F4953">
        <w:rPr>
          <w:snapToGrid w:val="0"/>
          <w:kern w:val="18"/>
          <w:szCs w:val="18"/>
        </w:rPr>
        <w:t>.</w:t>
      </w:r>
    </w:p>
  </w:footnote>
  <w:footnote w:id="36">
    <w:p w14:paraId="5EF9CBA6" w14:textId="381CFCEC"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7" w:history="1">
        <w:r w:rsidRPr="00AA5D70">
          <w:rPr>
            <w:rStyle w:val="Hyperlink"/>
            <w:snapToGrid w:val="0"/>
            <w:kern w:val="18"/>
            <w:szCs w:val="18"/>
          </w:rPr>
          <w:t>https://www.plants2020.net/news/1556/</w:t>
        </w:r>
      </w:hyperlink>
      <w:r w:rsidRPr="004F4953">
        <w:rPr>
          <w:snapToGrid w:val="0"/>
          <w:kern w:val="18"/>
          <w:szCs w:val="18"/>
        </w:rPr>
        <w:t>.</w:t>
      </w:r>
    </w:p>
  </w:footnote>
  <w:footnote w:id="37">
    <w:p w14:paraId="30068A27" w14:textId="4B1FCE10"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8" w:history="1">
        <w:r w:rsidRPr="00AA5D70">
          <w:rPr>
            <w:rStyle w:val="Hyperlink"/>
            <w:snapToGrid w:val="0"/>
            <w:kern w:val="18"/>
            <w:szCs w:val="18"/>
          </w:rPr>
          <w:t>http://www.fao.org/forestry/wildlife-partnership/en/</w:t>
        </w:r>
      </w:hyperlink>
      <w:r w:rsidRPr="004F4953">
        <w:rPr>
          <w:snapToGrid w:val="0"/>
          <w:kern w:val="18"/>
          <w:szCs w:val="18"/>
        </w:rPr>
        <w:t>.</w:t>
      </w:r>
    </w:p>
  </w:footnote>
  <w:footnote w:id="38">
    <w:p w14:paraId="05EED4C3" w14:textId="1E311DF9" w:rsidR="00555F79" w:rsidRPr="00AA5D70" w:rsidRDefault="00555F79"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hyperlink r:id="rId39" w:history="1">
        <w:r w:rsidRPr="00AA5D70">
          <w:rPr>
            <w:rStyle w:val="Hyperlink"/>
            <w:snapToGrid w:val="0"/>
            <w:kern w:val="18"/>
            <w:szCs w:val="18"/>
          </w:rPr>
          <w:t>https://www.cbd.int/invasive/lg/</w:t>
        </w:r>
      </w:hyperlink>
      <w:r w:rsidRPr="004F4953">
        <w:rPr>
          <w:snapToGrid w:val="0"/>
          <w:kern w:val="18"/>
          <w:szCs w:val="18"/>
        </w:rPr>
        <w:t>.</w:t>
      </w:r>
    </w:p>
  </w:footnote>
  <w:footnote w:id="39">
    <w:p w14:paraId="0B496580" w14:textId="163A8F00"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r w:rsidR="008D276D" w:rsidRPr="004F4953">
        <w:rPr>
          <w:snapToGrid w:val="0"/>
          <w:kern w:val="18"/>
          <w:szCs w:val="18"/>
        </w:rPr>
        <w:t xml:space="preserve">A total of </w:t>
      </w:r>
      <w:r w:rsidR="00A332CB" w:rsidRPr="004F4953">
        <w:rPr>
          <w:snapToGrid w:val="0"/>
          <w:kern w:val="18"/>
          <w:szCs w:val="18"/>
        </w:rPr>
        <w:t>n</w:t>
      </w:r>
      <w:r w:rsidRPr="00AA5D70">
        <w:rPr>
          <w:snapToGrid w:val="0"/>
          <w:kern w:val="18"/>
          <w:szCs w:val="18"/>
        </w:rPr>
        <w:t>ine Parties (Egypt, European Union, Guyana, Iran</w:t>
      </w:r>
      <w:r w:rsidR="008D276D" w:rsidRPr="004F4953">
        <w:rPr>
          <w:snapToGrid w:val="0"/>
          <w:kern w:val="18"/>
          <w:szCs w:val="18"/>
        </w:rPr>
        <w:t xml:space="preserve"> (Islamic Republic of)</w:t>
      </w:r>
      <w:r w:rsidRPr="00AA5D70">
        <w:rPr>
          <w:snapToGrid w:val="0"/>
          <w:kern w:val="18"/>
          <w:szCs w:val="18"/>
        </w:rPr>
        <w:t xml:space="preserve">, Japan, Mexico, Nigeria, Republic of Korea and Suriname) and </w:t>
      </w:r>
      <w:r w:rsidR="00A332CB" w:rsidRPr="004F4953">
        <w:rPr>
          <w:snapToGrid w:val="0"/>
          <w:kern w:val="18"/>
          <w:szCs w:val="18"/>
        </w:rPr>
        <w:t>12</w:t>
      </w:r>
      <w:r w:rsidRPr="00AA5D70">
        <w:rPr>
          <w:snapToGrid w:val="0"/>
          <w:kern w:val="18"/>
          <w:szCs w:val="18"/>
        </w:rPr>
        <w:t xml:space="preserve"> organizations (ETC Group, ASEAN Centre for Biodiversity, Carpathian Convention, </w:t>
      </w:r>
      <w:proofErr w:type="spellStart"/>
      <w:r w:rsidRPr="00AA5D70">
        <w:rPr>
          <w:snapToGrid w:val="0"/>
          <w:kern w:val="18"/>
          <w:szCs w:val="18"/>
        </w:rPr>
        <w:t>EcoNexus</w:t>
      </w:r>
      <w:proofErr w:type="spellEnd"/>
      <w:r w:rsidRPr="00AA5D70">
        <w:rPr>
          <w:snapToGrid w:val="0"/>
          <w:kern w:val="18"/>
          <w:szCs w:val="18"/>
        </w:rPr>
        <w:t xml:space="preserve">, Global Commons Alliance, International Coral Reef Initiative, </w:t>
      </w:r>
      <w:proofErr w:type="spellStart"/>
      <w:r w:rsidRPr="00AA5D70">
        <w:rPr>
          <w:snapToGrid w:val="0"/>
          <w:kern w:val="18"/>
          <w:szCs w:val="18"/>
        </w:rPr>
        <w:t>MedPAN</w:t>
      </w:r>
      <w:proofErr w:type="spellEnd"/>
      <w:r w:rsidRPr="00AA5D70">
        <w:rPr>
          <w:snapToGrid w:val="0"/>
          <w:kern w:val="18"/>
          <w:szCs w:val="18"/>
        </w:rPr>
        <w:t>, Regions4, Save Our Seeds, Third World Network, United</w:t>
      </w:r>
      <w:r w:rsidR="00A332CB" w:rsidRPr="004F4953">
        <w:rPr>
          <w:snapToGrid w:val="0"/>
          <w:kern w:val="18"/>
          <w:szCs w:val="18"/>
        </w:rPr>
        <w:t> </w:t>
      </w:r>
      <w:r w:rsidRPr="00AA5D70">
        <w:rPr>
          <w:snapToGrid w:val="0"/>
          <w:kern w:val="18"/>
          <w:szCs w:val="18"/>
        </w:rPr>
        <w:t>Nations Environment Programme</w:t>
      </w:r>
      <w:r w:rsidR="00A332CB" w:rsidRPr="004F4953">
        <w:rPr>
          <w:snapToGrid w:val="0"/>
          <w:kern w:val="18"/>
          <w:szCs w:val="18"/>
        </w:rPr>
        <w:t>-</w:t>
      </w:r>
      <w:r w:rsidRPr="00AA5D70">
        <w:rPr>
          <w:snapToGrid w:val="0"/>
          <w:kern w:val="18"/>
          <w:szCs w:val="18"/>
        </w:rPr>
        <w:t>World Conservation Monitoring Centre (UNEP-WCMC), and the United Nations University (UNU) made submissions.</w:t>
      </w:r>
    </w:p>
  </w:footnote>
  <w:footnote w:id="40">
    <w:p w14:paraId="19C796F3" w14:textId="18B316B8"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At present, most technical and scientific cooperation support functions are performed by staff supported by the Bio-Bridge Initiative funded by the Republic of Korea. The current funding commitment for the Initiative will end in 2020.</w:t>
      </w:r>
    </w:p>
  </w:footnote>
  <w:footnote w:id="41">
    <w:p w14:paraId="18F6ABA4" w14:textId="598E6142"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snapToGrid w:val="0"/>
          <w:kern w:val="18"/>
          <w:szCs w:val="18"/>
          <w:vertAlign w:val="superscript"/>
        </w:rPr>
        <w:footnoteRef/>
      </w:r>
      <w:r w:rsidRPr="00AA5D70">
        <w:rPr>
          <w:snapToGrid w:val="0"/>
          <w:kern w:val="18"/>
          <w:szCs w:val="18"/>
        </w:rPr>
        <w:t xml:space="preserve"> Some of the actions also overlap with the enabling conditions (including stakeholder engagement, partnerships</w:t>
      </w:r>
      <w:r w:rsidR="00F66506" w:rsidRPr="00AA5D70">
        <w:rPr>
          <w:snapToGrid w:val="0"/>
          <w:kern w:val="18"/>
          <w:szCs w:val="18"/>
        </w:rPr>
        <w:t>,</w:t>
      </w:r>
      <w:r w:rsidRPr="00AA5D70">
        <w:rPr>
          <w:snapToGrid w:val="0"/>
          <w:kern w:val="18"/>
          <w:szCs w:val="18"/>
        </w:rPr>
        <w:t xml:space="preserve"> and collaboration with multilateral environmental agreements and other relevant international processes) and with the enhanced mechanisms for reporting, assessment and review of implementation.</w:t>
      </w:r>
    </w:p>
  </w:footnote>
  <w:footnote w:id="42">
    <w:p w14:paraId="4A23715E" w14:textId="356A9EFF"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4F4953">
        <w:rPr>
          <w:rStyle w:val="FootnoteReference"/>
          <w:snapToGrid w:val="0"/>
          <w:kern w:val="18"/>
          <w:sz w:val="18"/>
          <w:szCs w:val="18"/>
        </w:rPr>
        <w:footnoteRef/>
      </w:r>
      <w:r w:rsidRPr="00AA5D70">
        <w:rPr>
          <w:snapToGrid w:val="0"/>
          <w:kern w:val="18"/>
          <w:szCs w:val="18"/>
        </w:rPr>
        <w:t xml:space="preserve"> </w:t>
      </w:r>
      <w:r w:rsidR="007E7D44" w:rsidRPr="00AA5D70">
        <w:rPr>
          <w:snapToGrid w:val="0"/>
          <w:kern w:val="18"/>
          <w:szCs w:val="18"/>
        </w:rPr>
        <w:t xml:space="preserve">The preliminary final report is available as </w:t>
      </w:r>
      <w:r w:rsidRPr="00AA5D70">
        <w:rPr>
          <w:snapToGrid w:val="0"/>
          <w:kern w:val="18"/>
          <w:szCs w:val="18"/>
        </w:rPr>
        <w:t>CBD/SBI/3/INF/14</w:t>
      </w:r>
      <w:r w:rsidR="001D66AC" w:rsidRPr="00AA5D70">
        <w:rPr>
          <w:snapToGrid w:val="0"/>
          <w:kern w:val="18"/>
          <w:szCs w:val="18"/>
        </w:rPr>
        <w:t>; th</w:t>
      </w:r>
      <w:r w:rsidR="006E41C5" w:rsidRPr="00AA5D70">
        <w:rPr>
          <w:snapToGrid w:val="0"/>
          <w:kern w:val="18"/>
          <w:szCs w:val="18"/>
        </w:rPr>
        <w:t>e final report</w:t>
      </w:r>
      <w:r w:rsidR="005A2FC0" w:rsidRPr="00AA5D70">
        <w:rPr>
          <w:snapToGrid w:val="0"/>
          <w:kern w:val="18"/>
          <w:szCs w:val="18"/>
        </w:rPr>
        <w:t xml:space="preserve"> will be </w:t>
      </w:r>
      <w:r w:rsidR="001A6268" w:rsidRPr="004F4953">
        <w:rPr>
          <w:snapToGrid w:val="0"/>
          <w:kern w:val="18"/>
          <w:szCs w:val="18"/>
        </w:rPr>
        <w:t>issued in due course</w:t>
      </w:r>
      <w:r w:rsidRPr="00AA5D70">
        <w:rPr>
          <w:snapToGrid w:val="0"/>
          <w:kern w:val="18"/>
          <w:szCs w:val="18"/>
        </w:rPr>
        <w:t>.</w:t>
      </w:r>
    </w:p>
  </w:footnote>
  <w:footnote w:id="43">
    <w:p w14:paraId="7D88CAE3" w14:textId="56E3A26D" w:rsidR="00954EAF" w:rsidRPr="00AA5D70" w:rsidRDefault="0061284C"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See </w:t>
      </w:r>
      <w:hyperlink r:id="rId40" w:history="1">
        <w:r w:rsidR="00954EAF" w:rsidRPr="00AA5D70">
          <w:rPr>
            <w:rStyle w:val="Hyperlink"/>
            <w:snapToGrid w:val="0"/>
            <w:kern w:val="18"/>
            <w:szCs w:val="18"/>
          </w:rPr>
          <w:t>https://www.un.org/pga/75/united-nations-summit-on-biodiversity-summary</w:t>
        </w:r>
      </w:hyperlink>
      <w:r w:rsidR="00954EAF" w:rsidRPr="00AA5D70">
        <w:rPr>
          <w:snapToGrid w:val="0"/>
          <w:kern w:val="18"/>
          <w:szCs w:val="18"/>
        </w:rPr>
        <w:t>.</w:t>
      </w:r>
    </w:p>
  </w:footnote>
  <w:footnote w:id="44">
    <w:p w14:paraId="5528761D" w14:textId="7EB02EFC" w:rsidR="00905C3B" w:rsidRPr="00AA5D70" w:rsidRDefault="00905C3B"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r w:rsidR="00B757C9" w:rsidRPr="00AA5D70">
        <w:rPr>
          <w:snapToGrid w:val="0"/>
          <w:kern w:val="18"/>
          <w:szCs w:val="18"/>
        </w:rPr>
        <w:t>The long-term strategic framework is f</w:t>
      </w:r>
      <w:r w:rsidRPr="00AA5D70">
        <w:rPr>
          <w:snapToGrid w:val="0"/>
          <w:kern w:val="18"/>
          <w:szCs w:val="18"/>
        </w:rPr>
        <w:t xml:space="preserve">urther elaborated in document </w:t>
      </w:r>
      <w:hyperlink r:id="rId41" w:history="1">
        <w:r w:rsidRPr="00AA5D70">
          <w:rPr>
            <w:rStyle w:val="Hyperlink"/>
            <w:snapToGrid w:val="0"/>
            <w:kern w:val="18"/>
            <w:szCs w:val="18"/>
          </w:rPr>
          <w:t>CBD/SBI/3/7/Add.1</w:t>
        </w:r>
      </w:hyperlink>
      <w:r w:rsidR="00B757C9" w:rsidRPr="00AA5D70">
        <w:rPr>
          <w:snapToGrid w:val="0"/>
          <w:kern w:val="18"/>
          <w:szCs w:val="18"/>
        </w:rPr>
        <w:t>.</w:t>
      </w:r>
    </w:p>
  </w:footnote>
  <w:footnote w:id="45">
    <w:p w14:paraId="5A63F3EE" w14:textId="3FDA516F" w:rsidR="00E639AA" w:rsidRPr="00AA5D70" w:rsidRDefault="00E639AA"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See CBD/SBI/3/18.</w:t>
      </w:r>
    </w:p>
  </w:footnote>
  <w:footnote w:id="46">
    <w:p w14:paraId="419DC612" w14:textId="73F56EE0" w:rsidR="00E639AA" w:rsidRPr="00AA5D70" w:rsidRDefault="00E639AA"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r w:rsidR="001A686F" w:rsidRPr="00AA5D70">
        <w:rPr>
          <w:snapToGrid w:val="0"/>
          <w:kern w:val="18"/>
          <w:szCs w:val="18"/>
        </w:rPr>
        <w:t>See CBD/SBI/3/16.</w:t>
      </w:r>
    </w:p>
  </w:footnote>
  <w:footnote w:id="47">
    <w:p w14:paraId="4CC1053B" w14:textId="28DC470A"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w:t>
      </w:r>
      <w:r w:rsidR="00F3085C" w:rsidRPr="00AA5D70">
        <w:rPr>
          <w:snapToGrid w:val="0"/>
          <w:kern w:val="18"/>
          <w:szCs w:val="18"/>
        </w:rPr>
        <w:t xml:space="preserve">See </w:t>
      </w:r>
      <w:hyperlink r:id="rId42" w:history="1">
        <w:r w:rsidRPr="002A15D4">
          <w:rPr>
            <w:rStyle w:val="Hyperlink"/>
            <w:snapToGrid w:val="0"/>
            <w:kern w:val="18"/>
            <w:szCs w:val="18"/>
          </w:rPr>
          <w:t>CEB/2020/1</w:t>
        </w:r>
      </w:hyperlink>
      <w:hyperlink w:history="1"/>
      <w:r w:rsidRPr="00AA5D70">
        <w:rPr>
          <w:snapToGrid w:val="0"/>
          <w:kern w:val="18"/>
          <w:szCs w:val="18"/>
        </w:rPr>
        <w:t>.</w:t>
      </w:r>
    </w:p>
  </w:footnote>
  <w:footnote w:id="48">
    <w:p w14:paraId="5F723D57" w14:textId="7A89E618" w:rsidR="00A0114A" w:rsidRPr="00AA5D70" w:rsidRDefault="00A0114A" w:rsidP="00AA5D70">
      <w:pPr>
        <w:pStyle w:val="FootnoteText"/>
        <w:suppressLineNumbers/>
        <w:suppressAutoHyphens/>
        <w:adjustRightInd w:val="0"/>
        <w:snapToGrid w:val="0"/>
        <w:ind w:firstLine="0"/>
        <w:jc w:val="left"/>
        <w:rPr>
          <w:szCs w:val="18"/>
        </w:rPr>
      </w:pPr>
      <w:r w:rsidRPr="00AA5D70">
        <w:rPr>
          <w:rStyle w:val="FootnoteReference"/>
          <w:sz w:val="18"/>
          <w:szCs w:val="18"/>
        </w:rPr>
        <w:footnoteRef/>
      </w:r>
      <w:r w:rsidRPr="00AA5D70">
        <w:rPr>
          <w:szCs w:val="18"/>
        </w:rPr>
        <w:t xml:space="preserve"> CBD/SBI/3/7/Add.2.</w:t>
      </w:r>
    </w:p>
  </w:footnote>
  <w:footnote w:id="49">
    <w:p w14:paraId="54595D97" w14:textId="65E65B1F" w:rsidR="00C61648" w:rsidRPr="00AA5D70" w:rsidRDefault="00C61648"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proposals are elaborated in document CBD/SBI/3/INF/15</w:t>
      </w:r>
      <w:r w:rsidR="00315D19" w:rsidRPr="00AA5D70">
        <w:rPr>
          <w:snapToGrid w:val="0"/>
          <w:kern w:val="18"/>
          <w:szCs w:val="18"/>
        </w:rPr>
        <w:t>.</w:t>
      </w:r>
    </w:p>
  </w:footnote>
  <w:footnote w:id="50">
    <w:p w14:paraId="04D93B49" w14:textId="1FBCD0FF" w:rsidR="00D743B5" w:rsidRPr="00AA5D70" w:rsidRDefault="00D743B5" w:rsidP="00AA5D70">
      <w:pPr>
        <w:pStyle w:val="FootnoteText"/>
        <w:suppressLineNumbers/>
        <w:suppressAutoHyphens/>
        <w:adjustRightInd w:val="0"/>
        <w:snapToGrid w:val="0"/>
        <w:ind w:firstLine="0"/>
        <w:jc w:val="left"/>
        <w:rPr>
          <w:szCs w:val="18"/>
        </w:rPr>
      </w:pPr>
      <w:r w:rsidRPr="00AA5D70">
        <w:rPr>
          <w:rStyle w:val="FootnoteReference"/>
          <w:sz w:val="18"/>
          <w:szCs w:val="18"/>
        </w:rPr>
        <w:footnoteRef/>
      </w:r>
      <w:r w:rsidRPr="00AA5D70">
        <w:rPr>
          <w:szCs w:val="18"/>
        </w:rPr>
        <w:t xml:space="preserve"> </w:t>
      </w:r>
      <w:r w:rsidRPr="00AA5D70">
        <w:rPr>
          <w:kern w:val="22"/>
          <w:szCs w:val="18"/>
        </w:rPr>
        <w:t>CBD/SBI/3/7/Add.2.</w:t>
      </w:r>
    </w:p>
  </w:footnote>
  <w:footnote w:id="51">
    <w:p w14:paraId="52B37DCA" w14:textId="5002F032"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See General Assembly resolution </w:t>
      </w:r>
      <w:hyperlink r:id="rId43" w:history="1">
        <w:r w:rsidRPr="00AA5D70">
          <w:rPr>
            <w:rStyle w:val="Hyperlink"/>
            <w:snapToGrid w:val="0"/>
            <w:kern w:val="18"/>
            <w:szCs w:val="18"/>
          </w:rPr>
          <w:t>70/1</w:t>
        </w:r>
      </w:hyperlink>
      <w:r w:rsidRPr="00AA5D70">
        <w:rPr>
          <w:snapToGrid w:val="0"/>
          <w:kern w:val="18"/>
          <w:szCs w:val="18"/>
        </w:rPr>
        <w:t xml:space="preserve"> of 25 September 2015 entitled “Transforming our world: the 2030 Agenda for Sustainable Development”.</w:t>
      </w:r>
    </w:p>
  </w:footnote>
  <w:footnote w:id="52">
    <w:p w14:paraId="23F2795C" w14:textId="4252F76A"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In this framework, government actors include, as appropriate, government institutions at national and subnational levels. The term “non-government actors” includes United Nations organizations and programmes, multilateral environmental agreements, intergovernmental organizations, community organizations, indigenous peoples and local communities, academia, faith</w:t>
      </w:r>
      <w:r w:rsidR="006C1AE8" w:rsidRPr="00AA5D70">
        <w:rPr>
          <w:snapToGrid w:val="0"/>
          <w:kern w:val="18"/>
          <w:szCs w:val="18"/>
        </w:rPr>
        <w:t>-</w:t>
      </w:r>
      <w:r w:rsidRPr="00AA5D70">
        <w:rPr>
          <w:snapToGrid w:val="0"/>
          <w:kern w:val="18"/>
          <w:szCs w:val="18"/>
        </w:rPr>
        <w:t>based and religious groups, women and youth organizations, non-governmental organizations, media,</w:t>
      </w:r>
      <w:r w:rsidR="00F03702" w:rsidRPr="00AA5D70">
        <w:rPr>
          <w:snapToGrid w:val="0"/>
          <w:kern w:val="18"/>
          <w:szCs w:val="18"/>
        </w:rPr>
        <w:t xml:space="preserve"> the scientific community, </w:t>
      </w:r>
      <w:r w:rsidRPr="00AA5D70">
        <w:rPr>
          <w:snapToGrid w:val="0"/>
          <w:kern w:val="18"/>
          <w:szCs w:val="18"/>
        </w:rPr>
        <w:t>and private sector entities such as private financial institutions, businesses, industries, insurers, producers and investors</w:t>
      </w:r>
      <w:r w:rsidR="009E72D5" w:rsidRPr="00AA5D70">
        <w:rPr>
          <w:snapToGrid w:val="0"/>
          <w:kern w:val="18"/>
          <w:szCs w:val="18"/>
        </w:rPr>
        <w:t>.</w:t>
      </w:r>
    </w:p>
  </w:footnote>
  <w:footnote w:id="53">
    <w:p w14:paraId="2826787E" w14:textId="03EA794D"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A report of the study is available as information document </w:t>
      </w:r>
      <w:hyperlink r:id="rId44" w:history="1">
        <w:r w:rsidRPr="00AA5D70">
          <w:rPr>
            <w:rStyle w:val="Hyperlink"/>
            <w:snapToGrid w:val="0"/>
            <w:kern w:val="18"/>
            <w:szCs w:val="18"/>
          </w:rPr>
          <w:t>CBD/SBI/3/INF/9</w:t>
        </w:r>
      </w:hyperlink>
      <w:r w:rsidRPr="004F4953">
        <w:rPr>
          <w:snapToGrid w:val="0"/>
          <w:kern w:val="18"/>
          <w:szCs w:val="18"/>
        </w:rPr>
        <w:t>.</w:t>
      </w:r>
    </w:p>
  </w:footnote>
  <w:footnote w:id="54">
    <w:p w14:paraId="66E94AD8" w14:textId="77777777"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Adapted from the definition given in UNDG “Capacity Development: UNDAF Companion Guidance” 2017 available at </w:t>
      </w:r>
      <w:hyperlink r:id="rId45" w:history="1">
        <w:r w:rsidRPr="00AA5D70">
          <w:rPr>
            <w:rStyle w:val="Hyperlink"/>
            <w:snapToGrid w:val="0"/>
            <w:kern w:val="18"/>
            <w:szCs w:val="18"/>
          </w:rPr>
          <w:t>https://unsdg.un.org/resources/capacity-development-undaf-companion-guidance</w:t>
        </w:r>
      </w:hyperlink>
      <w:r w:rsidRPr="00AA5D70">
        <w:rPr>
          <w:snapToGrid w:val="0"/>
          <w:kern w:val="18"/>
          <w:szCs w:val="18"/>
        </w:rPr>
        <w:t>.</w:t>
      </w:r>
    </w:p>
  </w:footnote>
  <w:footnote w:id="55">
    <w:p w14:paraId="1EE92ED7" w14:textId="3EF859C9"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spacing w:val="-4"/>
          <w:kern w:val="18"/>
          <w:szCs w:val="18"/>
        </w:rPr>
      </w:pPr>
      <w:r w:rsidRPr="00AA5D70">
        <w:rPr>
          <w:rStyle w:val="FootnoteReference"/>
          <w:snapToGrid w:val="0"/>
          <w:spacing w:val="-4"/>
          <w:kern w:val="18"/>
          <w:sz w:val="18"/>
          <w:szCs w:val="18"/>
        </w:rPr>
        <w:footnoteRef/>
      </w:r>
      <w:r w:rsidRPr="00AA5D70">
        <w:rPr>
          <w:snapToGrid w:val="0"/>
          <w:spacing w:val="-4"/>
          <w:kern w:val="18"/>
          <w:szCs w:val="18"/>
        </w:rPr>
        <w:t xml:space="preserve"> </w:t>
      </w:r>
      <w:r w:rsidR="00C35F1D" w:rsidRPr="00AA5D70">
        <w:rPr>
          <w:snapToGrid w:val="0"/>
          <w:spacing w:val="-4"/>
          <w:kern w:val="18"/>
          <w:szCs w:val="18"/>
        </w:rPr>
        <w:t>An organization can become a “</w:t>
      </w:r>
      <w:r w:rsidRPr="00AA5D70">
        <w:rPr>
          <w:snapToGrid w:val="0"/>
          <w:spacing w:val="-4"/>
          <w:kern w:val="18"/>
          <w:szCs w:val="18"/>
        </w:rPr>
        <w:t>learning organization</w:t>
      </w:r>
      <w:r w:rsidR="00C35F1D" w:rsidRPr="00AA5D70">
        <w:rPr>
          <w:snapToGrid w:val="0"/>
          <w:spacing w:val="-4"/>
          <w:kern w:val="18"/>
          <w:szCs w:val="18"/>
        </w:rPr>
        <w:t>”</w:t>
      </w:r>
      <w:r w:rsidRPr="00AA5D70">
        <w:rPr>
          <w:snapToGrid w:val="0"/>
          <w:spacing w:val="-4"/>
          <w:kern w:val="18"/>
          <w:szCs w:val="18"/>
        </w:rPr>
        <w:t xml:space="preserve"> by applying existing internal knowledge and learning from past experiences and lessons with the aim of improving its performance (</w:t>
      </w:r>
      <w:r w:rsidR="003A44E2" w:rsidRPr="00AA5D70">
        <w:rPr>
          <w:snapToGrid w:val="0"/>
          <w:spacing w:val="-4"/>
          <w:kern w:val="18"/>
          <w:szCs w:val="18"/>
        </w:rPr>
        <w:t>e.g.</w:t>
      </w:r>
      <w:r w:rsidR="006963EC" w:rsidRPr="00AA5D70">
        <w:rPr>
          <w:snapToGrid w:val="0"/>
          <w:spacing w:val="-4"/>
          <w:kern w:val="18"/>
          <w:szCs w:val="18"/>
        </w:rPr>
        <w:t xml:space="preserve"> see</w:t>
      </w:r>
      <w:r w:rsidR="003A44E2" w:rsidRPr="00AA5D70">
        <w:rPr>
          <w:snapToGrid w:val="0"/>
          <w:spacing w:val="-4"/>
          <w:kern w:val="18"/>
          <w:szCs w:val="18"/>
        </w:rPr>
        <w:t xml:space="preserve"> </w:t>
      </w:r>
      <w:hyperlink r:id="rId46" w:history="1">
        <w:r w:rsidR="003A44E2" w:rsidRPr="00AA5D70">
          <w:rPr>
            <w:rStyle w:val="Hyperlink"/>
            <w:snapToGrid w:val="0"/>
            <w:spacing w:val="-4"/>
            <w:kern w:val="18"/>
            <w:szCs w:val="18"/>
          </w:rPr>
          <w:t>https://warwick.ac.uk/fac/soc/wbs/conf/olkc/archive/olk4/papers/villardi.pdf</w:t>
        </w:r>
      </w:hyperlink>
      <w:r w:rsidRPr="00AA5D70">
        <w:rPr>
          <w:snapToGrid w:val="0"/>
          <w:spacing w:val="-4"/>
          <w:kern w:val="18"/>
          <w:szCs w:val="18"/>
        </w:rPr>
        <w:t>).</w:t>
      </w:r>
    </w:p>
  </w:footnote>
  <w:footnote w:id="56">
    <w:p w14:paraId="72B6B6EF" w14:textId="444B68F0"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development of this theory of change took into account the technical guidance provided as part of the United Nations Development Assistance Framework (UNDAF) process: </w:t>
      </w:r>
      <w:hyperlink r:id="rId47" w:history="1">
        <w:r w:rsidRPr="00AA5D70">
          <w:rPr>
            <w:rStyle w:val="Hyperlink"/>
            <w:snapToGrid w:val="0"/>
            <w:kern w:val="18"/>
            <w:szCs w:val="18"/>
          </w:rPr>
          <w:t>https://unsdg.un.org/resources/theory-change-undaf-companion-guidance</w:t>
        </w:r>
      </w:hyperlink>
      <w:r w:rsidRPr="004F4953">
        <w:rPr>
          <w:snapToGrid w:val="0"/>
          <w:kern w:val="18"/>
          <w:szCs w:val="18"/>
        </w:rPr>
        <w:t>.</w:t>
      </w:r>
    </w:p>
  </w:footnote>
  <w:footnote w:id="57">
    <w:p w14:paraId="7F12904E" w14:textId="08214116" w:rsidR="00CE27E0"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At least 19 Parties to the Convention on Biological Diversity have prepared biodiversity capacity development strategies or plans, either as a chapter or section within their NBSAP or as stand-alone documents: </w:t>
      </w:r>
      <w:hyperlink r:id="rId48" w:history="1">
        <w:r w:rsidR="00CE27E0" w:rsidRPr="00AA5D70">
          <w:rPr>
            <w:rStyle w:val="Hyperlink"/>
            <w:snapToGrid w:val="0"/>
            <w:kern w:val="18"/>
            <w:szCs w:val="18"/>
          </w:rPr>
          <w:t>https://www.cbd.int/cb/plans/</w:t>
        </w:r>
      </w:hyperlink>
      <w:r w:rsidR="00CE27E0" w:rsidRPr="00AA5D70">
        <w:rPr>
          <w:snapToGrid w:val="0"/>
          <w:kern w:val="18"/>
          <w:szCs w:val="18"/>
        </w:rPr>
        <w:t>.</w:t>
      </w:r>
      <w:hyperlink w:history="1"/>
    </w:p>
  </w:footnote>
  <w:footnote w:id="58">
    <w:p w14:paraId="78134EC6" w14:textId="3CB686B7"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Capacity development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49" w:history="1">
        <w:r w:rsidRPr="00AA5D70">
          <w:rPr>
            <w:rStyle w:val="Hyperlink"/>
            <w:snapToGrid w:val="0"/>
            <w:kern w:val="18"/>
            <w:szCs w:val="18"/>
          </w:rPr>
          <w:t>https://www.unicef.org/evaldatabase/index_70552.html</w:t>
        </w:r>
      </w:hyperlink>
      <w:r w:rsidRPr="00AA5D70">
        <w:rPr>
          <w:snapToGrid w:val="0"/>
          <w:kern w:val="18"/>
          <w:szCs w:val="18"/>
        </w:rPr>
        <w:t>).</w:t>
      </w:r>
    </w:p>
  </w:footnote>
  <w:footnote w:id="59">
    <w:p w14:paraId="17C1F52C" w14:textId="232B029A" w:rsidR="004A2392" w:rsidRPr="00AA5D70" w:rsidRDefault="004A2392" w:rsidP="00AA5D70">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AA5D70">
        <w:rPr>
          <w:rStyle w:val="FootnoteReference"/>
          <w:snapToGrid w:val="0"/>
          <w:kern w:val="18"/>
          <w:sz w:val="18"/>
          <w:szCs w:val="18"/>
        </w:rPr>
        <w:footnoteRef/>
      </w:r>
      <w:r w:rsidRPr="00AA5D70">
        <w:rPr>
          <w:snapToGrid w:val="0"/>
          <w:kern w:val="18"/>
          <w:sz w:val="18"/>
          <w:szCs w:val="18"/>
        </w:rPr>
        <w:t xml:space="preserve"> As cited in the UNDP publication </w:t>
      </w:r>
      <w:hyperlink r:id="rId50" w:anchor=":~:text=Incentive%20Systems%3A%20Incentives%2C%20Motivation%2C%20and%20Development%20Performance,-Nov%208%2C%202015&amp;text=It%20is%20possible%20to%20distinguish,environment%22%20of%20any%20given%20system." w:history="1">
        <w:r w:rsidRPr="00AA5D70">
          <w:rPr>
            <w:rStyle w:val="Hyperlink"/>
            <w:snapToGrid w:val="0"/>
            <w:kern w:val="18"/>
            <w:szCs w:val="18"/>
          </w:rPr>
          <w:t>Incentive Systems: Incentives, motivation and development performance</w:t>
        </w:r>
      </w:hyperlink>
      <w:r w:rsidRPr="00AA5D70">
        <w:rPr>
          <w:snapToGrid w:val="0"/>
          <w:kern w:val="18"/>
          <w:szCs w:val="18"/>
        </w:rPr>
        <w:t>.</w:t>
      </w:r>
    </w:p>
  </w:footnote>
  <w:footnote w:id="60">
    <w:p w14:paraId="06E75A8D" w14:textId="415AFA9D"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w:t>
      </w:r>
      <w:r w:rsidR="00A81A80" w:rsidRPr="00AA5D70">
        <w:rPr>
          <w:snapToGrid w:val="0"/>
          <w:kern w:val="18"/>
          <w:szCs w:val="18"/>
        </w:rPr>
        <w:t>i</w:t>
      </w:r>
      <w:r w:rsidRPr="00AA5D70">
        <w:rPr>
          <w:snapToGrid w:val="0"/>
          <w:kern w:val="18"/>
          <w:szCs w:val="18"/>
        </w:rPr>
        <w:t xml:space="preserve">mplementation </w:t>
      </w:r>
      <w:r w:rsidR="00A81A80" w:rsidRPr="00AA5D70">
        <w:rPr>
          <w:snapToGrid w:val="0"/>
          <w:kern w:val="18"/>
          <w:szCs w:val="18"/>
        </w:rPr>
        <w:t>s</w:t>
      </w:r>
      <w:r w:rsidRPr="00AA5D70">
        <w:rPr>
          <w:snapToGrid w:val="0"/>
          <w:kern w:val="18"/>
          <w:szCs w:val="18"/>
        </w:rPr>
        <w:t xml:space="preserve">upport </w:t>
      </w:r>
      <w:r w:rsidR="00A81A80" w:rsidRPr="00AA5D70">
        <w:rPr>
          <w:snapToGrid w:val="0"/>
          <w:kern w:val="18"/>
          <w:szCs w:val="18"/>
        </w:rPr>
        <w:t>c</w:t>
      </w:r>
      <w:r w:rsidRPr="00AA5D70">
        <w:rPr>
          <w:snapToGrid w:val="0"/>
          <w:kern w:val="18"/>
          <w:szCs w:val="18"/>
        </w:rPr>
        <w:t xml:space="preserve">ommittee would provide advice and </w:t>
      </w:r>
      <w:bookmarkStart w:id="52" w:name="_Hlk50335854"/>
      <w:r w:rsidRPr="00AA5D70">
        <w:rPr>
          <w:snapToGrid w:val="0"/>
          <w:kern w:val="18"/>
          <w:szCs w:val="18"/>
        </w:rPr>
        <w:t xml:space="preserve">strategic guidance on </w:t>
      </w:r>
      <w:bookmarkEnd w:id="52"/>
      <w:r w:rsidRPr="00AA5D70">
        <w:rPr>
          <w:snapToGrid w:val="0"/>
          <w:kern w:val="18"/>
          <w:szCs w:val="18"/>
        </w:rPr>
        <w:t>all the means of implementation of the post-2020 global biodiversity framework, including capacity development, technical and scientific cooperation, technology transfer, knowledge management, resource mobilization and others.</w:t>
      </w:r>
    </w:p>
  </w:footnote>
  <w:footnote w:id="61">
    <w:p w14:paraId="74898439" w14:textId="4D465122" w:rsidR="004A2392" w:rsidRPr="00AA5D70" w:rsidRDefault="004A2392"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The EMG (</w:t>
      </w:r>
      <w:hyperlink r:id="rId51" w:history="1">
        <w:r w:rsidRPr="00AA5D70">
          <w:rPr>
            <w:rStyle w:val="Hyperlink"/>
            <w:snapToGrid w:val="0"/>
            <w:kern w:val="18"/>
            <w:szCs w:val="18"/>
          </w:rPr>
          <w:t>https://unemg.org/</w:t>
        </w:r>
      </w:hyperlink>
      <w:r w:rsidRPr="00AA5D70">
        <w:rPr>
          <w:snapToGrid w:val="0"/>
          <w:kern w:val="18"/>
          <w:szCs w:val="18"/>
        </w:rPr>
        <w:t>) or BLG (</w:t>
      </w:r>
      <w:hyperlink r:id="rId52" w:history="1">
        <w:r w:rsidRPr="00AA5D70">
          <w:rPr>
            <w:rStyle w:val="Hyperlink"/>
            <w:snapToGrid w:val="0"/>
            <w:kern w:val="18"/>
            <w:szCs w:val="18"/>
          </w:rPr>
          <w:t>www.cbd.int/blg/</w:t>
        </w:r>
      </w:hyperlink>
      <w:r w:rsidRPr="00AA5D70">
        <w:rPr>
          <w:snapToGrid w:val="0"/>
          <w:kern w:val="18"/>
          <w:szCs w:val="18"/>
        </w:rPr>
        <w:t>) could include on the task team senior representatives of relevant organizations, indigenous peoples and local communities, civil society organizations, the private sector, donors and academia.</w:t>
      </w:r>
    </w:p>
  </w:footnote>
  <w:footnote w:id="62">
    <w:p w14:paraId="00C252D3" w14:textId="1DA3711A" w:rsidR="00EE3664" w:rsidRPr="00AA5D70" w:rsidRDefault="00EE3664" w:rsidP="00AA5D7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A5D70">
        <w:rPr>
          <w:rStyle w:val="FootnoteReference"/>
          <w:snapToGrid w:val="0"/>
          <w:kern w:val="18"/>
          <w:sz w:val="18"/>
          <w:szCs w:val="18"/>
        </w:rPr>
        <w:footnoteRef/>
      </w:r>
      <w:r w:rsidRPr="00AA5D70">
        <w:rPr>
          <w:snapToGrid w:val="0"/>
          <w:kern w:val="18"/>
          <w:szCs w:val="18"/>
        </w:rPr>
        <w:t xml:space="preserve"> </w:t>
      </w:r>
      <w:r w:rsidR="0077635B" w:rsidRPr="00AA5D70">
        <w:rPr>
          <w:snapToGrid w:val="0"/>
          <w:kern w:val="18"/>
          <w:szCs w:val="18"/>
        </w:rPr>
        <w:t>A</w:t>
      </w:r>
      <w:r w:rsidR="004214B6" w:rsidRPr="00AA5D70">
        <w:rPr>
          <w:snapToGrid w:val="0"/>
          <w:kern w:val="18"/>
          <w:szCs w:val="18"/>
        </w:rPr>
        <w:t xml:space="preserve"> series </w:t>
      </w:r>
      <w:r w:rsidR="00512E56" w:rsidRPr="00AA5D70">
        <w:rPr>
          <w:snapToGrid w:val="0"/>
          <w:kern w:val="18"/>
          <w:szCs w:val="18"/>
        </w:rPr>
        <w:t>w</w:t>
      </w:r>
      <w:r w:rsidR="004214B6" w:rsidRPr="00AA5D70">
        <w:rPr>
          <w:snapToGrid w:val="0"/>
          <w:kern w:val="18"/>
          <w:szCs w:val="18"/>
        </w:rPr>
        <w:t xml:space="preserve">ould include </w:t>
      </w:r>
      <w:r w:rsidR="00512E56" w:rsidRPr="00AA5D70">
        <w:rPr>
          <w:snapToGrid w:val="0"/>
          <w:kern w:val="18"/>
          <w:szCs w:val="18"/>
        </w:rPr>
        <w:t xml:space="preserve">five </w:t>
      </w:r>
      <w:r w:rsidR="004214B6" w:rsidRPr="00AA5D70">
        <w:rPr>
          <w:snapToGrid w:val="0"/>
          <w:kern w:val="18"/>
          <w:szCs w:val="18"/>
        </w:rPr>
        <w:t>regional workshops</w:t>
      </w:r>
      <w:r w:rsidR="00512E56" w:rsidRPr="00AA5D70">
        <w:rPr>
          <w:snapToGrid w:val="0"/>
          <w:kern w:val="18"/>
          <w:szCs w:val="18"/>
        </w:rPr>
        <w:t xml:space="preserve"> and one global workshop.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93381937"/>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09701DC" w14:textId="40F19E8B" w:rsidR="004A2392" w:rsidRPr="00AC4770" w:rsidRDefault="004A2392" w:rsidP="00AC4770">
        <w:pPr>
          <w:pStyle w:val="Header"/>
          <w:keepLines/>
          <w:suppressLineNumbers/>
          <w:suppressAutoHyphens/>
          <w:jc w:val="left"/>
          <w:rPr>
            <w:noProof/>
            <w:kern w:val="22"/>
          </w:rPr>
        </w:pPr>
        <w:r>
          <w:rPr>
            <w:noProof/>
            <w:kern w:val="22"/>
          </w:rPr>
          <w:t>CBD/SBI/3/7</w:t>
        </w:r>
      </w:p>
    </w:sdtContent>
  </w:sdt>
  <w:p w14:paraId="6C2F58A5" w14:textId="77777777" w:rsidR="004A2392" w:rsidRPr="00AC4770" w:rsidRDefault="004A2392" w:rsidP="00AC4770">
    <w:pPr>
      <w:pStyle w:val="Header"/>
      <w:keepLines/>
      <w:suppressLineNumbers/>
      <w:suppressAutoHyphens/>
      <w:jc w:val="left"/>
      <w:rPr>
        <w:noProof/>
        <w:kern w:val="22"/>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Pr="00AC4770">
      <w:rPr>
        <w:noProof/>
        <w:kern w:val="22"/>
      </w:rPr>
      <w:t>2</w:t>
    </w:r>
    <w:r w:rsidRPr="00AC4770">
      <w:rPr>
        <w:noProof/>
        <w:kern w:val="22"/>
      </w:rPr>
      <w:fldChar w:fldCharType="end"/>
    </w:r>
  </w:p>
  <w:p w14:paraId="50968D8A" w14:textId="77777777" w:rsidR="004A2392" w:rsidRPr="00AC4770" w:rsidRDefault="004A2392" w:rsidP="00AC4770">
    <w:pPr>
      <w:keepLines/>
      <w:suppressLineNumber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15748941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8D527C" w14:textId="105C0128" w:rsidR="004A2392" w:rsidRDefault="004A2392" w:rsidP="00AC4770">
        <w:pPr>
          <w:pStyle w:val="Header"/>
          <w:keepLines/>
          <w:suppressLineNumbers/>
          <w:tabs>
            <w:tab w:val="clear" w:pos="4320"/>
            <w:tab w:val="clear" w:pos="8640"/>
          </w:tabs>
          <w:suppressAutoHyphens/>
          <w:jc w:val="right"/>
          <w:rPr>
            <w:noProof/>
          </w:rPr>
        </w:pPr>
        <w:r>
          <w:rPr>
            <w:noProof/>
          </w:rPr>
          <w:t>CBD/SBI/3/7</w:t>
        </w:r>
      </w:p>
    </w:sdtContent>
  </w:sdt>
  <w:p w14:paraId="5EA22255" w14:textId="77777777" w:rsidR="004A2392" w:rsidRDefault="004A2392" w:rsidP="00AC4770">
    <w:pPr>
      <w:pStyle w:val="Header"/>
      <w:keepLines/>
      <w:suppressLineNumbers/>
      <w:tabs>
        <w:tab w:val="clear" w:pos="4320"/>
        <w:tab w:val="clear" w:pos="8640"/>
      </w:tabs>
      <w:suppressAutoHyphen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3</w:t>
    </w:r>
    <w:r>
      <w:rPr>
        <w:noProof/>
      </w:rPr>
      <w:fldChar w:fldCharType="end"/>
    </w:r>
  </w:p>
  <w:p w14:paraId="0D0BF511" w14:textId="77777777" w:rsidR="004A2392" w:rsidRDefault="004A2392" w:rsidP="00AC4770">
    <w:pPr>
      <w:pStyle w:val="Header"/>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364BF"/>
    <w:multiLevelType w:val="multilevel"/>
    <w:tmpl w:val="9C68E1E2"/>
    <w:numStyleLink w:val="AnnexLettering"/>
  </w:abstractNum>
  <w:abstractNum w:abstractNumId="4"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E91ED2"/>
    <w:multiLevelType w:val="hybridMultilevel"/>
    <w:tmpl w:val="26A25D2A"/>
    <w:lvl w:ilvl="0" w:tplc="E3E6A1D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076FBC"/>
    <w:multiLevelType w:val="hybridMultilevel"/>
    <w:tmpl w:val="C870F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C71E5"/>
    <w:multiLevelType w:val="hybridMultilevel"/>
    <w:tmpl w:val="C6F2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C2E1F"/>
    <w:multiLevelType w:val="hybridMultilevel"/>
    <w:tmpl w:val="245681B8"/>
    <w:lvl w:ilvl="0" w:tplc="21E24B5A">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43CDC"/>
    <w:multiLevelType w:val="hybridMultilevel"/>
    <w:tmpl w:val="4FA4B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7033FE"/>
    <w:multiLevelType w:val="hybridMultilevel"/>
    <w:tmpl w:val="BBEE3E60"/>
    <w:lvl w:ilvl="0" w:tplc="69F0887E">
      <w:start w:val="1"/>
      <w:numFmt w:val="lowerLetter"/>
      <w:lvlText w:val="%1."/>
      <w:lvlJc w:val="left"/>
      <w:pPr>
        <w:tabs>
          <w:tab w:val="num" w:pos="720"/>
        </w:tabs>
        <w:ind w:left="720" w:hanging="360"/>
      </w:pPr>
    </w:lvl>
    <w:lvl w:ilvl="1" w:tplc="CBF0480E" w:tentative="1">
      <w:start w:val="1"/>
      <w:numFmt w:val="lowerLetter"/>
      <w:lvlText w:val="%2."/>
      <w:lvlJc w:val="left"/>
      <w:pPr>
        <w:tabs>
          <w:tab w:val="num" w:pos="1440"/>
        </w:tabs>
        <w:ind w:left="1440" w:hanging="360"/>
      </w:pPr>
    </w:lvl>
    <w:lvl w:ilvl="2" w:tplc="CE1C93EC" w:tentative="1">
      <w:start w:val="1"/>
      <w:numFmt w:val="lowerLetter"/>
      <w:lvlText w:val="%3."/>
      <w:lvlJc w:val="left"/>
      <w:pPr>
        <w:tabs>
          <w:tab w:val="num" w:pos="2160"/>
        </w:tabs>
        <w:ind w:left="2160" w:hanging="360"/>
      </w:pPr>
    </w:lvl>
    <w:lvl w:ilvl="3" w:tplc="3EE66CD0" w:tentative="1">
      <w:start w:val="1"/>
      <w:numFmt w:val="lowerLetter"/>
      <w:lvlText w:val="%4."/>
      <w:lvlJc w:val="left"/>
      <w:pPr>
        <w:tabs>
          <w:tab w:val="num" w:pos="2880"/>
        </w:tabs>
        <w:ind w:left="2880" w:hanging="360"/>
      </w:pPr>
    </w:lvl>
    <w:lvl w:ilvl="4" w:tplc="DD662BAE" w:tentative="1">
      <w:start w:val="1"/>
      <w:numFmt w:val="lowerLetter"/>
      <w:lvlText w:val="%5."/>
      <w:lvlJc w:val="left"/>
      <w:pPr>
        <w:tabs>
          <w:tab w:val="num" w:pos="3600"/>
        </w:tabs>
        <w:ind w:left="3600" w:hanging="360"/>
      </w:pPr>
    </w:lvl>
    <w:lvl w:ilvl="5" w:tplc="27EC09DA" w:tentative="1">
      <w:start w:val="1"/>
      <w:numFmt w:val="lowerLetter"/>
      <w:lvlText w:val="%6."/>
      <w:lvlJc w:val="left"/>
      <w:pPr>
        <w:tabs>
          <w:tab w:val="num" w:pos="4320"/>
        </w:tabs>
        <w:ind w:left="4320" w:hanging="360"/>
      </w:pPr>
    </w:lvl>
    <w:lvl w:ilvl="6" w:tplc="55F886E0" w:tentative="1">
      <w:start w:val="1"/>
      <w:numFmt w:val="lowerLetter"/>
      <w:lvlText w:val="%7."/>
      <w:lvlJc w:val="left"/>
      <w:pPr>
        <w:tabs>
          <w:tab w:val="num" w:pos="5040"/>
        </w:tabs>
        <w:ind w:left="5040" w:hanging="360"/>
      </w:pPr>
    </w:lvl>
    <w:lvl w:ilvl="7" w:tplc="EA3A32C2" w:tentative="1">
      <w:start w:val="1"/>
      <w:numFmt w:val="lowerLetter"/>
      <w:lvlText w:val="%8."/>
      <w:lvlJc w:val="left"/>
      <w:pPr>
        <w:tabs>
          <w:tab w:val="num" w:pos="5760"/>
        </w:tabs>
        <w:ind w:left="5760" w:hanging="360"/>
      </w:pPr>
    </w:lvl>
    <w:lvl w:ilvl="8" w:tplc="BA2E3150" w:tentative="1">
      <w:start w:val="1"/>
      <w:numFmt w:val="lowerLetter"/>
      <w:lvlText w:val="%9."/>
      <w:lvlJc w:val="left"/>
      <w:pPr>
        <w:tabs>
          <w:tab w:val="num" w:pos="6480"/>
        </w:tabs>
        <w:ind w:left="6480" w:hanging="360"/>
      </w:pPr>
    </w:lvl>
  </w:abstractNum>
  <w:abstractNum w:abstractNumId="15" w15:restartNumberingAfterBreak="0">
    <w:nsid w:val="191A2B9A"/>
    <w:multiLevelType w:val="hybridMultilevel"/>
    <w:tmpl w:val="AA96D98A"/>
    <w:lvl w:ilvl="0" w:tplc="BF721178">
      <w:start w:val="1"/>
      <w:numFmt w:val="upperRoman"/>
      <w:lvlText w:val="%1."/>
      <w:lvlJc w:val="left"/>
      <w:pPr>
        <w:ind w:left="180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D7B13"/>
    <w:multiLevelType w:val="hybridMultilevel"/>
    <w:tmpl w:val="A684C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D861D3"/>
    <w:multiLevelType w:val="hybridMultilevel"/>
    <w:tmpl w:val="65B8DDF8"/>
    <w:lvl w:ilvl="0" w:tplc="97A03B38">
      <w:start w:val="8"/>
      <w:numFmt w:val="lowerLetter"/>
      <w:lvlText w:val="%1."/>
      <w:lvlJc w:val="left"/>
      <w:pPr>
        <w:tabs>
          <w:tab w:val="num" w:pos="720"/>
        </w:tabs>
        <w:ind w:left="720" w:hanging="360"/>
      </w:pPr>
    </w:lvl>
    <w:lvl w:ilvl="1" w:tplc="2EA00204" w:tentative="1">
      <w:start w:val="1"/>
      <w:numFmt w:val="lowerLetter"/>
      <w:lvlText w:val="%2."/>
      <w:lvlJc w:val="left"/>
      <w:pPr>
        <w:tabs>
          <w:tab w:val="num" w:pos="1440"/>
        </w:tabs>
        <w:ind w:left="1440" w:hanging="360"/>
      </w:pPr>
    </w:lvl>
    <w:lvl w:ilvl="2" w:tplc="AE1048EA" w:tentative="1">
      <w:start w:val="1"/>
      <w:numFmt w:val="lowerLetter"/>
      <w:lvlText w:val="%3."/>
      <w:lvlJc w:val="left"/>
      <w:pPr>
        <w:tabs>
          <w:tab w:val="num" w:pos="2160"/>
        </w:tabs>
        <w:ind w:left="2160" w:hanging="360"/>
      </w:pPr>
    </w:lvl>
    <w:lvl w:ilvl="3" w:tplc="9DE2731A" w:tentative="1">
      <w:start w:val="1"/>
      <w:numFmt w:val="lowerLetter"/>
      <w:lvlText w:val="%4."/>
      <w:lvlJc w:val="left"/>
      <w:pPr>
        <w:tabs>
          <w:tab w:val="num" w:pos="2880"/>
        </w:tabs>
        <w:ind w:left="2880" w:hanging="360"/>
      </w:pPr>
    </w:lvl>
    <w:lvl w:ilvl="4" w:tplc="30EADFDE" w:tentative="1">
      <w:start w:val="1"/>
      <w:numFmt w:val="lowerLetter"/>
      <w:lvlText w:val="%5."/>
      <w:lvlJc w:val="left"/>
      <w:pPr>
        <w:tabs>
          <w:tab w:val="num" w:pos="3600"/>
        </w:tabs>
        <w:ind w:left="3600" w:hanging="360"/>
      </w:pPr>
    </w:lvl>
    <w:lvl w:ilvl="5" w:tplc="0C963D16" w:tentative="1">
      <w:start w:val="1"/>
      <w:numFmt w:val="lowerLetter"/>
      <w:lvlText w:val="%6."/>
      <w:lvlJc w:val="left"/>
      <w:pPr>
        <w:tabs>
          <w:tab w:val="num" w:pos="4320"/>
        </w:tabs>
        <w:ind w:left="4320" w:hanging="360"/>
      </w:pPr>
    </w:lvl>
    <w:lvl w:ilvl="6" w:tplc="D3560994" w:tentative="1">
      <w:start w:val="1"/>
      <w:numFmt w:val="lowerLetter"/>
      <w:lvlText w:val="%7."/>
      <w:lvlJc w:val="left"/>
      <w:pPr>
        <w:tabs>
          <w:tab w:val="num" w:pos="5040"/>
        </w:tabs>
        <w:ind w:left="5040" w:hanging="360"/>
      </w:pPr>
    </w:lvl>
    <w:lvl w:ilvl="7" w:tplc="CE566578" w:tentative="1">
      <w:start w:val="1"/>
      <w:numFmt w:val="lowerLetter"/>
      <w:lvlText w:val="%8."/>
      <w:lvlJc w:val="left"/>
      <w:pPr>
        <w:tabs>
          <w:tab w:val="num" w:pos="5760"/>
        </w:tabs>
        <w:ind w:left="5760" w:hanging="360"/>
      </w:pPr>
    </w:lvl>
    <w:lvl w:ilvl="8" w:tplc="2C1CAA3E" w:tentative="1">
      <w:start w:val="1"/>
      <w:numFmt w:val="lowerLetter"/>
      <w:lvlText w:val="%9."/>
      <w:lvlJc w:val="left"/>
      <w:pPr>
        <w:tabs>
          <w:tab w:val="num" w:pos="6480"/>
        </w:tabs>
        <w:ind w:left="6480" w:hanging="360"/>
      </w:pPr>
    </w:lvl>
  </w:abstractNum>
  <w:abstractNum w:abstractNumId="19" w15:restartNumberingAfterBreak="0">
    <w:nsid w:val="28DF37B3"/>
    <w:multiLevelType w:val="hybridMultilevel"/>
    <w:tmpl w:val="5040157C"/>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8438C"/>
    <w:multiLevelType w:val="hybridMultilevel"/>
    <w:tmpl w:val="34AAD2A8"/>
    <w:lvl w:ilvl="0" w:tplc="A7085ECA">
      <w:start w:val="5"/>
      <w:numFmt w:val="lowerLetter"/>
      <w:lvlText w:val="%1."/>
      <w:lvlJc w:val="left"/>
      <w:pPr>
        <w:tabs>
          <w:tab w:val="num" w:pos="720"/>
        </w:tabs>
        <w:ind w:left="720" w:hanging="360"/>
      </w:pPr>
    </w:lvl>
    <w:lvl w:ilvl="1" w:tplc="C9F2DD06" w:tentative="1">
      <w:start w:val="1"/>
      <w:numFmt w:val="lowerLetter"/>
      <w:lvlText w:val="%2."/>
      <w:lvlJc w:val="left"/>
      <w:pPr>
        <w:tabs>
          <w:tab w:val="num" w:pos="1440"/>
        </w:tabs>
        <w:ind w:left="1440" w:hanging="360"/>
      </w:pPr>
    </w:lvl>
    <w:lvl w:ilvl="2" w:tplc="ADA41C26" w:tentative="1">
      <w:start w:val="1"/>
      <w:numFmt w:val="lowerLetter"/>
      <w:lvlText w:val="%3."/>
      <w:lvlJc w:val="left"/>
      <w:pPr>
        <w:tabs>
          <w:tab w:val="num" w:pos="2160"/>
        </w:tabs>
        <w:ind w:left="2160" w:hanging="360"/>
      </w:pPr>
    </w:lvl>
    <w:lvl w:ilvl="3" w:tplc="54243D4E" w:tentative="1">
      <w:start w:val="1"/>
      <w:numFmt w:val="lowerLetter"/>
      <w:lvlText w:val="%4."/>
      <w:lvlJc w:val="left"/>
      <w:pPr>
        <w:tabs>
          <w:tab w:val="num" w:pos="2880"/>
        </w:tabs>
        <w:ind w:left="2880" w:hanging="360"/>
      </w:pPr>
    </w:lvl>
    <w:lvl w:ilvl="4" w:tplc="302C4C8C" w:tentative="1">
      <w:start w:val="1"/>
      <w:numFmt w:val="lowerLetter"/>
      <w:lvlText w:val="%5."/>
      <w:lvlJc w:val="left"/>
      <w:pPr>
        <w:tabs>
          <w:tab w:val="num" w:pos="3600"/>
        </w:tabs>
        <w:ind w:left="3600" w:hanging="360"/>
      </w:pPr>
    </w:lvl>
    <w:lvl w:ilvl="5" w:tplc="05E47FC8" w:tentative="1">
      <w:start w:val="1"/>
      <w:numFmt w:val="lowerLetter"/>
      <w:lvlText w:val="%6."/>
      <w:lvlJc w:val="left"/>
      <w:pPr>
        <w:tabs>
          <w:tab w:val="num" w:pos="4320"/>
        </w:tabs>
        <w:ind w:left="4320" w:hanging="360"/>
      </w:pPr>
    </w:lvl>
    <w:lvl w:ilvl="6" w:tplc="84484F02" w:tentative="1">
      <w:start w:val="1"/>
      <w:numFmt w:val="lowerLetter"/>
      <w:lvlText w:val="%7."/>
      <w:lvlJc w:val="left"/>
      <w:pPr>
        <w:tabs>
          <w:tab w:val="num" w:pos="5040"/>
        </w:tabs>
        <w:ind w:left="5040" w:hanging="360"/>
      </w:pPr>
    </w:lvl>
    <w:lvl w:ilvl="7" w:tplc="5E101BC2" w:tentative="1">
      <w:start w:val="1"/>
      <w:numFmt w:val="lowerLetter"/>
      <w:lvlText w:val="%8."/>
      <w:lvlJc w:val="left"/>
      <w:pPr>
        <w:tabs>
          <w:tab w:val="num" w:pos="5760"/>
        </w:tabs>
        <w:ind w:left="5760" w:hanging="360"/>
      </w:pPr>
    </w:lvl>
    <w:lvl w:ilvl="8" w:tplc="3B520120" w:tentative="1">
      <w:start w:val="1"/>
      <w:numFmt w:val="lowerLetter"/>
      <w:lvlText w:val="%9."/>
      <w:lvlJc w:val="left"/>
      <w:pPr>
        <w:tabs>
          <w:tab w:val="num" w:pos="6480"/>
        </w:tabs>
        <w:ind w:left="6480" w:hanging="360"/>
      </w:pPr>
    </w:lvl>
  </w:abstractNum>
  <w:abstractNum w:abstractNumId="21" w15:restartNumberingAfterBreak="0">
    <w:nsid w:val="2B947777"/>
    <w:multiLevelType w:val="multilevel"/>
    <w:tmpl w:val="A2C6064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08D43E3"/>
    <w:multiLevelType w:val="hybridMultilevel"/>
    <w:tmpl w:val="75022BF2"/>
    <w:lvl w:ilvl="0" w:tplc="ABA44A26">
      <w:start w:val="1"/>
      <w:numFmt w:val="upperLetter"/>
      <w:lvlText w:val="%1."/>
      <w:lvlJc w:val="left"/>
      <w:pPr>
        <w:ind w:left="720" w:hanging="360"/>
      </w:pPr>
      <w:rPr>
        <w:rFonts w:ascii="Times New Roman" w:hAnsi="Times New Roman" w:cs="Times New Roman" w:hint="default"/>
        <w:b/>
      </w:rPr>
    </w:lvl>
    <w:lvl w:ilvl="1" w:tplc="E3E6A1D4">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34F83B1B"/>
    <w:multiLevelType w:val="hybridMultilevel"/>
    <w:tmpl w:val="78CA6066"/>
    <w:lvl w:ilvl="0" w:tplc="031455EA">
      <w:start w:val="4"/>
      <w:numFmt w:val="lowerLetter"/>
      <w:lvlText w:val="%1."/>
      <w:lvlJc w:val="left"/>
      <w:pPr>
        <w:tabs>
          <w:tab w:val="num" w:pos="720"/>
        </w:tabs>
        <w:ind w:left="720" w:hanging="360"/>
      </w:pPr>
    </w:lvl>
    <w:lvl w:ilvl="1" w:tplc="50AEBBCC" w:tentative="1">
      <w:start w:val="1"/>
      <w:numFmt w:val="lowerLetter"/>
      <w:lvlText w:val="%2."/>
      <w:lvlJc w:val="left"/>
      <w:pPr>
        <w:tabs>
          <w:tab w:val="num" w:pos="1440"/>
        </w:tabs>
        <w:ind w:left="1440" w:hanging="360"/>
      </w:pPr>
    </w:lvl>
    <w:lvl w:ilvl="2" w:tplc="3B709846" w:tentative="1">
      <w:start w:val="1"/>
      <w:numFmt w:val="lowerLetter"/>
      <w:lvlText w:val="%3."/>
      <w:lvlJc w:val="left"/>
      <w:pPr>
        <w:tabs>
          <w:tab w:val="num" w:pos="2160"/>
        </w:tabs>
        <w:ind w:left="2160" w:hanging="360"/>
      </w:pPr>
    </w:lvl>
    <w:lvl w:ilvl="3" w:tplc="54EA1082" w:tentative="1">
      <w:start w:val="1"/>
      <w:numFmt w:val="lowerLetter"/>
      <w:lvlText w:val="%4."/>
      <w:lvlJc w:val="left"/>
      <w:pPr>
        <w:tabs>
          <w:tab w:val="num" w:pos="2880"/>
        </w:tabs>
        <w:ind w:left="2880" w:hanging="360"/>
      </w:pPr>
    </w:lvl>
    <w:lvl w:ilvl="4" w:tplc="C298EAA2" w:tentative="1">
      <w:start w:val="1"/>
      <w:numFmt w:val="lowerLetter"/>
      <w:lvlText w:val="%5."/>
      <w:lvlJc w:val="left"/>
      <w:pPr>
        <w:tabs>
          <w:tab w:val="num" w:pos="3600"/>
        </w:tabs>
        <w:ind w:left="3600" w:hanging="360"/>
      </w:pPr>
    </w:lvl>
    <w:lvl w:ilvl="5" w:tplc="F628FB60" w:tentative="1">
      <w:start w:val="1"/>
      <w:numFmt w:val="lowerLetter"/>
      <w:lvlText w:val="%6."/>
      <w:lvlJc w:val="left"/>
      <w:pPr>
        <w:tabs>
          <w:tab w:val="num" w:pos="4320"/>
        </w:tabs>
        <w:ind w:left="4320" w:hanging="360"/>
      </w:pPr>
    </w:lvl>
    <w:lvl w:ilvl="6" w:tplc="296ED0B8" w:tentative="1">
      <w:start w:val="1"/>
      <w:numFmt w:val="lowerLetter"/>
      <w:lvlText w:val="%7."/>
      <w:lvlJc w:val="left"/>
      <w:pPr>
        <w:tabs>
          <w:tab w:val="num" w:pos="5040"/>
        </w:tabs>
        <w:ind w:left="5040" w:hanging="360"/>
      </w:pPr>
    </w:lvl>
    <w:lvl w:ilvl="7" w:tplc="CC0EB25E" w:tentative="1">
      <w:start w:val="1"/>
      <w:numFmt w:val="lowerLetter"/>
      <w:lvlText w:val="%8."/>
      <w:lvlJc w:val="left"/>
      <w:pPr>
        <w:tabs>
          <w:tab w:val="num" w:pos="5760"/>
        </w:tabs>
        <w:ind w:left="5760" w:hanging="360"/>
      </w:pPr>
    </w:lvl>
    <w:lvl w:ilvl="8" w:tplc="6ED09970" w:tentative="1">
      <w:start w:val="1"/>
      <w:numFmt w:val="lowerLetter"/>
      <w:lvlText w:val="%9."/>
      <w:lvlJc w:val="left"/>
      <w:pPr>
        <w:tabs>
          <w:tab w:val="num" w:pos="6480"/>
        </w:tabs>
        <w:ind w:left="6480" w:hanging="360"/>
      </w:pPr>
    </w:lvl>
  </w:abstractNum>
  <w:abstractNum w:abstractNumId="29" w15:restartNumberingAfterBreak="0">
    <w:nsid w:val="3A4B1D97"/>
    <w:multiLevelType w:val="hybridMultilevel"/>
    <w:tmpl w:val="CDB4FF40"/>
    <w:lvl w:ilvl="0" w:tplc="C95EC48C">
      <w:start w:val="3"/>
      <w:numFmt w:val="lowerLetter"/>
      <w:lvlText w:val="%1."/>
      <w:lvlJc w:val="left"/>
      <w:pPr>
        <w:tabs>
          <w:tab w:val="num" w:pos="720"/>
        </w:tabs>
        <w:ind w:left="720" w:hanging="360"/>
      </w:pPr>
    </w:lvl>
    <w:lvl w:ilvl="1" w:tplc="B3126BAC" w:tentative="1">
      <w:start w:val="1"/>
      <w:numFmt w:val="lowerLetter"/>
      <w:lvlText w:val="%2."/>
      <w:lvlJc w:val="left"/>
      <w:pPr>
        <w:tabs>
          <w:tab w:val="num" w:pos="1440"/>
        </w:tabs>
        <w:ind w:left="1440" w:hanging="360"/>
      </w:pPr>
    </w:lvl>
    <w:lvl w:ilvl="2" w:tplc="243207C6" w:tentative="1">
      <w:start w:val="1"/>
      <w:numFmt w:val="lowerLetter"/>
      <w:lvlText w:val="%3."/>
      <w:lvlJc w:val="left"/>
      <w:pPr>
        <w:tabs>
          <w:tab w:val="num" w:pos="2160"/>
        </w:tabs>
        <w:ind w:left="2160" w:hanging="360"/>
      </w:pPr>
    </w:lvl>
    <w:lvl w:ilvl="3" w:tplc="793453D2" w:tentative="1">
      <w:start w:val="1"/>
      <w:numFmt w:val="lowerLetter"/>
      <w:lvlText w:val="%4."/>
      <w:lvlJc w:val="left"/>
      <w:pPr>
        <w:tabs>
          <w:tab w:val="num" w:pos="2880"/>
        </w:tabs>
        <w:ind w:left="2880" w:hanging="360"/>
      </w:pPr>
    </w:lvl>
    <w:lvl w:ilvl="4" w:tplc="FDC4049E" w:tentative="1">
      <w:start w:val="1"/>
      <w:numFmt w:val="lowerLetter"/>
      <w:lvlText w:val="%5."/>
      <w:lvlJc w:val="left"/>
      <w:pPr>
        <w:tabs>
          <w:tab w:val="num" w:pos="3600"/>
        </w:tabs>
        <w:ind w:left="3600" w:hanging="360"/>
      </w:pPr>
    </w:lvl>
    <w:lvl w:ilvl="5" w:tplc="7F963EFC" w:tentative="1">
      <w:start w:val="1"/>
      <w:numFmt w:val="lowerLetter"/>
      <w:lvlText w:val="%6."/>
      <w:lvlJc w:val="left"/>
      <w:pPr>
        <w:tabs>
          <w:tab w:val="num" w:pos="4320"/>
        </w:tabs>
        <w:ind w:left="4320" w:hanging="360"/>
      </w:pPr>
    </w:lvl>
    <w:lvl w:ilvl="6" w:tplc="AED48FD6" w:tentative="1">
      <w:start w:val="1"/>
      <w:numFmt w:val="lowerLetter"/>
      <w:lvlText w:val="%7."/>
      <w:lvlJc w:val="left"/>
      <w:pPr>
        <w:tabs>
          <w:tab w:val="num" w:pos="5040"/>
        </w:tabs>
        <w:ind w:left="5040" w:hanging="360"/>
      </w:pPr>
    </w:lvl>
    <w:lvl w:ilvl="7" w:tplc="8D08DF20" w:tentative="1">
      <w:start w:val="1"/>
      <w:numFmt w:val="lowerLetter"/>
      <w:lvlText w:val="%8."/>
      <w:lvlJc w:val="left"/>
      <w:pPr>
        <w:tabs>
          <w:tab w:val="num" w:pos="5760"/>
        </w:tabs>
        <w:ind w:left="5760" w:hanging="360"/>
      </w:pPr>
    </w:lvl>
    <w:lvl w:ilvl="8" w:tplc="6F8810C6" w:tentative="1">
      <w:start w:val="1"/>
      <w:numFmt w:val="lowerLetter"/>
      <w:lvlText w:val="%9."/>
      <w:lvlJc w:val="left"/>
      <w:pPr>
        <w:tabs>
          <w:tab w:val="num" w:pos="6480"/>
        </w:tabs>
        <w:ind w:left="6480" w:hanging="360"/>
      </w:pPr>
    </w:lvl>
  </w:abstractNum>
  <w:abstractNum w:abstractNumId="30" w15:restartNumberingAfterBreak="0">
    <w:nsid w:val="3C555AA3"/>
    <w:multiLevelType w:val="hybridMultilevel"/>
    <w:tmpl w:val="BE100CE0"/>
    <w:lvl w:ilvl="0" w:tplc="19E25E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6107E2"/>
    <w:multiLevelType w:val="hybridMultilevel"/>
    <w:tmpl w:val="3C18F5CE"/>
    <w:lvl w:ilvl="0" w:tplc="0234D878">
      <w:start w:val="6"/>
      <w:numFmt w:val="lowerLetter"/>
      <w:lvlText w:val="%1."/>
      <w:lvlJc w:val="left"/>
      <w:pPr>
        <w:tabs>
          <w:tab w:val="num" w:pos="720"/>
        </w:tabs>
        <w:ind w:left="720" w:hanging="360"/>
      </w:pPr>
    </w:lvl>
    <w:lvl w:ilvl="1" w:tplc="EF90F2A0" w:tentative="1">
      <w:start w:val="1"/>
      <w:numFmt w:val="lowerLetter"/>
      <w:lvlText w:val="%2."/>
      <w:lvlJc w:val="left"/>
      <w:pPr>
        <w:tabs>
          <w:tab w:val="num" w:pos="1440"/>
        </w:tabs>
        <w:ind w:left="1440" w:hanging="360"/>
      </w:pPr>
    </w:lvl>
    <w:lvl w:ilvl="2" w:tplc="6A000F60" w:tentative="1">
      <w:start w:val="1"/>
      <w:numFmt w:val="lowerLetter"/>
      <w:lvlText w:val="%3."/>
      <w:lvlJc w:val="left"/>
      <w:pPr>
        <w:tabs>
          <w:tab w:val="num" w:pos="2160"/>
        </w:tabs>
        <w:ind w:left="2160" w:hanging="360"/>
      </w:pPr>
    </w:lvl>
    <w:lvl w:ilvl="3" w:tplc="46688320" w:tentative="1">
      <w:start w:val="1"/>
      <w:numFmt w:val="lowerLetter"/>
      <w:lvlText w:val="%4."/>
      <w:lvlJc w:val="left"/>
      <w:pPr>
        <w:tabs>
          <w:tab w:val="num" w:pos="2880"/>
        </w:tabs>
        <w:ind w:left="2880" w:hanging="360"/>
      </w:pPr>
    </w:lvl>
    <w:lvl w:ilvl="4" w:tplc="C862CDBA" w:tentative="1">
      <w:start w:val="1"/>
      <w:numFmt w:val="lowerLetter"/>
      <w:lvlText w:val="%5."/>
      <w:lvlJc w:val="left"/>
      <w:pPr>
        <w:tabs>
          <w:tab w:val="num" w:pos="3600"/>
        </w:tabs>
        <w:ind w:left="3600" w:hanging="360"/>
      </w:pPr>
    </w:lvl>
    <w:lvl w:ilvl="5" w:tplc="1318D0D8" w:tentative="1">
      <w:start w:val="1"/>
      <w:numFmt w:val="lowerLetter"/>
      <w:lvlText w:val="%6."/>
      <w:lvlJc w:val="left"/>
      <w:pPr>
        <w:tabs>
          <w:tab w:val="num" w:pos="4320"/>
        </w:tabs>
        <w:ind w:left="4320" w:hanging="360"/>
      </w:pPr>
    </w:lvl>
    <w:lvl w:ilvl="6" w:tplc="852C7CD2" w:tentative="1">
      <w:start w:val="1"/>
      <w:numFmt w:val="lowerLetter"/>
      <w:lvlText w:val="%7."/>
      <w:lvlJc w:val="left"/>
      <w:pPr>
        <w:tabs>
          <w:tab w:val="num" w:pos="5040"/>
        </w:tabs>
        <w:ind w:left="5040" w:hanging="360"/>
      </w:pPr>
    </w:lvl>
    <w:lvl w:ilvl="7" w:tplc="163A22F0" w:tentative="1">
      <w:start w:val="1"/>
      <w:numFmt w:val="lowerLetter"/>
      <w:lvlText w:val="%8."/>
      <w:lvlJc w:val="left"/>
      <w:pPr>
        <w:tabs>
          <w:tab w:val="num" w:pos="5760"/>
        </w:tabs>
        <w:ind w:left="5760" w:hanging="360"/>
      </w:pPr>
    </w:lvl>
    <w:lvl w:ilvl="8" w:tplc="AF700426" w:tentative="1">
      <w:start w:val="1"/>
      <w:numFmt w:val="lowerLetter"/>
      <w:lvlText w:val="%9."/>
      <w:lvlJc w:val="left"/>
      <w:pPr>
        <w:tabs>
          <w:tab w:val="num" w:pos="6480"/>
        </w:tabs>
        <w:ind w:left="6480" w:hanging="360"/>
      </w:pPr>
    </w:lvl>
  </w:abstractNum>
  <w:abstractNum w:abstractNumId="32"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D5D4672"/>
    <w:multiLevelType w:val="hybridMultilevel"/>
    <w:tmpl w:val="8BBC46EC"/>
    <w:lvl w:ilvl="0" w:tplc="D8DAC0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4AB0AAF"/>
    <w:multiLevelType w:val="multilevel"/>
    <w:tmpl w:val="8068A0F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57276E0"/>
    <w:multiLevelType w:val="hybridMultilevel"/>
    <w:tmpl w:val="C99AAA4C"/>
    <w:lvl w:ilvl="0" w:tplc="72F6D3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919165B"/>
    <w:multiLevelType w:val="hybridMultilevel"/>
    <w:tmpl w:val="A1442580"/>
    <w:lvl w:ilvl="0" w:tplc="BF721178">
      <w:start w:val="1"/>
      <w:numFmt w:val="upperRoman"/>
      <w:lvlText w:val="%1."/>
      <w:lvlJc w:val="left"/>
      <w:pPr>
        <w:ind w:left="180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3F469B"/>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C5779C"/>
    <w:multiLevelType w:val="hybridMultilevel"/>
    <w:tmpl w:val="C6BA4FEC"/>
    <w:lvl w:ilvl="0" w:tplc="BF721178">
      <w:start w:val="1"/>
      <w:numFmt w:val="upperRoman"/>
      <w:lvlText w:val="%1."/>
      <w:lvlJc w:val="left"/>
      <w:pPr>
        <w:ind w:left="720" w:hanging="720"/>
      </w:pPr>
      <w:rPr>
        <w:rFonts w:hint="default"/>
        <w:i w:val="0"/>
        <w:iC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4D6144DD"/>
    <w:multiLevelType w:val="hybridMultilevel"/>
    <w:tmpl w:val="FD6A64C8"/>
    <w:lvl w:ilvl="0" w:tplc="157440E2">
      <w:start w:val="1"/>
      <w:numFmt w:val="decimal"/>
      <w:lvlText w:val="%1."/>
      <w:lvlJc w:val="left"/>
      <w:pPr>
        <w:tabs>
          <w:tab w:val="num" w:pos="360"/>
        </w:tabs>
        <w:ind w:left="0" w:firstLine="0"/>
      </w:pPr>
      <w:rPr>
        <w:rFonts w:ascii="Times New Roman" w:hAnsi="Times New Roman" w:cs="Times New Roman" w:hint="default"/>
        <w:b w:val="0"/>
        <w:i w:val="0"/>
        <w:sz w:val="22"/>
      </w:rPr>
    </w:lvl>
    <w:lvl w:ilvl="1" w:tplc="729899A0">
      <w:start w:val="1"/>
      <w:numFmt w:val="lowerLetter"/>
      <w:lvlText w:val="(%2)"/>
      <w:lvlJc w:val="left"/>
      <w:pPr>
        <w:tabs>
          <w:tab w:val="num" w:pos="1440"/>
        </w:tabs>
        <w:ind w:left="0" w:firstLine="720"/>
      </w:pPr>
      <w:rPr>
        <w:b w:val="0"/>
        <w:i w:val="0"/>
      </w:rPr>
    </w:lvl>
    <w:lvl w:ilvl="2" w:tplc="FD900C88">
      <w:start w:val="1"/>
      <w:numFmt w:val="lowerRoman"/>
      <w:lvlText w:val="(%3)"/>
      <w:lvlJc w:val="right"/>
      <w:pPr>
        <w:tabs>
          <w:tab w:val="num" w:pos="1440"/>
        </w:tabs>
        <w:ind w:left="1440" w:hanging="360"/>
      </w:pPr>
    </w:lvl>
    <w:lvl w:ilvl="3" w:tplc="2012A9C8">
      <w:start w:val="1"/>
      <w:numFmt w:val="bullet"/>
      <w:lvlText w:val=""/>
      <w:lvlJc w:val="left"/>
      <w:pPr>
        <w:tabs>
          <w:tab w:val="num" w:pos="2160"/>
        </w:tabs>
        <w:ind w:left="2160" w:hanging="720"/>
      </w:pPr>
      <w:rPr>
        <w:rFonts w:ascii="Symbol" w:hAnsi="Symbol" w:hint="default"/>
        <w:color w:val="auto"/>
        <w:sz w:val="28"/>
      </w:rPr>
    </w:lvl>
    <w:lvl w:ilvl="4" w:tplc="09E62524">
      <w:start w:val="1"/>
      <w:numFmt w:val="lowerLetter"/>
      <w:lvlText w:val="(%5)"/>
      <w:lvlJc w:val="left"/>
      <w:pPr>
        <w:tabs>
          <w:tab w:val="num" w:pos="1800"/>
        </w:tabs>
        <w:ind w:left="1800" w:hanging="360"/>
      </w:pPr>
    </w:lvl>
    <w:lvl w:ilvl="5" w:tplc="30B27BC8">
      <w:start w:val="1"/>
      <w:numFmt w:val="lowerRoman"/>
      <w:lvlText w:val="(%6)"/>
      <w:lvlJc w:val="left"/>
      <w:pPr>
        <w:tabs>
          <w:tab w:val="num" w:pos="2160"/>
        </w:tabs>
        <w:ind w:left="2160" w:hanging="360"/>
      </w:pPr>
    </w:lvl>
    <w:lvl w:ilvl="6" w:tplc="0EB48B68">
      <w:start w:val="1"/>
      <w:numFmt w:val="decimal"/>
      <w:lvlText w:val="%7."/>
      <w:lvlJc w:val="left"/>
      <w:pPr>
        <w:tabs>
          <w:tab w:val="num" w:pos="2520"/>
        </w:tabs>
        <w:ind w:left="2520" w:hanging="360"/>
      </w:pPr>
    </w:lvl>
    <w:lvl w:ilvl="7" w:tplc="7F00B00A">
      <w:start w:val="1"/>
      <w:numFmt w:val="lowerLetter"/>
      <w:lvlText w:val="%8."/>
      <w:lvlJc w:val="left"/>
      <w:pPr>
        <w:tabs>
          <w:tab w:val="num" w:pos="2880"/>
        </w:tabs>
        <w:ind w:left="2880" w:hanging="360"/>
      </w:pPr>
    </w:lvl>
    <w:lvl w:ilvl="8" w:tplc="08E0F31C">
      <w:start w:val="1"/>
      <w:numFmt w:val="lowerRoman"/>
      <w:lvlText w:val="%9."/>
      <w:lvlJc w:val="left"/>
      <w:pPr>
        <w:tabs>
          <w:tab w:val="num" w:pos="3240"/>
        </w:tabs>
        <w:ind w:left="3240" w:hanging="360"/>
      </w:pPr>
    </w:lvl>
  </w:abstractNum>
  <w:abstractNum w:abstractNumId="45" w15:restartNumberingAfterBreak="0">
    <w:nsid w:val="4DC967F8"/>
    <w:multiLevelType w:val="hybridMultilevel"/>
    <w:tmpl w:val="C1929E6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0442B4"/>
    <w:multiLevelType w:val="multilevel"/>
    <w:tmpl w:val="FD64B03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0A74E7D"/>
    <w:multiLevelType w:val="hybridMultilevel"/>
    <w:tmpl w:val="B8C84028"/>
    <w:lvl w:ilvl="0" w:tplc="B2ACEFD0">
      <w:start w:val="1"/>
      <w:numFmt w:val="upperRoman"/>
      <w:lvlText w:val="%1."/>
      <w:lvlJc w:val="left"/>
      <w:pPr>
        <w:ind w:left="108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15:restartNumberingAfterBreak="0">
    <w:nsid w:val="56245FA1"/>
    <w:multiLevelType w:val="multilevel"/>
    <w:tmpl w:val="C8E6C2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5A0830D6"/>
    <w:multiLevelType w:val="hybridMultilevel"/>
    <w:tmpl w:val="7C822EB6"/>
    <w:lvl w:ilvl="0" w:tplc="6478DC62">
      <w:start w:val="2"/>
      <w:numFmt w:val="lowerLetter"/>
      <w:lvlText w:val="%1."/>
      <w:lvlJc w:val="left"/>
      <w:pPr>
        <w:tabs>
          <w:tab w:val="num" w:pos="720"/>
        </w:tabs>
        <w:ind w:left="720" w:hanging="360"/>
      </w:pPr>
    </w:lvl>
    <w:lvl w:ilvl="1" w:tplc="4D32CF14" w:tentative="1">
      <w:start w:val="1"/>
      <w:numFmt w:val="lowerLetter"/>
      <w:lvlText w:val="%2."/>
      <w:lvlJc w:val="left"/>
      <w:pPr>
        <w:tabs>
          <w:tab w:val="num" w:pos="1440"/>
        </w:tabs>
        <w:ind w:left="1440" w:hanging="360"/>
      </w:pPr>
    </w:lvl>
    <w:lvl w:ilvl="2" w:tplc="AEE290B0" w:tentative="1">
      <w:start w:val="1"/>
      <w:numFmt w:val="lowerLetter"/>
      <w:lvlText w:val="%3."/>
      <w:lvlJc w:val="left"/>
      <w:pPr>
        <w:tabs>
          <w:tab w:val="num" w:pos="2160"/>
        </w:tabs>
        <w:ind w:left="2160" w:hanging="360"/>
      </w:pPr>
    </w:lvl>
    <w:lvl w:ilvl="3" w:tplc="24D45D6A" w:tentative="1">
      <w:start w:val="1"/>
      <w:numFmt w:val="lowerLetter"/>
      <w:lvlText w:val="%4."/>
      <w:lvlJc w:val="left"/>
      <w:pPr>
        <w:tabs>
          <w:tab w:val="num" w:pos="2880"/>
        </w:tabs>
        <w:ind w:left="2880" w:hanging="360"/>
      </w:pPr>
    </w:lvl>
    <w:lvl w:ilvl="4" w:tplc="00760AD8" w:tentative="1">
      <w:start w:val="1"/>
      <w:numFmt w:val="lowerLetter"/>
      <w:lvlText w:val="%5."/>
      <w:lvlJc w:val="left"/>
      <w:pPr>
        <w:tabs>
          <w:tab w:val="num" w:pos="3600"/>
        </w:tabs>
        <w:ind w:left="3600" w:hanging="360"/>
      </w:pPr>
    </w:lvl>
    <w:lvl w:ilvl="5" w:tplc="7DF0C6C6" w:tentative="1">
      <w:start w:val="1"/>
      <w:numFmt w:val="lowerLetter"/>
      <w:lvlText w:val="%6."/>
      <w:lvlJc w:val="left"/>
      <w:pPr>
        <w:tabs>
          <w:tab w:val="num" w:pos="4320"/>
        </w:tabs>
        <w:ind w:left="4320" w:hanging="360"/>
      </w:pPr>
    </w:lvl>
    <w:lvl w:ilvl="6" w:tplc="4208AE60" w:tentative="1">
      <w:start w:val="1"/>
      <w:numFmt w:val="lowerLetter"/>
      <w:lvlText w:val="%7."/>
      <w:lvlJc w:val="left"/>
      <w:pPr>
        <w:tabs>
          <w:tab w:val="num" w:pos="5040"/>
        </w:tabs>
        <w:ind w:left="5040" w:hanging="360"/>
      </w:pPr>
    </w:lvl>
    <w:lvl w:ilvl="7" w:tplc="17602852" w:tentative="1">
      <w:start w:val="1"/>
      <w:numFmt w:val="lowerLetter"/>
      <w:lvlText w:val="%8."/>
      <w:lvlJc w:val="left"/>
      <w:pPr>
        <w:tabs>
          <w:tab w:val="num" w:pos="5760"/>
        </w:tabs>
        <w:ind w:left="5760" w:hanging="360"/>
      </w:pPr>
    </w:lvl>
    <w:lvl w:ilvl="8" w:tplc="5F18806C" w:tentative="1">
      <w:start w:val="1"/>
      <w:numFmt w:val="lowerLetter"/>
      <w:lvlText w:val="%9."/>
      <w:lvlJc w:val="left"/>
      <w:pPr>
        <w:tabs>
          <w:tab w:val="num" w:pos="6480"/>
        </w:tabs>
        <w:ind w:left="6480" w:hanging="360"/>
      </w:pPr>
    </w:lvl>
  </w:abstractNum>
  <w:abstractNum w:abstractNumId="53" w15:restartNumberingAfterBreak="0">
    <w:nsid w:val="5B8007AB"/>
    <w:multiLevelType w:val="hybridMultilevel"/>
    <w:tmpl w:val="BE822306"/>
    <w:lvl w:ilvl="0" w:tplc="0EEE2E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975246"/>
    <w:multiLevelType w:val="hybridMultilevel"/>
    <w:tmpl w:val="C6BA4FEC"/>
    <w:lvl w:ilvl="0" w:tplc="BF721178">
      <w:start w:val="1"/>
      <w:numFmt w:val="upperRoman"/>
      <w:lvlText w:val="%1."/>
      <w:lvlJc w:val="left"/>
      <w:pPr>
        <w:ind w:left="1800" w:hanging="72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1362455"/>
    <w:multiLevelType w:val="hybridMultilevel"/>
    <w:tmpl w:val="421EE63C"/>
    <w:lvl w:ilvl="0" w:tplc="04090001">
      <w:start w:val="1"/>
      <w:numFmt w:val="decimal"/>
      <w:pStyle w:val="CBD-Para-1"/>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57" w15:restartNumberingAfterBreak="0">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58" w15:restartNumberingAfterBreak="0">
    <w:nsid w:val="64EE46A3"/>
    <w:multiLevelType w:val="hybridMultilevel"/>
    <w:tmpl w:val="2AAC8F54"/>
    <w:lvl w:ilvl="0" w:tplc="FFFFFFFF">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840969"/>
    <w:multiLevelType w:val="hybridMultilevel"/>
    <w:tmpl w:val="5E5EB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C35E43"/>
    <w:multiLevelType w:val="hybridMultilevel"/>
    <w:tmpl w:val="D97E440E"/>
    <w:lvl w:ilvl="0" w:tplc="5F6C064A">
      <w:start w:val="7"/>
      <w:numFmt w:val="lowerLetter"/>
      <w:lvlText w:val="%1."/>
      <w:lvlJc w:val="left"/>
      <w:pPr>
        <w:tabs>
          <w:tab w:val="num" w:pos="720"/>
        </w:tabs>
        <w:ind w:left="720" w:hanging="360"/>
      </w:pPr>
    </w:lvl>
    <w:lvl w:ilvl="1" w:tplc="B2E46BE8" w:tentative="1">
      <w:start w:val="1"/>
      <w:numFmt w:val="lowerLetter"/>
      <w:lvlText w:val="%2."/>
      <w:lvlJc w:val="left"/>
      <w:pPr>
        <w:tabs>
          <w:tab w:val="num" w:pos="1440"/>
        </w:tabs>
        <w:ind w:left="1440" w:hanging="360"/>
      </w:pPr>
    </w:lvl>
    <w:lvl w:ilvl="2" w:tplc="0FC2FAD6" w:tentative="1">
      <w:start w:val="1"/>
      <w:numFmt w:val="lowerLetter"/>
      <w:lvlText w:val="%3."/>
      <w:lvlJc w:val="left"/>
      <w:pPr>
        <w:tabs>
          <w:tab w:val="num" w:pos="2160"/>
        </w:tabs>
        <w:ind w:left="2160" w:hanging="360"/>
      </w:pPr>
    </w:lvl>
    <w:lvl w:ilvl="3" w:tplc="71183CF0" w:tentative="1">
      <w:start w:val="1"/>
      <w:numFmt w:val="lowerLetter"/>
      <w:lvlText w:val="%4."/>
      <w:lvlJc w:val="left"/>
      <w:pPr>
        <w:tabs>
          <w:tab w:val="num" w:pos="2880"/>
        </w:tabs>
        <w:ind w:left="2880" w:hanging="360"/>
      </w:pPr>
    </w:lvl>
    <w:lvl w:ilvl="4" w:tplc="5096246C" w:tentative="1">
      <w:start w:val="1"/>
      <w:numFmt w:val="lowerLetter"/>
      <w:lvlText w:val="%5."/>
      <w:lvlJc w:val="left"/>
      <w:pPr>
        <w:tabs>
          <w:tab w:val="num" w:pos="3600"/>
        </w:tabs>
        <w:ind w:left="3600" w:hanging="360"/>
      </w:pPr>
    </w:lvl>
    <w:lvl w:ilvl="5" w:tplc="8A402624" w:tentative="1">
      <w:start w:val="1"/>
      <w:numFmt w:val="lowerLetter"/>
      <w:lvlText w:val="%6."/>
      <w:lvlJc w:val="left"/>
      <w:pPr>
        <w:tabs>
          <w:tab w:val="num" w:pos="4320"/>
        </w:tabs>
        <w:ind w:left="4320" w:hanging="360"/>
      </w:pPr>
    </w:lvl>
    <w:lvl w:ilvl="6" w:tplc="8DA6B9D4" w:tentative="1">
      <w:start w:val="1"/>
      <w:numFmt w:val="lowerLetter"/>
      <w:lvlText w:val="%7."/>
      <w:lvlJc w:val="left"/>
      <w:pPr>
        <w:tabs>
          <w:tab w:val="num" w:pos="5040"/>
        </w:tabs>
        <w:ind w:left="5040" w:hanging="360"/>
      </w:pPr>
    </w:lvl>
    <w:lvl w:ilvl="7" w:tplc="74FA3514" w:tentative="1">
      <w:start w:val="1"/>
      <w:numFmt w:val="lowerLetter"/>
      <w:lvlText w:val="%8."/>
      <w:lvlJc w:val="left"/>
      <w:pPr>
        <w:tabs>
          <w:tab w:val="num" w:pos="5760"/>
        </w:tabs>
        <w:ind w:left="5760" w:hanging="360"/>
      </w:pPr>
    </w:lvl>
    <w:lvl w:ilvl="8" w:tplc="B4A8367E" w:tentative="1">
      <w:start w:val="1"/>
      <w:numFmt w:val="lowerLetter"/>
      <w:lvlText w:val="%9."/>
      <w:lvlJc w:val="left"/>
      <w:pPr>
        <w:tabs>
          <w:tab w:val="num" w:pos="6480"/>
        </w:tabs>
        <w:ind w:left="6480" w:hanging="360"/>
      </w:pPr>
    </w:lvl>
  </w:abstractNum>
  <w:abstractNum w:abstractNumId="61"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66755B"/>
    <w:multiLevelType w:val="hybridMultilevel"/>
    <w:tmpl w:val="09984FE4"/>
    <w:lvl w:ilvl="0" w:tplc="3926F6CE">
      <w:start w:val="1"/>
      <w:numFmt w:val="decimal"/>
      <w:lvlText w:val="%1."/>
      <w:lvlJc w:val="left"/>
      <w:pPr>
        <w:tabs>
          <w:tab w:val="num" w:pos="360"/>
        </w:tabs>
        <w:ind w:left="0" w:firstLine="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7C5433"/>
    <w:multiLevelType w:val="hybridMultilevel"/>
    <w:tmpl w:val="8180AA20"/>
    <w:lvl w:ilvl="0" w:tplc="07B0625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3E2C5B"/>
    <w:multiLevelType w:val="multilevel"/>
    <w:tmpl w:val="99B400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EF96457"/>
    <w:multiLevelType w:val="hybridMultilevel"/>
    <w:tmpl w:val="173E0580"/>
    <w:lvl w:ilvl="0" w:tplc="9FCE52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6"/>
  </w:num>
  <w:num w:numId="3">
    <w:abstractNumId w:val="40"/>
  </w:num>
  <w:num w:numId="4">
    <w:abstractNumId w:val="62"/>
  </w:num>
  <w:num w:numId="5">
    <w:abstractNumId w:val="54"/>
  </w:num>
  <w:num w:numId="6">
    <w:abstractNumId w:val="24"/>
  </w:num>
  <w:num w:numId="7">
    <w:abstractNumId w:val="24"/>
    <w:lvlOverride w:ilvl="0">
      <w:startOverride w:val="1"/>
    </w:lvlOverride>
  </w:num>
  <w:num w:numId="8">
    <w:abstractNumId w:val="5"/>
  </w:num>
  <w:num w:numId="9">
    <w:abstractNumId w:val="3"/>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2"/>
  </w:num>
  <w:num w:numId="13">
    <w:abstractNumId w:val="27"/>
  </w:num>
  <w:num w:numId="14">
    <w:abstractNumId w:val="1"/>
  </w:num>
  <w:num w:numId="15">
    <w:abstractNumId w:val="53"/>
  </w:num>
  <w:num w:numId="16">
    <w:abstractNumId w:val="69"/>
  </w:num>
  <w:num w:numId="17">
    <w:abstractNumId w:val="13"/>
  </w:num>
  <w:num w:numId="18">
    <w:abstractNumId w:val="47"/>
  </w:num>
  <w:num w:numId="19">
    <w:abstractNumId w:val="0"/>
  </w:num>
  <w:num w:numId="20">
    <w:abstractNumId w:val="68"/>
  </w:num>
  <w:num w:numId="21">
    <w:abstractNumId w:val="22"/>
  </w:num>
  <w:num w:numId="22">
    <w:abstractNumId w:val="55"/>
  </w:num>
  <w:num w:numId="23">
    <w:abstractNumId w:val="17"/>
  </w:num>
  <w:num w:numId="24">
    <w:abstractNumId w:val="2"/>
  </w:num>
  <w:num w:numId="25">
    <w:abstractNumId w:val="63"/>
  </w:num>
  <w:num w:numId="26">
    <w:abstractNumId w:val="26"/>
  </w:num>
  <w:num w:numId="27">
    <w:abstractNumId w:val="58"/>
  </w:num>
  <w:num w:numId="28">
    <w:abstractNumId w:val="48"/>
  </w:num>
  <w:num w:numId="29">
    <w:abstractNumId w:val="46"/>
  </w:num>
  <w:num w:numId="30">
    <w:abstractNumId w:val="46"/>
  </w:num>
  <w:num w:numId="31">
    <w:abstractNumId w:val="46"/>
  </w:num>
  <w:num w:numId="32">
    <w:abstractNumId w:val="4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46"/>
  </w:num>
  <w:num w:numId="36">
    <w:abstractNumId w:val="36"/>
    <w:lvlOverride w:ilvl="0">
      <w:startOverride w:val="1"/>
    </w:lvlOverride>
  </w:num>
  <w:num w:numId="37">
    <w:abstractNumId w:val="25"/>
  </w:num>
  <w:num w:numId="38">
    <w:abstractNumId w:val="6"/>
  </w:num>
  <w:num w:numId="39">
    <w:abstractNumId w:val="12"/>
  </w:num>
  <w:num w:numId="40">
    <w:abstractNumId w:val="46"/>
  </w:num>
  <w:num w:numId="41">
    <w:abstractNumId w:val="46"/>
  </w:num>
  <w:num w:numId="42">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6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6"/>
  </w:num>
  <w:num w:numId="49">
    <w:abstractNumId w:val="57"/>
  </w:num>
  <w:num w:numId="50">
    <w:abstractNumId w:val="21"/>
  </w:num>
  <w:num w:numId="51">
    <w:abstractNumId w:val="19"/>
  </w:num>
  <w:num w:numId="52">
    <w:abstractNumId w:val="8"/>
  </w:num>
  <w:num w:numId="53">
    <w:abstractNumId w:val="37"/>
  </w:num>
  <w:num w:numId="54">
    <w:abstractNumId w:val="50"/>
  </w:num>
  <w:num w:numId="55">
    <w:abstractNumId w:val="38"/>
  </w:num>
  <w:num w:numId="56">
    <w:abstractNumId w:val="51"/>
  </w:num>
  <w:num w:numId="57">
    <w:abstractNumId w:val="39"/>
  </w:num>
  <w:num w:numId="58">
    <w:abstractNumId w:val="10"/>
  </w:num>
  <w:num w:numId="59">
    <w:abstractNumId w:val="61"/>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num>
  <w:num w:numId="67">
    <w:abstractNumId w:val="66"/>
  </w:num>
  <w:num w:numId="68">
    <w:abstractNumId w:val="42"/>
  </w:num>
  <w:num w:numId="69">
    <w:abstractNumId w:val="16"/>
  </w:num>
  <w:num w:numId="70">
    <w:abstractNumId w:val="14"/>
  </w:num>
  <w:num w:numId="71">
    <w:abstractNumId w:val="52"/>
  </w:num>
  <w:num w:numId="72">
    <w:abstractNumId w:val="29"/>
  </w:num>
  <w:num w:numId="73">
    <w:abstractNumId w:val="28"/>
  </w:num>
  <w:num w:numId="74">
    <w:abstractNumId w:val="20"/>
  </w:num>
  <w:num w:numId="75">
    <w:abstractNumId w:val="31"/>
  </w:num>
  <w:num w:numId="76">
    <w:abstractNumId w:val="60"/>
  </w:num>
  <w:num w:numId="77">
    <w:abstractNumId w:val="18"/>
  </w:num>
  <w:num w:numId="78">
    <w:abstractNumId w:val="59"/>
  </w:num>
  <w:num w:numId="79">
    <w:abstractNumId w:val="4"/>
  </w:num>
  <w:num w:numId="80">
    <w:abstractNumId w:val="45"/>
  </w:num>
  <w:num w:numId="81">
    <w:abstractNumId w:val="11"/>
  </w:num>
  <w:num w:numId="82">
    <w:abstractNumId w:val="41"/>
  </w:num>
  <w:num w:numId="83">
    <w:abstractNumId w:val="15"/>
  </w:num>
  <w:num w:numId="84">
    <w:abstractNumId w:val="43"/>
  </w:num>
  <w:num w:numId="85">
    <w:abstractNumId w:val="32"/>
  </w:num>
  <w:num w:numId="86">
    <w:abstractNumId w:val="7"/>
  </w:num>
  <w:num w:numId="87">
    <w:abstractNumId w:val="71"/>
  </w:num>
  <w:num w:numId="88">
    <w:abstractNumId w:val="34"/>
  </w:num>
  <w:num w:numId="89">
    <w:abstractNumId w:val="46"/>
  </w:num>
  <w:num w:numId="90">
    <w:abstractNumId w:val="46"/>
  </w:num>
  <w:num w:numId="91">
    <w:abstractNumId w:val="32"/>
    <w:lvlOverride w:ilvl="0">
      <w:startOverride w:val="1"/>
    </w:lvlOverride>
  </w:num>
  <w:num w:numId="92">
    <w:abstractNumId w:val="32"/>
    <w:lvlOverride w:ilvl="0">
      <w:startOverride w:val="1"/>
    </w:lvlOverride>
  </w:num>
  <w:num w:numId="93">
    <w:abstractNumId w:val="46"/>
  </w:num>
  <w:num w:numId="94">
    <w:abstractNumId w:val="46"/>
  </w:num>
  <w:num w:numId="95">
    <w:abstractNumId w:val="35"/>
  </w:num>
  <w:num w:numId="96">
    <w:abstractNumId w:val="35"/>
  </w:num>
  <w:num w:numId="97">
    <w:abstractNumId w:val="3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08F"/>
    <w:rsid w:val="000004B5"/>
    <w:rsid w:val="00000E97"/>
    <w:rsid w:val="0000123D"/>
    <w:rsid w:val="00001951"/>
    <w:rsid w:val="00003466"/>
    <w:rsid w:val="000044E0"/>
    <w:rsid w:val="00004551"/>
    <w:rsid w:val="0000462D"/>
    <w:rsid w:val="00004821"/>
    <w:rsid w:val="000060E7"/>
    <w:rsid w:val="00006218"/>
    <w:rsid w:val="0000649A"/>
    <w:rsid w:val="00006A09"/>
    <w:rsid w:val="00006CE5"/>
    <w:rsid w:val="00006E65"/>
    <w:rsid w:val="00007600"/>
    <w:rsid w:val="00007B48"/>
    <w:rsid w:val="00010B46"/>
    <w:rsid w:val="00010EA3"/>
    <w:rsid w:val="0001224D"/>
    <w:rsid w:val="0001333A"/>
    <w:rsid w:val="00013486"/>
    <w:rsid w:val="000144E4"/>
    <w:rsid w:val="00015AA1"/>
    <w:rsid w:val="00015FFB"/>
    <w:rsid w:val="00016583"/>
    <w:rsid w:val="000167F4"/>
    <w:rsid w:val="00016EE8"/>
    <w:rsid w:val="000173BB"/>
    <w:rsid w:val="00017967"/>
    <w:rsid w:val="00017F82"/>
    <w:rsid w:val="000203D5"/>
    <w:rsid w:val="00021158"/>
    <w:rsid w:val="00021386"/>
    <w:rsid w:val="00021A87"/>
    <w:rsid w:val="00021C2A"/>
    <w:rsid w:val="00022356"/>
    <w:rsid w:val="000228DB"/>
    <w:rsid w:val="00023E78"/>
    <w:rsid w:val="00023EB7"/>
    <w:rsid w:val="000242C7"/>
    <w:rsid w:val="00024594"/>
    <w:rsid w:val="00024EA2"/>
    <w:rsid w:val="0002545A"/>
    <w:rsid w:val="00025DD9"/>
    <w:rsid w:val="00026F7B"/>
    <w:rsid w:val="000273F1"/>
    <w:rsid w:val="00027572"/>
    <w:rsid w:val="00027CD4"/>
    <w:rsid w:val="00030582"/>
    <w:rsid w:val="000309CD"/>
    <w:rsid w:val="00031533"/>
    <w:rsid w:val="00031A52"/>
    <w:rsid w:val="00032468"/>
    <w:rsid w:val="00032815"/>
    <w:rsid w:val="00033C47"/>
    <w:rsid w:val="0003488E"/>
    <w:rsid w:val="000351AE"/>
    <w:rsid w:val="0003544A"/>
    <w:rsid w:val="00035A5A"/>
    <w:rsid w:val="0003641E"/>
    <w:rsid w:val="00036635"/>
    <w:rsid w:val="0003695D"/>
    <w:rsid w:val="00036A4D"/>
    <w:rsid w:val="000370C3"/>
    <w:rsid w:val="0003720B"/>
    <w:rsid w:val="0003727B"/>
    <w:rsid w:val="000378BF"/>
    <w:rsid w:val="00041B66"/>
    <w:rsid w:val="000425F3"/>
    <w:rsid w:val="00043418"/>
    <w:rsid w:val="00043BF0"/>
    <w:rsid w:val="00043C53"/>
    <w:rsid w:val="000444EB"/>
    <w:rsid w:val="00045EE6"/>
    <w:rsid w:val="0004693D"/>
    <w:rsid w:val="000506A1"/>
    <w:rsid w:val="00051115"/>
    <w:rsid w:val="000520B7"/>
    <w:rsid w:val="0005221C"/>
    <w:rsid w:val="000523C4"/>
    <w:rsid w:val="00052BF6"/>
    <w:rsid w:val="000537AD"/>
    <w:rsid w:val="00053DBE"/>
    <w:rsid w:val="00054061"/>
    <w:rsid w:val="00054558"/>
    <w:rsid w:val="000546B2"/>
    <w:rsid w:val="00054DA3"/>
    <w:rsid w:val="00055BD9"/>
    <w:rsid w:val="000565E3"/>
    <w:rsid w:val="0005682B"/>
    <w:rsid w:val="00057BF0"/>
    <w:rsid w:val="000602CD"/>
    <w:rsid w:val="000605E9"/>
    <w:rsid w:val="00060C16"/>
    <w:rsid w:val="00062C9C"/>
    <w:rsid w:val="000641ED"/>
    <w:rsid w:val="00064203"/>
    <w:rsid w:val="00064B44"/>
    <w:rsid w:val="00064BB1"/>
    <w:rsid w:val="00066573"/>
    <w:rsid w:val="00066725"/>
    <w:rsid w:val="000672A9"/>
    <w:rsid w:val="0006781F"/>
    <w:rsid w:val="000701F3"/>
    <w:rsid w:val="000715AB"/>
    <w:rsid w:val="0007172E"/>
    <w:rsid w:val="00071C35"/>
    <w:rsid w:val="00072729"/>
    <w:rsid w:val="00072D03"/>
    <w:rsid w:val="000739DE"/>
    <w:rsid w:val="000745F9"/>
    <w:rsid w:val="00074CAC"/>
    <w:rsid w:val="00074EDA"/>
    <w:rsid w:val="00075C6A"/>
    <w:rsid w:val="000760FE"/>
    <w:rsid w:val="0007735E"/>
    <w:rsid w:val="00077565"/>
    <w:rsid w:val="000777A3"/>
    <w:rsid w:val="000777F9"/>
    <w:rsid w:val="00077F14"/>
    <w:rsid w:val="000801C2"/>
    <w:rsid w:val="000805F7"/>
    <w:rsid w:val="00080BDA"/>
    <w:rsid w:val="00080D1B"/>
    <w:rsid w:val="00080E3C"/>
    <w:rsid w:val="000819EF"/>
    <w:rsid w:val="00081DF5"/>
    <w:rsid w:val="000829DD"/>
    <w:rsid w:val="00083B21"/>
    <w:rsid w:val="00083D23"/>
    <w:rsid w:val="00083E0A"/>
    <w:rsid w:val="000841A3"/>
    <w:rsid w:val="000851AF"/>
    <w:rsid w:val="0008596E"/>
    <w:rsid w:val="00085AB4"/>
    <w:rsid w:val="000862A2"/>
    <w:rsid w:val="00086319"/>
    <w:rsid w:val="000863E5"/>
    <w:rsid w:val="000863EA"/>
    <w:rsid w:val="000871B5"/>
    <w:rsid w:val="000871C0"/>
    <w:rsid w:val="0009044A"/>
    <w:rsid w:val="00091456"/>
    <w:rsid w:val="00091CAB"/>
    <w:rsid w:val="00092272"/>
    <w:rsid w:val="00093A5D"/>
    <w:rsid w:val="0009402C"/>
    <w:rsid w:val="00094545"/>
    <w:rsid w:val="0009518E"/>
    <w:rsid w:val="000951E5"/>
    <w:rsid w:val="00095274"/>
    <w:rsid w:val="000957CC"/>
    <w:rsid w:val="000959C9"/>
    <w:rsid w:val="000961BE"/>
    <w:rsid w:val="0009620A"/>
    <w:rsid w:val="00096C5D"/>
    <w:rsid w:val="00097089"/>
    <w:rsid w:val="00097348"/>
    <w:rsid w:val="00097B30"/>
    <w:rsid w:val="00097EDE"/>
    <w:rsid w:val="000A02F7"/>
    <w:rsid w:val="000A066E"/>
    <w:rsid w:val="000A096B"/>
    <w:rsid w:val="000A0A27"/>
    <w:rsid w:val="000A1E61"/>
    <w:rsid w:val="000A22CD"/>
    <w:rsid w:val="000A26F9"/>
    <w:rsid w:val="000A27F4"/>
    <w:rsid w:val="000A2A2F"/>
    <w:rsid w:val="000A2C96"/>
    <w:rsid w:val="000A35A2"/>
    <w:rsid w:val="000A4B2A"/>
    <w:rsid w:val="000A552D"/>
    <w:rsid w:val="000A62E9"/>
    <w:rsid w:val="000A689B"/>
    <w:rsid w:val="000A7283"/>
    <w:rsid w:val="000A72C7"/>
    <w:rsid w:val="000A72C8"/>
    <w:rsid w:val="000A7BC7"/>
    <w:rsid w:val="000B04F0"/>
    <w:rsid w:val="000B0B4F"/>
    <w:rsid w:val="000B157A"/>
    <w:rsid w:val="000B1F5A"/>
    <w:rsid w:val="000B2CBB"/>
    <w:rsid w:val="000B2DF5"/>
    <w:rsid w:val="000B2F0E"/>
    <w:rsid w:val="000B3432"/>
    <w:rsid w:val="000B398E"/>
    <w:rsid w:val="000B3EED"/>
    <w:rsid w:val="000B4384"/>
    <w:rsid w:val="000B516E"/>
    <w:rsid w:val="000B525D"/>
    <w:rsid w:val="000B65CC"/>
    <w:rsid w:val="000B7BAD"/>
    <w:rsid w:val="000C0ECF"/>
    <w:rsid w:val="000C13D3"/>
    <w:rsid w:val="000C1FC3"/>
    <w:rsid w:val="000C215E"/>
    <w:rsid w:val="000C2181"/>
    <w:rsid w:val="000C24CF"/>
    <w:rsid w:val="000C2855"/>
    <w:rsid w:val="000C29EC"/>
    <w:rsid w:val="000C38F7"/>
    <w:rsid w:val="000C3BC9"/>
    <w:rsid w:val="000C47F0"/>
    <w:rsid w:val="000C4BD2"/>
    <w:rsid w:val="000C4CA4"/>
    <w:rsid w:val="000C4E8F"/>
    <w:rsid w:val="000C4FF7"/>
    <w:rsid w:val="000C56EF"/>
    <w:rsid w:val="000C5BCA"/>
    <w:rsid w:val="000C5C4A"/>
    <w:rsid w:val="000C6B94"/>
    <w:rsid w:val="000C760D"/>
    <w:rsid w:val="000C7649"/>
    <w:rsid w:val="000C76E9"/>
    <w:rsid w:val="000C7C1E"/>
    <w:rsid w:val="000D006F"/>
    <w:rsid w:val="000D1127"/>
    <w:rsid w:val="000D160C"/>
    <w:rsid w:val="000D1B87"/>
    <w:rsid w:val="000D1C18"/>
    <w:rsid w:val="000D1DAD"/>
    <w:rsid w:val="000D20BB"/>
    <w:rsid w:val="000D22D6"/>
    <w:rsid w:val="000D3DD8"/>
    <w:rsid w:val="000D3E7E"/>
    <w:rsid w:val="000D4E4C"/>
    <w:rsid w:val="000D4FF2"/>
    <w:rsid w:val="000D5268"/>
    <w:rsid w:val="000D563D"/>
    <w:rsid w:val="000D57AD"/>
    <w:rsid w:val="000D5846"/>
    <w:rsid w:val="000D58D5"/>
    <w:rsid w:val="000D62B5"/>
    <w:rsid w:val="000D76B1"/>
    <w:rsid w:val="000E07E0"/>
    <w:rsid w:val="000E175C"/>
    <w:rsid w:val="000E2145"/>
    <w:rsid w:val="000E29CF"/>
    <w:rsid w:val="000E3898"/>
    <w:rsid w:val="000E39C4"/>
    <w:rsid w:val="000E470A"/>
    <w:rsid w:val="000E556A"/>
    <w:rsid w:val="000E5D99"/>
    <w:rsid w:val="000E673A"/>
    <w:rsid w:val="000E7290"/>
    <w:rsid w:val="000F0939"/>
    <w:rsid w:val="000F095D"/>
    <w:rsid w:val="000F0F7F"/>
    <w:rsid w:val="000F1529"/>
    <w:rsid w:val="000F311D"/>
    <w:rsid w:val="000F3529"/>
    <w:rsid w:val="000F4B88"/>
    <w:rsid w:val="000F4CDE"/>
    <w:rsid w:val="000F5204"/>
    <w:rsid w:val="000F56CA"/>
    <w:rsid w:val="000F5C72"/>
    <w:rsid w:val="000F6171"/>
    <w:rsid w:val="000F65D5"/>
    <w:rsid w:val="000F6A06"/>
    <w:rsid w:val="000F74F5"/>
    <w:rsid w:val="000F7A7F"/>
    <w:rsid w:val="0010052F"/>
    <w:rsid w:val="00100809"/>
    <w:rsid w:val="0010095A"/>
    <w:rsid w:val="00100CCD"/>
    <w:rsid w:val="00101A46"/>
    <w:rsid w:val="00101AA3"/>
    <w:rsid w:val="00101BFA"/>
    <w:rsid w:val="001022DD"/>
    <w:rsid w:val="001024D6"/>
    <w:rsid w:val="00102787"/>
    <w:rsid w:val="00102813"/>
    <w:rsid w:val="00103CBB"/>
    <w:rsid w:val="00103E1C"/>
    <w:rsid w:val="00104166"/>
    <w:rsid w:val="00104B69"/>
    <w:rsid w:val="00104C9E"/>
    <w:rsid w:val="00105372"/>
    <w:rsid w:val="001058D1"/>
    <w:rsid w:val="0010629E"/>
    <w:rsid w:val="001064B4"/>
    <w:rsid w:val="00106EA3"/>
    <w:rsid w:val="00107E3C"/>
    <w:rsid w:val="00110AA7"/>
    <w:rsid w:val="00110F2C"/>
    <w:rsid w:val="001110E3"/>
    <w:rsid w:val="001115F1"/>
    <w:rsid w:val="001119C8"/>
    <w:rsid w:val="00112635"/>
    <w:rsid w:val="00112B70"/>
    <w:rsid w:val="00112D3F"/>
    <w:rsid w:val="0011321E"/>
    <w:rsid w:val="0011375F"/>
    <w:rsid w:val="001137D4"/>
    <w:rsid w:val="001138AE"/>
    <w:rsid w:val="00113C9D"/>
    <w:rsid w:val="00113FA3"/>
    <w:rsid w:val="001140D6"/>
    <w:rsid w:val="00114BB7"/>
    <w:rsid w:val="00115DB0"/>
    <w:rsid w:val="00115FEE"/>
    <w:rsid w:val="00116A98"/>
    <w:rsid w:val="0012028C"/>
    <w:rsid w:val="001226C8"/>
    <w:rsid w:val="00122E04"/>
    <w:rsid w:val="00124439"/>
    <w:rsid w:val="0012470B"/>
    <w:rsid w:val="00124962"/>
    <w:rsid w:val="00124E33"/>
    <w:rsid w:val="00125047"/>
    <w:rsid w:val="00125C57"/>
    <w:rsid w:val="00126385"/>
    <w:rsid w:val="00126717"/>
    <w:rsid w:val="00127526"/>
    <w:rsid w:val="0013060B"/>
    <w:rsid w:val="00130771"/>
    <w:rsid w:val="00130961"/>
    <w:rsid w:val="00130DDA"/>
    <w:rsid w:val="00130EA2"/>
    <w:rsid w:val="00131C30"/>
    <w:rsid w:val="00131E7A"/>
    <w:rsid w:val="00132445"/>
    <w:rsid w:val="0013251D"/>
    <w:rsid w:val="0013283F"/>
    <w:rsid w:val="00132D24"/>
    <w:rsid w:val="0013396D"/>
    <w:rsid w:val="001341F3"/>
    <w:rsid w:val="00134CAF"/>
    <w:rsid w:val="00134D94"/>
    <w:rsid w:val="00135F7A"/>
    <w:rsid w:val="00136787"/>
    <w:rsid w:val="00136C7B"/>
    <w:rsid w:val="00137498"/>
    <w:rsid w:val="00137D17"/>
    <w:rsid w:val="00140180"/>
    <w:rsid w:val="001403D9"/>
    <w:rsid w:val="00141196"/>
    <w:rsid w:val="0014198C"/>
    <w:rsid w:val="00142163"/>
    <w:rsid w:val="001425DE"/>
    <w:rsid w:val="00142661"/>
    <w:rsid w:val="001429B7"/>
    <w:rsid w:val="00142C49"/>
    <w:rsid w:val="00142FCA"/>
    <w:rsid w:val="00143202"/>
    <w:rsid w:val="0014505D"/>
    <w:rsid w:val="0014587B"/>
    <w:rsid w:val="00147769"/>
    <w:rsid w:val="00147D4B"/>
    <w:rsid w:val="00150620"/>
    <w:rsid w:val="001506E1"/>
    <w:rsid w:val="00150E38"/>
    <w:rsid w:val="001516FC"/>
    <w:rsid w:val="0015280B"/>
    <w:rsid w:val="00152F57"/>
    <w:rsid w:val="001536B4"/>
    <w:rsid w:val="00153BBB"/>
    <w:rsid w:val="00153E97"/>
    <w:rsid w:val="001540FC"/>
    <w:rsid w:val="00154AB9"/>
    <w:rsid w:val="0015577F"/>
    <w:rsid w:val="001565F0"/>
    <w:rsid w:val="001578C0"/>
    <w:rsid w:val="00157E1E"/>
    <w:rsid w:val="00160C54"/>
    <w:rsid w:val="00161360"/>
    <w:rsid w:val="001616C4"/>
    <w:rsid w:val="00162EDE"/>
    <w:rsid w:val="00164CDA"/>
    <w:rsid w:val="00164FBC"/>
    <w:rsid w:val="00165C42"/>
    <w:rsid w:val="00165E31"/>
    <w:rsid w:val="00165F89"/>
    <w:rsid w:val="001663FB"/>
    <w:rsid w:val="00167CF2"/>
    <w:rsid w:val="00167D5F"/>
    <w:rsid w:val="00170665"/>
    <w:rsid w:val="00170E1F"/>
    <w:rsid w:val="001713C9"/>
    <w:rsid w:val="00171B7B"/>
    <w:rsid w:val="00171E6D"/>
    <w:rsid w:val="00172AF6"/>
    <w:rsid w:val="00172D5B"/>
    <w:rsid w:val="00173F2E"/>
    <w:rsid w:val="001745E8"/>
    <w:rsid w:val="00175A6D"/>
    <w:rsid w:val="00176147"/>
    <w:rsid w:val="0017684D"/>
    <w:rsid w:val="00176CEE"/>
    <w:rsid w:val="00177426"/>
    <w:rsid w:val="00177498"/>
    <w:rsid w:val="00181008"/>
    <w:rsid w:val="001825AB"/>
    <w:rsid w:val="001825F9"/>
    <w:rsid w:val="00182BDC"/>
    <w:rsid w:val="0018305C"/>
    <w:rsid w:val="00183393"/>
    <w:rsid w:val="001842EF"/>
    <w:rsid w:val="00184C40"/>
    <w:rsid w:val="00184E3A"/>
    <w:rsid w:val="001855DE"/>
    <w:rsid w:val="00186575"/>
    <w:rsid w:val="00186594"/>
    <w:rsid w:val="00186AB0"/>
    <w:rsid w:val="00186F5E"/>
    <w:rsid w:val="00186FCE"/>
    <w:rsid w:val="001879CA"/>
    <w:rsid w:val="00187AE5"/>
    <w:rsid w:val="00187B2B"/>
    <w:rsid w:val="00187CA5"/>
    <w:rsid w:val="00190906"/>
    <w:rsid w:val="00190D85"/>
    <w:rsid w:val="001915AD"/>
    <w:rsid w:val="00191FB4"/>
    <w:rsid w:val="00192CE1"/>
    <w:rsid w:val="00192FFF"/>
    <w:rsid w:val="001932C6"/>
    <w:rsid w:val="001937FC"/>
    <w:rsid w:val="00193D1B"/>
    <w:rsid w:val="00194802"/>
    <w:rsid w:val="00195B55"/>
    <w:rsid w:val="001A061C"/>
    <w:rsid w:val="001A15A8"/>
    <w:rsid w:val="001A1E2F"/>
    <w:rsid w:val="001A257D"/>
    <w:rsid w:val="001A2AB8"/>
    <w:rsid w:val="001A2D86"/>
    <w:rsid w:val="001A2EE9"/>
    <w:rsid w:val="001A47BC"/>
    <w:rsid w:val="001A5003"/>
    <w:rsid w:val="001A5071"/>
    <w:rsid w:val="001A52A3"/>
    <w:rsid w:val="001A616F"/>
    <w:rsid w:val="001A6268"/>
    <w:rsid w:val="001A686F"/>
    <w:rsid w:val="001A6983"/>
    <w:rsid w:val="001A7B4D"/>
    <w:rsid w:val="001B00D9"/>
    <w:rsid w:val="001B01E5"/>
    <w:rsid w:val="001B2123"/>
    <w:rsid w:val="001B2D51"/>
    <w:rsid w:val="001B370C"/>
    <w:rsid w:val="001B38B0"/>
    <w:rsid w:val="001B49BA"/>
    <w:rsid w:val="001B52D5"/>
    <w:rsid w:val="001B54A3"/>
    <w:rsid w:val="001B6B83"/>
    <w:rsid w:val="001B6D8A"/>
    <w:rsid w:val="001B731F"/>
    <w:rsid w:val="001B7A50"/>
    <w:rsid w:val="001B7CDA"/>
    <w:rsid w:val="001C017A"/>
    <w:rsid w:val="001C0478"/>
    <w:rsid w:val="001C0B11"/>
    <w:rsid w:val="001C1546"/>
    <w:rsid w:val="001C1B3B"/>
    <w:rsid w:val="001C21B7"/>
    <w:rsid w:val="001C22D3"/>
    <w:rsid w:val="001C2E44"/>
    <w:rsid w:val="001C3214"/>
    <w:rsid w:val="001C38CD"/>
    <w:rsid w:val="001C4182"/>
    <w:rsid w:val="001C4F33"/>
    <w:rsid w:val="001C5448"/>
    <w:rsid w:val="001C5AD6"/>
    <w:rsid w:val="001C6851"/>
    <w:rsid w:val="001C6A3A"/>
    <w:rsid w:val="001C6B72"/>
    <w:rsid w:val="001C7348"/>
    <w:rsid w:val="001C74BC"/>
    <w:rsid w:val="001C7664"/>
    <w:rsid w:val="001C771C"/>
    <w:rsid w:val="001C7C53"/>
    <w:rsid w:val="001C7F0C"/>
    <w:rsid w:val="001D0239"/>
    <w:rsid w:val="001D0296"/>
    <w:rsid w:val="001D03B6"/>
    <w:rsid w:val="001D081E"/>
    <w:rsid w:val="001D0954"/>
    <w:rsid w:val="001D0B0C"/>
    <w:rsid w:val="001D19D7"/>
    <w:rsid w:val="001D1D5B"/>
    <w:rsid w:val="001D28B0"/>
    <w:rsid w:val="001D3030"/>
    <w:rsid w:val="001D3306"/>
    <w:rsid w:val="001D41FA"/>
    <w:rsid w:val="001D464B"/>
    <w:rsid w:val="001D4757"/>
    <w:rsid w:val="001D5137"/>
    <w:rsid w:val="001D5248"/>
    <w:rsid w:val="001D6009"/>
    <w:rsid w:val="001D628B"/>
    <w:rsid w:val="001D66AC"/>
    <w:rsid w:val="001D758A"/>
    <w:rsid w:val="001D7AD6"/>
    <w:rsid w:val="001D7C58"/>
    <w:rsid w:val="001D7C6F"/>
    <w:rsid w:val="001E05F8"/>
    <w:rsid w:val="001E06F4"/>
    <w:rsid w:val="001E16DB"/>
    <w:rsid w:val="001E191C"/>
    <w:rsid w:val="001E2411"/>
    <w:rsid w:val="001E274F"/>
    <w:rsid w:val="001E2C54"/>
    <w:rsid w:val="001E2E5F"/>
    <w:rsid w:val="001E31FB"/>
    <w:rsid w:val="001E3221"/>
    <w:rsid w:val="001E3483"/>
    <w:rsid w:val="001E3D37"/>
    <w:rsid w:val="001E3DC5"/>
    <w:rsid w:val="001E4E02"/>
    <w:rsid w:val="001E5268"/>
    <w:rsid w:val="001E52DE"/>
    <w:rsid w:val="001E54A8"/>
    <w:rsid w:val="001E5869"/>
    <w:rsid w:val="001E60D6"/>
    <w:rsid w:val="001E65F4"/>
    <w:rsid w:val="001E6EFC"/>
    <w:rsid w:val="001E7E63"/>
    <w:rsid w:val="001F02A3"/>
    <w:rsid w:val="001F0337"/>
    <w:rsid w:val="001F09CA"/>
    <w:rsid w:val="001F146F"/>
    <w:rsid w:val="001F1A2C"/>
    <w:rsid w:val="001F1D03"/>
    <w:rsid w:val="001F3378"/>
    <w:rsid w:val="001F3A44"/>
    <w:rsid w:val="001F3B07"/>
    <w:rsid w:val="001F4923"/>
    <w:rsid w:val="001F5B6B"/>
    <w:rsid w:val="001F69BA"/>
    <w:rsid w:val="001F6AA8"/>
    <w:rsid w:val="001F6C36"/>
    <w:rsid w:val="00200A18"/>
    <w:rsid w:val="00200ADC"/>
    <w:rsid w:val="00200E29"/>
    <w:rsid w:val="00200FA4"/>
    <w:rsid w:val="0020104C"/>
    <w:rsid w:val="00201F84"/>
    <w:rsid w:val="00202AC3"/>
    <w:rsid w:val="00203218"/>
    <w:rsid w:val="002033A6"/>
    <w:rsid w:val="00203566"/>
    <w:rsid w:val="002037D5"/>
    <w:rsid w:val="00203AD0"/>
    <w:rsid w:val="00204314"/>
    <w:rsid w:val="00205D5B"/>
    <w:rsid w:val="00205F20"/>
    <w:rsid w:val="00207CA8"/>
    <w:rsid w:val="00207D3F"/>
    <w:rsid w:val="00210EC3"/>
    <w:rsid w:val="00210F27"/>
    <w:rsid w:val="0021162E"/>
    <w:rsid w:val="00212B49"/>
    <w:rsid w:val="00212CB6"/>
    <w:rsid w:val="00213461"/>
    <w:rsid w:val="00213DF3"/>
    <w:rsid w:val="00214149"/>
    <w:rsid w:val="00214861"/>
    <w:rsid w:val="00214C98"/>
    <w:rsid w:val="00216100"/>
    <w:rsid w:val="002162A7"/>
    <w:rsid w:val="00216C12"/>
    <w:rsid w:val="002172B1"/>
    <w:rsid w:val="002175D3"/>
    <w:rsid w:val="002177BB"/>
    <w:rsid w:val="00217AC5"/>
    <w:rsid w:val="002206E9"/>
    <w:rsid w:val="00220F4C"/>
    <w:rsid w:val="00221089"/>
    <w:rsid w:val="00221459"/>
    <w:rsid w:val="0022157D"/>
    <w:rsid w:val="002216B0"/>
    <w:rsid w:val="0022217D"/>
    <w:rsid w:val="0022236E"/>
    <w:rsid w:val="002223BA"/>
    <w:rsid w:val="00222818"/>
    <w:rsid w:val="002232DD"/>
    <w:rsid w:val="002236CC"/>
    <w:rsid w:val="00224149"/>
    <w:rsid w:val="002243DF"/>
    <w:rsid w:val="00224C37"/>
    <w:rsid w:val="002252D3"/>
    <w:rsid w:val="00225D2C"/>
    <w:rsid w:val="002270F4"/>
    <w:rsid w:val="0022775B"/>
    <w:rsid w:val="0023079C"/>
    <w:rsid w:val="00232751"/>
    <w:rsid w:val="00232A5B"/>
    <w:rsid w:val="00232E16"/>
    <w:rsid w:val="00233495"/>
    <w:rsid w:val="00233F12"/>
    <w:rsid w:val="00233FAA"/>
    <w:rsid w:val="00234555"/>
    <w:rsid w:val="0023460C"/>
    <w:rsid w:val="002349D9"/>
    <w:rsid w:val="00234A1E"/>
    <w:rsid w:val="002358F3"/>
    <w:rsid w:val="00236C22"/>
    <w:rsid w:val="00237A15"/>
    <w:rsid w:val="002404E7"/>
    <w:rsid w:val="002408D2"/>
    <w:rsid w:val="00240C3D"/>
    <w:rsid w:val="0024108A"/>
    <w:rsid w:val="002410A8"/>
    <w:rsid w:val="0024141D"/>
    <w:rsid w:val="002414F1"/>
    <w:rsid w:val="0024309F"/>
    <w:rsid w:val="00243756"/>
    <w:rsid w:val="00244277"/>
    <w:rsid w:val="002449A3"/>
    <w:rsid w:val="00244A8C"/>
    <w:rsid w:val="00244FF6"/>
    <w:rsid w:val="002453B8"/>
    <w:rsid w:val="002454A2"/>
    <w:rsid w:val="00246437"/>
    <w:rsid w:val="00246E1C"/>
    <w:rsid w:val="00251EAF"/>
    <w:rsid w:val="00252F9D"/>
    <w:rsid w:val="0025379A"/>
    <w:rsid w:val="00254A53"/>
    <w:rsid w:val="002563A8"/>
    <w:rsid w:val="00256519"/>
    <w:rsid w:val="00257764"/>
    <w:rsid w:val="00260E99"/>
    <w:rsid w:val="00261710"/>
    <w:rsid w:val="00261E5C"/>
    <w:rsid w:val="00261E80"/>
    <w:rsid w:val="00261EDD"/>
    <w:rsid w:val="00262C6F"/>
    <w:rsid w:val="002630A9"/>
    <w:rsid w:val="00263100"/>
    <w:rsid w:val="002634DC"/>
    <w:rsid w:val="002637C2"/>
    <w:rsid w:val="00263D1B"/>
    <w:rsid w:val="0026403C"/>
    <w:rsid w:val="002640BE"/>
    <w:rsid w:val="0026575C"/>
    <w:rsid w:val="00267162"/>
    <w:rsid w:val="00267377"/>
    <w:rsid w:val="002703A1"/>
    <w:rsid w:val="002708FD"/>
    <w:rsid w:val="002716F3"/>
    <w:rsid w:val="00272409"/>
    <w:rsid w:val="00272DCB"/>
    <w:rsid w:val="002737FE"/>
    <w:rsid w:val="00273D95"/>
    <w:rsid w:val="00274139"/>
    <w:rsid w:val="002749ED"/>
    <w:rsid w:val="00274B12"/>
    <w:rsid w:val="00274BA9"/>
    <w:rsid w:val="00274DB6"/>
    <w:rsid w:val="00275474"/>
    <w:rsid w:val="00275A4D"/>
    <w:rsid w:val="00276579"/>
    <w:rsid w:val="00276A55"/>
    <w:rsid w:val="00276AD7"/>
    <w:rsid w:val="00277B91"/>
    <w:rsid w:val="00280067"/>
    <w:rsid w:val="002802C6"/>
    <w:rsid w:val="0028116C"/>
    <w:rsid w:val="00281895"/>
    <w:rsid w:val="00281A91"/>
    <w:rsid w:val="00281E99"/>
    <w:rsid w:val="00282449"/>
    <w:rsid w:val="00282916"/>
    <w:rsid w:val="00282C83"/>
    <w:rsid w:val="00282C8A"/>
    <w:rsid w:val="002852CD"/>
    <w:rsid w:val="00285DAE"/>
    <w:rsid w:val="002870CC"/>
    <w:rsid w:val="002901E9"/>
    <w:rsid w:val="00291C4F"/>
    <w:rsid w:val="00292868"/>
    <w:rsid w:val="00292964"/>
    <w:rsid w:val="002930D1"/>
    <w:rsid w:val="00293A82"/>
    <w:rsid w:val="00294108"/>
    <w:rsid w:val="00294456"/>
    <w:rsid w:val="00294E35"/>
    <w:rsid w:val="0029566A"/>
    <w:rsid w:val="00296155"/>
    <w:rsid w:val="00296751"/>
    <w:rsid w:val="00296BBE"/>
    <w:rsid w:val="002A0197"/>
    <w:rsid w:val="002A05A8"/>
    <w:rsid w:val="002A0BF6"/>
    <w:rsid w:val="002A0E58"/>
    <w:rsid w:val="002A0FE6"/>
    <w:rsid w:val="002A15D4"/>
    <w:rsid w:val="002A1BB4"/>
    <w:rsid w:val="002A2096"/>
    <w:rsid w:val="002A23AB"/>
    <w:rsid w:val="002A23FA"/>
    <w:rsid w:val="002A2550"/>
    <w:rsid w:val="002A276C"/>
    <w:rsid w:val="002A41E8"/>
    <w:rsid w:val="002A44C3"/>
    <w:rsid w:val="002A46B6"/>
    <w:rsid w:val="002A4B31"/>
    <w:rsid w:val="002A4EB3"/>
    <w:rsid w:val="002A534B"/>
    <w:rsid w:val="002A6C3C"/>
    <w:rsid w:val="002A6EDF"/>
    <w:rsid w:val="002A72FF"/>
    <w:rsid w:val="002A7916"/>
    <w:rsid w:val="002A7939"/>
    <w:rsid w:val="002B0233"/>
    <w:rsid w:val="002B1719"/>
    <w:rsid w:val="002B1764"/>
    <w:rsid w:val="002B2475"/>
    <w:rsid w:val="002B2602"/>
    <w:rsid w:val="002B29F5"/>
    <w:rsid w:val="002B2B4D"/>
    <w:rsid w:val="002B36E0"/>
    <w:rsid w:val="002B3A6E"/>
    <w:rsid w:val="002B3E30"/>
    <w:rsid w:val="002B4802"/>
    <w:rsid w:val="002B4909"/>
    <w:rsid w:val="002B4E3C"/>
    <w:rsid w:val="002B52E6"/>
    <w:rsid w:val="002B5724"/>
    <w:rsid w:val="002B6294"/>
    <w:rsid w:val="002B6544"/>
    <w:rsid w:val="002B6870"/>
    <w:rsid w:val="002B6E1B"/>
    <w:rsid w:val="002B7B6C"/>
    <w:rsid w:val="002C1662"/>
    <w:rsid w:val="002C2156"/>
    <w:rsid w:val="002C23F3"/>
    <w:rsid w:val="002C284F"/>
    <w:rsid w:val="002C2B89"/>
    <w:rsid w:val="002C33A8"/>
    <w:rsid w:val="002C37BB"/>
    <w:rsid w:val="002C3E14"/>
    <w:rsid w:val="002C4475"/>
    <w:rsid w:val="002C566D"/>
    <w:rsid w:val="002C5724"/>
    <w:rsid w:val="002C576B"/>
    <w:rsid w:val="002C5CA4"/>
    <w:rsid w:val="002C6686"/>
    <w:rsid w:val="002C79D0"/>
    <w:rsid w:val="002D02F9"/>
    <w:rsid w:val="002D13E5"/>
    <w:rsid w:val="002D194D"/>
    <w:rsid w:val="002D2E39"/>
    <w:rsid w:val="002D3419"/>
    <w:rsid w:val="002D3772"/>
    <w:rsid w:val="002D3AF9"/>
    <w:rsid w:val="002D58E2"/>
    <w:rsid w:val="002D5FB1"/>
    <w:rsid w:val="002D6620"/>
    <w:rsid w:val="002D6A99"/>
    <w:rsid w:val="002D6C5C"/>
    <w:rsid w:val="002D6ED0"/>
    <w:rsid w:val="002D7092"/>
    <w:rsid w:val="002D755D"/>
    <w:rsid w:val="002D7572"/>
    <w:rsid w:val="002D7B61"/>
    <w:rsid w:val="002E091F"/>
    <w:rsid w:val="002E0CC5"/>
    <w:rsid w:val="002E0EA4"/>
    <w:rsid w:val="002E156E"/>
    <w:rsid w:val="002E2813"/>
    <w:rsid w:val="002E2903"/>
    <w:rsid w:val="002E423B"/>
    <w:rsid w:val="002E4434"/>
    <w:rsid w:val="002E44EF"/>
    <w:rsid w:val="002E4C70"/>
    <w:rsid w:val="002E500F"/>
    <w:rsid w:val="002E5522"/>
    <w:rsid w:val="002E5FF0"/>
    <w:rsid w:val="002E6B54"/>
    <w:rsid w:val="002F0271"/>
    <w:rsid w:val="002F14EB"/>
    <w:rsid w:val="002F285B"/>
    <w:rsid w:val="002F2926"/>
    <w:rsid w:val="002F33D5"/>
    <w:rsid w:val="002F3827"/>
    <w:rsid w:val="002F4A2A"/>
    <w:rsid w:val="002F4B29"/>
    <w:rsid w:val="002F4D04"/>
    <w:rsid w:val="002F56F7"/>
    <w:rsid w:val="002F5734"/>
    <w:rsid w:val="002F5C4B"/>
    <w:rsid w:val="002F6622"/>
    <w:rsid w:val="002F6923"/>
    <w:rsid w:val="002F76A5"/>
    <w:rsid w:val="002F798F"/>
    <w:rsid w:val="003001A0"/>
    <w:rsid w:val="00300490"/>
    <w:rsid w:val="00300625"/>
    <w:rsid w:val="00300A74"/>
    <w:rsid w:val="00300C7A"/>
    <w:rsid w:val="00301058"/>
    <w:rsid w:val="00303605"/>
    <w:rsid w:val="00303F36"/>
    <w:rsid w:val="00304254"/>
    <w:rsid w:val="003042D4"/>
    <w:rsid w:val="003043F5"/>
    <w:rsid w:val="003067B7"/>
    <w:rsid w:val="003068F8"/>
    <w:rsid w:val="00306AE3"/>
    <w:rsid w:val="00306DDF"/>
    <w:rsid w:val="00310811"/>
    <w:rsid w:val="003109DB"/>
    <w:rsid w:val="00310C29"/>
    <w:rsid w:val="003113FB"/>
    <w:rsid w:val="00311425"/>
    <w:rsid w:val="003121B6"/>
    <w:rsid w:val="0031272C"/>
    <w:rsid w:val="0031378B"/>
    <w:rsid w:val="00313CBF"/>
    <w:rsid w:val="00314798"/>
    <w:rsid w:val="003147D0"/>
    <w:rsid w:val="00314EF6"/>
    <w:rsid w:val="00315555"/>
    <w:rsid w:val="003156D9"/>
    <w:rsid w:val="00315905"/>
    <w:rsid w:val="00315D19"/>
    <w:rsid w:val="00315EC2"/>
    <w:rsid w:val="00316971"/>
    <w:rsid w:val="00317363"/>
    <w:rsid w:val="00317449"/>
    <w:rsid w:val="0031782B"/>
    <w:rsid w:val="00320DED"/>
    <w:rsid w:val="00321F6D"/>
    <w:rsid w:val="0032232F"/>
    <w:rsid w:val="003224CD"/>
    <w:rsid w:val="00323DFF"/>
    <w:rsid w:val="00323F25"/>
    <w:rsid w:val="00324349"/>
    <w:rsid w:val="00324E56"/>
    <w:rsid w:val="0032535F"/>
    <w:rsid w:val="00327580"/>
    <w:rsid w:val="00330BEC"/>
    <w:rsid w:val="00330D13"/>
    <w:rsid w:val="00331877"/>
    <w:rsid w:val="003319F3"/>
    <w:rsid w:val="00331CDE"/>
    <w:rsid w:val="003321C5"/>
    <w:rsid w:val="0033234D"/>
    <w:rsid w:val="00332B5E"/>
    <w:rsid w:val="00334117"/>
    <w:rsid w:val="003345D3"/>
    <w:rsid w:val="0033470C"/>
    <w:rsid w:val="00335005"/>
    <w:rsid w:val="00335026"/>
    <w:rsid w:val="00335258"/>
    <w:rsid w:val="00335408"/>
    <w:rsid w:val="003359AC"/>
    <w:rsid w:val="003360FB"/>
    <w:rsid w:val="0033616D"/>
    <w:rsid w:val="003365EE"/>
    <w:rsid w:val="00337DE4"/>
    <w:rsid w:val="00340155"/>
    <w:rsid w:val="003406CE"/>
    <w:rsid w:val="00340AC0"/>
    <w:rsid w:val="00341457"/>
    <w:rsid w:val="0034195C"/>
    <w:rsid w:val="003429BC"/>
    <w:rsid w:val="00343401"/>
    <w:rsid w:val="00343C98"/>
    <w:rsid w:val="00343E2E"/>
    <w:rsid w:val="00343E3F"/>
    <w:rsid w:val="00344A87"/>
    <w:rsid w:val="003468E3"/>
    <w:rsid w:val="00346BBC"/>
    <w:rsid w:val="00346F6F"/>
    <w:rsid w:val="0035098A"/>
    <w:rsid w:val="00350AAD"/>
    <w:rsid w:val="00350CE9"/>
    <w:rsid w:val="00351470"/>
    <w:rsid w:val="00352E41"/>
    <w:rsid w:val="00353BBD"/>
    <w:rsid w:val="00354102"/>
    <w:rsid w:val="00354343"/>
    <w:rsid w:val="003545BC"/>
    <w:rsid w:val="003548D2"/>
    <w:rsid w:val="0035561F"/>
    <w:rsid w:val="00356438"/>
    <w:rsid w:val="00356ED0"/>
    <w:rsid w:val="003600F4"/>
    <w:rsid w:val="003605B3"/>
    <w:rsid w:val="00362840"/>
    <w:rsid w:val="00362909"/>
    <w:rsid w:val="00362E21"/>
    <w:rsid w:val="00362E7B"/>
    <w:rsid w:val="003630EE"/>
    <w:rsid w:val="00363775"/>
    <w:rsid w:val="003641CB"/>
    <w:rsid w:val="003643F2"/>
    <w:rsid w:val="0036534D"/>
    <w:rsid w:val="0036546C"/>
    <w:rsid w:val="00365C82"/>
    <w:rsid w:val="00365ECF"/>
    <w:rsid w:val="003661CA"/>
    <w:rsid w:val="00366916"/>
    <w:rsid w:val="00366EC2"/>
    <w:rsid w:val="00366F80"/>
    <w:rsid w:val="003671E6"/>
    <w:rsid w:val="00367B42"/>
    <w:rsid w:val="00370F8E"/>
    <w:rsid w:val="003710E0"/>
    <w:rsid w:val="0037112A"/>
    <w:rsid w:val="003712E2"/>
    <w:rsid w:val="00371F01"/>
    <w:rsid w:val="003720B9"/>
    <w:rsid w:val="00372CFF"/>
    <w:rsid w:val="00372F74"/>
    <w:rsid w:val="00373C18"/>
    <w:rsid w:val="00373E70"/>
    <w:rsid w:val="00374808"/>
    <w:rsid w:val="00374919"/>
    <w:rsid w:val="00375343"/>
    <w:rsid w:val="00375926"/>
    <w:rsid w:val="0037744C"/>
    <w:rsid w:val="00377D4C"/>
    <w:rsid w:val="00377FA0"/>
    <w:rsid w:val="00380D2A"/>
    <w:rsid w:val="0038122E"/>
    <w:rsid w:val="00381D98"/>
    <w:rsid w:val="00382109"/>
    <w:rsid w:val="00382F0C"/>
    <w:rsid w:val="003830D1"/>
    <w:rsid w:val="003838CE"/>
    <w:rsid w:val="00383BE1"/>
    <w:rsid w:val="00385A81"/>
    <w:rsid w:val="00386096"/>
    <w:rsid w:val="003865F6"/>
    <w:rsid w:val="00386832"/>
    <w:rsid w:val="00387ADB"/>
    <w:rsid w:val="003909AB"/>
    <w:rsid w:val="00391766"/>
    <w:rsid w:val="00392199"/>
    <w:rsid w:val="00392BBB"/>
    <w:rsid w:val="00393DDB"/>
    <w:rsid w:val="00394B99"/>
    <w:rsid w:val="00394BAC"/>
    <w:rsid w:val="0039616E"/>
    <w:rsid w:val="003A08A0"/>
    <w:rsid w:val="003A1328"/>
    <w:rsid w:val="003A1447"/>
    <w:rsid w:val="003A1CC9"/>
    <w:rsid w:val="003A22D5"/>
    <w:rsid w:val="003A2C80"/>
    <w:rsid w:val="003A3167"/>
    <w:rsid w:val="003A35F1"/>
    <w:rsid w:val="003A44E2"/>
    <w:rsid w:val="003A48A9"/>
    <w:rsid w:val="003A4DCB"/>
    <w:rsid w:val="003A508E"/>
    <w:rsid w:val="003A530D"/>
    <w:rsid w:val="003A6201"/>
    <w:rsid w:val="003A6A9B"/>
    <w:rsid w:val="003A6E85"/>
    <w:rsid w:val="003A6F46"/>
    <w:rsid w:val="003A7BD3"/>
    <w:rsid w:val="003B0252"/>
    <w:rsid w:val="003B05C2"/>
    <w:rsid w:val="003B0900"/>
    <w:rsid w:val="003B0DD0"/>
    <w:rsid w:val="003B1507"/>
    <w:rsid w:val="003B153A"/>
    <w:rsid w:val="003B24CF"/>
    <w:rsid w:val="003B4F1C"/>
    <w:rsid w:val="003B515E"/>
    <w:rsid w:val="003B68F4"/>
    <w:rsid w:val="003B6C5B"/>
    <w:rsid w:val="003B768A"/>
    <w:rsid w:val="003B78AB"/>
    <w:rsid w:val="003B7FEC"/>
    <w:rsid w:val="003C0035"/>
    <w:rsid w:val="003C095A"/>
    <w:rsid w:val="003C0B44"/>
    <w:rsid w:val="003C0DE6"/>
    <w:rsid w:val="003C162E"/>
    <w:rsid w:val="003C2809"/>
    <w:rsid w:val="003C30CC"/>
    <w:rsid w:val="003C3DBB"/>
    <w:rsid w:val="003C3F17"/>
    <w:rsid w:val="003C4287"/>
    <w:rsid w:val="003C4322"/>
    <w:rsid w:val="003C5227"/>
    <w:rsid w:val="003C5540"/>
    <w:rsid w:val="003C5F3E"/>
    <w:rsid w:val="003C67F7"/>
    <w:rsid w:val="003C7A15"/>
    <w:rsid w:val="003D0AD0"/>
    <w:rsid w:val="003D0C35"/>
    <w:rsid w:val="003D12C7"/>
    <w:rsid w:val="003D1E80"/>
    <w:rsid w:val="003D22A0"/>
    <w:rsid w:val="003D2913"/>
    <w:rsid w:val="003D2AA8"/>
    <w:rsid w:val="003D3241"/>
    <w:rsid w:val="003D3956"/>
    <w:rsid w:val="003D4541"/>
    <w:rsid w:val="003D48F5"/>
    <w:rsid w:val="003D5240"/>
    <w:rsid w:val="003D583D"/>
    <w:rsid w:val="003D5B4F"/>
    <w:rsid w:val="003D6680"/>
    <w:rsid w:val="003D68AF"/>
    <w:rsid w:val="003D6E76"/>
    <w:rsid w:val="003D6E7F"/>
    <w:rsid w:val="003D7F44"/>
    <w:rsid w:val="003E0962"/>
    <w:rsid w:val="003E1247"/>
    <w:rsid w:val="003E1C69"/>
    <w:rsid w:val="003E1D66"/>
    <w:rsid w:val="003E1EDA"/>
    <w:rsid w:val="003E2349"/>
    <w:rsid w:val="003E2672"/>
    <w:rsid w:val="003E29F8"/>
    <w:rsid w:val="003E2DBE"/>
    <w:rsid w:val="003E346F"/>
    <w:rsid w:val="003E3A92"/>
    <w:rsid w:val="003E40AF"/>
    <w:rsid w:val="003E42AC"/>
    <w:rsid w:val="003E4785"/>
    <w:rsid w:val="003E56FD"/>
    <w:rsid w:val="003E58DE"/>
    <w:rsid w:val="003E6223"/>
    <w:rsid w:val="003E686B"/>
    <w:rsid w:val="003E6CD8"/>
    <w:rsid w:val="003E6FD4"/>
    <w:rsid w:val="003E7837"/>
    <w:rsid w:val="003F0354"/>
    <w:rsid w:val="003F03D2"/>
    <w:rsid w:val="003F1B41"/>
    <w:rsid w:val="003F3F7E"/>
    <w:rsid w:val="003F3F89"/>
    <w:rsid w:val="003F400E"/>
    <w:rsid w:val="003F46AE"/>
    <w:rsid w:val="003F6225"/>
    <w:rsid w:val="003F683C"/>
    <w:rsid w:val="003F6B8F"/>
    <w:rsid w:val="003F7224"/>
    <w:rsid w:val="0040036B"/>
    <w:rsid w:val="004009B1"/>
    <w:rsid w:val="00400A97"/>
    <w:rsid w:val="004019BE"/>
    <w:rsid w:val="004019D5"/>
    <w:rsid w:val="00402686"/>
    <w:rsid w:val="00402C62"/>
    <w:rsid w:val="00402D68"/>
    <w:rsid w:val="0040357F"/>
    <w:rsid w:val="00403D9D"/>
    <w:rsid w:val="004057FC"/>
    <w:rsid w:val="00405ED9"/>
    <w:rsid w:val="00406CE3"/>
    <w:rsid w:val="0040743A"/>
    <w:rsid w:val="00407BFF"/>
    <w:rsid w:val="00411E09"/>
    <w:rsid w:val="004128C5"/>
    <w:rsid w:val="0041361B"/>
    <w:rsid w:val="00413A8B"/>
    <w:rsid w:val="00413D40"/>
    <w:rsid w:val="00414551"/>
    <w:rsid w:val="00414E15"/>
    <w:rsid w:val="00415321"/>
    <w:rsid w:val="00416060"/>
    <w:rsid w:val="0041781C"/>
    <w:rsid w:val="00417C0D"/>
    <w:rsid w:val="00417C7E"/>
    <w:rsid w:val="00417ED5"/>
    <w:rsid w:val="004213DA"/>
    <w:rsid w:val="004214B6"/>
    <w:rsid w:val="00421F44"/>
    <w:rsid w:val="00422499"/>
    <w:rsid w:val="00422EC0"/>
    <w:rsid w:val="00423339"/>
    <w:rsid w:val="00423C8C"/>
    <w:rsid w:val="004244B4"/>
    <w:rsid w:val="00424837"/>
    <w:rsid w:val="00424923"/>
    <w:rsid w:val="00424A1B"/>
    <w:rsid w:val="004257A5"/>
    <w:rsid w:val="00425DFB"/>
    <w:rsid w:val="00426069"/>
    <w:rsid w:val="004267F5"/>
    <w:rsid w:val="00426A01"/>
    <w:rsid w:val="00426BD8"/>
    <w:rsid w:val="00427B05"/>
    <w:rsid w:val="00427D21"/>
    <w:rsid w:val="004301B3"/>
    <w:rsid w:val="00431635"/>
    <w:rsid w:val="00432159"/>
    <w:rsid w:val="00432425"/>
    <w:rsid w:val="004327E3"/>
    <w:rsid w:val="004336B7"/>
    <w:rsid w:val="00433843"/>
    <w:rsid w:val="0043385F"/>
    <w:rsid w:val="00435C45"/>
    <w:rsid w:val="004360D3"/>
    <w:rsid w:val="00436869"/>
    <w:rsid w:val="00437034"/>
    <w:rsid w:val="0043704F"/>
    <w:rsid w:val="0043705A"/>
    <w:rsid w:val="0043758C"/>
    <w:rsid w:val="00437A97"/>
    <w:rsid w:val="00437A98"/>
    <w:rsid w:val="00437E85"/>
    <w:rsid w:val="00437FB1"/>
    <w:rsid w:val="004400A9"/>
    <w:rsid w:val="004409BC"/>
    <w:rsid w:val="004409F7"/>
    <w:rsid w:val="00440EA0"/>
    <w:rsid w:val="00441E81"/>
    <w:rsid w:val="00441F58"/>
    <w:rsid w:val="00441FE0"/>
    <w:rsid w:val="004420B2"/>
    <w:rsid w:val="00442384"/>
    <w:rsid w:val="0044280C"/>
    <w:rsid w:val="004429D5"/>
    <w:rsid w:val="00442D63"/>
    <w:rsid w:val="00443219"/>
    <w:rsid w:val="00443A85"/>
    <w:rsid w:val="00444488"/>
    <w:rsid w:val="00444786"/>
    <w:rsid w:val="00444DF4"/>
    <w:rsid w:val="0044522A"/>
    <w:rsid w:val="00445EE5"/>
    <w:rsid w:val="004466F8"/>
    <w:rsid w:val="00446EB8"/>
    <w:rsid w:val="00447631"/>
    <w:rsid w:val="0044785A"/>
    <w:rsid w:val="00447CE4"/>
    <w:rsid w:val="00447F51"/>
    <w:rsid w:val="004502D8"/>
    <w:rsid w:val="00450EFB"/>
    <w:rsid w:val="00451145"/>
    <w:rsid w:val="00451283"/>
    <w:rsid w:val="00453BBA"/>
    <w:rsid w:val="00453C01"/>
    <w:rsid w:val="00453CD7"/>
    <w:rsid w:val="00453FB8"/>
    <w:rsid w:val="004541D6"/>
    <w:rsid w:val="004543B8"/>
    <w:rsid w:val="00456269"/>
    <w:rsid w:val="004566F6"/>
    <w:rsid w:val="004571B8"/>
    <w:rsid w:val="004574BD"/>
    <w:rsid w:val="00460452"/>
    <w:rsid w:val="0046106A"/>
    <w:rsid w:val="004625E1"/>
    <w:rsid w:val="00462B75"/>
    <w:rsid w:val="00463687"/>
    <w:rsid w:val="00463C92"/>
    <w:rsid w:val="004640C6"/>
    <w:rsid w:val="004644C2"/>
    <w:rsid w:val="004645B8"/>
    <w:rsid w:val="00465906"/>
    <w:rsid w:val="00465FF2"/>
    <w:rsid w:val="004661E5"/>
    <w:rsid w:val="004669BA"/>
    <w:rsid w:val="00467F9C"/>
    <w:rsid w:val="00470DB0"/>
    <w:rsid w:val="0047145C"/>
    <w:rsid w:val="00471765"/>
    <w:rsid w:val="0047235D"/>
    <w:rsid w:val="00473EFF"/>
    <w:rsid w:val="00475A0C"/>
    <w:rsid w:val="00475FA3"/>
    <w:rsid w:val="00476DCA"/>
    <w:rsid w:val="00476E5B"/>
    <w:rsid w:val="00476F1B"/>
    <w:rsid w:val="00480D5D"/>
    <w:rsid w:val="004813B9"/>
    <w:rsid w:val="00481B7F"/>
    <w:rsid w:val="00482BF2"/>
    <w:rsid w:val="00483E52"/>
    <w:rsid w:val="00484148"/>
    <w:rsid w:val="0048440F"/>
    <w:rsid w:val="004849D5"/>
    <w:rsid w:val="0048507B"/>
    <w:rsid w:val="004853CC"/>
    <w:rsid w:val="0048590B"/>
    <w:rsid w:val="0048602C"/>
    <w:rsid w:val="004868EC"/>
    <w:rsid w:val="004873BD"/>
    <w:rsid w:val="00487D5C"/>
    <w:rsid w:val="00490FF6"/>
    <w:rsid w:val="0049112E"/>
    <w:rsid w:val="004935C1"/>
    <w:rsid w:val="0049449A"/>
    <w:rsid w:val="0049490B"/>
    <w:rsid w:val="004952A1"/>
    <w:rsid w:val="004954C6"/>
    <w:rsid w:val="00495786"/>
    <w:rsid w:val="004957EF"/>
    <w:rsid w:val="0049602C"/>
    <w:rsid w:val="004961A3"/>
    <w:rsid w:val="004961EB"/>
    <w:rsid w:val="00497682"/>
    <w:rsid w:val="004976FB"/>
    <w:rsid w:val="004977DF"/>
    <w:rsid w:val="004A02FA"/>
    <w:rsid w:val="004A1266"/>
    <w:rsid w:val="004A1999"/>
    <w:rsid w:val="004A1F85"/>
    <w:rsid w:val="004A2392"/>
    <w:rsid w:val="004A3E78"/>
    <w:rsid w:val="004A3E7E"/>
    <w:rsid w:val="004A4814"/>
    <w:rsid w:val="004A4AC5"/>
    <w:rsid w:val="004A4D7A"/>
    <w:rsid w:val="004A5541"/>
    <w:rsid w:val="004A56D6"/>
    <w:rsid w:val="004A56D7"/>
    <w:rsid w:val="004A59C3"/>
    <w:rsid w:val="004A5AFF"/>
    <w:rsid w:val="004A61B0"/>
    <w:rsid w:val="004A664B"/>
    <w:rsid w:val="004A72DA"/>
    <w:rsid w:val="004A7728"/>
    <w:rsid w:val="004A7C96"/>
    <w:rsid w:val="004B0E82"/>
    <w:rsid w:val="004B16D4"/>
    <w:rsid w:val="004B1DDF"/>
    <w:rsid w:val="004B3066"/>
    <w:rsid w:val="004B35C3"/>
    <w:rsid w:val="004B38C9"/>
    <w:rsid w:val="004B4679"/>
    <w:rsid w:val="004B523A"/>
    <w:rsid w:val="004B5973"/>
    <w:rsid w:val="004C12C5"/>
    <w:rsid w:val="004C16C2"/>
    <w:rsid w:val="004C171C"/>
    <w:rsid w:val="004C2BB3"/>
    <w:rsid w:val="004C3775"/>
    <w:rsid w:val="004C42FD"/>
    <w:rsid w:val="004C49ED"/>
    <w:rsid w:val="004C4EAB"/>
    <w:rsid w:val="004C524A"/>
    <w:rsid w:val="004C52EC"/>
    <w:rsid w:val="004C58E1"/>
    <w:rsid w:val="004C6426"/>
    <w:rsid w:val="004C660D"/>
    <w:rsid w:val="004C770B"/>
    <w:rsid w:val="004D04F9"/>
    <w:rsid w:val="004D0F69"/>
    <w:rsid w:val="004D1BBC"/>
    <w:rsid w:val="004D1E37"/>
    <w:rsid w:val="004D23C1"/>
    <w:rsid w:val="004D2935"/>
    <w:rsid w:val="004D2BEC"/>
    <w:rsid w:val="004D3D9B"/>
    <w:rsid w:val="004D4010"/>
    <w:rsid w:val="004D4637"/>
    <w:rsid w:val="004D4EA1"/>
    <w:rsid w:val="004D526A"/>
    <w:rsid w:val="004D53F3"/>
    <w:rsid w:val="004D625F"/>
    <w:rsid w:val="004D680B"/>
    <w:rsid w:val="004D694B"/>
    <w:rsid w:val="004E16C5"/>
    <w:rsid w:val="004E1983"/>
    <w:rsid w:val="004E2366"/>
    <w:rsid w:val="004E27A0"/>
    <w:rsid w:val="004E2942"/>
    <w:rsid w:val="004E2AC2"/>
    <w:rsid w:val="004E33AD"/>
    <w:rsid w:val="004E4817"/>
    <w:rsid w:val="004E4AFB"/>
    <w:rsid w:val="004E507F"/>
    <w:rsid w:val="004E5709"/>
    <w:rsid w:val="004E682C"/>
    <w:rsid w:val="004E772F"/>
    <w:rsid w:val="004E7D51"/>
    <w:rsid w:val="004F0D9B"/>
    <w:rsid w:val="004F18CC"/>
    <w:rsid w:val="004F248A"/>
    <w:rsid w:val="004F276E"/>
    <w:rsid w:val="004F2BD5"/>
    <w:rsid w:val="004F3844"/>
    <w:rsid w:val="004F4425"/>
    <w:rsid w:val="004F4594"/>
    <w:rsid w:val="004F4953"/>
    <w:rsid w:val="004F4B9D"/>
    <w:rsid w:val="004F5A25"/>
    <w:rsid w:val="004F5CA6"/>
    <w:rsid w:val="004F5E41"/>
    <w:rsid w:val="004F5F77"/>
    <w:rsid w:val="004F619F"/>
    <w:rsid w:val="004F6845"/>
    <w:rsid w:val="004F73A3"/>
    <w:rsid w:val="005009DC"/>
    <w:rsid w:val="00500A87"/>
    <w:rsid w:val="00500D90"/>
    <w:rsid w:val="005012DE"/>
    <w:rsid w:val="0050177F"/>
    <w:rsid w:val="0050202D"/>
    <w:rsid w:val="005021FE"/>
    <w:rsid w:val="00502354"/>
    <w:rsid w:val="005024DC"/>
    <w:rsid w:val="00502656"/>
    <w:rsid w:val="00502988"/>
    <w:rsid w:val="005036BF"/>
    <w:rsid w:val="00503770"/>
    <w:rsid w:val="005037B4"/>
    <w:rsid w:val="00503E70"/>
    <w:rsid w:val="00503F2E"/>
    <w:rsid w:val="005047E1"/>
    <w:rsid w:val="00504BA3"/>
    <w:rsid w:val="00504CB1"/>
    <w:rsid w:val="00504E0D"/>
    <w:rsid w:val="00505437"/>
    <w:rsid w:val="00505D7E"/>
    <w:rsid w:val="00506026"/>
    <w:rsid w:val="00506519"/>
    <w:rsid w:val="005077E0"/>
    <w:rsid w:val="00510A41"/>
    <w:rsid w:val="00511492"/>
    <w:rsid w:val="00511922"/>
    <w:rsid w:val="005120AA"/>
    <w:rsid w:val="00512275"/>
    <w:rsid w:val="005123B1"/>
    <w:rsid w:val="0051270C"/>
    <w:rsid w:val="005128D2"/>
    <w:rsid w:val="00512E56"/>
    <w:rsid w:val="005131B1"/>
    <w:rsid w:val="00513CF7"/>
    <w:rsid w:val="005146D4"/>
    <w:rsid w:val="00515723"/>
    <w:rsid w:val="00515BBE"/>
    <w:rsid w:val="00515C53"/>
    <w:rsid w:val="00515C8D"/>
    <w:rsid w:val="00515F52"/>
    <w:rsid w:val="00515F6E"/>
    <w:rsid w:val="00516496"/>
    <w:rsid w:val="00517CF3"/>
    <w:rsid w:val="00520570"/>
    <w:rsid w:val="00520A72"/>
    <w:rsid w:val="00521954"/>
    <w:rsid w:val="005221DA"/>
    <w:rsid w:val="00522944"/>
    <w:rsid w:val="00522CDC"/>
    <w:rsid w:val="00522E82"/>
    <w:rsid w:val="00523051"/>
    <w:rsid w:val="005232FA"/>
    <w:rsid w:val="00523A9F"/>
    <w:rsid w:val="00523EA0"/>
    <w:rsid w:val="005242E8"/>
    <w:rsid w:val="00524EF3"/>
    <w:rsid w:val="005250CE"/>
    <w:rsid w:val="005257CB"/>
    <w:rsid w:val="005260D9"/>
    <w:rsid w:val="00527096"/>
    <w:rsid w:val="0052795F"/>
    <w:rsid w:val="00527F61"/>
    <w:rsid w:val="00530D16"/>
    <w:rsid w:val="00531121"/>
    <w:rsid w:val="0053134D"/>
    <w:rsid w:val="00531BFE"/>
    <w:rsid w:val="00531FED"/>
    <w:rsid w:val="0053210F"/>
    <w:rsid w:val="00532166"/>
    <w:rsid w:val="00532361"/>
    <w:rsid w:val="00532EC0"/>
    <w:rsid w:val="005337DF"/>
    <w:rsid w:val="005339BA"/>
    <w:rsid w:val="00533ECE"/>
    <w:rsid w:val="005343D0"/>
    <w:rsid w:val="00534681"/>
    <w:rsid w:val="00534747"/>
    <w:rsid w:val="00534DD9"/>
    <w:rsid w:val="00535924"/>
    <w:rsid w:val="00535AD6"/>
    <w:rsid w:val="005360BA"/>
    <w:rsid w:val="00537445"/>
    <w:rsid w:val="00537F21"/>
    <w:rsid w:val="005406C5"/>
    <w:rsid w:val="00540E1A"/>
    <w:rsid w:val="0054189D"/>
    <w:rsid w:val="00543E67"/>
    <w:rsid w:val="0054402A"/>
    <w:rsid w:val="00544281"/>
    <w:rsid w:val="0054531A"/>
    <w:rsid w:val="00547457"/>
    <w:rsid w:val="005477AF"/>
    <w:rsid w:val="00547A7D"/>
    <w:rsid w:val="00547F01"/>
    <w:rsid w:val="00551728"/>
    <w:rsid w:val="00551E1E"/>
    <w:rsid w:val="00551EE0"/>
    <w:rsid w:val="0055252D"/>
    <w:rsid w:val="005525B0"/>
    <w:rsid w:val="00552ABB"/>
    <w:rsid w:val="00552D7D"/>
    <w:rsid w:val="005535C2"/>
    <w:rsid w:val="00553D7A"/>
    <w:rsid w:val="005545CC"/>
    <w:rsid w:val="0055470F"/>
    <w:rsid w:val="005550E4"/>
    <w:rsid w:val="0055555C"/>
    <w:rsid w:val="00555738"/>
    <w:rsid w:val="00555F79"/>
    <w:rsid w:val="00556072"/>
    <w:rsid w:val="00556708"/>
    <w:rsid w:val="0055671A"/>
    <w:rsid w:val="005600D5"/>
    <w:rsid w:val="005601F6"/>
    <w:rsid w:val="005603AB"/>
    <w:rsid w:val="00560457"/>
    <w:rsid w:val="00560906"/>
    <w:rsid w:val="00560C6D"/>
    <w:rsid w:val="00560E0B"/>
    <w:rsid w:val="00560E58"/>
    <w:rsid w:val="005611E3"/>
    <w:rsid w:val="00561676"/>
    <w:rsid w:val="005617AF"/>
    <w:rsid w:val="00561DC1"/>
    <w:rsid w:val="00562045"/>
    <w:rsid w:val="005620BE"/>
    <w:rsid w:val="00562502"/>
    <w:rsid w:val="00562574"/>
    <w:rsid w:val="00562DF8"/>
    <w:rsid w:val="00562E2E"/>
    <w:rsid w:val="00563A0B"/>
    <w:rsid w:val="005644AA"/>
    <w:rsid w:val="00564C04"/>
    <w:rsid w:val="00565DEC"/>
    <w:rsid w:val="00565F06"/>
    <w:rsid w:val="00566469"/>
    <w:rsid w:val="005669CC"/>
    <w:rsid w:val="00566AA8"/>
    <w:rsid w:val="00567060"/>
    <w:rsid w:val="005672A9"/>
    <w:rsid w:val="005672DD"/>
    <w:rsid w:val="0056740E"/>
    <w:rsid w:val="00570E55"/>
    <w:rsid w:val="0057146E"/>
    <w:rsid w:val="005717BA"/>
    <w:rsid w:val="00571A35"/>
    <w:rsid w:val="00571DAF"/>
    <w:rsid w:val="00572346"/>
    <w:rsid w:val="005726EB"/>
    <w:rsid w:val="00572C1F"/>
    <w:rsid w:val="00573FCD"/>
    <w:rsid w:val="0057428A"/>
    <w:rsid w:val="005743EF"/>
    <w:rsid w:val="005757AE"/>
    <w:rsid w:val="005759E1"/>
    <w:rsid w:val="00576760"/>
    <w:rsid w:val="00576C22"/>
    <w:rsid w:val="00577682"/>
    <w:rsid w:val="005779E3"/>
    <w:rsid w:val="00577BD7"/>
    <w:rsid w:val="0058005E"/>
    <w:rsid w:val="005802B9"/>
    <w:rsid w:val="005803D4"/>
    <w:rsid w:val="0058074E"/>
    <w:rsid w:val="00580A74"/>
    <w:rsid w:val="0058170D"/>
    <w:rsid w:val="005819DB"/>
    <w:rsid w:val="005821F4"/>
    <w:rsid w:val="005826E2"/>
    <w:rsid w:val="005829FF"/>
    <w:rsid w:val="005851DD"/>
    <w:rsid w:val="00585F8E"/>
    <w:rsid w:val="0058610B"/>
    <w:rsid w:val="0058625F"/>
    <w:rsid w:val="0058716D"/>
    <w:rsid w:val="00587F5D"/>
    <w:rsid w:val="0059132C"/>
    <w:rsid w:val="00592723"/>
    <w:rsid w:val="00595DA4"/>
    <w:rsid w:val="00595EF5"/>
    <w:rsid w:val="00596CBB"/>
    <w:rsid w:val="00596E6B"/>
    <w:rsid w:val="0059797D"/>
    <w:rsid w:val="005A0310"/>
    <w:rsid w:val="005A05FE"/>
    <w:rsid w:val="005A097F"/>
    <w:rsid w:val="005A0C57"/>
    <w:rsid w:val="005A0DEB"/>
    <w:rsid w:val="005A1116"/>
    <w:rsid w:val="005A2FC0"/>
    <w:rsid w:val="005A3534"/>
    <w:rsid w:val="005A3B85"/>
    <w:rsid w:val="005A4568"/>
    <w:rsid w:val="005A5473"/>
    <w:rsid w:val="005A6E10"/>
    <w:rsid w:val="005A7B44"/>
    <w:rsid w:val="005B0E56"/>
    <w:rsid w:val="005B181E"/>
    <w:rsid w:val="005B2105"/>
    <w:rsid w:val="005B26B9"/>
    <w:rsid w:val="005B2A5B"/>
    <w:rsid w:val="005B2E4A"/>
    <w:rsid w:val="005B2FDC"/>
    <w:rsid w:val="005B3010"/>
    <w:rsid w:val="005B3976"/>
    <w:rsid w:val="005B3CF9"/>
    <w:rsid w:val="005B5085"/>
    <w:rsid w:val="005B514C"/>
    <w:rsid w:val="005B52D3"/>
    <w:rsid w:val="005B54EA"/>
    <w:rsid w:val="005B572C"/>
    <w:rsid w:val="005B5B55"/>
    <w:rsid w:val="005B612D"/>
    <w:rsid w:val="005B6249"/>
    <w:rsid w:val="005B7036"/>
    <w:rsid w:val="005B711A"/>
    <w:rsid w:val="005B73B0"/>
    <w:rsid w:val="005B753C"/>
    <w:rsid w:val="005B796F"/>
    <w:rsid w:val="005C01C8"/>
    <w:rsid w:val="005C03C5"/>
    <w:rsid w:val="005C06F2"/>
    <w:rsid w:val="005C09DE"/>
    <w:rsid w:val="005C1C28"/>
    <w:rsid w:val="005C1E01"/>
    <w:rsid w:val="005C2FB8"/>
    <w:rsid w:val="005C4289"/>
    <w:rsid w:val="005C4493"/>
    <w:rsid w:val="005C48B0"/>
    <w:rsid w:val="005C49AC"/>
    <w:rsid w:val="005C64E8"/>
    <w:rsid w:val="005C7022"/>
    <w:rsid w:val="005C72BC"/>
    <w:rsid w:val="005C7622"/>
    <w:rsid w:val="005C7693"/>
    <w:rsid w:val="005C7921"/>
    <w:rsid w:val="005D00A0"/>
    <w:rsid w:val="005D0B19"/>
    <w:rsid w:val="005D0FC0"/>
    <w:rsid w:val="005D124F"/>
    <w:rsid w:val="005D1439"/>
    <w:rsid w:val="005D1F82"/>
    <w:rsid w:val="005D2933"/>
    <w:rsid w:val="005D2FCF"/>
    <w:rsid w:val="005D3E2E"/>
    <w:rsid w:val="005D436A"/>
    <w:rsid w:val="005D54BD"/>
    <w:rsid w:val="005D5599"/>
    <w:rsid w:val="005D567D"/>
    <w:rsid w:val="005D62C6"/>
    <w:rsid w:val="005D651B"/>
    <w:rsid w:val="005D6893"/>
    <w:rsid w:val="005E09EA"/>
    <w:rsid w:val="005E1139"/>
    <w:rsid w:val="005E1391"/>
    <w:rsid w:val="005E1574"/>
    <w:rsid w:val="005E1E66"/>
    <w:rsid w:val="005E3241"/>
    <w:rsid w:val="005E356C"/>
    <w:rsid w:val="005E3948"/>
    <w:rsid w:val="005E3D28"/>
    <w:rsid w:val="005E3DA3"/>
    <w:rsid w:val="005E3E6B"/>
    <w:rsid w:val="005E55C2"/>
    <w:rsid w:val="005E5B32"/>
    <w:rsid w:val="005E631E"/>
    <w:rsid w:val="005E67DD"/>
    <w:rsid w:val="005E6FC2"/>
    <w:rsid w:val="005E7332"/>
    <w:rsid w:val="005E7A71"/>
    <w:rsid w:val="005F1129"/>
    <w:rsid w:val="005F157A"/>
    <w:rsid w:val="005F186D"/>
    <w:rsid w:val="005F191C"/>
    <w:rsid w:val="005F19B9"/>
    <w:rsid w:val="005F1F11"/>
    <w:rsid w:val="005F2238"/>
    <w:rsid w:val="005F29DE"/>
    <w:rsid w:val="005F2A31"/>
    <w:rsid w:val="005F35A5"/>
    <w:rsid w:val="005F4A3C"/>
    <w:rsid w:val="005F63CE"/>
    <w:rsid w:val="005F716C"/>
    <w:rsid w:val="005F722E"/>
    <w:rsid w:val="005F794F"/>
    <w:rsid w:val="005F7FD4"/>
    <w:rsid w:val="00600698"/>
    <w:rsid w:val="006009CB"/>
    <w:rsid w:val="006010DA"/>
    <w:rsid w:val="00601A2A"/>
    <w:rsid w:val="0060330F"/>
    <w:rsid w:val="00603976"/>
    <w:rsid w:val="00603C5C"/>
    <w:rsid w:val="00603E45"/>
    <w:rsid w:val="006045A7"/>
    <w:rsid w:val="00604DC6"/>
    <w:rsid w:val="00606AE6"/>
    <w:rsid w:val="00606DAD"/>
    <w:rsid w:val="00606FB1"/>
    <w:rsid w:val="00606FE1"/>
    <w:rsid w:val="00607368"/>
    <w:rsid w:val="00610160"/>
    <w:rsid w:val="006122BA"/>
    <w:rsid w:val="00612384"/>
    <w:rsid w:val="0061284C"/>
    <w:rsid w:val="00612F73"/>
    <w:rsid w:val="006131B3"/>
    <w:rsid w:val="006132AC"/>
    <w:rsid w:val="006135FE"/>
    <w:rsid w:val="0061369B"/>
    <w:rsid w:val="00614CCF"/>
    <w:rsid w:val="00614D8C"/>
    <w:rsid w:val="00615653"/>
    <w:rsid w:val="006164D8"/>
    <w:rsid w:val="00616807"/>
    <w:rsid w:val="00617347"/>
    <w:rsid w:val="006173AA"/>
    <w:rsid w:val="006173C2"/>
    <w:rsid w:val="00617998"/>
    <w:rsid w:val="00617CA1"/>
    <w:rsid w:val="00620669"/>
    <w:rsid w:val="00620A77"/>
    <w:rsid w:val="00621167"/>
    <w:rsid w:val="00621976"/>
    <w:rsid w:val="00621AD3"/>
    <w:rsid w:val="00621C21"/>
    <w:rsid w:val="006242FD"/>
    <w:rsid w:val="00624FAF"/>
    <w:rsid w:val="00625488"/>
    <w:rsid w:val="00626410"/>
    <w:rsid w:val="00626759"/>
    <w:rsid w:val="00626DFC"/>
    <w:rsid w:val="00627163"/>
    <w:rsid w:val="00627CE1"/>
    <w:rsid w:val="00630792"/>
    <w:rsid w:val="006308AB"/>
    <w:rsid w:val="00630AE9"/>
    <w:rsid w:val="00630F99"/>
    <w:rsid w:val="00631881"/>
    <w:rsid w:val="00631F8B"/>
    <w:rsid w:val="006328AB"/>
    <w:rsid w:val="006328D1"/>
    <w:rsid w:val="006333F2"/>
    <w:rsid w:val="00634F45"/>
    <w:rsid w:val="00635450"/>
    <w:rsid w:val="0063590D"/>
    <w:rsid w:val="00635B43"/>
    <w:rsid w:val="0063603B"/>
    <w:rsid w:val="006361A3"/>
    <w:rsid w:val="006363C0"/>
    <w:rsid w:val="00636A1A"/>
    <w:rsid w:val="00636E9B"/>
    <w:rsid w:val="00636F5B"/>
    <w:rsid w:val="00637294"/>
    <w:rsid w:val="006374C7"/>
    <w:rsid w:val="00637C9C"/>
    <w:rsid w:val="00637EE2"/>
    <w:rsid w:val="0064018B"/>
    <w:rsid w:val="00640376"/>
    <w:rsid w:val="00641A4F"/>
    <w:rsid w:val="00642195"/>
    <w:rsid w:val="0064270B"/>
    <w:rsid w:val="0064291D"/>
    <w:rsid w:val="00642D2A"/>
    <w:rsid w:val="006435AA"/>
    <w:rsid w:val="00643D53"/>
    <w:rsid w:val="0064404C"/>
    <w:rsid w:val="00644536"/>
    <w:rsid w:val="00644CE7"/>
    <w:rsid w:val="006454C3"/>
    <w:rsid w:val="00645E0D"/>
    <w:rsid w:val="0064679B"/>
    <w:rsid w:val="006470A1"/>
    <w:rsid w:val="006478B3"/>
    <w:rsid w:val="0064793F"/>
    <w:rsid w:val="00650954"/>
    <w:rsid w:val="00650D35"/>
    <w:rsid w:val="00651839"/>
    <w:rsid w:val="006524AA"/>
    <w:rsid w:val="00652787"/>
    <w:rsid w:val="00652F07"/>
    <w:rsid w:val="006531F0"/>
    <w:rsid w:val="00653269"/>
    <w:rsid w:val="00653751"/>
    <w:rsid w:val="006543B0"/>
    <w:rsid w:val="006547B7"/>
    <w:rsid w:val="0065571B"/>
    <w:rsid w:val="006560B9"/>
    <w:rsid w:val="00656250"/>
    <w:rsid w:val="00656438"/>
    <w:rsid w:val="006569C2"/>
    <w:rsid w:val="006572D6"/>
    <w:rsid w:val="006579D2"/>
    <w:rsid w:val="00657D2C"/>
    <w:rsid w:val="006603BC"/>
    <w:rsid w:val="0066041E"/>
    <w:rsid w:val="0066182F"/>
    <w:rsid w:val="00661EB3"/>
    <w:rsid w:val="00662283"/>
    <w:rsid w:val="0066251D"/>
    <w:rsid w:val="00663634"/>
    <w:rsid w:val="00663BEE"/>
    <w:rsid w:val="00664502"/>
    <w:rsid w:val="006649E1"/>
    <w:rsid w:val="00664A3A"/>
    <w:rsid w:val="00664EBB"/>
    <w:rsid w:val="00665D4C"/>
    <w:rsid w:val="0066698A"/>
    <w:rsid w:val="00667204"/>
    <w:rsid w:val="0066766E"/>
    <w:rsid w:val="0067109A"/>
    <w:rsid w:val="006718EE"/>
    <w:rsid w:val="00671D64"/>
    <w:rsid w:val="00671DCB"/>
    <w:rsid w:val="00671F76"/>
    <w:rsid w:val="006720D4"/>
    <w:rsid w:val="00672584"/>
    <w:rsid w:val="0067287C"/>
    <w:rsid w:val="00673377"/>
    <w:rsid w:val="006739F1"/>
    <w:rsid w:val="00673BD4"/>
    <w:rsid w:val="006742E9"/>
    <w:rsid w:val="00674307"/>
    <w:rsid w:val="00674444"/>
    <w:rsid w:val="0067493D"/>
    <w:rsid w:val="00674F2D"/>
    <w:rsid w:val="0067564D"/>
    <w:rsid w:val="00675888"/>
    <w:rsid w:val="0067594D"/>
    <w:rsid w:val="00676E32"/>
    <w:rsid w:val="00677024"/>
    <w:rsid w:val="00677219"/>
    <w:rsid w:val="0067736C"/>
    <w:rsid w:val="00677452"/>
    <w:rsid w:val="00677DE7"/>
    <w:rsid w:val="00682573"/>
    <w:rsid w:val="00682C72"/>
    <w:rsid w:val="00682F6E"/>
    <w:rsid w:val="00684C6E"/>
    <w:rsid w:val="00685936"/>
    <w:rsid w:val="00685CF3"/>
    <w:rsid w:val="00687276"/>
    <w:rsid w:val="00687B66"/>
    <w:rsid w:val="0069012E"/>
    <w:rsid w:val="00690F78"/>
    <w:rsid w:val="00691703"/>
    <w:rsid w:val="00691D5F"/>
    <w:rsid w:val="00692507"/>
    <w:rsid w:val="006930D8"/>
    <w:rsid w:val="00693972"/>
    <w:rsid w:val="00693C17"/>
    <w:rsid w:val="00694B28"/>
    <w:rsid w:val="00694CD2"/>
    <w:rsid w:val="00695A48"/>
    <w:rsid w:val="00696038"/>
    <w:rsid w:val="006963EC"/>
    <w:rsid w:val="0069791F"/>
    <w:rsid w:val="006A0113"/>
    <w:rsid w:val="006A0279"/>
    <w:rsid w:val="006A1339"/>
    <w:rsid w:val="006A1741"/>
    <w:rsid w:val="006A31A7"/>
    <w:rsid w:val="006A3F9C"/>
    <w:rsid w:val="006A432B"/>
    <w:rsid w:val="006A443B"/>
    <w:rsid w:val="006A4940"/>
    <w:rsid w:val="006A4E37"/>
    <w:rsid w:val="006A5332"/>
    <w:rsid w:val="006A71FB"/>
    <w:rsid w:val="006A7231"/>
    <w:rsid w:val="006A76D2"/>
    <w:rsid w:val="006B0427"/>
    <w:rsid w:val="006B112D"/>
    <w:rsid w:val="006B1732"/>
    <w:rsid w:val="006B2290"/>
    <w:rsid w:val="006B2406"/>
    <w:rsid w:val="006B2C67"/>
    <w:rsid w:val="006B343B"/>
    <w:rsid w:val="006B3639"/>
    <w:rsid w:val="006B3E31"/>
    <w:rsid w:val="006B400C"/>
    <w:rsid w:val="006B47FE"/>
    <w:rsid w:val="006B4D82"/>
    <w:rsid w:val="006B63DC"/>
    <w:rsid w:val="006B6A00"/>
    <w:rsid w:val="006B6AD0"/>
    <w:rsid w:val="006B6EAD"/>
    <w:rsid w:val="006B799C"/>
    <w:rsid w:val="006B7A48"/>
    <w:rsid w:val="006B7F67"/>
    <w:rsid w:val="006C1750"/>
    <w:rsid w:val="006C1AE8"/>
    <w:rsid w:val="006C2074"/>
    <w:rsid w:val="006C24E8"/>
    <w:rsid w:val="006C295E"/>
    <w:rsid w:val="006C2AA4"/>
    <w:rsid w:val="006C2C91"/>
    <w:rsid w:val="006C433C"/>
    <w:rsid w:val="006C4434"/>
    <w:rsid w:val="006C4634"/>
    <w:rsid w:val="006C4B6F"/>
    <w:rsid w:val="006C524A"/>
    <w:rsid w:val="006C529D"/>
    <w:rsid w:val="006C5806"/>
    <w:rsid w:val="006C5C72"/>
    <w:rsid w:val="006C6278"/>
    <w:rsid w:val="006C704F"/>
    <w:rsid w:val="006C75CA"/>
    <w:rsid w:val="006C7689"/>
    <w:rsid w:val="006C7F6E"/>
    <w:rsid w:val="006D04E8"/>
    <w:rsid w:val="006D2724"/>
    <w:rsid w:val="006D2FE8"/>
    <w:rsid w:val="006D4027"/>
    <w:rsid w:val="006D45FE"/>
    <w:rsid w:val="006D4B9B"/>
    <w:rsid w:val="006D51AB"/>
    <w:rsid w:val="006D7243"/>
    <w:rsid w:val="006D7456"/>
    <w:rsid w:val="006D7653"/>
    <w:rsid w:val="006D771A"/>
    <w:rsid w:val="006D78C4"/>
    <w:rsid w:val="006D7E78"/>
    <w:rsid w:val="006E0BDC"/>
    <w:rsid w:val="006E169B"/>
    <w:rsid w:val="006E1E3B"/>
    <w:rsid w:val="006E205B"/>
    <w:rsid w:val="006E3F3D"/>
    <w:rsid w:val="006E3F51"/>
    <w:rsid w:val="006E41C5"/>
    <w:rsid w:val="006E41EA"/>
    <w:rsid w:val="006E460A"/>
    <w:rsid w:val="006E48A1"/>
    <w:rsid w:val="006E48AD"/>
    <w:rsid w:val="006E4FF5"/>
    <w:rsid w:val="006E5E85"/>
    <w:rsid w:val="006E60E9"/>
    <w:rsid w:val="006E7101"/>
    <w:rsid w:val="006E79FD"/>
    <w:rsid w:val="006F1623"/>
    <w:rsid w:val="006F19ED"/>
    <w:rsid w:val="006F1A48"/>
    <w:rsid w:val="006F1F00"/>
    <w:rsid w:val="006F3484"/>
    <w:rsid w:val="006F373A"/>
    <w:rsid w:val="006F42AC"/>
    <w:rsid w:val="006F43FB"/>
    <w:rsid w:val="006F4BBD"/>
    <w:rsid w:val="006F4CFD"/>
    <w:rsid w:val="006F53F9"/>
    <w:rsid w:val="006F5F38"/>
    <w:rsid w:val="006F6E9A"/>
    <w:rsid w:val="006F7763"/>
    <w:rsid w:val="006F7E76"/>
    <w:rsid w:val="007005DF"/>
    <w:rsid w:val="00700A2C"/>
    <w:rsid w:val="00700C86"/>
    <w:rsid w:val="00701A4C"/>
    <w:rsid w:val="00701A52"/>
    <w:rsid w:val="00701D68"/>
    <w:rsid w:val="00702231"/>
    <w:rsid w:val="00702260"/>
    <w:rsid w:val="0070252E"/>
    <w:rsid w:val="00702EFB"/>
    <w:rsid w:val="00703356"/>
    <w:rsid w:val="00703DF8"/>
    <w:rsid w:val="007047A8"/>
    <w:rsid w:val="0070505B"/>
    <w:rsid w:val="007056E3"/>
    <w:rsid w:val="0070584A"/>
    <w:rsid w:val="00705D3F"/>
    <w:rsid w:val="007061C3"/>
    <w:rsid w:val="0070716E"/>
    <w:rsid w:val="00707514"/>
    <w:rsid w:val="00710798"/>
    <w:rsid w:val="00710DAD"/>
    <w:rsid w:val="0071105D"/>
    <w:rsid w:val="0071199A"/>
    <w:rsid w:val="00711BE1"/>
    <w:rsid w:val="00712CBC"/>
    <w:rsid w:val="0071302A"/>
    <w:rsid w:val="00716E08"/>
    <w:rsid w:val="00716E19"/>
    <w:rsid w:val="00717564"/>
    <w:rsid w:val="00717D88"/>
    <w:rsid w:val="00720040"/>
    <w:rsid w:val="00720E61"/>
    <w:rsid w:val="00720F3A"/>
    <w:rsid w:val="007211FF"/>
    <w:rsid w:val="00721689"/>
    <w:rsid w:val="00721917"/>
    <w:rsid w:val="00721CFB"/>
    <w:rsid w:val="00721DE8"/>
    <w:rsid w:val="00722996"/>
    <w:rsid w:val="007230D9"/>
    <w:rsid w:val="007232AD"/>
    <w:rsid w:val="007235AC"/>
    <w:rsid w:val="00723E31"/>
    <w:rsid w:val="00724E6E"/>
    <w:rsid w:val="007256EA"/>
    <w:rsid w:val="00725AD9"/>
    <w:rsid w:val="00726D8D"/>
    <w:rsid w:val="00726F02"/>
    <w:rsid w:val="00726FC2"/>
    <w:rsid w:val="007278D6"/>
    <w:rsid w:val="00730675"/>
    <w:rsid w:val="00730AB4"/>
    <w:rsid w:val="00731540"/>
    <w:rsid w:val="00731603"/>
    <w:rsid w:val="00731D2F"/>
    <w:rsid w:val="00731F04"/>
    <w:rsid w:val="007320EB"/>
    <w:rsid w:val="007326A2"/>
    <w:rsid w:val="00732EDD"/>
    <w:rsid w:val="00732F84"/>
    <w:rsid w:val="00733C33"/>
    <w:rsid w:val="00733F6A"/>
    <w:rsid w:val="00733FE3"/>
    <w:rsid w:val="00734015"/>
    <w:rsid w:val="0073415C"/>
    <w:rsid w:val="007362FF"/>
    <w:rsid w:val="00736BBB"/>
    <w:rsid w:val="00736ECC"/>
    <w:rsid w:val="00740B63"/>
    <w:rsid w:val="00740DC1"/>
    <w:rsid w:val="00741B7E"/>
    <w:rsid w:val="00741FA1"/>
    <w:rsid w:val="007429C9"/>
    <w:rsid w:val="00743489"/>
    <w:rsid w:val="00743BF8"/>
    <w:rsid w:val="0074442E"/>
    <w:rsid w:val="0074468A"/>
    <w:rsid w:val="007451A2"/>
    <w:rsid w:val="00745470"/>
    <w:rsid w:val="00745E0C"/>
    <w:rsid w:val="007461FF"/>
    <w:rsid w:val="0074751A"/>
    <w:rsid w:val="0074760E"/>
    <w:rsid w:val="0075018D"/>
    <w:rsid w:val="00750DC4"/>
    <w:rsid w:val="00750FDC"/>
    <w:rsid w:val="00751025"/>
    <w:rsid w:val="007514A0"/>
    <w:rsid w:val="00751776"/>
    <w:rsid w:val="00751787"/>
    <w:rsid w:val="00752628"/>
    <w:rsid w:val="00752CBC"/>
    <w:rsid w:val="00753DCE"/>
    <w:rsid w:val="007540B9"/>
    <w:rsid w:val="00754700"/>
    <w:rsid w:val="00754711"/>
    <w:rsid w:val="0075490E"/>
    <w:rsid w:val="00754FEF"/>
    <w:rsid w:val="00755C62"/>
    <w:rsid w:val="00755E22"/>
    <w:rsid w:val="00756ECE"/>
    <w:rsid w:val="0075738A"/>
    <w:rsid w:val="0075745E"/>
    <w:rsid w:val="00757B5C"/>
    <w:rsid w:val="00760A22"/>
    <w:rsid w:val="0076107F"/>
    <w:rsid w:val="007611B2"/>
    <w:rsid w:val="00761F92"/>
    <w:rsid w:val="007623FF"/>
    <w:rsid w:val="007632B1"/>
    <w:rsid w:val="0076462B"/>
    <w:rsid w:val="00764E2E"/>
    <w:rsid w:val="007651B6"/>
    <w:rsid w:val="007657F9"/>
    <w:rsid w:val="00766EC8"/>
    <w:rsid w:val="00767A68"/>
    <w:rsid w:val="00767D0C"/>
    <w:rsid w:val="00771D1C"/>
    <w:rsid w:val="00773333"/>
    <w:rsid w:val="00773AF4"/>
    <w:rsid w:val="00774130"/>
    <w:rsid w:val="00774D3D"/>
    <w:rsid w:val="007762AA"/>
    <w:rsid w:val="0077635B"/>
    <w:rsid w:val="00776BDB"/>
    <w:rsid w:val="007802EE"/>
    <w:rsid w:val="00780473"/>
    <w:rsid w:val="007806EB"/>
    <w:rsid w:val="00780A72"/>
    <w:rsid w:val="00780E74"/>
    <w:rsid w:val="00781925"/>
    <w:rsid w:val="00781E97"/>
    <w:rsid w:val="007825C0"/>
    <w:rsid w:val="007829C2"/>
    <w:rsid w:val="00783394"/>
    <w:rsid w:val="0078347B"/>
    <w:rsid w:val="0078392F"/>
    <w:rsid w:val="00783F02"/>
    <w:rsid w:val="0078405E"/>
    <w:rsid w:val="007841E0"/>
    <w:rsid w:val="00784241"/>
    <w:rsid w:val="0078497C"/>
    <w:rsid w:val="007850C6"/>
    <w:rsid w:val="0078521F"/>
    <w:rsid w:val="007863AB"/>
    <w:rsid w:val="00787CF7"/>
    <w:rsid w:val="00787E4B"/>
    <w:rsid w:val="00790AC2"/>
    <w:rsid w:val="007918CB"/>
    <w:rsid w:val="00791BB6"/>
    <w:rsid w:val="00791C1B"/>
    <w:rsid w:val="00791F44"/>
    <w:rsid w:val="0079217A"/>
    <w:rsid w:val="00792899"/>
    <w:rsid w:val="00792C5E"/>
    <w:rsid w:val="00793700"/>
    <w:rsid w:val="007937A6"/>
    <w:rsid w:val="00793EC5"/>
    <w:rsid w:val="0079419D"/>
    <w:rsid w:val="007942D3"/>
    <w:rsid w:val="00794A36"/>
    <w:rsid w:val="00794EB4"/>
    <w:rsid w:val="00796100"/>
    <w:rsid w:val="00796577"/>
    <w:rsid w:val="00796B4F"/>
    <w:rsid w:val="00797487"/>
    <w:rsid w:val="00797AA5"/>
    <w:rsid w:val="00797F05"/>
    <w:rsid w:val="007A00EE"/>
    <w:rsid w:val="007A0A26"/>
    <w:rsid w:val="007A1440"/>
    <w:rsid w:val="007A15C8"/>
    <w:rsid w:val="007A195A"/>
    <w:rsid w:val="007A1D92"/>
    <w:rsid w:val="007A255E"/>
    <w:rsid w:val="007A262B"/>
    <w:rsid w:val="007A26ED"/>
    <w:rsid w:val="007A2DAB"/>
    <w:rsid w:val="007A311C"/>
    <w:rsid w:val="007A4B12"/>
    <w:rsid w:val="007A6397"/>
    <w:rsid w:val="007A7034"/>
    <w:rsid w:val="007A767B"/>
    <w:rsid w:val="007A7B4E"/>
    <w:rsid w:val="007A7F17"/>
    <w:rsid w:val="007A7F2E"/>
    <w:rsid w:val="007A7F67"/>
    <w:rsid w:val="007B13F7"/>
    <w:rsid w:val="007B17B8"/>
    <w:rsid w:val="007B1A8D"/>
    <w:rsid w:val="007B1B69"/>
    <w:rsid w:val="007B1E70"/>
    <w:rsid w:val="007B2059"/>
    <w:rsid w:val="007B2695"/>
    <w:rsid w:val="007B3134"/>
    <w:rsid w:val="007B3167"/>
    <w:rsid w:val="007B36E0"/>
    <w:rsid w:val="007B3E7A"/>
    <w:rsid w:val="007B5621"/>
    <w:rsid w:val="007B5743"/>
    <w:rsid w:val="007B5C27"/>
    <w:rsid w:val="007B60F6"/>
    <w:rsid w:val="007B6699"/>
    <w:rsid w:val="007B66B9"/>
    <w:rsid w:val="007B6C09"/>
    <w:rsid w:val="007B7B56"/>
    <w:rsid w:val="007B7FA9"/>
    <w:rsid w:val="007C054E"/>
    <w:rsid w:val="007C0966"/>
    <w:rsid w:val="007C0DD6"/>
    <w:rsid w:val="007C1319"/>
    <w:rsid w:val="007C1501"/>
    <w:rsid w:val="007C1E6A"/>
    <w:rsid w:val="007C2016"/>
    <w:rsid w:val="007C2691"/>
    <w:rsid w:val="007C4F64"/>
    <w:rsid w:val="007C524D"/>
    <w:rsid w:val="007C59E0"/>
    <w:rsid w:val="007C6452"/>
    <w:rsid w:val="007C6FBE"/>
    <w:rsid w:val="007C760A"/>
    <w:rsid w:val="007C76CE"/>
    <w:rsid w:val="007C7758"/>
    <w:rsid w:val="007D00D2"/>
    <w:rsid w:val="007D1282"/>
    <w:rsid w:val="007D18C5"/>
    <w:rsid w:val="007D1FC9"/>
    <w:rsid w:val="007D2BCB"/>
    <w:rsid w:val="007D35C5"/>
    <w:rsid w:val="007D43AB"/>
    <w:rsid w:val="007D4781"/>
    <w:rsid w:val="007D4E59"/>
    <w:rsid w:val="007D5E21"/>
    <w:rsid w:val="007D6D60"/>
    <w:rsid w:val="007D6F0B"/>
    <w:rsid w:val="007D6F67"/>
    <w:rsid w:val="007E0951"/>
    <w:rsid w:val="007E09DA"/>
    <w:rsid w:val="007E1033"/>
    <w:rsid w:val="007E1619"/>
    <w:rsid w:val="007E25BC"/>
    <w:rsid w:val="007E3210"/>
    <w:rsid w:val="007E3646"/>
    <w:rsid w:val="007E37E3"/>
    <w:rsid w:val="007E3A84"/>
    <w:rsid w:val="007E3C1A"/>
    <w:rsid w:val="007E3CFD"/>
    <w:rsid w:val="007E3D87"/>
    <w:rsid w:val="007E4F4C"/>
    <w:rsid w:val="007E541B"/>
    <w:rsid w:val="007E58BF"/>
    <w:rsid w:val="007E5CAB"/>
    <w:rsid w:val="007E6221"/>
    <w:rsid w:val="007E6A7E"/>
    <w:rsid w:val="007E6BDA"/>
    <w:rsid w:val="007E7899"/>
    <w:rsid w:val="007E7D44"/>
    <w:rsid w:val="007F0A07"/>
    <w:rsid w:val="007F0DAB"/>
    <w:rsid w:val="007F11AC"/>
    <w:rsid w:val="007F1B0D"/>
    <w:rsid w:val="007F1DEE"/>
    <w:rsid w:val="007F238A"/>
    <w:rsid w:val="007F28D8"/>
    <w:rsid w:val="007F31C3"/>
    <w:rsid w:val="007F3945"/>
    <w:rsid w:val="007F46E2"/>
    <w:rsid w:val="007F4C15"/>
    <w:rsid w:val="007F5768"/>
    <w:rsid w:val="007F67A9"/>
    <w:rsid w:val="007F758F"/>
    <w:rsid w:val="007F7869"/>
    <w:rsid w:val="008003B5"/>
    <w:rsid w:val="00800864"/>
    <w:rsid w:val="00800C85"/>
    <w:rsid w:val="0080120C"/>
    <w:rsid w:val="0080215B"/>
    <w:rsid w:val="00802488"/>
    <w:rsid w:val="00802D94"/>
    <w:rsid w:val="0080356B"/>
    <w:rsid w:val="00803755"/>
    <w:rsid w:val="008038BC"/>
    <w:rsid w:val="0080418C"/>
    <w:rsid w:val="008043ED"/>
    <w:rsid w:val="0080491B"/>
    <w:rsid w:val="008055B2"/>
    <w:rsid w:val="0080630F"/>
    <w:rsid w:val="0080635C"/>
    <w:rsid w:val="0080761D"/>
    <w:rsid w:val="00810FBC"/>
    <w:rsid w:val="008110A8"/>
    <w:rsid w:val="008115AC"/>
    <w:rsid w:val="00812A02"/>
    <w:rsid w:val="00812CD2"/>
    <w:rsid w:val="008132AE"/>
    <w:rsid w:val="00813F02"/>
    <w:rsid w:val="008157E2"/>
    <w:rsid w:val="00817420"/>
    <w:rsid w:val="00817644"/>
    <w:rsid w:val="008178B6"/>
    <w:rsid w:val="00817C63"/>
    <w:rsid w:val="008202C1"/>
    <w:rsid w:val="008208F6"/>
    <w:rsid w:val="0082136C"/>
    <w:rsid w:val="00821C11"/>
    <w:rsid w:val="00821D3B"/>
    <w:rsid w:val="00821F51"/>
    <w:rsid w:val="008239C3"/>
    <w:rsid w:val="00823AD8"/>
    <w:rsid w:val="0082484F"/>
    <w:rsid w:val="0082489B"/>
    <w:rsid w:val="00825B57"/>
    <w:rsid w:val="00825E63"/>
    <w:rsid w:val="00827231"/>
    <w:rsid w:val="008272C2"/>
    <w:rsid w:val="00827348"/>
    <w:rsid w:val="008276CE"/>
    <w:rsid w:val="00827806"/>
    <w:rsid w:val="00827A8E"/>
    <w:rsid w:val="00827E09"/>
    <w:rsid w:val="00830BD3"/>
    <w:rsid w:val="008314AC"/>
    <w:rsid w:val="008314FB"/>
    <w:rsid w:val="00831EF8"/>
    <w:rsid w:val="00832CFE"/>
    <w:rsid w:val="0083307C"/>
    <w:rsid w:val="008331D8"/>
    <w:rsid w:val="00833F98"/>
    <w:rsid w:val="00834ACD"/>
    <w:rsid w:val="00834B84"/>
    <w:rsid w:val="00835A92"/>
    <w:rsid w:val="00836473"/>
    <w:rsid w:val="00837245"/>
    <w:rsid w:val="00840B84"/>
    <w:rsid w:val="00840E1A"/>
    <w:rsid w:val="0084123C"/>
    <w:rsid w:val="008412B8"/>
    <w:rsid w:val="0084196A"/>
    <w:rsid w:val="00842E97"/>
    <w:rsid w:val="00843056"/>
    <w:rsid w:val="008435C1"/>
    <w:rsid w:val="008438C8"/>
    <w:rsid w:val="008440E7"/>
    <w:rsid w:val="00844D86"/>
    <w:rsid w:val="00844F7D"/>
    <w:rsid w:val="00845E0C"/>
    <w:rsid w:val="00845F62"/>
    <w:rsid w:val="00846754"/>
    <w:rsid w:val="00847562"/>
    <w:rsid w:val="0085135D"/>
    <w:rsid w:val="00851743"/>
    <w:rsid w:val="0085183E"/>
    <w:rsid w:val="00853132"/>
    <w:rsid w:val="008538DA"/>
    <w:rsid w:val="00854F11"/>
    <w:rsid w:val="008562DB"/>
    <w:rsid w:val="00856857"/>
    <w:rsid w:val="0085700B"/>
    <w:rsid w:val="008574B8"/>
    <w:rsid w:val="0086068F"/>
    <w:rsid w:val="00860985"/>
    <w:rsid w:val="00861CB6"/>
    <w:rsid w:val="00861CC8"/>
    <w:rsid w:val="00861E85"/>
    <w:rsid w:val="00862937"/>
    <w:rsid w:val="00863662"/>
    <w:rsid w:val="0086449B"/>
    <w:rsid w:val="00864CBD"/>
    <w:rsid w:val="00865172"/>
    <w:rsid w:val="008653BE"/>
    <w:rsid w:val="00865B74"/>
    <w:rsid w:val="00866177"/>
    <w:rsid w:val="0086678D"/>
    <w:rsid w:val="00866DF3"/>
    <w:rsid w:val="008700E2"/>
    <w:rsid w:val="008704F1"/>
    <w:rsid w:val="00870BAA"/>
    <w:rsid w:val="00870D8C"/>
    <w:rsid w:val="00873430"/>
    <w:rsid w:val="00874430"/>
    <w:rsid w:val="00874B20"/>
    <w:rsid w:val="00874DB0"/>
    <w:rsid w:val="008753DE"/>
    <w:rsid w:val="0087659D"/>
    <w:rsid w:val="0087730F"/>
    <w:rsid w:val="00877960"/>
    <w:rsid w:val="00877E7F"/>
    <w:rsid w:val="00880174"/>
    <w:rsid w:val="0088052C"/>
    <w:rsid w:val="0088088D"/>
    <w:rsid w:val="00880D14"/>
    <w:rsid w:val="00881368"/>
    <w:rsid w:val="0088185D"/>
    <w:rsid w:val="008826D2"/>
    <w:rsid w:val="00882777"/>
    <w:rsid w:val="008827BA"/>
    <w:rsid w:val="00882902"/>
    <w:rsid w:val="00882A65"/>
    <w:rsid w:val="00883B80"/>
    <w:rsid w:val="00883EB5"/>
    <w:rsid w:val="00884E5D"/>
    <w:rsid w:val="008851AD"/>
    <w:rsid w:val="00885BC3"/>
    <w:rsid w:val="0088610D"/>
    <w:rsid w:val="008866B6"/>
    <w:rsid w:val="0088688D"/>
    <w:rsid w:val="00886E83"/>
    <w:rsid w:val="00887A32"/>
    <w:rsid w:val="0089183B"/>
    <w:rsid w:val="008921F5"/>
    <w:rsid w:val="0089262C"/>
    <w:rsid w:val="00893021"/>
    <w:rsid w:val="008930CF"/>
    <w:rsid w:val="008932C0"/>
    <w:rsid w:val="0089386D"/>
    <w:rsid w:val="0089396A"/>
    <w:rsid w:val="00895267"/>
    <w:rsid w:val="008956F9"/>
    <w:rsid w:val="008965C7"/>
    <w:rsid w:val="00897325"/>
    <w:rsid w:val="0089798B"/>
    <w:rsid w:val="008A15D5"/>
    <w:rsid w:val="008A1E6E"/>
    <w:rsid w:val="008A1F0C"/>
    <w:rsid w:val="008A2336"/>
    <w:rsid w:val="008A3299"/>
    <w:rsid w:val="008A350A"/>
    <w:rsid w:val="008A46E4"/>
    <w:rsid w:val="008A51E1"/>
    <w:rsid w:val="008A6012"/>
    <w:rsid w:val="008A6BD1"/>
    <w:rsid w:val="008A6E38"/>
    <w:rsid w:val="008A6E5A"/>
    <w:rsid w:val="008A6EEC"/>
    <w:rsid w:val="008A7080"/>
    <w:rsid w:val="008B1128"/>
    <w:rsid w:val="008B1A1D"/>
    <w:rsid w:val="008B1A4F"/>
    <w:rsid w:val="008B2894"/>
    <w:rsid w:val="008B3654"/>
    <w:rsid w:val="008B377C"/>
    <w:rsid w:val="008B4789"/>
    <w:rsid w:val="008B56E4"/>
    <w:rsid w:val="008B5806"/>
    <w:rsid w:val="008B6C64"/>
    <w:rsid w:val="008B769C"/>
    <w:rsid w:val="008B7BF3"/>
    <w:rsid w:val="008B7C21"/>
    <w:rsid w:val="008B7D31"/>
    <w:rsid w:val="008C005D"/>
    <w:rsid w:val="008C1E17"/>
    <w:rsid w:val="008C3942"/>
    <w:rsid w:val="008C450E"/>
    <w:rsid w:val="008C451E"/>
    <w:rsid w:val="008C6C05"/>
    <w:rsid w:val="008C6C49"/>
    <w:rsid w:val="008C715B"/>
    <w:rsid w:val="008C7FF5"/>
    <w:rsid w:val="008D0313"/>
    <w:rsid w:val="008D0688"/>
    <w:rsid w:val="008D1563"/>
    <w:rsid w:val="008D276D"/>
    <w:rsid w:val="008D28EC"/>
    <w:rsid w:val="008D3355"/>
    <w:rsid w:val="008D419B"/>
    <w:rsid w:val="008D5247"/>
    <w:rsid w:val="008D544C"/>
    <w:rsid w:val="008D5561"/>
    <w:rsid w:val="008D57C2"/>
    <w:rsid w:val="008D6414"/>
    <w:rsid w:val="008D6814"/>
    <w:rsid w:val="008D6D16"/>
    <w:rsid w:val="008D7138"/>
    <w:rsid w:val="008D78CE"/>
    <w:rsid w:val="008D7C62"/>
    <w:rsid w:val="008E0C99"/>
    <w:rsid w:val="008E1EF4"/>
    <w:rsid w:val="008E2041"/>
    <w:rsid w:val="008E2BF0"/>
    <w:rsid w:val="008E2D2E"/>
    <w:rsid w:val="008E45A4"/>
    <w:rsid w:val="008E47C4"/>
    <w:rsid w:val="008E49FC"/>
    <w:rsid w:val="008E5072"/>
    <w:rsid w:val="008E69F7"/>
    <w:rsid w:val="008E6B95"/>
    <w:rsid w:val="008E70D8"/>
    <w:rsid w:val="008E7327"/>
    <w:rsid w:val="008E740A"/>
    <w:rsid w:val="008F066C"/>
    <w:rsid w:val="008F0D1D"/>
    <w:rsid w:val="008F112F"/>
    <w:rsid w:val="008F3372"/>
    <w:rsid w:val="008F33E9"/>
    <w:rsid w:val="008F4690"/>
    <w:rsid w:val="008F4A24"/>
    <w:rsid w:val="008F57C4"/>
    <w:rsid w:val="008F5B8B"/>
    <w:rsid w:val="008F603D"/>
    <w:rsid w:val="008F63E8"/>
    <w:rsid w:val="008F6E1C"/>
    <w:rsid w:val="00900432"/>
    <w:rsid w:val="00900AC3"/>
    <w:rsid w:val="00900BF5"/>
    <w:rsid w:val="00900CA1"/>
    <w:rsid w:val="00900D3B"/>
    <w:rsid w:val="00901933"/>
    <w:rsid w:val="009025E5"/>
    <w:rsid w:val="009033BD"/>
    <w:rsid w:val="00903D63"/>
    <w:rsid w:val="00903F6B"/>
    <w:rsid w:val="0090446F"/>
    <w:rsid w:val="009048A8"/>
    <w:rsid w:val="00905218"/>
    <w:rsid w:val="009054CF"/>
    <w:rsid w:val="009058B6"/>
    <w:rsid w:val="00905BF9"/>
    <w:rsid w:val="00905C3B"/>
    <w:rsid w:val="009067E2"/>
    <w:rsid w:val="009103BA"/>
    <w:rsid w:val="00910992"/>
    <w:rsid w:val="0091158F"/>
    <w:rsid w:val="00911BFF"/>
    <w:rsid w:val="00912620"/>
    <w:rsid w:val="009126F3"/>
    <w:rsid w:val="00913FDF"/>
    <w:rsid w:val="009141D4"/>
    <w:rsid w:val="0091433E"/>
    <w:rsid w:val="009144C8"/>
    <w:rsid w:val="00914A95"/>
    <w:rsid w:val="00914C52"/>
    <w:rsid w:val="00914FB7"/>
    <w:rsid w:val="00915A00"/>
    <w:rsid w:val="00915BEB"/>
    <w:rsid w:val="009161B3"/>
    <w:rsid w:val="00916AE1"/>
    <w:rsid w:val="009178ED"/>
    <w:rsid w:val="00920418"/>
    <w:rsid w:val="0092109A"/>
    <w:rsid w:val="009215F8"/>
    <w:rsid w:val="00921F9D"/>
    <w:rsid w:val="0092225A"/>
    <w:rsid w:val="009234A9"/>
    <w:rsid w:val="0092357E"/>
    <w:rsid w:val="0092424F"/>
    <w:rsid w:val="00924579"/>
    <w:rsid w:val="009247DC"/>
    <w:rsid w:val="009254EE"/>
    <w:rsid w:val="00925757"/>
    <w:rsid w:val="00926285"/>
    <w:rsid w:val="009265A6"/>
    <w:rsid w:val="00927FF7"/>
    <w:rsid w:val="00930BA1"/>
    <w:rsid w:val="00930D9A"/>
    <w:rsid w:val="00930EAB"/>
    <w:rsid w:val="0093169E"/>
    <w:rsid w:val="0093178D"/>
    <w:rsid w:val="00931D49"/>
    <w:rsid w:val="00932263"/>
    <w:rsid w:val="00932946"/>
    <w:rsid w:val="00932B39"/>
    <w:rsid w:val="00932BA7"/>
    <w:rsid w:val="009331E9"/>
    <w:rsid w:val="0093393E"/>
    <w:rsid w:val="00934698"/>
    <w:rsid w:val="0093553A"/>
    <w:rsid w:val="00936C0C"/>
    <w:rsid w:val="00937346"/>
    <w:rsid w:val="0093744A"/>
    <w:rsid w:val="00937E18"/>
    <w:rsid w:val="00937EA1"/>
    <w:rsid w:val="0094074F"/>
    <w:rsid w:val="00940EA3"/>
    <w:rsid w:val="00940ECE"/>
    <w:rsid w:val="0094197B"/>
    <w:rsid w:val="009420D5"/>
    <w:rsid w:val="009420EB"/>
    <w:rsid w:val="009422F9"/>
    <w:rsid w:val="009425CE"/>
    <w:rsid w:val="00943343"/>
    <w:rsid w:val="00943701"/>
    <w:rsid w:val="009442F1"/>
    <w:rsid w:val="00944838"/>
    <w:rsid w:val="009448A3"/>
    <w:rsid w:val="00944DA9"/>
    <w:rsid w:val="00945F6A"/>
    <w:rsid w:val="009505C9"/>
    <w:rsid w:val="00950683"/>
    <w:rsid w:val="00950711"/>
    <w:rsid w:val="00950D9B"/>
    <w:rsid w:val="00951AFA"/>
    <w:rsid w:val="0095204A"/>
    <w:rsid w:val="009524BC"/>
    <w:rsid w:val="00952C7D"/>
    <w:rsid w:val="00952D5F"/>
    <w:rsid w:val="00954373"/>
    <w:rsid w:val="0095476D"/>
    <w:rsid w:val="0095487E"/>
    <w:rsid w:val="00954EAF"/>
    <w:rsid w:val="009557ED"/>
    <w:rsid w:val="00955F2C"/>
    <w:rsid w:val="00956A5C"/>
    <w:rsid w:val="0095771F"/>
    <w:rsid w:val="0096044B"/>
    <w:rsid w:val="00960643"/>
    <w:rsid w:val="00960B56"/>
    <w:rsid w:val="00960D2C"/>
    <w:rsid w:val="00960FF4"/>
    <w:rsid w:val="0096163A"/>
    <w:rsid w:val="0096383E"/>
    <w:rsid w:val="0096447D"/>
    <w:rsid w:val="00964855"/>
    <w:rsid w:val="00964A8F"/>
    <w:rsid w:val="00964CF5"/>
    <w:rsid w:val="009650D5"/>
    <w:rsid w:val="009656FA"/>
    <w:rsid w:val="0096638D"/>
    <w:rsid w:val="00966E0A"/>
    <w:rsid w:val="00966EF8"/>
    <w:rsid w:val="0096765B"/>
    <w:rsid w:val="0096769A"/>
    <w:rsid w:val="009712AB"/>
    <w:rsid w:val="00971B1D"/>
    <w:rsid w:val="00971DA8"/>
    <w:rsid w:val="009735A3"/>
    <w:rsid w:val="00973EAF"/>
    <w:rsid w:val="00974322"/>
    <w:rsid w:val="00974944"/>
    <w:rsid w:val="00974D36"/>
    <w:rsid w:val="009757BA"/>
    <w:rsid w:val="00975E52"/>
    <w:rsid w:val="00975F58"/>
    <w:rsid w:val="00975FEC"/>
    <w:rsid w:val="00976B58"/>
    <w:rsid w:val="00977A4D"/>
    <w:rsid w:val="00977E19"/>
    <w:rsid w:val="00977F0A"/>
    <w:rsid w:val="00980639"/>
    <w:rsid w:val="009813AE"/>
    <w:rsid w:val="00982404"/>
    <w:rsid w:val="00982B78"/>
    <w:rsid w:val="009843DE"/>
    <w:rsid w:val="00984BA4"/>
    <w:rsid w:val="0098560E"/>
    <w:rsid w:val="0098571D"/>
    <w:rsid w:val="00986B9B"/>
    <w:rsid w:val="00986F65"/>
    <w:rsid w:val="00987AAB"/>
    <w:rsid w:val="00987C81"/>
    <w:rsid w:val="009904F9"/>
    <w:rsid w:val="00990650"/>
    <w:rsid w:val="00991895"/>
    <w:rsid w:val="0099395A"/>
    <w:rsid w:val="00993F3C"/>
    <w:rsid w:val="00994106"/>
    <w:rsid w:val="0099593C"/>
    <w:rsid w:val="00995A27"/>
    <w:rsid w:val="009968F3"/>
    <w:rsid w:val="00997250"/>
    <w:rsid w:val="0099728B"/>
    <w:rsid w:val="00997442"/>
    <w:rsid w:val="00997611"/>
    <w:rsid w:val="00997B69"/>
    <w:rsid w:val="00997E0A"/>
    <w:rsid w:val="009A09DD"/>
    <w:rsid w:val="009A1115"/>
    <w:rsid w:val="009A15B7"/>
    <w:rsid w:val="009A19DD"/>
    <w:rsid w:val="009A1A8F"/>
    <w:rsid w:val="009A224E"/>
    <w:rsid w:val="009A2A94"/>
    <w:rsid w:val="009A303F"/>
    <w:rsid w:val="009A31A7"/>
    <w:rsid w:val="009A3BA2"/>
    <w:rsid w:val="009A3FDC"/>
    <w:rsid w:val="009A4126"/>
    <w:rsid w:val="009A41D8"/>
    <w:rsid w:val="009A4E08"/>
    <w:rsid w:val="009A4E27"/>
    <w:rsid w:val="009A571D"/>
    <w:rsid w:val="009A6964"/>
    <w:rsid w:val="009A6C9D"/>
    <w:rsid w:val="009A7986"/>
    <w:rsid w:val="009B085E"/>
    <w:rsid w:val="009B221D"/>
    <w:rsid w:val="009B3C3E"/>
    <w:rsid w:val="009B44A4"/>
    <w:rsid w:val="009B5B39"/>
    <w:rsid w:val="009B7751"/>
    <w:rsid w:val="009C0B90"/>
    <w:rsid w:val="009C1568"/>
    <w:rsid w:val="009C16CE"/>
    <w:rsid w:val="009C171A"/>
    <w:rsid w:val="009C1F34"/>
    <w:rsid w:val="009C1FA1"/>
    <w:rsid w:val="009C519C"/>
    <w:rsid w:val="009C68F4"/>
    <w:rsid w:val="009C73F7"/>
    <w:rsid w:val="009C75C0"/>
    <w:rsid w:val="009C796D"/>
    <w:rsid w:val="009C7EE7"/>
    <w:rsid w:val="009D0252"/>
    <w:rsid w:val="009D04A3"/>
    <w:rsid w:val="009D0661"/>
    <w:rsid w:val="009D0959"/>
    <w:rsid w:val="009D0D15"/>
    <w:rsid w:val="009D1163"/>
    <w:rsid w:val="009D118A"/>
    <w:rsid w:val="009D22C7"/>
    <w:rsid w:val="009D3591"/>
    <w:rsid w:val="009D3596"/>
    <w:rsid w:val="009D4366"/>
    <w:rsid w:val="009D49B2"/>
    <w:rsid w:val="009D4B81"/>
    <w:rsid w:val="009D5080"/>
    <w:rsid w:val="009D509A"/>
    <w:rsid w:val="009D5136"/>
    <w:rsid w:val="009D6238"/>
    <w:rsid w:val="009D6AD4"/>
    <w:rsid w:val="009D6E33"/>
    <w:rsid w:val="009D6F6C"/>
    <w:rsid w:val="009D7026"/>
    <w:rsid w:val="009D7530"/>
    <w:rsid w:val="009E0C2A"/>
    <w:rsid w:val="009E0D67"/>
    <w:rsid w:val="009E0E33"/>
    <w:rsid w:val="009E102D"/>
    <w:rsid w:val="009E1E9A"/>
    <w:rsid w:val="009E2131"/>
    <w:rsid w:val="009E2264"/>
    <w:rsid w:val="009E2E28"/>
    <w:rsid w:val="009E30CB"/>
    <w:rsid w:val="009E43B4"/>
    <w:rsid w:val="009E52FC"/>
    <w:rsid w:val="009E53CB"/>
    <w:rsid w:val="009E72D5"/>
    <w:rsid w:val="009E7593"/>
    <w:rsid w:val="009E7895"/>
    <w:rsid w:val="009E7DB5"/>
    <w:rsid w:val="009F0179"/>
    <w:rsid w:val="009F08BB"/>
    <w:rsid w:val="009F0C16"/>
    <w:rsid w:val="009F1AD4"/>
    <w:rsid w:val="009F1D87"/>
    <w:rsid w:val="009F26B2"/>
    <w:rsid w:val="009F2A24"/>
    <w:rsid w:val="009F34BA"/>
    <w:rsid w:val="009F372E"/>
    <w:rsid w:val="009F3A3F"/>
    <w:rsid w:val="009F3AF2"/>
    <w:rsid w:val="009F5178"/>
    <w:rsid w:val="009F5E96"/>
    <w:rsid w:val="009F6327"/>
    <w:rsid w:val="009F70DA"/>
    <w:rsid w:val="00A007C6"/>
    <w:rsid w:val="00A00A29"/>
    <w:rsid w:val="00A0114A"/>
    <w:rsid w:val="00A02836"/>
    <w:rsid w:val="00A036EE"/>
    <w:rsid w:val="00A037BC"/>
    <w:rsid w:val="00A04B46"/>
    <w:rsid w:val="00A0676B"/>
    <w:rsid w:val="00A068B6"/>
    <w:rsid w:val="00A06C8B"/>
    <w:rsid w:val="00A07225"/>
    <w:rsid w:val="00A072E4"/>
    <w:rsid w:val="00A102DA"/>
    <w:rsid w:val="00A103E9"/>
    <w:rsid w:val="00A110D6"/>
    <w:rsid w:val="00A11DB6"/>
    <w:rsid w:val="00A11E79"/>
    <w:rsid w:val="00A12B71"/>
    <w:rsid w:val="00A13354"/>
    <w:rsid w:val="00A13385"/>
    <w:rsid w:val="00A13FAB"/>
    <w:rsid w:val="00A154B3"/>
    <w:rsid w:val="00A154FE"/>
    <w:rsid w:val="00A15A2D"/>
    <w:rsid w:val="00A15DD2"/>
    <w:rsid w:val="00A162D7"/>
    <w:rsid w:val="00A179F2"/>
    <w:rsid w:val="00A17C61"/>
    <w:rsid w:val="00A20945"/>
    <w:rsid w:val="00A20BDA"/>
    <w:rsid w:val="00A212E2"/>
    <w:rsid w:val="00A22280"/>
    <w:rsid w:val="00A22545"/>
    <w:rsid w:val="00A22577"/>
    <w:rsid w:val="00A22787"/>
    <w:rsid w:val="00A23AA8"/>
    <w:rsid w:val="00A23C82"/>
    <w:rsid w:val="00A24516"/>
    <w:rsid w:val="00A24843"/>
    <w:rsid w:val="00A24960"/>
    <w:rsid w:val="00A25045"/>
    <w:rsid w:val="00A253FA"/>
    <w:rsid w:val="00A25494"/>
    <w:rsid w:val="00A254FE"/>
    <w:rsid w:val="00A25BFD"/>
    <w:rsid w:val="00A26004"/>
    <w:rsid w:val="00A2673D"/>
    <w:rsid w:val="00A268F3"/>
    <w:rsid w:val="00A277DF"/>
    <w:rsid w:val="00A2796B"/>
    <w:rsid w:val="00A300EA"/>
    <w:rsid w:val="00A3086F"/>
    <w:rsid w:val="00A30964"/>
    <w:rsid w:val="00A3101F"/>
    <w:rsid w:val="00A31499"/>
    <w:rsid w:val="00A31CE9"/>
    <w:rsid w:val="00A3213E"/>
    <w:rsid w:val="00A32140"/>
    <w:rsid w:val="00A324EC"/>
    <w:rsid w:val="00A332CB"/>
    <w:rsid w:val="00A33A36"/>
    <w:rsid w:val="00A34197"/>
    <w:rsid w:val="00A3437B"/>
    <w:rsid w:val="00A3470F"/>
    <w:rsid w:val="00A34E9B"/>
    <w:rsid w:val="00A352E3"/>
    <w:rsid w:val="00A35C7A"/>
    <w:rsid w:val="00A35CF3"/>
    <w:rsid w:val="00A368E0"/>
    <w:rsid w:val="00A36EA4"/>
    <w:rsid w:val="00A36FB1"/>
    <w:rsid w:val="00A37C76"/>
    <w:rsid w:val="00A415DE"/>
    <w:rsid w:val="00A423BA"/>
    <w:rsid w:val="00A4257D"/>
    <w:rsid w:val="00A42891"/>
    <w:rsid w:val="00A42ED8"/>
    <w:rsid w:val="00A43465"/>
    <w:rsid w:val="00A43791"/>
    <w:rsid w:val="00A43F75"/>
    <w:rsid w:val="00A44A33"/>
    <w:rsid w:val="00A45D49"/>
    <w:rsid w:val="00A47407"/>
    <w:rsid w:val="00A47AD2"/>
    <w:rsid w:val="00A5046C"/>
    <w:rsid w:val="00A507AC"/>
    <w:rsid w:val="00A51219"/>
    <w:rsid w:val="00A533B9"/>
    <w:rsid w:val="00A53EE2"/>
    <w:rsid w:val="00A543C5"/>
    <w:rsid w:val="00A5448F"/>
    <w:rsid w:val="00A54E22"/>
    <w:rsid w:val="00A55649"/>
    <w:rsid w:val="00A55F72"/>
    <w:rsid w:val="00A560B5"/>
    <w:rsid w:val="00A5615D"/>
    <w:rsid w:val="00A56A20"/>
    <w:rsid w:val="00A56BD6"/>
    <w:rsid w:val="00A56C25"/>
    <w:rsid w:val="00A574DE"/>
    <w:rsid w:val="00A57FBD"/>
    <w:rsid w:val="00A60373"/>
    <w:rsid w:val="00A60B37"/>
    <w:rsid w:val="00A60C16"/>
    <w:rsid w:val="00A628CA"/>
    <w:rsid w:val="00A63E0F"/>
    <w:rsid w:val="00A63FF6"/>
    <w:rsid w:val="00A645C8"/>
    <w:rsid w:val="00A65127"/>
    <w:rsid w:val="00A65179"/>
    <w:rsid w:val="00A6585D"/>
    <w:rsid w:val="00A6626D"/>
    <w:rsid w:val="00A66461"/>
    <w:rsid w:val="00A677D8"/>
    <w:rsid w:val="00A67E62"/>
    <w:rsid w:val="00A7019E"/>
    <w:rsid w:val="00A7079F"/>
    <w:rsid w:val="00A717EB"/>
    <w:rsid w:val="00A71B97"/>
    <w:rsid w:val="00A71D4A"/>
    <w:rsid w:val="00A731E4"/>
    <w:rsid w:val="00A7385A"/>
    <w:rsid w:val="00A73A28"/>
    <w:rsid w:val="00A74153"/>
    <w:rsid w:val="00A7418D"/>
    <w:rsid w:val="00A7435B"/>
    <w:rsid w:val="00A7452A"/>
    <w:rsid w:val="00A76617"/>
    <w:rsid w:val="00A76B47"/>
    <w:rsid w:val="00A76F02"/>
    <w:rsid w:val="00A80114"/>
    <w:rsid w:val="00A80780"/>
    <w:rsid w:val="00A81A80"/>
    <w:rsid w:val="00A81ADA"/>
    <w:rsid w:val="00A822D4"/>
    <w:rsid w:val="00A82793"/>
    <w:rsid w:val="00A8341E"/>
    <w:rsid w:val="00A83567"/>
    <w:rsid w:val="00A83B8E"/>
    <w:rsid w:val="00A846E1"/>
    <w:rsid w:val="00A85FA8"/>
    <w:rsid w:val="00A8608A"/>
    <w:rsid w:val="00A87654"/>
    <w:rsid w:val="00A906FD"/>
    <w:rsid w:val="00A91226"/>
    <w:rsid w:val="00A9293C"/>
    <w:rsid w:val="00A947DA"/>
    <w:rsid w:val="00A94AED"/>
    <w:rsid w:val="00A94B7A"/>
    <w:rsid w:val="00A94D5D"/>
    <w:rsid w:val="00A9558B"/>
    <w:rsid w:val="00A95DFD"/>
    <w:rsid w:val="00A96360"/>
    <w:rsid w:val="00A9637E"/>
    <w:rsid w:val="00A976E4"/>
    <w:rsid w:val="00A97FE6"/>
    <w:rsid w:val="00AA0C99"/>
    <w:rsid w:val="00AA1580"/>
    <w:rsid w:val="00AA18C0"/>
    <w:rsid w:val="00AA2250"/>
    <w:rsid w:val="00AA2636"/>
    <w:rsid w:val="00AA2B6D"/>
    <w:rsid w:val="00AA39AA"/>
    <w:rsid w:val="00AA3E8F"/>
    <w:rsid w:val="00AA4996"/>
    <w:rsid w:val="00AA4CBE"/>
    <w:rsid w:val="00AA4DE7"/>
    <w:rsid w:val="00AA5988"/>
    <w:rsid w:val="00AA598B"/>
    <w:rsid w:val="00AA5D70"/>
    <w:rsid w:val="00AA5ECC"/>
    <w:rsid w:val="00AA5EFE"/>
    <w:rsid w:val="00AA6E02"/>
    <w:rsid w:val="00AA74D7"/>
    <w:rsid w:val="00AB0276"/>
    <w:rsid w:val="00AB074A"/>
    <w:rsid w:val="00AB085D"/>
    <w:rsid w:val="00AB12C7"/>
    <w:rsid w:val="00AB15B5"/>
    <w:rsid w:val="00AB25E8"/>
    <w:rsid w:val="00AB2681"/>
    <w:rsid w:val="00AB3296"/>
    <w:rsid w:val="00AB3386"/>
    <w:rsid w:val="00AB34D5"/>
    <w:rsid w:val="00AB3711"/>
    <w:rsid w:val="00AB3769"/>
    <w:rsid w:val="00AB47EA"/>
    <w:rsid w:val="00AB4938"/>
    <w:rsid w:val="00AB494C"/>
    <w:rsid w:val="00AB529D"/>
    <w:rsid w:val="00AB53AF"/>
    <w:rsid w:val="00AB5551"/>
    <w:rsid w:val="00AB5C40"/>
    <w:rsid w:val="00AB6343"/>
    <w:rsid w:val="00AB6D82"/>
    <w:rsid w:val="00AB6E43"/>
    <w:rsid w:val="00AC04CD"/>
    <w:rsid w:val="00AC0656"/>
    <w:rsid w:val="00AC09CC"/>
    <w:rsid w:val="00AC0C11"/>
    <w:rsid w:val="00AC1316"/>
    <w:rsid w:val="00AC1929"/>
    <w:rsid w:val="00AC2160"/>
    <w:rsid w:val="00AC2710"/>
    <w:rsid w:val="00AC2DF6"/>
    <w:rsid w:val="00AC3904"/>
    <w:rsid w:val="00AC401C"/>
    <w:rsid w:val="00AC44F4"/>
    <w:rsid w:val="00AC4770"/>
    <w:rsid w:val="00AC5DB3"/>
    <w:rsid w:val="00AC6146"/>
    <w:rsid w:val="00AD0C12"/>
    <w:rsid w:val="00AD1622"/>
    <w:rsid w:val="00AD1646"/>
    <w:rsid w:val="00AD1D3D"/>
    <w:rsid w:val="00AD1D59"/>
    <w:rsid w:val="00AD1EC7"/>
    <w:rsid w:val="00AD2B7E"/>
    <w:rsid w:val="00AD2D46"/>
    <w:rsid w:val="00AD42EB"/>
    <w:rsid w:val="00AD46CE"/>
    <w:rsid w:val="00AD4DC8"/>
    <w:rsid w:val="00AD5B39"/>
    <w:rsid w:val="00AE06D4"/>
    <w:rsid w:val="00AE0B22"/>
    <w:rsid w:val="00AE205B"/>
    <w:rsid w:val="00AE29E4"/>
    <w:rsid w:val="00AE2C44"/>
    <w:rsid w:val="00AE45F5"/>
    <w:rsid w:val="00AE49D1"/>
    <w:rsid w:val="00AE4E61"/>
    <w:rsid w:val="00AE5359"/>
    <w:rsid w:val="00AE539F"/>
    <w:rsid w:val="00AE5580"/>
    <w:rsid w:val="00AE668F"/>
    <w:rsid w:val="00AE66B5"/>
    <w:rsid w:val="00AE7A8C"/>
    <w:rsid w:val="00AE7AF8"/>
    <w:rsid w:val="00AF0CDA"/>
    <w:rsid w:val="00AF12EF"/>
    <w:rsid w:val="00AF1C3A"/>
    <w:rsid w:val="00AF2AE6"/>
    <w:rsid w:val="00AF3211"/>
    <w:rsid w:val="00AF34D2"/>
    <w:rsid w:val="00AF3E1F"/>
    <w:rsid w:val="00AF524A"/>
    <w:rsid w:val="00AF611C"/>
    <w:rsid w:val="00AF6640"/>
    <w:rsid w:val="00AF6CF3"/>
    <w:rsid w:val="00AF6CFB"/>
    <w:rsid w:val="00AF7EEF"/>
    <w:rsid w:val="00B000E6"/>
    <w:rsid w:val="00B001C6"/>
    <w:rsid w:val="00B006CC"/>
    <w:rsid w:val="00B01EDA"/>
    <w:rsid w:val="00B0283E"/>
    <w:rsid w:val="00B03FC6"/>
    <w:rsid w:val="00B04293"/>
    <w:rsid w:val="00B05123"/>
    <w:rsid w:val="00B0520C"/>
    <w:rsid w:val="00B0574D"/>
    <w:rsid w:val="00B057BD"/>
    <w:rsid w:val="00B05BA0"/>
    <w:rsid w:val="00B06CE0"/>
    <w:rsid w:val="00B06FE9"/>
    <w:rsid w:val="00B073CA"/>
    <w:rsid w:val="00B1149F"/>
    <w:rsid w:val="00B11917"/>
    <w:rsid w:val="00B1286D"/>
    <w:rsid w:val="00B1347B"/>
    <w:rsid w:val="00B13BCC"/>
    <w:rsid w:val="00B13D66"/>
    <w:rsid w:val="00B15DC4"/>
    <w:rsid w:val="00B21780"/>
    <w:rsid w:val="00B21A36"/>
    <w:rsid w:val="00B220C5"/>
    <w:rsid w:val="00B2222C"/>
    <w:rsid w:val="00B22509"/>
    <w:rsid w:val="00B23D94"/>
    <w:rsid w:val="00B240FE"/>
    <w:rsid w:val="00B24128"/>
    <w:rsid w:val="00B24407"/>
    <w:rsid w:val="00B26EC9"/>
    <w:rsid w:val="00B27145"/>
    <w:rsid w:val="00B276E1"/>
    <w:rsid w:val="00B30DB9"/>
    <w:rsid w:val="00B32D0B"/>
    <w:rsid w:val="00B3369F"/>
    <w:rsid w:val="00B3430B"/>
    <w:rsid w:val="00B349DD"/>
    <w:rsid w:val="00B352F6"/>
    <w:rsid w:val="00B35CE9"/>
    <w:rsid w:val="00B3683D"/>
    <w:rsid w:val="00B36F4D"/>
    <w:rsid w:val="00B376F6"/>
    <w:rsid w:val="00B37B42"/>
    <w:rsid w:val="00B37E55"/>
    <w:rsid w:val="00B37F2A"/>
    <w:rsid w:val="00B40990"/>
    <w:rsid w:val="00B41355"/>
    <w:rsid w:val="00B41877"/>
    <w:rsid w:val="00B422C0"/>
    <w:rsid w:val="00B422F5"/>
    <w:rsid w:val="00B429C1"/>
    <w:rsid w:val="00B42A88"/>
    <w:rsid w:val="00B4300B"/>
    <w:rsid w:val="00B431A2"/>
    <w:rsid w:val="00B436D1"/>
    <w:rsid w:val="00B44BA9"/>
    <w:rsid w:val="00B44E2E"/>
    <w:rsid w:val="00B460F1"/>
    <w:rsid w:val="00B461B9"/>
    <w:rsid w:val="00B463A2"/>
    <w:rsid w:val="00B46406"/>
    <w:rsid w:val="00B46CF2"/>
    <w:rsid w:val="00B46DE1"/>
    <w:rsid w:val="00B47FAD"/>
    <w:rsid w:val="00B506CA"/>
    <w:rsid w:val="00B51F18"/>
    <w:rsid w:val="00B521A7"/>
    <w:rsid w:val="00B52352"/>
    <w:rsid w:val="00B52D51"/>
    <w:rsid w:val="00B52FBE"/>
    <w:rsid w:val="00B549BB"/>
    <w:rsid w:val="00B550BF"/>
    <w:rsid w:val="00B55ACF"/>
    <w:rsid w:val="00B56692"/>
    <w:rsid w:val="00B56861"/>
    <w:rsid w:val="00B57931"/>
    <w:rsid w:val="00B57A25"/>
    <w:rsid w:val="00B60235"/>
    <w:rsid w:val="00B608DB"/>
    <w:rsid w:val="00B60F02"/>
    <w:rsid w:val="00B617ED"/>
    <w:rsid w:val="00B61C30"/>
    <w:rsid w:val="00B62198"/>
    <w:rsid w:val="00B63261"/>
    <w:rsid w:val="00B6333C"/>
    <w:rsid w:val="00B633FE"/>
    <w:rsid w:val="00B63479"/>
    <w:rsid w:val="00B63CC7"/>
    <w:rsid w:val="00B64DAD"/>
    <w:rsid w:val="00B66654"/>
    <w:rsid w:val="00B66F77"/>
    <w:rsid w:val="00B709CD"/>
    <w:rsid w:val="00B709D7"/>
    <w:rsid w:val="00B70AE7"/>
    <w:rsid w:val="00B70CD9"/>
    <w:rsid w:val="00B70EC0"/>
    <w:rsid w:val="00B721FB"/>
    <w:rsid w:val="00B724C4"/>
    <w:rsid w:val="00B724E7"/>
    <w:rsid w:val="00B726B3"/>
    <w:rsid w:val="00B72D17"/>
    <w:rsid w:val="00B72E2A"/>
    <w:rsid w:val="00B7317B"/>
    <w:rsid w:val="00B735EF"/>
    <w:rsid w:val="00B736EB"/>
    <w:rsid w:val="00B74120"/>
    <w:rsid w:val="00B75183"/>
    <w:rsid w:val="00B75697"/>
    <w:rsid w:val="00B757C9"/>
    <w:rsid w:val="00B75CD0"/>
    <w:rsid w:val="00B75CDE"/>
    <w:rsid w:val="00B75DE8"/>
    <w:rsid w:val="00B75EB4"/>
    <w:rsid w:val="00B7631A"/>
    <w:rsid w:val="00B76751"/>
    <w:rsid w:val="00B77710"/>
    <w:rsid w:val="00B77AAE"/>
    <w:rsid w:val="00B77CA7"/>
    <w:rsid w:val="00B77D62"/>
    <w:rsid w:val="00B802B6"/>
    <w:rsid w:val="00B80BD3"/>
    <w:rsid w:val="00B81CB7"/>
    <w:rsid w:val="00B81D6C"/>
    <w:rsid w:val="00B82054"/>
    <w:rsid w:val="00B8348E"/>
    <w:rsid w:val="00B83AA2"/>
    <w:rsid w:val="00B83DE6"/>
    <w:rsid w:val="00B84693"/>
    <w:rsid w:val="00B8505C"/>
    <w:rsid w:val="00B852E4"/>
    <w:rsid w:val="00B8566A"/>
    <w:rsid w:val="00B868B6"/>
    <w:rsid w:val="00B86D46"/>
    <w:rsid w:val="00B87A38"/>
    <w:rsid w:val="00B87C22"/>
    <w:rsid w:val="00B87D89"/>
    <w:rsid w:val="00B87DEF"/>
    <w:rsid w:val="00B90C27"/>
    <w:rsid w:val="00B91A58"/>
    <w:rsid w:val="00B92090"/>
    <w:rsid w:val="00B92640"/>
    <w:rsid w:val="00B9399F"/>
    <w:rsid w:val="00B93AF8"/>
    <w:rsid w:val="00B93D50"/>
    <w:rsid w:val="00B93E58"/>
    <w:rsid w:val="00B955D0"/>
    <w:rsid w:val="00B9585D"/>
    <w:rsid w:val="00B9598F"/>
    <w:rsid w:val="00B95E78"/>
    <w:rsid w:val="00B961AF"/>
    <w:rsid w:val="00B964FC"/>
    <w:rsid w:val="00B965CC"/>
    <w:rsid w:val="00BA0627"/>
    <w:rsid w:val="00BA159B"/>
    <w:rsid w:val="00BA1F27"/>
    <w:rsid w:val="00BA2054"/>
    <w:rsid w:val="00BA22DD"/>
    <w:rsid w:val="00BA2408"/>
    <w:rsid w:val="00BA2AB2"/>
    <w:rsid w:val="00BA2D0B"/>
    <w:rsid w:val="00BA321A"/>
    <w:rsid w:val="00BA3567"/>
    <w:rsid w:val="00BA361E"/>
    <w:rsid w:val="00BA3FA0"/>
    <w:rsid w:val="00BA4E56"/>
    <w:rsid w:val="00BA5A0B"/>
    <w:rsid w:val="00BA6A0F"/>
    <w:rsid w:val="00BA6DFA"/>
    <w:rsid w:val="00BA7020"/>
    <w:rsid w:val="00BA70E2"/>
    <w:rsid w:val="00BA769C"/>
    <w:rsid w:val="00BA7A81"/>
    <w:rsid w:val="00BA7D53"/>
    <w:rsid w:val="00BA7E8C"/>
    <w:rsid w:val="00BB0044"/>
    <w:rsid w:val="00BB0192"/>
    <w:rsid w:val="00BB0690"/>
    <w:rsid w:val="00BB0805"/>
    <w:rsid w:val="00BB0D75"/>
    <w:rsid w:val="00BB1044"/>
    <w:rsid w:val="00BB17B7"/>
    <w:rsid w:val="00BB1FA3"/>
    <w:rsid w:val="00BB306F"/>
    <w:rsid w:val="00BB39E5"/>
    <w:rsid w:val="00BB4717"/>
    <w:rsid w:val="00BB5193"/>
    <w:rsid w:val="00BB55E7"/>
    <w:rsid w:val="00BB5D65"/>
    <w:rsid w:val="00BB609C"/>
    <w:rsid w:val="00BB61C0"/>
    <w:rsid w:val="00BB6556"/>
    <w:rsid w:val="00BB693A"/>
    <w:rsid w:val="00BB6FB3"/>
    <w:rsid w:val="00BB71ED"/>
    <w:rsid w:val="00BB7520"/>
    <w:rsid w:val="00BB7691"/>
    <w:rsid w:val="00BB7CD4"/>
    <w:rsid w:val="00BC1529"/>
    <w:rsid w:val="00BC181B"/>
    <w:rsid w:val="00BC1E5D"/>
    <w:rsid w:val="00BC22A4"/>
    <w:rsid w:val="00BC2404"/>
    <w:rsid w:val="00BC2796"/>
    <w:rsid w:val="00BC3074"/>
    <w:rsid w:val="00BC30A6"/>
    <w:rsid w:val="00BC31E4"/>
    <w:rsid w:val="00BC3A77"/>
    <w:rsid w:val="00BC3BCF"/>
    <w:rsid w:val="00BC3CFD"/>
    <w:rsid w:val="00BC403F"/>
    <w:rsid w:val="00BC4067"/>
    <w:rsid w:val="00BC42CA"/>
    <w:rsid w:val="00BC4980"/>
    <w:rsid w:val="00BC4DEE"/>
    <w:rsid w:val="00BC4EF5"/>
    <w:rsid w:val="00BC53B2"/>
    <w:rsid w:val="00BC6003"/>
    <w:rsid w:val="00BC7592"/>
    <w:rsid w:val="00BC7C86"/>
    <w:rsid w:val="00BC7CF7"/>
    <w:rsid w:val="00BC7D18"/>
    <w:rsid w:val="00BC7EA3"/>
    <w:rsid w:val="00BD09F0"/>
    <w:rsid w:val="00BD2757"/>
    <w:rsid w:val="00BD3034"/>
    <w:rsid w:val="00BD3613"/>
    <w:rsid w:val="00BD4BC4"/>
    <w:rsid w:val="00BD4D68"/>
    <w:rsid w:val="00BD4E6F"/>
    <w:rsid w:val="00BD4EC2"/>
    <w:rsid w:val="00BD5FC5"/>
    <w:rsid w:val="00BD70F5"/>
    <w:rsid w:val="00BD744D"/>
    <w:rsid w:val="00BD7503"/>
    <w:rsid w:val="00BD7DD8"/>
    <w:rsid w:val="00BD7F4F"/>
    <w:rsid w:val="00BE04C2"/>
    <w:rsid w:val="00BE0DF1"/>
    <w:rsid w:val="00BE10DC"/>
    <w:rsid w:val="00BE13AF"/>
    <w:rsid w:val="00BE1FE4"/>
    <w:rsid w:val="00BE29D1"/>
    <w:rsid w:val="00BE3A15"/>
    <w:rsid w:val="00BE3F22"/>
    <w:rsid w:val="00BE3F56"/>
    <w:rsid w:val="00BE4E14"/>
    <w:rsid w:val="00BE5063"/>
    <w:rsid w:val="00BE520E"/>
    <w:rsid w:val="00BE5C66"/>
    <w:rsid w:val="00BE5E78"/>
    <w:rsid w:val="00BE61C0"/>
    <w:rsid w:val="00BE6852"/>
    <w:rsid w:val="00BF024F"/>
    <w:rsid w:val="00BF0AF4"/>
    <w:rsid w:val="00BF0D1D"/>
    <w:rsid w:val="00BF0EAE"/>
    <w:rsid w:val="00BF2685"/>
    <w:rsid w:val="00BF3515"/>
    <w:rsid w:val="00BF46A1"/>
    <w:rsid w:val="00BF4D5D"/>
    <w:rsid w:val="00BF4FF7"/>
    <w:rsid w:val="00BF55EC"/>
    <w:rsid w:val="00BF5994"/>
    <w:rsid w:val="00BF64A6"/>
    <w:rsid w:val="00BF6A40"/>
    <w:rsid w:val="00BF6C08"/>
    <w:rsid w:val="00BF7E62"/>
    <w:rsid w:val="00C004D1"/>
    <w:rsid w:val="00C00C5A"/>
    <w:rsid w:val="00C01083"/>
    <w:rsid w:val="00C01D11"/>
    <w:rsid w:val="00C01EBA"/>
    <w:rsid w:val="00C022FC"/>
    <w:rsid w:val="00C032CF"/>
    <w:rsid w:val="00C0481D"/>
    <w:rsid w:val="00C04A92"/>
    <w:rsid w:val="00C050E4"/>
    <w:rsid w:val="00C05A4E"/>
    <w:rsid w:val="00C05CC3"/>
    <w:rsid w:val="00C076AC"/>
    <w:rsid w:val="00C076F0"/>
    <w:rsid w:val="00C07ECA"/>
    <w:rsid w:val="00C07F5E"/>
    <w:rsid w:val="00C102CB"/>
    <w:rsid w:val="00C108B5"/>
    <w:rsid w:val="00C109ED"/>
    <w:rsid w:val="00C1264B"/>
    <w:rsid w:val="00C12AD9"/>
    <w:rsid w:val="00C13657"/>
    <w:rsid w:val="00C13A18"/>
    <w:rsid w:val="00C14648"/>
    <w:rsid w:val="00C14C01"/>
    <w:rsid w:val="00C14E54"/>
    <w:rsid w:val="00C15C35"/>
    <w:rsid w:val="00C165CF"/>
    <w:rsid w:val="00C1719A"/>
    <w:rsid w:val="00C2059B"/>
    <w:rsid w:val="00C20CD2"/>
    <w:rsid w:val="00C20FE3"/>
    <w:rsid w:val="00C21B67"/>
    <w:rsid w:val="00C223CF"/>
    <w:rsid w:val="00C22511"/>
    <w:rsid w:val="00C229BA"/>
    <w:rsid w:val="00C233CF"/>
    <w:rsid w:val="00C237E2"/>
    <w:rsid w:val="00C243C4"/>
    <w:rsid w:val="00C25115"/>
    <w:rsid w:val="00C252F9"/>
    <w:rsid w:val="00C261E5"/>
    <w:rsid w:val="00C26575"/>
    <w:rsid w:val="00C276A8"/>
    <w:rsid w:val="00C30202"/>
    <w:rsid w:val="00C3079A"/>
    <w:rsid w:val="00C30B2B"/>
    <w:rsid w:val="00C314EE"/>
    <w:rsid w:val="00C3214A"/>
    <w:rsid w:val="00C32732"/>
    <w:rsid w:val="00C3298C"/>
    <w:rsid w:val="00C32BA5"/>
    <w:rsid w:val="00C3345D"/>
    <w:rsid w:val="00C339D3"/>
    <w:rsid w:val="00C33B4B"/>
    <w:rsid w:val="00C34BA4"/>
    <w:rsid w:val="00C3511A"/>
    <w:rsid w:val="00C356E2"/>
    <w:rsid w:val="00C35B99"/>
    <w:rsid w:val="00C35F1D"/>
    <w:rsid w:val="00C362F0"/>
    <w:rsid w:val="00C36320"/>
    <w:rsid w:val="00C3792A"/>
    <w:rsid w:val="00C40265"/>
    <w:rsid w:val="00C418DA"/>
    <w:rsid w:val="00C41AE3"/>
    <w:rsid w:val="00C42F85"/>
    <w:rsid w:val="00C441D3"/>
    <w:rsid w:val="00C442FB"/>
    <w:rsid w:val="00C449EA"/>
    <w:rsid w:val="00C4529E"/>
    <w:rsid w:val="00C45879"/>
    <w:rsid w:val="00C46630"/>
    <w:rsid w:val="00C46A90"/>
    <w:rsid w:val="00C502ED"/>
    <w:rsid w:val="00C52007"/>
    <w:rsid w:val="00C52278"/>
    <w:rsid w:val="00C52B4C"/>
    <w:rsid w:val="00C52CCD"/>
    <w:rsid w:val="00C546E7"/>
    <w:rsid w:val="00C54ACC"/>
    <w:rsid w:val="00C55346"/>
    <w:rsid w:val="00C55460"/>
    <w:rsid w:val="00C55534"/>
    <w:rsid w:val="00C556E9"/>
    <w:rsid w:val="00C55B28"/>
    <w:rsid w:val="00C576E2"/>
    <w:rsid w:val="00C578B2"/>
    <w:rsid w:val="00C57A96"/>
    <w:rsid w:val="00C57C29"/>
    <w:rsid w:val="00C57F77"/>
    <w:rsid w:val="00C603A3"/>
    <w:rsid w:val="00C6113C"/>
    <w:rsid w:val="00C61648"/>
    <w:rsid w:val="00C6250D"/>
    <w:rsid w:val="00C625CC"/>
    <w:rsid w:val="00C62753"/>
    <w:rsid w:val="00C6350E"/>
    <w:rsid w:val="00C63B4E"/>
    <w:rsid w:val="00C63C4F"/>
    <w:rsid w:val="00C63D4E"/>
    <w:rsid w:val="00C64056"/>
    <w:rsid w:val="00C6406F"/>
    <w:rsid w:val="00C6476D"/>
    <w:rsid w:val="00C65135"/>
    <w:rsid w:val="00C6527A"/>
    <w:rsid w:val="00C654E8"/>
    <w:rsid w:val="00C658C9"/>
    <w:rsid w:val="00C65A3D"/>
    <w:rsid w:val="00C67056"/>
    <w:rsid w:val="00C67FCF"/>
    <w:rsid w:val="00C67FF2"/>
    <w:rsid w:val="00C70D1E"/>
    <w:rsid w:val="00C7239B"/>
    <w:rsid w:val="00C72489"/>
    <w:rsid w:val="00C72915"/>
    <w:rsid w:val="00C72E1A"/>
    <w:rsid w:val="00C72FA4"/>
    <w:rsid w:val="00C730C8"/>
    <w:rsid w:val="00C73227"/>
    <w:rsid w:val="00C7340D"/>
    <w:rsid w:val="00C74001"/>
    <w:rsid w:val="00C74173"/>
    <w:rsid w:val="00C74E5B"/>
    <w:rsid w:val="00C751CC"/>
    <w:rsid w:val="00C7534B"/>
    <w:rsid w:val="00C7545A"/>
    <w:rsid w:val="00C75620"/>
    <w:rsid w:val="00C75BE4"/>
    <w:rsid w:val="00C75FFA"/>
    <w:rsid w:val="00C7605D"/>
    <w:rsid w:val="00C769AD"/>
    <w:rsid w:val="00C76A25"/>
    <w:rsid w:val="00C76AE1"/>
    <w:rsid w:val="00C775FD"/>
    <w:rsid w:val="00C77E0D"/>
    <w:rsid w:val="00C8024E"/>
    <w:rsid w:val="00C8159C"/>
    <w:rsid w:val="00C819C9"/>
    <w:rsid w:val="00C82D5A"/>
    <w:rsid w:val="00C8355E"/>
    <w:rsid w:val="00C837EE"/>
    <w:rsid w:val="00C843B2"/>
    <w:rsid w:val="00C84D15"/>
    <w:rsid w:val="00C8519F"/>
    <w:rsid w:val="00C852DC"/>
    <w:rsid w:val="00C8565C"/>
    <w:rsid w:val="00C85933"/>
    <w:rsid w:val="00C85F53"/>
    <w:rsid w:val="00C8607B"/>
    <w:rsid w:val="00C8645E"/>
    <w:rsid w:val="00C86CAA"/>
    <w:rsid w:val="00C87834"/>
    <w:rsid w:val="00C9088A"/>
    <w:rsid w:val="00C9161D"/>
    <w:rsid w:val="00C919C1"/>
    <w:rsid w:val="00C93263"/>
    <w:rsid w:val="00C93F1C"/>
    <w:rsid w:val="00C94211"/>
    <w:rsid w:val="00C94683"/>
    <w:rsid w:val="00C94B5C"/>
    <w:rsid w:val="00C95D8C"/>
    <w:rsid w:val="00C962A1"/>
    <w:rsid w:val="00C963A5"/>
    <w:rsid w:val="00C971D4"/>
    <w:rsid w:val="00C97398"/>
    <w:rsid w:val="00C97423"/>
    <w:rsid w:val="00CA02A5"/>
    <w:rsid w:val="00CA2253"/>
    <w:rsid w:val="00CA2653"/>
    <w:rsid w:val="00CA295A"/>
    <w:rsid w:val="00CA345B"/>
    <w:rsid w:val="00CA37AA"/>
    <w:rsid w:val="00CA4A47"/>
    <w:rsid w:val="00CA51E1"/>
    <w:rsid w:val="00CA65D3"/>
    <w:rsid w:val="00CA6FB6"/>
    <w:rsid w:val="00CA7DE6"/>
    <w:rsid w:val="00CB09C4"/>
    <w:rsid w:val="00CB1910"/>
    <w:rsid w:val="00CB1A49"/>
    <w:rsid w:val="00CB24B8"/>
    <w:rsid w:val="00CB323C"/>
    <w:rsid w:val="00CB33DF"/>
    <w:rsid w:val="00CB39CD"/>
    <w:rsid w:val="00CB3C3C"/>
    <w:rsid w:val="00CB4799"/>
    <w:rsid w:val="00CB4CB9"/>
    <w:rsid w:val="00CB5D7A"/>
    <w:rsid w:val="00CB63B2"/>
    <w:rsid w:val="00CC0116"/>
    <w:rsid w:val="00CC05D0"/>
    <w:rsid w:val="00CC1257"/>
    <w:rsid w:val="00CC19ED"/>
    <w:rsid w:val="00CC20A5"/>
    <w:rsid w:val="00CC2708"/>
    <w:rsid w:val="00CC3FED"/>
    <w:rsid w:val="00CC44F2"/>
    <w:rsid w:val="00CC458E"/>
    <w:rsid w:val="00CC481B"/>
    <w:rsid w:val="00CC4C18"/>
    <w:rsid w:val="00CC5005"/>
    <w:rsid w:val="00CC520A"/>
    <w:rsid w:val="00CC534C"/>
    <w:rsid w:val="00CC5F3D"/>
    <w:rsid w:val="00CC62E8"/>
    <w:rsid w:val="00CC64F0"/>
    <w:rsid w:val="00CC64F7"/>
    <w:rsid w:val="00CC7320"/>
    <w:rsid w:val="00CD02A7"/>
    <w:rsid w:val="00CD13C7"/>
    <w:rsid w:val="00CD3839"/>
    <w:rsid w:val="00CD3C71"/>
    <w:rsid w:val="00CD44BE"/>
    <w:rsid w:val="00CD4532"/>
    <w:rsid w:val="00CD4BC9"/>
    <w:rsid w:val="00CD67A7"/>
    <w:rsid w:val="00CD7158"/>
    <w:rsid w:val="00CD7CF9"/>
    <w:rsid w:val="00CD7D22"/>
    <w:rsid w:val="00CD7E61"/>
    <w:rsid w:val="00CE0184"/>
    <w:rsid w:val="00CE0A27"/>
    <w:rsid w:val="00CE13E8"/>
    <w:rsid w:val="00CE16DD"/>
    <w:rsid w:val="00CE1EDF"/>
    <w:rsid w:val="00CE27E0"/>
    <w:rsid w:val="00CE3457"/>
    <w:rsid w:val="00CE45A3"/>
    <w:rsid w:val="00CE48B2"/>
    <w:rsid w:val="00CE5758"/>
    <w:rsid w:val="00CE5D30"/>
    <w:rsid w:val="00CE648D"/>
    <w:rsid w:val="00CF07F2"/>
    <w:rsid w:val="00CF0ADE"/>
    <w:rsid w:val="00CF0B8F"/>
    <w:rsid w:val="00CF11D6"/>
    <w:rsid w:val="00CF17A0"/>
    <w:rsid w:val="00CF1848"/>
    <w:rsid w:val="00CF1F6E"/>
    <w:rsid w:val="00CF2542"/>
    <w:rsid w:val="00CF2A3D"/>
    <w:rsid w:val="00CF3144"/>
    <w:rsid w:val="00CF3687"/>
    <w:rsid w:val="00CF4765"/>
    <w:rsid w:val="00CF4C1E"/>
    <w:rsid w:val="00CF4EDE"/>
    <w:rsid w:val="00CF4F0B"/>
    <w:rsid w:val="00CF576E"/>
    <w:rsid w:val="00CF603A"/>
    <w:rsid w:val="00CF6154"/>
    <w:rsid w:val="00CF6296"/>
    <w:rsid w:val="00CF697D"/>
    <w:rsid w:val="00CF782F"/>
    <w:rsid w:val="00D00C0E"/>
    <w:rsid w:val="00D00CA0"/>
    <w:rsid w:val="00D00FA4"/>
    <w:rsid w:val="00D0100A"/>
    <w:rsid w:val="00D01304"/>
    <w:rsid w:val="00D037A9"/>
    <w:rsid w:val="00D0383F"/>
    <w:rsid w:val="00D03ACD"/>
    <w:rsid w:val="00D0429C"/>
    <w:rsid w:val="00D053C5"/>
    <w:rsid w:val="00D05562"/>
    <w:rsid w:val="00D055FD"/>
    <w:rsid w:val="00D064B3"/>
    <w:rsid w:val="00D0765F"/>
    <w:rsid w:val="00D10C43"/>
    <w:rsid w:val="00D113DD"/>
    <w:rsid w:val="00D12044"/>
    <w:rsid w:val="00D12625"/>
    <w:rsid w:val="00D12B08"/>
    <w:rsid w:val="00D135E7"/>
    <w:rsid w:val="00D13794"/>
    <w:rsid w:val="00D13B9B"/>
    <w:rsid w:val="00D13D00"/>
    <w:rsid w:val="00D13F1E"/>
    <w:rsid w:val="00D13FCF"/>
    <w:rsid w:val="00D1400B"/>
    <w:rsid w:val="00D14145"/>
    <w:rsid w:val="00D14A54"/>
    <w:rsid w:val="00D14A7A"/>
    <w:rsid w:val="00D15035"/>
    <w:rsid w:val="00D15059"/>
    <w:rsid w:val="00D15FD0"/>
    <w:rsid w:val="00D165A2"/>
    <w:rsid w:val="00D16AC1"/>
    <w:rsid w:val="00D16C0D"/>
    <w:rsid w:val="00D170FA"/>
    <w:rsid w:val="00D17F1F"/>
    <w:rsid w:val="00D17FDA"/>
    <w:rsid w:val="00D20C70"/>
    <w:rsid w:val="00D218E9"/>
    <w:rsid w:val="00D21A86"/>
    <w:rsid w:val="00D22239"/>
    <w:rsid w:val="00D23495"/>
    <w:rsid w:val="00D246BB"/>
    <w:rsid w:val="00D24B07"/>
    <w:rsid w:val="00D25185"/>
    <w:rsid w:val="00D25AA8"/>
    <w:rsid w:val="00D262DC"/>
    <w:rsid w:val="00D26E1A"/>
    <w:rsid w:val="00D275D6"/>
    <w:rsid w:val="00D305CB"/>
    <w:rsid w:val="00D3094B"/>
    <w:rsid w:val="00D30A53"/>
    <w:rsid w:val="00D31294"/>
    <w:rsid w:val="00D33723"/>
    <w:rsid w:val="00D33FB5"/>
    <w:rsid w:val="00D34026"/>
    <w:rsid w:val="00D34D96"/>
    <w:rsid w:val="00D36849"/>
    <w:rsid w:val="00D36A12"/>
    <w:rsid w:val="00D37702"/>
    <w:rsid w:val="00D378C1"/>
    <w:rsid w:val="00D37F23"/>
    <w:rsid w:val="00D40661"/>
    <w:rsid w:val="00D407C0"/>
    <w:rsid w:val="00D41374"/>
    <w:rsid w:val="00D41CA0"/>
    <w:rsid w:val="00D42115"/>
    <w:rsid w:val="00D42B18"/>
    <w:rsid w:val="00D42CCB"/>
    <w:rsid w:val="00D42DA1"/>
    <w:rsid w:val="00D43195"/>
    <w:rsid w:val="00D43292"/>
    <w:rsid w:val="00D43E10"/>
    <w:rsid w:val="00D44BDE"/>
    <w:rsid w:val="00D46BF0"/>
    <w:rsid w:val="00D47463"/>
    <w:rsid w:val="00D47DA4"/>
    <w:rsid w:val="00D47DAB"/>
    <w:rsid w:val="00D47DB7"/>
    <w:rsid w:val="00D5024B"/>
    <w:rsid w:val="00D50802"/>
    <w:rsid w:val="00D51248"/>
    <w:rsid w:val="00D515D4"/>
    <w:rsid w:val="00D5368E"/>
    <w:rsid w:val="00D537E4"/>
    <w:rsid w:val="00D53AE9"/>
    <w:rsid w:val="00D53FDA"/>
    <w:rsid w:val="00D54220"/>
    <w:rsid w:val="00D5426F"/>
    <w:rsid w:val="00D554AB"/>
    <w:rsid w:val="00D55C33"/>
    <w:rsid w:val="00D5631A"/>
    <w:rsid w:val="00D56BA9"/>
    <w:rsid w:val="00D56E03"/>
    <w:rsid w:val="00D57CD4"/>
    <w:rsid w:val="00D57DEB"/>
    <w:rsid w:val="00D57E84"/>
    <w:rsid w:val="00D60023"/>
    <w:rsid w:val="00D61386"/>
    <w:rsid w:val="00D62133"/>
    <w:rsid w:val="00D6285C"/>
    <w:rsid w:val="00D6339D"/>
    <w:rsid w:val="00D63535"/>
    <w:rsid w:val="00D6394E"/>
    <w:rsid w:val="00D63A9F"/>
    <w:rsid w:val="00D64CAC"/>
    <w:rsid w:val="00D65389"/>
    <w:rsid w:val="00D66078"/>
    <w:rsid w:val="00D679F5"/>
    <w:rsid w:val="00D704C9"/>
    <w:rsid w:val="00D71D14"/>
    <w:rsid w:val="00D71EAC"/>
    <w:rsid w:val="00D72D07"/>
    <w:rsid w:val="00D7370A"/>
    <w:rsid w:val="00D742F7"/>
    <w:rsid w:val="00D743B5"/>
    <w:rsid w:val="00D74629"/>
    <w:rsid w:val="00D74677"/>
    <w:rsid w:val="00D750A9"/>
    <w:rsid w:val="00D75844"/>
    <w:rsid w:val="00D76002"/>
    <w:rsid w:val="00D76473"/>
    <w:rsid w:val="00D76A18"/>
    <w:rsid w:val="00D775E6"/>
    <w:rsid w:val="00D775F8"/>
    <w:rsid w:val="00D77D2E"/>
    <w:rsid w:val="00D80657"/>
    <w:rsid w:val="00D80E45"/>
    <w:rsid w:val="00D81A77"/>
    <w:rsid w:val="00D82A57"/>
    <w:rsid w:val="00D8341B"/>
    <w:rsid w:val="00D846F4"/>
    <w:rsid w:val="00D85801"/>
    <w:rsid w:val="00D85978"/>
    <w:rsid w:val="00D85D9C"/>
    <w:rsid w:val="00D8655C"/>
    <w:rsid w:val="00D87ABA"/>
    <w:rsid w:val="00D90691"/>
    <w:rsid w:val="00D90E1D"/>
    <w:rsid w:val="00D9161F"/>
    <w:rsid w:val="00D91980"/>
    <w:rsid w:val="00D91CAB"/>
    <w:rsid w:val="00D91EEE"/>
    <w:rsid w:val="00D91FB2"/>
    <w:rsid w:val="00D9273B"/>
    <w:rsid w:val="00D943D6"/>
    <w:rsid w:val="00D95174"/>
    <w:rsid w:val="00D956FF"/>
    <w:rsid w:val="00D95B5B"/>
    <w:rsid w:val="00D95B75"/>
    <w:rsid w:val="00D96DE6"/>
    <w:rsid w:val="00D97DCE"/>
    <w:rsid w:val="00DA0695"/>
    <w:rsid w:val="00DA0DD1"/>
    <w:rsid w:val="00DA2B9A"/>
    <w:rsid w:val="00DA3167"/>
    <w:rsid w:val="00DA3458"/>
    <w:rsid w:val="00DA4D17"/>
    <w:rsid w:val="00DA5713"/>
    <w:rsid w:val="00DA62A4"/>
    <w:rsid w:val="00DA6D5A"/>
    <w:rsid w:val="00DA6F94"/>
    <w:rsid w:val="00DA759A"/>
    <w:rsid w:val="00DA77A5"/>
    <w:rsid w:val="00DA7E07"/>
    <w:rsid w:val="00DA7FDD"/>
    <w:rsid w:val="00DB07A1"/>
    <w:rsid w:val="00DB0EDF"/>
    <w:rsid w:val="00DB103B"/>
    <w:rsid w:val="00DB1E4F"/>
    <w:rsid w:val="00DB249D"/>
    <w:rsid w:val="00DB24BF"/>
    <w:rsid w:val="00DB2994"/>
    <w:rsid w:val="00DB2AC2"/>
    <w:rsid w:val="00DB432B"/>
    <w:rsid w:val="00DB434A"/>
    <w:rsid w:val="00DB44F2"/>
    <w:rsid w:val="00DB491C"/>
    <w:rsid w:val="00DB53AE"/>
    <w:rsid w:val="00DB7681"/>
    <w:rsid w:val="00DB7B0A"/>
    <w:rsid w:val="00DC0840"/>
    <w:rsid w:val="00DC0E9B"/>
    <w:rsid w:val="00DC0FEE"/>
    <w:rsid w:val="00DC12DD"/>
    <w:rsid w:val="00DC12E6"/>
    <w:rsid w:val="00DC304E"/>
    <w:rsid w:val="00DC3B43"/>
    <w:rsid w:val="00DC4775"/>
    <w:rsid w:val="00DC4D7E"/>
    <w:rsid w:val="00DC74FF"/>
    <w:rsid w:val="00DC7E3F"/>
    <w:rsid w:val="00DD02CF"/>
    <w:rsid w:val="00DD0AD0"/>
    <w:rsid w:val="00DD0B47"/>
    <w:rsid w:val="00DD118C"/>
    <w:rsid w:val="00DD1B93"/>
    <w:rsid w:val="00DD22DB"/>
    <w:rsid w:val="00DD299A"/>
    <w:rsid w:val="00DD2EAC"/>
    <w:rsid w:val="00DD35FF"/>
    <w:rsid w:val="00DD3FAA"/>
    <w:rsid w:val="00DD44A3"/>
    <w:rsid w:val="00DD542A"/>
    <w:rsid w:val="00DD542E"/>
    <w:rsid w:val="00DD58A2"/>
    <w:rsid w:val="00DD5E2E"/>
    <w:rsid w:val="00DD6A8D"/>
    <w:rsid w:val="00DD6AE4"/>
    <w:rsid w:val="00DD7D1B"/>
    <w:rsid w:val="00DE0334"/>
    <w:rsid w:val="00DE05E8"/>
    <w:rsid w:val="00DE0645"/>
    <w:rsid w:val="00DE06CE"/>
    <w:rsid w:val="00DE09B9"/>
    <w:rsid w:val="00DE0DF1"/>
    <w:rsid w:val="00DE138B"/>
    <w:rsid w:val="00DE1E50"/>
    <w:rsid w:val="00DE27DD"/>
    <w:rsid w:val="00DE2A28"/>
    <w:rsid w:val="00DE3552"/>
    <w:rsid w:val="00DE421D"/>
    <w:rsid w:val="00DE5B97"/>
    <w:rsid w:val="00DE6224"/>
    <w:rsid w:val="00DE6B9E"/>
    <w:rsid w:val="00DE7B75"/>
    <w:rsid w:val="00DF07EB"/>
    <w:rsid w:val="00DF0D8F"/>
    <w:rsid w:val="00DF1929"/>
    <w:rsid w:val="00DF1A75"/>
    <w:rsid w:val="00DF2C1B"/>
    <w:rsid w:val="00DF2D3E"/>
    <w:rsid w:val="00DF2DBF"/>
    <w:rsid w:val="00DF2E59"/>
    <w:rsid w:val="00DF428B"/>
    <w:rsid w:val="00DF4DAB"/>
    <w:rsid w:val="00DF4F0A"/>
    <w:rsid w:val="00DF50C2"/>
    <w:rsid w:val="00DF552C"/>
    <w:rsid w:val="00DF570D"/>
    <w:rsid w:val="00DF5B8E"/>
    <w:rsid w:val="00DF6BF9"/>
    <w:rsid w:val="00DF7752"/>
    <w:rsid w:val="00DF7CF6"/>
    <w:rsid w:val="00E00226"/>
    <w:rsid w:val="00E00CF8"/>
    <w:rsid w:val="00E011D7"/>
    <w:rsid w:val="00E017A9"/>
    <w:rsid w:val="00E020A0"/>
    <w:rsid w:val="00E02201"/>
    <w:rsid w:val="00E0357C"/>
    <w:rsid w:val="00E0385B"/>
    <w:rsid w:val="00E0401A"/>
    <w:rsid w:val="00E04A9A"/>
    <w:rsid w:val="00E04BE5"/>
    <w:rsid w:val="00E04DE1"/>
    <w:rsid w:val="00E04E92"/>
    <w:rsid w:val="00E04FCB"/>
    <w:rsid w:val="00E063B3"/>
    <w:rsid w:val="00E0671B"/>
    <w:rsid w:val="00E06FFE"/>
    <w:rsid w:val="00E072B3"/>
    <w:rsid w:val="00E07760"/>
    <w:rsid w:val="00E078D8"/>
    <w:rsid w:val="00E10704"/>
    <w:rsid w:val="00E1081B"/>
    <w:rsid w:val="00E114A5"/>
    <w:rsid w:val="00E11AC2"/>
    <w:rsid w:val="00E1255B"/>
    <w:rsid w:val="00E12A33"/>
    <w:rsid w:val="00E13226"/>
    <w:rsid w:val="00E13DBF"/>
    <w:rsid w:val="00E1470E"/>
    <w:rsid w:val="00E14DFB"/>
    <w:rsid w:val="00E151F2"/>
    <w:rsid w:val="00E154EA"/>
    <w:rsid w:val="00E15F68"/>
    <w:rsid w:val="00E16D3F"/>
    <w:rsid w:val="00E16FA1"/>
    <w:rsid w:val="00E17FFD"/>
    <w:rsid w:val="00E20DA6"/>
    <w:rsid w:val="00E21D19"/>
    <w:rsid w:val="00E21D43"/>
    <w:rsid w:val="00E22113"/>
    <w:rsid w:val="00E225BE"/>
    <w:rsid w:val="00E226D1"/>
    <w:rsid w:val="00E229B1"/>
    <w:rsid w:val="00E24798"/>
    <w:rsid w:val="00E248BF"/>
    <w:rsid w:val="00E24944"/>
    <w:rsid w:val="00E25E13"/>
    <w:rsid w:val="00E265EB"/>
    <w:rsid w:val="00E2752E"/>
    <w:rsid w:val="00E30793"/>
    <w:rsid w:val="00E309AD"/>
    <w:rsid w:val="00E30CF0"/>
    <w:rsid w:val="00E31A39"/>
    <w:rsid w:val="00E31D33"/>
    <w:rsid w:val="00E31FB5"/>
    <w:rsid w:val="00E32CAD"/>
    <w:rsid w:val="00E33365"/>
    <w:rsid w:val="00E34FBE"/>
    <w:rsid w:val="00E3524F"/>
    <w:rsid w:val="00E35342"/>
    <w:rsid w:val="00E3559F"/>
    <w:rsid w:val="00E36AF4"/>
    <w:rsid w:val="00E37046"/>
    <w:rsid w:val="00E37A5E"/>
    <w:rsid w:val="00E4052C"/>
    <w:rsid w:val="00E40D58"/>
    <w:rsid w:val="00E41066"/>
    <w:rsid w:val="00E41397"/>
    <w:rsid w:val="00E43D68"/>
    <w:rsid w:val="00E445FD"/>
    <w:rsid w:val="00E44BFF"/>
    <w:rsid w:val="00E4552D"/>
    <w:rsid w:val="00E45672"/>
    <w:rsid w:val="00E462AA"/>
    <w:rsid w:val="00E464A6"/>
    <w:rsid w:val="00E465D8"/>
    <w:rsid w:val="00E4693C"/>
    <w:rsid w:val="00E474A5"/>
    <w:rsid w:val="00E502B6"/>
    <w:rsid w:val="00E50319"/>
    <w:rsid w:val="00E50403"/>
    <w:rsid w:val="00E50476"/>
    <w:rsid w:val="00E50DCF"/>
    <w:rsid w:val="00E50E25"/>
    <w:rsid w:val="00E513CD"/>
    <w:rsid w:val="00E51686"/>
    <w:rsid w:val="00E52575"/>
    <w:rsid w:val="00E52970"/>
    <w:rsid w:val="00E5305A"/>
    <w:rsid w:val="00E53895"/>
    <w:rsid w:val="00E540CD"/>
    <w:rsid w:val="00E54180"/>
    <w:rsid w:val="00E54F99"/>
    <w:rsid w:val="00E569DD"/>
    <w:rsid w:val="00E57DED"/>
    <w:rsid w:val="00E6046B"/>
    <w:rsid w:val="00E60A62"/>
    <w:rsid w:val="00E60FE2"/>
    <w:rsid w:val="00E610A2"/>
    <w:rsid w:val="00E6160A"/>
    <w:rsid w:val="00E6187E"/>
    <w:rsid w:val="00E61BC3"/>
    <w:rsid w:val="00E62F27"/>
    <w:rsid w:val="00E634F5"/>
    <w:rsid w:val="00E63943"/>
    <w:rsid w:val="00E639AA"/>
    <w:rsid w:val="00E66235"/>
    <w:rsid w:val="00E66666"/>
    <w:rsid w:val="00E66BE9"/>
    <w:rsid w:val="00E67096"/>
    <w:rsid w:val="00E67790"/>
    <w:rsid w:val="00E67A25"/>
    <w:rsid w:val="00E7022C"/>
    <w:rsid w:val="00E70D37"/>
    <w:rsid w:val="00E70E61"/>
    <w:rsid w:val="00E71AB9"/>
    <w:rsid w:val="00E72612"/>
    <w:rsid w:val="00E726F0"/>
    <w:rsid w:val="00E72FB3"/>
    <w:rsid w:val="00E73906"/>
    <w:rsid w:val="00E74773"/>
    <w:rsid w:val="00E74BA1"/>
    <w:rsid w:val="00E754D6"/>
    <w:rsid w:val="00E76265"/>
    <w:rsid w:val="00E765C7"/>
    <w:rsid w:val="00E769D6"/>
    <w:rsid w:val="00E76D17"/>
    <w:rsid w:val="00E76DB1"/>
    <w:rsid w:val="00E76EEE"/>
    <w:rsid w:val="00E77561"/>
    <w:rsid w:val="00E77D36"/>
    <w:rsid w:val="00E80E38"/>
    <w:rsid w:val="00E815AC"/>
    <w:rsid w:val="00E81ABE"/>
    <w:rsid w:val="00E81FA2"/>
    <w:rsid w:val="00E825DC"/>
    <w:rsid w:val="00E82E81"/>
    <w:rsid w:val="00E83300"/>
    <w:rsid w:val="00E83628"/>
    <w:rsid w:val="00E8383F"/>
    <w:rsid w:val="00E8392F"/>
    <w:rsid w:val="00E83C24"/>
    <w:rsid w:val="00E83F12"/>
    <w:rsid w:val="00E84E9F"/>
    <w:rsid w:val="00E860A5"/>
    <w:rsid w:val="00E86318"/>
    <w:rsid w:val="00E86475"/>
    <w:rsid w:val="00E86693"/>
    <w:rsid w:val="00E86855"/>
    <w:rsid w:val="00E87AE6"/>
    <w:rsid w:val="00E9010B"/>
    <w:rsid w:val="00E90418"/>
    <w:rsid w:val="00E913B1"/>
    <w:rsid w:val="00E91548"/>
    <w:rsid w:val="00E92F89"/>
    <w:rsid w:val="00E9318D"/>
    <w:rsid w:val="00E93DE6"/>
    <w:rsid w:val="00E94083"/>
    <w:rsid w:val="00E9424A"/>
    <w:rsid w:val="00E944E4"/>
    <w:rsid w:val="00E97ED7"/>
    <w:rsid w:val="00EA11FE"/>
    <w:rsid w:val="00EA233B"/>
    <w:rsid w:val="00EA4ADD"/>
    <w:rsid w:val="00EA4B02"/>
    <w:rsid w:val="00EA562B"/>
    <w:rsid w:val="00EA598A"/>
    <w:rsid w:val="00EA5D7B"/>
    <w:rsid w:val="00EA629E"/>
    <w:rsid w:val="00EA7B71"/>
    <w:rsid w:val="00EB0538"/>
    <w:rsid w:val="00EB0963"/>
    <w:rsid w:val="00EB13A0"/>
    <w:rsid w:val="00EB1C9A"/>
    <w:rsid w:val="00EB2081"/>
    <w:rsid w:val="00EB2492"/>
    <w:rsid w:val="00EB3378"/>
    <w:rsid w:val="00EB33FC"/>
    <w:rsid w:val="00EB36FE"/>
    <w:rsid w:val="00EB378D"/>
    <w:rsid w:val="00EB3A5C"/>
    <w:rsid w:val="00EB4333"/>
    <w:rsid w:val="00EB4744"/>
    <w:rsid w:val="00EB499F"/>
    <w:rsid w:val="00EB53E9"/>
    <w:rsid w:val="00EB57D5"/>
    <w:rsid w:val="00EB5FF0"/>
    <w:rsid w:val="00EB64BC"/>
    <w:rsid w:val="00EB69BE"/>
    <w:rsid w:val="00EB6F18"/>
    <w:rsid w:val="00EB7123"/>
    <w:rsid w:val="00EB72CA"/>
    <w:rsid w:val="00EC04C1"/>
    <w:rsid w:val="00EC0503"/>
    <w:rsid w:val="00EC09AB"/>
    <w:rsid w:val="00EC209B"/>
    <w:rsid w:val="00EC231C"/>
    <w:rsid w:val="00EC2333"/>
    <w:rsid w:val="00EC250C"/>
    <w:rsid w:val="00EC2F1E"/>
    <w:rsid w:val="00EC383A"/>
    <w:rsid w:val="00EC422B"/>
    <w:rsid w:val="00EC523D"/>
    <w:rsid w:val="00EC5D18"/>
    <w:rsid w:val="00EC63EC"/>
    <w:rsid w:val="00EC6A1A"/>
    <w:rsid w:val="00EC6A28"/>
    <w:rsid w:val="00EC7581"/>
    <w:rsid w:val="00EC7DC2"/>
    <w:rsid w:val="00EC7EB8"/>
    <w:rsid w:val="00ED0568"/>
    <w:rsid w:val="00ED0A80"/>
    <w:rsid w:val="00ED12A4"/>
    <w:rsid w:val="00ED1943"/>
    <w:rsid w:val="00ED1E33"/>
    <w:rsid w:val="00ED2595"/>
    <w:rsid w:val="00ED2956"/>
    <w:rsid w:val="00ED2EF4"/>
    <w:rsid w:val="00ED3443"/>
    <w:rsid w:val="00ED38B7"/>
    <w:rsid w:val="00ED3B21"/>
    <w:rsid w:val="00ED4AA9"/>
    <w:rsid w:val="00ED4C5A"/>
    <w:rsid w:val="00ED54AB"/>
    <w:rsid w:val="00ED5BE2"/>
    <w:rsid w:val="00ED73F0"/>
    <w:rsid w:val="00ED78CA"/>
    <w:rsid w:val="00ED7EA1"/>
    <w:rsid w:val="00EE052A"/>
    <w:rsid w:val="00EE06DE"/>
    <w:rsid w:val="00EE06FE"/>
    <w:rsid w:val="00EE0889"/>
    <w:rsid w:val="00EE0EB5"/>
    <w:rsid w:val="00EE1F18"/>
    <w:rsid w:val="00EE2ADB"/>
    <w:rsid w:val="00EE2AFD"/>
    <w:rsid w:val="00EE30E1"/>
    <w:rsid w:val="00EE3469"/>
    <w:rsid w:val="00EE3664"/>
    <w:rsid w:val="00EE3C5F"/>
    <w:rsid w:val="00EE4235"/>
    <w:rsid w:val="00EE460F"/>
    <w:rsid w:val="00EE477A"/>
    <w:rsid w:val="00EE5581"/>
    <w:rsid w:val="00EE5C71"/>
    <w:rsid w:val="00EE6193"/>
    <w:rsid w:val="00EE69FE"/>
    <w:rsid w:val="00EE6EC2"/>
    <w:rsid w:val="00EF03EF"/>
    <w:rsid w:val="00EF05C5"/>
    <w:rsid w:val="00EF093A"/>
    <w:rsid w:val="00EF0AE8"/>
    <w:rsid w:val="00EF1936"/>
    <w:rsid w:val="00EF1ED5"/>
    <w:rsid w:val="00EF1F85"/>
    <w:rsid w:val="00EF21B7"/>
    <w:rsid w:val="00EF2CE4"/>
    <w:rsid w:val="00EF2DCA"/>
    <w:rsid w:val="00EF3261"/>
    <w:rsid w:val="00EF341D"/>
    <w:rsid w:val="00EF43E2"/>
    <w:rsid w:val="00EF4513"/>
    <w:rsid w:val="00EF4CD9"/>
    <w:rsid w:val="00EF4DF5"/>
    <w:rsid w:val="00EF519F"/>
    <w:rsid w:val="00EF5CCA"/>
    <w:rsid w:val="00EF6EFA"/>
    <w:rsid w:val="00EF70D3"/>
    <w:rsid w:val="00EF746E"/>
    <w:rsid w:val="00EF75EA"/>
    <w:rsid w:val="00EF78AC"/>
    <w:rsid w:val="00EF79A5"/>
    <w:rsid w:val="00F001AE"/>
    <w:rsid w:val="00F01497"/>
    <w:rsid w:val="00F02AA8"/>
    <w:rsid w:val="00F02F9F"/>
    <w:rsid w:val="00F03335"/>
    <w:rsid w:val="00F035C1"/>
    <w:rsid w:val="00F03702"/>
    <w:rsid w:val="00F0386C"/>
    <w:rsid w:val="00F040F8"/>
    <w:rsid w:val="00F04CDF"/>
    <w:rsid w:val="00F0527F"/>
    <w:rsid w:val="00F05379"/>
    <w:rsid w:val="00F05525"/>
    <w:rsid w:val="00F055C5"/>
    <w:rsid w:val="00F05D0A"/>
    <w:rsid w:val="00F06E01"/>
    <w:rsid w:val="00F06E66"/>
    <w:rsid w:val="00F07183"/>
    <w:rsid w:val="00F07423"/>
    <w:rsid w:val="00F07928"/>
    <w:rsid w:val="00F1004D"/>
    <w:rsid w:val="00F10749"/>
    <w:rsid w:val="00F111BA"/>
    <w:rsid w:val="00F11A3E"/>
    <w:rsid w:val="00F11C9C"/>
    <w:rsid w:val="00F12500"/>
    <w:rsid w:val="00F13A0E"/>
    <w:rsid w:val="00F13B32"/>
    <w:rsid w:val="00F13EBC"/>
    <w:rsid w:val="00F13FDB"/>
    <w:rsid w:val="00F15EFD"/>
    <w:rsid w:val="00F160E2"/>
    <w:rsid w:val="00F1725E"/>
    <w:rsid w:val="00F17288"/>
    <w:rsid w:val="00F17934"/>
    <w:rsid w:val="00F17ED9"/>
    <w:rsid w:val="00F20EB7"/>
    <w:rsid w:val="00F235B6"/>
    <w:rsid w:val="00F23BFD"/>
    <w:rsid w:val="00F23C53"/>
    <w:rsid w:val="00F23EFE"/>
    <w:rsid w:val="00F24176"/>
    <w:rsid w:val="00F254E7"/>
    <w:rsid w:val="00F255B2"/>
    <w:rsid w:val="00F262AF"/>
    <w:rsid w:val="00F267CD"/>
    <w:rsid w:val="00F26D83"/>
    <w:rsid w:val="00F27890"/>
    <w:rsid w:val="00F27C50"/>
    <w:rsid w:val="00F301CB"/>
    <w:rsid w:val="00F3085C"/>
    <w:rsid w:val="00F309A2"/>
    <w:rsid w:val="00F336CC"/>
    <w:rsid w:val="00F33E0A"/>
    <w:rsid w:val="00F342F7"/>
    <w:rsid w:val="00F356D3"/>
    <w:rsid w:val="00F3731B"/>
    <w:rsid w:val="00F379E3"/>
    <w:rsid w:val="00F40F45"/>
    <w:rsid w:val="00F41498"/>
    <w:rsid w:val="00F4270E"/>
    <w:rsid w:val="00F42CD5"/>
    <w:rsid w:val="00F433D0"/>
    <w:rsid w:val="00F43F89"/>
    <w:rsid w:val="00F44038"/>
    <w:rsid w:val="00F44131"/>
    <w:rsid w:val="00F4487C"/>
    <w:rsid w:val="00F44F8B"/>
    <w:rsid w:val="00F44FC5"/>
    <w:rsid w:val="00F45379"/>
    <w:rsid w:val="00F45484"/>
    <w:rsid w:val="00F45533"/>
    <w:rsid w:val="00F45991"/>
    <w:rsid w:val="00F45F63"/>
    <w:rsid w:val="00F4623E"/>
    <w:rsid w:val="00F463D9"/>
    <w:rsid w:val="00F4662A"/>
    <w:rsid w:val="00F46986"/>
    <w:rsid w:val="00F474F2"/>
    <w:rsid w:val="00F479AF"/>
    <w:rsid w:val="00F47D40"/>
    <w:rsid w:val="00F50863"/>
    <w:rsid w:val="00F50EA1"/>
    <w:rsid w:val="00F51097"/>
    <w:rsid w:val="00F51351"/>
    <w:rsid w:val="00F51DDD"/>
    <w:rsid w:val="00F52B12"/>
    <w:rsid w:val="00F52EF9"/>
    <w:rsid w:val="00F53A53"/>
    <w:rsid w:val="00F53E33"/>
    <w:rsid w:val="00F54AB8"/>
    <w:rsid w:val="00F55836"/>
    <w:rsid w:val="00F55C2E"/>
    <w:rsid w:val="00F56C8E"/>
    <w:rsid w:val="00F570D1"/>
    <w:rsid w:val="00F571A2"/>
    <w:rsid w:val="00F578C5"/>
    <w:rsid w:val="00F57A56"/>
    <w:rsid w:val="00F60046"/>
    <w:rsid w:val="00F606C1"/>
    <w:rsid w:val="00F60C99"/>
    <w:rsid w:val="00F61316"/>
    <w:rsid w:val="00F61CA5"/>
    <w:rsid w:val="00F61F67"/>
    <w:rsid w:val="00F623B7"/>
    <w:rsid w:val="00F64256"/>
    <w:rsid w:val="00F64564"/>
    <w:rsid w:val="00F65509"/>
    <w:rsid w:val="00F657AB"/>
    <w:rsid w:val="00F66109"/>
    <w:rsid w:val="00F66506"/>
    <w:rsid w:val="00F668DA"/>
    <w:rsid w:val="00F70ACE"/>
    <w:rsid w:val="00F71106"/>
    <w:rsid w:val="00F72B91"/>
    <w:rsid w:val="00F72E5D"/>
    <w:rsid w:val="00F73A70"/>
    <w:rsid w:val="00F748C6"/>
    <w:rsid w:val="00F74929"/>
    <w:rsid w:val="00F74C21"/>
    <w:rsid w:val="00F7540A"/>
    <w:rsid w:val="00F7599B"/>
    <w:rsid w:val="00F75CD9"/>
    <w:rsid w:val="00F760F1"/>
    <w:rsid w:val="00F77710"/>
    <w:rsid w:val="00F77D8C"/>
    <w:rsid w:val="00F8037C"/>
    <w:rsid w:val="00F8047B"/>
    <w:rsid w:val="00F80ADB"/>
    <w:rsid w:val="00F80BF5"/>
    <w:rsid w:val="00F81439"/>
    <w:rsid w:val="00F81B4E"/>
    <w:rsid w:val="00F83795"/>
    <w:rsid w:val="00F839AD"/>
    <w:rsid w:val="00F83FE3"/>
    <w:rsid w:val="00F84B42"/>
    <w:rsid w:val="00F84EAA"/>
    <w:rsid w:val="00F84EFC"/>
    <w:rsid w:val="00F86254"/>
    <w:rsid w:val="00F8639E"/>
    <w:rsid w:val="00F90563"/>
    <w:rsid w:val="00F9058B"/>
    <w:rsid w:val="00F90D6A"/>
    <w:rsid w:val="00F90E2F"/>
    <w:rsid w:val="00F91209"/>
    <w:rsid w:val="00F91474"/>
    <w:rsid w:val="00F916D6"/>
    <w:rsid w:val="00F9193E"/>
    <w:rsid w:val="00F91CB5"/>
    <w:rsid w:val="00F92B4E"/>
    <w:rsid w:val="00F9320B"/>
    <w:rsid w:val="00F938D0"/>
    <w:rsid w:val="00F94062"/>
    <w:rsid w:val="00F94774"/>
    <w:rsid w:val="00F94A03"/>
    <w:rsid w:val="00F95814"/>
    <w:rsid w:val="00F95977"/>
    <w:rsid w:val="00F9627B"/>
    <w:rsid w:val="00F965AA"/>
    <w:rsid w:val="00F9718A"/>
    <w:rsid w:val="00F973A6"/>
    <w:rsid w:val="00F97A40"/>
    <w:rsid w:val="00FA1890"/>
    <w:rsid w:val="00FA1BE5"/>
    <w:rsid w:val="00FA2718"/>
    <w:rsid w:val="00FA3F6E"/>
    <w:rsid w:val="00FA510A"/>
    <w:rsid w:val="00FA5280"/>
    <w:rsid w:val="00FA5508"/>
    <w:rsid w:val="00FA5F10"/>
    <w:rsid w:val="00FA5F40"/>
    <w:rsid w:val="00FA7853"/>
    <w:rsid w:val="00FA7ED2"/>
    <w:rsid w:val="00FB0041"/>
    <w:rsid w:val="00FB05F0"/>
    <w:rsid w:val="00FB1B69"/>
    <w:rsid w:val="00FB2286"/>
    <w:rsid w:val="00FB274D"/>
    <w:rsid w:val="00FB29E7"/>
    <w:rsid w:val="00FB2BDB"/>
    <w:rsid w:val="00FB2E26"/>
    <w:rsid w:val="00FB2FE7"/>
    <w:rsid w:val="00FB44CD"/>
    <w:rsid w:val="00FB45C6"/>
    <w:rsid w:val="00FB46DF"/>
    <w:rsid w:val="00FB4A70"/>
    <w:rsid w:val="00FB4CB0"/>
    <w:rsid w:val="00FB4EF7"/>
    <w:rsid w:val="00FB51D6"/>
    <w:rsid w:val="00FB5F3A"/>
    <w:rsid w:val="00FB6044"/>
    <w:rsid w:val="00FB7081"/>
    <w:rsid w:val="00FB7774"/>
    <w:rsid w:val="00FB784A"/>
    <w:rsid w:val="00FB7E1E"/>
    <w:rsid w:val="00FB7E27"/>
    <w:rsid w:val="00FC08D4"/>
    <w:rsid w:val="00FC236C"/>
    <w:rsid w:val="00FC385A"/>
    <w:rsid w:val="00FC4DF4"/>
    <w:rsid w:val="00FC50E4"/>
    <w:rsid w:val="00FC53DB"/>
    <w:rsid w:val="00FC5E1F"/>
    <w:rsid w:val="00FC675B"/>
    <w:rsid w:val="00FC7363"/>
    <w:rsid w:val="00FC7B40"/>
    <w:rsid w:val="00FD06E4"/>
    <w:rsid w:val="00FD0CBF"/>
    <w:rsid w:val="00FD143C"/>
    <w:rsid w:val="00FD1F53"/>
    <w:rsid w:val="00FD25F1"/>
    <w:rsid w:val="00FD3109"/>
    <w:rsid w:val="00FD3674"/>
    <w:rsid w:val="00FD3AB3"/>
    <w:rsid w:val="00FD4971"/>
    <w:rsid w:val="00FD4FBD"/>
    <w:rsid w:val="00FD51BF"/>
    <w:rsid w:val="00FD55AF"/>
    <w:rsid w:val="00FD5658"/>
    <w:rsid w:val="00FD585C"/>
    <w:rsid w:val="00FD5894"/>
    <w:rsid w:val="00FD5B7D"/>
    <w:rsid w:val="00FD624D"/>
    <w:rsid w:val="00FD64BD"/>
    <w:rsid w:val="00FD73BE"/>
    <w:rsid w:val="00FD74A5"/>
    <w:rsid w:val="00FD7618"/>
    <w:rsid w:val="00FD76E1"/>
    <w:rsid w:val="00FE0E0C"/>
    <w:rsid w:val="00FE1514"/>
    <w:rsid w:val="00FE18B4"/>
    <w:rsid w:val="00FE2B67"/>
    <w:rsid w:val="00FE3C2B"/>
    <w:rsid w:val="00FE4B2F"/>
    <w:rsid w:val="00FE4FAB"/>
    <w:rsid w:val="00FE51C5"/>
    <w:rsid w:val="00FE569C"/>
    <w:rsid w:val="00FE5837"/>
    <w:rsid w:val="00FE5CD0"/>
    <w:rsid w:val="00FE632A"/>
    <w:rsid w:val="00FE660D"/>
    <w:rsid w:val="00FE6FE0"/>
    <w:rsid w:val="00FE7E1C"/>
    <w:rsid w:val="00FF03BE"/>
    <w:rsid w:val="00FF048D"/>
    <w:rsid w:val="00FF0EAC"/>
    <w:rsid w:val="00FF1767"/>
    <w:rsid w:val="00FF198A"/>
    <w:rsid w:val="00FF1CB5"/>
    <w:rsid w:val="00FF2335"/>
    <w:rsid w:val="00FF3098"/>
    <w:rsid w:val="00FF318E"/>
    <w:rsid w:val="00FF4D55"/>
    <w:rsid w:val="00FF5248"/>
    <w:rsid w:val="00FF61E5"/>
    <w:rsid w:val="00FF6F05"/>
    <w:rsid w:val="00FF72C9"/>
    <w:rsid w:val="00FF72D4"/>
    <w:rsid w:val="00FF7885"/>
    <w:rsid w:val="00FF7F4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E932C"/>
  <w15:docId w15:val="{E9E457FA-A13E-418D-B0BF-721AF00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D262DC"/>
    <w:pPr>
      <w:numPr>
        <w:numId w:val="9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rsid w:val="007E09DA"/>
    <w:pPr>
      <w:ind w:left="720" w:hanging="720"/>
    </w:pPr>
    <w:rPr>
      <w:caps/>
    </w:rPr>
  </w:style>
  <w:style w:type="paragraph" w:styleId="TOC2">
    <w:name w:val="toc 2"/>
    <w:basedOn w:val="Normal"/>
    <w:next w:val="Normal"/>
    <w:autoRedefine/>
    <w:rsid w:val="007E09DA"/>
    <w:pPr>
      <w:tabs>
        <w:tab w:val="right" w:leader="dot" w:pos="9356"/>
      </w:tabs>
      <w:ind w:left="1440" w:hanging="720"/>
    </w:pPr>
    <w:rPr>
      <w:noProof/>
      <w:szCs w:val="22"/>
    </w:rPr>
  </w:style>
  <w:style w:type="paragraph" w:styleId="TOC3">
    <w:name w:val="toc 3"/>
    <w:basedOn w:val="Normal"/>
    <w:next w:val="Normal"/>
    <w:autoRedefine/>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964A8F"/>
    <w:rPr>
      <w:color w:val="808080"/>
      <w:shd w:val="clear" w:color="auto" w:fill="E6E6E6"/>
    </w:rPr>
  </w:style>
  <w:style w:type="paragraph" w:styleId="Revision">
    <w:name w:val="Revision"/>
    <w:hidden/>
    <w:uiPriority w:val="99"/>
    <w:semiHidden/>
    <w:rsid w:val="00964A8F"/>
    <w:pPr>
      <w:jc w:val="both"/>
    </w:pPr>
    <w:rPr>
      <w:rFonts w:ascii="Times New Roman" w:eastAsia="Times New Roman" w:hAnsi="Times New Roman" w:cs="Times New Roman"/>
      <w:sz w:val="22"/>
      <w:szCs w:val="22"/>
      <w:lang w:val="en-GB" w:eastAsia="en-CA"/>
    </w:rPr>
  </w:style>
  <w:style w:type="character" w:customStyle="1" w:styleId="ListParagraphChar">
    <w:name w:val="List Paragraph Char"/>
    <w:basedOn w:val="DefaultParagraphFont"/>
    <w:link w:val="ListParagraph"/>
    <w:uiPriority w:val="34"/>
    <w:qFormat/>
    <w:locked/>
    <w:rsid w:val="00964A8F"/>
    <w:rPr>
      <w:rFonts w:ascii="Times New Roman" w:eastAsia="Times New Roman" w:hAnsi="Times New Roman" w:cs="Times New Roman"/>
      <w:sz w:val="22"/>
      <w:lang w:val="en-GB"/>
    </w:rPr>
  </w:style>
  <w:style w:type="paragraph" w:customStyle="1" w:styleId="Default">
    <w:name w:val="Default"/>
    <w:rsid w:val="00964A8F"/>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DefaultParagraphFont"/>
    <w:uiPriority w:val="99"/>
    <w:semiHidden/>
    <w:unhideWhenUsed/>
    <w:rsid w:val="00964A8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4A8F"/>
    <w:pPr>
      <w:spacing w:after="0" w:line="240" w:lineRule="auto"/>
    </w:pPr>
    <w:rPr>
      <w:b/>
      <w:bCs/>
      <w:sz w:val="20"/>
      <w:szCs w:val="20"/>
      <w:lang w:eastAsia="en-CA"/>
    </w:rPr>
  </w:style>
  <w:style w:type="character" w:customStyle="1" w:styleId="CommentSubjectChar">
    <w:name w:val="Comment Subject Char"/>
    <w:basedOn w:val="CommentTextChar"/>
    <w:link w:val="CommentSubject"/>
    <w:uiPriority w:val="99"/>
    <w:semiHidden/>
    <w:rsid w:val="00964A8F"/>
    <w:rPr>
      <w:rFonts w:ascii="Times New Roman" w:eastAsia="Times New Roman" w:hAnsi="Times New Roman" w:cs="Times New Roman"/>
      <w:b/>
      <w:bCs/>
      <w:sz w:val="20"/>
      <w:szCs w:val="20"/>
      <w:lang w:val="en-GB" w:eastAsia="en-CA"/>
    </w:rPr>
  </w:style>
  <w:style w:type="character" w:customStyle="1" w:styleId="UnresolvedMention3">
    <w:name w:val="Unresolved Mention3"/>
    <w:basedOn w:val="DefaultParagraphFont"/>
    <w:uiPriority w:val="99"/>
    <w:semiHidden/>
    <w:unhideWhenUsed/>
    <w:rsid w:val="00964A8F"/>
    <w:rPr>
      <w:color w:val="605E5C"/>
      <w:shd w:val="clear" w:color="auto" w:fill="E1DFDD"/>
    </w:rPr>
  </w:style>
  <w:style w:type="character" w:customStyle="1" w:styleId="UnresolvedMention4">
    <w:name w:val="Unresolved Mention4"/>
    <w:basedOn w:val="DefaultParagraphFont"/>
    <w:uiPriority w:val="99"/>
    <w:semiHidden/>
    <w:unhideWhenUsed/>
    <w:rsid w:val="00964A8F"/>
    <w:rPr>
      <w:color w:val="605E5C"/>
      <w:shd w:val="clear" w:color="auto" w:fill="E1DFDD"/>
    </w:rPr>
  </w:style>
  <w:style w:type="character" w:styleId="Strong">
    <w:name w:val="Strong"/>
    <w:basedOn w:val="DefaultParagraphFont"/>
    <w:uiPriority w:val="22"/>
    <w:qFormat/>
    <w:rsid w:val="00964A8F"/>
    <w:rPr>
      <w:b/>
      <w:bCs/>
    </w:rPr>
  </w:style>
  <w:style w:type="paragraph" w:styleId="NormalWeb">
    <w:name w:val="Normal (Web)"/>
    <w:basedOn w:val="Normal"/>
    <w:uiPriority w:val="99"/>
    <w:unhideWhenUsed/>
    <w:rsid w:val="00964A8F"/>
    <w:pPr>
      <w:spacing w:before="100" w:beforeAutospacing="1" w:after="100" w:afterAutospacing="1"/>
      <w:jc w:val="left"/>
    </w:pPr>
    <w:rPr>
      <w:sz w:val="24"/>
      <w:szCs w:val="22"/>
      <w:lang w:val="en-CA" w:eastAsia="en-CA"/>
    </w:rPr>
  </w:style>
  <w:style w:type="table" w:customStyle="1" w:styleId="3">
    <w:name w:val="3"/>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Pr>
  </w:style>
  <w:style w:type="table" w:customStyle="1" w:styleId="2">
    <w:name w:val="2"/>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964A8F"/>
    <w:pPr>
      <w:jc w:val="both"/>
    </w:pPr>
    <w:rPr>
      <w:rFonts w:ascii="Times New Roman" w:eastAsia="Times New Roman" w:hAnsi="Times New Roman" w:cs="Times New Roman"/>
      <w:sz w:val="22"/>
      <w:szCs w:val="22"/>
      <w:lang w:val="en-GB" w:eastAsia="en-CA"/>
    </w:rPr>
    <w:tblPr>
      <w:tblStyleRowBandSize w:val="1"/>
      <w:tblStyleColBandSize w:val="1"/>
      <w:tblCellMar>
        <w:top w:w="100" w:type="dxa"/>
        <w:left w:w="100" w:type="dxa"/>
        <w:bottom w:w="100" w:type="dxa"/>
        <w:right w:w="100" w:type="dxa"/>
      </w:tblCellMar>
    </w:tblPr>
  </w:style>
  <w:style w:type="paragraph" w:customStyle="1" w:styleId="Normal1">
    <w:name w:val="Normal1"/>
    <w:rsid w:val="00964A8F"/>
    <w:pPr>
      <w:widowControl w:val="0"/>
      <w:spacing w:line="276" w:lineRule="auto"/>
    </w:pPr>
    <w:rPr>
      <w:rFonts w:ascii="Arial" w:eastAsia="Arial" w:hAnsi="Arial" w:cs="Arial"/>
      <w:color w:val="000000"/>
      <w:sz w:val="22"/>
      <w:szCs w:val="20"/>
      <w:lang w:val="en-CA"/>
    </w:rPr>
  </w:style>
  <w:style w:type="table" w:styleId="PlainTable2">
    <w:name w:val="Plain Table 2"/>
    <w:basedOn w:val="TableNormal"/>
    <w:uiPriority w:val="42"/>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64A8F"/>
    <w:pPr>
      <w:jc w:val="both"/>
    </w:pPr>
    <w:rPr>
      <w:rFonts w:ascii="Times New Roman" w:eastAsia="Times New Roman" w:hAnsi="Times New Roman" w:cs="Times New Roman"/>
      <w:sz w:val="22"/>
      <w:szCs w:val="22"/>
      <w:lang w:val="en-GB" w:eastAsia="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964A8F"/>
    <w:pPr>
      <w:jc w:val="both"/>
    </w:pPr>
    <w:rPr>
      <w:rFonts w:ascii="Times New Roman" w:eastAsia="Times New Roman" w:hAnsi="Times New Roman" w:cs="Times New Roman"/>
      <w:sz w:val="22"/>
      <w:szCs w:val="22"/>
      <w:lang w:val="en-GB" w:eastAsia="en-CA"/>
    </w:rPr>
  </w:style>
  <w:style w:type="character" w:styleId="UnresolvedMention">
    <w:name w:val="Unresolved Mention"/>
    <w:basedOn w:val="DefaultParagraphFont"/>
    <w:uiPriority w:val="99"/>
    <w:unhideWhenUsed/>
    <w:rsid w:val="00964A8F"/>
    <w:rPr>
      <w:color w:val="605E5C"/>
      <w:shd w:val="clear" w:color="auto" w:fill="E1DFDD"/>
    </w:rPr>
  </w:style>
  <w:style w:type="table" w:styleId="ListTable4-Accent5">
    <w:name w:val="List Table 4 Accent 5"/>
    <w:basedOn w:val="TableNormal"/>
    <w:uiPriority w:val="49"/>
    <w:rsid w:val="00964A8F"/>
    <w:rPr>
      <w:rFonts w:eastAsiaTheme="minorHAns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964A8F"/>
    <w:rPr>
      <w:rFonts w:ascii="Calibri" w:eastAsia="Calibri" w:hAnsi="Calibri" w:cs="Times New Roman"/>
      <w:sz w:val="22"/>
      <w:lang w:val="en-GB" w:eastAsia="en-GB"/>
    </w:rPr>
  </w:style>
  <w:style w:type="table" w:styleId="MediumShading2-Accent2">
    <w:name w:val="Medium Shading 2 Accent 2"/>
    <w:basedOn w:val="TableNormal"/>
    <w:uiPriority w:val="64"/>
    <w:rsid w:val="00964A8F"/>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1">
    <w:name w:val="Grid Table 5 Dark Accent 1"/>
    <w:basedOn w:val="TableNormal"/>
    <w:uiPriority w:val="50"/>
    <w:rsid w:val="00964A8F"/>
    <w:pPr>
      <w:jc w:val="both"/>
    </w:pPr>
    <w:rPr>
      <w:rFonts w:ascii="Times New Roman" w:eastAsia="Times New Roman" w:hAnsi="Times New Roman" w:cs="Times New Roman"/>
      <w:sz w:val="22"/>
      <w:szCs w:val="22"/>
      <w:lang w:val="en-GB" w:eastAsia="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964A8F"/>
    <w:pPr>
      <w:keepNext w:val="0"/>
      <w:numPr>
        <w:numId w:val="9"/>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964A8F"/>
    <w:pPr>
      <w:numPr>
        <w:numId w:val="8"/>
      </w:numPr>
    </w:pPr>
  </w:style>
  <w:style w:type="character" w:customStyle="1" w:styleId="StyleFootnoteReferencenumberFootnoteReferenceSuperscript-EF">
    <w:name w:val="Style Footnote ReferencenumberFootnote Reference Superscript-E F..."/>
    <w:basedOn w:val="FootnoteReference"/>
    <w:rsid w:val="00964A8F"/>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BC2404"/>
    <w:pPr>
      <w:spacing w:after="160" w:line="240" w:lineRule="exac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292964"/>
    <w:pPr>
      <w:keepLines/>
      <w:numPr>
        <w:numId w:val="12"/>
      </w:numPr>
      <w:spacing w:before="120" w:after="120"/>
    </w:pPr>
    <w:rPr>
      <w:szCs w:val="22"/>
      <w:lang w:val="en-US"/>
    </w:rPr>
  </w:style>
  <w:style w:type="character" w:customStyle="1" w:styleId="CBD-ParaCharChar">
    <w:name w:val="CBD-Para Char Char"/>
    <w:link w:val="CBD-Para"/>
    <w:uiPriority w:val="99"/>
    <w:rsid w:val="00292964"/>
    <w:rPr>
      <w:rFonts w:ascii="Times New Roman" w:eastAsia="Times New Roman" w:hAnsi="Times New Roman" w:cs="Times New Roman"/>
      <w:sz w:val="22"/>
      <w:szCs w:val="22"/>
      <w:lang w:val="en-US"/>
    </w:rPr>
  </w:style>
  <w:style w:type="paragraph" w:customStyle="1" w:styleId="CBD-Para-a">
    <w:name w:val="CBD-Para-a"/>
    <w:basedOn w:val="CBD-Para"/>
    <w:rsid w:val="00292964"/>
    <w:pPr>
      <w:numPr>
        <w:ilvl w:val="1"/>
      </w:numPr>
      <w:tabs>
        <w:tab w:val="clear" w:pos="1080"/>
        <w:tab w:val="num" w:pos="360"/>
      </w:tabs>
      <w:spacing w:before="60" w:after="60"/>
      <w:ind w:left="0" w:firstLine="0"/>
    </w:pPr>
  </w:style>
  <w:style w:type="character" w:customStyle="1" w:styleId="Heading1longmultilineChar">
    <w:name w:val="Heading 1 (long multiline) Char"/>
    <w:link w:val="Heading1longmultiline"/>
    <w:locked/>
    <w:rsid w:val="000961BE"/>
    <w:rPr>
      <w:rFonts w:ascii="Times New Roman" w:eastAsia="Times New Roman" w:hAnsi="Times New Roman" w:cs="Times New Roman"/>
      <w:b/>
      <w:caps/>
      <w:sz w:val="22"/>
      <w:lang w:val="en-GB"/>
    </w:rPr>
  </w:style>
  <w:style w:type="paragraph" w:customStyle="1" w:styleId="CBD-Para-1">
    <w:name w:val="CBD-Para-1"/>
    <w:basedOn w:val="Normal"/>
    <w:qFormat/>
    <w:rsid w:val="003F6B8F"/>
    <w:pPr>
      <w:keepLines/>
      <w:numPr>
        <w:numId w:val="43"/>
      </w:numPr>
      <w:spacing w:before="120" w:after="120"/>
    </w:pPr>
  </w:style>
  <w:style w:type="character" w:customStyle="1" w:styleId="Para1Char1">
    <w:name w:val="Para1 Char1"/>
    <w:rsid w:val="004A3E7E"/>
    <w:rPr>
      <w:rFonts w:cs="Angsana New"/>
      <w:snapToGrid w:val="0"/>
      <w:sz w:val="22"/>
      <w:szCs w:val="18"/>
      <w:lang w:val="en-GB"/>
    </w:rPr>
  </w:style>
  <w:style w:type="character" w:styleId="Mention">
    <w:name w:val="Mention"/>
    <w:basedOn w:val="DefaultParagraphFont"/>
    <w:uiPriority w:val="99"/>
    <w:unhideWhenUsed/>
    <w:rsid w:val="004A3E7E"/>
    <w:rPr>
      <w:color w:val="2B579A"/>
      <w:shd w:val="clear" w:color="auto" w:fill="E6E6E6"/>
    </w:rPr>
  </w:style>
  <w:style w:type="paragraph" w:customStyle="1" w:styleId="paragraph">
    <w:name w:val="paragraph"/>
    <w:basedOn w:val="Normal"/>
    <w:rsid w:val="004A3E7E"/>
    <w:pPr>
      <w:spacing w:before="100" w:beforeAutospacing="1" w:after="100" w:afterAutospacing="1"/>
      <w:jc w:val="left"/>
    </w:pPr>
    <w:rPr>
      <w:sz w:val="24"/>
      <w:lang w:val="en-US" w:eastAsia="zh-CN"/>
    </w:rPr>
  </w:style>
  <w:style w:type="character" w:customStyle="1" w:styleId="normaltextrun">
    <w:name w:val="normaltextrun"/>
    <w:basedOn w:val="DefaultParagraphFont"/>
    <w:rsid w:val="004A3E7E"/>
  </w:style>
  <w:style w:type="character" w:customStyle="1" w:styleId="eop">
    <w:name w:val="eop"/>
    <w:basedOn w:val="DefaultParagraphFont"/>
    <w:rsid w:val="004A3E7E"/>
  </w:style>
  <w:style w:type="character" w:customStyle="1" w:styleId="ng-binding">
    <w:name w:val="ng-binding"/>
    <w:basedOn w:val="DefaultParagraphFont"/>
    <w:rsid w:val="001A686F"/>
  </w:style>
  <w:style w:type="paragraph" w:styleId="TOCHeading">
    <w:name w:val="TOC Heading"/>
    <w:basedOn w:val="Heading1"/>
    <w:next w:val="Normal"/>
    <w:uiPriority w:val="39"/>
    <w:unhideWhenUsed/>
    <w:qFormat/>
    <w:rsid w:val="00043BF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5601F6"/>
    <w:pPr>
      <w:snapToGrid w:val="0"/>
      <w:spacing w:before="120" w:after="120"/>
    </w:pPr>
    <w:rPr>
      <w:rFonts w:eastAsiaTheme="minorHAns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702">
      <w:bodyDiv w:val="1"/>
      <w:marLeft w:val="0"/>
      <w:marRight w:val="0"/>
      <w:marTop w:val="0"/>
      <w:marBottom w:val="0"/>
      <w:divBdr>
        <w:top w:val="none" w:sz="0" w:space="0" w:color="auto"/>
        <w:left w:val="none" w:sz="0" w:space="0" w:color="auto"/>
        <w:bottom w:val="none" w:sz="0" w:space="0" w:color="auto"/>
        <w:right w:val="none" w:sz="0" w:space="0" w:color="auto"/>
      </w:divBdr>
    </w:div>
    <w:div w:id="483817475">
      <w:bodyDiv w:val="1"/>
      <w:marLeft w:val="0"/>
      <w:marRight w:val="0"/>
      <w:marTop w:val="0"/>
      <w:marBottom w:val="0"/>
      <w:divBdr>
        <w:top w:val="none" w:sz="0" w:space="0" w:color="auto"/>
        <w:left w:val="none" w:sz="0" w:space="0" w:color="auto"/>
        <w:bottom w:val="none" w:sz="0" w:space="0" w:color="auto"/>
        <w:right w:val="none" w:sz="0" w:space="0" w:color="auto"/>
      </w:divBdr>
    </w:div>
    <w:div w:id="500587892">
      <w:bodyDiv w:val="1"/>
      <w:marLeft w:val="0"/>
      <w:marRight w:val="0"/>
      <w:marTop w:val="0"/>
      <w:marBottom w:val="0"/>
      <w:divBdr>
        <w:top w:val="none" w:sz="0" w:space="0" w:color="auto"/>
        <w:left w:val="none" w:sz="0" w:space="0" w:color="auto"/>
        <w:bottom w:val="none" w:sz="0" w:space="0" w:color="auto"/>
        <w:right w:val="none" w:sz="0" w:space="0" w:color="auto"/>
      </w:divBdr>
    </w:div>
    <w:div w:id="583957197">
      <w:bodyDiv w:val="1"/>
      <w:marLeft w:val="0"/>
      <w:marRight w:val="0"/>
      <w:marTop w:val="0"/>
      <w:marBottom w:val="0"/>
      <w:divBdr>
        <w:top w:val="none" w:sz="0" w:space="0" w:color="auto"/>
        <w:left w:val="none" w:sz="0" w:space="0" w:color="auto"/>
        <w:bottom w:val="none" w:sz="0" w:space="0" w:color="auto"/>
        <w:right w:val="none" w:sz="0" w:space="0" w:color="auto"/>
      </w:divBdr>
    </w:div>
    <w:div w:id="674069118">
      <w:bodyDiv w:val="1"/>
      <w:marLeft w:val="0"/>
      <w:marRight w:val="0"/>
      <w:marTop w:val="0"/>
      <w:marBottom w:val="0"/>
      <w:divBdr>
        <w:top w:val="none" w:sz="0" w:space="0" w:color="auto"/>
        <w:left w:val="none" w:sz="0" w:space="0" w:color="auto"/>
        <w:bottom w:val="none" w:sz="0" w:space="0" w:color="auto"/>
        <w:right w:val="none" w:sz="0" w:space="0" w:color="auto"/>
      </w:divBdr>
    </w:div>
    <w:div w:id="765082611">
      <w:bodyDiv w:val="1"/>
      <w:marLeft w:val="0"/>
      <w:marRight w:val="0"/>
      <w:marTop w:val="0"/>
      <w:marBottom w:val="0"/>
      <w:divBdr>
        <w:top w:val="none" w:sz="0" w:space="0" w:color="auto"/>
        <w:left w:val="none" w:sz="0" w:space="0" w:color="auto"/>
        <w:bottom w:val="none" w:sz="0" w:space="0" w:color="auto"/>
        <w:right w:val="none" w:sz="0" w:space="0" w:color="auto"/>
      </w:divBdr>
    </w:div>
    <w:div w:id="850993956">
      <w:bodyDiv w:val="1"/>
      <w:marLeft w:val="0"/>
      <w:marRight w:val="0"/>
      <w:marTop w:val="0"/>
      <w:marBottom w:val="0"/>
      <w:divBdr>
        <w:top w:val="none" w:sz="0" w:space="0" w:color="auto"/>
        <w:left w:val="none" w:sz="0" w:space="0" w:color="auto"/>
        <w:bottom w:val="none" w:sz="0" w:space="0" w:color="auto"/>
        <w:right w:val="none" w:sz="0" w:space="0" w:color="auto"/>
      </w:divBdr>
    </w:div>
    <w:div w:id="946232905">
      <w:bodyDiv w:val="1"/>
      <w:marLeft w:val="0"/>
      <w:marRight w:val="0"/>
      <w:marTop w:val="0"/>
      <w:marBottom w:val="0"/>
      <w:divBdr>
        <w:top w:val="none" w:sz="0" w:space="0" w:color="auto"/>
        <w:left w:val="none" w:sz="0" w:space="0" w:color="auto"/>
        <w:bottom w:val="none" w:sz="0" w:space="0" w:color="auto"/>
        <w:right w:val="none" w:sz="0" w:space="0" w:color="auto"/>
      </w:divBdr>
    </w:div>
    <w:div w:id="1059521984">
      <w:bodyDiv w:val="1"/>
      <w:marLeft w:val="0"/>
      <w:marRight w:val="0"/>
      <w:marTop w:val="0"/>
      <w:marBottom w:val="0"/>
      <w:divBdr>
        <w:top w:val="none" w:sz="0" w:space="0" w:color="auto"/>
        <w:left w:val="none" w:sz="0" w:space="0" w:color="auto"/>
        <w:bottom w:val="none" w:sz="0" w:space="0" w:color="auto"/>
        <w:right w:val="none" w:sz="0" w:space="0" w:color="auto"/>
      </w:divBdr>
    </w:div>
    <w:div w:id="1246064469">
      <w:bodyDiv w:val="1"/>
      <w:marLeft w:val="0"/>
      <w:marRight w:val="0"/>
      <w:marTop w:val="0"/>
      <w:marBottom w:val="0"/>
      <w:divBdr>
        <w:top w:val="none" w:sz="0" w:space="0" w:color="auto"/>
        <w:left w:val="none" w:sz="0" w:space="0" w:color="auto"/>
        <w:bottom w:val="none" w:sz="0" w:space="0" w:color="auto"/>
        <w:right w:val="none" w:sz="0" w:space="0" w:color="auto"/>
      </w:divBdr>
    </w:div>
    <w:div w:id="1253316393">
      <w:bodyDiv w:val="1"/>
      <w:marLeft w:val="0"/>
      <w:marRight w:val="0"/>
      <w:marTop w:val="0"/>
      <w:marBottom w:val="0"/>
      <w:divBdr>
        <w:top w:val="none" w:sz="0" w:space="0" w:color="auto"/>
        <w:left w:val="none" w:sz="0" w:space="0" w:color="auto"/>
        <w:bottom w:val="none" w:sz="0" w:space="0" w:color="auto"/>
        <w:right w:val="none" w:sz="0" w:space="0" w:color="auto"/>
      </w:divBdr>
    </w:div>
    <w:div w:id="1364211714">
      <w:bodyDiv w:val="1"/>
      <w:marLeft w:val="0"/>
      <w:marRight w:val="0"/>
      <w:marTop w:val="0"/>
      <w:marBottom w:val="0"/>
      <w:divBdr>
        <w:top w:val="none" w:sz="0" w:space="0" w:color="auto"/>
        <w:left w:val="none" w:sz="0" w:space="0" w:color="auto"/>
        <w:bottom w:val="none" w:sz="0" w:space="0" w:color="auto"/>
        <w:right w:val="none" w:sz="0" w:space="0" w:color="auto"/>
      </w:divBdr>
    </w:div>
    <w:div w:id="1548906244">
      <w:bodyDiv w:val="1"/>
      <w:marLeft w:val="0"/>
      <w:marRight w:val="0"/>
      <w:marTop w:val="0"/>
      <w:marBottom w:val="0"/>
      <w:divBdr>
        <w:top w:val="none" w:sz="0" w:space="0" w:color="auto"/>
        <w:left w:val="none" w:sz="0" w:space="0" w:color="auto"/>
        <w:bottom w:val="none" w:sz="0" w:space="0" w:color="auto"/>
        <w:right w:val="none" w:sz="0" w:space="0" w:color="auto"/>
      </w:divBdr>
    </w:div>
    <w:div w:id="1610240371">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63531583">
      <w:bodyDiv w:val="1"/>
      <w:marLeft w:val="0"/>
      <w:marRight w:val="0"/>
      <w:marTop w:val="0"/>
      <w:marBottom w:val="0"/>
      <w:divBdr>
        <w:top w:val="none" w:sz="0" w:space="0" w:color="auto"/>
        <w:left w:val="none" w:sz="0" w:space="0" w:color="auto"/>
        <w:bottom w:val="none" w:sz="0" w:space="0" w:color="auto"/>
        <w:right w:val="none" w:sz="0" w:space="0" w:color="auto"/>
      </w:divBdr>
    </w:div>
    <w:div w:id="1788816196">
      <w:bodyDiv w:val="1"/>
      <w:marLeft w:val="0"/>
      <w:marRight w:val="0"/>
      <w:marTop w:val="0"/>
      <w:marBottom w:val="0"/>
      <w:divBdr>
        <w:top w:val="none" w:sz="0" w:space="0" w:color="auto"/>
        <w:left w:val="none" w:sz="0" w:space="0" w:color="auto"/>
        <w:bottom w:val="none" w:sz="0" w:space="0" w:color="auto"/>
        <w:right w:val="none" w:sz="0" w:space="0" w:color="auto"/>
      </w:divBdr>
    </w:div>
    <w:div w:id="1877696204">
      <w:bodyDiv w:val="1"/>
      <w:marLeft w:val="0"/>
      <w:marRight w:val="0"/>
      <w:marTop w:val="0"/>
      <w:marBottom w:val="0"/>
      <w:divBdr>
        <w:top w:val="none" w:sz="0" w:space="0" w:color="auto"/>
        <w:left w:val="none" w:sz="0" w:space="0" w:color="auto"/>
        <w:bottom w:val="none" w:sz="0" w:space="0" w:color="auto"/>
        <w:right w:val="none" w:sz="0" w:space="0" w:color="auto"/>
      </w:divBdr>
    </w:div>
    <w:div w:id="1922569004">
      <w:bodyDiv w:val="1"/>
      <w:marLeft w:val="0"/>
      <w:marRight w:val="0"/>
      <w:marTop w:val="0"/>
      <w:marBottom w:val="0"/>
      <w:divBdr>
        <w:top w:val="none" w:sz="0" w:space="0" w:color="auto"/>
        <w:left w:val="none" w:sz="0" w:space="0" w:color="auto"/>
        <w:bottom w:val="none" w:sz="0" w:space="0" w:color="auto"/>
        <w:right w:val="none" w:sz="0" w:space="0" w:color="auto"/>
      </w:divBdr>
    </w:div>
    <w:div w:id="210537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24-en.pdf" TargetMode="External"/><Relationship Id="rId26" Type="http://schemas.openxmlformats.org/officeDocument/2006/relationships/hyperlink" Target="https://www.cbd.int/doc/decisions/cop-13/cop-13-dec-23-en.pdf" TargetMode="External"/><Relationship Id="rId3" Type="http://schemas.openxmlformats.org/officeDocument/2006/relationships/customXml" Target="../customXml/item3.xml"/><Relationship Id="rId21" Type="http://schemas.openxmlformats.org/officeDocument/2006/relationships/hyperlink" Target="https://www.cbd.int/doc/decisions/cp-mop-09/cp-mop-09-dec-03-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6-en.pdf" TargetMode="External"/><Relationship Id="rId25" Type="http://schemas.openxmlformats.org/officeDocument/2006/relationships/hyperlink" Target="https://www.cbd.int/doc/notifications/2020/ntf-2020-001-post2020-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hyperlink" Target="https://www.cbd.int/doc/decisions/cop-14/cop-14-dec-24-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2/cop-12-dec-02-en.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3/cop-13-dec-23-en.pdf" TargetMode="External"/><Relationship Id="rId23" Type="http://schemas.openxmlformats.org/officeDocument/2006/relationships/hyperlink" Target="https://www.cbd.int/doc/decisions/cop-11/cop-11-dec-29-en.pdf" TargetMode="External"/><Relationship Id="rId28" Type="http://schemas.openxmlformats.org/officeDocument/2006/relationships/hyperlink" Target="https://www.cbd.int/doc/decisions/cop-14/cop-14-dec-24-en.pdf" TargetMode="External"/><Relationship Id="rId10" Type="http://schemas.openxmlformats.org/officeDocument/2006/relationships/footnotes" Target="footnotes.xml"/><Relationship Id="rId19" Type="http://schemas.openxmlformats.org/officeDocument/2006/relationships/hyperlink" Target="https://www.cbd.int/doc/decisions/cop-13/cop-13-dec-23-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c/86da/c63f/5d6fed430f3528446fce1a2a/sbi-03-01-add1-rev2-en.pdf" TargetMode="External"/><Relationship Id="rId27" Type="http://schemas.openxmlformats.org/officeDocument/2006/relationships/hyperlink" Target="https://www.cbd.int/doc/decisions/cop-14/cop-14-dec-24-en.pdf"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ippc.int/en/core-activities/capacity-development/ippc-capacity-building-strategy/" TargetMode="External"/><Relationship Id="rId18" Type="http://schemas.openxmlformats.org/officeDocument/2006/relationships/hyperlink" Target="https://www.cbd.int/conferences/post2020" TargetMode="External"/><Relationship Id="rId26" Type="http://schemas.openxmlformats.org/officeDocument/2006/relationships/hyperlink" Target="https://www.gbif.org/search?q=GRIIS" TargetMode="External"/><Relationship Id="rId39" Type="http://schemas.openxmlformats.org/officeDocument/2006/relationships/hyperlink" Target="https://www.cbd.int/invasive/lg/" TargetMode="External"/><Relationship Id="rId3" Type="http://schemas.openxmlformats.org/officeDocument/2006/relationships/hyperlink" Target="https://demo.chm-cbd.net/" TargetMode="External"/><Relationship Id="rId21" Type="http://schemas.openxmlformats.org/officeDocument/2006/relationships/hyperlink" Target="https://www.cbd.int/conferences/post2020/brc-ws" TargetMode="External"/><Relationship Id="rId34" Type="http://schemas.openxmlformats.org/officeDocument/2006/relationships/hyperlink" Target="https://www.cbd.int/restoration/feri/" TargetMode="External"/><Relationship Id="rId42" Type="http://schemas.openxmlformats.org/officeDocument/2006/relationships/hyperlink" Target="https://undocs.org/CEB/2020/1" TargetMode="External"/><Relationship Id="rId47" Type="http://schemas.openxmlformats.org/officeDocument/2006/relationships/hyperlink" Target="https://unsdg.un.org/resources/theory-change-undaf-companion-guidance" TargetMode="External"/><Relationship Id="rId50" Type="http://schemas.openxmlformats.org/officeDocument/2006/relationships/hyperlink" Target="https://www.undp.org/content/undp/en/home/librarypage/capacity-building/incentive-systems-incentives-motivation-and-development-performance-.html" TargetMode="External"/><Relationship Id="rId7" Type="http://schemas.openxmlformats.org/officeDocument/2006/relationships/hyperlink" Target="https://www.idlo.int/fr/what-we-do/initiatives/capacity-building-programme-support-implementation-nagoya-protocol" TargetMode="External"/><Relationship Id="rId12" Type="http://schemas.openxmlformats.org/officeDocument/2006/relationships/hyperlink" Target="https://www.cms.int/en/document/capacity-building-strategy" TargetMode="External"/><Relationship Id="rId17" Type="http://schemas.openxmlformats.org/officeDocument/2006/relationships/hyperlink" Target="https://ipbes.net/building-capacity" TargetMode="External"/><Relationship Id="rId25" Type="http://schemas.openxmlformats.org/officeDocument/2006/relationships/hyperlink" Target="http://boldsystems.org/" TargetMode="External"/><Relationship Id="rId33" Type="http://schemas.openxmlformats.org/officeDocument/2006/relationships/hyperlink" Target="https://www.cbd.int/programmes/cross-cutting/technology/search.aspx" TargetMode="External"/><Relationship Id="rId38" Type="http://schemas.openxmlformats.org/officeDocument/2006/relationships/hyperlink" Target="http://www.fao.org/forestry/wildlife-partnership/en/" TargetMode="External"/><Relationship Id="rId46" Type="http://schemas.openxmlformats.org/officeDocument/2006/relationships/hyperlink" Target="https://warwick.ac.uk/fac/soc/wbs/conf/olkc/archive/olk4/papers/villardi.pdf" TargetMode="External"/><Relationship Id="rId2" Type="http://schemas.openxmlformats.org/officeDocument/2006/relationships/hyperlink" Target="https://www.cbd.int/cb/BioCAP/" TargetMode="External"/><Relationship Id="rId16" Type="http://schemas.openxmlformats.org/officeDocument/2006/relationships/hyperlink" Target="https://whc.unesco.org/archive/2011/whc11-35com-9Be.pdf" TargetMode="External"/><Relationship Id="rId20" Type="http://schemas.openxmlformats.org/officeDocument/2006/relationships/hyperlink" Target="https://www.cbd.int/doc/c/f67e/c87d/4019382c7c428ec22d56abce/sbi-03-18-en.pdf" TargetMode="External"/><Relationship Id="rId29" Type="http://schemas.openxmlformats.org/officeDocument/2006/relationships/hyperlink" Target="https://www.mdpi.com/2071-1050/11/10/2780" TargetMode="External"/><Relationship Id="rId41" Type="http://schemas.openxmlformats.org/officeDocument/2006/relationships/hyperlink" Target="https://www.cbd.int/doc/c/e660/b9bf/9cb474bfb0e1ed9c4fa03cba/sbi-03-07-add1-en.pdf" TargetMode="External"/><Relationship Id="rId1" Type="http://schemas.openxmlformats.org/officeDocument/2006/relationships/hyperlink" Target="https://documents-dds-ny.un.org/doc/UNDOC/GEN/N15/291/89/pdf/N1529189.pdf?OpenElement" TargetMode="External"/><Relationship Id="rId6" Type="http://schemas.openxmlformats.org/officeDocument/2006/relationships/hyperlink" Target="http://bch.cbd.int/onlineconferences/portal_detection/lab_network.shtml" TargetMode="External"/><Relationship Id="rId11" Type="http://schemas.openxmlformats.org/officeDocument/2006/relationships/hyperlink" Target="https://www.cites.org/eng/prog/capacity_building/index.php" TargetMode="External"/><Relationship Id="rId24" Type="http://schemas.openxmlformats.org/officeDocument/2006/relationships/hyperlink" Target="https://www.biodiversitylibrary.org/" TargetMode="External"/><Relationship Id="rId32" Type="http://schemas.openxmlformats.org/officeDocument/2006/relationships/hyperlink" Target="https://www.cbd.int/conferences/2018/parallel-meetings/innovation-fair" TargetMode="External"/><Relationship Id="rId37" Type="http://schemas.openxmlformats.org/officeDocument/2006/relationships/hyperlink" Target="https://www.plants2020.net/news/1556/" TargetMode="External"/><Relationship Id="rId40" Type="http://schemas.openxmlformats.org/officeDocument/2006/relationships/hyperlink" Target="https://www.un.org/pga/75/united-nations-summit-on-biodiversity-summary" TargetMode="External"/><Relationship Id="rId45" Type="http://schemas.openxmlformats.org/officeDocument/2006/relationships/hyperlink" Target="https://unsdg.un.org/resources/capacity-development-undaf-companion-guidance" TargetMode="External"/><Relationship Id="rId5" Type="http://schemas.openxmlformats.org/officeDocument/2006/relationships/hyperlink" Target="http://www.biodiversityfinance.net/regional-nodes" TargetMode="External"/><Relationship Id="rId15" Type="http://schemas.openxmlformats.org/officeDocument/2006/relationships/hyperlink" Target="https://www.ramsar.org/sites/default/files/documents/library/cepa_programme_2016_2024_e.pdf" TargetMode="External"/><Relationship Id="rId23" Type="http://schemas.openxmlformats.org/officeDocument/2006/relationships/hyperlink" Target="https://www.cbd.int/cb/strategic-framework/" TargetMode="External"/><Relationship Id="rId28" Type="http://schemas.openxmlformats.org/officeDocument/2006/relationships/hyperlink" Target="https://cetaf.org/services/natural-science-collections-and-access-and-benefit-sharing" TargetMode="External"/><Relationship Id="rId36" Type="http://schemas.openxmlformats.org/officeDocument/2006/relationships/hyperlink" Target="https://www.cbd.int/soi/" TargetMode="External"/><Relationship Id="rId49" Type="http://schemas.openxmlformats.org/officeDocument/2006/relationships/hyperlink" Target="https://www.unicef.org/evaldatabase/index_70552.html" TargetMode="External"/><Relationship Id="rId10" Type="http://schemas.openxmlformats.org/officeDocument/2006/relationships/hyperlink" Target="https://www.cbd.int/cb/" TargetMode="External"/><Relationship Id="rId19" Type="http://schemas.openxmlformats.org/officeDocument/2006/relationships/hyperlink" Target="https://bch.cbd.int/protocol/post2020/portal/review.shtml" TargetMode="External"/><Relationship Id="rId31" Type="http://schemas.openxmlformats.org/officeDocument/2006/relationships/hyperlink" Target="https://www.cbd.int/doc/notifications/2020/ntf-2020-042-bbi-en.pdf" TargetMode="External"/><Relationship Id="rId44" Type="http://schemas.openxmlformats.org/officeDocument/2006/relationships/hyperlink" Target="https://www.cbd.int/doc/c/0ab8/2d14/07d2c32c7c92ee730c6e3e58/sbi-03-inf-09-en.pdf" TargetMode="External"/><Relationship Id="rId52" Type="http://schemas.openxmlformats.org/officeDocument/2006/relationships/hyperlink" Target="http://www.cbd.int/blg/" TargetMode="External"/><Relationship Id="rId4" Type="http://schemas.openxmlformats.org/officeDocument/2006/relationships/hyperlink" Target="https://www.cbd.int/doc/c/6ad1/da5a/ddb684c5c9b0491c89d35872/sbstta-23-inf-18-en.pdf" TargetMode="External"/><Relationship Id="rId9" Type="http://schemas.openxmlformats.org/officeDocument/2006/relationships/hyperlink" Target="https://www.iucn.org/sites/dev/files/capacity_building_and_synergies_-_contribution_to_the_long-term_strategic_framework_for_capacity_building.pdf" TargetMode="External"/><Relationship Id="rId14" Type="http://schemas.openxmlformats.org/officeDocument/2006/relationships/hyperlink" Target="http://www.fao.org/3/na904en/na904en.pdf" TargetMode="External"/><Relationship Id="rId22" Type="http://schemas.openxmlformats.org/officeDocument/2006/relationships/hyperlink" Target="https://www.cbd.int/cb/discussion-forum/" TargetMode="External"/><Relationship Id="rId27" Type="http://schemas.openxmlformats.org/officeDocument/2006/relationships/hyperlink" Target="https://absch.cbd.int/database/VLR/ABSCH-VLR-SCBD-239199" TargetMode="External"/><Relationship Id="rId30" Type="http://schemas.openxmlformats.org/officeDocument/2006/relationships/hyperlink" Target="https://www.cbd.int/biobridge/projects/selected" TargetMode="External"/><Relationship Id="rId35" Type="http://schemas.openxmlformats.org/officeDocument/2006/relationships/hyperlink" Target="https://www.cbd.int/meetings/SOI-OM-2018-01" TargetMode="External"/><Relationship Id="rId43" Type="http://schemas.openxmlformats.org/officeDocument/2006/relationships/hyperlink" Target="https://documents-dds-ny.un.org/doc/UNDOC/GEN/N15/291/89/pdf/N1529189.pdf?OpenElement" TargetMode="External"/><Relationship Id="rId48" Type="http://schemas.openxmlformats.org/officeDocument/2006/relationships/hyperlink" Target="https://www.cbd.int/cb/plans/" TargetMode="External"/><Relationship Id="rId8" Type="http://schemas.openxmlformats.org/officeDocument/2006/relationships/hyperlink" Target="https://www.cbd.int/doc/c/0ab8/2d14/07d2c32c7c92ee730c6e3e58/sbi-03-inf-09-en.pdf" TargetMode="External"/><Relationship Id="rId51" Type="http://schemas.openxmlformats.org/officeDocument/2006/relationships/hyperlink" Target="https://unemg.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BEB20ED685304A1C91A992BF91A9937D"/>
        <w:category>
          <w:name w:val="General"/>
          <w:gallery w:val="placeholder"/>
        </w:category>
        <w:types>
          <w:type w:val="bbPlcHdr"/>
        </w:types>
        <w:behaviors>
          <w:behavior w:val="content"/>
        </w:behaviors>
        <w:guid w:val="{D810AD31-C83B-4CA0-AD30-FA99814E1DE6}"/>
      </w:docPartPr>
      <w:docPartBody>
        <w:p w:rsidR="00D34167" w:rsidRDefault="00C21165" w:rsidP="00C21165">
          <w:pPr>
            <w:pStyle w:val="BEB20ED685304A1C91A992BF91A9937D"/>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TimesNewRomanPS">
    <w:altName w:val="Times New Roman"/>
    <w:panose1 w:val="00000000000000000000"/>
    <w:charset w:val="00"/>
    <w:family w:val="roman"/>
    <w:notTrueType/>
    <w:pitch w:val="default"/>
  </w:font>
  <w:font w:name="Times New Roman (Headings C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948"/>
    <w:rsid w:val="00023963"/>
    <w:rsid w:val="00037BC0"/>
    <w:rsid w:val="000D0297"/>
    <w:rsid w:val="000F2679"/>
    <w:rsid w:val="000F5BAC"/>
    <w:rsid w:val="000F6409"/>
    <w:rsid w:val="00117631"/>
    <w:rsid w:val="001B6F83"/>
    <w:rsid w:val="001D1A1F"/>
    <w:rsid w:val="001D6888"/>
    <w:rsid w:val="002012A3"/>
    <w:rsid w:val="00285278"/>
    <w:rsid w:val="0029542F"/>
    <w:rsid w:val="0030091C"/>
    <w:rsid w:val="00303991"/>
    <w:rsid w:val="00333B44"/>
    <w:rsid w:val="00333B95"/>
    <w:rsid w:val="00397CA9"/>
    <w:rsid w:val="003A69E4"/>
    <w:rsid w:val="0041163D"/>
    <w:rsid w:val="00440583"/>
    <w:rsid w:val="004467AA"/>
    <w:rsid w:val="004527B7"/>
    <w:rsid w:val="004923F3"/>
    <w:rsid w:val="004D5E28"/>
    <w:rsid w:val="004E15D7"/>
    <w:rsid w:val="00500A2B"/>
    <w:rsid w:val="0058288D"/>
    <w:rsid w:val="005D1605"/>
    <w:rsid w:val="005E174F"/>
    <w:rsid w:val="005E1873"/>
    <w:rsid w:val="005F4529"/>
    <w:rsid w:val="00616617"/>
    <w:rsid w:val="006801B3"/>
    <w:rsid w:val="006E7EB0"/>
    <w:rsid w:val="006F619D"/>
    <w:rsid w:val="00727E88"/>
    <w:rsid w:val="00747D88"/>
    <w:rsid w:val="00751C45"/>
    <w:rsid w:val="007634AC"/>
    <w:rsid w:val="00776207"/>
    <w:rsid w:val="007D5894"/>
    <w:rsid w:val="00807F12"/>
    <w:rsid w:val="00810A55"/>
    <w:rsid w:val="008116BD"/>
    <w:rsid w:val="0083766C"/>
    <w:rsid w:val="00847667"/>
    <w:rsid w:val="0086239A"/>
    <w:rsid w:val="00865C77"/>
    <w:rsid w:val="00880429"/>
    <w:rsid w:val="008A7BD9"/>
    <w:rsid w:val="008C6619"/>
    <w:rsid w:val="008D420E"/>
    <w:rsid w:val="008D609C"/>
    <w:rsid w:val="00901513"/>
    <w:rsid w:val="00911AAE"/>
    <w:rsid w:val="0092781A"/>
    <w:rsid w:val="00950AEC"/>
    <w:rsid w:val="0098642F"/>
    <w:rsid w:val="00A11EDF"/>
    <w:rsid w:val="00A4747D"/>
    <w:rsid w:val="00A47E45"/>
    <w:rsid w:val="00A74413"/>
    <w:rsid w:val="00A8033D"/>
    <w:rsid w:val="00A856A1"/>
    <w:rsid w:val="00AA6880"/>
    <w:rsid w:val="00AA7B1C"/>
    <w:rsid w:val="00AD6C05"/>
    <w:rsid w:val="00AE1C04"/>
    <w:rsid w:val="00B065B4"/>
    <w:rsid w:val="00B61CD1"/>
    <w:rsid w:val="00B763F6"/>
    <w:rsid w:val="00C02070"/>
    <w:rsid w:val="00C06562"/>
    <w:rsid w:val="00C2005C"/>
    <w:rsid w:val="00C21165"/>
    <w:rsid w:val="00C259AE"/>
    <w:rsid w:val="00C72AB6"/>
    <w:rsid w:val="00C80416"/>
    <w:rsid w:val="00C809B3"/>
    <w:rsid w:val="00C818B6"/>
    <w:rsid w:val="00C960D0"/>
    <w:rsid w:val="00CA4BAB"/>
    <w:rsid w:val="00D22BEF"/>
    <w:rsid w:val="00D34167"/>
    <w:rsid w:val="00D5736B"/>
    <w:rsid w:val="00D67694"/>
    <w:rsid w:val="00D7246A"/>
    <w:rsid w:val="00D77967"/>
    <w:rsid w:val="00D87A96"/>
    <w:rsid w:val="00D91E36"/>
    <w:rsid w:val="00D9364B"/>
    <w:rsid w:val="00E004C9"/>
    <w:rsid w:val="00E077B8"/>
    <w:rsid w:val="00E25D43"/>
    <w:rsid w:val="00E4791A"/>
    <w:rsid w:val="00EA0AD0"/>
    <w:rsid w:val="00ED3DA8"/>
    <w:rsid w:val="00F1166D"/>
    <w:rsid w:val="00F243B6"/>
    <w:rsid w:val="00F3578B"/>
    <w:rsid w:val="00F35F0D"/>
    <w:rsid w:val="00FA14C1"/>
    <w:rsid w:val="00FA2FF7"/>
    <w:rsid w:val="00FA49BB"/>
    <w:rsid w:val="00FA56CC"/>
    <w:rsid w:val="00FC1C29"/>
    <w:rsid w:val="00FC26E3"/>
    <w:rsid w:val="00FE64DD"/>
    <w:rsid w:val="00FF2E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1163D"/>
    <w:rPr>
      <w:color w:val="808080"/>
    </w:rPr>
  </w:style>
  <w:style w:type="paragraph" w:customStyle="1" w:styleId="BEB20ED685304A1C91A992BF91A9937D">
    <w:name w:val="BEB20ED685304A1C91A992BF91A9937D"/>
    <w:rsid w:val="00C21165"/>
    <w:pPr>
      <w:spacing w:after="160" w:line="259" w:lineRule="auto"/>
    </w:pPr>
    <w:rPr>
      <w:lang w:val="en-CA" w:eastAsia="en-CA"/>
    </w:rPr>
  </w:style>
  <w:style w:type="paragraph" w:customStyle="1" w:styleId="36020B6D25CE4D2E83A24962CFCD0053">
    <w:name w:val="36020B6D25CE4D2E83A24962CFCD0053"/>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4.xml><?xml version="1.0" encoding="utf-8"?>
<ds:datastoreItem xmlns:ds="http://schemas.openxmlformats.org/officeDocument/2006/customXml" ds:itemID="{F21639EA-90F2-4711-BDF6-BC7B731D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D9405A-3525-479F-8FE7-E926AFC6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3135</TotalTime>
  <Pages>23</Pages>
  <Words>11762</Words>
  <Characters>67047</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Capacity development, technical and scientific cooperation and technology transfer</vt:lpstr>
    </vt:vector>
  </TitlesOfParts>
  <Company>SCBD</Company>
  <LinksUpToDate>false</LinksUpToDate>
  <CharactersWithSpaces>78652</CharactersWithSpaces>
  <SharedDoc>false</SharedDoc>
  <HLinks>
    <vt:vector size="408" baseType="variant">
      <vt:variant>
        <vt:i4>720968</vt:i4>
      </vt:variant>
      <vt:variant>
        <vt:i4>45</vt:i4>
      </vt:variant>
      <vt:variant>
        <vt:i4>0</vt:i4>
      </vt:variant>
      <vt:variant>
        <vt:i4>5</vt:i4>
      </vt:variant>
      <vt:variant>
        <vt:lpwstr>https://www.cbd.int/doc/decisions/cop-14/cop-14-dec-24-en.pdf</vt:lpwstr>
      </vt:variant>
      <vt:variant>
        <vt:lpwstr/>
      </vt:variant>
      <vt:variant>
        <vt:i4>3080301</vt:i4>
      </vt:variant>
      <vt:variant>
        <vt:i4>42</vt:i4>
      </vt:variant>
      <vt:variant>
        <vt:i4>0</vt:i4>
      </vt:variant>
      <vt:variant>
        <vt:i4>5</vt:i4>
      </vt:variant>
      <vt:variant>
        <vt:lpwstr>https://www.cbd.int/doc/notifications/2020/ntf-2020-001-post2020-en.pdf</vt:lpwstr>
      </vt:variant>
      <vt:variant>
        <vt:lpwstr/>
      </vt:variant>
      <vt:variant>
        <vt:i4>720972</vt:i4>
      </vt:variant>
      <vt:variant>
        <vt:i4>39</vt:i4>
      </vt:variant>
      <vt:variant>
        <vt:i4>0</vt:i4>
      </vt:variant>
      <vt:variant>
        <vt:i4>5</vt:i4>
      </vt:variant>
      <vt:variant>
        <vt:lpwstr>https://www.cbd.int/doc/decisions/cop-12/cop-12-dec-02-en.pdf</vt:lpwstr>
      </vt:variant>
      <vt:variant>
        <vt:lpwstr/>
      </vt:variant>
      <vt:variant>
        <vt:i4>196685</vt:i4>
      </vt:variant>
      <vt:variant>
        <vt:i4>36</vt:i4>
      </vt:variant>
      <vt:variant>
        <vt:i4>0</vt:i4>
      </vt:variant>
      <vt:variant>
        <vt:i4>5</vt:i4>
      </vt:variant>
      <vt:variant>
        <vt:lpwstr>https://www.cbd.int/doc/decisions/cop-11/cop-11-dec-29-en.pdf</vt:lpwstr>
      </vt:variant>
      <vt:variant>
        <vt:lpwstr/>
      </vt:variant>
      <vt:variant>
        <vt:i4>7143472</vt:i4>
      </vt:variant>
      <vt:variant>
        <vt:i4>33</vt:i4>
      </vt:variant>
      <vt:variant>
        <vt:i4>0</vt:i4>
      </vt:variant>
      <vt:variant>
        <vt:i4>5</vt:i4>
      </vt:variant>
      <vt:variant>
        <vt:lpwstr>https://www.cbd.int/doc/c/86da/c63f/5d6fed430f3528446fce1a2a/sbi-03-01-add1-rev2-en.pdf</vt:lpwstr>
      </vt:variant>
      <vt:variant>
        <vt:lpwstr/>
      </vt:variant>
      <vt:variant>
        <vt:i4>7536689</vt:i4>
      </vt:variant>
      <vt:variant>
        <vt:i4>30</vt:i4>
      </vt:variant>
      <vt:variant>
        <vt:i4>0</vt:i4>
      </vt:variant>
      <vt:variant>
        <vt:i4>5</vt:i4>
      </vt:variant>
      <vt:variant>
        <vt:lpwstr>https://www.cbd.int/doc/decisions/cp-mop-09/cp-mop-09-dec-07-en.pdf</vt:lpwstr>
      </vt:variant>
      <vt:variant>
        <vt:lpwstr/>
      </vt:variant>
      <vt:variant>
        <vt:i4>7798833</vt:i4>
      </vt:variant>
      <vt:variant>
        <vt:i4>27</vt:i4>
      </vt:variant>
      <vt:variant>
        <vt:i4>0</vt:i4>
      </vt:variant>
      <vt:variant>
        <vt:i4>5</vt:i4>
      </vt:variant>
      <vt:variant>
        <vt:lpwstr>https://www.cbd.int/doc/decisions/cp-mop-09/cp-mop-09-dec-03-en.pdf</vt:lpwstr>
      </vt:variant>
      <vt:variant>
        <vt:lpwstr/>
      </vt:variant>
      <vt:variant>
        <vt:i4>720968</vt:i4>
      </vt:variant>
      <vt:variant>
        <vt:i4>24</vt:i4>
      </vt:variant>
      <vt:variant>
        <vt:i4>0</vt:i4>
      </vt:variant>
      <vt:variant>
        <vt:i4>5</vt:i4>
      </vt:variant>
      <vt:variant>
        <vt:lpwstr>https://www.cbd.int/doc/decisions/cop-14/cop-14-dec-24-en.pdf</vt:lpwstr>
      </vt:variant>
      <vt:variant>
        <vt:lpwstr/>
      </vt:variant>
      <vt:variant>
        <vt:i4>720975</vt:i4>
      </vt:variant>
      <vt:variant>
        <vt:i4>21</vt:i4>
      </vt:variant>
      <vt:variant>
        <vt:i4>0</vt:i4>
      </vt:variant>
      <vt:variant>
        <vt:i4>5</vt:i4>
      </vt:variant>
      <vt:variant>
        <vt:lpwstr>https://www.cbd.int/doc/decisions/cop-13/cop-13-dec-23-en.pdf</vt:lpwstr>
      </vt:variant>
      <vt:variant>
        <vt:lpwstr/>
      </vt:variant>
      <vt:variant>
        <vt:i4>327767</vt:i4>
      </vt:variant>
      <vt:variant>
        <vt:i4>18</vt:i4>
      </vt:variant>
      <vt:variant>
        <vt:i4>0</vt:i4>
      </vt:variant>
      <vt:variant>
        <vt:i4>5</vt:i4>
      </vt:variant>
      <vt:variant>
        <vt:lpwstr>https://www.cbd.int/doc/c/6ad1/da5a/ddb684c5c9b0491c89d35872/sbstta-23-inf-18-en.pdf</vt:lpwstr>
      </vt:variant>
      <vt:variant>
        <vt:lpwstr/>
      </vt:variant>
      <vt:variant>
        <vt:i4>786511</vt:i4>
      </vt:variant>
      <vt:variant>
        <vt:i4>15</vt:i4>
      </vt:variant>
      <vt:variant>
        <vt:i4>0</vt:i4>
      </vt:variant>
      <vt:variant>
        <vt:i4>5</vt:i4>
      </vt:variant>
      <vt:variant>
        <vt:lpwstr>https://www.cbd.int/doc/decisions/cop-13/cop-13-dec-24-en.pdf</vt:lpwstr>
      </vt:variant>
      <vt:variant>
        <vt:lpwstr/>
      </vt:variant>
      <vt:variant>
        <vt:i4>1441882</vt:i4>
      </vt:variant>
      <vt:variant>
        <vt:i4>9</vt:i4>
      </vt:variant>
      <vt:variant>
        <vt:i4>0</vt:i4>
      </vt:variant>
      <vt:variant>
        <vt:i4>5</vt:i4>
      </vt:variant>
      <vt:variant>
        <vt:lpwstr>https://www.cbd.int/doc/recommendations/sbstta-23/sbstta-23-rec-06-en.pdf</vt:lpwstr>
      </vt:variant>
      <vt:variant>
        <vt:lpwstr/>
      </vt: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3407921</vt:i4>
      </vt:variant>
      <vt:variant>
        <vt:i4>150</vt:i4>
      </vt:variant>
      <vt:variant>
        <vt:i4>0</vt:i4>
      </vt:variant>
      <vt:variant>
        <vt:i4>5</vt:i4>
      </vt:variant>
      <vt:variant>
        <vt:lpwstr>http://www.cbd.int/blg/</vt:lpwstr>
      </vt:variant>
      <vt:variant>
        <vt:lpwstr/>
      </vt:variant>
      <vt:variant>
        <vt:i4>6357055</vt:i4>
      </vt:variant>
      <vt:variant>
        <vt:i4>147</vt:i4>
      </vt:variant>
      <vt:variant>
        <vt:i4>0</vt:i4>
      </vt:variant>
      <vt:variant>
        <vt:i4>5</vt:i4>
      </vt:variant>
      <vt:variant>
        <vt:lpwstr>https://unemg.org/</vt:lpwstr>
      </vt:variant>
      <vt:variant>
        <vt:lpwstr/>
      </vt:variant>
      <vt:variant>
        <vt:i4>3211322</vt:i4>
      </vt:variant>
      <vt:variant>
        <vt:i4>144</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138</vt:i4>
      </vt:variant>
      <vt:variant>
        <vt:i4>0</vt:i4>
      </vt:variant>
      <vt:variant>
        <vt:i4>5</vt:i4>
      </vt:variant>
      <vt:variant>
        <vt:lpwstr>https://www.unicef.org/evaldatabase/index_70552.html</vt:lpwstr>
      </vt:variant>
      <vt:variant>
        <vt:lpwstr/>
      </vt:variant>
      <vt:variant>
        <vt:i4>3014719</vt:i4>
      </vt:variant>
      <vt:variant>
        <vt:i4>135</vt:i4>
      </vt:variant>
      <vt:variant>
        <vt:i4>0</vt:i4>
      </vt:variant>
      <vt:variant>
        <vt:i4>5</vt:i4>
      </vt:variant>
      <vt:variant>
        <vt:lpwstr>https://www.cbd.int/cb/plans.shtml</vt:lpwstr>
      </vt:variant>
      <vt:variant>
        <vt:lpwstr/>
      </vt:variant>
      <vt:variant>
        <vt:i4>589901</vt:i4>
      </vt:variant>
      <vt:variant>
        <vt:i4>132</vt:i4>
      </vt:variant>
      <vt:variant>
        <vt:i4>0</vt:i4>
      </vt:variant>
      <vt:variant>
        <vt:i4>5</vt:i4>
      </vt:variant>
      <vt:variant>
        <vt:lpwstr>https://unsdg.un.org/resources/theory-change-undaf-companion-guidance</vt:lpwstr>
      </vt:variant>
      <vt:variant>
        <vt:lpwstr/>
      </vt:variant>
      <vt:variant>
        <vt:i4>6029400</vt:i4>
      </vt:variant>
      <vt:variant>
        <vt:i4>129</vt:i4>
      </vt:variant>
      <vt:variant>
        <vt:i4>0</vt:i4>
      </vt:variant>
      <vt:variant>
        <vt:i4>5</vt:i4>
      </vt:variant>
      <vt:variant>
        <vt:lpwstr>https://warwick.ac.uk/fac/soc/wbs/conf/olkc/archive/olk4/papers/villardi.pdf</vt:lpwstr>
      </vt:variant>
      <vt:variant>
        <vt:lpwstr/>
      </vt:variant>
      <vt:variant>
        <vt:i4>5505033</vt:i4>
      </vt:variant>
      <vt:variant>
        <vt:i4>126</vt:i4>
      </vt:variant>
      <vt:variant>
        <vt:i4>0</vt:i4>
      </vt:variant>
      <vt:variant>
        <vt:i4>5</vt:i4>
      </vt:variant>
      <vt:variant>
        <vt:lpwstr>https://unsdg.un.org/resources/capacity-development-undaf-companion-guidance</vt:lpwstr>
      </vt:variant>
      <vt:variant>
        <vt:lpwstr/>
      </vt:variant>
      <vt:variant>
        <vt:i4>6029324</vt:i4>
      </vt:variant>
      <vt:variant>
        <vt:i4>123</vt:i4>
      </vt:variant>
      <vt:variant>
        <vt:i4>0</vt:i4>
      </vt:variant>
      <vt:variant>
        <vt:i4>5</vt:i4>
      </vt:variant>
      <vt:variant>
        <vt:lpwstr>https://documents-dds-ny.un.org/doc/UNDOC/GEN/N15/291/89/pdf/N1529189.pdf?OpenElement</vt:lpwstr>
      </vt:variant>
      <vt:variant>
        <vt:lpwstr/>
      </vt:variant>
      <vt:variant>
        <vt:i4>4456535</vt:i4>
      </vt:variant>
      <vt:variant>
        <vt:i4>120</vt:i4>
      </vt:variant>
      <vt:variant>
        <vt:i4>0</vt:i4>
      </vt:variant>
      <vt:variant>
        <vt:i4>5</vt:i4>
      </vt:variant>
      <vt:variant>
        <vt:lpwstr>https://www.un.org/sg/en/content/sg/note-correspondents/2020-05-14/note-correspondents-the-virtual-meeting-of-the-chief-executives-board</vt:lpwstr>
      </vt:variant>
      <vt:variant>
        <vt:lpwstr/>
      </vt:variant>
      <vt:variant>
        <vt:i4>327688</vt:i4>
      </vt:variant>
      <vt:variant>
        <vt:i4>117</vt:i4>
      </vt:variant>
      <vt:variant>
        <vt:i4>0</vt:i4>
      </vt:variant>
      <vt:variant>
        <vt:i4>5</vt:i4>
      </vt:variant>
      <vt:variant>
        <vt:lpwstr>https://www.cbd.int/invasive/lg/</vt:lpwstr>
      </vt:variant>
      <vt:variant>
        <vt:lpwstr/>
      </vt:variant>
      <vt:variant>
        <vt:i4>6094930</vt:i4>
      </vt:variant>
      <vt:variant>
        <vt:i4>114</vt:i4>
      </vt:variant>
      <vt:variant>
        <vt:i4>0</vt:i4>
      </vt:variant>
      <vt:variant>
        <vt:i4>5</vt:i4>
      </vt:variant>
      <vt:variant>
        <vt:lpwstr>http://www.fao.org/forestry/wildlife-partnership/en/</vt:lpwstr>
      </vt:variant>
      <vt:variant>
        <vt:lpwstr/>
      </vt:variant>
      <vt:variant>
        <vt:i4>1441875</vt:i4>
      </vt:variant>
      <vt:variant>
        <vt:i4>111</vt:i4>
      </vt:variant>
      <vt:variant>
        <vt:i4>0</vt:i4>
      </vt:variant>
      <vt:variant>
        <vt:i4>5</vt:i4>
      </vt:variant>
      <vt:variant>
        <vt:lpwstr>https://www.plants2020.net/news/1556/</vt:lpwstr>
      </vt:variant>
      <vt:variant>
        <vt:lpwstr/>
      </vt:variant>
      <vt:variant>
        <vt:i4>327744</vt:i4>
      </vt:variant>
      <vt:variant>
        <vt:i4>108</vt:i4>
      </vt:variant>
      <vt:variant>
        <vt:i4>0</vt:i4>
      </vt:variant>
      <vt:variant>
        <vt:i4>5</vt:i4>
      </vt:variant>
      <vt:variant>
        <vt:lpwstr>https://www.cbd.int/soi/</vt:lpwstr>
      </vt:variant>
      <vt:variant>
        <vt:lpwstr/>
      </vt:variant>
      <vt:variant>
        <vt:i4>1966150</vt:i4>
      </vt:variant>
      <vt:variant>
        <vt:i4>105</vt:i4>
      </vt:variant>
      <vt:variant>
        <vt:i4>0</vt:i4>
      </vt:variant>
      <vt:variant>
        <vt:i4>5</vt:i4>
      </vt:variant>
      <vt:variant>
        <vt:lpwstr>https://www.cbd.int/restoration/feri/</vt:lpwstr>
      </vt:variant>
      <vt:variant>
        <vt:lpwstr/>
      </vt:variant>
      <vt:variant>
        <vt:i4>7995428</vt:i4>
      </vt:variant>
      <vt:variant>
        <vt:i4>102</vt:i4>
      </vt:variant>
      <vt:variant>
        <vt:i4>0</vt:i4>
      </vt:variant>
      <vt:variant>
        <vt:i4>5</vt:i4>
      </vt:variant>
      <vt:variant>
        <vt:lpwstr>https://www.cbd.int/programmes/cross-cutting/technology/search.aspx</vt:lpwstr>
      </vt:variant>
      <vt:variant>
        <vt:lpwstr/>
      </vt:variant>
      <vt:variant>
        <vt:i4>7077930</vt:i4>
      </vt:variant>
      <vt:variant>
        <vt:i4>99</vt:i4>
      </vt:variant>
      <vt:variant>
        <vt:i4>0</vt:i4>
      </vt:variant>
      <vt:variant>
        <vt:i4>5</vt:i4>
      </vt:variant>
      <vt:variant>
        <vt:lpwstr>https://www.cbd.int/conferences/2018/parallel-meetings/innovation-fair</vt:lpwstr>
      </vt:variant>
      <vt:variant>
        <vt:lpwstr/>
      </vt:variant>
      <vt:variant>
        <vt:i4>2621562</vt:i4>
      </vt:variant>
      <vt:variant>
        <vt:i4>96</vt:i4>
      </vt:variant>
      <vt:variant>
        <vt:i4>0</vt:i4>
      </vt:variant>
      <vt:variant>
        <vt:i4>5</vt:i4>
      </vt:variant>
      <vt:variant>
        <vt:lpwstr>https://www.cbd.int/doc/notifications/2020/ntf-2020-042-bbi-en.pdf</vt:lpwstr>
      </vt:variant>
      <vt:variant>
        <vt:lpwstr/>
      </vt:variant>
      <vt:variant>
        <vt:i4>8257649</vt:i4>
      </vt:variant>
      <vt:variant>
        <vt:i4>93</vt:i4>
      </vt:variant>
      <vt:variant>
        <vt:i4>0</vt:i4>
      </vt:variant>
      <vt:variant>
        <vt:i4>5</vt:i4>
      </vt:variant>
      <vt:variant>
        <vt:lpwstr>https://www.cbd.int/biobridge/projects/selected</vt:lpwstr>
      </vt:variant>
      <vt:variant>
        <vt:lpwstr/>
      </vt:variant>
      <vt:variant>
        <vt:i4>4653057</vt:i4>
      </vt:variant>
      <vt:variant>
        <vt:i4>90</vt:i4>
      </vt:variant>
      <vt:variant>
        <vt:i4>0</vt:i4>
      </vt:variant>
      <vt:variant>
        <vt:i4>5</vt:i4>
      </vt:variant>
      <vt:variant>
        <vt:lpwstr>https://www.mdpi.com/2071-1050/11/10/2780</vt:lpwstr>
      </vt:variant>
      <vt:variant>
        <vt:lpwstr/>
      </vt:variant>
      <vt:variant>
        <vt:i4>5767191</vt:i4>
      </vt:variant>
      <vt:variant>
        <vt:i4>87</vt:i4>
      </vt:variant>
      <vt:variant>
        <vt:i4>0</vt:i4>
      </vt:variant>
      <vt:variant>
        <vt:i4>5</vt:i4>
      </vt:variant>
      <vt:variant>
        <vt:lpwstr>https://cetaf.org/services/natural-science-collections-and-access-and-benefit-sharing</vt:lpwstr>
      </vt:variant>
      <vt:variant>
        <vt:lpwstr/>
      </vt:variant>
      <vt:variant>
        <vt:i4>4849685</vt:i4>
      </vt:variant>
      <vt:variant>
        <vt:i4>84</vt:i4>
      </vt:variant>
      <vt:variant>
        <vt:i4>0</vt:i4>
      </vt:variant>
      <vt:variant>
        <vt:i4>5</vt:i4>
      </vt:variant>
      <vt:variant>
        <vt:lpwstr>https://absch.cbd.int/database/VLR/ABSCH-VLR-SCBD-239199</vt:lpwstr>
      </vt:variant>
      <vt:variant>
        <vt:lpwstr/>
      </vt:variant>
      <vt:variant>
        <vt:i4>2883645</vt:i4>
      </vt:variant>
      <vt:variant>
        <vt:i4>81</vt:i4>
      </vt:variant>
      <vt:variant>
        <vt:i4>0</vt:i4>
      </vt:variant>
      <vt:variant>
        <vt:i4>5</vt:i4>
      </vt:variant>
      <vt:variant>
        <vt:lpwstr>https://www.gbif.org/search?q=GRIIS</vt:lpwstr>
      </vt:variant>
      <vt:variant>
        <vt:lpwstr/>
      </vt:variant>
      <vt:variant>
        <vt:i4>3866686</vt:i4>
      </vt:variant>
      <vt:variant>
        <vt:i4>78</vt:i4>
      </vt:variant>
      <vt:variant>
        <vt:i4>0</vt:i4>
      </vt:variant>
      <vt:variant>
        <vt:i4>5</vt:i4>
      </vt:variant>
      <vt:variant>
        <vt:lpwstr>http://boldsystems.org/</vt:lpwstr>
      </vt:variant>
      <vt:variant>
        <vt:lpwstr/>
      </vt:variant>
      <vt:variant>
        <vt:i4>4915288</vt:i4>
      </vt:variant>
      <vt:variant>
        <vt:i4>75</vt:i4>
      </vt:variant>
      <vt:variant>
        <vt:i4>0</vt:i4>
      </vt:variant>
      <vt:variant>
        <vt:i4>5</vt:i4>
      </vt:variant>
      <vt:variant>
        <vt:lpwstr>https://www.biodiversitylibrary.org/</vt:lpwstr>
      </vt:variant>
      <vt:variant>
        <vt:lpwstr/>
      </vt:variant>
      <vt:variant>
        <vt:i4>3145784</vt:i4>
      </vt:variant>
      <vt:variant>
        <vt:i4>72</vt:i4>
      </vt:variant>
      <vt:variant>
        <vt:i4>0</vt:i4>
      </vt:variant>
      <vt:variant>
        <vt:i4>5</vt:i4>
      </vt:variant>
      <vt:variant>
        <vt:lpwstr>https://www.cbd.int/cb/strategic-framework/</vt:lpwstr>
      </vt:variant>
      <vt:variant>
        <vt:lpwstr/>
      </vt:variant>
      <vt:variant>
        <vt:i4>4259857</vt:i4>
      </vt:variant>
      <vt:variant>
        <vt:i4>69</vt:i4>
      </vt:variant>
      <vt:variant>
        <vt:i4>0</vt:i4>
      </vt:variant>
      <vt:variant>
        <vt:i4>5</vt:i4>
      </vt:variant>
      <vt:variant>
        <vt:lpwstr>https://www.cbd.int/cb/discussion-forum/</vt:lpwstr>
      </vt:variant>
      <vt:variant>
        <vt:lpwstr/>
      </vt:variant>
      <vt:variant>
        <vt:i4>3407934</vt:i4>
      </vt:variant>
      <vt:variant>
        <vt:i4>66</vt:i4>
      </vt:variant>
      <vt:variant>
        <vt:i4>0</vt:i4>
      </vt:variant>
      <vt:variant>
        <vt:i4>5</vt:i4>
      </vt:variant>
      <vt:variant>
        <vt:lpwstr>https://www.cbd.int/conferences/post2020/POST2020-WS-2020-02/documents</vt:lpwstr>
      </vt:variant>
      <vt:variant>
        <vt:lpwstr/>
      </vt:variant>
      <vt:variant>
        <vt:i4>7798836</vt:i4>
      </vt:variant>
      <vt:variant>
        <vt:i4>63</vt:i4>
      </vt:variant>
      <vt:variant>
        <vt:i4>0</vt:i4>
      </vt:variant>
      <vt:variant>
        <vt:i4>5</vt:i4>
      </vt:variant>
      <vt:variant>
        <vt:lpwstr>https://www.cbd.int/conferences/post2020/brc-ws</vt:lpwstr>
      </vt:variant>
      <vt:variant>
        <vt:lpwstr/>
      </vt:variant>
      <vt:variant>
        <vt:i4>4784203</vt:i4>
      </vt:variant>
      <vt:variant>
        <vt:i4>60</vt:i4>
      </vt:variant>
      <vt:variant>
        <vt:i4>0</vt:i4>
      </vt:variant>
      <vt:variant>
        <vt:i4>5</vt:i4>
      </vt:variant>
      <vt:variant>
        <vt:lpwstr>https://bch.cbd.int/protocol/post2020/portal/review.shtml</vt:lpwstr>
      </vt:variant>
      <vt:variant>
        <vt:lpwstr/>
      </vt:variant>
      <vt:variant>
        <vt:i4>65604</vt:i4>
      </vt:variant>
      <vt:variant>
        <vt:i4>57</vt:i4>
      </vt:variant>
      <vt:variant>
        <vt:i4>0</vt:i4>
      </vt:variant>
      <vt:variant>
        <vt:i4>5</vt:i4>
      </vt:variant>
      <vt:variant>
        <vt:lpwstr>https://www.cbd.int/conferences/post2020</vt:lpwstr>
      </vt:variant>
      <vt:variant>
        <vt:lpwstr/>
      </vt:variant>
      <vt:variant>
        <vt:i4>7209075</vt:i4>
      </vt:variant>
      <vt:variant>
        <vt:i4>54</vt:i4>
      </vt:variant>
      <vt:variant>
        <vt:i4>0</vt:i4>
      </vt:variant>
      <vt:variant>
        <vt:i4>5</vt:i4>
      </vt:variant>
      <vt:variant>
        <vt:lpwstr>https://ipbes.net/o2-building-capacity</vt:lpwstr>
      </vt:variant>
      <vt:variant>
        <vt:lpwstr/>
      </vt:variant>
      <vt:variant>
        <vt:i4>2359330</vt:i4>
      </vt:variant>
      <vt:variant>
        <vt:i4>51</vt:i4>
      </vt:variant>
      <vt:variant>
        <vt:i4>0</vt:i4>
      </vt:variant>
      <vt:variant>
        <vt:i4>5</vt:i4>
      </vt:variant>
      <vt:variant>
        <vt:lpwstr>https://whc.unesco.org/archive/2011/whc11-35com-9Be.pdf</vt:lpwstr>
      </vt:variant>
      <vt:variant>
        <vt:lpwstr/>
      </vt:variant>
      <vt:variant>
        <vt:i4>5636164</vt:i4>
      </vt:variant>
      <vt:variant>
        <vt:i4>48</vt:i4>
      </vt:variant>
      <vt:variant>
        <vt:i4>0</vt:i4>
      </vt:variant>
      <vt:variant>
        <vt:i4>5</vt:i4>
      </vt:variant>
      <vt:variant>
        <vt:lpwstr>https://www.ramsar.org/sites/default/files/documents/library/cepa_programme_2016_2024_e.pdf</vt:lpwstr>
      </vt:variant>
      <vt:variant>
        <vt:lpwstr/>
      </vt:variant>
      <vt:variant>
        <vt:i4>983048</vt:i4>
      </vt:variant>
      <vt:variant>
        <vt:i4>45</vt:i4>
      </vt:variant>
      <vt:variant>
        <vt:i4>0</vt:i4>
      </vt:variant>
      <vt:variant>
        <vt:i4>5</vt:i4>
      </vt:variant>
      <vt:variant>
        <vt:lpwstr>http://www.fao.org/3/na904en/na904en.pdf</vt:lpwstr>
      </vt:variant>
      <vt:variant>
        <vt:lpwstr/>
      </vt:variant>
      <vt:variant>
        <vt:i4>5570632</vt:i4>
      </vt:variant>
      <vt:variant>
        <vt:i4>42</vt:i4>
      </vt:variant>
      <vt:variant>
        <vt:i4>0</vt:i4>
      </vt:variant>
      <vt:variant>
        <vt:i4>5</vt:i4>
      </vt:variant>
      <vt:variant>
        <vt:lpwstr>https://www.ippc.int/en/core-activities/capacity-development/ippc-capacity-building-strategy/</vt:lpwstr>
      </vt:variant>
      <vt:variant>
        <vt:lpwstr/>
      </vt:variant>
      <vt:variant>
        <vt:i4>3801120</vt:i4>
      </vt:variant>
      <vt:variant>
        <vt:i4>39</vt:i4>
      </vt:variant>
      <vt:variant>
        <vt:i4>0</vt:i4>
      </vt:variant>
      <vt:variant>
        <vt:i4>5</vt:i4>
      </vt:variant>
      <vt:variant>
        <vt:lpwstr>https://www.cms.int/en/document/capacity-building-strategy</vt:lpwstr>
      </vt:variant>
      <vt:variant>
        <vt:lpwstr/>
      </vt:variant>
      <vt:variant>
        <vt:i4>5898349</vt:i4>
      </vt:variant>
      <vt:variant>
        <vt:i4>36</vt:i4>
      </vt:variant>
      <vt:variant>
        <vt:i4>0</vt:i4>
      </vt:variant>
      <vt:variant>
        <vt:i4>5</vt:i4>
      </vt:variant>
      <vt:variant>
        <vt:lpwstr>https://www.cites.org/eng/prog/capacity_building/index.php</vt:lpwstr>
      </vt:variant>
      <vt:variant>
        <vt:lpwstr/>
      </vt:variant>
      <vt:variant>
        <vt:i4>2555961</vt:i4>
      </vt:variant>
      <vt:variant>
        <vt:i4>33</vt:i4>
      </vt:variant>
      <vt:variant>
        <vt:i4>0</vt:i4>
      </vt:variant>
      <vt:variant>
        <vt:i4>5</vt:i4>
      </vt:variant>
      <vt:variant>
        <vt:lpwstr>https://www.cbd.int/cb/</vt:lpwstr>
      </vt:variant>
      <vt:variant>
        <vt:lpwstr/>
      </vt:variant>
      <vt:variant>
        <vt:i4>3407934</vt:i4>
      </vt:variant>
      <vt:variant>
        <vt:i4>30</vt:i4>
      </vt:variant>
      <vt:variant>
        <vt:i4>0</vt:i4>
      </vt:variant>
      <vt:variant>
        <vt:i4>5</vt:i4>
      </vt:variant>
      <vt:variant>
        <vt:lpwstr>https://www.cbd.int/conferences/post2020/POST2020-WS-2020-02/documents</vt:lpwstr>
      </vt:variant>
      <vt:variant>
        <vt:lpwstr/>
      </vt:variant>
      <vt:variant>
        <vt:i4>262165</vt:i4>
      </vt:variant>
      <vt:variant>
        <vt:i4>27</vt:i4>
      </vt:variant>
      <vt:variant>
        <vt:i4>0</vt:i4>
      </vt:variant>
      <vt:variant>
        <vt:i4>5</vt:i4>
      </vt:variant>
      <vt:variant>
        <vt:lpwstr>https://www.cbd.int/doc/c/0ab8/2d14/07d2c32c7c92ee730c6e3e58/sbi-03-inf-09-en.pdf</vt:lpwstr>
      </vt:variant>
      <vt:variant>
        <vt:lpwstr/>
      </vt:variant>
      <vt:variant>
        <vt:i4>5111835</vt:i4>
      </vt:variant>
      <vt:variant>
        <vt:i4>21</vt:i4>
      </vt:variant>
      <vt:variant>
        <vt:i4>0</vt:i4>
      </vt:variant>
      <vt:variant>
        <vt:i4>5</vt:i4>
      </vt:variant>
      <vt:variant>
        <vt:lpwstr>https://www.idlo.int/fr/what-we-do/initiatives/capacity-building-programme-support-implementation-nagoya-protocol</vt:lpwstr>
      </vt:variant>
      <vt:variant>
        <vt:lpwstr/>
      </vt:variant>
      <vt:variant>
        <vt:i4>3539040</vt:i4>
      </vt:variant>
      <vt:variant>
        <vt:i4>18</vt:i4>
      </vt:variant>
      <vt:variant>
        <vt:i4>0</vt:i4>
      </vt:variant>
      <vt:variant>
        <vt:i4>5</vt:i4>
      </vt:variant>
      <vt:variant>
        <vt:lpwstr>http://bch.cbd.int/onlineconferences/portal_detection/lab_network.shtml</vt:lpwstr>
      </vt:variant>
      <vt:variant>
        <vt:lpwstr/>
      </vt:variant>
      <vt:variant>
        <vt:i4>524354</vt:i4>
      </vt:variant>
      <vt:variant>
        <vt:i4>15</vt:i4>
      </vt:variant>
      <vt:variant>
        <vt:i4>0</vt:i4>
      </vt:variant>
      <vt:variant>
        <vt:i4>5</vt:i4>
      </vt:variant>
      <vt:variant>
        <vt:lpwstr>http://www.biodiversityfinance.net/regional-nodes</vt:lpwstr>
      </vt:variant>
      <vt:variant>
        <vt:lpwstr/>
      </vt:variant>
      <vt:variant>
        <vt:i4>524299</vt:i4>
      </vt:variant>
      <vt:variant>
        <vt:i4>12</vt:i4>
      </vt:variant>
      <vt:variant>
        <vt:i4>0</vt:i4>
      </vt:variant>
      <vt:variant>
        <vt:i4>5</vt:i4>
      </vt:variant>
      <vt:variant>
        <vt:lpwstr>https://demo.chm-cbd.net/</vt:lpwstr>
      </vt:variant>
      <vt:variant>
        <vt:lpwstr/>
      </vt:variant>
      <vt:variant>
        <vt:i4>6553708</vt:i4>
      </vt:variant>
      <vt:variant>
        <vt:i4>9</vt:i4>
      </vt:variant>
      <vt:variant>
        <vt:i4>0</vt:i4>
      </vt:variant>
      <vt:variant>
        <vt:i4>5</vt:i4>
      </vt:variant>
      <vt:variant>
        <vt:lpwstr>https://www.cbd.int/cb/BioCAP/</vt:lpwstr>
      </vt:variant>
      <vt:variant>
        <vt:lpwstr/>
      </vt:variant>
      <vt:variant>
        <vt:i4>327767</vt:i4>
      </vt:variant>
      <vt:variant>
        <vt:i4>3</vt:i4>
      </vt:variant>
      <vt:variant>
        <vt:i4>0</vt:i4>
      </vt:variant>
      <vt:variant>
        <vt:i4>5</vt:i4>
      </vt:variant>
      <vt:variant>
        <vt:lpwstr>https://www.cbd.int/doc/c/6ad1/da5a/ddb684c5c9b0491c89d35872/sbstta-23-inf-18-en.pdf</vt:lpwstr>
      </vt:variant>
      <vt:variant>
        <vt:lpwstr/>
      </vt:variant>
      <vt:variant>
        <vt:i4>6029324</vt:i4>
      </vt:variant>
      <vt:variant>
        <vt:i4>0</vt:i4>
      </vt:variant>
      <vt:variant>
        <vt:i4>0</vt:i4>
      </vt:variant>
      <vt:variant>
        <vt:i4>5</vt:i4>
      </vt:variant>
      <vt:variant>
        <vt:lpwstr>https://documents-dds-ny.un.org/doc/UNDOC/GEN/N15/291/89/pdf/N1529189.pdf?OpenElement</vt:lpwstr>
      </vt:variant>
      <vt:variant>
        <vt:lpwstr/>
      </vt:variant>
      <vt:variant>
        <vt:i4>2424950</vt:i4>
      </vt:variant>
      <vt:variant>
        <vt:i4>15</vt:i4>
      </vt:variant>
      <vt:variant>
        <vt:i4>0</vt:i4>
      </vt:variant>
      <vt:variant>
        <vt:i4>5</vt:i4>
      </vt:variant>
      <vt:variant>
        <vt:lpwstr>https://www.lexico.com/</vt:lpwstr>
      </vt:variant>
      <vt:variant>
        <vt:lpwstr/>
      </vt:variant>
      <vt:variant>
        <vt:i4>2687090</vt:i4>
      </vt:variant>
      <vt:variant>
        <vt:i4>12</vt:i4>
      </vt:variant>
      <vt:variant>
        <vt:i4>0</vt:i4>
      </vt:variant>
      <vt:variant>
        <vt:i4>5</vt:i4>
      </vt:variant>
      <vt:variant>
        <vt:lpwstr>https://www.cbd.int/meetings/SOI-OM-2018-01</vt:lpwstr>
      </vt:variant>
      <vt:variant>
        <vt:lpwstr/>
      </vt:variant>
      <vt:variant>
        <vt:i4>5242880</vt:i4>
      </vt:variant>
      <vt:variant>
        <vt:i4>9</vt:i4>
      </vt:variant>
      <vt:variant>
        <vt:i4>0</vt:i4>
      </vt:variant>
      <vt:variant>
        <vt:i4>5</vt:i4>
      </vt:variant>
      <vt:variant>
        <vt:lpwstr>https://www.cbd.int/doc/c/a3e1/53e3/08fc2a8f36e21b2366d03aa9/soi-om-2018-01-02-en.pdf</vt:lpwstr>
      </vt:variant>
      <vt:variant>
        <vt:lpwstr/>
      </vt:variant>
      <vt:variant>
        <vt:i4>720898</vt:i4>
      </vt:variant>
      <vt:variant>
        <vt:i4>6</vt:i4>
      </vt:variant>
      <vt:variant>
        <vt:i4>0</vt:i4>
      </vt:variant>
      <vt:variant>
        <vt:i4>5</vt:i4>
      </vt:variant>
      <vt:variant>
        <vt:lpwstr>https://www.cbd.int/meetings/POST2020-WS-2020-02</vt:lpwstr>
      </vt:variant>
      <vt:variant>
        <vt:lpwstr/>
      </vt:variant>
      <vt:variant>
        <vt:i4>5111835</vt:i4>
      </vt:variant>
      <vt:variant>
        <vt:i4>3</vt:i4>
      </vt:variant>
      <vt:variant>
        <vt:i4>0</vt:i4>
      </vt:variant>
      <vt:variant>
        <vt:i4>5</vt:i4>
      </vt:variant>
      <vt:variant>
        <vt:lpwstr>https://www.idlo.int/fr/what-we-do/initiatives/capacity-building-programme-support-implementation-nagoya-protocol</vt:lpwstr>
      </vt:variant>
      <vt:variant>
        <vt:lpwstr/>
      </vt:variant>
      <vt:variant>
        <vt:i4>5439582</vt:i4>
      </vt:variant>
      <vt:variant>
        <vt:i4>0</vt:i4>
      </vt:variant>
      <vt:variant>
        <vt:i4>0</vt:i4>
      </vt:variant>
      <vt:variant>
        <vt:i4>5</vt:i4>
      </vt:variant>
      <vt:variant>
        <vt:lpwstr>http://www.idlo.int/what-we-do/initiatives/advancing-nagoya-protocol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development, technical and scientific cooperation and technology transfer</dc:title>
  <dc:subject>CBD/SBI/3/7</dc:subject>
  <dc:creator>Secretariat of the Convention on Biological Diversity</dc:creator>
  <cp:keywords>Subsidiary Body on Implementation, third meeting, Convention on Biological Diversity</cp:keywords>
  <cp:lastModifiedBy>Veronique Lefebvre</cp:lastModifiedBy>
  <cp:revision>221</cp:revision>
  <cp:lastPrinted>2020-11-27T04:05:00Z</cp:lastPrinted>
  <dcterms:created xsi:type="dcterms:W3CDTF">2020-11-02T19:59:00Z</dcterms:created>
  <dcterms:modified xsi:type="dcterms:W3CDTF">2020-12-01T16:04:00Z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