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9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7"/>
        <w:gridCol w:w="1463"/>
        <w:gridCol w:w="2249"/>
        <w:gridCol w:w="5799"/>
      </w:tblGrid>
      <w:tr w:rsidR="004772AC" w:rsidRPr="005A210D" w14:paraId="2C480918" w14:textId="77777777" w:rsidTr="00B901D5">
        <w:trPr>
          <w:trHeight w:val="851"/>
        </w:trPr>
        <w:tc>
          <w:tcPr>
            <w:tcW w:w="462" w:type="pct"/>
            <w:tcBorders>
              <w:bottom w:val="single" w:sz="8" w:space="0" w:color="auto"/>
            </w:tcBorders>
            <w:vAlign w:val="bottom"/>
          </w:tcPr>
          <w:p w14:paraId="74AC959C" w14:textId="77777777" w:rsidR="004772AC" w:rsidRPr="00E56A6E" w:rsidRDefault="004772AC" w:rsidP="002B2B46">
            <w:pPr>
              <w:spacing w:after="120"/>
              <w:jc w:val="left"/>
              <w:rPr>
                <w:lang w:val="es-ES"/>
              </w:rPr>
            </w:pPr>
            <w:bookmarkStart w:id="0" w:name="_Hlk137651738"/>
            <w:r w:rsidRPr="00E56A6E">
              <w:rPr>
                <w:noProof/>
                <w:lang w:val="es-ES"/>
              </w:rPr>
              <w:drawing>
                <wp:inline distT="0" distB="0" distL="0" distR="0" wp14:anchorId="62919EAE" wp14:editId="07816590">
                  <wp:extent cx="476494" cy="403200"/>
                  <wp:effectExtent l="0" t="0" r="6350" b="3810"/>
                  <wp:docPr id="670181705" name="Picture 67018170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698" w:type="pct"/>
            <w:tcBorders>
              <w:bottom w:val="single" w:sz="8" w:space="0" w:color="auto"/>
            </w:tcBorders>
            <w:tcFitText/>
            <w:vAlign w:val="bottom"/>
          </w:tcPr>
          <w:p w14:paraId="1BF487B9" w14:textId="5A88E010" w:rsidR="004772AC" w:rsidRPr="00E56A6E" w:rsidRDefault="00B901D5" w:rsidP="002B2B46">
            <w:pPr>
              <w:spacing w:after="120"/>
              <w:jc w:val="left"/>
              <w:rPr>
                <w:lang w:val="es-ES"/>
              </w:rPr>
            </w:pPr>
            <w:r w:rsidRPr="00E56A6E">
              <w:rPr>
                <w:noProof/>
                <w:lang w:val="es-ES"/>
              </w:rPr>
              <w:drawing>
                <wp:inline distT="0" distB="0" distL="0" distR="0" wp14:anchorId="50089BE8" wp14:editId="7551E1CE">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3840" w:type="pct"/>
            <w:gridSpan w:val="2"/>
            <w:tcBorders>
              <w:bottom w:val="single" w:sz="8" w:space="0" w:color="auto"/>
            </w:tcBorders>
            <w:vAlign w:val="bottom"/>
          </w:tcPr>
          <w:p w14:paraId="0F07760A" w14:textId="40CF22A8" w:rsidR="004772AC" w:rsidRPr="00E56A6E" w:rsidRDefault="004772AC" w:rsidP="002B2B46">
            <w:pPr>
              <w:spacing w:after="120"/>
              <w:jc w:val="right"/>
              <w:rPr>
                <w:szCs w:val="22"/>
                <w:lang w:val="es-ES"/>
              </w:rPr>
            </w:pPr>
            <w:r w:rsidRPr="00E56A6E">
              <w:rPr>
                <w:sz w:val="40"/>
                <w:szCs w:val="40"/>
                <w:lang w:val="es-ES"/>
              </w:rPr>
              <w:t>CBD</w:t>
            </w:r>
            <w:r w:rsidR="009C4C96" w:rsidRPr="00E56A6E">
              <w:rPr>
                <w:lang w:val="es-ES"/>
              </w:rPr>
              <w:t>/NP/CC/5/</w:t>
            </w:r>
            <w:r w:rsidR="00845FB9" w:rsidRPr="00E56A6E">
              <w:rPr>
                <w:lang w:val="es-ES"/>
              </w:rPr>
              <w:t>4/Add.1</w:t>
            </w:r>
            <w:r w:rsidRPr="00E56A6E">
              <w:rPr>
                <w:lang w:val="es-ES"/>
              </w:rPr>
              <w:t>-</w:t>
            </w:r>
            <w:r w:rsidRPr="00E56A6E">
              <w:rPr>
                <w:sz w:val="40"/>
                <w:szCs w:val="40"/>
                <w:lang w:val="es-ES"/>
              </w:rPr>
              <w:t>CBD</w:t>
            </w:r>
            <w:r w:rsidR="009C4C96" w:rsidRPr="00E56A6E">
              <w:rPr>
                <w:rStyle w:val="normaltextrun"/>
                <w:color w:val="000000"/>
                <w:shd w:val="clear" w:color="auto" w:fill="FFFFFF"/>
                <w:lang w:val="es-ES"/>
              </w:rPr>
              <w:t>/NP/CB</w:t>
            </w:r>
            <w:r w:rsidR="00667E78" w:rsidRPr="00E56A6E">
              <w:rPr>
                <w:rStyle w:val="normaltextrun"/>
                <w:color w:val="000000"/>
                <w:shd w:val="clear" w:color="auto" w:fill="FFFFFF"/>
                <w:lang w:val="es-ES"/>
              </w:rPr>
              <w:t>-</w:t>
            </w:r>
            <w:r w:rsidR="009C4C96" w:rsidRPr="00E56A6E">
              <w:rPr>
                <w:rStyle w:val="normaltextrun"/>
                <w:color w:val="000000"/>
                <w:shd w:val="clear" w:color="auto" w:fill="FFFFFF"/>
                <w:lang w:val="es-ES"/>
              </w:rPr>
              <w:t>IAC/2026/1/3</w:t>
            </w:r>
            <w:r w:rsidRPr="00E56A6E">
              <w:rPr>
                <w:lang w:val="es-ES"/>
              </w:rPr>
              <w:t>-</w:t>
            </w:r>
            <w:r w:rsidRPr="00E56A6E">
              <w:rPr>
                <w:sz w:val="40"/>
                <w:szCs w:val="40"/>
                <w:lang w:val="es-ES"/>
              </w:rPr>
              <w:t>CBD</w:t>
            </w:r>
            <w:r w:rsidR="009C4C96" w:rsidRPr="00E56A6E">
              <w:rPr>
                <w:lang w:val="es-ES"/>
              </w:rPr>
              <w:t>/SBI/7/7/Add.1</w:t>
            </w:r>
          </w:p>
        </w:tc>
      </w:tr>
      <w:tr w:rsidR="00A96B21" w:rsidRPr="00E56A6E" w14:paraId="026E5D1A" w14:textId="77777777" w:rsidTr="00B901D5">
        <w:trPr>
          <w:trHeight w:val="1840"/>
        </w:trPr>
        <w:tc>
          <w:tcPr>
            <w:tcW w:w="2233" w:type="pct"/>
            <w:gridSpan w:val="3"/>
            <w:tcBorders>
              <w:top w:val="single" w:sz="8" w:space="0" w:color="auto"/>
              <w:bottom w:val="single" w:sz="12" w:space="0" w:color="auto"/>
            </w:tcBorders>
          </w:tcPr>
          <w:p w14:paraId="4DD2B434" w14:textId="55C81F87" w:rsidR="00A96B21" w:rsidRPr="00E56A6E" w:rsidRDefault="00B901D5" w:rsidP="00C44FC4">
            <w:pPr>
              <w:pStyle w:val="Cornernotation"/>
              <w:suppressLineNumbers/>
              <w:suppressAutoHyphens/>
              <w:spacing w:before="120" w:after="120"/>
              <w:ind w:left="0" w:right="0" w:firstLine="0"/>
              <w:rPr>
                <w:lang w:val="es-ES"/>
              </w:rPr>
            </w:pPr>
            <w:r w:rsidRPr="00E56A6E">
              <w:rPr>
                <w:noProof/>
                <w:kern w:val="22"/>
                <w:lang w:val="es-ES"/>
              </w:rPr>
              <w:drawing>
                <wp:inline distT="0" distB="0" distL="0" distR="0" wp14:anchorId="796E66A4" wp14:editId="1B64914C">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4593" cy="1070979"/>
                          </a:xfrm>
                          <a:prstGeom prst="rect">
                            <a:avLst/>
                          </a:prstGeom>
                          <a:noFill/>
                          <a:ln>
                            <a:noFill/>
                          </a:ln>
                        </pic:spPr>
                      </pic:pic>
                    </a:graphicData>
                  </a:graphic>
                </wp:inline>
              </w:drawing>
            </w:r>
          </w:p>
        </w:tc>
        <w:tc>
          <w:tcPr>
            <w:tcW w:w="2767" w:type="pct"/>
            <w:tcBorders>
              <w:top w:val="single" w:sz="8" w:space="0" w:color="auto"/>
              <w:bottom w:val="single" w:sz="12" w:space="0" w:color="auto"/>
            </w:tcBorders>
          </w:tcPr>
          <w:p w14:paraId="77A6D83C" w14:textId="77777777" w:rsidR="00B901D5" w:rsidRPr="00E56A6E" w:rsidRDefault="00B901D5" w:rsidP="00B901D5">
            <w:pPr>
              <w:ind w:left="2584"/>
              <w:rPr>
                <w:sz w:val="22"/>
                <w:szCs w:val="22"/>
                <w:lang w:val="es-ES"/>
              </w:rPr>
            </w:pPr>
            <w:proofErr w:type="spellStart"/>
            <w:r w:rsidRPr="00E56A6E">
              <w:rPr>
                <w:sz w:val="22"/>
                <w:szCs w:val="22"/>
                <w:lang w:val="es-ES"/>
              </w:rPr>
              <w:t>Distr</w:t>
            </w:r>
            <w:proofErr w:type="spellEnd"/>
            <w:r w:rsidRPr="00E56A6E">
              <w:rPr>
                <w:sz w:val="22"/>
                <w:szCs w:val="22"/>
                <w:lang w:val="es-ES"/>
              </w:rPr>
              <w:t>. general</w:t>
            </w:r>
          </w:p>
          <w:p w14:paraId="56C2661D" w14:textId="77777777" w:rsidR="00B901D5" w:rsidRPr="00E56A6E" w:rsidRDefault="00B901D5" w:rsidP="00B901D5">
            <w:pPr>
              <w:ind w:left="2584"/>
              <w:rPr>
                <w:sz w:val="22"/>
                <w:szCs w:val="22"/>
                <w:lang w:val="es-ES"/>
              </w:rPr>
            </w:pPr>
            <w:r w:rsidRPr="00E56A6E">
              <w:rPr>
                <w:sz w:val="22"/>
                <w:szCs w:val="22"/>
                <w:lang w:val="es-ES"/>
              </w:rPr>
              <w:t>4 de mayo de 2026</w:t>
            </w:r>
          </w:p>
          <w:p w14:paraId="7AD44B29" w14:textId="77777777" w:rsidR="00B901D5" w:rsidRPr="00E56A6E" w:rsidRDefault="00B901D5" w:rsidP="00B901D5">
            <w:pPr>
              <w:ind w:left="2584"/>
              <w:rPr>
                <w:sz w:val="22"/>
                <w:szCs w:val="22"/>
                <w:lang w:val="es-ES"/>
              </w:rPr>
            </w:pPr>
            <w:r w:rsidRPr="00E56A6E">
              <w:rPr>
                <w:sz w:val="22"/>
                <w:szCs w:val="22"/>
                <w:lang w:val="es-ES"/>
              </w:rPr>
              <w:t>Español</w:t>
            </w:r>
          </w:p>
          <w:p w14:paraId="3D5461ED" w14:textId="77777777" w:rsidR="00B901D5" w:rsidRPr="00E56A6E" w:rsidRDefault="00B901D5" w:rsidP="00B901D5">
            <w:pPr>
              <w:ind w:left="2584"/>
              <w:rPr>
                <w:sz w:val="22"/>
                <w:szCs w:val="22"/>
                <w:lang w:val="es-ES"/>
              </w:rPr>
            </w:pPr>
            <w:r w:rsidRPr="00E56A6E">
              <w:rPr>
                <w:sz w:val="22"/>
                <w:szCs w:val="22"/>
                <w:lang w:val="es-ES"/>
              </w:rPr>
              <w:t xml:space="preserve">Original: inglés </w:t>
            </w:r>
          </w:p>
          <w:p w14:paraId="07CA9979" w14:textId="77777777" w:rsidR="00A96B21" w:rsidRPr="00E56A6E" w:rsidRDefault="00A96B21" w:rsidP="00C44FC4">
            <w:pPr>
              <w:rPr>
                <w:lang w:val="es-ES"/>
              </w:rPr>
            </w:pPr>
          </w:p>
        </w:tc>
      </w:tr>
    </w:tbl>
    <w:tbl>
      <w:tblPr>
        <w:tblStyle w:val="TableGrid"/>
        <w:tblW w:w="1080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3"/>
      </w:tblGrid>
      <w:tr w:rsidR="009E7724" w:rsidRPr="005A210D" w14:paraId="1DCDDF4D" w14:textId="77777777" w:rsidTr="006B066D">
        <w:trPr>
          <w:trHeight w:val="1742"/>
        </w:trPr>
        <w:tc>
          <w:tcPr>
            <w:tcW w:w="10803" w:type="dxa"/>
          </w:tcPr>
          <w:tbl>
            <w:tblPr>
              <w:tblStyle w:val="TableGrid2"/>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47"/>
              <w:gridCol w:w="3396"/>
              <w:gridCol w:w="3607"/>
            </w:tblGrid>
            <w:tr w:rsidR="009E7724" w:rsidRPr="005A210D" w14:paraId="3BC5C814" w14:textId="77777777" w:rsidTr="002B2B46">
              <w:tc>
                <w:tcPr>
                  <w:tcW w:w="3447" w:type="dxa"/>
                </w:tcPr>
                <w:p w14:paraId="0583F16B" w14:textId="77777777" w:rsidR="003853D4" w:rsidRPr="00E56A6E" w:rsidRDefault="003853D4" w:rsidP="00DF07DB">
                  <w:pPr>
                    <w:pStyle w:val="AFCorNBold"/>
                    <w:ind w:left="-69"/>
                    <w:rPr>
                      <w:lang w:val="es-ES"/>
                    </w:rPr>
                  </w:pPr>
                  <w:r w:rsidRPr="00E56A6E">
                    <w:rPr>
                      <w:lang w:val="es-ES"/>
                    </w:rPr>
                    <w:t>Comité de Cumplimiento establecido en el marco del Protocolo de Nagoya sobre Acceso y Participación en los Beneficios</w:t>
                  </w:r>
                </w:p>
                <w:p w14:paraId="76C903AB" w14:textId="3D1C660E" w:rsidR="009E7724" w:rsidRPr="00E56A6E" w:rsidRDefault="003853D4" w:rsidP="00DF07DB">
                  <w:pPr>
                    <w:pStyle w:val="AFCorNBold"/>
                    <w:ind w:left="-69"/>
                    <w:rPr>
                      <w:sz w:val="22"/>
                      <w:szCs w:val="22"/>
                      <w:lang w:val="es-ES"/>
                    </w:rPr>
                  </w:pPr>
                  <w:r w:rsidRPr="00E56A6E">
                    <w:rPr>
                      <w:sz w:val="22"/>
                      <w:szCs w:val="22"/>
                      <w:lang w:val="es-ES"/>
                    </w:rPr>
                    <w:t>Quinta reunión</w:t>
                  </w:r>
                  <w:r w:rsidR="009E7724" w:rsidRPr="00E56A6E">
                    <w:rPr>
                      <w:sz w:val="22"/>
                      <w:szCs w:val="22"/>
                      <w:lang w:val="es-ES"/>
                    </w:rPr>
                    <w:t xml:space="preserve"> </w:t>
                  </w:r>
                </w:p>
                <w:p w14:paraId="3740769F" w14:textId="77777777" w:rsidR="003853D4" w:rsidRPr="00E56A6E" w:rsidRDefault="003853D4" w:rsidP="003853D4">
                  <w:pPr>
                    <w:pStyle w:val="AFCorNNormal"/>
                    <w:ind w:left="-69"/>
                    <w:rPr>
                      <w:sz w:val="22"/>
                      <w:szCs w:val="22"/>
                      <w:lang w:val="es-ES"/>
                    </w:rPr>
                  </w:pPr>
                  <w:r w:rsidRPr="00E56A6E">
                    <w:rPr>
                      <w:sz w:val="22"/>
                      <w:szCs w:val="22"/>
                      <w:lang w:val="es-ES"/>
                    </w:rPr>
                    <w:t>Montreal (Canadá), 27 a 29 de mayo de 2026</w:t>
                  </w:r>
                </w:p>
                <w:p w14:paraId="190CB02A" w14:textId="4B8C13E5" w:rsidR="009E7724" w:rsidRPr="00E56A6E" w:rsidRDefault="003853D4" w:rsidP="003853D4">
                  <w:pPr>
                    <w:pStyle w:val="AFCorNotNormal"/>
                    <w:ind w:left="-69"/>
                    <w:rPr>
                      <w:sz w:val="22"/>
                      <w:szCs w:val="22"/>
                      <w:lang w:val="es-ES"/>
                    </w:rPr>
                  </w:pPr>
                  <w:r w:rsidRPr="00E56A6E">
                    <w:rPr>
                      <w:sz w:val="22"/>
                      <w:szCs w:val="22"/>
                      <w:lang w:val="es-ES"/>
                    </w:rPr>
                    <w:t>Tema 5 del programa provisional</w:t>
                  </w:r>
                  <w:r w:rsidR="009E7724" w:rsidRPr="00E56A6E">
                    <w:rPr>
                      <w:rStyle w:val="FootnoteReference"/>
                      <w:sz w:val="22"/>
                      <w:szCs w:val="22"/>
                      <w:lang w:val="es-ES"/>
                    </w:rPr>
                    <w:footnoteReference w:customMarkFollows="1" w:id="2"/>
                    <w:t>*</w:t>
                  </w:r>
                </w:p>
                <w:p w14:paraId="2D99A808" w14:textId="77777777" w:rsidR="00B8453C" w:rsidRPr="00E56A6E" w:rsidRDefault="00B8453C" w:rsidP="00B8453C">
                  <w:pPr>
                    <w:pStyle w:val="AFCorNotNormal"/>
                    <w:ind w:left="-69"/>
                    <w:jc w:val="left"/>
                    <w:rPr>
                      <w:b/>
                      <w:bCs/>
                      <w:sz w:val="22"/>
                      <w:szCs w:val="22"/>
                      <w:lang w:val="es-ES"/>
                    </w:rPr>
                  </w:pPr>
                  <w:r w:rsidRPr="00E56A6E">
                    <w:rPr>
                      <w:b/>
                      <w:bCs/>
                      <w:sz w:val="22"/>
                      <w:szCs w:val="22"/>
                      <w:lang w:val="es-ES"/>
                    </w:rPr>
                    <w:t>Insumos para la segunda evaluación y revisión</w:t>
                  </w:r>
                </w:p>
                <w:p w14:paraId="456D3BE6" w14:textId="1ECDE9D6" w:rsidR="009E7724" w:rsidRPr="00E56A6E" w:rsidRDefault="00B8453C" w:rsidP="00B8453C">
                  <w:pPr>
                    <w:pStyle w:val="AFCorNotNormal"/>
                    <w:ind w:left="-69"/>
                    <w:jc w:val="left"/>
                    <w:rPr>
                      <w:b/>
                      <w:bCs/>
                      <w:sz w:val="22"/>
                      <w:szCs w:val="22"/>
                      <w:lang w:val="es-ES"/>
                    </w:rPr>
                  </w:pPr>
                  <w:r w:rsidRPr="00E56A6E">
                    <w:rPr>
                      <w:b/>
                      <w:bCs/>
                      <w:sz w:val="22"/>
                      <w:szCs w:val="22"/>
                      <w:lang w:val="es-ES"/>
                    </w:rPr>
                    <w:t>de la eficacia del Protocolo de Nagoya</w:t>
                  </w:r>
                </w:p>
              </w:tc>
              <w:tc>
                <w:tcPr>
                  <w:tcW w:w="3396" w:type="dxa"/>
                </w:tcPr>
                <w:p w14:paraId="3E08AB57" w14:textId="70DBAAC7" w:rsidR="009E7724" w:rsidRPr="00E56A6E" w:rsidRDefault="00401682" w:rsidP="00CA324D">
                  <w:pPr>
                    <w:pStyle w:val="AFCorNBold"/>
                    <w:rPr>
                      <w:b w:val="0"/>
                      <w:bCs/>
                      <w:sz w:val="22"/>
                      <w:szCs w:val="22"/>
                      <w:lang w:val="es-ES"/>
                    </w:rPr>
                  </w:pPr>
                  <w:r w:rsidRPr="00E56A6E">
                    <w:rPr>
                      <w:bCs/>
                      <w:lang w:val="es-ES"/>
                    </w:rPr>
                    <w:t>Comité asesor oficioso sobre creación de capacidad para la aplicación del Protocolo de Nagoya</w:t>
                  </w:r>
                  <w:r w:rsidRPr="00E56A6E">
                    <w:rPr>
                      <w:bCs/>
                      <w:lang w:val="es-ES"/>
                    </w:rPr>
                    <w:br/>
                  </w:r>
                  <w:r w:rsidRPr="00E56A6E">
                    <w:rPr>
                      <w:sz w:val="22"/>
                      <w:szCs w:val="22"/>
                      <w:lang w:val="es-ES"/>
                    </w:rPr>
                    <w:t>Sexta reunión</w:t>
                  </w:r>
                </w:p>
                <w:p w14:paraId="6DA1ED89" w14:textId="7AEF810B" w:rsidR="009E7724" w:rsidRPr="00E56A6E" w:rsidRDefault="00B80B54" w:rsidP="00CA324D">
                  <w:pPr>
                    <w:pStyle w:val="AFCorNNormal"/>
                    <w:rPr>
                      <w:sz w:val="22"/>
                      <w:szCs w:val="22"/>
                      <w:lang w:val="es-ES"/>
                    </w:rPr>
                  </w:pPr>
                  <w:r w:rsidRPr="00E56A6E">
                    <w:rPr>
                      <w:sz w:val="22"/>
                      <w:szCs w:val="22"/>
                      <w:lang w:val="es-ES"/>
                    </w:rPr>
                    <w:t>Montreal (Canadá)</w:t>
                  </w:r>
                  <w:r w:rsidR="009E7724" w:rsidRPr="00E56A6E">
                    <w:rPr>
                      <w:sz w:val="22"/>
                      <w:szCs w:val="22"/>
                      <w:lang w:val="es-ES"/>
                    </w:rPr>
                    <w:t>, 1</w:t>
                  </w:r>
                  <w:r w:rsidRPr="00E56A6E">
                    <w:rPr>
                      <w:sz w:val="22"/>
                      <w:szCs w:val="22"/>
                      <w:lang w:val="es-ES"/>
                    </w:rPr>
                    <w:t xml:space="preserve"> a </w:t>
                  </w:r>
                  <w:r w:rsidR="009E7724" w:rsidRPr="00E56A6E">
                    <w:rPr>
                      <w:sz w:val="22"/>
                      <w:szCs w:val="22"/>
                      <w:lang w:val="es-ES"/>
                    </w:rPr>
                    <w:t xml:space="preserve">4 </w:t>
                  </w:r>
                  <w:r w:rsidRPr="00E56A6E">
                    <w:rPr>
                      <w:sz w:val="22"/>
                      <w:szCs w:val="22"/>
                      <w:lang w:val="es-ES"/>
                    </w:rPr>
                    <w:t xml:space="preserve">de </w:t>
                  </w:r>
                  <w:r w:rsidR="00DA53F4" w:rsidRPr="00E56A6E">
                    <w:rPr>
                      <w:sz w:val="22"/>
                      <w:szCs w:val="22"/>
                      <w:lang w:val="es-ES"/>
                    </w:rPr>
                    <w:t>j</w:t>
                  </w:r>
                  <w:r w:rsidRPr="00E56A6E">
                    <w:rPr>
                      <w:sz w:val="22"/>
                      <w:szCs w:val="22"/>
                      <w:lang w:val="es-ES"/>
                    </w:rPr>
                    <w:t xml:space="preserve">unio de </w:t>
                  </w:r>
                  <w:r w:rsidR="009E7724" w:rsidRPr="00E56A6E">
                    <w:rPr>
                      <w:sz w:val="22"/>
                      <w:szCs w:val="22"/>
                      <w:lang w:val="es-ES"/>
                    </w:rPr>
                    <w:t>2026</w:t>
                  </w:r>
                </w:p>
                <w:p w14:paraId="64053FEB" w14:textId="207F1470" w:rsidR="009E7724" w:rsidRPr="00E56A6E" w:rsidRDefault="00B80B54" w:rsidP="00B80B54">
                  <w:pPr>
                    <w:pStyle w:val="Cornernotation-Item"/>
                    <w:ind w:right="38"/>
                    <w:rPr>
                      <w:b w:val="0"/>
                      <w:bCs w:val="0"/>
                      <w:lang w:val="es-ES"/>
                    </w:rPr>
                  </w:pPr>
                  <w:r w:rsidRPr="00E56A6E">
                    <w:rPr>
                      <w:b w:val="0"/>
                      <w:bCs w:val="0"/>
                      <w:lang w:val="es-ES"/>
                    </w:rPr>
                    <w:t>Tema 3 del programa provisional</w:t>
                  </w:r>
                  <w:r w:rsidR="009E7724" w:rsidRPr="00E56A6E">
                    <w:rPr>
                      <w:rStyle w:val="FootnoteReference"/>
                      <w:b w:val="0"/>
                      <w:bCs w:val="0"/>
                      <w:lang w:val="es-ES"/>
                    </w:rPr>
                    <w:footnoteReference w:customMarkFollows="1" w:id="3"/>
                    <w:t>*</w:t>
                  </w:r>
                  <w:r w:rsidR="009E7724" w:rsidRPr="00E56A6E">
                    <w:rPr>
                      <w:rStyle w:val="FootnoteReference"/>
                      <w:b w:val="0"/>
                      <w:bCs w:val="0"/>
                      <w:lang w:val="es-ES"/>
                    </w:rPr>
                    <w:footnoteReference w:customMarkFollows="1" w:id="4"/>
                    <w:t>*</w:t>
                  </w:r>
                </w:p>
                <w:p w14:paraId="16EDCCAA" w14:textId="77777777" w:rsidR="007D3D83" w:rsidRPr="00E56A6E" w:rsidRDefault="007D3D83" w:rsidP="007D3D83">
                  <w:pPr>
                    <w:pStyle w:val="AFCorN12Bold"/>
                    <w:rPr>
                      <w:sz w:val="22"/>
                      <w:szCs w:val="22"/>
                      <w:lang w:val="es-ES"/>
                    </w:rPr>
                  </w:pPr>
                  <w:r w:rsidRPr="00E56A6E">
                    <w:rPr>
                      <w:sz w:val="22"/>
                      <w:szCs w:val="22"/>
                      <w:lang w:val="es-ES"/>
                    </w:rPr>
                    <w:t>Insumos para la segunda evaluación y revisión</w:t>
                  </w:r>
                </w:p>
                <w:p w14:paraId="30A73D7C" w14:textId="5D26B5D2" w:rsidR="009E7724" w:rsidRPr="00E56A6E" w:rsidRDefault="007D3D83" w:rsidP="007D3D83">
                  <w:pPr>
                    <w:pStyle w:val="AFCorN12Bold"/>
                    <w:rPr>
                      <w:bCs/>
                      <w:sz w:val="22"/>
                      <w:szCs w:val="22"/>
                      <w:lang w:val="es-ES"/>
                    </w:rPr>
                  </w:pPr>
                  <w:r w:rsidRPr="00E56A6E">
                    <w:rPr>
                      <w:sz w:val="22"/>
                      <w:szCs w:val="22"/>
                      <w:lang w:val="es-ES"/>
                    </w:rPr>
                    <w:t>de la eficacia del Protocolo de Nagoya sobre Acceso a los Recursos Genéticos y Participación Justa y Equitativa en los Beneficios que se Deriven de su Utilización</w:t>
                  </w:r>
                </w:p>
              </w:tc>
              <w:tc>
                <w:tcPr>
                  <w:tcW w:w="3607" w:type="dxa"/>
                </w:tcPr>
                <w:p w14:paraId="652FA668" w14:textId="727C45A6" w:rsidR="009E7724" w:rsidRPr="00E56A6E" w:rsidRDefault="00B8453C" w:rsidP="009B1EA1">
                  <w:pPr>
                    <w:pStyle w:val="AFCorN12Bold"/>
                    <w:rPr>
                      <w:snapToGrid w:val="0"/>
                      <w:lang w:val="es-ES"/>
                    </w:rPr>
                  </w:pPr>
                  <w:r w:rsidRPr="00E56A6E">
                    <w:rPr>
                      <w:snapToGrid w:val="0"/>
                      <w:lang w:val="es-ES"/>
                    </w:rPr>
                    <w:t>Órgano Subsidiario sobre la Aplicación</w:t>
                  </w:r>
                </w:p>
                <w:p w14:paraId="15084EFE" w14:textId="5C325442" w:rsidR="009E7724" w:rsidRPr="00E56A6E" w:rsidRDefault="009E7724" w:rsidP="00CA324D">
                  <w:pPr>
                    <w:pStyle w:val="AFCorNBold"/>
                    <w:rPr>
                      <w:rStyle w:val="normaltextrun"/>
                      <w:bCs/>
                      <w:sz w:val="22"/>
                      <w:szCs w:val="22"/>
                      <w:lang w:val="es-ES"/>
                    </w:rPr>
                  </w:pPr>
                  <w:r w:rsidRPr="00E56A6E">
                    <w:rPr>
                      <w:rStyle w:val="normaltextrun"/>
                      <w:bCs/>
                      <w:sz w:val="22"/>
                      <w:szCs w:val="22"/>
                      <w:lang w:val="es-ES"/>
                    </w:rPr>
                    <w:t>S</w:t>
                  </w:r>
                  <w:r w:rsidR="00B8453C" w:rsidRPr="00E56A6E">
                    <w:rPr>
                      <w:rStyle w:val="normaltextrun"/>
                      <w:bCs/>
                      <w:sz w:val="22"/>
                      <w:szCs w:val="22"/>
                      <w:lang w:val="es-ES"/>
                    </w:rPr>
                    <w:t>éptima reunión</w:t>
                  </w:r>
                  <w:r w:rsidRPr="00E56A6E">
                    <w:rPr>
                      <w:rStyle w:val="normaltextrun"/>
                      <w:bCs/>
                      <w:sz w:val="22"/>
                      <w:szCs w:val="22"/>
                      <w:lang w:val="es-ES"/>
                    </w:rPr>
                    <w:t xml:space="preserve">  </w:t>
                  </w:r>
                </w:p>
                <w:p w14:paraId="68ED20DE" w14:textId="77777777" w:rsidR="00B8453C" w:rsidRPr="00E56A6E" w:rsidRDefault="00B8453C" w:rsidP="00B8453C">
                  <w:pPr>
                    <w:pStyle w:val="AFCorNNormal"/>
                    <w:rPr>
                      <w:sz w:val="22"/>
                      <w:szCs w:val="22"/>
                      <w:lang w:val="es-ES"/>
                    </w:rPr>
                  </w:pPr>
                  <w:r w:rsidRPr="00E56A6E">
                    <w:rPr>
                      <w:sz w:val="22"/>
                      <w:szCs w:val="22"/>
                      <w:lang w:val="es-ES"/>
                    </w:rPr>
                    <w:t>Nairobi, 4 a 12 de agosto de 2026</w:t>
                  </w:r>
                </w:p>
                <w:p w14:paraId="6FCEA633" w14:textId="6C12D33D" w:rsidR="009E7724" w:rsidRPr="00E56A6E" w:rsidRDefault="00B8453C" w:rsidP="00B8453C">
                  <w:pPr>
                    <w:pStyle w:val="Cornernotation-Item"/>
                    <w:ind w:right="174"/>
                    <w:rPr>
                      <w:lang w:val="es-ES"/>
                    </w:rPr>
                  </w:pPr>
                  <w:r w:rsidRPr="00E56A6E">
                    <w:rPr>
                      <w:b w:val="0"/>
                      <w:bCs w:val="0"/>
                      <w:szCs w:val="22"/>
                      <w:lang w:val="es-ES"/>
                    </w:rPr>
                    <w:t>Tema 7 del programa provisional</w:t>
                  </w:r>
                  <w:r w:rsidR="009E7724" w:rsidRPr="00E56A6E">
                    <w:rPr>
                      <w:rStyle w:val="FootnoteReference"/>
                      <w:b w:val="0"/>
                      <w:bCs w:val="0"/>
                      <w:lang w:val="es-ES"/>
                    </w:rPr>
                    <w:footnoteReference w:customMarkFollows="1" w:id="5"/>
                    <w:t>***</w:t>
                  </w:r>
                  <w:r w:rsidR="009E7724" w:rsidRPr="00E56A6E">
                    <w:rPr>
                      <w:rStyle w:val="FootnoteReference"/>
                      <w:lang w:val="es-ES"/>
                    </w:rPr>
                    <w:t xml:space="preserve"> </w:t>
                  </w:r>
                </w:p>
                <w:p w14:paraId="4B4BF368" w14:textId="7D0B7BF7" w:rsidR="009E7724" w:rsidRPr="00E56A6E" w:rsidRDefault="00A63E4A" w:rsidP="00401682">
                  <w:pPr>
                    <w:pStyle w:val="AFCorNot12Bold"/>
                    <w:rPr>
                      <w:bCs/>
                      <w:sz w:val="22"/>
                      <w:szCs w:val="22"/>
                      <w:lang w:val="es-ES"/>
                    </w:rPr>
                  </w:pPr>
                  <w:r w:rsidRPr="00E56A6E">
                    <w:rPr>
                      <w:sz w:val="22"/>
                      <w:szCs w:val="22"/>
                      <w:lang w:val="es-ES"/>
                    </w:rPr>
                    <w:t>Segunda evaluación y revisión de la eficacia del Protocolo de Nagoya sobre Acceso a los Recursos Genéticos y Participación Justa y Equitativa</w:t>
                  </w:r>
                  <w:r w:rsidR="00401682" w:rsidRPr="00E56A6E">
                    <w:rPr>
                      <w:sz w:val="22"/>
                      <w:szCs w:val="22"/>
                      <w:lang w:val="es-ES"/>
                    </w:rPr>
                    <w:t xml:space="preserve"> e</w:t>
                  </w:r>
                  <w:r w:rsidRPr="00E56A6E">
                    <w:rPr>
                      <w:sz w:val="22"/>
                      <w:szCs w:val="22"/>
                      <w:lang w:val="es-ES"/>
                    </w:rPr>
                    <w:t>n los Beneficios que se Deriven de su Utilización</w:t>
                  </w:r>
                </w:p>
              </w:tc>
            </w:tr>
          </w:tbl>
          <w:p w14:paraId="44201635" w14:textId="64DB2772" w:rsidR="009E7724" w:rsidRPr="00E56A6E" w:rsidRDefault="009E7724" w:rsidP="00AB1404">
            <w:pPr>
              <w:pStyle w:val="CBDTitle"/>
              <w:rPr>
                <w:rStyle w:val="normaltextrun"/>
                <w:lang w:val="es-ES"/>
              </w:rPr>
            </w:pPr>
          </w:p>
        </w:tc>
      </w:tr>
    </w:tbl>
    <w:bookmarkEnd w:id="0"/>
    <w:p w14:paraId="3ED72FD7" w14:textId="5395C300" w:rsidR="00A96B21" w:rsidRPr="00E56A6E" w:rsidRDefault="005B22F7" w:rsidP="00AF5649">
      <w:pPr>
        <w:pStyle w:val="Title"/>
        <w:jc w:val="left"/>
        <w:rPr>
          <w:lang w:val="es-ES"/>
        </w:rPr>
      </w:pPr>
      <w:sdt>
        <w:sdtPr>
          <w:rPr>
            <w:lang w:val="es-ES"/>
          </w:rPr>
          <w:alias w:val="Title"/>
          <w:tag w:val=""/>
          <w:id w:val="-1975355689"/>
          <w:placeholder>
            <w:docPart w:val="CD2337E717F940B6802459FDA6E9CB9B"/>
          </w:placeholder>
          <w:dataBinding w:prefixMappings="xmlns:ns0='http://purl.org/dc/elements/1.1/' xmlns:ns1='http://schemas.openxmlformats.org/package/2006/metadata/core-properties' " w:xpath="/ns1:coreProperties[1]/ns0:title[1]" w:storeItemID="{6C3C8BC8-F283-45AE-878A-BAB7291924A1}"/>
          <w:text/>
        </w:sdtPr>
        <w:sdtEndPr/>
        <w:sdtContent>
          <w:r w:rsidR="00EC4955" w:rsidRPr="00E56A6E">
            <w:rPr>
              <w:lang w:val="es-ES"/>
            </w:rPr>
            <w:t>Análisis de la información para la segunda evaluación y revisión de la eficacia del Protocolo de Nagoya</w:t>
          </w:r>
        </w:sdtContent>
      </w:sdt>
    </w:p>
    <w:p w14:paraId="61487005" w14:textId="7A103390" w:rsidR="002219C2" w:rsidRPr="00E56A6E" w:rsidRDefault="002219C2" w:rsidP="00AB1404">
      <w:pPr>
        <w:pStyle w:val="CBDSubTitle"/>
        <w:rPr>
          <w:lang w:val="es-ES"/>
        </w:rPr>
      </w:pPr>
      <w:r w:rsidRPr="00E56A6E">
        <w:rPr>
          <w:lang w:val="es-ES"/>
        </w:rPr>
        <w:t>Not</w:t>
      </w:r>
      <w:r w:rsidR="0053275F" w:rsidRPr="00E56A6E">
        <w:rPr>
          <w:lang w:val="es-ES"/>
        </w:rPr>
        <w:t xml:space="preserve">a de la Secretaría </w:t>
      </w:r>
    </w:p>
    <w:p w14:paraId="356D635D" w14:textId="77777777" w:rsidR="00515215" w:rsidRPr="00E56A6E" w:rsidRDefault="00515215" w:rsidP="002219C2">
      <w:pPr>
        <w:numPr>
          <w:ilvl w:val="1"/>
          <w:numId w:val="0"/>
        </w:numPr>
        <w:spacing w:before="120" w:after="120"/>
        <w:ind w:left="567"/>
        <w:jc w:val="left"/>
        <w:rPr>
          <w:rFonts w:eastAsiaTheme="minorEastAsia"/>
          <w:b/>
          <w:lang w:val="es-ES"/>
        </w:rPr>
        <w:sectPr w:rsidR="00515215" w:rsidRPr="00E56A6E" w:rsidSect="004B0132">
          <w:headerReference w:type="even" r:id="rId14"/>
          <w:headerReference w:type="default" r:id="rId15"/>
          <w:footerReference w:type="even" r:id="rId16"/>
          <w:footerReference w:type="default" r:id="rId17"/>
          <w:headerReference w:type="first" r:id="rId18"/>
          <w:pgSz w:w="12240" w:h="15840" w:code="1"/>
          <w:pgMar w:top="1021" w:right="1440" w:bottom="1134" w:left="1440" w:header="720" w:footer="720" w:gutter="0"/>
          <w:cols w:space="720"/>
          <w:noEndnote/>
          <w:titlePg/>
          <w:docGrid w:linePitch="299"/>
        </w:sectPr>
      </w:pPr>
    </w:p>
    <w:p w14:paraId="357748EA" w14:textId="5B1CAC56" w:rsidR="00073D1C" w:rsidRPr="00E56A6E" w:rsidRDefault="0050203F" w:rsidP="002219C2">
      <w:pPr>
        <w:numPr>
          <w:ilvl w:val="1"/>
          <w:numId w:val="0"/>
        </w:numPr>
        <w:spacing w:before="120" w:after="120"/>
        <w:ind w:left="567"/>
        <w:jc w:val="left"/>
        <w:rPr>
          <w:rFonts w:eastAsiaTheme="minorEastAsia"/>
          <w:b/>
          <w:lang w:val="es-ES"/>
        </w:rPr>
      </w:pPr>
      <w:r w:rsidRPr="00E56A6E">
        <w:rPr>
          <w:rFonts w:eastAsiaTheme="minorEastAsia"/>
          <w:b/>
          <w:lang w:val="es-ES"/>
        </w:rPr>
        <w:lastRenderedPageBreak/>
        <w:t>Índice</w:t>
      </w:r>
    </w:p>
    <w:p w14:paraId="27A0A2D7" w14:textId="0FAE82CC" w:rsidR="00C97213" w:rsidRPr="00E56A6E" w:rsidRDefault="00FB7FEC" w:rsidP="005A210D">
      <w:pPr>
        <w:pStyle w:val="TOC1"/>
        <w:rPr>
          <w:rFonts w:asciiTheme="minorHAnsi" w:eastAsiaTheme="minorEastAsia" w:hAnsiTheme="minorHAnsi" w:cstheme="minorBidi"/>
          <w:noProof/>
          <w:kern w:val="2"/>
          <w:sz w:val="24"/>
          <w:szCs w:val="21"/>
          <w:lang w:val="es-ES" w:eastAsia="en-GB" w:bidi="sa-IN"/>
          <w14:ligatures w14:val="standardContextual"/>
        </w:rPr>
      </w:pPr>
      <w:r w:rsidRPr="00E56A6E">
        <w:rPr>
          <w:rFonts w:eastAsiaTheme="minorEastAsia"/>
          <w:b/>
          <w:szCs w:val="22"/>
          <w:lang w:val="es-ES"/>
        </w:rPr>
        <w:fldChar w:fldCharType="begin"/>
      </w:r>
      <w:r w:rsidRPr="00E56A6E">
        <w:rPr>
          <w:rFonts w:eastAsiaTheme="minorEastAsia"/>
          <w:b/>
          <w:szCs w:val="22"/>
          <w:lang w:val="es-ES"/>
        </w:rPr>
        <w:instrText xml:space="preserve"> TOC \o "1-2" \h \z \u </w:instrText>
      </w:r>
      <w:r w:rsidRPr="00E56A6E">
        <w:rPr>
          <w:rFonts w:eastAsiaTheme="minorEastAsia"/>
          <w:b/>
          <w:szCs w:val="22"/>
          <w:lang w:val="es-ES"/>
        </w:rPr>
        <w:fldChar w:fldCharType="separate"/>
      </w:r>
      <w:hyperlink w:anchor="_Toc231911600" w:history="1">
        <w:r w:rsidR="00C97213" w:rsidRPr="00E56A6E">
          <w:rPr>
            <w:rStyle w:val="Hyperlink"/>
            <w:noProof/>
            <w:lang w:val="es-ES"/>
          </w:rPr>
          <w:t>I.</w:t>
        </w:r>
        <w:r w:rsidR="00C97213" w:rsidRPr="00E56A6E">
          <w:rPr>
            <w:rFonts w:asciiTheme="minorHAnsi" w:eastAsiaTheme="minorEastAsia" w:hAnsiTheme="minorHAnsi" w:cstheme="minorBidi"/>
            <w:noProof/>
            <w:kern w:val="2"/>
            <w:sz w:val="24"/>
            <w:szCs w:val="21"/>
            <w:lang w:val="es-ES" w:eastAsia="en-GB" w:bidi="sa-IN"/>
            <w14:ligatures w14:val="standardContextual"/>
          </w:rPr>
          <w:tab/>
        </w:r>
        <w:r w:rsidR="00C97213" w:rsidRPr="00D43233">
          <w:rPr>
            <w:rStyle w:val="Hyperlink"/>
            <w:noProof/>
            <w:lang w:val="es-ES"/>
          </w:rPr>
          <w:t>Introducción</w:t>
        </w:r>
        <w:r w:rsidR="00C97213" w:rsidRPr="00E56A6E">
          <w:rPr>
            <w:noProof/>
            <w:webHidden/>
            <w:lang w:val="es-ES"/>
          </w:rPr>
          <w:tab/>
        </w:r>
        <w:r w:rsidR="00C97213" w:rsidRPr="00E56A6E">
          <w:rPr>
            <w:noProof/>
            <w:webHidden/>
            <w:lang w:val="es-ES"/>
          </w:rPr>
          <w:fldChar w:fldCharType="begin"/>
        </w:r>
        <w:r w:rsidR="00C97213" w:rsidRPr="00E56A6E">
          <w:rPr>
            <w:noProof/>
            <w:webHidden/>
            <w:lang w:val="es-ES"/>
          </w:rPr>
          <w:instrText xml:space="preserve"> PAGEREF _Toc231911600 \h </w:instrText>
        </w:r>
        <w:r w:rsidR="00C97213" w:rsidRPr="00E56A6E">
          <w:rPr>
            <w:noProof/>
            <w:webHidden/>
            <w:lang w:val="es-ES"/>
          </w:rPr>
        </w:r>
        <w:r w:rsidR="00C97213" w:rsidRPr="00E56A6E">
          <w:rPr>
            <w:noProof/>
            <w:webHidden/>
            <w:lang w:val="es-ES"/>
          </w:rPr>
          <w:fldChar w:fldCharType="separate"/>
        </w:r>
        <w:r w:rsidR="00C97213" w:rsidRPr="00E56A6E">
          <w:rPr>
            <w:noProof/>
            <w:webHidden/>
            <w:lang w:val="es-ES"/>
          </w:rPr>
          <w:t>3</w:t>
        </w:r>
        <w:r w:rsidR="00C97213" w:rsidRPr="00E56A6E">
          <w:rPr>
            <w:noProof/>
            <w:webHidden/>
            <w:lang w:val="es-ES"/>
          </w:rPr>
          <w:fldChar w:fldCharType="end"/>
        </w:r>
      </w:hyperlink>
    </w:p>
    <w:p w14:paraId="5893CBB9" w14:textId="0B8E8E4A" w:rsidR="00C97213" w:rsidRPr="00E56A6E" w:rsidRDefault="00C97213" w:rsidP="005A210D">
      <w:pPr>
        <w:pStyle w:val="TOC1"/>
        <w:rPr>
          <w:rFonts w:asciiTheme="minorHAnsi" w:eastAsiaTheme="minorEastAsia" w:hAnsiTheme="minorHAnsi" w:cstheme="minorBidi"/>
          <w:noProof/>
          <w:kern w:val="2"/>
          <w:sz w:val="24"/>
          <w:szCs w:val="21"/>
          <w:lang w:val="es-ES" w:eastAsia="en-GB" w:bidi="sa-IN"/>
          <w14:ligatures w14:val="standardContextual"/>
        </w:rPr>
      </w:pPr>
      <w:hyperlink w:anchor="_Toc231911601" w:history="1">
        <w:r w:rsidRPr="00E56A6E">
          <w:rPr>
            <w:rStyle w:val="Hyperlink"/>
            <w:noProof/>
            <w:lang w:val="es-ES"/>
          </w:rPr>
          <w:t>II.</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Datos actualizados de los indicadores</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_Toc231911601 \h </w:instrText>
        </w:r>
        <w:r w:rsidRPr="00E56A6E">
          <w:rPr>
            <w:noProof/>
            <w:webHidden/>
            <w:lang w:val="es-ES"/>
          </w:rPr>
        </w:r>
        <w:r w:rsidRPr="00E56A6E">
          <w:rPr>
            <w:noProof/>
            <w:webHidden/>
            <w:lang w:val="es-ES"/>
          </w:rPr>
          <w:fldChar w:fldCharType="separate"/>
        </w:r>
        <w:r w:rsidRPr="00E56A6E">
          <w:rPr>
            <w:noProof/>
            <w:webHidden/>
            <w:lang w:val="es-ES"/>
          </w:rPr>
          <w:t>4</w:t>
        </w:r>
        <w:r w:rsidRPr="00E56A6E">
          <w:rPr>
            <w:noProof/>
            <w:webHidden/>
            <w:lang w:val="es-ES"/>
          </w:rPr>
          <w:fldChar w:fldCharType="end"/>
        </w:r>
      </w:hyperlink>
    </w:p>
    <w:p w14:paraId="38FB6C32" w14:textId="4131CBFE" w:rsidR="00C97213" w:rsidRPr="00E56A6E" w:rsidRDefault="00C97213" w:rsidP="005A210D">
      <w:pPr>
        <w:pStyle w:val="TOC1"/>
        <w:rPr>
          <w:rFonts w:asciiTheme="minorHAnsi" w:eastAsiaTheme="minorEastAsia" w:hAnsiTheme="minorHAnsi" w:cstheme="minorBidi"/>
          <w:noProof/>
          <w:kern w:val="2"/>
          <w:sz w:val="24"/>
          <w:szCs w:val="21"/>
          <w:lang w:val="es-ES" w:eastAsia="en-GB" w:bidi="sa-IN"/>
          <w14:ligatures w14:val="standardContextual"/>
        </w:rPr>
      </w:pPr>
      <w:hyperlink w:anchor="_Toc231911602" w:history="1">
        <w:r w:rsidRPr="00E56A6E">
          <w:rPr>
            <w:rStyle w:val="Hyperlink"/>
            <w:rFonts w:asciiTheme="majorBidi" w:hAnsiTheme="majorBidi"/>
            <w:noProof/>
            <w:lang w:val="es-ES"/>
          </w:rPr>
          <w:t>III.</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Análisis de la información</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_Toc231911602 \h </w:instrText>
        </w:r>
        <w:r w:rsidRPr="00E56A6E">
          <w:rPr>
            <w:noProof/>
            <w:webHidden/>
            <w:lang w:val="es-ES"/>
          </w:rPr>
        </w:r>
        <w:r w:rsidRPr="00E56A6E">
          <w:rPr>
            <w:noProof/>
            <w:webHidden/>
            <w:lang w:val="es-ES"/>
          </w:rPr>
          <w:fldChar w:fldCharType="separate"/>
        </w:r>
        <w:r w:rsidRPr="00E56A6E">
          <w:rPr>
            <w:noProof/>
            <w:webHidden/>
            <w:lang w:val="es-ES"/>
          </w:rPr>
          <w:t>5</w:t>
        </w:r>
        <w:r w:rsidRPr="00E56A6E">
          <w:rPr>
            <w:noProof/>
            <w:webHidden/>
            <w:lang w:val="es-ES"/>
          </w:rPr>
          <w:fldChar w:fldCharType="end"/>
        </w:r>
      </w:hyperlink>
    </w:p>
    <w:p w14:paraId="20729AE6" w14:textId="7149A5F7"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03" w:history="1">
        <w:r w:rsidRPr="00E56A6E">
          <w:rPr>
            <w:rStyle w:val="Hyperlink"/>
            <w:noProof/>
            <w:lang w:val="es-ES"/>
          </w:rPr>
          <w:t>A.</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Grado de aplicación de las disposiciones del Protocolo de Nagoya y de las obligaciones conexas de las Partes, incluida la evaluación de los avances realizados por las Partes en el establecimiento de estructuras institucionales y medidas de acceso y participación en los beneficios para aplicar el Protocolo</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_Toc231911603 \h </w:instrText>
        </w:r>
        <w:r w:rsidRPr="00E56A6E">
          <w:rPr>
            <w:noProof/>
            <w:webHidden/>
            <w:lang w:val="es-ES"/>
          </w:rPr>
        </w:r>
        <w:r w:rsidRPr="00E56A6E">
          <w:rPr>
            <w:noProof/>
            <w:webHidden/>
            <w:lang w:val="es-ES"/>
          </w:rPr>
          <w:fldChar w:fldCharType="separate"/>
        </w:r>
        <w:r w:rsidRPr="00E56A6E">
          <w:rPr>
            <w:noProof/>
            <w:webHidden/>
            <w:lang w:val="es-ES"/>
          </w:rPr>
          <w:t>5</w:t>
        </w:r>
        <w:r w:rsidRPr="00E56A6E">
          <w:rPr>
            <w:noProof/>
            <w:webHidden/>
            <w:lang w:val="es-ES"/>
          </w:rPr>
          <w:fldChar w:fldCharType="end"/>
        </w:r>
      </w:hyperlink>
    </w:p>
    <w:p w14:paraId="67AD3023" w14:textId="54D60D8E"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04" w:history="1">
        <w:r w:rsidRPr="00E56A6E">
          <w:rPr>
            <w:rStyle w:val="Hyperlink"/>
            <w:noProof/>
            <w:lang w:val="es-ES"/>
          </w:rPr>
          <w:t>B.</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Evaluación de la eficacia</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_Toc231911604 \h </w:instrText>
        </w:r>
        <w:r w:rsidRPr="00E56A6E">
          <w:rPr>
            <w:noProof/>
            <w:webHidden/>
            <w:lang w:val="es-ES"/>
          </w:rPr>
        </w:r>
        <w:r w:rsidRPr="00E56A6E">
          <w:rPr>
            <w:noProof/>
            <w:webHidden/>
            <w:lang w:val="es-ES"/>
          </w:rPr>
          <w:fldChar w:fldCharType="separate"/>
        </w:r>
        <w:r w:rsidRPr="00E56A6E">
          <w:rPr>
            <w:noProof/>
            <w:webHidden/>
            <w:lang w:val="es-ES"/>
          </w:rPr>
          <w:t>24</w:t>
        </w:r>
        <w:r w:rsidRPr="00E56A6E">
          <w:rPr>
            <w:noProof/>
            <w:webHidden/>
            <w:lang w:val="es-ES"/>
          </w:rPr>
          <w:fldChar w:fldCharType="end"/>
        </w:r>
      </w:hyperlink>
    </w:p>
    <w:p w14:paraId="7A1C8C99" w14:textId="5DE73B35"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05" w:history="1">
        <w:r w:rsidRPr="00E56A6E">
          <w:rPr>
            <w:rStyle w:val="Hyperlink"/>
            <w:noProof/>
            <w:lang w:val="es-ES"/>
          </w:rPr>
          <w:t>C.</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Evaluación del apoyo disponible para la aplicación</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_Toc231911605 \h </w:instrText>
        </w:r>
        <w:r w:rsidRPr="00E56A6E">
          <w:rPr>
            <w:noProof/>
            <w:webHidden/>
            <w:lang w:val="es-ES"/>
          </w:rPr>
        </w:r>
        <w:r w:rsidRPr="00E56A6E">
          <w:rPr>
            <w:noProof/>
            <w:webHidden/>
            <w:lang w:val="es-ES"/>
          </w:rPr>
          <w:fldChar w:fldCharType="separate"/>
        </w:r>
        <w:r w:rsidRPr="00E56A6E">
          <w:rPr>
            <w:noProof/>
            <w:webHidden/>
            <w:lang w:val="es-ES"/>
          </w:rPr>
          <w:t>32</w:t>
        </w:r>
        <w:r w:rsidRPr="00E56A6E">
          <w:rPr>
            <w:noProof/>
            <w:webHidden/>
            <w:lang w:val="es-ES"/>
          </w:rPr>
          <w:fldChar w:fldCharType="end"/>
        </w:r>
      </w:hyperlink>
    </w:p>
    <w:p w14:paraId="344ABA46" w14:textId="014EF4B1"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06" w:history="1">
        <w:r w:rsidRPr="00E56A6E">
          <w:rPr>
            <w:rStyle w:val="Hyperlink"/>
            <w:noProof/>
            <w:lang w:val="es-ES"/>
          </w:rPr>
          <w:t>D.</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Evaluación de la eficacia del artículo 18 (grado de aplicación)</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_Toc231911606 \h </w:instrText>
        </w:r>
        <w:r w:rsidRPr="00E56A6E">
          <w:rPr>
            <w:noProof/>
            <w:webHidden/>
            <w:lang w:val="es-ES"/>
          </w:rPr>
        </w:r>
        <w:r w:rsidRPr="00E56A6E">
          <w:rPr>
            <w:noProof/>
            <w:webHidden/>
            <w:lang w:val="es-ES"/>
          </w:rPr>
          <w:fldChar w:fldCharType="separate"/>
        </w:r>
        <w:r w:rsidRPr="00E56A6E">
          <w:rPr>
            <w:noProof/>
            <w:webHidden/>
            <w:lang w:val="es-ES"/>
          </w:rPr>
          <w:t>40</w:t>
        </w:r>
        <w:r w:rsidRPr="00E56A6E">
          <w:rPr>
            <w:noProof/>
            <w:webHidden/>
            <w:lang w:val="es-ES"/>
          </w:rPr>
          <w:fldChar w:fldCharType="end"/>
        </w:r>
      </w:hyperlink>
    </w:p>
    <w:p w14:paraId="31D8F077" w14:textId="28104C52"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07" w:history="1">
        <w:r w:rsidRPr="00E56A6E">
          <w:rPr>
            <w:rStyle w:val="Hyperlink"/>
            <w:noProof/>
            <w:lang w:val="es-ES"/>
          </w:rPr>
          <w:t>E.</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Evaluación de la aplicación del artículo 16 a la luz de la evolución de la situación en otras organizaciones internacionales pertinentes, incluida la Organización Mundial de la Propiedad Intelectual</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_Toc231911607 \h </w:instrText>
        </w:r>
        <w:r w:rsidRPr="00E56A6E">
          <w:rPr>
            <w:noProof/>
            <w:webHidden/>
            <w:lang w:val="es-ES"/>
          </w:rPr>
        </w:r>
        <w:r w:rsidRPr="00E56A6E">
          <w:rPr>
            <w:noProof/>
            <w:webHidden/>
            <w:lang w:val="es-ES"/>
          </w:rPr>
          <w:fldChar w:fldCharType="separate"/>
        </w:r>
        <w:r w:rsidRPr="00E56A6E">
          <w:rPr>
            <w:noProof/>
            <w:webHidden/>
            <w:lang w:val="es-ES"/>
          </w:rPr>
          <w:t>41</w:t>
        </w:r>
        <w:r w:rsidRPr="00E56A6E">
          <w:rPr>
            <w:noProof/>
            <w:webHidden/>
            <w:lang w:val="es-ES"/>
          </w:rPr>
          <w:fldChar w:fldCharType="end"/>
        </w:r>
      </w:hyperlink>
    </w:p>
    <w:p w14:paraId="6A8DC152" w14:textId="5DF065B6"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08" w:history="1">
        <w:r w:rsidRPr="00E56A6E">
          <w:rPr>
            <w:rStyle w:val="Hyperlink"/>
            <w:noProof/>
            <w:lang w:val="es-ES"/>
          </w:rPr>
          <w:t>F.</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Balance del uso de cláusulas contractuales modelo, códigos de conducta, directrices, prácticas óptimas y estándares, así como de las leyes consuetudinarias, los protocolos comunitarios y los procedimientos de los pueblos indígenas y las comunidades locales</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_Toc231911608 \h </w:instrText>
        </w:r>
        <w:r w:rsidRPr="00E56A6E">
          <w:rPr>
            <w:noProof/>
            <w:webHidden/>
            <w:lang w:val="es-ES"/>
          </w:rPr>
        </w:r>
        <w:r w:rsidRPr="00E56A6E">
          <w:rPr>
            <w:noProof/>
            <w:webHidden/>
            <w:lang w:val="es-ES"/>
          </w:rPr>
          <w:fldChar w:fldCharType="separate"/>
        </w:r>
        <w:r w:rsidRPr="00E56A6E">
          <w:rPr>
            <w:noProof/>
            <w:webHidden/>
            <w:lang w:val="es-ES"/>
          </w:rPr>
          <w:t>43</w:t>
        </w:r>
        <w:r w:rsidRPr="00E56A6E">
          <w:rPr>
            <w:noProof/>
            <w:webHidden/>
            <w:lang w:val="es-ES"/>
          </w:rPr>
          <w:fldChar w:fldCharType="end"/>
        </w:r>
      </w:hyperlink>
    </w:p>
    <w:p w14:paraId="5B3E5A8D" w14:textId="08EDA7CB"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09" w:history="1">
        <w:r w:rsidRPr="00E56A6E">
          <w:rPr>
            <w:rStyle w:val="Hyperlink"/>
            <w:noProof/>
            <w:lang w:val="es-ES"/>
          </w:rPr>
          <w:t>G.</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Examen de la aplicación y el funcionamiento del Centro de Intercambio de Información sobre Acceso y Participación en los Beneficios</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_Toc231911609 \h </w:instrText>
        </w:r>
        <w:r w:rsidRPr="00E56A6E">
          <w:rPr>
            <w:noProof/>
            <w:webHidden/>
            <w:lang w:val="es-ES"/>
          </w:rPr>
        </w:r>
        <w:r w:rsidRPr="00E56A6E">
          <w:rPr>
            <w:noProof/>
            <w:webHidden/>
            <w:lang w:val="es-ES"/>
          </w:rPr>
          <w:fldChar w:fldCharType="separate"/>
        </w:r>
        <w:r w:rsidRPr="00E56A6E">
          <w:rPr>
            <w:noProof/>
            <w:webHidden/>
            <w:lang w:val="es-ES"/>
          </w:rPr>
          <w:t>46</w:t>
        </w:r>
        <w:r w:rsidRPr="00E56A6E">
          <w:rPr>
            <w:noProof/>
            <w:webHidden/>
            <w:lang w:val="es-ES"/>
          </w:rPr>
          <w:fldChar w:fldCharType="end"/>
        </w:r>
      </w:hyperlink>
    </w:p>
    <w:p w14:paraId="0224C56B" w14:textId="72702507"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10" w:history="1">
        <w:r w:rsidRPr="00E56A6E">
          <w:rPr>
            <w:rStyle w:val="Hyperlink"/>
            <w:noProof/>
            <w:lang w:val="es-ES"/>
          </w:rPr>
          <w:t>H.</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Avances en la aplicación del artículo 10, relativo a un mecanismo multilateral mundial de participación en los beneficios</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_Toc231911610 \h </w:instrText>
        </w:r>
        <w:r w:rsidRPr="00E56A6E">
          <w:rPr>
            <w:noProof/>
            <w:webHidden/>
            <w:lang w:val="es-ES"/>
          </w:rPr>
        </w:r>
        <w:r w:rsidRPr="00E56A6E">
          <w:rPr>
            <w:noProof/>
            <w:webHidden/>
            <w:lang w:val="es-ES"/>
          </w:rPr>
          <w:fldChar w:fldCharType="separate"/>
        </w:r>
        <w:r w:rsidRPr="00E56A6E">
          <w:rPr>
            <w:noProof/>
            <w:webHidden/>
            <w:lang w:val="es-ES"/>
          </w:rPr>
          <w:t>55</w:t>
        </w:r>
        <w:r w:rsidRPr="00E56A6E">
          <w:rPr>
            <w:noProof/>
            <w:webHidden/>
            <w:lang w:val="es-ES"/>
          </w:rPr>
          <w:fldChar w:fldCharType="end"/>
        </w:r>
      </w:hyperlink>
    </w:p>
    <w:p w14:paraId="57B64674" w14:textId="45081E88" w:rsidR="00C97213" w:rsidRPr="00E56A6E" w:rsidRDefault="00C97213">
      <w:pPr>
        <w:pStyle w:val="TOC2"/>
        <w:rPr>
          <w:rFonts w:asciiTheme="minorHAnsi" w:eastAsiaTheme="minorEastAsia" w:hAnsiTheme="minorHAnsi" w:cstheme="minorBidi"/>
          <w:noProof/>
          <w:kern w:val="2"/>
          <w:sz w:val="24"/>
          <w:szCs w:val="21"/>
          <w:lang w:val="es-ES" w:eastAsia="en-GB" w:bidi="sa-IN"/>
          <w14:ligatures w14:val="standardContextual"/>
        </w:rPr>
      </w:pPr>
      <w:hyperlink w:anchor="_Toc231911611" w:history="1">
        <w:r w:rsidRPr="00E56A6E">
          <w:rPr>
            <w:rStyle w:val="Hyperlink"/>
            <w:noProof/>
            <w:lang w:val="es-ES"/>
          </w:rPr>
          <w:t>I.</w:t>
        </w:r>
        <w:r w:rsidRPr="00E56A6E">
          <w:rPr>
            <w:rFonts w:asciiTheme="minorHAnsi" w:eastAsiaTheme="minorEastAsia" w:hAnsiTheme="minorHAnsi" w:cstheme="minorBidi"/>
            <w:noProof/>
            <w:kern w:val="2"/>
            <w:sz w:val="24"/>
            <w:szCs w:val="21"/>
            <w:lang w:val="es-ES" w:eastAsia="en-GB" w:bidi="sa-IN"/>
            <w14:ligatures w14:val="standardContextual"/>
          </w:rPr>
          <w:tab/>
        </w:r>
        <w:r w:rsidRPr="00E56A6E">
          <w:rPr>
            <w:rStyle w:val="Hyperlink"/>
            <w:noProof/>
            <w:lang w:val="es-ES"/>
          </w:rPr>
          <w:t>Avances en la aplicación del artículo 23, relativo a la transferencia de tecnología, la colaboración y la cooperación</w:t>
        </w:r>
        <w:r w:rsidRPr="00E56A6E">
          <w:rPr>
            <w:noProof/>
            <w:webHidden/>
            <w:lang w:val="es-ES"/>
          </w:rPr>
          <w:tab/>
        </w:r>
        <w:r w:rsidRPr="00E56A6E">
          <w:rPr>
            <w:noProof/>
            <w:webHidden/>
            <w:lang w:val="es-ES"/>
          </w:rPr>
          <w:fldChar w:fldCharType="begin"/>
        </w:r>
        <w:r w:rsidRPr="00E56A6E">
          <w:rPr>
            <w:noProof/>
            <w:webHidden/>
            <w:lang w:val="es-ES"/>
          </w:rPr>
          <w:instrText xml:space="preserve"> PAGEREF _Toc231911611 \h </w:instrText>
        </w:r>
        <w:r w:rsidRPr="00E56A6E">
          <w:rPr>
            <w:noProof/>
            <w:webHidden/>
            <w:lang w:val="es-ES"/>
          </w:rPr>
        </w:r>
        <w:r w:rsidRPr="00E56A6E">
          <w:rPr>
            <w:noProof/>
            <w:webHidden/>
            <w:lang w:val="es-ES"/>
          </w:rPr>
          <w:fldChar w:fldCharType="separate"/>
        </w:r>
        <w:r w:rsidRPr="00E56A6E">
          <w:rPr>
            <w:noProof/>
            <w:webHidden/>
            <w:lang w:val="es-ES"/>
          </w:rPr>
          <w:t>55</w:t>
        </w:r>
        <w:r w:rsidRPr="00E56A6E">
          <w:rPr>
            <w:noProof/>
            <w:webHidden/>
            <w:lang w:val="es-ES"/>
          </w:rPr>
          <w:fldChar w:fldCharType="end"/>
        </w:r>
      </w:hyperlink>
    </w:p>
    <w:p w14:paraId="1FCAFD0A" w14:textId="06B9ACE8" w:rsidR="00CD2C50" w:rsidRPr="00E56A6E" w:rsidRDefault="00FB7FEC" w:rsidP="002219C2">
      <w:pPr>
        <w:numPr>
          <w:ilvl w:val="1"/>
          <w:numId w:val="0"/>
        </w:numPr>
        <w:spacing w:before="120" w:after="120"/>
        <w:ind w:left="567"/>
        <w:jc w:val="left"/>
        <w:rPr>
          <w:rFonts w:eastAsiaTheme="minorEastAsia"/>
          <w:b/>
          <w:lang w:val="es-ES"/>
        </w:rPr>
        <w:sectPr w:rsidR="00CD2C50" w:rsidRPr="00E56A6E" w:rsidSect="00515215">
          <w:pgSz w:w="12240" w:h="15840" w:code="1"/>
          <w:pgMar w:top="1021" w:right="1440" w:bottom="1134" w:left="1440" w:header="720" w:footer="720" w:gutter="0"/>
          <w:cols w:space="720"/>
          <w:noEndnote/>
          <w:docGrid w:linePitch="299"/>
        </w:sectPr>
      </w:pPr>
      <w:r w:rsidRPr="00E56A6E">
        <w:rPr>
          <w:rFonts w:eastAsiaTheme="minorEastAsia"/>
          <w:b/>
          <w:lang w:val="es-ES"/>
        </w:rPr>
        <w:fldChar w:fldCharType="end"/>
      </w:r>
    </w:p>
    <w:p w14:paraId="32FE5CC3" w14:textId="13E46166" w:rsidR="002219C2" w:rsidRPr="00E56A6E" w:rsidRDefault="00CD2C50" w:rsidP="00CD2C50">
      <w:pPr>
        <w:pStyle w:val="CBDH1"/>
        <w:rPr>
          <w:lang w:val="es-ES"/>
        </w:rPr>
      </w:pPr>
      <w:bookmarkStart w:id="3" w:name="_Toc231911600"/>
      <w:r w:rsidRPr="00E56A6E">
        <w:rPr>
          <w:lang w:val="es-ES"/>
        </w:rPr>
        <w:lastRenderedPageBreak/>
        <w:t>I.</w:t>
      </w:r>
      <w:r w:rsidRPr="00E56A6E">
        <w:rPr>
          <w:lang w:val="es-ES"/>
        </w:rPr>
        <w:tab/>
      </w:r>
      <w:r w:rsidR="002219C2" w:rsidRPr="00E56A6E">
        <w:rPr>
          <w:lang w:val="es-ES"/>
        </w:rPr>
        <w:t>Introdu</w:t>
      </w:r>
      <w:r w:rsidR="00F73DD6" w:rsidRPr="00E56A6E">
        <w:rPr>
          <w:lang w:val="es-ES"/>
        </w:rPr>
        <w:t>cción</w:t>
      </w:r>
      <w:bookmarkEnd w:id="3"/>
    </w:p>
    <w:p w14:paraId="796512B7" w14:textId="6793BA91" w:rsidR="00F73DD6" w:rsidRPr="00E56A6E" w:rsidRDefault="00F73DD6" w:rsidP="004103D9">
      <w:pPr>
        <w:pStyle w:val="CBDNormalNumber"/>
        <w:rPr>
          <w:lang w:val="es-ES"/>
        </w:rPr>
      </w:pPr>
      <w:r w:rsidRPr="00E56A6E">
        <w:rPr>
          <w:lang w:val="es-ES"/>
        </w:rPr>
        <w:t xml:space="preserve">En su decisión </w:t>
      </w:r>
      <w:hyperlink r:id="rId19" w:tgtFrame="_blank" w:history="1">
        <w:r w:rsidRPr="00E56A6E">
          <w:rPr>
            <w:rStyle w:val="Hyperlink"/>
            <w:lang w:val="es-ES"/>
          </w:rPr>
          <w:t>NP-3/1</w:t>
        </w:r>
      </w:hyperlink>
      <w:r w:rsidRPr="00E56A6E">
        <w:rPr>
          <w:lang w:val="es-ES"/>
        </w:rPr>
        <w:t xml:space="preserve">, la </w:t>
      </w:r>
      <w:r w:rsidR="004103D9" w:rsidRPr="00E56A6E">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r w:rsidRPr="00E56A6E">
        <w:rPr>
          <w:lang w:val="es-ES"/>
        </w:rPr>
        <w:t xml:space="preserve">, decidió </w:t>
      </w:r>
      <w:r w:rsidR="00852422" w:rsidRPr="00E56A6E">
        <w:rPr>
          <w:lang w:val="es-ES"/>
        </w:rPr>
        <w:t xml:space="preserve">realizar </w:t>
      </w:r>
      <w:r w:rsidRPr="00E56A6E">
        <w:rPr>
          <w:lang w:val="es-ES"/>
        </w:rPr>
        <w:t xml:space="preserve">la segunda evaluación y revisión de la eficacia del Protocolo en su sexta reunión. En la decisión </w:t>
      </w:r>
      <w:hyperlink r:id="rId20" w:tgtFrame="_blank" w:history="1">
        <w:r w:rsidRPr="00E56A6E">
          <w:rPr>
            <w:rStyle w:val="Hyperlink"/>
            <w:lang w:val="es-ES"/>
          </w:rPr>
          <w:t>NP-5/5</w:t>
        </w:r>
      </w:hyperlink>
      <w:r w:rsidRPr="00E56A6E">
        <w:rPr>
          <w:lang w:val="es-ES"/>
        </w:rPr>
        <w:t xml:space="preserve">, la </w:t>
      </w:r>
      <w:r w:rsidR="00F44AD8" w:rsidRPr="00E56A6E">
        <w:rPr>
          <w:lang w:val="es-ES"/>
        </w:rPr>
        <w:t>Conferencia de las Partes que actúa como reunión de las Partes en el Protocolo de Nagoya</w:t>
      </w:r>
      <w:r w:rsidRPr="00E56A6E">
        <w:rPr>
          <w:lang w:val="es-ES"/>
        </w:rPr>
        <w:t xml:space="preserve"> acordó una metodología para </w:t>
      </w:r>
      <w:r w:rsidR="00852422" w:rsidRPr="00E56A6E">
        <w:rPr>
          <w:lang w:val="es-ES"/>
        </w:rPr>
        <w:t xml:space="preserve">realizar </w:t>
      </w:r>
      <w:r w:rsidRPr="00E56A6E">
        <w:rPr>
          <w:lang w:val="es-ES"/>
        </w:rPr>
        <w:t xml:space="preserve">la segunda evaluación y revisión sobre la base de los elementos y fuentes de información </w:t>
      </w:r>
      <w:r w:rsidR="00F44AD8" w:rsidRPr="00E56A6E">
        <w:rPr>
          <w:lang w:val="es-ES"/>
        </w:rPr>
        <w:t xml:space="preserve">que figuran </w:t>
      </w:r>
      <w:r w:rsidRPr="00E56A6E">
        <w:rPr>
          <w:lang w:val="es-ES"/>
        </w:rPr>
        <w:t xml:space="preserve">en el anexo de dicha decisión. </w:t>
      </w:r>
      <w:r w:rsidR="00F44AD8" w:rsidRPr="00E56A6E">
        <w:rPr>
          <w:lang w:val="es-ES"/>
        </w:rPr>
        <w:t xml:space="preserve">En los </w:t>
      </w:r>
      <w:r w:rsidRPr="00E56A6E">
        <w:rPr>
          <w:lang w:val="es-ES"/>
        </w:rPr>
        <w:t xml:space="preserve">elementos </w:t>
      </w:r>
      <w:r w:rsidR="00F44AD8" w:rsidRPr="00E56A6E">
        <w:rPr>
          <w:lang w:val="es-ES"/>
        </w:rPr>
        <w:t>se trata</w:t>
      </w:r>
      <w:r w:rsidR="00852422" w:rsidRPr="00E56A6E">
        <w:rPr>
          <w:lang w:val="es-ES"/>
        </w:rPr>
        <w:t>ron</w:t>
      </w:r>
      <w:r w:rsidR="00214FCA">
        <w:rPr>
          <w:lang w:val="es-ES"/>
        </w:rPr>
        <w:t xml:space="preserve"> </w:t>
      </w:r>
      <w:r w:rsidRPr="00E56A6E">
        <w:rPr>
          <w:lang w:val="es-ES"/>
        </w:rPr>
        <w:t>diversos aspectos de la aplicación del Protocolo.</w:t>
      </w:r>
    </w:p>
    <w:p w14:paraId="79AD6377" w14:textId="43FCEB3E" w:rsidR="00F73DD6" w:rsidRPr="00E56A6E" w:rsidRDefault="00F73DD6" w:rsidP="00F73DD6">
      <w:pPr>
        <w:pStyle w:val="CBDNormalNumber"/>
        <w:rPr>
          <w:rFonts w:asciiTheme="majorBidi" w:hAnsiTheme="majorBidi" w:cstheme="majorBidi"/>
          <w:lang w:val="es-ES"/>
        </w:rPr>
      </w:pPr>
      <w:r w:rsidRPr="00E56A6E">
        <w:rPr>
          <w:lang w:val="es-ES"/>
        </w:rPr>
        <w:t>Asimismo, en la decisión NP-5/5 se</w:t>
      </w:r>
      <w:r w:rsidR="006B1DB9" w:rsidRPr="00E56A6E">
        <w:rPr>
          <w:lang w:val="es-ES"/>
        </w:rPr>
        <w:t xml:space="preserve"> pidió</w:t>
      </w:r>
      <w:r w:rsidRPr="00E56A6E">
        <w:rPr>
          <w:lang w:val="es-ES"/>
        </w:rPr>
        <w:t xml:space="preserve"> a</w:t>
      </w:r>
      <w:r w:rsidR="006B1DB9" w:rsidRPr="00E56A6E">
        <w:rPr>
          <w:lang w:val="es-ES"/>
        </w:rPr>
        <w:t xml:space="preserve"> </w:t>
      </w:r>
      <w:r w:rsidRPr="00E56A6E">
        <w:rPr>
          <w:lang w:val="es-ES"/>
        </w:rPr>
        <w:t>l</w:t>
      </w:r>
      <w:r w:rsidR="006B1DB9" w:rsidRPr="00E56A6E">
        <w:rPr>
          <w:lang w:val="es-ES"/>
        </w:rPr>
        <w:t>a</w:t>
      </w:r>
      <w:r w:rsidRPr="00E56A6E">
        <w:rPr>
          <w:lang w:val="es-ES"/>
        </w:rPr>
        <w:t xml:space="preserve"> Secretari</w:t>
      </w:r>
      <w:r w:rsidR="006B1DB9" w:rsidRPr="00E56A6E">
        <w:rPr>
          <w:lang w:val="es-ES"/>
        </w:rPr>
        <w:t>a</w:t>
      </w:r>
      <w:r w:rsidRPr="00E56A6E">
        <w:rPr>
          <w:lang w:val="es-ES"/>
        </w:rPr>
        <w:t xml:space="preserve"> Ejecutiv</w:t>
      </w:r>
      <w:r w:rsidR="006B1DB9" w:rsidRPr="00E56A6E">
        <w:rPr>
          <w:lang w:val="es-ES"/>
        </w:rPr>
        <w:t xml:space="preserve">a </w:t>
      </w:r>
      <w:r w:rsidRPr="00E56A6E">
        <w:rPr>
          <w:lang w:val="es-ES"/>
        </w:rPr>
        <w:t>que analizara y</w:t>
      </w:r>
      <w:r w:rsidR="006B1DB9" w:rsidRPr="00E56A6E">
        <w:rPr>
          <w:lang w:val="es-ES"/>
        </w:rPr>
        <w:t xml:space="preserve"> resumiera</w:t>
      </w:r>
      <w:r w:rsidRPr="00E56A6E">
        <w:rPr>
          <w:lang w:val="es-ES"/>
        </w:rPr>
        <w:t xml:space="preserve"> información sobre la aplicación del Protocolo de Nagoya u</w:t>
      </w:r>
      <w:r w:rsidR="006B1DB9" w:rsidRPr="00E56A6E">
        <w:rPr>
          <w:lang w:val="es-ES"/>
        </w:rPr>
        <w:t>s</w:t>
      </w:r>
      <w:r w:rsidRPr="00E56A6E">
        <w:rPr>
          <w:lang w:val="es-ES"/>
        </w:rPr>
        <w:t xml:space="preserve">ando las fuentes de información </w:t>
      </w:r>
      <w:r w:rsidR="00814D1F" w:rsidRPr="00E56A6E">
        <w:rPr>
          <w:lang w:val="es-ES"/>
        </w:rPr>
        <w:t xml:space="preserve">enumeradas </w:t>
      </w:r>
      <w:r w:rsidRPr="00E56A6E">
        <w:rPr>
          <w:lang w:val="es-ES"/>
        </w:rPr>
        <w:t xml:space="preserve">en el anexo de dicha decisión, que </w:t>
      </w:r>
      <w:r w:rsidR="006B1DB9" w:rsidRPr="00E56A6E">
        <w:rPr>
          <w:lang w:val="es-ES"/>
        </w:rPr>
        <w:t xml:space="preserve">midiera </w:t>
      </w:r>
      <w:r w:rsidRPr="00E56A6E">
        <w:rPr>
          <w:lang w:val="es-ES"/>
        </w:rPr>
        <w:t xml:space="preserve">los indicadores en el marco de los indicadores que figuran en el anexo II de la decisión </w:t>
      </w:r>
      <w:hyperlink r:id="rId21" w:history="1">
        <w:r w:rsidRPr="00E56A6E">
          <w:rPr>
            <w:rStyle w:val="Hyperlink"/>
            <w:rFonts w:asciiTheme="majorBidi" w:hAnsiTheme="majorBidi" w:cstheme="majorBidi"/>
            <w:lang w:val="es-ES"/>
          </w:rPr>
          <w:t>NP-3/1</w:t>
        </w:r>
      </w:hyperlink>
      <w:r w:rsidRPr="00E56A6E">
        <w:rPr>
          <w:lang w:val="es-ES"/>
        </w:rPr>
        <w:t xml:space="preserve"> y que pusiera la información a disposición del </w:t>
      </w:r>
      <w:r w:rsidR="006B1DB9" w:rsidRPr="00E56A6E">
        <w:rPr>
          <w:rFonts w:asciiTheme="majorBidi" w:hAnsiTheme="majorBidi" w:cstheme="majorBidi"/>
          <w:lang w:val="es-ES"/>
        </w:rPr>
        <w:t>Comité Asesor Oficioso sobre Creación de Capacidad para la Aplicación del Protocolo de Nagoya, el Comité de Cumplimiento establecido en el marco del Protocolo de Nagoya y el Órgano Subsidiario sobre la Aplicación</w:t>
      </w:r>
      <w:r w:rsidRPr="00E56A6E">
        <w:rPr>
          <w:lang w:val="es-ES"/>
        </w:rPr>
        <w:t xml:space="preserve">. </w:t>
      </w:r>
    </w:p>
    <w:p w14:paraId="7BC1D78D" w14:textId="13F9F3EB" w:rsidR="00F73DD6" w:rsidRPr="00E56A6E" w:rsidRDefault="00F73DD6" w:rsidP="00F73DD6">
      <w:pPr>
        <w:pStyle w:val="CBDNormalNumber"/>
        <w:rPr>
          <w:lang w:val="es-ES"/>
        </w:rPr>
      </w:pPr>
      <w:r w:rsidRPr="00E56A6E">
        <w:rPr>
          <w:lang w:val="es-ES"/>
        </w:rPr>
        <w:t xml:space="preserve">Se pidió al </w:t>
      </w:r>
      <w:r w:rsidR="003E3DD6" w:rsidRPr="00E56A6E">
        <w:rPr>
          <w:lang w:val="es-ES"/>
        </w:rPr>
        <w:t>Comité Asesor Oficioso sobre Creación de Capacidad para la Aplicación del Protocolo de Nagoya</w:t>
      </w:r>
      <w:r w:rsidRPr="00E56A6E">
        <w:rPr>
          <w:lang w:val="es-ES"/>
        </w:rPr>
        <w:t xml:space="preserve"> y al Comité de Cumplimiento del Protocolo de Nagoya que trabajaran de manera complementaria y sin duplic</w:t>
      </w:r>
      <w:r w:rsidR="00821937" w:rsidRPr="00E56A6E">
        <w:rPr>
          <w:lang w:val="es-ES"/>
        </w:rPr>
        <w:t>aciones</w:t>
      </w:r>
      <w:r w:rsidRPr="00E56A6E">
        <w:rPr>
          <w:lang w:val="es-ES"/>
        </w:rPr>
        <w:t xml:space="preserve">, que contribuyeran a la segunda evaluación y revisión y que presentaran sus conclusiones para </w:t>
      </w:r>
      <w:r w:rsidR="00821937" w:rsidRPr="00E56A6E">
        <w:rPr>
          <w:lang w:val="es-ES"/>
        </w:rPr>
        <w:t xml:space="preserve">que sean consideradas </w:t>
      </w:r>
      <w:r w:rsidRPr="00E56A6E">
        <w:rPr>
          <w:lang w:val="es-ES"/>
        </w:rPr>
        <w:t>por el Órgano Subsidiario sobre la Ejecución.</w:t>
      </w:r>
    </w:p>
    <w:p w14:paraId="1C421BA0" w14:textId="7C9B5B4A" w:rsidR="00F73DD6" w:rsidRPr="00E56A6E" w:rsidRDefault="00F73DD6" w:rsidP="00F73DD6">
      <w:pPr>
        <w:pStyle w:val="CBDNormalNumber"/>
        <w:rPr>
          <w:rFonts w:asciiTheme="majorBidi" w:hAnsiTheme="majorBidi" w:cstheme="majorBidi"/>
          <w:lang w:val="es-ES"/>
        </w:rPr>
      </w:pPr>
      <w:r w:rsidRPr="00E56A6E">
        <w:rPr>
          <w:lang w:val="es-ES"/>
        </w:rPr>
        <w:t xml:space="preserve">En el párrafo 18 </w:t>
      </w:r>
      <w:r w:rsidR="009F169B" w:rsidRPr="00E56A6E">
        <w:rPr>
          <w:lang w:val="es-ES"/>
        </w:rPr>
        <w:t xml:space="preserve">a) </w:t>
      </w:r>
      <w:r w:rsidRPr="00E56A6E">
        <w:rPr>
          <w:lang w:val="es-ES"/>
        </w:rPr>
        <w:t xml:space="preserve">de la decisión </w:t>
      </w:r>
      <w:hyperlink r:id="rId22" w:history="1">
        <w:r w:rsidRPr="00E56A6E">
          <w:rPr>
            <w:rStyle w:val="Hyperlink"/>
            <w:rFonts w:asciiTheme="majorBidi" w:hAnsiTheme="majorBidi" w:cstheme="majorBidi"/>
            <w:lang w:val="es-ES"/>
          </w:rPr>
          <w:t>NP-3/1</w:t>
        </w:r>
      </w:hyperlink>
      <w:r w:rsidRPr="00E56A6E">
        <w:rPr>
          <w:lang w:val="es-ES"/>
        </w:rPr>
        <w:t xml:space="preserve">, se pidió </w:t>
      </w:r>
      <w:r w:rsidR="00151389" w:rsidRPr="00E56A6E">
        <w:rPr>
          <w:lang w:val="es-ES"/>
        </w:rPr>
        <w:t>a la Secretaria Ejecutiva</w:t>
      </w:r>
      <w:r w:rsidRPr="00E56A6E">
        <w:rPr>
          <w:lang w:val="es-ES"/>
        </w:rPr>
        <w:t xml:space="preserve"> que </w:t>
      </w:r>
      <w:r w:rsidR="00092CB8" w:rsidRPr="00E56A6E">
        <w:rPr>
          <w:lang w:val="es-ES"/>
        </w:rPr>
        <w:t xml:space="preserve">llevara a cabo </w:t>
      </w:r>
      <w:r w:rsidRPr="00E56A6E">
        <w:rPr>
          <w:lang w:val="es-ES"/>
        </w:rPr>
        <w:t xml:space="preserve">encuestas </w:t>
      </w:r>
      <w:r w:rsidR="00092CB8" w:rsidRPr="00E56A6E">
        <w:rPr>
          <w:lang w:val="es-ES"/>
        </w:rPr>
        <w:t xml:space="preserve">dirigidas </w:t>
      </w:r>
      <w:r w:rsidRPr="00E56A6E">
        <w:rPr>
          <w:lang w:val="es-ES"/>
        </w:rPr>
        <w:t xml:space="preserve">a puntos focales nacionales </w:t>
      </w:r>
      <w:r w:rsidR="00092CB8" w:rsidRPr="00E56A6E">
        <w:rPr>
          <w:lang w:val="es-ES"/>
        </w:rPr>
        <w:t xml:space="preserve">de </w:t>
      </w:r>
      <w:r w:rsidRPr="00E56A6E">
        <w:rPr>
          <w:lang w:val="es-ES"/>
        </w:rPr>
        <w:t>acceso y participación en los beneficios, autoridades nacionales competentes</w:t>
      </w:r>
      <w:r w:rsidR="00092CB8" w:rsidRPr="00E56A6E">
        <w:rPr>
          <w:lang w:val="es-ES"/>
        </w:rPr>
        <w:t>,</w:t>
      </w:r>
      <w:r w:rsidRPr="00E56A6E">
        <w:rPr>
          <w:lang w:val="es-ES"/>
        </w:rPr>
        <w:t xml:space="preserve"> y usuarios y proveedores de recursos genéticos o </w:t>
      </w:r>
      <w:r w:rsidR="00D426EC" w:rsidRPr="00E56A6E">
        <w:rPr>
          <w:lang w:val="es-ES"/>
        </w:rPr>
        <w:t>conocimientos tradicionales conexos</w:t>
      </w:r>
      <w:r w:rsidRPr="00E56A6E">
        <w:rPr>
          <w:lang w:val="es-ES"/>
        </w:rPr>
        <w:t xml:space="preserve"> sobre </w:t>
      </w:r>
      <w:r w:rsidR="00092CB8" w:rsidRPr="00E56A6E">
        <w:rPr>
          <w:lang w:val="es-ES"/>
        </w:rPr>
        <w:t xml:space="preserve">dificultades </w:t>
      </w:r>
      <w:r w:rsidRPr="00E56A6E">
        <w:rPr>
          <w:lang w:val="es-ES"/>
        </w:rPr>
        <w:t>relacionad</w:t>
      </w:r>
      <w:r w:rsidR="00092CB8" w:rsidRPr="00E56A6E">
        <w:rPr>
          <w:lang w:val="es-ES"/>
        </w:rPr>
        <w:t>a</w:t>
      </w:r>
      <w:r w:rsidRPr="00E56A6E">
        <w:rPr>
          <w:lang w:val="es-ES"/>
        </w:rPr>
        <w:t>s con la aplicación del Protocolo</w:t>
      </w:r>
      <w:r w:rsidR="00092CB8" w:rsidRPr="00E56A6E">
        <w:rPr>
          <w:lang w:val="es-ES"/>
        </w:rPr>
        <w:t xml:space="preserve"> a fin</w:t>
      </w:r>
      <w:r w:rsidRPr="00E56A6E">
        <w:rPr>
          <w:lang w:val="es-ES"/>
        </w:rPr>
        <w:t xml:space="preserve"> de proporcionar una fuente </w:t>
      </w:r>
      <w:r w:rsidR="00092CB8" w:rsidRPr="00E56A6E">
        <w:rPr>
          <w:lang w:val="es-ES"/>
        </w:rPr>
        <w:t xml:space="preserve">más </w:t>
      </w:r>
      <w:r w:rsidRPr="00E56A6E">
        <w:rPr>
          <w:lang w:val="es-ES"/>
        </w:rPr>
        <w:t xml:space="preserve">de información </w:t>
      </w:r>
      <w:r w:rsidR="00092CB8" w:rsidRPr="00E56A6E">
        <w:rPr>
          <w:lang w:val="es-ES"/>
        </w:rPr>
        <w:t xml:space="preserve">para </w:t>
      </w:r>
      <w:r w:rsidRPr="00E56A6E">
        <w:rPr>
          <w:lang w:val="es-ES"/>
        </w:rPr>
        <w:t xml:space="preserve">futuros procesos de evaluación y </w:t>
      </w:r>
      <w:r w:rsidR="00092CB8" w:rsidRPr="00E56A6E">
        <w:rPr>
          <w:lang w:val="es-ES"/>
        </w:rPr>
        <w:t>revisión</w:t>
      </w:r>
      <w:r w:rsidRPr="00E56A6E">
        <w:rPr>
          <w:lang w:val="es-ES"/>
        </w:rPr>
        <w:t xml:space="preserve"> de la eficacia del Protocolo.</w:t>
      </w:r>
    </w:p>
    <w:p w14:paraId="30017731" w14:textId="6760E3D4" w:rsidR="00F73DD6" w:rsidRPr="00E56A6E" w:rsidRDefault="00F73DD6" w:rsidP="00F73DD6">
      <w:pPr>
        <w:pStyle w:val="CBDNormalNumber"/>
        <w:rPr>
          <w:lang w:val="es-ES"/>
        </w:rPr>
      </w:pPr>
      <w:r w:rsidRPr="00E56A6E">
        <w:rPr>
          <w:lang w:val="es-ES"/>
        </w:rPr>
        <w:t xml:space="preserve">De conformidad con lo solicitado en </w:t>
      </w:r>
      <w:r w:rsidR="009F169B" w:rsidRPr="00E56A6E">
        <w:rPr>
          <w:lang w:val="es-ES"/>
        </w:rPr>
        <w:t xml:space="preserve">el </w:t>
      </w:r>
      <w:r w:rsidRPr="00E56A6E">
        <w:rPr>
          <w:lang w:val="es-ES"/>
        </w:rPr>
        <w:t xml:space="preserve">párrafo 7 </w:t>
      </w:r>
      <w:r w:rsidR="009F169B" w:rsidRPr="00E56A6E">
        <w:rPr>
          <w:lang w:val="es-ES"/>
        </w:rPr>
        <w:t xml:space="preserve">b) </w:t>
      </w:r>
      <w:r w:rsidRPr="00E56A6E">
        <w:rPr>
          <w:lang w:val="es-ES"/>
        </w:rPr>
        <w:t xml:space="preserve">de la decisión </w:t>
      </w:r>
      <w:hyperlink r:id="rId23" w:history="1">
        <w:r w:rsidRPr="00E56A6E">
          <w:rPr>
            <w:rStyle w:val="Hyperlink"/>
            <w:rFonts w:asciiTheme="majorBidi" w:hAnsiTheme="majorBidi" w:cstheme="majorBidi"/>
            <w:lang w:val="es-ES"/>
          </w:rPr>
          <w:t>NP-5/5</w:t>
        </w:r>
      </w:hyperlink>
      <w:r w:rsidRPr="00E56A6E">
        <w:rPr>
          <w:lang w:val="es-ES"/>
        </w:rPr>
        <w:t xml:space="preserve">, </w:t>
      </w:r>
      <w:r w:rsidR="00151389" w:rsidRPr="00E56A6E">
        <w:rPr>
          <w:lang w:val="es-ES"/>
        </w:rPr>
        <w:t>la Secretaria Ejecutiva</w:t>
      </w:r>
      <w:r w:rsidRPr="00E56A6E">
        <w:rPr>
          <w:lang w:val="es-ES"/>
        </w:rPr>
        <w:t xml:space="preserve"> encargó un </w:t>
      </w:r>
      <w:r w:rsidR="00B007EB" w:rsidRPr="00E56A6E">
        <w:rPr>
          <w:lang w:val="es-ES"/>
        </w:rPr>
        <w:t>estudio preliminar</w:t>
      </w:r>
      <w:r w:rsidRPr="00E56A6E">
        <w:rPr>
          <w:lang w:val="es-ES"/>
        </w:rPr>
        <w:t xml:space="preserve"> </w:t>
      </w:r>
      <w:r w:rsidR="00EE250F" w:rsidRPr="00E56A6E">
        <w:rPr>
          <w:lang w:val="es-ES"/>
        </w:rPr>
        <w:t>sobre los posibles motivos y causas subyacentes de las dificultades para la aplicación y el cumplimiento eficaces</w:t>
      </w:r>
      <w:r w:rsidRPr="00E56A6E">
        <w:rPr>
          <w:lang w:val="es-ES"/>
        </w:rPr>
        <w:t xml:space="preserve"> del Protocolo de Nagoya, así como sobre</w:t>
      </w:r>
      <w:r w:rsidR="00A3078D" w:rsidRPr="00E56A6E">
        <w:rPr>
          <w:lang w:val="es-ES"/>
        </w:rPr>
        <w:t xml:space="preserve"> </w:t>
      </w:r>
      <w:r w:rsidR="00EE250F" w:rsidRPr="00E56A6E">
        <w:rPr>
          <w:lang w:val="es-ES"/>
        </w:rPr>
        <w:t>las posibles maneras de mejorar la aplicación, t</w:t>
      </w:r>
      <w:r w:rsidR="00B61D39">
        <w:rPr>
          <w:lang w:val="es-ES"/>
        </w:rPr>
        <w:t xml:space="preserve">eniendo </w:t>
      </w:r>
      <w:r w:rsidR="00EE250F" w:rsidRPr="00E56A6E">
        <w:rPr>
          <w:lang w:val="es-ES"/>
        </w:rPr>
        <w:t>en cuenta las dificultades específicas que enfrentan las Partes que son países en desarrollo, incluidas aquellas relativas a los medios de implementación</w:t>
      </w:r>
      <w:r w:rsidRPr="00E56A6E">
        <w:rPr>
          <w:lang w:val="es-ES"/>
        </w:rPr>
        <w:t xml:space="preserve">. Las principales conclusiones del estudio se incluirán en el contexto de los elementos objeto de examen, como fuente de información complementaria, según proceda. Las encuestas </w:t>
      </w:r>
      <w:r w:rsidR="00251FA6" w:rsidRPr="00E56A6E">
        <w:rPr>
          <w:lang w:val="es-ES"/>
        </w:rPr>
        <w:t xml:space="preserve">dirigidas mencionadas </w:t>
      </w:r>
      <w:r w:rsidRPr="00E56A6E">
        <w:rPr>
          <w:lang w:val="es-ES"/>
        </w:rPr>
        <w:t xml:space="preserve">en el párrafo 4 </w:t>
      </w:r>
      <w:r w:rsidRPr="00E56A6E">
        <w:rPr>
          <w:i/>
          <w:iCs/>
          <w:lang w:val="es-ES"/>
        </w:rPr>
        <w:t>supra</w:t>
      </w:r>
      <w:r w:rsidRPr="00E56A6E">
        <w:rPr>
          <w:lang w:val="es-ES"/>
        </w:rPr>
        <w:t xml:space="preserve"> se llevaron a cabo y analizaron en el contexto del </w:t>
      </w:r>
      <w:r w:rsidR="00B007EB" w:rsidRPr="00E56A6E">
        <w:rPr>
          <w:lang w:val="es-ES"/>
        </w:rPr>
        <w:t>estudio preliminar</w:t>
      </w:r>
      <w:r w:rsidRPr="00E56A6E">
        <w:rPr>
          <w:lang w:val="es-ES"/>
        </w:rPr>
        <w:t>.</w:t>
      </w:r>
      <w:r w:rsidR="00EE250F" w:rsidRPr="00E56A6E">
        <w:rPr>
          <w:lang w:val="es-ES"/>
        </w:rPr>
        <w:t xml:space="preserve"> </w:t>
      </w:r>
    </w:p>
    <w:p w14:paraId="2CBB6D77" w14:textId="716E8F15" w:rsidR="00A55DF0" w:rsidRPr="00E56A6E" w:rsidRDefault="00A55DF0" w:rsidP="00A55DF0">
      <w:pPr>
        <w:pStyle w:val="CBDNormalNumber"/>
        <w:rPr>
          <w:lang w:val="es-ES"/>
        </w:rPr>
      </w:pPr>
      <w:r w:rsidRPr="00E56A6E">
        <w:rPr>
          <w:lang w:val="es-ES"/>
        </w:rPr>
        <w:t xml:space="preserve">El presente documento </w:t>
      </w:r>
      <w:r w:rsidR="00A3078D" w:rsidRPr="00E56A6E">
        <w:rPr>
          <w:lang w:val="es-ES"/>
        </w:rPr>
        <w:t xml:space="preserve">contiene </w:t>
      </w:r>
      <w:r w:rsidRPr="00E56A6E">
        <w:rPr>
          <w:lang w:val="es-ES"/>
        </w:rPr>
        <w:t xml:space="preserve">la siguiente información relativa a los elementos a) a i) presentados en el anexo de la decisión </w:t>
      </w:r>
      <w:hyperlink r:id="rId24" w:history="1">
        <w:r w:rsidRPr="00E56A6E">
          <w:rPr>
            <w:rStyle w:val="Hyperlink"/>
            <w:rFonts w:asciiTheme="majorBidi" w:hAnsiTheme="majorBidi" w:cstheme="majorBidi"/>
            <w:lang w:val="es-ES"/>
          </w:rPr>
          <w:t>NP-5/5</w:t>
        </w:r>
      </w:hyperlink>
      <w:r w:rsidRPr="00E56A6E">
        <w:rPr>
          <w:lang w:val="es-ES"/>
        </w:rPr>
        <w:t>:</w:t>
      </w:r>
    </w:p>
    <w:p w14:paraId="77A4FDDC" w14:textId="2861A14B" w:rsidR="00092D78" w:rsidRPr="00E56A6E" w:rsidRDefault="00092D78" w:rsidP="00320511">
      <w:pPr>
        <w:pStyle w:val="CBDNormalNumber"/>
        <w:numPr>
          <w:ilvl w:val="1"/>
          <w:numId w:val="7"/>
        </w:numPr>
        <w:ind w:left="567" w:firstLine="567"/>
        <w:rPr>
          <w:lang w:val="es-ES"/>
        </w:rPr>
      </w:pPr>
      <w:r w:rsidRPr="00E56A6E">
        <w:rPr>
          <w:lang w:val="es-ES"/>
        </w:rPr>
        <w:t>Los avances logrados en la aplicación y los datos actualizados sobre los indicadores (</w:t>
      </w:r>
      <w:r w:rsidR="00494612" w:rsidRPr="00E56A6E">
        <w:rPr>
          <w:lang w:val="es-ES"/>
        </w:rPr>
        <w:t xml:space="preserve">el </w:t>
      </w:r>
      <w:r w:rsidRPr="00E56A6E">
        <w:rPr>
          <w:lang w:val="es-ES"/>
        </w:rPr>
        <w:t xml:space="preserve">marco de indicadores que figura en el anexo II de la decisión </w:t>
      </w:r>
      <w:hyperlink r:id="rId25" w:history="1">
        <w:r w:rsidR="000C4704" w:rsidRPr="00E56A6E">
          <w:rPr>
            <w:rStyle w:val="Hyperlink"/>
            <w:rFonts w:asciiTheme="majorBidi" w:hAnsiTheme="majorBidi" w:cstheme="majorBidi"/>
            <w:lang w:val="es-ES"/>
          </w:rPr>
          <w:t>NP-3/1</w:t>
        </w:r>
      </w:hyperlink>
      <w:r w:rsidRPr="00E56A6E">
        <w:rPr>
          <w:lang w:val="es-ES"/>
        </w:rPr>
        <w:t xml:space="preserve">); </w:t>
      </w:r>
    </w:p>
    <w:p w14:paraId="3A7E779D" w14:textId="20EA256E" w:rsidR="00092D78" w:rsidRPr="00E56A6E" w:rsidRDefault="00092D78" w:rsidP="00320511">
      <w:pPr>
        <w:pStyle w:val="CBDNormalNumber"/>
        <w:numPr>
          <w:ilvl w:val="1"/>
          <w:numId w:val="7"/>
        </w:numPr>
        <w:ind w:left="567" w:firstLine="567"/>
        <w:rPr>
          <w:lang w:val="es-ES"/>
        </w:rPr>
      </w:pPr>
      <w:r w:rsidRPr="00E56A6E">
        <w:rPr>
          <w:lang w:val="es-ES"/>
        </w:rPr>
        <w:t>L</w:t>
      </w:r>
      <w:r w:rsidR="004357B2" w:rsidRPr="00E56A6E">
        <w:rPr>
          <w:lang w:val="es-ES"/>
        </w:rPr>
        <w:t xml:space="preserve">as dificultades, </w:t>
      </w:r>
      <w:r w:rsidRPr="00E56A6E">
        <w:rPr>
          <w:lang w:val="es-ES"/>
        </w:rPr>
        <w:t xml:space="preserve">causas </w:t>
      </w:r>
      <w:r w:rsidR="004357B2" w:rsidRPr="00E56A6E">
        <w:rPr>
          <w:lang w:val="es-ES"/>
        </w:rPr>
        <w:t xml:space="preserve">subyacentes y posibles maneras de mejorar la aplicación </w:t>
      </w:r>
      <w:r w:rsidRPr="00E56A6E">
        <w:rPr>
          <w:lang w:val="es-ES"/>
        </w:rPr>
        <w:t>del Protocolo de Nagoya.</w:t>
      </w:r>
    </w:p>
    <w:p w14:paraId="3C3744DF" w14:textId="2DA4C440" w:rsidR="00482429" w:rsidRPr="00E56A6E" w:rsidRDefault="00482429" w:rsidP="00A55DF0">
      <w:pPr>
        <w:pStyle w:val="CBDNormalNumber"/>
        <w:rPr>
          <w:lang w:val="es-ES"/>
        </w:rPr>
      </w:pPr>
      <w:r w:rsidRPr="00E56A6E">
        <w:rPr>
          <w:lang w:val="es-ES"/>
        </w:rPr>
        <w:t>El presente documento se basa en diversas fuentes de información</w:t>
      </w:r>
      <w:r w:rsidR="00B77530" w:rsidRPr="00E56A6E">
        <w:rPr>
          <w:lang w:val="es-ES"/>
        </w:rPr>
        <w:t xml:space="preserve"> que se presentan </w:t>
      </w:r>
      <w:r w:rsidRPr="00E56A6E">
        <w:rPr>
          <w:lang w:val="es-ES"/>
        </w:rPr>
        <w:t xml:space="preserve">y analizan en los distintos documentos informativos complementarios que se enumeran a continuación: </w:t>
      </w:r>
    </w:p>
    <w:p w14:paraId="45C4F495" w14:textId="77777777" w:rsidR="00482429" w:rsidRPr="00E56A6E" w:rsidRDefault="00482429" w:rsidP="00320511">
      <w:pPr>
        <w:pStyle w:val="CBDNormalNumber"/>
        <w:numPr>
          <w:ilvl w:val="1"/>
          <w:numId w:val="7"/>
        </w:numPr>
        <w:ind w:left="567" w:firstLine="567"/>
        <w:rPr>
          <w:lang w:val="es-ES"/>
        </w:rPr>
      </w:pPr>
      <w:r w:rsidRPr="00E56A6E">
        <w:rPr>
          <w:lang w:val="es-ES"/>
        </w:rPr>
        <w:lastRenderedPageBreak/>
        <w:t>Análisis de la información procedente de los informes nacionales y otras fuentes para la segunda evaluación y revisión de la eficacia del Protocolo de Nagoya</w:t>
      </w:r>
      <w:r w:rsidRPr="00E56A6E">
        <w:rPr>
          <w:vertAlign w:val="superscript"/>
          <w:lang w:val="es-ES"/>
        </w:rPr>
        <w:footnoteReference w:id="6"/>
      </w:r>
      <w:r w:rsidRPr="00E56A6E">
        <w:rPr>
          <w:lang w:val="es-ES"/>
        </w:rPr>
        <w:t xml:space="preserve">; </w:t>
      </w:r>
    </w:p>
    <w:p w14:paraId="0809A762" w14:textId="49B12BFA" w:rsidR="00482429" w:rsidRPr="00E56A6E" w:rsidRDefault="00B007EB" w:rsidP="00320511">
      <w:pPr>
        <w:pStyle w:val="CBDNormalNumber"/>
        <w:numPr>
          <w:ilvl w:val="1"/>
          <w:numId w:val="7"/>
        </w:numPr>
        <w:ind w:left="567" w:firstLine="567"/>
        <w:rPr>
          <w:lang w:val="es-ES"/>
        </w:rPr>
      </w:pPr>
      <w:r w:rsidRPr="00E56A6E">
        <w:rPr>
          <w:lang w:val="es-ES"/>
        </w:rPr>
        <w:t>Estudio preliminar</w:t>
      </w:r>
      <w:r w:rsidR="00482429" w:rsidRPr="00E56A6E">
        <w:rPr>
          <w:lang w:val="es-ES"/>
        </w:rPr>
        <w:t xml:space="preserve"> sobre l</w:t>
      </w:r>
      <w:r w:rsidR="00B77530" w:rsidRPr="00E56A6E">
        <w:rPr>
          <w:lang w:val="es-ES"/>
        </w:rPr>
        <w:t xml:space="preserve">os posibles motivos </w:t>
      </w:r>
      <w:r w:rsidR="00482429" w:rsidRPr="00E56A6E">
        <w:rPr>
          <w:lang w:val="es-ES"/>
        </w:rPr>
        <w:t xml:space="preserve">y causas subyacentes </w:t>
      </w:r>
      <w:r w:rsidR="00B77530" w:rsidRPr="00E56A6E">
        <w:rPr>
          <w:lang w:val="es-ES"/>
        </w:rPr>
        <w:t>de las dificultades para la aplicación y el cumplimiento eficaces</w:t>
      </w:r>
      <w:r w:rsidR="00482429" w:rsidRPr="00E56A6E">
        <w:rPr>
          <w:lang w:val="es-ES"/>
        </w:rPr>
        <w:t xml:space="preserve">, </w:t>
      </w:r>
      <w:r w:rsidR="00354D90" w:rsidRPr="00E56A6E">
        <w:rPr>
          <w:lang w:val="es-ES"/>
        </w:rPr>
        <w:t xml:space="preserve">y </w:t>
      </w:r>
      <w:r w:rsidR="00482429" w:rsidRPr="00E56A6E">
        <w:rPr>
          <w:lang w:val="es-ES"/>
        </w:rPr>
        <w:t xml:space="preserve">sobre las posibles </w:t>
      </w:r>
      <w:r w:rsidR="00B77530" w:rsidRPr="00E56A6E">
        <w:rPr>
          <w:lang w:val="es-ES"/>
        </w:rPr>
        <w:t xml:space="preserve">maneras </w:t>
      </w:r>
      <w:r w:rsidR="00482429" w:rsidRPr="00E56A6E">
        <w:rPr>
          <w:lang w:val="es-ES"/>
        </w:rPr>
        <w:t>de mejorar la aplicación</w:t>
      </w:r>
      <w:r w:rsidR="00482429" w:rsidRPr="00E56A6E">
        <w:rPr>
          <w:vertAlign w:val="superscript"/>
          <w:lang w:val="es-ES"/>
        </w:rPr>
        <w:footnoteReference w:id="7"/>
      </w:r>
      <w:r w:rsidR="00482429" w:rsidRPr="00E56A6E">
        <w:rPr>
          <w:lang w:val="es-ES"/>
        </w:rPr>
        <w:t>;</w:t>
      </w:r>
      <w:r w:rsidR="001E37A2" w:rsidRPr="00E56A6E">
        <w:rPr>
          <w:lang w:val="es-ES"/>
        </w:rPr>
        <w:t xml:space="preserve"> </w:t>
      </w:r>
    </w:p>
    <w:p w14:paraId="7E0DB5DE" w14:textId="47D9226A" w:rsidR="00482429" w:rsidRPr="00E56A6E" w:rsidRDefault="00482429" w:rsidP="00320511">
      <w:pPr>
        <w:pStyle w:val="CBDNormalNumber"/>
        <w:numPr>
          <w:ilvl w:val="1"/>
          <w:numId w:val="7"/>
        </w:numPr>
        <w:ind w:left="567" w:firstLine="567"/>
        <w:rPr>
          <w:lang w:val="es-ES"/>
        </w:rPr>
      </w:pPr>
      <w:r w:rsidRPr="00E56A6E">
        <w:rPr>
          <w:lang w:val="es-ES"/>
        </w:rPr>
        <w:t>Análisis de la información publicada en el Centro de Intercambio de Información sobre Acceso y Participación en los Beneficios</w:t>
      </w:r>
      <w:r w:rsidRPr="00E56A6E">
        <w:rPr>
          <w:vertAlign w:val="superscript"/>
          <w:lang w:val="es-ES"/>
        </w:rPr>
        <w:footnoteReference w:id="8"/>
      </w:r>
      <w:r w:rsidRPr="00E56A6E">
        <w:rPr>
          <w:lang w:val="es-ES"/>
        </w:rPr>
        <w:t>;</w:t>
      </w:r>
    </w:p>
    <w:p w14:paraId="5B994FF6" w14:textId="259F01FD" w:rsidR="00482429" w:rsidRPr="00E56A6E" w:rsidRDefault="00482429" w:rsidP="00320511">
      <w:pPr>
        <w:pStyle w:val="CBDNormalNumber"/>
        <w:numPr>
          <w:ilvl w:val="1"/>
          <w:numId w:val="7"/>
        </w:numPr>
        <w:ind w:left="567" w:firstLine="567"/>
        <w:rPr>
          <w:lang w:val="es-ES"/>
        </w:rPr>
      </w:pPr>
      <w:r w:rsidRPr="00E56A6E">
        <w:rPr>
          <w:lang w:val="es-ES"/>
        </w:rPr>
        <w:t xml:space="preserve">Análisis de las respuestas a la </w:t>
      </w:r>
      <w:r w:rsidR="00E47368" w:rsidRPr="00E56A6E">
        <w:rPr>
          <w:lang w:val="es-ES"/>
        </w:rPr>
        <w:t>encuesta dirigida</w:t>
      </w:r>
      <w:r w:rsidR="00015C2F" w:rsidRPr="00E56A6E">
        <w:rPr>
          <w:vertAlign w:val="superscript"/>
          <w:lang w:val="es-ES"/>
        </w:rPr>
        <w:footnoteReference w:id="9"/>
      </w:r>
      <w:r w:rsidRPr="00E56A6E">
        <w:rPr>
          <w:lang w:val="es-ES"/>
        </w:rPr>
        <w:t xml:space="preserve"> del Centro de Intercambio de Información sobre Acceso y Participación en los Beneficios; </w:t>
      </w:r>
    </w:p>
    <w:p w14:paraId="50E28CAF" w14:textId="021807EA" w:rsidR="00482429" w:rsidRPr="00E56A6E" w:rsidRDefault="00482429" w:rsidP="00320511">
      <w:pPr>
        <w:pStyle w:val="CBDNormalNumber"/>
        <w:numPr>
          <w:ilvl w:val="1"/>
          <w:numId w:val="7"/>
        </w:numPr>
        <w:ind w:left="567" w:firstLine="567"/>
        <w:rPr>
          <w:lang w:val="es-ES"/>
        </w:rPr>
      </w:pPr>
      <w:r w:rsidRPr="00E56A6E">
        <w:rPr>
          <w:lang w:val="es-ES"/>
        </w:rPr>
        <w:t>Análisis del apoyo a</w:t>
      </w:r>
      <w:r w:rsidR="00D20797" w:rsidRPr="00E56A6E">
        <w:rPr>
          <w:lang w:val="es-ES"/>
        </w:rPr>
        <w:t xml:space="preserve"> la creación de capacidad </w:t>
      </w:r>
      <w:r w:rsidRPr="00E56A6E">
        <w:rPr>
          <w:lang w:val="es-ES"/>
        </w:rPr>
        <w:t>disponible para la aplicación del Protocolo de Nagoya</w:t>
      </w:r>
      <w:r w:rsidRPr="00E56A6E">
        <w:rPr>
          <w:vertAlign w:val="superscript"/>
          <w:lang w:val="es-ES"/>
        </w:rPr>
        <w:footnoteReference w:id="10"/>
      </w:r>
      <w:r w:rsidRPr="00E56A6E">
        <w:rPr>
          <w:lang w:val="es-ES"/>
        </w:rPr>
        <w:t xml:space="preserve">; </w:t>
      </w:r>
    </w:p>
    <w:p w14:paraId="3A74C081" w14:textId="30950FD0" w:rsidR="00482429" w:rsidRPr="00E56A6E" w:rsidRDefault="00482429" w:rsidP="00320511">
      <w:pPr>
        <w:pStyle w:val="CBDNormalNumber"/>
        <w:numPr>
          <w:ilvl w:val="1"/>
          <w:numId w:val="7"/>
        </w:numPr>
        <w:ind w:left="567" w:firstLine="567"/>
        <w:rPr>
          <w:lang w:val="es-ES"/>
        </w:rPr>
      </w:pPr>
      <w:r w:rsidRPr="00E56A6E">
        <w:rPr>
          <w:lang w:val="es-ES"/>
        </w:rPr>
        <w:t>Análisis de los recursos financieros y la movilización de recursos que respaldan la aplicación del Protocolo de Nagoya</w:t>
      </w:r>
      <w:r w:rsidRPr="00E56A6E">
        <w:rPr>
          <w:vertAlign w:val="superscript"/>
          <w:lang w:val="es-ES"/>
        </w:rPr>
        <w:footnoteReference w:id="11"/>
      </w:r>
      <w:r w:rsidRPr="00E56A6E">
        <w:rPr>
          <w:lang w:val="es-ES"/>
        </w:rPr>
        <w:t>.</w:t>
      </w:r>
      <w:r w:rsidR="001E37A2" w:rsidRPr="00E56A6E">
        <w:rPr>
          <w:lang w:val="es-ES"/>
        </w:rPr>
        <w:t xml:space="preserve"> </w:t>
      </w:r>
    </w:p>
    <w:p w14:paraId="7E734C29" w14:textId="007E87D1" w:rsidR="00482429" w:rsidRPr="00E56A6E" w:rsidRDefault="00482429" w:rsidP="00477C0D">
      <w:pPr>
        <w:pStyle w:val="CBDNormalNumber"/>
        <w:rPr>
          <w:rFonts w:asciiTheme="majorBidi" w:hAnsiTheme="majorBidi" w:cstheme="majorBidi"/>
          <w:lang w:val="es-ES"/>
        </w:rPr>
      </w:pPr>
      <w:r w:rsidRPr="00E56A6E">
        <w:rPr>
          <w:lang w:val="es-ES"/>
        </w:rPr>
        <w:t>La información y las conclusiones extraídas de los documentos mencionados anteriormente</w:t>
      </w:r>
      <w:r w:rsidR="006C2432" w:rsidRPr="00E56A6E">
        <w:rPr>
          <w:lang w:val="es-ES"/>
        </w:rPr>
        <w:t xml:space="preserve"> figuran </w:t>
      </w:r>
      <w:r w:rsidRPr="00E56A6E">
        <w:rPr>
          <w:lang w:val="es-ES"/>
        </w:rPr>
        <w:t xml:space="preserve">en la sección siguiente, bajo los elementos pertinentes. En los documentos correspondientes </w:t>
      </w:r>
      <w:r w:rsidR="009E6919" w:rsidRPr="00E56A6E">
        <w:rPr>
          <w:lang w:val="es-ES"/>
        </w:rPr>
        <w:t xml:space="preserve">figuran </w:t>
      </w:r>
      <w:r w:rsidRPr="00E56A6E">
        <w:rPr>
          <w:lang w:val="es-ES"/>
        </w:rPr>
        <w:t xml:space="preserve">más detalles sobre las fuentes de información utilizadas, las metodologías y el análisis </w:t>
      </w:r>
      <w:r w:rsidR="009E6919" w:rsidRPr="00E56A6E">
        <w:rPr>
          <w:lang w:val="es-ES"/>
        </w:rPr>
        <w:t>efectuado</w:t>
      </w:r>
      <w:r w:rsidRPr="00E56A6E">
        <w:rPr>
          <w:lang w:val="es-ES"/>
        </w:rPr>
        <w:t xml:space="preserve"> para cada elemento; además, se </w:t>
      </w:r>
      <w:r w:rsidR="009E6919" w:rsidRPr="00E56A6E">
        <w:rPr>
          <w:lang w:val="es-ES"/>
        </w:rPr>
        <w:t xml:space="preserve">señalan </w:t>
      </w:r>
      <w:r w:rsidRPr="00E56A6E">
        <w:rPr>
          <w:lang w:val="es-ES"/>
        </w:rPr>
        <w:t>las fuentes de información para cada uno de los elementos y subelementos.</w:t>
      </w:r>
    </w:p>
    <w:p w14:paraId="415EE138" w14:textId="3ADD897E" w:rsidR="00794E80" w:rsidRPr="00E56A6E" w:rsidRDefault="00B262F5" w:rsidP="00B262F5">
      <w:pPr>
        <w:pStyle w:val="CBDH1"/>
        <w:rPr>
          <w:lang w:val="es-ES"/>
        </w:rPr>
      </w:pPr>
      <w:bookmarkStart w:id="4" w:name="_Toc231911601"/>
      <w:r w:rsidRPr="00E56A6E">
        <w:rPr>
          <w:lang w:val="es-ES"/>
        </w:rPr>
        <w:t>II.</w:t>
      </w:r>
      <w:r w:rsidRPr="00E56A6E">
        <w:rPr>
          <w:lang w:val="es-ES"/>
        </w:rPr>
        <w:tab/>
      </w:r>
      <w:r w:rsidR="00EA668C" w:rsidRPr="00E56A6E">
        <w:rPr>
          <w:lang w:val="es-ES"/>
        </w:rPr>
        <w:t>Datos actualizados de los indicadores</w:t>
      </w:r>
      <w:bookmarkEnd w:id="4"/>
    </w:p>
    <w:p w14:paraId="4B62DBA3" w14:textId="3273C3CE" w:rsidR="0060009E" w:rsidRPr="00E56A6E" w:rsidRDefault="00EA668C" w:rsidP="00CD2C50">
      <w:pPr>
        <w:pStyle w:val="CBDNormalNumber"/>
        <w:rPr>
          <w:lang w:val="es-ES"/>
        </w:rPr>
      </w:pPr>
      <w:r w:rsidRPr="00E56A6E">
        <w:rPr>
          <w:lang w:val="es-ES"/>
        </w:rPr>
        <w:t>E</w:t>
      </w:r>
      <w:r w:rsidR="009E6919" w:rsidRPr="00E56A6E">
        <w:rPr>
          <w:lang w:val="es-ES"/>
        </w:rPr>
        <w:t>n e</w:t>
      </w:r>
      <w:r w:rsidRPr="00E56A6E">
        <w:rPr>
          <w:lang w:val="es-ES"/>
        </w:rPr>
        <w:t xml:space="preserve">l anexo II de la decisión </w:t>
      </w:r>
      <w:hyperlink r:id="rId26" w:history="1">
        <w:r w:rsidRPr="00E56A6E">
          <w:rPr>
            <w:rStyle w:val="Hyperlink"/>
            <w:lang w:val="es-ES"/>
          </w:rPr>
          <w:t>NP-3/1</w:t>
        </w:r>
      </w:hyperlink>
      <w:r w:rsidRPr="00E56A6E">
        <w:rPr>
          <w:lang w:val="es-ES"/>
        </w:rPr>
        <w:t xml:space="preserve"> </w:t>
      </w:r>
      <w:r w:rsidR="009E6919" w:rsidRPr="00E56A6E">
        <w:rPr>
          <w:lang w:val="es-ES"/>
        </w:rPr>
        <w:t xml:space="preserve">figura </w:t>
      </w:r>
      <w:r w:rsidRPr="00E56A6E">
        <w:rPr>
          <w:lang w:val="es-ES"/>
        </w:rPr>
        <w:t>un marco de indicadores y puntos de referencia para medir los avances</w:t>
      </w:r>
      <w:r w:rsidR="009E6919" w:rsidRPr="00E56A6E">
        <w:rPr>
          <w:lang w:val="es-ES"/>
        </w:rPr>
        <w:t xml:space="preserve"> logrados</w:t>
      </w:r>
      <w:r w:rsidRPr="00E56A6E">
        <w:rPr>
          <w:lang w:val="es-ES"/>
        </w:rPr>
        <w:t>. Los indicadores del marco se basaron en gran medida en preguntas que seguían el formato del informe nacional provisional.</w:t>
      </w:r>
    </w:p>
    <w:p w14:paraId="0B746F06" w14:textId="4511E15A" w:rsidR="00EA668C" w:rsidRPr="00E56A6E" w:rsidRDefault="00EA668C" w:rsidP="00EA668C">
      <w:pPr>
        <w:pStyle w:val="CBDNormalNumber"/>
        <w:rPr>
          <w:lang w:val="es-ES"/>
        </w:rPr>
      </w:pPr>
      <w:r w:rsidRPr="00E56A6E">
        <w:rPr>
          <w:lang w:val="es-ES"/>
        </w:rPr>
        <w:t xml:space="preserve">Se </w:t>
      </w:r>
      <w:r w:rsidR="002A7C8E" w:rsidRPr="00E56A6E">
        <w:rPr>
          <w:lang w:val="es-ES"/>
        </w:rPr>
        <w:t xml:space="preserve">consignaron </w:t>
      </w:r>
      <w:r w:rsidRPr="00E56A6E">
        <w:rPr>
          <w:lang w:val="es-ES"/>
        </w:rPr>
        <w:t xml:space="preserve">puntos de referencia para la mayoría de los indicadores, expresados </w:t>
      </w:r>
      <w:r w:rsidR="00EA0659" w:rsidRPr="00E56A6E">
        <w:rPr>
          <w:lang w:val="es-ES"/>
        </w:rPr>
        <w:t xml:space="preserve">mayoritariamente </w:t>
      </w:r>
      <w:r w:rsidRPr="00E56A6E">
        <w:rPr>
          <w:lang w:val="es-ES"/>
        </w:rPr>
        <w:t xml:space="preserve">en </w:t>
      </w:r>
      <w:r w:rsidR="00F6066B" w:rsidRPr="00E56A6E">
        <w:rPr>
          <w:lang w:val="es-ES"/>
        </w:rPr>
        <w:t xml:space="preserve">números </w:t>
      </w:r>
      <w:r w:rsidRPr="00E56A6E">
        <w:rPr>
          <w:lang w:val="es-ES"/>
        </w:rPr>
        <w:t xml:space="preserve">y porcentajes calculados </w:t>
      </w:r>
      <w:r w:rsidR="000A092E" w:rsidRPr="00E56A6E">
        <w:rPr>
          <w:lang w:val="es-ES"/>
        </w:rPr>
        <w:t xml:space="preserve">sobre la base </w:t>
      </w:r>
      <w:r w:rsidR="002A7C8E" w:rsidRPr="00E56A6E">
        <w:rPr>
          <w:lang w:val="es-ES"/>
        </w:rPr>
        <w:t xml:space="preserve">del </w:t>
      </w:r>
      <w:r w:rsidRPr="00E56A6E">
        <w:rPr>
          <w:lang w:val="es-ES"/>
        </w:rPr>
        <w:t xml:space="preserve">número total de Partes (105) en el momento del análisis de 2018. </w:t>
      </w:r>
      <w:r w:rsidR="004544E6" w:rsidRPr="00E56A6E">
        <w:rPr>
          <w:lang w:val="es-ES"/>
        </w:rPr>
        <w:t xml:space="preserve">Dichos </w:t>
      </w:r>
      <w:r w:rsidRPr="00E56A6E">
        <w:rPr>
          <w:lang w:val="es-ES"/>
        </w:rPr>
        <w:t xml:space="preserve">puntos de referencia establecían una </w:t>
      </w:r>
      <w:r w:rsidR="004A569C" w:rsidRPr="00E56A6E">
        <w:rPr>
          <w:lang w:val="es-ES"/>
        </w:rPr>
        <w:t>base de referencia</w:t>
      </w:r>
      <w:r w:rsidRPr="00E56A6E">
        <w:rPr>
          <w:lang w:val="es-ES"/>
        </w:rPr>
        <w:t xml:space="preserve"> con respecto a la cual se podrían medir los </w:t>
      </w:r>
      <w:r w:rsidR="004A569C" w:rsidRPr="00E56A6E">
        <w:rPr>
          <w:lang w:val="es-ES"/>
        </w:rPr>
        <w:t xml:space="preserve">avances </w:t>
      </w:r>
      <w:r w:rsidRPr="00E56A6E">
        <w:rPr>
          <w:lang w:val="es-ES"/>
        </w:rPr>
        <w:t xml:space="preserve">en el futuro para cada indicador. Sin embargo, </w:t>
      </w:r>
      <w:r w:rsidR="00C303BB" w:rsidRPr="00E56A6E">
        <w:rPr>
          <w:lang w:val="es-ES"/>
        </w:rPr>
        <w:t xml:space="preserve">como </w:t>
      </w:r>
      <w:r w:rsidRPr="00E56A6E">
        <w:rPr>
          <w:lang w:val="es-ES"/>
        </w:rPr>
        <w:t xml:space="preserve">hubo casos en los que no se pudo extraer información concluyente de las respuestas al informe nacional provisional, se </w:t>
      </w:r>
      <w:r w:rsidR="00C303BB" w:rsidRPr="00E56A6E">
        <w:rPr>
          <w:lang w:val="es-ES"/>
        </w:rPr>
        <w:t xml:space="preserve">propuso un nuevo texto </w:t>
      </w:r>
      <w:r w:rsidRPr="00E56A6E">
        <w:rPr>
          <w:lang w:val="es-ES"/>
        </w:rPr>
        <w:t xml:space="preserve">para esos indicadores, que se incorporó al formato del primer informe nacional sobre la aplicación del Protocolo. </w:t>
      </w:r>
      <w:r w:rsidR="00C303BB" w:rsidRPr="00E56A6E">
        <w:rPr>
          <w:lang w:val="es-ES"/>
        </w:rPr>
        <w:t>C</w:t>
      </w:r>
      <w:r w:rsidRPr="00E56A6E">
        <w:rPr>
          <w:lang w:val="es-ES"/>
        </w:rPr>
        <w:t>omo punto de referencia</w:t>
      </w:r>
      <w:r w:rsidR="008361CA" w:rsidRPr="00E56A6E">
        <w:rPr>
          <w:lang w:val="es-ES"/>
        </w:rPr>
        <w:t xml:space="preserve"> en los indicadores </w:t>
      </w:r>
      <w:r w:rsidR="00C303BB" w:rsidRPr="00E56A6E">
        <w:rPr>
          <w:lang w:val="es-ES"/>
        </w:rPr>
        <w:t xml:space="preserve">se incluyó </w:t>
      </w:r>
      <w:r w:rsidRPr="00E56A6E">
        <w:rPr>
          <w:lang w:val="es-ES"/>
        </w:rPr>
        <w:t>la siguiente frase: “</w:t>
      </w:r>
      <w:r w:rsidR="00C303BB" w:rsidRPr="00E56A6E">
        <w:rPr>
          <w:lang w:val="es-ES"/>
        </w:rPr>
        <w:t>Sin información concluyente</w:t>
      </w:r>
      <w:r w:rsidRPr="00E56A6E">
        <w:rPr>
          <w:lang w:val="es-ES"/>
        </w:rPr>
        <w:t>”.</w:t>
      </w:r>
    </w:p>
    <w:p w14:paraId="0CD3DE59" w14:textId="40BE930F" w:rsidR="00EA668C" w:rsidRPr="00E56A6E" w:rsidRDefault="00EA668C" w:rsidP="00EA668C">
      <w:pPr>
        <w:pStyle w:val="CBDNormalNumber"/>
        <w:rPr>
          <w:lang w:val="es-ES"/>
        </w:rPr>
      </w:pPr>
      <w:r w:rsidRPr="00E56A6E">
        <w:rPr>
          <w:lang w:val="es-ES"/>
        </w:rPr>
        <w:t>Los datos actualizados de los indicadores a</w:t>
      </w:r>
      <w:r w:rsidR="00163C2B" w:rsidRPr="00E56A6E">
        <w:rPr>
          <w:lang w:val="es-ES"/>
        </w:rPr>
        <w:t xml:space="preserve">l </w:t>
      </w:r>
      <w:r w:rsidRPr="00E56A6E">
        <w:rPr>
          <w:lang w:val="es-ES"/>
        </w:rPr>
        <w:t xml:space="preserve">9 de marzo de 2026 se basan en la información disponible de las fuentes </w:t>
      </w:r>
      <w:r w:rsidR="00222290" w:rsidRPr="00E56A6E">
        <w:rPr>
          <w:lang w:val="es-ES"/>
        </w:rPr>
        <w:t>señaladas</w:t>
      </w:r>
      <w:r w:rsidRPr="00E56A6E">
        <w:rPr>
          <w:lang w:val="es-ES"/>
        </w:rPr>
        <w:t xml:space="preserve">. La información se presenta en forma de </w:t>
      </w:r>
      <w:r w:rsidR="00163C2B" w:rsidRPr="00E56A6E">
        <w:rPr>
          <w:lang w:val="es-ES"/>
        </w:rPr>
        <w:t>números y porcentajes</w:t>
      </w:r>
      <w:r w:rsidRPr="00E56A6E">
        <w:rPr>
          <w:lang w:val="es-ES"/>
        </w:rPr>
        <w:t>, calculados a partir del número de Partes (142).</w:t>
      </w:r>
    </w:p>
    <w:p w14:paraId="7DC97BB3" w14:textId="5A58190C" w:rsidR="00D06366" w:rsidRPr="00E56A6E" w:rsidRDefault="0022049A" w:rsidP="00D06366">
      <w:pPr>
        <w:pStyle w:val="CBDNormalNumber"/>
        <w:rPr>
          <w:lang w:val="es-ES"/>
        </w:rPr>
      </w:pPr>
      <w:r w:rsidRPr="00E56A6E">
        <w:rPr>
          <w:lang w:val="es-ES"/>
        </w:rPr>
        <w:t xml:space="preserve">El marco fue adoptado </w:t>
      </w:r>
      <w:r w:rsidR="00D06366" w:rsidRPr="00E56A6E">
        <w:rPr>
          <w:lang w:val="es-ES"/>
        </w:rPr>
        <w:t>como una herramienta flexible que pudiera adaptarse a medida que se avanzara en la aplicación. Por lo tanto, se han formulado</w:t>
      </w:r>
      <w:r w:rsidR="00A55B26" w:rsidRPr="00E56A6E">
        <w:rPr>
          <w:lang w:val="es-ES"/>
        </w:rPr>
        <w:t xml:space="preserve"> propuestas </w:t>
      </w:r>
      <w:r w:rsidR="00222290" w:rsidRPr="00E56A6E">
        <w:rPr>
          <w:lang w:val="es-ES"/>
        </w:rPr>
        <w:t>para</w:t>
      </w:r>
      <w:r w:rsidR="00D06366" w:rsidRPr="00E56A6E">
        <w:rPr>
          <w:lang w:val="es-ES"/>
        </w:rPr>
        <w:t xml:space="preserve"> </w:t>
      </w:r>
      <w:r w:rsidR="00222290" w:rsidRPr="00E56A6E">
        <w:rPr>
          <w:lang w:val="es-ES"/>
        </w:rPr>
        <w:t xml:space="preserve">modificar </w:t>
      </w:r>
      <w:r w:rsidR="00D06366" w:rsidRPr="00E56A6E">
        <w:rPr>
          <w:lang w:val="es-ES"/>
        </w:rPr>
        <w:t xml:space="preserve">los indicadores </w:t>
      </w:r>
      <w:r w:rsidR="00222290" w:rsidRPr="00E56A6E">
        <w:rPr>
          <w:lang w:val="es-ES"/>
        </w:rPr>
        <w:t xml:space="preserve">teniendo en cuenta </w:t>
      </w:r>
      <w:r w:rsidR="00D06366" w:rsidRPr="00E56A6E">
        <w:rPr>
          <w:lang w:val="es-ES"/>
        </w:rPr>
        <w:t xml:space="preserve">los cambios introducidos en las preguntas del formato de presentación de informes o cambios en las metodologías, o </w:t>
      </w:r>
      <w:r w:rsidR="00222290" w:rsidRPr="00E56A6E">
        <w:rPr>
          <w:lang w:val="es-ES"/>
        </w:rPr>
        <w:t xml:space="preserve">para </w:t>
      </w:r>
      <w:r w:rsidR="00D06366" w:rsidRPr="00E56A6E">
        <w:rPr>
          <w:lang w:val="es-ES"/>
        </w:rPr>
        <w:t xml:space="preserve">aportar mayor claridad en relación con los indicadores. Se han incluido notas a pie de página cuando </w:t>
      </w:r>
      <w:r w:rsidR="008F730C" w:rsidRPr="00E56A6E">
        <w:rPr>
          <w:lang w:val="es-ES"/>
        </w:rPr>
        <w:t xml:space="preserve">se consideró </w:t>
      </w:r>
      <w:r w:rsidR="00D06366" w:rsidRPr="00E56A6E">
        <w:rPr>
          <w:lang w:val="es-ES"/>
        </w:rPr>
        <w:t>necesario</w:t>
      </w:r>
      <w:r w:rsidR="001239D0" w:rsidRPr="00E56A6E">
        <w:rPr>
          <w:lang w:val="es-ES"/>
        </w:rPr>
        <w:t xml:space="preserve"> </w:t>
      </w:r>
      <w:r w:rsidR="00D06366" w:rsidRPr="00E56A6E">
        <w:rPr>
          <w:lang w:val="es-ES"/>
        </w:rPr>
        <w:t xml:space="preserve">para </w:t>
      </w:r>
      <w:r w:rsidR="001239D0" w:rsidRPr="00E56A6E">
        <w:rPr>
          <w:lang w:val="es-ES"/>
        </w:rPr>
        <w:t xml:space="preserve">dar </w:t>
      </w:r>
      <w:r w:rsidR="00D06366" w:rsidRPr="00E56A6E">
        <w:rPr>
          <w:lang w:val="es-ES"/>
        </w:rPr>
        <w:t xml:space="preserve">una explicación </w:t>
      </w:r>
      <w:r w:rsidR="005A0562" w:rsidRPr="00E56A6E">
        <w:rPr>
          <w:lang w:val="es-ES"/>
        </w:rPr>
        <w:t xml:space="preserve">pormenorizada </w:t>
      </w:r>
      <w:r w:rsidR="00D06366" w:rsidRPr="00E56A6E">
        <w:rPr>
          <w:lang w:val="es-ES"/>
        </w:rPr>
        <w:t xml:space="preserve">de los cambios </w:t>
      </w:r>
      <w:r w:rsidR="005A0562" w:rsidRPr="00E56A6E">
        <w:rPr>
          <w:lang w:val="es-ES"/>
        </w:rPr>
        <w:t xml:space="preserve">propuestos </w:t>
      </w:r>
      <w:r w:rsidR="00D06366" w:rsidRPr="00E56A6E">
        <w:rPr>
          <w:lang w:val="es-ES"/>
        </w:rPr>
        <w:t>al marco de indicadores.</w:t>
      </w:r>
    </w:p>
    <w:p w14:paraId="2F496B6A" w14:textId="74ED65F7" w:rsidR="00CB23B5" w:rsidRPr="00E56A6E" w:rsidRDefault="00B262F5" w:rsidP="00B60F41">
      <w:pPr>
        <w:pStyle w:val="CBDH1"/>
        <w:rPr>
          <w:lang w:val="es-ES"/>
        </w:rPr>
      </w:pPr>
      <w:bookmarkStart w:id="5" w:name="_Toc231911602"/>
      <w:r w:rsidRPr="00E56A6E">
        <w:rPr>
          <w:rFonts w:asciiTheme="majorBidi" w:hAnsiTheme="majorBidi"/>
          <w:lang w:val="es-ES"/>
        </w:rPr>
        <w:lastRenderedPageBreak/>
        <w:t>III.</w:t>
      </w:r>
      <w:r w:rsidRPr="00E56A6E">
        <w:rPr>
          <w:rFonts w:asciiTheme="majorBidi" w:hAnsiTheme="majorBidi"/>
          <w:lang w:val="es-ES"/>
        </w:rPr>
        <w:tab/>
      </w:r>
      <w:r w:rsidR="00D06366" w:rsidRPr="00E56A6E">
        <w:rPr>
          <w:lang w:val="es-ES"/>
        </w:rPr>
        <w:t>Análisis de la información</w:t>
      </w:r>
      <w:bookmarkEnd w:id="5"/>
    </w:p>
    <w:p w14:paraId="421E4EE0" w14:textId="2EBE2C59" w:rsidR="00D06366" w:rsidRPr="00E56A6E" w:rsidRDefault="00CB23B5" w:rsidP="00D06366">
      <w:pPr>
        <w:pStyle w:val="CBDH2"/>
        <w:jc w:val="left"/>
        <w:rPr>
          <w:lang w:val="es-ES"/>
        </w:rPr>
      </w:pPr>
      <w:bookmarkStart w:id="6" w:name="_Toc231911603"/>
      <w:r w:rsidRPr="00E56A6E">
        <w:rPr>
          <w:lang w:val="es-ES"/>
        </w:rPr>
        <w:t>A.</w:t>
      </w:r>
      <w:r w:rsidRPr="00E56A6E">
        <w:rPr>
          <w:lang w:val="es-ES"/>
        </w:rPr>
        <w:tab/>
      </w:r>
      <w:r w:rsidR="00D06366" w:rsidRPr="00E56A6E">
        <w:rPr>
          <w:lang w:val="es-ES"/>
        </w:rPr>
        <w:t>Grado de aplicación de las disposiciones del Protocolo de Nagoya y de las obligaciones conexas de las Partes, incluida la evaluación de los avances realizados por las Partes en el establecimiento de estructuras institucionales y medidas de acceso y participación en los beneficios para aplicar el Protocolo</w:t>
      </w:r>
      <w:bookmarkEnd w:id="6"/>
    </w:p>
    <w:p w14:paraId="5E246EA5" w14:textId="0E4C40F6" w:rsidR="007C7FE1" w:rsidRPr="00E56A6E" w:rsidRDefault="00B262F5" w:rsidP="00B262F5">
      <w:pPr>
        <w:pStyle w:val="CBDH3"/>
        <w:rPr>
          <w:lang w:val="es-ES"/>
        </w:rPr>
      </w:pPr>
      <w:r w:rsidRPr="00E56A6E">
        <w:rPr>
          <w:lang w:val="es-ES"/>
        </w:rPr>
        <w:t>1.</w:t>
      </w:r>
      <w:r w:rsidRPr="00E56A6E">
        <w:rPr>
          <w:lang w:val="es-ES"/>
        </w:rPr>
        <w:tab/>
      </w:r>
      <w:r w:rsidR="00CB23B5" w:rsidRPr="00E56A6E">
        <w:rPr>
          <w:lang w:val="es-ES"/>
        </w:rPr>
        <w:t>Ratifica</w:t>
      </w:r>
      <w:r w:rsidR="00D06366" w:rsidRPr="00E56A6E">
        <w:rPr>
          <w:lang w:val="es-ES"/>
        </w:rPr>
        <w:t>ción del Protocolo</w:t>
      </w:r>
    </w:p>
    <w:p w14:paraId="66698AF7" w14:textId="46B1B02D" w:rsidR="00D72E88" w:rsidRPr="00E56A6E" w:rsidRDefault="00D06366" w:rsidP="00CD2C50">
      <w:pPr>
        <w:pStyle w:val="CBDNormalNumber"/>
        <w:rPr>
          <w:rFonts w:asciiTheme="majorBidi" w:hAnsiTheme="majorBidi" w:cstheme="majorBidi"/>
          <w:lang w:val="es-ES"/>
        </w:rPr>
      </w:pPr>
      <w:r w:rsidRPr="00E56A6E">
        <w:rPr>
          <w:lang w:val="es-ES"/>
        </w:rPr>
        <w:t xml:space="preserve">Desde febrero de 2018, 37 países han ratificado el Protocolo de Nagoya; 6 países han </w:t>
      </w:r>
      <w:r w:rsidR="00EA369D" w:rsidRPr="00E56A6E">
        <w:rPr>
          <w:lang w:val="es-ES"/>
        </w:rPr>
        <w:t xml:space="preserve">señalado </w:t>
      </w:r>
      <w:r w:rsidRPr="00E56A6E">
        <w:rPr>
          <w:lang w:val="es-ES"/>
        </w:rPr>
        <w:t xml:space="preserve">que estaban </w:t>
      </w:r>
      <w:r w:rsidR="00EA369D" w:rsidRPr="00E56A6E">
        <w:rPr>
          <w:lang w:val="es-ES"/>
        </w:rPr>
        <w:t xml:space="preserve">adoptando </w:t>
      </w:r>
      <w:r w:rsidRPr="00E56A6E">
        <w:rPr>
          <w:lang w:val="es-ES"/>
        </w:rPr>
        <w:t>medidas concretas para ratificar el Protocolo</w:t>
      </w:r>
      <w:r w:rsidR="00EA369D" w:rsidRPr="00E56A6E">
        <w:rPr>
          <w:lang w:val="es-ES"/>
        </w:rPr>
        <w:t>,</w:t>
      </w:r>
      <w:r w:rsidRPr="00E56A6E">
        <w:rPr>
          <w:lang w:val="es-ES"/>
        </w:rPr>
        <w:t xml:space="preserve"> y 12 países han declarado que tenían previsto ratificarlo.</w:t>
      </w:r>
    </w:p>
    <w:p w14:paraId="7A05245B" w14:textId="054D3A5E" w:rsidR="00D72E88" w:rsidRPr="00E56A6E" w:rsidRDefault="00653A73" w:rsidP="009E3458">
      <w:pPr>
        <w:pStyle w:val="CBDTableTitle"/>
        <w:rPr>
          <w:lang w:val="es-ES"/>
        </w:rPr>
      </w:pPr>
      <w:r w:rsidRPr="00E56A6E">
        <w:rPr>
          <w:b w:val="0"/>
          <w:lang w:val="es-ES"/>
        </w:rPr>
        <w:t>Cuadro</w:t>
      </w:r>
      <w:r w:rsidR="00D72E88" w:rsidRPr="00E56A6E">
        <w:rPr>
          <w:b w:val="0"/>
          <w:lang w:val="es-ES"/>
        </w:rPr>
        <w:t xml:space="preserve"> 1</w:t>
      </w:r>
      <w:r w:rsidR="00B60F41" w:rsidRPr="00E56A6E">
        <w:rPr>
          <w:lang w:val="es-ES"/>
        </w:rPr>
        <w:br/>
      </w:r>
      <w:r w:rsidR="00B80B54" w:rsidRPr="00E56A6E">
        <w:rPr>
          <w:iCs/>
          <w:lang w:val="es-ES"/>
        </w:rPr>
        <w:t>Indicadores para medir los avances en la ratificación del Protocolo de Nagoya</w:t>
      </w:r>
    </w:p>
    <w:tbl>
      <w:tblPr>
        <w:tblW w:w="8709" w:type="dxa"/>
        <w:tblInd w:w="562" w:type="dxa"/>
        <w:tblLayout w:type="fixed"/>
        <w:tblLook w:val="04A0" w:firstRow="1" w:lastRow="0" w:firstColumn="1" w:lastColumn="0" w:noHBand="0" w:noVBand="1"/>
      </w:tblPr>
      <w:tblGrid>
        <w:gridCol w:w="4819"/>
        <w:gridCol w:w="2269"/>
        <w:gridCol w:w="1621"/>
      </w:tblGrid>
      <w:tr w:rsidR="00D72E88" w:rsidRPr="005A210D" w14:paraId="51402EF6" w14:textId="77777777" w:rsidTr="006B066D">
        <w:trPr>
          <w:cantSplit/>
          <w:tblHeader/>
        </w:trPr>
        <w:tc>
          <w:tcPr>
            <w:tcW w:w="481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3250B637" w14:textId="40E2433E" w:rsidR="00D72E88" w:rsidRPr="00E56A6E" w:rsidRDefault="00EE1C1B" w:rsidP="00895EB7">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Marco de indicadores</w:t>
            </w:r>
          </w:p>
        </w:tc>
        <w:tc>
          <w:tcPr>
            <w:tcW w:w="226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5D6B18E5" w14:textId="3BC9D45E" w:rsidR="00D72E88"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Punto de referencia</w:t>
            </w:r>
            <w:r w:rsidR="00D72E88" w:rsidRPr="00E56A6E">
              <w:rPr>
                <w:rFonts w:asciiTheme="majorBidi" w:eastAsia="Malgun Gothic" w:hAnsiTheme="majorBidi" w:cstheme="majorBidi"/>
                <w:bCs/>
                <w:i/>
                <w:iCs/>
                <w:kern w:val="22"/>
                <w:sz w:val="20"/>
                <w:szCs w:val="20"/>
                <w:lang w:val="es-ES"/>
              </w:rPr>
              <w:t xml:space="preserve"> </w:t>
            </w:r>
            <w:r w:rsidR="00FA1719" w:rsidRPr="00E56A6E">
              <w:rPr>
                <w:rFonts w:asciiTheme="majorBidi" w:eastAsia="Malgun Gothic" w:hAnsiTheme="majorBidi" w:cstheme="majorBidi"/>
                <w:bCs/>
                <w:i/>
                <w:iCs/>
                <w:kern w:val="22"/>
                <w:sz w:val="20"/>
                <w:szCs w:val="20"/>
                <w:lang w:val="es-ES"/>
              </w:rPr>
              <w:br/>
            </w:r>
            <w:r w:rsidR="00D72E88" w:rsidRPr="00E56A6E">
              <w:rPr>
                <w:rFonts w:asciiTheme="majorBidi" w:eastAsia="Malgun Gothic" w:hAnsiTheme="majorBidi" w:cstheme="majorBidi"/>
                <w:bCs/>
                <w:i/>
                <w:iCs/>
                <w:kern w:val="22"/>
                <w:sz w:val="20"/>
                <w:szCs w:val="20"/>
                <w:lang w:val="es-ES"/>
              </w:rPr>
              <w:t>(</w:t>
            </w:r>
            <w:r w:rsidRPr="00E56A6E">
              <w:rPr>
                <w:rFonts w:asciiTheme="majorBidi" w:eastAsia="Malgun Gothic" w:hAnsiTheme="majorBidi" w:cstheme="majorBidi"/>
                <w:bCs/>
                <w:i/>
                <w:iCs/>
                <w:kern w:val="22"/>
                <w:sz w:val="20"/>
                <w:szCs w:val="20"/>
                <w:lang w:val="es-ES"/>
              </w:rPr>
              <w:t xml:space="preserve">al </w:t>
            </w:r>
            <w:r w:rsidR="00D72E88" w:rsidRPr="00E56A6E">
              <w:rPr>
                <w:rFonts w:asciiTheme="majorBidi" w:eastAsia="Malgun Gothic" w:hAnsiTheme="majorBidi" w:cstheme="majorBidi"/>
                <w:bCs/>
                <w:i/>
                <w:iCs/>
                <w:kern w:val="22"/>
                <w:sz w:val="20"/>
                <w:szCs w:val="20"/>
                <w:lang w:val="es-ES"/>
              </w:rPr>
              <w:t xml:space="preserve">22 </w:t>
            </w:r>
            <w:r w:rsidRPr="00E56A6E">
              <w:rPr>
                <w:rFonts w:asciiTheme="majorBidi" w:eastAsia="Malgun Gothic" w:hAnsiTheme="majorBidi" w:cstheme="majorBidi"/>
                <w:bCs/>
                <w:i/>
                <w:iCs/>
                <w:kern w:val="22"/>
                <w:sz w:val="20"/>
                <w:szCs w:val="20"/>
                <w:lang w:val="es-ES"/>
              </w:rPr>
              <w:t xml:space="preserve">de febrero de </w:t>
            </w:r>
            <w:r w:rsidR="00D72E88" w:rsidRPr="00E56A6E">
              <w:rPr>
                <w:rFonts w:asciiTheme="majorBidi" w:eastAsia="Malgun Gothic" w:hAnsiTheme="majorBidi" w:cstheme="majorBidi"/>
                <w:bCs/>
                <w:i/>
                <w:iCs/>
                <w:kern w:val="22"/>
                <w:sz w:val="20"/>
                <w:szCs w:val="20"/>
                <w:lang w:val="es-ES"/>
              </w:rPr>
              <w:t>2018)</w:t>
            </w:r>
          </w:p>
        </w:tc>
        <w:tc>
          <w:tcPr>
            <w:tcW w:w="1621" w:type="dxa"/>
            <w:tcBorders>
              <w:top w:val="single" w:sz="4" w:space="0" w:color="auto"/>
              <w:bottom w:val="single" w:sz="4" w:space="0" w:color="auto"/>
            </w:tcBorders>
            <w:shd w:val="clear" w:color="auto" w:fill="FFFFFF" w:themeFill="background1"/>
            <w:vAlign w:val="bottom"/>
          </w:tcPr>
          <w:p w14:paraId="70A6FCE1" w14:textId="641C2E82" w:rsidR="00D72E88"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 xml:space="preserve">Avances al </w:t>
            </w:r>
            <w:r w:rsidR="00D72E88" w:rsidRPr="00E56A6E">
              <w:rPr>
                <w:rFonts w:asciiTheme="majorBidi" w:eastAsia="Malgun Gothic" w:hAnsiTheme="majorBidi" w:cstheme="majorBidi"/>
                <w:bCs/>
                <w:i/>
                <w:iCs/>
                <w:kern w:val="22"/>
                <w:sz w:val="20"/>
                <w:szCs w:val="20"/>
                <w:lang w:val="es-ES"/>
              </w:rPr>
              <w:t xml:space="preserve">9 </w:t>
            </w:r>
            <w:r w:rsidRPr="00E56A6E">
              <w:rPr>
                <w:rFonts w:asciiTheme="majorBidi" w:eastAsia="Malgun Gothic" w:hAnsiTheme="majorBidi" w:cstheme="majorBidi"/>
                <w:bCs/>
                <w:i/>
                <w:iCs/>
                <w:kern w:val="22"/>
                <w:sz w:val="20"/>
                <w:szCs w:val="20"/>
                <w:lang w:val="es-ES"/>
              </w:rPr>
              <w:t xml:space="preserve">de marzo de </w:t>
            </w:r>
            <w:r w:rsidR="00D72E88" w:rsidRPr="00E56A6E">
              <w:rPr>
                <w:rFonts w:asciiTheme="majorBidi" w:eastAsia="Malgun Gothic" w:hAnsiTheme="majorBidi" w:cstheme="majorBidi"/>
                <w:bCs/>
                <w:i/>
                <w:iCs/>
                <w:kern w:val="22"/>
                <w:sz w:val="20"/>
                <w:szCs w:val="20"/>
                <w:lang w:val="es-ES"/>
              </w:rPr>
              <w:t>2026</w:t>
            </w:r>
          </w:p>
        </w:tc>
      </w:tr>
      <w:tr w:rsidR="00D72E88" w:rsidRPr="00E56A6E" w14:paraId="23227E56" w14:textId="77777777" w:rsidTr="006B066D">
        <w:trPr>
          <w:cantSplit/>
        </w:trPr>
        <w:tc>
          <w:tcPr>
            <w:tcW w:w="4819" w:type="dxa"/>
            <w:tcBorders>
              <w:top w:val="single" w:sz="4" w:space="0" w:color="auto"/>
              <w:bottom w:val="single" w:sz="4" w:space="0" w:color="auto"/>
            </w:tcBorders>
            <w:tcMar>
              <w:top w:w="29" w:type="dxa"/>
              <w:left w:w="115" w:type="dxa"/>
              <w:bottom w:w="29" w:type="dxa"/>
              <w:right w:w="115" w:type="dxa"/>
            </w:tcMar>
            <w:hideMark/>
          </w:tcPr>
          <w:p w14:paraId="26566A83" w14:textId="459FFE3C" w:rsidR="00D72E88" w:rsidRPr="00E56A6E" w:rsidRDefault="00B80B54" w:rsidP="00FA1719">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Número de Partes del Convenio sobre la Diversidad Biológica que han ratificado el Protocolo de Nagoya</w:t>
            </w:r>
          </w:p>
        </w:tc>
        <w:tc>
          <w:tcPr>
            <w:tcW w:w="2269" w:type="dxa"/>
            <w:tcBorders>
              <w:top w:val="single" w:sz="4" w:space="0" w:color="auto"/>
              <w:bottom w:val="single" w:sz="4" w:space="0" w:color="auto"/>
            </w:tcBorders>
            <w:tcMar>
              <w:top w:w="29" w:type="dxa"/>
              <w:left w:w="115" w:type="dxa"/>
              <w:bottom w:w="29" w:type="dxa"/>
              <w:right w:w="115" w:type="dxa"/>
            </w:tcMar>
            <w:vAlign w:val="bottom"/>
            <w:hideMark/>
          </w:tcPr>
          <w:p w14:paraId="5C40E094" w14:textId="32E53A59" w:rsidR="00D72E88" w:rsidRPr="00E56A6E" w:rsidRDefault="00D72E88"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105 (54</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c>
          <w:tcPr>
            <w:tcW w:w="1621" w:type="dxa"/>
            <w:tcBorders>
              <w:top w:val="single" w:sz="4" w:space="0" w:color="auto"/>
              <w:bottom w:val="single" w:sz="4" w:space="0" w:color="auto"/>
            </w:tcBorders>
            <w:vAlign w:val="bottom"/>
          </w:tcPr>
          <w:p w14:paraId="3FF4886C" w14:textId="4D7AEF8E" w:rsidR="00D72E88" w:rsidRPr="00E56A6E" w:rsidRDefault="00D72E88"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142 (72</w:t>
            </w:r>
            <w:r w:rsidR="00653A73" w:rsidRPr="00E56A6E">
              <w:rPr>
                <w:rFonts w:asciiTheme="majorBidi" w:eastAsia="Calibri" w:hAnsiTheme="majorBidi" w:cstheme="majorBidi"/>
                <w:kern w:val="22"/>
                <w:sz w:val="20"/>
                <w:szCs w:val="20"/>
                <w:lang w:val="es-ES"/>
              </w:rPr>
              <w:t> %</w:t>
            </w:r>
            <w:r w:rsidR="000F1E57" w:rsidRPr="00E56A6E">
              <w:rPr>
                <w:rFonts w:asciiTheme="majorBidi" w:eastAsia="Calibri" w:hAnsiTheme="majorBidi" w:cstheme="majorBidi"/>
                <w:kern w:val="22"/>
                <w:sz w:val="20"/>
                <w:szCs w:val="20"/>
                <w:lang w:val="es-ES"/>
              </w:rPr>
              <w:t>)</w:t>
            </w:r>
            <w:r w:rsidR="008B2163" w:rsidRPr="00E56A6E">
              <w:rPr>
                <w:rFonts w:asciiTheme="majorBidi" w:eastAsia="Calibri" w:hAnsiTheme="majorBidi" w:cstheme="majorBidi"/>
                <w:kern w:val="22"/>
                <w:sz w:val="20"/>
                <w:szCs w:val="20"/>
                <w:lang w:val="es-ES"/>
              </w:rPr>
              <w:t xml:space="preserve"> </w:t>
            </w:r>
          </w:p>
        </w:tc>
      </w:tr>
    </w:tbl>
    <w:p w14:paraId="6E010A2D" w14:textId="4671D839" w:rsidR="00D06366" w:rsidRPr="00E56A6E" w:rsidRDefault="00B262F5" w:rsidP="00D06366">
      <w:pPr>
        <w:pStyle w:val="CBDH3"/>
        <w:rPr>
          <w:lang w:val="es-ES"/>
        </w:rPr>
      </w:pPr>
      <w:r w:rsidRPr="00E56A6E">
        <w:rPr>
          <w:lang w:val="es-ES"/>
        </w:rPr>
        <w:t>2.</w:t>
      </w:r>
      <w:r w:rsidRPr="00E56A6E">
        <w:rPr>
          <w:lang w:val="es-ES"/>
        </w:rPr>
        <w:tab/>
      </w:r>
      <w:r w:rsidR="00D06366" w:rsidRPr="00E56A6E">
        <w:rPr>
          <w:lang w:val="es-ES"/>
        </w:rPr>
        <w:t>Estructuras institucionales y medidas de acceso y participación en los beneficios para la aplicación del Protocolo</w:t>
      </w:r>
      <w:r w:rsidR="00D06366" w:rsidRPr="00E56A6E">
        <w:rPr>
          <w:vertAlign w:val="superscript"/>
          <w:lang w:val="es-ES"/>
        </w:rPr>
        <w:footnoteReference w:id="12"/>
      </w:r>
    </w:p>
    <w:p w14:paraId="389D7D8C" w14:textId="53FA6C73" w:rsidR="0041229D" w:rsidRPr="00E56A6E" w:rsidRDefault="00B262F5" w:rsidP="00A818EB">
      <w:pPr>
        <w:pStyle w:val="CBDH4"/>
        <w:rPr>
          <w:lang w:val="es-ES"/>
        </w:rPr>
      </w:pPr>
      <w:r w:rsidRPr="00E56A6E">
        <w:rPr>
          <w:lang w:val="es-ES"/>
        </w:rPr>
        <w:t>a)</w:t>
      </w:r>
      <w:r w:rsidRPr="00E56A6E">
        <w:rPr>
          <w:lang w:val="es-ES"/>
        </w:rPr>
        <w:tab/>
      </w:r>
      <w:r w:rsidR="00D06366" w:rsidRPr="00E56A6E">
        <w:rPr>
          <w:lang w:val="es-ES"/>
        </w:rPr>
        <w:t>Avances en la aplicación y datos actualizados de los indicadores</w:t>
      </w:r>
    </w:p>
    <w:p w14:paraId="290E2165" w14:textId="181E512A" w:rsidR="00C94E49" w:rsidRPr="00E56A6E" w:rsidRDefault="00C94E49" w:rsidP="00C94E49">
      <w:pPr>
        <w:pStyle w:val="CBDNormalNumber"/>
        <w:rPr>
          <w:lang w:val="es-ES"/>
        </w:rPr>
      </w:pPr>
      <w:r w:rsidRPr="00E56A6E">
        <w:rPr>
          <w:lang w:val="es-ES"/>
        </w:rPr>
        <w:t xml:space="preserve">El Protocolo de Nagoya establece obligaciones para las Partes, </w:t>
      </w:r>
      <w:r w:rsidR="00A73FC7" w:rsidRPr="00E56A6E">
        <w:rPr>
          <w:lang w:val="es-ES"/>
        </w:rPr>
        <w:t xml:space="preserve">tanto </w:t>
      </w:r>
      <w:r w:rsidRPr="00E56A6E">
        <w:rPr>
          <w:lang w:val="es-ES"/>
        </w:rPr>
        <w:t xml:space="preserve">proveedores </w:t>
      </w:r>
      <w:r w:rsidR="00A73FC7" w:rsidRPr="00E56A6E">
        <w:rPr>
          <w:lang w:val="es-ES"/>
        </w:rPr>
        <w:t xml:space="preserve">como </w:t>
      </w:r>
      <w:r w:rsidRPr="00E56A6E">
        <w:rPr>
          <w:lang w:val="es-ES"/>
        </w:rPr>
        <w:t xml:space="preserve">usuarios de recursos genéticos. Si bien las Partes pueden decidir no regular el acceso a sus recursos genéticos, todos los países tienen la obligación de adoptar medidas para que los usuarios dentro de su jurisdicción respeten los requisitos nacionales de </w:t>
      </w:r>
      <w:r w:rsidR="00CA2892" w:rsidRPr="00E56A6E">
        <w:rPr>
          <w:lang w:val="es-ES"/>
        </w:rPr>
        <w:t>acceso y participación en los beneficios</w:t>
      </w:r>
      <w:r w:rsidRPr="00E56A6E">
        <w:rPr>
          <w:lang w:val="es-ES"/>
        </w:rPr>
        <w:t xml:space="preserve"> de los países proveedores.</w:t>
      </w:r>
    </w:p>
    <w:p w14:paraId="1E23F6D6" w14:textId="7DB38B40" w:rsidR="00C94E49" w:rsidRPr="00E56A6E" w:rsidRDefault="00B96DB8" w:rsidP="00C94E49">
      <w:pPr>
        <w:pStyle w:val="CBDNormalNumber"/>
        <w:rPr>
          <w:lang w:val="es-ES"/>
        </w:rPr>
      </w:pPr>
      <w:r w:rsidRPr="00E56A6E">
        <w:rPr>
          <w:lang w:val="es-ES"/>
        </w:rPr>
        <w:t>C</w:t>
      </w:r>
      <w:r w:rsidR="00C94E49" w:rsidRPr="00E56A6E">
        <w:rPr>
          <w:lang w:val="es-ES"/>
        </w:rPr>
        <w:t xml:space="preserve">omo se puede observar en el cuadro 2 </w:t>
      </w:r>
      <w:r w:rsidR="00B23C4F" w:rsidRPr="00E56A6E">
        <w:rPr>
          <w:i/>
          <w:iCs/>
          <w:lang w:val="es-ES"/>
        </w:rPr>
        <w:t>infra</w:t>
      </w:r>
      <w:r w:rsidR="00C94E49" w:rsidRPr="00E56A6E">
        <w:rPr>
          <w:lang w:val="es-ES"/>
        </w:rPr>
        <w:t xml:space="preserve">, desde febrero de 2018 se han registrado </w:t>
      </w:r>
      <w:r w:rsidR="00266338" w:rsidRPr="00E56A6E">
        <w:rPr>
          <w:lang w:val="es-ES"/>
        </w:rPr>
        <w:t xml:space="preserve">importantes </w:t>
      </w:r>
      <w:r w:rsidR="00C94E49" w:rsidRPr="00E56A6E">
        <w:rPr>
          <w:lang w:val="es-ES"/>
        </w:rPr>
        <w:t xml:space="preserve">avances en la designación de autoridades, tales como las autoridades nacionales competentes y los </w:t>
      </w:r>
      <w:r w:rsidR="003745C1" w:rsidRPr="00E56A6E">
        <w:rPr>
          <w:lang w:val="es-ES"/>
        </w:rPr>
        <w:t>puntos de verificación</w:t>
      </w:r>
      <w:r w:rsidR="00C94E49" w:rsidRPr="00E56A6E">
        <w:rPr>
          <w:lang w:val="es-ES"/>
        </w:rPr>
        <w:t xml:space="preserve">, para la aplicación del Protocolo, así como avances moderados en la puesta en marcha de las </w:t>
      </w:r>
      <w:r w:rsidR="00B23C4F" w:rsidRPr="00E56A6E">
        <w:rPr>
          <w:lang w:val="es-ES"/>
        </w:rPr>
        <w:t>medidas legislativas, administrativas y normativas</w:t>
      </w:r>
      <w:r w:rsidR="00C94E49" w:rsidRPr="00E56A6E">
        <w:rPr>
          <w:lang w:val="es-ES"/>
        </w:rPr>
        <w:t xml:space="preserve"> necesarias para el acceso y la participación en los beneficios. Casi todas las Partes han designado puntos focales nacionales.</w:t>
      </w:r>
    </w:p>
    <w:p w14:paraId="64C12CBB" w14:textId="6F6F88EA" w:rsidR="00C94E49" w:rsidRPr="00E56A6E" w:rsidRDefault="00C94E49" w:rsidP="00C94E49">
      <w:pPr>
        <w:pStyle w:val="CBDNormalNumber"/>
        <w:rPr>
          <w:lang w:val="es-ES"/>
        </w:rPr>
      </w:pPr>
      <w:r w:rsidRPr="00E56A6E">
        <w:rPr>
          <w:lang w:val="es-ES"/>
        </w:rPr>
        <w:t xml:space="preserve">Es evidente que muchas Partes aún deben adoptar algún tipo de medida de </w:t>
      </w:r>
      <w:r w:rsidR="00CA2892" w:rsidRPr="00E56A6E">
        <w:rPr>
          <w:lang w:val="es-ES"/>
        </w:rPr>
        <w:t>acceso y participación en los beneficios</w:t>
      </w:r>
      <w:r w:rsidRPr="00E56A6E">
        <w:rPr>
          <w:lang w:val="es-ES"/>
        </w:rPr>
        <w:t xml:space="preserve"> para que el Protocolo de Nagoya sea plenamente operativo y para poner en práctica las medidas y los principios de </w:t>
      </w:r>
      <w:r w:rsidR="00CA2892" w:rsidRPr="00E56A6E">
        <w:rPr>
          <w:lang w:val="es-ES"/>
        </w:rPr>
        <w:t>acceso y participación en los beneficios</w:t>
      </w:r>
      <w:r w:rsidRPr="00E56A6E">
        <w:rPr>
          <w:lang w:val="es-ES"/>
        </w:rPr>
        <w:t xml:space="preserve">. A menudo, la designación de autoridades nacionales competentes y </w:t>
      </w:r>
      <w:r w:rsidR="003745C1" w:rsidRPr="00E56A6E">
        <w:rPr>
          <w:lang w:val="es-ES"/>
        </w:rPr>
        <w:t>puntos de verificación</w:t>
      </w:r>
      <w:r w:rsidRPr="00E56A6E">
        <w:rPr>
          <w:lang w:val="es-ES"/>
        </w:rPr>
        <w:t xml:space="preserve"> debe esperar a la adopción de </w:t>
      </w:r>
      <w:r w:rsidR="00481B8C" w:rsidRPr="00E56A6E">
        <w:rPr>
          <w:lang w:val="es-ES"/>
        </w:rPr>
        <w:t>medidas legislativas, administrativas o normativas</w:t>
      </w:r>
      <w:r w:rsidRPr="00E56A6E">
        <w:rPr>
          <w:lang w:val="es-ES"/>
        </w:rPr>
        <w:t xml:space="preserve"> relacionadas con el acceso y la </w:t>
      </w:r>
      <w:r w:rsidR="00CA2892" w:rsidRPr="00E56A6E">
        <w:rPr>
          <w:lang w:val="es-ES"/>
        </w:rPr>
        <w:t>participación en los beneficios</w:t>
      </w:r>
      <w:r w:rsidRPr="00E56A6E">
        <w:rPr>
          <w:lang w:val="es-ES"/>
        </w:rPr>
        <w:t>.</w:t>
      </w:r>
    </w:p>
    <w:p w14:paraId="61DDFC97" w14:textId="0A9A967E" w:rsidR="00C94E49" w:rsidRPr="00E56A6E" w:rsidRDefault="00C94E49" w:rsidP="00C94E49">
      <w:pPr>
        <w:pStyle w:val="CBDNormalNumber"/>
        <w:rPr>
          <w:lang w:val="es-ES"/>
        </w:rPr>
      </w:pPr>
      <w:r w:rsidRPr="00E56A6E">
        <w:rPr>
          <w:lang w:val="es-ES"/>
        </w:rPr>
        <w:t xml:space="preserve">En </w:t>
      </w:r>
      <w:r w:rsidR="0081273B" w:rsidRPr="00E56A6E">
        <w:rPr>
          <w:lang w:val="es-ES"/>
        </w:rPr>
        <w:t>particular</w:t>
      </w:r>
      <w:r w:rsidRPr="00E56A6E">
        <w:rPr>
          <w:lang w:val="es-ES"/>
        </w:rPr>
        <w:t xml:space="preserve">, solo el 46 % de las Partes ha designado uno o más </w:t>
      </w:r>
      <w:r w:rsidR="003745C1" w:rsidRPr="00E56A6E">
        <w:rPr>
          <w:lang w:val="es-ES"/>
        </w:rPr>
        <w:t>puntos de verificación</w:t>
      </w:r>
      <w:r w:rsidRPr="00E56A6E">
        <w:rPr>
          <w:lang w:val="es-ES"/>
        </w:rPr>
        <w:t xml:space="preserve">. En </w:t>
      </w:r>
      <w:r w:rsidR="00391919" w:rsidRPr="00E56A6E">
        <w:rPr>
          <w:lang w:val="es-ES"/>
        </w:rPr>
        <w:t xml:space="preserve">lo que respecta </w:t>
      </w:r>
      <w:r w:rsidRPr="00E56A6E">
        <w:rPr>
          <w:lang w:val="es-ES"/>
        </w:rPr>
        <w:t xml:space="preserve">a los avances por regiones, la mayor parte de los progresos en la designación de </w:t>
      </w:r>
      <w:r w:rsidR="003745C1" w:rsidRPr="00E56A6E">
        <w:rPr>
          <w:lang w:val="es-ES"/>
        </w:rPr>
        <w:t>puntos de verificación</w:t>
      </w:r>
      <w:r w:rsidRPr="00E56A6E">
        <w:rPr>
          <w:lang w:val="es-ES"/>
        </w:rPr>
        <w:t xml:space="preserve"> se ha producido en el grupo regional de Europa Occidental y otros Estados, mientras que el 74 % de las Partes de Asia</w:t>
      </w:r>
      <w:r w:rsidR="00BF2464" w:rsidRPr="00E56A6E">
        <w:rPr>
          <w:lang w:val="es-ES"/>
        </w:rPr>
        <w:t xml:space="preserve"> y el </w:t>
      </w:r>
      <w:r w:rsidRPr="00E56A6E">
        <w:rPr>
          <w:lang w:val="es-ES"/>
        </w:rPr>
        <w:t xml:space="preserve">Pacífico y el 65 % de las Partes de África aún no han designado ningún </w:t>
      </w:r>
      <w:r w:rsidR="003745C1" w:rsidRPr="00E56A6E">
        <w:rPr>
          <w:lang w:val="es-ES"/>
        </w:rPr>
        <w:t>punto de verificación</w:t>
      </w:r>
      <w:r w:rsidRPr="00E56A6E">
        <w:rPr>
          <w:lang w:val="es-ES"/>
        </w:rPr>
        <w:t>.</w:t>
      </w:r>
    </w:p>
    <w:p w14:paraId="1C3013F6" w14:textId="4582F768" w:rsidR="00C94E49" w:rsidRPr="00E56A6E" w:rsidRDefault="00C94E49" w:rsidP="00C94E49">
      <w:pPr>
        <w:pStyle w:val="CBDNormalNumber"/>
        <w:rPr>
          <w:lang w:val="es-ES"/>
        </w:rPr>
      </w:pPr>
      <w:r w:rsidRPr="00E56A6E">
        <w:rPr>
          <w:lang w:val="es-ES"/>
        </w:rPr>
        <w:lastRenderedPageBreak/>
        <w:t xml:space="preserve">Las Partes han adoptado diversos </w:t>
      </w:r>
      <w:r w:rsidR="001178E5" w:rsidRPr="00E56A6E">
        <w:rPr>
          <w:lang w:val="es-ES"/>
        </w:rPr>
        <w:t xml:space="preserve">criterios </w:t>
      </w:r>
      <w:r w:rsidRPr="00E56A6E">
        <w:rPr>
          <w:lang w:val="es-ES"/>
        </w:rPr>
        <w:t xml:space="preserve">para </w:t>
      </w:r>
      <w:r w:rsidR="001178E5" w:rsidRPr="00E56A6E">
        <w:rPr>
          <w:lang w:val="es-ES"/>
        </w:rPr>
        <w:t xml:space="preserve">fijar </w:t>
      </w:r>
      <w:r w:rsidRPr="00E56A6E">
        <w:rPr>
          <w:lang w:val="es-ES"/>
        </w:rPr>
        <w:t xml:space="preserve">medidas de acceso y participación en los beneficios y estructuras institucionales </w:t>
      </w:r>
      <w:r w:rsidR="007F2DA5" w:rsidRPr="00E56A6E">
        <w:rPr>
          <w:lang w:val="es-ES"/>
        </w:rPr>
        <w:t xml:space="preserve">destinadas </w:t>
      </w:r>
      <w:r w:rsidR="001178E5" w:rsidRPr="00E56A6E">
        <w:rPr>
          <w:lang w:val="es-ES"/>
        </w:rPr>
        <w:t xml:space="preserve">a </w:t>
      </w:r>
      <w:r w:rsidRPr="00E56A6E">
        <w:rPr>
          <w:lang w:val="es-ES"/>
        </w:rPr>
        <w:t xml:space="preserve">aplicar el Protocolo, </w:t>
      </w:r>
      <w:r w:rsidR="001178E5" w:rsidRPr="00E56A6E">
        <w:rPr>
          <w:lang w:val="es-ES"/>
        </w:rPr>
        <w:t xml:space="preserve">conforme a </w:t>
      </w:r>
      <w:r w:rsidRPr="00E56A6E">
        <w:rPr>
          <w:lang w:val="es-ES"/>
        </w:rPr>
        <w:t>sus circunstancias y prioridades nacionales</w:t>
      </w:r>
      <w:r w:rsidRPr="00E56A6E">
        <w:rPr>
          <w:rStyle w:val="FootnoteReference"/>
          <w:rFonts w:asciiTheme="majorBidi" w:hAnsiTheme="majorBidi"/>
          <w:lang w:val="es-ES"/>
        </w:rPr>
        <w:footnoteReference w:id="13"/>
      </w:r>
      <w:r w:rsidRPr="00E56A6E">
        <w:rPr>
          <w:lang w:val="es-ES"/>
        </w:rPr>
        <w:t>.</w:t>
      </w:r>
      <w:r w:rsidR="001E37A2" w:rsidRPr="00E56A6E">
        <w:rPr>
          <w:lang w:val="es-ES"/>
        </w:rPr>
        <w:t xml:space="preserve"> </w:t>
      </w:r>
    </w:p>
    <w:p w14:paraId="12FFAF4D" w14:textId="36CE0839" w:rsidR="00C94E49" w:rsidRPr="00E56A6E" w:rsidRDefault="001178E5" w:rsidP="00C94E49">
      <w:pPr>
        <w:pStyle w:val="CBDNormalNumber"/>
        <w:rPr>
          <w:rFonts w:asciiTheme="majorBidi" w:hAnsiTheme="majorBidi" w:cstheme="majorBidi"/>
          <w:lang w:val="es-ES"/>
        </w:rPr>
      </w:pPr>
      <w:r w:rsidRPr="00E56A6E">
        <w:rPr>
          <w:lang w:val="es-ES"/>
        </w:rPr>
        <w:t xml:space="preserve">Si bien </w:t>
      </w:r>
      <w:r w:rsidR="00C94E49" w:rsidRPr="00E56A6E">
        <w:rPr>
          <w:lang w:val="es-ES"/>
        </w:rPr>
        <w:t xml:space="preserve">se han logrado avances en la publicación de la información nacional </w:t>
      </w:r>
      <w:r w:rsidRPr="00E56A6E">
        <w:rPr>
          <w:lang w:val="es-ES"/>
        </w:rPr>
        <w:t xml:space="preserve">existente </w:t>
      </w:r>
      <w:r w:rsidR="00C94E49" w:rsidRPr="00E56A6E">
        <w:rPr>
          <w:lang w:val="es-ES"/>
        </w:rPr>
        <w:t xml:space="preserve">en el </w:t>
      </w:r>
      <w:r w:rsidR="00467E2F" w:rsidRPr="00E56A6E">
        <w:rPr>
          <w:lang w:val="es-ES"/>
        </w:rPr>
        <w:t>Centro de Intercambio de Información sobre Acceso y Participación en los Beneficios</w:t>
      </w:r>
      <w:r w:rsidR="00C94E49" w:rsidRPr="00E56A6E">
        <w:rPr>
          <w:lang w:val="es-ES"/>
        </w:rPr>
        <w:t xml:space="preserve">, es </w:t>
      </w:r>
      <w:r w:rsidR="007F2DA5" w:rsidRPr="00E56A6E">
        <w:rPr>
          <w:lang w:val="es-ES"/>
        </w:rPr>
        <w:t xml:space="preserve">menester </w:t>
      </w:r>
      <w:r w:rsidR="00E24092" w:rsidRPr="00E56A6E">
        <w:rPr>
          <w:lang w:val="es-ES"/>
        </w:rPr>
        <w:t xml:space="preserve">adoptar nuevas medidas para </w:t>
      </w:r>
      <w:r w:rsidR="00C94E49" w:rsidRPr="00E56A6E">
        <w:rPr>
          <w:lang w:val="es-ES"/>
        </w:rPr>
        <w:t>que toda la información relacionada con el acceso y la participación en los beneficios esté disponible, sea fiable y esté actualizada.</w:t>
      </w:r>
    </w:p>
    <w:p w14:paraId="1B487BC2" w14:textId="7EF9C768" w:rsidR="00174370" w:rsidRPr="00E56A6E" w:rsidRDefault="00653A73" w:rsidP="00C94E49">
      <w:pPr>
        <w:pStyle w:val="CBDTableTitle"/>
        <w:rPr>
          <w:lang w:val="es-ES"/>
        </w:rPr>
      </w:pPr>
      <w:r w:rsidRPr="00E56A6E">
        <w:rPr>
          <w:b w:val="0"/>
          <w:bCs/>
          <w:lang w:val="es-ES"/>
        </w:rPr>
        <w:t>Cuadro</w:t>
      </w:r>
      <w:r w:rsidR="00174370" w:rsidRPr="00E56A6E">
        <w:rPr>
          <w:b w:val="0"/>
          <w:bCs/>
          <w:lang w:val="es-ES"/>
        </w:rPr>
        <w:t xml:space="preserve"> 2</w:t>
      </w:r>
      <w:r w:rsidR="00B60F41" w:rsidRPr="00E56A6E">
        <w:rPr>
          <w:lang w:val="es-ES"/>
        </w:rPr>
        <w:t xml:space="preserve"> </w:t>
      </w:r>
      <w:r w:rsidR="00B60F41" w:rsidRPr="00E56A6E">
        <w:rPr>
          <w:lang w:val="es-ES"/>
        </w:rPr>
        <w:br/>
      </w:r>
      <w:r w:rsidR="00F03156" w:rsidRPr="00E56A6E">
        <w:rPr>
          <w:lang w:val="es-ES"/>
        </w:rPr>
        <w:t xml:space="preserve">Indicadores para medir los avances en </w:t>
      </w:r>
      <w:r w:rsidR="00E24092" w:rsidRPr="00E56A6E">
        <w:rPr>
          <w:lang w:val="es-ES"/>
        </w:rPr>
        <w:t xml:space="preserve">la creación de </w:t>
      </w:r>
      <w:r w:rsidR="00F03156" w:rsidRPr="00E56A6E">
        <w:rPr>
          <w:lang w:val="es-ES"/>
        </w:rPr>
        <w:t xml:space="preserve">estructuras y medidas de acceso y participación en los beneficios para la aplicación del Protocolo </w:t>
      </w:r>
    </w:p>
    <w:tbl>
      <w:tblPr>
        <w:tblW w:w="9138" w:type="dxa"/>
        <w:tblInd w:w="562" w:type="dxa"/>
        <w:tblLayout w:type="fixed"/>
        <w:tblLook w:val="04A0" w:firstRow="1" w:lastRow="0" w:firstColumn="1" w:lastColumn="0" w:noHBand="0" w:noVBand="1"/>
      </w:tblPr>
      <w:tblGrid>
        <w:gridCol w:w="5392"/>
        <w:gridCol w:w="2268"/>
        <w:gridCol w:w="1478"/>
      </w:tblGrid>
      <w:tr w:rsidR="00174370" w:rsidRPr="005A210D" w14:paraId="038971E1" w14:textId="77777777" w:rsidTr="006B066D">
        <w:trPr>
          <w:cantSplit/>
          <w:tblHeader/>
        </w:trPr>
        <w:tc>
          <w:tcPr>
            <w:tcW w:w="5392"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46C0807E" w14:textId="35453456" w:rsidR="00174370" w:rsidRPr="00E56A6E" w:rsidRDefault="00EE1C1B" w:rsidP="00670C5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Marco de indicadores</w:t>
            </w:r>
          </w:p>
        </w:tc>
        <w:tc>
          <w:tcPr>
            <w:tcW w:w="2268"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620E3DE5" w14:textId="23AA3C48" w:rsidR="00174370"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Punto de referencia</w:t>
            </w:r>
            <w:r w:rsidR="00174370" w:rsidRPr="00E56A6E">
              <w:rPr>
                <w:rFonts w:asciiTheme="majorBidi" w:eastAsia="Malgun Gothic" w:hAnsiTheme="majorBidi" w:cstheme="majorBidi"/>
                <w:bCs/>
                <w:i/>
                <w:iCs/>
                <w:kern w:val="22"/>
                <w:sz w:val="20"/>
                <w:szCs w:val="20"/>
                <w:lang w:val="es-ES"/>
              </w:rPr>
              <w:t xml:space="preserve"> </w:t>
            </w:r>
            <w:r w:rsidR="00F13499" w:rsidRPr="00E56A6E">
              <w:rPr>
                <w:rFonts w:asciiTheme="majorBidi" w:eastAsia="Malgun Gothic" w:hAnsiTheme="majorBidi" w:cstheme="majorBidi"/>
                <w:bCs/>
                <w:i/>
                <w:iCs/>
                <w:kern w:val="22"/>
                <w:sz w:val="20"/>
                <w:szCs w:val="20"/>
                <w:lang w:val="es-ES"/>
              </w:rPr>
              <w:br/>
            </w:r>
            <w:r w:rsidR="00174370" w:rsidRPr="00E56A6E">
              <w:rPr>
                <w:rFonts w:asciiTheme="majorBidi" w:eastAsia="Malgun Gothic" w:hAnsiTheme="majorBidi" w:cstheme="majorBidi"/>
                <w:bCs/>
                <w:i/>
                <w:iCs/>
                <w:kern w:val="22"/>
                <w:sz w:val="20"/>
                <w:szCs w:val="20"/>
                <w:lang w:val="es-ES"/>
              </w:rPr>
              <w:t>(</w:t>
            </w:r>
            <w:r w:rsidRPr="00E56A6E">
              <w:rPr>
                <w:rFonts w:asciiTheme="majorBidi" w:eastAsia="Malgun Gothic" w:hAnsiTheme="majorBidi" w:cstheme="majorBidi"/>
                <w:bCs/>
                <w:i/>
                <w:iCs/>
                <w:kern w:val="22"/>
                <w:sz w:val="20"/>
                <w:szCs w:val="20"/>
                <w:lang w:val="es-ES"/>
              </w:rPr>
              <w:t>al 22 de febrero de 2018</w:t>
            </w:r>
            <w:r w:rsidR="00174370" w:rsidRPr="00E56A6E">
              <w:rPr>
                <w:rFonts w:asciiTheme="majorBidi" w:eastAsia="Malgun Gothic" w:hAnsiTheme="majorBidi" w:cstheme="majorBidi"/>
                <w:bCs/>
                <w:i/>
                <w:iCs/>
                <w:kern w:val="22"/>
                <w:sz w:val="20"/>
                <w:szCs w:val="20"/>
                <w:lang w:val="es-ES"/>
              </w:rPr>
              <w:t>)</w:t>
            </w:r>
          </w:p>
        </w:tc>
        <w:tc>
          <w:tcPr>
            <w:tcW w:w="1478" w:type="dxa"/>
            <w:tcBorders>
              <w:top w:val="single" w:sz="4" w:space="0" w:color="auto"/>
              <w:bottom w:val="single" w:sz="4" w:space="0" w:color="auto"/>
            </w:tcBorders>
            <w:shd w:val="clear" w:color="auto" w:fill="FFFFFF" w:themeFill="background1"/>
            <w:vAlign w:val="bottom"/>
          </w:tcPr>
          <w:p w14:paraId="576973B9" w14:textId="646D8EE6" w:rsidR="00174370"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Avances al 9 de marzo de 2026</w:t>
            </w:r>
          </w:p>
        </w:tc>
      </w:tr>
      <w:tr w:rsidR="00174370" w:rsidRPr="00E56A6E" w14:paraId="69FD2DD5" w14:textId="77777777" w:rsidTr="006B066D">
        <w:trPr>
          <w:cantSplit/>
        </w:trPr>
        <w:tc>
          <w:tcPr>
            <w:tcW w:w="5392" w:type="dxa"/>
            <w:tcBorders>
              <w:top w:val="single" w:sz="4" w:space="0" w:color="auto"/>
            </w:tcBorders>
            <w:tcMar>
              <w:top w:w="29" w:type="dxa"/>
              <w:left w:w="115" w:type="dxa"/>
              <w:bottom w:w="29" w:type="dxa"/>
              <w:right w:w="115" w:type="dxa"/>
            </w:tcMar>
            <w:hideMark/>
          </w:tcPr>
          <w:p w14:paraId="4AE266E8" w14:textId="7B1B5C73" w:rsidR="00174370" w:rsidRPr="00E56A6E" w:rsidRDefault="00C94E49"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Número y porcentaje de Partes que cuentan con puntos focales nacionales para el acceso y la participación en los beneficios</w:t>
            </w:r>
          </w:p>
        </w:tc>
        <w:tc>
          <w:tcPr>
            <w:tcW w:w="2268" w:type="dxa"/>
            <w:tcBorders>
              <w:top w:val="single" w:sz="4" w:space="0" w:color="auto"/>
            </w:tcBorders>
            <w:tcMar>
              <w:top w:w="29" w:type="dxa"/>
              <w:left w:w="115" w:type="dxa"/>
              <w:bottom w:w="29" w:type="dxa"/>
              <w:right w:w="115" w:type="dxa"/>
            </w:tcMar>
            <w:vAlign w:val="bottom"/>
            <w:hideMark/>
          </w:tcPr>
          <w:p w14:paraId="6A92A586" w14:textId="2F640B39" w:rsidR="00174370" w:rsidRPr="00E56A6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103 (98</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c>
          <w:tcPr>
            <w:tcW w:w="1478" w:type="dxa"/>
            <w:tcBorders>
              <w:top w:val="single" w:sz="4" w:space="0" w:color="auto"/>
            </w:tcBorders>
            <w:vAlign w:val="bottom"/>
          </w:tcPr>
          <w:p w14:paraId="16E4FE51" w14:textId="40496778" w:rsidR="00174370" w:rsidRPr="00E56A6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138 (97</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r>
      <w:tr w:rsidR="00FA45BB" w:rsidRPr="00E56A6E" w14:paraId="10F7F9AF" w14:textId="77777777" w:rsidTr="006B066D">
        <w:trPr>
          <w:cantSplit/>
        </w:trPr>
        <w:tc>
          <w:tcPr>
            <w:tcW w:w="5392" w:type="dxa"/>
            <w:tcMar>
              <w:top w:w="29" w:type="dxa"/>
              <w:left w:w="115" w:type="dxa"/>
              <w:bottom w:w="29" w:type="dxa"/>
              <w:right w:w="115" w:type="dxa"/>
            </w:tcMar>
            <w:hideMark/>
          </w:tcPr>
          <w:p w14:paraId="30D43E5D" w14:textId="53B085D8" w:rsidR="00FA45BB" w:rsidRPr="00E56A6E" w:rsidRDefault="00FA45BB" w:rsidP="00FA45BB">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Número y porcentaje de Partes que cuentan con una o más autoridades nacionales competentes</w:t>
            </w:r>
          </w:p>
        </w:tc>
        <w:tc>
          <w:tcPr>
            <w:tcW w:w="2268" w:type="dxa"/>
            <w:tcMar>
              <w:top w:w="29" w:type="dxa"/>
              <w:left w:w="115" w:type="dxa"/>
              <w:bottom w:w="29" w:type="dxa"/>
              <w:right w:w="115" w:type="dxa"/>
            </w:tcMar>
            <w:vAlign w:val="bottom"/>
            <w:hideMark/>
          </w:tcPr>
          <w:p w14:paraId="59694489" w14:textId="611820D2" w:rsidR="00FA45BB" w:rsidRPr="00E56A6E" w:rsidRDefault="00FA45BB" w:rsidP="00FA45B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57 (54 %)</w:t>
            </w:r>
          </w:p>
        </w:tc>
        <w:tc>
          <w:tcPr>
            <w:tcW w:w="1478" w:type="dxa"/>
            <w:vAlign w:val="bottom"/>
          </w:tcPr>
          <w:p w14:paraId="367711F0" w14:textId="7E176D72" w:rsidR="00FA45BB" w:rsidRPr="00E56A6E" w:rsidRDefault="00FA45BB" w:rsidP="00FA45B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105 (74 %)</w:t>
            </w:r>
          </w:p>
        </w:tc>
      </w:tr>
      <w:tr w:rsidR="00FA45BB" w:rsidRPr="00E56A6E" w14:paraId="2DEEB82A" w14:textId="77777777" w:rsidTr="006B066D">
        <w:trPr>
          <w:cantSplit/>
        </w:trPr>
        <w:tc>
          <w:tcPr>
            <w:tcW w:w="5392" w:type="dxa"/>
            <w:tcBorders>
              <w:bottom w:val="single" w:sz="4" w:space="0" w:color="auto"/>
            </w:tcBorders>
            <w:tcMar>
              <w:top w:w="29" w:type="dxa"/>
              <w:left w:w="115" w:type="dxa"/>
              <w:bottom w:w="29" w:type="dxa"/>
              <w:right w:w="115" w:type="dxa"/>
            </w:tcMar>
            <w:hideMark/>
          </w:tcPr>
          <w:p w14:paraId="14326BB8" w14:textId="1583CB99" w:rsidR="00FA45BB" w:rsidRPr="00E56A6E" w:rsidRDefault="00FA45BB" w:rsidP="00FA45BB">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 xml:space="preserve">Número y porcentaje de Partes que cuentan con uno o más </w:t>
            </w:r>
            <w:r w:rsidR="003745C1" w:rsidRPr="00E56A6E">
              <w:rPr>
                <w:rFonts w:asciiTheme="majorBidi" w:eastAsia="Malgun Gothic" w:hAnsiTheme="majorBidi" w:cstheme="majorBidi"/>
                <w:kern w:val="22"/>
                <w:sz w:val="20"/>
                <w:szCs w:val="20"/>
                <w:lang w:val="es-ES"/>
              </w:rPr>
              <w:t>puntos de verificación</w:t>
            </w:r>
          </w:p>
        </w:tc>
        <w:tc>
          <w:tcPr>
            <w:tcW w:w="2268" w:type="dxa"/>
            <w:tcBorders>
              <w:bottom w:val="single" w:sz="4" w:space="0" w:color="auto"/>
            </w:tcBorders>
            <w:tcMar>
              <w:top w:w="29" w:type="dxa"/>
              <w:left w:w="115" w:type="dxa"/>
              <w:bottom w:w="29" w:type="dxa"/>
              <w:right w:w="115" w:type="dxa"/>
            </w:tcMar>
            <w:vAlign w:val="bottom"/>
            <w:hideMark/>
          </w:tcPr>
          <w:p w14:paraId="6D5B2DB6" w14:textId="0A613CE9" w:rsidR="00FA45BB" w:rsidRPr="00E56A6E" w:rsidRDefault="00FA45BB" w:rsidP="00FA45B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29 (27 %)</w:t>
            </w:r>
          </w:p>
        </w:tc>
        <w:tc>
          <w:tcPr>
            <w:tcW w:w="1478" w:type="dxa"/>
            <w:tcBorders>
              <w:bottom w:val="single" w:sz="4" w:space="0" w:color="auto"/>
            </w:tcBorders>
            <w:vAlign w:val="bottom"/>
          </w:tcPr>
          <w:p w14:paraId="5DF57DFA" w14:textId="3E3FB269" w:rsidR="00FA45BB" w:rsidRPr="00E56A6E" w:rsidRDefault="00FA45BB" w:rsidP="00FA45B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65 (46 %)</w:t>
            </w:r>
          </w:p>
        </w:tc>
      </w:tr>
      <w:tr w:rsidR="00174370" w:rsidRPr="00E56A6E" w14:paraId="09FC0D4B" w14:textId="77777777" w:rsidTr="006B066D">
        <w:trPr>
          <w:cantSplit/>
        </w:trPr>
        <w:tc>
          <w:tcPr>
            <w:tcW w:w="5392" w:type="dxa"/>
            <w:tcBorders>
              <w:top w:val="single" w:sz="4" w:space="0" w:color="auto"/>
            </w:tcBorders>
            <w:tcMar>
              <w:top w:w="29" w:type="dxa"/>
              <w:left w:w="115" w:type="dxa"/>
              <w:bottom w:w="29" w:type="dxa"/>
              <w:right w:w="115" w:type="dxa"/>
            </w:tcMar>
          </w:tcPr>
          <w:p w14:paraId="3A1BDCA7" w14:textId="4D132333" w:rsidR="00174370" w:rsidRPr="00E56A6E" w:rsidRDefault="00FA45BB"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 xml:space="preserve">Número y porcentaje de Partes que cuentan con </w:t>
            </w:r>
            <w:r w:rsidR="00B23C4F" w:rsidRPr="00E56A6E">
              <w:rPr>
                <w:rFonts w:asciiTheme="majorBidi" w:eastAsia="Malgun Gothic" w:hAnsiTheme="majorBidi" w:cstheme="majorBidi"/>
                <w:kern w:val="22"/>
                <w:sz w:val="20"/>
                <w:szCs w:val="20"/>
                <w:lang w:val="es-ES"/>
              </w:rPr>
              <w:t>medidas legislativas, administrativas y normativas</w:t>
            </w:r>
            <w:r w:rsidRPr="00E56A6E">
              <w:rPr>
                <w:rFonts w:asciiTheme="majorBidi" w:eastAsia="Malgun Gothic" w:hAnsiTheme="majorBidi" w:cstheme="majorBidi"/>
                <w:kern w:val="22"/>
                <w:sz w:val="20"/>
                <w:szCs w:val="20"/>
                <w:lang w:val="es-ES"/>
              </w:rPr>
              <w:t xml:space="preserve"> sobre acceso y participación en los beneficios</w:t>
            </w:r>
          </w:p>
        </w:tc>
        <w:tc>
          <w:tcPr>
            <w:tcW w:w="2268" w:type="dxa"/>
            <w:tcBorders>
              <w:top w:val="single" w:sz="4" w:space="0" w:color="auto"/>
            </w:tcBorders>
            <w:tcMar>
              <w:top w:w="29" w:type="dxa"/>
              <w:left w:w="115" w:type="dxa"/>
              <w:bottom w:w="29" w:type="dxa"/>
              <w:right w:w="115" w:type="dxa"/>
            </w:tcMar>
            <w:vAlign w:val="bottom"/>
          </w:tcPr>
          <w:p w14:paraId="59ECD1C0" w14:textId="67FCCE42" w:rsidR="00174370" w:rsidRPr="00E56A6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Malgun Gothic" w:hAnsiTheme="majorBidi" w:cstheme="majorBidi"/>
                <w:kern w:val="22"/>
                <w:sz w:val="20"/>
                <w:szCs w:val="20"/>
                <w:lang w:val="es-ES"/>
              </w:rPr>
              <w:t>75 (71</w:t>
            </w:r>
            <w:r w:rsidR="00653A73" w:rsidRPr="00E56A6E">
              <w:rPr>
                <w:rFonts w:asciiTheme="majorBidi" w:eastAsia="Malgun Gothic" w:hAnsiTheme="majorBidi" w:cstheme="majorBidi"/>
                <w:kern w:val="22"/>
                <w:sz w:val="20"/>
                <w:szCs w:val="20"/>
                <w:lang w:val="es-ES"/>
              </w:rPr>
              <w:t> %</w:t>
            </w:r>
            <w:r w:rsidRPr="00E56A6E">
              <w:rPr>
                <w:rFonts w:asciiTheme="majorBidi" w:eastAsia="Malgun Gothic" w:hAnsiTheme="majorBidi" w:cstheme="majorBidi"/>
                <w:kern w:val="22"/>
                <w:sz w:val="20"/>
                <w:szCs w:val="20"/>
                <w:lang w:val="es-ES"/>
              </w:rPr>
              <w:t>)</w:t>
            </w:r>
          </w:p>
        </w:tc>
        <w:tc>
          <w:tcPr>
            <w:tcW w:w="1478" w:type="dxa"/>
            <w:tcBorders>
              <w:top w:val="single" w:sz="4" w:space="0" w:color="auto"/>
            </w:tcBorders>
            <w:vAlign w:val="bottom"/>
          </w:tcPr>
          <w:p w14:paraId="6D379FD8" w14:textId="522F7B22" w:rsidR="00174370" w:rsidRPr="00E56A6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110 (78</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r>
      <w:tr w:rsidR="00174370" w:rsidRPr="00E56A6E" w14:paraId="5C9F7BF4" w14:textId="77777777" w:rsidTr="006B066D">
        <w:trPr>
          <w:cantSplit/>
        </w:trPr>
        <w:tc>
          <w:tcPr>
            <w:tcW w:w="5392" w:type="dxa"/>
            <w:tcMar>
              <w:top w:w="29" w:type="dxa"/>
              <w:left w:w="115" w:type="dxa"/>
              <w:bottom w:w="29" w:type="dxa"/>
              <w:right w:w="115" w:type="dxa"/>
            </w:tcMar>
          </w:tcPr>
          <w:p w14:paraId="2596B869" w14:textId="564AEA26" w:rsidR="00174370" w:rsidRPr="00E56A6E" w:rsidRDefault="00FA45BB"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 xml:space="preserve">Número y porcentaje de Partes que han facilitado información al </w:t>
            </w:r>
            <w:r w:rsidR="00467E2F" w:rsidRPr="00E56A6E">
              <w:rPr>
                <w:rFonts w:asciiTheme="majorBidi" w:eastAsia="Malgun Gothic" w:hAnsiTheme="majorBidi" w:cstheme="majorBidi"/>
                <w:kern w:val="22"/>
                <w:sz w:val="20"/>
                <w:szCs w:val="20"/>
                <w:lang w:val="es-ES"/>
              </w:rPr>
              <w:t>Centro de Intercambio de Información sobre Acceso y Participación en los Beneficios</w:t>
            </w:r>
            <w:r w:rsidRPr="00E56A6E">
              <w:rPr>
                <w:rFonts w:asciiTheme="majorBidi" w:eastAsia="Malgun Gothic" w:hAnsiTheme="majorBidi" w:cstheme="majorBidi"/>
                <w:kern w:val="22"/>
                <w:sz w:val="20"/>
                <w:szCs w:val="20"/>
                <w:lang w:val="es-ES"/>
              </w:rPr>
              <w:t xml:space="preserve"> acerca de autoridades nacionales competentes, </w:t>
            </w:r>
            <w:r w:rsidR="003745C1" w:rsidRPr="00E56A6E">
              <w:rPr>
                <w:rFonts w:asciiTheme="majorBidi" w:eastAsia="Malgun Gothic" w:hAnsiTheme="majorBidi" w:cstheme="majorBidi"/>
                <w:kern w:val="22"/>
                <w:sz w:val="20"/>
                <w:szCs w:val="20"/>
                <w:lang w:val="es-ES"/>
              </w:rPr>
              <w:t>puntos de verificación</w:t>
            </w:r>
            <w:r w:rsidRPr="00E56A6E">
              <w:rPr>
                <w:rFonts w:asciiTheme="majorBidi" w:eastAsia="Malgun Gothic" w:hAnsiTheme="majorBidi" w:cstheme="majorBidi"/>
                <w:kern w:val="22"/>
                <w:sz w:val="20"/>
                <w:szCs w:val="20"/>
                <w:lang w:val="es-ES"/>
              </w:rPr>
              <w:t>, medidas de acceso y participación en los beneficios y certificados de cumplimiento reconocidos internacionalmente</w:t>
            </w:r>
          </w:p>
        </w:tc>
        <w:tc>
          <w:tcPr>
            <w:tcW w:w="2268" w:type="dxa"/>
            <w:tcMar>
              <w:top w:w="29" w:type="dxa"/>
              <w:left w:w="115" w:type="dxa"/>
              <w:bottom w:w="29" w:type="dxa"/>
              <w:right w:w="115" w:type="dxa"/>
            </w:tcMar>
            <w:vAlign w:val="bottom"/>
          </w:tcPr>
          <w:p w14:paraId="222D5688" w14:textId="77DA6118" w:rsidR="00174370" w:rsidRPr="00E56A6E" w:rsidRDefault="00174370" w:rsidP="00EA12FF">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lang w:val="es-ES"/>
              </w:rPr>
            </w:pPr>
            <w:r w:rsidRPr="00E56A6E">
              <w:rPr>
                <w:rFonts w:asciiTheme="majorBidi" w:eastAsia="Calibri" w:hAnsiTheme="majorBidi" w:cstheme="majorBidi"/>
                <w:kern w:val="22"/>
                <w:sz w:val="20"/>
                <w:szCs w:val="20"/>
                <w:lang w:val="es-ES"/>
              </w:rPr>
              <w:t>54 (51</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c>
          <w:tcPr>
            <w:tcW w:w="1478" w:type="dxa"/>
            <w:vAlign w:val="bottom"/>
          </w:tcPr>
          <w:p w14:paraId="405D76B3" w14:textId="19874B3D" w:rsidR="00174370" w:rsidRPr="00E56A6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93 (66</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r>
      <w:tr w:rsidR="00174370" w:rsidRPr="00E56A6E" w14:paraId="63325540" w14:textId="77777777" w:rsidTr="006B066D">
        <w:trPr>
          <w:cantSplit/>
        </w:trPr>
        <w:tc>
          <w:tcPr>
            <w:tcW w:w="5392" w:type="dxa"/>
            <w:tcMar>
              <w:top w:w="29" w:type="dxa"/>
              <w:left w:w="115" w:type="dxa"/>
              <w:bottom w:w="29" w:type="dxa"/>
              <w:right w:w="115" w:type="dxa"/>
            </w:tcMar>
          </w:tcPr>
          <w:p w14:paraId="6D63320E" w14:textId="002D0EC2" w:rsidR="00174370" w:rsidRPr="00E56A6E" w:rsidRDefault="00FA45BB"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 xml:space="preserve">Número y porcentaje de Partes que disponen de información sobre autoridades nacionales competentes, </w:t>
            </w:r>
            <w:r w:rsidR="003745C1" w:rsidRPr="00E56A6E">
              <w:rPr>
                <w:rFonts w:asciiTheme="majorBidi" w:eastAsia="Malgun Gothic" w:hAnsiTheme="majorBidi" w:cstheme="majorBidi"/>
                <w:kern w:val="22"/>
                <w:sz w:val="20"/>
                <w:szCs w:val="20"/>
                <w:lang w:val="es-ES"/>
              </w:rPr>
              <w:t>puntos de verificación</w:t>
            </w:r>
            <w:r w:rsidRPr="00E56A6E">
              <w:rPr>
                <w:rFonts w:asciiTheme="majorBidi" w:eastAsia="Malgun Gothic" w:hAnsiTheme="majorBidi" w:cstheme="majorBidi"/>
                <w:kern w:val="22"/>
                <w:sz w:val="20"/>
                <w:szCs w:val="20"/>
                <w:lang w:val="es-ES"/>
              </w:rPr>
              <w:t xml:space="preserve">, medidas de acceso y participación en los beneficios y permisos que aún no se ha facilitado al </w:t>
            </w:r>
            <w:r w:rsidR="00467E2F" w:rsidRPr="00E56A6E">
              <w:rPr>
                <w:rFonts w:asciiTheme="majorBidi" w:eastAsia="Malgun Gothic" w:hAnsiTheme="majorBidi" w:cstheme="majorBidi"/>
                <w:kern w:val="22"/>
                <w:sz w:val="20"/>
                <w:szCs w:val="20"/>
                <w:lang w:val="es-ES"/>
              </w:rPr>
              <w:t>Centro de Intercambio de Información sobre Acceso y Participación en los Beneficios</w:t>
            </w:r>
          </w:p>
        </w:tc>
        <w:tc>
          <w:tcPr>
            <w:tcW w:w="2268" w:type="dxa"/>
            <w:tcMar>
              <w:top w:w="29" w:type="dxa"/>
              <w:left w:w="115" w:type="dxa"/>
              <w:bottom w:w="29" w:type="dxa"/>
              <w:right w:w="115" w:type="dxa"/>
            </w:tcMar>
            <w:vAlign w:val="bottom"/>
          </w:tcPr>
          <w:p w14:paraId="11842AF1" w14:textId="12DF19A8" w:rsidR="00174370" w:rsidRPr="00E56A6E" w:rsidRDefault="00174370" w:rsidP="00EA12FF">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lang w:val="es-ES"/>
              </w:rPr>
            </w:pPr>
            <w:r w:rsidRPr="00E56A6E">
              <w:rPr>
                <w:rFonts w:asciiTheme="majorBidi" w:eastAsia="Calibri" w:hAnsiTheme="majorBidi" w:cstheme="majorBidi"/>
                <w:kern w:val="22"/>
                <w:sz w:val="20"/>
                <w:szCs w:val="20"/>
                <w:lang w:val="es-ES"/>
              </w:rPr>
              <w:t>46 (44</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c>
          <w:tcPr>
            <w:tcW w:w="1478" w:type="dxa"/>
            <w:vAlign w:val="bottom"/>
          </w:tcPr>
          <w:p w14:paraId="167009BD" w14:textId="4682B9B9" w:rsidR="00174370" w:rsidRPr="00E56A6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68 (48</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r>
    </w:tbl>
    <w:p w14:paraId="77F41168" w14:textId="08EDE44C" w:rsidR="00196739" w:rsidRPr="00E56A6E" w:rsidRDefault="00B262F5" w:rsidP="00A818EB">
      <w:pPr>
        <w:pStyle w:val="CBDH4"/>
        <w:rPr>
          <w:lang w:val="es-ES"/>
        </w:rPr>
      </w:pPr>
      <w:r w:rsidRPr="00E56A6E">
        <w:rPr>
          <w:lang w:val="es-ES"/>
        </w:rPr>
        <w:t>b)</w:t>
      </w:r>
      <w:r w:rsidRPr="00E56A6E">
        <w:rPr>
          <w:lang w:val="es-ES"/>
        </w:rPr>
        <w:tab/>
      </w:r>
      <w:r w:rsidR="00A05194" w:rsidRPr="00E56A6E">
        <w:rPr>
          <w:lang w:val="es-ES"/>
        </w:rPr>
        <w:t>Dificultades en la aplicación y causas subyacentes</w:t>
      </w:r>
      <w:r w:rsidR="0022028D" w:rsidRPr="00E56A6E">
        <w:rPr>
          <w:lang w:val="es-ES"/>
        </w:rPr>
        <w:t xml:space="preserve"> </w:t>
      </w:r>
    </w:p>
    <w:p w14:paraId="2C4DE18F" w14:textId="63CA9A58" w:rsidR="0022028D" w:rsidRPr="00E56A6E" w:rsidRDefault="0022028D" w:rsidP="0022028D">
      <w:pPr>
        <w:pStyle w:val="CBDNormalNumber"/>
        <w:rPr>
          <w:lang w:val="es-ES"/>
        </w:rPr>
      </w:pPr>
      <w:r w:rsidRPr="00E56A6E">
        <w:rPr>
          <w:lang w:val="es-ES"/>
        </w:rPr>
        <w:t>Muchas Partes aún deben adoptar algún tipo de medida de acceso y participación en los beneficios para que el Protocolo de Nagoya sea plenamente operativo. Para algunas de ellas, ese paso supone un</w:t>
      </w:r>
      <w:r w:rsidR="00AF380B">
        <w:rPr>
          <w:lang w:val="es-ES"/>
        </w:rPr>
        <w:t>a</w:t>
      </w:r>
      <w:r w:rsidR="000306C3" w:rsidRPr="00E56A6E">
        <w:rPr>
          <w:lang w:val="es-ES"/>
        </w:rPr>
        <w:t xml:space="preserve"> </w:t>
      </w:r>
      <w:r w:rsidR="00AF380B">
        <w:rPr>
          <w:lang w:val="es-ES"/>
        </w:rPr>
        <w:t xml:space="preserve">gran </w:t>
      </w:r>
      <w:r w:rsidR="000306C3" w:rsidRPr="00E56A6E">
        <w:rPr>
          <w:lang w:val="es-ES"/>
        </w:rPr>
        <w:t xml:space="preserve">dificultad </w:t>
      </w:r>
      <w:r w:rsidRPr="00E56A6E">
        <w:rPr>
          <w:lang w:val="es-ES"/>
        </w:rPr>
        <w:t xml:space="preserve">por diversas razones, entre ellas la inestabilidad política y los cambios de gobierno. Además, para muchas de las Partes que han adoptado </w:t>
      </w:r>
      <w:r w:rsidR="000306C3" w:rsidRPr="00E56A6E">
        <w:rPr>
          <w:lang w:val="es-ES"/>
        </w:rPr>
        <w:t xml:space="preserve">dichas </w:t>
      </w:r>
      <w:r w:rsidRPr="00E56A6E">
        <w:rPr>
          <w:lang w:val="es-ES"/>
        </w:rPr>
        <w:t xml:space="preserve">medidas, la puesta en práctica de </w:t>
      </w:r>
      <w:proofErr w:type="gramStart"/>
      <w:r w:rsidRPr="00E56A6E">
        <w:rPr>
          <w:lang w:val="es-ES"/>
        </w:rPr>
        <w:t>las mismas</w:t>
      </w:r>
      <w:proofErr w:type="gramEnd"/>
      <w:r w:rsidRPr="00E56A6E">
        <w:rPr>
          <w:lang w:val="es-ES"/>
        </w:rPr>
        <w:t xml:space="preserve"> y de los principios de acceso y participación en los beneficios no es un proceso sencillo.</w:t>
      </w:r>
    </w:p>
    <w:p w14:paraId="42D2E89E" w14:textId="6F3E79AE" w:rsidR="0022028D" w:rsidRPr="00E56A6E" w:rsidRDefault="0022028D" w:rsidP="0022028D">
      <w:pPr>
        <w:pStyle w:val="CBDNormalNumber"/>
        <w:rPr>
          <w:lang w:val="es-ES"/>
        </w:rPr>
      </w:pPr>
      <w:r w:rsidRPr="00E56A6E">
        <w:rPr>
          <w:lang w:val="es-ES"/>
        </w:rPr>
        <w:t xml:space="preserve">Los </w:t>
      </w:r>
      <w:r w:rsidR="005D5027" w:rsidRPr="00E56A6E">
        <w:rPr>
          <w:lang w:val="es-ES"/>
        </w:rPr>
        <w:t>Gobiernos</w:t>
      </w:r>
      <w:r w:rsidRPr="00E56A6E">
        <w:rPr>
          <w:lang w:val="es-ES"/>
        </w:rPr>
        <w:t xml:space="preserve"> </w:t>
      </w:r>
      <w:r w:rsidR="00D44698" w:rsidRPr="00E56A6E">
        <w:rPr>
          <w:lang w:val="es-ES"/>
        </w:rPr>
        <w:t xml:space="preserve">se enfrentan a </w:t>
      </w:r>
      <w:r w:rsidRPr="00E56A6E">
        <w:rPr>
          <w:lang w:val="es-ES"/>
        </w:rPr>
        <w:t xml:space="preserve">una serie de </w:t>
      </w:r>
      <w:r w:rsidR="000306C3" w:rsidRPr="00E56A6E">
        <w:rPr>
          <w:lang w:val="es-ES"/>
        </w:rPr>
        <w:t xml:space="preserve">dificultades </w:t>
      </w:r>
      <w:r w:rsidRPr="00E56A6E">
        <w:rPr>
          <w:lang w:val="es-ES"/>
        </w:rPr>
        <w:t>que han retrasado la aplicación a nivel nacional. Entre es</w:t>
      </w:r>
      <w:r w:rsidR="000306C3" w:rsidRPr="00E56A6E">
        <w:rPr>
          <w:lang w:val="es-ES"/>
        </w:rPr>
        <w:t xml:space="preserve">tas </w:t>
      </w:r>
      <w:r w:rsidRPr="00E56A6E">
        <w:rPr>
          <w:lang w:val="es-ES"/>
        </w:rPr>
        <w:t xml:space="preserve">figuran los recursos financieros limitados o las restricciones presupuestarias; los recursos humanos y conocimientos técnicos limitados a nivel gubernamental; la comprensión limitada del valor de los recursos genéticos o los conocimientos tradicionales </w:t>
      </w:r>
      <w:r w:rsidR="00B840DF" w:rsidRPr="00E56A6E">
        <w:rPr>
          <w:lang w:val="es-ES"/>
        </w:rPr>
        <w:t>conexos</w:t>
      </w:r>
      <w:r w:rsidRPr="00E56A6E">
        <w:rPr>
          <w:lang w:val="es-ES"/>
        </w:rPr>
        <w:t xml:space="preserve">; y la escasa sensibilización por parte de los pueblos indígenas y las comunidades locales, así como de las partes interesadas, como las comunidades empresarial y científica, respecto al concepto de acceso y </w:t>
      </w:r>
      <w:r w:rsidRPr="00E56A6E">
        <w:rPr>
          <w:lang w:val="es-ES"/>
        </w:rPr>
        <w:lastRenderedPageBreak/>
        <w:t>participación en los beneficios, además de la falta de voluntad política y la inestabilidad política</w:t>
      </w:r>
      <w:r w:rsidRPr="00E56A6E">
        <w:rPr>
          <w:rStyle w:val="FootnoteReference"/>
          <w:rFonts w:asciiTheme="majorBidi" w:hAnsiTheme="majorBidi"/>
          <w:lang w:val="es-ES"/>
        </w:rPr>
        <w:footnoteReference w:id="14"/>
      </w:r>
      <w:r w:rsidRPr="00E56A6E">
        <w:rPr>
          <w:lang w:val="es-ES"/>
        </w:rPr>
        <w:t xml:space="preserve">. La rotación del personal se considera </w:t>
      </w:r>
      <w:r w:rsidR="00887C22" w:rsidRPr="00E56A6E">
        <w:rPr>
          <w:lang w:val="es-ES"/>
        </w:rPr>
        <w:t xml:space="preserve">asimismo </w:t>
      </w:r>
      <w:r w:rsidRPr="00E56A6E">
        <w:rPr>
          <w:lang w:val="es-ES"/>
        </w:rPr>
        <w:t>un</w:t>
      </w:r>
      <w:r w:rsidR="00D44698" w:rsidRPr="00E56A6E">
        <w:rPr>
          <w:lang w:val="es-ES"/>
        </w:rPr>
        <w:t xml:space="preserve">a </w:t>
      </w:r>
      <w:r w:rsidR="00887C22" w:rsidRPr="00E56A6E">
        <w:rPr>
          <w:lang w:val="es-ES"/>
        </w:rPr>
        <w:t>dificultad importante</w:t>
      </w:r>
      <w:r w:rsidRPr="00E56A6E">
        <w:rPr>
          <w:lang w:val="es-ES"/>
        </w:rPr>
        <w:t>, en particular en un contexto general de falta de recursos humanos.</w:t>
      </w:r>
    </w:p>
    <w:p w14:paraId="3032BBAF" w14:textId="63583794" w:rsidR="0022028D" w:rsidRPr="00E56A6E" w:rsidRDefault="0022028D" w:rsidP="0022028D">
      <w:pPr>
        <w:pStyle w:val="CBDNormalNumber"/>
        <w:rPr>
          <w:lang w:val="es-ES"/>
        </w:rPr>
      </w:pPr>
      <w:r w:rsidRPr="00E56A6E">
        <w:rPr>
          <w:lang w:val="es-ES"/>
        </w:rPr>
        <w:t>Según los usuarios encuestados</w:t>
      </w:r>
      <w:r w:rsidRPr="00E56A6E">
        <w:rPr>
          <w:rStyle w:val="FootnoteReference"/>
          <w:lang w:val="es-ES"/>
        </w:rPr>
        <w:footnoteReference w:id="15"/>
      </w:r>
      <w:r w:rsidRPr="00E56A6E">
        <w:rPr>
          <w:lang w:val="es-ES"/>
        </w:rPr>
        <w:t xml:space="preserve">, </w:t>
      </w:r>
      <w:r w:rsidR="00D25743" w:rsidRPr="00E56A6E">
        <w:rPr>
          <w:lang w:val="es-ES"/>
        </w:rPr>
        <w:t xml:space="preserve">las principales dificultades </w:t>
      </w:r>
      <w:r w:rsidR="00C151CF" w:rsidRPr="00E56A6E">
        <w:rPr>
          <w:lang w:val="es-ES"/>
        </w:rPr>
        <w:t xml:space="preserve">que se señalaron </w:t>
      </w:r>
      <w:r w:rsidRPr="00E56A6E">
        <w:rPr>
          <w:lang w:val="es-ES"/>
        </w:rPr>
        <w:t xml:space="preserve">se referían al acceso a los recursos genéticos o a los conocimientos tradicionales </w:t>
      </w:r>
      <w:r w:rsidR="001B12A4" w:rsidRPr="00E56A6E">
        <w:rPr>
          <w:lang w:val="es-ES"/>
        </w:rPr>
        <w:t>conexos</w:t>
      </w:r>
      <w:r w:rsidRPr="00E56A6E">
        <w:rPr>
          <w:lang w:val="es-ES"/>
        </w:rPr>
        <w:t xml:space="preserve">. Los usuarios consideraban que los puntos focales nacionales o las autoridades nacionales competentes en materia de </w:t>
      </w:r>
      <w:r w:rsidR="00CA2892" w:rsidRPr="00E56A6E">
        <w:rPr>
          <w:lang w:val="es-ES"/>
        </w:rPr>
        <w:t>acceso y participación en los beneficios</w:t>
      </w:r>
      <w:r w:rsidRPr="00E56A6E">
        <w:rPr>
          <w:lang w:val="es-ES"/>
        </w:rPr>
        <w:t xml:space="preserve"> </w:t>
      </w:r>
      <w:r w:rsidR="00D52040" w:rsidRPr="00E56A6E">
        <w:rPr>
          <w:lang w:val="es-ES"/>
        </w:rPr>
        <w:t xml:space="preserve">a menudo </w:t>
      </w:r>
      <w:r w:rsidRPr="00E56A6E">
        <w:rPr>
          <w:lang w:val="es-ES"/>
        </w:rPr>
        <w:t>no respondían o eran difíciles de localizar, y que la información</w:t>
      </w:r>
      <w:r w:rsidR="005D7A16" w:rsidRPr="00E56A6E">
        <w:rPr>
          <w:lang w:val="es-ES"/>
        </w:rPr>
        <w:t xml:space="preserve"> que figuraba en el Centro de Intercambio de Información sobre Acceso y Participación en los Beneficios</w:t>
      </w:r>
      <w:r w:rsidR="005D7A16" w:rsidRPr="00E56A6E">
        <w:rPr>
          <w:rStyle w:val="FootnoteReference"/>
          <w:lang w:val="es-ES"/>
        </w:rPr>
        <w:footnoteReference w:id="16"/>
      </w:r>
      <w:r w:rsidR="005D7A16" w:rsidRPr="00E56A6E">
        <w:rPr>
          <w:lang w:val="es-ES"/>
        </w:rPr>
        <w:t xml:space="preserve"> </w:t>
      </w:r>
      <w:r w:rsidR="004218EF" w:rsidRPr="00E56A6E">
        <w:rPr>
          <w:lang w:val="es-ES"/>
        </w:rPr>
        <w:t xml:space="preserve">relativa a </w:t>
      </w:r>
      <w:r w:rsidRPr="00E56A6E">
        <w:rPr>
          <w:lang w:val="es-ES"/>
        </w:rPr>
        <w:t xml:space="preserve">las autoridades nacionales o los requisitos nacionales </w:t>
      </w:r>
      <w:r w:rsidR="004218EF" w:rsidRPr="00E56A6E">
        <w:rPr>
          <w:lang w:val="es-ES"/>
        </w:rPr>
        <w:t xml:space="preserve">sobre </w:t>
      </w:r>
      <w:r w:rsidR="00CA2892" w:rsidRPr="00E56A6E">
        <w:rPr>
          <w:lang w:val="es-ES"/>
        </w:rPr>
        <w:t>acceso y participación en los beneficios</w:t>
      </w:r>
      <w:r w:rsidRPr="00E56A6E">
        <w:rPr>
          <w:lang w:val="es-ES"/>
        </w:rPr>
        <w:t xml:space="preserve"> no siempre estaba disponible o no resultaba clara. </w:t>
      </w:r>
    </w:p>
    <w:p w14:paraId="2556EA97" w14:textId="15C684A3" w:rsidR="0022028D" w:rsidRPr="00E56A6E" w:rsidRDefault="004218EF" w:rsidP="0022028D">
      <w:pPr>
        <w:pStyle w:val="CBDNormalNumber"/>
        <w:rPr>
          <w:lang w:val="es-ES"/>
        </w:rPr>
      </w:pPr>
      <w:r w:rsidRPr="00E56A6E">
        <w:rPr>
          <w:lang w:val="es-ES"/>
        </w:rPr>
        <w:t xml:space="preserve">En muchos casos, las </w:t>
      </w:r>
      <w:r w:rsidR="0022028D" w:rsidRPr="00E56A6E">
        <w:rPr>
          <w:lang w:val="es-ES"/>
        </w:rPr>
        <w:t xml:space="preserve">Partes han designado como punto focal nacional a una persona que trabaja en el Ministerio de Medio Ambiente o en una institución </w:t>
      </w:r>
      <w:r w:rsidRPr="00E56A6E">
        <w:rPr>
          <w:lang w:val="es-ES"/>
        </w:rPr>
        <w:t>competente</w:t>
      </w:r>
      <w:r w:rsidR="0022028D" w:rsidRPr="00E56A6E">
        <w:rPr>
          <w:lang w:val="es-ES"/>
        </w:rPr>
        <w:t xml:space="preserve">. </w:t>
      </w:r>
      <w:r w:rsidR="00E22B2F" w:rsidRPr="00E56A6E">
        <w:rPr>
          <w:lang w:val="es-ES"/>
        </w:rPr>
        <w:t>No obstante, e</w:t>
      </w:r>
      <w:r w:rsidR="0022028D" w:rsidRPr="00E56A6E">
        <w:rPr>
          <w:lang w:val="es-ES"/>
        </w:rPr>
        <w:t xml:space="preserve">n algunas Partes el punto focal nacional está </w:t>
      </w:r>
      <w:r w:rsidR="00E22B2F" w:rsidRPr="00E56A6E">
        <w:rPr>
          <w:lang w:val="es-ES"/>
        </w:rPr>
        <w:t xml:space="preserve">vinculado </w:t>
      </w:r>
      <w:r w:rsidR="0022028D" w:rsidRPr="00E56A6E">
        <w:rPr>
          <w:lang w:val="es-ES"/>
        </w:rPr>
        <w:t xml:space="preserve">al Ministerio de Relaciones Exteriores o al Ministerio de Asuntos Exteriores. Los datos </w:t>
      </w:r>
      <w:r w:rsidR="00954973" w:rsidRPr="00E56A6E">
        <w:rPr>
          <w:lang w:val="es-ES"/>
        </w:rPr>
        <w:t xml:space="preserve">señalan </w:t>
      </w:r>
      <w:r w:rsidR="0022028D" w:rsidRPr="00E56A6E">
        <w:rPr>
          <w:lang w:val="es-ES"/>
        </w:rPr>
        <w:t>que, en determinados países, el punto focal nacional no se dedica exclusivamente a tareas relacionadas con el acceso y la participación en los beneficios.</w:t>
      </w:r>
      <w:r w:rsidR="001E37A2" w:rsidRPr="00E56A6E">
        <w:rPr>
          <w:lang w:val="es-ES"/>
        </w:rPr>
        <w:t xml:space="preserve"> </w:t>
      </w:r>
      <w:r w:rsidR="0022028D" w:rsidRPr="00E56A6E">
        <w:rPr>
          <w:lang w:val="es-ES"/>
        </w:rPr>
        <w:t xml:space="preserve">De hecho, al </w:t>
      </w:r>
      <w:r w:rsidR="00954973" w:rsidRPr="00E56A6E">
        <w:rPr>
          <w:lang w:val="es-ES"/>
        </w:rPr>
        <w:t xml:space="preserve">tratar </w:t>
      </w:r>
      <w:r w:rsidR="0022028D" w:rsidRPr="00E56A6E">
        <w:rPr>
          <w:lang w:val="es-ES"/>
        </w:rPr>
        <w:t>los casos, el punto focal puede</w:t>
      </w:r>
      <w:r w:rsidR="00375918" w:rsidRPr="00E56A6E">
        <w:rPr>
          <w:lang w:val="es-ES"/>
        </w:rPr>
        <w:t xml:space="preserve"> verse ante la dificultad de </w:t>
      </w:r>
      <w:r w:rsidR="0022028D" w:rsidRPr="00E56A6E">
        <w:rPr>
          <w:lang w:val="es-ES"/>
        </w:rPr>
        <w:t xml:space="preserve">actuar como único enlace con la Secretaría del Convenio sobre la Diversidad Biológica y seguir las negociaciones internacionales, al tiempo que sigue </w:t>
      </w:r>
      <w:r w:rsidR="00C062AB" w:rsidRPr="00E56A6E">
        <w:rPr>
          <w:lang w:val="es-ES"/>
        </w:rPr>
        <w:t xml:space="preserve">estando a cargo </w:t>
      </w:r>
      <w:r w:rsidR="0022028D" w:rsidRPr="00E56A6E">
        <w:rPr>
          <w:lang w:val="es-ES"/>
        </w:rPr>
        <w:t xml:space="preserve">de la aplicación nacional del Protocolo de Nagoya y de los acuerdos de acceso y participación en los beneficios. Como consecuencia del desempeño de </w:t>
      </w:r>
      <w:r w:rsidR="006505A1" w:rsidRPr="00E56A6E">
        <w:rPr>
          <w:lang w:val="es-ES"/>
        </w:rPr>
        <w:t xml:space="preserve">parte </w:t>
      </w:r>
      <w:r w:rsidR="0022028D" w:rsidRPr="00E56A6E">
        <w:rPr>
          <w:lang w:val="es-ES"/>
        </w:rPr>
        <w:t xml:space="preserve">de estas funciones, los puntos focales nacionales de </w:t>
      </w:r>
      <w:r w:rsidR="006505A1" w:rsidRPr="00E56A6E">
        <w:rPr>
          <w:lang w:val="es-ES"/>
        </w:rPr>
        <w:t>algunas</w:t>
      </w:r>
      <w:r w:rsidR="0022028D" w:rsidRPr="00E56A6E">
        <w:rPr>
          <w:lang w:val="es-ES"/>
        </w:rPr>
        <w:t xml:space="preserve"> Partes </w:t>
      </w:r>
      <w:r w:rsidR="00801C6D" w:rsidRPr="00E56A6E">
        <w:rPr>
          <w:lang w:val="es-ES"/>
        </w:rPr>
        <w:t xml:space="preserve">disfrutan </w:t>
      </w:r>
      <w:r w:rsidR="0022028D" w:rsidRPr="00E56A6E">
        <w:rPr>
          <w:lang w:val="es-ES"/>
        </w:rPr>
        <w:t xml:space="preserve">de </w:t>
      </w:r>
      <w:r w:rsidR="00C062AB" w:rsidRPr="00E56A6E">
        <w:rPr>
          <w:lang w:val="es-ES"/>
        </w:rPr>
        <w:t>categorías profesionales superiores</w:t>
      </w:r>
      <w:r w:rsidR="0022028D" w:rsidRPr="00E56A6E">
        <w:rPr>
          <w:rStyle w:val="FootnoteReference"/>
          <w:rFonts w:asciiTheme="majorBidi" w:hAnsiTheme="majorBidi"/>
          <w:lang w:val="es-ES"/>
        </w:rPr>
        <w:footnoteReference w:id="17"/>
      </w:r>
      <w:r w:rsidR="0022028D" w:rsidRPr="00E56A6E">
        <w:rPr>
          <w:lang w:val="es-ES"/>
        </w:rPr>
        <w:t>. Est</w:t>
      </w:r>
      <w:r w:rsidR="00C062AB" w:rsidRPr="00E56A6E">
        <w:rPr>
          <w:lang w:val="es-ES"/>
        </w:rPr>
        <w:t xml:space="preserve">a superposición de </w:t>
      </w:r>
      <w:r w:rsidR="0022028D" w:rsidRPr="00E56A6E">
        <w:rPr>
          <w:lang w:val="es-ES"/>
        </w:rPr>
        <w:t xml:space="preserve">funciones puede tener repercusiones en </w:t>
      </w:r>
      <w:proofErr w:type="gramStart"/>
      <w:r w:rsidR="0022028D" w:rsidRPr="00E56A6E">
        <w:rPr>
          <w:lang w:val="es-ES"/>
        </w:rPr>
        <w:t>la</w:t>
      </w:r>
      <w:r w:rsidR="00B61DB5" w:rsidRPr="00E56A6E">
        <w:rPr>
          <w:lang w:val="es-ES"/>
        </w:rPr>
        <w:t>s</w:t>
      </w:r>
      <w:r w:rsidR="0022028D" w:rsidRPr="00E56A6E">
        <w:rPr>
          <w:lang w:val="es-ES"/>
        </w:rPr>
        <w:t xml:space="preserve"> capacidad</w:t>
      </w:r>
      <w:proofErr w:type="gramEnd"/>
      <w:r w:rsidR="0022028D" w:rsidRPr="00E56A6E">
        <w:rPr>
          <w:lang w:val="es-ES"/>
        </w:rPr>
        <w:t xml:space="preserve">, </w:t>
      </w:r>
      <w:r w:rsidR="00B61DB5" w:rsidRPr="00E56A6E">
        <w:rPr>
          <w:lang w:val="es-ES"/>
        </w:rPr>
        <w:t xml:space="preserve">en particular </w:t>
      </w:r>
      <w:r w:rsidR="0022028D" w:rsidRPr="00E56A6E">
        <w:rPr>
          <w:lang w:val="es-ES"/>
        </w:rPr>
        <w:t xml:space="preserve">la capacidad para mantener </w:t>
      </w:r>
      <w:r w:rsidR="002B465A" w:rsidRPr="00E56A6E">
        <w:rPr>
          <w:lang w:val="es-ES"/>
        </w:rPr>
        <w:t xml:space="preserve">actualizada </w:t>
      </w:r>
      <w:r w:rsidR="0022028D" w:rsidRPr="00E56A6E">
        <w:rPr>
          <w:lang w:val="es-ES"/>
        </w:rPr>
        <w:t xml:space="preserve">la información y publicar registros en el </w:t>
      </w:r>
      <w:r w:rsidR="00467E2F" w:rsidRPr="00E56A6E">
        <w:rPr>
          <w:lang w:val="es-ES"/>
        </w:rPr>
        <w:t>Centro de Intercambio de Información sobre Acceso y Participación en los Beneficios</w:t>
      </w:r>
      <w:r w:rsidR="0022028D" w:rsidRPr="00E56A6E">
        <w:rPr>
          <w:lang w:val="es-ES"/>
        </w:rPr>
        <w:t>.</w:t>
      </w:r>
    </w:p>
    <w:p w14:paraId="1272574F" w14:textId="6F8DDA61" w:rsidR="0022028D" w:rsidRPr="00E56A6E" w:rsidRDefault="0022028D" w:rsidP="0022028D">
      <w:pPr>
        <w:pStyle w:val="CBDNormalNumber"/>
        <w:rPr>
          <w:lang w:val="es-ES"/>
        </w:rPr>
      </w:pPr>
      <w:r w:rsidRPr="00E56A6E">
        <w:rPr>
          <w:lang w:val="es-ES"/>
        </w:rPr>
        <w:t xml:space="preserve">En algunos países, los puntos focales nacionales desempeñan una función administrativa y, por tanto, pueden carecer de la autoridad necesaria para </w:t>
      </w:r>
      <w:r w:rsidR="00DC1928" w:rsidRPr="00E56A6E">
        <w:rPr>
          <w:lang w:val="es-ES"/>
        </w:rPr>
        <w:t xml:space="preserve">adoptar </w:t>
      </w:r>
      <w:r w:rsidRPr="00E56A6E">
        <w:rPr>
          <w:lang w:val="es-ES"/>
        </w:rPr>
        <w:t xml:space="preserve">decisiones o responder a preguntas sobre el alcance de los requisitos </w:t>
      </w:r>
      <w:r w:rsidR="00DC1928" w:rsidRPr="00E56A6E">
        <w:rPr>
          <w:lang w:val="es-ES"/>
        </w:rPr>
        <w:t>jurídicos</w:t>
      </w:r>
      <w:r w:rsidRPr="00E56A6E">
        <w:rPr>
          <w:lang w:val="es-ES"/>
        </w:rPr>
        <w:t xml:space="preserve"> en materia de acceso y participación en los beneficios.</w:t>
      </w:r>
      <w:r w:rsidR="001E37A2" w:rsidRPr="00E56A6E">
        <w:rPr>
          <w:lang w:val="es-ES"/>
        </w:rPr>
        <w:t xml:space="preserve"> </w:t>
      </w:r>
      <w:r w:rsidR="00B96A06" w:rsidRPr="00E56A6E">
        <w:rPr>
          <w:lang w:val="es-ES"/>
        </w:rPr>
        <w:t xml:space="preserve">Es posible que esa </w:t>
      </w:r>
      <w:r w:rsidRPr="00E56A6E">
        <w:rPr>
          <w:lang w:val="es-ES"/>
        </w:rPr>
        <w:t xml:space="preserve">falta de autoridad y sus limitadas competencias </w:t>
      </w:r>
      <w:r w:rsidR="00B96A06" w:rsidRPr="00E56A6E">
        <w:rPr>
          <w:lang w:val="es-ES"/>
        </w:rPr>
        <w:t xml:space="preserve">les impida </w:t>
      </w:r>
      <w:r w:rsidRPr="00E56A6E">
        <w:rPr>
          <w:lang w:val="es-ES"/>
        </w:rPr>
        <w:t xml:space="preserve">interpretar los requisitos nacionales de acceso y participación en los beneficios y </w:t>
      </w:r>
      <w:r w:rsidR="00DC1928" w:rsidRPr="00E56A6E">
        <w:rPr>
          <w:lang w:val="es-ES"/>
        </w:rPr>
        <w:t xml:space="preserve">adoptar </w:t>
      </w:r>
      <w:r w:rsidRPr="00E56A6E">
        <w:rPr>
          <w:lang w:val="es-ES"/>
        </w:rPr>
        <w:t>decisiones sobre su aplicabilidad</w:t>
      </w:r>
      <w:r w:rsidRPr="00E56A6E">
        <w:rPr>
          <w:rStyle w:val="FootnoteReference"/>
          <w:rFonts w:asciiTheme="majorBidi" w:hAnsiTheme="majorBidi"/>
          <w:lang w:val="es-ES"/>
        </w:rPr>
        <w:footnoteReference w:id="18"/>
      </w:r>
      <w:r w:rsidRPr="00E56A6E">
        <w:rPr>
          <w:lang w:val="es-ES"/>
        </w:rPr>
        <w:t xml:space="preserve">. </w:t>
      </w:r>
    </w:p>
    <w:p w14:paraId="478C2ADF" w14:textId="70EB316F" w:rsidR="0022028D" w:rsidRPr="00E56A6E" w:rsidRDefault="0022028D" w:rsidP="0022028D">
      <w:pPr>
        <w:pStyle w:val="CBDNormalNumber"/>
        <w:rPr>
          <w:lang w:val="es-ES"/>
        </w:rPr>
      </w:pPr>
      <w:r w:rsidRPr="00E56A6E">
        <w:rPr>
          <w:lang w:val="es-ES"/>
        </w:rPr>
        <w:t xml:space="preserve">La designación y puesta en funcionamiento de los </w:t>
      </w:r>
      <w:r w:rsidR="003745C1" w:rsidRPr="00E56A6E">
        <w:rPr>
          <w:lang w:val="es-ES"/>
        </w:rPr>
        <w:t>puntos de verificación</w:t>
      </w:r>
      <w:r w:rsidRPr="00E56A6E">
        <w:rPr>
          <w:lang w:val="es-ES"/>
        </w:rPr>
        <w:t xml:space="preserve"> sigue siendo un </w:t>
      </w:r>
      <w:r w:rsidR="00B96A06" w:rsidRPr="00E56A6E">
        <w:rPr>
          <w:lang w:val="es-ES"/>
        </w:rPr>
        <w:t xml:space="preserve">problema </w:t>
      </w:r>
      <w:r w:rsidRPr="00E56A6E">
        <w:rPr>
          <w:lang w:val="es-ES"/>
        </w:rPr>
        <w:t>importante para muchas Partes</w:t>
      </w:r>
      <w:r w:rsidRPr="00E56A6E">
        <w:rPr>
          <w:rStyle w:val="FootnoteReference"/>
          <w:rFonts w:asciiTheme="majorBidi" w:hAnsiTheme="majorBidi"/>
          <w:lang w:val="es-ES"/>
        </w:rPr>
        <w:footnoteReference w:id="19"/>
      </w:r>
      <w:r w:rsidRPr="00E56A6E">
        <w:rPr>
          <w:lang w:val="es-ES"/>
        </w:rPr>
        <w:t>.</w:t>
      </w:r>
    </w:p>
    <w:p w14:paraId="67557730" w14:textId="6AF39AFB" w:rsidR="0022028D" w:rsidRPr="00E56A6E" w:rsidRDefault="0022028D" w:rsidP="0022028D">
      <w:pPr>
        <w:pStyle w:val="CBDNormalNumber"/>
        <w:rPr>
          <w:lang w:val="es-ES"/>
        </w:rPr>
      </w:pPr>
      <w:r w:rsidRPr="00E56A6E">
        <w:rPr>
          <w:lang w:val="es-ES"/>
        </w:rPr>
        <w:t xml:space="preserve">A menudo, las Partes informan de que se enfrentan a dificultades en lo que respecta a la coordinación interna entre diferentes autoridades o ministerios, o entre las autoridades nacionales </w:t>
      </w:r>
      <w:r w:rsidRPr="00E56A6E">
        <w:rPr>
          <w:lang w:val="es-ES"/>
        </w:rPr>
        <w:lastRenderedPageBreak/>
        <w:t xml:space="preserve">competentes y los </w:t>
      </w:r>
      <w:r w:rsidR="003745C1" w:rsidRPr="00E56A6E">
        <w:rPr>
          <w:lang w:val="es-ES"/>
        </w:rPr>
        <w:t>puntos de verificación</w:t>
      </w:r>
      <w:r w:rsidRPr="00E56A6E">
        <w:rPr>
          <w:lang w:val="es-ES"/>
        </w:rPr>
        <w:t xml:space="preserve">. </w:t>
      </w:r>
      <w:r w:rsidR="00207186" w:rsidRPr="00E56A6E">
        <w:rPr>
          <w:lang w:val="es-ES"/>
        </w:rPr>
        <w:t xml:space="preserve">Se </w:t>
      </w:r>
      <w:r w:rsidR="00F947F9" w:rsidRPr="00E56A6E">
        <w:rPr>
          <w:lang w:val="es-ES"/>
        </w:rPr>
        <w:t xml:space="preserve">ha señalado </w:t>
      </w:r>
      <w:r w:rsidR="00207186" w:rsidRPr="00E56A6E">
        <w:rPr>
          <w:lang w:val="es-ES"/>
        </w:rPr>
        <w:t>que u</w:t>
      </w:r>
      <w:r w:rsidR="00D76275" w:rsidRPr="00E56A6E">
        <w:rPr>
          <w:lang w:val="es-ES"/>
        </w:rPr>
        <w:t xml:space="preserve">no de los principales obstáculos </w:t>
      </w:r>
      <w:r w:rsidR="002238F6" w:rsidRPr="00E56A6E">
        <w:rPr>
          <w:lang w:val="es-ES"/>
        </w:rPr>
        <w:t xml:space="preserve">para </w:t>
      </w:r>
      <w:r w:rsidR="00F947F9" w:rsidRPr="00E56A6E">
        <w:rPr>
          <w:lang w:val="es-ES"/>
        </w:rPr>
        <w:t xml:space="preserve">establecer </w:t>
      </w:r>
      <w:r w:rsidR="002238F6" w:rsidRPr="00E56A6E">
        <w:rPr>
          <w:lang w:val="es-ES"/>
        </w:rPr>
        <w:t xml:space="preserve">uno o más puntos de verificación </w:t>
      </w:r>
      <w:r w:rsidR="00207186" w:rsidRPr="00E56A6E">
        <w:rPr>
          <w:lang w:val="es-ES"/>
        </w:rPr>
        <w:t xml:space="preserve">era </w:t>
      </w:r>
      <w:r w:rsidR="00D76275" w:rsidRPr="00E56A6E">
        <w:rPr>
          <w:lang w:val="es-ES"/>
        </w:rPr>
        <w:t xml:space="preserve">la </w:t>
      </w:r>
      <w:r w:rsidRPr="00E56A6E">
        <w:rPr>
          <w:lang w:val="es-ES"/>
        </w:rPr>
        <w:t>dificultad de asignar mandatos a instituciones que no depend</w:t>
      </w:r>
      <w:r w:rsidR="00207186" w:rsidRPr="00E56A6E">
        <w:rPr>
          <w:lang w:val="es-ES"/>
        </w:rPr>
        <w:t xml:space="preserve">en </w:t>
      </w:r>
      <w:r w:rsidRPr="00E56A6E">
        <w:rPr>
          <w:lang w:val="es-ES"/>
        </w:rPr>
        <w:t>del Ministerio de Medio Ambiente y las limitaciones de recursos que afectan a la coordinación interinstitucional.</w:t>
      </w:r>
    </w:p>
    <w:p w14:paraId="3158C8AC" w14:textId="349171E5" w:rsidR="00360B61" w:rsidRPr="00E56A6E" w:rsidRDefault="00B262F5" w:rsidP="00A818EB">
      <w:pPr>
        <w:pStyle w:val="CBDH4"/>
        <w:rPr>
          <w:rFonts w:asciiTheme="majorBidi" w:hAnsiTheme="majorBidi" w:cstheme="majorBidi"/>
          <w:lang w:val="es-ES"/>
        </w:rPr>
      </w:pPr>
      <w:r w:rsidRPr="00E56A6E">
        <w:rPr>
          <w:lang w:val="es-ES"/>
        </w:rPr>
        <w:t>c)</w:t>
      </w:r>
      <w:r w:rsidRPr="00E56A6E">
        <w:rPr>
          <w:lang w:val="es-ES"/>
        </w:rPr>
        <w:tab/>
      </w:r>
      <w:r w:rsidR="00F03156" w:rsidRPr="00E56A6E">
        <w:rPr>
          <w:lang w:val="es-ES"/>
        </w:rPr>
        <w:t>Posibles</w:t>
      </w:r>
      <w:r w:rsidR="0038066F" w:rsidRPr="00E56A6E">
        <w:rPr>
          <w:lang w:val="es-ES"/>
        </w:rPr>
        <w:t xml:space="preserve"> maneras </w:t>
      </w:r>
      <w:r w:rsidR="00F03156" w:rsidRPr="00E56A6E">
        <w:rPr>
          <w:lang w:val="es-ES"/>
        </w:rPr>
        <w:t xml:space="preserve">de mejorar </w:t>
      </w:r>
      <w:r w:rsidR="00FA60A2" w:rsidRPr="00E56A6E">
        <w:rPr>
          <w:lang w:val="es-ES"/>
        </w:rPr>
        <w:t xml:space="preserve">el </w:t>
      </w:r>
      <w:r w:rsidR="00FA60A2" w:rsidRPr="00E56A6E">
        <w:rPr>
          <w:bCs/>
          <w:kern w:val="22"/>
          <w:lang w:val="es-ES"/>
        </w:rPr>
        <w:t>establecimiento de estructuras institucionales y la adopción de medidas de acceso y participación en los beneficios para aplicar el Protocolo</w:t>
      </w:r>
    </w:p>
    <w:p w14:paraId="42C4E4C1" w14:textId="4A2586DB" w:rsidR="00F03156" w:rsidRPr="00E56A6E" w:rsidRDefault="00163FDF" w:rsidP="00F03156">
      <w:pPr>
        <w:pStyle w:val="CBDNormalNumber"/>
        <w:rPr>
          <w:lang w:val="es-ES"/>
        </w:rPr>
      </w:pPr>
      <w:r w:rsidRPr="00E56A6E">
        <w:rPr>
          <w:lang w:val="es-ES"/>
        </w:rPr>
        <w:t xml:space="preserve">Integrar e incorporar </w:t>
      </w:r>
      <w:r w:rsidR="00F03156" w:rsidRPr="00E56A6E">
        <w:rPr>
          <w:lang w:val="es-ES"/>
        </w:rPr>
        <w:t xml:space="preserve">el acceso y la </w:t>
      </w:r>
      <w:r w:rsidR="00CA2892" w:rsidRPr="00E56A6E">
        <w:rPr>
          <w:lang w:val="es-ES"/>
        </w:rPr>
        <w:t>participación en los beneficios</w:t>
      </w:r>
      <w:r w:rsidR="00F03156" w:rsidRPr="00E56A6E">
        <w:rPr>
          <w:lang w:val="es-ES"/>
        </w:rPr>
        <w:t xml:space="preserve"> en </w:t>
      </w:r>
      <w:r w:rsidR="00D678D5" w:rsidRPr="00E56A6E">
        <w:rPr>
          <w:lang w:val="es-ES"/>
        </w:rPr>
        <w:t xml:space="preserve">enfoques normativos </w:t>
      </w:r>
      <w:r w:rsidR="00F03156" w:rsidRPr="00E56A6E">
        <w:rPr>
          <w:lang w:val="es-ES"/>
        </w:rPr>
        <w:t xml:space="preserve">más amplios (por ejemplo, planes nacionales de desarrollo, estrategias de reducción de la pobreza o políticas de innovación) puede </w:t>
      </w:r>
      <w:r w:rsidR="00237AD2" w:rsidRPr="00E56A6E">
        <w:rPr>
          <w:lang w:val="es-ES"/>
        </w:rPr>
        <w:t>mejorar la pertinencia desde el punto de vista político de</w:t>
      </w:r>
      <w:r w:rsidR="00D678D5" w:rsidRPr="00E56A6E">
        <w:rPr>
          <w:lang w:val="es-ES"/>
        </w:rPr>
        <w:t xml:space="preserve">l </w:t>
      </w:r>
      <w:r w:rsidR="00F03156" w:rsidRPr="00E56A6E">
        <w:rPr>
          <w:lang w:val="es-ES"/>
        </w:rPr>
        <w:t xml:space="preserve">acceso y la </w:t>
      </w:r>
      <w:r w:rsidR="00CA2892" w:rsidRPr="00E56A6E">
        <w:rPr>
          <w:lang w:val="es-ES"/>
        </w:rPr>
        <w:t>participación en los beneficios</w:t>
      </w:r>
      <w:r w:rsidR="00F03156" w:rsidRPr="00E56A6E">
        <w:rPr>
          <w:lang w:val="es-ES"/>
        </w:rPr>
        <w:t xml:space="preserve"> y contribuir a </w:t>
      </w:r>
      <w:r w:rsidR="00237AD2" w:rsidRPr="00E56A6E">
        <w:rPr>
          <w:lang w:val="es-ES"/>
        </w:rPr>
        <w:t xml:space="preserve">obtener </w:t>
      </w:r>
      <w:r w:rsidR="00F03156" w:rsidRPr="00E56A6E">
        <w:rPr>
          <w:lang w:val="es-ES"/>
        </w:rPr>
        <w:t xml:space="preserve">financiación e integrar el acceso y la </w:t>
      </w:r>
      <w:r w:rsidR="00CA2892" w:rsidRPr="00E56A6E">
        <w:rPr>
          <w:lang w:val="es-ES"/>
        </w:rPr>
        <w:t>participación en los beneficios</w:t>
      </w:r>
      <w:r w:rsidR="00F03156" w:rsidRPr="00E56A6E">
        <w:rPr>
          <w:lang w:val="es-ES"/>
        </w:rPr>
        <w:t xml:space="preserve"> en marcos de gobernanza más amplios. </w:t>
      </w:r>
    </w:p>
    <w:p w14:paraId="168887D3" w14:textId="335A0A28" w:rsidR="00F03156" w:rsidRPr="00E56A6E" w:rsidRDefault="00F03156" w:rsidP="00F03156">
      <w:pPr>
        <w:pStyle w:val="CBDNormalNumber"/>
        <w:rPr>
          <w:lang w:val="es-ES"/>
        </w:rPr>
      </w:pPr>
      <w:r w:rsidRPr="00E56A6E">
        <w:rPr>
          <w:lang w:val="es-ES"/>
        </w:rPr>
        <w:t>Se constató que</w:t>
      </w:r>
      <w:r w:rsidR="0067394B" w:rsidRPr="00E56A6E">
        <w:rPr>
          <w:lang w:val="es-ES"/>
        </w:rPr>
        <w:t xml:space="preserve"> </w:t>
      </w:r>
      <w:r w:rsidR="00A800D3" w:rsidRPr="00E56A6E">
        <w:rPr>
          <w:lang w:val="es-ES"/>
        </w:rPr>
        <w:t xml:space="preserve">establecer </w:t>
      </w:r>
      <w:r w:rsidRPr="00E56A6E">
        <w:rPr>
          <w:lang w:val="es-ES"/>
        </w:rPr>
        <w:t xml:space="preserve">una visión política clara antes de </w:t>
      </w:r>
      <w:r w:rsidR="00BF18E1" w:rsidRPr="00E56A6E">
        <w:rPr>
          <w:lang w:val="es-ES"/>
        </w:rPr>
        <w:t xml:space="preserve">redactar </w:t>
      </w:r>
      <w:r w:rsidRPr="00E56A6E">
        <w:rPr>
          <w:lang w:val="es-ES"/>
        </w:rPr>
        <w:t xml:space="preserve">legislación contribuía al desarrollo de un marco jurídico más </w:t>
      </w:r>
      <w:r w:rsidR="00BF18E1" w:rsidRPr="00E56A6E">
        <w:rPr>
          <w:lang w:val="es-ES"/>
        </w:rPr>
        <w:t xml:space="preserve">firme </w:t>
      </w:r>
      <w:r w:rsidRPr="00E56A6E">
        <w:rPr>
          <w:lang w:val="es-ES"/>
        </w:rPr>
        <w:t xml:space="preserve">y coherente. Un marco sólido que sea también lo suficientemente flexible </w:t>
      </w:r>
      <w:r w:rsidR="00A800D3" w:rsidRPr="00E56A6E">
        <w:rPr>
          <w:lang w:val="es-ES"/>
        </w:rPr>
        <w:t xml:space="preserve">como </w:t>
      </w:r>
      <w:r w:rsidRPr="00E56A6E">
        <w:rPr>
          <w:lang w:val="es-ES"/>
        </w:rPr>
        <w:t>para adaptarse a di</w:t>
      </w:r>
      <w:r w:rsidR="00A800D3" w:rsidRPr="00E56A6E">
        <w:rPr>
          <w:lang w:val="es-ES"/>
        </w:rPr>
        <w:t>stintas</w:t>
      </w:r>
      <w:r w:rsidRPr="00E56A6E">
        <w:rPr>
          <w:lang w:val="es-ES"/>
        </w:rPr>
        <w:t xml:space="preserve"> circunstancias puede ayudar a que los sistemas de </w:t>
      </w:r>
      <w:r w:rsidR="00CA2892" w:rsidRPr="00E56A6E">
        <w:rPr>
          <w:lang w:val="es-ES"/>
        </w:rPr>
        <w:t>acceso y participación en los beneficios</w:t>
      </w:r>
      <w:r w:rsidRPr="00E56A6E">
        <w:rPr>
          <w:lang w:val="es-ES"/>
        </w:rPr>
        <w:t xml:space="preserve"> evolucionen, a medida que se adquiere más experiencia en su aplicación. Las medidas provisionales pueden ayudar a las Partes a adquirir esa experiencia.</w:t>
      </w:r>
    </w:p>
    <w:p w14:paraId="0ECF569D" w14:textId="1E44278B" w:rsidR="00F03156" w:rsidRPr="00E56A6E" w:rsidRDefault="00F03156" w:rsidP="00F03156">
      <w:pPr>
        <w:pStyle w:val="CBDNormalNumber"/>
        <w:rPr>
          <w:lang w:val="es-ES"/>
        </w:rPr>
      </w:pPr>
      <w:r w:rsidRPr="00E56A6E">
        <w:rPr>
          <w:lang w:val="es-ES"/>
        </w:rPr>
        <w:t xml:space="preserve">Si bien la aplicación del acceso y la participación en los beneficios es, por lo general, responsabilidad del Ministerio de Medio Ambiente, también puede </w:t>
      </w:r>
      <w:r w:rsidR="00824A14" w:rsidRPr="00E56A6E">
        <w:rPr>
          <w:lang w:val="es-ES"/>
        </w:rPr>
        <w:t xml:space="preserve">incumbir </w:t>
      </w:r>
      <w:r w:rsidRPr="00E56A6E">
        <w:rPr>
          <w:lang w:val="es-ES"/>
        </w:rPr>
        <w:t xml:space="preserve">a otros ministerios </w:t>
      </w:r>
      <w:r w:rsidR="00824A14" w:rsidRPr="00E56A6E">
        <w:rPr>
          <w:lang w:val="es-ES"/>
        </w:rPr>
        <w:t>competentes</w:t>
      </w:r>
      <w:r w:rsidRPr="00E56A6E">
        <w:rPr>
          <w:lang w:val="es-ES"/>
        </w:rPr>
        <w:t xml:space="preserve">, por ejemplo, los de Agricultura, Silvicultura y Comercio. Aunque la participación de otros ministerios es importante, </w:t>
      </w:r>
      <w:r w:rsidR="00DD1823" w:rsidRPr="00E56A6E">
        <w:rPr>
          <w:lang w:val="es-ES"/>
        </w:rPr>
        <w:t xml:space="preserve">desarrollar </w:t>
      </w:r>
      <w:r w:rsidRPr="00E56A6E">
        <w:rPr>
          <w:lang w:val="es-ES"/>
        </w:rPr>
        <w:t xml:space="preserve">un </w:t>
      </w:r>
      <w:r w:rsidR="00887F0D" w:rsidRPr="00E56A6E">
        <w:rPr>
          <w:lang w:val="es-ES"/>
        </w:rPr>
        <w:t xml:space="preserve">claro </w:t>
      </w:r>
      <w:r w:rsidRPr="00E56A6E">
        <w:rPr>
          <w:lang w:val="es-ES"/>
        </w:rPr>
        <w:t>liderazgo de una autoridad nacional en el proceso de elaboración y aplicación de las medidas nacionales de acceso y participación en los beneficios facilita dicha aplicación.</w:t>
      </w:r>
      <w:r w:rsidR="001E37A2" w:rsidRPr="00E56A6E">
        <w:rPr>
          <w:lang w:val="es-ES"/>
        </w:rPr>
        <w:t xml:space="preserve"> </w:t>
      </w:r>
    </w:p>
    <w:p w14:paraId="433A77E9" w14:textId="5A4DA4D3" w:rsidR="00F03156" w:rsidRPr="00E56A6E" w:rsidRDefault="00F03156" w:rsidP="00F03156">
      <w:pPr>
        <w:pStyle w:val="CBDNormalNumber"/>
        <w:rPr>
          <w:lang w:val="es-ES"/>
        </w:rPr>
      </w:pPr>
      <w:r w:rsidRPr="00E56A6E">
        <w:rPr>
          <w:lang w:val="es-ES"/>
        </w:rPr>
        <w:t xml:space="preserve">La coordinación nacional entre los ministerios y organismos </w:t>
      </w:r>
      <w:r w:rsidR="00887F0D" w:rsidRPr="00E56A6E">
        <w:rPr>
          <w:lang w:val="es-ES"/>
        </w:rPr>
        <w:t>competentes</w:t>
      </w:r>
      <w:r w:rsidRPr="00E56A6E">
        <w:rPr>
          <w:lang w:val="es-ES"/>
        </w:rPr>
        <w:t xml:space="preserve">, por ejemplo, </w:t>
      </w:r>
      <w:r w:rsidR="00DD1823" w:rsidRPr="00E56A6E">
        <w:rPr>
          <w:lang w:val="es-ES"/>
        </w:rPr>
        <w:t xml:space="preserve">por medio </w:t>
      </w:r>
      <w:r w:rsidRPr="00E56A6E">
        <w:rPr>
          <w:lang w:val="es-ES"/>
        </w:rPr>
        <w:t xml:space="preserve">de un comité de </w:t>
      </w:r>
      <w:r w:rsidR="00CA2892" w:rsidRPr="00E56A6E">
        <w:rPr>
          <w:lang w:val="es-ES"/>
        </w:rPr>
        <w:t>acceso y participación en los beneficios</w:t>
      </w:r>
      <w:r w:rsidRPr="00E56A6E">
        <w:rPr>
          <w:lang w:val="es-ES"/>
        </w:rPr>
        <w:t xml:space="preserve">, puede </w:t>
      </w:r>
      <w:r w:rsidR="00DD1823" w:rsidRPr="00E56A6E">
        <w:rPr>
          <w:lang w:val="es-ES"/>
        </w:rPr>
        <w:t>ser</w:t>
      </w:r>
      <w:r w:rsidRPr="00E56A6E">
        <w:rPr>
          <w:lang w:val="es-ES"/>
        </w:rPr>
        <w:t xml:space="preserve"> de gran ayuda. Se </w:t>
      </w:r>
      <w:r w:rsidR="009A683B" w:rsidRPr="00E56A6E">
        <w:rPr>
          <w:lang w:val="es-ES"/>
        </w:rPr>
        <w:t xml:space="preserve">señalaron </w:t>
      </w:r>
      <w:r w:rsidRPr="00E56A6E">
        <w:rPr>
          <w:lang w:val="es-ES"/>
        </w:rPr>
        <w:t xml:space="preserve">como posibles </w:t>
      </w:r>
      <w:r w:rsidR="009A683B" w:rsidRPr="00E56A6E">
        <w:rPr>
          <w:lang w:val="es-ES"/>
        </w:rPr>
        <w:t xml:space="preserve">formas para resolver las dificultades </w:t>
      </w:r>
      <w:r w:rsidRPr="00E56A6E">
        <w:rPr>
          <w:lang w:val="es-ES"/>
        </w:rPr>
        <w:t>mencionad</w:t>
      </w:r>
      <w:r w:rsidR="009A683B" w:rsidRPr="00E56A6E">
        <w:rPr>
          <w:lang w:val="es-ES"/>
        </w:rPr>
        <w:t>a</w:t>
      </w:r>
      <w:r w:rsidRPr="00E56A6E">
        <w:rPr>
          <w:lang w:val="es-ES"/>
        </w:rPr>
        <w:t xml:space="preserve">s la colaboración temprana con los organismos </w:t>
      </w:r>
      <w:r w:rsidR="009A683B" w:rsidRPr="00E56A6E">
        <w:rPr>
          <w:lang w:val="es-ES"/>
        </w:rPr>
        <w:t>pertinentes</w:t>
      </w:r>
      <w:r w:rsidRPr="00E56A6E">
        <w:rPr>
          <w:lang w:val="es-ES"/>
        </w:rPr>
        <w:t xml:space="preserve">, </w:t>
      </w:r>
      <w:r w:rsidR="00D2776B" w:rsidRPr="00E56A6E">
        <w:rPr>
          <w:lang w:val="es-ES"/>
        </w:rPr>
        <w:t xml:space="preserve">la definición clara de </w:t>
      </w:r>
      <w:r w:rsidRPr="00E56A6E">
        <w:rPr>
          <w:lang w:val="es-ES"/>
        </w:rPr>
        <w:t xml:space="preserve">funciones y responsabilidades y </w:t>
      </w:r>
      <w:r w:rsidR="00D2776B" w:rsidRPr="00E56A6E">
        <w:rPr>
          <w:lang w:val="es-ES"/>
        </w:rPr>
        <w:t xml:space="preserve">la elaboración </w:t>
      </w:r>
      <w:r w:rsidRPr="00E56A6E">
        <w:rPr>
          <w:lang w:val="es-ES"/>
        </w:rPr>
        <w:t>de protocolos y procedimientos internos.</w:t>
      </w:r>
    </w:p>
    <w:p w14:paraId="35170C4C" w14:textId="36E66DB9" w:rsidR="00F03156" w:rsidRPr="00E56A6E" w:rsidRDefault="00F03156" w:rsidP="00F03156">
      <w:pPr>
        <w:pStyle w:val="CBDNormalNumber"/>
        <w:rPr>
          <w:lang w:val="es-ES"/>
        </w:rPr>
      </w:pPr>
      <w:r w:rsidRPr="00E56A6E">
        <w:rPr>
          <w:lang w:val="es-ES"/>
        </w:rPr>
        <w:t xml:space="preserve">Los puntos focales nacionales para el acceso y la </w:t>
      </w:r>
      <w:r w:rsidR="00CA2892" w:rsidRPr="00E56A6E">
        <w:rPr>
          <w:lang w:val="es-ES"/>
        </w:rPr>
        <w:t>participación en los beneficios</w:t>
      </w:r>
      <w:r w:rsidRPr="00E56A6E">
        <w:rPr>
          <w:lang w:val="es-ES"/>
        </w:rPr>
        <w:t xml:space="preserve"> y las autoridades nacionales competentes desempeñan un papel clave en la aplicación del acceso y la </w:t>
      </w:r>
      <w:r w:rsidR="00CA2892" w:rsidRPr="00E56A6E">
        <w:rPr>
          <w:lang w:val="es-ES"/>
        </w:rPr>
        <w:t>participación en los beneficios</w:t>
      </w:r>
      <w:r w:rsidRPr="00E56A6E">
        <w:rPr>
          <w:lang w:val="es-ES"/>
        </w:rPr>
        <w:t xml:space="preserve">. La selección de los puntos focales nacionales y las autoridades nacionales competentes debe llevarse a cabo con cuidado para que cuenten con las competencias y la autoridad </w:t>
      </w:r>
      <w:r w:rsidR="00D2776B" w:rsidRPr="00E56A6E">
        <w:rPr>
          <w:lang w:val="es-ES"/>
        </w:rPr>
        <w:t xml:space="preserve">necesarias </w:t>
      </w:r>
      <w:r w:rsidRPr="00E56A6E">
        <w:rPr>
          <w:lang w:val="es-ES"/>
        </w:rPr>
        <w:t xml:space="preserve">para la </w:t>
      </w:r>
      <w:r w:rsidR="00D2776B" w:rsidRPr="00E56A6E">
        <w:rPr>
          <w:lang w:val="es-ES"/>
        </w:rPr>
        <w:t xml:space="preserve">adopción </w:t>
      </w:r>
      <w:r w:rsidRPr="00E56A6E">
        <w:rPr>
          <w:lang w:val="es-ES"/>
        </w:rPr>
        <w:t xml:space="preserve">de decisiones, y que reciban la formación adecuada para responder a las consultas de los usuarios y </w:t>
      </w:r>
      <w:r w:rsidR="002E70C1" w:rsidRPr="00E56A6E">
        <w:rPr>
          <w:lang w:val="es-ES"/>
        </w:rPr>
        <w:t xml:space="preserve">facilitar </w:t>
      </w:r>
      <w:r w:rsidRPr="00E56A6E">
        <w:rPr>
          <w:lang w:val="es-ES"/>
        </w:rPr>
        <w:t>una orientación adecuada. Además, otr</w:t>
      </w:r>
      <w:r w:rsidR="00AD2BEB" w:rsidRPr="00E56A6E">
        <w:rPr>
          <w:lang w:val="es-ES"/>
        </w:rPr>
        <w:t>a</w:t>
      </w:r>
      <w:r w:rsidRPr="00E56A6E">
        <w:rPr>
          <w:lang w:val="es-ES"/>
        </w:rPr>
        <w:t xml:space="preserve">s </w:t>
      </w:r>
      <w:r w:rsidR="009400DA" w:rsidRPr="00E56A6E">
        <w:rPr>
          <w:lang w:val="es-ES"/>
        </w:rPr>
        <w:t xml:space="preserve">dependencias </w:t>
      </w:r>
      <w:r w:rsidR="00AD2BEB" w:rsidRPr="00E56A6E">
        <w:rPr>
          <w:lang w:val="es-ES"/>
        </w:rPr>
        <w:t xml:space="preserve">gubernamentales </w:t>
      </w:r>
      <w:r w:rsidRPr="00E56A6E">
        <w:rPr>
          <w:lang w:val="es-ES"/>
        </w:rPr>
        <w:t>con experiencia en prácticas comerciales podrían participar y prestar su apoyo, por ejemplo, en el ámbito de la negociación de condiciones mutuamente acordadas.</w:t>
      </w:r>
    </w:p>
    <w:p w14:paraId="503F939A" w14:textId="6629CC8A" w:rsidR="00F03156" w:rsidRPr="00E56A6E" w:rsidRDefault="00F03156" w:rsidP="00F03156">
      <w:pPr>
        <w:pStyle w:val="CBDNormalNumber"/>
        <w:rPr>
          <w:lang w:val="es-ES"/>
        </w:rPr>
      </w:pPr>
      <w:r w:rsidRPr="00E56A6E">
        <w:rPr>
          <w:lang w:val="es-ES"/>
        </w:rPr>
        <w:t xml:space="preserve">Es </w:t>
      </w:r>
      <w:r w:rsidR="00393383" w:rsidRPr="00E56A6E">
        <w:rPr>
          <w:lang w:val="es-ES"/>
        </w:rPr>
        <w:t xml:space="preserve">fundamental </w:t>
      </w:r>
      <w:r w:rsidRPr="00E56A6E">
        <w:rPr>
          <w:lang w:val="es-ES"/>
        </w:rPr>
        <w:t xml:space="preserve">comprender </w:t>
      </w:r>
      <w:r w:rsidR="00393383" w:rsidRPr="00E56A6E">
        <w:rPr>
          <w:lang w:val="es-ES"/>
        </w:rPr>
        <w:t xml:space="preserve">con claridad </w:t>
      </w:r>
      <w:r w:rsidRPr="00E56A6E">
        <w:rPr>
          <w:lang w:val="es-ES"/>
        </w:rPr>
        <w:t>cómo se puede</w:t>
      </w:r>
      <w:r w:rsidR="00393383" w:rsidRPr="00E56A6E">
        <w:rPr>
          <w:lang w:val="es-ES"/>
        </w:rPr>
        <w:t xml:space="preserve"> </w:t>
      </w:r>
      <w:r w:rsidR="00C64D5B" w:rsidRPr="00E56A6E">
        <w:rPr>
          <w:lang w:val="es-ES"/>
        </w:rPr>
        <w:t xml:space="preserve">seguir de cerca </w:t>
      </w:r>
      <w:r w:rsidRPr="00E56A6E">
        <w:rPr>
          <w:lang w:val="es-ES"/>
        </w:rPr>
        <w:t xml:space="preserve">la utilización de los recursos genéticos y los conocimientos tradicionales </w:t>
      </w:r>
      <w:r w:rsidR="00393383" w:rsidRPr="00E56A6E">
        <w:rPr>
          <w:lang w:val="es-ES"/>
        </w:rPr>
        <w:t xml:space="preserve">conexos </w:t>
      </w:r>
      <w:r w:rsidRPr="00E56A6E">
        <w:rPr>
          <w:lang w:val="es-ES"/>
        </w:rPr>
        <w:t xml:space="preserve">para que las Partes designen </w:t>
      </w:r>
      <w:r w:rsidR="003745C1" w:rsidRPr="00E56A6E">
        <w:rPr>
          <w:lang w:val="es-ES"/>
        </w:rPr>
        <w:t>puntos de verificación</w:t>
      </w:r>
      <w:r w:rsidRPr="00E56A6E">
        <w:rPr>
          <w:lang w:val="es-ES"/>
        </w:rPr>
        <w:t xml:space="preserve"> que sean eficaces y tengan funciones pertinentes para la aplicación del artículo 17 del Protocolo de Nagoya</w:t>
      </w:r>
      <w:r w:rsidRPr="00E56A6E">
        <w:rPr>
          <w:rStyle w:val="FootnoteReference"/>
          <w:lang w:val="es-ES"/>
        </w:rPr>
        <w:footnoteReference w:id="20"/>
      </w:r>
      <w:r w:rsidRPr="00E56A6E">
        <w:rPr>
          <w:lang w:val="es-ES"/>
        </w:rPr>
        <w:t>.</w:t>
      </w:r>
    </w:p>
    <w:p w14:paraId="156E47CB" w14:textId="12C30B19" w:rsidR="00F03156" w:rsidRPr="00E56A6E" w:rsidRDefault="00F03156" w:rsidP="00F03156">
      <w:pPr>
        <w:pStyle w:val="CBDNormalNumber"/>
        <w:rPr>
          <w:lang w:val="es-ES"/>
        </w:rPr>
      </w:pPr>
      <w:r w:rsidRPr="00E56A6E">
        <w:rPr>
          <w:lang w:val="es-ES"/>
        </w:rPr>
        <w:t>Se</w:t>
      </w:r>
      <w:r w:rsidR="00393383" w:rsidRPr="00E56A6E">
        <w:rPr>
          <w:lang w:val="es-ES"/>
        </w:rPr>
        <w:t xml:space="preserve"> señalaron </w:t>
      </w:r>
      <w:r w:rsidRPr="00E56A6E">
        <w:rPr>
          <w:lang w:val="es-ES"/>
        </w:rPr>
        <w:t>como factores clave para la aplicación efectiva del Protocolo a</w:t>
      </w:r>
      <w:r w:rsidR="00393383" w:rsidRPr="00E56A6E">
        <w:rPr>
          <w:lang w:val="es-ES"/>
        </w:rPr>
        <w:t xml:space="preserve"> escala </w:t>
      </w:r>
      <w:r w:rsidRPr="00E56A6E">
        <w:rPr>
          <w:lang w:val="es-ES"/>
        </w:rPr>
        <w:t>nacional la presencia de personal especializado dedicado a las tareas relacionadas con el acceso y la participación en los beneficios,</w:t>
      </w:r>
      <w:r w:rsidR="00393383" w:rsidRPr="00E56A6E">
        <w:rPr>
          <w:lang w:val="es-ES"/>
        </w:rPr>
        <w:t xml:space="preserve"> la creación de </w:t>
      </w:r>
      <w:r w:rsidRPr="00E56A6E">
        <w:rPr>
          <w:lang w:val="es-ES"/>
        </w:rPr>
        <w:t xml:space="preserve">canales eficaces de coordinación y comunicación entre las autoridades </w:t>
      </w:r>
      <w:r w:rsidR="00393383" w:rsidRPr="00E56A6E">
        <w:rPr>
          <w:lang w:val="es-ES"/>
        </w:rPr>
        <w:t>competentes</w:t>
      </w:r>
      <w:r w:rsidRPr="00E56A6E">
        <w:rPr>
          <w:lang w:val="es-ES"/>
        </w:rPr>
        <w:t xml:space="preserve"> (como comités o sistemas digitales) y la disponibilidad de capacidades institucionales y recursos financieros sostenidos. </w:t>
      </w:r>
    </w:p>
    <w:p w14:paraId="67FED6DC" w14:textId="7EFF6A5C" w:rsidR="00455F03" w:rsidRPr="00E56A6E" w:rsidRDefault="00B262F5" w:rsidP="00A818EB">
      <w:pPr>
        <w:pStyle w:val="CBDH3"/>
        <w:rPr>
          <w:lang w:val="es-ES"/>
        </w:rPr>
      </w:pPr>
      <w:r w:rsidRPr="00E56A6E">
        <w:rPr>
          <w:lang w:val="es-ES"/>
        </w:rPr>
        <w:lastRenderedPageBreak/>
        <w:t>3.</w:t>
      </w:r>
      <w:r w:rsidRPr="00E56A6E">
        <w:rPr>
          <w:lang w:val="es-ES"/>
        </w:rPr>
        <w:tab/>
      </w:r>
      <w:r w:rsidR="00F03156" w:rsidRPr="00E56A6E">
        <w:rPr>
          <w:lang w:val="es-ES"/>
        </w:rPr>
        <w:t>Medidas relativas al acceso a los recursos genéticos (artículo 6)</w:t>
      </w:r>
      <w:r w:rsidR="00F03156" w:rsidRPr="00E56A6E">
        <w:rPr>
          <w:rStyle w:val="FootnoteReference"/>
          <w:b w:val="0"/>
          <w:bCs/>
          <w:lang w:val="es-ES"/>
        </w:rPr>
        <w:footnoteReference w:id="21"/>
      </w:r>
    </w:p>
    <w:p w14:paraId="1FF1BC73" w14:textId="5D303C4F" w:rsidR="00603259" w:rsidRPr="00E56A6E" w:rsidRDefault="00A818EB" w:rsidP="008D32CD">
      <w:pPr>
        <w:pStyle w:val="CBDH4"/>
        <w:rPr>
          <w:rFonts w:asciiTheme="majorBidi" w:hAnsiTheme="majorBidi" w:cstheme="majorBidi"/>
          <w:lang w:val="es-ES"/>
        </w:rPr>
      </w:pPr>
      <w:r w:rsidRPr="00E56A6E">
        <w:rPr>
          <w:lang w:val="es-ES"/>
        </w:rPr>
        <w:t>a)</w:t>
      </w:r>
      <w:r w:rsidRPr="00E56A6E">
        <w:rPr>
          <w:lang w:val="es-ES"/>
        </w:rPr>
        <w:tab/>
      </w:r>
      <w:r w:rsidR="00F03156" w:rsidRPr="00E56A6E">
        <w:rPr>
          <w:lang w:val="es-ES"/>
        </w:rPr>
        <w:t>Avances en la aplicación y datos actualizados de los indicadores</w:t>
      </w:r>
    </w:p>
    <w:p w14:paraId="7CF5B300" w14:textId="790A6F3E" w:rsidR="00F03156" w:rsidRPr="00E56A6E" w:rsidRDefault="00F03156" w:rsidP="00F03156">
      <w:pPr>
        <w:pStyle w:val="CBDNormalNumber"/>
        <w:rPr>
          <w:lang w:val="es-ES"/>
        </w:rPr>
      </w:pPr>
      <w:r w:rsidRPr="00E56A6E">
        <w:rPr>
          <w:lang w:val="es-ES"/>
        </w:rPr>
        <w:t xml:space="preserve">Setenta y cuatro Partes (el 52 %) informaron de que exigían el consentimiento fundamentado previo para el acceso a los recursos genéticos. Entre las 74 Partes </w:t>
      </w:r>
      <w:r w:rsidR="00DE4F2D" w:rsidRPr="00E56A6E">
        <w:rPr>
          <w:lang w:val="es-ES"/>
        </w:rPr>
        <w:t xml:space="preserve">había </w:t>
      </w:r>
      <w:r w:rsidRPr="00E56A6E">
        <w:rPr>
          <w:lang w:val="es-ES"/>
        </w:rPr>
        <w:t xml:space="preserve">Partes en diferentes </w:t>
      </w:r>
      <w:r w:rsidR="005237F0" w:rsidRPr="00E56A6E">
        <w:rPr>
          <w:lang w:val="es-ES"/>
        </w:rPr>
        <w:t xml:space="preserve">etapas </w:t>
      </w:r>
      <w:r w:rsidRPr="00E56A6E">
        <w:rPr>
          <w:lang w:val="es-ES"/>
        </w:rPr>
        <w:t xml:space="preserve">de avance en la puesta en marcha de medidas de acceso y participación en los beneficios, </w:t>
      </w:r>
      <w:r w:rsidR="005237F0" w:rsidRPr="00E56A6E">
        <w:rPr>
          <w:lang w:val="es-ES"/>
        </w:rPr>
        <w:t xml:space="preserve">entre ellas las </w:t>
      </w:r>
      <w:r w:rsidRPr="00E56A6E">
        <w:rPr>
          <w:lang w:val="es-ES"/>
        </w:rPr>
        <w:t>que habían elaborado proyectos de medidas o adoptado disposiciones generales sobre acceso y participación en los beneficios.</w:t>
      </w:r>
    </w:p>
    <w:p w14:paraId="78E102DA" w14:textId="0AAC6C86" w:rsidR="00F03156" w:rsidRPr="00E56A6E" w:rsidRDefault="00E9597C" w:rsidP="00F03156">
      <w:pPr>
        <w:pStyle w:val="CBDNormalNumber"/>
        <w:rPr>
          <w:lang w:val="es-ES"/>
        </w:rPr>
      </w:pPr>
      <w:r w:rsidRPr="00E56A6E">
        <w:rPr>
          <w:lang w:val="es-ES"/>
        </w:rPr>
        <w:t xml:space="preserve">Como </w:t>
      </w:r>
      <w:r w:rsidR="00F03156" w:rsidRPr="00E56A6E">
        <w:rPr>
          <w:lang w:val="es-ES"/>
        </w:rPr>
        <w:t>demuestran los indicadores del cuadro 3 que figura a continuación y el análisis correspondiente, se han logrado</w:t>
      </w:r>
      <w:r w:rsidRPr="00E56A6E">
        <w:rPr>
          <w:lang w:val="es-ES"/>
        </w:rPr>
        <w:t xml:space="preserve"> importantes</w:t>
      </w:r>
      <w:r w:rsidR="00F03156" w:rsidRPr="00E56A6E">
        <w:rPr>
          <w:lang w:val="es-ES"/>
        </w:rPr>
        <w:t xml:space="preserve"> avances en la aplicación de algunos de los requisitos establecidos en el </w:t>
      </w:r>
      <w:r w:rsidRPr="00E56A6E">
        <w:rPr>
          <w:lang w:val="es-ES"/>
        </w:rPr>
        <w:t xml:space="preserve">párrafo 3 del </w:t>
      </w:r>
      <w:r w:rsidR="00F03156" w:rsidRPr="00E56A6E">
        <w:rPr>
          <w:lang w:val="es-ES"/>
        </w:rPr>
        <w:t>artículo 6</w:t>
      </w:r>
      <w:r w:rsidR="008557EB" w:rsidRPr="00E56A6E">
        <w:rPr>
          <w:lang w:val="es-ES"/>
        </w:rPr>
        <w:t> </w:t>
      </w:r>
      <w:r w:rsidR="00F03156" w:rsidRPr="00E56A6E">
        <w:rPr>
          <w:lang w:val="es-ES"/>
        </w:rPr>
        <w:t xml:space="preserve">del Protocolo de Nagoya, cuyo objetivo es establecer </w:t>
      </w:r>
      <w:r w:rsidR="001710FD" w:rsidRPr="00E56A6E">
        <w:rPr>
          <w:lang w:val="es-ES"/>
        </w:rPr>
        <w:t xml:space="preserve">normas y </w:t>
      </w:r>
      <w:r w:rsidR="00F03156" w:rsidRPr="00E56A6E">
        <w:rPr>
          <w:lang w:val="es-ES"/>
        </w:rPr>
        <w:t xml:space="preserve">procedimientos claros para el acceso, así como seguridad jurídica para los usuarios de recursos genéticos. Entre las Partes que exigen el consentimiento fundamentado previo, la proporción de las que concedían permisos en el momento del acceso y contaban con procedimientos claros para </w:t>
      </w:r>
      <w:r w:rsidR="00D33140" w:rsidRPr="00E56A6E">
        <w:rPr>
          <w:lang w:val="es-ES"/>
        </w:rPr>
        <w:t xml:space="preserve">elaborar </w:t>
      </w:r>
      <w:r w:rsidR="00F03156" w:rsidRPr="00E56A6E">
        <w:rPr>
          <w:lang w:val="es-ES"/>
        </w:rPr>
        <w:t xml:space="preserve">condiciones mutuamente acordadas ya era elevada, y se han </w:t>
      </w:r>
      <w:r w:rsidR="00D33140" w:rsidRPr="00E56A6E">
        <w:rPr>
          <w:lang w:val="es-ES"/>
        </w:rPr>
        <w:t>producido otros</w:t>
      </w:r>
      <w:r w:rsidR="00F03156" w:rsidRPr="00E56A6E">
        <w:rPr>
          <w:lang w:val="es-ES"/>
        </w:rPr>
        <w:t xml:space="preserve"> avances moderados desde 2018. Esas observaciones están relacionadas con los avances logrados en la adopción de las medidas necesarias de acceso y participación en los beneficios, y muestran una aplicación más amplia de dichas medidas desde el punto de referencia de febrero de 2018.</w:t>
      </w:r>
    </w:p>
    <w:p w14:paraId="6B376F23" w14:textId="23B726DD" w:rsidR="00F03156" w:rsidRPr="00E56A6E" w:rsidRDefault="00F03156" w:rsidP="00F03156">
      <w:pPr>
        <w:pStyle w:val="CBDNormalNumber"/>
        <w:rPr>
          <w:lang w:val="es-ES"/>
        </w:rPr>
      </w:pPr>
      <w:r w:rsidRPr="00E56A6E">
        <w:rPr>
          <w:lang w:val="es-ES"/>
        </w:rPr>
        <w:t xml:space="preserve">Sesenta y cuatro Partes informaron de que habían expedido permisos o su equivalente durante el período de referencia. Según la información facilitada, </w:t>
      </w:r>
      <w:r w:rsidR="00D33140" w:rsidRPr="00E56A6E">
        <w:rPr>
          <w:lang w:val="es-ES"/>
        </w:rPr>
        <w:t xml:space="preserve">entre </w:t>
      </w:r>
      <w:r w:rsidRPr="00E56A6E">
        <w:rPr>
          <w:lang w:val="es-ES"/>
        </w:rPr>
        <w:t xml:space="preserve">los datos </w:t>
      </w:r>
      <w:r w:rsidR="00B307D1" w:rsidRPr="00E56A6E">
        <w:rPr>
          <w:lang w:val="es-ES"/>
        </w:rPr>
        <w:t xml:space="preserve">facilitados había </w:t>
      </w:r>
      <w:r w:rsidRPr="00E56A6E">
        <w:rPr>
          <w:lang w:val="es-ES"/>
        </w:rPr>
        <w:t>permisos (por ejemplo, permisos de exportación) que no tenían por qué estar necesariamente vinculados a la aplicación de un marco de acceso y participación en los beneficios. Si bien la mayoría de los permisos notificados eran para fines no comerciales, al menos 17 Partes informaron de que habían expedido permisos tanto para fines comerciales como no comerciales.</w:t>
      </w:r>
    </w:p>
    <w:p w14:paraId="2938C477" w14:textId="7C442F09" w:rsidR="00646564" w:rsidRPr="00E56A6E" w:rsidRDefault="00F03156" w:rsidP="00646564">
      <w:pPr>
        <w:pStyle w:val="CBDNormalNumber"/>
        <w:rPr>
          <w:lang w:val="es-ES"/>
        </w:rPr>
      </w:pPr>
      <w:r w:rsidRPr="00E56A6E">
        <w:rPr>
          <w:lang w:val="es-ES"/>
        </w:rPr>
        <w:t>Las Partes han adoptado diversos enfoques</w:t>
      </w:r>
      <w:r w:rsidR="009E74D5" w:rsidRPr="00E56A6E">
        <w:rPr>
          <w:lang w:val="es-ES"/>
        </w:rPr>
        <w:t>,</w:t>
      </w:r>
      <w:r w:rsidRPr="00E56A6E">
        <w:rPr>
          <w:lang w:val="es-ES"/>
        </w:rPr>
        <w:t xml:space="preserve"> en </w:t>
      </w:r>
      <w:r w:rsidR="009E74D5" w:rsidRPr="00E56A6E">
        <w:rPr>
          <w:lang w:val="es-ES"/>
        </w:rPr>
        <w:t xml:space="preserve">lo que respecta </w:t>
      </w:r>
      <w:r w:rsidRPr="00E56A6E">
        <w:rPr>
          <w:lang w:val="es-ES"/>
        </w:rPr>
        <w:t xml:space="preserve">al alcance y la aplicación de los requisitos nacionales de </w:t>
      </w:r>
      <w:r w:rsidR="00CA2892" w:rsidRPr="00E56A6E">
        <w:rPr>
          <w:lang w:val="es-ES"/>
        </w:rPr>
        <w:t>acceso y participación en los beneficios</w:t>
      </w:r>
      <w:r w:rsidRPr="00E56A6E">
        <w:rPr>
          <w:lang w:val="es-ES"/>
        </w:rPr>
        <w:t xml:space="preserve">, para establecer medidas de acceso, de acuerdo con sus circunstancias y prioridades nacionales. Los requisitos y procedimientos que deben seguirse para </w:t>
      </w:r>
      <w:r w:rsidR="009E74D5" w:rsidRPr="00E56A6E">
        <w:rPr>
          <w:lang w:val="es-ES"/>
        </w:rPr>
        <w:t xml:space="preserve">establecer </w:t>
      </w:r>
      <w:r w:rsidRPr="00E56A6E">
        <w:rPr>
          <w:lang w:val="es-ES"/>
        </w:rPr>
        <w:t xml:space="preserve">condiciones mutuamente acordadas, </w:t>
      </w:r>
      <w:r w:rsidR="009E74D5" w:rsidRPr="00E56A6E">
        <w:rPr>
          <w:lang w:val="es-ES"/>
        </w:rPr>
        <w:t xml:space="preserve">por </w:t>
      </w:r>
      <w:proofErr w:type="gramStart"/>
      <w:r w:rsidR="009E74D5" w:rsidRPr="00E56A6E">
        <w:rPr>
          <w:lang w:val="es-ES"/>
        </w:rPr>
        <w:t>ejemplo</w:t>
      </w:r>
      <w:proofErr w:type="gramEnd"/>
      <w:r w:rsidR="009E74D5" w:rsidRPr="00E56A6E">
        <w:rPr>
          <w:lang w:val="es-ES"/>
        </w:rPr>
        <w:t xml:space="preserve"> </w:t>
      </w:r>
      <w:r w:rsidRPr="00E56A6E">
        <w:rPr>
          <w:lang w:val="es-ES"/>
        </w:rPr>
        <w:t xml:space="preserve">la </w:t>
      </w:r>
      <w:r w:rsidR="00CA2892" w:rsidRPr="00E56A6E">
        <w:rPr>
          <w:lang w:val="es-ES"/>
        </w:rPr>
        <w:t>participación en los beneficios</w:t>
      </w:r>
      <w:r w:rsidRPr="00E56A6E">
        <w:rPr>
          <w:lang w:val="es-ES"/>
        </w:rPr>
        <w:t xml:space="preserve">, se </w:t>
      </w:r>
      <w:r w:rsidR="009E74D5" w:rsidRPr="00E56A6E">
        <w:rPr>
          <w:lang w:val="es-ES"/>
        </w:rPr>
        <w:t xml:space="preserve">consignan </w:t>
      </w:r>
      <w:r w:rsidRPr="00E56A6E">
        <w:rPr>
          <w:lang w:val="es-ES"/>
        </w:rPr>
        <w:t xml:space="preserve">generalmente en las medidas nacionales de </w:t>
      </w:r>
      <w:r w:rsidR="00CA2892" w:rsidRPr="00E56A6E">
        <w:rPr>
          <w:lang w:val="es-ES"/>
        </w:rPr>
        <w:t>acceso y participación en los beneficios</w:t>
      </w:r>
      <w:r w:rsidRPr="00E56A6E">
        <w:rPr>
          <w:lang w:val="es-ES"/>
        </w:rPr>
        <w:t xml:space="preserve"> y pueden variar considerablemente de un país a otro. Las Partes parecen</w:t>
      </w:r>
      <w:r w:rsidR="0034602D" w:rsidRPr="00E56A6E">
        <w:rPr>
          <w:lang w:val="es-ES"/>
        </w:rPr>
        <w:t xml:space="preserve"> emplear </w:t>
      </w:r>
      <w:r w:rsidRPr="00E56A6E">
        <w:rPr>
          <w:lang w:val="es-ES"/>
        </w:rPr>
        <w:t xml:space="preserve">diferentes enfoques y terminologías para explicar qué significa </w:t>
      </w:r>
      <w:r w:rsidR="00514880" w:rsidRPr="00E56A6E">
        <w:rPr>
          <w:lang w:val="es-ES"/>
        </w:rPr>
        <w:t>“</w:t>
      </w:r>
      <w:r w:rsidR="00B34A1D" w:rsidRPr="00E56A6E">
        <w:rPr>
          <w:lang w:val="es-ES"/>
        </w:rPr>
        <w:t>que se emita al momento del acceso un permiso o su equivalente</w:t>
      </w:r>
      <w:r w:rsidR="00514880" w:rsidRPr="00E56A6E">
        <w:rPr>
          <w:lang w:val="es-ES"/>
        </w:rPr>
        <w:t>”</w:t>
      </w:r>
      <w:r w:rsidRPr="00E56A6E">
        <w:rPr>
          <w:lang w:val="es-ES"/>
        </w:rPr>
        <w:t xml:space="preserve"> en su contexto nacional. </w:t>
      </w:r>
      <w:r w:rsidR="00B34A1D" w:rsidRPr="00E56A6E">
        <w:rPr>
          <w:lang w:val="es-ES"/>
        </w:rPr>
        <w:t>A veces</w:t>
      </w:r>
      <w:r w:rsidRPr="00E56A6E">
        <w:rPr>
          <w:lang w:val="es-ES"/>
        </w:rPr>
        <w:t>, las di</w:t>
      </w:r>
      <w:r w:rsidR="00B34A1D" w:rsidRPr="00E56A6E">
        <w:rPr>
          <w:lang w:val="es-ES"/>
        </w:rPr>
        <w:t xml:space="preserve">stintas </w:t>
      </w:r>
      <w:r w:rsidRPr="00E56A6E">
        <w:rPr>
          <w:lang w:val="es-ES"/>
        </w:rPr>
        <w:t>terminologías reflejan diferencias relacionadas con los procesos y con quién puede otorgar el consentimiento fundamentado previo y negociar las condiciones mutuamente acordadas</w:t>
      </w:r>
      <w:r w:rsidRPr="00E56A6E">
        <w:rPr>
          <w:rStyle w:val="FootnoteReference"/>
          <w:lang w:val="es-ES"/>
        </w:rPr>
        <w:footnoteReference w:id="22"/>
      </w:r>
      <w:r w:rsidRPr="00E56A6E">
        <w:rPr>
          <w:lang w:val="es-ES"/>
        </w:rPr>
        <w:t xml:space="preserve">. </w:t>
      </w:r>
    </w:p>
    <w:p w14:paraId="0F0E1DB2" w14:textId="441DCB24" w:rsidR="00F03156" w:rsidRPr="00E56A6E" w:rsidRDefault="00F03156" w:rsidP="002B2B46">
      <w:pPr>
        <w:pStyle w:val="CBDNormalNumber"/>
        <w:rPr>
          <w:lang w:val="es-ES"/>
        </w:rPr>
      </w:pPr>
      <w:r w:rsidRPr="00E56A6E">
        <w:rPr>
          <w:lang w:val="es-ES"/>
        </w:rPr>
        <w:t xml:space="preserve">El </w:t>
      </w:r>
      <w:r w:rsidR="00B67C83" w:rsidRPr="00E56A6E">
        <w:rPr>
          <w:lang w:val="es-ES"/>
        </w:rPr>
        <w:t>Centro de Intercambio de Información sobre Acceso y Participación</w:t>
      </w:r>
      <w:r w:rsidRPr="00E56A6E">
        <w:rPr>
          <w:lang w:val="es-ES"/>
        </w:rPr>
        <w:t xml:space="preserve"> en los Beneficios desempeña un papel fundamental a la hora de </w:t>
      </w:r>
      <w:r w:rsidR="00E77452" w:rsidRPr="00E56A6E">
        <w:rPr>
          <w:lang w:val="es-ES"/>
        </w:rPr>
        <w:t xml:space="preserve">facilitar </w:t>
      </w:r>
      <w:r w:rsidRPr="00E56A6E">
        <w:rPr>
          <w:lang w:val="es-ES"/>
        </w:rPr>
        <w:t xml:space="preserve">a los usuarios información clave sobre el acceso, </w:t>
      </w:r>
      <w:r w:rsidR="00E77452" w:rsidRPr="00E56A6E">
        <w:rPr>
          <w:lang w:val="es-ES"/>
        </w:rPr>
        <w:t xml:space="preserve">tal como </w:t>
      </w:r>
      <w:r w:rsidRPr="00E56A6E">
        <w:rPr>
          <w:lang w:val="es-ES"/>
        </w:rPr>
        <w:t xml:space="preserve">información nacional sobre las medidas e instituciones de acceso y participación en los beneficios. Además, en el Centro de Intercambio de Información </w:t>
      </w:r>
      <w:r w:rsidR="008625C6" w:rsidRPr="00E56A6E">
        <w:rPr>
          <w:lang w:val="es-ES"/>
        </w:rPr>
        <w:t xml:space="preserve">se ha aplicado </w:t>
      </w:r>
      <w:r w:rsidRPr="00E56A6E">
        <w:rPr>
          <w:lang w:val="es-ES"/>
        </w:rPr>
        <w:t xml:space="preserve">un formato común para los procedimientos de acceso y participación en los beneficios. Ese tipo de registro tiene por objeto ofrecer información práctica y una orientación clara paso a paso a los usuarios sobre las normas y requisitos aplicables, </w:t>
      </w:r>
      <w:r w:rsidR="008625C6" w:rsidRPr="00E56A6E">
        <w:rPr>
          <w:lang w:val="es-ES"/>
        </w:rPr>
        <w:t>y</w:t>
      </w:r>
      <w:r w:rsidRPr="00E56A6E">
        <w:rPr>
          <w:lang w:val="es-ES"/>
        </w:rPr>
        <w:t xml:space="preserve"> apoyar el cumplimiento de las medidas de acceso y participación en los beneficios</w:t>
      </w:r>
      <w:r w:rsidRPr="00E56A6E">
        <w:rPr>
          <w:rStyle w:val="FootnoteReference"/>
          <w:lang w:val="es-ES"/>
        </w:rPr>
        <w:footnoteReference w:id="23"/>
      </w:r>
      <w:r w:rsidRPr="00E56A6E">
        <w:rPr>
          <w:lang w:val="es-ES"/>
        </w:rPr>
        <w:t>.</w:t>
      </w:r>
      <w:r w:rsidR="00E77452" w:rsidRPr="00E56A6E">
        <w:rPr>
          <w:lang w:val="es-ES"/>
        </w:rPr>
        <w:t xml:space="preserve"> </w:t>
      </w:r>
    </w:p>
    <w:p w14:paraId="349616CE" w14:textId="0E7D5CCA" w:rsidR="00F03156" w:rsidRPr="00E56A6E" w:rsidRDefault="00F03156" w:rsidP="00F03156">
      <w:pPr>
        <w:pStyle w:val="CBDNormalNumber"/>
        <w:rPr>
          <w:lang w:val="es-ES"/>
        </w:rPr>
      </w:pPr>
      <w:r w:rsidRPr="00E56A6E">
        <w:rPr>
          <w:lang w:val="es-ES"/>
        </w:rPr>
        <w:lastRenderedPageBreak/>
        <w:t>Las Partes pueden facilitar información al</w:t>
      </w:r>
      <w:r w:rsidR="00D800F3" w:rsidRPr="00E56A6E">
        <w:rPr>
          <w:lang w:val="es-ES"/>
        </w:rPr>
        <w:t xml:space="preserve"> </w:t>
      </w:r>
      <w:r w:rsidRPr="00E56A6E">
        <w:rPr>
          <w:lang w:val="es-ES"/>
        </w:rPr>
        <w:t xml:space="preserve">Centro de Intercambio de Información sobre cláusulas contractuales </w:t>
      </w:r>
      <w:proofErr w:type="gramStart"/>
      <w:r w:rsidRPr="00E56A6E">
        <w:rPr>
          <w:lang w:val="es-ES"/>
        </w:rPr>
        <w:t>modelo nacionales</w:t>
      </w:r>
      <w:proofErr w:type="gramEnd"/>
      <w:r w:rsidRPr="00E56A6E">
        <w:rPr>
          <w:rStyle w:val="FootnoteReference"/>
          <w:lang w:val="es-ES"/>
        </w:rPr>
        <w:footnoteReference w:id="24"/>
      </w:r>
      <w:r w:rsidRPr="00E56A6E">
        <w:rPr>
          <w:lang w:val="es-ES"/>
        </w:rPr>
        <w:t>, así como sobre sitios web nacionales y registros de bases de datos que contengan información nacional</w:t>
      </w:r>
      <w:r w:rsidR="00A55A83" w:rsidRPr="00E56A6E">
        <w:rPr>
          <w:lang w:val="es-ES"/>
        </w:rPr>
        <w:t xml:space="preserve"> pertinente </w:t>
      </w:r>
      <w:r w:rsidRPr="00E56A6E">
        <w:rPr>
          <w:lang w:val="es-ES"/>
        </w:rPr>
        <w:t>para el acceso y la participación en los beneficios</w:t>
      </w:r>
      <w:r w:rsidRPr="00E56A6E">
        <w:rPr>
          <w:rStyle w:val="FootnoteReference"/>
          <w:lang w:val="es-ES"/>
        </w:rPr>
        <w:footnoteReference w:id="25"/>
      </w:r>
      <w:r w:rsidRPr="00E56A6E">
        <w:rPr>
          <w:lang w:val="es-ES"/>
        </w:rPr>
        <w:t>.</w:t>
      </w:r>
    </w:p>
    <w:p w14:paraId="31D80B1C" w14:textId="1E6F93BF" w:rsidR="00796BA7" w:rsidRPr="00E56A6E" w:rsidRDefault="00653A73" w:rsidP="008D32CD">
      <w:pPr>
        <w:pStyle w:val="CBDTableTitle"/>
        <w:rPr>
          <w:lang w:val="es-ES"/>
        </w:rPr>
      </w:pPr>
      <w:r w:rsidRPr="00E56A6E">
        <w:rPr>
          <w:b w:val="0"/>
          <w:bCs/>
          <w:lang w:val="es-ES"/>
        </w:rPr>
        <w:t>Cuadro</w:t>
      </w:r>
      <w:r w:rsidR="00796BA7" w:rsidRPr="00E56A6E">
        <w:rPr>
          <w:b w:val="0"/>
          <w:bCs/>
          <w:lang w:val="es-ES"/>
        </w:rPr>
        <w:t xml:space="preserve"> </w:t>
      </w:r>
      <w:r w:rsidR="00FB251B" w:rsidRPr="00E56A6E">
        <w:rPr>
          <w:b w:val="0"/>
          <w:bCs/>
          <w:lang w:val="es-ES"/>
        </w:rPr>
        <w:t>3</w:t>
      </w:r>
      <w:r w:rsidR="008D32CD" w:rsidRPr="00E56A6E">
        <w:rPr>
          <w:lang w:val="es-ES"/>
        </w:rPr>
        <w:br/>
      </w:r>
      <w:r w:rsidR="00EE1C1B" w:rsidRPr="00E56A6E">
        <w:rPr>
          <w:lang w:val="es-ES"/>
        </w:rPr>
        <w:t>Indicadores para medir los avances en el establecimiento de medidas relacionadas con el acceso</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796BA7" w:rsidRPr="005A210D" w14:paraId="5C1374CC" w14:textId="77777777" w:rsidTr="006B066D">
        <w:trPr>
          <w:cantSplit/>
          <w:tblHeader/>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482F0EC2" w14:textId="0E9D9807" w:rsidR="00796BA7" w:rsidRPr="00E56A6E" w:rsidRDefault="00EE1C1B" w:rsidP="00C86CD7">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5055FD4B" w14:textId="62A0B87A" w:rsidR="00796BA7"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Punto de referencia</w:t>
            </w:r>
            <w:r w:rsidR="00796BA7" w:rsidRPr="00E56A6E">
              <w:rPr>
                <w:rFonts w:asciiTheme="majorBidi" w:eastAsia="Malgun Gothic" w:hAnsiTheme="majorBidi" w:cstheme="majorBidi"/>
                <w:bCs/>
                <w:i/>
                <w:iCs/>
                <w:kern w:val="22"/>
                <w:sz w:val="20"/>
                <w:szCs w:val="20"/>
                <w:lang w:val="es-ES"/>
              </w:rPr>
              <w:t xml:space="preserve"> </w:t>
            </w:r>
            <w:r w:rsidR="003F5EB2" w:rsidRPr="00E56A6E">
              <w:rPr>
                <w:rFonts w:asciiTheme="majorBidi" w:eastAsia="Malgun Gothic" w:hAnsiTheme="majorBidi" w:cstheme="majorBidi"/>
                <w:bCs/>
                <w:i/>
                <w:iCs/>
                <w:kern w:val="22"/>
                <w:sz w:val="20"/>
                <w:szCs w:val="20"/>
                <w:lang w:val="es-ES"/>
              </w:rPr>
              <w:br/>
            </w:r>
            <w:r w:rsidR="00796BA7" w:rsidRPr="00E56A6E">
              <w:rPr>
                <w:rFonts w:asciiTheme="majorBidi" w:eastAsia="Malgun Gothic" w:hAnsiTheme="majorBidi" w:cstheme="majorBidi"/>
                <w:bCs/>
                <w:i/>
                <w:iCs/>
                <w:kern w:val="22"/>
                <w:sz w:val="20"/>
                <w:szCs w:val="20"/>
                <w:lang w:val="es-ES"/>
              </w:rPr>
              <w:t>(</w:t>
            </w:r>
            <w:r w:rsidRPr="00E56A6E">
              <w:rPr>
                <w:rFonts w:asciiTheme="majorBidi" w:eastAsia="Malgun Gothic" w:hAnsiTheme="majorBidi" w:cstheme="majorBidi"/>
                <w:bCs/>
                <w:i/>
                <w:iCs/>
                <w:kern w:val="22"/>
                <w:sz w:val="20"/>
                <w:szCs w:val="20"/>
                <w:lang w:val="es-ES"/>
              </w:rPr>
              <w:t>al 22 de febrero de 2018</w:t>
            </w:r>
            <w:r w:rsidR="00796BA7" w:rsidRPr="00E56A6E">
              <w:rPr>
                <w:rFonts w:asciiTheme="majorBidi" w:eastAsia="Malgun Gothic" w:hAnsiTheme="majorBidi" w:cstheme="majorBidi"/>
                <w:bCs/>
                <w:i/>
                <w:iCs/>
                <w:kern w:val="22"/>
                <w:sz w:val="20"/>
                <w:szCs w:val="20"/>
                <w:lang w:val="es-ES"/>
              </w:rPr>
              <w:t>)</w:t>
            </w:r>
          </w:p>
        </w:tc>
        <w:tc>
          <w:tcPr>
            <w:tcW w:w="1512" w:type="dxa"/>
            <w:shd w:val="clear" w:color="auto" w:fill="FFFFFF" w:themeFill="background1"/>
            <w:vAlign w:val="bottom"/>
          </w:tcPr>
          <w:p w14:paraId="0DE317C4" w14:textId="33547AFA" w:rsidR="00796BA7"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Avances al 9 de marzo de 2026</w:t>
            </w:r>
          </w:p>
        </w:tc>
      </w:tr>
      <w:tr w:rsidR="00EE1C1B" w:rsidRPr="00E56A6E" w14:paraId="6FC1C7C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749198" w14:textId="4CD1CF1F" w:rsidR="00EE1C1B" w:rsidRPr="00E56A6E" w:rsidRDefault="00EE1C1B" w:rsidP="00EE1C1B">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sz w:val="20"/>
                <w:szCs w:val="20"/>
                <w:lang w:val="es-ES"/>
              </w:rPr>
              <w:t xml:space="preserve">Número y porcentaje de Partes que </w:t>
            </w:r>
            <w:r w:rsidR="005673BF" w:rsidRPr="00E56A6E">
              <w:rPr>
                <w:sz w:val="20"/>
                <w:szCs w:val="20"/>
                <w:lang w:val="es-ES"/>
              </w:rPr>
              <w:t>requieren</w:t>
            </w:r>
            <w:r w:rsidR="00B04EE8" w:rsidRPr="00E56A6E">
              <w:rPr>
                <w:sz w:val="20"/>
                <w:szCs w:val="20"/>
                <w:lang w:val="es-ES"/>
              </w:rPr>
              <w:t xml:space="preserve"> el</w:t>
            </w:r>
            <w:r w:rsidR="005673BF" w:rsidRPr="00E56A6E">
              <w:rPr>
                <w:sz w:val="20"/>
                <w:szCs w:val="20"/>
                <w:lang w:val="es-ES"/>
              </w:rPr>
              <w:t xml:space="preserve"> </w:t>
            </w:r>
            <w:r w:rsidRPr="00E56A6E">
              <w:rPr>
                <w:sz w:val="20"/>
                <w:szCs w:val="20"/>
                <w:lang w:val="es-ES"/>
              </w:rPr>
              <w:t xml:space="preserve">consentimiento fundamentado previo para el acceso a los recursos </w:t>
            </w:r>
            <w:proofErr w:type="spellStart"/>
            <w:r w:rsidRPr="00E56A6E">
              <w:rPr>
                <w:sz w:val="20"/>
                <w:szCs w:val="20"/>
                <w:lang w:val="es-ES"/>
              </w:rPr>
              <w:t>genéticos</w:t>
            </w:r>
            <w:r w:rsidRPr="00E56A6E">
              <w:rPr>
                <w:rFonts w:eastAsia="Malgun Gothic"/>
                <w:i/>
                <w:iCs/>
                <w:kern w:val="22"/>
                <w:sz w:val="20"/>
                <w:szCs w:val="20"/>
                <w:vertAlign w:val="superscript"/>
                <w:lang w:val="es-ES"/>
              </w:rPr>
              <w:t>a</w:t>
            </w:r>
            <w:proofErr w:type="spellEnd"/>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0026C1B" w14:textId="76B12E84" w:rsidR="00EE1C1B" w:rsidRPr="00E56A6E" w:rsidRDefault="00225284" w:rsidP="00EE1C1B">
            <w:pPr>
              <w:suppressLineNumbers/>
              <w:suppressAutoHyphens/>
              <w:kinsoku w:val="0"/>
              <w:overflowPunct w:val="0"/>
              <w:autoSpaceDE w:val="0"/>
              <w:autoSpaceDN w:val="0"/>
              <w:adjustRightInd w:val="0"/>
              <w:snapToGrid w:val="0"/>
              <w:jc w:val="righ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Nuevo</w:t>
            </w:r>
          </w:p>
        </w:tc>
        <w:tc>
          <w:tcPr>
            <w:tcW w:w="1512" w:type="dxa"/>
            <w:vAlign w:val="bottom"/>
          </w:tcPr>
          <w:p w14:paraId="17FA1344" w14:textId="22127BC3"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74 (52 %)</w:t>
            </w:r>
          </w:p>
        </w:tc>
      </w:tr>
      <w:tr w:rsidR="00EE1C1B" w:rsidRPr="00E56A6E" w14:paraId="670E1F68"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81B1B33" w14:textId="490E8083" w:rsidR="00EE1C1B" w:rsidRPr="00E56A6E" w:rsidRDefault="00EE1C1B" w:rsidP="00EE1C1B">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w:t>
            </w:r>
            <w:r w:rsidR="005673BF" w:rsidRPr="00E56A6E">
              <w:rPr>
                <w:sz w:val="20"/>
                <w:szCs w:val="20"/>
                <w:lang w:val="es-ES"/>
              </w:rPr>
              <w:t xml:space="preserve">requieren </w:t>
            </w:r>
            <w:r w:rsidR="00B04EE8" w:rsidRPr="00E56A6E">
              <w:rPr>
                <w:sz w:val="20"/>
                <w:szCs w:val="20"/>
                <w:lang w:val="es-ES"/>
              </w:rPr>
              <w:t xml:space="preserve">el </w:t>
            </w:r>
            <w:r w:rsidRPr="00E56A6E">
              <w:rPr>
                <w:sz w:val="20"/>
                <w:szCs w:val="20"/>
                <w:lang w:val="es-ES"/>
              </w:rPr>
              <w:t>consentimiento fundamentado previo para el acceso a los recursos genéticos y que facilitan información sobre cómo solicitar dicho consentimiento, como se establece en el artículo 6</w:t>
            </w:r>
            <w:r w:rsidR="00DA14A9" w:rsidRPr="00E56A6E">
              <w:rPr>
                <w:sz w:val="20"/>
                <w:szCs w:val="20"/>
                <w:lang w:val="es-ES"/>
              </w:rPr>
              <w:t xml:space="preserve">, apartado </w:t>
            </w:r>
            <w:r w:rsidRPr="00E56A6E">
              <w:rPr>
                <w:sz w:val="20"/>
                <w:szCs w:val="20"/>
                <w:lang w:val="es-ES"/>
              </w:rPr>
              <w:t>3)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EF6CFC" w14:textId="6147CF13"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27 (73 %)</w:t>
            </w:r>
          </w:p>
        </w:tc>
        <w:tc>
          <w:tcPr>
            <w:tcW w:w="1512" w:type="dxa"/>
            <w:vAlign w:val="bottom"/>
          </w:tcPr>
          <w:p w14:paraId="7634EA51" w14:textId="1A2CFF52"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68 (91 %)</w:t>
            </w:r>
          </w:p>
        </w:tc>
      </w:tr>
      <w:tr w:rsidR="00EE1C1B" w:rsidRPr="00E56A6E" w14:paraId="6A7EFA8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3D7CDE5" w14:textId="0230DE9E" w:rsidR="00334836" w:rsidRPr="00E56A6E" w:rsidRDefault="00EE1C1B" w:rsidP="00334836">
            <w:pPr>
              <w:suppressLineNumbers/>
              <w:suppressAutoHyphens/>
              <w:kinsoku w:val="0"/>
              <w:overflowPunct w:val="0"/>
              <w:autoSpaceDE w:val="0"/>
              <w:autoSpaceDN w:val="0"/>
              <w:adjustRightInd w:val="0"/>
              <w:snapToGrid w:val="0"/>
              <w:jc w:val="left"/>
              <w:rPr>
                <w:sz w:val="20"/>
                <w:szCs w:val="20"/>
                <w:lang w:val="es-ES"/>
              </w:rPr>
            </w:pPr>
            <w:r w:rsidRPr="00E56A6E">
              <w:rPr>
                <w:sz w:val="20"/>
                <w:szCs w:val="20"/>
                <w:lang w:val="es-ES"/>
              </w:rPr>
              <w:t xml:space="preserve">Número y porcentaje de Partes que </w:t>
            </w:r>
            <w:r w:rsidR="005673BF" w:rsidRPr="00E56A6E">
              <w:rPr>
                <w:sz w:val="20"/>
                <w:szCs w:val="20"/>
                <w:lang w:val="es-ES"/>
              </w:rPr>
              <w:t xml:space="preserve">requieren </w:t>
            </w:r>
            <w:r w:rsidR="00B04EE8" w:rsidRPr="00E56A6E">
              <w:rPr>
                <w:sz w:val="20"/>
                <w:szCs w:val="20"/>
                <w:lang w:val="es-ES"/>
              </w:rPr>
              <w:t xml:space="preserve">el </w:t>
            </w:r>
            <w:r w:rsidRPr="00E56A6E">
              <w:rPr>
                <w:sz w:val="20"/>
                <w:szCs w:val="20"/>
                <w:lang w:val="es-ES"/>
              </w:rPr>
              <w:t xml:space="preserve">consentimiento fundamentado previo y que </w:t>
            </w:r>
            <w:r w:rsidR="00334836" w:rsidRPr="00E56A6E">
              <w:rPr>
                <w:sz w:val="20"/>
                <w:szCs w:val="20"/>
                <w:lang w:val="es-ES"/>
              </w:rPr>
              <w:t xml:space="preserve">disponen </w:t>
            </w:r>
            <w:r w:rsidRPr="00E56A6E">
              <w:rPr>
                <w:sz w:val="20"/>
                <w:szCs w:val="20"/>
                <w:lang w:val="es-ES"/>
              </w:rPr>
              <w:t xml:space="preserve">la </w:t>
            </w:r>
            <w:r w:rsidR="00334836" w:rsidRPr="00E56A6E">
              <w:rPr>
                <w:sz w:val="20"/>
                <w:szCs w:val="20"/>
                <w:lang w:val="es-ES"/>
              </w:rPr>
              <w:t>emisión</w:t>
            </w:r>
            <w:r w:rsidRPr="00E56A6E">
              <w:rPr>
                <w:sz w:val="20"/>
                <w:szCs w:val="20"/>
                <w:lang w:val="es-ES"/>
              </w:rPr>
              <w:t xml:space="preserve">, </w:t>
            </w:r>
            <w:r w:rsidR="00334836" w:rsidRPr="00E56A6E">
              <w:rPr>
                <w:sz w:val="20"/>
                <w:szCs w:val="20"/>
                <w:lang w:val="es-ES"/>
              </w:rPr>
              <w:t xml:space="preserve">al </w:t>
            </w:r>
            <w:r w:rsidRPr="00E56A6E">
              <w:rPr>
                <w:sz w:val="20"/>
                <w:szCs w:val="20"/>
                <w:lang w:val="es-ES"/>
              </w:rPr>
              <w:t xml:space="preserve">momento del acceso, de un permiso o su equivalente, tal como se establece en el artículo 6, </w:t>
            </w:r>
            <w:r w:rsidR="00DA14A9" w:rsidRPr="00E56A6E">
              <w:rPr>
                <w:sz w:val="20"/>
                <w:szCs w:val="20"/>
                <w:lang w:val="es-ES"/>
              </w:rPr>
              <w:t xml:space="preserve">apartado </w:t>
            </w:r>
            <w:r w:rsidRPr="00E56A6E">
              <w:rPr>
                <w:sz w:val="20"/>
                <w:szCs w:val="20"/>
                <w:lang w:val="es-ES"/>
              </w:rPr>
              <w:t>3) 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902A05C" w14:textId="2F4A62A3"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32 (86 %)</w:t>
            </w:r>
          </w:p>
        </w:tc>
        <w:tc>
          <w:tcPr>
            <w:tcW w:w="1512" w:type="dxa"/>
            <w:vAlign w:val="bottom"/>
          </w:tcPr>
          <w:p w14:paraId="64CEBEEA" w14:textId="254FDC86"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69 (93 %)</w:t>
            </w:r>
          </w:p>
        </w:tc>
      </w:tr>
      <w:tr w:rsidR="00EE1C1B" w:rsidRPr="00E56A6E" w14:paraId="5B8AC57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45D55D3" w14:textId="547B8358" w:rsidR="006A7B2E" w:rsidRPr="00E56A6E" w:rsidRDefault="00EE1C1B" w:rsidP="00EE1C1B">
            <w:pPr>
              <w:suppressLineNumbers/>
              <w:suppressAutoHyphens/>
              <w:kinsoku w:val="0"/>
              <w:overflowPunct w:val="0"/>
              <w:autoSpaceDE w:val="0"/>
              <w:autoSpaceDN w:val="0"/>
              <w:adjustRightInd w:val="0"/>
              <w:snapToGrid w:val="0"/>
              <w:jc w:val="left"/>
              <w:rPr>
                <w:sz w:val="20"/>
                <w:szCs w:val="20"/>
                <w:lang w:val="es-ES"/>
              </w:rPr>
            </w:pPr>
            <w:r w:rsidRPr="00E56A6E">
              <w:rPr>
                <w:sz w:val="20"/>
                <w:szCs w:val="20"/>
                <w:lang w:val="es-ES"/>
              </w:rPr>
              <w:t xml:space="preserve">Número y porcentaje de Partes que </w:t>
            </w:r>
            <w:r w:rsidR="005673BF" w:rsidRPr="00E56A6E">
              <w:rPr>
                <w:sz w:val="20"/>
                <w:szCs w:val="20"/>
                <w:lang w:val="es-ES"/>
              </w:rPr>
              <w:t>requieren</w:t>
            </w:r>
            <w:r w:rsidR="00B04EE8" w:rsidRPr="00E56A6E">
              <w:rPr>
                <w:sz w:val="20"/>
                <w:szCs w:val="20"/>
                <w:lang w:val="es-ES"/>
              </w:rPr>
              <w:t xml:space="preserve"> el</w:t>
            </w:r>
            <w:r w:rsidR="005673BF" w:rsidRPr="00E56A6E">
              <w:rPr>
                <w:sz w:val="20"/>
                <w:szCs w:val="20"/>
                <w:lang w:val="es-ES"/>
              </w:rPr>
              <w:t xml:space="preserve"> </w:t>
            </w:r>
            <w:r w:rsidRPr="00E56A6E">
              <w:rPr>
                <w:sz w:val="20"/>
                <w:szCs w:val="20"/>
                <w:lang w:val="es-ES"/>
              </w:rPr>
              <w:t xml:space="preserve">consentimiento fundamentado previo para el acceso a los recursos genéticos y que cuentan con normas y procedimientos para </w:t>
            </w:r>
            <w:r w:rsidR="006A7B2E" w:rsidRPr="00E56A6E">
              <w:rPr>
                <w:sz w:val="20"/>
                <w:szCs w:val="20"/>
                <w:lang w:val="es-ES"/>
              </w:rPr>
              <w:t xml:space="preserve">requerir </w:t>
            </w:r>
            <w:r w:rsidRPr="00E56A6E">
              <w:rPr>
                <w:sz w:val="20"/>
                <w:szCs w:val="20"/>
                <w:lang w:val="es-ES"/>
              </w:rPr>
              <w:t xml:space="preserve">y establecer condiciones mutuamente acordadas, tal como se establece en el artículo 6, </w:t>
            </w:r>
            <w:r w:rsidR="00DA14A9" w:rsidRPr="00E56A6E">
              <w:rPr>
                <w:sz w:val="20"/>
                <w:szCs w:val="20"/>
                <w:lang w:val="es-ES"/>
              </w:rPr>
              <w:t xml:space="preserve">apartado </w:t>
            </w:r>
            <w:r w:rsidRPr="00E56A6E">
              <w:rPr>
                <w:sz w:val="20"/>
                <w:szCs w:val="20"/>
                <w:lang w:val="es-ES"/>
              </w:rPr>
              <w:t>3 g)</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B23826" w14:textId="3D7CBE25"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28 (76 %)</w:t>
            </w:r>
          </w:p>
        </w:tc>
        <w:tc>
          <w:tcPr>
            <w:tcW w:w="1512" w:type="dxa"/>
            <w:tcBorders>
              <w:bottom w:val="single" w:sz="4" w:space="0" w:color="auto"/>
            </w:tcBorders>
            <w:vAlign w:val="bottom"/>
          </w:tcPr>
          <w:p w14:paraId="6F20E1FE" w14:textId="4D79F523"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hAnsiTheme="majorBidi" w:cstheme="majorBidi"/>
                <w:sz w:val="20"/>
                <w:szCs w:val="20"/>
                <w:lang w:val="es-ES"/>
              </w:rPr>
              <w:t>64 (86 %)</w:t>
            </w:r>
          </w:p>
        </w:tc>
      </w:tr>
      <w:tr w:rsidR="00EE1C1B" w:rsidRPr="00E56A6E" w14:paraId="4C5DE08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C600D4" w14:textId="31A51D7B" w:rsidR="00EE1C1B" w:rsidRPr="00E56A6E" w:rsidRDefault="00EE1C1B" w:rsidP="00EE1C1B">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w:t>
            </w:r>
            <w:proofErr w:type="spellStart"/>
            <w:r w:rsidRPr="00E56A6E">
              <w:rPr>
                <w:sz w:val="20"/>
                <w:szCs w:val="20"/>
                <w:lang w:val="es-ES"/>
              </w:rPr>
              <w:t>porcentaje</w:t>
            </w:r>
            <w:r w:rsidRPr="00E56A6E">
              <w:rPr>
                <w:i/>
                <w:iCs/>
                <w:kern w:val="22"/>
                <w:sz w:val="20"/>
                <w:szCs w:val="20"/>
                <w:vertAlign w:val="superscript"/>
                <w:lang w:val="es-ES"/>
              </w:rPr>
              <w:t>b</w:t>
            </w:r>
            <w:proofErr w:type="spellEnd"/>
            <w:r w:rsidRPr="00E56A6E">
              <w:rPr>
                <w:sz w:val="20"/>
                <w:szCs w:val="20"/>
                <w:lang w:val="es-ES"/>
              </w:rPr>
              <w:t xml:space="preserve"> de Partes que han </w:t>
            </w:r>
            <w:r w:rsidR="00D830FD" w:rsidRPr="00E56A6E">
              <w:rPr>
                <w:sz w:val="20"/>
                <w:szCs w:val="20"/>
                <w:lang w:val="es-ES"/>
              </w:rPr>
              <w:t>emitido</w:t>
            </w:r>
            <w:r w:rsidRPr="00E56A6E">
              <w:rPr>
                <w:sz w:val="20"/>
                <w:szCs w:val="20"/>
                <w:lang w:val="es-ES"/>
              </w:rPr>
              <w:t xml:space="preserve"> permisos o sus equivalentes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81AB15D" w14:textId="4B6E1CAB"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19 (18 %)</w:t>
            </w:r>
          </w:p>
        </w:tc>
        <w:tc>
          <w:tcPr>
            <w:tcW w:w="1512" w:type="dxa"/>
            <w:tcBorders>
              <w:top w:val="single" w:sz="4" w:space="0" w:color="auto"/>
              <w:left w:val="single" w:sz="4" w:space="0" w:color="auto"/>
              <w:bottom w:val="single" w:sz="4" w:space="0" w:color="auto"/>
              <w:right w:val="single" w:sz="4" w:space="0" w:color="auto"/>
            </w:tcBorders>
            <w:vAlign w:val="bottom"/>
          </w:tcPr>
          <w:p w14:paraId="43130970" w14:textId="186F46F4" w:rsidR="00EE1C1B" w:rsidRPr="00E56A6E" w:rsidRDefault="00EE1C1B" w:rsidP="00EE1C1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64 (45 %)</w:t>
            </w:r>
          </w:p>
        </w:tc>
      </w:tr>
    </w:tbl>
    <w:p w14:paraId="779229CC" w14:textId="5BE1C092" w:rsidR="00EE1C1B" w:rsidRPr="00E56A6E" w:rsidRDefault="00EE1C1B" w:rsidP="00EE1C1B">
      <w:pPr>
        <w:pStyle w:val="Footnote"/>
        <w:tabs>
          <w:tab w:val="clear" w:pos="567"/>
          <w:tab w:val="clear" w:pos="1134"/>
        </w:tabs>
        <w:ind w:left="993" w:hanging="284"/>
        <w:rPr>
          <w:lang w:val="es-ES"/>
        </w:rPr>
      </w:pPr>
      <w:proofErr w:type="spellStart"/>
      <w:r w:rsidRPr="00E56A6E">
        <w:rPr>
          <w:i/>
          <w:iCs/>
          <w:vertAlign w:val="superscript"/>
          <w:lang w:val="es-ES"/>
        </w:rPr>
        <w:t>a</w:t>
      </w:r>
      <w:proofErr w:type="spellEnd"/>
      <w:r w:rsidRPr="00E56A6E">
        <w:rPr>
          <w:lang w:val="es-ES"/>
        </w:rPr>
        <w:t xml:space="preserve">    Se ha añadido un nuevo indicador para contextualizar los demás indicadores, </w:t>
      </w:r>
      <w:r w:rsidR="005D548A" w:rsidRPr="00E56A6E">
        <w:rPr>
          <w:lang w:val="es-ES"/>
        </w:rPr>
        <w:t xml:space="preserve">dado </w:t>
      </w:r>
      <w:r w:rsidRPr="00E56A6E">
        <w:rPr>
          <w:lang w:val="es-ES"/>
        </w:rPr>
        <w:t>que algunos porcentajes se calculan sobre la base del número total de Partes que</w:t>
      </w:r>
      <w:r w:rsidR="00292C32" w:rsidRPr="00E56A6E">
        <w:rPr>
          <w:lang w:val="es-ES"/>
        </w:rPr>
        <w:t xml:space="preserve"> requieren </w:t>
      </w:r>
      <w:r w:rsidR="00B04EE8" w:rsidRPr="00E56A6E">
        <w:rPr>
          <w:lang w:val="es-ES"/>
        </w:rPr>
        <w:t xml:space="preserve">el </w:t>
      </w:r>
      <w:r w:rsidRPr="00E56A6E">
        <w:rPr>
          <w:lang w:val="es-ES"/>
        </w:rPr>
        <w:t xml:space="preserve">consentimiento fundamentado previo para el acceso a los recursos genéticos (74). El indicador se basa en las respuestas a la pregunta </w:t>
      </w:r>
      <w:r w:rsidR="005D548A" w:rsidRPr="00E56A6E">
        <w:rPr>
          <w:lang w:val="es-ES"/>
        </w:rPr>
        <w:t xml:space="preserve">número </w:t>
      </w:r>
      <w:r w:rsidRPr="00E56A6E">
        <w:rPr>
          <w:lang w:val="es-ES"/>
        </w:rPr>
        <w:t xml:space="preserve">8 del primer formato de informe nacional. Cabe señalar, </w:t>
      </w:r>
      <w:r w:rsidR="005D548A" w:rsidRPr="00E56A6E">
        <w:rPr>
          <w:lang w:val="es-ES"/>
        </w:rPr>
        <w:t>no obstante</w:t>
      </w:r>
      <w:r w:rsidRPr="00E56A6E">
        <w:rPr>
          <w:lang w:val="es-ES"/>
        </w:rPr>
        <w:t xml:space="preserve">, que, </w:t>
      </w:r>
      <w:r w:rsidR="00292C32" w:rsidRPr="00E56A6E">
        <w:rPr>
          <w:lang w:val="es-ES"/>
        </w:rPr>
        <w:t>en virtud del</w:t>
      </w:r>
      <w:r w:rsidRPr="00E56A6E">
        <w:rPr>
          <w:lang w:val="es-ES"/>
        </w:rPr>
        <w:t xml:space="preserve"> artículo 6</w:t>
      </w:r>
      <w:r w:rsidR="00292C32" w:rsidRPr="00E56A6E">
        <w:rPr>
          <w:lang w:val="es-ES"/>
        </w:rPr>
        <w:t>, párrafo</w:t>
      </w:r>
      <w:r w:rsidR="008557EB" w:rsidRPr="00E56A6E">
        <w:rPr>
          <w:lang w:val="es-ES"/>
        </w:rPr>
        <w:t> </w:t>
      </w:r>
      <w:r w:rsidRPr="00E56A6E">
        <w:rPr>
          <w:lang w:val="es-ES"/>
        </w:rPr>
        <w:t>1</w:t>
      </w:r>
      <w:r w:rsidR="008557EB" w:rsidRPr="00E56A6E">
        <w:rPr>
          <w:lang w:val="es-ES"/>
        </w:rPr>
        <w:t>)</w:t>
      </w:r>
      <w:r w:rsidRPr="00E56A6E">
        <w:rPr>
          <w:lang w:val="es-ES"/>
        </w:rPr>
        <w:t xml:space="preserve">, del Protocolo, se </w:t>
      </w:r>
      <w:r w:rsidR="00292C32" w:rsidRPr="00E56A6E">
        <w:rPr>
          <w:lang w:val="es-ES"/>
        </w:rPr>
        <w:t xml:space="preserve">requiere </w:t>
      </w:r>
      <w:r w:rsidR="00781A1B" w:rsidRPr="00E56A6E">
        <w:rPr>
          <w:lang w:val="es-ES"/>
        </w:rPr>
        <w:t xml:space="preserve">el </w:t>
      </w:r>
      <w:r w:rsidRPr="00E56A6E">
        <w:rPr>
          <w:lang w:val="es-ES"/>
        </w:rPr>
        <w:t xml:space="preserve">consentimiento fundamentado previo para el acceso a los recursos genéticos, </w:t>
      </w:r>
      <w:r w:rsidR="00781A1B" w:rsidRPr="00E56A6E">
        <w:rPr>
          <w:lang w:val="es-ES"/>
        </w:rPr>
        <w:t xml:space="preserve">a menos </w:t>
      </w:r>
      <w:r w:rsidRPr="00E56A6E">
        <w:rPr>
          <w:lang w:val="es-ES"/>
        </w:rPr>
        <w:t xml:space="preserve">que una Parte determine </w:t>
      </w:r>
      <w:r w:rsidR="00781A1B" w:rsidRPr="00E56A6E">
        <w:rPr>
          <w:lang w:val="es-ES"/>
        </w:rPr>
        <w:t>otra cosa</w:t>
      </w:r>
      <w:r w:rsidRPr="00E56A6E">
        <w:rPr>
          <w:lang w:val="es-ES"/>
        </w:rPr>
        <w:t>.</w:t>
      </w:r>
    </w:p>
    <w:p w14:paraId="0E5A741B" w14:textId="3D5A80D4" w:rsidR="00EE1C1B" w:rsidRPr="00E56A6E" w:rsidRDefault="00EE1C1B" w:rsidP="00EE1C1B">
      <w:pPr>
        <w:pStyle w:val="Footnote"/>
        <w:tabs>
          <w:tab w:val="clear" w:pos="567"/>
          <w:tab w:val="clear" w:pos="1134"/>
        </w:tabs>
        <w:ind w:left="993" w:hanging="284"/>
        <w:rPr>
          <w:lang w:val="es-ES"/>
        </w:rPr>
      </w:pPr>
      <w:r w:rsidRPr="00E56A6E">
        <w:rPr>
          <w:i/>
          <w:iCs/>
          <w:vertAlign w:val="superscript"/>
          <w:lang w:val="es-ES"/>
        </w:rPr>
        <w:t xml:space="preserve">b  </w:t>
      </w:r>
      <w:r w:rsidRPr="00E56A6E">
        <w:rPr>
          <w:lang w:val="es-ES"/>
        </w:rPr>
        <w:t xml:space="preserve">  Los porcentajes de este indicador se han calculado sobre la base del número total de Partes en el Protocolo en el momento de referencia.</w:t>
      </w:r>
    </w:p>
    <w:p w14:paraId="18D46D62" w14:textId="77777777" w:rsidR="00292C32" w:rsidRPr="00E56A6E" w:rsidRDefault="00292C32" w:rsidP="00EE1C1B">
      <w:pPr>
        <w:pStyle w:val="Footnote"/>
        <w:tabs>
          <w:tab w:val="clear" w:pos="567"/>
          <w:tab w:val="clear" w:pos="1134"/>
        </w:tabs>
        <w:ind w:left="993" w:hanging="284"/>
        <w:rPr>
          <w:lang w:val="es-ES"/>
        </w:rPr>
      </w:pPr>
    </w:p>
    <w:p w14:paraId="287EFCDB" w14:textId="6EBB5C4F" w:rsidR="006839F4" w:rsidRPr="00E56A6E" w:rsidRDefault="000F352B" w:rsidP="000F352B">
      <w:pPr>
        <w:pStyle w:val="CBDH4"/>
        <w:rPr>
          <w:lang w:val="es-ES"/>
        </w:rPr>
      </w:pPr>
      <w:r w:rsidRPr="00E56A6E">
        <w:rPr>
          <w:lang w:val="es-ES"/>
        </w:rPr>
        <w:t>b)</w:t>
      </w:r>
      <w:r w:rsidRPr="00E56A6E">
        <w:rPr>
          <w:lang w:val="es-ES"/>
        </w:rPr>
        <w:tab/>
      </w:r>
      <w:r w:rsidR="00A05194" w:rsidRPr="00E56A6E">
        <w:rPr>
          <w:lang w:val="es-ES"/>
        </w:rPr>
        <w:t xml:space="preserve">Dificultades </w:t>
      </w:r>
      <w:r w:rsidR="00EE1C1B" w:rsidRPr="00E56A6E">
        <w:rPr>
          <w:lang w:val="es-ES"/>
        </w:rPr>
        <w:t xml:space="preserve">en la aplicación y causas </w:t>
      </w:r>
      <w:r w:rsidR="00A05194" w:rsidRPr="00E56A6E">
        <w:rPr>
          <w:lang w:val="es-ES"/>
        </w:rPr>
        <w:t>subyacentes</w:t>
      </w:r>
    </w:p>
    <w:p w14:paraId="012973D6" w14:textId="46644E3F" w:rsidR="00EE1C1B" w:rsidRPr="00E56A6E" w:rsidRDefault="00E861F2" w:rsidP="00EE1C1B">
      <w:pPr>
        <w:pStyle w:val="CBDNormalNumber"/>
        <w:rPr>
          <w:lang w:val="es-ES"/>
        </w:rPr>
      </w:pPr>
      <w:r w:rsidRPr="00E56A6E">
        <w:rPr>
          <w:lang w:val="es-ES"/>
        </w:rPr>
        <w:t xml:space="preserve">Con el </w:t>
      </w:r>
      <w:r w:rsidR="00EE1C1B" w:rsidRPr="00E56A6E">
        <w:rPr>
          <w:lang w:val="es-ES"/>
        </w:rPr>
        <w:t xml:space="preserve">creciente número de Partes en el Protocolo de Nagoya, la diversidad de enfoques nacionales </w:t>
      </w:r>
      <w:r w:rsidR="00257801" w:rsidRPr="00E56A6E">
        <w:rPr>
          <w:lang w:val="es-ES"/>
        </w:rPr>
        <w:t xml:space="preserve">sobre </w:t>
      </w:r>
      <w:r w:rsidR="00EE1C1B" w:rsidRPr="00E56A6E">
        <w:rPr>
          <w:lang w:val="es-ES"/>
        </w:rPr>
        <w:t xml:space="preserve">los requisitos y procedimientos de </w:t>
      </w:r>
      <w:r w:rsidR="00CA2892" w:rsidRPr="00E56A6E">
        <w:rPr>
          <w:lang w:val="es-ES"/>
        </w:rPr>
        <w:t>acceso y participación en los beneficios</w:t>
      </w:r>
      <w:r w:rsidR="00EE1C1B" w:rsidRPr="00E56A6E">
        <w:rPr>
          <w:lang w:val="es-ES"/>
        </w:rPr>
        <w:t xml:space="preserve"> se ha convertido en un </w:t>
      </w:r>
      <w:r w:rsidR="005D4282" w:rsidRPr="00E56A6E">
        <w:rPr>
          <w:lang w:val="es-ES"/>
        </w:rPr>
        <w:t xml:space="preserve">gran problema </w:t>
      </w:r>
      <w:r w:rsidR="00EE1C1B" w:rsidRPr="00E56A6E">
        <w:rPr>
          <w:lang w:val="es-ES"/>
        </w:rPr>
        <w:t>para los usuarios.</w:t>
      </w:r>
      <w:r w:rsidR="001E37A2" w:rsidRPr="00E56A6E">
        <w:rPr>
          <w:lang w:val="es-ES"/>
        </w:rPr>
        <w:t xml:space="preserve"> </w:t>
      </w:r>
      <w:r w:rsidR="00EE1C1B" w:rsidRPr="00E56A6E">
        <w:rPr>
          <w:lang w:val="es-ES"/>
        </w:rPr>
        <w:t xml:space="preserve">En particular, el ámbito de aplicación de los requisitos nacionales de </w:t>
      </w:r>
      <w:r w:rsidR="00CA2892" w:rsidRPr="00E56A6E">
        <w:rPr>
          <w:lang w:val="es-ES"/>
        </w:rPr>
        <w:t>acceso y participación en los beneficios</w:t>
      </w:r>
      <w:r w:rsidR="00EE1C1B" w:rsidRPr="00E56A6E">
        <w:rPr>
          <w:lang w:val="es-ES"/>
        </w:rPr>
        <w:t xml:space="preserve"> puede variar</w:t>
      </w:r>
      <w:r w:rsidR="00584238" w:rsidRPr="00E56A6E">
        <w:rPr>
          <w:lang w:val="es-ES"/>
        </w:rPr>
        <w:t xml:space="preserve"> considerablemente</w:t>
      </w:r>
      <w:r w:rsidR="00EE1C1B" w:rsidRPr="00E56A6E">
        <w:rPr>
          <w:lang w:val="es-ES"/>
        </w:rPr>
        <w:t xml:space="preserve"> de un país a otro, y los pasos que deben seguirse para </w:t>
      </w:r>
      <w:r w:rsidR="00257801" w:rsidRPr="00E56A6E">
        <w:rPr>
          <w:lang w:val="es-ES"/>
        </w:rPr>
        <w:t xml:space="preserve">lograr </w:t>
      </w:r>
      <w:r w:rsidR="00EE1C1B" w:rsidRPr="00E56A6E">
        <w:rPr>
          <w:lang w:val="es-ES"/>
        </w:rPr>
        <w:t xml:space="preserve">acceso a los recursos genéticos, obtener el consentimiento fundamentado previo o un permiso, negociar condiciones mutuamente acordadas y </w:t>
      </w:r>
      <w:r w:rsidR="00584238" w:rsidRPr="00E56A6E">
        <w:rPr>
          <w:lang w:val="es-ES"/>
        </w:rPr>
        <w:t xml:space="preserve">participar en </w:t>
      </w:r>
      <w:r w:rsidR="00EE1C1B" w:rsidRPr="00E56A6E">
        <w:rPr>
          <w:lang w:val="es-ES"/>
        </w:rPr>
        <w:t xml:space="preserve">los beneficios contemplados en las medidas nacionales </w:t>
      </w:r>
      <w:r w:rsidR="00CA2892" w:rsidRPr="00E56A6E">
        <w:rPr>
          <w:lang w:val="es-ES"/>
        </w:rPr>
        <w:t>sobre</w:t>
      </w:r>
      <w:r w:rsidR="00EE1C1B" w:rsidRPr="00E56A6E">
        <w:rPr>
          <w:lang w:val="es-ES"/>
        </w:rPr>
        <w:t xml:space="preserve"> </w:t>
      </w:r>
      <w:r w:rsidR="00CA2892" w:rsidRPr="00E56A6E">
        <w:rPr>
          <w:lang w:val="es-ES"/>
        </w:rPr>
        <w:t>acceso y participación en los beneficios</w:t>
      </w:r>
      <w:r w:rsidR="00EE1C1B" w:rsidRPr="00E56A6E">
        <w:rPr>
          <w:lang w:val="es-ES"/>
        </w:rPr>
        <w:t xml:space="preserve"> no siempre son fáciles de comprender. Esto ha dado lugar a una complejidad operativa </w:t>
      </w:r>
      <w:r w:rsidR="00EE1C1B" w:rsidRPr="00E56A6E">
        <w:rPr>
          <w:lang w:val="es-ES"/>
        </w:rPr>
        <w:lastRenderedPageBreak/>
        <w:t>y</w:t>
      </w:r>
      <w:r w:rsidR="00353A04" w:rsidRPr="00E56A6E">
        <w:rPr>
          <w:lang w:val="es-ES"/>
        </w:rPr>
        <w:t xml:space="preserve"> </w:t>
      </w:r>
      <w:r w:rsidR="00EE1C1B" w:rsidRPr="00E56A6E">
        <w:rPr>
          <w:lang w:val="es-ES"/>
        </w:rPr>
        <w:t>a un aumento de los costos de transacción para los usuarios, tanto de la comunidad científica como de la empresarial</w:t>
      </w:r>
      <w:r w:rsidR="00EE1C1B" w:rsidRPr="00E56A6E">
        <w:rPr>
          <w:rStyle w:val="FootnoteReference"/>
          <w:lang w:val="es-ES"/>
        </w:rPr>
        <w:footnoteReference w:id="26"/>
      </w:r>
      <w:r w:rsidR="00EE1C1B" w:rsidRPr="00E56A6E">
        <w:rPr>
          <w:lang w:val="es-ES"/>
        </w:rPr>
        <w:t>.</w:t>
      </w:r>
    </w:p>
    <w:p w14:paraId="2E4D870D" w14:textId="38811AB0" w:rsidR="00EE1C1B" w:rsidRPr="00E56A6E" w:rsidRDefault="00EE1C1B" w:rsidP="00EE1C1B">
      <w:pPr>
        <w:pStyle w:val="CBDNormalNumber"/>
        <w:rPr>
          <w:lang w:val="es-ES"/>
        </w:rPr>
      </w:pPr>
      <w:r w:rsidRPr="00E56A6E">
        <w:rPr>
          <w:lang w:val="es-ES"/>
        </w:rPr>
        <w:t xml:space="preserve">En el </w:t>
      </w:r>
      <w:r w:rsidR="00B007EB" w:rsidRPr="00E56A6E">
        <w:rPr>
          <w:lang w:val="es-ES"/>
        </w:rPr>
        <w:t>estudio preliminar</w:t>
      </w:r>
      <w:r w:rsidRPr="00E56A6E">
        <w:rPr>
          <w:lang w:val="es-ES"/>
        </w:rPr>
        <w:t xml:space="preserve"> se </w:t>
      </w:r>
      <w:r w:rsidR="004612EC" w:rsidRPr="00E56A6E">
        <w:rPr>
          <w:lang w:val="es-ES"/>
        </w:rPr>
        <w:t xml:space="preserve">encontraron las </w:t>
      </w:r>
      <w:r w:rsidRPr="00E56A6E">
        <w:rPr>
          <w:lang w:val="es-ES"/>
        </w:rPr>
        <w:t xml:space="preserve">siguientes </w:t>
      </w:r>
      <w:r w:rsidR="004612EC" w:rsidRPr="00E56A6E">
        <w:rPr>
          <w:lang w:val="es-ES"/>
        </w:rPr>
        <w:t xml:space="preserve">dificultades </w:t>
      </w:r>
      <w:r w:rsidRPr="00E56A6E">
        <w:rPr>
          <w:lang w:val="es-ES"/>
        </w:rPr>
        <w:t>a l</w:t>
      </w:r>
      <w:r w:rsidR="00856789" w:rsidRPr="00E56A6E">
        <w:rPr>
          <w:lang w:val="es-ES"/>
        </w:rPr>
        <w:t>a</w:t>
      </w:r>
      <w:r w:rsidRPr="00E56A6E">
        <w:rPr>
          <w:lang w:val="es-ES"/>
        </w:rPr>
        <w:t xml:space="preserve">s que se enfrentan los usuarios a la hora de establecer acuerdos de </w:t>
      </w:r>
      <w:r w:rsidR="00CA2892" w:rsidRPr="00E56A6E">
        <w:rPr>
          <w:lang w:val="es-ES"/>
        </w:rPr>
        <w:t>acceso y participación en los beneficios</w:t>
      </w:r>
      <w:r w:rsidRPr="00E56A6E">
        <w:rPr>
          <w:lang w:val="es-ES"/>
        </w:rPr>
        <w:t xml:space="preserve">: la ausencia de un proceso y unos plazos claros para negociar y </w:t>
      </w:r>
      <w:r w:rsidR="004612EC" w:rsidRPr="00E56A6E">
        <w:rPr>
          <w:lang w:val="es-ES"/>
        </w:rPr>
        <w:t xml:space="preserve">concretar </w:t>
      </w:r>
      <w:r w:rsidRPr="00E56A6E">
        <w:rPr>
          <w:lang w:val="es-ES"/>
        </w:rPr>
        <w:t xml:space="preserve">dichos acuerdos; la participación de </w:t>
      </w:r>
      <w:r w:rsidR="00856789" w:rsidRPr="00E56A6E">
        <w:rPr>
          <w:lang w:val="es-ES"/>
        </w:rPr>
        <w:t xml:space="preserve">diversas </w:t>
      </w:r>
      <w:r w:rsidRPr="00E56A6E">
        <w:rPr>
          <w:lang w:val="es-ES"/>
        </w:rPr>
        <w:t xml:space="preserve">partes, entre ellas representantes gubernamentales, pueblos indígenas y comunidades locales, así como instituciones usuarias, lo que complicaba la coordinación; las diferencias en las expectativas entre usuarios y proveedores en cuanto a las condiciones de </w:t>
      </w:r>
      <w:r w:rsidR="00CA2892" w:rsidRPr="00E56A6E">
        <w:rPr>
          <w:lang w:val="es-ES"/>
        </w:rPr>
        <w:t>participación en los beneficios</w:t>
      </w:r>
      <w:r w:rsidRPr="00E56A6E">
        <w:rPr>
          <w:lang w:val="es-ES"/>
        </w:rPr>
        <w:t xml:space="preserve">; y la escasa disponibilidad de herramientas </w:t>
      </w:r>
      <w:r w:rsidR="00856789" w:rsidRPr="00E56A6E">
        <w:rPr>
          <w:lang w:val="es-ES"/>
        </w:rPr>
        <w:t>normalizadas</w:t>
      </w:r>
      <w:r w:rsidRPr="00E56A6E">
        <w:rPr>
          <w:lang w:val="es-ES"/>
        </w:rPr>
        <w:t>, como cláusulas modelo y plantillas específicas para cada sector</w:t>
      </w:r>
      <w:r w:rsidRPr="00E56A6E">
        <w:rPr>
          <w:rStyle w:val="FootnoteReference"/>
          <w:lang w:val="es-ES"/>
        </w:rPr>
        <w:footnoteReference w:id="27"/>
      </w:r>
      <w:r w:rsidRPr="00E56A6E">
        <w:rPr>
          <w:lang w:val="es-ES"/>
        </w:rPr>
        <w:t>.</w:t>
      </w:r>
      <w:r w:rsidR="001E37A2" w:rsidRPr="00E56A6E">
        <w:rPr>
          <w:lang w:val="es-ES"/>
        </w:rPr>
        <w:t xml:space="preserve"> </w:t>
      </w:r>
    </w:p>
    <w:p w14:paraId="6F42BAF0" w14:textId="70F1D544" w:rsidR="00EE1C1B" w:rsidRPr="00E56A6E" w:rsidRDefault="00EE1C1B" w:rsidP="00EE1C1B">
      <w:pPr>
        <w:pStyle w:val="CBDNormalNumber"/>
        <w:rPr>
          <w:lang w:val="es-ES"/>
        </w:rPr>
      </w:pPr>
      <w:r w:rsidRPr="00E56A6E">
        <w:rPr>
          <w:lang w:val="es-ES"/>
        </w:rPr>
        <w:t xml:space="preserve">Las </w:t>
      </w:r>
      <w:r w:rsidR="00455E26" w:rsidRPr="00E56A6E">
        <w:rPr>
          <w:lang w:val="es-ES"/>
        </w:rPr>
        <w:t>P</w:t>
      </w:r>
      <w:r w:rsidRPr="00E56A6E">
        <w:rPr>
          <w:lang w:val="es-ES"/>
        </w:rPr>
        <w:t xml:space="preserve">artes </w:t>
      </w:r>
      <w:r w:rsidR="00746259" w:rsidRPr="00E56A6E">
        <w:rPr>
          <w:lang w:val="es-ES"/>
        </w:rPr>
        <w:t xml:space="preserve">constataron </w:t>
      </w:r>
      <w:r w:rsidRPr="00E56A6E">
        <w:rPr>
          <w:lang w:val="es-ES"/>
        </w:rPr>
        <w:t xml:space="preserve">la dificultad </w:t>
      </w:r>
      <w:r w:rsidR="008C73DB" w:rsidRPr="00E56A6E">
        <w:rPr>
          <w:lang w:val="es-ES"/>
        </w:rPr>
        <w:t xml:space="preserve">de </w:t>
      </w:r>
      <w:r w:rsidR="00746259" w:rsidRPr="00E56A6E">
        <w:rPr>
          <w:lang w:val="es-ES"/>
        </w:rPr>
        <w:t xml:space="preserve">reunir </w:t>
      </w:r>
      <w:r w:rsidR="008C73DB" w:rsidRPr="00E56A6E">
        <w:rPr>
          <w:lang w:val="es-ES"/>
        </w:rPr>
        <w:t xml:space="preserve">las distintas competencias necesarias </w:t>
      </w:r>
      <w:r w:rsidRPr="00E56A6E">
        <w:rPr>
          <w:lang w:val="es-ES"/>
        </w:rPr>
        <w:t xml:space="preserve">para </w:t>
      </w:r>
      <w:r w:rsidR="008C73DB" w:rsidRPr="00E56A6E">
        <w:rPr>
          <w:lang w:val="es-ES"/>
        </w:rPr>
        <w:t xml:space="preserve">tratar de manera adecuada </w:t>
      </w:r>
      <w:r w:rsidRPr="00E56A6E">
        <w:rPr>
          <w:lang w:val="es-ES"/>
        </w:rPr>
        <w:t xml:space="preserve">la especificidad y el carácter técnico de las solicitudes de acceso en las instituciones nacionales pertinentes. </w:t>
      </w:r>
      <w:r w:rsidR="00D70FCF" w:rsidRPr="00E56A6E">
        <w:rPr>
          <w:lang w:val="es-ES"/>
        </w:rPr>
        <w:t>La</w:t>
      </w:r>
      <w:r w:rsidRPr="00E56A6E">
        <w:rPr>
          <w:lang w:val="es-ES"/>
        </w:rPr>
        <w:t xml:space="preserve"> </w:t>
      </w:r>
      <w:r w:rsidR="00746259" w:rsidRPr="00E56A6E">
        <w:rPr>
          <w:lang w:val="es-ES"/>
        </w:rPr>
        <w:t xml:space="preserve">falta </w:t>
      </w:r>
      <w:r w:rsidRPr="00E56A6E">
        <w:rPr>
          <w:lang w:val="es-ES"/>
        </w:rPr>
        <w:t xml:space="preserve">de una </w:t>
      </w:r>
      <w:r w:rsidR="00A92B78" w:rsidRPr="00E56A6E">
        <w:rPr>
          <w:lang w:val="es-ES"/>
        </w:rPr>
        <w:t xml:space="preserve">clara </w:t>
      </w:r>
      <w:r w:rsidRPr="00E56A6E">
        <w:rPr>
          <w:lang w:val="es-ES"/>
        </w:rPr>
        <w:t xml:space="preserve">autoridad </w:t>
      </w:r>
      <w:r w:rsidR="003D2056" w:rsidRPr="00E56A6E">
        <w:rPr>
          <w:lang w:val="es-ES"/>
        </w:rPr>
        <w:t>competente</w:t>
      </w:r>
      <w:r w:rsidRPr="00E56A6E">
        <w:rPr>
          <w:lang w:val="es-ES"/>
        </w:rPr>
        <w:t xml:space="preserve"> en cuestiones de </w:t>
      </w:r>
      <w:r w:rsidR="00CA2892" w:rsidRPr="00E56A6E">
        <w:rPr>
          <w:lang w:val="es-ES"/>
        </w:rPr>
        <w:t>acceso y participación en los beneficios</w:t>
      </w:r>
      <w:r w:rsidRPr="00E56A6E">
        <w:rPr>
          <w:lang w:val="es-ES"/>
        </w:rPr>
        <w:t xml:space="preserve"> </w:t>
      </w:r>
      <w:r w:rsidR="00C632A8" w:rsidRPr="00E56A6E">
        <w:rPr>
          <w:lang w:val="es-ES"/>
        </w:rPr>
        <w:t xml:space="preserve">se convirtió </w:t>
      </w:r>
      <w:r w:rsidR="00D70FCF" w:rsidRPr="00E56A6E">
        <w:rPr>
          <w:lang w:val="es-ES"/>
        </w:rPr>
        <w:t xml:space="preserve">en algunos casos </w:t>
      </w:r>
      <w:r w:rsidRPr="00E56A6E">
        <w:rPr>
          <w:lang w:val="es-ES"/>
        </w:rPr>
        <w:t xml:space="preserve">en un </w:t>
      </w:r>
      <w:r w:rsidR="00595CA7" w:rsidRPr="00E56A6E">
        <w:rPr>
          <w:lang w:val="es-ES"/>
        </w:rPr>
        <w:t xml:space="preserve">problema </w:t>
      </w:r>
      <w:r w:rsidRPr="00E56A6E">
        <w:rPr>
          <w:lang w:val="es-ES"/>
        </w:rPr>
        <w:t xml:space="preserve">y en una causa de </w:t>
      </w:r>
      <w:r w:rsidR="00595CA7" w:rsidRPr="00E56A6E">
        <w:rPr>
          <w:lang w:val="es-ES"/>
        </w:rPr>
        <w:t xml:space="preserve">demoras </w:t>
      </w:r>
      <w:r w:rsidRPr="00E56A6E">
        <w:rPr>
          <w:lang w:val="es-ES"/>
        </w:rPr>
        <w:t>en la concesión del consentimiento fundamentado previo y de las condiciones mutuamente acordadas.</w:t>
      </w:r>
    </w:p>
    <w:p w14:paraId="6E0A7DE3" w14:textId="00FD498F" w:rsidR="00EE1C1B" w:rsidRPr="00E56A6E" w:rsidRDefault="00EE1C1B" w:rsidP="00EE1C1B">
      <w:pPr>
        <w:pStyle w:val="CBDNormalNumber"/>
        <w:rPr>
          <w:lang w:val="es-ES"/>
        </w:rPr>
      </w:pPr>
      <w:r w:rsidRPr="00E56A6E">
        <w:rPr>
          <w:lang w:val="es-ES"/>
        </w:rPr>
        <w:t xml:space="preserve">La falta de capacidad para negociar condiciones </w:t>
      </w:r>
      <w:r w:rsidR="00AB521B" w:rsidRPr="00E56A6E">
        <w:rPr>
          <w:lang w:val="es-ES"/>
        </w:rPr>
        <w:t>mutuamente acordadas</w:t>
      </w:r>
      <w:r w:rsidR="00F837FA" w:rsidRPr="00E56A6E">
        <w:rPr>
          <w:lang w:val="es-ES"/>
        </w:rPr>
        <w:t>, así como</w:t>
      </w:r>
      <w:r w:rsidR="00D80288" w:rsidRPr="00E56A6E">
        <w:rPr>
          <w:lang w:val="es-ES"/>
        </w:rPr>
        <w:t xml:space="preserve"> </w:t>
      </w:r>
      <w:r w:rsidRPr="00E56A6E">
        <w:rPr>
          <w:lang w:val="es-ES"/>
        </w:rPr>
        <w:t xml:space="preserve">las dificultades relacionadas con </w:t>
      </w:r>
      <w:r w:rsidR="003C7DF7" w:rsidRPr="00E56A6E">
        <w:rPr>
          <w:lang w:val="es-ES"/>
        </w:rPr>
        <w:t xml:space="preserve">procurar </w:t>
      </w:r>
      <w:r w:rsidRPr="00E56A6E">
        <w:rPr>
          <w:lang w:val="es-ES"/>
        </w:rPr>
        <w:t xml:space="preserve">los conocimientos técnicos especializados necesarios para determinar el valor monetario de un recurso genético en el momento del acceso o </w:t>
      </w:r>
      <w:r w:rsidR="00D7769B" w:rsidRPr="00E56A6E">
        <w:rPr>
          <w:lang w:val="es-ES"/>
        </w:rPr>
        <w:t xml:space="preserve">en </w:t>
      </w:r>
      <w:r w:rsidRPr="00E56A6E">
        <w:rPr>
          <w:lang w:val="es-ES"/>
        </w:rPr>
        <w:t xml:space="preserve">las primeras etapas de la investigación, </w:t>
      </w:r>
      <w:r w:rsidR="003C7DF7" w:rsidRPr="00E56A6E">
        <w:rPr>
          <w:lang w:val="es-ES"/>
        </w:rPr>
        <w:t xml:space="preserve">a menudo </w:t>
      </w:r>
      <w:r w:rsidR="00531BD6" w:rsidRPr="00E56A6E">
        <w:rPr>
          <w:lang w:val="es-ES"/>
        </w:rPr>
        <w:t>se ha</w:t>
      </w:r>
      <w:r w:rsidR="00F837FA" w:rsidRPr="00E56A6E">
        <w:rPr>
          <w:lang w:val="es-ES"/>
        </w:rPr>
        <w:t xml:space="preserve"> señalad</w:t>
      </w:r>
      <w:r w:rsidR="00531BD6" w:rsidRPr="00E56A6E">
        <w:rPr>
          <w:lang w:val="es-ES"/>
        </w:rPr>
        <w:t>o</w:t>
      </w:r>
      <w:r w:rsidR="00F837FA" w:rsidRPr="00E56A6E">
        <w:rPr>
          <w:lang w:val="es-ES"/>
        </w:rPr>
        <w:t xml:space="preserve"> como </w:t>
      </w:r>
      <w:r w:rsidR="00531BD6" w:rsidRPr="00E56A6E">
        <w:rPr>
          <w:lang w:val="es-ES"/>
        </w:rPr>
        <w:t xml:space="preserve">un </w:t>
      </w:r>
      <w:r w:rsidR="00F837FA" w:rsidRPr="00E56A6E">
        <w:rPr>
          <w:lang w:val="es-ES"/>
        </w:rPr>
        <w:t>problema</w:t>
      </w:r>
      <w:r w:rsidR="00531BD6" w:rsidRPr="00E56A6E">
        <w:rPr>
          <w:lang w:val="es-ES"/>
        </w:rPr>
        <w:t xml:space="preserve"> </w:t>
      </w:r>
      <w:r w:rsidRPr="00E56A6E">
        <w:rPr>
          <w:lang w:val="es-ES"/>
        </w:rPr>
        <w:t xml:space="preserve">para los </w:t>
      </w:r>
      <w:r w:rsidR="005D5027" w:rsidRPr="00E56A6E">
        <w:rPr>
          <w:lang w:val="es-ES"/>
        </w:rPr>
        <w:t>Gobiernos</w:t>
      </w:r>
      <w:r w:rsidRPr="00E56A6E">
        <w:rPr>
          <w:lang w:val="es-ES"/>
        </w:rPr>
        <w:t xml:space="preserve">. </w:t>
      </w:r>
      <w:r w:rsidR="009D656B" w:rsidRPr="00E56A6E">
        <w:rPr>
          <w:lang w:val="es-ES"/>
        </w:rPr>
        <w:t xml:space="preserve">En caso de que los Gobiernos y poseedores de conocimientos tradicionales </w:t>
      </w:r>
      <w:r w:rsidR="00531BD6" w:rsidRPr="00E56A6E">
        <w:rPr>
          <w:lang w:val="es-ES"/>
        </w:rPr>
        <w:t xml:space="preserve">posean </w:t>
      </w:r>
      <w:r w:rsidRPr="00E56A6E">
        <w:rPr>
          <w:lang w:val="es-ES"/>
        </w:rPr>
        <w:t>conocimiento</w:t>
      </w:r>
      <w:r w:rsidR="009D656B" w:rsidRPr="00E56A6E">
        <w:rPr>
          <w:lang w:val="es-ES"/>
        </w:rPr>
        <w:t>s</w:t>
      </w:r>
      <w:r w:rsidRPr="00E56A6E">
        <w:rPr>
          <w:lang w:val="es-ES"/>
        </w:rPr>
        <w:t xml:space="preserve"> limitado</w:t>
      </w:r>
      <w:r w:rsidR="009D656B" w:rsidRPr="00E56A6E">
        <w:rPr>
          <w:lang w:val="es-ES"/>
        </w:rPr>
        <w:t>s</w:t>
      </w:r>
      <w:r w:rsidRPr="00E56A6E">
        <w:rPr>
          <w:lang w:val="es-ES"/>
        </w:rPr>
        <w:t xml:space="preserve"> del entorno comercial, los flujos de materiales y las complejidades de las cadenas de suministro, las cadenas de valor y la innovación</w:t>
      </w:r>
      <w:r w:rsidR="009D656B" w:rsidRPr="00E56A6E">
        <w:rPr>
          <w:lang w:val="es-ES"/>
        </w:rPr>
        <w:t xml:space="preserve">, se </w:t>
      </w:r>
      <w:r w:rsidRPr="00E56A6E">
        <w:rPr>
          <w:lang w:val="es-ES"/>
        </w:rPr>
        <w:t>podría</w:t>
      </w:r>
      <w:r w:rsidR="009D656B" w:rsidRPr="00E56A6E">
        <w:rPr>
          <w:lang w:val="es-ES"/>
        </w:rPr>
        <w:t>n</w:t>
      </w:r>
      <w:r w:rsidRPr="00E56A6E">
        <w:rPr>
          <w:lang w:val="es-ES"/>
        </w:rPr>
        <w:t xml:space="preserve"> complicar las negociaciones. Tal situación podría dar lugar a insatisfacción y retrasos en la negociación de beneficios monetarios justos y equitativos. </w:t>
      </w:r>
    </w:p>
    <w:p w14:paraId="1B1B4B6E" w14:textId="79051EE7" w:rsidR="00EE1C1B" w:rsidRPr="00E56A6E" w:rsidRDefault="00EE1C1B" w:rsidP="00353A04">
      <w:pPr>
        <w:pStyle w:val="CBDNormalNumber"/>
        <w:rPr>
          <w:lang w:val="es-ES"/>
        </w:rPr>
      </w:pPr>
      <w:r w:rsidRPr="00E56A6E">
        <w:rPr>
          <w:lang w:val="es-ES"/>
        </w:rPr>
        <w:t xml:space="preserve">La brecha cultural y de mentalidad entre los representantes gubernamentales y empresariales podría plantear </w:t>
      </w:r>
      <w:r w:rsidR="00EE7328" w:rsidRPr="00E56A6E">
        <w:rPr>
          <w:lang w:val="es-ES"/>
        </w:rPr>
        <w:t xml:space="preserve">problemas importantes </w:t>
      </w:r>
      <w:r w:rsidRPr="00E56A6E">
        <w:rPr>
          <w:lang w:val="es-ES"/>
        </w:rPr>
        <w:t xml:space="preserve">a la hora de negociar condiciones </w:t>
      </w:r>
      <w:r w:rsidR="00EC5D39" w:rsidRPr="00E56A6E">
        <w:rPr>
          <w:lang w:val="es-ES"/>
        </w:rPr>
        <w:t xml:space="preserve">mutuamente acordadas </w:t>
      </w:r>
      <w:r w:rsidRPr="00E56A6E">
        <w:rPr>
          <w:lang w:val="es-ES"/>
        </w:rPr>
        <w:t xml:space="preserve">y dar lugar a diferencias en las expectativas. Además, las asimetrías de información, junto con las disparidades en la capacidad jurídica, técnica y de negociación, podrían crear desequilibrios de poder, </w:t>
      </w:r>
      <w:r w:rsidR="0001526A" w:rsidRPr="00E56A6E">
        <w:rPr>
          <w:lang w:val="es-ES"/>
        </w:rPr>
        <w:t xml:space="preserve">menoscabar </w:t>
      </w:r>
      <w:r w:rsidRPr="00E56A6E">
        <w:rPr>
          <w:lang w:val="es-ES"/>
        </w:rPr>
        <w:t xml:space="preserve">la confianza mutua y </w:t>
      </w:r>
      <w:r w:rsidR="00E9387C" w:rsidRPr="00E56A6E">
        <w:rPr>
          <w:lang w:val="es-ES"/>
        </w:rPr>
        <w:t xml:space="preserve">demorar </w:t>
      </w:r>
      <w:r w:rsidRPr="00E56A6E">
        <w:rPr>
          <w:lang w:val="es-ES"/>
        </w:rPr>
        <w:t xml:space="preserve">el proceso de negociación. Se señaló que los usuarios percibían la </w:t>
      </w:r>
      <w:r w:rsidR="00CA2892" w:rsidRPr="00E56A6E">
        <w:rPr>
          <w:lang w:val="es-ES"/>
        </w:rPr>
        <w:t>participación en los beneficios</w:t>
      </w:r>
      <w:r w:rsidRPr="00E56A6E">
        <w:rPr>
          <w:lang w:val="es-ES"/>
        </w:rPr>
        <w:t xml:space="preserve"> como un costo que trataban de evitar o </w:t>
      </w:r>
      <w:r w:rsidR="006F3724" w:rsidRPr="00E56A6E">
        <w:rPr>
          <w:lang w:val="es-ES"/>
        </w:rPr>
        <w:t>reducir al mínimo</w:t>
      </w:r>
      <w:r w:rsidRPr="00E56A6E">
        <w:rPr>
          <w:lang w:val="es-ES"/>
        </w:rPr>
        <w:t>.</w:t>
      </w:r>
    </w:p>
    <w:p w14:paraId="2306BAAE" w14:textId="6A990C0D" w:rsidR="004C5B74" w:rsidRPr="00E56A6E" w:rsidRDefault="000F352B" w:rsidP="000F352B">
      <w:pPr>
        <w:pStyle w:val="CBDH4"/>
        <w:rPr>
          <w:lang w:val="es-ES"/>
        </w:rPr>
      </w:pPr>
      <w:r w:rsidRPr="00E56A6E">
        <w:rPr>
          <w:lang w:val="es-ES"/>
        </w:rPr>
        <w:t>c)</w:t>
      </w:r>
      <w:r w:rsidRPr="00E56A6E">
        <w:rPr>
          <w:lang w:val="es-ES"/>
        </w:rPr>
        <w:tab/>
      </w:r>
      <w:r w:rsidR="0038066F" w:rsidRPr="00E56A6E">
        <w:rPr>
          <w:lang w:val="es-ES"/>
        </w:rPr>
        <w:t>Posibles maneras</w:t>
      </w:r>
      <w:r w:rsidR="00353A04" w:rsidRPr="00E56A6E">
        <w:rPr>
          <w:lang w:val="es-ES"/>
        </w:rPr>
        <w:t xml:space="preserve"> de mejorar las medidas de aplicación relacionadas con el acceso</w:t>
      </w:r>
    </w:p>
    <w:p w14:paraId="45A46735" w14:textId="5917F839" w:rsidR="00E038CB" w:rsidRPr="00E56A6E" w:rsidRDefault="00353A04" w:rsidP="00CD2C50">
      <w:pPr>
        <w:pStyle w:val="CBDNormalNumber"/>
        <w:rPr>
          <w:lang w:val="es-ES"/>
        </w:rPr>
      </w:pPr>
      <w:r w:rsidRPr="00E56A6E">
        <w:rPr>
          <w:lang w:val="es-ES"/>
        </w:rPr>
        <w:t xml:space="preserve">En los primeros informes nacionales y en el </w:t>
      </w:r>
      <w:r w:rsidR="00B007EB" w:rsidRPr="00E56A6E">
        <w:rPr>
          <w:lang w:val="es-ES"/>
        </w:rPr>
        <w:t>estudio preliminar</w:t>
      </w:r>
      <w:r w:rsidRPr="00E56A6E">
        <w:rPr>
          <w:lang w:val="es-ES"/>
        </w:rPr>
        <w:t xml:space="preserve"> se </w:t>
      </w:r>
      <w:r w:rsidR="00317B52" w:rsidRPr="00E56A6E">
        <w:rPr>
          <w:lang w:val="es-ES"/>
        </w:rPr>
        <w:t xml:space="preserve">definieron </w:t>
      </w:r>
      <w:r w:rsidRPr="00E56A6E">
        <w:rPr>
          <w:lang w:val="es-ES"/>
        </w:rPr>
        <w:t xml:space="preserve">las siguientes medidas y soluciones que podrían facilitar el proceso de </w:t>
      </w:r>
      <w:r w:rsidR="00CA2892" w:rsidRPr="00E56A6E">
        <w:rPr>
          <w:lang w:val="es-ES"/>
        </w:rPr>
        <w:t>acceso y participación en los beneficios</w:t>
      </w:r>
      <w:r w:rsidRPr="00E56A6E">
        <w:rPr>
          <w:lang w:val="es-ES"/>
        </w:rPr>
        <w:t xml:space="preserve"> y dar lugar a una mayor </w:t>
      </w:r>
      <w:r w:rsidR="00F85B74" w:rsidRPr="00E56A6E">
        <w:rPr>
          <w:lang w:val="es-ES"/>
        </w:rPr>
        <w:t xml:space="preserve">participación en </w:t>
      </w:r>
      <w:r w:rsidRPr="00E56A6E">
        <w:rPr>
          <w:lang w:val="es-ES"/>
        </w:rPr>
        <w:t>los mismos:</w:t>
      </w:r>
    </w:p>
    <w:p w14:paraId="649EB019" w14:textId="0AA7A2BC" w:rsidR="00353A04" w:rsidRPr="00E56A6E" w:rsidRDefault="00353A04" w:rsidP="00320511">
      <w:pPr>
        <w:pStyle w:val="CBDNormalNumber"/>
        <w:numPr>
          <w:ilvl w:val="1"/>
          <w:numId w:val="7"/>
        </w:numPr>
        <w:ind w:left="567" w:firstLine="567"/>
        <w:rPr>
          <w:lang w:val="es-ES"/>
        </w:rPr>
      </w:pPr>
      <w:r w:rsidRPr="00E56A6E">
        <w:rPr>
          <w:lang w:val="es-ES"/>
        </w:rPr>
        <w:t xml:space="preserve">La </w:t>
      </w:r>
      <w:r w:rsidR="00D2518A" w:rsidRPr="00E56A6E">
        <w:rPr>
          <w:lang w:val="es-ES"/>
        </w:rPr>
        <w:t xml:space="preserve">colaboración temprana con </w:t>
      </w:r>
      <w:r w:rsidRPr="00E56A6E">
        <w:rPr>
          <w:lang w:val="es-ES"/>
        </w:rPr>
        <w:t xml:space="preserve">los usuarios, los pueblos indígenas y las comunidades locales, lo que podría contribuir a </w:t>
      </w:r>
      <w:r w:rsidR="00D2518A" w:rsidRPr="00E56A6E">
        <w:rPr>
          <w:lang w:val="es-ES"/>
        </w:rPr>
        <w:t xml:space="preserve">lograr </w:t>
      </w:r>
      <w:r w:rsidRPr="00E56A6E">
        <w:rPr>
          <w:lang w:val="es-ES"/>
        </w:rPr>
        <w:t>la aceptación y la aplicabilidad de los requisitos de acceso;</w:t>
      </w:r>
    </w:p>
    <w:p w14:paraId="6EC2486E" w14:textId="2C40A9C6" w:rsidR="00353A04" w:rsidRPr="00E56A6E" w:rsidRDefault="00353A04" w:rsidP="00320511">
      <w:pPr>
        <w:pStyle w:val="CBDNormalNumber"/>
        <w:numPr>
          <w:ilvl w:val="1"/>
          <w:numId w:val="7"/>
        </w:numPr>
        <w:ind w:left="567" w:firstLine="567"/>
        <w:rPr>
          <w:lang w:val="es-ES"/>
        </w:rPr>
      </w:pPr>
      <w:r w:rsidRPr="00E56A6E">
        <w:rPr>
          <w:lang w:val="es-ES"/>
        </w:rPr>
        <w:lastRenderedPageBreak/>
        <w:t xml:space="preserve">El establecimiento de requisitos nacionales transparentes en materia de acceso y participación en los beneficios, </w:t>
      </w:r>
      <w:r w:rsidR="007F468E" w:rsidRPr="00E56A6E">
        <w:rPr>
          <w:lang w:val="es-ES"/>
        </w:rPr>
        <w:t xml:space="preserve">en particular </w:t>
      </w:r>
      <w:r w:rsidRPr="00E56A6E">
        <w:rPr>
          <w:lang w:val="es-ES"/>
        </w:rPr>
        <w:t xml:space="preserve">definiciones claras de lo que entra o queda fuera del ámbito de aplicación de las medidas nacionales </w:t>
      </w:r>
      <w:r w:rsidR="007F468E" w:rsidRPr="00E56A6E">
        <w:rPr>
          <w:lang w:val="es-ES"/>
        </w:rPr>
        <w:t>de</w:t>
      </w:r>
      <w:r w:rsidRPr="00E56A6E">
        <w:rPr>
          <w:lang w:val="es-ES"/>
        </w:rPr>
        <w:t xml:space="preserve"> </w:t>
      </w:r>
      <w:r w:rsidR="007F468E" w:rsidRPr="00E56A6E">
        <w:rPr>
          <w:lang w:val="es-ES"/>
        </w:rPr>
        <w:t>acceso y participación en los beneficios (</w:t>
      </w:r>
      <w:r w:rsidR="00B71E87" w:rsidRPr="00E56A6E">
        <w:rPr>
          <w:lang w:val="es-ES"/>
        </w:rPr>
        <w:t>APB</w:t>
      </w:r>
      <w:r w:rsidR="007F468E" w:rsidRPr="00E56A6E">
        <w:rPr>
          <w:lang w:val="es-ES"/>
        </w:rPr>
        <w:t>)</w:t>
      </w:r>
      <w:r w:rsidRPr="00E56A6E">
        <w:rPr>
          <w:lang w:val="es-ES"/>
        </w:rPr>
        <w:t xml:space="preserve">, lo que facilitaría aún más el cumplimiento de los requisitos de acceso. Esto ayudaría a los usuarios a determinar </w:t>
      </w:r>
      <w:r w:rsidR="004F09EC" w:rsidRPr="00E56A6E">
        <w:rPr>
          <w:lang w:val="es-ES"/>
        </w:rPr>
        <w:t xml:space="preserve">en las primeras etapas </w:t>
      </w:r>
      <w:r w:rsidRPr="00E56A6E">
        <w:rPr>
          <w:lang w:val="es-ES"/>
        </w:rPr>
        <w:t xml:space="preserve">si se aplican las obligaciones de acceso y participación en los beneficios. El objetivo sería evitar largos intercambios preliminares, ahorrar tiempo y reducir las cargas administrativas que </w:t>
      </w:r>
      <w:r w:rsidR="00D50917" w:rsidRPr="00E56A6E">
        <w:rPr>
          <w:lang w:val="es-ES"/>
        </w:rPr>
        <w:t xml:space="preserve">puedan pesar sobre </w:t>
      </w:r>
      <w:r w:rsidRPr="00E56A6E">
        <w:rPr>
          <w:lang w:val="es-ES"/>
        </w:rPr>
        <w:t>los proveedores y los usuarios;</w:t>
      </w:r>
      <w:r w:rsidR="001E37A2" w:rsidRPr="00E56A6E">
        <w:rPr>
          <w:lang w:val="es-ES"/>
        </w:rPr>
        <w:t xml:space="preserve"> </w:t>
      </w:r>
    </w:p>
    <w:p w14:paraId="0AF6412C" w14:textId="49C03E09" w:rsidR="00353A04" w:rsidRPr="00E56A6E" w:rsidRDefault="00353A04" w:rsidP="00320511">
      <w:pPr>
        <w:pStyle w:val="CBDNormalNumber"/>
        <w:numPr>
          <w:ilvl w:val="1"/>
          <w:numId w:val="7"/>
        </w:numPr>
        <w:ind w:left="567" w:firstLine="567"/>
        <w:rPr>
          <w:lang w:val="es-ES"/>
        </w:rPr>
      </w:pPr>
      <w:r w:rsidRPr="00E56A6E">
        <w:rPr>
          <w:lang w:val="es-ES"/>
        </w:rPr>
        <w:t xml:space="preserve">Guías por países, procedimientos paso a paso, plantillas simplificadas para las solicitudes de acceso, documentación normalizada </w:t>
      </w:r>
      <w:r w:rsidR="006954E8" w:rsidRPr="00E56A6E">
        <w:rPr>
          <w:lang w:val="es-ES"/>
        </w:rPr>
        <w:t>–</w:t>
      </w:r>
      <w:r w:rsidR="009414A6" w:rsidRPr="00E56A6E">
        <w:rPr>
          <w:lang w:val="es-ES"/>
        </w:rPr>
        <w:t xml:space="preserve">por </w:t>
      </w:r>
      <w:proofErr w:type="gramStart"/>
      <w:r w:rsidR="009414A6" w:rsidRPr="00E56A6E">
        <w:rPr>
          <w:lang w:val="es-ES"/>
        </w:rPr>
        <w:t>ejemplo</w:t>
      </w:r>
      <w:proofErr w:type="gramEnd"/>
      <w:r w:rsidR="009414A6" w:rsidRPr="00E56A6E">
        <w:rPr>
          <w:lang w:val="es-ES"/>
        </w:rPr>
        <w:t xml:space="preserve"> </w:t>
      </w:r>
      <w:r w:rsidRPr="00E56A6E">
        <w:rPr>
          <w:lang w:val="es-ES"/>
        </w:rPr>
        <w:t>formularios de solicitud</w:t>
      </w:r>
      <w:r w:rsidR="006954E8" w:rsidRPr="00E56A6E">
        <w:rPr>
          <w:lang w:val="es-ES"/>
        </w:rPr>
        <w:t>–</w:t>
      </w:r>
      <w:r w:rsidRPr="00E56A6E">
        <w:rPr>
          <w:lang w:val="es-ES"/>
        </w:rPr>
        <w:t xml:space="preserve">, listas de verificación que resuman la información necesaria, plantillas para </w:t>
      </w:r>
      <w:r w:rsidR="009414A6" w:rsidRPr="00E56A6E">
        <w:rPr>
          <w:lang w:val="es-ES"/>
        </w:rPr>
        <w:t>las condiciones mutuamente acordadas</w:t>
      </w:r>
      <w:r w:rsidRPr="00E56A6E">
        <w:rPr>
          <w:lang w:val="es-ES"/>
        </w:rPr>
        <w:t xml:space="preserve">, parámetros definidos para la </w:t>
      </w:r>
      <w:r w:rsidR="00CA2892" w:rsidRPr="00E56A6E">
        <w:rPr>
          <w:lang w:val="es-ES"/>
        </w:rPr>
        <w:t>participación en los beneficios</w:t>
      </w:r>
      <w:r w:rsidRPr="00E56A6E">
        <w:rPr>
          <w:lang w:val="es-ES"/>
        </w:rPr>
        <w:t xml:space="preserve">, una lista de posibles beneficios monetarios y no monetarios y plazos previsibles, lo que facilitaría </w:t>
      </w:r>
      <w:r w:rsidR="003868F0" w:rsidRPr="00E56A6E">
        <w:rPr>
          <w:lang w:val="es-ES"/>
        </w:rPr>
        <w:t xml:space="preserve">en gran medida </w:t>
      </w:r>
      <w:r w:rsidRPr="00E56A6E">
        <w:rPr>
          <w:lang w:val="es-ES"/>
        </w:rPr>
        <w:t xml:space="preserve">el proceso; </w:t>
      </w:r>
    </w:p>
    <w:p w14:paraId="6F5E9CBB" w14:textId="4A15A8CC" w:rsidR="00353A04" w:rsidRPr="00E56A6E" w:rsidRDefault="00353A04" w:rsidP="00320511">
      <w:pPr>
        <w:pStyle w:val="CBDNormalNumber"/>
        <w:numPr>
          <w:ilvl w:val="1"/>
          <w:numId w:val="7"/>
        </w:numPr>
        <w:ind w:left="567" w:firstLine="567"/>
        <w:rPr>
          <w:lang w:val="es-ES"/>
        </w:rPr>
      </w:pPr>
      <w:r w:rsidRPr="00E56A6E">
        <w:rPr>
          <w:lang w:val="es-ES"/>
        </w:rPr>
        <w:t xml:space="preserve">Los sistemas de apoyo al usuario, </w:t>
      </w:r>
      <w:r w:rsidR="00183B70" w:rsidRPr="00E56A6E">
        <w:rPr>
          <w:lang w:val="es-ES"/>
        </w:rPr>
        <w:t xml:space="preserve">entre ellos </w:t>
      </w:r>
      <w:r w:rsidRPr="00E56A6E">
        <w:rPr>
          <w:lang w:val="es-ES"/>
        </w:rPr>
        <w:t xml:space="preserve">los sistemas en línea para la presentación y el seguimiento de las solicitudes de </w:t>
      </w:r>
      <w:r w:rsidR="00CA2892" w:rsidRPr="00E56A6E">
        <w:rPr>
          <w:lang w:val="es-ES"/>
        </w:rPr>
        <w:t>acceso y participación en los beneficios</w:t>
      </w:r>
      <w:r w:rsidRPr="00E56A6E">
        <w:rPr>
          <w:lang w:val="es-ES"/>
        </w:rPr>
        <w:t xml:space="preserve">, podrían ayudar a mejorar la seguridad jurídica para los usuarios y contribuir a un entorno más </w:t>
      </w:r>
      <w:r w:rsidR="00183B70" w:rsidRPr="00E56A6E">
        <w:rPr>
          <w:lang w:val="es-ES"/>
        </w:rPr>
        <w:t xml:space="preserve">previsible </w:t>
      </w:r>
      <w:r w:rsidRPr="00E56A6E">
        <w:rPr>
          <w:lang w:val="es-ES"/>
        </w:rPr>
        <w:t>para las inversiones;</w:t>
      </w:r>
    </w:p>
    <w:p w14:paraId="25E50AFA" w14:textId="00824D2B" w:rsidR="00353A04" w:rsidRPr="00E56A6E" w:rsidRDefault="00353A04" w:rsidP="00320511">
      <w:pPr>
        <w:pStyle w:val="CBDNormalNumber"/>
        <w:numPr>
          <w:ilvl w:val="1"/>
          <w:numId w:val="7"/>
        </w:numPr>
        <w:ind w:left="567" w:firstLine="567"/>
        <w:rPr>
          <w:lang w:val="es-ES"/>
        </w:rPr>
      </w:pPr>
      <w:r w:rsidRPr="00E56A6E">
        <w:rPr>
          <w:lang w:val="es-ES"/>
        </w:rPr>
        <w:t xml:space="preserve">La disponibilidad de puntos focales nacionales que presten apoyo y respondan con agilidad, así como de autoridades nacionales competentes, cuando se reciban solicitudes de acceso y durante la negociación de la </w:t>
      </w:r>
      <w:r w:rsidR="00CA2892" w:rsidRPr="00E56A6E">
        <w:rPr>
          <w:lang w:val="es-ES"/>
        </w:rPr>
        <w:t>participación en los beneficios</w:t>
      </w:r>
      <w:r w:rsidRPr="00E56A6E">
        <w:rPr>
          <w:lang w:val="es-ES"/>
        </w:rPr>
        <w:t>;</w:t>
      </w:r>
    </w:p>
    <w:p w14:paraId="043EEE78" w14:textId="195C1C64" w:rsidR="00353A04" w:rsidRPr="00E56A6E" w:rsidRDefault="00353A04" w:rsidP="00320511">
      <w:pPr>
        <w:pStyle w:val="CBDNormalNumber"/>
        <w:numPr>
          <w:ilvl w:val="1"/>
          <w:numId w:val="7"/>
        </w:numPr>
        <w:ind w:left="567" w:firstLine="567"/>
        <w:rPr>
          <w:lang w:val="es-ES"/>
        </w:rPr>
      </w:pPr>
      <w:r w:rsidRPr="00E56A6E">
        <w:rPr>
          <w:lang w:val="es-ES"/>
        </w:rPr>
        <w:t>Procedimientos simplificados para el uso no comercial, lo que facilitaría el acceso y permitiría a los países mantener</w:t>
      </w:r>
      <w:r w:rsidR="00183B70" w:rsidRPr="00E56A6E">
        <w:rPr>
          <w:lang w:val="es-ES"/>
        </w:rPr>
        <w:t xml:space="preserve"> el seguimiento</w:t>
      </w:r>
      <w:r w:rsidRPr="00E56A6E">
        <w:rPr>
          <w:lang w:val="es-ES"/>
        </w:rPr>
        <w:t xml:space="preserve">, evitando al mismo tiempo </w:t>
      </w:r>
      <w:r w:rsidR="00183B70" w:rsidRPr="00E56A6E">
        <w:rPr>
          <w:lang w:val="es-ES"/>
        </w:rPr>
        <w:t xml:space="preserve">impedimentos </w:t>
      </w:r>
      <w:r w:rsidRPr="00E56A6E">
        <w:rPr>
          <w:lang w:val="es-ES"/>
        </w:rPr>
        <w:t>a las actividades científicas mutuamente beneficiosas;</w:t>
      </w:r>
    </w:p>
    <w:p w14:paraId="5590BB7C" w14:textId="353DCBE7" w:rsidR="00353A04" w:rsidRPr="00E56A6E" w:rsidRDefault="00353A04" w:rsidP="00320511">
      <w:pPr>
        <w:pStyle w:val="CBDNormalNumber"/>
        <w:numPr>
          <w:ilvl w:val="1"/>
          <w:numId w:val="7"/>
        </w:numPr>
        <w:ind w:left="567" w:firstLine="567"/>
        <w:rPr>
          <w:lang w:val="es-ES"/>
        </w:rPr>
      </w:pPr>
      <w:r w:rsidRPr="00E56A6E">
        <w:rPr>
          <w:lang w:val="es-ES"/>
        </w:rPr>
        <w:t xml:space="preserve">Mantener la información del Centro de Intercambio de Información sobre Acceso y Participación en los Beneficios actualizada y fiable, lo que </w:t>
      </w:r>
      <w:r w:rsidR="00DC1294" w:rsidRPr="00E56A6E">
        <w:rPr>
          <w:lang w:val="es-ES"/>
        </w:rPr>
        <w:t xml:space="preserve">reforzaría </w:t>
      </w:r>
      <w:r w:rsidRPr="00E56A6E">
        <w:rPr>
          <w:lang w:val="es-ES"/>
        </w:rPr>
        <w:t>la credibilidad</w:t>
      </w:r>
      <w:r w:rsidR="00DC1294" w:rsidRPr="00E56A6E">
        <w:rPr>
          <w:lang w:val="es-ES"/>
        </w:rPr>
        <w:t xml:space="preserve"> a escala </w:t>
      </w:r>
      <w:r w:rsidRPr="00E56A6E">
        <w:rPr>
          <w:lang w:val="es-ES"/>
        </w:rPr>
        <w:t xml:space="preserve">nacional </w:t>
      </w:r>
      <w:r w:rsidR="00DC1294" w:rsidRPr="00E56A6E">
        <w:rPr>
          <w:lang w:val="es-ES"/>
        </w:rPr>
        <w:t xml:space="preserve">e </w:t>
      </w:r>
      <w:r w:rsidRPr="00E56A6E">
        <w:rPr>
          <w:lang w:val="es-ES"/>
        </w:rPr>
        <w:t xml:space="preserve">internacional, </w:t>
      </w:r>
      <w:r w:rsidR="00144D95" w:rsidRPr="00E56A6E">
        <w:rPr>
          <w:lang w:val="es-ES"/>
        </w:rPr>
        <w:t xml:space="preserve">mejoraría </w:t>
      </w:r>
      <w:r w:rsidRPr="00E56A6E">
        <w:rPr>
          <w:lang w:val="es-ES"/>
        </w:rPr>
        <w:t>la confianza en el sistema y haría que los requisitos de acceso y participación en los beneficios fueran más fáciles de comprender y cumplir para los investigadores y las empresas extranjeras.</w:t>
      </w:r>
    </w:p>
    <w:p w14:paraId="496F056B" w14:textId="5BA4B71D" w:rsidR="00777658" w:rsidRPr="00E56A6E" w:rsidRDefault="00777658" w:rsidP="00777658">
      <w:pPr>
        <w:pStyle w:val="CBDNormalNumber"/>
        <w:rPr>
          <w:lang w:val="es-ES"/>
        </w:rPr>
      </w:pPr>
      <w:r w:rsidRPr="00E56A6E">
        <w:rPr>
          <w:lang w:val="es-ES"/>
        </w:rPr>
        <w:t xml:space="preserve">El Centro de Intercambio de Información puede desempeñar un papel importante a la hora de facilitar el acceso a información normalizada </w:t>
      </w:r>
      <w:r w:rsidR="004A547E" w:rsidRPr="00E56A6E">
        <w:rPr>
          <w:lang w:val="es-ES"/>
        </w:rPr>
        <w:t xml:space="preserve">pertinente </w:t>
      </w:r>
      <w:r w:rsidRPr="00E56A6E">
        <w:rPr>
          <w:lang w:val="es-ES"/>
        </w:rPr>
        <w:t xml:space="preserve">para el acceso a los recursos genéticos y los conocimientos tradicionales </w:t>
      </w:r>
      <w:r w:rsidR="004A547E" w:rsidRPr="00E56A6E">
        <w:rPr>
          <w:lang w:val="es-ES"/>
        </w:rPr>
        <w:t>conexos</w:t>
      </w:r>
      <w:r w:rsidRPr="00E56A6E">
        <w:rPr>
          <w:lang w:val="es-ES"/>
        </w:rPr>
        <w:t>, así como en su calidad de principal repositorio para el intercambio de información sobre la aplicación del Protocolo y las mejores prácticas</w:t>
      </w:r>
      <w:r w:rsidRPr="00E56A6E">
        <w:rPr>
          <w:rStyle w:val="FootnoteReference"/>
          <w:lang w:val="es-ES"/>
        </w:rPr>
        <w:footnoteReference w:id="28"/>
      </w:r>
      <w:r w:rsidRPr="00E56A6E">
        <w:rPr>
          <w:lang w:val="es-ES"/>
        </w:rPr>
        <w:t xml:space="preserve">. </w:t>
      </w:r>
    </w:p>
    <w:p w14:paraId="0D3E5B2F" w14:textId="21CCB4EC" w:rsidR="00777658" w:rsidRPr="00E56A6E" w:rsidRDefault="00777658" w:rsidP="00777658">
      <w:pPr>
        <w:pStyle w:val="CBDNormalNumber"/>
        <w:rPr>
          <w:lang w:val="es-ES"/>
        </w:rPr>
      </w:pPr>
      <w:r w:rsidRPr="00E56A6E">
        <w:rPr>
          <w:lang w:val="es-ES"/>
        </w:rPr>
        <w:t xml:space="preserve">En el </w:t>
      </w:r>
      <w:r w:rsidR="00B007EB" w:rsidRPr="00E56A6E">
        <w:rPr>
          <w:lang w:val="es-ES"/>
        </w:rPr>
        <w:t>estudio preliminar</w:t>
      </w:r>
      <w:r w:rsidRPr="00E56A6E">
        <w:rPr>
          <w:lang w:val="es-ES"/>
        </w:rPr>
        <w:t xml:space="preserve"> se han </w:t>
      </w:r>
      <w:r w:rsidR="006C730F" w:rsidRPr="00E56A6E">
        <w:rPr>
          <w:lang w:val="es-ES"/>
        </w:rPr>
        <w:t xml:space="preserve">propuesto </w:t>
      </w:r>
      <w:r w:rsidRPr="00E56A6E">
        <w:rPr>
          <w:lang w:val="es-ES"/>
        </w:rPr>
        <w:t>varios mecanismos para apoyar las asociaciones en materia de acceso y participación en los beneficios, entre los que se incluyen:</w:t>
      </w:r>
    </w:p>
    <w:p w14:paraId="07E8779E" w14:textId="77777777" w:rsidR="006C730F" w:rsidRPr="00E56A6E" w:rsidRDefault="006C730F" w:rsidP="00320511">
      <w:pPr>
        <w:pStyle w:val="CBDNormalNumber"/>
        <w:numPr>
          <w:ilvl w:val="1"/>
          <w:numId w:val="7"/>
        </w:numPr>
        <w:ind w:left="567" w:firstLine="567"/>
        <w:rPr>
          <w:lang w:val="es-ES"/>
        </w:rPr>
      </w:pPr>
      <w:r w:rsidRPr="00E56A6E">
        <w:rPr>
          <w:lang w:val="es-ES"/>
        </w:rPr>
        <w:t>Servicios de asesoramiento técnico o jurídico a disposición de usuarios y proveedores;</w:t>
      </w:r>
    </w:p>
    <w:p w14:paraId="39C5DF5A" w14:textId="534E8F9E" w:rsidR="00B8267B" w:rsidRPr="00E56A6E" w:rsidRDefault="00B8267B" w:rsidP="00320511">
      <w:pPr>
        <w:pStyle w:val="CBDNormalNumber"/>
        <w:numPr>
          <w:ilvl w:val="1"/>
          <w:numId w:val="7"/>
        </w:numPr>
        <w:ind w:left="567" w:firstLine="567"/>
        <w:rPr>
          <w:lang w:val="es-ES"/>
        </w:rPr>
      </w:pPr>
      <w:r w:rsidRPr="00E56A6E">
        <w:rPr>
          <w:lang w:val="es-ES"/>
        </w:rPr>
        <w:t>Un mediador central organizado, que se ocupe, entre otras cosas, del intercambio de conocimientos entre usuarios y proveedores;</w:t>
      </w:r>
    </w:p>
    <w:p w14:paraId="2F19C82F" w14:textId="525BD241" w:rsidR="00B8267B" w:rsidRPr="00E56A6E" w:rsidRDefault="00B8267B" w:rsidP="00320511">
      <w:pPr>
        <w:pStyle w:val="CBDNormalNumber"/>
        <w:numPr>
          <w:ilvl w:val="1"/>
          <w:numId w:val="7"/>
        </w:numPr>
        <w:ind w:left="567" w:firstLine="567"/>
        <w:rPr>
          <w:lang w:val="es-ES"/>
        </w:rPr>
      </w:pPr>
      <w:r w:rsidRPr="00E56A6E">
        <w:rPr>
          <w:lang w:val="es-ES"/>
        </w:rPr>
        <w:t xml:space="preserve">La integración del acceso y la </w:t>
      </w:r>
      <w:r w:rsidR="00CA2892" w:rsidRPr="00E56A6E">
        <w:rPr>
          <w:lang w:val="es-ES"/>
        </w:rPr>
        <w:t>participación en los beneficios</w:t>
      </w:r>
      <w:r w:rsidRPr="00E56A6E">
        <w:rPr>
          <w:lang w:val="es-ES"/>
        </w:rPr>
        <w:t xml:space="preserve"> en marcos de cooperación institucional más amplios (por ejemplo, memorandos de entendimiento entre organizaciones de investigación, programas de investigación a largo plazo y redes regionales) podría transformar el acceso y la </w:t>
      </w:r>
      <w:r w:rsidR="00CA2892" w:rsidRPr="00E56A6E">
        <w:rPr>
          <w:lang w:val="es-ES"/>
        </w:rPr>
        <w:t>participación en los beneficios</w:t>
      </w:r>
      <w:r w:rsidRPr="00E56A6E">
        <w:rPr>
          <w:lang w:val="es-ES"/>
        </w:rPr>
        <w:t xml:space="preserve"> de un proceso transaccional en una base para la colaboración sostenida, la confianza y resultados mutuamente beneficiosos;</w:t>
      </w:r>
    </w:p>
    <w:p w14:paraId="139FE4E2" w14:textId="1123553B" w:rsidR="00B8267B" w:rsidRPr="00E56A6E" w:rsidRDefault="00C13816" w:rsidP="00320511">
      <w:pPr>
        <w:pStyle w:val="CBDNormalNumber"/>
        <w:numPr>
          <w:ilvl w:val="1"/>
          <w:numId w:val="7"/>
        </w:numPr>
        <w:ind w:left="567" w:firstLine="567"/>
        <w:rPr>
          <w:lang w:val="es-ES"/>
        </w:rPr>
      </w:pPr>
      <w:r w:rsidRPr="00E56A6E">
        <w:rPr>
          <w:lang w:val="es-ES"/>
        </w:rPr>
        <w:t>La c</w:t>
      </w:r>
      <w:r w:rsidR="00B8267B" w:rsidRPr="00E56A6E">
        <w:rPr>
          <w:lang w:val="es-ES"/>
        </w:rPr>
        <w:t xml:space="preserve">reación de plataformas o centros de </w:t>
      </w:r>
      <w:r w:rsidR="00A13D89" w:rsidRPr="00E56A6E">
        <w:rPr>
          <w:lang w:val="es-ES"/>
        </w:rPr>
        <w:t>vinculación</w:t>
      </w:r>
      <w:r w:rsidR="00B8267B" w:rsidRPr="00E56A6E">
        <w:rPr>
          <w:lang w:val="es-ES"/>
        </w:rPr>
        <w:t xml:space="preserve"> que puedan facilitar las asociaciones entre el sector público y el privado y poner en contacto a usuarios y proveedores, y que </w:t>
      </w:r>
      <w:r w:rsidR="00B8267B" w:rsidRPr="00E56A6E">
        <w:rPr>
          <w:lang w:val="es-ES"/>
        </w:rPr>
        <w:lastRenderedPageBreak/>
        <w:t xml:space="preserve">también puedan </w:t>
      </w:r>
      <w:r w:rsidR="00E62984" w:rsidRPr="00E56A6E">
        <w:rPr>
          <w:lang w:val="es-ES"/>
        </w:rPr>
        <w:t xml:space="preserve">emplearse </w:t>
      </w:r>
      <w:r w:rsidR="00B8267B" w:rsidRPr="00E56A6E">
        <w:rPr>
          <w:lang w:val="es-ES"/>
        </w:rPr>
        <w:t xml:space="preserve">para </w:t>
      </w:r>
      <w:r w:rsidR="00E62984" w:rsidRPr="00E56A6E">
        <w:rPr>
          <w:lang w:val="es-ES"/>
        </w:rPr>
        <w:t xml:space="preserve">intercambiar </w:t>
      </w:r>
      <w:r w:rsidR="00B8267B" w:rsidRPr="00E56A6E">
        <w:rPr>
          <w:lang w:val="es-ES"/>
        </w:rPr>
        <w:t xml:space="preserve">buenas prácticas y </w:t>
      </w:r>
      <w:r w:rsidR="00E62984" w:rsidRPr="00E56A6E">
        <w:rPr>
          <w:lang w:val="es-ES"/>
        </w:rPr>
        <w:t xml:space="preserve">prestar apoyo a </w:t>
      </w:r>
      <w:r w:rsidR="00B8267B" w:rsidRPr="00E56A6E">
        <w:rPr>
          <w:lang w:val="es-ES"/>
        </w:rPr>
        <w:t>las asociaciones de investigación y las actividades conjuntas;</w:t>
      </w:r>
    </w:p>
    <w:p w14:paraId="7CA3046A" w14:textId="67F30628" w:rsidR="00B8267B" w:rsidRPr="00E56A6E" w:rsidRDefault="00B8267B" w:rsidP="00320511">
      <w:pPr>
        <w:pStyle w:val="CBDNormalNumber"/>
        <w:numPr>
          <w:ilvl w:val="1"/>
          <w:numId w:val="7"/>
        </w:numPr>
        <w:ind w:left="567" w:firstLine="567"/>
        <w:rPr>
          <w:lang w:val="es-ES"/>
        </w:rPr>
      </w:pPr>
      <w:r w:rsidRPr="00E56A6E">
        <w:rPr>
          <w:lang w:val="es-ES"/>
        </w:rPr>
        <w:t xml:space="preserve">Foro de intercambio de conocimientos que permita a usuarios y proveedores </w:t>
      </w:r>
      <w:r w:rsidR="006479D9" w:rsidRPr="00E56A6E">
        <w:rPr>
          <w:lang w:val="es-ES"/>
        </w:rPr>
        <w:t xml:space="preserve">intercambiar </w:t>
      </w:r>
      <w:r w:rsidRPr="00E56A6E">
        <w:rPr>
          <w:lang w:val="es-ES"/>
        </w:rPr>
        <w:t>experiencias, aclarar expectativas y</w:t>
      </w:r>
      <w:r w:rsidR="006479D9" w:rsidRPr="00E56A6E">
        <w:rPr>
          <w:lang w:val="es-ES"/>
        </w:rPr>
        <w:t xml:space="preserve"> fomentar las</w:t>
      </w:r>
      <w:r w:rsidRPr="00E56A6E">
        <w:rPr>
          <w:lang w:val="es-ES"/>
        </w:rPr>
        <w:t xml:space="preserve"> buenas prácticas.</w:t>
      </w:r>
    </w:p>
    <w:p w14:paraId="09D07A03" w14:textId="7B8ADFF9" w:rsidR="00455F03" w:rsidRPr="00E56A6E" w:rsidRDefault="000F352B" w:rsidP="000F352B">
      <w:pPr>
        <w:pStyle w:val="CBDH3"/>
        <w:rPr>
          <w:lang w:val="es-ES"/>
        </w:rPr>
      </w:pPr>
      <w:r w:rsidRPr="00E56A6E">
        <w:rPr>
          <w:lang w:val="es-ES"/>
        </w:rPr>
        <w:t>4.</w:t>
      </w:r>
      <w:r w:rsidRPr="00E56A6E">
        <w:rPr>
          <w:lang w:val="es-ES"/>
        </w:rPr>
        <w:tab/>
      </w:r>
      <w:r w:rsidR="00890F56" w:rsidRPr="00E56A6E">
        <w:rPr>
          <w:lang w:val="es-ES"/>
        </w:rPr>
        <w:t>Medidas sobre la participación justa y equitativa en los beneficios (artículo 5)</w:t>
      </w:r>
      <w:r w:rsidR="00890F56" w:rsidRPr="00E56A6E">
        <w:rPr>
          <w:rStyle w:val="FootnoteReference"/>
          <w:b w:val="0"/>
          <w:bCs/>
          <w:lang w:val="es-ES"/>
        </w:rPr>
        <w:footnoteReference w:id="29"/>
      </w:r>
    </w:p>
    <w:p w14:paraId="4DDFE731" w14:textId="60F6ACF9" w:rsidR="00FB251B" w:rsidRPr="00E56A6E" w:rsidRDefault="000F352B" w:rsidP="000F352B">
      <w:pPr>
        <w:pStyle w:val="CBDH4"/>
        <w:rPr>
          <w:rFonts w:asciiTheme="majorBidi" w:hAnsiTheme="majorBidi" w:cstheme="majorBidi"/>
          <w:lang w:val="es-ES"/>
        </w:rPr>
      </w:pPr>
      <w:r w:rsidRPr="00E56A6E">
        <w:rPr>
          <w:lang w:val="es-ES"/>
        </w:rPr>
        <w:t>a)</w:t>
      </w:r>
      <w:r w:rsidRPr="00E56A6E">
        <w:rPr>
          <w:lang w:val="es-ES"/>
        </w:rPr>
        <w:tab/>
      </w:r>
      <w:r w:rsidR="00890F56" w:rsidRPr="00E56A6E">
        <w:rPr>
          <w:lang w:val="es-ES"/>
        </w:rPr>
        <w:t>Avances en la aplicación y datos actualizados de los indicadores</w:t>
      </w:r>
    </w:p>
    <w:p w14:paraId="70A21CB2" w14:textId="274D2305" w:rsidR="00890F56" w:rsidRPr="00E56A6E" w:rsidRDefault="00890F56" w:rsidP="00890F56">
      <w:pPr>
        <w:pStyle w:val="CBDNormalNumber"/>
        <w:rPr>
          <w:lang w:val="es-ES"/>
        </w:rPr>
      </w:pPr>
      <w:r w:rsidRPr="00E56A6E">
        <w:rPr>
          <w:lang w:val="es-ES"/>
        </w:rPr>
        <w:t xml:space="preserve">Los indicadores </w:t>
      </w:r>
      <w:r w:rsidR="00CE4217" w:rsidRPr="00E56A6E">
        <w:rPr>
          <w:lang w:val="es-ES"/>
        </w:rPr>
        <w:t xml:space="preserve">para medir </w:t>
      </w:r>
      <w:r w:rsidRPr="00E56A6E">
        <w:rPr>
          <w:lang w:val="es-ES"/>
        </w:rPr>
        <w:t xml:space="preserve">los avances en la aplicación del artículo 5 del Protocolo </w:t>
      </w:r>
      <w:r w:rsidR="00CE4217" w:rsidRPr="00E56A6E">
        <w:rPr>
          <w:lang w:val="es-ES"/>
        </w:rPr>
        <w:t xml:space="preserve">ponen de manifiesto </w:t>
      </w:r>
      <w:r w:rsidRPr="00E56A6E">
        <w:rPr>
          <w:lang w:val="es-ES"/>
        </w:rPr>
        <w:t xml:space="preserve">una evolución positiva similar a la </w:t>
      </w:r>
      <w:r w:rsidR="00CE4217" w:rsidRPr="00E56A6E">
        <w:rPr>
          <w:lang w:val="es-ES"/>
        </w:rPr>
        <w:t xml:space="preserve">que dan cuenta </w:t>
      </w:r>
      <w:r w:rsidRPr="00E56A6E">
        <w:rPr>
          <w:lang w:val="es-ES"/>
        </w:rPr>
        <w:t xml:space="preserve">los indicadores relativos al acceso y las instituciones, lo cual era de esperar en la medida en que todas esas esferas estaban estrechamente vinculadas a los avances logrados por las Partes en la puesta en marcha de las medidas necesarias en materia de </w:t>
      </w:r>
      <w:r w:rsidR="00CA2892" w:rsidRPr="00E56A6E">
        <w:rPr>
          <w:lang w:val="es-ES"/>
        </w:rPr>
        <w:t>acceso y participación en los beneficios</w:t>
      </w:r>
      <w:r w:rsidRPr="00E56A6E">
        <w:rPr>
          <w:lang w:val="es-ES"/>
        </w:rPr>
        <w:t>.</w:t>
      </w:r>
    </w:p>
    <w:p w14:paraId="384CAD53" w14:textId="71D0FBDA" w:rsidR="00890F56" w:rsidRPr="00E56A6E" w:rsidRDefault="00890F56" w:rsidP="00890F56">
      <w:pPr>
        <w:pStyle w:val="CBDNormalNumber"/>
        <w:rPr>
          <w:lang w:val="es-ES"/>
        </w:rPr>
      </w:pPr>
      <w:r w:rsidRPr="00E56A6E">
        <w:rPr>
          <w:lang w:val="es-ES"/>
        </w:rPr>
        <w:t xml:space="preserve">Las Partes informaron sobre el cumplimiento de las obligaciones </w:t>
      </w:r>
      <w:r w:rsidR="00CB0C3E" w:rsidRPr="00E56A6E">
        <w:rPr>
          <w:lang w:val="es-ES"/>
        </w:rPr>
        <w:t xml:space="preserve">contempladas </w:t>
      </w:r>
      <w:r w:rsidRPr="00E56A6E">
        <w:rPr>
          <w:lang w:val="es-ES"/>
        </w:rPr>
        <w:t>en el artículo 5 desde diferentes perspectivas o según su interpretación particular. Algunas Partes informaron sobre los avances</w:t>
      </w:r>
      <w:r w:rsidR="00CB0C3E" w:rsidRPr="00E56A6E">
        <w:rPr>
          <w:lang w:val="es-ES"/>
        </w:rPr>
        <w:t xml:space="preserve"> obtenidos </w:t>
      </w:r>
      <w:r w:rsidRPr="00E56A6E">
        <w:rPr>
          <w:lang w:val="es-ES"/>
        </w:rPr>
        <w:t xml:space="preserve">para </w:t>
      </w:r>
      <w:r w:rsidR="00CB0C3E" w:rsidRPr="00E56A6E">
        <w:rPr>
          <w:lang w:val="es-ES"/>
        </w:rPr>
        <w:t xml:space="preserve">lograr </w:t>
      </w:r>
      <w:r w:rsidRPr="00E56A6E">
        <w:rPr>
          <w:lang w:val="es-ES"/>
        </w:rPr>
        <w:t xml:space="preserve">la </w:t>
      </w:r>
      <w:r w:rsidR="00CA2892" w:rsidRPr="00E56A6E">
        <w:rPr>
          <w:lang w:val="es-ES"/>
        </w:rPr>
        <w:t xml:space="preserve">participación en </w:t>
      </w:r>
      <w:r w:rsidRPr="00E56A6E">
        <w:rPr>
          <w:lang w:val="es-ES"/>
        </w:rPr>
        <w:t xml:space="preserve">los beneficios derivados de la utilización de los recursos genéticos y los conocimientos tradicionales </w:t>
      </w:r>
      <w:r w:rsidR="00AD0FCD" w:rsidRPr="00E56A6E">
        <w:rPr>
          <w:lang w:val="es-ES"/>
        </w:rPr>
        <w:t xml:space="preserve">conexos </w:t>
      </w:r>
      <w:r w:rsidRPr="00E56A6E">
        <w:rPr>
          <w:lang w:val="es-ES"/>
        </w:rPr>
        <w:t xml:space="preserve">a los que se ha accedido dentro de su jurisdicción. Otras Partes </w:t>
      </w:r>
      <w:r w:rsidR="00AD0FCD" w:rsidRPr="00E56A6E">
        <w:rPr>
          <w:lang w:val="es-ES"/>
        </w:rPr>
        <w:t xml:space="preserve">trataron </w:t>
      </w:r>
      <w:r w:rsidRPr="00E56A6E">
        <w:rPr>
          <w:lang w:val="es-ES"/>
        </w:rPr>
        <w:t xml:space="preserve">la obligación de </w:t>
      </w:r>
      <w:r w:rsidR="006A17DA" w:rsidRPr="00E56A6E">
        <w:rPr>
          <w:lang w:val="es-ES"/>
        </w:rPr>
        <w:t xml:space="preserve">asegurar </w:t>
      </w:r>
      <w:r w:rsidRPr="00E56A6E">
        <w:rPr>
          <w:lang w:val="es-ES"/>
        </w:rPr>
        <w:t xml:space="preserve">la </w:t>
      </w:r>
      <w:r w:rsidR="00CA2892" w:rsidRPr="00E56A6E">
        <w:rPr>
          <w:lang w:val="es-ES"/>
        </w:rPr>
        <w:t>participa</w:t>
      </w:r>
      <w:r w:rsidRPr="00E56A6E">
        <w:rPr>
          <w:lang w:val="es-ES"/>
        </w:rPr>
        <w:t xml:space="preserve">ción </w:t>
      </w:r>
      <w:r w:rsidR="00CA2892" w:rsidRPr="00E56A6E">
        <w:rPr>
          <w:lang w:val="es-ES"/>
        </w:rPr>
        <w:t>en</w:t>
      </w:r>
      <w:r w:rsidRPr="00E56A6E">
        <w:rPr>
          <w:lang w:val="es-ES"/>
        </w:rPr>
        <w:t xml:space="preserve"> los beneficios derivados de la utilización de recursos y conocimientos a los que se ha accedido fuera de su país, y algunas informaron de que </w:t>
      </w:r>
      <w:r w:rsidR="0043067D" w:rsidRPr="00E56A6E">
        <w:rPr>
          <w:lang w:val="es-ES"/>
        </w:rPr>
        <w:t xml:space="preserve">aseguraban </w:t>
      </w:r>
      <w:r w:rsidRPr="00E56A6E">
        <w:rPr>
          <w:lang w:val="es-ES"/>
        </w:rPr>
        <w:t>la</w:t>
      </w:r>
      <w:r w:rsidR="00CA2892" w:rsidRPr="00E56A6E">
        <w:rPr>
          <w:lang w:val="es-ES"/>
        </w:rPr>
        <w:t xml:space="preserve"> participación en </w:t>
      </w:r>
      <w:r w:rsidRPr="00E56A6E">
        <w:rPr>
          <w:lang w:val="es-ES"/>
        </w:rPr>
        <w:t>los beneficios tanto de los recursos y conocimientos nacionales como de los extranjeros</w:t>
      </w:r>
      <w:r w:rsidRPr="00E56A6E">
        <w:rPr>
          <w:rStyle w:val="FootnoteReference"/>
          <w:lang w:val="es-ES"/>
        </w:rPr>
        <w:footnoteReference w:id="30"/>
      </w:r>
      <w:r w:rsidRPr="00E56A6E">
        <w:rPr>
          <w:lang w:val="es-ES"/>
        </w:rPr>
        <w:t>.</w:t>
      </w:r>
      <w:r w:rsidR="001E37A2" w:rsidRPr="00E56A6E">
        <w:rPr>
          <w:lang w:val="es-ES"/>
        </w:rPr>
        <w:t xml:space="preserve"> </w:t>
      </w:r>
    </w:p>
    <w:p w14:paraId="1999EBB1" w14:textId="7D0D2B32" w:rsidR="00A50DE0" w:rsidRPr="00E56A6E" w:rsidRDefault="00653A73" w:rsidP="00031122">
      <w:pPr>
        <w:pStyle w:val="CBDTableTitle"/>
        <w:rPr>
          <w:lang w:val="es-ES"/>
        </w:rPr>
      </w:pPr>
      <w:r w:rsidRPr="00E56A6E">
        <w:rPr>
          <w:b w:val="0"/>
          <w:bCs/>
          <w:lang w:val="es-ES"/>
        </w:rPr>
        <w:t>Cuadro</w:t>
      </w:r>
      <w:r w:rsidR="00A50DE0" w:rsidRPr="00E56A6E">
        <w:rPr>
          <w:b w:val="0"/>
          <w:bCs/>
          <w:lang w:val="es-ES"/>
        </w:rPr>
        <w:t xml:space="preserve"> </w:t>
      </w:r>
      <w:r w:rsidR="00FB251B" w:rsidRPr="00E56A6E">
        <w:rPr>
          <w:b w:val="0"/>
          <w:bCs/>
          <w:lang w:val="es-ES"/>
        </w:rPr>
        <w:t>4</w:t>
      </w:r>
      <w:r w:rsidR="00A50DE0" w:rsidRPr="00E56A6E">
        <w:rPr>
          <w:lang w:val="es-ES"/>
        </w:rPr>
        <w:t xml:space="preserve"> </w:t>
      </w:r>
      <w:r w:rsidR="00031122" w:rsidRPr="00E56A6E">
        <w:rPr>
          <w:lang w:val="es-ES"/>
        </w:rPr>
        <w:br/>
      </w:r>
      <w:r w:rsidR="00890F56" w:rsidRPr="00E56A6E">
        <w:rPr>
          <w:lang w:val="es-ES"/>
        </w:rPr>
        <w:t xml:space="preserve">Indicadores para medir los avances en la aplicación de medidas para una </w:t>
      </w:r>
      <w:r w:rsidR="00773863" w:rsidRPr="00E56A6E">
        <w:rPr>
          <w:lang w:val="es-ES"/>
        </w:rPr>
        <w:t>participa</w:t>
      </w:r>
      <w:r w:rsidR="00890F56" w:rsidRPr="00E56A6E">
        <w:rPr>
          <w:lang w:val="es-ES"/>
        </w:rPr>
        <w:t xml:space="preserve">ción justa y equitativa </w:t>
      </w:r>
      <w:r w:rsidR="00773863" w:rsidRPr="00E56A6E">
        <w:rPr>
          <w:lang w:val="es-ES"/>
        </w:rPr>
        <w:t xml:space="preserve">en </w:t>
      </w:r>
      <w:r w:rsidR="00890F56" w:rsidRPr="00E56A6E">
        <w:rPr>
          <w:lang w:val="es-ES"/>
        </w:rPr>
        <w:t>los beneficios</w:t>
      </w:r>
    </w:p>
    <w:tbl>
      <w:tblPr>
        <w:tblW w:w="914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829"/>
        <w:gridCol w:w="1512"/>
      </w:tblGrid>
      <w:tr w:rsidR="00A50DE0" w:rsidRPr="005A210D" w14:paraId="19D21E7A" w14:textId="77777777" w:rsidTr="006B066D">
        <w:trPr>
          <w:cantSplit/>
          <w:tblHeader/>
        </w:trPr>
        <w:tc>
          <w:tcPr>
            <w:tcW w:w="5807" w:type="dxa"/>
            <w:shd w:val="clear" w:color="auto" w:fill="FFFFFF" w:themeFill="background1"/>
            <w:tcMar>
              <w:top w:w="29" w:type="dxa"/>
              <w:left w:w="115" w:type="dxa"/>
              <w:bottom w:w="29" w:type="dxa"/>
              <w:right w:w="115" w:type="dxa"/>
            </w:tcMar>
            <w:vAlign w:val="bottom"/>
            <w:hideMark/>
          </w:tcPr>
          <w:p w14:paraId="40F39867" w14:textId="35EAD932" w:rsidR="00A50DE0" w:rsidRPr="00E56A6E" w:rsidRDefault="00EE1C1B" w:rsidP="00C26769">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es-ES"/>
              </w:rPr>
            </w:pPr>
            <w:bookmarkStart w:id="7" w:name="_Hlk215219801"/>
            <w:r w:rsidRPr="00E56A6E">
              <w:rPr>
                <w:rFonts w:asciiTheme="majorBidi" w:eastAsia="Malgun Gothic" w:hAnsiTheme="majorBidi" w:cstheme="majorBidi"/>
                <w:bCs/>
                <w:i/>
                <w:iCs/>
                <w:kern w:val="22"/>
                <w:sz w:val="20"/>
                <w:szCs w:val="20"/>
                <w:lang w:val="es-ES"/>
              </w:rPr>
              <w:t>Marco de indicadores</w:t>
            </w:r>
          </w:p>
        </w:tc>
        <w:tc>
          <w:tcPr>
            <w:tcW w:w="1829" w:type="dxa"/>
            <w:shd w:val="clear" w:color="auto" w:fill="FFFFFF" w:themeFill="background1"/>
            <w:tcMar>
              <w:top w:w="29" w:type="dxa"/>
              <w:left w:w="115" w:type="dxa"/>
              <w:bottom w:w="29" w:type="dxa"/>
              <w:right w:w="115" w:type="dxa"/>
            </w:tcMar>
            <w:vAlign w:val="bottom"/>
            <w:hideMark/>
          </w:tcPr>
          <w:p w14:paraId="5C2A7C9C" w14:textId="790E73AB" w:rsidR="00A50DE0"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Punto de referencia</w:t>
            </w:r>
            <w:r w:rsidR="00A50DE0" w:rsidRPr="00E56A6E">
              <w:rPr>
                <w:rFonts w:asciiTheme="majorBidi" w:eastAsia="Malgun Gothic" w:hAnsiTheme="majorBidi" w:cstheme="majorBidi"/>
                <w:bCs/>
                <w:i/>
                <w:iCs/>
                <w:kern w:val="22"/>
                <w:sz w:val="20"/>
                <w:szCs w:val="20"/>
                <w:lang w:val="es-ES"/>
              </w:rPr>
              <w:t xml:space="preserve"> </w:t>
            </w:r>
            <w:r w:rsidR="00545859" w:rsidRPr="00E56A6E">
              <w:rPr>
                <w:rFonts w:asciiTheme="majorBidi" w:eastAsia="Malgun Gothic" w:hAnsiTheme="majorBidi" w:cstheme="majorBidi"/>
                <w:bCs/>
                <w:i/>
                <w:iCs/>
                <w:kern w:val="22"/>
                <w:sz w:val="20"/>
                <w:szCs w:val="20"/>
                <w:lang w:val="es-ES"/>
              </w:rPr>
              <w:br/>
            </w:r>
            <w:r w:rsidR="00A50DE0" w:rsidRPr="00E56A6E">
              <w:rPr>
                <w:rFonts w:asciiTheme="majorBidi" w:eastAsia="Malgun Gothic" w:hAnsiTheme="majorBidi" w:cstheme="majorBidi"/>
                <w:bCs/>
                <w:i/>
                <w:iCs/>
                <w:kern w:val="22"/>
                <w:sz w:val="20"/>
                <w:szCs w:val="20"/>
                <w:lang w:val="es-ES"/>
              </w:rPr>
              <w:t>(</w:t>
            </w:r>
            <w:r w:rsidRPr="00E56A6E">
              <w:rPr>
                <w:rFonts w:asciiTheme="majorBidi" w:eastAsia="Malgun Gothic" w:hAnsiTheme="majorBidi" w:cstheme="majorBidi"/>
                <w:bCs/>
                <w:i/>
                <w:iCs/>
                <w:kern w:val="22"/>
                <w:sz w:val="20"/>
                <w:szCs w:val="20"/>
                <w:lang w:val="es-ES"/>
              </w:rPr>
              <w:t>al 22 de febrero de 2018</w:t>
            </w:r>
            <w:r w:rsidR="00A50DE0" w:rsidRPr="00E56A6E">
              <w:rPr>
                <w:rFonts w:asciiTheme="majorBidi" w:eastAsia="Malgun Gothic" w:hAnsiTheme="majorBidi" w:cstheme="majorBidi"/>
                <w:bCs/>
                <w:i/>
                <w:iCs/>
                <w:kern w:val="22"/>
                <w:sz w:val="20"/>
                <w:szCs w:val="20"/>
                <w:lang w:val="es-ES"/>
              </w:rPr>
              <w:t>)</w:t>
            </w:r>
          </w:p>
        </w:tc>
        <w:tc>
          <w:tcPr>
            <w:tcW w:w="1512" w:type="dxa"/>
            <w:shd w:val="clear" w:color="auto" w:fill="FFFFFF" w:themeFill="background1"/>
            <w:vAlign w:val="bottom"/>
          </w:tcPr>
          <w:p w14:paraId="64FB5AAA" w14:textId="25E3DCDF" w:rsidR="00A50DE0"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Avances al 9 de marzo de 2026</w:t>
            </w:r>
          </w:p>
        </w:tc>
      </w:tr>
      <w:bookmarkEnd w:id="7"/>
      <w:tr w:rsidR="00773863" w:rsidRPr="00E56A6E" w14:paraId="2542BE1E" w14:textId="77777777" w:rsidTr="006B066D">
        <w:trPr>
          <w:cantSplit/>
        </w:trPr>
        <w:tc>
          <w:tcPr>
            <w:tcW w:w="5807" w:type="dxa"/>
            <w:tcMar>
              <w:top w:w="29" w:type="dxa"/>
              <w:left w:w="115" w:type="dxa"/>
              <w:bottom w:w="29" w:type="dxa"/>
              <w:right w:w="115" w:type="dxa"/>
            </w:tcMar>
            <w:hideMark/>
          </w:tcPr>
          <w:p w14:paraId="2CE7E552" w14:textId="5BB5EB4D" w:rsidR="00773863" w:rsidRPr="00E56A6E" w:rsidRDefault="00773863" w:rsidP="0077386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cuentan con </w:t>
            </w:r>
            <w:r w:rsidR="00481B8C" w:rsidRPr="00E56A6E">
              <w:rPr>
                <w:sz w:val="20"/>
                <w:szCs w:val="20"/>
                <w:lang w:val="es-ES"/>
              </w:rPr>
              <w:t>medidas legislativas, administrativas o normativas</w:t>
            </w:r>
            <w:r w:rsidRPr="00E56A6E">
              <w:rPr>
                <w:sz w:val="20"/>
                <w:szCs w:val="20"/>
                <w:lang w:val="es-ES"/>
              </w:rPr>
              <w:t xml:space="preserve"> para aplicar el artículo 5</w:t>
            </w:r>
            <w:r w:rsidR="008557EB" w:rsidRPr="00E56A6E">
              <w:rPr>
                <w:sz w:val="20"/>
                <w:szCs w:val="20"/>
                <w:lang w:val="es-ES"/>
              </w:rPr>
              <w:t> </w:t>
            </w:r>
            <w:r w:rsidRPr="00E56A6E">
              <w:rPr>
                <w:sz w:val="20"/>
                <w:szCs w:val="20"/>
                <w:lang w:val="es-ES"/>
              </w:rPr>
              <w:t>1) (recursos genéticos)</w:t>
            </w:r>
          </w:p>
        </w:tc>
        <w:tc>
          <w:tcPr>
            <w:tcW w:w="1829" w:type="dxa"/>
            <w:tcMar>
              <w:top w:w="29" w:type="dxa"/>
              <w:left w:w="115" w:type="dxa"/>
              <w:bottom w:w="29" w:type="dxa"/>
              <w:right w:w="115" w:type="dxa"/>
            </w:tcMar>
            <w:vAlign w:val="bottom"/>
            <w:hideMark/>
          </w:tcPr>
          <w:p w14:paraId="57553AB4" w14:textId="5CF570BD" w:rsidR="00773863" w:rsidRPr="00E56A6E" w:rsidRDefault="00773863" w:rsidP="007738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46 (44 %)</w:t>
            </w:r>
          </w:p>
        </w:tc>
        <w:tc>
          <w:tcPr>
            <w:tcW w:w="1512" w:type="dxa"/>
            <w:vAlign w:val="bottom"/>
          </w:tcPr>
          <w:p w14:paraId="7BB9E2E7" w14:textId="5ABF0375" w:rsidR="00773863" w:rsidRPr="00E56A6E" w:rsidRDefault="00773863" w:rsidP="007738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81 (57 %</w:t>
            </w:r>
          </w:p>
        </w:tc>
      </w:tr>
      <w:tr w:rsidR="00773863" w:rsidRPr="00E56A6E" w14:paraId="74D0B6BA" w14:textId="77777777" w:rsidTr="00773863">
        <w:trPr>
          <w:cantSplit/>
        </w:trPr>
        <w:tc>
          <w:tcPr>
            <w:tcW w:w="5807" w:type="dxa"/>
            <w:tcMar>
              <w:top w:w="29" w:type="dxa"/>
              <w:left w:w="115" w:type="dxa"/>
              <w:bottom w:w="29" w:type="dxa"/>
              <w:right w:w="115" w:type="dxa"/>
            </w:tcMar>
          </w:tcPr>
          <w:p w14:paraId="0C8444AA" w14:textId="39759B8F" w:rsidR="00773863" w:rsidRPr="00E56A6E" w:rsidRDefault="00773863" w:rsidP="0077386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cuentan con </w:t>
            </w:r>
            <w:r w:rsidR="00481B8C" w:rsidRPr="00E56A6E">
              <w:rPr>
                <w:sz w:val="20"/>
                <w:szCs w:val="20"/>
                <w:lang w:val="es-ES"/>
              </w:rPr>
              <w:t>medidas legislativas, administrativas o normativas</w:t>
            </w:r>
            <w:r w:rsidRPr="00E56A6E">
              <w:rPr>
                <w:sz w:val="20"/>
                <w:szCs w:val="20"/>
                <w:lang w:val="es-ES"/>
              </w:rPr>
              <w:t xml:space="preserve"> para aplicar el artículo 5</w:t>
            </w:r>
            <w:r w:rsidR="008557EB" w:rsidRPr="00E56A6E">
              <w:rPr>
                <w:sz w:val="20"/>
                <w:szCs w:val="20"/>
                <w:lang w:val="es-ES"/>
              </w:rPr>
              <w:t> </w:t>
            </w:r>
            <w:r w:rsidRPr="00E56A6E">
              <w:rPr>
                <w:sz w:val="20"/>
                <w:szCs w:val="20"/>
                <w:lang w:val="es-ES"/>
              </w:rPr>
              <w:t>2) (recursos genéticos en poder de los pueblos indígenas y las comunidades locales)</w:t>
            </w:r>
          </w:p>
        </w:tc>
        <w:tc>
          <w:tcPr>
            <w:tcW w:w="1829" w:type="dxa"/>
            <w:tcMar>
              <w:top w:w="29" w:type="dxa"/>
              <w:left w:w="115" w:type="dxa"/>
              <w:bottom w:w="29" w:type="dxa"/>
              <w:right w:w="115" w:type="dxa"/>
            </w:tcMar>
            <w:vAlign w:val="bottom"/>
            <w:hideMark/>
          </w:tcPr>
          <w:p w14:paraId="494AF756" w14:textId="7B5E4570" w:rsidR="00773863" w:rsidRPr="00E56A6E" w:rsidRDefault="00773863" w:rsidP="007738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42 (40 %)</w:t>
            </w:r>
          </w:p>
        </w:tc>
        <w:tc>
          <w:tcPr>
            <w:tcW w:w="1512" w:type="dxa"/>
            <w:vAlign w:val="bottom"/>
          </w:tcPr>
          <w:p w14:paraId="5BFF8651" w14:textId="4FF0E53B" w:rsidR="00773863" w:rsidRPr="00E56A6E" w:rsidRDefault="00773863" w:rsidP="007738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74 (52 %)</w:t>
            </w:r>
          </w:p>
        </w:tc>
      </w:tr>
      <w:tr w:rsidR="00890F56" w:rsidRPr="00E56A6E" w14:paraId="427F9E90" w14:textId="77777777" w:rsidTr="006B066D">
        <w:trPr>
          <w:cantSplit/>
        </w:trPr>
        <w:tc>
          <w:tcPr>
            <w:tcW w:w="5807" w:type="dxa"/>
            <w:tcMar>
              <w:top w:w="29" w:type="dxa"/>
              <w:left w:w="115" w:type="dxa"/>
              <w:bottom w:w="29" w:type="dxa"/>
              <w:right w:w="115" w:type="dxa"/>
            </w:tcMar>
            <w:hideMark/>
          </w:tcPr>
          <w:p w14:paraId="05FEED98" w14:textId="452ACB0F" w:rsidR="00890F56" w:rsidRPr="00E56A6E" w:rsidRDefault="00773863" w:rsidP="00890F56">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cuentan con </w:t>
            </w:r>
            <w:r w:rsidR="00481B8C" w:rsidRPr="00E56A6E">
              <w:rPr>
                <w:sz w:val="20"/>
                <w:szCs w:val="20"/>
                <w:lang w:val="es-ES"/>
              </w:rPr>
              <w:t>medidas legislativas, administrativas o normativas</w:t>
            </w:r>
            <w:r w:rsidRPr="00E56A6E">
              <w:rPr>
                <w:sz w:val="20"/>
                <w:szCs w:val="20"/>
                <w:lang w:val="es-ES"/>
              </w:rPr>
              <w:t xml:space="preserve"> para aplicar el artículo 5</w:t>
            </w:r>
            <w:r w:rsidR="008557EB" w:rsidRPr="00E56A6E">
              <w:rPr>
                <w:sz w:val="20"/>
                <w:szCs w:val="20"/>
                <w:lang w:val="es-ES"/>
              </w:rPr>
              <w:t> </w:t>
            </w:r>
            <w:r w:rsidRPr="00E56A6E">
              <w:rPr>
                <w:sz w:val="20"/>
                <w:szCs w:val="20"/>
                <w:lang w:val="es-ES"/>
              </w:rPr>
              <w:t>5</w:t>
            </w:r>
            <w:r w:rsidR="008557EB" w:rsidRPr="00E56A6E">
              <w:rPr>
                <w:sz w:val="20"/>
                <w:szCs w:val="20"/>
                <w:lang w:val="es-ES"/>
              </w:rPr>
              <w:t>)</w:t>
            </w:r>
            <w:r w:rsidRPr="00E56A6E">
              <w:rPr>
                <w:sz w:val="20"/>
                <w:szCs w:val="20"/>
                <w:lang w:val="es-ES"/>
              </w:rPr>
              <w:t xml:space="preserve"> (conocimientos </w:t>
            </w:r>
            <w:r w:rsidR="00F05DBD" w:rsidRPr="00E56A6E">
              <w:rPr>
                <w:sz w:val="20"/>
                <w:szCs w:val="20"/>
                <w:lang w:val="es-ES"/>
              </w:rPr>
              <w:t>tradicionales relacionados con los recursos genéticos</w:t>
            </w:r>
            <w:r w:rsidRPr="00E56A6E">
              <w:rPr>
                <w:sz w:val="20"/>
                <w:szCs w:val="20"/>
                <w:lang w:val="es-ES"/>
              </w:rPr>
              <w:t>)</w:t>
            </w:r>
          </w:p>
        </w:tc>
        <w:tc>
          <w:tcPr>
            <w:tcW w:w="1829" w:type="dxa"/>
            <w:tcMar>
              <w:top w:w="29" w:type="dxa"/>
              <w:left w:w="115" w:type="dxa"/>
              <w:bottom w:w="29" w:type="dxa"/>
              <w:right w:w="115" w:type="dxa"/>
            </w:tcMar>
            <w:vAlign w:val="bottom"/>
            <w:hideMark/>
          </w:tcPr>
          <w:p w14:paraId="1FED829D" w14:textId="25506820" w:rsidR="00890F56" w:rsidRPr="00E56A6E" w:rsidRDefault="00890F56" w:rsidP="00890F56">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41 (39 %)</w:t>
            </w:r>
          </w:p>
        </w:tc>
        <w:tc>
          <w:tcPr>
            <w:tcW w:w="1512" w:type="dxa"/>
            <w:vAlign w:val="bottom"/>
          </w:tcPr>
          <w:p w14:paraId="75B882D2" w14:textId="4D9C3AAC" w:rsidR="00890F56" w:rsidRPr="00E56A6E" w:rsidRDefault="00890F56" w:rsidP="00890F56">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73 (51 %)</w:t>
            </w:r>
          </w:p>
        </w:tc>
      </w:tr>
    </w:tbl>
    <w:p w14:paraId="797ABF46" w14:textId="0238E6BA" w:rsidR="006839F4" w:rsidRPr="00E56A6E" w:rsidRDefault="00031122" w:rsidP="00031122">
      <w:pPr>
        <w:pStyle w:val="CBDH4"/>
        <w:rPr>
          <w:lang w:val="es-ES"/>
        </w:rPr>
      </w:pPr>
      <w:r w:rsidRPr="00E56A6E">
        <w:rPr>
          <w:lang w:val="es-ES"/>
        </w:rPr>
        <w:t>b)</w:t>
      </w:r>
      <w:r w:rsidRPr="00E56A6E">
        <w:rPr>
          <w:lang w:val="es-ES"/>
        </w:rPr>
        <w:tab/>
      </w:r>
      <w:r w:rsidR="009F6791" w:rsidRPr="00E56A6E">
        <w:rPr>
          <w:lang w:val="es-ES"/>
        </w:rPr>
        <w:t>Dificultades, causas subyacentes y posibles maneras de</w:t>
      </w:r>
      <w:r w:rsidR="00773863" w:rsidRPr="00E56A6E">
        <w:rPr>
          <w:lang w:val="es-ES"/>
        </w:rPr>
        <w:t xml:space="preserve"> mejorar las medidas para aplicar el artículo 5</w:t>
      </w:r>
      <w:r w:rsidR="00503DB0" w:rsidRPr="00E56A6E">
        <w:rPr>
          <w:rStyle w:val="FootnoteReference"/>
          <w:rFonts w:asciiTheme="majorBidi" w:hAnsiTheme="majorBidi" w:cstheme="majorBidi"/>
          <w:b w:val="0"/>
          <w:bCs/>
          <w:lang w:val="es-ES"/>
        </w:rPr>
        <w:footnoteReference w:id="31"/>
      </w:r>
    </w:p>
    <w:p w14:paraId="4602A414" w14:textId="66F6C8E9" w:rsidR="006954E8" w:rsidRPr="00E56A6E" w:rsidRDefault="006954E8" w:rsidP="006954E8">
      <w:pPr>
        <w:pStyle w:val="CBDNormalNumber"/>
        <w:rPr>
          <w:rFonts w:asciiTheme="majorBidi" w:hAnsiTheme="majorBidi" w:cstheme="majorBidi"/>
          <w:lang w:val="es-ES"/>
        </w:rPr>
      </w:pPr>
      <w:bookmarkStart w:id="8" w:name="_Hlk230512323"/>
      <w:r w:rsidRPr="00E56A6E">
        <w:rPr>
          <w:lang w:val="es-ES"/>
        </w:rPr>
        <w:t xml:space="preserve">Las Partes </w:t>
      </w:r>
      <w:r w:rsidR="009C1B92" w:rsidRPr="00E56A6E">
        <w:rPr>
          <w:lang w:val="es-ES"/>
        </w:rPr>
        <w:t xml:space="preserve">subrayaron </w:t>
      </w:r>
      <w:r w:rsidRPr="00E56A6E">
        <w:rPr>
          <w:lang w:val="es-ES"/>
        </w:rPr>
        <w:t>que la participación y la consulta tempranas con todas las partes i</w:t>
      </w:r>
      <w:r w:rsidR="00455E26" w:rsidRPr="00E56A6E">
        <w:rPr>
          <w:lang w:val="es-ES"/>
        </w:rPr>
        <w:t>nteresadas</w:t>
      </w:r>
      <w:r w:rsidRPr="00E56A6E">
        <w:rPr>
          <w:lang w:val="es-ES"/>
        </w:rPr>
        <w:t xml:space="preserve">, así como el desarrollo de capacidades para la negociación de contratos, contribuían a la participación justa y equitativa en los beneficios. Los inventarios y la documentación de los recursos genéticos y los conocimientos tradicionales </w:t>
      </w:r>
      <w:r w:rsidR="006A17DA" w:rsidRPr="00E56A6E">
        <w:rPr>
          <w:lang w:val="es-ES"/>
        </w:rPr>
        <w:t>conexos</w:t>
      </w:r>
      <w:r w:rsidRPr="00E56A6E">
        <w:rPr>
          <w:lang w:val="es-ES"/>
        </w:rPr>
        <w:t>, así como los estudios que valorizan dichos recursos y conocimientos, se consideraron herramientas útiles a ese respecto.</w:t>
      </w:r>
      <w:bookmarkEnd w:id="8"/>
    </w:p>
    <w:p w14:paraId="318B3CC1" w14:textId="25FFC648" w:rsidR="00455F03" w:rsidRPr="00E56A6E" w:rsidRDefault="00960B3A" w:rsidP="00960B3A">
      <w:pPr>
        <w:pStyle w:val="CBDH3"/>
        <w:rPr>
          <w:lang w:val="es-ES"/>
        </w:rPr>
      </w:pPr>
      <w:r w:rsidRPr="00E56A6E">
        <w:rPr>
          <w:lang w:val="es-ES"/>
        </w:rPr>
        <w:lastRenderedPageBreak/>
        <w:t>5.</w:t>
      </w:r>
      <w:r w:rsidRPr="00E56A6E">
        <w:rPr>
          <w:lang w:val="es-ES"/>
        </w:rPr>
        <w:tab/>
      </w:r>
      <w:r w:rsidR="00773863" w:rsidRPr="00E56A6E">
        <w:rPr>
          <w:lang w:val="es-ES"/>
        </w:rPr>
        <w:t xml:space="preserve">Medidas relativas al cumplimiento de la legislación o </w:t>
      </w:r>
      <w:r w:rsidR="009C1B92" w:rsidRPr="00E56A6E">
        <w:rPr>
          <w:lang w:val="es-ES"/>
        </w:rPr>
        <w:t xml:space="preserve">los </w:t>
      </w:r>
      <w:r w:rsidR="00773863" w:rsidRPr="00E56A6E">
        <w:rPr>
          <w:lang w:val="es-ES"/>
        </w:rPr>
        <w:t xml:space="preserve">requisitos reglamentarios </w:t>
      </w:r>
      <w:r w:rsidR="009C1B92" w:rsidRPr="00E56A6E">
        <w:rPr>
          <w:lang w:val="es-ES"/>
        </w:rPr>
        <w:t xml:space="preserve">nacionales </w:t>
      </w:r>
      <w:r w:rsidR="00773863" w:rsidRPr="00E56A6E">
        <w:rPr>
          <w:lang w:val="es-ES"/>
        </w:rPr>
        <w:t xml:space="preserve">sobre acceso y participación en los beneficios (artículo 15) y </w:t>
      </w:r>
      <w:r w:rsidR="00C76E8D" w:rsidRPr="00E56A6E">
        <w:rPr>
          <w:lang w:val="es-ES"/>
        </w:rPr>
        <w:t>la vigilancia de la utilización</w:t>
      </w:r>
      <w:r w:rsidR="00773863" w:rsidRPr="00E56A6E">
        <w:rPr>
          <w:lang w:val="es-ES"/>
        </w:rPr>
        <w:t xml:space="preserve"> de los recursos genéticos (artículo 17)</w:t>
      </w:r>
      <w:r w:rsidR="00773863" w:rsidRPr="00E56A6E">
        <w:rPr>
          <w:rStyle w:val="FootnoteReference"/>
          <w:b w:val="0"/>
          <w:bCs/>
          <w:lang w:val="es-ES"/>
        </w:rPr>
        <w:footnoteReference w:id="32"/>
      </w:r>
    </w:p>
    <w:p w14:paraId="275886E2" w14:textId="29B24848" w:rsidR="00351137" w:rsidRPr="00E56A6E" w:rsidRDefault="00960B3A" w:rsidP="00960B3A">
      <w:pPr>
        <w:pStyle w:val="CBDH4"/>
        <w:rPr>
          <w:rFonts w:asciiTheme="majorBidi" w:hAnsiTheme="majorBidi" w:cstheme="majorBidi"/>
          <w:lang w:val="es-ES"/>
        </w:rPr>
      </w:pPr>
      <w:r w:rsidRPr="00E56A6E">
        <w:rPr>
          <w:lang w:val="es-ES"/>
        </w:rPr>
        <w:t>a)</w:t>
      </w:r>
      <w:r w:rsidRPr="00E56A6E">
        <w:rPr>
          <w:lang w:val="es-ES"/>
        </w:rPr>
        <w:tab/>
      </w:r>
      <w:r w:rsidR="009776A8" w:rsidRPr="00E56A6E">
        <w:rPr>
          <w:lang w:val="es-ES"/>
        </w:rPr>
        <w:t>Avances en la aplicación y datos actualizados de los indicadores</w:t>
      </w:r>
    </w:p>
    <w:p w14:paraId="0914E9A7" w14:textId="530C1863" w:rsidR="009776A8" w:rsidRPr="00E56A6E" w:rsidRDefault="009776A8" w:rsidP="009776A8">
      <w:pPr>
        <w:pStyle w:val="CBDNormalNumber"/>
        <w:rPr>
          <w:lang w:val="es-ES"/>
        </w:rPr>
      </w:pPr>
      <w:r w:rsidRPr="00E56A6E">
        <w:rPr>
          <w:lang w:val="es-ES"/>
        </w:rPr>
        <w:t xml:space="preserve">Los datos de los indicadores que figuran en el cuadro 5 </w:t>
      </w:r>
      <w:r w:rsidR="001B2C9C" w:rsidRPr="00E56A6E">
        <w:rPr>
          <w:i/>
          <w:iCs/>
          <w:lang w:val="es-ES"/>
        </w:rPr>
        <w:t>infra</w:t>
      </w:r>
      <w:r w:rsidRPr="00E56A6E">
        <w:rPr>
          <w:lang w:val="es-ES"/>
        </w:rPr>
        <w:t xml:space="preserve"> muestran </w:t>
      </w:r>
      <w:r w:rsidR="001B2C9C" w:rsidRPr="00E56A6E">
        <w:rPr>
          <w:lang w:val="es-ES"/>
        </w:rPr>
        <w:t xml:space="preserve">importantes </w:t>
      </w:r>
      <w:r w:rsidRPr="00E56A6E">
        <w:rPr>
          <w:lang w:val="es-ES"/>
        </w:rPr>
        <w:t xml:space="preserve">avances en las medidas adoptadas por las Partes para aplicar el artículo 15 y avances moderados en las medidas para aplicar el artículo 17 del Protocolo. Si bien el análisis de la información facilitada en el informe puso de manifiesto una mayor comprensión de las Partes </w:t>
      </w:r>
      <w:r w:rsidR="001B2C9C" w:rsidRPr="00E56A6E">
        <w:rPr>
          <w:lang w:val="es-ES"/>
        </w:rPr>
        <w:t xml:space="preserve">sobre </w:t>
      </w:r>
      <w:r w:rsidRPr="00E56A6E">
        <w:rPr>
          <w:lang w:val="es-ES"/>
        </w:rPr>
        <w:t xml:space="preserve">las obligaciones de cumplimiento en virtud del Protocolo desde el primer proceso de evaluación y revisión, </w:t>
      </w:r>
      <w:r w:rsidR="001B2C9C" w:rsidRPr="00E56A6E">
        <w:rPr>
          <w:lang w:val="es-ES"/>
        </w:rPr>
        <w:t xml:space="preserve">han sido escasos </w:t>
      </w:r>
      <w:r w:rsidRPr="00E56A6E">
        <w:rPr>
          <w:lang w:val="es-ES"/>
        </w:rPr>
        <w:t xml:space="preserve">los avances </w:t>
      </w:r>
      <w:r w:rsidR="001B2C9C" w:rsidRPr="00E56A6E">
        <w:rPr>
          <w:lang w:val="es-ES"/>
        </w:rPr>
        <w:t xml:space="preserve">en </w:t>
      </w:r>
      <w:r w:rsidR="00FE770A" w:rsidRPr="00E56A6E">
        <w:rPr>
          <w:lang w:val="es-ES"/>
        </w:rPr>
        <w:t xml:space="preserve">el suministro de la </w:t>
      </w:r>
      <w:r w:rsidRPr="00E56A6E">
        <w:rPr>
          <w:lang w:val="es-ES"/>
        </w:rPr>
        <w:t xml:space="preserve">información recopilada en los </w:t>
      </w:r>
      <w:r w:rsidR="003745C1" w:rsidRPr="00E56A6E">
        <w:rPr>
          <w:lang w:val="es-ES"/>
        </w:rPr>
        <w:t>puntos de verificación</w:t>
      </w:r>
      <w:r w:rsidRPr="00E56A6E">
        <w:rPr>
          <w:lang w:val="es-ES"/>
        </w:rPr>
        <w:t xml:space="preserve"> en forma de comunicados de los </w:t>
      </w:r>
      <w:r w:rsidR="003745C1" w:rsidRPr="00E56A6E">
        <w:rPr>
          <w:lang w:val="es-ES"/>
        </w:rPr>
        <w:t>puntos de verificación</w:t>
      </w:r>
      <w:r w:rsidRPr="00E56A6E">
        <w:rPr>
          <w:lang w:val="es-ES"/>
        </w:rPr>
        <w:t>.</w:t>
      </w:r>
    </w:p>
    <w:p w14:paraId="02546046" w14:textId="033F0780" w:rsidR="009776A8" w:rsidRPr="00E56A6E" w:rsidRDefault="009776A8" w:rsidP="009776A8">
      <w:pPr>
        <w:pStyle w:val="CBDNormalNumber"/>
        <w:rPr>
          <w:lang w:val="es-ES"/>
        </w:rPr>
      </w:pPr>
      <w:r w:rsidRPr="00E56A6E">
        <w:rPr>
          <w:lang w:val="es-ES"/>
        </w:rPr>
        <w:t xml:space="preserve">A pesar de los avances logrados, las Partes siguieron </w:t>
      </w:r>
      <w:r w:rsidR="00A230DF" w:rsidRPr="00E56A6E">
        <w:rPr>
          <w:lang w:val="es-ES"/>
        </w:rPr>
        <w:t xml:space="preserve">afrontando </w:t>
      </w:r>
      <w:r w:rsidRPr="00E56A6E">
        <w:rPr>
          <w:lang w:val="es-ES"/>
        </w:rPr>
        <w:t xml:space="preserve">dificultades a la hora de aplicar </w:t>
      </w:r>
      <w:r w:rsidR="00A230DF" w:rsidRPr="00E56A6E">
        <w:rPr>
          <w:lang w:val="es-ES"/>
        </w:rPr>
        <w:t xml:space="preserve">dichos </w:t>
      </w:r>
      <w:r w:rsidRPr="00E56A6E">
        <w:rPr>
          <w:lang w:val="es-ES"/>
        </w:rPr>
        <w:t xml:space="preserve">artículos en la práctica, y muchas de ellas aún </w:t>
      </w:r>
      <w:r w:rsidR="00A230DF" w:rsidRPr="00E56A6E">
        <w:rPr>
          <w:lang w:val="es-ES"/>
        </w:rPr>
        <w:t xml:space="preserve">debieron </w:t>
      </w:r>
      <w:r w:rsidRPr="00E56A6E">
        <w:rPr>
          <w:lang w:val="es-ES"/>
        </w:rPr>
        <w:t xml:space="preserve">adoptar nuevas medidas de acceso y participación en los beneficios o </w:t>
      </w:r>
      <w:r w:rsidR="00A230DF" w:rsidRPr="00E56A6E">
        <w:rPr>
          <w:lang w:val="es-ES"/>
        </w:rPr>
        <w:t xml:space="preserve">seguir trabajando </w:t>
      </w:r>
      <w:r w:rsidRPr="00E56A6E">
        <w:rPr>
          <w:lang w:val="es-ES"/>
        </w:rPr>
        <w:t>para poner plenamente en práctica las disposiciones relativas al cumplimiento.</w:t>
      </w:r>
    </w:p>
    <w:p w14:paraId="79FDFE2C" w14:textId="4CC3A507" w:rsidR="009776A8" w:rsidRPr="00E56A6E" w:rsidRDefault="009776A8" w:rsidP="009776A8">
      <w:pPr>
        <w:pStyle w:val="CBDNormalNumber"/>
        <w:rPr>
          <w:lang w:val="es-ES"/>
        </w:rPr>
      </w:pPr>
      <w:r w:rsidRPr="00E56A6E">
        <w:rPr>
          <w:lang w:val="es-ES"/>
        </w:rPr>
        <w:t>Los niveles de incumplimiento</w:t>
      </w:r>
      <w:r w:rsidR="00A230DF" w:rsidRPr="00E56A6E">
        <w:rPr>
          <w:lang w:val="es-ES"/>
        </w:rPr>
        <w:t xml:space="preserve"> </w:t>
      </w:r>
      <w:r w:rsidR="00727A59" w:rsidRPr="00E56A6E">
        <w:rPr>
          <w:lang w:val="es-ES"/>
        </w:rPr>
        <w:t>señalados</w:t>
      </w:r>
      <w:r w:rsidR="00A230DF" w:rsidRPr="00E56A6E">
        <w:rPr>
          <w:lang w:val="es-ES"/>
        </w:rPr>
        <w:t xml:space="preserve"> respecto a los </w:t>
      </w:r>
      <w:r w:rsidRPr="00E56A6E">
        <w:rPr>
          <w:lang w:val="es-ES"/>
        </w:rPr>
        <w:t xml:space="preserve">requisitos nacionales de acceso y participación en los beneficios relacionados con los recursos genéticos siguieron siendo muy bajos. Solo 19 Partes informaron de que habían detectado y </w:t>
      </w:r>
      <w:r w:rsidR="00727A59" w:rsidRPr="00E56A6E">
        <w:rPr>
          <w:lang w:val="es-ES"/>
        </w:rPr>
        <w:t xml:space="preserve">afrontado dichos </w:t>
      </w:r>
      <w:r w:rsidRPr="00E56A6E">
        <w:rPr>
          <w:lang w:val="es-ES"/>
        </w:rPr>
        <w:t>casos, 11 Partes respondieron que habían cooperado con otras Partes en casos específicos de presunta violación de las medidas de acceso y participación en los beneficios</w:t>
      </w:r>
      <w:r w:rsidR="00727A59" w:rsidRPr="00E56A6E">
        <w:rPr>
          <w:lang w:val="es-ES"/>
        </w:rPr>
        <w:t xml:space="preserve">; </w:t>
      </w:r>
      <w:r w:rsidRPr="00E56A6E">
        <w:rPr>
          <w:lang w:val="es-ES"/>
        </w:rPr>
        <w:t>la mayoría de las Partes informaron de que no había habido necesidad ni ocasión de hacerlo. Gran parte de la</w:t>
      </w:r>
      <w:r w:rsidR="00727A59" w:rsidRPr="00E56A6E">
        <w:rPr>
          <w:lang w:val="es-ES"/>
        </w:rPr>
        <w:t xml:space="preserve"> </w:t>
      </w:r>
      <w:r w:rsidRPr="00E56A6E">
        <w:rPr>
          <w:lang w:val="es-ES"/>
        </w:rPr>
        <w:t xml:space="preserve">cooperación comunicada se inició en virtud de un comunicado de </w:t>
      </w:r>
      <w:r w:rsidR="003745C1" w:rsidRPr="00E56A6E">
        <w:rPr>
          <w:lang w:val="es-ES"/>
        </w:rPr>
        <w:t>punto de verificación</w:t>
      </w:r>
      <w:r w:rsidRPr="00E56A6E">
        <w:rPr>
          <w:lang w:val="es-ES"/>
        </w:rPr>
        <w:t xml:space="preserve"> emitido o recibido.</w:t>
      </w:r>
    </w:p>
    <w:p w14:paraId="200CC64A" w14:textId="28883C5D" w:rsidR="009776A8" w:rsidRPr="00E56A6E" w:rsidRDefault="00CA1349" w:rsidP="009776A8">
      <w:pPr>
        <w:pStyle w:val="CBDNormalNumber"/>
        <w:rPr>
          <w:lang w:val="es-ES"/>
        </w:rPr>
      </w:pPr>
      <w:r w:rsidRPr="00E56A6E">
        <w:rPr>
          <w:lang w:val="es-ES"/>
        </w:rPr>
        <w:t xml:space="preserve">Ha aumentado el número y el porcentaje de Partes que </w:t>
      </w:r>
      <w:r w:rsidR="00850DD6" w:rsidRPr="00E56A6E">
        <w:rPr>
          <w:lang w:val="es-ES"/>
        </w:rPr>
        <w:t xml:space="preserve">exigen </w:t>
      </w:r>
      <w:r w:rsidRPr="00E56A6E">
        <w:rPr>
          <w:lang w:val="es-ES"/>
        </w:rPr>
        <w:t xml:space="preserve">a los usuarios de recursos genéticos que </w:t>
      </w:r>
      <w:r w:rsidR="00633282" w:rsidRPr="00E56A6E">
        <w:rPr>
          <w:lang w:val="es-ES"/>
        </w:rPr>
        <w:t xml:space="preserve">faciliten </w:t>
      </w:r>
      <w:r w:rsidRPr="00E56A6E">
        <w:rPr>
          <w:lang w:val="es-ES"/>
        </w:rPr>
        <w:t xml:space="preserve">la información indicada en el artículo 17 1) a) i), según proceda, en un </w:t>
      </w:r>
      <w:r w:rsidR="003745C1" w:rsidRPr="00E56A6E">
        <w:rPr>
          <w:lang w:val="es-ES"/>
        </w:rPr>
        <w:t>punto de verificación</w:t>
      </w:r>
      <w:r w:rsidRPr="00E56A6E">
        <w:rPr>
          <w:lang w:val="es-ES"/>
        </w:rPr>
        <w:t xml:space="preserve"> designado (66 Partes, que representan el 46 % del número total de Partes). </w:t>
      </w:r>
      <w:r w:rsidR="005E202B" w:rsidRPr="00E56A6E">
        <w:rPr>
          <w:lang w:val="es-ES"/>
        </w:rPr>
        <w:t xml:space="preserve">Dichos </w:t>
      </w:r>
      <w:r w:rsidRPr="00E56A6E">
        <w:rPr>
          <w:lang w:val="es-ES"/>
        </w:rPr>
        <w:t xml:space="preserve">datos concuerdan con el aumento del número de Partes que habían designado </w:t>
      </w:r>
      <w:r w:rsidR="003745C1" w:rsidRPr="00E56A6E">
        <w:rPr>
          <w:lang w:val="es-ES"/>
        </w:rPr>
        <w:t>puntos de verificación</w:t>
      </w:r>
      <w:r w:rsidRPr="00E56A6E">
        <w:rPr>
          <w:lang w:val="es-ES"/>
        </w:rPr>
        <w:t>.</w:t>
      </w:r>
    </w:p>
    <w:p w14:paraId="251FC972" w14:textId="49CA8652" w:rsidR="009776A8" w:rsidRPr="00E56A6E" w:rsidRDefault="006D0FC6" w:rsidP="009776A8">
      <w:pPr>
        <w:pStyle w:val="CBDNormalNumber"/>
        <w:rPr>
          <w:lang w:val="es-ES"/>
        </w:rPr>
      </w:pPr>
      <w:r w:rsidRPr="00E56A6E">
        <w:rPr>
          <w:lang w:val="es-ES"/>
        </w:rPr>
        <w:t>No obstante</w:t>
      </w:r>
      <w:r w:rsidR="009776A8" w:rsidRPr="00E56A6E">
        <w:rPr>
          <w:lang w:val="es-ES"/>
        </w:rPr>
        <w:t xml:space="preserve">, solo los </w:t>
      </w:r>
      <w:r w:rsidR="003745C1" w:rsidRPr="00E56A6E">
        <w:rPr>
          <w:lang w:val="es-ES"/>
        </w:rPr>
        <w:t>puntos de verificación</w:t>
      </w:r>
      <w:r w:rsidR="009776A8" w:rsidRPr="00E56A6E">
        <w:rPr>
          <w:lang w:val="es-ES"/>
        </w:rPr>
        <w:t xml:space="preserve"> de 33 Partes (el 23 %) habían recopilado o recibido información de los usuarios durante el período que abarca el informe. Además, solo 15 Partes (el 45</w:t>
      </w:r>
      <w:r w:rsidR="00CA1349" w:rsidRPr="00E56A6E">
        <w:rPr>
          <w:lang w:val="es-ES"/>
        </w:rPr>
        <w:t> </w:t>
      </w:r>
      <w:r w:rsidR="009776A8" w:rsidRPr="00E56A6E">
        <w:rPr>
          <w:lang w:val="es-ES"/>
        </w:rPr>
        <w:t xml:space="preserve">%) habían facilitado dicha información a las autoridades nacionales y a la Parte que otorga el consentimiento fundamentado previo a través del </w:t>
      </w:r>
      <w:r w:rsidR="00467E2F" w:rsidRPr="00E56A6E">
        <w:rPr>
          <w:lang w:val="es-ES"/>
        </w:rPr>
        <w:t>Centro de Intercambio de Información sobre Acceso y Participación en los Beneficios</w:t>
      </w:r>
      <w:r w:rsidR="009776A8" w:rsidRPr="00E56A6E">
        <w:rPr>
          <w:lang w:val="es-ES"/>
        </w:rPr>
        <w:t xml:space="preserve">, utilizando el comunicado del </w:t>
      </w:r>
      <w:r w:rsidR="003745C1" w:rsidRPr="00E56A6E">
        <w:rPr>
          <w:lang w:val="es-ES"/>
        </w:rPr>
        <w:t>punto de verificación</w:t>
      </w:r>
      <w:r w:rsidR="009776A8" w:rsidRPr="00E56A6E">
        <w:rPr>
          <w:lang w:val="es-ES"/>
        </w:rPr>
        <w:t xml:space="preserve">. Once Partes informaron de que habían facilitado la información recopilada o recibida por los </w:t>
      </w:r>
      <w:r w:rsidR="003745C1" w:rsidRPr="00E56A6E">
        <w:rPr>
          <w:lang w:val="es-ES"/>
        </w:rPr>
        <w:t>puntos de verificación</w:t>
      </w:r>
      <w:r w:rsidR="009776A8" w:rsidRPr="00E56A6E">
        <w:rPr>
          <w:lang w:val="es-ES"/>
        </w:rPr>
        <w:t xml:space="preserve"> a través de otros medios distintos del Centro de Intercambio de Información. Entre las razones</w:t>
      </w:r>
      <w:r w:rsidR="00F87DB7" w:rsidRPr="00E56A6E">
        <w:rPr>
          <w:lang w:val="es-ES"/>
        </w:rPr>
        <w:t xml:space="preserve"> mencionadas</w:t>
      </w:r>
      <w:r w:rsidR="009776A8" w:rsidRPr="00E56A6E">
        <w:rPr>
          <w:lang w:val="es-ES"/>
        </w:rPr>
        <w:t xml:space="preserve"> figuraban cuestiones de confidencialidad y el hecho de que la información recibida no se había adaptado al formato del comunicado del </w:t>
      </w:r>
      <w:r w:rsidR="003745C1" w:rsidRPr="00E56A6E">
        <w:rPr>
          <w:lang w:val="es-ES"/>
        </w:rPr>
        <w:t>punto de verificación</w:t>
      </w:r>
      <w:r w:rsidR="009776A8" w:rsidRPr="00E56A6E">
        <w:rPr>
          <w:lang w:val="es-ES"/>
        </w:rPr>
        <w:t>.</w:t>
      </w:r>
    </w:p>
    <w:p w14:paraId="4F7FD59B" w14:textId="73C1615F" w:rsidR="009776A8" w:rsidRPr="00E56A6E" w:rsidRDefault="009776A8" w:rsidP="009776A8">
      <w:pPr>
        <w:pStyle w:val="CBDNormalNumber"/>
        <w:rPr>
          <w:lang w:val="es-ES"/>
        </w:rPr>
      </w:pPr>
      <w:r w:rsidRPr="00E56A6E">
        <w:rPr>
          <w:lang w:val="es-ES"/>
        </w:rPr>
        <w:t xml:space="preserve">El análisis de la información publicada en el Centro de Intercambio de Información reveló que solo cinco Partes (el 4 %) representaban aproximadamente el 90 % de todos los comunicados publicados y que aproximadamente un tercio de esos comunicados eran </w:t>
      </w:r>
      <w:r w:rsidR="00514880" w:rsidRPr="00E56A6E">
        <w:rPr>
          <w:lang w:val="es-ES"/>
        </w:rPr>
        <w:t>“</w:t>
      </w:r>
      <w:r w:rsidRPr="00E56A6E">
        <w:rPr>
          <w:lang w:val="es-ES"/>
        </w:rPr>
        <w:t>internos</w:t>
      </w:r>
      <w:r w:rsidR="00514880" w:rsidRPr="00E56A6E">
        <w:rPr>
          <w:lang w:val="es-ES"/>
        </w:rPr>
        <w:t>”</w:t>
      </w:r>
      <w:r w:rsidRPr="00E56A6E">
        <w:rPr>
          <w:lang w:val="es-ES"/>
        </w:rPr>
        <w:t>, es decir, se referían a la utilización de sus propios recursos genéticos.</w:t>
      </w:r>
    </w:p>
    <w:p w14:paraId="7632882D" w14:textId="4E686793" w:rsidR="009776A8" w:rsidRPr="00E56A6E" w:rsidRDefault="009776A8" w:rsidP="009776A8">
      <w:pPr>
        <w:pStyle w:val="CBDNormalNumber"/>
        <w:rPr>
          <w:lang w:val="es-ES"/>
        </w:rPr>
      </w:pPr>
      <w:r w:rsidRPr="00E56A6E">
        <w:rPr>
          <w:lang w:val="es-ES"/>
        </w:rPr>
        <w:t xml:space="preserve">Dada la actual falta de claridad en los registros de los </w:t>
      </w:r>
      <w:r w:rsidR="003745C1" w:rsidRPr="00E56A6E">
        <w:rPr>
          <w:lang w:val="es-ES"/>
        </w:rPr>
        <w:t>puntos de verificación</w:t>
      </w:r>
      <w:r w:rsidRPr="00E56A6E">
        <w:rPr>
          <w:lang w:val="es-ES"/>
        </w:rPr>
        <w:t xml:space="preserve"> del Centro de Intercambio de Información, puede resultar difícil </w:t>
      </w:r>
      <w:r w:rsidR="00850DD6" w:rsidRPr="00E56A6E">
        <w:rPr>
          <w:lang w:val="es-ES"/>
        </w:rPr>
        <w:t xml:space="preserve">señalar </w:t>
      </w:r>
      <w:r w:rsidRPr="00E56A6E">
        <w:rPr>
          <w:lang w:val="es-ES"/>
        </w:rPr>
        <w:t xml:space="preserve">en qué punto de la cadena de valor se recopiló la información para los comunicados de los </w:t>
      </w:r>
      <w:r w:rsidR="003745C1" w:rsidRPr="00E56A6E">
        <w:rPr>
          <w:lang w:val="es-ES"/>
        </w:rPr>
        <w:t>puntos de verificación</w:t>
      </w:r>
      <w:r w:rsidRPr="00E56A6E">
        <w:rPr>
          <w:lang w:val="es-ES"/>
        </w:rPr>
        <w:t xml:space="preserve"> y determinar si el tipo de uso se refería a un uso comercial o no comercial. Sin embargo, un examen de los certificados a los </w:t>
      </w:r>
      <w:r w:rsidRPr="00E56A6E">
        <w:rPr>
          <w:lang w:val="es-ES"/>
        </w:rPr>
        <w:lastRenderedPageBreak/>
        <w:t>que se hace referencia en los comunicados</w:t>
      </w:r>
      <w:r w:rsidR="00850DD6" w:rsidRPr="00E56A6E">
        <w:rPr>
          <w:lang w:val="es-ES"/>
        </w:rPr>
        <w:t xml:space="preserve"> señaló</w:t>
      </w:r>
      <w:r w:rsidRPr="00E56A6E">
        <w:rPr>
          <w:lang w:val="es-ES"/>
        </w:rPr>
        <w:t xml:space="preserve"> que, en el 95 % de los casos, el tipo de uso era no comercial, mientras que en el 5 % restante el tipo de uso era comercial o se mantenía confidencial</w:t>
      </w:r>
      <w:r w:rsidRPr="00E56A6E">
        <w:rPr>
          <w:rStyle w:val="FootnoteReference"/>
          <w:lang w:val="es-ES"/>
        </w:rPr>
        <w:footnoteReference w:id="33"/>
      </w:r>
      <w:r w:rsidR="00FA58D2" w:rsidRPr="00E56A6E">
        <w:rPr>
          <w:lang w:val="es-ES"/>
        </w:rPr>
        <w:t>.</w:t>
      </w:r>
    </w:p>
    <w:p w14:paraId="4D9C87DC" w14:textId="7D648FBC" w:rsidR="009776A8" w:rsidRPr="00E56A6E" w:rsidRDefault="009776A8" w:rsidP="00CA1349">
      <w:pPr>
        <w:pStyle w:val="CBDNormalNumber"/>
        <w:rPr>
          <w:lang w:val="es-ES"/>
        </w:rPr>
      </w:pPr>
      <w:r w:rsidRPr="00E56A6E">
        <w:rPr>
          <w:lang w:val="es-ES"/>
        </w:rPr>
        <w:t xml:space="preserve">Las Partes habían adoptado diversas medidas y enfoques de cumplimiento para apoyar el cumplimiento por parte de los usuarios, entre otras cosas mediante </w:t>
      </w:r>
      <w:r w:rsidR="00850DD6" w:rsidRPr="00E56A6E">
        <w:rPr>
          <w:lang w:val="es-ES"/>
        </w:rPr>
        <w:t xml:space="preserve">la preparación </w:t>
      </w:r>
      <w:r w:rsidRPr="00E56A6E">
        <w:rPr>
          <w:lang w:val="es-ES"/>
        </w:rPr>
        <w:t xml:space="preserve">de herramientas y sistemas de comunicación para </w:t>
      </w:r>
      <w:r w:rsidR="00850DD6" w:rsidRPr="00E56A6E">
        <w:rPr>
          <w:lang w:val="es-ES"/>
        </w:rPr>
        <w:t xml:space="preserve">seguir de cerca </w:t>
      </w:r>
      <w:r w:rsidRPr="00E56A6E">
        <w:rPr>
          <w:lang w:val="es-ES"/>
        </w:rPr>
        <w:t>la utilización</w:t>
      </w:r>
      <w:r w:rsidR="00FA58D2" w:rsidRPr="00E56A6E">
        <w:rPr>
          <w:rStyle w:val="FootnoteReference"/>
          <w:rFonts w:asciiTheme="majorBidi" w:hAnsiTheme="majorBidi" w:cstheme="majorBidi"/>
          <w:lang w:val="es-ES"/>
        </w:rPr>
        <w:footnoteReference w:id="34"/>
      </w:r>
      <w:r w:rsidRPr="00E56A6E">
        <w:rPr>
          <w:lang w:val="es-ES"/>
        </w:rPr>
        <w:t>.</w:t>
      </w:r>
      <w:r w:rsidR="001E37A2" w:rsidRPr="00E56A6E">
        <w:rPr>
          <w:lang w:val="es-ES"/>
        </w:rPr>
        <w:t xml:space="preserve"> </w:t>
      </w:r>
      <w:r w:rsidRPr="00E56A6E">
        <w:rPr>
          <w:lang w:val="es-ES"/>
        </w:rPr>
        <w:t xml:space="preserve">Además, los usuarios de las comunidades empresarial y científica habían </w:t>
      </w:r>
      <w:r w:rsidR="00850DD6" w:rsidRPr="00E56A6E">
        <w:rPr>
          <w:lang w:val="es-ES"/>
        </w:rPr>
        <w:t xml:space="preserve">formulado </w:t>
      </w:r>
      <w:r w:rsidRPr="00E56A6E">
        <w:rPr>
          <w:lang w:val="es-ES"/>
        </w:rPr>
        <w:t xml:space="preserve">procesos internos y adoptado una serie de procedimientos y herramientas para </w:t>
      </w:r>
      <w:r w:rsidR="006741B5" w:rsidRPr="00E56A6E">
        <w:rPr>
          <w:lang w:val="es-ES"/>
        </w:rPr>
        <w:t xml:space="preserve">velar por </w:t>
      </w:r>
      <w:r w:rsidRPr="00E56A6E">
        <w:rPr>
          <w:lang w:val="es-ES"/>
        </w:rPr>
        <w:t>el cumplimiento en materia de acceso y participación en los beneficios</w:t>
      </w:r>
      <w:r w:rsidR="00FA58D2" w:rsidRPr="00E56A6E">
        <w:rPr>
          <w:rStyle w:val="FootnoteReference"/>
          <w:rFonts w:asciiTheme="majorBidi" w:hAnsiTheme="majorBidi" w:cstheme="majorBidi"/>
          <w:lang w:val="es-ES"/>
        </w:rPr>
        <w:footnoteReference w:id="35"/>
      </w:r>
      <w:r w:rsidRPr="00E56A6E">
        <w:rPr>
          <w:lang w:val="es-ES"/>
        </w:rPr>
        <w:t>.</w:t>
      </w:r>
    </w:p>
    <w:p w14:paraId="3C7B4B4D" w14:textId="486D815F" w:rsidR="004F3818" w:rsidRPr="00E56A6E" w:rsidRDefault="00653A73" w:rsidP="00960B3A">
      <w:pPr>
        <w:pStyle w:val="CBDTableTitle"/>
        <w:rPr>
          <w:lang w:val="es-ES"/>
        </w:rPr>
      </w:pPr>
      <w:r w:rsidRPr="00E56A6E">
        <w:rPr>
          <w:b w:val="0"/>
          <w:bCs/>
          <w:lang w:val="es-ES"/>
        </w:rPr>
        <w:t>Cuadro</w:t>
      </w:r>
      <w:r w:rsidR="004F3818" w:rsidRPr="00E56A6E">
        <w:rPr>
          <w:b w:val="0"/>
          <w:bCs/>
          <w:lang w:val="es-ES"/>
        </w:rPr>
        <w:t xml:space="preserve"> 5</w:t>
      </w:r>
      <w:r w:rsidR="004F3818" w:rsidRPr="00E56A6E">
        <w:rPr>
          <w:lang w:val="es-ES"/>
        </w:rPr>
        <w:t xml:space="preserve"> </w:t>
      </w:r>
      <w:r w:rsidR="00694B61" w:rsidRPr="00E56A6E">
        <w:rPr>
          <w:lang w:val="es-ES"/>
        </w:rPr>
        <w:br/>
      </w:r>
      <w:r w:rsidR="00CA1349" w:rsidRPr="00E56A6E">
        <w:rPr>
          <w:lang w:val="es-ES"/>
        </w:rPr>
        <w:t>Indicadores para medir los avances en el establecimiento de medidas relacionadas con los artículos 15 y 17 del Protocolo</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4F3818" w:rsidRPr="005A210D" w14:paraId="00D72593" w14:textId="77777777" w:rsidTr="006B066D">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61049579" w14:textId="08D089A5" w:rsidR="004F3818" w:rsidRPr="00E56A6E" w:rsidRDefault="00EE1C1B" w:rsidP="00545F1D">
            <w:pPr>
              <w:keepNext/>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7E72E42" w14:textId="1B8CCC1B" w:rsidR="004F3818" w:rsidRPr="00E56A6E" w:rsidRDefault="007F3ECF" w:rsidP="006B066D">
            <w:pPr>
              <w:keepNext/>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Punto de referencia</w:t>
            </w:r>
            <w:r w:rsidR="004F3818" w:rsidRPr="00E56A6E">
              <w:rPr>
                <w:rFonts w:asciiTheme="majorBidi" w:eastAsia="Malgun Gothic" w:hAnsiTheme="majorBidi" w:cstheme="majorBidi"/>
                <w:bCs/>
                <w:i/>
                <w:iCs/>
                <w:kern w:val="22"/>
                <w:sz w:val="20"/>
                <w:szCs w:val="20"/>
                <w:lang w:val="es-ES"/>
              </w:rPr>
              <w:t xml:space="preserve"> </w:t>
            </w:r>
            <w:r w:rsidR="007441F3" w:rsidRPr="00E56A6E">
              <w:rPr>
                <w:rFonts w:asciiTheme="majorBidi" w:eastAsia="Malgun Gothic" w:hAnsiTheme="majorBidi" w:cstheme="majorBidi"/>
                <w:bCs/>
                <w:i/>
                <w:iCs/>
                <w:kern w:val="22"/>
                <w:sz w:val="20"/>
                <w:szCs w:val="20"/>
                <w:lang w:val="es-ES"/>
              </w:rPr>
              <w:br/>
            </w:r>
            <w:r w:rsidR="004F3818" w:rsidRPr="00E56A6E">
              <w:rPr>
                <w:rFonts w:asciiTheme="majorBidi" w:eastAsia="Malgun Gothic" w:hAnsiTheme="majorBidi" w:cstheme="majorBidi"/>
                <w:bCs/>
                <w:i/>
                <w:iCs/>
                <w:kern w:val="22"/>
                <w:sz w:val="20"/>
                <w:szCs w:val="20"/>
                <w:lang w:val="es-ES"/>
              </w:rPr>
              <w:t>(</w:t>
            </w:r>
            <w:r w:rsidRPr="00E56A6E">
              <w:rPr>
                <w:rFonts w:asciiTheme="majorBidi" w:eastAsia="Malgun Gothic" w:hAnsiTheme="majorBidi" w:cstheme="majorBidi"/>
                <w:bCs/>
                <w:i/>
                <w:iCs/>
                <w:kern w:val="22"/>
                <w:sz w:val="20"/>
                <w:szCs w:val="20"/>
                <w:lang w:val="es-ES"/>
              </w:rPr>
              <w:t>al 22 de febrero de 2018</w:t>
            </w:r>
            <w:r w:rsidR="004F3818" w:rsidRPr="00E56A6E">
              <w:rPr>
                <w:rFonts w:asciiTheme="majorBidi" w:eastAsia="Malgun Gothic" w:hAnsiTheme="majorBidi" w:cstheme="majorBidi"/>
                <w:bCs/>
                <w:i/>
                <w:iCs/>
                <w:kern w:val="22"/>
                <w:sz w:val="20"/>
                <w:szCs w:val="20"/>
                <w:lang w:val="es-ES"/>
              </w:rPr>
              <w:t>)</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E651A6" w14:textId="42D91C9E" w:rsidR="004F3818" w:rsidRPr="00E56A6E" w:rsidRDefault="007F3ECF" w:rsidP="006B066D">
            <w:pPr>
              <w:keepNext/>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Avances al 9 de marzo de 2026</w:t>
            </w:r>
          </w:p>
        </w:tc>
      </w:tr>
      <w:tr w:rsidR="00CA1349" w:rsidRPr="00E56A6E" w14:paraId="4661485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8C92AD4" w14:textId="63D2BD49" w:rsidR="00CA1349" w:rsidRPr="00E56A6E" w:rsidRDefault="00CA1349" w:rsidP="00CA1349">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sz w:val="20"/>
                <w:szCs w:val="20"/>
                <w:lang w:val="es-ES"/>
              </w:rPr>
              <w:t xml:space="preserve">Número y porcentaje de Partes que han adoptado </w:t>
            </w:r>
            <w:r w:rsidR="00481B8C" w:rsidRPr="00E56A6E">
              <w:rPr>
                <w:sz w:val="20"/>
                <w:szCs w:val="20"/>
                <w:lang w:val="es-ES"/>
              </w:rPr>
              <w:t>medidas legislativas, administrativas o normativas</w:t>
            </w:r>
            <w:r w:rsidRPr="00E56A6E">
              <w:rPr>
                <w:sz w:val="20"/>
                <w:szCs w:val="20"/>
                <w:lang w:val="es-ES"/>
              </w:rPr>
              <w:t xml:space="preserve"> adecuadas, eficaces y proporcionadas para aplicar el artículo 15 1</w:t>
            </w:r>
            <w:r w:rsidR="008557EB" w:rsidRPr="00E56A6E">
              <w:rPr>
                <w:sz w:val="20"/>
                <w:szCs w:val="20"/>
                <w:lang w:val="es-ES"/>
              </w:rPr>
              <w:t>)</w:t>
            </w:r>
            <w:r w:rsidRPr="00E56A6E">
              <w:rPr>
                <w:sz w:val="20"/>
                <w:szCs w:val="20"/>
                <w:lang w:val="es-ES"/>
              </w:rPr>
              <w:t xml:space="preserve"> (recursos genéticos)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87CEA39" w14:textId="368ED2E1" w:rsidR="00CA1349" w:rsidRPr="00E56A6E" w:rsidRDefault="00CA1349" w:rsidP="00CA134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36 (34 %)</w:t>
            </w:r>
          </w:p>
        </w:tc>
        <w:tc>
          <w:tcPr>
            <w:tcW w:w="1506" w:type="dxa"/>
            <w:vAlign w:val="bottom"/>
          </w:tcPr>
          <w:p w14:paraId="2B325E88" w14:textId="589E3B80" w:rsidR="00CA1349" w:rsidRPr="00E56A6E" w:rsidRDefault="00CA1349" w:rsidP="00CA134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78 (54 %)</w:t>
            </w:r>
          </w:p>
        </w:tc>
      </w:tr>
      <w:tr w:rsidR="00CA1349" w:rsidRPr="00E56A6E" w14:paraId="5ABDBDA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D222A7F" w14:textId="23EF9531" w:rsidR="00CA1349" w:rsidRPr="00E56A6E" w:rsidRDefault="00CA1349" w:rsidP="00CA1349">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sz w:val="20"/>
                <w:szCs w:val="20"/>
                <w:lang w:val="es-ES"/>
              </w:rPr>
              <w:t>Número y porcentaje de Partes que exigen a los usuarios de recursos genéticos que faciliten la información indicada en el artículo 17</w:t>
            </w:r>
            <w:r w:rsidR="00EF0453" w:rsidRPr="00E56A6E">
              <w:rPr>
                <w:sz w:val="20"/>
                <w:szCs w:val="20"/>
                <w:lang w:val="es-ES"/>
              </w:rPr>
              <w:t> </w:t>
            </w:r>
            <w:r w:rsidRPr="00E56A6E">
              <w:rPr>
                <w:sz w:val="20"/>
                <w:szCs w:val="20"/>
                <w:lang w:val="es-ES"/>
              </w:rPr>
              <w:t>1</w:t>
            </w:r>
            <w:r w:rsidR="00EF0453" w:rsidRPr="00E56A6E">
              <w:rPr>
                <w:sz w:val="20"/>
                <w:szCs w:val="20"/>
                <w:lang w:val="es-ES"/>
              </w:rPr>
              <w:t>) </w:t>
            </w:r>
            <w:r w:rsidRPr="00E56A6E">
              <w:rPr>
                <w:sz w:val="20"/>
                <w:szCs w:val="20"/>
                <w:lang w:val="es-ES"/>
              </w:rPr>
              <w:t>a)</w:t>
            </w:r>
            <w:r w:rsidR="00EF0453" w:rsidRPr="00E56A6E">
              <w:rPr>
                <w:sz w:val="20"/>
                <w:szCs w:val="20"/>
                <w:lang w:val="es-ES"/>
              </w:rPr>
              <w:t> </w:t>
            </w:r>
            <w:r w:rsidRPr="00E56A6E">
              <w:rPr>
                <w:sz w:val="20"/>
                <w:szCs w:val="20"/>
                <w:lang w:val="es-ES"/>
              </w:rPr>
              <w:t xml:space="preserve">i), según proceda, en un </w:t>
            </w:r>
            <w:r w:rsidR="003745C1" w:rsidRPr="00E56A6E">
              <w:rPr>
                <w:sz w:val="20"/>
                <w:szCs w:val="20"/>
                <w:lang w:val="es-ES"/>
              </w:rPr>
              <w:t>punto de verificación</w:t>
            </w:r>
            <w:r w:rsidRPr="00E56A6E">
              <w:rPr>
                <w:sz w:val="20"/>
                <w:szCs w:val="20"/>
                <w:lang w:val="es-ES"/>
              </w:rPr>
              <w:t xml:space="preserve"> designado</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C516A3" w14:textId="20C98103" w:rsidR="00CA1349" w:rsidRPr="00E56A6E" w:rsidRDefault="00CA1349" w:rsidP="00CA134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41 (39 %)</w:t>
            </w:r>
          </w:p>
        </w:tc>
        <w:tc>
          <w:tcPr>
            <w:tcW w:w="1506" w:type="dxa"/>
            <w:vAlign w:val="bottom"/>
          </w:tcPr>
          <w:p w14:paraId="1E025684" w14:textId="29338779" w:rsidR="00CA1349" w:rsidRPr="00E56A6E" w:rsidRDefault="00CA1349" w:rsidP="00CA134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66 (46 %)</w:t>
            </w:r>
          </w:p>
        </w:tc>
      </w:tr>
      <w:tr w:rsidR="00CA1349" w:rsidRPr="00E56A6E" w14:paraId="32C3102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C207B64" w14:textId="304958D3" w:rsidR="00CA1349" w:rsidRPr="00E56A6E" w:rsidRDefault="00CA1349" w:rsidP="00CA1349">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sz w:val="20"/>
                <w:szCs w:val="20"/>
                <w:lang w:val="es-ES"/>
              </w:rPr>
              <w:t xml:space="preserve">Número y porcentaje de Partes que facilitan la información recopilada o recibida en un </w:t>
            </w:r>
            <w:r w:rsidR="003745C1" w:rsidRPr="00E56A6E">
              <w:rPr>
                <w:sz w:val="20"/>
                <w:szCs w:val="20"/>
                <w:lang w:val="es-ES"/>
              </w:rPr>
              <w:t>punto de verificación</w:t>
            </w:r>
            <w:r w:rsidRPr="00E56A6E">
              <w:rPr>
                <w:sz w:val="20"/>
                <w:szCs w:val="20"/>
                <w:lang w:val="es-ES"/>
              </w:rPr>
              <w:t xml:space="preserve"> designado a las autoridades nacionales </w:t>
            </w:r>
            <w:r w:rsidR="006741B5" w:rsidRPr="00E56A6E">
              <w:rPr>
                <w:sz w:val="20"/>
                <w:szCs w:val="20"/>
                <w:lang w:val="es-ES"/>
              </w:rPr>
              <w:t>competentes</w:t>
            </w:r>
            <w:r w:rsidRPr="00E56A6E">
              <w:rPr>
                <w:sz w:val="20"/>
                <w:szCs w:val="20"/>
                <w:lang w:val="es-ES"/>
              </w:rPr>
              <w:t xml:space="preserve">, a la Parte que otorga el consentimiento fundamentado previo y al </w:t>
            </w:r>
            <w:r w:rsidR="00B67C83" w:rsidRPr="00E56A6E">
              <w:rPr>
                <w:sz w:val="20"/>
                <w:szCs w:val="20"/>
                <w:lang w:val="es-ES"/>
              </w:rPr>
              <w:t>Centro de Intercambio de Información sobre Acceso y Participación</w:t>
            </w:r>
            <w:r w:rsidRPr="00E56A6E">
              <w:rPr>
                <w:sz w:val="20"/>
                <w:szCs w:val="20"/>
                <w:lang w:val="es-ES"/>
              </w:rPr>
              <w:t xml:space="preserve"> en los Beneficios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52A841E" w14:textId="2784832F" w:rsidR="00CA1349" w:rsidRPr="00E56A6E" w:rsidRDefault="00CA1349" w:rsidP="00CA134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9 (9 %)</w:t>
            </w:r>
          </w:p>
        </w:tc>
        <w:tc>
          <w:tcPr>
            <w:tcW w:w="1506" w:type="dxa"/>
            <w:vAlign w:val="bottom"/>
          </w:tcPr>
          <w:p w14:paraId="0B1B561B" w14:textId="7E261020" w:rsidR="00CA1349" w:rsidRPr="00E56A6E" w:rsidRDefault="00CA1349" w:rsidP="00CA134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15 (10 %)</w:t>
            </w:r>
          </w:p>
        </w:tc>
      </w:tr>
    </w:tbl>
    <w:p w14:paraId="44F4296B" w14:textId="619AF94A" w:rsidR="00D70885" w:rsidRPr="00E56A6E" w:rsidRDefault="00694B61" w:rsidP="00694B61">
      <w:pPr>
        <w:pStyle w:val="CBDH4"/>
        <w:rPr>
          <w:lang w:val="es-ES"/>
        </w:rPr>
      </w:pPr>
      <w:r w:rsidRPr="00E56A6E">
        <w:rPr>
          <w:lang w:val="es-ES"/>
        </w:rPr>
        <w:t>b)</w:t>
      </w:r>
      <w:r w:rsidRPr="00E56A6E">
        <w:rPr>
          <w:lang w:val="es-ES"/>
        </w:rPr>
        <w:tab/>
      </w:r>
      <w:r w:rsidR="009F6791" w:rsidRPr="00E56A6E">
        <w:rPr>
          <w:lang w:val="es-ES"/>
        </w:rPr>
        <w:t>Dificultades, causas subyacentes y posibles maneras de mejorar</w:t>
      </w:r>
      <w:r w:rsidR="00CA1349" w:rsidRPr="00E56A6E">
        <w:rPr>
          <w:lang w:val="es-ES"/>
        </w:rPr>
        <w:t xml:space="preserve"> las medidas relacionadas con la aplicación de los artículos 15 y 17 del Protocolo</w:t>
      </w:r>
    </w:p>
    <w:p w14:paraId="7CA57610" w14:textId="2E7406AA" w:rsidR="005F3B64" w:rsidRPr="00E56A6E" w:rsidRDefault="005F3B64" w:rsidP="005F3B64">
      <w:pPr>
        <w:pStyle w:val="CBDNormalNumber"/>
        <w:rPr>
          <w:lang w:val="es-ES"/>
        </w:rPr>
      </w:pPr>
      <w:r w:rsidRPr="00E56A6E">
        <w:rPr>
          <w:lang w:val="es-ES"/>
        </w:rPr>
        <w:t xml:space="preserve">El estado de la aplicación de las medidas de cumplimiento y de los elementos del sistema de seguimiento establecido por el Protocolo de Nagoya (certificados, </w:t>
      </w:r>
      <w:r w:rsidR="003745C1" w:rsidRPr="00E56A6E">
        <w:rPr>
          <w:lang w:val="es-ES"/>
        </w:rPr>
        <w:t>puntos de verificación</w:t>
      </w:r>
      <w:r w:rsidRPr="00E56A6E">
        <w:rPr>
          <w:lang w:val="es-ES"/>
        </w:rPr>
        <w:t xml:space="preserve"> y comunicados de los </w:t>
      </w:r>
      <w:r w:rsidR="003745C1" w:rsidRPr="00E56A6E">
        <w:rPr>
          <w:lang w:val="es-ES"/>
        </w:rPr>
        <w:t>puntos de verificación</w:t>
      </w:r>
      <w:r w:rsidRPr="00E56A6E">
        <w:rPr>
          <w:lang w:val="es-ES"/>
        </w:rPr>
        <w:t xml:space="preserve">) sigue siendo desigual. Mientras que varios países desarrollados tradicionalmente considerados </w:t>
      </w:r>
      <w:r w:rsidR="00514880" w:rsidRPr="00E56A6E">
        <w:rPr>
          <w:lang w:val="es-ES"/>
        </w:rPr>
        <w:t>“</w:t>
      </w:r>
      <w:r w:rsidRPr="00E56A6E">
        <w:rPr>
          <w:lang w:val="es-ES"/>
        </w:rPr>
        <w:t>países usuarios</w:t>
      </w:r>
      <w:r w:rsidR="00514880" w:rsidRPr="00E56A6E">
        <w:rPr>
          <w:lang w:val="es-ES"/>
        </w:rPr>
        <w:t>”</w:t>
      </w:r>
      <w:r w:rsidRPr="00E56A6E">
        <w:rPr>
          <w:lang w:val="es-ES"/>
        </w:rPr>
        <w:t xml:space="preserve"> han adoptado medidas de cumplimiento, otros no lo han hecho y muchos países en desarrollo se perciben a sí mismos </w:t>
      </w:r>
      <w:r w:rsidR="00864C35" w:rsidRPr="00E56A6E">
        <w:rPr>
          <w:lang w:val="es-ES"/>
        </w:rPr>
        <w:t xml:space="preserve">ante todo </w:t>
      </w:r>
      <w:r w:rsidRPr="00E56A6E">
        <w:rPr>
          <w:lang w:val="es-ES"/>
        </w:rPr>
        <w:t xml:space="preserve">como proveedores y se han </w:t>
      </w:r>
      <w:r w:rsidR="00864C35" w:rsidRPr="00E56A6E">
        <w:rPr>
          <w:lang w:val="es-ES"/>
        </w:rPr>
        <w:t xml:space="preserve">dedicado a </w:t>
      </w:r>
      <w:r w:rsidRPr="00E56A6E">
        <w:rPr>
          <w:lang w:val="es-ES"/>
        </w:rPr>
        <w:t>regular el acceso a sus recursos genéticos sin haber adoptado aún medidas de cumplimiento.</w:t>
      </w:r>
      <w:r w:rsidR="001E37A2" w:rsidRPr="00E56A6E">
        <w:rPr>
          <w:lang w:val="es-ES"/>
        </w:rPr>
        <w:t xml:space="preserve"> </w:t>
      </w:r>
    </w:p>
    <w:p w14:paraId="72AF46EF" w14:textId="13D596DD" w:rsidR="005F3B64" w:rsidRPr="00E56A6E" w:rsidRDefault="00556164" w:rsidP="005F3B64">
      <w:pPr>
        <w:pStyle w:val="CBDNormalNumber"/>
        <w:rPr>
          <w:lang w:val="es-ES"/>
        </w:rPr>
      </w:pPr>
      <w:r w:rsidRPr="00E56A6E">
        <w:rPr>
          <w:lang w:val="es-ES"/>
        </w:rPr>
        <w:t xml:space="preserve">Aunque </w:t>
      </w:r>
      <w:r w:rsidR="00864C35" w:rsidRPr="00E56A6E">
        <w:rPr>
          <w:lang w:val="es-ES"/>
        </w:rPr>
        <w:t>a</w:t>
      </w:r>
      <w:r w:rsidR="005F3B64" w:rsidRPr="00E56A6E">
        <w:rPr>
          <w:lang w:val="es-ES"/>
        </w:rPr>
        <w:t xml:space="preserve">lgunas Partes han establecido </w:t>
      </w:r>
      <w:r w:rsidR="003745C1" w:rsidRPr="00E56A6E">
        <w:rPr>
          <w:lang w:val="es-ES"/>
        </w:rPr>
        <w:t>puntos de verificación</w:t>
      </w:r>
      <w:r w:rsidR="005F3B64" w:rsidRPr="00E56A6E">
        <w:rPr>
          <w:lang w:val="es-ES"/>
        </w:rPr>
        <w:t xml:space="preserve"> para </w:t>
      </w:r>
      <w:r w:rsidR="00864C35" w:rsidRPr="00E56A6E">
        <w:rPr>
          <w:lang w:val="es-ES"/>
        </w:rPr>
        <w:t xml:space="preserve">vigilar </w:t>
      </w:r>
      <w:r w:rsidR="005F3B64" w:rsidRPr="00E56A6E">
        <w:rPr>
          <w:lang w:val="es-ES"/>
        </w:rPr>
        <w:t xml:space="preserve">la utilización de sus propios recursos genéticos, no han adoptado medidas para </w:t>
      </w:r>
      <w:r w:rsidRPr="00E56A6E">
        <w:rPr>
          <w:lang w:val="es-ES"/>
        </w:rPr>
        <w:t xml:space="preserve">asegurarse de </w:t>
      </w:r>
      <w:r w:rsidR="005F3B64" w:rsidRPr="00E56A6E">
        <w:rPr>
          <w:lang w:val="es-ES"/>
        </w:rPr>
        <w:t>que los usuarios dentro de su jurisdicción cumplan los requisitos de acceso y participación en los beneficios de otros países, de conformidad con las obligaciones que les incumben en virtud del Protocolo. Si bien otras Partes han adoptado medidas de cumplimiento, han informado de dificultades en lo que respecta a la aplicación y el cumplimiento de dichas medidas.</w:t>
      </w:r>
    </w:p>
    <w:p w14:paraId="49413A3B" w14:textId="01807E42" w:rsidR="005F3B64" w:rsidRPr="00E56A6E" w:rsidRDefault="00556164" w:rsidP="005F3B64">
      <w:pPr>
        <w:pStyle w:val="CBDNormalNumber"/>
        <w:rPr>
          <w:lang w:val="es-ES"/>
        </w:rPr>
      </w:pPr>
      <w:r w:rsidRPr="00E56A6E">
        <w:rPr>
          <w:lang w:val="es-ES"/>
        </w:rPr>
        <w:t>Conforme a l</w:t>
      </w:r>
      <w:r w:rsidR="005F3B64" w:rsidRPr="00E56A6E">
        <w:rPr>
          <w:lang w:val="es-ES"/>
        </w:rPr>
        <w:t>os datos proporcionados en la sección anterior</w:t>
      </w:r>
      <w:r w:rsidRPr="00E56A6E">
        <w:rPr>
          <w:lang w:val="es-ES"/>
        </w:rPr>
        <w:t xml:space="preserve">, </w:t>
      </w:r>
      <w:r w:rsidR="005F3B64" w:rsidRPr="00E56A6E">
        <w:rPr>
          <w:lang w:val="es-ES"/>
        </w:rPr>
        <w:t xml:space="preserve">el 90 % de todos los registros de comunicados de </w:t>
      </w:r>
      <w:r w:rsidR="003745C1" w:rsidRPr="00E56A6E">
        <w:rPr>
          <w:lang w:val="es-ES"/>
        </w:rPr>
        <w:t>puntos de verificación</w:t>
      </w:r>
      <w:r w:rsidR="005F3B64" w:rsidRPr="00E56A6E">
        <w:rPr>
          <w:lang w:val="es-ES"/>
        </w:rPr>
        <w:t xml:space="preserve"> fueron publicados por cinco Partes y </w:t>
      </w:r>
      <w:r w:rsidRPr="00E56A6E">
        <w:rPr>
          <w:lang w:val="es-ES"/>
        </w:rPr>
        <w:t xml:space="preserve">alrededor de </w:t>
      </w:r>
      <w:r w:rsidR="005F3B64" w:rsidRPr="00E56A6E">
        <w:rPr>
          <w:lang w:val="es-ES"/>
        </w:rPr>
        <w:t xml:space="preserve">un tercio </w:t>
      </w:r>
      <w:r w:rsidR="005F3B64" w:rsidRPr="00E56A6E">
        <w:rPr>
          <w:lang w:val="es-ES"/>
        </w:rPr>
        <w:lastRenderedPageBreak/>
        <w:t xml:space="preserve">de todos los comunicados eran internos y, por lo tanto, no contribuían a la </w:t>
      </w:r>
      <w:r w:rsidR="004121A1" w:rsidRPr="00E56A6E">
        <w:rPr>
          <w:lang w:val="es-ES"/>
        </w:rPr>
        <w:t xml:space="preserve">vigilancia </w:t>
      </w:r>
      <w:r w:rsidR="005F3B64" w:rsidRPr="00E56A6E">
        <w:rPr>
          <w:lang w:val="es-ES"/>
        </w:rPr>
        <w:t xml:space="preserve">de la utilización de los recursos genéticos a través de las fronteras o a </w:t>
      </w:r>
      <w:r w:rsidR="004121A1" w:rsidRPr="00E56A6E">
        <w:rPr>
          <w:lang w:val="es-ES"/>
        </w:rPr>
        <w:t xml:space="preserve">escala </w:t>
      </w:r>
      <w:r w:rsidR="005F3B64" w:rsidRPr="00E56A6E">
        <w:rPr>
          <w:lang w:val="es-ES"/>
        </w:rPr>
        <w:t xml:space="preserve">internacional. Esto </w:t>
      </w:r>
      <w:r w:rsidR="006D5F93" w:rsidRPr="00E56A6E">
        <w:rPr>
          <w:lang w:val="es-ES"/>
        </w:rPr>
        <w:t xml:space="preserve">indica una brecha </w:t>
      </w:r>
      <w:r w:rsidR="005F3B64" w:rsidRPr="00E56A6E">
        <w:rPr>
          <w:lang w:val="es-ES"/>
        </w:rPr>
        <w:t xml:space="preserve">importante en el sistema de </w:t>
      </w:r>
      <w:r w:rsidR="006D5F93" w:rsidRPr="00E56A6E">
        <w:rPr>
          <w:lang w:val="es-ES"/>
        </w:rPr>
        <w:t xml:space="preserve">vigilancia </w:t>
      </w:r>
      <w:r w:rsidR="005F3B64" w:rsidRPr="00E56A6E">
        <w:rPr>
          <w:lang w:val="es-ES"/>
        </w:rPr>
        <w:t xml:space="preserve">de la utilización de los recursos genéticos a nivel internacional </w:t>
      </w:r>
      <w:r w:rsidR="006D5F93" w:rsidRPr="00E56A6E">
        <w:rPr>
          <w:lang w:val="es-ES"/>
        </w:rPr>
        <w:t xml:space="preserve">y señala </w:t>
      </w:r>
      <w:r w:rsidR="005F3B64" w:rsidRPr="00E56A6E">
        <w:rPr>
          <w:lang w:val="es-ES"/>
        </w:rPr>
        <w:t xml:space="preserve">que, por diferentes razones, es posible que los </w:t>
      </w:r>
      <w:r w:rsidR="003745C1" w:rsidRPr="00E56A6E">
        <w:rPr>
          <w:lang w:val="es-ES"/>
        </w:rPr>
        <w:t>puntos de verificación</w:t>
      </w:r>
      <w:r w:rsidR="005F3B64" w:rsidRPr="00E56A6E">
        <w:rPr>
          <w:lang w:val="es-ES"/>
        </w:rPr>
        <w:t xml:space="preserve"> designados por 65</w:t>
      </w:r>
      <w:r w:rsidR="006D5F93" w:rsidRPr="00E56A6E">
        <w:rPr>
          <w:lang w:val="es-ES"/>
        </w:rPr>
        <w:t> </w:t>
      </w:r>
      <w:r w:rsidR="005F3B64" w:rsidRPr="00E56A6E">
        <w:rPr>
          <w:lang w:val="es-ES"/>
        </w:rPr>
        <w:t>Partes no estén cumpliendo la función que les asigna el artículo 17 del Protocolo.</w:t>
      </w:r>
    </w:p>
    <w:p w14:paraId="6663C991" w14:textId="49A9D125" w:rsidR="005F3B64" w:rsidRPr="00E56A6E" w:rsidRDefault="005F3B64" w:rsidP="005F3B64">
      <w:pPr>
        <w:pStyle w:val="CBDNormalNumber"/>
        <w:rPr>
          <w:lang w:val="es-ES"/>
        </w:rPr>
      </w:pPr>
      <w:r w:rsidRPr="00E56A6E">
        <w:rPr>
          <w:lang w:val="es-ES"/>
        </w:rPr>
        <w:t>En conjunto,</w:t>
      </w:r>
      <w:r w:rsidR="006A1AB8" w:rsidRPr="00E56A6E">
        <w:rPr>
          <w:lang w:val="es-ES"/>
        </w:rPr>
        <w:t xml:space="preserve"> dichos elementos </w:t>
      </w:r>
      <w:r w:rsidRPr="00E56A6E">
        <w:rPr>
          <w:lang w:val="es-ES"/>
        </w:rPr>
        <w:t xml:space="preserve">demuestran que el sistema de seguimiento internacional previsto en el Protocolo de Nagoya </w:t>
      </w:r>
      <w:r w:rsidR="00AB7071" w:rsidRPr="00E56A6E">
        <w:rPr>
          <w:lang w:val="es-ES"/>
        </w:rPr>
        <w:t xml:space="preserve">todavía </w:t>
      </w:r>
      <w:r w:rsidRPr="00E56A6E">
        <w:rPr>
          <w:lang w:val="es-ES"/>
        </w:rPr>
        <w:t xml:space="preserve">no se aplica de manera generalizada. </w:t>
      </w:r>
      <w:r w:rsidR="009310E1" w:rsidRPr="00E56A6E">
        <w:rPr>
          <w:lang w:val="es-ES"/>
        </w:rPr>
        <w:t>Por ello</w:t>
      </w:r>
      <w:r w:rsidRPr="00E56A6E">
        <w:rPr>
          <w:lang w:val="es-ES"/>
        </w:rPr>
        <w:t xml:space="preserve">, persisten las preocupaciones sobre la </w:t>
      </w:r>
      <w:proofErr w:type="gramStart"/>
      <w:r w:rsidRPr="00E56A6E">
        <w:rPr>
          <w:lang w:val="es-ES"/>
        </w:rPr>
        <w:t>apropiación indebida y el uso indebido</w:t>
      </w:r>
      <w:proofErr w:type="gramEnd"/>
      <w:r w:rsidRPr="00E56A6E">
        <w:rPr>
          <w:lang w:val="es-ES"/>
        </w:rPr>
        <w:t xml:space="preserve"> de los recursos genéticos</w:t>
      </w:r>
      <w:r w:rsidR="009310E1" w:rsidRPr="00E56A6E">
        <w:rPr>
          <w:lang w:val="es-ES"/>
        </w:rPr>
        <w:t xml:space="preserve"> cuando </w:t>
      </w:r>
      <w:r w:rsidRPr="00E56A6E">
        <w:rPr>
          <w:lang w:val="es-ES"/>
        </w:rPr>
        <w:t xml:space="preserve">salen del país, y las Partes siguen adoptando medidas </w:t>
      </w:r>
      <w:r w:rsidR="009310E1" w:rsidRPr="00E56A6E">
        <w:rPr>
          <w:lang w:val="es-ES"/>
        </w:rPr>
        <w:t xml:space="preserve">de </w:t>
      </w:r>
      <w:r w:rsidRPr="00E56A6E">
        <w:rPr>
          <w:lang w:val="es-ES"/>
        </w:rPr>
        <w:t>defens</w:t>
      </w:r>
      <w:r w:rsidR="009310E1" w:rsidRPr="00E56A6E">
        <w:rPr>
          <w:lang w:val="es-ES"/>
        </w:rPr>
        <w:t>a</w:t>
      </w:r>
      <w:r w:rsidRPr="00E56A6E">
        <w:rPr>
          <w:lang w:val="es-ES"/>
        </w:rPr>
        <w:t xml:space="preserve"> para regular el acceso a sus recursos genéticos y </w:t>
      </w:r>
      <w:r w:rsidR="00C254F9" w:rsidRPr="00E56A6E">
        <w:rPr>
          <w:lang w:val="es-ES"/>
        </w:rPr>
        <w:t xml:space="preserve">procuran </w:t>
      </w:r>
      <w:r w:rsidRPr="00E56A6E">
        <w:rPr>
          <w:lang w:val="es-ES"/>
        </w:rPr>
        <w:t xml:space="preserve">adoptar medidas para </w:t>
      </w:r>
      <w:r w:rsidR="009310E1" w:rsidRPr="00E56A6E">
        <w:rPr>
          <w:lang w:val="es-ES"/>
        </w:rPr>
        <w:t xml:space="preserve">vigilar </w:t>
      </w:r>
      <w:r w:rsidRPr="00E56A6E">
        <w:rPr>
          <w:lang w:val="es-ES"/>
        </w:rPr>
        <w:t>el uso de dichos recursos.</w:t>
      </w:r>
    </w:p>
    <w:p w14:paraId="1D389B3E" w14:textId="48E837C7" w:rsidR="005F3B64" w:rsidRPr="00E56A6E" w:rsidRDefault="00251FA6" w:rsidP="005F3B64">
      <w:pPr>
        <w:pStyle w:val="CBDNormalNumber"/>
        <w:rPr>
          <w:lang w:val="es-ES"/>
        </w:rPr>
      </w:pPr>
      <w:r w:rsidRPr="00E56A6E">
        <w:rPr>
          <w:lang w:val="es-ES"/>
        </w:rPr>
        <w:t xml:space="preserve">Tal </w:t>
      </w:r>
      <w:r w:rsidR="005F3B64" w:rsidRPr="00E56A6E">
        <w:rPr>
          <w:lang w:val="es-ES"/>
        </w:rPr>
        <w:t xml:space="preserve">como se destacó de forma </w:t>
      </w:r>
      <w:r w:rsidR="00BE6753" w:rsidRPr="00E56A6E">
        <w:rPr>
          <w:lang w:val="es-ES"/>
        </w:rPr>
        <w:t xml:space="preserve">reiterada </w:t>
      </w:r>
      <w:r w:rsidR="005F3B64" w:rsidRPr="00E56A6E">
        <w:rPr>
          <w:lang w:val="es-ES"/>
        </w:rPr>
        <w:t xml:space="preserve">en los primeros informes nacionales, en las respuestas a las encuestas </w:t>
      </w:r>
      <w:r w:rsidRPr="00E56A6E">
        <w:rPr>
          <w:lang w:val="es-ES"/>
        </w:rPr>
        <w:t xml:space="preserve">dirigidas </w:t>
      </w:r>
      <w:r w:rsidR="005F3B64" w:rsidRPr="00E56A6E">
        <w:rPr>
          <w:lang w:val="es-ES"/>
        </w:rPr>
        <w:t xml:space="preserve">y en los documentos pertinentes para el </w:t>
      </w:r>
      <w:r w:rsidR="00467E2F" w:rsidRPr="00E56A6E">
        <w:rPr>
          <w:lang w:val="es-ES"/>
        </w:rPr>
        <w:t>Centro de Intercambio de Información sobre Acceso y Participación en los Beneficios</w:t>
      </w:r>
      <w:r w:rsidR="005F3B64" w:rsidRPr="00E56A6E">
        <w:rPr>
          <w:lang w:val="es-ES"/>
        </w:rPr>
        <w:t xml:space="preserve">, las Partes necesitaban apoyo en relación con la aplicación del artículo 17 del Protocolo. Esto incluiría el apoyo relacionado con la designación y puesta en funcionamiento de los </w:t>
      </w:r>
      <w:r w:rsidR="003745C1" w:rsidRPr="00E56A6E">
        <w:rPr>
          <w:lang w:val="es-ES"/>
        </w:rPr>
        <w:t>puntos de verificación</w:t>
      </w:r>
      <w:r w:rsidR="005F3B64" w:rsidRPr="00E56A6E">
        <w:rPr>
          <w:lang w:val="es-ES"/>
        </w:rPr>
        <w:t xml:space="preserve"> y la comprensión del sistema del Protocolo para </w:t>
      </w:r>
      <w:r w:rsidR="00244DA4" w:rsidRPr="00E56A6E">
        <w:rPr>
          <w:lang w:val="es-ES"/>
        </w:rPr>
        <w:t xml:space="preserve">vigilar </w:t>
      </w:r>
      <w:r w:rsidR="005F3B64" w:rsidRPr="00E56A6E">
        <w:rPr>
          <w:lang w:val="es-ES"/>
        </w:rPr>
        <w:t xml:space="preserve">la utilización y, en particular, la comprensión del </w:t>
      </w:r>
      <w:r w:rsidR="002A2B15" w:rsidRPr="00E56A6E">
        <w:rPr>
          <w:lang w:val="es-ES"/>
        </w:rPr>
        <w:t>cometido</w:t>
      </w:r>
      <w:r w:rsidR="005F3B64" w:rsidRPr="00E56A6E">
        <w:rPr>
          <w:lang w:val="es-ES"/>
        </w:rPr>
        <w:t xml:space="preserve"> y la función del </w:t>
      </w:r>
      <w:r w:rsidR="003745C1" w:rsidRPr="00E56A6E">
        <w:rPr>
          <w:lang w:val="es-ES"/>
        </w:rPr>
        <w:t>punto de verificación</w:t>
      </w:r>
      <w:r w:rsidR="005F3B64" w:rsidRPr="00E56A6E">
        <w:rPr>
          <w:lang w:val="es-ES"/>
        </w:rPr>
        <w:t xml:space="preserve"> y de los comunicados de los </w:t>
      </w:r>
      <w:r w:rsidR="003745C1" w:rsidRPr="00E56A6E">
        <w:rPr>
          <w:lang w:val="es-ES"/>
        </w:rPr>
        <w:t>puntos de verificación</w:t>
      </w:r>
      <w:r w:rsidR="005F3B64" w:rsidRPr="00E56A6E">
        <w:rPr>
          <w:lang w:val="es-ES"/>
        </w:rPr>
        <w:t xml:space="preserve"> dentro de ese sistema.</w:t>
      </w:r>
    </w:p>
    <w:p w14:paraId="1FA84BA7" w14:textId="684A6936" w:rsidR="005F3B64" w:rsidRPr="00E56A6E" w:rsidRDefault="005F3B64" w:rsidP="005F3B64">
      <w:pPr>
        <w:pStyle w:val="CBDNormalNumber"/>
        <w:rPr>
          <w:lang w:val="es-ES"/>
        </w:rPr>
      </w:pPr>
      <w:r w:rsidRPr="00E56A6E">
        <w:rPr>
          <w:lang w:val="es-ES"/>
        </w:rPr>
        <w:t>Entre l</w:t>
      </w:r>
      <w:r w:rsidR="009422B6" w:rsidRPr="00E56A6E">
        <w:rPr>
          <w:lang w:val="es-ES"/>
        </w:rPr>
        <w:t xml:space="preserve">as dificultades que enfrentan </w:t>
      </w:r>
      <w:r w:rsidRPr="00E56A6E">
        <w:rPr>
          <w:lang w:val="es-ES"/>
        </w:rPr>
        <w:t xml:space="preserve">las Partes en relación con la aplicación del artículo 15 del Protocolo figuran: la identificación de los usuarios de recursos genéticos dentro de su jurisdicción; </w:t>
      </w:r>
      <w:r w:rsidR="009422B6" w:rsidRPr="00E56A6E">
        <w:rPr>
          <w:lang w:val="es-ES"/>
        </w:rPr>
        <w:t xml:space="preserve">el control del </w:t>
      </w:r>
      <w:r w:rsidRPr="00E56A6E">
        <w:rPr>
          <w:lang w:val="es-ES"/>
        </w:rPr>
        <w:t>cumplimiento por parte de los usuarios dentro de su jurisdicción que acceden a recursos genéticos o a los conocimientos tradicionales</w:t>
      </w:r>
      <w:r w:rsidR="00C44EBA" w:rsidRPr="00E56A6E">
        <w:rPr>
          <w:lang w:val="es-ES"/>
        </w:rPr>
        <w:t xml:space="preserve"> </w:t>
      </w:r>
      <w:r w:rsidR="009422B6" w:rsidRPr="00E56A6E">
        <w:rPr>
          <w:lang w:val="es-ES"/>
        </w:rPr>
        <w:t xml:space="preserve">conexos </w:t>
      </w:r>
      <w:r w:rsidRPr="00E56A6E">
        <w:rPr>
          <w:lang w:val="es-ES"/>
        </w:rPr>
        <w:t xml:space="preserve">de otros países; el escaso conocimiento por parte de los usuarios de las cuestiones relacionadas con el acceso y la participación en los beneficios; y la diversidad de los requisitos </w:t>
      </w:r>
      <w:r w:rsidR="00E45B22" w:rsidRPr="00E56A6E">
        <w:rPr>
          <w:lang w:val="es-ES"/>
        </w:rPr>
        <w:t xml:space="preserve">jurídicos </w:t>
      </w:r>
      <w:r w:rsidRPr="00E56A6E">
        <w:rPr>
          <w:lang w:val="es-ES"/>
        </w:rPr>
        <w:t xml:space="preserve">nacionales en materia de acceso y participación en los beneficios en los países proveedores. Además, las prioridades nacionales contrapuestas, la escasa visibilidad de los beneficios y la elevada rotación de personal son </w:t>
      </w:r>
      <w:r w:rsidR="00C44EBA" w:rsidRPr="00E56A6E">
        <w:rPr>
          <w:lang w:val="es-ES"/>
        </w:rPr>
        <w:t>dificultades</w:t>
      </w:r>
      <w:r w:rsidRPr="00E56A6E">
        <w:rPr>
          <w:lang w:val="es-ES"/>
        </w:rPr>
        <w:t xml:space="preserve"> comunes para los países que aplican medidas de cumplimiento.</w:t>
      </w:r>
      <w:r w:rsidR="001E37A2" w:rsidRPr="00E56A6E">
        <w:rPr>
          <w:lang w:val="es-ES"/>
        </w:rPr>
        <w:t xml:space="preserve"> </w:t>
      </w:r>
    </w:p>
    <w:p w14:paraId="166B0D01" w14:textId="0C5B2AFE" w:rsidR="005F3B64" w:rsidRPr="00E56A6E" w:rsidRDefault="005F3B64" w:rsidP="005F3B64">
      <w:pPr>
        <w:pStyle w:val="CBDNormalNumber"/>
        <w:rPr>
          <w:lang w:val="es-ES"/>
        </w:rPr>
      </w:pPr>
      <w:r w:rsidRPr="00E56A6E">
        <w:rPr>
          <w:lang w:val="es-ES"/>
        </w:rPr>
        <w:t>Los sistemas, herramientas y bases de datos digitales pueden contribuir a mejorar la comunicación reduci</w:t>
      </w:r>
      <w:r w:rsidR="00C44EBA" w:rsidRPr="00E56A6E">
        <w:rPr>
          <w:lang w:val="es-ES"/>
        </w:rPr>
        <w:t>endo</w:t>
      </w:r>
      <w:r w:rsidRPr="00E56A6E">
        <w:rPr>
          <w:lang w:val="es-ES"/>
        </w:rPr>
        <w:t xml:space="preserve"> las cargas administrativas y aumenta</w:t>
      </w:r>
      <w:r w:rsidR="00C44EBA" w:rsidRPr="00E56A6E">
        <w:rPr>
          <w:lang w:val="es-ES"/>
        </w:rPr>
        <w:t xml:space="preserve">ndo </w:t>
      </w:r>
      <w:r w:rsidRPr="00E56A6E">
        <w:rPr>
          <w:lang w:val="es-ES"/>
        </w:rPr>
        <w:t xml:space="preserve">la transparencia y la eficiencia. Los sistemas en línea que recopilan información de los </w:t>
      </w:r>
      <w:r w:rsidR="003745C1" w:rsidRPr="00E56A6E">
        <w:rPr>
          <w:lang w:val="es-ES"/>
        </w:rPr>
        <w:t>puntos de verificación</w:t>
      </w:r>
      <w:r w:rsidRPr="00E56A6E">
        <w:rPr>
          <w:lang w:val="es-ES"/>
        </w:rPr>
        <w:t xml:space="preserve"> conectados al Centro de Intercambio de Información, de modo que los comunicados de los </w:t>
      </w:r>
      <w:r w:rsidR="003745C1" w:rsidRPr="00E56A6E">
        <w:rPr>
          <w:lang w:val="es-ES"/>
        </w:rPr>
        <w:t>puntos de verificación</w:t>
      </w:r>
      <w:r w:rsidRPr="00E56A6E">
        <w:rPr>
          <w:lang w:val="es-ES"/>
        </w:rPr>
        <w:t xml:space="preserve"> puedan publicarse automáticamente, podrían facilitar el proceso de</w:t>
      </w:r>
      <w:r w:rsidR="00C44EBA" w:rsidRPr="00E56A6E">
        <w:rPr>
          <w:lang w:val="es-ES"/>
        </w:rPr>
        <w:t xml:space="preserve"> vigilancia </w:t>
      </w:r>
      <w:r w:rsidRPr="00E56A6E">
        <w:rPr>
          <w:lang w:val="es-ES"/>
        </w:rPr>
        <w:t xml:space="preserve">y la puesta en funcionamiento de los </w:t>
      </w:r>
      <w:r w:rsidR="003745C1" w:rsidRPr="00E56A6E">
        <w:rPr>
          <w:lang w:val="es-ES"/>
        </w:rPr>
        <w:t>puntos de verificación</w:t>
      </w:r>
      <w:r w:rsidRPr="00E56A6E">
        <w:rPr>
          <w:lang w:val="es-ES"/>
        </w:rPr>
        <w:t xml:space="preserve">. </w:t>
      </w:r>
      <w:r w:rsidR="00A8526F" w:rsidRPr="00E56A6E">
        <w:rPr>
          <w:lang w:val="es-ES"/>
        </w:rPr>
        <w:t>No obstante, s</w:t>
      </w:r>
      <w:r w:rsidRPr="00E56A6E">
        <w:rPr>
          <w:lang w:val="es-ES"/>
        </w:rPr>
        <w:t xml:space="preserve">e señaló que la financiación de las herramientas digitales suele depender de proyectos a corto plazo y que dichas herramientas requieren un mantenimiento continuo y un mayor desarrollo, lo que plantea un </w:t>
      </w:r>
      <w:r w:rsidR="00A8526F" w:rsidRPr="00E56A6E">
        <w:rPr>
          <w:lang w:val="es-ES"/>
        </w:rPr>
        <w:t xml:space="preserve">problema considerable </w:t>
      </w:r>
      <w:r w:rsidRPr="00E56A6E">
        <w:rPr>
          <w:lang w:val="es-ES"/>
        </w:rPr>
        <w:t xml:space="preserve">para los países con recursos financieros y humanos limitados o con capacidades técnicas menos desarrolladas. Para ese tipo de iniciativas, los proyectos deberían </w:t>
      </w:r>
      <w:r w:rsidR="00D6658A" w:rsidRPr="00E56A6E">
        <w:rPr>
          <w:lang w:val="es-ES"/>
        </w:rPr>
        <w:t xml:space="preserve">contemplar </w:t>
      </w:r>
      <w:r w:rsidRPr="00E56A6E">
        <w:rPr>
          <w:lang w:val="es-ES"/>
        </w:rPr>
        <w:t>planes para su sostenibilidad a largo plazo.</w:t>
      </w:r>
    </w:p>
    <w:p w14:paraId="23DE8FD8" w14:textId="2B3BDAD0" w:rsidR="005F3B64" w:rsidRPr="00E56A6E" w:rsidRDefault="001A497E" w:rsidP="005F3B64">
      <w:pPr>
        <w:pStyle w:val="CBDNormalNumber"/>
        <w:rPr>
          <w:lang w:val="es-ES"/>
        </w:rPr>
      </w:pPr>
      <w:r w:rsidRPr="00E56A6E">
        <w:rPr>
          <w:lang w:val="es-ES"/>
        </w:rPr>
        <w:t xml:space="preserve">Con el fin de </w:t>
      </w:r>
      <w:r w:rsidR="00D6658A" w:rsidRPr="00E56A6E">
        <w:rPr>
          <w:lang w:val="es-ES"/>
        </w:rPr>
        <w:t xml:space="preserve">asegurar </w:t>
      </w:r>
      <w:r w:rsidR="005F3B64" w:rsidRPr="00E56A6E">
        <w:rPr>
          <w:lang w:val="es-ES"/>
        </w:rPr>
        <w:t xml:space="preserve">el cumplimiento de las medidas de acceso y participación en los beneficios es necesario </w:t>
      </w:r>
      <w:r w:rsidR="007F68E7" w:rsidRPr="00E56A6E">
        <w:rPr>
          <w:lang w:val="es-ES"/>
        </w:rPr>
        <w:t xml:space="preserve">redoblar los esfuerzos </w:t>
      </w:r>
      <w:r w:rsidR="005F3B64" w:rsidRPr="00E56A6E">
        <w:rPr>
          <w:lang w:val="es-ES"/>
        </w:rPr>
        <w:t xml:space="preserve">para sensibilizar a los usuarios de la comunidad científica y empresarial, </w:t>
      </w:r>
      <w:r w:rsidR="007F68E7" w:rsidRPr="00E56A6E">
        <w:rPr>
          <w:lang w:val="es-ES"/>
        </w:rPr>
        <w:t xml:space="preserve">en particular </w:t>
      </w:r>
      <w:r w:rsidR="005F3B64" w:rsidRPr="00E56A6E">
        <w:rPr>
          <w:lang w:val="es-ES"/>
        </w:rPr>
        <w:t>todos los eslabones de la cadena de valor del acceso y la participación en los beneficios.</w:t>
      </w:r>
    </w:p>
    <w:p w14:paraId="2C4118F4" w14:textId="48305297" w:rsidR="005F3B64" w:rsidRPr="00E56A6E" w:rsidRDefault="005F3B64" w:rsidP="005F3B64">
      <w:pPr>
        <w:pStyle w:val="CBDNormalNumber"/>
        <w:rPr>
          <w:lang w:val="es-ES"/>
        </w:rPr>
      </w:pPr>
      <w:r w:rsidRPr="00E56A6E">
        <w:rPr>
          <w:lang w:val="es-ES"/>
        </w:rPr>
        <w:t xml:space="preserve">Entre las medidas </w:t>
      </w:r>
      <w:r w:rsidR="007F68E7" w:rsidRPr="00E56A6E">
        <w:rPr>
          <w:lang w:val="es-ES"/>
        </w:rPr>
        <w:t xml:space="preserve">propuestas </w:t>
      </w:r>
      <w:r w:rsidRPr="00E56A6E">
        <w:rPr>
          <w:lang w:val="es-ES"/>
        </w:rPr>
        <w:t xml:space="preserve">que deberían fomentarse para apoyar el cumplimiento de las normas de acceso y participación en los beneficios por parte de los usuarios se </w:t>
      </w:r>
      <w:r w:rsidR="007F68E7" w:rsidRPr="00E56A6E">
        <w:rPr>
          <w:lang w:val="es-ES"/>
        </w:rPr>
        <w:t>encuentran</w:t>
      </w:r>
      <w:r w:rsidRPr="00E56A6E">
        <w:rPr>
          <w:lang w:val="es-ES"/>
        </w:rPr>
        <w:t xml:space="preserve">: el apoyo institucional y el desarrollo de capacidades; una mejor coordinación internacional e interoperabilidad entre los sistemas nacionales, </w:t>
      </w:r>
      <w:r w:rsidR="001A497E" w:rsidRPr="00E56A6E">
        <w:rPr>
          <w:lang w:val="es-ES"/>
        </w:rPr>
        <w:t xml:space="preserve">por ejemplo </w:t>
      </w:r>
      <w:r w:rsidRPr="00E56A6E">
        <w:rPr>
          <w:lang w:val="es-ES"/>
        </w:rPr>
        <w:t xml:space="preserve">vínculos más claros entre los </w:t>
      </w:r>
      <w:r w:rsidR="003745C1" w:rsidRPr="00E56A6E">
        <w:rPr>
          <w:lang w:val="es-ES"/>
        </w:rPr>
        <w:t>puntos de verificación</w:t>
      </w:r>
      <w:r w:rsidRPr="00E56A6E">
        <w:rPr>
          <w:lang w:val="es-ES"/>
        </w:rPr>
        <w:t xml:space="preserve"> en el país usuario y las autoridades competentes en los países proveedores; el intercambio de conocimientos y experiencias, la promoción de las mejores prácticas y la facilitación de la comunicación con las autoridades nacionales competentes </w:t>
      </w:r>
      <w:r w:rsidR="00903B4C" w:rsidRPr="00E56A6E">
        <w:rPr>
          <w:lang w:val="es-ES"/>
        </w:rPr>
        <w:t xml:space="preserve">mediante </w:t>
      </w:r>
      <w:r w:rsidRPr="00E56A6E">
        <w:rPr>
          <w:lang w:val="es-ES"/>
        </w:rPr>
        <w:t xml:space="preserve">nuevos mecanismos o herramientas adicionales, como una plataforma de intercambio de conocimientos; y una colaboración </w:t>
      </w:r>
      <w:r w:rsidRPr="00E56A6E">
        <w:rPr>
          <w:lang w:val="es-ES"/>
        </w:rPr>
        <w:lastRenderedPageBreak/>
        <w:t>más estructurada entre los puntos focales nacionales y/o las autoridades nacionales competentes de los países proveedores y usuarios</w:t>
      </w:r>
      <w:r w:rsidRPr="00E56A6E">
        <w:rPr>
          <w:rStyle w:val="FootnoteReference"/>
          <w:lang w:val="es-ES"/>
        </w:rPr>
        <w:footnoteReference w:id="36"/>
      </w:r>
      <w:r w:rsidRPr="00E56A6E">
        <w:rPr>
          <w:lang w:val="es-ES"/>
        </w:rPr>
        <w:t xml:space="preserve">. </w:t>
      </w:r>
    </w:p>
    <w:p w14:paraId="1724DFAC" w14:textId="71CA0D04" w:rsidR="005F3B64" w:rsidRPr="00E56A6E" w:rsidRDefault="005F3B64" w:rsidP="005F3B64">
      <w:pPr>
        <w:pStyle w:val="CBDNormalNumber"/>
        <w:rPr>
          <w:lang w:val="es-ES"/>
        </w:rPr>
      </w:pPr>
      <w:r w:rsidRPr="00E56A6E">
        <w:rPr>
          <w:lang w:val="es-ES"/>
        </w:rPr>
        <w:t xml:space="preserve">Las lecciones aprendidas por los países más avanzados en la aplicación de medidas de cumplimiento serían útiles en </w:t>
      </w:r>
      <w:r w:rsidR="00903B4C" w:rsidRPr="00E56A6E">
        <w:rPr>
          <w:lang w:val="es-ES"/>
        </w:rPr>
        <w:t xml:space="preserve">relación con </w:t>
      </w:r>
      <w:r w:rsidRPr="00E56A6E">
        <w:rPr>
          <w:lang w:val="es-ES"/>
        </w:rPr>
        <w:t>el apoyo a los avances en otros países.</w:t>
      </w:r>
    </w:p>
    <w:p w14:paraId="5085098C" w14:textId="347103C6" w:rsidR="00455F03" w:rsidRPr="00E56A6E" w:rsidRDefault="00694B61" w:rsidP="00694B61">
      <w:pPr>
        <w:pStyle w:val="CBDH3"/>
        <w:rPr>
          <w:lang w:val="es-ES"/>
        </w:rPr>
      </w:pPr>
      <w:r w:rsidRPr="00E56A6E">
        <w:rPr>
          <w:lang w:val="es-ES"/>
        </w:rPr>
        <w:t>6.</w:t>
      </w:r>
      <w:r w:rsidRPr="00E56A6E">
        <w:rPr>
          <w:lang w:val="es-ES"/>
        </w:rPr>
        <w:tab/>
      </w:r>
      <w:r w:rsidR="005F3B64" w:rsidRPr="00E56A6E">
        <w:rPr>
          <w:lang w:val="es-ES"/>
        </w:rPr>
        <w:t>Medidas relativas a consideraciones especiales (artículo 8)</w:t>
      </w:r>
      <w:r w:rsidR="005F3B64" w:rsidRPr="00E56A6E">
        <w:rPr>
          <w:rStyle w:val="FootnoteReference"/>
          <w:lang w:val="es-ES"/>
        </w:rPr>
        <w:footnoteReference w:id="37"/>
      </w:r>
      <w:r w:rsidR="001E37A2" w:rsidRPr="00E56A6E">
        <w:rPr>
          <w:lang w:val="es-ES"/>
        </w:rPr>
        <w:t xml:space="preserve"> </w:t>
      </w:r>
    </w:p>
    <w:p w14:paraId="2EDDC85D" w14:textId="08E449E6" w:rsidR="004A5572" w:rsidRPr="00E56A6E" w:rsidRDefault="00694B61" w:rsidP="00694B61">
      <w:pPr>
        <w:pStyle w:val="CBDH4"/>
        <w:rPr>
          <w:lang w:val="es-ES"/>
        </w:rPr>
      </w:pPr>
      <w:r w:rsidRPr="00E56A6E">
        <w:rPr>
          <w:lang w:val="es-ES"/>
        </w:rPr>
        <w:t>a)</w:t>
      </w:r>
      <w:r w:rsidRPr="00E56A6E">
        <w:rPr>
          <w:lang w:val="es-ES"/>
        </w:rPr>
        <w:tab/>
      </w:r>
      <w:r w:rsidR="005F3B64" w:rsidRPr="00E56A6E">
        <w:rPr>
          <w:lang w:val="es-ES"/>
        </w:rPr>
        <w:t>Avances en la aplicación y datos actualizados de los indicadores</w:t>
      </w:r>
    </w:p>
    <w:p w14:paraId="571EC3CD" w14:textId="69CD6ADE" w:rsidR="005F3B64" w:rsidRPr="00E56A6E" w:rsidRDefault="005F3B64" w:rsidP="005F3B64">
      <w:pPr>
        <w:pStyle w:val="CBDNormalNumber"/>
        <w:rPr>
          <w:lang w:val="es-ES"/>
        </w:rPr>
      </w:pPr>
      <w:r w:rsidRPr="00E56A6E">
        <w:rPr>
          <w:lang w:val="es-ES"/>
        </w:rPr>
        <w:t xml:space="preserve">Gracias a los avances generales logrados en la adopción y aplicación de medidas de acceso y participación en los beneficios, se han registrado </w:t>
      </w:r>
      <w:r w:rsidR="00903B4C" w:rsidRPr="00E56A6E">
        <w:rPr>
          <w:lang w:val="es-ES"/>
        </w:rPr>
        <w:t xml:space="preserve">importantes </w:t>
      </w:r>
      <w:r w:rsidRPr="00E56A6E">
        <w:rPr>
          <w:lang w:val="es-ES"/>
        </w:rPr>
        <w:t xml:space="preserve">avances en la aplicación de las disposiciones del artículo 8 del Protocolo, como muestran los indicadores del cuadro 6 </w:t>
      </w:r>
      <w:r w:rsidR="00903B4C" w:rsidRPr="00E56A6E">
        <w:rPr>
          <w:i/>
          <w:iCs/>
          <w:lang w:val="es-ES"/>
        </w:rPr>
        <w:t>infra</w:t>
      </w:r>
      <w:r w:rsidRPr="00E56A6E">
        <w:rPr>
          <w:lang w:val="es-ES"/>
        </w:rPr>
        <w:t>. Las Partes han adoptado diferentes enfoques al respecto</w:t>
      </w:r>
      <w:r w:rsidRPr="00E56A6E">
        <w:rPr>
          <w:rStyle w:val="FootnoteReference"/>
          <w:lang w:val="es-ES"/>
        </w:rPr>
        <w:footnoteReference w:id="38"/>
      </w:r>
      <w:r w:rsidRPr="00E56A6E">
        <w:rPr>
          <w:lang w:val="es-ES"/>
        </w:rPr>
        <w:t>.</w:t>
      </w:r>
      <w:r w:rsidR="001E37A2" w:rsidRPr="00E56A6E">
        <w:rPr>
          <w:lang w:val="es-ES"/>
        </w:rPr>
        <w:t xml:space="preserve"> </w:t>
      </w:r>
      <w:r w:rsidRPr="00E56A6E">
        <w:rPr>
          <w:lang w:val="es-ES"/>
        </w:rPr>
        <w:t>Se han logrado m</w:t>
      </w:r>
      <w:r w:rsidR="00903B4C" w:rsidRPr="00E56A6E">
        <w:rPr>
          <w:lang w:val="es-ES"/>
        </w:rPr>
        <w:t xml:space="preserve">uchos </w:t>
      </w:r>
      <w:r w:rsidRPr="00E56A6E">
        <w:rPr>
          <w:lang w:val="es-ES"/>
        </w:rPr>
        <w:t>avances en lo que respecta a las consideraciones relacionadas con la investigación y el acceso no comercial a los recursos genéticos para la alimentación y la agricultura, y avances moderados en lo que respecta a las consideraciones relacionadas con emergencias inminentes que amenacen la salud humana, animal o vegetal.</w:t>
      </w:r>
    </w:p>
    <w:p w14:paraId="249DDC72" w14:textId="46BA9A71" w:rsidR="005F3B64" w:rsidRPr="00E56A6E" w:rsidRDefault="005F3B64" w:rsidP="005F3B64">
      <w:pPr>
        <w:pStyle w:val="CBDNormalNumber"/>
        <w:rPr>
          <w:lang w:val="es-ES"/>
        </w:rPr>
      </w:pPr>
      <w:r w:rsidRPr="00E56A6E">
        <w:rPr>
          <w:lang w:val="es-ES"/>
        </w:rPr>
        <w:t>Las medidas relativas a</w:t>
      </w:r>
      <w:r w:rsidR="00B92E94" w:rsidRPr="00E56A6E">
        <w:rPr>
          <w:lang w:val="es-ES"/>
        </w:rPr>
        <w:t xml:space="preserve"> </w:t>
      </w:r>
      <w:r w:rsidRPr="00E56A6E">
        <w:rPr>
          <w:lang w:val="es-ES"/>
        </w:rPr>
        <w:t xml:space="preserve">consideraciones especiales también </w:t>
      </w:r>
      <w:r w:rsidR="00B92E94" w:rsidRPr="00E56A6E">
        <w:rPr>
          <w:lang w:val="es-ES"/>
        </w:rPr>
        <w:t xml:space="preserve">guardan relación </w:t>
      </w:r>
      <w:r w:rsidRPr="00E56A6E">
        <w:rPr>
          <w:lang w:val="es-ES"/>
        </w:rPr>
        <w:t xml:space="preserve">con la aplicación </w:t>
      </w:r>
      <w:r w:rsidR="000321A4" w:rsidRPr="00E56A6E">
        <w:rPr>
          <w:lang w:val="es-ES"/>
        </w:rPr>
        <w:t>del Protocolo junto con otros instrumentos internacionales pertinentes al Protocolo de manera que se apoyen mutuamente</w:t>
      </w:r>
      <w:r w:rsidRPr="00E56A6E">
        <w:rPr>
          <w:lang w:val="es-ES"/>
        </w:rPr>
        <w:t>, de conformidad con su artículo 4, que exige la coordinación entre las diferentes administraciones e instrumentos</w:t>
      </w:r>
      <w:r w:rsidRPr="00E56A6E">
        <w:rPr>
          <w:rStyle w:val="FootnoteReference"/>
          <w:lang w:val="es-ES"/>
        </w:rPr>
        <w:footnoteReference w:id="39"/>
      </w:r>
      <w:r w:rsidRPr="00E56A6E">
        <w:rPr>
          <w:lang w:val="es-ES"/>
        </w:rPr>
        <w:t xml:space="preserve">. </w:t>
      </w:r>
    </w:p>
    <w:p w14:paraId="76CCFD50" w14:textId="395FF72D" w:rsidR="007627A5" w:rsidRPr="00E56A6E" w:rsidRDefault="00653A73" w:rsidP="00694B61">
      <w:pPr>
        <w:pStyle w:val="CBDTableTitle"/>
        <w:rPr>
          <w:lang w:val="es-ES"/>
        </w:rPr>
      </w:pPr>
      <w:r w:rsidRPr="00E56A6E">
        <w:rPr>
          <w:b w:val="0"/>
          <w:bCs/>
          <w:lang w:val="es-ES"/>
        </w:rPr>
        <w:t>Cuadro</w:t>
      </w:r>
      <w:r w:rsidR="007627A5" w:rsidRPr="00E56A6E">
        <w:rPr>
          <w:b w:val="0"/>
          <w:bCs/>
          <w:lang w:val="es-ES"/>
        </w:rPr>
        <w:t xml:space="preserve"> </w:t>
      </w:r>
      <w:r w:rsidR="00B53179" w:rsidRPr="00E56A6E">
        <w:rPr>
          <w:b w:val="0"/>
          <w:bCs/>
          <w:lang w:val="es-ES"/>
        </w:rPr>
        <w:t>6</w:t>
      </w:r>
      <w:r w:rsidR="00762797" w:rsidRPr="00E56A6E">
        <w:rPr>
          <w:lang w:val="es-ES"/>
        </w:rPr>
        <w:br/>
      </w:r>
      <w:r w:rsidR="005F3B64" w:rsidRPr="00E56A6E">
        <w:rPr>
          <w:lang w:val="es-ES"/>
        </w:rPr>
        <w:t>Indicadores para medir los avances en el establecimiento de medidas que aborden las consideraciones del artículo 8</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627A5" w:rsidRPr="005A210D" w14:paraId="28673981" w14:textId="77777777" w:rsidTr="006B066D">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311EEDE9" w14:textId="1B823E8A" w:rsidR="007627A5" w:rsidRPr="00E56A6E" w:rsidRDefault="00EE1C1B" w:rsidP="0063243D">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A99C343" w14:textId="342DF703" w:rsidR="007627A5"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Punto de referencia</w:t>
            </w:r>
            <w:r w:rsidR="007627A5" w:rsidRPr="00E56A6E">
              <w:rPr>
                <w:rFonts w:asciiTheme="majorBidi" w:eastAsia="Malgun Gothic" w:hAnsiTheme="majorBidi" w:cstheme="majorBidi"/>
                <w:bCs/>
                <w:i/>
                <w:iCs/>
                <w:kern w:val="22"/>
                <w:sz w:val="20"/>
                <w:szCs w:val="20"/>
                <w:lang w:val="es-ES"/>
              </w:rPr>
              <w:t xml:space="preserve"> </w:t>
            </w:r>
            <w:r w:rsidR="00EC0AB1" w:rsidRPr="00E56A6E">
              <w:rPr>
                <w:rFonts w:asciiTheme="majorBidi" w:eastAsia="Malgun Gothic" w:hAnsiTheme="majorBidi" w:cstheme="majorBidi"/>
                <w:bCs/>
                <w:i/>
                <w:iCs/>
                <w:kern w:val="22"/>
                <w:sz w:val="20"/>
                <w:szCs w:val="20"/>
                <w:lang w:val="es-ES"/>
              </w:rPr>
              <w:br/>
            </w:r>
            <w:r w:rsidR="007627A5" w:rsidRPr="00E56A6E">
              <w:rPr>
                <w:rFonts w:asciiTheme="majorBidi" w:eastAsia="Malgun Gothic" w:hAnsiTheme="majorBidi" w:cstheme="majorBidi"/>
                <w:bCs/>
                <w:i/>
                <w:iCs/>
                <w:kern w:val="22"/>
                <w:sz w:val="20"/>
                <w:szCs w:val="20"/>
                <w:lang w:val="es-ES"/>
              </w:rPr>
              <w:t>(</w:t>
            </w:r>
            <w:r w:rsidRPr="00E56A6E">
              <w:rPr>
                <w:rFonts w:asciiTheme="majorBidi" w:eastAsia="Malgun Gothic" w:hAnsiTheme="majorBidi" w:cstheme="majorBidi"/>
                <w:bCs/>
                <w:i/>
                <w:iCs/>
                <w:kern w:val="22"/>
                <w:sz w:val="20"/>
                <w:szCs w:val="20"/>
                <w:lang w:val="es-ES"/>
              </w:rPr>
              <w:t>al 22 de febrero de 2018</w:t>
            </w:r>
            <w:r w:rsidR="007627A5" w:rsidRPr="00E56A6E">
              <w:rPr>
                <w:rFonts w:asciiTheme="majorBidi" w:eastAsia="Malgun Gothic" w:hAnsiTheme="majorBidi" w:cstheme="majorBidi"/>
                <w:bCs/>
                <w:i/>
                <w:iCs/>
                <w:kern w:val="22"/>
                <w:sz w:val="20"/>
                <w:szCs w:val="20"/>
                <w:lang w:val="es-ES"/>
              </w:rPr>
              <w:t>)</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E49CFC" w14:textId="0F68073D" w:rsidR="007627A5"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Avances al 9 de marzo de 2026</w:t>
            </w:r>
          </w:p>
        </w:tc>
      </w:tr>
      <w:tr w:rsidR="007627A5" w:rsidRPr="00E56A6E" w14:paraId="53DBB34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B15C80E" w14:textId="0BD09C7B" w:rsidR="007627A5" w:rsidRPr="00E56A6E" w:rsidRDefault="005F3B64"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Número y porcentaje de Partes que han creado las condiciones necesarias para promover y fomentar la investigación que contribuye a la conservación y el uso sostenible de la diversidad</w:t>
            </w:r>
            <w:r w:rsidR="00B40890" w:rsidRPr="00E56A6E">
              <w:rPr>
                <w:rFonts w:asciiTheme="majorBidi" w:hAnsiTheme="majorBidi" w:cstheme="majorBidi"/>
                <w:kern w:val="22"/>
                <w:sz w:val="20"/>
                <w:szCs w:val="20"/>
                <w:lang w:val="es-ES"/>
              </w:rPr>
              <w:t xml:space="preserve"> biológica</w:t>
            </w:r>
            <w:r w:rsidRPr="00E56A6E">
              <w:rPr>
                <w:rFonts w:asciiTheme="majorBidi" w:hAnsiTheme="majorBidi" w:cstheme="majorBidi"/>
                <w:kern w:val="22"/>
                <w:sz w:val="20"/>
                <w:szCs w:val="20"/>
                <w:lang w:val="es-ES"/>
              </w:rPr>
              <w:t>, tal como se establece en el artículo 8 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DA891C9" w14:textId="74611167" w:rsidR="007627A5" w:rsidRPr="00E56A6E" w:rsidRDefault="007627A5" w:rsidP="00416FDE">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48 (46</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c>
          <w:tcPr>
            <w:tcW w:w="1506" w:type="dxa"/>
            <w:vAlign w:val="bottom"/>
          </w:tcPr>
          <w:p w14:paraId="36ED978C" w14:textId="64745FFE" w:rsidR="007627A5" w:rsidRPr="00E56A6E" w:rsidRDefault="007627A5" w:rsidP="0063243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81 (57</w:t>
            </w:r>
            <w:r w:rsidR="00653A73" w:rsidRPr="00E56A6E">
              <w:rPr>
                <w:rFonts w:asciiTheme="majorBidi" w:eastAsia="Calibri" w:hAnsiTheme="majorBidi" w:cstheme="majorBidi"/>
                <w:kern w:val="22"/>
                <w:sz w:val="20"/>
                <w:szCs w:val="20"/>
                <w:lang w:val="es-ES"/>
              </w:rPr>
              <w:t> %</w:t>
            </w:r>
            <w:r w:rsidRPr="00E56A6E">
              <w:rPr>
                <w:rFonts w:asciiTheme="majorBidi" w:eastAsia="Calibri" w:hAnsiTheme="majorBidi" w:cstheme="majorBidi"/>
                <w:kern w:val="22"/>
                <w:sz w:val="20"/>
                <w:szCs w:val="20"/>
                <w:lang w:val="es-ES"/>
              </w:rPr>
              <w:t>)</w:t>
            </w:r>
          </w:p>
        </w:tc>
      </w:tr>
      <w:tr w:rsidR="007627A5" w:rsidRPr="00E56A6E" w14:paraId="5068268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E7A317E" w14:textId="44DD301D" w:rsidR="007627A5" w:rsidRPr="00E56A6E" w:rsidRDefault="005F3B64"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Número y porcentaje de Partes que han prestado la debida atención a los casos de emergencias actuales o inminentes que amenacen o perjudiquen la salud humana, animal o vegetal, tal como se establece en el artículo 8 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C9822C" w14:textId="36F5D5E3" w:rsidR="007627A5" w:rsidRPr="00E56A6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39 (37</w:t>
            </w:r>
            <w:r w:rsidR="00653A73" w:rsidRPr="00E56A6E">
              <w:rPr>
                <w:rFonts w:asciiTheme="majorBidi" w:hAnsiTheme="majorBidi" w:cstheme="majorBidi"/>
                <w:kern w:val="22"/>
                <w:sz w:val="20"/>
                <w:szCs w:val="20"/>
                <w:lang w:val="es-ES"/>
              </w:rPr>
              <w:t> %</w:t>
            </w:r>
            <w:r w:rsidRPr="00E56A6E">
              <w:rPr>
                <w:rFonts w:asciiTheme="majorBidi" w:hAnsiTheme="majorBidi" w:cstheme="majorBidi"/>
                <w:kern w:val="22"/>
                <w:sz w:val="20"/>
                <w:szCs w:val="20"/>
                <w:lang w:val="es-ES"/>
              </w:rPr>
              <w:t>)</w:t>
            </w:r>
          </w:p>
        </w:tc>
        <w:tc>
          <w:tcPr>
            <w:tcW w:w="1506" w:type="dxa"/>
            <w:vAlign w:val="bottom"/>
          </w:tcPr>
          <w:p w14:paraId="6D938BD4" w14:textId="7FE84A0C" w:rsidR="007627A5" w:rsidRPr="00E56A6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highlight w:val="yellow"/>
                <w:lang w:val="es-ES"/>
              </w:rPr>
            </w:pPr>
            <w:r w:rsidRPr="00E56A6E">
              <w:rPr>
                <w:rFonts w:asciiTheme="majorBidi" w:hAnsiTheme="majorBidi" w:cstheme="majorBidi"/>
                <w:kern w:val="22"/>
                <w:sz w:val="20"/>
                <w:szCs w:val="20"/>
                <w:lang w:val="es-ES"/>
              </w:rPr>
              <w:t>81 (57</w:t>
            </w:r>
            <w:r w:rsidR="00653A73" w:rsidRPr="00E56A6E">
              <w:rPr>
                <w:rFonts w:asciiTheme="majorBidi" w:hAnsiTheme="majorBidi" w:cstheme="majorBidi"/>
                <w:kern w:val="22"/>
                <w:sz w:val="20"/>
                <w:szCs w:val="20"/>
                <w:lang w:val="es-ES"/>
              </w:rPr>
              <w:t> %</w:t>
            </w:r>
            <w:r w:rsidRPr="00E56A6E">
              <w:rPr>
                <w:rFonts w:asciiTheme="majorBidi" w:hAnsiTheme="majorBidi" w:cstheme="majorBidi"/>
                <w:kern w:val="22"/>
                <w:sz w:val="20"/>
                <w:szCs w:val="20"/>
                <w:lang w:val="es-ES"/>
              </w:rPr>
              <w:t>)</w:t>
            </w:r>
          </w:p>
        </w:tc>
      </w:tr>
      <w:tr w:rsidR="007627A5" w:rsidRPr="00E56A6E" w14:paraId="5E65B27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69B9D4E" w14:textId="5CC6FDC0" w:rsidR="007627A5" w:rsidRPr="00E56A6E" w:rsidRDefault="005F3B64"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 xml:space="preserve">Número y porcentaje de Partes que han tenido en cuenta la necesidad de un acceso rápido a los recursos genéticos y de una </w:t>
            </w:r>
            <w:r w:rsidR="00CA2892" w:rsidRPr="00E56A6E">
              <w:rPr>
                <w:rFonts w:asciiTheme="majorBidi" w:eastAsia="Malgun Gothic" w:hAnsiTheme="majorBidi" w:cstheme="majorBidi"/>
                <w:kern w:val="22"/>
                <w:sz w:val="20"/>
                <w:szCs w:val="20"/>
                <w:lang w:val="es-ES"/>
              </w:rPr>
              <w:t xml:space="preserve">participación </w:t>
            </w:r>
            <w:r w:rsidRPr="00E56A6E">
              <w:rPr>
                <w:rFonts w:asciiTheme="majorBidi" w:eastAsia="Malgun Gothic" w:hAnsiTheme="majorBidi" w:cstheme="majorBidi"/>
                <w:kern w:val="22"/>
                <w:sz w:val="20"/>
                <w:szCs w:val="20"/>
                <w:lang w:val="es-ES"/>
              </w:rPr>
              <w:t xml:space="preserve">rápida, justa y equitativa </w:t>
            </w:r>
            <w:r w:rsidR="00CA2892" w:rsidRPr="00E56A6E">
              <w:rPr>
                <w:rFonts w:asciiTheme="majorBidi" w:eastAsia="Malgun Gothic" w:hAnsiTheme="majorBidi" w:cstheme="majorBidi"/>
                <w:kern w:val="22"/>
                <w:sz w:val="20"/>
                <w:szCs w:val="20"/>
                <w:lang w:val="es-ES"/>
              </w:rPr>
              <w:t xml:space="preserve">en </w:t>
            </w:r>
            <w:r w:rsidRPr="00E56A6E">
              <w:rPr>
                <w:rFonts w:asciiTheme="majorBidi" w:eastAsia="Malgun Gothic" w:hAnsiTheme="majorBidi" w:cstheme="majorBidi"/>
                <w:kern w:val="22"/>
                <w:sz w:val="20"/>
                <w:szCs w:val="20"/>
                <w:lang w:val="es-ES"/>
              </w:rPr>
              <w:t>los beneficios derivados de la utilización de dichos recursos genéticos, según lo dispuesto en el artículo 8 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EE8802" w14:textId="44D4305E" w:rsidR="007627A5" w:rsidRPr="00E56A6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26 (25</w:t>
            </w:r>
            <w:r w:rsidR="00653A73" w:rsidRPr="00E56A6E">
              <w:rPr>
                <w:rFonts w:asciiTheme="majorBidi" w:hAnsiTheme="majorBidi" w:cstheme="majorBidi"/>
                <w:kern w:val="22"/>
                <w:sz w:val="20"/>
                <w:szCs w:val="20"/>
                <w:lang w:val="es-ES"/>
              </w:rPr>
              <w:t> %</w:t>
            </w:r>
            <w:r w:rsidRPr="00E56A6E">
              <w:rPr>
                <w:rFonts w:asciiTheme="majorBidi" w:hAnsiTheme="majorBidi" w:cstheme="majorBidi"/>
                <w:kern w:val="22"/>
                <w:sz w:val="20"/>
                <w:szCs w:val="20"/>
                <w:lang w:val="es-ES"/>
              </w:rPr>
              <w:t>)</w:t>
            </w:r>
          </w:p>
        </w:tc>
        <w:tc>
          <w:tcPr>
            <w:tcW w:w="1506" w:type="dxa"/>
            <w:vAlign w:val="bottom"/>
          </w:tcPr>
          <w:p w14:paraId="0BE4AA4B" w14:textId="730F7AA5" w:rsidR="007627A5" w:rsidRPr="00E56A6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42 (30</w:t>
            </w:r>
            <w:r w:rsidR="00653A73" w:rsidRPr="00E56A6E">
              <w:rPr>
                <w:rFonts w:asciiTheme="majorBidi" w:hAnsiTheme="majorBidi" w:cstheme="majorBidi"/>
                <w:kern w:val="22"/>
                <w:sz w:val="20"/>
                <w:szCs w:val="20"/>
                <w:lang w:val="es-ES"/>
              </w:rPr>
              <w:t> %</w:t>
            </w:r>
            <w:r w:rsidRPr="00E56A6E">
              <w:rPr>
                <w:rFonts w:asciiTheme="majorBidi" w:hAnsiTheme="majorBidi" w:cstheme="majorBidi"/>
                <w:kern w:val="22"/>
                <w:sz w:val="20"/>
                <w:szCs w:val="20"/>
                <w:lang w:val="es-ES"/>
              </w:rPr>
              <w:t>)</w:t>
            </w:r>
          </w:p>
        </w:tc>
      </w:tr>
      <w:tr w:rsidR="007627A5" w:rsidRPr="00E56A6E" w14:paraId="1406E05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7D9543" w14:textId="14B4CBC3" w:rsidR="007627A5" w:rsidRPr="00E56A6E" w:rsidRDefault="005F3B64"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Número y porcentaje de Partes que han tenido en cuenta la importancia de los recursos genéticos para la alimentación y la agricultura y su papel especial en la seguridad alimentaria, según lo dispuesto en el artículo 8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2D43775" w14:textId="5793C78A" w:rsidR="007627A5" w:rsidRPr="00E56A6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48 (46</w:t>
            </w:r>
            <w:r w:rsidR="00653A73" w:rsidRPr="00E56A6E">
              <w:rPr>
                <w:rFonts w:asciiTheme="majorBidi" w:hAnsiTheme="majorBidi" w:cstheme="majorBidi"/>
                <w:kern w:val="22"/>
                <w:sz w:val="20"/>
                <w:szCs w:val="20"/>
                <w:lang w:val="es-ES"/>
              </w:rPr>
              <w:t> %</w:t>
            </w:r>
            <w:r w:rsidRPr="00E56A6E">
              <w:rPr>
                <w:rFonts w:asciiTheme="majorBidi" w:hAnsiTheme="majorBidi" w:cstheme="majorBidi"/>
                <w:kern w:val="22"/>
                <w:sz w:val="20"/>
                <w:szCs w:val="20"/>
                <w:lang w:val="es-ES"/>
              </w:rPr>
              <w:t>)</w:t>
            </w:r>
          </w:p>
        </w:tc>
        <w:tc>
          <w:tcPr>
            <w:tcW w:w="1506" w:type="dxa"/>
            <w:vAlign w:val="bottom"/>
          </w:tcPr>
          <w:p w14:paraId="126050C2" w14:textId="4989E788" w:rsidR="007627A5" w:rsidRPr="00E56A6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85 (60</w:t>
            </w:r>
            <w:r w:rsidR="00653A73" w:rsidRPr="00E56A6E">
              <w:rPr>
                <w:rFonts w:asciiTheme="majorBidi" w:hAnsiTheme="majorBidi" w:cstheme="majorBidi"/>
                <w:kern w:val="22"/>
                <w:sz w:val="20"/>
                <w:szCs w:val="20"/>
                <w:lang w:val="es-ES"/>
              </w:rPr>
              <w:t> %</w:t>
            </w:r>
            <w:r w:rsidRPr="00E56A6E">
              <w:rPr>
                <w:rFonts w:asciiTheme="majorBidi" w:hAnsiTheme="majorBidi" w:cstheme="majorBidi"/>
                <w:kern w:val="22"/>
                <w:sz w:val="20"/>
                <w:szCs w:val="20"/>
                <w:lang w:val="es-ES"/>
              </w:rPr>
              <w:t>)</w:t>
            </w:r>
          </w:p>
        </w:tc>
      </w:tr>
    </w:tbl>
    <w:p w14:paraId="26DB6136" w14:textId="59585E30" w:rsidR="00F937E5" w:rsidRPr="00E56A6E" w:rsidRDefault="00762797" w:rsidP="00762797">
      <w:pPr>
        <w:pStyle w:val="CBDH4"/>
        <w:rPr>
          <w:lang w:val="es-ES"/>
        </w:rPr>
      </w:pPr>
      <w:r w:rsidRPr="00E56A6E">
        <w:rPr>
          <w:lang w:val="es-ES"/>
        </w:rPr>
        <w:lastRenderedPageBreak/>
        <w:t>b)</w:t>
      </w:r>
      <w:r w:rsidRPr="00E56A6E">
        <w:rPr>
          <w:lang w:val="es-ES"/>
        </w:rPr>
        <w:tab/>
      </w:r>
      <w:r w:rsidR="009F6791" w:rsidRPr="00E56A6E">
        <w:rPr>
          <w:lang w:val="es-ES"/>
        </w:rPr>
        <w:t>Dificultades, causas subyacentes y posibles maneras de mejorar</w:t>
      </w:r>
      <w:r w:rsidR="005F3B64" w:rsidRPr="00E56A6E">
        <w:rPr>
          <w:lang w:val="es-ES"/>
        </w:rPr>
        <w:t xml:space="preserve"> las medidas relacionadas con las consideraciones especiales previstas en el artículo 8 del Protocolo</w:t>
      </w:r>
    </w:p>
    <w:p w14:paraId="6126E27A" w14:textId="364ACAA8" w:rsidR="00E43436" w:rsidRPr="00E56A6E" w:rsidRDefault="00E43436" w:rsidP="00E43436">
      <w:pPr>
        <w:pStyle w:val="CBDNormalNumber"/>
        <w:rPr>
          <w:lang w:val="es-ES"/>
        </w:rPr>
      </w:pPr>
      <w:r w:rsidRPr="00E56A6E">
        <w:rPr>
          <w:lang w:val="es-ES"/>
        </w:rPr>
        <w:t>Algun</w:t>
      </w:r>
      <w:r w:rsidR="00684312" w:rsidRPr="00E56A6E">
        <w:rPr>
          <w:lang w:val="es-ES"/>
        </w:rPr>
        <w:t>a</w:t>
      </w:r>
      <w:r w:rsidRPr="00E56A6E">
        <w:rPr>
          <w:lang w:val="es-ES"/>
        </w:rPr>
        <w:t>s de l</w:t>
      </w:r>
      <w:r w:rsidR="00684312" w:rsidRPr="00E56A6E">
        <w:rPr>
          <w:lang w:val="es-ES"/>
        </w:rPr>
        <w:t>a</w:t>
      </w:r>
      <w:r w:rsidRPr="00E56A6E">
        <w:rPr>
          <w:lang w:val="es-ES"/>
        </w:rPr>
        <w:t xml:space="preserve">s </w:t>
      </w:r>
      <w:r w:rsidR="00684312" w:rsidRPr="00E56A6E">
        <w:rPr>
          <w:lang w:val="es-ES"/>
        </w:rPr>
        <w:t>dificultades</w:t>
      </w:r>
      <w:r w:rsidRPr="00E56A6E">
        <w:rPr>
          <w:lang w:val="es-ES"/>
        </w:rPr>
        <w:t xml:space="preserve"> mencionad</w:t>
      </w:r>
      <w:r w:rsidR="00684312" w:rsidRPr="00E56A6E">
        <w:rPr>
          <w:lang w:val="es-ES"/>
        </w:rPr>
        <w:t>a</w:t>
      </w:r>
      <w:r w:rsidRPr="00E56A6E">
        <w:rPr>
          <w:lang w:val="es-ES"/>
        </w:rPr>
        <w:t>s en la sección III.A.3 anterior, re</w:t>
      </w:r>
      <w:r w:rsidR="00684312" w:rsidRPr="00E56A6E">
        <w:rPr>
          <w:lang w:val="es-ES"/>
        </w:rPr>
        <w:t xml:space="preserve">feridas </w:t>
      </w:r>
      <w:r w:rsidRPr="00E56A6E">
        <w:rPr>
          <w:lang w:val="es-ES"/>
        </w:rPr>
        <w:t>a las medidas sobre el acceso a los recursos genéticos, también son pertinentes para la aplicación de las consideraciones especiales previstas en el artículo 8 del Protocolo.</w:t>
      </w:r>
    </w:p>
    <w:p w14:paraId="2BCB4BBF" w14:textId="12E90071" w:rsidR="00E43436" w:rsidRPr="00E56A6E" w:rsidRDefault="00E43436" w:rsidP="00E43436">
      <w:pPr>
        <w:pStyle w:val="CBDNormalNumber"/>
        <w:rPr>
          <w:lang w:val="es-ES"/>
        </w:rPr>
      </w:pPr>
      <w:r w:rsidRPr="00E56A6E">
        <w:rPr>
          <w:lang w:val="es-ES"/>
        </w:rPr>
        <w:t xml:space="preserve">El </w:t>
      </w:r>
      <w:r w:rsidR="00B007EB" w:rsidRPr="00E56A6E">
        <w:rPr>
          <w:lang w:val="es-ES"/>
        </w:rPr>
        <w:t>estudio preliminar</w:t>
      </w:r>
      <w:r w:rsidRPr="00E56A6E">
        <w:rPr>
          <w:lang w:val="es-ES"/>
        </w:rPr>
        <w:t xml:space="preserve"> </w:t>
      </w:r>
      <w:r w:rsidR="008F7C0F" w:rsidRPr="00E56A6E">
        <w:rPr>
          <w:lang w:val="es-ES"/>
        </w:rPr>
        <w:t xml:space="preserve">contiene </w:t>
      </w:r>
      <w:r w:rsidRPr="00E56A6E">
        <w:rPr>
          <w:lang w:val="es-ES"/>
        </w:rPr>
        <w:t>información sobre las preocupaciones de los usuarios al respecto</w:t>
      </w:r>
      <w:r w:rsidRPr="00E56A6E">
        <w:rPr>
          <w:rStyle w:val="FootnoteReference"/>
          <w:lang w:val="es-ES"/>
        </w:rPr>
        <w:footnoteReference w:id="40"/>
      </w:r>
      <w:r w:rsidRPr="00E56A6E">
        <w:rPr>
          <w:lang w:val="es-ES"/>
        </w:rPr>
        <w:t>.</w:t>
      </w:r>
      <w:r w:rsidR="001E37A2" w:rsidRPr="00E56A6E">
        <w:rPr>
          <w:lang w:val="es-ES"/>
        </w:rPr>
        <w:t xml:space="preserve"> </w:t>
      </w:r>
      <w:r w:rsidRPr="00E56A6E">
        <w:rPr>
          <w:lang w:val="es-ES"/>
        </w:rPr>
        <w:t>Los usuarios de la comunidad científica expresaron su preocupación por la aplicación limitada de medidas simplificadas sobre el acceso con fines de investigación no comercial, de conformidad con el artículo 8 a) del Protocolo.</w:t>
      </w:r>
      <w:r w:rsidR="001E37A2" w:rsidRPr="00E56A6E">
        <w:rPr>
          <w:lang w:val="es-ES"/>
        </w:rPr>
        <w:t xml:space="preserve"> </w:t>
      </w:r>
    </w:p>
    <w:p w14:paraId="3125A7AB" w14:textId="473FF552" w:rsidR="00E43436" w:rsidRPr="00E56A6E" w:rsidRDefault="00E43436" w:rsidP="00E43436">
      <w:pPr>
        <w:pStyle w:val="CBDNormalNumber"/>
        <w:rPr>
          <w:lang w:val="es-ES"/>
        </w:rPr>
      </w:pPr>
      <w:r w:rsidRPr="00E56A6E">
        <w:rPr>
          <w:lang w:val="es-ES"/>
        </w:rPr>
        <w:t>Dicha reticencia podría explicarse por la continua preocupación de los proveedores de que el material al que se accede con fines de investigación no comercial pueda acabar siendo utilizado por terceros con fines comerciales. Es posible que los proveedores no confíen en que el usuario devuelva el material si cambia de intención o en que se respeten las condiciones relativas a la transferencia a terceros</w:t>
      </w:r>
      <w:r w:rsidR="00770CE7" w:rsidRPr="00E56A6E">
        <w:rPr>
          <w:lang w:val="es-ES"/>
        </w:rPr>
        <w:t>.</w:t>
      </w:r>
    </w:p>
    <w:p w14:paraId="0C9E1754" w14:textId="63D4579E" w:rsidR="00E43436" w:rsidRPr="00E56A6E" w:rsidRDefault="00E43436" w:rsidP="00E43436">
      <w:pPr>
        <w:pStyle w:val="CBDNormalNumber"/>
        <w:rPr>
          <w:lang w:val="es-ES"/>
        </w:rPr>
      </w:pPr>
      <w:r w:rsidRPr="00E56A6E">
        <w:rPr>
          <w:lang w:val="es-ES"/>
        </w:rPr>
        <w:t xml:space="preserve">Tal como se indica en las encuestas </w:t>
      </w:r>
      <w:r w:rsidR="00251FA6" w:rsidRPr="00E56A6E">
        <w:rPr>
          <w:lang w:val="es-ES"/>
        </w:rPr>
        <w:t>dirigidas</w:t>
      </w:r>
      <w:r w:rsidRPr="00E56A6E">
        <w:rPr>
          <w:lang w:val="es-ES"/>
        </w:rPr>
        <w:t>, la industria farmacéutica había expresado su preocupación por los incumplimientos en la aplicación del artículo 8</w:t>
      </w:r>
      <w:r w:rsidR="00EF0453" w:rsidRPr="00E56A6E">
        <w:rPr>
          <w:lang w:val="es-ES"/>
        </w:rPr>
        <w:t xml:space="preserve"> </w:t>
      </w:r>
      <w:r w:rsidRPr="00E56A6E">
        <w:rPr>
          <w:lang w:val="es-ES"/>
        </w:rPr>
        <w:t>b) del Protocolo.</w:t>
      </w:r>
    </w:p>
    <w:p w14:paraId="441D8763" w14:textId="13286E78" w:rsidR="00647331" w:rsidRPr="00E56A6E" w:rsidRDefault="00E43436" w:rsidP="00647331">
      <w:pPr>
        <w:pStyle w:val="CBDNormalNumber"/>
        <w:rPr>
          <w:lang w:val="es-ES"/>
        </w:rPr>
      </w:pPr>
      <w:r w:rsidRPr="00E56A6E">
        <w:rPr>
          <w:lang w:val="es-ES"/>
        </w:rPr>
        <w:t xml:space="preserve">Se señaló que la aplicación de los instrumentos internacionales pertinentes en materia de acceso y participación en los beneficios </w:t>
      </w:r>
      <w:r w:rsidR="00647331" w:rsidRPr="00E56A6E">
        <w:rPr>
          <w:lang w:val="es-ES"/>
        </w:rPr>
        <w:t xml:space="preserve">de manera que se apoyen mutuamente </w:t>
      </w:r>
      <w:r w:rsidRPr="00E56A6E">
        <w:rPr>
          <w:lang w:val="es-ES"/>
        </w:rPr>
        <w:t>constituía un ámbito en el que las Partes podrían recibir mayor apoyo, entre otras cosas mediante el establecimiento de mecanismos de coordinación intersectorial y una mayor claridad sobre el alcance y la relación entre los distintos regímenes de acceso y participación en los beneficios.</w:t>
      </w:r>
    </w:p>
    <w:p w14:paraId="7AC3E7EB" w14:textId="773E3D3E" w:rsidR="00E43436" w:rsidRPr="00E56A6E" w:rsidRDefault="00E43436" w:rsidP="00E43436">
      <w:pPr>
        <w:pStyle w:val="CBDNormalNumber"/>
        <w:rPr>
          <w:lang w:val="es-ES"/>
        </w:rPr>
      </w:pPr>
      <w:r w:rsidRPr="00E56A6E">
        <w:rPr>
          <w:lang w:val="es-ES"/>
        </w:rPr>
        <w:t xml:space="preserve">Dado que la mayoría de los permisos notificados y los certificados expedidos se concedieron con fines no comerciales, podría proseguirse la labor para </w:t>
      </w:r>
      <w:r w:rsidR="009C10B5" w:rsidRPr="00E56A6E">
        <w:rPr>
          <w:lang w:val="es-ES"/>
        </w:rPr>
        <w:t xml:space="preserve">tratar </w:t>
      </w:r>
      <w:r w:rsidRPr="00E56A6E">
        <w:rPr>
          <w:lang w:val="es-ES"/>
        </w:rPr>
        <w:t xml:space="preserve">esa cuestión en </w:t>
      </w:r>
      <w:r w:rsidR="003C3A27" w:rsidRPr="00E56A6E">
        <w:rPr>
          <w:lang w:val="es-ES"/>
        </w:rPr>
        <w:t xml:space="preserve">relación con </w:t>
      </w:r>
      <w:r w:rsidRPr="00E56A6E">
        <w:rPr>
          <w:lang w:val="es-ES"/>
        </w:rPr>
        <w:t>el artículo 8 a) del Protocolo.</w:t>
      </w:r>
    </w:p>
    <w:p w14:paraId="0B9152EC" w14:textId="51D89B85" w:rsidR="00E43436" w:rsidRPr="00E56A6E" w:rsidRDefault="00E43436" w:rsidP="00E43436">
      <w:pPr>
        <w:pStyle w:val="CBDNormalNumber"/>
        <w:rPr>
          <w:lang w:val="es-ES"/>
        </w:rPr>
      </w:pPr>
      <w:r w:rsidRPr="00E56A6E">
        <w:rPr>
          <w:lang w:val="es-ES"/>
        </w:rPr>
        <w:t xml:space="preserve">La elaboración de plantillas, orientaciones y cláusulas contractuales tipo, así como el fomento del intercambio de experiencias y enfoques, podrían ayudar a las Partes a aplicar el artículo 8. </w:t>
      </w:r>
      <w:r w:rsidR="009C10B5" w:rsidRPr="00E56A6E">
        <w:rPr>
          <w:lang w:val="es-ES"/>
        </w:rPr>
        <w:t xml:space="preserve">Entre otras cosas, esta </w:t>
      </w:r>
      <w:r w:rsidRPr="00E56A6E">
        <w:rPr>
          <w:lang w:val="es-ES"/>
        </w:rPr>
        <w:t xml:space="preserve">asistencia podría </w:t>
      </w:r>
      <w:r w:rsidR="009C10B5" w:rsidRPr="00E56A6E">
        <w:rPr>
          <w:lang w:val="es-ES"/>
        </w:rPr>
        <w:t xml:space="preserve">comprender </w:t>
      </w:r>
      <w:r w:rsidRPr="00E56A6E">
        <w:rPr>
          <w:lang w:val="es-ES"/>
        </w:rPr>
        <w:t xml:space="preserve">mejores prácticas para </w:t>
      </w:r>
      <w:r w:rsidR="009C10B5" w:rsidRPr="00E56A6E">
        <w:rPr>
          <w:lang w:val="es-ES"/>
        </w:rPr>
        <w:t xml:space="preserve">encarar </w:t>
      </w:r>
      <w:r w:rsidRPr="00E56A6E">
        <w:rPr>
          <w:lang w:val="es-ES"/>
        </w:rPr>
        <w:t xml:space="preserve">situaciones en las que se produzca un cambio de </w:t>
      </w:r>
      <w:r w:rsidR="0014115B" w:rsidRPr="00E56A6E">
        <w:rPr>
          <w:lang w:val="es-ES"/>
        </w:rPr>
        <w:t>intención</w:t>
      </w:r>
      <w:r w:rsidR="009C10B5" w:rsidRPr="00E56A6E">
        <w:rPr>
          <w:lang w:val="es-ES"/>
        </w:rPr>
        <w:t xml:space="preserve"> en el uso del </w:t>
      </w:r>
      <w:r w:rsidRPr="00E56A6E">
        <w:rPr>
          <w:lang w:val="es-ES"/>
        </w:rPr>
        <w:t>recurso genético al que se ha accedido.</w:t>
      </w:r>
    </w:p>
    <w:p w14:paraId="71CDA4EA" w14:textId="3B6C5B98" w:rsidR="00455F03" w:rsidRPr="00E56A6E" w:rsidRDefault="00762797" w:rsidP="00762797">
      <w:pPr>
        <w:pStyle w:val="CBDH3"/>
        <w:rPr>
          <w:lang w:val="es-ES"/>
        </w:rPr>
      </w:pPr>
      <w:r w:rsidRPr="00E56A6E">
        <w:rPr>
          <w:lang w:val="es-ES"/>
        </w:rPr>
        <w:t>7.</w:t>
      </w:r>
      <w:r w:rsidRPr="00E56A6E">
        <w:rPr>
          <w:lang w:val="es-ES"/>
        </w:rPr>
        <w:tab/>
      </w:r>
      <w:r w:rsidR="00E43436" w:rsidRPr="00E56A6E">
        <w:rPr>
          <w:lang w:val="es-ES"/>
        </w:rPr>
        <w:t>Medidas relacionadas con los pueblos indígenas y las comunidades locales (artículos 6, 7 y</w:t>
      </w:r>
      <w:r w:rsidR="00892305" w:rsidRPr="00E56A6E">
        <w:rPr>
          <w:lang w:val="es-ES"/>
        </w:rPr>
        <w:t> </w:t>
      </w:r>
      <w:r w:rsidR="00E43436" w:rsidRPr="00E56A6E">
        <w:rPr>
          <w:lang w:val="es-ES"/>
        </w:rPr>
        <w:t>12)</w:t>
      </w:r>
      <w:r w:rsidR="00245205" w:rsidRPr="00E56A6E">
        <w:rPr>
          <w:rStyle w:val="FootnoteReference"/>
          <w:lang w:val="es-ES"/>
        </w:rPr>
        <w:footnoteReference w:id="41"/>
      </w:r>
    </w:p>
    <w:p w14:paraId="18088670" w14:textId="787E2B86" w:rsidR="004A5572" w:rsidRPr="00E56A6E" w:rsidRDefault="00762797" w:rsidP="00762797">
      <w:pPr>
        <w:pStyle w:val="CBDH4"/>
        <w:rPr>
          <w:lang w:val="es-ES"/>
        </w:rPr>
      </w:pPr>
      <w:r w:rsidRPr="00E56A6E">
        <w:rPr>
          <w:lang w:val="es-ES"/>
        </w:rPr>
        <w:t>a)</w:t>
      </w:r>
      <w:r w:rsidRPr="00E56A6E">
        <w:rPr>
          <w:lang w:val="es-ES"/>
        </w:rPr>
        <w:tab/>
      </w:r>
      <w:r w:rsidR="00E43436" w:rsidRPr="00E56A6E">
        <w:rPr>
          <w:lang w:val="es-ES"/>
        </w:rPr>
        <w:t>Avances en la aplicación y datos actualizados de los indicadores</w:t>
      </w:r>
    </w:p>
    <w:p w14:paraId="25956EAA" w14:textId="132F3DCD" w:rsidR="00E43436" w:rsidRPr="00E56A6E" w:rsidRDefault="00E43436" w:rsidP="00E43436">
      <w:pPr>
        <w:pStyle w:val="CBDNormalNumber"/>
        <w:rPr>
          <w:lang w:val="es-ES"/>
        </w:rPr>
      </w:pPr>
      <w:r w:rsidRPr="00E56A6E">
        <w:rPr>
          <w:lang w:val="es-ES"/>
        </w:rPr>
        <w:t xml:space="preserve">Un total de 69 Partes informaron de que en su país residían pueblos indígenas y comunidades locales. Como demuestran los indicadores que figuran a continuación, esas 69 Partes habían logrado avances muy </w:t>
      </w:r>
      <w:r w:rsidR="00D426EC" w:rsidRPr="00E56A6E">
        <w:rPr>
          <w:lang w:val="es-ES"/>
        </w:rPr>
        <w:t>importantes</w:t>
      </w:r>
      <w:r w:rsidRPr="00E56A6E">
        <w:rPr>
          <w:lang w:val="es-ES"/>
        </w:rPr>
        <w:t xml:space="preserve"> </w:t>
      </w:r>
      <w:r w:rsidR="00D426EC" w:rsidRPr="00E56A6E">
        <w:rPr>
          <w:lang w:val="es-ES"/>
        </w:rPr>
        <w:t xml:space="preserve">al requerir </w:t>
      </w:r>
      <w:r w:rsidRPr="00E56A6E">
        <w:rPr>
          <w:lang w:val="es-ES"/>
        </w:rPr>
        <w:t xml:space="preserve">el consentimiento fundamentado previo de los pueblos indígenas y las comunidades locales en relación con el acceso a sus recursos genéticos cuando tenían derechos establecidos sobre dichos recursos y los </w:t>
      </w:r>
      <w:r w:rsidR="00D426EC" w:rsidRPr="00E56A6E">
        <w:rPr>
          <w:lang w:val="es-ES"/>
        </w:rPr>
        <w:t>conocimientos tradicionales conexos</w:t>
      </w:r>
      <w:r w:rsidRPr="00E56A6E">
        <w:rPr>
          <w:lang w:val="es-ES"/>
        </w:rPr>
        <w:t>.</w:t>
      </w:r>
    </w:p>
    <w:p w14:paraId="70C3301E" w14:textId="12760A2D" w:rsidR="00E43436" w:rsidRPr="00E56A6E" w:rsidRDefault="00E43436" w:rsidP="00E43436">
      <w:pPr>
        <w:pStyle w:val="CBDNormalNumber"/>
        <w:rPr>
          <w:lang w:val="es-ES"/>
        </w:rPr>
      </w:pPr>
      <w:r w:rsidRPr="00E56A6E">
        <w:rPr>
          <w:lang w:val="es-ES"/>
        </w:rPr>
        <w:t xml:space="preserve">Este indicador ha mostrado </w:t>
      </w:r>
      <w:r w:rsidR="00D426EC" w:rsidRPr="00E56A6E">
        <w:rPr>
          <w:lang w:val="es-ES"/>
        </w:rPr>
        <w:t xml:space="preserve">verdaderos </w:t>
      </w:r>
      <w:r w:rsidRPr="00E56A6E">
        <w:rPr>
          <w:lang w:val="es-ES"/>
        </w:rPr>
        <w:t>avances desde 2018. Sin embargo, aunque, en general, el requisito del consentimiento fundamentado previo de los pueblos indígenas y las comunidades locales se incluyó en las medidas de acceso y participación en los beneficios, muchas Partes no habían puesto plenamente en práctica la aplicación de dicho requisito.</w:t>
      </w:r>
    </w:p>
    <w:p w14:paraId="0B19F03A" w14:textId="608E4DB6" w:rsidR="00E43436" w:rsidRPr="00E56A6E" w:rsidRDefault="00E43436" w:rsidP="00E43436">
      <w:pPr>
        <w:pStyle w:val="CBDNormalNumber"/>
        <w:rPr>
          <w:lang w:val="es-ES"/>
        </w:rPr>
      </w:pPr>
      <w:r w:rsidRPr="00E56A6E">
        <w:rPr>
          <w:lang w:val="es-ES"/>
        </w:rPr>
        <w:t>En lo que respecta a los pueblos indígenas y las comunidades locales, las Partes habían adoptado diferentes medidas y enfoques</w:t>
      </w:r>
      <w:r w:rsidRPr="00E56A6E">
        <w:rPr>
          <w:rStyle w:val="FootnoteReference"/>
          <w:lang w:val="es-ES"/>
        </w:rPr>
        <w:footnoteReference w:id="42"/>
      </w:r>
      <w:r w:rsidRPr="00E56A6E">
        <w:rPr>
          <w:lang w:val="es-ES"/>
        </w:rPr>
        <w:t xml:space="preserve">. Mientras que algunas Partes se encontraban en fases preliminares de aplicación y se centraban en la sensibilización sobre el valor de los recursos genéticos y los </w:t>
      </w:r>
      <w:r w:rsidR="00D426EC" w:rsidRPr="00E56A6E">
        <w:rPr>
          <w:lang w:val="es-ES"/>
        </w:rPr>
        <w:t>conocimientos tradicionales conexos</w:t>
      </w:r>
      <w:r w:rsidRPr="00E56A6E">
        <w:rPr>
          <w:lang w:val="es-ES"/>
        </w:rPr>
        <w:t xml:space="preserve">, así como sobre la importancia del acceso y la </w:t>
      </w:r>
      <w:r w:rsidRPr="00E56A6E">
        <w:rPr>
          <w:lang w:val="es-ES"/>
        </w:rPr>
        <w:lastRenderedPageBreak/>
        <w:t>participación en los beneficios, otras Partes que se encontraban en una fase más avanzada de aplicación habían incluido a los pueblos indígenas y las comunidades locales en la elaboración y aplicación de las medidas nacionales de acceso y participación en los beneficios.</w:t>
      </w:r>
    </w:p>
    <w:p w14:paraId="78CB2D4A" w14:textId="6944775E" w:rsidR="00E43436" w:rsidRPr="00E56A6E" w:rsidRDefault="00E43436" w:rsidP="00E43436">
      <w:pPr>
        <w:pStyle w:val="CBDNormalNumber"/>
        <w:rPr>
          <w:lang w:val="es-ES"/>
        </w:rPr>
      </w:pPr>
      <w:r w:rsidRPr="00E56A6E">
        <w:rPr>
          <w:lang w:val="es-ES"/>
        </w:rPr>
        <w:t xml:space="preserve">Según la información disponible, parece </w:t>
      </w:r>
      <w:r w:rsidR="00225284" w:rsidRPr="00E56A6E">
        <w:rPr>
          <w:lang w:val="es-ES"/>
        </w:rPr>
        <w:t xml:space="preserve">haber </w:t>
      </w:r>
      <w:r w:rsidRPr="00E56A6E">
        <w:rPr>
          <w:lang w:val="es-ES"/>
        </w:rPr>
        <w:t>una falta generalizada de experiencia práctica en la aplicación de los artículos 6, 7 y 12 del Protocolo, y algunas Partes señalaron que no habían recibido ninguna solicitud de acceso a los recursos o conocimientos de los pueblos indígenas y las comunidades locales. Por ejemplo, de los 6.269 certificados del Centro de Intercambio de Información sobre Acceso y Participación en los Beneficios, solo 13 se habían expedido para el acceso a los conocimientos tradicionales. Sin embargo, en algunos países, los pueblos indígenas y las comunidades locales habían participado en la negociación y el establecimiento de condiciones mutuamente acordadas y en la recepción de beneficios</w:t>
      </w:r>
      <w:r w:rsidRPr="00E56A6E">
        <w:rPr>
          <w:rStyle w:val="FootnoteReference"/>
          <w:lang w:val="es-ES"/>
        </w:rPr>
        <w:footnoteReference w:id="43"/>
      </w:r>
      <w:r w:rsidRPr="00E56A6E">
        <w:rPr>
          <w:lang w:val="es-ES"/>
        </w:rPr>
        <w:t>.</w:t>
      </w:r>
    </w:p>
    <w:p w14:paraId="75430B0A" w14:textId="4ED18A7D" w:rsidR="00D13F20" w:rsidRPr="00E56A6E" w:rsidRDefault="00653A73" w:rsidP="00762797">
      <w:pPr>
        <w:pStyle w:val="CBDTableTitle"/>
        <w:rPr>
          <w:lang w:val="es-ES"/>
        </w:rPr>
      </w:pPr>
      <w:r w:rsidRPr="00E56A6E">
        <w:rPr>
          <w:b w:val="0"/>
          <w:bCs/>
          <w:lang w:val="es-ES"/>
        </w:rPr>
        <w:t>Cuadro</w:t>
      </w:r>
      <w:r w:rsidR="00D13F20" w:rsidRPr="00E56A6E">
        <w:rPr>
          <w:b w:val="0"/>
          <w:bCs/>
          <w:lang w:val="es-ES"/>
        </w:rPr>
        <w:t xml:space="preserve"> </w:t>
      </w:r>
      <w:r w:rsidR="00946AAA" w:rsidRPr="00E56A6E">
        <w:rPr>
          <w:b w:val="0"/>
          <w:bCs/>
          <w:lang w:val="es-ES"/>
        </w:rPr>
        <w:t>7</w:t>
      </w:r>
      <w:r w:rsidR="00D13F20" w:rsidRPr="00E56A6E">
        <w:rPr>
          <w:lang w:val="es-ES"/>
        </w:rPr>
        <w:t xml:space="preserve"> </w:t>
      </w:r>
      <w:r w:rsidR="00762797" w:rsidRPr="00E56A6E">
        <w:rPr>
          <w:lang w:val="es-ES"/>
        </w:rPr>
        <w:br/>
      </w:r>
      <w:r w:rsidR="007E3AB1" w:rsidRPr="00E56A6E">
        <w:rPr>
          <w:lang w:val="es-ES"/>
        </w:rPr>
        <w:t>Indicadores para medir los avances en el establecimiento de medidas relacionadas con los pueblos indígenas y las comunidades locales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13F20" w:rsidRPr="005A210D" w14:paraId="51BE392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80B686F" w14:textId="7108D6EE" w:rsidR="00D13F20" w:rsidRPr="00E56A6E" w:rsidRDefault="00EE1C1B"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3015" w14:textId="17B972E7" w:rsidR="00D13F20" w:rsidRPr="00E56A6E" w:rsidRDefault="007F3EC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Punto de referencia</w:t>
            </w:r>
            <w:r w:rsidR="00D13F20" w:rsidRPr="00E56A6E">
              <w:rPr>
                <w:rFonts w:asciiTheme="majorBidi" w:eastAsia="Malgun Gothic" w:hAnsiTheme="majorBidi" w:cstheme="majorBidi"/>
                <w:bCs/>
                <w:i/>
                <w:iCs/>
                <w:kern w:val="22"/>
                <w:sz w:val="20"/>
                <w:szCs w:val="20"/>
                <w:lang w:val="es-ES"/>
              </w:rPr>
              <w:t xml:space="preserve"> (</w:t>
            </w:r>
            <w:r w:rsidRPr="00E56A6E">
              <w:rPr>
                <w:rFonts w:asciiTheme="majorBidi" w:eastAsia="Malgun Gothic" w:hAnsiTheme="majorBidi" w:cstheme="majorBidi"/>
                <w:bCs/>
                <w:i/>
                <w:iCs/>
                <w:kern w:val="22"/>
                <w:sz w:val="20"/>
                <w:szCs w:val="20"/>
                <w:lang w:val="es-ES"/>
              </w:rPr>
              <w:t>al 22 de febrero de 2018</w:t>
            </w:r>
            <w:r w:rsidR="00D13F20" w:rsidRPr="00E56A6E">
              <w:rPr>
                <w:rFonts w:asciiTheme="majorBidi" w:eastAsia="Malgun Gothic" w:hAnsiTheme="majorBidi" w:cstheme="majorBidi"/>
                <w:bCs/>
                <w:i/>
                <w:iCs/>
                <w:kern w:val="22"/>
                <w:sz w:val="20"/>
                <w:szCs w:val="20"/>
                <w:lang w:val="es-ES"/>
              </w:rPr>
              <w:t>)</w:t>
            </w:r>
          </w:p>
        </w:tc>
        <w:tc>
          <w:tcPr>
            <w:tcW w:w="1512" w:type="dxa"/>
            <w:tcBorders>
              <w:top w:val="single" w:sz="4" w:space="0" w:color="auto"/>
              <w:left w:val="single" w:sz="4" w:space="0" w:color="auto"/>
              <w:bottom w:val="single" w:sz="4" w:space="0" w:color="auto"/>
              <w:right w:val="single" w:sz="4" w:space="0" w:color="auto"/>
            </w:tcBorders>
            <w:vAlign w:val="bottom"/>
          </w:tcPr>
          <w:p w14:paraId="46EB7397" w14:textId="2705FF8D" w:rsidR="00D13F20" w:rsidRPr="00E56A6E" w:rsidRDefault="0050203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es-ES"/>
              </w:rPr>
            </w:pPr>
            <w:r w:rsidRPr="00E56A6E">
              <w:rPr>
                <w:rFonts w:asciiTheme="majorBidi" w:eastAsia="Malgun Gothic" w:hAnsiTheme="majorBidi" w:cstheme="majorBidi"/>
                <w:bCs/>
                <w:i/>
                <w:iCs/>
                <w:kern w:val="22"/>
                <w:sz w:val="20"/>
                <w:szCs w:val="20"/>
                <w:lang w:val="es-ES"/>
              </w:rPr>
              <w:t xml:space="preserve">Avances al </w:t>
            </w:r>
            <w:r w:rsidR="00D13F20" w:rsidRPr="00E56A6E">
              <w:rPr>
                <w:rFonts w:asciiTheme="majorBidi" w:eastAsia="Malgun Gothic" w:hAnsiTheme="majorBidi" w:cstheme="majorBidi"/>
                <w:bCs/>
                <w:i/>
                <w:iCs/>
                <w:kern w:val="22"/>
                <w:sz w:val="20"/>
                <w:szCs w:val="20"/>
                <w:lang w:val="es-ES"/>
              </w:rPr>
              <w:t xml:space="preserve">9 </w:t>
            </w:r>
            <w:r w:rsidRPr="00E56A6E">
              <w:rPr>
                <w:rFonts w:asciiTheme="majorBidi" w:eastAsia="Malgun Gothic" w:hAnsiTheme="majorBidi" w:cstheme="majorBidi"/>
                <w:bCs/>
                <w:i/>
                <w:iCs/>
                <w:kern w:val="22"/>
                <w:sz w:val="20"/>
                <w:szCs w:val="20"/>
                <w:lang w:val="es-ES"/>
              </w:rPr>
              <w:t xml:space="preserve">de marzo de </w:t>
            </w:r>
            <w:r w:rsidR="00D13F20" w:rsidRPr="00E56A6E">
              <w:rPr>
                <w:rFonts w:asciiTheme="majorBidi" w:eastAsia="Malgun Gothic" w:hAnsiTheme="majorBidi" w:cstheme="majorBidi"/>
                <w:bCs/>
                <w:i/>
                <w:iCs/>
                <w:kern w:val="22"/>
                <w:sz w:val="20"/>
                <w:szCs w:val="20"/>
                <w:lang w:val="es-ES"/>
              </w:rPr>
              <w:t>2026</w:t>
            </w:r>
          </w:p>
        </w:tc>
      </w:tr>
      <w:tr w:rsidR="007E3AB1" w:rsidRPr="00E56A6E" w14:paraId="34B6A6F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A36A15" w14:textId="22FA8BF4" w:rsidR="007E3AB1" w:rsidRPr="00E56A6E" w:rsidRDefault="007E3AB1" w:rsidP="007E3AB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cuentan con pueblos indígenas y comunidades locales en su </w:t>
            </w:r>
            <w:proofErr w:type="spellStart"/>
            <w:r w:rsidRPr="00E56A6E">
              <w:rPr>
                <w:sz w:val="20"/>
                <w:szCs w:val="20"/>
                <w:lang w:val="es-ES"/>
              </w:rPr>
              <w:t>país</w:t>
            </w:r>
            <w:r w:rsidRPr="00E56A6E">
              <w:rPr>
                <w:kern w:val="22"/>
                <w:sz w:val="20"/>
                <w:szCs w:val="20"/>
                <w:vertAlign w:val="superscript"/>
                <w:lang w:val="es-ES"/>
              </w:rPr>
              <w:t>a</w:t>
            </w:r>
            <w:proofErr w:type="spellEnd"/>
            <w:r w:rsidRPr="00E56A6E">
              <w:rPr>
                <w:sz w:val="20"/>
                <w:szCs w:val="20"/>
                <w:lang w:val="es-ES"/>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D296418" w14:textId="7F967858" w:rsidR="007E3AB1" w:rsidRPr="00E56A6E" w:rsidRDefault="007E3AB1" w:rsidP="007E3AB1">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N</w:t>
            </w:r>
            <w:r w:rsidR="00225284" w:rsidRPr="00E56A6E">
              <w:rPr>
                <w:rFonts w:asciiTheme="majorBidi" w:hAnsiTheme="majorBidi" w:cstheme="majorBidi"/>
                <w:kern w:val="22"/>
                <w:sz w:val="20"/>
                <w:szCs w:val="20"/>
                <w:lang w:val="es-ES"/>
              </w:rPr>
              <w:t>uevo</w:t>
            </w:r>
          </w:p>
        </w:tc>
        <w:tc>
          <w:tcPr>
            <w:tcW w:w="1512" w:type="dxa"/>
            <w:vAlign w:val="bottom"/>
          </w:tcPr>
          <w:p w14:paraId="17F1DCF7" w14:textId="485D8BD9" w:rsidR="007E3AB1" w:rsidRPr="00E56A6E" w:rsidRDefault="007E3AB1" w:rsidP="007E3AB1">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69 (48 %)</w:t>
            </w:r>
          </w:p>
        </w:tc>
      </w:tr>
      <w:tr w:rsidR="007E3AB1" w:rsidRPr="00E56A6E" w14:paraId="69A3F06A"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E2FB375" w14:textId="22DDEC30" w:rsidR="007E3AB1" w:rsidRPr="00E56A6E" w:rsidRDefault="007E3AB1" w:rsidP="007E3AB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en las que los pueblos indígenas y las comunidades locales tienen derechos reconocidos para conceder acceso a los recursos </w:t>
            </w:r>
            <w:proofErr w:type="spellStart"/>
            <w:r w:rsidRPr="00E56A6E">
              <w:rPr>
                <w:sz w:val="20"/>
                <w:szCs w:val="20"/>
                <w:lang w:val="es-ES"/>
              </w:rPr>
              <w:t>genéticos</w:t>
            </w:r>
            <w:r w:rsidRPr="00E56A6E">
              <w:rPr>
                <w:kern w:val="22"/>
                <w:sz w:val="20"/>
                <w:szCs w:val="20"/>
                <w:vertAlign w:val="superscript"/>
                <w:lang w:val="es-ES"/>
              </w:rPr>
              <w:t>b</w:t>
            </w:r>
            <w:proofErr w:type="spellEnd"/>
            <w:r w:rsidRPr="00E56A6E">
              <w:rPr>
                <w:sz w:val="20"/>
                <w:szCs w:val="20"/>
                <w:lang w:val="es-ES"/>
              </w:rPr>
              <w:t>, y en las que se han establecido medidas</w:t>
            </w:r>
            <w:r w:rsidR="002F46EC" w:rsidRPr="00E56A6E">
              <w:rPr>
                <w:sz w:val="20"/>
                <w:szCs w:val="20"/>
                <w:lang w:val="es-ES"/>
              </w:rPr>
              <w:t xml:space="preserve"> para asegurar </w:t>
            </w:r>
            <w:r w:rsidRPr="00E56A6E">
              <w:rPr>
                <w:sz w:val="20"/>
                <w:szCs w:val="20"/>
                <w:lang w:val="es-ES"/>
              </w:rPr>
              <w:t xml:space="preserve">el consentimiento fundamentado previo o la aprobación y la participación de los pueblos indígenas y las comunidades locales, </w:t>
            </w:r>
            <w:r w:rsidR="00770CE7" w:rsidRPr="00E56A6E">
              <w:rPr>
                <w:sz w:val="20"/>
                <w:szCs w:val="20"/>
                <w:lang w:val="es-ES"/>
              </w:rPr>
              <w:t>tal como</w:t>
            </w:r>
            <w:r w:rsidRPr="00E56A6E">
              <w:rPr>
                <w:sz w:val="20"/>
                <w:szCs w:val="20"/>
                <w:lang w:val="es-ES"/>
              </w:rPr>
              <w:t xml:space="preserve"> se establece en el artículo 6 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7048105" w14:textId="4AAA180C" w:rsidR="007E3AB1" w:rsidRPr="00E56A6E" w:rsidRDefault="007E3AB1" w:rsidP="007E3AB1">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23 (47 %)</w:t>
            </w:r>
          </w:p>
        </w:tc>
        <w:tc>
          <w:tcPr>
            <w:tcW w:w="1512" w:type="dxa"/>
            <w:vAlign w:val="bottom"/>
          </w:tcPr>
          <w:p w14:paraId="32D67DC6" w14:textId="37527C12" w:rsidR="007E3AB1" w:rsidRPr="00E56A6E" w:rsidRDefault="007E3AB1" w:rsidP="007E3AB1">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47 (87 %)</w:t>
            </w:r>
          </w:p>
        </w:tc>
      </w:tr>
      <w:tr w:rsidR="007E3AB1" w:rsidRPr="00E56A6E" w14:paraId="192E02A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4B0A64" w14:textId="08AE4177" w:rsidR="007E3AB1" w:rsidRPr="00E56A6E" w:rsidRDefault="007E3AB1" w:rsidP="007E3AB1">
            <w:pPr>
              <w:suppressLineNumbers/>
              <w:suppressAutoHyphens/>
              <w:kinsoku w:val="0"/>
              <w:overflowPunct w:val="0"/>
              <w:autoSpaceDE w:val="0"/>
              <w:autoSpaceDN w:val="0"/>
              <w:adjustRightInd w:val="0"/>
              <w:snapToGrid w:val="0"/>
              <w:ind w:left="-46"/>
              <w:jc w:val="left"/>
              <w:rPr>
                <w:rFonts w:asciiTheme="majorBidi" w:hAnsiTheme="majorBidi" w:cstheme="majorBidi"/>
                <w:kern w:val="22"/>
                <w:sz w:val="20"/>
                <w:szCs w:val="20"/>
                <w:lang w:val="es-ES"/>
              </w:rPr>
            </w:pPr>
            <w:r w:rsidRPr="00E56A6E">
              <w:rPr>
                <w:sz w:val="20"/>
                <w:szCs w:val="20"/>
                <w:lang w:val="es-ES"/>
              </w:rPr>
              <w:t xml:space="preserve">Número y porcentaje de </w:t>
            </w:r>
            <w:proofErr w:type="spellStart"/>
            <w:r w:rsidRPr="00E56A6E">
              <w:rPr>
                <w:sz w:val="20"/>
                <w:szCs w:val="20"/>
                <w:lang w:val="es-ES"/>
              </w:rPr>
              <w:t>Partes</w:t>
            </w:r>
            <w:r w:rsidRPr="00E56A6E">
              <w:rPr>
                <w:kern w:val="22"/>
                <w:sz w:val="20"/>
                <w:szCs w:val="20"/>
                <w:vertAlign w:val="superscript"/>
                <w:lang w:val="es-ES"/>
              </w:rPr>
              <w:t>c</w:t>
            </w:r>
            <w:proofErr w:type="spellEnd"/>
            <w:r w:rsidRPr="00E56A6E">
              <w:rPr>
                <w:sz w:val="20"/>
                <w:szCs w:val="20"/>
                <w:lang w:val="es-ES"/>
              </w:rPr>
              <w:t xml:space="preserve"> con pueblos indígenas y comunidades locales en su país que han adoptado medidas </w:t>
            </w:r>
            <w:r w:rsidR="002F46EC" w:rsidRPr="00E56A6E">
              <w:rPr>
                <w:sz w:val="20"/>
                <w:szCs w:val="20"/>
                <w:lang w:val="es-ES"/>
              </w:rPr>
              <w:t xml:space="preserve">para asegurar </w:t>
            </w:r>
            <w:r w:rsidRPr="00E56A6E">
              <w:rPr>
                <w:sz w:val="20"/>
                <w:szCs w:val="20"/>
                <w:lang w:val="es-ES"/>
              </w:rPr>
              <w:t xml:space="preserve">que se haya accedido a los </w:t>
            </w:r>
            <w:r w:rsidR="00D426EC" w:rsidRPr="00E56A6E">
              <w:rPr>
                <w:sz w:val="20"/>
                <w:szCs w:val="20"/>
                <w:lang w:val="es-ES"/>
              </w:rPr>
              <w:t xml:space="preserve">conocimientos </w:t>
            </w:r>
            <w:r w:rsidR="00F05DBD" w:rsidRPr="00E56A6E">
              <w:rPr>
                <w:sz w:val="20"/>
                <w:szCs w:val="20"/>
                <w:lang w:val="es-ES"/>
              </w:rPr>
              <w:t>tradicionales relacionados con los recursos genéticos</w:t>
            </w:r>
            <w:r w:rsidRPr="00E56A6E">
              <w:rPr>
                <w:sz w:val="20"/>
                <w:szCs w:val="20"/>
                <w:lang w:val="es-ES"/>
              </w:rPr>
              <w:t xml:space="preserve"> que poseen los pueblos indígenas y las comunidades locales con el consentimiento fundamentado previo o la aprobación y la participación de dichos pueblos indígenas y comunidades locales, y que se hayan establecido condiciones mutuamente acordadas, </w:t>
            </w:r>
            <w:r w:rsidR="00770CE7" w:rsidRPr="00E56A6E">
              <w:rPr>
                <w:sz w:val="20"/>
                <w:szCs w:val="20"/>
                <w:lang w:val="es-ES"/>
              </w:rPr>
              <w:t>tal como</w:t>
            </w:r>
            <w:r w:rsidRPr="00E56A6E">
              <w:rPr>
                <w:sz w:val="20"/>
                <w:szCs w:val="20"/>
                <w:lang w:val="es-ES"/>
              </w:rPr>
              <w:t xml:space="preserve"> se dispone en el artículo 7.</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DA9025" w14:textId="172C1AAC" w:rsidR="007E3AB1" w:rsidRPr="00E56A6E" w:rsidRDefault="007E3AB1" w:rsidP="007E3AB1">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21 (43 %)</w:t>
            </w:r>
          </w:p>
        </w:tc>
        <w:tc>
          <w:tcPr>
            <w:tcW w:w="1512" w:type="dxa"/>
            <w:vAlign w:val="bottom"/>
          </w:tcPr>
          <w:p w14:paraId="49D8B1E9" w14:textId="5777F112" w:rsidR="007E3AB1" w:rsidRPr="00E56A6E" w:rsidRDefault="007E3AB1" w:rsidP="007E3AB1">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56 (81 %)</w:t>
            </w:r>
          </w:p>
        </w:tc>
      </w:tr>
    </w:tbl>
    <w:p w14:paraId="46237ACD" w14:textId="5460BE76" w:rsidR="007E3AB1" w:rsidRPr="00E56A6E" w:rsidRDefault="007E3AB1" w:rsidP="007E3AB1">
      <w:pPr>
        <w:ind w:left="567"/>
        <w:rPr>
          <w:sz w:val="18"/>
          <w:szCs w:val="18"/>
          <w:lang w:val="es-ES"/>
        </w:rPr>
      </w:pPr>
      <w:proofErr w:type="spellStart"/>
      <w:proofErr w:type="gramStart"/>
      <w:r w:rsidRPr="00E56A6E">
        <w:rPr>
          <w:i/>
          <w:iCs/>
          <w:sz w:val="18"/>
          <w:szCs w:val="18"/>
          <w:vertAlign w:val="superscript"/>
          <w:lang w:val="es-ES"/>
        </w:rPr>
        <w:t>a</w:t>
      </w:r>
      <w:proofErr w:type="spellEnd"/>
      <w:r w:rsidRPr="00E56A6E">
        <w:rPr>
          <w:i/>
          <w:iCs/>
          <w:sz w:val="18"/>
          <w:szCs w:val="18"/>
          <w:vertAlign w:val="superscript"/>
          <w:lang w:val="es-ES"/>
        </w:rPr>
        <w:t xml:space="preserve"> </w:t>
      </w:r>
      <w:r w:rsidRPr="00E56A6E">
        <w:rPr>
          <w:sz w:val="18"/>
          <w:szCs w:val="18"/>
          <w:lang w:val="es-ES"/>
        </w:rPr>
        <w:t xml:space="preserve"> Se</w:t>
      </w:r>
      <w:proofErr w:type="gramEnd"/>
      <w:r w:rsidRPr="00E56A6E">
        <w:rPr>
          <w:sz w:val="18"/>
          <w:szCs w:val="18"/>
          <w:lang w:val="es-ES"/>
        </w:rPr>
        <w:t xml:space="preserve"> ha añadido un nuevo indicador, basado en las respuestas a la pregunta 34 del primer </w:t>
      </w:r>
      <w:r w:rsidR="001678EE" w:rsidRPr="00E56A6E">
        <w:rPr>
          <w:sz w:val="18"/>
          <w:szCs w:val="18"/>
          <w:lang w:val="es-ES"/>
        </w:rPr>
        <w:t xml:space="preserve">formato </w:t>
      </w:r>
      <w:r w:rsidRPr="00E56A6E">
        <w:rPr>
          <w:sz w:val="18"/>
          <w:szCs w:val="18"/>
          <w:lang w:val="es-ES"/>
        </w:rPr>
        <w:t>de informe nacional, con el fin de proporcionar contexto a los demás indicadores.</w:t>
      </w:r>
    </w:p>
    <w:p w14:paraId="5A2AECA1" w14:textId="72A488D3" w:rsidR="007E3AB1" w:rsidRPr="00E56A6E" w:rsidRDefault="007E3AB1" w:rsidP="007E3AB1">
      <w:pPr>
        <w:ind w:left="567"/>
        <w:rPr>
          <w:sz w:val="18"/>
          <w:szCs w:val="18"/>
          <w:lang w:val="es-ES"/>
        </w:rPr>
      </w:pPr>
      <w:r w:rsidRPr="00E56A6E">
        <w:rPr>
          <w:i/>
          <w:iCs/>
          <w:sz w:val="18"/>
          <w:szCs w:val="18"/>
          <w:vertAlign w:val="superscript"/>
          <w:lang w:val="es-ES"/>
        </w:rPr>
        <w:t>b</w:t>
      </w:r>
      <w:r w:rsidRPr="00E56A6E">
        <w:rPr>
          <w:sz w:val="18"/>
          <w:szCs w:val="18"/>
          <w:lang w:val="es-ES"/>
        </w:rPr>
        <w:t xml:space="preserve"> Los porcentajes de este indicador se han calculado a partir del número de Partes en las que los pueblos indígenas y las comunidades locales tienen el </w:t>
      </w:r>
      <w:r w:rsidR="001678EE" w:rsidRPr="00E56A6E">
        <w:rPr>
          <w:sz w:val="18"/>
          <w:szCs w:val="18"/>
          <w:lang w:val="es-ES"/>
        </w:rPr>
        <w:t>derecho establecido a otorgar acceso a dichos recursos</w:t>
      </w:r>
      <w:r w:rsidRPr="00E56A6E">
        <w:rPr>
          <w:sz w:val="18"/>
          <w:szCs w:val="18"/>
          <w:lang w:val="es-ES"/>
        </w:rPr>
        <w:t>.</w:t>
      </w:r>
    </w:p>
    <w:p w14:paraId="573FE504" w14:textId="792DAE93" w:rsidR="007E3AB1" w:rsidRPr="00E56A6E" w:rsidRDefault="007E3AB1" w:rsidP="007E3AB1">
      <w:pPr>
        <w:ind w:left="567"/>
        <w:rPr>
          <w:sz w:val="18"/>
          <w:szCs w:val="18"/>
          <w:lang w:val="es-ES"/>
        </w:rPr>
      </w:pPr>
      <w:r w:rsidRPr="00E56A6E">
        <w:rPr>
          <w:i/>
          <w:iCs/>
          <w:sz w:val="18"/>
          <w:szCs w:val="18"/>
          <w:vertAlign w:val="superscript"/>
          <w:lang w:val="es-ES"/>
        </w:rPr>
        <w:t>c</w:t>
      </w:r>
      <w:r w:rsidRPr="00E56A6E">
        <w:rPr>
          <w:sz w:val="18"/>
          <w:szCs w:val="18"/>
          <w:lang w:val="es-ES"/>
        </w:rPr>
        <w:t xml:space="preserve"> Los porcentajes se calculan a partir del número de Partes que cuentan con pueblos indígenas y comunidades locales en </w:t>
      </w:r>
      <w:r w:rsidR="00526365" w:rsidRPr="00E56A6E">
        <w:rPr>
          <w:sz w:val="18"/>
          <w:szCs w:val="18"/>
          <w:lang w:val="es-ES"/>
        </w:rPr>
        <w:t>su país</w:t>
      </w:r>
      <w:r w:rsidRPr="00E56A6E">
        <w:rPr>
          <w:sz w:val="18"/>
          <w:szCs w:val="18"/>
          <w:lang w:val="es-ES"/>
        </w:rPr>
        <w:t>.</w:t>
      </w:r>
    </w:p>
    <w:p w14:paraId="0A9D257B" w14:textId="7B96A5EC" w:rsidR="0070432E" w:rsidRPr="00E56A6E" w:rsidRDefault="00061789" w:rsidP="00061789">
      <w:pPr>
        <w:pStyle w:val="CBDH4"/>
        <w:rPr>
          <w:lang w:val="es-ES"/>
        </w:rPr>
      </w:pPr>
      <w:r w:rsidRPr="00E56A6E">
        <w:rPr>
          <w:lang w:val="es-ES"/>
        </w:rPr>
        <w:t>b)</w:t>
      </w:r>
      <w:r w:rsidRPr="00E56A6E">
        <w:rPr>
          <w:lang w:val="es-ES"/>
        </w:rPr>
        <w:tab/>
      </w:r>
      <w:r w:rsidR="007E3AB1" w:rsidRPr="00E56A6E">
        <w:rPr>
          <w:lang w:val="es-ES"/>
        </w:rPr>
        <w:t xml:space="preserve">Dificultades en la aplicación </w:t>
      </w:r>
      <w:r w:rsidR="00A05194" w:rsidRPr="00E56A6E">
        <w:rPr>
          <w:lang w:val="es-ES"/>
        </w:rPr>
        <w:t>y causas subyacentes</w:t>
      </w:r>
      <w:r w:rsidR="00E12255" w:rsidRPr="00E56A6E">
        <w:rPr>
          <w:lang w:val="es-ES"/>
        </w:rPr>
        <w:t xml:space="preserve"> </w:t>
      </w:r>
    </w:p>
    <w:p w14:paraId="2AD0EF3A" w14:textId="3AA2B573" w:rsidR="007C68DF" w:rsidRPr="00E56A6E" w:rsidRDefault="007C68DF" w:rsidP="007C68DF">
      <w:pPr>
        <w:pStyle w:val="CBDNormalNumber"/>
        <w:rPr>
          <w:lang w:val="es-ES"/>
        </w:rPr>
      </w:pPr>
      <w:r w:rsidRPr="00E56A6E">
        <w:rPr>
          <w:lang w:val="es-ES"/>
        </w:rPr>
        <w:t xml:space="preserve">Entre las dificultades señaladas por los </w:t>
      </w:r>
      <w:r w:rsidR="005D5027" w:rsidRPr="00E56A6E">
        <w:rPr>
          <w:lang w:val="es-ES"/>
        </w:rPr>
        <w:t>Gobiernos</w:t>
      </w:r>
      <w:r w:rsidRPr="00E56A6E">
        <w:rPr>
          <w:lang w:val="es-ES"/>
        </w:rPr>
        <w:t xml:space="preserve"> en relación con la participación de los pueblos indígenas y las comunidades locales en la aplicación a nivel nacional de las disposiciones sobre acceso y participación en los beneficios figuran las siguientes:</w:t>
      </w:r>
    </w:p>
    <w:p w14:paraId="2A00D8E2" w14:textId="3046283D" w:rsidR="006756B2" w:rsidRPr="00E56A6E" w:rsidRDefault="007C68DF" w:rsidP="00320511">
      <w:pPr>
        <w:pStyle w:val="CBDNormalNumber"/>
        <w:numPr>
          <w:ilvl w:val="1"/>
          <w:numId w:val="7"/>
        </w:numPr>
        <w:ind w:left="567" w:firstLine="567"/>
        <w:rPr>
          <w:lang w:val="es-ES"/>
        </w:rPr>
      </w:pPr>
      <w:r w:rsidRPr="00E56A6E">
        <w:rPr>
          <w:lang w:val="es-ES"/>
        </w:rPr>
        <w:t>Aclarar el significado</w:t>
      </w:r>
      <w:r w:rsidR="00E6156F" w:rsidRPr="00E56A6E">
        <w:rPr>
          <w:lang w:val="es-ES"/>
        </w:rPr>
        <w:t xml:space="preserve"> de la expresión</w:t>
      </w:r>
      <w:r w:rsidRPr="00E56A6E">
        <w:rPr>
          <w:lang w:val="es-ES"/>
        </w:rPr>
        <w:t xml:space="preserve"> </w:t>
      </w:r>
      <w:r w:rsidR="00514880" w:rsidRPr="00E56A6E">
        <w:rPr>
          <w:lang w:val="es-ES"/>
        </w:rPr>
        <w:t>“</w:t>
      </w:r>
      <w:r w:rsidRPr="00E56A6E">
        <w:rPr>
          <w:lang w:val="es-ES"/>
        </w:rPr>
        <w:t>pueblos indígenas y comunidades locales</w:t>
      </w:r>
      <w:r w:rsidR="00514880" w:rsidRPr="00E56A6E">
        <w:rPr>
          <w:lang w:val="es-ES"/>
        </w:rPr>
        <w:t>”</w:t>
      </w:r>
      <w:r w:rsidRPr="00E56A6E">
        <w:rPr>
          <w:lang w:val="es-ES"/>
        </w:rPr>
        <w:t xml:space="preserve"> en el contexto nacional, </w:t>
      </w:r>
      <w:r w:rsidR="00E6156F" w:rsidRPr="00E56A6E">
        <w:rPr>
          <w:lang w:val="es-ES"/>
        </w:rPr>
        <w:t xml:space="preserve">en particular la aclaración </w:t>
      </w:r>
      <w:r w:rsidRPr="00E56A6E">
        <w:rPr>
          <w:lang w:val="es-ES"/>
        </w:rPr>
        <w:t xml:space="preserve">de la titularidad de los pueblos indígenas y las comunidades locales sobre los recursos genéticos o los </w:t>
      </w:r>
      <w:r w:rsidR="00D426EC" w:rsidRPr="00E56A6E">
        <w:rPr>
          <w:lang w:val="es-ES"/>
        </w:rPr>
        <w:t>conocimientos tradicionales</w:t>
      </w:r>
      <w:r w:rsidR="00E6156F" w:rsidRPr="00E56A6E">
        <w:rPr>
          <w:lang w:val="es-ES"/>
        </w:rPr>
        <w:t xml:space="preserve"> relacionados con </w:t>
      </w:r>
      <w:r w:rsidRPr="00E56A6E">
        <w:rPr>
          <w:lang w:val="es-ES"/>
        </w:rPr>
        <w:t>los recursos genéticos;</w:t>
      </w:r>
    </w:p>
    <w:p w14:paraId="7E0528A5" w14:textId="1BC32EDA" w:rsidR="006756B2" w:rsidRPr="00E56A6E" w:rsidRDefault="007C68DF" w:rsidP="00320511">
      <w:pPr>
        <w:pStyle w:val="CBDNormalNumber"/>
        <w:numPr>
          <w:ilvl w:val="1"/>
          <w:numId w:val="7"/>
        </w:numPr>
        <w:ind w:left="567" w:firstLine="567"/>
        <w:rPr>
          <w:lang w:val="es-ES"/>
        </w:rPr>
      </w:pPr>
      <w:r w:rsidRPr="00E56A6E">
        <w:rPr>
          <w:lang w:val="es-ES"/>
        </w:rPr>
        <w:lastRenderedPageBreak/>
        <w:t xml:space="preserve">La falta de conocimiento del concepto de acceso y participación en los beneficios por parte de los pueblos indígenas y las comunidades locales, así como de la </w:t>
      </w:r>
      <w:r w:rsidR="0023118D" w:rsidRPr="00E56A6E">
        <w:rPr>
          <w:lang w:val="es-ES"/>
        </w:rPr>
        <w:t xml:space="preserve">pertinencia </w:t>
      </w:r>
      <w:r w:rsidRPr="00E56A6E">
        <w:rPr>
          <w:lang w:val="es-ES"/>
        </w:rPr>
        <w:t xml:space="preserve">de dicho concepto para ellos; </w:t>
      </w:r>
    </w:p>
    <w:p w14:paraId="363A5A03" w14:textId="707A5381" w:rsidR="006756B2" w:rsidRPr="00E56A6E" w:rsidRDefault="007C68DF" w:rsidP="00320511">
      <w:pPr>
        <w:pStyle w:val="CBDNormalNumber"/>
        <w:numPr>
          <w:ilvl w:val="1"/>
          <w:numId w:val="7"/>
        </w:numPr>
        <w:ind w:left="567" w:firstLine="567"/>
        <w:rPr>
          <w:lang w:val="es-ES"/>
        </w:rPr>
      </w:pPr>
      <w:r w:rsidRPr="00E56A6E">
        <w:rPr>
          <w:lang w:val="es-ES"/>
        </w:rPr>
        <w:t xml:space="preserve">La falta de mecanismos para una coordinación adecuada en lo que respecta a la aplicación de las disposiciones del Protocolo relacionadas con los pueblos indígenas y las comunidades locales; </w:t>
      </w:r>
    </w:p>
    <w:p w14:paraId="40C3D281" w14:textId="3C5885F1" w:rsidR="006756B2" w:rsidRPr="00E56A6E" w:rsidRDefault="0023118D" w:rsidP="00320511">
      <w:pPr>
        <w:pStyle w:val="CBDNormalNumber"/>
        <w:numPr>
          <w:ilvl w:val="1"/>
          <w:numId w:val="7"/>
        </w:numPr>
        <w:ind w:left="567" w:firstLine="567"/>
        <w:rPr>
          <w:lang w:val="es-ES"/>
        </w:rPr>
      </w:pPr>
      <w:r w:rsidRPr="00E56A6E">
        <w:rPr>
          <w:lang w:val="es-ES"/>
        </w:rPr>
        <w:t xml:space="preserve">Identificar </w:t>
      </w:r>
      <w:r w:rsidR="007C68DF" w:rsidRPr="00E56A6E">
        <w:rPr>
          <w:lang w:val="es-ES"/>
        </w:rPr>
        <w:t xml:space="preserve">los diferentes grupos de pueblos indígenas y comunidades locales, comprender cómo están organizados y desarrollar la capacidad de vincular los conocimientos tradicionales con los </w:t>
      </w:r>
      <w:r w:rsidRPr="00E56A6E">
        <w:rPr>
          <w:lang w:val="es-ES"/>
        </w:rPr>
        <w:t>poseedores</w:t>
      </w:r>
      <w:r w:rsidR="007C68DF" w:rsidRPr="00E56A6E">
        <w:rPr>
          <w:lang w:val="es-ES"/>
        </w:rPr>
        <w:t xml:space="preserve"> de dichos conocimientos;</w:t>
      </w:r>
    </w:p>
    <w:p w14:paraId="68E5E611" w14:textId="74DFE376" w:rsidR="006756B2" w:rsidRPr="00E56A6E" w:rsidRDefault="007C68DF" w:rsidP="00320511">
      <w:pPr>
        <w:pStyle w:val="CBDNormalNumber"/>
        <w:numPr>
          <w:ilvl w:val="1"/>
          <w:numId w:val="7"/>
        </w:numPr>
        <w:ind w:left="567" w:firstLine="567"/>
        <w:rPr>
          <w:lang w:val="es-ES"/>
        </w:rPr>
      </w:pPr>
      <w:r w:rsidRPr="00E56A6E">
        <w:rPr>
          <w:lang w:val="es-ES"/>
        </w:rPr>
        <w:t xml:space="preserve">Insuficiencia de recursos financieros para el desarrollo de capacidades, la sensibilización y la garantía de una participación efectiva de los pueblos indígenas y las comunidades locales en los procesos de acceso y participación en los beneficios, especialmente en </w:t>
      </w:r>
      <w:r w:rsidR="0023118D" w:rsidRPr="00E56A6E">
        <w:rPr>
          <w:lang w:val="es-ES"/>
        </w:rPr>
        <w:t xml:space="preserve">lo que respecta a </w:t>
      </w:r>
      <w:r w:rsidRPr="00E56A6E">
        <w:rPr>
          <w:lang w:val="es-ES"/>
        </w:rPr>
        <w:t xml:space="preserve">la adaptación de la aplicación a las realidades culturales y lingüísticas de las comunidades </w:t>
      </w:r>
      <w:r w:rsidR="0023118D" w:rsidRPr="00E56A6E">
        <w:rPr>
          <w:lang w:val="es-ES"/>
        </w:rPr>
        <w:t>interesadas</w:t>
      </w:r>
      <w:r w:rsidRPr="00E56A6E">
        <w:rPr>
          <w:lang w:val="es-ES"/>
        </w:rPr>
        <w:t xml:space="preserve">; </w:t>
      </w:r>
    </w:p>
    <w:p w14:paraId="146D99F9" w14:textId="54AA63CA" w:rsidR="007C68DF" w:rsidRPr="00E56A6E" w:rsidRDefault="007C68DF" w:rsidP="00320511">
      <w:pPr>
        <w:pStyle w:val="CBDNormalNumber"/>
        <w:numPr>
          <w:ilvl w:val="1"/>
          <w:numId w:val="7"/>
        </w:numPr>
        <w:ind w:left="567" w:firstLine="567"/>
        <w:rPr>
          <w:lang w:val="es-ES"/>
        </w:rPr>
      </w:pPr>
      <w:r w:rsidRPr="00E56A6E">
        <w:rPr>
          <w:lang w:val="es-ES"/>
        </w:rPr>
        <w:t xml:space="preserve">El temor a la biopiratería o la apropiación indebida, la falta de confianza o los conflictos históricos, que pueden figurar entre las </w:t>
      </w:r>
      <w:r w:rsidR="0030514E" w:rsidRPr="00E56A6E">
        <w:rPr>
          <w:lang w:val="es-ES"/>
        </w:rPr>
        <w:t>causas subyacentes</w:t>
      </w:r>
      <w:r w:rsidRPr="00E56A6E">
        <w:rPr>
          <w:lang w:val="es-ES"/>
        </w:rPr>
        <w:t xml:space="preserve"> de la falta de participación de los pueblos indígenas y las comunidades locales en los procesos de acceso y participación en los beneficios.</w:t>
      </w:r>
    </w:p>
    <w:p w14:paraId="7F8E4E59" w14:textId="262FB359" w:rsidR="00A453D6" w:rsidRPr="00E56A6E" w:rsidRDefault="001944B6" w:rsidP="00A453D6">
      <w:pPr>
        <w:pStyle w:val="CBDNormalNumber"/>
        <w:rPr>
          <w:lang w:val="es-ES"/>
        </w:rPr>
      </w:pPr>
      <w:r w:rsidRPr="00E56A6E">
        <w:rPr>
          <w:lang w:val="es-ES"/>
        </w:rPr>
        <w:t xml:space="preserve">Conforme a </w:t>
      </w:r>
      <w:r w:rsidR="00A453D6" w:rsidRPr="00E56A6E">
        <w:rPr>
          <w:lang w:val="es-ES"/>
        </w:rPr>
        <w:t xml:space="preserve">los resultados de la </w:t>
      </w:r>
      <w:r w:rsidR="00E47368" w:rsidRPr="00E56A6E">
        <w:rPr>
          <w:lang w:val="es-ES"/>
        </w:rPr>
        <w:t>encuesta dirigida</w:t>
      </w:r>
      <w:r w:rsidR="00A453D6" w:rsidRPr="00E56A6E">
        <w:rPr>
          <w:lang w:val="es-ES"/>
        </w:rPr>
        <w:t xml:space="preserve">, muchos usuarios no habían logrado acceder a los conocimientos tradicionales debido a posibles dificultades. Entre las dificultades específicas a las que se enfrentaban los usuarios figuraban una comprensión limitada de las operaciones comerciales </w:t>
      </w:r>
      <w:r w:rsidR="006954E8" w:rsidRPr="00E56A6E">
        <w:rPr>
          <w:lang w:val="es-ES"/>
        </w:rPr>
        <w:t>–</w:t>
      </w:r>
      <w:r w:rsidRPr="00E56A6E">
        <w:rPr>
          <w:lang w:val="es-ES"/>
        </w:rPr>
        <w:t xml:space="preserve">como </w:t>
      </w:r>
      <w:r w:rsidR="00A453D6" w:rsidRPr="00E56A6E">
        <w:rPr>
          <w:lang w:val="es-ES"/>
        </w:rPr>
        <w:t>el funcionamiento de los mercados y las cadenas de valor</w:t>
      </w:r>
      <w:r w:rsidR="006954E8" w:rsidRPr="00E56A6E">
        <w:rPr>
          <w:lang w:val="es-ES"/>
        </w:rPr>
        <w:t>–</w:t>
      </w:r>
      <w:r w:rsidR="00A453D6" w:rsidRPr="00E56A6E">
        <w:rPr>
          <w:lang w:val="es-ES"/>
        </w:rPr>
        <w:t xml:space="preserve"> por parte de muchos pueblos indígenas y comunidades locales, </w:t>
      </w:r>
      <w:r w:rsidRPr="00E56A6E">
        <w:rPr>
          <w:lang w:val="es-ES"/>
        </w:rPr>
        <w:t xml:space="preserve">aunada a </w:t>
      </w:r>
      <w:r w:rsidR="00A453D6" w:rsidRPr="00E56A6E">
        <w:rPr>
          <w:lang w:val="es-ES"/>
        </w:rPr>
        <w:t xml:space="preserve">asimetrías de información y expectativas poco realistas respecto a los posibles beneficios, lo que podía generar malentendidos </w:t>
      </w:r>
      <w:r w:rsidRPr="00E56A6E">
        <w:rPr>
          <w:lang w:val="es-ES"/>
        </w:rPr>
        <w:t xml:space="preserve">e impedir </w:t>
      </w:r>
      <w:r w:rsidR="00A453D6" w:rsidRPr="00E56A6E">
        <w:rPr>
          <w:lang w:val="es-ES"/>
        </w:rPr>
        <w:t>el desarrollo de condiciones mutuamente acordadas; y barreras de comunicación debidas a cuestiones lingüísticas y/o culturales.</w:t>
      </w:r>
    </w:p>
    <w:p w14:paraId="381E5ACD" w14:textId="23ED0B34" w:rsidR="00A453D6" w:rsidRPr="00E56A6E" w:rsidRDefault="00A453D6" w:rsidP="00A453D6">
      <w:pPr>
        <w:pStyle w:val="CBDNormalNumber"/>
        <w:rPr>
          <w:lang w:val="es-ES"/>
        </w:rPr>
      </w:pPr>
      <w:r w:rsidRPr="00E56A6E">
        <w:rPr>
          <w:lang w:val="es-ES"/>
        </w:rPr>
        <w:t xml:space="preserve">Desde la perspectiva de los pueblos indígenas y las comunidades locales, </w:t>
      </w:r>
      <w:r w:rsidR="00B47893" w:rsidRPr="00E56A6E">
        <w:rPr>
          <w:lang w:val="es-ES"/>
        </w:rPr>
        <w:t xml:space="preserve">entre las dificultades </w:t>
      </w:r>
      <w:r w:rsidRPr="00E56A6E">
        <w:rPr>
          <w:lang w:val="es-ES"/>
        </w:rPr>
        <w:t>relacionad</w:t>
      </w:r>
      <w:r w:rsidR="00B47893" w:rsidRPr="00E56A6E">
        <w:rPr>
          <w:lang w:val="es-ES"/>
        </w:rPr>
        <w:t>a</w:t>
      </w:r>
      <w:r w:rsidRPr="00E56A6E">
        <w:rPr>
          <w:lang w:val="es-ES"/>
        </w:rPr>
        <w:t xml:space="preserve">s con la aplicación nacional de las disposiciones sobre acceso y participación en los beneficios </w:t>
      </w:r>
      <w:r w:rsidR="00B47893" w:rsidRPr="00E56A6E">
        <w:rPr>
          <w:lang w:val="es-ES"/>
        </w:rPr>
        <w:t>figuran</w:t>
      </w:r>
      <w:r w:rsidRPr="00E56A6E">
        <w:rPr>
          <w:lang w:val="es-ES"/>
        </w:rPr>
        <w:t xml:space="preserve">: la falta de voluntad política de las autoridades nacionales para abordar las cuestiones relacionadas con el acceso a los conocimientos tradicionales y los recursos genéticos </w:t>
      </w:r>
      <w:r w:rsidR="00B47893" w:rsidRPr="00E56A6E">
        <w:rPr>
          <w:lang w:val="es-ES"/>
        </w:rPr>
        <w:t xml:space="preserve">conexos </w:t>
      </w:r>
      <w:r w:rsidRPr="00E56A6E">
        <w:rPr>
          <w:lang w:val="es-ES"/>
        </w:rPr>
        <w:t xml:space="preserve">que se encuentran en sus territorios, ya que a menudo guardaban relación con cuestiones más amplias sin resolver relacionadas con los derechos sobre la tierra; la limitada capacidad técnica y financiera, que afectaba a su participación, así como a la elaboración y el uso de protocolos comunitarios; y el escaso reconocimiento de los sistemas de gobernanza consuetudinarios por parte de los </w:t>
      </w:r>
      <w:r w:rsidR="005D5027" w:rsidRPr="00E56A6E">
        <w:rPr>
          <w:lang w:val="es-ES"/>
        </w:rPr>
        <w:t>Gobiernos</w:t>
      </w:r>
      <w:r w:rsidRPr="00E56A6E">
        <w:rPr>
          <w:lang w:val="es-ES"/>
        </w:rPr>
        <w:t xml:space="preserve"> nacionales.</w:t>
      </w:r>
    </w:p>
    <w:p w14:paraId="05120363" w14:textId="4A76F871" w:rsidR="00E96B75" w:rsidRPr="00E56A6E" w:rsidRDefault="00B75BF8" w:rsidP="00D03C48">
      <w:pPr>
        <w:pStyle w:val="CBDH4"/>
        <w:rPr>
          <w:lang w:val="es-ES"/>
        </w:rPr>
      </w:pPr>
      <w:r w:rsidRPr="00E56A6E">
        <w:rPr>
          <w:lang w:val="es-ES"/>
        </w:rPr>
        <w:t>c</w:t>
      </w:r>
      <w:r w:rsidR="00D03C48" w:rsidRPr="00E56A6E">
        <w:rPr>
          <w:lang w:val="es-ES"/>
        </w:rPr>
        <w:t>)</w:t>
      </w:r>
      <w:r w:rsidR="00D03C48" w:rsidRPr="00E56A6E">
        <w:rPr>
          <w:lang w:val="es-ES"/>
        </w:rPr>
        <w:tab/>
      </w:r>
      <w:r w:rsidR="0038066F" w:rsidRPr="00E56A6E">
        <w:rPr>
          <w:lang w:val="es-ES"/>
        </w:rPr>
        <w:t>Posibles maneras</w:t>
      </w:r>
      <w:r w:rsidR="00A453D6" w:rsidRPr="00E56A6E">
        <w:rPr>
          <w:lang w:val="es-ES"/>
        </w:rPr>
        <w:t xml:space="preserve"> de mejorar las medidas relacionadas con los pueblos indígenas y las comunidades locales</w:t>
      </w:r>
    </w:p>
    <w:p w14:paraId="119AF697" w14:textId="4181133D" w:rsidR="00A453D6" w:rsidRPr="00E56A6E" w:rsidRDefault="00A453D6" w:rsidP="00A453D6">
      <w:pPr>
        <w:pStyle w:val="CBDNormalNumber"/>
        <w:rPr>
          <w:lang w:val="es-ES"/>
        </w:rPr>
      </w:pPr>
      <w:r w:rsidRPr="00E56A6E">
        <w:rPr>
          <w:lang w:val="es-ES"/>
        </w:rPr>
        <w:t>Se reconoció que la elaboración de protocolos comunitarios</w:t>
      </w:r>
      <w:r w:rsidRPr="00E56A6E">
        <w:rPr>
          <w:rStyle w:val="FootnoteReference"/>
          <w:lang w:val="es-ES"/>
        </w:rPr>
        <w:footnoteReference w:id="44"/>
      </w:r>
      <w:r w:rsidRPr="00E56A6E">
        <w:rPr>
          <w:lang w:val="es-ES"/>
        </w:rPr>
        <w:t>,</w:t>
      </w:r>
      <w:r w:rsidR="001E37A2" w:rsidRPr="00E56A6E">
        <w:rPr>
          <w:lang w:val="es-ES"/>
        </w:rPr>
        <w:t xml:space="preserve"> </w:t>
      </w:r>
      <w:r w:rsidR="00462763" w:rsidRPr="00E56A6E">
        <w:rPr>
          <w:lang w:val="es-ES"/>
        </w:rPr>
        <w:t xml:space="preserve">como </w:t>
      </w:r>
      <w:r w:rsidRPr="00E56A6E">
        <w:rPr>
          <w:lang w:val="es-ES"/>
        </w:rPr>
        <w:t xml:space="preserve">su reconocimiento oficial por parte de las autoridades nacionales, así como las actividades de sensibilización y </w:t>
      </w:r>
      <w:r w:rsidR="00915E2F" w:rsidRPr="00E56A6E">
        <w:rPr>
          <w:lang w:val="es-ES"/>
        </w:rPr>
        <w:t>creación de capacidad</w:t>
      </w:r>
      <w:r w:rsidRPr="00E56A6E">
        <w:rPr>
          <w:lang w:val="es-ES"/>
        </w:rPr>
        <w:t>, desempeñaban un papel fundamental para seguir apoyando la participación de los pueblos indígenas y las comunidades locales en la aplicación del acceso y la participación en los beneficios.</w:t>
      </w:r>
      <w:r w:rsidR="001E37A2" w:rsidRPr="00E56A6E">
        <w:rPr>
          <w:lang w:val="es-ES"/>
        </w:rPr>
        <w:t xml:space="preserve"> </w:t>
      </w:r>
    </w:p>
    <w:p w14:paraId="00F2AB71" w14:textId="73AD6D14" w:rsidR="00A453D6" w:rsidRPr="00E56A6E" w:rsidRDefault="00A453D6" w:rsidP="00A453D6">
      <w:pPr>
        <w:pStyle w:val="CBDNormalNumber"/>
        <w:rPr>
          <w:lang w:val="es-ES"/>
        </w:rPr>
      </w:pPr>
      <w:r w:rsidRPr="00E56A6E">
        <w:rPr>
          <w:lang w:val="es-ES"/>
        </w:rPr>
        <w:t xml:space="preserve">Gran parte de la labor emprendida para apoyar la elaboración y aplicación de protocolos comunitarios parece haberse llevado a cabo mediante proyectos e iniciativas de </w:t>
      </w:r>
      <w:r w:rsidR="00462763" w:rsidRPr="00E56A6E">
        <w:rPr>
          <w:lang w:val="es-ES"/>
        </w:rPr>
        <w:t xml:space="preserve">desarrollo </w:t>
      </w:r>
      <w:r w:rsidRPr="00E56A6E">
        <w:rPr>
          <w:lang w:val="es-ES"/>
        </w:rPr>
        <w:t>de la capacidad, ya que dicha labor requería recursos financieros y técnicos adicionales. Sin esos recursos adicionales, a muchas Partes les resultó muy difícil avanzar en esta cuestión.</w:t>
      </w:r>
    </w:p>
    <w:p w14:paraId="78A7C472" w14:textId="1765D7ED" w:rsidR="00A453D6" w:rsidRPr="00E56A6E" w:rsidRDefault="00A453D6" w:rsidP="00A453D6">
      <w:pPr>
        <w:pStyle w:val="CBDNormalNumber"/>
        <w:rPr>
          <w:lang w:val="es-ES"/>
        </w:rPr>
      </w:pPr>
      <w:r w:rsidRPr="00E56A6E">
        <w:rPr>
          <w:lang w:val="es-ES"/>
        </w:rPr>
        <w:lastRenderedPageBreak/>
        <w:t xml:space="preserve">Las actividades de sensibilización y </w:t>
      </w:r>
      <w:r w:rsidR="00FD7797" w:rsidRPr="00E56A6E">
        <w:rPr>
          <w:lang w:val="es-ES"/>
        </w:rPr>
        <w:t xml:space="preserve">creación de </w:t>
      </w:r>
      <w:r w:rsidRPr="00E56A6E">
        <w:rPr>
          <w:lang w:val="es-ES"/>
        </w:rPr>
        <w:t xml:space="preserve">capacidad contribuyeron a la participación de los pueblos indígenas y las comunidades locales en la elaboración y aplicación de las medidas de acceso y participación en los beneficios, entre otras cosas mejorando la comprensión de las comunidades sobre sus derechos, empoderándolas para que participaran activamente en las negociaciones sobre acceso y participación en los beneficios y fomentando la confianza entre las autoridades gubernamentales, las autoridades locales y otras partes interesadas. </w:t>
      </w:r>
    </w:p>
    <w:p w14:paraId="2B7A65AA" w14:textId="09175243" w:rsidR="00A453D6" w:rsidRPr="00E56A6E" w:rsidRDefault="00A453D6" w:rsidP="00A453D6">
      <w:pPr>
        <w:pStyle w:val="CBDNormalNumber"/>
        <w:rPr>
          <w:lang w:val="es-ES"/>
        </w:rPr>
      </w:pPr>
      <w:r w:rsidRPr="00E56A6E">
        <w:rPr>
          <w:lang w:val="es-ES"/>
        </w:rPr>
        <w:t xml:space="preserve">En las encuestas </w:t>
      </w:r>
      <w:r w:rsidR="00251FA6" w:rsidRPr="00E56A6E">
        <w:rPr>
          <w:lang w:val="es-ES"/>
        </w:rPr>
        <w:t>dirigidas</w:t>
      </w:r>
      <w:r w:rsidRPr="00E56A6E">
        <w:rPr>
          <w:lang w:val="es-ES"/>
        </w:rPr>
        <w:t xml:space="preserve"> realizadas en el </w:t>
      </w:r>
      <w:r w:rsidR="00B007EB" w:rsidRPr="00E56A6E">
        <w:rPr>
          <w:lang w:val="es-ES"/>
        </w:rPr>
        <w:t>estudio preliminar</w:t>
      </w:r>
      <w:r w:rsidRPr="00E56A6E">
        <w:rPr>
          <w:lang w:val="es-ES"/>
        </w:rPr>
        <w:t xml:space="preserve"> se</w:t>
      </w:r>
      <w:r w:rsidR="00E12D77" w:rsidRPr="00E56A6E">
        <w:rPr>
          <w:lang w:val="es-ES"/>
        </w:rPr>
        <w:t xml:space="preserve"> determinaron </w:t>
      </w:r>
      <w:r w:rsidRPr="00E56A6E">
        <w:rPr>
          <w:lang w:val="es-ES"/>
        </w:rPr>
        <w:t xml:space="preserve">posibles </w:t>
      </w:r>
      <w:r w:rsidR="00B51131" w:rsidRPr="00E56A6E">
        <w:rPr>
          <w:lang w:val="es-ES"/>
        </w:rPr>
        <w:t>maneras</w:t>
      </w:r>
      <w:r w:rsidRPr="00E56A6E">
        <w:rPr>
          <w:lang w:val="es-ES"/>
        </w:rPr>
        <w:t xml:space="preserve"> de mejorar las medidas relacionadas con los pueblos indígenas y las comunidades locales. En particular:</w:t>
      </w:r>
    </w:p>
    <w:p w14:paraId="4FFF41F0" w14:textId="69F4F67F" w:rsidR="00A453D6" w:rsidRPr="00E56A6E" w:rsidRDefault="00A453D6" w:rsidP="00320511">
      <w:pPr>
        <w:pStyle w:val="CBDNormalNumber"/>
        <w:numPr>
          <w:ilvl w:val="1"/>
          <w:numId w:val="7"/>
        </w:numPr>
        <w:ind w:left="567" w:firstLine="567"/>
        <w:rPr>
          <w:lang w:val="es-ES"/>
        </w:rPr>
      </w:pPr>
      <w:r w:rsidRPr="00E56A6E">
        <w:rPr>
          <w:lang w:val="es-ES"/>
        </w:rPr>
        <w:t xml:space="preserve">Desde la perspectiva gubernamental, se consideró que la creación de un comité nacional de acceso y participación en los beneficios, integrado por ministerios y pueblos indígenas y comunidades locales, así como por representantes de las comunidades científica y empresarial, constituía uno de los enfoques más </w:t>
      </w:r>
      <w:r w:rsidR="00E12D77" w:rsidRPr="00E56A6E">
        <w:rPr>
          <w:lang w:val="es-ES"/>
        </w:rPr>
        <w:t xml:space="preserve">importantes </w:t>
      </w:r>
      <w:r w:rsidRPr="00E56A6E">
        <w:rPr>
          <w:lang w:val="es-ES"/>
        </w:rPr>
        <w:t>para la participación de los pueblos indígenas y las comunidades locales;</w:t>
      </w:r>
      <w:r w:rsidR="001E37A2" w:rsidRPr="00E56A6E">
        <w:rPr>
          <w:lang w:val="es-ES"/>
        </w:rPr>
        <w:t xml:space="preserve"> </w:t>
      </w:r>
    </w:p>
    <w:p w14:paraId="4873F206" w14:textId="08CED599" w:rsidR="00A453D6" w:rsidRPr="00E56A6E" w:rsidRDefault="00A453D6" w:rsidP="00320511">
      <w:pPr>
        <w:pStyle w:val="CBDNormalNumber"/>
        <w:numPr>
          <w:ilvl w:val="1"/>
          <w:numId w:val="7"/>
        </w:numPr>
        <w:ind w:left="567" w:firstLine="567"/>
        <w:rPr>
          <w:lang w:val="es-ES"/>
        </w:rPr>
      </w:pPr>
      <w:r w:rsidRPr="00E56A6E">
        <w:rPr>
          <w:lang w:val="es-ES"/>
        </w:rPr>
        <w:t>Desde la perspectiva de algunos usuarios, las autoridades nacionales competentes podrían desempeñar un papel útil a la hora de</w:t>
      </w:r>
      <w:r w:rsidR="00E12D77" w:rsidRPr="00E56A6E">
        <w:rPr>
          <w:lang w:val="es-ES"/>
        </w:rPr>
        <w:t xml:space="preserve"> reconocer </w:t>
      </w:r>
      <w:r w:rsidRPr="00E56A6E">
        <w:rPr>
          <w:lang w:val="es-ES"/>
        </w:rPr>
        <w:t>qué pueblos indígenas y comunidades locales deberían participar en proyectos de investigación específicos y facilitar la comunicación entre los usuarios y los representantes de los pueblos indígenas y las comunidades locales. En algunos países, las autoridades nacionales competentes habían actuado eficazmente como intermediarios a ese respecto;</w:t>
      </w:r>
    </w:p>
    <w:p w14:paraId="03D731D7" w14:textId="200C4A04" w:rsidR="00A453D6" w:rsidRPr="00E56A6E" w:rsidRDefault="00A453D6" w:rsidP="00320511">
      <w:pPr>
        <w:pStyle w:val="CBDNormalNumber"/>
        <w:numPr>
          <w:ilvl w:val="1"/>
          <w:numId w:val="7"/>
        </w:numPr>
        <w:ind w:left="567" w:firstLine="567"/>
        <w:rPr>
          <w:lang w:val="es-ES"/>
        </w:rPr>
      </w:pPr>
      <w:r w:rsidRPr="00E56A6E">
        <w:rPr>
          <w:lang w:val="es-ES"/>
        </w:rPr>
        <w:t xml:space="preserve">Se formularon varias </w:t>
      </w:r>
      <w:r w:rsidR="00E12D77" w:rsidRPr="00E56A6E">
        <w:rPr>
          <w:lang w:val="es-ES"/>
        </w:rPr>
        <w:t>propuestas</w:t>
      </w:r>
      <w:r w:rsidRPr="00E56A6E">
        <w:rPr>
          <w:lang w:val="es-ES"/>
        </w:rPr>
        <w:t xml:space="preserve"> relacionadas con el aumento del reconocimiento del valor de los recursos genéticos y los </w:t>
      </w:r>
      <w:r w:rsidR="00D426EC" w:rsidRPr="00E56A6E">
        <w:rPr>
          <w:lang w:val="es-ES"/>
        </w:rPr>
        <w:t>conocimientos tradicionales conexos</w:t>
      </w:r>
      <w:r w:rsidRPr="00E56A6E">
        <w:rPr>
          <w:lang w:val="es-ES"/>
        </w:rPr>
        <w:t xml:space="preserve"> que poseen los pueblos indígenas y las comunidades locales cuando se utilizan como parte de una cadena de valor;</w:t>
      </w:r>
    </w:p>
    <w:p w14:paraId="27A5D487" w14:textId="7CD51608" w:rsidR="00A453D6" w:rsidRPr="00E56A6E" w:rsidRDefault="00A453D6" w:rsidP="00320511">
      <w:pPr>
        <w:pStyle w:val="CBDNormalNumber"/>
        <w:numPr>
          <w:ilvl w:val="1"/>
          <w:numId w:val="7"/>
        </w:numPr>
        <w:ind w:left="567" w:firstLine="567"/>
        <w:rPr>
          <w:lang w:val="es-ES"/>
        </w:rPr>
      </w:pPr>
      <w:r w:rsidRPr="00E56A6E">
        <w:rPr>
          <w:lang w:val="es-ES"/>
        </w:rPr>
        <w:t xml:space="preserve">Desde la perspectiva de los representantes de los pueblos indígenas y las comunidades locales, era fundamental facilitar la participación inclusiva de los pueblos indígenas y las comunidades locales en la </w:t>
      </w:r>
      <w:r w:rsidR="00C103B2" w:rsidRPr="00E56A6E">
        <w:rPr>
          <w:lang w:val="es-ES"/>
        </w:rPr>
        <w:t>adopción</w:t>
      </w:r>
      <w:r w:rsidRPr="00E56A6E">
        <w:rPr>
          <w:lang w:val="es-ES"/>
        </w:rPr>
        <w:t xml:space="preserve"> de decisiones relacionadas con el acceso y la participación en los beneficios, el establecimiento de fondos controlados por la comunidad y el intercambio de experiencias exitosas que </w:t>
      </w:r>
      <w:r w:rsidR="00C103B2" w:rsidRPr="00E56A6E">
        <w:rPr>
          <w:lang w:val="es-ES"/>
        </w:rPr>
        <w:t xml:space="preserve">mostraran </w:t>
      </w:r>
      <w:r w:rsidRPr="00E56A6E">
        <w:rPr>
          <w:lang w:val="es-ES"/>
        </w:rPr>
        <w:t>casos prácticos positivos de aplicación del acceso y la participación en los beneficios para motivar la emulación por parte de otros.</w:t>
      </w:r>
    </w:p>
    <w:p w14:paraId="6D10D6C9" w14:textId="1D57D9BF" w:rsidR="00455F03" w:rsidRPr="00E56A6E" w:rsidRDefault="00D03C48" w:rsidP="00D03C48">
      <w:pPr>
        <w:pStyle w:val="CBDH3"/>
        <w:rPr>
          <w:lang w:val="es-ES"/>
        </w:rPr>
      </w:pPr>
      <w:r w:rsidRPr="00E56A6E">
        <w:rPr>
          <w:lang w:val="es-ES"/>
        </w:rPr>
        <w:t>8.</w:t>
      </w:r>
      <w:r w:rsidRPr="00E56A6E">
        <w:rPr>
          <w:lang w:val="es-ES"/>
        </w:rPr>
        <w:tab/>
      </w:r>
      <w:r w:rsidR="00A453D6" w:rsidRPr="00E56A6E">
        <w:rPr>
          <w:lang w:val="es-ES"/>
        </w:rPr>
        <w:t>Cooperación transfronteriza (artículo 11)</w:t>
      </w:r>
      <w:r w:rsidR="00A453D6" w:rsidRPr="00E56A6E">
        <w:rPr>
          <w:rStyle w:val="FootnoteReference"/>
          <w:lang w:val="es-ES"/>
        </w:rPr>
        <w:footnoteReference w:id="45"/>
      </w:r>
    </w:p>
    <w:p w14:paraId="28A4602D" w14:textId="401800EE" w:rsidR="004A5572" w:rsidRPr="00E56A6E" w:rsidRDefault="00D03C48" w:rsidP="00D03C48">
      <w:pPr>
        <w:pStyle w:val="CBDH4"/>
        <w:rPr>
          <w:lang w:val="es-ES"/>
        </w:rPr>
      </w:pPr>
      <w:r w:rsidRPr="00E56A6E">
        <w:rPr>
          <w:lang w:val="es-ES"/>
        </w:rPr>
        <w:t>a)</w:t>
      </w:r>
      <w:r w:rsidRPr="00E56A6E">
        <w:rPr>
          <w:lang w:val="es-ES"/>
        </w:rPr>
        <w:tab/>
      </w:r>
      <w:r w:rsidR="00A453D6" w:rsidRPr="00E56A6E">
        <w:rPr>
          <w:lang w:val="es-ES"/>
        </w:rPr>
        <w:t>Avances en la aplicación</w:t>
      </w:r>
      <w:r w:rsidR="004A5572" w:rsidRPr="00E56A6E">
        <w:rPr>
          <w:lang w:val="es-ES"/>
        </w:rPr>
        <w:t xml:space="preserve"> </w:t>
      </w:r>
    </w:p>
    <w:p w14:paraId="233FC3AD" w14:textId="0CCFED77" w:rsidR="00A453D6" w:rsidRPr="00E56A6E" w:rsidRDefault="00A453D6" w:rsidP="00A453D6">
      <w:pPr>
        <w:pStyle w:val="CBDNormalNumber"/>
        <w:rPr>
          <w:lang w:val="es-ES"/>
        </w:rPr>
      </w:pPr>
      <w:r w:rsidRPr="00E56A6E">
        <w:rPr>
          <w:lang w:val="es-ES"/>
        </w:rPr>
        <w:t xml:space="preserve">Noventa y seis Partes (el 68 %) respondieron que se habían esforzado por cooperar, con la participación de los pueblos indígenas y las comunidades </w:t>
      </w:r>
      <w:r w:rsidR="00AB4BAB" w:rsidRPr="00E56A6E">
        <w:rPr>
          <w:lang w:val="es-ES"/>
        </w:rPr>
        <w:t>locales interesadas</w:t>
      </w:r>
      <w:r w:rsidRPr="00E56A6E">
        <w:rPr>
          <w:lang w:val="es-ES"/>
        </w:rPr>
        <w:t xml:space="preserve">, cuando </w:t>
      </w:r>
      <w:r w:rsidR="00AB4BAB" w:rsidRPr="00E56A6E">
        <w:rPr>
          <w:lang w:val="es-ES"/>
        </w:rPr>
        <w:t>correspondía</w:t>
      </w:r>
      <w:r w:rsidRPr="00E56A6E">
        <w:rPr>
          <w:lang w:val="es-ES"/>
        </w:rPr>
        <w:t xml:space="preserve">, en los casos en que los mismos recursos genéticos se encontraban </w:t>
      </w:r>
      <w:r w:rsidRPr="00E56A6E">
        <w:rPr>
          <w:i/>
          <w:iCs/>
          <w:lang w:val="es-ES"/>
        </w:rPr>
        <w:t>in situ</w:t>
      </w:r>
      <w:r w:rsidRPr="00E56A6E">
        <w:rPr>
          <w:lang w:val="es-ES"/>
        </w:rPr>
        <w:t xml:space="preserve"> en el territorio de más de una Parte y en que los mismos </w:t>
      </w:r>
      <w:r w:rsidR="00D426EC" w:rsidRPr="00E56A6E">
        <w:rPr>
          <w:lang w:val="es-ES"/>
        </w:rPr>
        <w:t xml:space="preserve">conocimientos tradicionales </w:t>
      </w:r>
      <w:r w:rsidR="00F05DBD" w:rsidRPr="00E56A6E">
        <w:rPr>
          <w:lang w:val="es-ES"/>
        </w:rPr>
        <w:t xml:space="preserve">relacionados con </w:t>
      </w:r>
      <w:r w:rsidRPr="00E56A6E">
        <w:rPr>
          <w:lang w:val="es-ES"/>
        </w:rPr>
        <w:t>los recursos genéticos eran com</w:t>
      </w:r>
      <w:r w:rsidR="00D84412" w:rsidRPr="00E56A6E">
        <w:rPr>
          <w:lang w:val="es-ES"/>
        </w:rPr>
        <w:t xml:space="preserve">unes a </w:t>
      </w:r>
      <w:r w:rsidRPr="00E56A6E">
        <w:rPr>
          <w:lang w:val="es-ES"/>
        </w:rPr>
        <w:t>uno o más pueblos indígenas y comunidades locales en varias Partes.</w:t>
      </w:r>
    </w:p>
    <w:p w14:paraId="6042778C" w14:textId="03AD0EF9" w:rsidR="00A453D6" w:rsidRPr="00E56A6E" w:rsidRDefault="00A453D6" w:rsidP="00A453D6">
      <w:pPr>
        <w:pStyle w:val="CBDNormalNumber"/>
        <w:rPr>
          <w:lang w:val="es-ES"/>
        </w:rPr>
      </w:pPr>
      <w:r w:rsidRPr="00E56A6E">
        <w:rPr>
          <w:lang w:val="es-ES"/>
        </w:rPr>
        <w:t xml:space="preserve">La cooperación transfronteriza en virtud del artículo 11 del Protocolo de Nagoya siguió siendo limitada en la práctica, a pesar del amplio reconocimiento de su </w:t>
      </w:r>
      <w:r w:rsidR="00AB4BAB" w:rsidRPr="00E56A6E">
        <w:rPr>
          <w:lang w:val="es-ES"/>
        </w:rPr>
        <w:t>pertinencia</w:t>
      </w:r>
      <w:r w:rsidRPr="00E56A6E">
        <w:rPr>
          <w:lang w:val="es-ES"/>
        </w:rPr>
        <w:t>, la voluntad de cooperar entre las Partes y la existencia de marcos jurídicos y normativos propicios.</w:t>
      </w:r>
    </w:p>
    <w:p w14:paraId="42251267" w14:textId="506C8F44" w:rsidR="00A453D6" w:rsidRPr="00E56A6E" w:rsidRDefault="00AB4BAB" w:rsidP="00D02E8B">
      <w:pPr>
        <w:pStyle w:val="CBDNormalNumber"/>
        <w:rPr>
          <w:lang w:val="es-ES"/>
        </w:rPr>
      </w:pPr>
      <w:r w:rsidRPr="00E56A6E">
        <w:rPr>
          <w:lang w:val="es-ES"/>
        </w:rPr>
        <w:t xml:space="preserve">En los casos en que hubo </w:t>
      </w:r>
      <w:r w:rsidR="00A453D6" w:rsidRPr="00E56A6E">
        <w:rPr>
          <w:lang w:val="es-ES"/>
        </w:rPr>
        <w:t xml:space="preserve">cooperación, </w:t>
      </w:r>
      <w:r w:rsidRPr="00E56A6E">
        <w:rPr>
          <w:lang w:val="es-ES"/>
        </w:rPr>
        <w:t xml:space="preserve">por lo general se hizo sobre la base de </w:t>
      </w:r>
      <w:r w:rsidR="00A453D6" w:rsidRPr="00E56A6E">
        <w:rPr>
          <w:lang w:val="es-ES"/>
        </w:rPr>
        <w:t xml:space="preserve">acuerdos </w:t>
      </w:r>
      <w:r w:rsidR="00526698" w:rsidRPr="00E56A6E">
        <w:rPr>
          <w:lang w:val="es-ES"/>
        </w:rPr>
        <w:t>oficiosos</w:t>
      </w:r>
      <w:r w:rsidR="00A453D6" w:rsidRPr="00E56A6E">
        <w:rPr>
          <w:lang w:val="es-ES"/>
        </w:rPr>
        <w:t>, regionales o basados en los ecosistemas, utilizando los marcos de conservación y comunitarios existentes como vehículos principales, a falta de casos concretos específicos de acceso y participación en los beneficios.</w:t>
      </w:r>
    </w:p>
    <w:p w14:paraId="4E530AFA" w14:textId="751630EE" w:rsidR="007A5267" w:rsidRPr="00E56A6E" w:rsidRDefault="00D03C48" w:rsidP="00D03C48">
      <w:pPr>
        <w:pStyle w:val="CBDH4"/>
        <w:rPr>
          <w:lang w:val="es-ES"/>
        </w:rPr>
      </w:pPr>
      <w:r w:rsidRPr="00E56A6E">
        <w:rPr>
          <w:lang w:val="es-ES"/>
        </w:rPr>
        <w:lastRenderedPageBreak/>
        <w:t>(b)</w:t>
      </w:r>
      <w:r w:rsidRPr="00E56A6E">
        <w:rPr>
          <w:lang w:val="es-ES"/>
        </w:rPr>
        <w:tab/>
      </w:r>
      <w:r w:rsidR="009F6791" w:rsidRPr="00E56A6E">
        <w:rPr>
          <w:lang w:val="es-ES"/>
        </w:rPr>
        <w:t>Dificultades, causas subyacentes y posibles maneras de mejorar</w:t>
      </w:r>
      <w:r w:rsidR="009C32BA" w:rsidRPr="00E56A6E">
        <w:rPr>
          <w:lang w:val="es-ES"/>
        </w:rPr>
        <w:t xml:space="preserve"> las medidas relacionadas con la cooperación transfronteriza</w:t>
      </w:r>
    </w:p>
    <w:p w14:paraId="07B814B8" w14:textId="24131FFD" w:rsidR="00100F7C" w:rsidRPr="00E56A6E" w:rsidRDefault="00100F7C" w:rsidP="00100F7C">
      <w:pPr>
        <w:pStyle w:val="CBDNormalNumber"/>
        <w:rPr>
          <w:lang w:val="es-ES"/>
        </w:rPr>
      </w:pPr>
      <w:r w:rsidRPr="00E56A6E">
        <w:rPr>
          <w:lang w:val="es-ES"/>
        </w:rPr>
        <w:t>La limitada aplicación se debió en gran</w:t>
      </w:r>
      <w:r w:rsidR="004D5AFA" w:rsidRPr="00E56A6E">
        <w:rPr>
          <w:lang w:val="es-ES"/>
        </w:rPr>
        <w:t xml:space="preserve"> parte </w:t>
      </w:r>
      <w:r w:rsidRPr="00E56A6E">
        <w:rPr>
          <w:lang w:val="es-ES"/>
        </w:rPr>
        <w:t xml:space="preserve">a factores contextuales y estructurales, entre ellos la ausencia de casos que la motivaran, las realidades geográficas y ecológicas y, en algunas jurisdicciones, la ausencia o el no reconocimiento de los pueblos indígenas y las comunidades locales en </w:t>
      </w:r>
      <w:r w:rsidR="004D5AFA" w:rsidRPr="00E56A6E">
        <w:rPr>
          <w:lang w:val="es-ES"/>
        </w:rPr>
        <w:t xml:space="preserve">lo que respecta a las </w:t>
      </w:r>
      <w:r w:rsidRPr="00E56A6E">
        <w:rPr>
          <w:lang w:val="es-ES"/>
        </w:rPr>
        <w:t xml:space="preserve">cuestiones relacionadas con los </w:t>
      </w:r>
      <w:r w:rsidR="00D426EC" w:rsidRPr="00E56A6E">
        <w:rPr>
          <w:lang w:val="es-ES"/>
        </w:rPr>
        <w:t xml:space="preserve">conocimientos tradicionales </w:t>
      </w:r>
      <w:r w:rsidRPr="00E56A6E">
        <w:rPr>
          <w:lang w:val="es-ES"/>
        </w:rPr>
        <w:t xml:space="preserve">o recursos genéticos </w:t>
      </w:r>
      <w:r w:rsidR="009B07D5" w:rsidRPr="00E56A6E">
        <w:rPr>
          <w:lang w:val="es-ES"/>
        </w:rPr>
        <w:t xml:space="preserve">conexos </w:t>
      </w:r>
      <w:r w:rsidRPr="00E56A6E">
        <w:rPr>
          <w:lang w:val="es-ES"/>
        </w:rPr>
        <w:t xml:space="preserve">que poseen los pueblos indígenas y las comunidades locales, cuando </w:t>
      </w:r>
      <w:r w:rsidR="009B07D5" w:rsidRPr="00E56A6E">
        <w:rPr>
          <w:lang w:val="es-ES"/>
        </w:rPr>
        <w:t>corresponda</w:t>
      </w:r>
      <w:r w:rsidRPr="00E56A6E">
        <w:rPr>
          <w:lang w:val="es-ES"/>
        </w:rPr>
        <w:t>.</w:t>
      </w:r>
    </w:p>
    <w:p w14:paraId="3B996B59" w14:textId="0FC98AF3" w:rsidR="00100F7C" w:rsidRPr="00E56A6E" w:rsidRDefault="00100F7C" w:rsidP="00100F7C">
      <w:pPr>
        <w:pStyle w:val="CBDNormalNumber"/>
        <w:rPr>
          <w:lang w:val="es-ES"/>
        </w:rPr>
      </w:pPr>
      <w:r w:rsidRPr="00E56A6E">
        <w:rPr>
          <w:lang w:val="es-ES"/>
        </w:rPr>
        <w:t xml:space="preserve">Los proyectos regionales o subregionales de </w:t>
      </w:r>
      <w:r w:rsidR="009B07D5" w:rsidRPr="00E56A6E">
        <w:rPr>
          <w:lang w:val="es-ES"/>
        </w:rPr>
        <w:t xml:space="preserve">desarrollo de </w:t>
      </w:r>
      <w:r w:rsidRPr="00E56A6E">
        <w:rPr>
          <w:lang w:val="es-ES"/>
        </w:rPr>
        <w:t xml:space="preserve">la capacidad y el fortalecimiento de las instituciones regionales o subregionales pertinentes podrían contribuir a </w:t>
      </w:r>
      <w:r w:rsidR="009B07D5" w:rsidRPr="00E56A6E">
        <w:rPr>
          <w:lang w:val="es-ES"/>
        </w:rPr>
        <w:t xml:space="preserve">impulsar </w:t>
      </w:r>
      <w:r w:rsidRPr="00E56A6E">
        <w:rPr>
          <w:lang w:val="es-ES"/>
        </w:rPr>
        <w:t>enfoques más coordinados para la aplicación y el tratamiento de las cuestiones transfronterizas.</w:t>
      </w:r>
    </w:p>
    <w:p w14:paraId="7B26ADB6" w14:textId="328A0961" w:rsidR="008E022B" w:rsidRPr="00E56A6E" w:rsidRDefault="00036E1C" w:rsidP="008E022B">
      <w:pPr>
        <w:pStyle w:val="CBDH3"/>
        <w:rPr>
          <w:lang w:val="es-ES"/>
        </w:rPr>
      </w:pPr>
      <w:r w:rsidRPr="00E56A6E">
        <w:rPr>
          <w:lang w:val="es-ES"/>
        </w:rPr>
        <w:t>9.</w:t>
      </w:r>
      <w:r w:rsidRPr="00E56A6E">
        <w:rPr>
          <w:lang w:val="es-ES"/>
        </w:rPr>
        <w:tab/>
      </w:r>
      <w:r w:rsidR="005C0C72" w:rsidRPr="00E56A6E">
        <w:rPr>
          <w:lang w:val="es-ES"/>
        </w:rPr>
        <w:t>Aumento de la concienciación</w:t>
      </w:r>
      <w:r w:rsidR="00100F7C" w:rsidRPr="00E56A6E">
        <w:rPr>
          <w:lang w:val="es-ES"/>
        </w:rPr>
        <w:t xml:space="preserve"> (artículo 21)</w:t>
      </w:r>
      <w:r w:rsidR="008E022B" w:rsidRPr="00E56A6E">
        <w:rPr>
          <w:rStyle w:val="FootnoteReference"/>
          <w:lang w:val="es-ES"/>
        </w:rPr>
        <w:footnoteReference w:id="46"/>
      </w:r>
    </w:p>
    <w:p w14:paraId="7A1CDEA2" w14:textId="73E881C0" w:rsidR="004A5572" w:rsidRPr="00E56A6E" w:rsidRDefault="00036E1C" w:rsidP="00036E1C">
      <w:pPr>
        <w:pStyle w:val="CBDH4"/>
        <w:rPr>
          <w:lang w:val="es-ES"/>
        </w:rPr>
      </w:pPr>
      <w:r w:rsidRPr="00E56A6E">
        <w:rPr>
          <w:lang w:val="es-ES"/>
        </w:rPr>
        <w:t>a)</w:t>
      </w:r>
      <w:r w:rsidRPr="00E56A6E">
        <w:rPr>
          <w:lang w:val="es-ES"/>
        </w:rPr>
        <w:tab/>
      </w:r>
      <w:r w:rsidR="00100F7C" w:rsidRPr="00E56A6E">
        <w:rPr>
          <w:lang w:val="es-ES"/>
        </w:rPr>
        <w:t>Avances en la aplicación</w:t>
      </w:r>
    </w:p>
    <w:p w14:paraId="3C51E39A" w14:textId="55FDA423" w:rsidR="002C788A" w:rsidRPr="00E56A6E" w:rsidRDefault="002C788A" w:rsidP="002C788A">
      <w:pPr>
        <w:pStyle w:val="CBDNormalNumber"/>
        <w:rPr>
          <w:rFonts w:asciiTheme="majorBidi" w:hAnsiTheme="majorBidi" w:cstheme="majorBidi"/>
          <w:lang w:val="es-ES"/>
        </w:rPr>
      </w:pPr>
      <w:r w:rsidRPr="00E56A6E">
        <w:rPr>
          <w:lang w:val="es-ES"/>
        </w:rPr>
        <w:t xml:space="preserve">La información facilitada puso de manifiesto que la mayoría de las Partes (94) habían adoptado medidas para sensibilizar sobre la importancia de los recursos genéticos y los </w:t>
      </w:r>
      <w:r w:rsidR="00D426EC" w:rsidRPr="00E56A6E">
        <w:rPr>
          <w:lang w:val="es-ES"/>
        </w:rPr>
        <w:t xml:space="preserve">conocimientos </w:t>
      </w:r>
      <w:r w:rsidR="00F05DBD" w:rsidRPr="00E56A6E">
        <w:rPr>
          <w:lang w:val="es-ES"/>
        </w:rPr>
        <w:t>tradicionales relacionados con los recursos genéticos</w:t>
      </w:r>
      <w:r w:rsidRPr="00E56A6E">
        <w:rPr>
          <w:lang w:val="es-ES"/>
        </w:rPr>
        <w:t>, así como sobre las cuestiones relacionadas con el acceso y la participación en los beneficios</w:t>
      </w:r>
      <w:r w:rsidRPr="00E56A6E">
        <w:rPr>
          <w:rStyle w:val="FootnoteReference"/>
          <w:lang w:val="es-ES"/>
        </w:rPr>
        <w:footnoteReference w:id="47"/>
      </w:r>
      <w:r w:rsidRPr="00E56A6E">
        <w:rPr>
          <w:lang w:val="es-ES"/>
        </w:rPr>
        <w:t>.</w:t>
      </w:r>
      <w:r w:rsidR="001E37A2" w:rsidRPr="00E56A6E">
        <w:rPr>
          <w:lang w:val="es-ES"/>
        </w:rPr>
        <w:t xml:space="preserve"> </w:t>
      </w:r>
      <w:r w:rsidRPr="00E56A6E">
        <w:rPr>
          <w:lang w:val="es-ES"/>
        </w:rPr>
        <w:t>Es</w:t>
      </w:r>
      <w:r w:rsidR="001872E6" w:rsidRPr="00E56A6E">
        <w:rPr>
          <w:lang w:val="es-ES"/>
        </w:rPr>
        <w:t xml:space="preserve">as iniciativas </w:t>
      </w:r>
      <w:r w:rsidRPr="00E56A6E">
        <w:rPr>
          <w:lang w:val="es-ES"/>
        </w:rPr>
        <w:t xml:space="preserve">basaban en gran medida en actividades concretas, y 40 de esas Partes informaron de que habían adoptado algún tipo de estrategia de </w:t>
      </w:r>
      <w:r w:rsidR="001872E6" w:rsidRPr="00E56A6E">
        <w:rPr>
          <w:lang w:val="es-ES"/>
        </w:rPr>
        <w:t xml:space="preserve">sensibilización </w:t>
      </w:r>
      <w:r w:rsidRPr="00E56A6E">
        <w:rPr>
          <w:lang w:val="es-ES"/>
        </w:rPr>
        <w:t>sobre el acceso y la participación en los beneficios. El alcance y la coherencia de la aplicación de las actividades y estrategias de sensibilización eran inciertos y desiguales entre las Partes, ya que la aplicación estaba estrechamente vinculada a los recursos y capacidades disponibles.</w:t>
      </w:r>
    </w:p>
    <w:p w14:paraId="00F0AFB5" w14:textId="5408A7A5" w:rsidR="007E5503" w:rsidRPr="00E56A6E" w:rsidRDefault="00036E1C" w:rsidP="00036E1C">
      <w:pPr>
        <w:pStyle w:val="CBDH4"/>
        <w:rPr>
          <w:lang w:val="es-ES"/>
        </w:rPr>
      </w:pPr>
      <w:r w:rsidRPr="00E56A6E">
        <w:rPr>
          <w:lang w:val="es-ES"/>
        </w:rPr>
        <w:t>b)</w:t>
      </w:r>
      <w:r w:rsidRPr="00E56A6E">
        <w:rPr>
          <w:lang w:val="es-ES"/>
        </w:rPr>
        <w:tab/>
      </w:r>
      <w:r w:rsidR="009F6791" w:rsidRPr="00E56A6E">
        <w:rPr>
          <w:lang w:val="es-ES"/>
        </w:rPr>
        <w:t>Dificultades, causas subyacentes y posibles maneras de mejorar</w:t>
      </w:r>
      <w:r w:rsidR="002C788A" w:rsidRPr="00E56A6E">
        <w:rPr>
          <w:lang w:val="es-ES"/>
        </w:rPr>
        <w:t xml:space="preserve"> las medidas relacionadas con la sensibilización</w:t>
      </w:r>
    </w:p>
    <w:p w14:paraId="6DC7FC65" w14:textId="1105F099" w:rsidR="002C788A" w:rsidRPr="00E56A6E" w:rsidRDefault="002C788A" w:rsidP="002C788A">
      <w:pPr>
        <w:pStyle w:val="CBDNormalNumber"/>
        <w:rPr>
          <w:lang w:val="es-ES"/>
        </w:rPr>
      </w:pPr>
      <w:r w:rsidRPr="00E56A6E">
        <w:rPr>
          <w:lang w:val="es-ES"/>
        </w:rPr>
        <w:t xml:space="preserve">Algunas Partes destacaron que las actividades eran esporádicas, poco sistemáticas o se concentraban en momentos concretos, como la ratificación del Protocolo o la elaboración de los informes nacionales. Otras Partes </w:t>
      </w:r>
      <w:r w:rsidR="00271636" w:rsidRPr="00E56A6E">
        <w:rPr>
          <w:lang w:val="es-ES"/>
        </w:rPr>
        <w:t xml:space="preserve">señalaron que </w:t>
      </w:r>
      <w:r w:rsidRPr="00E56A6E">
        <w:rPr>
          <w:lang w:val="es-ES"/>
        </w:rPr>
        <w:t xml:space="preserve">la insuficiencia de recursos financieros y técnicos </w:t>
      </w:r>
      <w:r w:rsidR="00271636" w:rsidRPr="00E56A6E">
        <w:rPr>
          <w:lang w:val="es-ES"/>
        </w:rPr>
        <w:t>era un factor limitante</w:t>
      </w:r>
      <w:r w:rsidRPr="00E56A6E">
        <w:rPr>
          <w:lang w:val="es-ES"/>
        </w:rPr>
        <w:t xml:space="preserve">. </w:t>
      </w:r>
    </w:p>
    <w:p w14:paraId="2C2A9A84" w14:textId="0D316CCB" w:rsidR="002C788A" w:rsidRPr="00E56A6E" w:rsidRDefault="002C788A" w:rsidP="002C788A">
      <w:pPr>
        <w:pStyle w:val="CBDNormalNumber"/>
        <w:rPr>
          <w:lang w:val="es-ES"/>
        </w:rPr>
      </w:pPr>
      <w:r w:rsidRPr="00E56A6E">
        <w:rPr>
          <w:lang w:val="es-ES"/>
        </w:rPr>
        <w:t xml:space="preserve">Entre las conclusiones y recomendaciones derivadas del </w:t>
      </w:r>
      <w:r w:rsidR="00B007EB" w:rsidRPr="00E56A6E">
        <w:rPr>
          <w:lang w:val="es-ES"/>
        </w:rPr>
        <w:t>estudio preliminar</w:t>
      </w:r>
      <w:r w:rsidRPr="00E56A6E">
        <w:rPr>
          <w:lang w:val="es-ES"/>
        </w:rPr>
        <w:t xml:space="preserve"> figuraba la necesidad de cambiar el discurso e integrar el acceso y la participación en los beneficios</w:t>
      </w:r>
      <w:r w:rsidRPr="00E56A6E">
        <w:rPr>
          <w:rStyle w:val="FootnoteReference"/>
          <w:lang w:val="es-ES"/>
        </w:rPr>
        <w:footnoteReference w:id="48"/>
      </w:r>
      <w:r w:rsidRPr="00E56A6E">
        <w:rPr>
          <w:lang w:val="es-ES"/>
        </w:rPr>
        <w:t xml:space="preserve">. </w:t>
      </w:r>
      <w:r w:rsidR="00AE0CF7" w:rsidRPr="00E56A6E">
        <w:rPr>
          <w:lang w:val="es-ES"/>
        </w:rPr>
        <w:t>Con frecuencia, e</w:t>
      </w:r>
      <w:r w:rsidRPr="00E56A6E">
        <w:rPr>
          <w:lang w:val="es-ES"/>
        </w:rPr>
        <w:t>l tema del acceso y la participación en los beneficios seguía considerándose menudo una cuestión aislada. Era necesario cambiar el discurso para que dejara de percibirse como una carga normativa y pasara a considerarse un mecanismo estratégico para valorizar la diversidad</w:t>
      </w:r>
      <w:r w:rsidR="00AE0CF7" w:rsidRPr="00E56A6E">
        <w:rPr>
          <w:lang w:val="es-ES"/>
        </w:rPr>
        <w:t xml:space="preserve"> biológica</w:t>
      </w:r>
      <w:r w:rsidRPr="00E56A6E">
        <w:rPr>
          <w:lang w:val="es-ES"/>
        </w:rPr>
        <w:t>, apoyar su conservación y uso sostenible y generar oportunidades para el desarrollo sostenible.</w:t>
      </w:r>
      <w:r w:rsidR="001E37A2" w:rsidRPr="00E56A6E">
        <w:rPr>
          <w:lang w:val="es-ES"/>
        </w:rPr>
        <w:t xml:space="preserve"> </w:t>
      </w:r>
    </w:p>
    <w:p w14:paraId="79767C1D" w14:textId="4E54966C" w:rsidR="002C788A" w:rsidRPr="00E56A6E" w:rsidRDefault="00770CE7" w:rsidP="002C788A">
      <w:pPr>
        <w:pStyle w:val="CBDNormalNumber"/>
        <w:rPr>
          <w:lang w:val="es-ES"/>
        </w:rPr>
      </w:pPr>
      <w:r w:rsidRPr="00E56A6E">
        <w:rPr>
          <w:lang w:val="es-ES"/>
        </w:rPr>
        <w:t>Tal como</w:t>
      </w:r>
      <w:r w:rsidR="002C788A" w:rsidRPr="00E56A6E">
        <w:rPr>
          <w:lang w:val="es-ES"/>
        </w:rPr>
        <w:t xml:space="preserve"> </w:t>
      </w:r>
      <w:r w:rsidR="00235112" w:rsidRPr="00E56A6E">
        <w:rPr>
          <w:lang w:val="es-ES"/>
        </w:rPr>
        <w:t xml:space="preserve">propone </w:t>
      </w:r>
      <w:r w:rsidR="002C788A" w:rsidRPr="00E56A6E">
        <w:rPr>
          <w:lang w:val="es-ES"/>
        </w:rPr>
        <w:t xml:space="preserve">el </w:t>
      </w:r>
      <w:r w:rsidR="00B007EB" w:rsidRPr="00E56A6E">
        <w:rPr>
          <w:lang w:val="es-ES"/>
        </w:rPr>
        <w:t>estudio preliminar</w:t>
      </w:r>
      <w:r w:rsidR="002C788A" w:rsidRPr="00E56A6E">
        <w:rPr>
          <w:lang w:val="es-ES"/>
        </w:rPr>
        <w:t>, podrían</w:t>
      </w:r>
      <w:r w:rsidR="00D07E52" w:rsidRPr="00E56A6E">
        <w:rPr>
          <w:lang w:val="es-ES"/>
        </w:rPr>
        <w:t xml:space="preserve"> elaborarse </w:t>
      </w:r>
      <w:r w:rsidR="002C788A" w:rsidRPr="00E56A6E">
        <w:rPr>
          <w:lang w:val="es-ES"/>
        </w:rPr>
        <w:t xml:space="preserve">diversos enfoques con ese fin, entre ellos: dar a conocer casos de éxito de países que hayan integrado el acceso y la participación en los beneficios en objetivos políticos más amplios, hayan promovido el desarrollo de la capacidad de investigación y hayan demostrado el potencial económico de una participación en los beneficios justa y transparente; llevar a cabo campañas de comunicación sobre el acceso y la participación en los beneficios dirigidas a los usuarios; y otorgar premios que destaquen los logros de países, comunidades o partes interesadas. </w:t>
      </w:r>
    </w:p>
    <w:p w14:paraId="51844D49" w14:textId="1D826300" w:rsidR="002C788A" w:rsidRPr="00E56A6E" w:rsidRDefault="00235112" w:rsidP="002C788A">
      <w:pPr>
        <w:pStyle w:val="CBDNormalNumber"/>
        <w:rPr>
          <w:lang w:val="es-ES"/>
        </w:rPr>
      </w:pPr>
      <w:r w:rsidRPr="00E56A6E">
        <w:rPr>
          <w:lang w:val="es-ES"/>
        </w:rPr>
        <w:t xml:space="preserve">Varias </w:t>
      </w:r>
      <w:r w:rsidR="002C788A" w:rsidRPr="00E56A6E">
        <w:rPr>
          <w:lang w:val="es-ES"/>
        </w:rPr>
        <w:t xml:space="preserve">Partes </w:t>
      </w:r>
      <w:r w:rsidRPr="00E56A6E">
        <w:rPr>
          <w:lang w:val="es-ES"/>
        </w:rPr>
        <w:t xml:space="preserve">subrayaron </w:t>
      </w:r>
      <w:r w:rsidR="002C788A" w:rsidRPr="00E56A6E">
        <w:rPr>
          <w:lang w:val="es-ES"/>
        </w:rPr>
        <w:t xml:space="preserve">que la sensibilización sobre el Protocolo de Nagoya y el acceso y la participación en los beneficios entre los diferentes grupos de partes interesadas </w:t>
      </w:r>
      <w:r w:rsidR="006954E8" w:rsidRPr="00E56A6E">
        <w:rPr>
          <w:lang w:val="es-ES"/>
        </w:rPr>
        <w:t>–</w:t>
      </w:r>
      <w:r w:rsidRPr="00E56A6E">
        <w:rPr>
          <w:lang w:val="es-ES"/>
        </w:rPr>
        <w:t xml:space="preserve">entre ellos </w:t>
      </w:r>
      <w:r w:rsidR="002C788A" w:rsidRPr="00E56A6E">
        <w:rPr>
          <w:lang w:val="es-ES"/>
        </w:rPr>
        <w:t>los pueblos indígenas y las comunidades locales y los usuarios de recursos genéticos</w:t>
      </w:r>
      <w:r w:rsidR="006954E8" w:rsidRPr="00E56A6E">
        <w:rPr>
          <w:lang w:val="es-ES"/>
        </w:rPr>
        <w:t>–</w:t>
      </w:r>
      <w:r w:rsidR="002C788A" w:rsidRPr="00E56A6E">
        <w:rPr>
          <w:lang w:val="es-ES"/>
        </w:rPr>
        <w:t xml:space="preserve"> y los distintos niveles de gobernanza era una condición necesaria para la aplicación efectiva del Protocolo. Para seguir avanzando en la aplicación del Protocolo podría ser necesario </w:t>
      </w:r>
      <w:r w:rsidR="003F62B5" w:rsidRPr="00E56A6E">
        <w:rPr>
          <w:lang w:val="es-ES"/>
        </w:rPr>
        <w:t xml:space="preserve">volver a hacer hincapié </w:t>
      </w:r>
      <w:r w:rsidR="002C788A" w:rsidRPr="00E56A6E">
        <w:rPr>
          <w:lang w:val="es-ES"/>
        </w:rPr>
        <w:t xml:space="preserve">en </w:t>
      </w:r>
      <w:r w:rsidR="002C788A" w:rsidRPr="00E56A6E">
        <w:rPr>
          <w:lang w:val="es-ES"/>
        </w:rPr>
        <w:lastRenderedPageBreak/>
        <w:t>iniciativas de sensibilización más sistemáticas, sostenidas y estratégicamente fundamentadas, que vayan más allá de las actividades puntuales.</w:t>
      </w:r>
      <w:r w:rsidR="001E37A2" w:rsidRPr="00E56A6E">
        <w:rPr>
          <w:lang w:val="es-ES"/>
        </w:rPr>
        <w:t xml:space="preserve"> </w:t>
      </w:r>
    </w:p>
    <w:p w14:paraId="6FBE2CC2" w14:textId="598588DB" w:rsidR="002C788A" w:rsidRPr="00E56A6E" w:rsidRDefault="002C788A" w:rsidP="002C788A">
      <w:pPr>
        <w:pStyle w:val="CBDNormalNumber"/>
        <w:rPr>
          <w:lang w:val="es-ES"/>
        </w:rPr>
      </w:pPr>
      <w:r w:rsidRPr="00E56A6E">
        <w:rPr>
          <w:lang w:val="es-ES"/>
        </w:rPr>
        <w:t xml:space="preserve">El refuerzo de las iniciativas de sensibilización a nivel internacional, regional y nacional podría </w:t>
      </w:r>
      <w:r w:rsidR="003F62B5" w:rsidRPr="00E56A6E">
        <w:rPr>
          <w:lang w:val="es-ES"/>
        </w:rPr>
        <w:t xml:space="preserve">ayudar </w:t>
      </w:r>
      <w:r w:rsidRPr="00E56A6E">
        <w:rPr>
          <w:lang w:val="es-ES"/>
        </w:rPr>
        <w:t xml:space="preserve">a </w:t>
      </w:r>
      <w:r w:rsidR="003F62B5" w:rsidRPr="00E56A6E">
        <w:rPr>
          <w:lang w:val="es-ES"/>
        </w:rPr>
        <w:t xml:space="preserve">resolver </w:t>
      </w:r>
      <w:r w:rsidRPr="00E56A6E">
        <w:rPr>
          <w:lang w:val="es-ES"/>
        </w:rPr>
        <w:t xml:space="preserve">algunas de las </w:t>
      </w:r>
      <w:r w:rsidR="0030514E" w:rsidRPr="00E56A6E">
        <w:rPr>
          <w:lang w:val="es-ES"/>
        </w:rPr>
        <w:t>causas subyacentes</w:t>
      </w:r>
      <w:r w:rsidRPr="00E56A6E">
        <w:rPr>
          <w:lang w:val="es-ES"/>
        </w:rPr>
        <w:t xml:space="preserve"> de l</w:t>
      </w:r>
      <w:r w:rsidR="00CF3E95" w:rsidRPr="00E56A6E">
        <w:rPr>
          <w:lang w:val="es-ES"/>
        </w:rPr>
        <w:t xml:space="preserve">as dificultadas en la </w:t>
      </w:r>
      <w:r w:rsidRPr="00E56A6E">
        <w:rPr>
          <w:lang w:val="es-ES"/>
        </w:rPr>
        <w:t xml:space="preserve">aplicación efectiva que se han </w:t>
      </w:r>
      <w:r w:rsidR="00CF3E95" w:rsidRPr="00E56A6E">
        <w:rPr>
          <w:lang w:val="es-ES"/>
        </w:rPr>
        <w:t>señalado</w:t>
      </w:r>
      <w:r w:rsidRPr="00E56A6E">
        <w:rPr>
          <w:lang w:val="es-ES"/>
        </w:rPr>
        <w:t xml:space="preserve">. A este respecto, la </w:t>
      </w:r>
      <w:r w:rsidR="00CF3E95" w:rsidRPr="00E56A6E">
        <w:rPr>
          <w:lang w:val="es-ES"/>
        </w:rPr>
        <w:t xml:space="preserve">estrategia de aumento de la concienciación </w:t>
      </w:r>
      <w:r w:rsidRPr="00E56A6E">
        <w:rPr>
          <w:lang w:val="es-ES"/>
        </w:rPr>
        <w:t xml:space="preserve">del Protocolo de Nagoya (decisión </w:t>
      </w:r>
      <w:hyperlink r:id="rId27" w:history="1">
        <w:r w:rsidR="00CF3E95" w:rsidRPr="00E56A6E">
          <w:rPr>
            <w:rStyle w:val="Hyperlink"/>
            <w:rFonts w:asciiTheme="majorBidi" w:hAnsiTheme="majorBidi" w:cstheme="majorBidi"/>
            <w:lang w:val="es-ES"/>
          </w:rPr>
          <w:t>NP-1/9</w:t>
        </w:r>
      </w:hyperlink>
      <w:r w:rsidRPr="00E56A6E">
        <w:rPr>
          <w:lang w:val="es-ES"/>
        </w:rPr>
        <w:t xml:space="preserve">, anexo); el Plan de Acción para el desarrollo y la creación de capacidad del Protocolo de Nagoya sobre el acceso a los recursos genéticos y la participación justa y equitativa en los beneficios derivados de su utilización (decisión </w:t>
      </w:r>
      <w:hyperlink r:id="rId28" w:history="1">
        <w:r w:rsidRPr="00E56A6E">
          <w:rPr>
            <w:rStyle w:val="Hyperlink"/>
            <w:lang w:val="es-ES"/>
          </w:rPr>
          <w:t>NP-5/3</w:t>
        </w:r>
      </w:hyperlink>
      <w:r w:rsidRPr="00E56A6E">
        <w:rPr>
          <w:lang w:val="es-ES"/>
        </w:rPr>
        <w:t>); y el conjunto de herramientas de comunicación, educación y sensibilización pública, que incluye consideraciones sobre el acceso y la participación en los beneficios</w:t>
      </w:r>
      <w:r w:rsidRPr="00E56A6E">
        <w:rPr>
          <w:rStyle w:val="FootnoteReference"/>
          <w:lang w:val="es-ES"/>
        </w:rPr>
        <w:footnoteReference w:id="49"/>
      </w:r>
      <w:r w:rsidRPr="00E56A6E">
        <w:rPr>
          <w:lang w:val="es-ES"/>
        </w:rPr>
        <w:t>,</w:t>
      </w:r>
      <w:r w:rsidR="001E37A2" w:rsidRPr="00E56A6E">
        <w:rPr>
          <w:lang w:val="es-ES"/>
        </w:rPr>
        <w:t xml:space="preserve"> </w:t>
      </w:r>
      <w:r w:rsidRPr="00E56A6E">
        <w:rPr>
          <w:lang w:val="es-ES"/>
        </w:rPr>
        <w:t xml:space="preserve">podrían ayudar a las Partes y a los agentes y organizaciones pertinentes a avanzar en sus </w:t>
      </w:r>
      <w:r w:rsidR="00CF3E95" w:rsidRPr="00E56A6E">
        <w:rPr>
          <w:lang w:val="es-ES"/>
        </w:rPr>
        <w:t>iniciativas</w:t>
      </w:r>
      <w:r w:rsidRPr="00E56A6E">
        <w:rPr>
          <w:lang w:val="es-ES"/>
        </w:rPr>
        <w:t>.</w:t>
      </w:r>
    </w:p>
    <w:p w14:paraId="6061E7F6" w14:textId="03C645DA" w:rsidR="00455F03" w:rsidRPr="00E56A6E" w:rsidRDefault="00036E1C" w:rsidP="00036E1C">
      <w:pPr>
        <w:pStyle w:val="CBDH3"/>
        <w:rPr>
          <w:lang w:val="es-ES"/>
        </w:rPr>
      </w:pPr>
      <w:r w:rsidRPr="00E56A6E">
        <w:rPr>
          <w:lang w:val="es-ES"/>
        </w:rPr>
        <w:t>10.</w:t>
      </w:r>
      <w:r w:rsidRPr="00E56A6E">
        <w:rPr>
          <w:lang w:val="es-ES"/>
        </w:rPr>
        <w:tab/>
      </w:r>
      <w:r w:rsidR="00650DB4" w:rsidRPr="00E56A6E">
        <w:rPr>
          <w:lang w:val="es-ES"/>
        </w:rPr>
        <w:t>Medidas relacionadas con otros instrumentos internacionales (artículo 4)</w:t>
      </w:r>
      <w:r w:rsidR="00650DB4" w:rsidRPr="00E56A6E">
        <w:rPr>
          <w:rStyle w:val="FootnoteReference"/>
          <w:lang w:val="es-ES"/>
        </w:rPr>
        <w:footnoteReference w:id="50"/>
      </w:r>
    </w:p>
    <w:p w14:paraId="332A84AB" w14:textId="122A360D" w:rsidR="004A5572" w:rsidRPr="00E56A6E" w:rsidRDefault="00036E1C" w:rsidP="00036E1C">
      <w:pPr>
        <w:pStyle w:val="CBDH4"/>
        <w:rPr>
          <w:lang w:val="es-ES"/>
        </w:rPr>
      </w:pPr>
      <w:r w:rsidRPr="00E56A6E">
        <w:rPr>
          <w:lang w:val="es-ES"/>
        </w:rPr>
        <w:t>a)</w:t>
      </w:r>
      <w:r w:rsidRPr="00E56A6E">
        <w:rPr>
          <w:lang w:val="es-ES"/>
        </w:rPr>
        <w:tab/>
      </w:r>
      <w:r w:rsidR="00650DB4" w:rsidRPr="00E56A6E">
        <w:rPr>
          <w:lang w:val="es-ES"/>
        </w:rPr>
        <w:t>Avances en la aplicación</w:t>
      </w:r>
      <w:r w:rsidR="004A5572" w:rsidRPr="00E56A6E">
        <w:rPr>
          <w:lang w:val="es-ES"/>
        </w:rPr>
        <w:t xml:space="preserve"> </w:t>
      </w:r>
    </w:p>
    <w:p w14:paraId="705A04A3" w14:textId="0EBE45FC" w:rsidR="00650DB4" w:rsidRPr="00E56A6E" w:rsidRDefault="00650DB4" w:rsidP="00650DB4">
      <w:pPr>
        <w:pStyle w:val="CBDNormalNumber"/>
        <w:rPr>
          <w:lang w:val="es-ES"/>
        </w:rPr>
      </w:pPr>
      <w:r w:rsidRPr="00E56A6E">
        <w:rPr>
          <w:lang w:val="es-ES"/>
        </w:rPr>
        <w:t>Un total de 71 Partes (el 54 %)</w:t>
      </w:r>
      <w:r w:rsidR="00FF12DE" w:rsidRPr="00E56A6E">
        <w:rPr>
          <w:lang w:val="es-ES"/>
        </w:rPr>
        <w:t xml:space="preserve"> señalaron </w:t>
      </w:r>
      <w:r w:rsidRPr="00E56A6E">
        <w:rPr>
          <w:lang w:val="es-ES"/>
        </w:rPr>
        <w:t xml:space="preserve">que eran Partes en un instrumento internacional especializado sobre acceso y participación en los beneficios, y 66 </w:t>
      </w:r>
      <w:r w:rsidR="00FF12DE" w:rsidRPr="00E56A6E">
        <w:rPr>
          <w:lang w:val="es-ES"/>
        </w:rPr>
        <w:t xml:space="preserve">indicaron </w:t>
      </w:r>
      <w:r w:rsidRPr="00E56A6E">
        <w:rPr>
          <w:lang w:val="es-ES"/>
        </w:rPr>
        <w:t xml:space="preserve">que habían adoptado medidas para aplicar dicho instrumento internacional especializado. Entre esos instrumentos figuraban el Tratado Internacional sobre los Recursos Fitogenéticos para la Alimentación y la Agricultura, el </w:t>
      </w:r>
      <w:r w:rsidR="00FF12DE" w:rsidRPr="00E56A6E">
        <w:rPr>
          <w:lang w:val="es-ES"/>
        </w:rPr>
        <w:t xml:space="preserve">Marco de Preparación para una Gripe Pandémica </w:t>
      </w:r>
      <w:r w:rsidRPr="00E56A6E">
        <w:rPr>
          <w:lang w:val="es-ES"/>
        </w:rPr>
        <w:t xml:space="preserve">de la Organización Mundial de la Salud (OMS) para el intercambio de virus </w:t>
      </w:r>
      <w:r w:rsidR="00FF12DE" w:rsidRPr="00E56A6E">
        <w:rPr>
          <w:lang w:val="es-ES"/>
        </w:rPr>
        <w:t xml:space="preserve">gripales </w:t>
      </w:r>
      <w:r w:rsidRPr="00E56A6E">
        <w:rPr>
          <w:lang w:val="es-ES"/>
        </w:rPr>
        <w:t xml:space="preserve">y el acceso a </w:t>
      </w:r>
      <w:r w:rsidR="00FF12DE" w:rsidRPr="00E56A6E">
        <w:rPr>
          <w:lang w:val="es-ES"/>
        </w:rPr>
        <w:t xml:space="preserve">las </w:t>
      </w:r>
      <w:r w:rsidRPr="00E56A6E">
        <w:rPr>
          <w:lang w:val="es-ES"/>
        </w:rPr>
        <w:t>vacunas y otros beneficios, y el Acuerdo en virtud de la Convención de las Naciones Unidas sobre el Derecho del Mar relativo a la conservación y la utilización sostenible de la diversidad biológica marina de las zonas situadas fuera de la jurisdicción nacional.</w:t>
      </w:r>
    </w:p>
    <w:p w14:paraId="4870D80D" w14:textId="40326A63" w:rsidR="00650DB4" w:rsidRPr="00E56A6E" w:rsidRDefault="00650DB4" w:rsidP="00650DB4">
      <w:pPr>
        <w:pStyle w:val="CBDNormalNumber"/>
        <w:rPr>
          <w:lang w:val="es-ES"/>
        </w:rPr>
      </w:pPr>
      <w:r w:rsidRPr="00E56A6E">
        <w:rPr>
          <w:lang w:val="es-ES"/>
        </w:rPr>
        <w:t>Las Partes informaron sobre los trabajos en curso relacionados con el sistema de acceso a los patógenos y participación en los beneficios en el marco del Acuerdo sobre Pandemias de la OMS.</w:t>
      </w:r>
    </w:p>
    <w:p w14:paraId="235AE042" w14:textId="25A394D1" w:rsidR="00650DB4" w:rsidRPr="00E56A6E" w:rsidRDefault="00650DB4" w:rsidP="00650DB4">
      <w:pPr>
        <w:pStyle w:val="CBDNormalNumber"/>
        <w:rPr>
          <w:lang w:val="es-ES"/>
        </w:rPr>
      </w:pPr>
      <w:r w:rsidRPr="00E56A6E">
        <w:rPr>
          <w:lang w:val="es-ES"/>
        </w:rPr>
        <w:t xml:space="preserve">El análisis puso de manifiesto que, en general, las Partes entendían que la relación entre el Protocolo de Nagoya y los instrumentos internacionales especializados se basaba en una división de competencias y en la complementariedad, más que en un solapamiento o una sustitución. Por lo general, se consideraba que los instrumentos especializados regulaban categorías claramente definidas de recursos genéticos o contextos específicos, mientras que el Protocolo de Nagoya seguía proporcionando el marco general para el acceso y la participación en los beneficios en todos los demás casos dentro de la jurisdicción nacional. Esa interpretación funcional facilitó la aplicación en muchas Partes, especialmente cuando el ámbito de aplicación de los instrumentos estaba claramente </w:t>
      </w:r>
      <w:r w:rsidR="005E4BE7" w:rsidRPr="00E56A6E">
        <w:rPr>
          <w:lang w:val="es-ES"/>
        </w:rPr>
        <w:t xml:space="preserve">definido </w:t>
      </w:r>
      <w:r w:rsidRPr="00E56A6E">
        <w:rPr>
          <w:lang w:val="es-ES"/>
        </w:rPr>
        <w:t>en los marcos jurídicos e institucionales nacionales.</w:t>
      </w:r>
    </w:p>
    <w:p w14:paraId="7DFF1E90" w14:textId="0576B0C7" w:rsidR="00A54D46" w:rsidRPr="00E56A6E" w:rsidRDefault="00036E1C" w:rsidP="00036E1C">
      <w:pPr>
        <w:pStyle w:val="CBDH4"/>
        <w:rPr>
          <w:lang w:val="es-ES"/>
        </w:rPr>
      </w:pPr>
      <w:r w:rsidRPr="00E56A6E">
        <w:rPr>
          <w:lang w:val="es-ES"/>
        </w:rPr>
        <w:t>b)</w:t>
      </w:r>
      <w:r w:rsidRPr="00E56A6E">
        <w:rPr>
          <w:lang w:val="es-ES"/>
        </w:rPr>
        <w:tab/>
      </w:r>
      <w:r w:rsidR="009F6791" w:rsidRPr="00E56A6E">
        <w:rPr>
          <w:lang w:val="es-ES"/>
        </w:rPr>
        <w:t>Dificultades, causas subyacentes y posibles maneras de mejorar</w:t>
      </w:r>
      <w:r w:rsidR="00281F0D" w:rsidRPr="00E56A6E">
        <w:rPr>
          <w:lang w:val="es-ES"/>
        </w:rPr>
        <w:t xml:space="preserve"> las medidas relacionadas con otros instrumentos internacionales</w:t>
      </w:r>
    </w:p>
    <w:p w14:paraId="246872A7" w14:textId="0C1FC956" w:rsidR="00281F0D" w:rsidRPr="00E56A6E" w:rsidRDefault="00281F0D" w:rsidP="00281F0D">
      <w:pPr>
        <w:pStyle w:val="CBDNormalNumber"/>
        <w:rPr>
          <w:lang w:val="es-ES"/>
        </w:rPr>
      </w:pPr>
      <w:r w:rsidRPr="00E56A6E">
        <w:rPr>
          <w:lang w:val="es-ES"/>
        </w:rPr>
        <w:t>El análisis puso de relieve que una aplicación</w:t>
      </w:r>
      <w:r w:rsidR="00C56041" w:rsidRPr="00E56A6E">
        <w:rPr>
          <w:lang w:val="es-ES"/>
        </w:rPr>
        <w:t xml:space="preserve"> eficaz</w:t>
      </w:r>
      <w:r w:rsidRPr="00E56A6E">
        <w:rPr>
          <w:lang w:val="es-ES"/>
        </w:rPr>
        <w:t xml:space="preserve"> </w:t>
      </w:r>
      <w:r w:rsidR="00C56041" w:rsidRPr="00E56A6E">
        <w:rPr>
          <w:lang w:val="es-ES"/>
        </w:rPr>
        <w:t>de los instrumentos internacionales y de manera que se apoyen mutuamente</w:t>
      </w:r>
      <w:r w:rsidRPr="00E56A6E">
        <w:rPr>
          <w:lang w:val="es-ES"/>
        </w:rPr>
        <w:t xml:space="preserve"> dependía no solo de la participación formal en los instrumentos especializados, sino también de la existencia de condiciones propicias sólidas a nivel nacional, regional e internacional. </w:t>
      </w:r>
      <w:r w:rsidR="00C56041" w:rsidRPr="00E56A6E">
        <w:rPr>
          <w:lang w:val="es-ES"/>
        </w:rPr>
        <w:t xml:space="preserve">Dicha </w:t>
      </w:r>
      <w:r w:rsidRPr="00E56A6E">
        <w:rPr>
          <w:lang w:val="es-ES"/>
        </w:rPr>
        <w:t xml:space="preserve">aplicación entre los instrumentos de acceso y participación en los beneficios </w:t>
      </w:r>
      <w:r w:rsidR="00C56041" w:rsidRPr="00E56A6E">
        <w:rPr>
          <w:lang w:val="es-ES"/>
        </w:rPr>
        <w:t xml:space="preserve">de manera que se apoyen mutuamente </w:t>
      </w:r>
      <w:r w:rsidRPr="00E56A6E">
        <w:rPr>
          <w:lang w:val="es-ES"/>
        </w:rPr>
        <w:t>podría reforzarse aún más, ya que la insuficiente coordinación institucional y los mandatos fragmentados, o la falta de concienciación y de claridad jurídica, seguían siendo importantes limitaciones para algunas Partes.</w:t>
      </w:r>
    </w:p>
    <w:p w14:paraId="2380EF48" w14:textId="140FD08B" w:rsidR="00281F0D" w:rsidRPr="00E56A6E" w:rsidRDefault="00281F0D" w:rsidP="00281F0D">
      <w:pPr>
        <w:pStyle w:val="CBDNormalNumber"/>
        <w:rPr>
          <w:lang w:val="es-ES"/>
        </w:rPr>
      </w:pPr>
      <w:r w:rsidRPr="00E56A6E">
        <w:rPr>
          <w:lang w:val="es-ES"/>
        </w:rPr>
        <w:lastRenderedPageBreak/>
        <w:t>Cuando existían mecanismos de coordinación, puntos focales claramente designados, políticas armonizadas y esfuerzos sostenidos de desarrollo de capacidades, las Partes estaban en mejores condiciones de poner en práctica la coherencia entre los instrumentos especializados y el Protocolo de Nagoya.</w:t>
      </w:r>
    </w:p>
    <w:p w14:paraId="5DFA6997" w14:textId="6AD25DDC" w:rsidR="0056552E" w:rsidRPr="00E56A6E" w:rsidRDefault="00A91443" w:rsidP="00A91443">
      <w:pPr>
        <w:pStyle w:val="CBDH2"/>
        <w:rPr>
          <w:lang w:val="es-ES"/>
        </w:rPr>
      </w:pPr>
      <w:bookmarkStart w:id="10" w:name="_Toc231911604"/>
      <w:r w:rsidRPr="00E56A6E">
        <w:rPr>
          <w:lang w:val="es-ES"/>
        </w:rPr>
        <w:t>B.</w:t>
      </w:r>
      <w:r w:rsidRPr="00E56A6E">
        <w:rPr>
          <w:lang w:val="es-ES"/>
        </w:rPr>
        <w:tab/>
      </w:r>
      <w:r w:rsidR="00281F0D" w:rsidRPr="00E56A6E">
        <w:rPr>
          <w:lang w:val="es-ES"/>
        </w:rPr>
        <w:t>Evaluación de la eficacia</w:t>
      </w:r>
      <w:r w:rsidR="000A4C3D" w:rsidRPr="00E56A6E">
        <w:rPr>
          <w:rStyle w:val="FootnoteReference"/>
          <w:bCs/>
          <w:lang w:val="es-ES"/>
        </w:rPr>
        <w:footnoteReference w:id="51"/>
      </w:r>
      <w:bookmarkEnd w:id="10"/>
    </w:p>
    <w:p w14:paraId="3E9AE9C8" w14:textId="444CC7EF" w:rsidR="00452379" w:rsidRPr="00E56A6E" w:rsidRDefault="00A91443" w:rsidP="00A91443">
      <w:pPr>
        <w:pStyle w:val="CBDH3"/>
        <w:rPr>
          <w:lang w:val="es-ES"/>
        </w:rPr>
      </w:pPr>
      <w:r w:rsidRPr="00E56A6E">
        <w:rPr>
          <w:lang w:val="es-ES"/>
        </w:rPr>
        <w:t>1.</w:t>
      </w:r>
      <w:r w:rsidRPr="00E56A6E">
        <w:rPr>
          <w:lang w:val="es-ES"/>
        </w:rPr>
        <w:tab/>
      </w:r>
      <w:r w:rsidR="00281F0D" w:rsidRPr="00E56A6E">
        <w:rPr>
          <w:lang w:val="es-ES"/>
        </w:rPr>
        <w:t>Avances logrados y datos actualizados de los indicadores</w:t>
      </w:r>
    </w:p>
    <w:p w14:paraId="32A9A5D4" w14:textId="56DD6FAF" w:rsidR="008118EC" w:rsidRPr="00E56A6E" w:rsidRDefault="008118EC" w:rsidP="008118EC">
      <w:pPr>
        <w:pStyle w:val="CBDNormalNumber"/>
        <w:rPr>
          <w:lang w:val="es-ES"/>
        </w:rPr>
      </w:pPr>
      <w:r w:rsidRPr="00E56A6E">
        <w:rPr>
          <w:lang w:val="es-ES"/>
        </w:rPr>
        <w:t xml:space="preserve">Como demuestran los indicadores del cuadro 8, se han logrado </w:t>
      </w:r>
      <w:r w:rsidR="000E5FE5" w:rsidRPr="00E56A6E">
        <w:rPr>
          <w:lang w:val="es-ES"/>
        </w:rPr>
        <w:t xml:space="preserve">notables </w:t>
      </w:r>
      <w:r w:rsidRPr="00E56A6E">
        <w:rPr>
          <w:lang w:val="es-ES"/>
        </w:rPr>
        <w:t>avances desde el punto de referencia que estableció</w:t>
      </w:r>
      <w:r w:rsidR="00E17E34" w:rsidRPr="00E56A6E">
        <w:rPr>
          <w:lang w:val="es-ES"/>
        </w:rPr>
        <w:t xml:space="preserve"> las bases de </w:t>
      </w:r>
      <w:r w:rsidR="000E5FE5" w:rsidRPr="00E56A6E">
        <w:rPr>
          <w:lang w:val="es-ES"/>
        </w:rPr>
        <w:t xml:space="preserve">referencia </w:t>
      </w:r>
      <w:r w:rsidRPr="00E56A6E">
        <w:rPr>
          <w:lang w:val="es-ES"/>
        </w:rPr>
        <w:t xml:space="preserve">en 2018 en lo que respecta al establecimiento de medidas y la creación de algunas de las condiciones de acceso necesarias para poner en práctica el Protocolo. Entre ellos figuran los avances en la expedición de permisos o sus equivalentes, la </w:t>
      </w:r>
      <w:r w:rsidR="00E17E34" w:rsidRPr="00E56A6E">
        <w:rPr>
          <w:lang w:val="es-ES"/>
        </w:rPr>
        <w:t xml:space="preserve">emisión </w:t>
      </w:r>
      <w:r w:rsidRPr="00E56A6E">
        <w:rPr>
          <w:lang w:val="es-ES"/>
        </w:rPr>
        <w:t>de certificados de cumplimiento reconocidos internacionalmente y la aplicación de las consideraciones especiales incluidas en el artículo 8 del Protocolo.</w:t>
      </w:r>
    </w:p>
    <w:p w14:paraId="314B7D93" w14:textId="5721C45A" w:rsidR="008118EC" w:rsidRPr="00E56A6E" w:rsidRDefault="00FF07D6" w:rsidP="008118EC">
      <w:pPr>
        <w:pStyle w:val="CBDNormalNumber"/>
        <w:rPr>
          <w:lang w:val="es-ES"/>
        </w:rPr>
      </w:pPr>
      <w:r w:rsidRPr="00E56A6E">
        <w:rPr>
          <w:lang w:val="es-ES"/>
        </w:rPr>
        <w:t xml:space="preserve">Pese a esos </w:t>
      </w:r>
      <w:r w:rsidR="008118EC" w:rsidRPr="00E56A6E">
        <w:rPr>
          <w:lang w:val="es-ES"/>
        </w:rPr>
        <w:t xml:space="preserve">avances, deben cumplirse una serie de condiciones antes de que las Partes y los pueblos indígenas y las comunidades locales puedan recibir beneficios. En primer lugar, es necesario establecer y poner plenamente en funcionamiento las medidas de acceso y participación en los beneficios, así como las estructuras institucionales correspondientes. Los usuarios deben solicitar el acceso y obtener el consentimiento fundamentado previo, deben </w:t>
      </w:r>
      <w:r w:rsidR="00EC5D39" w:rsidRPr="00E56A6E">
        <w:rPr>
          <w:lang w:val="es-ES"/>
        </w:rPr>
        <w:t>convenirse condiciones mutuamente acordadas</w:t>
      </w:r>
      <w:r w:rsidR="007F167A" w:rsidRPr="00E56A6E">
        <w:rPr>
          <w:lang w:val="es-ES"/>
        </w:rPr>
        <w:t xml:space="preserve"> </w:t>
      </w:r>
      <w:r w:rsidR="008118EC" w:rsidRPr="00E56A6E">
        <w:rPr>
          <w:lang w:val="es-ES"/>
        </w:rPr>
        <w:t>y deben expedirse los permisos o sus equivalentes.</w:t>
      </w:r>
    </w:p>
    <w:p w14:paraId="381D35C9" w14:textId="009D9166" w:rsidR="008118EC" w:rsidRPr="00E56A6E" w:rsidRDefault="003E4E83" w:rsidP="008118EC">
      <w:pPr>
        <w:pStyle w:val="CBDNormalNumber"/>
        <w:rPr>
          <w:lang w:val="es-ES"/>
        </w:rPr>
      </w:pPr>
      <w:r w:rsidRPr="00E56A6E">
        <w:rPr>
          <w:lang w:val="es-ES"/>
        </w:rPr>
        <w:t xml:space="preserve">Según </w:t>
      </w:r>
      <w:r w:rsidR="008118EC" w:rsidRPr="00E56A6E">
        <w:rPr>
          <w:lang w:val="es-ES"/>
        </w:rPr>
        <w:t xml:space="preserve">las condiciones de participación en los beneficios </w:t>
      </w:r>
      <w:r w:rsidRPr="00E56A6E">
        <w:rPr>
          <w:lang w:val="es-ES"/>
        </w:rPr>
        <w:t>convenidas</w:t>
      </w:r>
      <w:r w:rsidR="008118EC" w:rsidRPr="00E56A6E">
        <w:rPr>
          <w:lang w:val="es-ES"/>
        </w:rPr>
        <w:t>, la finalización del proceso que abarca desde el acceso a los recursos genéticos hasta su u</w:t>
      </w:r>
      <w:r w:rsidRPr="00E56A6E">
        <w:rPr>
          <w:lang w:val="es-ES"/>
        </w:rPr>
        <w:t xml:space="preserve">so </w:t>
      </w:r>
      <w:r w:rsidR="008118EC" w:rsidRPr="00E56A6E">
        <w:rPr>
          <w:lang w:val="es-ES"/>
        </w:rPr>
        <w:t xml:space="preserve">y la posible participación en los beneficios puede llevar muchos años o incluso décadas, especialmente en lo que respecta al uso comercial. Las disposiciones de cumplimiento y los sistemas para </w:t>
      </w:r>
      <w:r w:rsidR="008D151E" w:rsidRPr="00E56A6E">
        <w:rPr>
          <w:lang w:val="es-ES"/>
        </w:rPr>
        <w:t>vigilar la utilización</w:t>
      </w:r>
      <w:r w:rsidR="008118EC" w:rsidRPr="00E56A6E">
        <w:rPr>
          <w:lang w:val="es-ES"/>
        </w:rPr>
        <w:t xml:space="preserve"> de los recursos genéticos y la participación en los beneficios c</w:t>
      </w:r>
      <w:r w:rsidR="00A00519" w:rsidRPr="00E56A6E">
        <w:rPr>
          <w:lang w:val="es-ES"/>
        </w:rPr>
        <w:t xml:space="preserve">orrespondiente </w:t>
      </w:r>
      <w:r w:rsidR="002B5F36" w:rsidRPr="00E56A6E">
        <w:rPr>
          <w:lang w:val="es-ES"/>
        </w:rPr>
        <w:t xml:space="preserve">ayudarán </w:t>
      </w:r>
      <w:r w:rsidR="008118EC" w:rsidRPr="00E56A6E">
        <w:rPr>
          <w:lang w:val="es-ES"/>
        </w:rPr>
        <w:t xml:space="preserve">a </w:t>
      </w:r>
      <w:r w:rsidR="002B5F36" w:rsidRPr="00E56A6E">
        <w:rPr>
          <w:lang w:val="es-ES"/>
        </w:rPr>
        <w:t xml:space="preserve">asegurar </w:t>
      </w:r>
      <w:r w:rsidR="008118EC" w:rsidRPr="00E56A6E">
        <w:rPr>
          <w:lang w:val="es-ES"/>
        </w:rPr>
        <w:t xml:space="preserve">que los beneficios se </w:t>
      </w:r>
      <w:r w:rsidR="00A00519" w:rsidRPr="00E56A6E">
        <w:rPr>
          <w:lang w:val="es-ES"/>
        </w:rPr>
        <w:t>compart</w:t>
      </w:r>
      <w:r w:rsidR="006F5E0E" w:rsidRPr="00E56A6E">
        <w:rPr>
          <w:lang w:val="es-ES"/>
        </w:rPr>
        <w:t>a</w:t>
      </w:r>
      <w:r w:rsidR="00A00519" w:rsidRPr="00E56A6E">
        <w:rPr>
          <w:lang w:val="es-ES"/>
        </w:rPr>
        <w:t xml:space="preserve">n </w:t>
      </w:r>
      <w:r w:rsidR="008118EC" w:rsidRPr="00E56A6E">
        <w:rPr>
          <w:lang w:val="es-ES"/>
        </w:rPr>
        <w:t>una vez que el recurso genético sal</w:t>
      </w:r>
      <w:r w:rsidR="002378DC" w:rsidRPr="00E56A6E">
        <w:rPr>
          <w:lang w:val="es-ES"/>
        </w:rPr>
        <w:t xml:space="preserve">ga </w:t>
      </w:r>
      <w:r w:rsidR="008118EC" w:rsidRPr="00E56A6E">
        <w:rPr>
          <w:lang w:val="es-ES"/>
        </w:rPr>
        <w:t>del país proveedor.</w:t>
      </w:r>
    </w:p>
    <w:p w14:paraId="53A54180" w14:textId="2C614EDF" w:rsidR="008118EC" w:rsidRPr="00E56A6E" w:rsidRDefault="008118EC" w:rsidP="008118EC">
      <w:pPr>
        <w:pStyle w:val="CBDNormalNumber"/>
        <w:rPr>
          <w:lang w:val="es-ES"/>
        </w:rPr>
      </w:pPr>
      <w:r w:rsidRPr="00E56A6E">
        <w:rPr>
          <w:lang w:val="es-ES"/>
        </w:rPr>
        <w:t>Si bien el</w:t>
      </w:r>
      <w:r w:rsidR="006F5E0E" w:rsidRPr="00E56A6E">
        <w:rPr>
          <w:lang w:val="es-ES"/>
        </w:rPr>
        <w:t xml:space="preserve"> </w:t>
      </w:r>
      <w:r w:rsidR="002743D7" w:rsidRPr="00E56A6E">
        <w:rPr>
          <w:lang w:val="es-ES"/>
        </w:rPr>
        <w:t>impacto</w:t>
      </w:r>
      <w:r w:rsidRPr="00E56A6E">
        <w:rPr>
          <w:lang w:val="es-ES"/>
        </w:rPr>
        <w:t xml:space="preserve"> del Protocolo de Nagoya depende en parte de la fase de aplicación alcanzada por las Partes, una </w:t>
      </w:r>
      <w:r w:rsidR="00CA2892" w:rsidRPr="00E56A6E">
        <w:rPr>
          <w:lang w:val="es-ES"/>
        </w:rPr>
        <w:t>participación</w:t>
      </w:r>
      <w:r w:rsidRPr="00E56A6E">
        <w:rPr>
          <w:lang w:val="es-ES"/>
        </w:rPr>
        <w:t xml:space="preserve"> eficaz, justa y equitativa </w:t>
      </w:r>
      <w:r w:rsidR="00CA2892" w:rsidRPr="00E56A6E">
        <w:rPr>
          <w:lang w:val="es-ES"/>
        </w:rPr>
        <w:t xml:space="preserve">en </w:t>
      </w:r>
      <w:r w:rsidRPr="00E56A6E">
        <w:rPr>
          <w:lang w:val="es-ES"/>
        </w:rPr>
        <w:t xml:space="preserve">los beneficios requiere que todas las Partes, los pueblos indígenas y las comunidades locales, así como las comunidades empresariales y científicas, </w:t>
      </w:r>
      <w:r w:rsidR="00CC1E72" w:rsidRPr="00E56A6E">
        <w:rPr>
          <w:lang w:val="es-ES"/>
        </w:rPr>
        <w:t xml:space="preserve">intervengan </w:t>
      </w:r>
      <w:r w:rsidRPr="00E56A6E">
        <w:rPr>
          <w:lang w:val="es-ES"/>
        </w:rPr>
        <w:t>plenamente en los procesos de acceso y participación en los beneficios.</w:t>
      </w:r>
    </w:p>
    <w:p w14:paraId="05CEB168" w14:textId="04AC2275" w:rsidR="008118EC" w:rsidRPr="00E56A6E" w:rsidRDefault="008118EC" w:rsidP="008118EC">
      <w:pPr>
        <w:pStyle w:val="CBDNormalNumber"/>
        <w:rPr>
          <w:lang w:val="es-ES"/>
        </w:rPr>
      </w:pPr>
      <w:r w:rsidRPr="00E56A6E">
        <w:rPr>
          <w:lang w:val="es-ES"/>
        </w:rPr>
        <w:t xml:space="preserve">Aunque muchas Partes han avanzado en la adopción de algunas de esas medidas iniciales, hay Partes cuyos avances aún no se han traducido en resultados en materia de participación en los beneficios. </w:t>
      </w:r>
    </w:p>
    <w:p w14:paraId="65789774" w14:textId="7F80054A" w:rsidR="008118EC" w:rsidRPr="00E56A6E" w:rsidRDefault="008118EC" w:rsidP="008118EC">
      <w:pPr>
        <w:pStyle w:val="CBDNormalNumber"/>
        <w:rPr>
          <w:lang w:val="es-ES"/>
        </w:rPr>
      </w:pPr>
      <w:r w:rsidRPr="00E56A6E">
        <w:rPr>
          <w:lang w:val="es-ES"/>
        </w:rPr>
        <w:t xml:space="preserve">Los permisos o sus equivalentes y los certificados expedidos podrían servir como indicación o </w:t>
      </w:r>
      <w:r w:rsidR="002743D7" w:rsidRPr="00E56A6E">
        <w:rPr>
          <w:lang w:val="es-ES"/>
        </w:rPr>
        <w:t xml:space="preserve">aproximación </w:t>
      </w:r>
      <w:r w:rsidRPr="00E56A6E">
        <w:rPr>
          <w:lang w:val="es-ES"/>
        </w:rPr>
        <w:t>del impacto en</w:t>
      </w:r>
      <w:r w:rsidR="009414A6" w:rsidRPr="00E56A6E">
        <w:rPr>
          <w:lang w:val="es-ES"/>
        </w:rPr>
        <w:t xml:space="preserve"> relación con la </w:t>
      </w:r>
      <w:r w:rsidRPr="00E56A6E">
        <w:rPr>
          <w:lang w:val="es-ES"/>
        </w:rPr>
        <w:t>participación en los beneficios en el marco del Protocolo de Nagoya, ya que podría entenderse que la e</w:t>
      </w:r>
      <w:r w:rsidR="002743D7" w:rsidRPr="00E56A6E">
        <w:rPr>
          <w:lang w:val="es-ES"/>
        </w:rPr>
        <w:t>misión</w:t>
      </w:r>
      <w:r w:rsidRPr="00E56A6E">
        <w:rPr>
          <w:lang w:val="es-ES"/>
        </w:rPr>
        <w:t xml:space="preserve"> de todos los permisos y certificados podría dar lugar, en última instancia, a la participación en los beneficios monetarios o no monetarios. Sesenta y cuatro Partes (el 45 %) informaron de que habían expedido permisos o sus equivalentes. Aproximadamente la mitad de esas Partes había publicado información sobre dichos permisos en el Centro de Intercambio de Información sobre Acceso y Participación en los Beneficios, y 34 Partes habían publicado un total de 6.269 certificados. </w:t>
      </w:r>
      <w:r w:rsidR="002743D7" w:rsidRPr="00E56A6E">
        <w:rPr>
          <w:lang w:val="es-ES"/>
        </w:rPr>
        <w:t>Cinco Partes</w:t>
      </w:r>
      <w:r w:rsidR="002743D7" w:rsidRPr="00E56A6E">
        <w:rPr>
          <w:rStyle w:val="FootnoteReference"/>
          <w:lang w:val="es-ES" w:eastAsia="zh-CN"/>
        </w:rPr>
        <w:footnoteReference w:id="52"/>
      </w:r>
      <w:r w:rsidR="002743D7" w:rsidRPr="00E56A6E">
        <w:rPr>
          <w:lang w:val="es-ES"/>
        </w:rPr>
        <w:t xml:space="preserve"> publicaron la </w:t>
      </w:r>
      <w:r w:rsidRPr="00E56A6E">
        <w:rPr>
          <w:lang w:val="es-ES"/>
        </w:rPr>
        <w:t xml:space="preserve">mayoría </w:t>
      </w:r>
      <w:r w:rsidR="002743D7" w:rsidRPr="00E56A6E">
        <w:rPr>
          <w:lang w:val="es-ES"/>
        </w:rPr>
        <w:t xml:space="preserve">(el 83 %) </w:t>
      </w:r>
      <w:r w:rsidRPr="00E56A6E">
        <w:rPr>
          <w:lang w:val="es-ES"/>
        </w:rPr>
        <w:t>de los certificados</w:t>
      </w:r>
      <w:r w:rsidR="002743D7" w:rsidRPr="00E56A6E">
        <w:rPr>
          <w:lang w:val="es-ES"/>
        </w:rPr>
        <w:t>.</w:t>
      </w:r>
    </w:p>
    <w:p w14:paraId="5E573194" w14:textId="59477B3C" w:rsidR="008118EC" w:rsidRPr="00E56A6E" w:rsidRDefault="008118EC" w:rsidP="008118EC">
      <w:pPr>
        <w:pStyle w:val="CBDNormalNumber"/>
        <w:rPr>
          <w:lang w:val="es-ES"/>
        </w:rPr>
      </w:pPr>
      <w:r w:rsidRPr="00E56A6E">
        <w:rPr>
          <w:lang w:val="es-ES"/>
        </w:rPr>
        <w:t>Los datos de</w:t>
      </w:r>
      <w:r w:rsidR="00095164" w:rsidRPr="00E56A6E">
        <w:rPr>
          <w:lang w:val="es-ES"/>
        </w:rPr>
        <w:t xml:space="preserve"> los indicadores </w:t>
      </w:r>
      <w:r w:rsidRPr="00E56A6E">
        <w:rPr>
          <w:lang w:val="es-ES"/>
        </w:rPr>
        <w:t>que figuran en el cuadro 8 muestran que los beneficios monetarios derivados del acceso a los recursos genéticos para su utilización se registran como acumulados en cantidades</w:t>
      </w:r>
      <w:r w:rsidR="00095164" w:rsidRPr="00E56A6E">
        <w:rPr>
          <w:lang w:val="es-ES"/>
        </w:rPr>
        <w:t xml:space="preserve"> considerables </w:t>
      </w:r>
      <w:r w:rsidRPr="00E56A6E">
        <w:rPr>
          <w:lang w:val="es-ES"/>
        </w:rPr>
        <w:t xml:space="preserve">en un número relativamente limitado de Partes. Los beneficios generados por el acceso a los conocimientos tradicionales constituyen una parte comparativamente pequeña del </w:t>
      </w:r>
      <w:r w:rsidRPr="00E56A6E">
        <w:rPr>
          <w:lang w:val="es-ES"/>
        </w:rPr>
        <w:lastRenderedPageBreak/>
        <w:t xml:space="preserve">total de los beneficios, tanto en </w:t>
      </w:r>
      <w:r w:rsidR="009414A6" w:rsidRPr="00E56A6E">
        <w:rPr>
          <w:lang w:val="es-ES"/>
        </w:rPr>
        <w:t xml:space="preserve">cuanto a </w:t>
      </w:r>
      <w:r w:rsidRPr="00E56A6E">
        <w:rPr>
          <w:lang w:val="es-ES"/>
        </w:rPr>
        <w:t>las cantidades comunicadas como del número de Partes que los reciben.</w:t>
      </w:r>
    </w:p>
    <w:p w14:paraId="5215DEF2" w14:textId="56E9B57C" w:rsidR="008118EC" w:rsidRPr="00E56A6E" w:rsidRDefault="008118EC" w:rsidP="008118EC">
      <w:pPr>
        <w:pStyle w:val="CBDNormalNumber"/>
        <w:rPr>
          <w:lang w:val="es-ES"/>
        </w:rPr>
      </w:pPr>
      <w:r w:rsidRPr="00E56A6E">
        <w:rPr>
          <w:lang w:val="es-ES"/>
        </w:rPr>
        <w:t xml:space="preserve">Se calcula que, desde la entrada en vigor del Protocolo, se han recibido aproximadamente 53 millones de dólares </w:t>
      </w:r>
      <w:r w:rsidR="00FC68F8" w:rsidRPr="00E56A6E">
        <w:rPr>
          <w:lang w:val="es-ES"/>
        </w:rPr>
        <w:t xml:space="preserve">de </w:t>
      </w:r>
      <w:proofErr w:type="gramStart"/>
      <w:r w:rsidR="00FC68F8" w:rsidRPr="00E56A6E">
        <w:rPr>
          <w:lang w:val="es-ES"/>
        </w:rPr>
        <w:t>EE.UU.</w:t>
      </w:r>
      <w:proofErr w:type="gramEnd"/>
      <w:r w:rsidR="00FC68F8" w:rsidRPr="00E56A6E">
        <w:rPr>
          <w:lang w:val="es-ES"/>
        </w:rPr>
        <w:t xml:space="preserve"> </w:t>
      </w:r>
      <w:r w:rsidRPr="00E56A6E">
        <w:rPr>
          <w:lang w:val="es-ES"/>
        </w:rPr>
        <w:t xml:space="preserve">en concepto de beneficios derivados del acceso a los recursos genéticos y a los </w:t>
      </w:r>
      <w:r w:rsidR="00D426EC" w:rsidRPr="00E56A6E">
        <w:rPr>
          <w:lang w:val="es-ES"/>
        </w:rPr>
        <w:t>conocimientos tradicionales conexos</w:t>
      </w:r>
      <w:r w:rsidRPr="00E56A6E">
        <w:rPr>
          <w:rStyle w:val="FootnoteReference"/>
          <w:lang w:val="es-ES" w:eastAsia="zh-CN"/>
        </w:rPr>
        <w:footnoteReference w:id="53"/>
      </w:r>
      <w:r w:rsidRPr="00E56A6E">
        <w:rPr>
          <w:lang w:val="es-ES"/>
        </w:rPr>
        <w:t>.</w:t>
      </w:r>
      <w:r w:rsidR="001E37A2" w:rsidRPr="00E56A6E">
        <w:rPr>
          <w:lang w:val="es-ES"/>
        </w:rPr>
        <w:t xml:space="preserve"> </w:t>
      </w:r>
      <w:r w:rsidRPr="00E56A6E">
        <w:rPr>
          <w:lang w:val="es-ES"/>
        </w:rPr>
        <w:t>Cabe deducir que los beneficios derivados del acceso a los conocimientos tradicionales representaron un pequeño porcentaje del importe total</w:t>
      </w:r>
      <w:r w:rsidRPr="00E56A6E">
        <w:rPr>
          <w:rStyle w:val="FootnoteReference"/>
          <w:lang w:val="es-ES" w:eastAsia="zh-CN"/>
        </w:rPr>
        <w:footnoteReference w:id="54"/>
      </w:r>
      <w:r w:rsidRPr="00E56A6E">
        <w:rPr>
          <w:lang w:val="es-ES"/>
        </w:rPr>
        <w:t>.</w:t>
      </w:r>
      <w:r w:rsidR="001E37A2" w:rsidRPr="00E56A6E">
        <w:rPr>
          <w:lang w:val="es-ES"/>
        </w:rPr>
        <w:t xml:space="preserve"> </w:t>
      </w:r>
    </w:p>
    <w:p w14:paraId="2C16BE23" w14:textId="23CB332B" w:rsidR="008118EC" w:rsidRPr="00E56A6E" w:rsidRDefault="008118EC" w:rsidP="008118EC">
      <w:pPr>
        <w:pStyle w:val="CBDNormalNumber"/>
        <w:rPr>
          <w:lang w:val="es-ES"/>
        </w:rPr>
      </w:pPr>
      <w:r w:rsidRPr="00E56A6E">
        <w:rPr>
          <w:lang w:val="es-ES"/>
        </w:rPr>
        <w:t xml:space="preserve">De los beneficios recibidos notificados (53 millones de dólares), el 82 % se destinó a las tres Partes que comunicaron los valores más elevados, a saber, la India (34.600.000 dólares), Costa Rica (5.322.750 dólares) y Sudáfrica (4.621.072 dólares), </w:t>
      </w:r>
      <w:r w:rsidR="00FC68F8" w:rsidRPr="00E56A6E">
        <w:rPr>
          <w:lang w:val="es-ES"/>
        </w:rPr>
        <w:t xml:space="preserve">en tanto que </w:t>
      </w:r>
      <w:r w:rsidRPr="00E56A6E">
        <w:rPr>
          <w:lang w:val="es-ES"/>
        </w:rPr>
        <w:t xml:space="preserve">10 Partes comunicaron haber recibido cantidades comparativamente pequeñas, cada una de ellas inferior a 100.000 dólares. Esto </w:t>
      </w:r>
      <w:r w:rsidR="00FC68F8" w:rsidRPr="00E56A6E">
        <w:rPr>
          <w:lang w:val="es-ES"/>
        </w:rPr>
        <w:t xml:space="preserve">muestra </w:t>
      </w:r>
      <w:r w:rsidRPr="00E56A6E">
        <w:rPr>
          <w:lang w:val="es-ES"/>
        </w:rPr>
        <w:t xml:space="preserve">que el acceso y la participación en los beneficios tienen potencial cuando se ponen plenamente en práctica y se ha adquirido experiencia en su aplicación. A medida que las Partes avancen en la aplicación, la participación en los beneficios se generalizará y contribuirá a la conservación y el uso sostenible de la diversidad biológica. </w:t>
      </w:r>
    </w:p>
    <w:p w14:paraId="7F88FE7B" w14:textId="6AE7298A" w:rsidR="008118EC" w:rsidRPr="00E56A6E" w:rsidRDefault="008118EC" w:rsidP="008118EC">
      <w:pPr>
        <w:pStyle w:val="CBDNormalNumber"/>
        <w:rPr>
          <w:lang w:val="es-ES"/>
        </w:rPr>
      </w:pPr>
      <w:r w:rsidRPr="00E56A6E">
        <w:rPr>
          <w:lang w:val="es-ES"/>
        </w:rPr>
        <w:t xml:space="preserve">A partir del examen de los certificados publicados en el Centro de Intercambio de Información, cabe señalar que, si bien 23 Partes habían publicado certificados con fines comerciales, la mayoría de los certificados habían sido publicados por un número </w:t>
      </w:r>
      <w:r w:rsidR="005929E3" w:rsidRPr="00E56A6E">
        <w:rPr>
          <w:lang w:val="es-ES"/>
        </w:rPr>
        <w:t xml:space="preserve">reducido </w:t>
      </w:r>
      <w:r w:rsidRPr="00E56A6E">
        <w:rPr>
          <w:lang w:val="es-ES"/>
        </w:rPr>
        <w:t>de países</w:t>
      </w:r>
      <w:r w:rsidRPr="00E56A6E">
        <w:rPr>
          <w:rStyle w:val="FootnoteReference"/>
          <w:lang w:val="es-ES" w:eastAsia="zh-CN"/>
        </w:rPr>
        <w:footnoteReference w:id="55"/>
      </w:r>
      <w:r w:rsidRPr="00E56A6E">
        <w:rPr>
          <w:lang w:val="es-ES"/>
        </w:rPr>
        <w:t>.</w:t>
      </w:r>
      <w:r w:rsidR="001E37A2" w:rsidRPr="00E56A6E">
        <w:rPr>
          <w:lang w:val="es-ES"/>
        </w:rPr>
        <w:t xml:space="preserve"> </w:t>
      </w:r>
      <w:r w:rsidRPr="00E56A6E">
        <w:rPr>
          <w:lang w:val="es-ES"/>
        </w:rPr>
        <w:t>El análisis de la información facilitada sobre los certificados comerciales en los que intervenía un usuario extranjero</w:t>
      </w:r>
      <w:r w:rsidR="001E37A2" w:rsidRPr="00E56A6E">
        <w:rPr>
          <w:lang w:val="es-ES"/>
        </w:rPr>
        <w:t xml:space="preserve"> </w:t>
      </w:r>
      <w:r w:rsidRPr="00E56A6E">
        <w:rPr>
          <w:lang w:val="es-ES"/>
        </w:rPr>
        <w:t>reveló que el 75 % de los usuarios procedían del grupo regional de Europa Occidental y otros Estados</w:t>
      </w:r>
      <w:r w:rsidRPr="00E56A6E">
        <w:rPr>
          <w:rStyle w:val="FootnoteReference"/>
          <w:lang w:val="es-ES" w:eastAsia="zh-CN"/>
        </w:rPr>
        <w:footnoteReference w:id="56"/>
      </w:r>
      <w:r w:rsidRPr="00E56A6E">
        <w:rPr>
          <w:lang w:val="es-ES"/>
        </w:rPr>
        <w:t>.</w:t>
      </w:r>
    </w:p>
    <w:p w14:paraId="4597B69C" w14:textId="3A8ABF93" w:rsidR="008118EC" w:rsidRPr="00E56A6E" w:rsidRDefault="008118EC" w:rsidP="008118EC">
      <w:pPr>
        <w:pStyle w:val="CBDNormalNumber"/>
        <w:rPr>
          <w:lang w:val="es-ES"/>
        </w:rPr>
      </w:pPr>
      <w:r w:rsidRPr="00E56A6E">
        <w:rPr>
          <w:lang w:val="es-ES"/>
        </w:rPr>
        <w:t>Dado que la mayoría de los permisos de acceso y participación en los beneficios se conceden para la investigación no comercial, las Partes suelen informar con mayor frecuencia de beneficios no monetarios</w:t>
      </w:r>
      <w:r w:rsidRPr="00E56A6E">
        <w:rPr>
          <w:rStyle w:val="FootnoteReference"/>
          <w:lang w:val="es-ES" w:eastAsia="zh-CN"/>
        </w:rPr>
        <w:footnoteReference w:id="57"/>
      </w:r>
      <w:r w:rsidRPr="00E56A6E">
        <w:rPr>
          <w:lang w:val="es-ES"/>
        </w:rPr>
        <w:t xml:space="preserve">. Los beneficios no monetarios se valoran en función de su contribución a las capacidades locales y a la conservación y el uso sostenible. </w:t>
      </w:r>
    </w:p>
    <w:p w14:paraId="6845574F" w14:textId="3A600C2F" w:rsidR="008118EC" w:rsidRPr="00E56A6E" w:rsidRDefault="008118EC" w:rsidP="008118EC">
      <w:pPr>
        <w:pStyle w:val="CBDNormalNumber"/>
        <w:rPr>
          <w:lang w:val="es-ES"/>
        </w:rPr>
      </w:pPr>
      <w:r w:rsidRPr="00E56A6E">
        <w:rPr>
          <w:lang w:val="es-ES"/>
        </w:rPr>
        <w:t>África fue la región líder en cuanto al número de países que comunicaron haber recibido beneficios (ya fueran monetarios o no monetarios), seguida del grupo regional de Estados de Asia y el Pacífico. Las tasas de acceso y los pagos por adelantado fueron las formas más comunes de beneficios monetarios compartidos, mientras que el intercambio de información y de resultados de investigación fue el tipo más común de participación en los beneficios no monetarios.</w:t>
      </w:r>
    </w:p>
    <w:p w14:paraId="47336D55" w14:textId="68EDC21F" w:rsidR="008118EC" w:rsidRPr="00E56A6E" w:rsidRDefault="003D24ED" w:rsidP="008118EC">
      <w:pPr>
        <w:pStyle w:val="CBDNormalNumber"/>
        <w:rPr>
          <w:lang w:val="es-ES"/>
        </w:rPr>
      </w:pPr>
      <w:r w:rsidRPr="00E56A6E">
        <w:rPr>
          <w:lang w:val="es-ES"/>
        </w:rPr>
        <w:t xml:space="preserve">Según un </w:t>
      </w:r>
      <w:r w:rsidR="008118EC" w:rsidRPr="00E56A6E">
        <w:rPr>
          <w:lang w:val="es-ES"/>
        </w:rPr>
        <w:t xml:space="preserve">análisis más </w:t>
      </w:r>
      <w:r w:rsidRPr="00E56A6E">
        <w:rPr>
          <w:lang w:val="es-ES"/>
        </w:rPr>
        <w:t xml:space="preserve">pormenorizado </w:t>
      </w:r>
      <w:r w:rsidR="008118EC" w:rsidRPr="00E56A6E">
        <w:rPr>
          <w:lang w:val="es-ES"/>
        </w:rPr>
        <w:t>de la información</w:t>
      </w:r>
      <w:r w:rsidRPr="00E56A6E">
        <w:rPr>
          <w:lang w:val="es-ES"/>
        </w:rPr>
        <w:t>,</w:t>
      </w:r>
      <w:r w:rsidR="008118EC" w:rsidRPr="00E56A6E">
        <w:rPr>
          <w:lang w:val="es-ES"/>
        </w:rPr>
        <w:t xml:space="preserve"> aproximadamente el 58 % de todos los certificados publicados habían sido concedidos a usuarios</w:t>
      </w:r>
      <w:r w:rsidR="008118EC" w:rsidRPr="00E56A6E">
        <w:rPr>
          <w:rStyle w:val="FootnoteReference"/>
          <w:lang w:val="es-ES" w:eastAsia="zh-CN"/>
        </w:rPr>
        <w:footnoteReference w:id="58"/>
      </w:r>
      <w:r w:rsidR="008118EC" w:rsidRPr="00E56A6E">
        <w:rPr>
          <w:lang w:val="es-ES" w:eastAsia="zh-CN"/>
        </w:rPr>
        <w:t xml:space="preserve"> </w:t>
      </w:r>
      <w:r w:rsidR="008118EC" w:rsidRPr="00E56A6E">
        <w:rPr>
          <w:lang w:val="es-ES"/>
        </w:rPr>
        <w:t>nacionales</w:t>
      </w:r>
      <w:r w:rsidR="001E37A2" w:rsidRPr="00E56A6E">
        <w:rPr>
          <w:lang w:val="es-ES"/>
        </w:rPr>
        <w:t xml:space="preserve"> </w:t>
      </w:r>
      <w:r w:rsidR="008118EC" w:rsidRPr="00E56A6E">
        <w:rPr>
          <w:lang w:val="es-ES"/>
        </w:rPr>
        <w:t xml:space="preserve">por dos Partes (certificados internos). En alrededor del 28 % de los casos, la entidad a la que se concedió el consentimiento fundamentado previo procedía de un país distinto del que expidió el permiso o su </w:t>
      </w:r>
      <w:r w:rsidR="008118EC" w:rsidRPr="00E56A6E">
        <w:rPr>
          <w:lang w:val="es-ES"/>
        </w:rPr>
        <w:lastRenderedPageBreak/>
        <w:t>equivalente (certificados externos). Esto proporcionó una indicación de los tipos de usuarios que compartían esos beneficios</w:t>
      </w:r>
      <w:r w:rsidR="008118EC" w:rsidRPr="00E56A6E">
        <w:rPr>
          <w:lang w:val="es-ES" w:eastAsia="zh-CN"/>
        </w:rPr>
        <w:t>.</w:t>
      </w:r>
      <w:r w:rsidR="008118EC" w:rsidRPr="00E56A6E">
        <w:rPr>
          <w:rStyle w:val="FootnoteReference"/>
          <w:lang w:val="es-ES" w:eastAsia="zh-CN"/>
        </w:rPr>
        <w:footnoteReference w:id="59"/>
      </w:r>
      <w:r w:rsidR="008118EC" w:rsidRPr="00E56A6E">
        <w:rPr>
          <w:lang w:val="es-ES"/>
        </w:rPr>
        <w:t xml:space="preserve"> </w:t>
      </w:r>
    </w:p>
    <w:p w14:paraId="3A67941B" w14:textId="41ADE25E" w:rsidR="008118EC" w:rsidRPr="00E56A6E" w:rsidRDefault="008118EC" w:rsidP="008118EC">
      <w:pPr>
        <w:pStyle w:val="CBDNormalNumber"/>
        <w:rPr>
          <w:lang w:val="es-ES"/>
        </w:rPr>
      </w:pPr>
      <w:r w:rsidRPr="00E56A6E">
        <w:rPr>
          <w:lang w:val="es-ES"/>
        </w:rPr>
        <w:t>Las Partes</w:t>
      </w:r>
      <w:r w:rsidR="003D24ED" w:rsidRPr="00E56A6E">
        <w:rPr>
          <w:lang w:val="es-ES"/>
        </w:rPr>
        <w:t xml:space="preserve"> aportaron </w:t>
      </w:r>
      <w:r w:rsidRPr="00E56A6E">
        <w:rPr>
          <w:lang w:val="es-ES"/>
        </w:rPr>
        <w:t>ejemplos concretos de cómo la participación en los beneficios y la aplicación del Protocolo habían contribuido a las economías locales y a la conservación y el uso sostenible de la diversidad</w:t>
      </w:r>
      <w:r w:rsidR="003D24ED" w:rsidRPr="00E56A6E">
        <w:rPr>
          <w:lang w:val="es-ES"/>
        </w:rPr>
        <w:t xml:space="preserve"> biológica</w:t>
      </w:r>
      <w:r w:rsidRPr="00E56A6E">
        <w:rPr>
          <w:lang w:val="es-ES"/>
        </w:rPr>
        <w:t>. Algunas de esas ventajas fueron señaladas por Partes que aún se encontraban en proceso de elaborar medidas para poner en práctica sus marcos jurídicos e institucionales. Las Partes indicaron que la aplicación del Protocolo había dado lugar, por ejemplo, a:</w:t>
      </w:r>
    </w:p>
    <w:p w14:paraId="5DB35601" w14:textId="0AD7F720" w:rsidR="008118EC" w:rsidRPr="00E56A6E" w:rsidRDefault="008118EC" w:rsidP="00320511">
      <w:pPr>
        <w:pStyle w:val="CBDNormalNumber"/>
        <w:numPr>
          <w:ilvl w:val="1"/>
          <w:numId w:val="7"/>
        </w:numPr>
        <w:ind w:left="567" w:firstLine="567"/>
        <w:rPr>
          <w:lang w:val="es-ES"/>
        </w:rPr>
      </w:pPr>
      <w:r w:rsidRPr="00E56A6E">
        <w:rPr>
          <w:lang w:val="es-ES"/>
        </w:rPr>
        <w:t xml:space="preserve">Una mayor sensibilización sobre el valor de los recursos genéticos y los </w:t>
      </w:r>
      <w:r w:rsidR="00D426EC" w:rsidRPr="00E56A6E">
        <w:rPr>
          <w:lang w:val="es-ES"/>
        </w:rPr>
        <w:t>conocimientos tradicionales conexos</w:t>
      </w:r>
      <w:r w:rsidRPr="00E56A6E">
        <w:rPr>
          <w:lang w:val="es-ES"/>
        </w:rPr>
        <w:t>;</w:t>
      </w:r>
    </w:p>
    <w:p w14:paraId="16BDF702" w14:textId="6A8D6C1B" w:rsidR="008118EC" w:rsidRPr="00E56A6E" w:rsidRDefault="008118EC" w:rsidP="00320511">
      <w:pPr>
        <w:pStyle w:val="CBDNormalNumber"/>
        <w:numPr>
          <w:ilvl w:val="1"/>
          <w:numId w:val="7"/>
        </w:numPr>
        <w:ind w:left="567" w:firstLine="567"/>
        <w:rPr>
          <w:lang w:val="es-ES"/>
        </w:rPr>
      </w:pPr>
      <w:r w:rsidRPr="00E56A6E">
        <w:rPr>
          <w:lang w:val="es-ES"/>
        </w:rPr>
        <w:t xml:space="preserve">La gestión sostenible de los recursos </w:t>
      </w:r>
      <w:r w:rsidR="003D24ED" w:rsidRPr="00E56A6E">
        <w:rPr>
          <w:lang w:val="es-ES"/>
        </w:rPr>
        <w:t xml:space="preserve">pertinentes </w:t>
      </w:r>
      <w:r w:rsidRPr="00E56A6E">
        <w:rPr>
          <w:lang w:val="es-ES"/>
        </w:rPr>
        <w:t xml:space="preserve">para las cadenas de valor del acceso y la participación en los beneficios y </w:t>
      </w:r>
      <w:r w:rsidR="001939F2" w:rsidRPr="00E56A6E">
        <w:rPr>
          <w:lang w:val="es-ES"/>
        </w:rPr>
        <w:t>e</w:t>
      </w:r>
      <w:r w:rsidRPr="00E56A6E">
        <w:rPr>
          <w:lang w:val="es-ES"/>
        </w:rPr>
        <w:t xml:space="preserve">l desarrollo de productos, entre otras cosas mediante </w:t>
      </w:r>
      <w:r w:rsidR="001939F2" w:rsidRPr="00E56A6E">
        <w:rPr>
          <w:lang w:val="es-ES"/>
        </w:rPr>
        <w:t xml:space="preserve">la creación de </w:t>
      </w:r>
      <w:r w:rsidRPr="00E56A6E">
        <w:rPr>
          <w:lang w:val="es-ES"/>
        </w:rPr>
        <w:t xml:space="preserve">viveros, la recolección sostenible y </w:t>
      </w:r>
      <w:r w:rsidR="001939F2" w:rsidRPr="00E56A6E">
        <w:rPr>
          <w:lang w:val="es-ES"/>
        </w:rPr>
        <w:t>la elaboración postcosecha</w:t>
      </w:r>
      <w:r w:rsidRPr="00E56A6E">
        <w:rPr>
          <w:lang w:val="es-ES"/>
        </w:rPr>
        <w:t>;</w:t>
      </w:r>
    </w:p>
    <w:p w14:paraId="2A2D66DB" w14:textId="77777777" w:rsidR="008118EC" w:rsidRPr="00E56A6E" w:rsidRDefault="008118EC" w:rsidP="00320511">
      <w:pPr>
        <w:pStyle w:val="CBDNormalNumber"/>
        <w:numPr>
          <w:ilvl w:val="1"/>
          <w:numId w:val="7"/>
        </w:numPr>
        <w:ind w:left="567" w:firstLine="567"/>
        <w:rPr>
          <w:lang w:val="es-ES"/>
        </w:rPr>
      </w:pPr>
      <w:r w:rsidRPr="00E56A6E">
        <w:rPr>
          <w:lang w:val="es-ES"/>
        </w:rPr>
        <w:t>El empleo local;</w:t>
      </w:r>
    </w:p>
    <w:p w14:paraId="28456692" w14:textId="77777777" w:rsidR="008118EC" w:rsidRPr="00E56A6E" w:rsidRDefault="008118EC" w:rsidP="00320511">
      <w:pPr>
        <w:pStyle w:val="CBDNormalNumber"/>
        <w:numPr>
          <w:ilvl w:val="1"/>
          <w:numId w:val="7"/>
        </w:numPr>
        <w:ind w:left="567" w:firstLine="567"/>
        <w:rPr>
          <w:lang w:val="es-ES"/>
        </w:rPr>
      </w:pPr>
      <w:r w:rsidRPr="00E56A6E">
        <w:rPr>
          <w:lang w:val="es-ES"/>
        </w:rPr>
        <w:t>Una documentación más sistemática de la diversidad genética y las mejores prácticas en la recolección y utilización de los recursos genéticos;</w:t>
      </w:r>
    </w:p>
    <w:p w14:paraId="3101E6F3" w14:textId="77777777" w:rsidR="008118EC" w:rsidRPr="00E56A6E" w:rsidRDefault="008118EC" w:rsidP="00320511">
      <w:pPr>
        <w:pStyle w:val="CBDNormalNumber"/>
        <w:numPr>
          <w:ilvl w:val="1"/>
          <w:numId w:val="7"/>
        </w:numPr>
        <w:ind w:left="567" w:firstLine="567"/>
        <w:rPr>
          <w:lang w:val="es-ES"/>
        </w:rPr>
      </w:pPr>
      <w:r w:rsidRPr="00E56A6E">
        <w:rPr>
          <w:lang w:val="es-ES"/>
        </w:rPr>
        <w:t>Una mayor apertura y disposición a la cooperación por parte de los investigadores a la hora de compartir los resultados de sus estudios, así como un mayor estímulo para que sus actividades se ajusten a los objetivos relacionados con la conservación;</w:t>
      </w:r>
    </w:p>
    <w:p w14:paraId="25E6EFB6" w14:textId="77777777" w:rsidR="008118EC" w:rsidRPr="00E56A6E" w:rsidRDefault="008118EC" w:rsidP="00320511">
      <w:pPr>
        <w:pStyle w:val="CBDNormalNumber"/>
        <w:numPr>
          <w:ilvl w:val="1"/>
          <w:numId w:val="7"/>
        </w:numPr>
        <w:ind w:left="567" w:firstLine="567"/>
        <w:rPr>
          <w:lang w:val="es-ES"/>
        </w:rPr>
      </w:pPr>
      <w:r w:rsidRPr="00E56A6E">
        <w:rPr>
          <w:lang w:val="es-ES"/>
        </w:rPr>
        <w:t>Una mejora en el desarrollo de capacidades, el intercambio de información, la transferencia de tecnología y los acuerdos de coautoría, lo que ha potenciado significativamente la capacidad nacional de investigación;</w:t>
      </w:r>
    </w:p>
    <w:p w14:paraId="14CFB474" w14:textId="0685B5DD" w:rsidR="008118EC" w:rsidRPr="00E56A6E" w:rsidRDefault="008118EC" w:rsidP="00320511">
      <w:pPr>
        <w:pStyle w:val="CBDNormalNumber"/>
        <w:numPr>
          <w:ilvl w:val="1"/>
          <w:numId w:val="7"/>
        </w:numPr>
        <w:ind w:left="567" w:firstLine="567"/>
        <w:rPr>
          <w:lang w:val="es-ES"/>
        </w:rPr>
      </w:pPr>
      <w:r w:rsidRPr="00E56A6E">
        <w:rPr>
          <w:lang w:val="es-ES"/>
        </w:rPr>
        <w:t xml:space="preserve">Mayor participación de los pueblos indígenas y las comunidades locales en la gobernanza de la diversidad </w:t>
      </w:r>
      <w:r w:rsidR="001939F2" w:rsidRPr="00E56A6E">
        <w:rPr>
          <w:lang w:val="es-ES"/>
        </w:rPr>
        <w:t xml:space="preserve">biológica </w:t>
      </w:r>
      <w:r w:rsidRPr="00E56A6E">
        <w:rPr>
          <w:lang w:val="es-ES"/>
        </w:rPr>
        <w:t>y fortalecimiento de la apropiación y la sostenibilidad de l</w:t>
      </w:r>
      <w:r w:rsidR="001939F2" w:rsidRPr="00E56A6E">
        <w:rPr>
          <w:lang w:val="es-ES"/>
        </w:rPr>
        <w:t>as iniciativas</w:t>
      </w:r>
      <w:r w:rsidRPr="00E56A6E">
        <w:rPr>
          <w:lang w:val="es-ES"/>
        </w:rPr>
        <w:t>;</w:t>
      </w:r>
    </w:p>
    <w:p w14:paraId="169F2D80" w14:textId="6E141DFF" w:rsidR="008118EC" w:rsidRPr="00E56A6E" w:rsidRDefault="008118EC" w:rsidP="00320511">
      <w:pPr>
        <w:pStyle w:val="CBDNormalNumber"/>
        <w:numPr>
          <w:ilvl w:val="1"/>
          <w:numId w:val="7"/>
        </w:numPr>
        <w:ind w:left="567" w:firstLine="567"/>
        <w:rPr>
          <w:lang w:val="es-ES"/>
        </w:rPr>
      </w:pPr>
      <w:r w:rsidRPr="00E56A6E">
        <w:rPr>
          <w:lang w:val="es-ES"/>
        </w:rPr>
        <w:t>Disfrute de beneficios no monetarios por parte de las universidades locales, los centros de investigación, los bancos de genes, las instituciones públicas, los estudiantes y los laboratorios locales.</w:t>
      </w:r>
    </w:p>
    <w:p w14:paraId="64CA754F" w14:textId="3A2675D8" w:rsidR="00452379" w:rsidRPr="00E56A6E" w:rsidRDefault="00653A73" w:rsidP="00F01C9E">
      <w:pPr>
        <w:pStyle w:val="CBDTableTitle"/>
        <w:rPr>
          <w:lang w:val="es-ES"/>
        </w:rPr>
      </w:pPr>
      <w:r w:rsidRPr="00E56A6E">
        <w:rPr>
          <w:b w:val="0"/>
          <w:bCs/>
          <w:lang w:val="es-ES"/>
        </w:rPr>
        <w:t>Cuadro</w:t>
      </w:r>
      <w:r w:rsidR="00452379" w:rsidRPr="00E56A6E">
        <w:rPr>
          <w:b w:val="0"/>
          <w:bCs/>
          <w:lang w:val="es-ES"/>
        </w:rPr>
        <w:t xml:space="preserve"> 8</w:t>
      </w:r>
      <w:r w:rsidR="00452379" w:rsidRPr="00E56A6E">
        <w:rPr>
          <w:lang w:val="es-ES"/>
        </w:rPr>
        <w:t xml:space="preserve"> </w:t>
      </w:r>
      <w:r w:rsidR="00F01C9E" w:rsidRPr="00E56A6E">
        <w:rPr>
          <w:lang w:val="es-ES"/>
        </w:rPr>
        <w:br/>
      </w:r>
      <w:r w:rsidR="002D64C0" w:rsidRPr="00E56A6E">
        <w:rPr>
          <w:lang w:val="es-ES"/>
        </w:rPr>
        <w:t>Indicadores para medir los avances en la eficacia de la aplicación del Protocolo de Nagoya</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452379" w:rsidRPr="005A210D" w14:paraId="5A70E7D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034ADD" w14:textId="257C8DD1" w:rsidR="00452379" w:rsidRPr="00E56A6E" w:rsidRDefault="00EE1C1B" w:rsidP="006B066D">
            <w:pPr>
              <w:keepNext/>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lang w:val="es-ES"/>
              </w:rPr>
            </w:pPr>
            <w:bookmarkStart w:id="11" w:name="_Hlk215227679"/>
            <w:r w:rsidRPr="00E56A6E">
              <w:rPr>
                <w:rFonts w:asciiTheme="majorBidi" w:hAnsiTheme="majorBidi" w:cstheme="majorBidi"/>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5BE119" w14:textId="1D7AD0CD" w:rsidR="00452379" w:rsidRPr="00E56A6E" w:rsidRDefault="007F3ECF" w:rsidP="006B066D">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Punto de referencia</w:t>
            </w:r>
            <w:r w:rsidR="00452379" w:rsidRPr="00E56A6E">
              <w:rPr>
                <w:rFonts w:asciiTheme="majorBidi" w:hAnsiTheme="majorBidi" w:cstheme="majorBidi"/>
                <w:i/>
                <w:iCs/>
                <w:kern w:val="22"/>
                <w:sz w:val="20"/>
                <w:szCs w:val="20"/>
                <w:lang w:val="es-ES"/>
              </w:rPr>
              <w:t xml:space="preserve"> </w:t>
            </w:r>
            <w:r w:rsidR="005351E3" w:rsidRPr="00E56A6E">
              <w:rPr>
                <w:rFonts w:asciiTheme="majorBidi" w:hAnsiTheme="majorBidi" w:cstheme="majorBidi"/>
                <w:i/>
                <w:iCs/>
                <w:kern w:val="22"/>
                <w:sz w:val="20"/>
                <w:szCs w:val="20"/>
                <w:lang w:val="es-ES"/>
              </w:rPr>
              <w:br/>
            </w:r>
            <w:r w:rsidR="00452379" w:rsidRPr="00E56A6E">
              <w:rPr>
                <w:rFonts w:asciiTheme="majorBidi" w:hAnsiTheme="majorBidi" w:cstheme="majorBidi"/>
                <w:i/>
                <w:iCs/>
                <w:kern w:val="22"/>
                <w:sz w:val="20"/>
                <w:szCs w:val="20"/>
                <w:lang w:val="es-ES"/>
              </w:rPr>
              <w:t>(</w:t>
            </w:r>
            <w:r w:rsidRPr="00E56A6E">
              <w:rPr>
                <w:rFonts w:asciiTheme="majorBidi" w:hAnsiTheme="majorBidi" w:cstheme="majorBidi"/>
                <w:i/>
                <w:iCs/>
                <w:kern w:val="22"/>
                <w:sz w:val="20"/>
                <w:szCs w:val="20"/>
                <w:lang w:val="es-ES"/>
              </w:rPr>
              <w:t>al 22 de febrero de 2018</w:t>
            </w:r>
            <w:r w:rsidR="00452379" w:rsidRPr="00E56A6E">
              <w:rPr>
                <w:rFonts w:asciiTheme="majorBidi" w:hAnsiTheme="majorBidi" w:cstheme="majorBidi"/>
                <w:i/>
                <w:iCs/>
                <w:kern w:val="22"/>
                <w:sz w:val="20"/>
                <w:szCs w:val="20"/>
                <w:lang w:val="es-ES"/>
              </w:rPr>
              <w:t>)</w:t>
            </w:r>
          </w:p>
        </w:tc>
        <w:tc>
          <w:tcPr>
            <w:tcW w:w="1512" w:type="dxa"/>
            <w:tcBorders>
              <w:top w:val="single" w:sz="4" w:space="0" w:color="auto"/>
              <w:left w:val="single" w:sz="4" w:space="0" w:color="auto"/>
              <w:bottom w:val="single" w:sz="4" w:space="0" w:color="auto"/>
              <w:right w:val="single" w:sz="4" w:space="0" w:color="auto"/>
            </w:tcBorders>
            <w:vAlign w:val="bottom"/>
          </w:tcPr>
          <w:p w14:paraId="6AD72344" w14:textId="4F1EB5A7" w:rsidR="00452379" w:rsidRPr="00E56A6E" w:rsidRDefault="007F3ECF" w:rsidP="006B066D">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Avances al 9 de marzo de 2026</w:t>
            </w:r>
          </w:p>
        </w:tc>
      </w:tr>
      <w:bookmarkEnd w:id="11"/>
      <w:tr w:rsidR="002D64C0" w:rsidRPr="00E56A6E" w14:paraId="14C7C42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7AA13C" w14:textId="18E5BA1F"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w:t>
            </w:r>
            <w:proofErr w:type="spellStart"/>
            <w:r w:rsidRPr="00E56A6E">
              <w:rPr>
                <w:sz w:val="20"/>
                <w:szCs w:val="20"/>
                <w:lang w:val="es-ES"/>
              </w:rPr>
              <w:t>porcentaje</w:t>
            </w:r>
            <w:r w:rsidRPr="00E56A6E">
              <w:rPr>
                <w:i/>
                <w:iCs/>
                <w:kern w:val="22"/>
                <w:sz w:val="20"/>
                <w:szCs w:val="20"/>
                <w:vertAlign w:val="superscript"/>
                <w:lang w:val="es-ES"/>
              </w:rPr>
              <w:t>a</w:t>
            </w:r>
            <w:proofErr w:type="spellEnd"/>
            <w:r w:rsidRPr="00E56A6E">
              <w:rPr>
                <w:sz w:val="20"/>
                <w:szCs w:val="20"/>
                <w:lang w:val="es-ES"/>
              </w:rPr>
              <w:t xml:space="preserve"> de Partes que exigen el consentimiento fundamentado previo para el acceso a los recursos genéticos y que facilitan información sobre cómo solicitar dicho consentimiento, </w:t>
            </w:r>
            <w:r w:rsidR="00770CE7" w:rsidRPr="00E56A6E">
              <w:rPr>
                <w:sz w:val="20"/>
                <w:szCs w:val="20"/>
                <w:lang w:val="es-ES"/>
              </w:rPr>
              <w:t>tal como</w:t>
            </w:r>
            <w:r w:rsidRPr="00E56A6E">
              <w:rPr>
                <w:sz w:val="20"/>
                <w:szCs w:val="20"/>
                <w:lang w:val="es-ES"/>
              </w:rPr>
              <w:t xml:space="preserve"> se establece en el artículo 6 3</w:t>
            </w:r>
            <w:r w:rsidR="008557EB" w:rsidRPr="00E56A6E">
              <w:rPr>
                <w:sz w:val="20"/>
                <w:szCs w:val="20"/>
                <w:lang w:val="es-ES"/>
              </w:rPr>
              <w:t>)</w:t>
            </w:r>
            <w:r w:rsidRPr="00E56A6E">
              <w:rPr>
                <w:sz w:val="20"/>
                <w:szCs w:val="20"/>
                <w:lang w:val="es-ES"/>
              </w:rPr>
              <w:t xml:space="preserve">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3883FE1" w14:textId="19D79720"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27 (7 %)</w:t>
            </w:r>
          </w:p>
        </w:tc>
        <w:tc>
          <w:tcPr>
            <w:tcW w:w="1512" w:type="dxa"/>
            <w:vAlign w:val="bottom"/>
          </w:tcPr>
          <w:p w14:paraId="2D0786B6" w14:textId="2B0B7AD2"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68 (91 %)</w:t>
            </w:r>
          </w:p>
        </w:tc>
      </w:tr>
      <w:tr w:rsidR="002D64C0" w:rsidRPr="00E56A6E" w14:paraId="4822D16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BC729E" w14:textId="2C46EEA6" w:rsidR="00483AC5" w:rsidRPr="00E56A6E" w:rsidRDefault="002D64C0" w:rsidP="002D64C0">
            <w:pPr>
              <w:suppressLineNumbers/>
              <w:suppressAutoHyphens/>
              <w:kinsoku w:val="0"/>
              <w:overflowPunct w:val="0"/>
              <w:autoSpaceDE w:val="0"/>
              <w:autoSpaceDN w:val="0"/>
              <w:adjustRightInd w:val="0"/>
              <w:snapToGrid w:val="0"/>
              <w:jc w:val="left"/>
              <w:rPr>
                <w:sz w:val="20"/>
                <w:szCs w:val="20"/>
                <w:lang w:val="es-ES"/>
              </w:rPr>
            </w:pPr>
            <w:r w:rsidRPr="00E56A6E">
              <w:rPr>
                <w:sz w:val="20"/>
                <w:szCs w:val="20"/>
                <w:lang w:val="es-ES"/>
              </w:rPr>
              <w:t xml:space="preserve">Número y </w:t>
            </w:r>
            <w:proofErr w:type="spellStart"/>
            <w:r w:rsidRPr="00E56A6E">
              <w:rPr>
                <w:sz w:val="20"/>
                <w:szCs w:val="20"/>
                <w:lang w:val="es-ES"/>
              </w:rPr>
              <w:t>porcentaje</w:t>
            </w:r>
            <w:r w:rsidRPr="00E56A6E">
              <w:rPr>
                <w:i/>
                <w:iCs/>
                <w:kern w:val="22"/>
                <w:sz w:val="20"/>
                <w:szCs w:val="20"/>
                <w:vertAlign w:val="superscript"/>
                <w:lang w:val="es-ES"/>
              </w:rPr>
              <w:t>a</w:t>
            </w:r>
            <w:proofErr w:type="spellEnd"/>
            <w:r w:rsidRPr="00E56A6E">
              <w:rPr>
                <w:sz w:val="20"/>
                <w:szCs w:val="20"/>
                <w:lang w:val="es-ES"/>
              </w:rPr>
              <w:t xml:space="preserve"> de Partes que exigen el consentimiento fundamentado previo y que prevén la expedición, </w:t>
            </w:r>
            <w:r w:rsidR="00483AC5" w:rsidRPr="00E56A6E">
              <w:rPr>
                <w:sz w:val="20"/>
                <w:szCs w:val="20"/>
                <w:lang w:val="es-ES"/>
              </w:rPr>
              <w:t xml:space="preserve">al </w:t>
            </w:r>
            <w:r w:rsidRPr="00E56A6E">
              <w:rPr>
                <w:sz w:val="20"/>
                <w:szCs w:val="20"/>
                <w:lang w:val="es-ES"/>
              </w:rPr>
              <w:t>momento del acceso, de un permiso o su equivalente, tal como se establece en el artículo 6</w:t>
            </w:r>
            <w:r w:rsidR="00EF0453" w:rsidRPr="00E56A6E">
              <w:rPr>
                <w:sz w:val="20"/>
                <w:szCs w:val="20"/>
                <w:lang w:val="es-ES"/>
              </w:rPr>
              <w:t> </w:t>
            </w:r>
            <w:r w:rsidRPr="00E56A6E">
              <w:rPr>
                <w:sz w:val="20"/>
                <w:szCs w:val="20"/>
                <w:lang w:val="es-ES"/>
              </w:rPr>
              <w:t>3</w:t>
            </w:r>
            <w:r w:rsidR="00EF0453" w:rsidRPr="00E56A6E">
              <w:rPr>
                <w:sz w:val="20"/>
                <w:szCs w:val="20"/>
                <w:lang w:val="es-ES"/>
              </w:rPr>
              <w:t>) </w:t>
            </w:r>
            <w:r w:rsidRPr="00E56A6E">
              <w:rPr>
                <w:sz w:val="20"/>
                <w:szCs w:val="20"/>
                <w:lang w:val="es-ES"/>
              </w:rPr>
              <w:t>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85F390" w14:textId="56BA76B3"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32 (86 %)</w:t>
            </w:r>
          </w:p>
        </w:tc>
        <w:tc>
          <w:tcPr>
            <w:tcW w:w="1512" w:type="dxa"/>
            <w:tcBorders>
              <w:top w:val="single" w:sz="4" w:space="0" w:color="auto"/>
              <w:left w:val="single" w:sz="4" w:space="0" w:color="auto"/>
              <w:bottom w:val="single" w:sz="4" w:space="0" w:color="auto"/>
              <w:right w:val="single" w:sz="4" w:space="0" w:color="auto"/>
            </w:tcBorders>
            <w:vAlign w:val="bottom"/>
          </w:tcPr>
          <w:p w14:paraId="63DD9ED2" w14:textId="2656C753"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69 (93 %)</w:t>
            </w:r>
          </w:p>
        </w:tc>
      </w:tr>
      <w:tr w:rsidR="002D64C0" w:rsidRPr="00E56A6E" w14:paraId="63232BB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C75013" w14:textId="21E8634B"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han publicado certificados de cumplimiento reconocidos internacionalmente en el </w:t>
            </w:r>
            <w:r w:rsidR="00B67C83" w:rsidRPr="00E56A6E">
              <w:rPr>
                <w:sz w:val="20"/>
                <w:szCs w:val="20"/>
                <w:lang w:val="es-ES"/>
              </w:rPr>
              <w:t>Centro de Intercambio de Información sobre Acceso y Participación</w:t>
            </w:r>
            <w:r w:rsidRPr="00E56A6E">
              <w:rPr>
                <w:sz w:val="20"/>
                <w:szCs w:val="20"/>
                <w:lang w:val="es-ES"/>
              </w:rPr>
              <w:t xml:space="preserve"> en los Beneficios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B57E0F0" w14:textId="551B0A6A"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eastAsia="Calibri" w:hAnsiTheme="majorBidi" w:cstheme="majorBidi"/>
                <w:kern w:val="22"/>
                <w:lang w:val="es-ES"/>
              </w:rPr>
              <w:t>12 (11 %)</w:t>
            </w:r>
          </w:p>
        </w:tc>
        <w:tc>
          <w:tcPr>
            <w:tcW w:w="1512" w:type="dxa"/>
            <w:tcBorders>
              <w:top w:val="single" w:sz="4" w:space="0" w:color="auto"/>
              <w:left w:val="single" w:sz="4" w:space="0" w:color="auto"/>
              <w:bottom w:val="single" w:sz="4" w:space="0" w:color="auto"/>
              <w:right w:val="single" w:sz="4" w:space="0" w:color="auto"/>
            </w:tcBorders>
            <w:vAlign w:val="bottom"/>
          </w:tcPr>
          <w:p w14:paraId="055D30BB" w14:textId="78AD3B61"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sz w:val="20"/>
                <w:szCs w:val="20"/>
                <w:lang w:val="es-ES"/>
              </w:rPr>
              <w:t>34 (24 %)</w:t>
            </w:r>
          </w:p>
        </w:tc>
      </w:tr>
      <w:tr w:rsidR="002D64C0" w:rsidRPr="00E56A6E" w14:paraId="3CCC70E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518ECE" w14:textId="1384A845"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lastRenderedPageBreak/>
              <w:t>Número y porcentaje de Partes que han creado condiciones para promover y fomentar la investigación que contribuye a la conservación y el uso sostenible de la diversidad biológica, según lo dispuesto en el artículo 8</w:t>
            </w:r>
            <w:r w:rsidR="008557EB" w:rsidRPr="00E56A6E">
              <w:rPr>
                <w:sz w:val="20"/>
                <w:szCs w:val="20"/>
                <w:lang w:val="es-ES"/>
              </w:rPr>
              <w:t> </w:t>
            </w:r>
            <w:r w:rsidRPr="00E56A6E">
              <w:rPr>
                <w:sz w:val="20"/>
                <w:szCs w:val="20"/>
                <w:lang w:val="es-ES"/>
              </w:rPr>
              <w:t>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EE067EC" w14:textId="111EF9E6"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48 (46 %)</w:t>
            </w:r>
          </w:p>
        </w:tc>
        <w:tc>
          <w:tcPr>
            <w:tcW w:w="1512" w:type="dxa"/>
            <w:tcBorders>
              <w:top w:val="single" w:sz="4" w:space="0" w:color="auto"/>
              <w:left w:val="single" w:sz="4" w:space="0" w:color="auto"/>
              <w:bottom w:val="single" w:sz="4" w:space="0" w:color="auto"/>
              <w:right w:val="single" w:sz="4" w:space="0" w:color="auto"/>
            </w:tcBorders>
            <w:vAlign w:val="bottom"/>
          </w:tcPr>
          <w:p w14:paraId="31FFC8F0" w14:textId="145126B5"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81 (57 %\)</w:t>
            </w:r>
          </w:p>
        </w:tc>
      </w:tr>
      <w:tr w:rsidR="002D64C0" w:rsidRPr="00E56A6E" w14:paraId="087A129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56130" w14:textId="4F952FA2"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Número y porcentaje de Partes que han prestado la debida atención a los casos de emergencias actuales o inminentes que amenacen o perjudiquen la salud humana, animal o vegetal, según lo dispuesto en el artículo 8</w:t>
            </w:r>
            <w:r w:rsidR="008557EB" w:rsidRPr="00E56A6E">
              <w:rPr>
                <w:sz w:val="20"/>
                <w:szCs w:val="20"/>
                <w:lang w:val="es-ES"/>
              </w:rPr>
              <w:t> </w:t>
            </w:r>
            <w:r w:rsidRPr="00E56A6E">
              <w:rPr>
                <w:sz w:val="20"/>
                <w:szCs w:val="20"/>
                <w:lang w:val="es-ES"/>
              </w:rPr>
              <w:t>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13E122D" w14:textId="19A6DA78"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39 (37 %)</w:t>
            </w:r>
          </w:p>
        </w:tc>
        <w:tc>
          <w:tcPr>
            <w:tcW w:w="1512" w:type="dxa"/>
            <w:tcBorders>
              <w:top w:val="single" w:sz="4" w:space="0" w:color="auto"/>
              <w:left w:val="single" w:sz="4" w:space="0" w:color="auto"/>
              <w:bottom w:val="single" w:sz="4" w:space="0" w:color="auto"/>
              <w:right w:val="single" w:sz="4" w:space="0" w:color="auto"/>
            </w:tcBorders>
            <w:vAlign w:val="bottom"/>
          </w:tcPr>
          <w:p w14:paraId="754C3AD6" w14:textId="7DF9ABFF"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81 (57 %)</w:t>
            </w:r>
          </w:p>
        </w:tc>
      </w:tr>
      <w:tr w:rsidR="002D64C0" w:rsidRPr="00E56A6E" w14:paraId="594B27DD"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26EAAA" w14:textId="721450DC"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han tenido en cuenta la necesidad de un acceso rápido a los recursos genéticos y de una </w:t>
            </w:r>
            <w:r w:rsidR="00CA2892" w:rsidRPr="00E56A6E">
              <w:rPr>
                <w:sz w:val="20"/>
                <w:szCs w:val="20"/>
                <w:lang w:val="es-ES"/>
              </w:rPr>
              <w:t xml:space="preserve">participación </w:t>
            </w:r>
            <w:r w:rsidRPr="00E56A6E">
              <w:rPr>
                <w:sz w:val="20"/>
                <w:szCs w:val="20"/>
                <w:lang w:val="es-ES"/>
              </w:rPr>
              <w:t xml:space="preserve">rápida, justa y equitativa </w:t>
            </w:r>
            <w:r w:rsidR="00CA2892" w:rsidRPr="00E56A6E">
              <w:rPr>
                <w:sz w:val="20"/>
                <w:szCs w:val="20"/>
                <w:lang w:val="es-ES"/>
              </w:rPr>
              <w:t xml:space="preserve">en </w:t>
            </w:r>
            <w:r w:rsidRPr="00E56A6E">
              <w:rPr>
                <w:sz w:val="20"/>
                <w:szCs w:val="20"/>
                <w:lang w:val="es-ES"/>
              </w:rPr>
              <w:t xml:space="preserve">los beneficios derivados de la utilización de dichos recursos genéticos, </w:t>
            </w:r>
            <w:r w:rsidR="00770CE7" w:rsidRPr="00E56A6E">
              <w:rPr>
                <w:sz w:val="20"/>
                <w:szCs w:val="20"/>
                <w:lang w:val="es-ES"/>
              </w:rPr>
              <w:t>tal como</w:t>
            </w:r>
            <w:r w:rsidRPr="00E56A6E">
              <w:rPr>
                <w:sz w:val="20"/>
                <w:szCs w:val="20"/>
                <w:lang w:val="es-ES"/>
              </w:rPr>
              <w:t xml:space="preserve"> se establece en el artículo 8</w:t>
            </w:r>
            <w:r w:rsidR="00EF0453" w:rsidRPr="00E56A6E">
              <w:rPr>
                <w:sz w:val="20"/>
                <w:szCs w:val="20"/>
                <w:lang w:val="es-ES"/>
              </w:rPr>
              <w:t> </w:t>
            </w:r>
            <w:r w:rsidRPr="00E56A6E">
              <w:rPr>
                <w:sz w:val="20"/>
                <w:szCs w:val="20"/>
                <w:lang w:val="es-ES"/>
              </w:rPr>
              <w:t>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605591E" w14:textId="6A341247"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26 (25 %)</w:t>
            </w:r>
          </w:p>
        </w:tc>
        <w:tc>
          <w:tcPr>
            <w:tcW w:w="1512" w:type="dxa"/>
            <w:tcBorders>
              <w:top w:val="single" w:sz="4" w:space="0" w:color="auto"/>
              <w:left w:val="single" w:sz="4" w:space="0" w:color="auto"/>
              <w:bottom w:val="single" w:sz="4" w:space="0" w:color="auto"/>
              <w:right w:val="single" w:sz="4" w:space="0" w:color="auto"/>
            </w:tcBorders>
            <w:vAlign w:val="bottom"/>
          </w:tcPr>
          <w:p w14:paraId="5638BA2D" w14:textId="35C8B116"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42 (30 %)</w:t>
            </w:r>
          </w:p>
        </w:tc>
      </w:tr>
      <w:tr w:rsidR="002D64C0" w:rsidRPr="00E56A6E" w14:paraId="5530FB8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45291F" w14:textId="0F7D7B07"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han tenido en cuenta la importancia de los recursos genéticos para la alimentación y la agricultura y su papel especial en la seguridad alimentaria, </w:t>
            </w:r>
            <w:r w:rsidR="00770CE7" w:rsidRPr="00E56A6E">
              <w:rPr>
                <w:sz w:val="20"/>
                <w:szCs w:val="20"/>
                <w:lang w:val="es-ES"/>
              </w:rPr>
              <w:t>tal como</w:t>
            </w:r>
            <w:r w:rsidRPr="00E56A6E">
              <w:rPr>
                <w:sz w:val="20"/>
                <w:szCs w:val="20"/>
                <w:lang w:val="es-ES"/>
              </w:rPr>
              <w:t xml:space="preserve"> se establece en el artículo 8</w:t>
            </w:r>
            <w:r w:rsidR="00EF0453" w:rsidRPr="00E56A6E">
              <w:rPr>
                <w:sz w:val="20"/>
                <w:szCs w:val="20"/>
                <w:lang w:val="es-ES"/>
              </w:rPr>
              <w:t> </w:t>
            </w:r>
            <w:r w:rsidRPr="00E56A6E">
              <w:rPr>
                <w:sz w:val="20"/>
                <w:szCs w:val="20"/>
                <w:lang w:val="es-ES"/>
              </w:rPr>
              <w:t>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F4749F2" w14:textId="4A5220D8"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48 (46 %)</w:t>
            </w:r>
          </w:p>
        </w:tc>
        <w:tc>
          <w:tcPr>
            <w:tcW w:w="1512" w:type="dxa"/>
            <w:tcBorders>
              <w:top w:val="single" w:sz="4" w:space="0" w:color="auto"/>
              <w:left w:val="single" w:sz="4" w:space="0" w:color="auto"/>
              <w:bottom w:val="single" w:sz="4" w:space="0" w:color="auto"/>
              <w:right w:val="single" w:sz="4" w:space="0" w:color="auto"/>
            </w:tcBorders>
            <w:vAlign w:val="bottom"/>
          </w:tcPr>
          <w:p w14:paraId="6CECD840" w14:textId="0BFFAB3D" w:rsidR="002D64C0" w:rsidRPr="00E56A6E" w:rsidRDefault="002D64C0" w:rsidP="002D64C0">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85 (60 %)</w:t>
            </w:r>
          </w:p>
        </w:tc>
      </w:tr>
      <w:tr w:rsidR="002D64C0" w:rsidRPr="00E56A6E" w14:paraId="1346207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2E094A" w14:textId="650824B0"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w:t>
            </w:r>
            <w:proofErr w:type="spellStart"/>
            <w:r w:rsidRPr="00E56A6E">
              <w:rPr>
                <w:sz w:val="20"/>
                <w:szCs w:val="20"/>
                <w:lang w:val="es-ES"/>
              </w:rPr>
              <w:t>Partes</w:t>
            </w:r>
            <w:r w:rsidR="00A0336A" w:rsidRPr="00E56A6E">
              <w:rPr>
                <w:rFonts w:asciiTheme="majorBidi" w:hAnsiTheme="majorBidi" w:cstheme="majorBidi"/>
                <w:i/>
                <w:iCs/>
                <w:kern w:val="22"/>
                <w:sz w:val="20"/>
                <w:szCs w:val="20"/>
                <w:vertAlign w:val="superscript"/>
                <w:lang w:val="es-ES"/>
              </w:rPr>
              <w:t>a</w:t>
            </w:r>
            <w:proofErr w:type="spellEnd"/>
            <w:r w:rsidRPr="00E56A6E">
              <w:rPr>
                <w:sz w:val="20"/>
                <w:szCs w:val="20"/>
                <w:lang w:val="es-ES"/>
              </w:rPr>
              <w:t xml:space="preserve"> que exigen el consentimiento fundamentado previo para el acceso a los recursos genéticos con fines de utilización y que han recibido beneficios monetarios por conceder dicho acceso desde la entrada en vigor del Protocolo</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8272BE8" w14:textId="7C015854" w:rsidR="002D64C0" w:rsidRPr="00E56A6E" w:rsidRDefault="00383127"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vAlign w:val="bottom"/>
          </w:tcPr>
          <w:p w14:paraId="01CC3CD3" w14:textId="720BDC1C" w:rsidR="002D64C0" w:rsidRPr="00E56A6E" w:rsidRDefault="002D64C0"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lang w:val="es-ES"/>
              </w:rPr>
            </w:pPr>
            <w:r w:rsidRPr="00E56A6E">
              <w:rPr>
                <w:rFonts w:asciiTheme="majorBidi" w:hAnsiTheme="majorBidi" w:cstheme="majorBidi"/>
                <w:kern w:val="22"/>
                <w:sz w:val="20"/>
                <w:szCs w:val="20"/>
                <w:lang w:val="es-ES"/>
              </w:rPr>
              <w:t>28 (37 %)</w:t>
            </w:r>
          </w:p>
        </w:tc>
      </w:tr>
      <w:tr w:rsidR="002D64C0" w:rsidRPr="00E56A6E" w14:paraId="0B3D3F8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457C5A8" w14:textId="3B212756"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Importe de los beneficios monetarios (en dólares de los </w:t>
            </w:r>
            <w:proofErr w:type="gramStart"/>
            <w:r w:rsidR="008557EB" w:rsidRPr="00E56A6E">
              <w:rPr>
                <w:sz w:val="20"/>
                <w:szCs w:val="20"/>
                <w:lang w:val="es-ES"/>
              </w:rPr>
              <w:t>EE.UU.</w:t>
            </w:r>
            <w:proofErr w:type="gramEnd"/>
            <w:r w:rsidRPr="00E56A6E">
              <w:rPr>
                <w:sz w:val="20"/>
                <w:szCs w:val="20"/>
                <w:lang w:val="es-ES"/>
              </w:rPr>
              <w:t>) recibidos por conceder acceso a los recursos genéticos con fines de utilización desde la entrada en vigor del Protocolo</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6467B66" w14:textId="41C9A5A9" w:rsidR="002D64C0" w:rsidRPr="00E56A6E" w:rsidRDefault="00383127"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vAlign w:val="bottom"/>
          </w:tcPr>
          <w:p w14:paraId="48F8C8D4" w14:textId="4510E1F9" w:rsidR="002D64C0" w:rsidRPr="00E56A6E" w:rsidRDefault="002D64C0"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 xml:space="preserve">53 </w:t>
            </w:r>
            <w:proofErr w:type="spellStart"/>
            <w:r w:rsidR="0050203F" w:rsidRPr="00E56A6E">
              <w:rPr>
                <w:rFonts w:asciiTheme="majorBidi" w:hAnsiTheme="majorBidi" w:cstheme="majorBidi"/>
                <w:kern w:val="22"/>
                <w:sz w:val="20"/>
                <w:szCs w:val="20"/>
                <w:lang w:val="es-ES"/>
              </w:rPr>
              <w:t>millones</w:t>
            </w:r>
            <w:r w:rsidRPr="00E56A6E">
              <w:rPr>
                <w:rFonts w:asciiTheme="majorBidi" w:hAnsiTheme="majorBidi" w:cstheme="majorBidi"/>
                <w:i/>
                <w:iCs/>
                <w:kern w:val="22"/>
                <w:sz w:val="20"/>
                <w:szCs w:val="20"/>
                <w:vertAlign w:val="superscript"/>
                <w:lang w:val="es-ES"/>
              </w:rPr>
              <w:t>b</w:t>
            </w:r>
            <w:proofErr w:type="spellEnd"/>
            <w:r w:rsidRPr="00E56A6E">
              <w:rPr>
                <w:rFonts w:asciiTheme="majorBidi" w:hAnsiTheme="majorBidi" w:cstheme="majorBidi"/>
                <w:kern w:val="22"/>
                <w:sz w:val="20"/>
                <w:szCs w:val="20"/>
                <w:lang w:val="es-ES"/>
              </w:rPr>
              <w:t xml:space="preserve"> </w:t>
            </w:r>
          </w:p>
        </w:tc>
      </w:tr>
      <w:tr w:rsidR="002D64C0" w:rsidRPr="00E56A6E" w14:paraId="3C2AD25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7BA5DE7" w14:textId="7746017C"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w:t>
            </w:r>
            <w:proofErr w:type="spellStart"/>
            <w:r w:rsidRPr="00E56A6E">
              <w:rPr>
                <w:sz w:val="20"/>
                <w:szCs w:val="20"/>
                <w:lang w:val="es-ES"/>
              </w:rPr>
              <w:t>porcentaje</w:t>
            </w:r>
            <w:r w:rsidRPr="00E56A6E">
              <w:rPr>
                <w:i/>
                <w:iCs/>
                <w:kern w:val="22"/>
                <w:sz w:val="20"/>
                <w:szCs w:val="20"/>
                <w:vertAlign w:val="superscript"/>
                <w:lang w:val="es-ES"/>
              </w:rPr>
              <w:t>a</w:t>
            </w:r>
            <w:proofErr w:type="spellEnd"/>
            <w:r w:rsidRPr="00E56A6E">
              <w:rPr>
                <w:sz w:val="20"/>
                <w:szCs w:val="20"/>
                <w:lang w:val="es-ES"/>
              </w:rPr>
              <w:t xml:space="preserve"> de Partes que exigen el consentimiento fundamentado previo para el acceso a los recursos genéticos y que han recibido beneficios no monetarios por conceder acceso a los recursos genéticos desde la entrada en vigor del Protocolo</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3B1548A" w14:textId="40CBF7BE" w:rsidR="002D64C0" w:rsidRPr="00E56A6E" w:rsidRDefault="00383127"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vAlign w:val="bottom"/>
          </w:tcPr>
          <w:p w14:paraId="55050201" w14:textId="6ABC4613" w:rsidR="002D64C0" w:rsidRPr="00E56A6E" w:rsidRDefault="002D64C0"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59 (80 %)</w:t>
            </w:r>
          </w:p>
        </w:tc>
      </w:tr>
      <w:tr w:rsidR="002D64C0" w:rsidRPr="00E56A6E" w14:paraId="06F023F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D3C4EB" w14:textId="158D9778"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w:t>
            </w:r>
            <w:proofErr w:type="spellStart"/>
            <w:r w:rsidRPr="00E56A6E">
              <w:rPr>
                <w:sz w:val="20"/>
                <w:szCs w:val="20"/>
                <w:lang w:val="es-ES"/>
              </w:rPr>
              <w:t>Partes</w:t>
            </w:r>
            <w:r w:rsidR="00A0336A" w:rsidRPr="00E56A6E">
              <w:rPr>
                <w:rFonts w:asciiTheme="majorBidi" w:hAnsiTheme="majorBidi" w:cstheme="majorBidi"/>
                <w:i/>
                <w:iCs/>
                <w:kern w:val="22"/>
                <w:sz w:val="20"/>
                <w:szCs w:val="20"/>
                <w:vertAlign w:val="superscript"/>
                <w:lang w:val="es-ES"/>
              </w:rPr>
              <w:t>c</w:t>
            </w:r>
            <w:proofErr w:type="spellEnd"/>
            <w:r w:rsidRPr="00E56A6E">
              <w:rPr>
                <w:sz w:val="20"/>
                <w:szCs w:val="20"/>
                <w:lang w:val="es-ES"/>
              </w:rPr>
              <w:t xml:space="preserve"> con pueblos indígenas y comunidades locales en </w:t>
            </w:r>
            <w:r w:rsidR="00526365" w:rsidRPr="00E56A6E">
              <w:rPr>
                <w:sz w:val="20"/>
                <w:szCs w:val="20"/>
                <w:lang w:val="es-ES"/>
              </w:rPr>
              <w:t>su país</w:t>
            </w:r>
            <w:r w:rsidRPr="00E56A6E">
              <w:rPr>
                <w:sz w:val="20"/>
                <w:szCs w:val="20"/>
                <w:lang w:val="es-ES"/>
              </w:rPr>
              <w:t xml:space="preserve"> que han recibido beneficios monetarios por conceder acceso a los </w:t>
            </w:r>
            <w:r w:rsidR="00D426EC" w:rsidRPr="00E56A6E">
              <w:rPr>
                <w:sz w:val="20"/>
                <w:szCs w:val="20"/>
                <w:lang w:val="es-ES"/>
              </w:rPr>
              <w:t xml:space="preserve">conocimientos </w:t>
            </w:r>
            <w:r w:rsidR="00F05DBD" w:rsidRPr="00E56A6E">
              <w:rPr>
                <w:sz w:val="20"/>
                <w:szCs w:val="20"/>
                <w:lang w:val="es-ES"/>
              </w:rPr>
              <w:t>tradicionales relacionados con los recursos genéticos</w:t>
            </w:r>
            <w:r w:rsidRPr="00E56A6E">
              <w:rPr>
                <w:sz w:val="20"/>
                <w:szCs w:val="20"/>
                <w:lang w:val="es-ES"/>
              </w:rPr>
              <w:t xml:space="preserve"> desde la entrada en vigor del Protocolo</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36547F" w14:textId="56BD8CE9" w:rsidR="002D64C0" w:rsidRPr="00E56A6E" w:rsidRDefault="00383127"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vAlign w:val="bottom"/>
          </w:tcPr>
          <w:p w14:paraId="73545FE7" w14:textId="4D4DF93C" w:rsidR="002D64C0" w:rsidRPr="00E56A6E" w:rsidRDefault="002D64C0"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10 (14 %)</w:t>
            </w:r>
          </w:p>
        </w:tc>
      </w:tr>
      <w:tr w:rsidR="002D64C0" w:rsidRPr="00E56A6E" w14:paraId="023F1A3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5A0AF18" w14:textId="434806B5"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Importe de los beneficios económicos (en dólares) recibidos por conceder acceso a los </w:t>
            </w:r>
            <w:r w:rsidR="00D426EC" w:rsidRPr="00E56A6E">
              <w:rPr>
                <w:sz w:val="20"/>
                <w:szCs w:val="20"/>
                <w:lang w:val="es-ES"/>
              </w:rPr>
              <w:t xml:space="preserve">conocimientos </w:t>
            </w:r>
            <w:r w:rsidR="00F05DBD" w:rsidRPr="00E56A6E">
              <w:rPr>
                <w:sz w:val="20"/>
                <w:szCs w:val="20"/>
                <w:lang w:val="es-ES"/>
              </w:rPr>
              <w:t>tradicionales relacionados con los recursos genéticos</w:t>
            </w:r>
            <w:r w:rsidRPr="00E56A6E">
              <w:rPr>
                <w:sz w:val="20"/>
                <w:szCs w:val="20"/>
                <w:lang w:val="es-ES"/>
              </w:rPr>
              <w:t xml:space="preserve"> para su utilización desde la entrada en vigor del Protocolo</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06A08EE" w14:textId="10E6108D" w:rsidR="002D64C0" w:rsidRPr="00E56A6E" w:rsidRDefault="00383127"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vAlign w:val="bottom"/>
          </w:tcPr>
          <w:p w14:paraId="3EE56ACD" w14:textId="33B9F083" w:rsidR="002D64C0" w:rsidRPr="00E56A6E" w:rsidRDefault="002D64C0"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lang w:val="es-ES"/>
              </w:rPr>
            </w:pPr>
            <w:r w:rsidRPr="00E56A6E">
              <w:rPr>
                <w:rFonts w:asciiTheme="majorBidi" w:hAnsiTheme="majorBidi" w:cstheme="majorBidi"/>
                <w:kern w:val="22"/>
                <w:sz w:val="20"/>
                <w:szCs w:val="20"/>
                <w:lang w:val="es-ES"/>
              </w:rPr>
              <w:t xml:space="preserve">53 </w:t>
            </w:r>
            <w:proofErr w:type="spellStart"/>
            <w:r w:rsidR="0050203F" w:rsidRPr="00E56A6E">
              <w:rPr>
                <w:rFonts w:asciiTheme="majorBidi" w:hAnsiTheme="majorBidi" w:cstheme="majorBidi"/>
                <w:kern w:val="22"/>
                <w:sz w:val="20"/>
                <w:szCs w:val="20"/>
                <w:lang w:val="es-ES"/>
              </w:rPr>
              <w:t>millones</w:t>
            </w:r>
            <w:r w:rsidRPr="00E56A6E">
              <w:rPr>
                <w:rFonts w:asciiTheme="majorBidi" w:hAnsiTheme="majorBidi" w:cstheme="majorBidi"/>
                <w:i/>
                <w:iCs/>
                <w:kern w:val="22"/>
                <w:sz w:val="20"/>
                <w:szCs w:val="20"/>
                <w:vertAlign w:val="superscript"/>
                <w:lang w:val="es-ES"/>
              </w:rPr>
              <w:t>b</w:t>
            </w:r>
            <w:proofErr w:type="spellEnd"/>
          </w:p>
        </w:tc>
      </w:tr>
      <w:tr w:rsidR="002D64C0" w:rsidRPr="00E56A6E" w14:paraId="1815029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9DE2884" w14:textId="788E0301"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Número y porcentaje de Partes</w:t>
            </w:r>
            <w:r w:rsidR="00A0336A" w:rsidRPr="00E56A6E">
              <w:rPr>
                <w:rFonts w:asciiTheme="majorBidi" w:hAnsiTheme="majorBidi" w:cstheme="majorBidi"/>
                <w:i/>
                <w:iCs/>
                <w:kern w:val="22"/>
                <w:sz w:val="20"/>
                <w:szCs w:val="20"/>
                <w:vertAlign w:val="superscript"/>
                <w:lang w:val="es-ES"/>
              </w:rPr>
              <w:t xml:space="preserve"> c</w:t>
            </w:r>
            <w:r w:rsidRPr="00E56A6E">
              <w:rPr>
                <w:sz w:val="20"/>
                <w:szCs w:val="20"/>
                <w:lang w:val="es-ES"/>
              </w:rPr>
              <w:t xml:space="preserve"> en cuyo territorio haya pueblos indígenas y comunidades locales que hayan recibido beneficios no </w:t>
            </w:r>
            <w:r w:rsidR="00AE5677" w:rsidRPr="00E56A6E">
              <w:rPr>
                <w:sz w:val="20"/>
                <w:szCs w:val="20"/>
                <w:lang w:val="es-ES"/>
              </w:rPr>
              <w:t xml:space="preserve">monetarios </w:t>
            </w:r>
            <w:r w:rsidRPr="00E56A6E">
              <w:rPr>
                <w:sz w:val="20"/>
                <w:szCs w:val="20"/>
                <w:lang w:val="es-ES"/>
              </w:rPr>
              <w:t xml:space="preserve">por conceder acceso a los </w:t>
            </w:r>
            <w:r w:rsidR="00D426EC" w:rsidRPr="00E56A6E">
              <w:rPr>
                <w:sz w:val="20"/>
                <w:szCs w:val="20"/>
                <w:lang w:val="es-ES"/>
              </w:rPr>
              <w:t xml:space="preserve">conocimientos </w:t>
            </w:r>
            <w:r w:rsidR="00F05DBD" w:rsidRPr="00E56A6E">
              <w:rPr>
                <w:sz w:val="20"/>
                <w:szCs w:val="20"/>
                <w:lang w:val="es-ES"/>
              </w:rPr>
              <w:t>tradicionales relacionados con los recursos genéticos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AC53D0C" w14:textId="0B3C6E9E" w:rsidR="002D64C0" w:rsidRPr="00E56A6E" w:rsidRDefault="00383127"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vAlign w:val="bottom"/>
          </w:tcPr>
          <w:p w14:paraId="2BC3F830" w14:textId="3CD79AAF" w:rsidR="002D64C0" w:rsidRPr="00E56A6E" w:rsidRDefault="002D64C0"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27 (39 %)</w:t>
            </w:r>
          </w:p>
        </w:tc>
      </w:tr>
      <w:tr w:rsidR="002D64C0" w:rsidRPr="00E56A6E" w14:paraId="5034386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911E4D9" w14:textId="54DC5172" w:rsidR="002D64C0" w:rsidRPr="00E56A6E" w:rsidRDefault="002D64C0" w:rsidP="002D64C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han informado de que la aplicación del Protocolo de Nagoya ha contribuido a la conservación y al uso sostenible de la diversidad </w:t>
            </w:r>
            <w:r w:rsidR="00AF2004" w:rsidRPr="00E56A6E">
              <w:rPr>
                <w:sz w:val="20"/>
                <w:szCs w:val="20"/>
                <w:lang w:val="es-ES"/>
              </w:rPr>
              <w:t xml:space="preserve">biológica </w:t>
            </w:r>
            <w:r w:rsidRPr="00E56A6E">
              <w:rPr>
                <w:sz w:val="20"/>
                <w:szCs w:val="20"/>
                <w:lang w:val="es-ES"/>
              </w:rPr>
              <w:t>en su país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E85524B" w14:textId="5D0EBAE9" w:rsidR="002D64C0" w:rsidRPr="00E56A6E" w:rsidRDefault="00383127"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tcBorders>
              <w:top w:val="single" w:sz="4" w:space="0" w:color="auto"/>
              <w:left w:val="single" w:sz="4" w:space="0" w:color="auto"/>
              <w:bottom w:val="single" w:sz="4" w:space="0" w:color="auto"/>
              <w:right w:val="single" w:sz="4" w:space="0" w:color="auto"/>
            </w:tcBorders>
            <w:vAlign w:val="bottom"/>
          </w:tcPr>
          <w:p w14:paraId="1BB2CBA8" w14:textId="77777777" w:rsidR="002D64C0" w:rsidRPr="00E56A6E" w:rsidRDefault="002D64C0" w:rsidP="002D64C0">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lang w:val="es-ES"/>
              </w:rPr>
            </w:pPr>
          </w:p>
          <w:p w14:paraId="353BBFA7" w14:textId="1E7C1546" w:rsidR="002D64C0" w:rsidRPr="00E56A6E" w:rsidRDefault="002D64C0" w:rsidP="002D64C0">
            <w:pPr>
              <w:pStyle w:val="ListParagraph"/>
              <w:numPr>
                <w:ilvl w:val="0"/>
                <w:numId w:val="4"/>
              </w:num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(51 %)</w:t>
            </w:r>
          </w:p>
        </w:tc>
      </w:tr>
    </w:tbl>
    <w:p w14:paraId="71E0A9C5" w14:textId="01FEBB82" w:rsidR="008F3ECF" w:rsidRPr="00E56A6E" w:rsidRDefault="001445EA" w:rsidP="006B066D">
      <w:pPr>
        <w:pStyle w:val="Footnote"/>
        <w:tabs>
          <w:tab w:val="clear" w:pos="567"/>
        </w:tabs>
        <w:ind w:left="993" w:hanging="284"/>
        <w:rPr>
          <w:lang w:val="es-ES"/>
        </w:rPr>
      </w:pPr>
      <w:r w:rsidRPr="00E56A6E">
        <w:rPr>
          <w:i/>
          <w:iCs/>
          <w:vertAlign w:val="superscript"/>
          <w:lang w:val="es-ES"/>
        </w:rPr>
        <w:t>a</w:t>
      </w:r>
      <w:r w:rsidRPr="00E56A6E">
        <w:rPr>
          <w:i/>
          <w:iCs/>
          <w:vertAlign w:val="superscript"/>
          <w:lang w:val="es-ES"/>
        </w:rPr>
        <w:tab/>
      </w:r>
      <w:r w:rsidR="002D64C0" w:rsidRPr="00E56A6E">
        <w:rPr>
          <w:lang w:val="es-ES"/>
        </w:rPr>
        <w:t>El porcentaje de este indicador se ha calculado sobre la base del número total de Partes que exigen el consentimiento fundamentado previo para el acceso a los recursos genéticos (74).</w:t>
      </w:r>
    </w:p>
    <w:p w14:paraId="0BD74BC5" w14:textId="78D48571" w:rsidR="008F3ECF" w:rsidRPr="00E56A6E" w:rsidRDefault="008F3ECF" w:rsidP="006B066D">
      <w:pPr>
        <w:pStyle w:val="Footnote"/>
        <w:tabs>
          <w:tab w:val="clear" w:pos="567"/>
        </w:tabs>
        <w:ind w:left="993" w:hanging="284"/>
        <w:rPr>
          <w:lang w:val="es-ES"/>
        </w:rPr>
      </w:pPr>
      <w:r w:rsidRPr="00E56A6E">
        <w:rPr>
          <w:i/>
          <w:iCs/>
          <w:vertAlign w:val="superscript"/>
          <w:lang w:val="es-ES"/>
        </w:rPr>
        <w:t>b</w:t>
      </w:r>
      <w:r w:rsidRPr="00E56A6E">
        <w:rPr>
          <w:lang w:val="es-ES"/>
        </w:rPr>
        <w:tab/>
      </w:r>
      <w:r w:rsidR="002D64C0" w:rsidRPr="00E56A6E">
        <w:rPr>
          <w:lang w:val="es-ES"/>
        </w:rPr>
        <w:t xml:space="preserve">Esta cantidad incluye los beneficios compartidos derivados del acceso tanto a los recursos genéticos como a los </w:t>
      </w:r>
      <w:r w:rsidR="00D426EC" w:rsidRPr="00E56A6E">
        <w:rPr>
          <w:lang w:val="es-ES"/>
        </w:rPr>
        <w:t>conocimientos tradicionales conexos</w:t>
      </w:r>
      <w:r w:rsidR="002D64C0" w:rsidRPr="00E56A6E">
        <w:rPr>
          <w:lang w:val="es-ES"/>
        </w:rPr>
        <w:t xml:space="preserve">. Dado que la información sobre los beneficios monetarios recibidos comunicada por las Partes en sus primeros informes nacionales sobre el Protocolo de Nagoya y en sus séptimos informes nacionales sobre el Convenio podía interpretarse de diferentes maneras, esta cifra se basa en </w:t>
      </w:r>
      <w:r w:rsidR="00D85375" w:rsidRPr="00E56A6E">
        <w:rPr>
          <w:lang w:val="es-ES"/>
        </w:rPr>
        <w:t xml:space="preserve">el promedio </w:t>
      </w:r>
      <w:r w:rsidR="002D64C0" w:rsidRPr="00E56A6E">
        <w:rPr>
          <w:lang w:val="es-ES"/>
        </w:rPr>
        <w:t>de los valores mínimo y máximo resultantes de aplicar diferentes interpretaciones. El porcentaje se calcula sobre la base del número total de Partes que exigen el consentimiento fundamentado previo para el acceso a los recursos genéticos (74).</w:t>
      </w:r>
    </w:p>
    <w:p w14:paraId="72337DE9" w14:textId="21C15B9C" w:rsidR="008F3ECF" w:rsidRPr="00E56A6E" w:rsidRDefault="008F3ECF" w:rsidP="006B066D">
      <w:pPr>
        <w:pStyle w:val="Footnote"/>
        <w:tabs>
          <w:tab w:val="clear" w:pos="567"/>
        </w:tabs>
        <w:ind w:left="993" w:hanging="284"/>
        <w:rPr>
          <w:lang w:val="es-ES"/>
        </w:rPr>
      </w:pPr>
      <w:r w:rsidRPr="00E56A6E">
        <w:rPr>
          <w:i/>
          <w:iCs/>
          <w:vertAlign w:val="superscript"/>
          <w:lang w:val="es-ES"/>
        </w:rPr>
        <w:t>c</w:t>
      </w:r>
      <w:r w:rsidRPr="00E56A6E">
        <w:rPr>
          <w:lang w:val="es-ES"/>
        </w:rPr>
        <w:tab/>
      </w:r>
      <w:r w:rsidR="002D64C0" w:rsidRPr="00E56A6E">
        <w:rPr>
          <w:lang w:val="es-ES"/>
        </w:rPr>
        <w:t xml:space="preserve">El porcentaje se calcula a partir del número total de Partes que cuentan con pueblos indígenas y comunidades locales en </w:t>
      </w:r>
      <w:r w:rsidR="00526365" w:rsidRPr="00E56A6E">
        <w:rPr>
          <w:lang w:val="es-ES"/>
        </w:rPr>
        <w:t>su país</w:t>
      </w:r>
      <w:r w:rsidR="002D64C0" w:rsidRPr="00E56A6E">
        <w:rPr>
          <w:lang w:val="es-ES"/>
        </w:rPr>
        <w:t xml:space="preserve"> (69).</w:t>
      </w:r>
    </w:p>
    <w:p w14:paraId="2E9A2706" w14:textId="77777777" w:rsidR="002D64C0" w:rsidRPr="00E56A6E" w:rsidRDefault="002D64C0" w:rsidP="006B066D">
      <w:pPr>
        <w:pStyle w:val="Footnote"/>
        <w:tabs>
          <w:tab w:val="clear" w:pos="567"/>
        </w:tabs>
        <w:ind w:left="993" w:hanging="284"/>
        <w:rPr>
          <w:lang w:val="es-ES"/>
        </w:rPr>
      </w:pPr>
    </w:p>
    <w:p w14:paraId="0BFD5021" w14:textId="6A6E5D57" w:rsidR="00452379" w:rsidRPr="00E56A6E" w:rsidRDefault="00DF27DA" w:rsidP="00F01C9E">
      <w:pPr>
        <w:pStyle w:val="CBDH3"/>
        <w:rPr>
          <w:lang w:val="es-ES"/>
        </w:rPr>
      </w:pPr>
      <w:r w:rsidRPr="00E56A6E">
        <w:rPr>
          <w:lang w:val="es-ES"/>
        </w:rPr>
        <w:lastRenderedPageBreak/>
        <w:tab/>
      </w:r>
      <w:r w:rsidR="00F01C9E" w:rsidRPr="00E56A6E">
        <w:rPr>
          <w:lang w:val="es-ES"/>
        </w:rPr>
        <w:t>2.</w:t>
      </w:r>
      <w:r w:rsidR="00F01C9E" w:rsidRPr="00E56A6E">
        <w:rPr>
          <w:lang w:val="es-ES"/>
        </w:rPr>
        <w:tab/>
      </w:r>
      <w:r w:rsidR="00A05194" w:rsidRPr="00E56A6E">
        <w:rPr>
          <w:lang w:val="es-ES"/>
        </w:rPr>
        <w:t>Dificultades</w:t>
      </w:r>
      <w:r w:rsidR="002D64C0" w:rsidRPr="00E56A6E">
        <w:rPr>
          <w:lang w:val="es-ES"/>
        </w:rPr>
        <w:t xml:space="preserve"> en la aplicación</w:t>
      </w:r>
    </w:p>
    <w:p w14:paraId="5A16C08E" w14:textId="5AD66E12" w:rsidR="002D64C0" w:rsidRPr="00E56A6E" w:rsidRDefault="002D64C0" w:rsidP="002D64C0">
      <w:pPr>
        <w:pStyle w:val="CBDNormalNumber"/>
        <w:rPr>
          <w:lang w:val="es-ES"/>
        </w:rPr>
      </w:pPr>
      <w:r w:rsidRPr="00E56A6E">
        <w:rPr>
          <w:lang w:val="es-ES"/>
        </w:rPr>
        <w:t xml:space="preserve">Los beneficios derivados de la utilización de los recursos genéticos y los </w:t>
      </w:r>
      <w:r w:rsidR="00D426EC" w:rsidRPr="00E56A6E">
        <w:rPr>
          <w:lang w:val="es-ES"/>
        </w:rPr>
        <w:t>conocimientos tradicionales conexos</w:t>
      </w:r>
      <w:r w:rsidRPr="00E56A6E">
        <w:rPr>
          <w:lang w:val="es-ES"/>
        </w:rPr>
        <w:t xml:space="preserve"> solo pueden materializarse cuando todas las Partes cumplan sus obligaciones en materia de acceso, participación en los beneficios y cumplimiento establecidas en el Protocolo, y cuando los pueblos indígenas, las comunidades locales y los usuarios de los recursos genéticos y los </w:t>
      </w:r>
      <w:r w:rsidR="00D426EC" w:rsidRPr="00E56A6E">
        <w:rPr>
          <w:lang w:val="es-ES"/>
        </w:rPr>
        <w:t>conocimientos tradicionales conexos</w:t>
      </w:r>
      <w:r w:rsidRPr="00E56A6E">
        <w:rPr>
          <w:lang w:val="es-ES"/>
        </w:rPr>
        <w:t xml:space="preserve"> participen plenamente. No obstante, todos estos actores tienen diferentes limitaciones y distintos niveles de capacidad para participar en los procesos de acceso y participación en los beneficios.</w:t>
      </w:r>
    </w:p>
    <w:p w14:paraId="35E5EED7" w14:textId="1BB97A1D" w:rsidR="002D64C0" w:rsidRPr="00E56A6E" w:rsidRDefault="002D64C0" w:rsidP="002D64C0">
      <w:pPr>
        <w:pStyle w:val="CBDNormalNumber"/>
        <w:rPr>
          <w:lang w:val="es-ES"/>
        </w:rPr>
      </w:pPr>
      <w:r w:rsidRPr="00E56A6E">
        <w:rPr>
          <w:lang w:val="es-ES"/>
        </w:rPr>
        <w:t xml:space="preserve">El reconocimiento de los principios de acceso y participación en los beneficios y la valorización de los recursos genéticos y los </w:t>
      </w:r>
      <w:r w:rsidR="00D426EC" w:rsidRPr="00E56A6E">
        <w:rPr>
          <w:lang w:val="es-ES"/>
        </w:rPr>
        <w:t>conocimientos tradicionales conexos</w:t>
      </w:r>
      <w:r w:rsidRPr="00E56A6E">
        <w:rPr>
          <w:lang w:val="es-ES"/>
        </w:rPr>
        <w:t xml:space="preserve"> requieren cambios fundamentales en la mentalidad y las prácticas tanto de los proveedores como de los usuarios. </w:t>
      </w:r>
      <w:r w:rsidR="00D5191B" w:rsidRPr="00E56A6E">
        <w:rPr>
          <w:lang w:val="es-ES"/>
        </w:rPr>
        <w:t xml:space="preserve">Dichos </w:t>
      </w:r>
      <w:r w:rsidRPr="00E56A6E">
        <w:rPr>
          <w:lang w:val="es-ES"/>
        </w:rPr>
        <w:t>cambios solo pueden producirse de forma gradual a lo largo del tiempo y una vez que se den las condiciones propicias, entre ellas un compromiso político sostenido, la aplicación de medidas y los incentivos adecuados, acompañados de un apoyo estructural a largo plazo.</w:t>
      </w:r>
    </w:p>
    <w:p w14:paraId="51086D1F" w14:textId="1EDB1AB7" w:rsidR="002D64C0" w:rsidRPr="00E56A6E" w:rsidRDefault="002D64C0" w:rsidP="002D64C0">
      <w:pPr>
        <w:pStyle w:val="CBDNormalNumber"/>
        <w:rPr>
          <w:lang w:val="es-ES"/>
        </w:rPr>
      </w:pPr>
      <w:r w:rsidRPr="00E56A6E">
        <w:rPr>
          <w:lang w:val="es-ES"/>
        </w:rPr>
        <w:t>Aunque se han logrado grandes avances en la aplicación gracias a las iniciativas de creación de capacidad y a los recursos financieros, aún queda mucho por hacer para lograr un sistema internacional de acceso y participación en los beneficios plenamente operativo, en el que un mayor número de Partes, pueblos indígenas y comunidades locales reciban beneficios y se contribuya en mayor medida a la conservación y el uso sostenible de la diversidad</w:t>
      </w:r>
      <w:r w:rsidR="00D5191B" w:rsidRPr="00E56A6E">
        <w:rPr>
          <w:lang w:val="es-ES"/>
        </w:rPr>
        <w:t xml:space="preserve"> biológica</w:t>
      </w:r>
      <w:r w:rsidRPr="00E56A6E">
        <w:rPr>
          <w:rStyle w:val="FootnoteReference"/>
          <w:lang w:val="es-ES"/>
        </w:rPr>
        <w:footnoteReference w:id="60"/>
      </w:r>
      <w:r w:rsidRPr="00E56A6E">
        <w:rPr>
          <w:lang w:val="es-ES"/>
        </w:rPr>
        <w:t xml:space="preserve">. </w:t>
      </w:r>
    </w:p>
    <w:p w14:paraId="4B4F0EE2" w14:textId="15F989B3" w:rsidR="002D64C0" w:rsidRPr="00E56A6E" w:rsidRDefault="002D64C0" w:rsidP="002D64C0">
      <w:pPr>
        <w:pStyle w:val="CBDNormalNumber"/>
        <w:rPr>
          <w:lang w:val="es-ES"/>
        </w:rPr>
      </w:pPr>
      <w:r w:rsidRPr="00E56A6E">
        <w:rPr>
          <w:lang w:val="es-ES"/>
        </w:rPr>
        <w:t xml:space="preserve">No se ha facilitado toda la información nacional obligatoria en el Centro de Intercambio de Información; muchas Partes no han cumplido los requisitos de claridad </w:t>
      </w:r>
      <w:r w:rsidR="00677799" w:rsidRPr="00E56A6E">
        <w:rPr>
          <w:lang w:val="es-ES"/>
        </w:rPr>
        <w:t xml:space="preserve">y seguridad </w:t>
      </w:r>
      <w:r w:rsidRPr="00E56A6E">
        <w:rPr>
          <w:lang w:val="es-ES"/>
        </w:rPr>
        <w:t>jurídica de las medidas nacionales de acceso y participación en los beneficios, y los usuarios suelen informar de las dificultades que han experimentado al intentar comprender los requisitos nacionales de acceso y participación en los beneficios y cumplir con ellos.</w:t>
      </w:r>
    </w:p>
    <w:p w14:paraId="32FADF06" w14:textId="0E287E90" w:rsidR="002D64C0" w:rsidRPr="00E56A6E" w:rsidRDefault="00677799" w:rsidP="002D64C0">
      <w:pPr>
        <w:pStyle w:val="CBDNormalNumber"/>
        <w:rPr>
          <w:lang w:val="es-ES"/>
        </w:rPr>
      </w:pPr>
      <w:r w:rsidRPr="00E56A6E">
        <w:rPr>
          <w:lang w:val="es-ES"/>
        </w:rPr>
        <w:t xml:space="preserve">Dado el </w:t>
      </w:r>
      <w:r w:rsidR="002D64C0" w:rsidRPr="00E56A6E">
        <w:rPr>
          <w:lang w:val="es-ES"/>
        </w:rPr>
        <w:t xml:space="preserve">creciente número de Partes en el Protocolo de Nagoya, la diversidad de enfoques nacionales en materia de requisitos y procedimientos de acceso y participación en los beneficios se ha convertido en un </w:t>
      </w:r>
      <w:r w:rsidRPr="00E56A6E">
        <w:rPr>
          <w:lang w:val="es-ES"/>
        </w:rPr>
        <w:t xml:space="preserve">problema </w:t>
      </w:r>
      <w:r w:rsidR="002D64C0" w:rsidRPr="00E56A6E">
        <w:rPr>
          <w:lang w:val="es-ES"/>
        </w:rPr>
        <w:t xml:space="preserve">fundamental para los usuarios. En particular, el ámbito de aplicación de los requisitos nacionales de acceso y participación en los beneficios puede variar </w:t>
      </w:r>
      <w:r w:rsidRPr="00E56A6E">
        <w:rPr>
          <w:lang w:val="es-ES"/>
        </w:rPr>
        <w:t xml:space="preserve">en gran medida </w:t>
      </w:r>
      <w:r w:rsidR="002D64C0" w:rsidRPr="00E56A6E">
        <w:rPr>
          <w:lang w:val="es-ES"/>
        </w:rPr>
        <w:t>de un país a otro, y los pasos que deben seguirse para obtener acceso a los recursos genéticos, obtener el consentimiento fundamentado previo o un permiso, negociar condiciones mutuamente acordadas y compartir los beneficios obtenidos de conformidad con las medidas nacionales de acceso y participación en los beneficios no siempre son fáciles de comprender. Esto ha generado complejidad operativa y ha incrementado los costos de transacción para los usuarios, tanto de la comunidad científica como de la empresarial.</w:t>
      </w:r>
    </w:p>
    <w:p w14:paraId="5D4ACABC" w14:textId="274A5DE4" w:rsidR="002D64C0" w:rsidRPr="00E56A6E" w:rsidRDefault="002D64C0" w:rsidP="002D64C0">
      <w:pPr>
        <w:pStyle w:val="CBDNormalNumber"/>
        <w:rPr>
          <w:lang w:val="es-ES"/>
        </w:rPr>
      </w:pPr>
      <w:r w:rsidRPr="00E56A6E">
        <w:rPr>
          <w:lang w:val="es-ES"/>
        </w:rPr>
        <w:t xml:space="preserve">Además, la aplicación de las medidas de cumplimiento y los elementos del sistema de seguimiento establecido en virtud del Protocolo de Nagoya (por ejemplo, certificados, </w:t>
      </w:r>
      <w:r w:rsidR="003745C1" w:rsidRPr="00E56A6E">
        <w:rPr>
          <w:lang w:val="es-ES"/>
        </w:rPr>
        <w:t>puntos de verificación</w:t>
      </w:r>
      <w:r w:rsidRPr="00E56A6E">
        <w:rPr>
          <w:lang w:val="es-ES"/>
        </w:rPr>
        <w:t xml:space="preserve"> y </w:t>
      </w:r>
      <w:r w:rsidR="00677799" w:rsidRPr="00E56A6E">
        <w:rPr>
          <w:lang w:val="es-ES"/>
        </w:rPr>
        <w:t xml:space="preserve">sus </w:t>
      </w:r>
      <w:r w:rsidRPr="00E56A6E">
        <w:rPr>
          <w:lang w:val="es-ES"/>
        </w:rPr>
        <w:t xml:space="preserve">comunicados) sigue siendo desigual y limitada en la práctica. </w:t>
      </w:r>
      <w:r w:rsidR="00677799" w:rsidRPr="00E56A6E">
        <w:rPr>
          <w:lang w:val="es-ES"/>
        </w:rPr>
        <w:t>A raíz de ello</w:t>
      </w:r>
      <w:r w:rsidRPr="00E56A6E">
        <w:rPr>
          <w:lang w:val="es-ES"/>
        </w:rPr>
        <w:t xml:space="preserve">, el sistema de seguimiento internacional previsto en el Protocolo de Nagoya aún no se ha aplicado de manera universal y varias Partes siguen preocupadas por la </w:t>
      </w:r>
      <w:proofErr w:type="gramStart"/>
      <w:r w:rsidRPr="00E56A6E">
        <w:rPr>
          <w:lang w:val="es-ES"/>
        </w:rPr>
        <w:t>apropiación indebida y el uso indebido</w:t>
      </w:r>
      <w:proofErr w:type="gramEnd"/>
      <w:r w:rsidRPr="00E56A6E">
        <w:rPr>
          <w:lang w:val="es-ES"/>
        </w:rPr>
        <w:t xml:space="preserve"> de sus recursos genéticos </w:t>
      </w:r>
      <w:r w:rsidR="00CE7CBE" w:rsidRPr="00E56A6E">
        <w:rPr>
          <w:lang w:val="es-ES"/>
        </w:rPr>
        <w:t xml:space="preserve">cuando </w:t>
      </w:r>
      <w:r w:rsidRPr="00E56A6E">
        <w:rPr>
          <w:lang w:val="es-ES"/>
        </w:rPr>
        <w:t>estos salen de su país</w:t>
      </w:r>
      <w:r w:rsidRPr="00E56A6E">
        <w:rPr>
          <w:rStyle w:val="FootnoteReference"/>
          <w:lang w:val="es-ES"/>
        </w:rPr>
        <w:footnoteReference w:id="61"/>
      </w:r>
      <w:r w:rsidRPr="00E56A6E">
        <w:rPr>
          <w:lang w:val="es-ES"/>
        </w:rPr>
        <w:t>.</w:t>
      </w:r>
      <w:r w:rsidR="001E37A2" w:rsidRPr="00E56A6E">
        <w:rPr>
          <w:lang w:val="es-ES"/>
        </w:rPr>
        <w:t xml:space="preserve"> </w:t>
      </w:r>
    </w:p>
    <w:p w14:paraId="19507B2C" w14:textId="34F54DA2" w:rsidR="002D64C0" w:rsidRPr="00E56A6E" w:rsidRDefault="002D64C0" w:rsidP="002D64C0">
      <w:pPr>
        <w:pStyle w:val="CBDNormalNumber"/>
        <w:rPr>
          <w:lang w:val="es-ES"/>
        </w:rPr>
      </w:pPr>
      <w:r w:rsidRPr="00E56A6E">
        <w:rPr>
          <w:lang w:val="es-ES"/>
        </w:rPr>
        <w:t xml:space="preserve">Las dificultades a las que se han enfrentado los </w:t>
      </w:r>
      <w:r w:rsidR="005D5027" w:rsidRPr="00E56A6E">
        <w:rPr>
          <w:lang w:val="es-ES"/>
        </w:rPr>
        <w:t>Gobiernos</w:t>
      </w:r>
      <w:r w:rsidRPr="00E56A6E">
        <w:rPr>
          <w:lang w:val="es-ES"/>
        </w:rPr>
        <w:t xml:space="preserve"> han retrasado la aplicación a nivel nacional y, a su vez, pueden haber contribuido a las dificultades </w:t>
      </w:r>
      <w:r w:rsidR="00475CB8">
        <w:rPr>
          <w:lang w:val="es-ES"/>
        </w:rPr>
        <w:t>de</w:t>
      </w:r>
      <w:r w:rsidRPr="00E56A6E">
        <w:rPr>
          <w:lang w:val="es-ES"/>
        </w:rPr>
        <w:t xml:space="preserve"> los usuarios. Entre l</w:t>
      </w:r>
      <w:r w:rsidR="00983DDA" w:rsidRPr="00E56A6E">
        <w:rPr>
          <w:lang w:val="es-ES"/>
        </w:rPr>
        <w:t xml:space="preserve">as dificultades </w:t>
      </w:r>
      <w:r w:rsidR="00475CB8">
        <w:rPr>
          <w:lang w:val="es-ES"/>
        </w:rPr>
        <w:t xml:space="preserve">que </w:t>
      </w:r>
      <w:r w:rsidR="00B13ED6">
        <w:rPr>
          <w:lang w:val="es-ES"/>
        </w:rPr>
        <w:t xml:space="preserve">encuentran </w:t>
      </w:r>
      <w:r w:rsidRPr="00E56A6E">
        <w:rPr>
          <w:lang w:val="es-ES"/>
        </w:rPr>
        <w:t xml:space="preserve">los </w:t>
      </w:r>
      <w:r w:rsidR="005D5027" w:rsidRPr="00E56A6E">
        <w:rPr>
          <w:lang w:val="es-ES"/>
        </w:rPr>
        <w:t>Gobiernos</w:t>
      </w:r>
      <w:r w:rsidRPr="00E56A6E">
        <w:rPr>
          <w:lang w:val="es-ES"/>
        </w:rPr>
        <w:t xml:space="preserve"> figuran: los recursos financieros limitados o las restricciones presupuestarias; los recursos humanos y los conocimientos técnicos limitados a nivel gubernamental; la comprensión limitada del valor de los recursos genéticos y/o los </w:t>
      </w:r>
      <w:r w:rsidR="00D426EC" w:rsidRPr="00E56A6E">
        <w:rPr>
          <w:lang w:val="es-ES"/>
        </w:rPr>
        <w:t>conocimientos tradicionales conexos</w:t>
      </w:r>
      <w:r w:rsidRPr="00E56A6E">
        <w:rPr>
          <w:lang w:val="es-ES"/>
        </w:rPr>
        <w:t>; y el escaso conocimiento del concepto de acceso y participación en los beneficios</w:t>
      </w:r>
      <w:r w:rsidR="001E37A2" w:rsidRPr="00E56A6E">
        <w:rPr>
          <w:lang w:val="es-ES"/>
        </w:rPr>
        <w:t xml:space="preserve"> </w:t>
      </w:r>
      <w:r w:rsidRPr="00E56A6E">
        <w:rPr>
          <w:lang w:val="es-ES"/>
        </w:rPr>
        <w:t xml:space="preserve">por parte </w:t>
      </w:r>
      <w:r w:rsidRPr="00E56A6E">
        <w:rPr>
          <w:lang w:val="es-ES"/>
        </w:rPr>
        <w:lastRenderedPageBreak/>
        <w:t>de los pueblos indígenas y las comunidades locales y</w:t>
      </w:r>
      <w:r w:rsidR="001E37A2" w:rsidRPr="00E56A6E">
        <w:rPr>
          <w:lang w:val="es-ES"/>
        </w:rPr>
        <w:t xml:space="preserve"> </w:t>
      </w:r>
      <w:r w:rsidRPr="00E56A6E">
        <w:rPr>
          <w:lang w:val="es-ES"/>
        </w:rPr>
        <w:t>las partes interesadas, como las comunidades empresarial y científica, así como la falta de voluntad política y la inestabilidad política.</w:t>
      </w:r>
    </w:p>
    <w:p w14:paraId="3F91F78A" w14:textId="122A9C41" w:rsidR="002D64C0" w:rsidRPr="00E56A6E" w:rsidRDefault="002D64C0" w:rsidP="002D64C0">
      <w:pPr>
        <w:pStyle w:val="CBDNormalNumber"/>
        <w:rPr>
          <w:lang w:val="es-ES"/>
        </w:rPr>
      </w:pPr>
      <w:r w:rsidRPr="00E56A6E">
        <w:rPr>
          <w:lang w:val="es-ES"/>
        </w:rPr>
        <w:t>La</w:t>
      </w:r>
      <w:r w:rsidR="00983DDA" w:rsidRPr="00E56A6E">
        <w:rPr>
          <w:lang w:val="es-ES"/>
        </w:rPr>
        <w:t xml:space="preserve"> falta </w:t>
      </w:r>
      <w:r w:rsidRPr="00E56A6E">
        <w:rPr>
          <w:lang w:val="es-ES"/>
        </w:rPr>
        <w:t>de condiciones básicas propicias (relacionadas, por ejemplo, con el equipamiento, la electricidad y la infraestructura de tecnología de la información) en muchos países en desarrollo sigue siendo un obstáculo importante para la aplicación.</w:t>
      </w:r>
    </w:p>
    <w:p w14:paraId="5DD23795" w14:textId="028C306A" w:rsidR="002D64C0" w:rsidRPr="00E56A6E" w:rsidRDefault="002D64C0" w:rsidP="002D64C0">
      <w:pPr>
        <w:pStyle w:val="CBDNormalNumber"/>
        <w:rPr>
          <w:lang w:val="es-ES"/>
        </w:rPr>
      </w:pPr>
      <w:r w:rsidRPr="00E56A6E">
        <w:rPr>
          <w:lang w:val="es-ES"/>
        </w:rPr>
        <w:t>La voluntad política a nivel nacional determina qué cuestiones se priorizan en</w:t>
      </w:r>
      <w:r w:rsidR="00983DDA" w:rsidRPr="00E56A6E">
        <w:rPr>
          <w:lang w:val="es-ES"/>
        </w:rPr>
        <w:t xml:space="preserve"> relación con exigencias </w:t>
      </w:r>
      <w:r w:rsidRPr="00E56A6E">
        <w:rPr>
          <w:lang w:val="es-ES"/>
        </w:rPr>
        <w:t>contrapuestas por unos recursos limitados, y el acceso y la participación en los beneficios siguen percibiéndose a menudo como una carga normativa y un costo que debe evitarse o minimizarse, en lugar de como una oportunidad para el desarrollo sostenible.</w:t>
      </w:r>
    </w:p>
    <w:p w14:paraId="64AB2FC9" w14:textId="588FEDA7" w:rsidR="002D64C0" w:rsidRPr="00E56A6E" w:rsidRDefault="002D64C0" w:rsidP="002D64C0">
      <w:pPr>
        <w:pStyle w:val="CBDNormalNumber"/>
        <w:rPr>
          <w:lang w:val="es-ES"/>
        </w:rPr>
      </w:pPr>
      <w:r w:rsidRPr="00E56A6E">
        <w:rPr>
          <w:lang w:val="es-ES"/>
        </w:rPr>
        <w:t xml:space="preserve">La considerable inversión de recursos necesaria para establecer marcos jurídicos e institucionales de acceso y participación en los beneficios </w:t>
      </w:r>
      <w:r w:rsidR="006954E8" w:rsidRPr="00E56A6E">
        <w:rPr>
          <w:lang w:val="es-ES"/>
        </w:rPr>
        <w:t>–</w:t>
      </w:r>
      <w:r w:rsidRPr="00E56A6E">
        <w:rPr>
          <w:lang w:val="es-ES"/>
        </w:rPr>
        <w:t xml:space="preserve">que solo generarán beneficios a largo plazo, debido al largo </w:t>
      </w:r>
      <w:r w:rsidR="00791311" w:rsidRPr="00E56A6E">
        <w:rPr>
          <w:lang w:val="es-ES"/>
        </w:rPr>
        <w:t xml:space="preserve">intervalo </w:t>
      </w:r>
      <w:r w:rsidRPr="00E56A6E">
        <w:rPr>
          <w:lang w:val="es-ES"/>
        </w:rPr>
        <w:t>que transcurre entre el acceso y la participación en los beneficios</w:t>
      </w:r>
      <w:r w:rsidR="006954E8" w:rsidRPr="00E56A6E">
        <w:rPr>
          <w:lang w:val="es-ES"/>
        </w:rPr>
        <w:t>–</w:t>
      </w:r>
      <w:r w:rsidRPr="00E56A6E">
        <w:rPr>
          <w:lang w:val="es-ES"/>
        </w:rPr>
        <w:t xml:space="preserve"> constituye otra de las </w:t>
      </w:r>
      <w:r w:rsidR="0030514E" w:rsidRPr="00E56A6E">
        <w:rPr>
          <w:lang w:val="es-ES"/>
        </w:rPr>
        <w:t>causas subyacentes</w:t>
      </w:r>
      <w:r w:rsidRPr="00E56A6E">
        <w:rPr>
          <w:lang w:val="es-ES"/>
        </w:rPr>
        <w:t xml:space="preserve"> de las dificultades para la aplicación. Se ha prestado escasa atención a la contribución que la aplicación del acceso y la participación en los beneficios aporta a la mejora de la gobernanza de los recursos genéticos, incluido el empoderamiento de los pueblos indígenas y las comunidades locales.</w:t>
      </w:r>
    </w:p>
    <w:p w14:paraId="0BABD4FE" w14:textId="44AD0A2A" w:rsidR="002D64C0" w:rsidRPr="00E56A6E" w:rsidRDefault="002D64C0" w:rsidP="0060273A">
      <w:pPr>
        <w:pStyle w:val="CBDNormalNumber"/>
        <w:rPr>
          <w:lang w:val="es-ES"/>
        </w:rPr>
      </w:pPr>
      <w:r w:rsidRPr="00E56A6E">
        <w:rPr>
          <w:lang w:val="es-ES"/>
        </w:rPr>
        <w:t>Muchas Partes indicaron que no habían podido informar sobre los beneficios recibidos, alegando la</w:t>
      </w:r>
      <w:r w:rsidR="00791311" w:rsidRPr="00E56A6E">
        <w:rPr>
          <w:lang w:val="es-ES"/>
        </w:rPr>
        <w:t xml:space="preserve"> falta </w:t>
      </w:r>
      <w:r w:rsidRPr="00E56A6E">
        <w:rPr>
          <w:lang w:val="es-ES"/>
        </w:rPr>
        <w:t xml:space="preserve">de sistemas para contabilizar o hacer un seguimiento de dichos beneficios. </w:t>
      </w:r>
      <w:r w:rsidR="00791311" w:rsidRPr="00E56A6E">
        <w:rPr>
          <w:lang w:val="es-ES"/>
        </w:rPr>
        <w:t xml:space="preserve">Se reconoció ampliamente que dicha dificultad era </w:t>
      </w:r>
      <w:r w:rsidR="003B0BBB" w:rsidRPr="00E56A6E">
        <w:rPr>
          <w:lang w:val="es-ES"/>
        </w:rPr>
        <w:t>de entidad</w:t>
      </w:r>
      <w:r w:rsidRPr="00E56A6E">
        <w:rPr>
          <w:lang w:val="es-ES"/>
        </w:rPr>
        <w:t xml:space="preserve">, ya que también ponía de manifiesto limitaciones en la capacidad para </w:t>
      </w:r>
      <w:r w:rsidR="00791311" w:rsidRPr="00E56A6E">
        <w:rPr>
          <w:lang w:val="es-ES"/>
        </w:rPr>
        <w:t xml:space="preserve">controlar </w:t>
      </w:r>
      <w:r w:rsidRPr="00E56A6E">
        <w:rPr>
          <w:lang w:val="es-ES"/>
        </w:rPr>
        <w:t xml:space="preserve">los resultados de la participación en los beneficios y la aplicación de las condiciones mutuamente acordadas y los acuerdos de acceso y participación en los beneficios. En algunos casos, otras Partes informaron de que, si bien disponían de la información requerida, esta se consideraba confidencial y, por lo tanto, no se compartía. </w:t>
      </w:r>
    </w:p>
    <w:p w14:paraId="47C82095" w14:textId="76E585EC" w:rsidR="00452379" w:rsidRPr="00E56A6E" w:rsidRDefault="0004180D" w:rsidP="0004180D">
      <w:pPr>
        <w:pStyle w:val="CBDH3"/>
        <w:rPr>
          <w:lang w:val="es-ES"/>
        </w:rPr>
      </w:pPr>
      <w:r w:rsidRPr="00E56A6E">
        <w:rPr>
          <w:lang w:val="es-ES"/>
        </w:rPr>
        <w:t>3.</w:t>
      </w:r>
      <w:r w:rsidRPr="00E56A6E">
        <w:rPr>
          <w:lang w:val="es-ES"/>
        </w:rPr>
        <w:tab/>
      </w:r>
      <w:r w:rsidR="0030514E" w:rsidRPr="00E56A6E">
        <w:rPr>
          <w:lang w:val="es-ES"/>
        </w:rPr>
        <w:t>Causas subyacentes</w:t>
      </w:r>
      <w:r w:rsidR="000179B2" w:rsidRPr="00E56A6E">
        <w:rPr>
          <w:lang w:val="es-ES"/>
        </w:rPr>
        <w:t xml:space="preserve"> de los obstáculos para una aplicación efectiva</w:t>
      </w:r>
      <w:r w:rsidR="000179B2" w:rsidRPr="00E56A6E">
        <w:rPr>
          <w:rStyle w:val="FootnoteReference"/>
          <w:lang w:val="es-ES"/>
        </w:rPr>
        <w:footnoteReference w:id="62"/>
      </w:r>
    </w:p>
    <w:p w14:paraId="06E1CDC3" w14:textId="5CE5A656" w:rsidR="000179B2" w:rsidRPr="00E56A6E" w:rsidRDefault="000179B2" w:rsidP="000179B2">
      <w:pPr>
        <w:pStyle w:val="CBDNormalNumber"/>
        <w:rPr>
          <w:lang w:val="es-ES"/>
        </w:rPr>
      </w:pPr>
      <w:r w:rsidRPr="00E56A6E">
        <w:rPr>
          <w:lang w:val="es-ES"/>
        </w:rPr>
        <w:t xml:space="preserve">El </w:t>
      </w:r>
      <w:r w:rsidR="00B007EB" w:rsidRPr="00E56A6E">
        <w:rPr>
          <w:lang w:val="es-ES"/>
        </w:rPr>
        <w:t>estudio preliminar</w:t>
      </w:r>
      <w:r w:rsidRPr="00E56A6E">
        <w:rPr>
          <w:lang w:val="es-ES"/>
        </w:rPr>
        <w:t xml:space="preserve"> </w:t>
      </w:r>
      <w:r w:rsidR="00807080" w:rsidRPr="00E56A6E">
        <w:rPr>
          <w:lang w:val="es-ES"/>
        </w:rPr>
        <w:t xml:space="preserve">señaló </w:t>
      </w:r>
      <w:r w:rsidRPr="00E56A6E">
        <w:rPr>
          <w:lang w:val="es-ES"/>
        </w:rPr>
        <w:t xml:space="preserve">posibles motivos </w:t>
      </w:r>
      <w:r w:rsidR="00A05194" w:rsidRPr="00E56A6E">
        <w:rPr>
          <w:lang w:val="es-ES"/>
        </w:rPr>
        <w:t>y causas subyacentes</w:t>
      </w:r>
      <w:r w:rsidRPr="00E56A6E">
        <w:rPr>
          <w:lang w:val="es-ES"/>
        </w:rPr>
        <w:t xml:space="preserve"> de los obstáculos para una aplicación efectiva. Dichos factores abarcaban muchos de los </w:t>
      </w:r>
      <w:r w:rsidR="00807080" w:rsidRPr="00E56A6E">
        <w:rPr>
          <w:lang w:val="es-ES"/>
        </w:rPr>
        <w:t xml:space="preserve">problemas planteados </w:t>
      </w:r>
      <w:r w:rsidRPr="00E56A6E">
        <w:rPr>
          <w:lang w:val="es-ES"/>
        </w:rPr>
        <w:t xml:space="preserve">en la aplicación del Protocolo de Nagoya, y las </w:t>
      </w:r>
      <w:r w:rsidR="0030514E" w:rsidRPr="00E56A6E">
        <w:rPr>
          <w:lang w:val="es-ES"/>
        </w:rPr>
        <w:t>causas subyacentes</w:t>
      </w:r>
      <w:r w:rsidRPr="00E56A6E">
        <w:rPr>
          <w:lang w:val="es-ES"/>
        </w:rPr>
        <w:t xml:space="preserve"> y l</w:t>
      </w:r>
      <w:r w:rsidR="00807080" w:rsidRPr="00E56A6E">
        <w:rPr>
          <w:lang w:val="es-ES"/>
        </w:rPr>
        <w:t xml:space="preserve">as dificultades </w:t>
      </w:r>
      <w:r w:rsidRPr="00E56A6E">
        <w:rPr>
          <w:lang w:val="es-ES"/>
        </w:rPr>
        <w:t>solían estar interrelacionad</w:t>
      </w:r>
      <w:r w:rsidR="00807080" w:rsidRPr="00E56A6E">
        <w:rPr>
          <w:lang w:val="es-ES"/>
        </w:rPr>
        <w:t>a</w:t>
      </w:r>
      <w:r w:rsidRPr="00E56A6E">
        <w:rPr>
          <w:lang w:val="es-ES"/>
        </w:rPr>
        <w:t>s. Se trataban de cuestiones contextuales más amplias y cuestiones relacionadas con el Protocolo de Nagoya, concretamente:</w:t>
      </w:r>
    </w:p>
    <w:p w14:paraId="02B97178" w14:textId="22DFC84C" w:rsidR="000179B2" w:rsidRPr="00E56A6E" w:rsidRDefault="000179B2" w:rsidP="00320511">
      <w:pPr>
        <w:pStyle w:val="CBDNormalNumber"/>
        <w:numPr>
          <w:ilvl w:val="1"/>
          <w:numId w:val="7"/>
        </w:numPr>
        <w:ind w:left="567" w:firstLine="567"/>
        <w:rPr>
          <w:lang w:val="es-ES"/>
        </w:rPr>
      </w:pPr>
      <w:r w:rsidRPr="00E56A6E">
        <w:rPr>
          <w:i/>
          <w:iCs/>
          <w:lang w:val="es-ES"/>
        </w:rPr>
        <w:t>Los derechos soberanos de los Estados sobre sus recursos naturales</w:t>
      </w:r>
      <w:r w:rsidRPr="00E56A6E">
        <w:rPr>
          <w:lang w:val="es-ES"/>
        </w:rPr>
        <w:t xml:space="preserve">. El reconocimiento de los derechos soberanos de los Estados sobre sus recursos naturales y los principios de acceso y participación en los beneficios establecidos en el artículo 15 del Convenio representaron un importante cambio de paradigma e implicaron un cambio fundamental en las mentalidades y prácticas con respecto a la forma en que se gestionaban los recursos genéticos y los </w:t>
      </w:r>
      <w:r w:rsidR="00D426EC" w:rsidRPr="00E56A6E">
        <w:rPr>
          <w:lang w:val="es-ES"/>
        </w:rPr>
        <w:t>conocimientos tradicionales conexos</w:t>
      </w:r>
      <w:r w:rsidRPr="00E56A6E">
        <w:rPr>
          <w:lang w:val="es-ES"/>
        </w:rPr>
        <w:t>, y a la forma en que se llevaba a cabo la investigación relacionada con esos recursos o su utilización comercial;</w:t>
      </w:r>
    </w:p>
    <w:p w14:paraId="6C1D7308" w14:textId="5B0A6084" w:rsidR="000179B2" w:rsidRPr="00E56A6E" w:rsidRDefault="000179B2" w:rsidP="00320511">
      <w:pPr>
        <w:pStyle w:val="CBDNormalNumber"/>
        <w:numPr>
          <w:ilvl w:val="1"/>
          <w:numId w:val="7"/>
        </w:numPr>
        <w:ind w:left="567" w:firstLine="567"/>
        <w:rPr>
          <w:lang w:val="es-ES"/>
        </w:rPr>
      </w:pPr>
      <w:r w:rsidRPr="00E56A6E">
        <w:rPr>
          <w:i/>
          <w:iCs/>
          <w:lang w:val="es-ES"/>
        </w:rPr>
        <w:t>Diferentes visiones del mundo</w:t>
      </w:r>
      <w:r w:rsidRPr="00E56A6E">
        <w:rPr>
          <w:lang w:val="es-ES"/>
        </w:rPr>
        <w:t xml:space="preserve">. El acceso y la participación en los beneficios tratan de conciliar diferentes visiones del mundo, culturas y mentalidades al reunir a </w:t>
      </w:r>
      <w:r w:rsidR="005D5027" w:rsidRPr="00E56A6E">
        <w:rPr>
          <w:lang w:val="es-ES"/>
        </w:rPr>
        <w:t>Gobiernos</w:t>
      </w:r>
      <w:r w:rsidRPr="00E56A6E">
        <w:rPr>
          <w:lang w:val="es-ES"/>
        </w:rPr>
        <w:t>, pueblos indígenas y comunidades locales, así como a partes interesadas de los sectores empresarial y científico, tanto dentro de los países como entre ellos;</w:t>
      </w:r>
    </w:p>
    <w:p w14:paraId="1821B84B" w14:textId="648BD2E2" w:rsidR="00D2034E" w:rsidRPr="00E56A6E" w:rsidRDefault="000179B2" w:rsidP="00320511">
      <w:pPr>
        <w:pStyle w:val="CBDNormalNumber"/>
        <w:numPr>
          <w:ilvl w:val="1"/>
          <w:numId w:val="7"/>
        </w:numPr>
        <w:ind w:left="567" w:firstLine="567"/>
        <w:rPr>
          <w:lang w:val="es-ES"/>
        </w:rPr>
      </w:pPr>
      <w:r w:rsidRPr="00E56A6E">
        <w:rPr>
          <w:i/>
          <w:iCs/>
          <w:lang w:val="es-ES"/>
        </w:rPr>
        <w:t>Desigualdades históricas</w:t>
      </w:r>
      <w:r w:rsidRPr="00E56A6E">
        <w:rPr>
          <w:lang w:val="es-ES"/>
        </w:rPr>
        <w:t xml:space="preserve">. </w:t>
      </w:r>
      <w:r w:rsidR="00E9225D" w:rsidRPr="00E56A6E">
        <w:rPr>
          <w:lang w:val="es-ES"/>
        </w:rPr>
        <w:t xml:space="preserve">Las dificultades </w:t>
      </w:r>
      <w:r w:rsidRPr="00E56A6E">
        <w:rPr>
          <w:lang w:val="es-ES"/>
        </w:rPr>
        <w:t>relacionad</w:t>
      </w:r>
      <w:r w:rsidR="00E9225D" w:rsidRPr="00E56A6E">
        <w:rPr>
          <w:lang w:val="es-ES"/>
        </w:rPr>
        <w:t>a</w:t>
      </w:r>
      <w:r w:rsidRPr="00E56A6E">
        <w:rPr>
          <w:lang w:val="es-ES"/>
        </w:rPr>
        <w:t>s con la aplicación del acceso y la participación en los beneficios pueden ser el resultado de cuestiones más amplias sin resolver vinculadas a desigualdades históricas, como experiencias pasadas de explotación de recursos o el reconocimiento limitado de los conocimientos tradicionales;</w:t>
      </w:r>
    </w:p>
    <w:p w14:paraId="418A7BD4" w14:textId="420990D7" w:rsidR="00D2034E" w:rsidRPr="00E56A6E" w:rsidRDefault="000179B2" w:rsidP="00320511">
      <w:pPr>
        <w:pStyle w:val="CBDNormalNumber"/>
        <w:numPr>
          <w:ilvl w:val="1"/>
          <w:numId w:val="7"/>
        </w:numPr>
        <w:ind w:left="567" w:firstLine="567"/>
        <w:rPr>
          <w:lang w:val="es-ES"/>
        </w:rPr>
      </w:pPr>
      <w:r w:rsidRPr="00E56A6E">
        <w:rPr>
          <w:i/>
          <w:iCs/>
          <w:lang w:val="es-ES"/>
        </w:rPr>
        <w:t>Falta de confianza mutua</w:t>
      </w:r>
      <w:r w:rsidRPr="00E56A6E">
        <w:rPr>
          <w:lang w:val="es-ES"/>
        </w:rPr>
        <w:t xml:space="preserve">. Las desigualdades históricas siguen contribuyendo a la desconfianza entre los usuarios del Norte y los proveedores, tradicionalmente del Sur global. El temor </w:t>
      </w:r>
      <w:r w:rsidRPr="00E56A6E">
        <w:rPr>
          <w:lang w:val="es-ES"/>
        </w:rPr>
        <w:lastRenderedPageBreak/>
        <w:t xml:space="preserve">a la apropiación indebida y al uso indebido de los recursos genéticos una vez que salen del país proveedor sigue fomentando </w:t>
      </w:r>
      <w:r w:rsidR="00E9225D" w:rsidRPr="00E56A6E">
        <w:rPr>
          <w:lang w:val="es-ES"/>
        </w:rPr>
        <w:t xml:space="preserve">la elaboración </w:t>
      </w:r>
      <w:r w:rsidRPr="00E56A6E">
        <w:rPr>
          <w:lang w:val="es-ES"/>
        </w:rPr>
        <w:t>de medidas restrictivas de acceso y participación en los beneficios en muchos países proveedores, a pesar del sistema de seguimiento internacional establecido por el Protocolo de Nagoya;</w:t>
      </w:r>
    </w:p>
    <w:p w14:paraId="70A2B17D" w14:textId="458AC6EB" w:rsidR="00D2034E" w:rsidRPr="00E56A6E" w:rsidRDefault="000179B2" w:rsidP="00320511">
      <w:pPr>
        <w:pStyle w:val="CBDNormalNumber"/>
        <w:numPr>
          <w:ilvl w:val="1"/>
          <w:numId w:val="7"/>
        </w:numPr>
        <w:ind w:left="567" w:firstLine="567"/>
        <w:rPr>
          <w:lang w:val="es-ES"/>
        </w:rPr>
      </w:pPr>
      <w:r w:rsidRPr="00E56A6E">
        <w:rPr>
          <w:i/>
          <w:iCs/>
          <w:lang w:val="es-ES"/>
        </w:rPr>
        <w:t xml:space="preserve">Reconocimiento limitado del valor de los recursos genéticos y los </w:t>
      </w:r>
      <w:r w:rsidR="00D426EC" w:rsidRPr="00E56A6E">
        <w:rPr>
          <w:i/>
          <w:iCs/>
          <w:lang w:val="es-ES"/>
        </w:rPr>
        <w:t>conocimientos tradicionales conexos</w:t>
      </w:r>
      <w:r w:rsidRPr="00E56A6E">
        <w:rPr>
          <w:lang w:val="es-ES"/>
        </w:rPr>
        <w:t xml:space="preserve">. El reconocimiento limitado del valor de los recursos genéticos y los </w:t>
      </w:r>
      <w:r w:rsidR="00D426EC" w:rsidRPr="00E56A6E">
        <w:rPr>
          <w:lang w:val="es-ES"/>
        </w:rPr>
        <w:t>conocimientos tradicionales conexos</w:t>
      </w:r>
      <w:r w:rsidRPr="00E56A6E">
        <w:rPr>
          <w:lang w:val="es-ES"/>
        </w:rPr>
        <w:t xml:space="preserve"> sigue siendo una realidad en muchos países y afecta a la voluntad política;</w:t>
      </w:r>
    </w:p>
    <w:p w14:paraId="58F1F240" w14:textId="29360043" w:rsidR="00D2034E" w:rsidRPr="00E56A6E" w:rsidRDefault="000179B2" w:rsidP="00320511">
      <w:pPr>
        <w:pStyle w:val="CBDNormalNumber"/>
        <w:numPr>
          <w:ilvl w:val="1"/>
          <w:numId w:val="7"/>
        </w:numPr>
        <w:ind w:left="567" w:firstLine="567"/>
        <w:rPr>
          <w:lang w:val="es-ES"/>
        </w:rPr>
      </w:pPr>
      <w:r w:rsidRPr="00E56A6E">
        <w:rPr>
          <w:i/>
          <w:iCs/>
          <w:lang w:val="es-ES"/>
        </w:rPr>
        <w:t>Compromiso y voluntad políticos.</w:t>
      </w:r>
      <w:r w:rsidRPr="00E56A6E">
        <w:rPr>
          <w:lang w:val="es-ES"/>
        </w:rPr>
        <w:t xml:space="preserve"> Debido a las</w:t>
      </w:r>
      <w:r w:rsidR="00E9225D" w:rsidRPr="00E56A6E">
        <w:rPr>
          <w:lang w:val="es-ES"/>
        </w:rPr>
        <w:t xml:space="preserve"> exigencias </w:t>
      </w:r>
      <w:r w:rsidRPr="00E56A6E">
        <w:rPr>
          <w:lang w:val="es-ES"/>
        </w:rPr>
        <w:t>contrapuestas de recursos financieros, técnicos y humanos a nivel nacional, la falta de voluntad política afecta directamente a los avances en la aplicación del acceso y la participación en los beneficios;</w:t>
      </w:r>
    </w:p>
    <w:p w14:paraId="588F6093" w14:textId="58880E72" w:rsidR="00D2034E" w:rsidRPr="00E56A6E" w:rsidRDefault="000179B2" w:rsidP="00320511">
      <w:pPr>
        <w:pStyle w:val="CBDNormalNumber"/>
        <w:numPr>
          <w:ilvl w:val="1"/>
          <w:numId w:val="7"/>
        </w:numPr>
        <w:ind w:left="567" w:firstLine="567"/>
        <w:rPr>
          <w:lang w:val="es-ES"/>
        </w:rPr>
      </w:pPr>
      <w:r w:rsidRPr="00E56A6E">
        <w:rPr>
          <w:i/>
          <w:iCs/>
          <w:lang w:val="es-ES"/>
        </w:rPr>
        <w:t>Complejidad del acceso y la participación en los beneficios</w:t>
      </w:r>
      <w:r w:rsidRPr="00E56A6E">
        <w:rPr>
          <w:lang w:val="es-ES"/>
        </w:rPr>
        <w:t>. La complejidad inherente al acceso y la participación en los beneficios, en la intersección entre la conservación de la diversidad</w:t>
      </w:r>
      <w:r w:rsidR="00E9225D" w:rsidRPr="00E56A6E">
        <w:rPr>
          <w:lang w:val="es-ES"/>
        </w:rPr>
        <w:t xml:space="preserve"> biológica</w:t>
      </w:r>
      <w:r w:rsidRPr="00E56A6E">
        <w:rPr>
          <w:lang w:val="es-ES"/>
        </w:rPr>
        <w:t>, la investigación y el uso comercial, y que implica consideraciones jurídicas, científicas, empresariales y éticas, contribuye a l</w:t>
      </w:r>
      <w:r w:rsidR="00C44087" w:rsidRPr="00E56A6E">
        <w:rPr>
          <w:lang w:val="es-ES"/>
        </w:rPr>
        <w:t>a</w:t>
      </w:r>
      <w:r w:rsidRPr="00E56A6E">
        <w:rPr>
          <w:lang w:val="es-ES"/>
        </w:rPr>
        <w:t xml:space="preserve">s </w:t>
      </w:r>
      <w:r w:rsidR="00C44087" w:rsidRPr="00E56A6E">
        <w:rPr>
          <w:lang w:val="es-ES"/>
        </w:rPr>
        <w:t xml:space="preserve">dificultades </w:t>
      </w:r>
      <w:r w:rsidRPr="00E56A6E">
        <w:rPr>
          <w:lang w:val="es-ES"/>
        </w:rPr>
        <w:t>de aplicación;</w:t>
      </w:r>
    </w:p>
    <w:p w14:paraId="5296ACFC" w14:textId="77777777" w:rsidR="00D2034E" w:rsidRPr="00E56A6E" w:rsidRDefault="000179B2" w:rsidP="00320511">
      <w:pPr>
        <w:pStyle w:val="CBDNormalNumber"/>
        <w:numPr>
          <w:ilvl w:val="1"/>
          <w:numId w:val="7"/>
        </w:numPr>
        <w:ind w:left="567" w:firstLine="567"/>
        <w:rPr>
          <w:lang w:val="es-ES"/>
        </w:rPr>
      </w:pPr>
      <w:r w:rsidRPr="00E56A6E">
        <w:rPr>
          <w:i/>
          <w:iCs/>
          <w:lang w:val="es-ES"/>
        </w:rPr>
        <w:t>Integración limitada del acceso y la participación en los beneficios como parte de objetivos políticos más amplios</w:t>
      </w:r>
      <w:r w:rsidRPr="00E56A6E">
        <w:rPr>
          <w:lang w:val="es-ES"/>
        </w:rPr>
        <w:t>. En general, el acceso y la participación en los beneficios no se han reconocido como un vehículo para alcanzar objetivos políticos más amplios (por ejemplo, el desarrollo, la investigación y la innovación, y la bioeconomía). No se ha integrado ni incorporado suficientemente en cuestiones políticas más amplias y sigue considerándose una cuestión técnica bajo la responsabilidad principal de los ministerios de medio ambiente;</w:t>
      </w:r>
    </w:p>
    <w:p w14:paraId="7C217CC2" w14:textId="2C33CAFD" w:rsidR="000179B2" w:rsidRPr="00E56A6E" w:rsidRDefault="000179B2" w:rsidP="00320511">
      <w:pPr>
        <w:pStyle w:val="CBDNormalNumber"/>
        <w:numPr>
          <w:ilvl w:val="1"/>
          <w:numId w:val="7"/>
        </w:numPr>
        <w:ind w:left="567" w:firstLine="567"/>
        <w:rPr>
          <w:lang w:val="es-ES"/>
        </w:rPr>
      </w:pPr>
      <w:r w:rsidRPr="00E56A6E">
        <w:rPr>
          <w:i/>
          <w:iCs/>
          <w:lang w:val="es-ES"/>
        </w:rPr>
        <w:t>La evolución de la biotecnología</w:t>
      </w:r>
      <w:r w:rsidRPr="00E56A6E">
        <w:rPr>
          <w:lang w:val="es-ES"/>
        </w:rPr>
        <w:t xml:space="preserve">. Los avances tecnológicos y científicos de los últimos 30 años, tras la adopción del Convenio sobre la Diversidad Biológica, han tenido un enorme impacto en la forma en que se llevan a cabo la investigación y el desarrollo en materia de recursos genéticos. A la luz de esos continuos avances y del uso cada vez mayor de la información sobre secuencias digitales en las actividades de investigación y desarrollo, algunos han cuestionado la pertinencia del Protocolo de Nagoya y la necesidad de seguir teniendo acceso </w:t>
      </w:r>
      <w:r w:rsidR="00C44087" w:rsidRPr="00E56A6E">
        <w:rPr>
          <w:lang w:val="es-ES"/>
        </w:rPr>
        <w:t xml:space="preserve">material </w:t>
      </w:r>
      <w:r w:rsidRPr="00E56A6E">
        <w:rPr>
          <w:lang w:val="es-ES"/>
        </w:rPr>
        <w:t xml:space="preserve">a los recursos genéticos. Dado que </w:t>
      </w:r>
      <w:proofErr w:type="gramStart"/>
      <w:r w:rsidRPr="00E56A6E">
        <w:rPr>
          <w:lang w:val="es-ES"/>
        </w:rPr>
        <w:t xml:space="preserve">el </w:t>
      </w:r>
      <w:r w:rsidR="00B67C83" w:rsidRPr="00E56A6E">
        <w:rPr>
          <w:lang w:val="es-ES"/>
        </w:rPr>
        <w:t>participación</w:t>
      </w:r>
      <w:proofErr w:type="gramEnd"/>
      <w:r w:rsidR="00B67C83" w:rsidRPr="00E56A6E">
        <w:rPr>
          <w:lang w:val="es-ES"/>
        </w:rPr>
        <w:t xml:space="preserve"> en los beneficios</w:t>
      </w:r>
      <w:r w:rsidRPr="00E56A6E">
        <w:rPr>
          <w:lang w:val="es-ES"/>
        </w:rPr>
        <w:t xml:space="preserve"> atención de los debates sobre políticas internacionales se ha desplazado hacia el mecanismo multilateral sobre la información</w:t>
      </w:r>
      <w:r w:rsidR="00C44087" w:rsidRPr="00E56A6E">
        <w:rPr>
          <w:lang w:val="es-ES"/>
        </w:rPr>
        <w:t xml:space="preserve"> </w:t>
      </w:r>
      <w:r w:rsidR="000B0B10" w:rsidRPr="00E56A6E">
        <w:rPr>
          <w:lang w:val="es-ES"/>
        </w:rPr>
        <w:t xml:space="preserve">digital </w:t>
      </w:r>
      <w:r w:rsidR="00C44087" w:rsidRPr="00E56A6E">
        <w:rPr>
          <w:lang w:val="es-ES"/>
        </w:rPr>
        <w:t>sobre</w:t>
      </w:r>
      <w:r w:rsidRPr="00E56A6E">
        <w:rPr>
          <w:lang w:val="es-ES"/>
        </w:rPr>
        <w:t xml:space="preserve"> secuencias de recursos genéticos y el Fondo de Cali, es posible que algunos se muestren menos dispuestos a dedicar esfuerzos a la aplicación del Protocolo de Nagoya.</w:t>
      </w:r>
    </w:p>
    <w:p w14:paraId="4CC701A8" w14:textId="5E710ED0" w:rsidR="00400C25" w:rsidRPr="00E56A6E" w:rsidRDefault="00400C25" w:rsidP="00400C25">
      <w:pPr>
        <w:pStyle w:val="CBDNormalNumber"/>
        <w:rPr>
          <w:lang w:val="es-ES"/>
        </w:rPr>
      </w:pPr>
      <w:r w:rsidRPr="00E56A6E">
        <w:rPr>
          <w:lang w:val="es-ES"/>
        </w:rPr>
        <w:t xml:space="preserve">Importantes actores </w:t>
      </w:r>
      <w:r w:rsidR="00EF0453" w:rsidRPr="00E56A6E">
        <w:rPr>
          <w:lang w:val="es-ES"/>
        </w:rPr>
        <w:t xml:space="preserve">que participan </w:t>
      </w:r>
      <w:r w:rsidRPr="00E56A6E">
        <w:rPr>
          <w:lang w:val="es-ES"/>
        </w:rPr>
        <w:t xml:space="preserve">en la utilización de los recursos genéticos y los </w:t>
      </w:r>
      <w:r w:rsidR="00D426EC" w:rsidRPr="00E56A6E">
        <w:rPr>
          <w:lang w:val="es-ES"/>
        </w:rPr>
        <w:t>conocimientos tradicionales conexos</w:t>
      </w:r>
      <w:r w:rsidRPr="00E56A6E">
        <w:rPr>
          <w:lang w:val="es-ES"/>
        </w:rPr>
        <w:t xml:space="preserve"> no son </w:t>
      </w:r>
      <w:r w:rsidR="00C44087" w:rsidRPr="00E56A6E">
        <w:rPr>
          <w:lang w:val="es-ES"/>
        </w:rPr>
        <w:t>P</w:t>
      </w:r>
      <w:r w:rsidRPr="00E56A6E">
        <w:rPr>
          <w:lang w:val="es-ES"/>
        </w:rPr>
        <w:t xml:space="preserve">artes en el Protocolo, en particular los Estados Unidos de América, que no son </w:t>
      </w:r>
      <w:r w:rsidR="006A2F2E" w:rsidRPr="00E56A6E">
        <w:rPr>
          <w:lang w:val="es-ES"/>
        </w:rPr>
        <w:t>P</w:t>
      </w:r>
      <w:r w:rsidRPr="00E56A6E">
        <w:rPr>
          <w:lang w:val="es-ES"/>
        </w:rPr>
        <w:t xml:space="preserve">arte en el Convenio sobre la Diversidad Biológica, así como algunas Partes en el Convenio que cuentan con marcos nacionales de acceso y participación en los beneficios, pero que aún no han ratificado el Protocolo de Nagoya (por ejemplo, Australia y Colombia) y, por lo tanto, no </w:t>
      </w:r>
      <w:r w:rsidR="006A2F2E" w:rsidRPr="00E56A6E">
        <w:rPr>
          <w:lang w:val="es-ES"/>
        </w:rPr>
        <w:t xml:space="preserve">se les exige </w:t>
      </w:r>
      <w:r w:rsidRPr="00E56A6E">
        <w:rPr>
          <w:lang w:val="es-ES"/>
        </w:rPr>
        <w:t>cumplir las obligaciones establecidas en el Protocolo.</w:t>
      </w:r>
    </w:p>
    <w:p w14:paraId="40EC856A" w14:textId="19FC586E" w:rsidR="00400C25" w:rsidRPr="00E56A6E" w:rsidRDefault="00400C25" w:rsidP="00400C25">
      <w:pPr>
        <w:pStyle w:val="CBDNormalNumber"/>
        <w:rPr>
          <w:lang w:val="es-ES"/>
        </w:rPr>
      </w:pPr>
      <w:r w:rsidRPr="00E56A6E">
        <w:rPr>
          <w:lang w:val="es-ES"/>
        </w:rPr>
        <w:t>El Protocolo de Nagoya se adoptó como un paquete de medidas de compromiso en las últimas horas de la décima reunión de la Conferencia de las Partes en el Convenio. Si bien la ambigüedad intencionada de algunas de sus disposiciones proporcionó la flexibilidad necesaria para que se aprobara el Protocolo, dicha ambigüedad también ha contribuido a que surjan dificultades en su aplicación.</w:t>
      </w:r>
    </w:p>
    <w:p w14:paraId="63D527A0" w14:textId="416002C3" w:rsidR="00452379" w:rsidRPr="00E56A6E" w:rsidRDefault="0004180D" w:rsidP="0004180D">
      <w:pPr>
        <w:pStyle w:val="CBDH3"/>
        <w:rPr>
          <w:lang w:val="es-ES"/>
        </w:rPr>
      </w:pPr>
      <w:r w:rsidRPr="00E56A6E">
        <w:rPr>
          <w:lang w:val="es-ES"/>
        </w:rPr>
        <w:t>4.</w:t>
      </w:r>
      <w:r w:rsidRPr="00E56A6E">
        <w:rPr>
          <w:lang w:val="es-ES"/>
        </w:rPr>
        <w:tab/>
      </w:r>
      <w:r w:rsidR="0038066F" w:rsidRPr="00E56A6E">
        <w:rPr>
          <w:lang w:val="es-ES"/>
        </w:rPr>
        <w:t>Posibles maneras</w:t>
      </w:r>
      <w:r w:rsidR="000F2ED6" w:rsidRPr="00E56A6E">
        <w:rPr>
          <w:lang w:val="es-ES"/>
        </w:rPr>
        <w:t xml:space="preserve"> de mejorar la eficacia en la aplicación del Protocolo de Nagoya</w:t>
      </w:r>
    </w:p>
    <w:p w14:paraId="7F656A76" w14:textId="5C4A7C96" w:rsidR="000F2ED6" w:rsidRPr="00E56A6E" w:rsidRDefault="000F2ED6" w:rsidP="000F2ED6">
      <w:pPr>
        <w:pStyle w:val="CBDNormalNumber"/>
        <w:rPr>
          <w:lang w:val="es-ES"/>
        </w:rPr>
      </w:pPr>
      <w:r w:rsidRPr="00E56A6E">
        <w:rPr>
          <w:lang w:val="es-ES"/>
        </w:rPr>
        <w:t xml:space="preserve">El </w:t>
      </w:r>
      <w:r w:rsidR="00B007EB" w:rsidRPr="00E56A6E">
        <w:rPr>
          <w:lang w:val="es-ES"/>
        </w:rPr>
        <w:t>estudio preliminar</w:t>
      </w:r>
      <w:r w:rsidRPr="00E56A6E">
        <w:rPr>
          <w:lang w:val="es-ES"/>
        </w:rPr>
        <w:t xml:space="preserve"> </w:t>
      </w:r>
      <w:r w:rsidR="004C12B5" w:rsidRPr="00E56A6E">
        <w:rPr>
          <w:lang w:val="es-ES"/>
        </w:rPr>
        <w:t xml:space="preserve">señala </w:t>
      </w:r>
      <w:r w:rsidRPr="00E56A6E">
        <w:rPr>
          <w:lang w:val="es-ES"/>
        </w:rPr>
        <w:t>una serie de medidas para mejorar la aplicación</w:t>
      </w:r>
      <w:r w:rsidRPr="00E56A6E">
        <w:rPr>
          <w:rStyle w:val="FootnoteReference"/>
          <w:lang w:val="es-ES"/>
        </w:rPr>
        <w:footnoteReference w:id="63"/>
      </w:r>
      <w:r w:rsidRPr="00E56A6E">
        <w:rPr>
          <w:lang w:val="es-ES"/>
        </w:rPr>
        <w:t xml:space="preserve">. Algunas de ellas se refieren a distintos elementos de la evaluación y el examen y se desarrollan con más detalle </w:t>
      </w:r>
      <w:r w:rsidRPr="00E56A6E">
        <w:rPr>
          <w:lang w:val="es-ES"/>
        </w:rPr>
        <w:lastRenderedPageBreak/>
        <w:t>en la sección correspondiente del presente documento; sin embargo, en resumen, las recomendaciones del estudio incluyen trabajar en los siguientes enfoques:</w:t>
      </w:r>
    </w:p>
    <w:p w14:paraId="7C3AA8FF" w14:textId="77777777" w:rsidR="000F2ED6" w:rsidRPr="00E56A6E" w:rsidRDefault="000F2ED6" w:rsidP="00320511">
      <w:pPr>
        <w:pStyle w:val="CBDNormalNumber"/>
        <w:numPr>
          <w:ilvl w:val="1"/>
          <w:numId w:val="7"/>
        </w:numPr>
        <w:ind w:left="567" w:firstLine="567"/>
        <w:rPr>
          <w:lang w:val="es-ES"/>
        </w:rPr>
      </w:pPr>
      <w:r w:rsidRPr="00E56A6E">
        <w:rPr>
          <w:lang w:val="es-ES"/>
        </w:rPr>
        <w:t>Cambiar el discurso;</w:t>
      </w:r>
    </w:p>
    <w:p w14:paraId="1BB6132F" w14:textId="77777777" w:rsidR="000F2ED6" w:rsidRPr="00E56A6E" w:rsidRDefault="000F2ED6" w:rsidP="00320511">
      <w:pPr>
        <w:pStyle w:val="CBDNormalNumber"/>
        <w:numPr>
          <w:ilvl w:val="1"/>
          <w:numId w:val="7"/>
        </w:numPr>
        <w:ind w:left="567" w:firstLine="567"/>
        <w:rPr>
          <w:lang w:val="es-ES"/>
        </w:rPr>
      </w:pPr>
      <w:r w:rsidRPr="00E56A6E">
        <w:rPr>
          <w:lang w:val="es-ES"/>
        </w:rPr>
        <w:t>Incorporar el acceso y la participación en los beneficios;</w:t>
      </w:r>
    </w:p>
    <w:p w14:paraId="32207B2E" w14:textId="77777777" w:rsidR="000F2ED6" w:rsidRPr="00E56A6E" w:rsidRDefault="000F2ED6" w:rsidP="00320511">
      <w:pPr>
        <w:pStyle w:val="CBDNormalNumber"/>
        <w:numPr>
          <w:ilvl w:val="1"/>
          <w:numId w:val="7"/>
        </w:numPr>
        <w:ind w:left="567" w:firstLine="567"/>
        <w:rPr>
          <w:lang w:val="es-ES"/>
        </w:rPr>
      </w:pPr>
      <w:r w:rsidRPr="00E56A6E">
        <w:rPr>
          <w:lang w:val="es-ES"/>
        </w:rPr>
        <w:t xml:space="preserve">Intercambio de experiencias y lecciones aprendidas; </w:t>
      </w:r>
    </w:p>
    <w:p w14:paraId="48DF4D67" w14:textId="77777777" w:rsidR="000F2ED6" w:rsidRPr="00E56A6E" w:rsidRDefault="000F2ED6" w:rsidP="00320511">
      <w:pPr>
        <w:pStyle w:val="CBDNormalNumber"/>
        <w:numPr>
          <w:ilvl w:val="1"/>
          <w:numId w:val="7"/>
        </w:numPr>
        <w:ind w:left="567" w:firstLine="567"/>
        <w:rPr>
          <w:lang w:val="es-ES"/>
        </w:rPr>
      </w:pPr>
      <w:r w:rsidRPr="00E56A6E">
        <w:rPr>
          <w:lang w:val="es-ES"/>
        </w:rPr>
        <w:t>Normalización;</w:t>
      </w:r>
    </w:p>
    <w:p w14:paraId="768C290D" w14:textId="77777777" w:rsidR="000F2ED6" w:rsidRPr="00E56A6E" w:rsidRDefault="000F2ED6" w:rsidP="00320511">
      <w:pPr>
        <w:pStyle w:val="CBDNormalNumber"/>
        <w:numPr>
          <w:ilvl w:val="1"/>
          <w:numId w:val="7"/>
        </w:numPr>
        <w:ind w:left="567" w:firstLine="567"/>
        <w:rPr>
          <w:lang w:val="es-ES"/>
        </w:rPr>
      </w:pPr>
      <w:r w:rsidRPr="00E56A6E">
        <w:rPr>
          <w:lang w:val="es-ES"/>
        </w:rPr>
        <w:t>Abordar las cuestiones normativas pendientes;</w:t>
      </w:r>
    </w:p>
    <w:p w14:paraId="27987AD2" w14:textId="2849A5F8" w:rsidR="000F2ED6" w:rsidRPr="00E56A6E" w:rsidRDefault="000F2ED6" w:rsidP="00320511">
      <w:pPr>
        <w:pStyle w:val="CBDNormalNumber"/>
        <w:numPr>
          <w:ilvl w:val="1"/>
          <w:numId w:val="7"/>
        </w:numPr>
        <w:ind w:left="567" w:firstLine="567"/>
        <w:rPr>
          <w:lang w:val="es-ES"/>
        </w:rPr>
      </w:pPr>
      <w:r w:rsidRPr="00E56A6E">
        <w:rPr>
          <w:lang w:val="es-ES"/>
        </w:rPr>
        <w:t xml:space="preserve">Intermediarios/plataformas de </w:t>
      </w:r>
      <w:r w:rsidR="00FE7951" w:rsidRPr="00E56A6E">
        <w:rPr>
          <w:lang w:val="es-ES"/>
        </w:rPr>
        <w:t>vinculación</w:t>
      </w:r>
      <w:r w:rsidRPr="00E56A6E">
        <w:rPr>
          <w:lang w:val="es-ES"/>
        </w:rPr>
        <w:t xml:space="preserve"> para conectar a usuarios y proveedores;</w:t>
      </w:r>
    </w:p>
    <w:p w14:paraId="64E389AD" w14:textId="6A1640B2" w:rsidR="000F2ED6" w:rsidRPr="00E56A6E" w:rsidRDefault="000F2ED6" w:rsidP="00320511">
      <w:pPr>
        <w:pStyle w:val="CBDNormalNumber"/>
        <w:numPr>
          <w:ilvl w:val="1"/>
          <w:numId w:val="7"/>
        </w:numPr>
        <w:ind w:left="567" w:firstLine="567"/>
        <w:rPr>
          <w:lang w:val="es-ES"/>
        </w:rPr>
      </w:pPr>
      <w:r w:rsidRPr="00E56A6E">
        <w:rPr>
          <w:lang w:val="es-ES"/>
        </w:rPr>
        <w:t xml:space="preserve">El </w:t>
      </w:r>
      <w:r w:rsidR="00B67C83" w:rsidRPr="00E56A6E">
        <w:rPr>
          <w:lang w:val="es-ES"/>
        </w:rPr>
        <w:t>Centro de Intercambio de Información sobre Acceso y Participación</w:t>
      </w:r>
      <w:r w:rsidRPr="00E56A6E">
        <w:rPr>
          <w:lang w:val="es-ES"/>
        </w:rPr>
        <w:t xml:space="preserve"> en los Beneficios como herramienta central para el intercambio de información sobre el acceso y la participación en los beneficios;</w:t>
      </w:r>
    </w:p>
    <w:p w14:paraId="162FBCE0" w14:textId="1C2B3B72" w:rsidR="00E04D9F" w:rsidRPr="00E56A6E" w:rsidRDefault="00FD7797" w:rsidP="00E04D9F">
      <w:pPr>
        <w:pStyle w:val="CBDNormalNumber"/>
        <w:numPr>
          <w:ilvl w:val="1"/>
          <w:numId w:val="7"/>
        </w:numPr>
        <w:ind w:left="567" w:firstLine="567"/>
        <w:rPr>
          <w:lang w:val="es-ES"/>
        </w:rPr>
      </w:pPr>
      <w:r w:rsidRPr="00E56A6E">
        <w:rPr>
          <w:lang w:val="es-ES"/>
        </w:rPr>
        <w:t>Creación de capacidad</w:t>
      </w:r>
      <w:r w:rsidR="000F2ED6" w:rsidRPr="00E56A6E">
        <w:rPr>
          <w:lang w:val="es-ES"/>
        </w:rPr>
        <w:t>, recursos financieros y movilización de recursos.</w:t>
      </w:r>
    </w:p>
    <w:p w14:paraId="2D852836" w14:textId="4FF3ACA6" w:rsidR="000F2ED6" w:rsidRPr="00E56A6E" w:rsidRDefault="000F2ED6" w:rsidP="00E04D9F">
      <w:pPr>
        <w:pStyle w:val="CBDNormalNumber"/>
        <w:rPr>
          <w:lang w:val="es-ES"/>
        </w:rPr>
      </w:pPr>
      <w:r w:rsidRPr="00E56A6E">
        <w:rPr>
          <w:lang w:val="es-ES"/>
        </w:rPr>
        <w:t xml:space="preserve">Es necesario </w:t>
      </w:r>
      <w:r w:rsidR="006E18B9" w:rsidRPr="00E56A6E">
        <w:rPr>
          <w:lang w:val="es-ES"/>
        </w:rPr>
        <w:t xml:space="preserve">adoptar medidas </w:t>
      </w:r>
      <w:r w:rsidRPr="00E56A6E">
        <w:rPr>
          <w:lang w:val="es-ES"/>
        </w:rPr>
        <w:t xml:space="preserve">para integrar </w:t>
      </w:r>
      <w:r w:rsidR="00320511" w:rsidRPr="00E56A6E">
        <w:rPr>
          <w:lang w:val="es-ES"/>
        </w:rPr>
        <w:t>e</w:t>
      </w:r>
      <w:r w:rsidR="006D0EB9" w:rsidRPr="00E56A6E">
        <w:rPr>
          <w:lang w:val="es-ES"/>
        </w:rPr>
        <w:t xml:space="preserve"> </w:t>
      </w:r>
      <w:r w:rsidR="00320511" w:rsidRPr="00E56A6E">
        <w:rPr>
          <w:lang w:val="es-ES"/>
        </w:rPr>
        <w:t>i</w:t>
      </w:r>
      <w:r w:rsidRPr="00E56A6E">
        <w:rPr>
          <w:lang w:val="es-ES"/>
        </w:rPr>
        <w:t xml:space="preserve">ncorporar aún más el acceso y la participación en los beneficios no solo en los objetivos políticos generales a nivel nacional (por ejemplo, la bioeconomía, la investigación y la innovación, y el desarrollo sostenible), sino también en las estrategias de sostenibilidad de los usuarios (por ejemplo, las empresas que comercializan productos basados en recursos genéticos). Si bien el reconocimiento del valor de los recursos genéticos y los </w:t>
      </w:r>
      <w:r w:rsidR="00D426EC" w:rsidRPr="00E56A6E">
        <w:rPr>
          <w:lang w:val="es-ES"/>
        </w:rPr>
        <w:t>conocimientos tradicionales conexos</w:t>
      </w:r>
      <w:r w:rsidRPr="00E56A6E">
        <w:rPr>
          <w:lang w:val="es-ES"/>
        </w:rPr>
        <w:t xml:space="preserve"> a través de una política o estrategia nacional, o su inclusión como parte de políticas más amplias </w:t>
      </w:r>
      <w:r w:rsidR="006954E8" w:rsidRPr="00E56A6E">
        <w:rPr>
          <w:lang w:val="es-ES"/>
        </w:rPr>
        <w:t>–</w:t>
      </w:r>
      <w:r w:rsidR="00770CE7" w:rsidRPr="00E56A6E">
        <w:rPr>
          <w:lang w:val="es-ES"/>
        </w:rPr>
        <w:t>tal como</w:t>
      </w:r>
      <w:r w:rsidRPr="00E56A6E">
        <w:rPr>
          <w:lang w:val="es-ES"/>
        </w:rPr>
        <w:t xml:space="preserve"> se ha demostrado en varios países</w:t>
      </w:r>
      <w:r w:rsidR="006954E8" w:rsidRPr="00E56A6E">
        <w:rPr>
          <w:lang w:val="es-ES"/>
        </w:rPr>
        <w:t>–</w:t>
      </w:r>
      <w:r w:rsidRPr="00E56A6E">
        <w:rPr>
          <w:lang w:val="es-ES"/>
        </w:rPr>
        <w:t xml:space="preserve">, puede impulsar la aplicación del acceso y la participación en los beneficios, ese esfuerzo requiere voluntad política. </w:t>
      </w:r>
    </w:p>
    <w:p w14:paraId="68645B7C" w14:textId="59C57D21" w:rsidR="000F2ED6" w:rsidRPr="00E56A6E" w:rsidRDefault="000F2ED6" w:rsidP="000F2ED6">
      <w:pPr>
        <w:pStyle w:val="CBDNormalNumber"/>
        <w:rPr>
          <w:lang w:val="es-ES"/>
        </w:rPr>
      </w:pPr>
      <w:r w:rsidRPr="00E56A6E">
        <w:rPr>
          <w:lang w:val="es-ES"/>
        </w:rPr>
        <w:t>En lo que respecta a la normalización, un</w:t>
      </w:r>
      <w:r w:rsidR="004C12B5" w:rsidRPr="00E56A6E">
        <w:rPr>
          <w:lang w:val="es-ES"/>
        </w:rPr>
        <w:t xml:space="preserve">a dificultad </w:t>
      </w:r>
      <w:r w:rsidRPr="00E56A6E">
        <w:rPr>
          <w:lang w:val="es-ES"/>
        </w:rPr>
        <w:t>importante para los usuarios que buscan acceder a los recursos genéticos para su utilización es la diversidad de medidas nacionales de acceso y participación en los beneficios adoptadas por los países para regular el acceso a sus recursos genéticos y la falta de claridad con respecto a los procedimientos que deben seguirse.</w:t>
      </w:r>
      <w:r w:rsidR="00112E38" w:rsidRPr="00E56A6E">
        <w:rPr>
          <w:lang w:val="es-ES"/>
        </w:rPr>
        <w:t xml:space="preserve"> </w:t>
      </w:r>
      <w:r w:rsidRPr="00E56A6E">
        <w:rPr>
          <w:lang w:val="es-ES"/>
        </w:rPr>
        <w:t>Aunque es poco probable que se logre una armonización plena de los marcos nacionales de acceso y participación en los beneficios, dada la naturaleza de los avances en la aplicación, los esfuerzos podrían centrarse en una mayor normalización y en enfoques coordinados a nivel regional para reforzar la coherencia y mejorar la funcionalidad general del sistema internacional de acceso y participación en los beneficios.</w:t>
      </w:r>
    </w:p>
    <w:p w14:paraId="6D1682E7" w14:textId="7A01B299" w:rsidR="000F2ED6" w:rsidRPr="00E56A6E" w:rsidRDefault="000F2ED6" w:rsidP="000F2ED6">
      <w:pPr>
        <w:pStyle w:val="CBDNormalNumber"/>
        <w:rPr>
          <w:lang w:val="es-ES"/>
        </w:rPr>
      </w:pPr>
      <w:r w:rsidRPr="00E56A6E">
        <w:rPr>
          <w:lang w:val="es-ES"/>
        </w:rPr>
        <w:t xml:space="preserve">A tal fin, los países podrían elaborar y adaptar una serie de plantillas y/o modelos que se ajusten a sus circunstancias nacionales. Entre ellos podrían figurar plantillas para la descripción de los procedimientos nacionales de acceso y participación en los beneficios; enfoques normalizados para facilitar el acceso a la investigación no comercial; plantillas para las condiciones </w:t>
      </w:r>
      <w:r w:rsidR="008E0678" w:rsidRPr="00E56A6E">
        <w:rPr>
          <w:lang w:val="es-ES"/>
        </w:rPr>
        <w:t xml:space="preserve">mutuamente </w:t>
      </w:r>
      <w:r w:rsidRPr="00E56A6E">
        <w:rPr>
          <w:lang w:val="es-ES"/>
        </w:rPr>
        <w:t>acordadas en los contratos comerciales (por ejemplo, para diferentes sectores); y un marco modular para los sistemas electrónicos de concesión de permisos.</w:t>
      </w:r>
    </w:p>
    <w:p w14:paraId="13A8D67A" w14:textId="7C2CFC78" w:rsidR="000F2ED6" w:rsidRPr="00E56A6E" w:rsidRDefault="000F2ED6" w:rsidP="000F2ED6">
      <w:pPr>
        <w:pStyle w:val="CBDNormalNumber"/>
        <w:rPr>
          <w:lang w:val="es-ES"/>
        </w:rPr>
      </w:pPr>
      <w:r w:rsidRPr="00E56A6E">
        <w:rPr>
          <w:lang w:val="es-ES"/>
        </w:rPr>
        <w:t xml:space="preserve">En lo que respecta al tratamiento de las cuestiones normativas, el estudio recomendó que podría ser necesario celebrar nuevos debates sobre políticas para alcanzar un entendimiento común y elaborar, en última instancia, nuevas orientaciones sobre conceptos clave fundamentales para la aplicación del acceso y la participación en los beneficios, entre ellos: el ámbito de aplicación del Protocolo de Nagoya, </w:t>
      </w:r>
      <w:r w:rsidR="00C76E8D" w:rsidRPr="00E56A6E">
        <w:rPr>
          <w:lang w:val="es-ES"/>
        </w:rPr>
        <w:t>la vigilancia de la utilización</w:t>
      </w:r>
      <w:r w:rsidRPr="00E56A6E">
        <w:rPr>
          <w:lang w:val="es-ES"/>
        </w:rPr>
        <w:t xml:space="preserve"> de los recursos genéticos y los recursos genéticos a los que se accede como productos básicos.</w:t>
      </w:r>
    </w:p>
    <w:p w14:paraId="4F38B1DA" w14:textId="3088723F" w:rsidR="000F2ED6" w:rsidRPr="00E56A6E" w:rsidRDefault="000F2ED6" w:rsidP="000F2ED6">
      <w:pPr>
        <w:pStyle w:val="CBDNormalNumber"/>
        <w:rPr>
          <w:lang w:val="es-ES"/>
        </w:rPr>
      </w:pPr>
      <w:r w:rsidRPr="00E56A6E">
        <w:rPr>
          <w:lang w:val="es-ES"/>
        </w:rPr>
        <w:t xml:space="preserve">Como primer paso, podrían organizarse diálogos </w:t>
      </w:r>
      <w:r w:rsidR="000B0F14" w:rsidRPr="00E56A6E">
        <w:rPr>
          <w:lang w:val="es-ES"/>
        </w:rPr>
        <w:t>oficiosos</w:t>
      </w:r>
      <w:r w:rsidRPr="00E56A6E">
        <w:rPr>
          <w:lang w:val="es-ES"/>
        </w:rPr>
        <w:t xml:space="preserve"> entre múltiples partes interesadas para fomentar una mejor comprensión de l</w:t>
      </w:r>
      <w:r w:rsidR="000B0F14" w:rsidRPr="00E56A6E">
        <w:rPr>
          <w:lang w:val="es-ES"/>
        </w:rPr>
        <w:t xml:space="preserve">as dificultades </w:t>
      </w:r>
      <w:r w:rsidR="00B13ED6">
        <w:rPr>
          <w:lang w:val="es-ES"/>
        </w:rPr>
        <w:t xml:space="preserve">que afrontan </w:t>
      </w:r>
      <w:r w:rsidRPr="00E56A6E">
        <w:rPr>
          <w:lang w:val="es-ES"/>
        </w:rPr>
        <w:t>los países y de sus experiencias a la hora de abordarl</w:t>
      </w:r>
      <w:r w:rsidR="00AF380B">
        <w:rPr>
          <w:lang w:val="es-ES"/>
        </w:rPr>
        <w:t>a</w:t>
      </w:r>
      <w:r w:rsidRPr="00E56A6E">
        <w:rPr>
          <w:lang w:val="es-ES"/>
        </w:rPr>
        <w:t xml:space="preserve">s. A partir de los resultados de dichos diálogos, podría evaluarse la necesidad o el interés de elaborar nuevas orientaciones o de buscar otras formas de abordar estas cuestiones, con el fin de mejorar la aplicación del Protocolo de Nagoya. </w:t>
      </w:r>
    </w:p>
    <w:p w14:paraId="4D0BE67D" w14:textId="42EB5855" w:rsidR="000F2ED6" w:rsidRPr="00E56A6E" w:rsidRDefault="000F2ED6" w:rsidP="000F2ED6">
      <w:pPr>
        <w:pStyle w:val="CBDNormalNumber"/>
        <w:rPr>
          <w:lang w:val="es-ES"/>
        </w:rPr>
      </w:pPr>
      <w:r w:rsidRPr="00E56A6E">
        <w:rPr>
          <w:lang w:val="es-ES"/>
        </w:rPr>
        <w:lastRenderedPageBreak/>
        <w:t xml:space="preserve">Los intermediarios o las plataformas de </w:t>
      </w:r>
      <w:r w:rsidR="00FE7951" w:rsidRPr="00E56A6E">
        <w:rPr>
          <w:lang w:val="es-ES"/>
        </w:rPr>
        <w:t>vinculación</w:t>
      </w:r>
      <w:r w:rsidRPr="00E56A6E">
        <w:rPr>
          <w:lang w:val="es-ES"/>
        </w:rPr>
        <w:t xml:space="preserve"> que conectan a usuarios y proveedores podrían contribuir a impulsar un aumento de la participación en los beneficios. Varios países, que cuentan con marcos jurídicos e institucionales nacionales sobre acceso y participación en los beneficios y con cierto nivel de capacidad de investigación, tienen interés en atraer a empresas extranjeras con el fin de establecer asociaciones destinadas a comercializar productos basados en sus recursos genéticos o en los </w:t>
      </w:r>
      <w:r w:rsidR="00D426EC" w:rsidRPr="00E56A6E">
        <w:rPr>
          <w:lang w:val="es-ES"/>
        </w:rPr>
        <w:t>conocimientos tradicionales conexos</w:t>
      </w:r>
      <w:r w:rsidRPr="00E56A6E">
        <w:rPr>
          <w:lang w:val="es-ES"/>
        </w:rPr>
        <w:t xml:space="preserve">. A tal fin, podrían crearse mecanismos o plataformas de </w:t>
      </w:r>
      <w:r w:rsidR="00FE7951" w:rsidRPr="00E56A6E">
        <w:rPr>
          <w:lang w:val="es-ES"/>
        </w:rPr>
        <w:t>vinculación</w:t>
      </w:r>
      <w:r w:rsidRPr="00E56A6E">
        <w:rPr>
          <w:lang w:val="es-ES"/>
        </w:rPr>
        <w:t xml:space="preserve"> a nivel nacional o regional para poner en contacto a usuarios y proveedores.</w:t>
      </w:r>
      <w:r w:rsidR="00112E38" w:rsidRPr="00E56A6E">
        <w:rPr>
          <w:lang w:val="es-ES"/>
        </w:rPr>
        <w:t xml:space="preserve"> </w:t>
      </w:r>
    </w:p>
    <w:p w14:paraId="5C9631A2" w14:textId="036FA529" w:rsidR="000F2ED6" w:rsidRPr="00E56A6E" w:rsidRDefault="000F2ED6" w:rsidP="000F2ED6">
      <w:pPr>
        <w:pStyle w:val="CBDNormalNumber"/>
        <w:rPr>
          <w:lang w:val="es-ES"/>
        </w:rPr>
      </w:pPr>
      <w:r w:rsidRPr="00E56A6E">
        <w:rPr>
          <w:lang w:val="es-ES"/>
        </w:rPr>
        <w:t>El refuerzo del papel y las funciones del Centro de Intercambio de Información como herramienta fundamental para el intercambio de información sobre el acceso y la participación en los beneficios, así como el apoyo a la aplicación del Protocolo de Nagoya, constituyen un elemento esencial para mejorar la eficacia del Protocolo</w:t>
      </w:r>
      <w:r w:rsidRPr="00E56A6E">
        <w:rPr>
          <w:rStyle w:val="FootnoteReference"/>
          <w:lang w:val="es-ES"/>
        </w:rPr>
        <w:footnoteReference w:id="64"/>
      </w:r>
      <w:r w:rsidRPr="00E56A6E">
        <w:rPr>
          <w:lang w:val="es-ES"/>
        </w:rPr>
        <w:t xml:space="preserve">. </w:t>
      </w:r>
    </w:p>
    <w:p w14:paraId="08FB0718" w14:textId="2B52CAC5" w:rsidR="000F2ED6" w:rsidRPr="00E56A6E" w:rsidRDefault="000F2ED6" w:rsidP="000F2ED6">
      <w:pPr>
        <w:pStyle w:val="CBDNormalNumber"/>
        <w:rPr>
          <w:lang w:val="es-ES"/>
        </w:rPr>
      </w:pPr>
      <w:r w:rsidRPr="00E56A6E">
        <w:rPr>
          <w:lang w:val="es-ES"/>
        </w:rPr>
        <w:t xml:space="preserve">Dados los retos y las </w:t>
      </w:r>
      <w:r w:rsidR="0030514E" w:rsidRPr="00E56A6E">
        <w:rPr>
          <w:lang w:val="es-ES"/>
        </w:rPr>
        <w:t>causas subyacentes</w:t>
      </w:r>
      <w:r w:rsidRPr="00E56A6E">
        <w:rPr>
          <w:lang w:val="es-ES"/>
        </w:rPr>
        <w:t xml:space="preserve"> identificados, sin un aumento de la capacidad y de los recursos financieros</w:t>
      </w:r>
      <w:r w:rsidRPr="00E56A6E">
        <w:rPr>
          <w:rStyle w:val="FootnoteReference"/>
          <w:lang w:val="es-ES"/>
        </w:rPr>
        <w:footnoteReference w:id="65"/>
      </w:r>
      <w:r w:rsidRPr="00E56A6E">
        <w:rPr>
          <w:lang w:val="es-ES"/>
        </w:rPr>
        <w:t>, no será posible avanzar en la aplicación del Protocolo de Nagoya en muchas Partes, en particular en las Partes que son países en desarrollo. A medida que las Partes avanzan en el establecimiento de medidas de acceso y participación en los beneficios y de estructuras institucionales, cobra mayor importancia el intercambio de experiencias y lecciones aprendidas para mejorar la eficacia de la aplicación.</w:t>
      </w:r>
    </w:p>
    <w:p w14:paraId="214BE522" w14:textId="769D7A2A" w:rsidR="000F2ED6" w:rsidRPr="00E56A6E" w:rsidRDefault="000F2ED6" w:rsidP="000F2ED6">
      <w:pPr>
        <w:pStyle w:val="CBDNormalNumber"/>
        <w:rPr>
          <w:lang w:val="es-ES"/>
        </w:rPr>
      </w:pPr>
      <w:r w:rsidRPr="00E56A6E">
        <w:rPr>
          <w:lang w:val="es-ES"/>
        </w:rPr>
        <w:t xml:space="preserve">Las Partes que han informado de haber recibido beneficios económicos sustanciales y que han expedido un buen número de certificados podrían compartir su experiencia y sus enfoques en la aplicación del Protocolo de Nagoya. Esas experiencias podrían poner de manifiesto el potencial del acceso y la participación en los beneficios una vez que el Protocolo se haya aplicado plenamente y esté en funcionamiento, y se hayan cumplido las condiciones propicias (por ejemplo, el establecimiento de la voluntad política, la capacidad y los recursos, así como la participación de los pueblos indígenas, las comunidades locales y las partes interesadas). </w:t>
      </w:r>
    </w:p>
    <w:p w14:paraId="78494266" w14:textId="5F173280" w:rsidR="000F2ED6" w:rsidRPr="00E56A6E" w:rsidRDefault="000F2ED6" w:rsidP="006D0EB9">
      <w:pPr>
        <w:pStyle w:val="CBDNormalNumber"/>
        <w:rPr>
          <w:lang w:val="es-ES"/>
        </w:rPr>
      </w:pPr>
      <w:r w:rsidRPr="00E56A6E">
        <w:rPr>
          <w:lang w:val="es-ES"/>
        </w:rPr>
        <w:t xml:space="preserve">El Objetivo C y la Meta 13 del </w:t>
      </w:r>
      <w:r w:rsidR="000B0F14" w:rsidRPr="00E56A6E">
        <w:rPr>
          <w:lang w:val="es-ES"/>
        </w:rPr>
        <w:t>Marco Mundial de Biodiversidad</w:t>
      </w:r>
      <w:r w:rsidRPr="00E56A6E">
        <w:rPr>
          <w:lang w:val="es-ES"/>
        </w:rPr>
        <w:t xml:space="preserve"> de Kunming</w:t>
      </w:r>
      <w:r w:rsidR="000B0F14" w:rsidRPr="00E56A6E">
        <w:rPr>
          <w:lang w:val="es-ES"/>
        </w:rPr>
        <w:noBreakHyphen/>
      </w:r>
      <w:r w:rsidRPr="00E56A6E">
        <w:rPr>
          <w:lang w:val="es-ES"/>
        </w:rPr>
        <w:t>Montreal instan a aumentar la participación en los beneficios. Muchas Partes aún deben establecer mecanismos para realizar un seguimiento de los beneficios recibidos y de la aplicación de las condiciones mutuamente acordadas, así como para medir el impacto del acceso y la participación en los beneficios en su país, según proceda. Las fichas de metadatos elaboradas para medir los beneficios monetarios y no monetarios incluyen algunas recomendaciones para recopilar esa información, teniendo en cuenta que las circunstancias, prioridades y capacidades de los países pueden ser diferentes a ese respecto</w:t>
      </w:r>
      <w:r w:rsidRPr="00E56A6E">
        <w:rPr>
          <w:rStyle w:val="FootnoteReference"/>
          <w:lang w:val="es-ES"/>
        </w:rPr>
        <w:footnoteReference w:id="66"/>
      </w:r>
      <w:r w:rsidRPr="00E56A6E">
        <w:rPr>
          <w:lang w:val="es-ES"/>
        </w:rPr>
        <w:t>.</w:t>
      </w:r>
      <w:r w:rsidR="00112E38" w:rsidRPr="00E56A6E">
        <w:rPr>
          <w:lang w:val="es-ES"/>
        </w:rPr>
        <w:t xml:space="preserve"> </w:t>
      </w:r>
    </w:p>
    <w:p w14:paraId="63F10CF8" w14:textId="54CB3E94" w:rsidR="0056552E" w:rsidRPr="00E56A6E" w:rsidRDefault="0004180D" w:rsidP="0004180D">
      <w:pPr>
        <w:pStyle w:val="CBDH2"/>
        <w:rPr>
          <w:lang w:val="es-ES"/>
        </w:rPr>
      </w:pPr>
      <w:bookmarkStart w:id="12" w:name="_Toc231911605"/>
      <w:r w:rsidRPr="00E56A6E">
        <w:rPr>
          <w:lang w:val="es-ES"/>
        </w:rPr>
        <w:t>C.</w:t>
      </w:r>
      <w:r w:rsidRPr="00E56A6E">
        <w:rPr>
          <w:lang w:val="es-ES"/>
        </w:rPr>
        <w:tab/>
      </w:r>
      <w:r w:rsidR="00373439" w:rsidRPr="00E56A6E">
        <w:rPr>
          <w:lang w:val="es-ES"/>
        </w:rPr>
        <w:t>Evaluación del apoyo disponible para la aplicación</w:t>
      </w:r>
      <w:bookmarkEnd w:id="12"/>
      <w:r w:rsidR="0056552E" w:rsidRPr="00E56A6E">
        <w:rPr>
          <w:lang w:val="es-ES"/>
        </w:rPr>
        <w:t xml:space="preserve"> </w:t>
      </w:r>
    </w:p>
    <w:p w14:paraId="318B76B6" w14:textId="3D9B9837" w:rsidR="0056552E" w:rsidRPr="00E56A6E" w:rsidRDefault="0004180D" w:rsidP="0004180D">
      <w:pPr>
        <w:pStyle w:val="CBDH3"/>
        <w:rPr>
          <w:lang w:val="es-ES"/>
        </w:rPr>
      </w:pPr>
      <w:r w:rsidRPr="00E56A6E">
        <w:rPr>
          <w:lang w:val="es-ES"/>
        </w:rPr>
        <w:t>1.</w:t>
      </w:r>
      <w:r w:rsidRPr="00E56A6E">
        <w:rPr>
          <w:lang w:val="es-ES"/>
        </w:rPr>
        <w:tab/>
      </w:r>
      <w:r w:rsidR="0056552E" w:rsidRPr="00E56A6E">
        <w:rPr>
          <w:lang w:val="es-ES"/>
        </w:rPr>
        <w:t>Capac</w:t>
      </w:r>
      <w:r w:rsidR="006E6E63" w:rsidRPr="00E56A6E">
        <w:rPr>
          <w:lang w:val="es-ES"/>
        </w:rPr>
        <w:t>idad</w:t>
      </w:r>
      <w:r w:rsidR="0056552E" w:rsidRPr="00E56A6E">
        <w:rPr>
          <w:lang w:val="es-ES"/>
        </w:rPr>
        <w:t xml:space="preserve"> (</w:t>
      </w:r>
      <w:r w:rsidR="006E6E63" w:rsidRPr="00E56A6E">
        <w:rPr>
          <w:lang w:val="es-ES"/>
        </w:rPr>
        <w:t xml:space="preserve">Artículo </w:t>
      </w:r>
      <w:r w:rsidR="0056552E" w:rsidRPr="00E56A6E">
        <w:rPr>
          <w:lang w:val="es-ES"/>
        </w:rPr>
        <w:t>22)</w:t>
      </w:r>
      <w:r w:rsidR="008C4EA6" w:rsidRPr="00E56A6E">
        <w:rPr>
          <w:rStyle w:val="FootnoteReference"/>
          <w:lang w:val="es-ES"/>
        </w:rPr>
        <w:footnoteReference w:id="67"/>
      </w:r>
    </w:p>
    <w:p w14:paraId="7FF1F07C" w14:textId="305E8E54" w:rsidR="004A5572" w:rsidRPr="00E56A6E" w:rsidRDefault="0004180D" w:rsidP="0004180D">
      <w:pPr>
        <w:pStyle w:val="CBDH4"/>
        <w:rPr>
          <w:lang w:val="es-ES"/>
        </w:rPr>
      </w:pPr>
      <w:r w:rsidRPr="00E56A6E">
        <w:rPr>
          <w:lang w:val="es-ES"/>
        </w:rPr>
        <w:t>a)</w:t>
      </w:r>
      <w:r w:rsidRPr="00E56A6E">
        <w:rPr>
          <w:lang w:val="es-ES"/>
        </w:rPr>
        <w:tab/>
      </w:r>
      <w:r w:rsidR="006E6E63" w:rsidRPr="00E56A6E">
        <w:rPr>
          <w:lang w:val="es-ES"/>
        </w:rPr>
        <w:t>Avances en la aplicación y datos actualizados de los indicadores</w:t>
      </w:r>
    </w:p>
    <w:p w14:paraId="4E5C220C" w14:textId="2B6D2987" w:rsidR="006E6E63" w:rsidRPr="00E56A6E" w:rsidRDefault="006E6E63" w:rsidP="006E6E63">
      <w:pPr>
        <w:pStyle w:val="CBDNormalNumber"/>
        <w:rPr>
          <w:lang w:val="es-ES"/>
        </w:rPr>
      </w:pPr>
      <w:r w:rsidRPr="00E56A6E">
        <w:rPr>
          <w:lang w:val="es-ES"/>
        </w:rPr>
        <w:t>Como se muestra en el cuadro 9 que figura a continuación, el aumento documentado de 44 iniciativas de creación y desarrollo de capacidad entre 2018 y 2026 contrasta marcadamente con el registro de solo cuatro iniciativas adicionales en el Centro de Intercambio de Información. Esto</w:t>
      </w:r>
      <w:r w:rsidR="000B0F14" w:rsidRPr="00E56A6E">
        <w:rPr>
          <w:lang w:val="es-ES"/>
        </w:rPr>
        <w:t xml:space="preserve"> muestra </w:t>
      </w:r>
      <w:r w:rsidRPr="00E56A6E">
        <w:rPr>
          <w:lang w:val="es-ES"/>
        </w:rPr>
        <w:t xml:space="preserve">una brecha persistente entre la expansión de las actividades de aplicación y la documentación sistemática y el intercambio de conocimientos relacionados con dichas actividades a través del Centro de Intercambio de Información. No obstante, se ha producido un aumento </w:t>
      </w:r>
      <w:r w:rsidR="009D66E2" w:rsidRPr="00E56A6E">
        <w:rPr>
          <w:lang w:val="es-ES"/>
        </w:rPr>
        <w:t xml:space="preserve">importante </w:t>
      </w:r>
      <w:r w:rsidRPr="00E56A6E">
        <w:rPr>
          <w:lang w:val="es-ES"/>
        </w:rPr>
        <w:t xml:space="preserve">del </w:t>
      </w:r>
      <w:r w:rsidRPr="00E56A6E">
        <w:rPr>
          <w:lang w:val="es-ES"/>
        </w:rPr>
        <w:lastRenderedPageBreak/>
        <w:t>número de recursos de la biblioteca virtual (herramientas de sensibilización y de creación de capacidad) en el Centro de Intercambio de Información desde la primera evaluación y revisión del Protocolo</w:t>
      </w:r>
      <w:r w:rsidRPr="00E56A6E">
        <w:rPr>
          <w:rStyle w:val="FootnoteReference"/>
          <w:lang w:val="es-ES"/>
        </w:rPr>
        <w:footnoteReference w:id="68"/>
      </w:r>
      <w:r w:rsidRPr="00E56A6E">
        <w:rPr>
          <w:lang w:val="es-ES"/>
        </w:rPr>
        <w:t>.</w:t>
      </w:r>
      <w:r w:rsidR="00112E38" w:rsidRPr="00E56A6E">
        <w:rPr>
          <w:lang w:val="es-ES"/>
        </w:rPr>
        <w:t xml:space="preserve"> </w:t>
      </w:r>
    </w:p>
    <w:p w14:paraId="3F930020" w14:textId="0215B069" w:rsidR="006E6E63" w:rsidRPr="00E56A6E" w:rsidRDefault="006E6E63" w:rsidP="006E6E63">
      <w:pPr>
        <w:pStyle w:val="CBDNormalNumber"/>
        <w:rPr>
          <w:lang w:val="es-ES"/>
        </w:rPr>
      </w:pPr>
      <w:r w:rsidRPr="00E56A6E">
        <w:rPr>
          <w:lang w:val="es-ES"/>
        </w:rPr>
        <w:t xml:space="preserve">La mayoría de las Partes (el 59 %) ha adoptado medidas para desarrollar la capacidad humana e institucional necesaria para la aplicación del Protocolo de Nagoya, por lo general mediante la </w:t>
      </w:r>
      <w:r w:rsidR="009D66E2" w:rsidRPr="00E56A6E">
        <w:rPr>
          <w:lang w:val="es-ES"/>
        </w:rPr>
        <w:t>capacitación</w:t>
      </w:r>
      <w:r w:rsidRPr="00E56A6E">
        <w:rPr>
          <w:lang w:val="es-ES"/>
        </w:rPr>
        <w:t>, la sensibilización y el fortalecimiento jurídico e institucional, a menudo con el respaldo de iniciativas internacionales de creación de capacidad, en particular con el apoyo del Fondo para el Medio Ambiente Mundial (FMAM) y ejecutadas a través de organismos como el Programa de las Naciones Unidas para el Desarrollo y el Programa de las Naciones Unidas para el Medio Ambiente, así como otros socios, en particular la Agencia Alemana de Cooperación Internacional/Ministerio Federal de Cooperación Económica y Desarrollo</w:t>
      </w:r>
      <w:r w:rsidRPr="00E56A6E">
        <w:rPr>
          <w:rStyle w:val="FootnoteReference"/>
          <w:lang w:val="es-ES"/>
        </w:rPr>
        <w:footnoteReference w:id="69"/>
      </w:r>
      <w:r w:rsidRPr="00E56A6E">
        <w:rPr>
          <w:lang w:val="es-ES"/>
        </w:rPr>
        <w:t>.</w:t>
      </w:r>
      <w:r w:rsidR="00112E38" w:rsidRPr="00E56A6E">
        <w:rPr>
          <w:lang w:val="es-ES"/>
        </w:rPr>
        <w:t xml:space="preserve"> </w:t>
      </w:r>
    </w:p>
    <w:p w14:paraId="05789655" w14:textId="43D8402F" w:rsidR="006E6E63" w:rsidRPr="00E56A6E" w:rsidRDefault="006E6E63" w:rsidP="006E6E63">
      <w:pPr>
        <w:pStyle w:val="CBDNormalNumber"/>
        <w:rPr>
          <w:lang w:val="es-ES"/>
        </w:rPr>
      </w:pPr>
      <w:r w:rsidRPr="00E56A6E">
        <w:rPr>
          <w:lang w:val="es-ES"/>
        </w:rPr>
        <w:t xml:space="preserve">A la luz de los avances en la aplicación en los países beneficiarios, el enfoque de las actividades ha evolucionado con el tiempo. Si bien inicialmente se centraban en prestar apoyo a la ratificación y al desarrollo de marcos nacionales de acceso y participación en los beneficios, </w:t>
      </w:r>
      <w:r w:rsidR="009D66E2" w:rsidRPr="00E56A6E">
        <w:rPr>
          <w:lang w:val="es-ES"/>
        </w:rPr>
        <w:t xml:space="preserve">entre </w:t>
      </w:r>
      <w:r w:rsidRPr="00E56A6E">
        <w:rPr>
          <w:lang w:val="es-ES"/>
        </w:rPr>
        <w:t xml:space="preserve">los proyectos posteriores también </w:t>
      </w:r>
      <w:r w:rsidR="009D66E2" w:rsidRPr="00E56A6E">
        <w:rPr>
          <w:lang w:val="es-ES"/>
        </w:rPr>
        <w:t>figuraba</w:t>
      </w:r>
      <w:r w:rsidR="002B371F" w:rsidRPr="00E56A6E">
        <w:rPr>
          <w:lang w:val="es-ES"/>
        </w:rPr>
        <w:t xml:space="preserve"> </w:t>
      </w:r>
      <w:r w:rsidRPr="00E56A6E">
        <w:rPr>
          <w:lang w:val="es-ES"/>
        </w:rPr>
        <w:t>el apoyo al desarrollo de asociaciones entre usuarios y proveedores y al establecimiento de acuerdos de acceso y participación en los beneficios. A lo largo de los años, varios países desarrollaron su capacidad de investigación en materia de recursos genéticos y ahora buscan oportunidades para pasar de la investigación a la comercialización y establecer asociaciones de acceso y participación en los beneficios con usuarios extranjeros.</w:t>
      </w:r>
    </w:p>
    <w:p w14:paraId="7E2BF206" w14:textId="5588DB74" w:rsidR="006E6E63" w:rsidRPr="00E56A6E" w:rsidRDefault="006E6E63" w:rsidP="006E6E63">
      <w:pPr>
        <w:pStyle w:val="CBDNormalNumber"/>
        <w:rPr>
          <w:lang w:val="es-ES"/>
        </w:rPr>
      </w:pPr>
      <w:r w:rsidRPr="00E56A6E">
        <w:rPr>
          <w:lang w:val="es-ES"/>
        </w:rPr>
        <w:t>La mayoría de las iniciativas de creación de capacidad en apoyo de las Partes desde la entrada en vigor del Protocolo de Nagoya se han llevado a cabo a nivel nacional, con una cobertura más limitada a nivel regional y mundial. Las iniciativas se han concentrado principalmente en África y la región de Asia y el Pacífico, seguidas de América Latina y el Caribe. La cobertura de las iniciativas se ha centrado principalmente en las capacidades para desarrollar y aplicar medidas de acceso y participación en los beneficios y en las capacidades de los pueblos indígenas y las comunidades locales para aplicar el Protocolo, así como en las capacidades de aplicación y cumplimiento.</w:t>
      </w:r>
    </w:p>
    <w:p w14:paraId="077C808C" w14:textId="2898DC0D" w:rsidR="006E6E63" w:rsidRPr="00E56A6E" w:rsidRDefault="006E6E63" w:rsidP="006E6E63">
      <w:pPr>
        <w:pStyle w:val="CBDNormalNumber"/>
        <w:rPr>
          <w:lang w:val="es-ES"/>
        </w:rPr>
      </w:pPr>
      <w:r w:rsidRPr="00E56A6E">
        <w:rPr>
          <w:lang w:val="es-ES"/>
        </w:rPr>
        <w:t xml:space="preserve">Aproximadamente un tercio de las Partes (el 34 %) ha apoyado </w:t>
      </w:r>
      <w:r w:rsidR="00915E2F" w:rsidRPr="00E56A6E">
        <w:rPr>
          <w:lang w:val="es-ES"/>
        </w:rPr>
        <w:t>la creación de capacidad</w:t>
      </w:r>
      <w:r w:rsidRPr="00E56A6E">
        <w:rPr>
          <w:lang w:val="es-ES"/>
        </w:rPr>
        <w:t xml:space="preserve"> en otros países, principalmente mediante el intercambio de experiencias, la asistencia técnica y la cooperación regional o bilateral, más que a través de apoyo financiero directo. Esto representa un ligero aumento con respecto al punto de referencia de 2018.</w:t>
      </w:r>
    </w:p>
    <w:p w14:paraId="19400DD0" w14:textId="7DB97AF6" w:rsidR="00792377" w:rsidRPr="00E56A6E" w:rsidRDefault="00653A73" w:rsidP="00263ECB">
      <w:pPr>
        <w:pStyle w:val="CBDTableTitle"/>
        <w:rPr>
          <w:lang w:val="es-ES"/>
        </w:rPr>
      </w:pPr>
      <w:r w:rsidRPr="00E56A6E">
        <w:rPr>
          <w:b w:val="0"/>
          <w:bCs/>
          <w:lang w:val="es-ES"/>
        </w:rPr>
        <w:t>Cuadro</w:t>
      </w:r>
      <w:r w:rsidR="00792377" w:rsidRPr="00E56A6E">
        <w:rPr>
          <w:b w:val="0"/>
          <w:bCs/>
          <w:lang w:val="es-ES"/>
        </w:rPr>
        <w:t xml:space="preserve"> </w:t>
      </w:r>
      <w:r w:rsidR="00D910E5" w:rsidRPr="00E56A6E">
        <w:rPr>
          <w:b w:val="0"/>
          <w:bCs/>
          <w:lang w:val="es-ES"/>
        </w:rPr>
        <w:t>9</w:t>
      </w:r>
      <w:r w:rsidR="00792377" w:rsidRPr="00E56A6E">
        <w:rPr>
          <w:lang w:val="es-ES"/>
        </w:rPr>
        <w:t xml:space="preserve"> </w:t>
      </w:r>
      <w:r w:rsidR="0004180D" w:rsidRPr="00E56A6E">
        <w:rPr>
          <w:lang w:val="es-ES"/>
        </w:rPr>
        <w:br/>
      </w:r>
      <w:r w:rsidR="001F3265" w:rsidRPr="00E56A6E">
        <w:rPr>
          <w:lang w:val="es-ES"/>
        </w:rPr>
        <w:t>Indicadores para medir los avances en la creación y el desarrollo de capacidades para la aplicación del Protocolo de Nagoya</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3655EA" w:rsidRPr="005A210D" w14:paraId="275C135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12B28C9" w14:textId="2F4DDDE4" w:rsidR="003655EA" w:rsidRPr="00E56A6E" w:rsidRDefault="00EE1C1B" w:rsidP="006B066D">
            <w:pPr>
              <w:keepNext/>
              <w:keepLines/>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FC8983D" w14:textId="767EADE8" w:rsidR="003655EA" w:rsidRPr="00E56A6E" w:rsidRDefault="007F3ECF" w:rsidP="006B066D">
            <w:pPr>
              <w:keepNext/>
              <w:keepLines/>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Punto de referencia</w:t>
            </w:r>
            <w:r w:rsidR="003655EA" w:rsidRPr="00E56A6E">
              <w:rPr>
                <w:rFonts w:asciiTheme="majorBidi" w:hAnsiTheme="majorBidi" w:cstheme="majorBidi"/>
                <w:i/>
                <w:iCs/>
                <w:kern w:val="22"/>
                <w:sz w:val="20"/>
                <w:szCs w:val="20"/>
                <w:lang w:val="es-ES"/>
              </w:rPr>
              <w:t xml:space="preserve"> (</w:t>
            </w:r>
            <w:r w:rsidRPr="00E56A6E">
              <w:rPr>
                <w:rFonts w:asciiTheme="majorBidi" w:hAnsiTheme="majorBidi" w:cstheme="majorBidi"/>
                <w:i/>
                <w:iCs/>
                <w:kern w:val="22"/>
                <w:sz w:val="20"/>
                <w:szCs w:val="20"/>
                <w:lang w:val="es-ES"/>
              </w:rPr>
              <w:t>al 22 de febrero de 2018</w:t>
            </w:r>
            <w:r w:rsidR="003655EA" w:rsidRPr="00E56A6E">
              <w:rPr>
                <w:rFonts w:asciiTheme="majorBidi" w:hAnsiTheme="majorBidi" w:cstheme="majorBidi"/>
                <w:i/>
                <w:iCs/>
                <w:kern w:val="22"/>
                <w:sz w:val="20"/>
                <w:szCs w:val="20"/>
                <w:lang w:val="es-ES"/>
              </w:rPr>
              <w:t>)</w:t>
            </w:r>
          </w:p>
        </w:tc>
        <w:tc>
          <w:tcPr>
            <w:tcW w:w="1506" w:type="dxa"/>
            <w:tcBorders>
              <w:top w:val="single" w:sz="4" w:space="0" w:color="auto"/>
              <w:left w:val="single" w:sz="4" w:space="0" w:color="auto"/>
              <w:bottom w:val="single" w:sz="4" w:space="0" w:color="auto"/>
              <w:right w:val="single" w:sz="4" w:space="0" w:color="auto"/>
            </w:tcBorders>
            <w:vAlign w:val="bottom"/>
          </w:tcPr>
          <w:p w14:paraId="6D852151" w14:textId="36287C39" w:rsidR="003655EA" w:rsidRPr="00E56A6E" w:rsidRDefault="007F3ECF" w:rsidP="006B066D">
            <w:pPr>
              <w:keepNext/>
              <w:keepLines/>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Avances al 9 de marzo de 2026</w:t>
            </w:r>
          </w:p>
        </w:tc>
      </w:tr>
      <w:tr w:rsidR="001F3265" w:rsidRPr="005A210D" w14:paraId="41AF714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25FC934" w14:textId="3860EDA7" w:rsidR="001F3265" w:rsidRPr="00E56A6E" w:rsidRDefault="001F3265" w:rsidP="001F326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han recibido apoyo externo para la creación y el desarrollo de capacidades para la aplicación del Protocolo de Nagoya desde la entrada en vigor del </w:t>
            </w:r>
            <w:proofErr w:type="spellStart"/>
            <w:r w:rsidRPr="00E56A6E">
              <w:rPr>
                <w:sz w:val="20"/>
                <w:szCs w:val="20"/>
                <w:lang w:val="es-ES"/>
              </w:rPr>
              <w:t>Protocolo</w:t>
            </w:r>
            <w:r w:rsidRPr="00E56A6E">
              <w:rPr>
                <w:rFonts w:eastAsia="DengXian"/>
                <w:i/>
                <w:iCs/>
                <w:sz w:val="20"/>
                <w:szCs w:val="20"/>
                <w:vertAlign w:val="superscript"/>
                <w:lang w:val="es-ES" w:eastAsia="zh-CN"/>
              </w:rPr>
              <w:t>a</w:t>
            </w:r>
            <w:proofErr w:type="spellEnd"/>
            <w:r w:rsidRPr="00E56A6E">
              <w:rPr>
                <w:sz w:val="20"/>
                <w:szCs w:val="20"/>
                <w:lang w:val="es-ES"/>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B69160" w14:textId="2BBFB593"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45 (43 %)</w:t>
            </w:r>
          </w:p>
        </w:tc>
        <w:tc>
          <w:tcPr>
            <w:tcW w:w="1506" w:type="dxa"/>
            <w:vAlign w:val="bottom"/>
          </w:tcPr>
          <w:p w14:paraId="19F406A4" w14:textId="7BC5A224" w:rsidR="001F3265" w:rsidRPr="00E56A6E" w:rsidRDefault="00C723D8" w:rsidP="00B36B57">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 xml:space="preserve">No </w:t>
            </w:r>
            <w:r w:rsidR="00B36B57" w:rsidRPr="00E56A6E">
              <w:rPr>
                <w:rFonts w:asciiTheme="majorBidi" w:hAnsiTheme="majorBidi" w:cstheme="majorBidi"/>
                <w:kern w:val="22"/>
                <w:sz w:val="20"/>
                <w:szCs w:val="20"/>
                <w:lang w:val="es-ES"/>
              </w:rPr>
              <w:t xml:space="preserve">se dispone de </w:t>
            </w:r>
            <w:r w:rsidRPr="00E56A6E">
              <w:rPr>
                <w:rFonts w:asciiTheme="majorBidi" w:hAnsiTheme="majorBidi" w:cstheme="majorBidi"/>
                <w:kern w:val="22"/>
                <w:sz w:val="20"/>
                <w:szCs w:val="20"/>
                <w:lang w:val="es-ES"/>
              </w:rPr>
              <w:t>información sobre el suministro de datos</w:t>
            </w:r>
          </w:p>
        </w:tc>
      </w:tr>
      <w:tr w:rsidR="001F3265" w:rsidRPr="00E56A6E" w14:paraId="060187AD"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9AB23A" w14:textId="7587F2D7" w:rsidR="001F3265" w:rsidRPr="00E56A6E" w:rsidRDefault="001F3265" w:rsidP="001F326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han adoptado medidas para crear y desarrollar sus capacidades y reforzar sus recursos humanos y sus capacidades institucionales con el fin de aplicar eficazmente el </w:t>
            </w:r>
            <w:proofErr w:type="spellStart"/>
            <w:r w:rsidRPr="00E56A6E">
              <w:rPr>
                <w:sz w:val="20"/>
                <w:szCs w:val="20"/>
                <w:lang w:val="es-ES"/>
              </w:rPr>
              <w:t>Protocolo</w:t>
            </w:r>
            <w:r w:rsidRPr="00E56A6E">
              <w:rPr>
                <w:rFonts w:eastAsia="DengXian"/>
                <w:i/>
                <w:iCs/>
                <w:sz w:val="20"/>
                <w:szCs w:val="20"/>
                <w:vertAlign w:val="superscript"/>
                <w:lang w:val="es-ES" w:eastAsia="zh-CN"/>
              </w:rPr>
              <w:t>b</w:t>
            </w:r>
            <w:proofErr w:type="spellEnd"/>
            <w:r w:rsidRPr="00E56A6E">
              <w:rPr>
                <w:sz w:val="20"/>
                <w:szCs w:val="20"/>
                <w:lang w:val="es-ES"/>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3B41C56" w14:textId="7200F00F" w:rsidR="001F3265" w:rsidRPr="00E56A6E" w:rsidRDefault="00225284"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Nuevo</w:t>
            </w:r>
          </w:p>
        </w:tc>
        <w:tc>
          <w:tcPr>
            <w:tcW w:w="1506" w:type="dxa"/>
            <w:vAlign w:val="bottom"/>
          </w:tcPr>
          <w:p w14:paraId="2FAFCABD" w14:textId="68FF27E8"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84 (59 %)</w:t>
            </w:r>
          </w:p>
        </w:tc>
      </w:tr>
      <w:tr w:rsidR="001F3265" w:rsidRPr="00E56A6E" w14:paraId="4C5805A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BEA5F8" w14:textId="333027E6" w:rsidR="001F3265" w:rsidRPr="00E56A6E" w:rsidRDefault="001F3265" w:rsidP="001F326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lastRenderedPageBreak/>
              <w:t xml:space="preserve">Número y porcentaje de Partes que han prestado apoyo externo para la creación y el desarrollo de capacidades para la aplicación del Protocolo de </w:t>
            </w:r>
            <w:proofErr w:type="spellStart"/>
            <w:r w:rsidRPr="00E56A6E">
              <w:rPr>
                <w:sz w:val="20"/>
                <w:szCs w:val="20"/>
                <w:lang w:val="es-ES"/>
              </w:rPr>
              <w:t>Nagoya</w:t>
            </w:r>
            <w:r w:rsidRPr="00E56A6E">
              <w:rPr>
                <w:rFonts w:eastAsia="DengXian"/>
                <w:i/>
                <w:iCs/>
                <w:sz w:val="20"/>
                <w:szCs w:val="20"/>
                <w:vertAlign w:val="superscript"/>
                <w:lang w:val="es-ES" w:eastAsia="zh-CN"/>
              </w:rPr>
              <w:t>c</w:t>
            </w:r>
            <w:proofErr w:type="spellEnd"/>
            <w:r w:rsidRPr="00E56A6E">
              <w:rPr>
                <w:sz w:val="20"/>
                <w:szCs w:val="20"/>
                <w:lang w:val="es-ES"/>
              </w:rPr>
              <w:t xml:space="preserve"> </w:t>
            </w:r>
            <w:r w:rsidRPr="00E56A6E">
              <w:rPr>
                <w:i/>
                <w:iCs/>
                <w:sz w:val="20"/>
                <w:szCs w:val="20"/>
                <w:lang w:val="es-ES"/>
              </w:rPr>
              <w:t>desde su entrada en vigor (frase cuya supresión se sugiere)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3F1DA12" w14:textId="7A22ABB1"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27 (26 %)</w:t>
            </w:r>
          </w:p>
        </w:tc>
        <w:tc>
          <w:tcPr>
            <w:tcW w:w="1506" w:type="dxa"/>
            <w:vAlign w:val="bottom"/>
          </w:tcPr>
          <w:p w14:paraId="3047C4DC" w14:textId="68613CFC"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48 (34 %)</w:t>
            </w:r>
          </w:p>
        </w:tc>
      </w:tr>
      <w:tr w:rsidR="001F3265" w:rsidRPr="00E56A6E" w14:paraId="39C1A09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7DEFBA4" w14:textId="4BCE9B7E" w:rsidR="001F3265" w:rsidRPr="00E56A6E" w:rsidRDefault="001F3265" w:rsidP="001F326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Número de iniciativas de creación y desarrollo de capacidades puestas a disposición, finalizadas o iniciadas tras la adopción del Protocolo de Nagoya en 2010 y que prestan, o han prestado, apoyo directo a actividades a nivel nacional que contribuyen a la ratificación y aplicación del Protocolo de Nagoya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068A016" w14:textId="77777777"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90</w:t>
            </w:r>
          </w:p>
        </w:tc>
        <w:tc>
          <w:tcPr>
            <w:tcW w:w="1506" w:type="dxa"/>
            <w:vAlign w:val="bottom"/>
          </w:tcPr>
          <w:p w14:paraId="78D26034" w14:textId="77777777"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134</w:t>
            </w:r>
          </w:p>
        </w:tc>
      </w:tr>
      <w:tr w:rsidR="001F3265" w:rsidRPr="00E56A6E" w14:paraId="459E2DE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3B1B92" w14:textId="516DF9A2" w:rsidR="001F3265" w:rsidRPr="00E56A6E" w:rsidRDefault="001F3265" w:rsidP="001F326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de iniciativas de creación y desarrollo de capacidades puestas a disposición del </w:t>
            </w:r>
            <w:r w:rsidR="00B67C83" w:rsidRPr="00E56A6E">
              <w:rPr>
                <w:sz w:val="20"/>
                <w:szCs w:val="20"/>
                <w:lang w:val="es-ES"/>
              </w:rPr>
              <w:t>Centro de Intercambio de Información sobre Acceso y Participación</w:t>
            </w:r>
            <w:r w:rsidRPr="00E56A6E">
              <w:rPr>
                <w:sz w:val="20"/>
                <w:szCs w:val="20"/>
                <w:lang w:val="es-ES"/>
              </w:rPr>
              <w:t xml:space="preserve"> en los Beneficios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9D91E4" w14:textId="77777777"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57</w:t>
            </w:r>
          </w:p>
        </w:tc>
        <w:tc>
          <w:tcPr>
            <w:tcW w:w="1506" w:type="dxa"/>
            <w:vAlign w:val="bottom"/>
          </w:tcPr>
          <w:p w14:paraId="09F2E093" w14:textId="77777777"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61</w:t>
            </w:r>
          </w:p>
        </w:tc>
      </w:tr>
      <w:tr w:rsidR="001F3265" w:rsidRPr="00E56A6E" w14:paraId="0B6E771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0541A8F" w14:textId="5786D1B1" w:rsidR="001F3265" w:rsidRPr="00E56A6E" w:rsidRDefault="001F3265" w:rsidP="001F326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de herramientas de creación de capacidad y sensibilización (recursos de la biblioteca </w:t>
            </w:r>
            <w:proofErr w:type="gramStart"/>
            <w:r w:rsidRPr="00E56A6E">
              <w:rPr>
                <w:sz w:val="20"/>
                <w:szCs w:val="20"/>
                <w:lang w:val="es-ES"/>
              </w:rPr>
              <w:t>virtual)</w:t>
            </w:r>
            <w:r w:rsidRPr="00E56A6E">
              <w:rPr>
                <w:rFonts w:eastAsia="DengXian"/>
                <w:i/>
                <w:iCs/>
                <w:sz w:val="20"/>
                <w:szCs w:val="20"/>
                <w:vertAlign w:val="superscript"/>
                <w:lang w:val="es-ES" w:eastAsia="zh-CN"/>
              </w:rPr>
              <w:t>d</w:t>
            </w:r>
            <w:proofErr w:type="gramEnd"/>
            <w:r w:rsidRPr="00E56A6E">
              <w:rPr>
                <w:sz w:val="20"/>
                <w:szCs w:val="20"/>
                <w:lang w:val="es-ES"/>
              </w:rPr>
              <w:t xml:space="preserve"> y de recursos puestos a disposición como registros de referencia en el Centro de Intercambio de Información</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8BD4C4" w14:textId="77777777"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34</w:t>
            </w:r>
          </w:p>
        </w:tc>
        <w:tc>
          <w:tcPr>
            <w:tcW w:w="1506" w:type="dxa"/>
            <w:tcBorders>
              <w:top w:val="single" w:sz="4" w:space="0" w:color="auto"/>
              <w:left w:val="single" w:sz="4" w:space="0" w:color="auto"/>
              <w:bottom w:val="single" w:sz="4" w:space="0" w:color="auto"/>
              <w:right w:val="single" w:sz="4" w:space="0" w:color="auto"/>
            </w:tcBorders>
            <w:vAlign w:val="bottom"/>
          </w:tcPr>
          <w:p w14:paraId="306E1D80" w14:textId="77777777" w:rsidR="001F3265" w:rsidRPr="00E56A6E" w:rsidRDefault="001F3265" w:rsidP="001F3265">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367</w:t>
            </w:r>
          </w:p>
        </w:tc>
      </w:tr>
    </w:tbl>
    <w:p w14:paraId="2E38B3E2" w14:textId="51EAC932" w:rsidR="0086325F" w:rsidRPr="00E56A6E" w:rsidRDefault="00F05808" w:rsidP="0086325F">
      <w:pPr>
        <w:ind w:left="851" w:hanging="284"/>
        <w:rPr>
          <w:sz w:val="18"/>
          <w:szCs w:val="18"/>
          <w:lang w:val="es-ES"/>
        </w:rPr>
      </w:pPr>
      <w:r w:rsidRPr="00E56A6E">
        <w:rPr>
          <w:rFonts w:eastAsia="DengXian"/>
          <w:i/>
          <w:iCs/>
          <w:sz w:val="18"/>
          <w:szCs w:val="18"/>
          <w:vertAlign w:val="superscript"/>
          <w:lang w:val="es-ES" w:eastAsia="zh-CN"/>
        </w:rPr>
        <w:t>a</w:t>
      </w:r>
      <w:r w:rsidR="006B2CD6" w:rsidRPr="00E56A6E">
        <w:rPr>
          <w:rFonts w:eastAsia="DengXian"/>
          <w:sz w:val="18"/>
          <w:szCs w:val="18"/>
          <w:lang w:val="es-ES" w:eastAsia="zh-CN"/>
        </w:rPr>
        <w:tab/>
      </w:r>
      <w:r w:rsidR="0086325F" w:rsidRPr="00E56A6E">
        <w:rPr>
          <w:sz w:val="18"/>
          <w:szCs w:val="18"/>
          <w:lang w:val="es-ES"/>
        </w:rPr>
        <w:t>El formato del primer informe nacional no permite recopilar esa información. Se sugiere que se elimine este indicador.</w:t>
      </w:r>
    </w:p>
    <w:p w14:paraId="7D17D0AD" w14:textId="6265F140" w:rsidR="00F05808" w:rsidRPr="00E56A6E" w:rsidRDefault="006B2CD6" w:rsidP="006B2CD6">
      <w:pPr>
        <w:ind w:left="851" w:hanging="284"/>
        <w:rPr>
          <w:rFonts w:eastAsia="DengXian"/>
          <w:sz w:val="18"/>
          <w:szCs w:val="18"/>
          <w:lang w:val="es-ES" w:eastAsia="zh-CN"/>
        </w:rPr>
      </w:pPr>
      <w:r w:rsidRPr="00E56A6E">
        <w:rPr>
          <w:rFonts w:eastAsia="DengXian"/>
          <w:i/>
          <w:iCs/>
          <w:sz w:val="18"/>
          <w:szCs w:val="18"/>
          <w:vertAlign w:val="superscript"/>
          <w:lang w:val="es-ES" w:eastAsia="zh-CN"/>
        </w:rPr>
        <w:t>b</w:t>
      </w:r>
      <w:r w:rsidRPr="00E56A6E">
        <w:rPr>
          <w:rFonts w:eastAsia="DengXian"/>
          <w:sz w:val="18"/>
          <w:szCs w:val="18"/>
          <w:lang w:val="es-ES" w:eastAsia="zh-CN"/>
        </w:rPr>
        <w:tab/>
      </w:r>
      <w:r w:rsidR="0086325F" w:rsidRPr="00E56A6E">
        <w:rPr>
          <w:rFonts w:eastAsia="DengXian"/>
          <w:sz w:val="18"/>
          <w:szCs w:val="18"/>
          <w:lang w:val="es-ES" w:eastAsia="zh-CN"/>
        </w:rPr>
        <w:t xml:space="preserve">Se ha añadido un nuevo indicador para </w:t>
      </w:r>
      <w:r w:rsidR="003A0D20" w:rsidRPr="00E56A6E">
        <w:rPr>
          <w:rFonts w:eastAsia="DengXian"/>
          <w:sz w:val="18"/>
          <w:szCs w:val="18"/>
          <w:lang w:val="es-ES" w:eastAsia="zh-CN"/>
        </w:rPr>
        <w:t xml:space="preserve">contemplar </w:t>
      </w:r>
      <w:r w:rsidR="0086325F" w:rsidRPr="00E56A6E">
        <w:rPr>
          <w:rFonts w:eastAsia="DengXian"/>
          <w:sz w:val="18"/>
          <w:szCs w:val="18"/>
          <w:lang w:val="es-ES" w:eastAsia="zh-CN"/>
        </w:rPr>
        <w:t>la pregunta que se incorporó al formato del primer informe nacional.</w:t>
      </w:r>
    </w:p>
    <w:p w14:paraId="3AE32555" w14:textId="02DDDF0B" w:rsidR="0086325F" w:rsidRPr="00E56A6E" w:rsidRDefault="006B2CD6" w:rsidP="0086325F">
      <w:pPr>
        <w:ind w:left="851" w:hanging="284"/>
        <w:rPr>
          <w:sz w:val="18"/>
          <w:szCs w:val="18"/>
          <w:lang w:val="es-ES"/>
        </w:rPr>
      </w:pPr>
      <w:r w:rsidRPr="00E56A6E">
        <w:rPr>
          <w:rFonts w:eastAsia="DengXian"/>
          <w:i/>
          <w:iCs/>
          <w:sz w:val="18"/>
          <w:szCs w:val="18"/>
          <w:vertAlign w:val="superscript"/>
          <w:lang w:val="es-ES" w:eastAsia="zh-CN"/>
        </w:rPr>
        <w:t>c</w:t>
      </w:r>
      <w:r w:rsidRPr="00E56A6E">
        <w:rPr>
          <w:rFonts w:eastAsia="DengXian"/>
          <w:sz w:val="18"/>
          <w:szCs w:val="18"/>
          <w:lang w:val="es-ES" w:eastAsia="zh-CN"/>
        </w:rPr>
        <w:tab/>
      </w:r>
      <w:r w:rsidR="0086325F" w:rsidRPr="00E56A6E">
        <w:rPr>
          <w:sz w:val="18"/>
          <w:szCs w:val="18"/>
          <w:lang w:val="es-ES"/>
        </w:rPr>
        <w:t>La pregunta 55 del formato del primer informe nacional no especifica que la información facilitada se refiere al período transcurrido desde la entrada en vigor.</w:t>
      </w:r>
    </w:p>
    <w:p w14:paraId="1AC5766B" w14:textId="7F92E172" w:rsidR="001F3265" w:rsidRPr="00E56A6E" w:rsidRDefault="007B277F" w:rsidP="0086325F">
      <w:pPr>
        <w:ind w:left="851" w:hanging="284"/>
        <w:rPr>
          <w:sz w:val="18"/>
          <w:szCs w:val="18"/>
          <w:lang w:val="es-ES"/>
        </w:rPr>
      </w:pPr>
      <w:r w:rsidRPr="00E56A6E">
        <w:rPr>
          <w:i/>
          <w:iCs/>
          <w:sz w:val="18"/>
          <w:szCs w:val="18"/>
          <w:vertAlign w:val="superscript"/>
          <w:lang w:val="es-ES"/>
        </w:rPr>
        <w:t>d</w:t>
      </w:r>
      <w:r w:rsidRPr="00E56A6E">
        <w:rPr>
          <w:sz w:val="18"/>
          <w:szCs w:val="18"/>
          <w:lang w:val="es-ES"/>
        </w:rPr>
        <w:tab/>
      </w:r>
      <w:r w:rsidR="001F3265" w:rsidRPr="00E56A6E">
        <w:rPr>
          <w:sz w:val="18"/>
          <w:szCs w:val="18"/>
          <w:lang w:val="es-ES"/>
        </w:rPr>
        <w:t>Se sugiere esta adición para aclarar que los datos del indicador se basan en la información disponible en los registros de recursos de la biblioteca virtual.</w:t>
      </w:r>
    </w:p>
    <w:p w14:paraId="1DE23042" w14:textId="77777777" w:rsidR="001F3265" w:rsidRPr="00E56A6E" w:rsidRDefault="001F3265" w:rsidP="006B066D">
      <w:pPr>
        <w:ind w:left="851" w:hanging="284"/>
        <w:rPr>
          <w:rFonts w:eastAsia="DengXian"/>
          <w:sz w:val="18"/>
          <w:szCs w:val="18"/>
          <w:lang w:val="es-ES" w:eastAsia="zh-CN"/>
        </w:rPr>
      </w:pPr>
    </w:p>
    <w:p w14:paraId="1A9051CD" w14:textId="21F19FB2" w:rsidR="00792377" w:rsidRPr="00E56A6E" w:rsidRDefault="00AC2727" w:rsidP="00AC2727">
      <w:pPr>
        <w:pStyle w:val="CBDH4"/>
        <w:rPr>
          <w:lang w:val="es-ES"/>
        </w:rPr>
      </w:pPr>
      <w:r w:rsidRPr="00E56A6E">
        <w:rPr>
          <w:lang w:val="es-ES"/>
        </w:rPr>
        <w:t>b)</w:t>
      </w:r>
      <w:r w:rsidRPr="00E56A6E">
        <w:rPr>
          <w:lang w:val="es-ES"/>
        </w:rPr>
        <w:tab/>
      </w:r>
      <w:r w:rsidR="00A05194" w:rsidRPr="00E56A6E">
        <w:rPr>
          <w:lang w:val="es-ES"/>
        </w:rPr>
        <w:t>Dificultades</w:t>
      </w:r>
      <w:r w:rsidR="00C625BC" w:rsidRPr="00E56A6E">
        <w:rPr>
          <w:lang w:val="es-ES"/>
        </w:rPr>
        <w:t xml:space="preserve"> en la aplicación </w:t>
      </w:r>
      <w:r w:rsidR="00A05194" w:rsidRPr="00E56A6E">
        <w:rPr>
          <w:lang w:val="es-ES"/>
        </w:rPr>
        <w:t>y causas subyacentes</w:t>
      </w:r>
      <w:r w:rsidR="00792377" w:rsidRPr="00E56A6E">
        <w:rPr>
          <w:lang w:val="es-ES"/>
        </w:rPr>
        <w:tab/>
      </w:r>
    </w:p>
    <w:p w14:paraId="28A87338" w14:textId="765314C4" w:rsidR="00C625BC" w:rsidRPr="00E56A6E" w:rsidRDefault="00C625BC" w:rsidP="00C625BC">
      <w:pPr>
        <w:pStyle w:val="CBDNormalNumber"/>
        <w:rPr>
          <w:lang w:val="es-ES"/>
        </w:rPr>
      </w:pPr>
      <w:r w:rsidRPr="00E56A6E">
        <w:rPr>
          <w:lang w:val="es-ES"/>
        </w:rPr>
        <w:t xml:space="preserve">Las limitaciones en materia de recursos humanos y capacidad institucional se señalan sistemáticamente como un obstáculo importante. La escasa capacidad en materia de recaudación de fondos, elaboración de proyectos y planificación financiera, unida a los complejos requisitos de los donantes, dificulta el acceso a la ayuda externa. La dependencia de la </w:t>
      </w:r>
      <w:r w:rsidR="003A0D20" w:rsidRPr="00E56A6E">
        <w:rPr>
          <w:lang w:val="es-ES"/>
        </w:rPr>
        <w:t xml:space="preserve">capacitación </w:t>
      </w:r>
      <w:r w:rsidRPr="00E56A6E">
        <w:rPr>
          <w:lang w:val="es-ES"/>
        </w:rPr>
        <w:t xml:space="preserve">puntual, la elevada rotación del personal y la financiación basada en proyectos </w:t>
      </w:r>
      <w:r w:rsidR="003A0D20" w:rsidRPr="00E56A6E">
        <w:rPr>
          <w:lang w:val="es-ES"/>
        </w:rPr>
        <w:t xml:space="preserve">merman </w:t>
      </w:r>
      <w:r w:rsidRPr="00E56A6E">
        <w:rPr>
          <w:lang w:val="es-ES"/>
        </w:rPr>
        <w:t>el aprendizaje institucional, la coordinación y el desarrollo sostenido de las competencias relacionadas con el acceso y la participación en los beneficios.</w:t>
      </w:r>
    </w:p>
    <w:p w14:paraId="6158E70F" w14:textId="1A213236" w:rsidR="00C625BC" w:rsidRPr="00E56A6E" w:rsidRDefault="00C625BC" w:rsidP="00C625BC">
      <w:pPr>
        <w:pStyle w:val="CBDNormalNumber"/>
        <w:rPr>
          <w:lang w:val="es-ES"/>
        </w:rPr>
      </w:pPr>
      <w:r w:rsidRPr="00E56A6E">
        <w:rPr>
          <w:lang w:val="es-ES"/>
        </w:rPr>
        <w:t>Las iniciativas de creación de capacidad en materia de acceso y participación en los beneficios se han centrado principalmente en las autoridades gubernamentales, con una participación más limitada y desigual de los pueblos indígenas y las comunidades locales, los investigadores y los responsables políticos. Esto ha limitado la sensibilización, el cumplimiento y la participación efectiva de todas las partes interesadas en el acceso y la participación en los beneficios. La creación de capacidad insuficientemente adaptada a los diferentes grupos ha limitado la adopción y aplicación prácticas de los marcos de acceso y participación en los beneficios, reduciendo así la eficacia general de las inversiones en creación de capacidad.</w:t>
      </w:r>
    </w:p>
    <w:p w14:paraId="5B92C550" w14:textId="596A15D9" w:rsidR="00C625BC" w:rsidRPr="00E56A6E" w:rsidRDefault="00C625BC" w:rsidP="00C625BC">
      <w:pPr>
        <w:pStyle w:val="CBDNormalNumber"/>
        <w:rPr>
          <w:lang w:val="es-ES"/>
        </w:rPr>
      </w:pPr>
      <w:r w:rsidRPr="00E56A6E">
        <w:rPr>
          <w:lang w:val="es-ES"/>
        </w:rPr>
        <w:t xml:space="preserve">A pesar de los avances logrados en el establecimiento de marcos jurídicos y normativos, muchas Partes siguen </w:t>
      </w:r>
      <w:r w:rsidR="003A0D20" w:rsidRPr="00E56A6E">
        <w:rPr>
          <w:lang w:val="es-ES"/>
        </w:rPr>
        <w:t xml:space="preserve">padeciendo </w:t>
      </w:r>
      <w:r w:rsidRPr="00E56A6E">
        <w:rPr>
          <w:lang w:val="es-ES"/>
        </w:rPr>
        <w:t xml:space="preserve">carencias de capacidad operativa y técnica que limitan la eficacia de la aplicación de las disposiciones sobre acceso y participación en los beneficios. En particular, se </w:t>
      </w:r>
      <w:r w:rsidR="003A0D20" w:rsidRPr="00E56A6E">
        <w:rPr>
          <w:lang w:val="es-ES"/>
        </w:rPr>
        <w:t xml:space="preserve">definieron </w:t>
      </w:r>
      <w:r w:rsidRPr="00E56A6E">
        <w:rPr>
          <w:lang w:val="es-ES"/>
        </w:rPr>
        <w:t>las siguientes áreas de creación de capacidad que requieren un mayor apoyo:</w:t>
      </w:r>
    </w:p>
    <w:p w14:paraId="6A8A667A" w14:textId="77777777" w:rsidR="00C625BC" w:rsidRPr="00E56A6E" w:rsidRDefault="00C625BC" w:rsidP="00320511">
      <w:pPr>
        <w:pStyle w:val="CBDNormalNumber"/>
        <w:numPr>
          <w:ilvl w:val="1"/>
          <w:numId w:val="7"/>
        </w:numPr>
        <w:ind w:left="567" w:firstLine="567"/>
        <w:rPr>
          <w:lang w:val="es-ES"/>
        </w:rPr>
      </w:pPr>
      <w:r w:rsidRPr="00E56A6E">
        <w:rPr>
          <w:lang w:val="es-ES"/>
        </w:rPr>
        <w:t>El desarrollo y la aplicación de marcos jurídicos e institucionales nacionales, en particular en lo que respecta a las disposiciones del Protocolo relacionadas con el cumplimiento y los pueblos indígenas y las comunidades locales;</w:t>
      </w:r>
    </w:p>
    <w:p w14:paraId="544EDAD8" w14:textId="1E283EFB" w:rsidR="00C625BC" w:rsidRPr="00E56A6E" w:rsidRDefault="00C625BC" w:rsidP="00320511">
      <w:pPr>
        <w:pStyle w:val="CBDNormalNumber"/>
        <w:numPr>
          <w:ilvl w:val="1"/>
          <w:numId w:val="7"/>
        </w:numPr>
        <w:ind w:left="567" w:firstLine="567"/>
        <w:rPr>
          <w:lang w:val="es-ES"/>
        </w:rPr>
      </w:pPr>
      <w:r w:rsidRPr="00E56A6E">
        <w:rPr>
          <w:lang w:val="es-ES"/>
        </w:rPr>
        <w:t xml:space="preserve">Comprensión y puesta en práctica del sistema establecido en virtud del artículo 17 del Protocolo para </w:t>
      </w:r>
      <w:r w:rsidR="008D151E" w:rsidRPr="00E56A6E">
        <w:rPr>
          <w:lang w:val="es-ES"/>
        </w:rPr>
        <w:t>vigilar la utilización</w:t>
      </w:r>
      <w:r w:rsidRPr="00E56A6E">
        <w:rPr>
          <w:lang w:val="es-ES"/>
        </w:rPr>
        <w:t xml:space="preserve"> de los recursos genéticos, incluida la designación y el funcionamiento efectivos de los </w:t>
      </w:r>
      <w:r w:rsidR="003745C1" w:rsidRPr="00E56A6E">
        <w:rPr>
          <w:lang w:val="es-ES"/>
        </w:rPr>
        <w:t>puntos de verificación</w:t>
      </w:r>
      <w:r w:rsidRPr="00E56A6E">
        <w:rPr>
          <w:lang w:val="es-ES"/>
        </w:rPr>
        <w:t>;</w:t>
      </w:r>
    </w:p>
    <w:p w14:paraId="2925F1C5" w14:textId="0AA2E7A4" w:rsidR="00C625BC" w:rsidRPr="00E56A6E" w:rsidRDefault="00C625BC" w:rsidP="00320511">
      <w:pPr>
        <w:pStyle w:val="CBDNormalNumber"/>
        <w:numPr>
          <w:ilvl w:val="1"/>
          <w:numId w:val="7"/>
        </w:numPr>
        <w:ind w:left="567" w:firstLine="567"/>
        <w:rPr>
          <w:lang w:val="es-ES"/>
        </w:rPr>
      </w:pPr>
      <w:r w:rsidRPr="00E56A6E">
        <w:rPr>
          <w:lang w:val="es-ES"/>
        </w:rPr>
        <w:t xml:space="preserve">Mecanismos y sistemas para </w:t>
      </w:r>
      <w:r w:rsidR="00726C67" w:rsidRPr="00E56A6E">
        <w:rPr>
          <w:lang w:val="es-ES"/>
        </w:rPr>
        <w:t>vigilar</w:t>
      </w:r>
      <w:r w:rsidRPr="00E56A6E">
        <w:rPr>
          <w:lang w:val="es-ES"/>
        </w:rPr>
        <w:t xml:space="preserve">, contabilizar y </w:t>
      </w:r>
      <w:r w:rsidR="00A00519" w:rsidRPr="00E56A6E">
        <w:rPr>
          <w:lang w:val="es-ES"/>
        </w:rPr>
        <w:t xml:space="preserve">compartir </w:t>
      </w:r>
      <w:r w:rsidRPr="00E56A6E">
        <w:rPr>
          <w:lang w:val="es-ES"/>
        </w:rPr>
        <w:t>la participación en los beneficios, incluido el seguimiento de los beneficios a lo largo del tiempo;</w:t>
      </w:r>
    </w:p>
    <w:p w14:paraId="0B310102" w14:textId="77777777" w:rsidR="00C625BC" w:rsidRPr="00E56A6E" w:rsidRDefault="00C625BC" w:rsidP="00320511">
      <w:pPr>
        <w:pStyle w:val="CBDNormalNumber"/>
        <w:numPr>
          <w:ilvl w:val="1"/>
          <w:numId w:val="7"/>
        </w:numPr>
        <w:ind w:left="567" w:firstLine="567"/>
        <w:rPr>
          <w:lang w:val="es-ES"/>
        </w:rPr>
      </w:pPr>
      <w:r w:rsidRPr="00E56A6E">
        <w:rPr>
          <w:lang w:val="es-ES"/>
        </w:rPr>
        <w:lastRenderedPageBreak/>
        <w:t>Capacidad jurídica y técnica para la negociación de acuerdos de acceso y participación en los beneficios, lo que incluye una mejor comprensión de las cadenas de valor relacionadas con el acceso y la participación en los beneficios, los mercados y las vías de comercialización pertinentes para el acceso y la participación en los beneficios, así como el establecimiento de acuerdos o asociaciones equitativos de acceso y participación en los beneficios entre usuarios y proveedores;</w:t>
      </w:r>
    </w:p>
    <w:p w14:paraId="335DD8E7" w14:textId="77777777" w:rsidR="00C625BC" w:rsidRPr="00E56A6E" w:rsidRDefault="00C625BC" w:rsidP="00320511">
      <w:pPr>
        <w:pStyle w:val="CBDNormalNumber"/>
        <w:numPr>
          <w:ilvl w:val="1"/>
          <w:numId w:val="7"/>
        </w:numPr>
        <w:ind w:left="567" w:firstLine="567"/>
        <w:rPr>
          <w:lang w:val="es-ES"/>
        </w:rPr>
      </w:pPr>
      <w:r w:rsidRPr="00E56A6E">
        <w:rPr>
          <w:lang w:val="es-ES"/>
        </w:rPr>
        <w:t>Apoyo a los pueblos indígenas y las comunidades locales para que participen de manera efectiva en los procesos de acceso y participación en los beneficios, incluido el desarrollo, la aplicación y el uso de protocolos comunitarios;</w:t>
      </w:r>
    </w:p>
    <w:p w14:paraId="0EDD7E89" w14:textId="77777777" w:rsidR="00C625BC" w:rsidRPr="00E56A6E" w:rsidRDefault="00C625BC" w:rsidP="00320511">
      <w:pPr>
        <w:pStyle w:val="CBDNormalNumber"/>
        <w:numPr>
          <w:ilvl w:val="1"/>
          <w:numId w:val="7"/>
        </w:numPr>
        <w:ind w:left="567" w:firstLine="567"/>
        <w:rPr>
          <w:lang w:val="es-ES"/>
        </w:rPr>
      </w:pPr>
      <w:r w:rsidRPr="00E56A6E">
        <w:rPr>
          <w:lang w:val="es-ES"/>
        </w:rPr>
        <w:t>Sensibilización sobre el acceso y la participación en los beneficios y la participación sostenida de las partes interesadas, incluidas las comunidades empresarial y científica;</w:t>
      </w:r>
    </w:p>
    <w:p w14:paraId="0BCDE823" w14:textId="77777777" w:rsidR="00C625BC" w:rsidRPr="00E56A6E" w:rsidRDefault="00C625BC" w:rsidP="00320511">
      <w:pPr>
        <w:pStyle w:val="CBDNormalNumber"/>
        <w:numPr>
          <w:ilvl w:val="1"/>
          <w:numId w:val="7"/>
        </w:numPr>
        <w:ind w:left="567" w:firstLine="567"/>
        <w:rPr>
          <w:lang w:val="es-ES"/>
        </w:rPr>
      </w:pPr>
      <w:r w:rsidRPr="00E56A6E">
        <w:rPr>
          <w:lang w:val="es-ES"/>
        </w:rPr>
        <w:t>Desarrollar, poner en funcionamiento y mantener herramientas digitales relacionadas con el acceso y la participación en los beneficios, así como sistemas en línea y bases de datos para apoyar el acceso, la participación en los beneficios y el cumplimiento;</w:t>
      </w:r>
    </w:p>
    <w:p w14:paraId="0487A3BD" w14:textId="0C30F57A" w:rsidR="00C625BC" w:rsidRPr="00E56A6E" w:rsidRDefault="00C625BC" w:rsidP="00320511">
      <w:pPr>
        <w:pStyle w:val="CBDNormalNumber"/>
        <w:numPr>
          <w:ilvl w:val="1"/>
          <w:numId w:val="7"/>
        </w:numPr>
        <w:ind w:left="567" w:firstLine="567"/>
        <w:rPr>
          <w:lang w:val="es-ES"/>
        </w:rPr>
      </w:pPr>
      <w:r w:rsidRPr="00E56A6E">
        <w:rPr>
          <w:lang w:val="es-ES"/>
        </w:rPr>
        <w:t>Fortalecer la coordinación institucional y la cooperación intersectorial entre las autoridades pertinentes y las partes interesadas que participan en la aplicación del acceso y la participación en los beneficios.</w:t>
      </w:r>
    </w:p>
    <w:p w14:paraId="4FF3E5BB" w14:textId="654BCE09" w:rsidR="00C625BC" w:rsidRPr="00E56A6E" w:rsidRDefault="00C625BC" w:rsidP="00C625BC">
      <w:pPr>
        <w:pStyle w:val="CBDNormalNumber"/>
        <w:rPr>
          <w:lang w:val="es-ES"/>
        </w:rPr>
      </w:pPr>
      <w:r w:rsidRPr="00E56A6E">
        <w:rPr>
          <w:lang w:val="es-ES"/>
        </w:rPr>
        <w:t xml:space="preserve">La gestión del conocimiento y el intercambio de experiencias siguen estando poco desarrollados en el marco de las iniciativas de creación de capacidad en materia de acceso y participación en los beneficios. Las lecciones aprendidas y las buenas prácticas no siempre se documentan ni se difunden de forma sistemática, ni siquiera a través del </w:t>
      </w:r>
      <w:r w:rsidR="00B67C83" w:rsidRPr="00E56A6E">
        <w:rPr>
          <w:lang w:val="es-ES"/>
        </w:rPr>
        <w:t>Centro de Intercambio de Información sobre Acceso y Participación</w:t>
      </w:r>
      <w:r w:rsidRPr="00E56A6E">
        <w:rPr>
          <w:lang w:val="es-ES"/>
        </w:rPr>
        <w:t xml:space="preserve"> en los Beneficios, lo que limita el aprendizaje acumulativo y la eficacia de las inversiones en creación de capacidad. </w:t>
      </w:r>
    </w:p>
    <w:p w14:paraId="5AC12274" w14:textId="66665C6B" w:rsidR="00C625BC" w:rsidRPr="00E56A6E" w:rsidRDefault="00C625BC" w:rsidP="00C625BC">
      <w:pPr>
        <w:pStyle w:val="CBDNormalNumber"/>
        <w:rPr>
          <w:lang w:val="es-ES"/>
        </w:rPr>
      </w:pPr>
      <w:r w:rsidRPr="00E56A6E">
        <w:rPr>
          <w:lang w:val="es-ES"/>
        </w:rPr>
        <w:t xml:space="preserve">El enfoque predominante en los proyectos de creación de capacidad a nivel nacional ha dado lugar a menos oportunidades de aprendizaje estructurado entre pares y de cooperación Sur-Sur, que permiten el intercambio de experiencias relacionadas con la aplicación del acceso y la participación en los beneficios entre países o regiones. </w:t>
      </w:r>
    </w:p>
    <w:p w14:paraId="3E53AF15" w14:textId="2186C281" w:rsidR="00C625BC" w:rsidRPr="00E56A6E" w:rsidRDefault="00C625BC" w:rsidP="00C625BC">
      <w:pPr>
        <w:pStyle w:val="CBDNormalNumber"/>
        <w:rPr>
          <w:lang w:val="es-ES"/>
        </w:rPr>
      </w:pPr>
      <w:r w:rsidRPr="00E56A6E">
        <w:rPr>
          <w:lang w:val="es-ES"/>
        </w:rPr>
        <w:t>El desarrollo de capacidades en el marco del Protocolo de Nagoya se ha caracterizado por una gama limitada de fuentes de financiación y de proveedores de servicios de desarrollo de capacidades. El desarrollo de capacidades se ha llevado a cabo en gran medida a través de proyectos financiados internacionalmente, con aproximadamente el 90 % de las iniciativas actuales respaldadas por el FMAM y ejecutadas por un pequeño número de organismos</w:t>
      </w:r>
      <w:r w:rsidR="00622028" w:rsidRPr="00E56A6E">
        <w:rPr>
          <w:lang w:val="es-ES"/>
        </w:rPr>
        <w:t xml:space="preserve"> importantes</w:t>
      </w:r>
      <w:r w:rsidRPr="00E56A6E">
        <w:rPr>
          <w:lang w:val="es-ES"/>
        </w:rPr>
        <w:t>. El cierre de la Iniciativa de Desarrollo de Capacidades ha reducido aún más el panorama de proveedores especializados en desarrollo de capacidades.</w:t>
      </w:r>
    </w:p>
    <w:p w14:paraId="2B708488" w14:textId="5CD1E895" w:rsidR="00C625BC" w:rsidRPr="00E56A6E" w:rsidRDefault="00C625BC" w:rsidP="00C625BC">
      <w:pPr>
        <w:pStyle w:val="CBDNormalNumber"/>
        <w:rPr>
          <w:lang w:val="es-ES"/>
        </w:rPr>
      </w:pPr>
      <w:r w:rsidRPr="00E56A6E">
        <w:rPr>
          <w:lang w:val="es-ES"/>
        </w:rPr>
        <w:t>Est</w:t>
      </w:r>
      <w:r w:rsidR="00622028" w:rsidRPr="00E56A6E">
        <w:rPr>
          <w:lang w:val="es-ES"/>
        </w:rPr>
        <w:t xml:space="preserve">as dificultades </w:t>
      </w:r>
      <w:r w:rsidRPr="00E56A6E">
        <w:rPr>
          <w:lang w:val="es-ES"/>
        </w:rPr>
        <w:t>se ven agravad</w:t>
      </w:r>
      <w:r w:rsidR="00622028" w:rsidRPr="00E56A6E">
        <w:rPr>
          <w:lang w:val="es-ES"/>
        </w:rPr>
        <w:t>a</w:t>
      </w:r>
      <w:r w:rsidRPr="00E56A6E">
        <w:rPr>
          <w:lang w:val="es-ES"/>
        </w:rPr>
        <w:t>s por el carácter a corto plazo de muchas iniciativas de creación de capacidad. Dado que la aplicación de las disposiciones sobre acceso y participación en los beneficios es, por naturaleza, un proceso a largo plazo y gradual, a menudo se requieren largos períodos para pasar de los marcos jurídicos y los procedimientos a sistemas operativos que generen resultados en materia de participación en los beneficios. A falta de un apoyo secuencial o de seguimiento, los países se enfrentan al riesgo recurrente de perder personal calificado, conocimientos institucionales y experiencia práctica antes de que los sistemas nacionales de acceso y participación en los beneficios entren en funcionamiento.</w:t>
      </w:r>
    </w:p>
    <w:p w14:paraId="481EBE30" w14:textId="4E1F0307" w:rsidR="004D6E79" w:rsidRPr="00E56A6E" w:rsidRDefault="004D631D" w:rsidP="00AC2727">
      <w:pPr>
        <w:pStyle w:val="CBDH4"/>
        <w:rPr>
          <w:lang w:val="es-ES"/>
        </w:rPr>
      </w:pPr>
      <w:r w:rsidRPr="00E56A6E">
        <w:rPr>
          <w:lang w:val="es-ES"/>
        </w:rPr>
        <w:t>c)</w:t>
      </w:r>
      <w:r w:rsidRPr="00E56A6E">
        <w:rPr>
          <w:lang w:val="es-ES"/>
        </w:rPr>
        <w:tab/>
      </w:r>
      <w:r w:rsidR="0038066F" w:rsidRPr="00E56A6E">
        <w:rPr>
          <w:lang w:val="es-ES"/>
        </w:rPr>
        <w:t>Posibles maneras</w:t>
      </w:r>
      <w:r w:rsidR="009064A1" w:rsidRPr="00E56A6E">
        <w:rPr>
          <w:lang w:val="es-ES"/>
        </w:rPr>
        <w:t xml:space="preserve"> de mejorar </w:t>
      </w:r>
      <w:r w:rsidR="00915E2F" w:rsidRPr="00E56A6E">
        <w:rPr>
          <w:lang w:val="es-ES"/>
        </w:rPr>
        <w:t>la creación de capacidad</w:t>
      </w:r>
      <w:r w:rsidR="009064A1" w:rsidRPr="00E56A6E">
        <w:rPr>
          <w:lang w:val="es-ES"/>
        </w:rPr>
        <w:t xml:space="preserve"> para la aplicación efectiva del Protocolo de Nagoya</w:t>
      </w:r>
    </w:p>
    <w:p w14:paraId="6D136796" w14:textId="5F1AB7F6" w:rsidR="009064A1" w:rsidRPr="00E56A6E" w:rsidRDefault="009064A1" w:rsidP="009064A1">
      <w:pPr>
        <w:pStyle w:val="CBDNormalNumber"/>
        <w:rPr>
          <w:lang w:val="es-ES"/>
        </w:rPr>
      </w:pPr>
      <w:r w:rsidRPr="00E56A6E">
        <w:rPr>
          <w:lang w:val="es-ES"/>
        </w:rPr>
        <w:t>Fortalecimiento de la planificación a largo plazo de la creación de capacidad: la creación de capacidad en el marco del Protocolo de Nagoya se beneficiaría de la adopción de una perspectiva a más largo plazo y por fases, que se extendiera más allá de los ciclos de proyecto típicos de dos a cinco años.</w:t>
      </w:r>
      <w:r w:rsidR="00112E38" w:rsidRPr="00E56A6E">
        <w:rPr>
          <w:lang w:val="es-ES"/>
        </w:rPr>
        <w:t xml:space="preserve"> </w:t>
      </w:r>
      <w:r w:rsidRPr="00E56A6E">
        <w:rPr>
          <w:lang w:val="es-ES"/>
        </w:rPr>
        <w:t xml:space="preserve">Este enfoque reflejaría mejor la naturaleza a largo plazo y gradual de la aplicación del </w:t>
      </w:r>
      <w:r w:rsidRPr="00E56A6E">
        <w:rPr>
          <w:lang w:val="es-ES"/>
        </w:rPr>
        <w:lastRenderedPageBreak/>
        <w:t>acceso y la participación en los beneficios y permitiría crear, consolidar y mantener la capacidad a lo largo del tiempo.</w:t>
      </w:r>
    </w:p>
    <w:p w14:paraId="1C79DF54" w14:textId="776F2F2F" w:rsidR="009064A1" w:rsidRPr="00E56A6E" w:rsidRDefault="009064A1" w:rsidP="009064A1">
      <w:pPr>
        <w:pStyle w:val="CBDNormalNumber"/>
        <w:rPr>
          <w:lang w:val="es-ES"/>
        </w:rPr>
      </w:pPr>
      <w:r w:rsidRPr="00E56A6E">
        <w:rPr>
          <w:lang w:val="es-ES"/>
        </w:rPr>
        <w:t xml:space="preserve">En este contexto, </w:t>
      </w:r>
      <w:r w:rsidR="00915E2F" w:rsidRPr="00E56A6E">
        <w:rPr>
          <w:lang w:val="es-ES"/>
        </w:rPr>
        <w:t>la creación de capacidad</w:t>
      </w:r>
      <w:r w:rsidRPr="00E56A6E">
        <w:rPr>
          <w:lang w:val="es-ES"/>
        </w:rPr>
        <w:t xml:space="preserve"> podría concebirse como un apoyo secuencial, en el que se vaya</w:t>
      </w:r>
      <w:r w:rsidR="00AB46AA" w:rsidRPr="00E56A6E">
        <w:rPr>
          <w:lang w:val="es-ES"/>
        </w:rPr>
        <w:t xml:space="preserve"> procurando progresivamente la participación de</w:t>
      </w:r>
      <w:r w:rsidRPr="00E56A6E">
        <w:rPr>
          <w:lang w:val="es-ES"/>
        </w:rPr>
        <w:t xml:space="preserve"> los principales grupos de interesados, según proceda, entre ellos las autoridades gubernamentales, los pueblos indígenas y las comunidades locales, los investigadores y los agentes del sector privado. Una participación por fases contribuiría a consolidar el aprendizaje, reducir la pérdida de capacidad asociada a la rotación de personal y favorecer la continuidad a lo largo de las diferentes etapas de la aplicación del acceso y la participación en los beneficios. </w:t>
      </w:r>
    </w:p>
    <w:p w14:paraId="0A795A7B" w14:textId="563D6A80" w:rsidR="009064A1" w:rsidRPr="00E56A6E" w:rsidRDefault="009064A1" w:rsidP="009064A1">
      <w:pPr>
        <w:pStyle w:val="CBDNormalNumber"/>
        <w:rPr>
          <w:lang w:val="es-ES"/>
        </w:rPr>
      </w:pPr>
      <w:r w:rsidRPr="00E56A6E">
        <w:rPr>
          <w:lang w:val="es-ES"/>
        </w:rPr>
        <w:t xml:space="preserve">A este respecto, el </w:t>
      </w:r>
      <w:r w:rsidR="00C40096" w:rsidRPr="00E56A6E">
        <w:rPr>
          <w:lang w:val="es-ES"/>
        </w:rPr>
        <w:t xml:space="preserve">Plan de acción para la creación y el desarrollo de capacidad </w:t>
      </w:r>
      <w:r w:rsidRPr="00E56A6E">
        <w:rPr>
          <w:lang w:val="es-ES"/>
        </w:rPr>
        <w:t>del Protocolo de Nagoya</w:t>
      </w:r>
      <w:r w:rsidRPr="00E56A6E">
        <w:rPr>
          <w:rStyle w:val="FootnoteReference"/>
          <w:lang w:val="es-ES"/>
        </w:rPr>
        <w:footnoteReference w:id="70"/>
      </w:r>
      <w:r w:rsidRPr="00E56A6E">
        <w:rPr>
          <w:lang w:val="es-ES"/>
        </w:rPr>
        <w:t xml:space="preserve"> ofrece un marco útil para apoyar una creación de capacidad estratégica, coherente y por fases a lo largo del tiempo. Basado en el artículo 22 del Protocolo de Nagoya y en el marco estratégico a largo plazo para</w:t>
      </w:r>
      <w:r w:rsidR="00C40096" w:rsidRPr="00E56A6E">
        <w:rPr>
          <w:lang w:val="es-ES"/>
        </w:rPr>
        <w:t xml:space="preserve"> la creación y </w:t>
      </w:r>
      <w:r w:rsidRPr="00E56A6E">
        <w:rPr>
          <w:lang w:val="es-ES"/>
        </w:rPr>
        <w:t>el desarrollo de capacidad</w:t>
      </w:r>
      <w:r w:rsidRPr="00E56A6E">
        <w:rPr>
          <w:rStyle w:val="FootnoteReference"/>
          <w:lang w:val="es-ES"/>
        </w:rPr>
        <w:footnoteReference w:id="71"/>
      </w:r>
      <w:r w:rsidRPr="00E56A6E">
        <w:rPr>
          <w:lang w:val="es-ES"/>
        </w:rPr>
        <w:t xml:space="preserve">, el </w:t>
      </w:r>
      <w:r w:rsidR="00C40096" w:rsidRPr="00E56A6E">
        <w:rPr>
          <w:lang w:val="es-ES"/>
        </w:rPr>
        <w:t>p</w:t>
      </w:r>
      <w:r w:rsidRPr="00E56A6E">
        <w:rPr>
          <w:lang w:val="es-ES"/>
        </w:rPr>
        <w:t xml:space="preserve">lan de </w:t>
      </w:r>
      <w:r w:rsidR="00C40096" w:rsidRPr="00E56A6E">
        <w:rPr>
          <w:lang w:val="es-ES"/>
        </w:rPr>
        <w:t>a</w:t>
      </w:r>
      <w:r w:rsidRPr="00E56A6E">
        <w:rPr>
          <w:lang w:val="es-ES"/>
        </w:rPr>
        <w:t>cción puede utilizarse para respaldar la planificación basada en las necesidades, la integración del acceso y la participación en los beneficios en el marco de iniciativas más amplias de creación de capacidad en materia de diversidad</w:t>
      </w:r>
      <w:r w:rsidR="00FA0BB1" w:rsidRPr="00E56A6E">
        <w:rPr>
          <w:lang w:val="es-ES"/>
        </w:rPr>
        <w:t xml:space="preserve"> biológica</w:t>
      </w:r>
      <w:r w:rsidRPr="00E56A6E">
        <w:rPr>
          <w:lang w:val="es-ES"/>
        </w:rPr>
        <w:t>, así como la participación y la cooperación de las partes interesadas a nivel nacional, regional y mundial.</w:t>
      </w:r>
    </w:p>
    <w:p w14:paraId="6C90E6AA" w14:textId="1F68E6D5" w:rsidR="009064A1" w:rsidRPr="00E56A6E" w:rsidRDefault="009064A1" w:rsidP="009064A1">
      <w:pPr>
        <w:pStyle w:val="CBDNormalNumber"/>
        <w:rPr>
          <w:lang w:val="es-ES"/>
        </w:rPr>
      </w:pPr>
      <w:r w:rsidRPr="00E56A6E">
        <w:rPr>
          <w:lang w:val="es-ES"/>
        </w:rPr>
        <w:t xml:space="preserve">Mejorar el intercambio de conocimientos y las actividades de aprendizaje entre pares: el desarrollo de capacidades en el marco del Protocolo de Nagoya podría potenciarse reforzando las modalidades de ejecución que faciliten el aprendizaje entre pares, la cooperación Sur-Sur y el intercambio de experiencias y lecciones aprendidas entre países y regiones, sin dejar de responder a las necesidades nacionales y locales. </w:t>
      </w:r>
    </w:p>
    <w:p w14:paraId="0DEDFAA0" w14:textId="4EC282C8" w:rsidR="009064A1" w:rsidRPr="00E56A6E" w:rsidRDefault="009064A1" w:rsidP="009064A1">
      <w:pPr>
        <w:pStyle w:val="CBDNormalNumber"/>
        <w:rPr>
          <w:lang w:val="es-ES"/>
        </w:rPr>
      </w:pPr>
      <w:r w:rsidRPr="00E56A6E">
        <w:rPr>
          <w:lang w:val="es-ES"/>
        </w:rPr>
        <w:t xml:space="preserve">De acuerdo con las conclusiones del </w:t>
      </w:r>
      <w:r w:rsidR="00B007EB" w:rsidRPr="00E56A6E">
        <w:rPr>
          <w:lang w:val="es-ES"/>
        </w:rPr>
        <w:t>estudio preliminar</w:t>
      </w:r>
      <w:r w:rsidRPr="00E56A6E">
        <w:rPr>
          <w:lang w:val="es-ES"/>
        </w:rPr>
        <w:t>, los proyectos regionales y mundiales pueden ser los más adecuados para responder a la necesidad de una mayor estandarización de los enfoques y al intercambio de experiencias y lecciones aprendidas en esta fase de la aplicación del Protocolo de Nagoya.</w:t>
      </w:r>
      <w:r w:rsidR="00112E38" w:rsidRPr="00E56A6E">
        <w:rPr>
          <w:lang w:val="es-ES"/>
        </w:rPr>
        <w:t xml:space="preserve"> </w:t>
      </w:r>
    </w:p>
    <w:p w14:paraId="7DB49121" w14:textId="5249F2FB" w:rsidR="009064A1" w:rsidRPr="00E56A6E" w:rsidRDefault="00E10F41" w:rsidP="009064A1">
      <w:pPr>
        <w:pStyle w:val="CBDNormalNumber"/>
        <w:rPr>
          <w:lang w:val="es-ES"/>
        </w:rPr>
      </w:pPr>
      <w:r w:rsidRPr="00E56A6E">
        <w:rPr>
          <w:lang w:val="es-ES"/>
        </w:rPr>
        <w:t>Entre o</w:t>
      </w:r>
      <w:r w:rsidR="009064A1" w:rsidRPr="00E56A6E">
        <w:rPr>
          <w:lang w:val="es-ES"/>
        </w:rPr>
        <w:t xml:space="preserve">tras modalidades de ejecución que potencian el intercambio de conocimientos y las actividades de aprendizaje entre pares </w:t>
      </w:r>
      <w:r w:rsidRPr="00E56A6E">
        <w:rPr>
          <w:lang w:val="es-ES"/>
        </w:rPr>
        <w:t xml:space="preserve">figuran </w:t>
      </w:r>
      <w:r w:rsidR="009064A1" w:rsidRPr="00E56A6E">
        <w:rPr>
          <w:lang w:val="es-ES"/>
        </w:rPr>
        <w:t xml:space="preserve">la documentación y el intercambio sistemáticos de las lecciones aprendidas y las buenas prácticas, incluso a través de plataformas como el Centro de Intercambio de Información, con el fin de reforzar el aprendizaje acumulativo y mejorar la eficiencia general de las inversiones en </w:t>
      </w:r>
      <w:r w:rsidRPr="00E56A6E">
        <w:rPr>
          <w:lang w:val="es-ES"/>
        </w:rPr>
        <w:t xml:space="preserve">la creación de </w:t>
      </w:r>
      <w:r w:rsidR="009064A1" w:rsidRPr="00E56A6E">
        <w:rPr>
          <w:lang w:val="es-ES"/>
        </w:rPr>
        <w:t>la capacidad.</w:t>
      </w:r>
    </w:p>
    <w:p w14:paraId="1330AA5C" w14:textId="188468A8" w:rsidR="009064A1" w:rsidRPr="00E56A6E" w:rsidRDefault="009064A1" w:rsidP="009064A1">
      <w:pPr>
        <w:pStyle w:val="CBDNormalNumber"/>
        <w:rPr>
          <w:lang w:val="es-ES"/>
        </w:rPr>
      </w:pPr>
      <w:r w:rsidRPr="00E56A6E">
        <w:rPr>
          <w:lang w:val="es-ES"/>
        </w:rPr>
        <w:t xml:space="preserve">Fortalecimiento de las condiciones propicias para el desarrollo sostenible de capacidades: si bien el FMAM sigue siendo la principal fuente de apoyo financiero para </w:t>
      </w:r>
      <w:r w:rsidR="00271786" w:rsidRPr="00E56A6E">
        <w:rPr>
          <w:lang w:val="es-ES"/>
        </w:rPr>
        <w:t xml:space="preserve">la creación </w:t>
      </w:r>
      <w:r w:rsidRPr="00E56A6E">
        <w:rPr>
          <w:lang w:val="es-ES"/>
        </w:rPr>
        <w:t xml:space="preserve">de capacidades en materia de acceso y participación en los beneficios, existe margen para </w:t>
      </w:r>
      <w:r w:rsidR="00271786" w:rsidRPr="00E56A6E">
        <w:rPr>
          <w:lang w:val="es-ES"/>
        </w:rPr>
        <w:t xml:space="preserve">potenciar </w:t>
      </w:r>
      <w:r w:rsidRPr="00E56A6E">
        <w:rPr>
          <w:lang w:val="es-ES"/>
        </w:rPr>
        <w:t xml:space="preserve">aún más el impacto de esa inversión mediante una mayor coordinación y una acción colectiva. Una colaboración más estrecha entre el FMAM, los organismos de ejecución, las Partes beneficiarias y la Secretaría del Convenio sobre la Diversidad Biológica podría contribuir a </w:t>
      </w:r>
      <w:r w:rsidR="00271786" w:rsidRPr="00E56A6E">
        <w:rPr>
          <w:lang w:val="es-ES"/>
        </w:rPr>
        <w:t xml:space="preserve">velar por </w:t>
      </w:r>
      <w:r w:rsidRPr="00E56A6E">
        <w:rPr>
          <w:lang w:val="es-ES"/>
        </w:rPr>
        <w:t>que los recursos se utilicen de manera más estratégica, complementaria y orientada a los resultados, en mayor consonancia con el carácter gradual y a largo plazo de la aplicación de las disposiciones sobre acceso y participación en los beneficios.</w:t>
      </w:r>
    </w:p>
    <w:p w14:paraId="4D043934" w14:textId="3BF68B74" w:rsidR="009064A1" w:rsidRPr="00E56A6E" w:rsidRDefault="009064A1" w:rsidP="009064A1">
      <w:pPr>
        <w:pStyle w:val="CBDNormalNumber"/>
        <w:rPr>
          <w:lang w:val="es-ES"/>
        </w:rPr>
      </w:pPr>
      <w:r w:rsidRPr="00E56A6E">
        <w:rPr>
          <w:lang w:val="es-ES"/>
        </w:rPr>
        <w:t xml:space="preserve">Además, ampliar la </w:t>
      </w:r>
      <w:r w:rsidR="00271786" w:rsidRPr="00E56A6E">
        <w:rPr>
          <w:lang w:val="es-ES"/>
        </w:rPr>
        <w:t xml:space="preserve">variedad </w:t>
      </w:r>
      <w:r w:rsidRPr="00E56A6E">
        <w:rPr>
          <w:lang w:val="es-ES"/>
        </w:rPr>
        <w:t>de actores que participan tanto en la financiación como en la ejecución de las actividades de creación de capacidad podría fortalecer aún más las capacidades existentes. Por ejemplo, la colaboración con centros de apoyo a la cooperación técnica y científica</w:t>
      </w:r>
      <w:r w:rsidRPr="00E56A6E">
        <w:rPr>
          <w:rStyle w:val="FootnoteReference"/>
          <w:lang w:val="es-ES"/>
        </w:rPr>
        <w:footnoteReference w:id="72"/>
      </w:r>
      <w:r w:rsidR="00112E38" w:rsidRPr="00E56A6E">
        <w:rPr>
          <w:lang w:val="es-ES"/>
        </w:rPr>
        <w:t xml:space="preserve"> </w:t>
      </w:r>
      <w:r w:rsidRPr="00E56A6E">
        <w:rPr>
          <w:lang w:val="es-ES"/>
        </w:rPr>
        <w:t xml:space="preserve">podría respaldar la ejecución de actividades de creación de capacidad a escala nacional, regional y mundial, mientras que el apoyo y la mejora de la capacidad de las instituciones que ya trabajan en el acceso y la participación en los beneficios podrían ayudar a ampliar las opciones de aplicación, </w:t>
      </w:r>
      <w:r w:rsidRPr="00E56A6E">
        <w:rPr>
          <w:lang w:val="es-ES"/>
        </w:rPr>
        <w:lastRenderedPageBreak/>
        <w:t>reforzar la sostenibilidad institucional y mejorar el alcance y la eficacia del apoyo a la creación de capacidad.</w:t>
      </w:r>
    </w:p>
    <w:p w14:paraId="3613590E" w14:textId="6B5E64F9" w:rsidR="009064A1" w:rsidRPr="00E56A6E" w:rsidRDefault="009064A1" w:rsidP="009064A1">
      <w:pPr>
        <w:pStyle w:val="CBDNormalNumber"/>
        <w:rPr>
          <w:lang w:val="es-ES"/>
        </w:rPr>
      </w:pPr>
      <w:r w:rsidRPr="00E56A6E">
        <w:rPr>
          <w:lang w:val="es-ES"/>
        </w:rPr>
        <w:t xml:space="preserve">Con el fin de respaldar la sostenibilidad de las iniciativas de creación de capacidad, se podría hacer mayor hincapié en el fortalecimiento de las capacidades nacionales relacionadas con la recaudación de fondos, la elaboración de proyectos, la planificación financiera y la movilización de recursos. La mejora de esas capacidades puede ayudar a las Partes a acceder, gestionar y mantener mejor el apoyo financiero destinado a la creación de capacidad en materia de acceso y participación en los beneficios a lo largo del tiempo, </w:t>
      </w:r>
      <w:r w:rsidR="007A5ABF" w:rsidRPr="00E56A6E">
        <w:rPr>
          <w:lang w:val="es-ES"/>
        </w:rPr>
        <w:t xml:space="preserve">mientras </w:t>
      </w:r>
      <w:r w:rsidRPr="00E56A6E">
        <w:rPr>
          <w:lang w:val="es-ES"/>
        </w:rPr>
        <w:t>que se reduce la dependencia de la ayuda externa a corto plazo y específica para cada proyecto.</w:t>
      </w:r>
    </w:p>
    <w:p w14:paraId="4A52FF27" w14:textId="4BB07000" w:rsidR="009064A1" w:rsidRPr="00E56A6E" w:rsidRDefault="009064A1" w:rsidP="009064A1">
      <w:pPr>
        <w:pStyle w:val="CBDNormalNumber"/>
        <w:rPr>
          <w:lang w:val="es-ES"/>
        </w:rPr>
      </w:pPr>
      <w:r w:rsidRPr="00E56A6E">
        <w:rPr>
          <w:lang w:val="es-ES"/>
        </w:rPr>
        <w:t xml:space="preserve">En consonancia con el llamamiento del </w:t>
      </w:r>
      <w:r w:rsidR="00B007EB" w:rsidRPr="00E56A6E">
        <w:rPr>
          <w:lang w:val="es-ES"/>
        </w:rPr>
        <w:t>estudio preliminar</w:t>
      </w:r>
      <w:r w:rsidRPr="00E56A6E">
        <w:rPr>
          <w:lang w:val="es-ES"/>
        </w:rPr>
        <w:t xml:space="preserve"> a cambiar el discurso en torno al acceso y la participación en los beneficios, </w:t>
      </w:r>
      <w:r w:rsidR="007A5ABF" w:rsidRPr="00E56A6E">
        <w:rPr>
          <w:lang w:val="es-ES"/>
        </w:rPr>
        <w:t xml:space="preserve">la creación de capacidad </w:t>
      </w:r>
      <w:r w:rsidRPr="00E56A6E">
        <w:rPr>
          <w:lang w:val="es-ES"/>
        </w:rPr>
        <w:t xml:space="preserve">en el marco del Protocolo de Nagoya podría integrarse cada vez más en agendas más amplias de diversidad </w:t>
      </w:r>
      <w:r w:rsidR="007A5ABF" w:rsidRPr="00E56A6E">
        <w:rPr>
          <w:lang w:val="es-ES"/>
        </w:rPr>
        <w:t xml:space="preserve">biológica </w:t>
      </w:r>
      <w:r w:rsidRPr="00E56A6E">
        <w:rPr>
          <w:lang w:val="es-ES"/>
        </w:rPr>
        <w:t>y desarrollo sostenible. La integración de</w:t>
      </w:r>
      <w:r w:rsidR="007A5ABF" w:rsidRPr="00E56A6E">
        <w:rPr>
          <w:lang w:val="es-ES"/>
        </w:rPr>
        <w:t xml:space="preserve"> la creación de </w:t>
      </w:r>
      <w:r w:rsidRPr="00E56A6E">
        <w:rPr>
          <w:lang w:val="es-ES"/>
        </w:rPr>
        <w:t>capacidad</w:t>
      </w:r>
      <w:r w:rsidR="007A5ABF" w:rsidRPr="00E56A6E">
        <w:rPr>
          <w:lang w:val="es-ES"/>
        </w:rPr>
        <w:t xml:space="preserve"> </w:t>
      </w:r>
      <w:r w:rsidRPr="00E56A6E">
        <w:rPr>
          <w:lang w:val="es-ES"/>
        </w:rPr>
        <w:t xml:space="preserve">en materia de acceso y participación en los beneficios en procesos más amplios de planificación, financiación y aplicación de la biodiversidad puede contribuir a aumentar su visibilidad, reforzar el apoyo político y potenciar su contribución a objetivos más amplios de </w:t>
      </w:r>
      <w:r w:rsidR="007A5ABF" w:rsidRPr="00E56A6E">
        <w:rPr>
          <w:lang w:val="es-ES"/>
        </w:rPr>
        <w:t xml:space="preserve">la </w:t>
      </w:r>
      <w:r w:rsidRPr="00E56A6E">
        <w:rPr>
          <w:lang w:val="es-ES"/>
        </w:rPr>
        <w:t>diversidad</w:t>
      </w:r>
      <w:r w:rsidR="007A5ABF" w:rsidRPr="00E56A6E">
        <w:rPr>
          <w:lang w:val="es-ES"/>
        </w:rPr>
        <w:t xml:space="preserve"> biológica</w:t>
      </w:r>
      <w:r w:rsidRPr="00E56A6E">
        <w:rPr>
          <w:lang w:val="es-ES"/>
        </w:rPr>
        <w:t>.</w:t>
      </w:r>
    </w:p>
    <w:p w14:paraId="4E55FE2E" w14:textId="6A5A74D2" w:rsidR="0056552E" w:rsidRPr="00E56A6E" w:rsidRDefault="004D631D" w:rsidP="004D631D">
      <w:pPr>
        <w:pStyle w:val="CBDH3"/>
        <w:rPr>
          <w:lang w:val="es-ES"/>
        </w:rPr>
      </w:pPr>
      <w:r w:rsidRPr="00E56A6E">
        <w:rPr>
          <w:lang w:val="es-ES"/>
        </w:rPr>
        <w:t>2.</w:t>
      </w:r>
      <w:r w:rsidRPr="00E56A6E">
        <w:rPr>
          <w:lang w:val="es-ES"/>
        </w:rPr>
        <w:tab/>
      </w:r>
      <w:r w:rsidR="007F02F7" w:rsidRPr="00E56A6E">
        <w:rPr>
          <w:lang w:val="es-ES"/>
        </w:rPr>
        <w:t>Recursos financieros (artículo 25) y movilización de recursos</w:t>
      </w:r>
      <w:r w:rsidR="007F02F7" w:rsidRPr="00E56A6E">
        <w:rPr>
          <w:rStyle w:val="FootnoteReference"/>
          <w:lang w:val="es-ES"/>
        </w:rPr>
        <w:footnoteReference w:id="73"/>
      </w:r>
    </w:p>
    <w:p w14:paraId="60CC3FB8" w14:textId="21934BFA" w:rsidR="002B5CDF" w:rsidRPr="00E56A6E" w:rsidRDefault="004D631D" w:rsidP="004D631D">
      <w:pPr>
        <w:pStyle w:val="CBDH4"/>
        <w:rPr>
          <w:lang w:val="es-ES"/>
        </w:rPr>
      </w:pPr>
      <w:r w:rsidRPr="00E56A6E">
        <w:rPr>
          <w:lang w:val="es-ES"/>
        </w:rPr>
        <w:t>a)</w:t>
      </w:r>
      <w:r w:rsidRPr="00E56A6E">
        <w:rPr>
          <w:lang w:val="es-ES"/>
        </w:rPr>
        <w:tab/>
      </w:r>
      <w:r w:rsidR="007F02F7" w:rsidRPr="00E56A6E">
        <w:rPr>
          <w:lang w:val="es-ES"/>
        </w:rPr>
        <w:t>Avances en la aplicación y datos actualizados sobre los indicadores</w:t>
      </w:r>
    </w:p>
    <w:p w14:paraId="019AF70D" w14:textId="0BF71785" w:rsidR="00F60433" w:rsidRPr="00E56A6E" w:rsidRDefault="00F60433" w:rsidP="00F60433">
      <w:pPr>
        <w:pStyle w:val="CBDNormalNumber"/>
        <w:rPr>
          <w:lang w:val="es-ES"/>
        </w:rPr>
      </w:pPr>
      <w:r w:rsidRPr="00E56A6E">
        <w:rPr>
          <w:lang w:val="es-ES"/>
        </w:rPr>
        <w:t xml:space="preserve">Como se muestra en el cuadro 10 que figura a continuación, se han logrado avances </w:t>
      </w:r>
      <w:r w:rsidR="003221C7" w:rsidRPr="00E56A6E">
        <w:rPr>
          <w:lang w:val="es-ES"/>
        </w:rPr>
        <w:t xml:space="preserve">importantes </w:t>
      </w:r>
      <w:r w:rsidRPr="00E56A6E">
        <w:rPr>
          <w:lang w:val="es-ES"/>
        </w:rPr>
        <w:t>en la movilización de recursos financieros. Una proporción cada vez mayor de Partes informa de que ha accedido a recursos financieros para la aplicación</w:t>
      </w:r>
      <w:r w:rsidR="003221C7" w:rsidRPr="00E56A6E">
        <w:rPr>
          <w:lang w:val="es-ES"/>
        </w:rPr>
        <w:t>,</w:t>
      </w:r>
      <w:r w:rsidRPr="00E56A6E">
        <w:rPr>
          <w:lang w:val="es-ES"/>
        </w:rPr>
        <w:t xml:space="preserve"> y un número creciente ha establecido mecanismos para la asignación de recursos presupuestarios nacionales. </w:t>
      </w:r>
    </w:p>
    <w:p w14:paraId="31045237" w14:textId="7549E537" w:rsidR="00F60433" w:rsidRPr="00E56A6E" w:rsidRDefault="00F60433" w:rsidP="00F60433">
      <w:pPr>
        <w:pStyle w:val="CBDNormalNumber"/>
        <w:rPr>
          <w:lang w:val="es-ES"/>
        </w:rPr>
      </w:pPr>
      <w:r w:rsidRPr="00E56A6E">
        <w:rPr>
          <w:lang w:val="es-ES"/>
        </w:rPr>
        <w:t xml:space="preserve">La financiación pública internacional, principalmente a través del FMAM, sigue representando la principal fuente de financiación para la aplicación de las disposiciones sobre acceso y participación en los beneficios. Esto se ha complementado con un número limitado de donantes bilaterales, en particular a través de organismos de cooperación para el desarrollo (siendo la Agencia Alemana de Cooperación Internacional/Ministerio Federal de Cooperación Económica y Desarrollo el segundo donante más común). Aparte de estas fuentes, los mecanismos de financiación alternativos e innovadores siguen </w:t>
      </w:r>
      <w:r w:rsidR="003221C7" w:rsidRPr="00E56A6E">
        <w:rPr>
          <w:lang w:val="es-ES"/>
        </w:rPr>
        <w:t>siendo</w:t>
      </w:r>
      <w:r w:rsidR="00974DD3" w:rsidRPr="00E56A6E">
        <w:rPr>
          <w:lang w:val="es-ES"/>
        </w:rPr>
        <w:t xml:space="preserve"> de alcance</w:t>
      </w:r>
      <w:r w:rsidR="003221C7" w:rsidRPr="00E56A6E">
        <w:rPr>
          <w:lang w:val="es-ES"/>
        </w:rPr>
        <w:t xml:space="preserve"> limitado</w:t>
      </w:r>
      <w:r w:rsidRPr="00E56A6E">
        <w:rPr>
          <w:lang w:val="es-ES"/>
        </w:rPr>
        <w:t>.</w:t>
      </w:r>
    </w:p>
    <w:p w14:paraId="0DD2CD12" w14:textId="3A120733" w:rsidR="00F60433" w:rsidRPr="00E56A6E" w:rsidRDefault="00F60433" w:rsidP="00F60433">
      <w:pPr>
        <w:pStyle w:val="CBDNormalNumber"/>
        <w:rPr>
          <w:lang w:val="es-ES"/>
        </w:rPr>
      </w:pPr>
      <w:r w:rsidRPr="00E56A6E">
        <w:rPr>
          <w:lang w:val="es-ES"/>
        </w:rPr>
        <w:t xml:space="preserve">En lo que respecta a los recursos humanos, </w:t>
      </w:r>
      <w:r w:rsidR="008E55AF" w:rsidRPr="00E56A6E">
        <w:rPr>
          <w:lang w:val="es-ES"/>
        </w:rPr>
        <w:t xml:space="preserve">según </w:t>
      </w:r>
      <w:r w:rsidRPr="00E56A6E">
        <w:rPr>
          <w:lang w:val="es-ES"/>
        </w:rPr>
        <w:t>los informes nacionales hay un</w:t>
      </w:r>
      <w:r w:rsidR="008E55AF" w:rsidRPr="00E56A6E">
        <w:rPr>
          <w:lang w:val="es-ES"/>
        </w:rPr>
        <w:t xml:space="preserve"> promedio </w:t>
      </w:r>
      <w:r w:rsidRPr="00E56A6E">
        <w:rPr>
          <w:lang w:val="es-ES"/>
        </w:rPr>
        <w:t xml:space="preserve">de </w:t>
      </w:r>
      <w:r w:rsidR="008E55AF" w:rsidRPr="00E56A6E">
        <w:rPr>
          <w:lang w:val="es-ES"/>
        </w:rPr>
        <w:t xml:space="preserve">alrededor de </w:t>
      </w:r>
      <w:r w:rsidRPr="00E56A6E">
        <w:rPr>
          <w:lang w:val="es-ES"/>
        </w:rPr>
        <w:t xml:space="preserve">cuatro </w:t>
      </w:r>
      <w:r w:rsidR="008E55AF" w:rsidRPr="00E56A6E">
        <w:rPr>
          <w:lang w:val="es-ES"/>
        </w:rPr>
        <w:t xml:space="preserve">funcionarios </w:t>
      </w:r>
      <w:r w:rsidRPr="00E56A6E">
        <w:rPr>
          <w:lang w:val="es-ES"/>
        </w:rPr>
        <w:t>dedicados a la aplicación de las disposiciones sobre acceso y participación en los beneficios. En muchos casos, estas funciones se desempeñan a tiempo parcial o se combinan con responsabilidades derivadas de otros instrumentos relacionados con la diversidad</w:t>
      </w:r>
      <w:r w:rsidR="008E55AF" w:rsidRPr="00E56A6E">
        <w:rPr>
          <w:lang w:val="es-ES"/>
        </w:rPr>
        <w:t xml:space="preserve"> biológica</w:t>
      </w:r>
      <w:r w:rsidRPr="00E56A6E">
        <w:rPr>
          <w:lang w:val="es-ES"/>
        </w:rPr>
        <w:t xml:space="preserve">. La elevada rotación del personal, la dependencia de puestos vinculados a proyectos y la escasa memoria institucional siguen </w:t>
      </w:r>
      <w:r w:rsidR="008E55AF" w:rsidRPr="00E56A6E">
        <w:rPr>
          <w:lang w:val="es-ES"/>
        </w:rPr>
        <w:t xml:space="preserve">mermando </w:t>
      </w:r>
      <w:r w:rsidRPr="00E56A6E">
        <w:rPr>
          <w:lang w:val="es-ES"/>
        </w:rPr>
        <w:t>la continuidad y la eficacia, en particular en las funciones administrativas, de seguimiento y relacionadas con el cumplimiento.</w:t>
      </w:r>
    </w:p>
    <w:p w14:paraId="671A938A" w14:textId="3C758D2F" w:rsidR="00F60433" w:rsidRPr="00E56A6E" w:rsidRDefault="00F60433" w:rsidP="00F60433">
      <w:pPr>
        <w:pStyle w:val="CBDNormalNumber"/>
        <w:rPr>
          <w:lang w:val="es-ES"/>
        </w:rPr>
      </w:pPr>
      <w:r w:rsidRPr="00E56A6E">
        <w:rPr>
          <w:lang w:val="es-ES"/>
        </w:rPr>
        <w:t>Los informes nacionales indican de manera sistemática que la combinación de recursos públicos nacionales con financiación internacional basada en proyectos ha sido uno de los enfoques más eficaces para sostener la aplicación de las disposiciones sobre acceso y participación en los beneficios. Cuando las Partes han establecido marcos jurídicos e institucionales claros, se encuentran en mejores condiciones para movilizar recursos financieros y, en algunos casos, facilitar una participación limitada del sector privado mediante acuerdos de participación en los beneficios.</w:t>
      </w:r>
    </w:p>
    <w:p w14:paraId="754BFF2B" w14:textId="78439FE4" w:rsidR="007B2917" w:rsidRPr="00E56A6E" w:rsidRDefault="00653A73" w:rsidP="004D631D">
      <w:pPr>
        <w:pStyle w:val="CBDTableTitle"/>
        <w:rPr>
          <w:lang w:val="es-ES"/>
        </w:rPr>
      </w:pPr>
      <w:r w:rsidRPr="00E56A6E">
        <w:rPr>
          <w:b w:val="0"/>
          <w:bCs/>
          <w:lang w:val="es-ES"/>
        </w:rPr>
        <w:lastRenderedPageBreak/>
        <w:t>Cuadro</w:t>
      </w:r>
      <w:r w:rsidR="007B2917" w:rsidRPr="00E56A6E">
        <w:rPr>
          <w:b w:val="0"/>
          <w:bCs/>
          <w:lang w:val="es-ES"/>
        </w:rPr>
        <w:t xml:space="preserve"> 10</w:t>
      </w:r>
      <w:r w:rsidR="007B2917" w:rsidRPr="00E56A6E">
        <w:rPr>
          <w:lang w:val="es-ES"/>
        </w:rPr>
        <w:t xml:space="preserve"> </w:t>
      </w:r>
      <w:r w:rsidR="004D631D" w:rsidRPr="00E56A6E">
        <w:rPr>
          <w:lang w:val="es-ES"/>
        </w:rPr>
        <w:br/>
      </w:r>
      <w:r w:rsidR="00495683" w:rsidRPr="00E56A6E">
        <w:rPr>
          <w:lang w:val="es-ES"/>
        </w:rPr>
        <w:t>Indicadores para medir los avances de las Partes en la movilización de recursos financieros</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B2917" w:rsidRPr="005A210D" w14:paraId="2405DA76"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88F919" w14:textId="79E7A1BD" w:rsidR="007B2917" w:rsidRPr="00E56A6E" w:rsidRDefault="00EE1C1B"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C92440" w14:textId="36054F7E" w:rsidR="007B2917"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Punto de referencia</w:t>
            </w:r>
            <w:r w:rsidR="007B2917" w:rsidRPr="00E56A6E">
              <w:rPr>
                <w:rFonts w:asciiTheme="majorBidi" w:hAnsiTheme="majorBidi" w:cstheme="majorBidi"/>
                <w:i/>
                <w:iCs/>
                <w:kern w:val="22"/>
                <w:sz w:val="20"/>
                <w:szCs w:val="20"/>
                <w:lang w:val="es-ES"/>
              </w:rPr>
              <w:t xml:space="preserve"> (</w:t>
            </w:r>
            <w:r w:rsidRPr="00E56A6E">
              <w:rPr>
                <w:rFonts w:asciiTheme="majorBidi" w:hAnsiTheme="majorBidi" w:cstheme="majorBidi"/>
                <w:i/>
                <w:iCs/>
                <w:kern w:val="22"/>
                <w:sz w:val="20"/>
                <w:szCs w:val="20"/>
                <w:lang w:val="es-ES"/>
              </w:rPr>
              <w:t>al 22 de febrero de 2018</w:t>
            </w:r>
            <w:r w:rsidR="007B2917" w:rsidRPr="00E56A6E">
              <w:rPr>
                <w:rFonts w:asciiTheme="majorBidi" w:hAnsiTheme="majorBidi" w:cstheme="majorBidi"/>
                <w:i/>
                <w:iCs/>
                <w:kern w:val="22"/>
                <w:sz w:val="20"/>
                <w:szCs w:val="20"/>
                <w:lang w:val="es-ES"/>
              </w:rPr>
              <w:t>)</w:t>
            </w:r>
          </w:p>
        </w:tc>
        <w:tc>
          <w:tcPr>
            <w:tcW w:w="1506" w:type="dxa"/>
            <w:tcBorders>
              <w:top w:val="single" w:sz="4" w:space="0" w:color="auto"/>
              <w:left w:val="single" w:sz="4" w:space="0" w:color="auto"/>
              <w:bottom w:val="single" w:sz="4" w:space="0" w:color="auto"/>
              <w:right w:val="single" w:sz="4" w:space="0" w:color="auto"/>
            </w:tcBorders>
            <w:vAlign w:val="bottom"/>
          </w:tcPr>
          <w:p w14:paraId="738081F0" w14:textId="09F814D9" w:rsidR="007B2917"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Avances al 9 de marzo de 2026</w:t>
            </w:r>
          </w:p>
        </w:tc>
      </w:tr>
      <w:tr w:rsidR="002620DB" w:rsidRPr="00E56A6E" w14:paraId="18EF153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F9AA787" w14:textId="3AB49335" w:rsidR="002620DB" w:rsidRPr="00E56A6E" w:rsidRDefault="002620DB" w:rsidP="002620DB">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Número y porcentaje de Partes que han puesto recursos financieros a disposición de otras Partes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B19A489" w14:textId="189EC0E1" w:rsidR="002620DB" w:rsidRPr="00E56A6E" w:rsidRDefault="002620DB" w:rsidP="002620DB">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13 (12 %)</w:t>
            </w:r>
          </w:p>
        </w:tc>
        <w:tc>
          <w:tcPr>
            <w:tcW w:w="1506" w:type="dxa"/>
            <w:vAlign w:val="bottom"/>
          </w:tcPr>
          <w:p w14:paraId="61C9E1FA" w14:textId="2738AEA7" w:rsidR="002620DB" w:rsidRPr="00E56A6E" w:rsidRDefault="002620DB" w:rsidP="002620DB">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13 (9 %)</w:t>
            </w:r>
          </w:p>
        </w:tc>
      </w:tr>
      <w:tr w:rsidR="002620DB" w:rsidRPr="00E56A6E" w14:paraId="29126CF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70E3102" w14:textId="6A73BA83" w:rsidR="002620DB" w:rsidRPr="00E56A6E" w:rsidRDefault="002620DB" w:rsidP="002620DB">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han recibido recursos financieros de otras Partes o de instituciones financieras con el fin de aplicar el Protocolo, </w:t>
            </w:r>
            <w:r w:rsidR="00770CE7" w:rsidRPr="00E56A6E">
              <w:rPr>
                <w:sz w:val="20"/>
                <w:szCs w:val="20"/>
                <w:lang w:val="es-ES"/>
              </w:rPr>
              <w:t>tal como</w:t>
            </w:r>
            <w:r w:rsidRPr="00E56A6E">
              <w:rPr>
                <w:sz w:val="20"/>
                <w:szCs w:val="20"/>
                <w:lang w:val="es-ES"/>
              </w:rPr>
              <w:t xml:space="preserve"> se establece en el artículo 25</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67AD285" w14:textId="0D080BAE" w:rsidR="002620DB" w:rsidRPr="00E56A6E" w:rsidRDefault="002620DB" w:rsidP="002620DB">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35 (33 %)</w:t>
            </w:r>
          </w:p>
        </w:tc>
        <w:tc>
          <w:tcPr>
            <w:tcW w:w="1506" w:type="dxa"/>
            <w:vAlign w:val="bottom"/>
          </w:tcPr>
          <w:p w14:paraId="10EB2C62" w14:textId="17F45AED" w:rsidR="002620DB" w:rsidRPr="00E56A6E" w:rsidRDefault="002620DB" w:rsidP="002620DB">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59 (61 %)</w:t>
            </w:r>
          </w:p>
        </w:tc>
      </w:tr>
      <w:tr w:rsidR="002620DB" w:rsidRPr="00E56A6E" w14:paraId="23509D4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2EA1C03" w14:textId="5F684A58" w:rsidR="002620DB" w:rsidRPr="00E56A6E" w:rsidRDefault="002620DB" w:rsidP="002620DB">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Número y porcentaje de Partes que han establecido un mecanismo de asignación presupuestaria de fondos para la aplicación del Protocolo de Nagoya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A417D5A" w14:textId="002BB1EC" w:rsidR="002620DB" w:rsidRPr="00E56A6E" w:rsidRDefault="002620DB" w:rsidP="002620DB">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24 (23 %)</w:t>
            </w:r>
          </w:p>
        </w:tc>
        <w:tc>
          <w:tcPr>
            <w:tcW w:w="1506" w:type="dxa"/>
            <w:vAlign w:val="bottom"/>
          </w:tcPr>
          <w:p w14:paraId="2D72AC81" w14:textId="106B1689" w:rsidR="002620DB" w:rsidRPr="00E56A6E" w:rsidRDefault="002620DB" w:rsidP="002620DB">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44 (31 %)</w:t>
            </w:r>
          </w:p>
        </w:tc>
      </w:tr>
      <w:tr w:rsidR="002620DB" w:rsidRPr="00E56A6E" w14:paraId="57E7809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6AF0436" w14:textId="34F84DF3" w:rsidR="002620DB" w:rsidRPr="00E56A6E" w:rsidRDefault="002620DB" w:rsidP="002620DB">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w:t>
            </w:r>
            <w:r w:rsidR="0065716B" w:rsidRPr="00E56A6E">
              <w:rPr>
                <w:sz w:val="20"/>
                <w:szCs w:val="20"/>
                <w:lang w:val="es-ES"/>
              </w:rPr>
              <w:t>prom</w:t>
            </w:r>
            <w:r w:rsidRPr="00E56A6E">
              <w:rPr>
                <w:sz w:val="20"/>
                <w:szCs w:val="20"/>
                <w:lang w:val="es-ES"/>
              </w:rPr>
              <w:t>edio de personal a tiempo completo dedicado a funciones directamente relacionadas con la aplicación del Protocolo de Nagoya en cada Parte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3416DC5" w14:textId="3E8E840F" w:rsidR="002620DB" w:rsidRPr="00E56A6E" w:rsidRDefault="00383127" w:rsidP="002620DB">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06" w:type="dxa"/>
            <w:vAlign w:val="bottom"/>
          </w:tcPr>
          <w:p w14:paraId="601D1CD2" w14:textId="77777777" w:rsidR="002620DB" w:rsidRPr="00E56A6E" w:rsidRDefault="002620DB" w:rsidP="002620DB">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w:t>
            </w:r>
          </w:p>
        </w:tc>
      </w:tr>
    </w:tbl>
    <w:p w14:paraId="4D26675D" w14:textId="3F514F17" w:rsidR="002B5CDF" w:rsidRPr="00E56A6E" w:rsidRDefault="004D631D" w:rsidP="004D631D">
      <w:pPr>
        <w:pStyle w:val="CBDH4"/>
        <w:rPr>
          <w:rFonts w:eastAsia="Aptos"/>
          <w:kern w:val="2"/>
          <w:sz w:val="24"/>
          <w:lang w:val="es-ES"/>
          <w14:ligatures w14:val="standardContextual"/>
        </w:rPr>
      </w:pPr>
      <w:r w:rsidRPr="00E56A6E">
        <w:rPr>
          <w:lang w:val="es-ES"/>
        </w:rPr>
        <w:t>b)</w:t>
      </w:r>
      <w:r w:rsidRPr="00E56A6E">
        <w:rPr>
          <w:lang w:val="es-ES"/>
        </w:rPr>
        <w:tab/>
      </w:r>
      <w:r w:rsidR="00A05194" w:rsidRPr="00E56A6E">
        <w:rPr>
          <w:lang w:val="es-ES"/>
        </w:rPr>
        <w:t>Dificultades en la aplicación y causas subyacentes</w:t>
      </w:r>
    </w:p>
    <w:p w14:paraId="34C7FCD9" w14:textId="2AB5D5E6" w:rsidR="002620DB" w:rsidRPr="00E56A6E" w:rsidRDefault="002620DB" w:rsidP="002620DB">
      <w:pPr>
        <w:pStyle w:val="CBDNormalNumber"/>
        <w:rPr>
          <w:lang w:val="es-ES"/>
        </w:rPr>
      </w:pPr>
      <w:r w:rsidRPr="00E56A6E">
        <w:rPr>
          <w:lang w:val="es-ES"/>
        </w:rPr>
        <w:t>La disponibilidad de recursos financieros suficientes, previsibles y sostenibles sigue siendo un factor determinante para la aplicación efectiva del Protocolo de Nagoya. Toda la información disponible</w:t>
      </w:r>
      <w:r w:rsidR="0065716B" w:rsidRPr="00E56A6E">
        <w:rPr>
          <w:lang w:val="es-ES"/>
        </w:rPr>
        <w:t xml:space="preserve"> señala </w:t>
      </w:r>
      <w:r w:rsidRPr="00E56A6E">
        <w:rPr>
          <w:lang w:val="es-ES"/>
        </w:rPr>
        <w:t xml:space="preserve">que, si bien se han logrado avances cuantificables en la movilización de apoyo para el acceso y la participación en los beneficios, persisten </w:t>
      </w:r>
      <w:r w:rsidR="0065716B" w:rsidRPr="00E56A6E">
        <w:rPr>
          <w:lang w:val="es-ES"/>
        </w:rPr>
        <w:t xml:space="preserve">dificultades </w:t>
      </w:r>
      <w:r w:rsidRPr="00E56A6E">
        <w:rPr>
          <w:lang w:val="es-ES"/>
        </w:rPr>
        <w:t>estructurales que siguen limitando la aplicación y el cumplimiento a largo plazo. Entre es</w:t>
      </w:r>
      <w:r w:rsidR="0065716B" w:rsidRPr="00E56A6E">
        <w:rPr>
          <w:lang w:val="es-ES"/>
        </w:rPr>
        <w:t>tas dificultades</w:t>
      </w:r>
      <w:r w:rsidRPr="00E56A6E">
        <w:rPr>
          <w:lang w:val="es-ES"/>
        </w:rPr>
        <w:t xml:space="preserve"> figuran:</w:t>
      </w:r>
    </w:p>
    <w:p w14:paraId="43683B5A" w14:textId="77777777" w:rsidR="00153AA0" w:rsidRPr="00E56A6E" w:rsidRDefault="006D3462" w:rsidP="00320511">
      <w:pPr>
        <w:pStyle w:val="CBDNormalNumber"/>
        <w:numPr>
          <w:ilvl w:val="1"/>
          <w:numId w:val="7"/>
        </w:numPr>
        <w:ind w:left="567" w:firstLine="567"/>
        <w:rPr>
          <w:lang w:val="es-ES"/>
        </w:rPr>
      </w:pPr>
      <w:r w:rsidRPr="00E56A6E">
        <w:rPr>
          <w:lang w:val="es-ES"/>
        </w:rPr>
        <w:t>La escasa prioridad que se concede al acceso y la participación en los beneficios en los marcos presupuestarios nacionales y las agendas de financiación internacional;</w:t>
      </w:r>
    </w:p>
    <w:p w14:paraId="07590F28" w14:textId="62D1E298" w:rsidR="00153AA0" w:rsidRPr="00E56A6E" w:rsidRDefault="006D3462" w:rsidP="00320511">
      <w:pPr>
        <w:pStyle w:val="CBDNormalNumber"/>
        <w:numPr>
          <w:ilvl w:val="1"/>
          <w:numId w:val="7"/>
        </w:numPr>
        <w:ind w:left="567" w:firstLine="567"/>
        <w:rPr>
          <w:lang w:val="es-ES"/>
        </w:rPr>
      </w:pPr>
      <w:r w:rsidRPr="00E56A6E">
        <w:rPr>
          <w:lang w:val="es-ES"/>
        </w:rPr>
        <w:t>Restricciones crónicas de las finanzas públicas y competencia con prioridades más amplias en materia de diversidad</w:t>
      </w:r>
      <w:r w:rsidR="0065716B" w:rsidRPr="00E56A6E">
        <w:rPr>
          <w:lang w:val="es-ES"/>
        </w:rPr>
        <w:t xml:space="preserve"> biológica</w:t>
      </w:r>
      <w:r w:rsidRPr="00E56A6E">
        <w:rPr>
          <w:lang w:val="es-ES"/>
        </w:rPr>
        <w:t>, clima y desarrollo;</w:t>
      </w:r>
    </w:p>
    <w:p w14:paraId="5FDF50DD" w14:textId="77777777" w:rsidR="00153AA0" w:rsidRPr="00E56A6E" w:rsidRDefault="006D3462" w:rsidP="00320511">
      <w:pPr>
        <w:pStyle w:val="CBDNormalNumber"/>
        <w:numPr>
          <w:ilvl w:val="1"/>
          <w:numId w:val="7"/>
        </w:numPr>
        <w:ind w:left="567" w:firstLine="567"/>
        <w:rPr>
          <w:lang w:val="es-ES"/>
        </w:rPr>
      </w:pPr>
      <w:r w:rsidRPr="00E56A6E">
        <w:rPr>
          <w:lang w:val="es-ES"/>
        </w:rPr>
        <w:t>Fuerte dependencia de proyectos a corto plazo impulsados por donantes, lo que da lugar a intervenciones fragmentadas y limitadas en el tiempo;</w:t>
      </w:r>
    </w:p>
    <w:p w14:paraId="73C0496A" w14:textId="77777777" w:rsidR="00153AA0" w:rsidRPr="00E56A6E" w:rsidRDefault="006D3462" w:rsidP="00320511">
      <w:pPr>
        <w:pStyle w:val="CBDNormalNumber"/>
        <w:numPr>
          <w:ilvl w:val="1"/>
          <w:numId w:val="7"/>
        </w:numPr>
        <w:ind w:left="567" w:firstLine="567"/>
        <w:rPr>
          <w:lang w:val="es-ES"/>
        </w:rPr>
      </w:pPr>
      <w:r w:rsidRPr="00E56A6E">
        <w:rPr>
          <w:lang w:val="es-ES"/>
        </w:rPr>
        <w:t>Capacidad técnica, científica, jurídica y de valoración limitada, lo que reduce la capacidad para desarrollar iniciativas sólidas y financiables de acceso y participación en los beneficios o para atraer inversión privada;</w:t>
      </w:r>
    </w:p>
    <w:p w14:paraId="5B51939D" w14:textId="1AF738F7" w:rsidR="00153AA0" w:rsidRPr="00E56A6E" w:rsidRDefault="006D3462" w:rsidP="00320511">
      <w:pPr>
        <w:pStyle w:val="CBDNormalNumber"/>
        <w:numPr>
          <w:ilvl w:val="1"/>
          <w:numId w:val="7"/>
        </w:numPr>
        <w:ind w:left="567" w:firstLine="567"/>
        <w:rPr>
          <w:lang w:val="es-ES"/>
        </w:rPr>
      </w:pPr>
      <w:r w:rsidRPr="00E56A6E">
        <w:rPr>
          <w:lang w:val="es-ES"/>
        </w:rPr>
        <w:t xml:space="preserve">Requisitos complejos de solicitud de financiación y presentación de informes, </w:t>
      </w:r>
      <w:r w:rsidR="0065716B" w:rsidRPr="00E56A6E">
        <w:rPr>
          <w:lang w:val="es-ES"/>
        </w:rPr>
        <w:t xml:space="preserve">aunados a </w:t>
      </w:r>
      <w:r w:rsidRPr="00E56A6E">
        <w:rPr>
          <w:lang w:val="es-ES"/>
        </w:rPr>
        <w:t>una capacidad nacional limitada para la recaudación de fondos, el diseño de proyectos y la gestión financiera;</w:t>
      </w:r>
    </w:p>
    <w:p w14:paraId="3A74C80E" w14:textId="07B65BD7" w:rsidR="006D3462" w:rsidRPr="00E56A6E" w:rsidRDefault="006D3462" w:rsidP="00320511">
      <w:pPr>
        <w:pStyle w:val="CBDNormalNumber"/>
        <w:numPr>
          <w:ilvl w:val="1"/>
          <w:numId w:val="7"/>
        </w:numPr>
        <w:ind w:left="567" w:firstLine="567"/>
        <w:rPr>
          <w:lang w:val="es-ES"/>
        </w:rPr>
      </w:pPr>
      <w:r w:rsidRPr="00E56A6E">
        <w:rPr>
          <w:lang w:val="es-ES"/>
        </w:rPr>
        <w:t xml:space="preserve">Dependencia continuada del FMAM como fuente principal de financiación internacional para el acceso y la participación en los beneficios, </w:t>
      </w:r>
      <w:r w:rsidR="0065716B" w:rsidRPr="00E56A6E">
        <w:rPr>
          <w:lang w:val="es-ES"/>
        </w:rPr>
        <w:t xml:space="preserve">aunada a </w:t>
      </w:r>
      <w:r w:rsidRPr="00E56A6E">
        <w:rPr>
          <w:lang w:val="es-ES"/>
        </w:rPr>
        <w:t xml:space="preserve">una base de donantes relativamente pequeña, en disminución y poco diversificada más allá del FMAM, lo que limita la previsibilidad, la escala y la sostenibilidad del apoyo financiero para la </w:t>
      </w:r>
      <w:r w:rsidR="000C0588" w:rsidRPr="00E56A6E">
        <w:rPr>
          <w:lang w:val="es-ES"/>
        </w:rPr>
        <w:t xml:space="preserve">aplicación </w:t>
      </w:r>
      <w:r w:rsidRPr="00E56A6E">
        <w:rPr>
          <w:lang w:val="es-ES"/>
        </w:rPr>
        <w:t>a largo plazo.</w:t>
      </w:r>
    </w:p>
    <w:p w14:paraId="2DB68653" w14:textId="5D9938AB" w:rsidR="00153AA0" w:rsidRPr="00E56A6E" w:rsidRDefault="00153AA0" w:rsidP="00153AA0">
      <w:pPr>
        <w:pStyle w:val="CBDNormalNumber"/>
        <w:rPr>
          <w:lang w:val="es-ES"/>
        </w:rPr>
      </w:pPr>
      <w:r w:rsidRPr="00E56A6E">
        <w:rPr>
          <w:lang w:val="es-ES"/>
        </w:rPr>
        <w:t>Es</w:t>
      </w:r>
      <w:r w:rsidR="00902C18" w:rsidRPr="00E56A6E">
        <w:rPr>
          <w:lang w:val="es-ES"/>
        </w:rPr>
        <w:t xml:space="preserve">tas dificultades se </w:t>
      </w:r>
      <w:r w:rsidRPr="00E56A6E">
        <w:rPr>
          <w:lang w:val="es-ES"/>
        </w:rPr>
        <w:t>ven agravad</w:t>
      </w:r>
      <w:r w:rsidR="00902C18" w:rsidRPr="00E56A6E">
        <w:rPr>
          <w:lang w:val="es-ES"/>
        </w:rPr>
        <w:t>a</w:t>
      </w:r>
      <w:r w:rsidRPr="00E56A6E">
        <w:rPr>
          <w:lang w:val="es-ES"/>
        </w:rPr>
        <w:t>s por una serie de factores estructurales, entre los que se incluyen los mandatos institucionales fragmentados, el escaso conocimiento del acceso y la participación en los beneficios entre los responsables de la toma de decisiones políticas y financieras, y el desfase temporal inherente entre los procesos normativos de acceso y participación en los beneficios y la generación de dichos beneficios. Este desajuste temporal hace que la aplicación del acceso y la participación en los beneficios esté mal alineada con los ciclos convencionales de proyectos y financiación a corto plazo, y se ve agravado por la elevada concentración de la financiación internacional en un número limitado de fuentes, en particular el FMAM, lo que da lugar a una previsibilidad, una escala y una continuidad limitadas del apoyo financiero.</w:t>
      </w:r>
    </w:p>
    <w:p w14:paraId="4E4BEE06" w14:textId="19E08EFE" w:rsidR="00153AA0" w:rsidRPr="00E56A6E" w:rsidRDefault="00153AA0" w:rsidP="00153AA0">
      <w:pPr>
        <w:pStyle w:val="CBDNormalNumber"/>
        <w:rPr>
          <w:lang w:val="es-ES"/>
        </w:rPr>
      </w:pPr>
      <w:r w:rsidRPr="00E56A6E">
        <w:rPr>
          <w:lang w:val="es-ES"/>
        </w:rPr>
        <w:lastRenderedPageBreak/>
        <w:t xml:space="preserve">La mayoría de las actividades de creación de capacidad destinadas a apoyar la aplicación del acceso y la participación en los beneficios siguen dependiendo de la financiación externa. Si bien ese apoyo ha dado lugar a resultados tangibles, su carácter temporal plantea dificultades para mantener las competencias, los mecanismos institucionales y los sistemas a lo largo del tiempo. Las iniciativas de </w:t>
      </w:r>
      <w:r w:rsidR="00902C18" w:rsidRPr="00E56A6E">
        <w:rPr>
          <w:lang w:val="es-ES"/>
        </w:rPr>
        <w:t xml:space="preserve">capacitación </w:t>
      </w:r>
      <w:r w:rsidRPr="00E56A6E">
        <w:rPr>
          <w:lang w:val="es-ES"/>
        </w:rPr>
        <w:t>puntuales resultan cada vez más insuficientes en un contexto en el que la aplicación del acceso y la participación en los beneficios exige una adaptación continua a la evolución de los avances jurídicos, científicos y tecnológicos.</w:t>
      </w:r>
    </w:p>
    <w:p w14:paraId="2DEE6572" w14:textId="2EE52DC5" w:rsidR="00153AA0" w:rsidRPr="00E56A6E" w:rsidRDefault="00153AA0" w:rsidP="00871166">
      <w:pPr>
        <w:pStyle w:val="CBDNormalNumber"/>
        <w:rPr>
          <w:lang w:val="es-ES"/>
        </w:rPr>
      </w:pPr>
      <w:r w:rsidRPr="00E56A6E">
        <w:rPr>
          <w:lang w:val="es-ES"/>
        </w:rPr>
        <w:t xml:space="preserve">Las iniciativas mundiales y regionales han demostrado ser especialmente eficaces para promover enfoques normalizados, el aprendizaje entre pares y el intercambio de experiencias. Al mismo tiempo, ha disminuido el número de proyectos específicos sobre el acceso y la participación en los beneficios aprobados en los últimos períodos de reposición del FMAM, lo que subraya la importancia de las próximas oportunidades de financiación, incluidas las del Fondo del </w:t>
      </w:r>
      <w:r w:rsidR="00902C18" w:rsidRPr="00E56A6E">
        <w:rPr>
          <w:lang w:val="es-ES"/>
        </w:rPr>
        <w:t>Marco Mundial de Biodiversidad</w:t>
      </w:r>
      <w:r w:rsidRPr="00E56A6E">
        <w:rPr>
          <w:lang w:val="es-ES"/>
        </w:rPr>
        <w:t xml:space="preserve"> y la novena reposición del Fondo Fiduciario del FMAM.</w:t>
      </w:r>
    </w:p>
    <w:p w14:paraId="6F8C58F6" w14:textId="10F50412" w:rsidR="00C11EC5" w:rsidRPr="00E56A6E" w:rsidRDefault="004D631D" w:rsidP="004D631D">
      <w:pPr>
        <w:pStyle w:val="CBDH4"/>
        <w:rPr>
          <w:lang w:val="es-ES"/>
        </w:rPr>
      </w:pPr>
      <w:r w:rsidRPr="00E56A6E">
        <w:rPr>
          <w:lang w:val="es-ES"/>
        </w:rPr>
        <w:t>c)</w:t>
      </w:r>
      <w:r w:rsidRPr="00E56A6E">
        <w:rPr>
          <w:lang w:val="es-ES"/>
        </w:rPr>
        <w:tab/>
      </w:r>
      <w:r w:rsidR="0038066F" w:rsidRPr="00E56A6E">
        <w:rPr>
          <w:lang w:val="es-ES"/>
        </w:rPr>
        <w:t>Posibles maneras</w:t>
      </w:r>
      <w:r w:rsidR="00871166" w:rsidRPr="00E56A6E">
        <w:rPr>
          <w:lang w:val="es-ES"/>
        </w:rPr>
        <w:t xml:space="preserve"> de mejorar el acceso a los recursos financieros y la movilización de recursos para la aplicación del Protocolo</w:t>
      </w:r>
    </w:p>
    <w:p w14:paraId="763DB7BF" w14:textId="03B054A4" w:rsidR="00C11EC5" w:rsidRPr="00E56A6E" w:rsidRDefault="00871166" w:rsidP="00A558F3">
      <w:pPr>
        <w:pStyle w:val="CBDNormalNumber"/>
        <w:rPr>
          <w:rFonts w:asciiTheme="majorBidi" w:hAnsiTheme="majorBidi" w:cstheme="majorBidi"/>
          <w:lang w:val="es-ES"/>
        </w:rPr>
      </w:pPr>
      <w:r w:rsidRPr="00E56A6E">
        <w:rPr>
          <w:lang w:val="es-ES"/>
        </w:rPr>
        <w:t xml:space="preserve">El resultado del análisis </w:t>
      </w:r>
      <w:r w:rsidR="00902C18" w:rsidRPr="00E56A6E">
        <w:rPr>
          <w:lang w:val="es-ES"/>
        </w:rPr>
        <w:t xml:space="preserve">señala </w:t>
      </w:r>
      <w:r w:rsidRPr="00E56A6E">
        <w:rPr>
          <w:lang w:val="es-ES"/>
        </w:rPr>
        <w:t>varias oportunidades para reforzar el acceso a los recursos financieros y mejorar la movilización de recursos en apoyo de la aplicación efectiva del Protocolo de Nagoya, entre ellas:</w:t>
      </w:r>
    </w:p>
    <w:p w14:paraId="0A5F7059" w14:textId="30CAEB05" w:rsidR="00871166" w:rsidRPr="00E56A6E" w:rsidRDefault="00871166" w:rsidP="00320511">
      <w:pPr>
        <w:pStyle w:val="CBDNormalNumber"/>
        <w:numPr>
          <w:ilvl w:val="1"/>
          <w:numId w:val="7"/>
        </w:numPr>
        <w:ind w:left="567" w:firstLine="567"/>
        <w:rPr>
          <w:lang w:val="es-ES"/>
        </w:rPr>
      </w:pPr>
      <w:r w:rsidRPr="00E56A6E">
        <w:rPr>
          <w:lang w:val="es-ES"/>
        </w:rPr>
        <w:t>Una mayor integración del acceso y la participación en los beneficios en las estrategias nacionales de financiación de la biodiversidad, en consonancia con el Marco Mundial de Biodiversidad de Kunming</w:t>
      </w:r>
      <w:r w:rsidRPr="00E56A6E">
        <w:rPr>
          <w:lang w:val="es-ES"/>
        </w:rPr>
        <w:noBreakHyphen/>
        <w:t>Montreal;</w:t>
      </w:r>
    </w:p>
    <w:p w14:paraId="1EE20359" w14:textId="40F7E5CB" w:rsidR="00871166" w:rsidRPr="00E56A6E" w:rsidRDefault="00871166" w:rsidP="00320511">
      <w:pPr>
        <w:pStyle w:val="CBDNormalNumber"/>
        <w:numPr>
          <w:ilvl w:val="1"/>
          <w:numId w:val="7"/>
        </w:numPr>
        <w:ind w:left="567" w:firstLine="567"/>
        <w:rPr>
          <w:lang w:val="es-ES"/>
        </w:rPr>
      </w:pPr>
      <w:r w:rsidRPr="00E56A6E">
        <w:rPr>
          <w:lang w:val="es-ES"/>
        </w:rPr>
        <w:t xml:space="preserve">Un mayor uso del FMAM, como mecanismo financiero del Convenio y del Protocolo, para apoyar enfoques más programáticos, a más largo plazo y catalizadores de la aplicación del acceso y la participación en los beneficios, entre otras cosas mediante un mayor apoyo a las iniciativas regionales, subregionales y mundiales, el aprovechamiento de la cofinanciación, la integración con inversiones más amplias en diversidad </w:t>
      </w:r>
      <w:r w:rsidR="008443E8" w:rsidRPr="00E56A6E">
        <w:rPr>
          <w:lang w:val="es-ES"/>
        </w:rPr>
        <w:t xml:space="preserve">biológica </w:t>
      </w:r>
      <w:r w:rsidRPr="00E56A6E">
        <w:rPr>
          <w:lang w:val="es-ES"/>
        </w:rPr>
        <w:t>y el apoyo al desarrollo de capacidades sistémicas más allá de los proyectos aislados;</w:t>
      </w:r>
    </w:p>
    <w:p w14:paraId="66086EBE" w14:textId="77777777" w:rsidR="00871166" w:rsidRPr="00E56A6E" w:rsidRDefault="00871166" w:rsidP="00320511">
      <w:pPr>
        <w:pStyle w:val="CBDNormalNumber"/>
        <w:numPr>
          <w:ilvl w:val="1"/>
          <w:numId w:val="7"/>
        </w:numPr>
        <w:ind w:left="567" w:firstLine="567"/>
        <w:rPr>
          <w:lang w:val="es-ES"/>
        </w:rPr>
      </w:pPr>
      <w:r w:rsidRPr="00E56A6E">
        <w:rPr>
          <w:lang w:val="es-ES"/>
        </w:rPr>
        <w:t>Mayor previsibilidad e institucionalización de la financiación nacional para respaldar las funciones administrativas, de seguimiento y de cumplimiento básicas;</w:t>
      </w:r>
    </w:p>
    <w:p w14:paraId="4F684B23" w14:textId="77777777" w:rsidR="00871166" w:rsidRPr="00E56A6E" w:rsidRDefault="00871166" w:rsidP="00320511">
      <w:pPr>
        <w:pStyle w:val="CBDNormalNumber"/>
        <w:numPr>
          <w:ilvl w:val="1"/>
          <w:numId w:val="7"/>
        </w:numPr>
        <w:ind w:left="567" w:firstLine="567"/>
        <w:rPr>
          <w:lang w:val="es-ES"/>
        </w:rPr>
      </w:pPr>
      <w:r w:rsidRPr="00E56A6E">
        <w:rPr>
          <w:lang w:val="es-ES"/>
        </w:rPr>
        <w:t>Inversión estratégica en sistemas digitales de concesión de permisos, infraestructura de información y herramientas de seguimiento;</w:t>
      </w:r>
    </w:p>
    <w:p w14:paraId="3E2D6D30" w14:textId="027AE855" w:rsidR="00871166" w:rsidRPr="00E56A6E" w:rsidRDefault="00871166" w:rsidP="00320511">
      <w:pPr>
        <w:pStyle w:val="CBDNormalNumber"/>
        <w:numPr>
          <w:ilvl w:val="1"/>
          <w:numId w:val="7"/>
        </w:numPr>
        <w:ind w:left="567" w:firstLine="567"/>
        <w:rPr>
          <w:lang w:val="es-ES"/>
        </w:rPr>
      </w:pPr>
      <w:r w:rsidRPr="00E56A6E">
        <w:rPr>
          <w:lang w:val="es-ES"/>
        </w:rPr>
        <w:t>Intensificación de l</w:t>
      </w:r>
      <w:r w:rsidR="008443E8" w:rsidRPr="00E56A6E">
        <w:rPr>
          <w:lang w:val="es-ES"/>
        </w:rPr>
        <w:t xml:space="preserve">as gestiones </w:t>
      </w:r>
      <w:r w:rsidRPr="00E56A6E">
        <w:rPr>
          <w:lang w:val="es-ES"/>
        </w:rPr>
        <w:t>para acceder a recursos financieros, movilizarlos y utilizarlos de manera eficaz en apoyo de la aplicación del acceso y la participación en los beneficios, incluido el desarrollo de proyectos financiables y la sostenibilidad de las instituciones encargadas del acceso y la participación en los beneficios.</w:t>
      </w:r>
    </w:p>
    <w:p w14:paraId="475461A1" w14:textId="66312938" w:rsidR="003B0C0F" w:rsidRPr="00E56A6E" w:rsidRDefault="003B0C0F" w:rsidP="003B0C0F">
      <w:pPr>
        <w:pStyle w:val="CBDNormalNumber"/>
        <w:rPr>
          <w:rFonts w:asciiTheme="majorBidi" w:hAnsiTheme="majorBidi" w:cstheme="majorBidi"/>
          <w:lang w:val="es-ES"/>
        </w:rPr>
      </w:pPr>
      <w:r w:rsidRPr="00E56A6E">
        <w:rPr>
          <w:lang w:val="es-ES"/>
        </w:rPr>
        <w:t xml:space="preserve">Si bien los enfoques de financiación emergentes, incluida la financiación combinada e innovadora, se encuentran aún en una fase exploratoria para la aplicación del acceso y la participación en los beneficios, pueden cobrar cada vez más </w:t>
      </w:r>
      <w:r w:rsidR="00AB4BAB" w:rsidRPr="00E56A6E">
        <w:rPr>
          <w:lang w:val="es-ES"/>
        </w:rPr>
        <w:t xml:space="preserve">pertinencia </w:t>
      </w:r>
      <w:r w:rsidRPr="00E56A6E">
        <w:rPr>
          <w:lang w:val="es-ES"/>
        </w:rPr>
        <w:t>para actividades específicas vinculadas a la investigación, el desarrollo y la comercialización, y merecen un seguimiento y un aprendizaje continuos.</w:t>
      </w:r>
    </w:p>
    <w:p w14:paraId="58814E20" w14:textId="773C4B9C" w:rsidR="00C11EC5" w:rsidRPr="00E56A6E" w:rsidRDefault="003B0C0F" w:rsidP="003B0C0F">
      <w:pPr>
        <w:pStyle w:val="CBDNormalNumber"/>
        <w:rPr>
          <w:rFonts w:asciiTheme="majorBidi" w:hAnsiTheme="majorBidi" w:cstheme="majorBidi"/>
          <w:lang w:val="es-ES"/>
        </w:rPr>
      </w:pPr>
      <w:r w:rsidRPr="00E56A6E">
        <w:rPr>
          <w:lang w:val="es-ES"/>
        </w:rPr>
        <w:t>De cara al futuro, la mejora de la eficacia dependerá de:</w:t>
      </w:r>
    </w:p>
    <w:p w14:paraId="7E24A64A" w14:textId="77777777" w:rsidR="003B0C0F" w:rsidRPr="00E56A6E" w:rsidRDefault="003B0C0F" w:rsidP="00320511">
      <w:pPr>
        <w:pStyle w:val="CBDNormalNumber"/>
        <w:numPr>
          <w:ilvl w:val="1"/>
          <w:numId w:val="7"/>
        </w:numPr>
        <w:ind w:left="567" w:firstLine="567"/>
        <w:rPr>
          <w:lang w:val="es-ES"/>
        </w:rPr>
      </w:pPr>
      <w:r w:rsidRPr="00E56A6E">
        <w:rPr>
          <w:lang w:val="es-ES"/>
        </w:rPr>
        <w:t>La consideración del acceso y la participación en los beneficios como una prioridad de gobernanza a largo plazo y una inversión en infraestructura pública, en lugar de como una actividad normativa independiente o basada en proyectos, con el fin de fundamentar las decisiones de financiación en necesidades institucionales sostenidas y resultados a largo plazo;</w:t>
      </w:r>
    </w:p>
    <w:p w14:paraId="5B7B8AFE" w14:textId="63CEFA90" w:rsidR="003B0C0F" w:rsidRPr="00E56A6E" w:rsidRDefault="003B0C0F" w:rsidP="00320511">
      <w:pPr>
        <w:pStyle w:val="CBDNormalNumber"/>
        <w:numPr>
          <w:ilvl w:val="1"/>
          <w:numId w:val="7"/>
        </w:numPr>
        <w:ind w:left="567" w:firstLine="567"/>
        <w:rPr>
          <w:lang w:val="es-ES"/>
        </w:rPr>
      </w:pPr>
      <w:r w:rsidRPr="00E56A6E">
        <w:rPr>
          <w:lang w:val="es-ES"/>
        </w:rPr>
        <w:t xml:space="preserve">La consideración de enfoques que </w:t>
      </w:r>
      <w:r w:rsidR="00CA502D" w:rsidRPr="00E56A6E">
        <w:rPr>
          <w:lang w:val="es-ES"/>
        </w:rPr>
        <w:t xml:space="preserve">den marco a </w:t>
      </w:r>
      <w:r w:rsidRPr="00E56A6E">
        <w:rPr>
          <w:lang w:val="es-ES"/>
        </w:rPr>
        <w:t xml:space="preserve">la financiación del acceso y la participación en los beneficios como una inversión colectiva en la seguridad jurídica, la participación </w:t>
      </w:r>
      <w:r w:rsidRPr="00E56A6E">
        <w:rPr>
          <w:lang w:val="es-ES"/>
        </w:rPr>
        <w:lastRenderedPageBreak/>
        <w:t>equitativa en los beneficios y la gobernanza mundial de la diversidad</w:t>
      </w:r>
      <w:r w:rsidR="00CA502D" w:rsidRPr="00E56A6E">
        <w:rPr>
          <w:lang w:val="es-ES"/>
        </w:rPr>
        <w:t xml:space="preserve"> biológica</w:t>
      </w:r>
      <w:r w:rsidRPr="00E56A6E">
        <w:rPr>
          <w:lang w:val="es-ES"/>
        </w:rPr>
        <w:t xml:space="preserve">, al tiempo que se reconocen las funciones y capacidades diferenciadas entre las Partes y las contribuciones complementarias de los países usuarios y otros actores pertinentes a través de formas de apoyo financiero, bilateral y en especie, </w:t>
      </w:r>
      <w:r w:rsidR="00CA502D" w:rsidRPr="00E56A6E">
        <w:rPr>
          <w:lang w:val="es-ES"/>
        </w:rPr>
        <w:t xml:space="preserve">en particular </w:t>
      </w:r>
      <w:r w:rsidRPr="00E56A6E">
        <w:rPr>
          <w:lang w:val="es-ES"/>
        </w:rPr>
        <w:t>para los sistemas de cumplimiento, seguimiento y transparencia;</w:t>
      </w:r>
    </w:p>
    <w:p w14:paraId="2701007C" w14:textId="148E7077" w:rsidR="003B0C0F" w:rsidRPr="00E56A6E" w:rsidRDefault="003B0C0F" w:rsidP="00320511">
      <w:pPr>
        <w:pStyle w:val="CBDNormalNumber"/>
        <w:numPr>
          <w:ilvl w:val="1"/>
          <w:numId w:val="7"/>
        </w:numPr>
        <w:ind w:left="567" w:firstLine="567"/>
        <w:rPr>
          <w:lang w:val="es-ES"/>
        </w:rPr>
      </w:pPr>
      <w:r w:rsidRPr="00E56A6E">
        <w:rPr>
          <w:lang w:val="es-ES"/>
        </w:rPr>
        <w:t xml:space="preserve">Un cambio gradual en los enfoques de financiación, pasando de actividades </w:t>
      </w:r>
      <w:r w:rsidR="00710467" w:rsidRPr="00E56A6E">
        <w:rPr>
          <w:lang w:val="es-ES"/>
        </w:rPr>
        <w:t>esporádicas</w:t>
      </w:r>
      <w:r w:rsidRPr="00E56A6E">
        <w:rPr>
          <w:lang w:val="es-ES"/>
        </w:rPr>
        <w:t xml:space="preserve"> de creación de capacidad basadas en proyectos a un apoyo sostenido y a largo plazo para el desarrollo de sistemas, la capacidad institucional, el seguimiento y el cumplimiento, respaldado por mecanismos de financiación coordinados y programáticos, en consonancia con un enfoque de responsabilidad compartida;</w:t>
      </w:r>
    </w:p>
    <w:p w14:paraId="5A88E223" w14:textId="77777777" w:rsidR="003B0C0F" w:rsidRPr="00E56A6E" w:rsidRDefault="003B0C0F" w:rsidP="00320511">
      <w:pPr>
        <w:pStyle w:val="CBDNormalNumber"/>
        <w:numPr>
          <w:ilvl w:val="1"/>
          <w:numId w:val="7"/>
        </w:numPr>
        <w:ind w:left="567" w:firstLine="567"/>
        <w:rPr>
          <w:lang w:val="es-ES"/>
        </w:rPr>
      </w:pPr>
      <w:r w:rsidRPr="00E56A6E">
        <w:rPr>
          <w:lang w:val="es-ES"/>
        </w:rPr>
        <w:t>La capacidad de respuesta y la adecuación continuadas del mecanismo financiero, incluida su capacidad para respaldar inversiones a nivel sistémico y a largo plazo en el acceso y la participación en los beneficios como función fundamental de gobernanza, en consonancia con las necesidades de aplicación en constante evolución;</w:t>
      </w:r>
    </w:p>
    <w:p w14:paraId="492B3763" w14:textId="77777777" w:rsidR="003B0C0F" w:rsidRPr="00E56A6E" w:rsidRDefault="003B0C0F" w:rsidP="00320511">
      <w:pPr>
        <w:pStyle w:val="CBDNormalNumber"/>
        <w:numPr>
          <w:ilvl w:val="1"/>
          <w:numId w:val="7"/>
        </w:numPr>
        <w:ind w:left="567" w:firstLine="567"/>
        <w:rPr>
          <w:lang w:val="es-ES"/>
        </w:rPr>
      </w:pPr>
      <w:r w:rsidRPr="00E56A6E">
        <w:rPr>
          <w:lang w:val="es-ES"/>
        </w:rPr>
        <w:t>Mayor coherencia, coordinación y transparencia entre las fuentes de financiación internacionales, bilaterales y nacionales, incluida una mejor armonización de la ayuda financiera con las prioridades que se deriven de la evaluación y el examen;</w:t>
      </w:r>
    </w:p>
    <w:p w14:paraId="21172E63" w14:textId="6C1D020E" w:rsidR="003B0C0F" w:rsidRPr="00E56A6E" w:rsidRDefault="003B0C0F" w:rsidP="00320511">
      <w:pPr>
        <w:pStyle w:val="CBDNormalNumber"/>
        <w:numPr>
          <w:ilvl w:val="1"/>
          <w:numId w:val="7"/>
        </w:numPr>
        <w:ind w:left="567" w:firstLine="567"/>
        <w:rPr>
          <w:lang w:val="es-ES"/>
        </w:rPr>
      </w:pPr>
      <w:r w:rsidRPr="00E56A6E">
        <w:rPr>
          <w:lang w:val="es-ES"/>
        </w:rPr>
        <w:t xml:space="preserve">Fortalecimiento de la movilización de recursos nacionales y la institucionalización de la financiación del acceso y la participación en los beneficios, entre otras cosas mediante su integración en las estrategias nacionales de financiación de la diversidad </w:t>
      </w:r>
      <w:r w:rsidR="00710467" w:rsidRPr="00E56A6E">
        <w:rPr>
          <w:lang w:val="es-ES"/>
        </w:rPr>
        <w:t xml:space="preserve">biológica </w:t>
      </w:r>
      <w:r w:rsidRPr="00E56A6E">
        <w:rPr>
          <w:lang w:val="es-ES"/>
        </w:rPr>
        <w:t xml:space="preserve">y en los marcos de planificación del desarrollo, teniendo en cuenta las circunstancias y capacidades nacionales; </w:t>
      </w:r>
    </w:p>
    <w:p w14:paraId="6B09CC44" w14:textId="11F98214" w:rsidR="003B0C0F" w:rsidRPr="00E56A6E" w:rsidRDefault="003B0C0F" w:rsidP="00320511">
      <w:pPr>
        <w:pStyle w:val="CBDNormalNumber"/>
        <w:numPr>
          <w:ilvl w:val="1"/>
          <w:numId w:val="7"/>
        </w:numPr>
        <w:ind w:left="567" w:firstLine="567"/>
        <w:rPr>
          <w:lang w:val="es-ES"/>
        </w:rPr>
      </w:pPr>
      <w:r w:rsidRPr="00E56A6E">
        <w:rPr>
          <w:lang w:val="es-ES"/>
        </w:rPr>
        <w:t xml:space="preserve">Una mayor integración del apoyo financiero con los facilitadores del sistema, </w:t>
      </w:r>
      <w:r w:rsidR="00A5695E" w:rsidRPr="00E56A6E">
        <w:rPr>
          <w:lang w:val="es-ES"/>
        </w:rPr>
        <w:t xml:space="preserve">en particular </w:t>
      </w:r>
      <w:r w:rsidR="00710467" w:rsidRPr="00E56A6E">
        <w:rPr>
          <w:lang w:val="es-ES"/>
        </w:rPr>
        <w:t xml:space="preserve">la creación </w:t>
      </w:r>
      <w:r w:rsidR="00EB35AF" w:rsidRPr="00E56A6E">
        <w:rPr>
          <w:lang w:val="es-ES"/>
        </w:rPr>
        <w:t xml:space="preserve">y el desarrollo </w:t>
      </w:r>
      <w:r w:rsidR="00710467" w:rsidRPr="00E56A6E">
        <w:rPr>
          <w:lang w:val="es-ES"/>
        </w:rPr>
        <w:t xml:space="preserve">de </w:t>
      </w:r>
      <w:r w:rsidRPr="00E56A6E">
        <w:rPr>
          <w:lang w:val="es-ES"/>
        </w:rPr>
        <w:t xml:space="preserve">capacidad y el </w:t>
      </w:r>
      <w:r w:rsidR="00467E2F" w:rsidRPr="00E56A6E">
        <w:rPr>
          <w:lang w:val="es-ES"/>
        </w:rPr>
        <w:t>Centro de Intercambio de Información sobre Acceso y Participación en los Beneficios</w:t>
      </w:r>
      <w:r w:rsidRPr="00E56A6E">
        <w:rPr>
          <w:lang w:val="es-ES"/>
        </w:rPr>
        <w:t xml:space="preserve">, mediante la alineación de las inversiones en capacidad institucional, herramientas digitales y sistemas de información con las prioridades </w:t>
      </w:r>
      <w:r w:rsidR="0080483E" w:rsidRPr="00E56A6E">
        <w:rPr>
          <w:lang w:val="es-ES"/>
        </w:rPr>
        <w:t xml:space="preserve">definidas </w:t>
      </w:r>
      <w:r w:rsidRPr="00E56A6E">
        <w:rPr>
          <w:lang w:val="es-ES"/>
        </w:rPr>
        <w:t>a través de la evaluación y el examen, incluso mediante enfoques programáticos y, cuando proceda, regionales o mundiales.</w:t>
      </w:r>
    </w:p>
    <w:p w14:paraId="602E53AB" w14:textId="65474BEC" w:rsidR="003B0C0F" w:rsidRPr="00E56A6E" w:rsidRDefault="003B0C0F" w:rsidP="002B2B46">
      <w:pPr>
        <w:pStyle w:val="CBDNormalNumber"/>
        <w:rPr>
          <w:rFonts w:asciiTheme="majorBidi" w:hAnsiTheme="majorBidi" w:cstheme="majorBidi"/>
          <w:lang w:val="es-ES"/>
        </w:rPr>
      </w:pPr>
      <w:r w:rsidRPr="00E56A6E">
        <w:rPr>
          <w:lang w:val="es-ES"/>
        </w:rPr>
        <w:t xml:space="preserve">Estas conclusiones ponen de relieve la importancia de abordar los recursos financieros y la movilización de recursos no solo como una cuestión de aplicación, sino como un factor fundamental para </w:t>
      </w:r>
      <w:r w:rsidR="0080483E" w:rsidRPr="00E56A6E">
        <w:rPr>
          <w:lang w:val="es-ES"/>
        </w:rPr>
        <w:t xml:space="preserve">asegurar </w:t>
      </w:r>
      <w:r w:rsidRPr="00E56A6E">
        <w:rPr>
          <w:lang w:val="es-ES"/>
        </w:rPr>
        <w:t>la seguridad jurídica, el cumplimiento y el funcionamiento equitativo y eficaz del sistema de acceso y participación en los beneficios en el marco del Protocolo de Nagoya.</w:t>
      </w:r>
    </w:p>
    <w:p w14:paraId="68FF5CEF" w14:textId="2E32AB04" w:rsidR="006635C1" w:rsidRPr="00E56A6E" w:rsidRDefault="004D631D" w:rsidP="004D631D">
      <w:pPr>
        <w:pStyle w:val="CBDH2"/>
        <w:rPr>
          <w:lang w:val="es-ES"/>
        </w:rPr>
      </w:pPr>
      <w:bookmarkStart w:id="13" w:name="_Toc231911606"/>
      <w:r w:rsidRPr="00E56A6E">
        <w:rPr>
          <w:lang w:val="es-ES"/>
        </w:rPr>
        <w:t>D.</w:t>
      </w:r>
      <w:r w:rsidRPr="00E56A6E">
        <w:rPr>
          <w:lang w:val="es-ES"/>
        </w:rPr>
        <w:tab/>
      </w:r>
      <w:r w:rsidR="006635C1" w:rsidRPr="00E56A6E">
        <w:rPr>
          <w:lang w:val="es-ES"/>
        </w:rPr>
        <w:t>Evaluación de la eficacia del artículo 18 (grado de aplicación)</w:t>
      </w:r>
      <w:r w:rsidR="000216C6" w:rsidRPr="00E56A6E">
        <w:rPr>
          <w:rStyle w:val="FootnoteReference"/>
          <w:rFonts w:asciiTheme="majorBidi" w:hAnsiTheme="majorBidi"/>
          <w:lang w:val="es-ES"/>
        </w:rPr>
        <w:footnoteReference w:id="74"/>
      </w:r>
      <w:bookmarkEnd w:id="13"/>
    </w:p>
    <w:p w14:paraId="7B3AA7AA" w14:textId="61AFCDC4" w:rsidR="006A0817" w:rsidRPr="00E56A6E" w:rsidRDefault="004D631D" w:rsidP="004D631D">
      <w:pPr>
        <w:pStyle w:val="CBDH3"/>
        <w:rPr>
          <w:lang w:val="es-ES"/>
        </w:rPr>
      </w:pPr>
      <w:r w:rsidRPr="00E56A6E">
        <w:rPr>
          <w:lang w:val="es-ES"/>
        </w:rPr>
        <w:t>1.</w:t>
      </w:r>
      <w:r w:rsidRPr="00E56A6E">
        <w:rPr>
          <w:lang w:val="es-ES"/>
        </w:rPr>
        <w:tab/>
      </w:r>
      <w:r w:rsidR="006635C1" w:rsidRPr="00E56A6E">
        <w:rPr>
          <w:lang w:val="es-ES"/>
        </w:rPr>
        <w:t xml:space="preserve">Avances en la aplicación y datos actualizados de los indicadores </w:t>
      </w:r>
    </w:p>
    <w:p w14:paraId="68C30692" w14:textId="1CE0BE0B" w:rsidR="006635C1" w:rsidRPr="00E56A6E" w:rsidRDefault="006635C1" w:rsidP="006635C1">
      <w:pPr>
        <w:pStyle w:val="CBDNormalNumber"/>
        <w:rPr>
          <w:lang w:val="es-ES"/>
        </w:rPr>
      </w:pPr>
      <w:r w:rsidRPr="00E56A6E">
        <w:rPr>
          <w:lang w:val="es-ES"/>
        </w:rPr>
        <w:t>Como muestran los indicadores del cuadro 11 que figura a continuación, se han logrado avances satisfactorios en la aplicación del artículo 18 desde el último punto de referencia en febrero de 2018. Las conclusiones de la primera evaluación y revisión del Protocolo de Nagoya siguen siendo pertinentes para ese elemento</w:t>
      </w:r>
      <w:r w:rsidRPr="00E56A6E">
        <w:rPr>
          <w:rStyle w:val="FootnoteReference"/>
          <w:lang w:val="es-ES"/>
        </w:rPr>
        <w:footnoteReference w:id="75"/>
      </w:r>
      <w:r w:rsidRPr="00E56A6E">
        <w:rPr>
          <w:lang w:val="es-ES"/>
        </w:rPr>
        <w:t>.</w:t>
      </w:r>
    </w:p>
    <w:p w14:paraId="2CFFB4AC" w14:textId="29C55084" w:rsidR="006635C1" w:rsidRPr="00E56A6E" w:rsidRDefault="006635C1" w:rsidP="006635C1">
      <w:pPr>
        <w:pStyle w:val="CBDNormalNumber"/>
        <w:rPr>
          <w:lang w:val="es-ES"/>
        </w:rPr>
      </w:pPr>
      <w:r w:rsidRPr="00E56A6E">
        <w:rPr>
          <w:lang w:val="es-ES"/>
        </w:rPr>
        <w:t xml:space="preserve">La información facilitada por las Partes </w:t>
      </w:r>
      <w:r w:rsidR="0080483E" w:rsidRPr="00E56A6E">
        <w:rPr>
          <w:lang w:val="es-ES"/>
        </w:rPr>
        <w:t>muestra</w:t>
      </w:r>
      <w:r w:rsidRPr="00E56A6E">
        <w:rPr>
          <w:lang w:val="es-ES"/>
        </w:rPr>
        <w:t xml:space="preserve"> una falta de experiencia en materia de resolución de controversias en el ámbito del acceso y la participación en los beneficios (APB). En lo que respecta al artículo 18</w:t>
      </w:r>
      <w:r w:rsidR="00EF0453" w:rsidRPr="00E56A6E">
        <w:rPr>
          <w:lang w:val="es-ES"/>
        </w:rPr>
        <w:t> </w:t>
      </w:r>
      <w:r w:rsidRPr="00E56A6E">
        <w:rPr>
          <w:lang w:val="es-ES"/>
        </w:rPr>
        <w:t>1</w:t>
      </w:r>
      <w:r w:rsidR="00EF0453" w:rsidRPr="00E56A6E">
        <w:rPr>
          <w:lang w:val="es-ES"/>
        </w:rPr>
        <w:t>)</w:t>
      </w:r>
      <w:r w:rsidRPr="00E56A6E">
        <w:rPr>
          <w:lang w:val="es-ES"/>
        </w:rPr>
        <w:t xml:space="preserve">, las Partes señalaron que las disposiciones sobre la resolución de controversias en </w:t>
      </w:r>
      <w:r w:rsidR="00401DD0" w:rsidRPr="00E56A6E">
        <w:rPr>
          <w:lang w:val="es-ES"/>
        </w:rPr>
        <w:t>condiciones mutuamente acordadas</w:t>
      </w:r>
      <w:r w:rsidRPr="00E56A6E">
        <w:rPr>
          <w:lang w:val="es-ES"/>
        </w:rPr>
        <w:t xml:space="preserve"> podrían incluirse en las medidas </w:t>
      </w:r>
      <w:r w:rsidR="00101E18" w:rsidRPr="00E56A6E">
        <w:rPr>
          <w:lang w:val="es-ES"/>
        </w:rPr>
        <w:t>sobre</w:t>
      </w:r>
      <w:r w:rsidRPr="00E56A6E">
        <w:rPr>
          <w:lang w:val="es-ES"/>
        </w:rPr>
        <w:t xml:space="preserve"> APB, en las cláusulas contractuales</w:t>
      </w:r>
      <w:r w:rsidR="008A7FF7" w:rsidRPr="00E56A6E">
        <w:rPr>
          <w:lang w:val="es-ES"/>
        </w:rPr>
        <w:t xml:space="preserve"> modelo </w:t>
      </w:r>
      <w:r w:rsidRPr="00E56A6E">
        <w:rPr>
          <w:lang w:val="es-ES"/>
        </w:rPr>
        <w:t xml:space="preserve">o en ambas. Sin embargo, existen otras disposiciones en los </w:t>
      </w:r>
      <w:r w:rsidR="001C72F7" w:rsidRPr="00E56A6E">
        <w:rPr>
          <w:lang w:val="es-ES"/>
        </w:rPr>
        <w:t xml:space="preserve">párrafos </w:t>
      </w:r>
      <w:r w:rsidRPr="00E56A6E">
        <w:rPr>
          <w:lang w:val="es-ES"/>
        </w:rPr>
        <w:t xml:space="preserve">2 y 3 del artículo 18 que a menudo se aplican a nivel nacional a través del </w:t>
      </w:r>
      <w:r w:rsidR="001C72F7" w:rsidRPr="00E56A6E">
        <w:rPr>
          <w:lang w:val="es-ES"/>
        </w:rPr>
        <w:t>d</w:t>
      </w:r>
      <w:r w:rsidRPr="00E56A6E">
        <w:rPr>
          <w:lang w:val="es-ES"/>
        </w:rPr>
        <w:t xml:space="preserve">erecho contractual vigente, el </w:t>
      </w:r>
      <w:r w:rsidR="009141A9" w:rsidRPr="00E56A6E">
        <w:rPr>
          <w:lang w:val="es-ES"/>
        </w:rPr>
        <w:t>d</w:t>
      </w:r>
      <w:r w:rsidRPr="00E56A6E">
        <w:rPr>
          <w:lang w:val="es-ES"/>
        </w:rPr>
        <w:t xml:space="preserve">erecho internacional privado y las medidas nacionales relacionadas con las leyes de </w:t>
      </w:r>
      <w:r w:rsidRPr="00E56A6E">
        <w:rPr>
          <w:lang w:val="es-ES"/>
        </w:rPr>
        <w:lastRenderedPageBreak/>
        <w:t xml:space="preserve">acceso a la justicia, más que a través de las medidas </w:t>
      </w:r>
      <w:r w:rsidR="00101E18" w:rsidRPr="00E56A6E">
        <w:rPr>
          <w:lang w:val="es-ES"/>
        </w:rPr>
        <w:t>sobre</w:t>
      </w:r>
      <w:r w:rsidRPr="00E56A6E">
        <w:rPr>
          <w:lang w:val="es-ES"/>
        </w:rPr>
        <w:t xml:space="preserve"> A</w:t>
      </w:r>
      <w:r w:rsidR="00101E18" w:rsidRPr="00E56A6E">
        <w:rPr>
          <w:lang w:val="es-ES"/>
        </w:rPr>
        <w:t>PB</w:t>
      </w:r>
      <w:r w:rsidRPr="00E56A6E">
        <w:rPr>
          <w:rStyle w:val="FootnoteReference"/>
          <w:lang w:val="es-ES"/>
        </w:rPr>
        <w:footnoteReference w:id="76"/>
      </w:r>
      <w:r w:rsidRPr="00E56A6E">
        <w:rPr>
          <w:lang w:val="es-ES"/>
        </w:rPr>
        <w:t>. Estos últimos aspectos han registrado avances moderados.</w:t>
      </w:r>
    </w:p>
    <w:p w14:paraId="4FA3D15D" w14:textId="4D18B617" w:rsidR="00F0696D" w:rsidRPr="00E56A6E" w:rsidRDefault="00653A73" w:rsidP="004D631D">
      <w:pPr>
        <w:pStyle w:val="CBDTableTitle"/>
        <w:rPr>
          <w:lang w:val="es-ES"/>
        </w:rPr>
      </w:pPr>
      <w:r w:rsidRPr="00E56A6E">
        <w:rPr>
          <w:b w:val="0"/>
          <w:bCs/>
          <w:lang w:val="es-ES"/>
        </w:rPr>
        <w:t>Cuadro</w:t>
      </w:r>
      <w:r w:rsidR="00F0696D" w:rsidRPr="00E56A6E">
        <w:rPr>
          <w:b w:val="0"/>
          <w:bCs/>
          <w:lang w:val="es-ES"/>
        </w:rPr>
        <w:t xml:space="preserve"> </w:t>
      </w:r>
      <w:r w:rsidR="009E729F" w:rsidRPr="00E56A6E">
        <w:rPr>
          <w:b w:val="0"/>
          <w:bCs/>
          <w:lang w:val="es-ES"/>
        </w:rPr>
        <w:t>11</w:t>
      </w:r>
      <w:r w:rsidR="00F0696D" w:rsidRPr="00E56A6E">
        <w:rPr>
          <w:lang w:val="es-ES"/>
        </w:rPr>
        <w:t xml:space="preserve"> </w:t>
      </w:r>
      <w:r w:rsidR="004D631D" w:rsidRPr="00E56A6E">
        <w:rPr>
          <w:lang w:val="es-ES"/>
        </w:rPr>
        <w:br/>
      </w:r>
      <w:r w:rsidR="006635C1" w:rsidRPr="00E56A6E">
        <w:rPr>
          <w:lang w:val="es-ES"/>
        </w:rPr>
        <w:t>Indicadores para medir los avances en la aplicación del artículo 18 del Protocolo de Nagoya</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F0696D" w:rsidRPr="005A210D" w14:paraId="02BFD4C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A3ADC8" w14:textId="70094635" w:rsidR="00F0696D" w:rsidRPr="00E56A6E" w:rsidRDefault="00EE1C1B"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44EB90E" w14:textId="7058E0CF" w:rsidR="00F0696D" w:rsidRPr="00E56A6E" w:rsidRDefault="007F3ECF"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es-ES"/>
              </w:rPr>
            </w:pPr>
            <w:r w:rsidRPr="00E56A6E">
              <w:rPr>
                <w:rFonts w:asciiTheme="majorBidi" w:eastAsia="Calibri" w:hAnsiTheme="majorBidi" w:cstheme="majorBidi"/>
                <w:i/>
                <w:iCs/>
                <w:kern w:val="22"/>
                <w:sz w:val="20"/>
                <w:szCs w:val="20"/>
                <w:lang w:val="es-ES"/>
              </w:rPr>
              <w:t>Punto de referencia</w:t>
            </w:r>
            <w:r w:rsidR="00F0696D" w:rsidRPr="00E56A6E">
              <w:rPr>
                <w:rFonts w:asciiTheme="majorBidi" w:eastAsia="Calibri" w:hAnsiTheme="majorBidi" w:cstheme="majorBidi"/>
                <w:i/>
                <w:iCs/>
                <w:kern w:val="22"/>
                <w:sz w:val="20"/>
                <w:szCs w:val="20"/>
                <w:lang w:val="es-ES"/>
              </w:rPr>
              <w:t xml:space="preserve"> </w:t>
            </w:r>
            <w:r w:rsidR="00D52836" w:rsidRPr="00E56A6E">
              <w:rPr>
                <w:rFonts w:asciiTheme="majorBidi" w:eastAsia="Calibri" w:hAnsiTheme="majorBidi" w:cstheme="majorBidi"/>
                <w:i/>
                <w:iCs/>
                <w:kern w:val="22"/>
                <w:sz w:val="20"/>
                <w:szCs w:val="20"/>
                <w:lang w:val="es-ES"/>
              </w:rPr>
              <w:br/>
            </w:r>
            <w:r w:rsidR="00F0696D" w:rsidRPr="00E56A6E">
              <w:rPr>
                <w:rFonts w:asciiTheme="majorBidi" w:eastAsia="Calibri" w:hAnsiTheme="majorBidi" w:cstheme="majorBidi"/>
                <w:i/>
                <w:iCs/>
                <w:kern w:val="22"/>
                <w:sz w:val="20"/>
                <w:szCs w:val="20"/>
                <w:lang w:val="es-ES"/>
              </w:rPr>
              <w:t>(</w:t>
            </w:r>
            <w:r w:rsidRPr="00E56A6E">
              <w:rPr>
                <w:rFonts w:asciiTheme="majorBidi" w:eastAsia="Calibri" w:hAnsiTheme="majorBidi" w:cstheme="majorBidi"/>
                <w:i/>
                <w:iCs/>
                <w:kern w:val="22"/>
                <w:sz w:val="20"/>
                <w:szCs w:val="20"/>
                <w:lang w:val="es-ES"/>
              </w:rPr>
              <w:t>al 22 de febrero de 2018</w:t>
            </w:r>
            <w:r w:rsidR="00F0696D" w:rsidRPr="00E56A6E">
              <w:rPr>
                <w:rFonts w:asciiTheme="majorBidi" w:eastAsia="Calibri" w:hAnsiTheme="majorBidi" w:cstheme="majorBidi"/>
                <w:i/>
                <w:iCs/>
                <w:kern w:val="22"/>
                <w:sz w:val="20"/>
                <w:szCs w:val="20"/>
                <w:lang w:val="es-ES"/>
              </w:rPr>
              <w:t>)</w:t>
            </w:r>
          </w:p>
        </w:tc>
        <w:tc>
          <w:tcPr>
            <w:tcW w:w="1512" w:type="dxa"/>
            <w:tcBorders>
              <w:top w:val="single" w:sz="4" w:space="0" w:color="auto"/>
              <w:left w:val="single" w:sz="4" w:space="0" w:color="auto"/>
              <w:bottom w:val="single" w:sz="4" w:space="0" w:color="auto"/>
              <w:right w:val="single" w:sz="4" w:space="0" w:color="auto"/>
            </w:tcBorders>
            <w:vAlign w:val="bottom"/>
          </w:tcPr>
          <w:p w14:paraId="6B1E4166" w14:textId="186FE838" w:rsidR="00F0696D" w:rsidRPr="00E56A6E" w:rsidRDefault="007F3ECF"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es-ES"/>
              </w:rPr>
            </w:pPr>
            <w:r w:rsidRPr="00E56A6E">
              <w:rPr>
                <w:rFonts w:asciiTheme="majorBidi" w:eastAsia="Calibri" w:hAnsiTheme="majorBidi" w:cstheme="majorBidi"/>
                <w:i/>
                <w:iCs/>
                <w:kern w:val="22"/>
                <w:sz w:val="20"/>
                <w:szCs w:val="20"/>
                <w:lang w:val="es-ES"/>
              </w:rPr>
              <w:t>Avances al 9 de marzo de 2026</w:t>
            </w:r>
          </w:p>
        </w:tc>
      </w:tr>
      <w:tr w:rsidR="006635C1" w:rsidRPr="00E56A6E" w14:paraId="2F8AEC4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5381EF" w14:textId="16888209" w:rsidR="006635C1" w:rsidRPr="00E56A6E" w:rsidRDefault="006635C1" w:rsidP="006635C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que fomentan la inclusión de disposiciones sobre resolución de controversias en </w:t>
            </w:r>
            <w:r w:rsidR="009414A6" w:rsidRPr="00E56A6E">
              <w:rPr>
                <w:sz w:val="20"/>
                <w:szCs w:val="20"/>
                <w:lang w:val="es-ES"/>
              </w:rPr>
              <w:t>las condiciones mutuamente acordadas</w:t>
            </w:r>
            <w:r w:rsidRPr="00E56A6E">
              <w:rPr>
                <w:sz w:val="20"/>
                <w:szCs w:val="20"/>
                <w:lang w:val="es-ES"/>
              </w:rPr>
              <w:t xml:space="preserve">, </w:t>
            </w:r>
            <w:r w:rsidR="00770CE7" w:rsidRPr="00E56A6E">
              <w:rPr>
                <w:sz w:val="20"/>
                <w:szCs w:val="20"/>
                <w:lang w:val="es-ES"/>
              </w:rPr>
              <w:t>tal como</w:t>
            </w:r>
            <w:r w:rsidRPr="00E56A6E">
              <w:rPr>
                <w:sz w:val="20"/>
                <w:szCs w:val="20"/>
                <w:lang w:val="es-ES"/>
              </w:rPr>
              <w:t xml:space="preserve"> se establece en el artículo 18.1</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2AC6FE9" w14:textId="446A9E78"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36 (34 %</w:t>
            </w:r>
          </w:p>
        </w:tc>
        <w:tc>
          <w:tcPr>
            <w:tcW w:w="1512" w:type="dxa"/>
            <w:vAlign w:val="bottom"/>
          </w:tcPr>
          <w:p w14:paraId="0C4E366F" w14:textId="5A25592B"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65 (46 %)</w:t>
            </w:r>
          </w:p>
        </w:tc>
      </w:tr>
      <w:tr w:rsidR="006635C1" w:rsidRPr="00E56A6E" w14:paraId="5A2B9308"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985E13" w14:textId="2EB22464" w:rsidR="009141A9" w:rsidRPr="00E56A6E" w:rsidRDefault="006635C1" w:rsidP="0049479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Partes </w:t>
            </w:r>
            <w:r w:rsidR="0049479A" w:rsidRPr="00E56A6E">
              <w:rPr>
                <w:sz w:val="20"/>
                <w:szCs w:val="20"/>
                <w:lang w:val="es-ES"/>
              </w:rPr>
              <w:t xml:space="preserve">en las </w:t>
            </w:r>
            <w:r w:rsidRPr="00E56A6E">
              <w:rPr>
                <w:sz w:val="20"/>
                <w:szCs w:val="20"/>
                <w:lang w:val="es-ES"/>
              </w:rPr>
              <w:t xml:space="preserve">que </w:t>
            </w:r>
            <w:r w:rsidR="0049479A" w:rsidRPr="00E56A6E">
              <w:rPr>
                <w:sz w:val="20"/>
                <w:szCs w:val="20"/>
                <w:lang w:val="es-ES"/>
              </w:rPr>
              <w:t xml:space="preserve">sus sistemas jurídicos ofrecen </w:t>
            </w:r>
            <w:r w:rsidRPr="00E56A6E">
              <w:rPr>
                <w:sz w:val="20"/>
                <w:szCs w:val="20"/>
                <w:lang w:val="es-ES"/>
              </w:rPr>
              <w:t xml:space="preserve">la posibilidad de </w:t>
            </w:r>
            <w:r w:rsidR="009141A9" w:rsidRPr="00E56A6E">
              <w:rPr>
                <w:sz w:val="20"/>
                <w:szCs w:val="20"/>
                <w:lang w:val="es-ES"/>
              </w:rPr>
              <w:t xml:space="preserve">presentar </w:t>
            </w:r>
            <w:r w:rsidRPr="00E56A6E">
              <w:rPr>
                <w:sz w:val="20"/>
                <w:szCs w:val="20"/>
                <w:lang w:val="es-ES"/>
              </w:rPr>
              <w:t>recursos en caso</w:t>
            </w:r>
            <w:r w:rsidR="0049479A" w:rsidRPr="00E56A6E">
              <w:rPr>
                <w:sz w:val="20"/>
                <w:szCs w:val="20"/>
                <w:lang w:val="es-ES"/>
              </w:rPr>
              <w:t>s</w:t>
            </w:r>
            <w:r w:rsidRPr="00E56A6E">
              <w:rPr>
                <w:sz w:val="20"/>
                <w:szCs w:val="20"/>
                <w:lang w:val="es-ES"/>
              </w:rPr>
              <w:t xml:space="preserve"> de controversias </w:t>
            </w:r>
            <w:r w:rsidR="009141A9" w:rsidRPr="00E56A6E">
              <w:rPr>
                <w:sz w:val="20"/>
                <w:szCs w:val="20"/>
                <w:lang w:val="es-ES"/>
              </w:rPr>
              <w:t xml:space="preserve">dimanantes </w:t>
            </w:r>
            <w:r w:rsidRPr="00E56A6E">
              <w:rPr>
                <w:sz w:val="20"/>
                <w:szCs w:val="20"/>
                <w:lang w:val="es-ES"/>
              </w:rPr>
              <w:t>de las condiciones mutuamente acordadas, tal como se establece en el artículo 18</w:t>
            </w:r>
            <w:r w:rsidR="00A45A0C" w:rsidRPr="00E56A6E">
              <w:rPr>
                <w:sz w:val="20"/>
                <w:szCs w:val="20"/>
                <w:lang w:val="es-ES"/>
              </w:rPr>
              <w:t>.2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35DF4C5" w14:textId="0E47EC2F"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51 (49 %)</w:t>
            </w:r>
          </w:p>
        </w:tc>
        <w:tc>
          <w:tcPr>
            <w:tcW w:w="1512" w:type="dxa"/>
            <w:vAlign w:val="bottom"/>
          </w:tcPr>
          <w:p w14:paraId="1683D268" w14:textId="413C5BA8"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83 (58 %)</w:t>
            </w:r>
          </w:p>
        </w:tc>
      </w:tr>
      <w:tr w:rsidR="006635C1" w:rsidRPr="00E56A6E" w14:paraId="6B848F7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B47D09" w14:textId="1DFFF8DE" w:rsidR="006635C1" w:rsidRPr="00E56A6E" w:rsidRDefault="006635C1" w:rsidP="006635C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Número y porcentaje de Partes que cuentan con medidas relativas al acceso a la justicia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2DA806" w14:textId="48DF6469"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47 (45 %)</w:t>
            </w:r>
          </w:p>
        </w:tc>
        <w:tc>
          <w:tcPr>
            <w:tcW w:w="1512" w:type="dxa"/>
            <w:vAlign w:val="bottom"/>
          </w:tcPr>
          <w:p w14:paraId="1193BB49" w14:textId="70799669"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84 (59 %)</w:t>
            </w:r>
          </w:p>
        </w:tc>
      </w:tr>
      <w:tr w:rsidR="006635C1" w:rsidRPr="00E56A6E" w14:paraId="3CD3C96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780F863" w14:textId="7B91E050" w:rsidR="0049479A" w:rsidRPr="00E56A6E" w:rsidRDefault="006635C1" w:rsidP="006635C1">
            <w:pPr>
              <w:suppressLineNumbers/>
              <w:suppressAutoHyphens/>
              <w:kinsoku w:val="0"/>
              <w:overflowPunct w:val="0"/>
              <w:autoSpaceDE w:val="0"/>
              <w:autoSpaceDN w:val="0"/>
              <w:adjustRightInd w:val="0"/>
              <w:snapToGrid w:val="0"/>
              <w:jc w:val="left"/>
              <w:rPr>
                <w:sz w:val="20"/>
                <w:szCs w:val="20"/>
                <w:lang w:val="es-ES"/>
              </w:rPr>
            </w:pPr>
            <w:r w:rsidRPr="00E56A6E">
              <w:rPr>
                <w:sz w:val="20"/>
                <w:szCs w:val="20"/>
                <w:lang w:val="es-ES"/>
              </w:rPr>
              <w:t xml:space="preserve">Número y porcentaje de Partes que cuentan con medidas relativas a la utilización de mecanismos </w:t>
            </w:r>
            <w:r w:rsidR="0049479A" w:rsidRPr="00E56A6E">
              <w:rPr>
                <w:sz w:val="20"/>
                <w:szCs w:val="20"/>
                <w:lang w:val="es-ES"/>
              </w:rPr>
              <w:t xml:space="preserve">respecto al </w:t>
            </w:r>
            <w:r w:rsidRPr="00E56A6E">
              <w:rPr>
                <w:sz w:val="20"/>
                <w:szCs w:val="20"/>
                <w:lang w:val="es-ES"/>
              </w:rPr>
              <w:t xml:space="preserve">reconocimiento mutuo y </w:t>
            </w:r>
            <w:r w:rsidR="0049479A" w:rsidRPr="00E56A6E">
              <w:rPr>
                <w:sz w:val="20"/>
                <w:szCs w:val="20"/>
                <w:lang w:val="es-ES"/>
              </w:rPr>
              <w:t xml:space="preserve">la aplicación de sentencias extranjeras y </w:t>
            </w:r>
            <w:r w:rsidRPr="00E56A6E">
              <w:rPr>
                <w:sz w:val="20"/>
                <w:szCs w:val="20"/>
                <w:lang w:val="es-ES"/>
              </w:rPr>
              <w:t xml:space="preserve">laudos arbitrales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9C5C94E" w14:textId="323D6165"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38 (36 %)</w:t>
            </w:r>
          </w:p>
        </w:tc>
        <w:tc>
          <w:tcPr>
            <w:tcW w:w="1512" w:type="dxa"/>
            <w:vAlign w:val="bottom"/>
          </w:tcPr>
          <w:p w14:paraId="03C878ED" w14:textId="3C821397" w:rsidR="006635C1" w:rsidRPr="00E56A6E" w:rsidRDefault="006635C1" w:rsidP="006635C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es-ES"/>
              </w:rPr>
            </w:pPr>
            <w:r w:rsidRPr="00E56A6E">
              <w:rPr>
                <w:rFonts w:asciiTheme="majorBidi" w:eastAsia="Calibri" w:hAnsiTheme="majorBidi" w:cstheme="majorBidi"/>
                <w:kern w:val="22"/>
                <w:sz w:val="20"/>
                <w:szCs w:val="20"/>
                <w:lang w:val="es-ES"/>
              </w:rPr>
              <w:t>65 (45 %)</w:t>
            </w:r>
          </w:p>
        </w:tc>
      </w:tr>
    </w:tbl>
    <w:p w14:paraId="7926B560" w14:textId="75DD2867" w:rsidR="00CE0520" w:rsidRPr="00E56A6E" w:rsidRDefault="00061EFF" w:rsidP="00061EFF">
      <w:pPr>
        <w:pStyle w:val="CBDH3"/>
        <w:rPr>
          <w:lang w:val="es-ES"/>
        </w:rPr>
      </w:pPr>
      <w:r w:rsidRPr="00E56A6E">
        <w:rPr>
          <w:lang w:val="es-ES"/>
        </w:rPr>
        <w:t>2.</w:t>
      </w:r>
      <w:r w:rsidRPr="00E56A6E">
        <w:rPr>
          <w:lang w:val="es-ES"/>
        </w:rPr>
        <w:tab/>
      </w:r>
      <w:r w:rsidR="004357B2" w:rsidRPr="00E56A6E">
        <w:rPr>
          <w:lang w:val="es-ES"/>
        </w:rPr>
        <w:t>Dificultades, causas subyacentes y posibles maneras de mejorar la aplicación</w:t>
      </w:r>
      <w:r w:rsidR="006635C1" w:rsidRPr="00E56A6E">
        <w:rPr>
          <w:lang w:val="es-ES"/>
        </w:rPr>
        <w:t xml:space="preserve"> del artículo 18 del Protocolo</w:t>
      </w:r>
    </w:p>
    <w:p w14:paraId="60F446BA" w14:textId="1BA382E8" w:rsidR="006635C1" w:rsidRPr="00E56A6E" w:rsidRDefault="006635C1" w:rsidP="006635C1">
      <w:pPr>
        <w:pStyle w:val="CBDNormalNumber"/>
        <w:rPr>
          <w:lang w:val="es-ES"/>
        </w:rPr>
      </w:pPr>
      <w:r w:rsidRPr="00E56A6E">
        <w:rPr>
          <w:lang w:val="es-ES"/>
        </w:rPr>
        <w:t xml:space="preserve">Es posible que quienes </w:t>
      </w:r>
      <w:r w:rsidR="004D5569" w:rsidRPr="00E56A6E">
        <w:rPr>
          <w:lang w:val="es-ES"/>
        </w:rPr>
        <w:t xml:space="preserve">formulan </w:t>
      </w:r>
      <w:r w:rsidRPr="00E56A6E">
        <w:rPr>
          <w:lang w:val="es-ES"/>
        </w:rPr>
        <w:t>medidas de acceso y participación en los beneficios o aplican el Protocolo no conozcan toda la legislación aplicable en materia de derecho contractual, derecho internacional privado o medidas nacionales relacionadas con el acceso a la justicia. La elaboración de cláusulas contractuales modelo o la introducción de algunos aspectos específicos en las medidas de acceso y participación en los beneficios puede reforzar la capacidad de las instituciones que aplican el acceso y la participación en los beneficios, al proporcionarles una orientación clara a la hora de negociar condiciones mutuamente acordadas. Est</w:t>
      </w:r>
      <w:r w:rsidR="004D5569" w:rsidRPr="00E56A6E">
        <w:rPr>
          <w:lang w:val="es-ES"/>
        </w:rPr>
        <w:t xml:space="preserve">as iniciativas </w:t>
      </w:r>
      <w:r w:rsidRPr="00E56A6E">
        <w:rPr>
          <w:lang w:val="es-ES"/>
        </w:rPr>
        <w:t>podrían basarse en las mejores prácticas para</w:t>
      </w:r>
      <w:r w:rsidR="004D5569" w:rsidRPr="00E56A6E">
        <w:rPr>
          <w:lang w:val="es-ES"/>
        </w:rPr>
        <w:t xml:space="preserve"> asegurar </w:t>
      </w:r>
      <w:r w:rsidRPr="00E56A6E">
        <w:rPr>
          <w:lang w:val="es-ES"/>
        </w:rPr>
        <w:t>el cumplimiento de las condiciones mutuamente acordadas procedentes de otros ámbitos de especialización jurídica.</w:t>
      </w:r>
    </w:p>
    <w:p w14:paraId="59BA73AB" w14:textId="132BC85F" w:rsidR="006635C1" w:rsidRPr="00E56A6E" w:rsidRDefault="006635C1" w:rsidP="006635C1">
      <w:pPr>
        <w:pStyle w:val="CBDNormalNumber"/>
        <w:rPr>
          <w:lang w:val="es-ES"/>
        </w:rPr>
      </w:pPr>
      <w:r w:rsidRPr="00E56A6E">
        <w:rPr>
          <w:lang w:val="es-ES"/>
        </w:rPr>
        <w:t xml:space="preserve">La información </w:t>
      </w:r>
      <w:r w:rsidR="00897124" w:rsidRPr="00E56A6E">
        <w:rPr>
          <w:lang w:val="es-ES"/>
        </w:rPr>
        <w:t xml:space="preserve">que figura </w:t>
      </w:r>
      <w:r w:rsidRPr="00E56A6E">
        <w:rPr>
          <w:lang w:val="es-ES"/>
        </w:rPr>
        <w:t>en el primer informe nacional, así como el intercambio de experiencias, pueden resultar útiles para que las Partes comprendan cómo se puede apoyar la aplicación del artículo 18 del Protocolo.</w:t>
      </w:r>
    </w:p>
    <w:p w14:paraId="05080852" w14:textId="463C633D" w:rsidR="00393227" w:rsidRPr="00E56A6E" w:rsidRDefault="00061EFF" w:rsidP="006B066D">
      <w:pPr>
        <w:pStyle w:val="CBDH2"/>
        <w:jc w:val="left"/>
        <w:rPr>
          <w:lang w:val="es-ES"/>
        </w:rPr>
      </w:pPr>
      <w:bookmarkStart w:id="14" w:name="_Toc231911607"/>
      <w:r w:rsidRPr="00E56A6E">
        <w:rPr>
          <w:lang w:val="es-ES"/>
        </w:rPr>
        <w:t>E.</w:t>
      </w:r>
      <w:r w:rsidRPr="00E56A6E">
        <w:rPr>
          <w:lang w:val="es-ES"/>
        </w:rPr>
        <w:tab/>
      </w:r>
      <w:r w:rsidR="006635C1" w:rsidRPr="00E56A6E">
        <w:rPr>
          <w:szCs w:val="24"/>
          <w:lang w:val="es-ES"/>
        </w:rPr>
        <w:t>Evaluación de la aplicación del artículo 16 a la luz de la evolución de la situación en otras organizaciones internacionales pertinentes, incluida la Organización Mundial de la Propiedad Intelectual</w:t>
      </w:r>
      <w:r w:rsidR="006635C1" w:rsidRPr="00E56A6E">
        <w:rPr>
          <w:rStyle w:val="FootnoteReference"/>
          <w:szCs w:val="24"/>
          <w:lang w:val="es-ES"/>
        </w:rPr>
        <w:footnoteReference w:id="77"/>
      </w:r>
      <w:bookmarkEnd w:id="14"/>
    </w:p>
    <w:p w14:paraId="779B05B0" w14:textId="6F133554" w:rsidR="0051703A" w:rsidRPr="00E56A6E" w:rsidRDefault="00061EFF" w:rsidP="00061EFF">
      <w:pPr>
        <w:pStyle w:val="CBDH3"/>
        <w:rPr>
          <w:lang w:val="es-ES"/>
        </w:rPr>
      </w:pPr>
      <w:r w:rsidRPr="00E56A6E">
        <w:rPr>
          <w:lang w:val="es-ES"/>
        </w:rPr>
        <w:t>1.</w:t>
      </w:r>
      <w:r w:rsidRPr="00E56A6E">
        <w:rPr>
          <w:lang w:val="es-ES"/>
        </w:rPr>
        <w:tab/>
      </w:r>
      <w:r w:rsidR="00977A55" w:rsidRPr="00E56A6E">
        <w:rPr>
          <w:lang w:val="es-ES"/>
        </w:rPr>
        <w:t>Avances en la aplicación y datos actualizados de los indicadores</w:t>
      </w:r>
    </w:p>
    <w:p w14:paraId="3C3BA874" w14:textId="7329CE28" w:rsidR="00977A55" w:rsidRPr="00E56A6E" w:rsidRDefault="00977A55" w:rsidP="00977A55">
      <w:pPr>
        <w:pStyle w:val="CBDNormalNumber"/>
        <w:rPr>
          <w:lang w:val="es-ES"/>
        </w:rPr>
      </w:pPr>
      <w:r w:rsidRPr="00E56A6E">
        <w:rPr>
          <w:lang w:val="es-ES"/>
        </w:rPr>
        <w:t>Se han logrado</w:t>
      </w:r>
      <w:r w:rsidR="00897124" w:rsidRPr="00E56A6E">
        <w:rPr>
          <w:lang w:val="es-ES"/>
        </w:rPr>
        <w:t xml:space="preserve"> importantes</w:t>
      </w:r>
      <w:r w:rsidRPr="00E56A6E">
        <w:rPr>
          <w:lang w:val="es-ES"/>
        </w:rPr>
        <w:t xml:space="preserve"> avances en las medidas para aplicar el artículo 16, </w:t>
      </w:r>
      <w:r w:rsidR="00770CE7" w:rsidRPr="00E56A6E">
        <w:rPr>
          <w:lang w:val="es-ES"/>
        </w:rPr>
        <w:t>tal como</w:t>
      </w:r>
      <w:r w:rsidRPr="00E56A6E">
        <w:rPr>
          <w:lang w:val="es-ES"/>
        </w:rPr>
        <w:t xml:space="preserve"> sugieren los indicadores del cuadro 12 que figura a continuación. Para muchas Partes, las medidas adoptadas para la aplicación del artículo 16 (relativo a los recursos genéticos) son las mismas que las adoptadas para la aplicación del artículo 15.</w:t>
      </w:r>
    </w:p>
    <w:p w14:paraId="57BA4374" w14:textId="36358DCD" w:rsidR="00977A55" w:rsidRPr="00E56A6E" w:rsidRDefault="00977A55" w:rsidP="00977A55">
      <w:pPr>
        <w:pStyle w:val="CBDNormalNumber"/>
        <w:rPr>
          <w:lang w:val="es-ES"/>
        </w:rPr>
      </w:pPr>
      <w:r w:rsidRPr="00E56A6E">
        <w:rPr>
          <w:lang w:val="es-ES"/>
        </w:rPr>
        <w:t xml:space="preserve">No obstante, sobre la base de la información facilitada sobre la aplicación del artículo 16, junto con los datos derivados de la aplicación de las disposiciones de cumplimiento del Protocolo (véase la sección III.A.5 supra) y los datos relacionados con los pueblos indígenas y las comunidades locales (véase la sección III.A.7 </w:t>
      </w:r>
      <w:r w:rsidRPr="00E56A6E">
        <w:rPr>
          <w:i/>
          <w:iCs/>
          <w:lang w:val="es-ES"/>
        </w:rPr>
        <w:t>supra</w:t>
      </w:r>
      <w:r w:rsidRPr="00E56A6E">
        <w:rPr>
          <w:lang w:val="es-ES"/>
        </w:rPr>
        <w:t xml:space="preserve">), cabe señalar que, aunque muchas Partes han establecido medidas, </w:t>
      </w:r>
      <w:r w:rsidRPr="00E56A6E">
        <w:rPr>
          <w:lang w:val="es-ES"/>
        </w:rPr>
        <w:lastRenderedPageBreak/>
        <w:t>estas a menudo no se aplican plenamente o existe una falta general de experiencia práctica en su aplicación.</w:t>
      </w:r>
    </w:p>
    <w:p w14:paraId="1FBAA6C3" w14:textId="71E6DDE1" w:rsidR="00977A55" w:rsidRPr="00E56A6E" w:rsidRDefault="00977A55" w:rsidP="00977A55">
      <w:pPr>
        <w:pStyle w:val="CBDNormalNumber"/>
        <w:rPr>
          <w:lang w:val="es-ES"/>
        </w:rPr>
      </w:pPr>
      <w:r w:rsidRPr="00E56A6E">
        <w:rPr>
          <w:lang w:val="es-ES"/>
        </w:rPr>
        <w:t xml:space="preserve">Según la información facilitada en los informes, la experiencia en el tratamiento de casos de incumplimiento de las medidas relacionadas con el acceso a los </w:t>
      </w:r>
      <w:r w:rsidR="00D426EC" w:rsidRPr="00E56A6E">
        <w:rPr>
          <w:lang w:val="es-ES"/>
        </w:rPr>
        <w:t>conocimientos tradicionales conexos</w:t>
      </w:r>
      <w:r w:rsidRPr="00E56A6E">
        <w:rPr>
          <w:lang w:val="es-ES"/>
        </w:rPr>
        <w:t xml:space="preserve"> parece ser meramente anecdótica.</w:t>
      </w:r>
    </w:p>
    <w:p w14:paraId="569C56B6" w14:textId="70EF5F02" w:rsidR="00977A55" w:rsidRPr="00E56A6E" w:rsidRDefault="00977A55" w:rsidP="00977A55">
      <w:pPr>
        <w:pStyle w:val="CBDNormalNumber"/>
        <w:rPr>
          <w:lang w:val="es-ES"/>
        </w:rPr>
      </w:pPr>
      <w:r w:rsidRPr="00E56A6E">
        <w:rPr>
          <w:lang w:val="es-ES"/>
        </w:rPr>
        <w:t>En cuanto a los avances logrados en la Organización Mundial de la Propiedad Intelectual (OMPI), el 24 de mayo de 2024</w:t>
      </w:r>
      <w:r w:rsidRPr="00E56A6E">
        <w:rPr>
          <w:rStyle w:val="FootnoteReference"/>
          <w:lang w:val="es-ES"/>
        </w:rPr>
        <w:footnoteReference w:id="78"/>
      </w:r>
      <w:r w:rsidRPr="00E56A6E">
        <w:rPr>
          <w:lang w:val="es-ES"/>
        </w:rPr>
        <w:t xml:space="preserve"> se adoptó el Tratado sobre Propiedad Intelectual, Recursos Genéticos y </w:t>
      </w:r>
      <w:r w:rsidR="00D426EC" w:rsidRPr="00E56A6E">
        <w:rPr>
          <w:lang w:val="es-ES"/>
        </w:rPr>
        <w:t xml:space="preserve">Conocimientos </w:t>
      </w:r>
      <w:r w:rsidR="00897124" w:rsidRPr="00E56A6E">
        <w:rPr>
          <w:lang w:val="es-ES"/>
        </w:rPr>
        <w:t xml:space="preserve">Tradicionales </w:t>
      </w:r>
      <w:r w:rsidR="00336518" w:rsidRPr="00E56A6E">
        <w:rPr>
          <w:lang w:val="es-ES"/>
        </w:rPr>
        <w:t>Asociados</w:t>
      </w:r>
      <w:r w:rsidRPr="00E56A6E">
        <w:rPr>
          <w:lang w:val="es-ES"/>
        </w:rPr>
        <w:t xml:space="preserve">. Hasta la fecha, tres Partes han ratificado el tratado. </w:t>
      </w:r>
    </w:p>
    <w:p w14:paraId="2BDC4479" w14:textId="4D0AB888" w:rsidR="00977A55" w:rsidRPr="00E56A6E" w:rsidRDefault="00977A55" w:rsidP="00977A55">
      <w:pPr>
        <w:pStyle w:val="CBDNormalNumber"/>
        <w:rPr>
          <w:lang w:val="es-ES"/>
        </w:rPr>
      </w:pPr>
      <w:r w:rsidRPr="00E56A6E">
        <w:rPr>
          <w:lang w:val="es-ES"/>
        </w:rPr>
        <w:t>El Comité Intergubernamental sobre Propiedad Intelectual y Recursos Genéticos, Conocimientos Tradicionales y Folclore proseguirá su labor en materia de protección de los conocimientos tradicionales y las expresiones culturales tradicionales. Además, en 2027, la Asamblea General de la OMPI evaluará los avances logrados y decidirá si convoca una conferencia diplomática o continúa las negociaciones. La decisión se basará en la madurez del texto o textos, incluidos los niveles de acuerdo sobre los objetivos, el alcance y la naturaleza del instrumento o instrumentos.</w:t>
      </w:r>
    </w:p>
    <w:p w14:paraId="0E6D17BD" w14:textId="6850B892" w:rsidR="00CC433E" w:rsidRPr="00E56A6E" w:rsidRDefault="00653A73" w:rsidP="00061EFF">
      <w:pPr>
        <w:pStyle w:val="CBDTableTitle"/>
        <w:rPr>
          <w:lang w:val="es-ES"/>
        </w:rPr>
      </w:pPr>
      <w:r w:rsidRPr="00E56A6E">
        <w:rPr>
          <w:b w:val="0"/>
          <w:bCs/>
          <w:lang w:val="es-ES"/>
        </w:rPr>
        <w:t>Cuadro</w:t>
      </w:r>
      <w:r w:rsidR="00CC433E" w:rsidRPr="00E56A6E">
        <w:rPr>
          <w:b w:val="0"/>
          <w:bCs/>
          <w:lang w:val="es-ES"/>
        </w:rPr>
        <w:t xml:space="preserve"> </w:t>
      </w:r>
      <w:r w:rsidR="00697726" w:rsidRPr="00E56A6E">
        <w:rPr>
          <w:b w:val="0"/>
          <w:bCs/>
          <w:lang w:val="es-ES"/>
        </w:rPr>
        <w:t>12</w:t>
      </w:r>
      <w:r w:rsidR="00CC433E" w:rsidRPr="00E56A6E">
        <w:rPr>
          <w:lang w:val="es-ES"/>
        </w:rPr>
        <w:t xml:space="preserve"> </w:t>
      </w:r>
      <w:r w:rsidR="00061EFF" w:rsidRPr="00E56A6E">
        <w:rPr>
          <w:lang w:val="es-ES"/>
        </w:rPr>
        <w:br/>
      </w:r>
      <w:r w:rsidR="00977A55" w:rsidRPr="00E56A6E">
        <w:rPr>
          <w:lang w:val="es-ES"/>
        </w:rPr>
        <w:t>Indicadores para medir los avances en la aplicación del artículo 16 del Protocolo</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CC433E" w:rsidRPr="005A210D" w14:paraId="7D43F61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346BC8" w14:textId="13F225CF" w:rsidR="00CC433E" w:rsidRPr="00E56A6E" w:rsidRDefault="00EE1C1B" w:rsidP="006B066D">
            <w:pPr>
              <w:suppressLineNumbers/>
              <w:suppressAutoHyphens/>
              <w:kinsoku w:val="0"/>
              <w:overflowPunct w:val="0"/>
              <w:autoSpaceDE w:val="0"/>
              <w:autoSpaceDN w:val="0"/>
              <w:adjustRightInd w:val="0"/>
              <w:snapToGrid w:val="0"/>
              <w:ind w:left="314" w:hanging="360"/>
              <w:jc w:val="left"/>
              <w:rPr>
                <w:rFonts w:asciiTheme="majorBidi" w:eastAsia="Malgun Gothic" w:hAnsiTheme="majorBidi" w:cstheme="majorBidi"/>
                <w:i/>
                <w:iCs/>
                <w:kern w:val="22"/>
                <w:sz w:val="20"/>
                <w:szCs w:val="20"/>
                <w:lang w:val="es-ES"/>
              </w:rPr>
            </w:pPr>
            <w:r w:rsidRPr="00E56A6E">
              <w:rPr>
                <w:rFonts w:asciiTheme="majorBidi" w:eastAsia="Malgun Gothic" w:hAnsiTheme="majorBidi" w:cstheme="majorBidi"/>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8177B06" w14:textId="7628305A" w:rsidR="00CC433E"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Punto de referencia</w:t>
            </w:r>
            <w:r w:rsidR="00CC433E" w:rsidRPr="00E56A6E">
              <w:rPr>
                <w:rFonts w:asciiTheme="majorBidi" w:hAnsiTheme="majorBidi" w:cstheme="majorBidi"/>
                <w:i/>
                <w:iCs/>
                <w:kern w:val="22"/>
                <w:sz w:val="20"/>
                <w:szCs w:val="20"/>
                <w:lang w:val="es-ES"/>
              </w:rPr>
              <w:t xml:space="preserve"> </w:t>
            </w:r>
            <w:r w:rsidR="00F91AE7" w:rsidRPr="00E56A6E">
              <w:rPr>
                <w:rFonts w:asciiTheme="majorBidi" w:hAnsiTheme="majorBidi" w:cstheme="majorBidi"/>
                <w:i/>
                <w:iCs/>
                <w:kern w:val="22"/>
                <w:sz w:val="20"/>
                <w:szCs w:val="20"/>
                <w:lang w:val="es-ES"/>
              </w:rPr>
              <w:br/>
            </w:r>
            <w:r w:rsidR="00CC433E" w:rsidRPr="00E56A6E">
              <w:rPr>
                <w:rFonts w:asciiTheme="majorBidi" w:hAnsiTheme="majorBidi" w:cstheme="majorBidi"/>
                <w:i/>
                <w:iCs/>
                <w:kern w:val="22"/>
                <w:sz w:val="20"/>
                <w:szCs w:val="20"/>
                <w:lang w:val="es-ES"/>
              </w:rPr>
              <w:t>(</w:t>
            </w:r>
            <w:r w:rsidRPr="00E56A6E">
              <w:rPr>
                <w:rFonts w:asciiTheme="majorBidi" w:hAnsiTheme="majorBidi" w:cstheme="majorBidi"/>
                <w:i/>
                <w:iCs/>
                <w:kern w:val="22"/>
                <w:sz w:val="20"/>
                <w:szCs w:val="20"/>
                <w:lang w:val="es-ES"/>
              </w:rPr>
              <w:t>al 22 de febrero de 2018</w:t>
            </w:r>
            <w:r w:rsidR="00CC433E" w:rsidRPr="00E56A6E">
              <w:rPr>
                <w:rFonts w:asciiTheme="majorBidi" w:hAnsiTheme="majorBidi" w:cstheme="majorBidi"/>
                <w:i/>
                <w:iCs/>
                <w:kern w:val="22"/>
                <w:sz w:val="20"/>
                <w:szCs w:val="20"/>
                <w:lang w:val="es-ES"/>
              </w:rPr>
              <w:t>)</w:t>
            </w:r>
          </w:p>
        </w:tc>
        <w:tc>
          <w:tcPr>
            <w:tcW w:w="1512" w:type="dxa"/>
            <w:tcBorders>
              <w:top w:val="single" w:sz="4" w:space="0" w:color="auto"/>
              <w:left w:val="single" w:sz="4" w:space="0" w:color="auto"/>
              <w:bottom w:val="single" w:sz="4" w:space="0" w:color="auto"/>
              <w:right w:val="single" w:sz="4" w:space="0" w:color="auto"/>
            </w:tcBorders>
            <w:vAlign w:val="bottom"/>
          </w:tcPr>
          <w:p w14:paraId="57D764D4" w14:textId="78C3D433" w:rsidR="00CC433E"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Avances al 9 de marzo de 2026</w:t>
            </w:r>
          </w:p>
        </w:tc>
      </w:tr>
      <w:tr w:rsidR="00CC433E" w:rsidRPr="00E56A6E" w14:paraId="17AE474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4427AC" w14:textId="537FD764" w:rsidR="00336518" w:rsidRPr="00E56A6E" w:rsidRDefault="00EE17C9"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es-ES"/>
              </w:rPr>
            </w:pPr>
            <w:r w:rsidRPr="00E56A6E">
              <w:rPr>
                <w:rFonts w:asciiTheme="majorBidi" w:eastAsia="Malgun Gothic" w:hAnsiTheme="majorBidi" w:cstheme="majorBidi"/>
                <w:kern w:val="22"/>
                <w:sz w:val="20"/>
                <w:szCs w:val="20"/>
                <w:lang w:val="es-ES"/>
              </w:rPr>
              <w:t xml:space="preserve">Número y porcentaje de Partes que han adoptado </w:t>
            </w:r>
            <w:r w:rsidR="00481B8C" w:rsidRPr="00E56A6E">
              <w:rPr>
                <w:rFonts w:asciiTheme="majorBidi" w:eastAsia="Malgun Gothic" w:hAnsiTheme="majorBidi" w:cstheme="majorBidi"/>
                <w:kern w:val="22"/>
                <w:sz w:val="20"/>
                <w:szCs w:val="20"/>
                <w:lang w:val="es-ES"/>
              </w:rPr>
              <w:t>medidas legislativas, administrativas o</w:t>
            </w:r>
            <w:r w:rsidR="00336518" w:rsidRPr="00E56A6E">
              <w:rPr>
                <w:rFonts w:asciiTheme="majorBidi" w:eastAsia="Malgun Gothic" w:hAnsiTheme="majorBidi" w:cstheme="majorBidi"/>
                <w:kern w:val="22"/>
                <w:sz w:val="20"/>
                <w:szCs w:val="20"/>
                <w:lang w:val="es-ES"/>
              </w:rPr>
              <w:t xml:space="preserve"> de política apropiadas</w:t>
            </w:r>
            <w:r w:rsidRPr="00E56A6E">
              <w:rPr>
                <w:rFonts w:asciiTheme="majorBidi" w:eastAsia="Malgun Gothic" w:hAnsiTheme="majorBidi" w:cstheme="majorBidi"/>
                <w:kern w:val="22"/>
                <w:sz w:val="20"/>
                <w:szCs w:val="20"/>
                <w:lang w:val="es-ES"/>
              </w:rPr>
              <w:t>, eficaces y proporciona</w:t>
            </w:r>
            <w:r w:rsidR="00336518" w:rsidRPr="00E56A6E">
              <w:rPr>
                <w:rFonts w:asciiTheme="majorBidi" w:eastAsia="Malgun Gothic" w:hAnsiTheme="majorBidi" w:cstheme="majorBidi"/>
                <w:kern w:val="22"/>
                <w:sz w:val="20"/>
                <w:szCs w:val="20"/>
                <w:lang w:val="es-ES"/>
              </w:rPr>
              <w:t xml:space="preserve">les </w:t>
            </w:r>
            <w:r w:rsidRPr="00E56A6E">
              <w:rPr>
                <w:rFonts w:asciiTheme="majorBidi" w:eastAsia="Malgun Gothic" w:hAnsiTheme="majorBidi" w:cstheme="majorBidi"/>
                <w:kern w:val="22"/>
                <w:sz w:val="20"/>
                <w:szCs w:val="20"/>
                <w:lang w:val="es-ES"/>
              </w:rPr>
              <w:t>para aplicar el artículo 16 1) (</w:t>
            </w:r>
            <w:r w:rsidR="00D426EC" w:rsidRPr="00E56A6E">
              <w:rPr>
                <w:rFonts w:asciiTheme="majorBidi" w:eastAsia="Malgun Gothic" w:hAnsiTheme="majorBidi" w:cstheme="majorBidi"/>
                <w:kern w:val="22"/>
                <w:sz w:val="20"/>
                <w:szCs w:val="20"/>
                <w:lang w:val="es-ES"/>
              </w:rPr>
              <w:t xml:space="preserve">conocimientos </w:t>
            </w:r>
            <w:r w:rsidR="00F05DBD" w:rsidRPr="00E56A6E">
              <w:rPr>
                <w:rFonts w:asciiTheme="majorBidi" w:eastAsia="Malgun Gothic" w:hAnsiTheme="majorBidi" w:cstheme="majorBidi"/>
                <w:kern w:val="22"/>
                <w:sz w:val="20"/>
                <w:szCs w:val="20"/>
                <w:lang w:val="es-ES"/>
              </w:rPr>
              <w:t>tradicionales relacionados con los recursos genéticos</w:t>
            </w:r>
            <w:r w:rsidRPr="00E56A6E">
              <w:rPr>
                <w:rFonts w:asciiTheme="majorBidi" w:eastAsia="Malgun Gothic" w:hAnsiTheme="majorBidi" w:cstheme="majorBidi"/>
                <w:kern w:val="22"/>
                <w:sz w:val="20"/>
                <w:szCs w:val="20"/>
                <w:lang w:val="es-ES"/>
              </w:rPr>
              <w:t>)</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B332" w14:textId="6FB99914" w:rsidR="00CC433E" w:rsidRPr="00E56A6E" w:rsidRDefault="00941A43" w:rsidP="006B066D">
            <w:pPr>
              <w:jc w:val="right"/>
              <w:rPr>
                <w:sz w:val="20"/>
                <w:szCs w:val="20"/>
                <w:lang w:val="es-ES"/>
              </w:rPr>
            </w:pPr>
            <w:r w:rsidRPr="00E56A6E">
              <w:rPr>
                <w:sz w:val="20"/>
                <w:szCs w:val="20"/>
                <w:lang w:val="es-ES"/>
              </w:rPr>
              <w:t>33 (</w:t>
            </w:r>
            <w:r w:rsidR="00CC433E" w:rsidRPr="00E56A6E">
              <w:rPr>
                <w:sz w:val="20"/>
                <w:szCs w:val="20"/>
                <w:lang w:val="es-ES"/>
              </w:rPr>
              <w:t>31</w:t>
            </w:r>
            <w:r w:rsidR="00653A73" w:rsidRPr="00E56A6E">
              <w:rPr>
                <w:sz w:val="20"/>
                <w:szCs w:val="20"/>
                <w:lang w:val="es-ES"/>
              </w:rPr>
              <w:t> %</w:t>
            </w:r>
            <w:r w:rsidR="00CC433E" w:rsidRPr="00E56A6E">
              <w:rPr>
                <w:sz w:val="20"/>
                <w:szCs w:val="20"/>
                <w:lang w:val="es-ES"/>
              </w:rPr>
              <w:t>)</w:t>
            </w:r>
          </w:p>
        </w:tc>
        <w:tc>
          <w:tcPr>
            <w:tcW w:w="1512" w:type="dxa"/>
            <w:vAlign w:val="bottom"/>
          </w:tcPr>
          <w:p w14:paraId="5A916A77" w14:textId="33B62584" w:rsidR="00CC433E" w:rsidRPr="00E56A6E" w:rsidRDefault="00F6096D" w:rsidP="006B066D">
            <w:pPr>
              <w:jc w:val="right"/>
              <w:rPr>
                <w:sz w:val="20"/>
                <w:szCs w:val="20"/>
                <w:lang w:val="es-ES"/>
              </w:rPr>
            </w:pPr>
            <w:r w:rsidRPr="00E56A6E">
              <w:rPr>
                <w:sz w:val="20"/>
                <w:szCs w:val="20"/>
                <w:lang w:val="es-ES"/>
              </w:rPr>
              <w:t>71 (</w:t>
            </w:r>
            <w:r w:rsidR="00CC433E" w:rsidRPr="00E56A6E">
              <w:rPr>
                <w:sz w:val="20"/>
                <w:szCs w:val="20"/>
                <w:lang w:val="es-ES"/>
              </w:rPr>
              <w:t>50</w:t>
            </w:r>
            <w:r w:rsidR="00653A73" w:rsidRPr="00E56A6E">
              <w:rPr>
                <w:sz w:val="20"/>
                <w:szCs w:val="20"/>
                <w:lang w:val="es-ES"/>
              </w:rPr>
              <w:t> %</w:t>
            </w:r>
            <w:r w:rsidR="00CC433E" w:rsidRPr="00E56A6E">
              <w:rPr>
                <w:sz w:val="20"/>
                <w:szCs w:val="20"/>
                <w:lang w:val="es-ES"/>
              </w:rPr>
              <w:t>)</w:t>
            </w:r>
          </w:p>
        </w:tc>
      </w:tr>
    </w:tbl>
    <w:p w14:paraId="13F02AEF" w14:textId="77777777" w:rsidR="00CC433E" w:rsidRPr="00E56A6E" w:rsidRDefault="00CC433E" w:rsidP="00C7580A">
      <w:pPr>
        <w:rPr>
          <w:lang w:val="es-ES"/>
        </w:rPr>
      </w:pPr>
    </w:p>
    <w:p w14:paraId="113621EF" w14:textId="5544EA56" w:rsidR="0051703A" w:rsidRPr="00E56A6E" w:rsidRDefault="00061EFF" w:rsidP="00061EFF">
      <w:pPr>
        <w:pStyle w:val="CBDH3"/>
        <w:rPr>
          <w:lang w:val="es-ES"/>
        </w:rPr>
      </w:pPr>
      <w:r w:rsidRPr="00E56A6E">
        <w:rPr>
          <w:lang w:val="es-ES"/>
        </w:rPr>
        <w:t>2.</w:t>
      </w:r>
      <w:r w:rsidRPr="00E56A6E">
        <w:rPr>
          <w:lang w:val="es-ES"/>
        </w:rPr>
        <w:tab/>
      </w:r>
      <w:r w:rsidR="004357B2" w:rsidRPr="00E56A6E">
        <w:rPr>
          <w:lang w:val="es-ES"/>
        </w:rPr>
        <w:t>Dificultades, causas subyacentes y posibles maneras de mejorar la aplicación</w:t>
      </w:r>
      <w:r w:rsidR="00EE17C9" w:rsidRPr="00E56A6E">
        <w:rPr>
          <w:lang w:val="es-ES"/>
        </w:rPr>
        <w:t xml:space="preserve"> del Protocolo de Nagoya a la luz de la evolución de otras organizaciones internacionales pertinentes</w:t>
      </w:r>
    </w:p>
    <w:p w14:paraId="4858C2A9" w14:textId="2F0932D6" w:rsidR="00EE17C9" w:rsidRPr="00E56A6E" w:rsidRDefault="00EE17C9" w:rsidP="00EE17C9">
      <w:pPr>
        <w:pStyle w:val="CBDNormalNumber"/>
        <w:rPr>
          <w:lang w:val="es-ES"/>
        </w:rPr>
      </w:pPr>
      <w:r w:rsidRPr="00E56A6E">
        <w:rPr>
          <w:lang w:val="es-ES"/>
        </w:rPr>
        <w:t>L</w:t>
      </w:r>
      <w:r w:rsidR="00A17C09" w:rsidRPr="00E56A6E">
        <w:rPr>
          <w:lang w:val="es-ES"/>
        </w:rPr>
        <w:t xml:space="preserve">as dificultades </w:t>
      </w:r>
      <w:r w:rsidRPr="00E56A6E">
        <w:rPr>
          <w:lang w:val="es-ES"/>
        </w:rPr>
        <w:t>relacionad</w:t>
      </w:r>
      <w:r w:rsidR="00A17C09" w:rsidRPr="00E56A6E">
        <w:rPr>
          <w:lang w:val="es-ES"/>
        </w:rPr>
        <w:t>a</w:t>
      </w:r>
      <w:r w:rsidRPr="00E56A6E">
        <w:rPr>
          <w:lang w:val="es-ES"/>
        </w:rPr>
        <w:t xml:space="preserve">s con la aplicación de las medidas de acceso y participación en los beneficios relativas a los </w:t>
      </w:r>
      <w:r w:rsidR="00D426EC" w:rsidRPr="00E56A6E">
        <w:rPr>
          <w:lang w:val="es-ES"/>
        </w:rPr>
        <w:t xml:space="preserve">conocimientos </w:t>
      </w:r>
      <w:r w:rsidR="00F05DBD" w:rsidRPr="00E56A6E">
        <w:rPr>
          <w:lang w:val="es-ES"/>
        </w:rPr>
        <w:t>tradicionales relacionados con los recursos genéticos</w:t>
      </w:r>
      <w:r w:rsidRPr="00E56A6E">
        <w:rPr>
          <w:lang w:val="es-ES"/>
        </w:rPr>
        <w:t xml:space="preserve">, </w:t>
      </w:r>
      <w:r w:rsidR="00770CE7" w:rsidRPr="00E56A6E">
        <w:rPr>
          <w:lang w:val="es-ES"/>
        </w:rPr>
        <w:t>tal como</w:t>
      </w:r>
      <w:r w:rsidRPr="00E56A6E">
        <w:rPr>
          <w:lang w:val="es-ES"/>
        </w:rPr>
        <w:t xml:space="preserve"> se establece en el artículo 16, son similares a l</w:t>
      </w:r>
      <w:r w:rsidR="003E025C">
        <w:rPr>
          <w:lang w:val="es-ES"/>
        </w:rPr>
        <w:t>a</w:t>
      </w:r>
      <w:r w:rsidRPr="00E56A6E">
        <w:rPr>
          <w:lang w:val="es-ES"/>
        </w:rPr>
        <w:t>s relacionad</w:t>
      </w:r>
      <w:r w:rsidR="003E025C">
        <w:rPr>
          <w:lang w:val="es-ES"/>
        </w:rPr>
        <w:t>a</w:t>
      </w:r>
      <w:r w:rsidRPr="00E56A6E">
        <w:rPr>
          <w:lang w:val="es-ES"/>
        </w:rPr>
        <w:t xml:space="preserve">s con la aplicación del Protocolo para abarcar los recursos genéticos (véase la sección III.A.5 </w:t>
      </w:r>
      <w:r w:rsidRPr="00E56A6E">
        <w:rPr>
          <w:i/>
          <w:iCs/>
          <w:lang w:val="es-ES"/>
        </w:rPr>
        <w:t>supra</w:t>
      </w:r>
      <w:r w:rsidRPr="00E56A6E">
        <w:rPr>
          <w:lang w:val="es-ES"/>
        </w:rPr>
        <w:t>) y a l</w:t>
      </w:r>
      <w:r w:rsidR="00475CB8">
        <w:rPr>
          <w:lang w:val="es-ES"/>
        </w:rPr>
        <w:t>a</w:t>
      </w:r>
      <w:r w:rsidRPr="00E56A6E">
        <w:rPr>
          <w:lang w:val="es-ES"/>
        </w:rPr>
        <w:t xml:space="preserve">s </w:t>
      </w:r>
      <w:r w:rsidR="00032433" w:rsidRPr="00E56A6E">
        <w:rPr>
          <w:lang w:val="es-ES"/>
        </w:rPr>
        <w:t>definid</w:t>
      </w:r>
      <w:r w:rsidR="00475CB8">
        <w:rPr>
          <w:lang w:val="es-ES"/>
        </w:rPr>
        <w:t>a</w:t>
      </w:r>
      <w:r w:rsidR="00032433" w:rsidRPr="00E56A6E">
        <w:rPr>
          <w:lang w:val="es-ES"/>
        </w:rPr>
        <w:t xml:space="preserve">s </w:t>
      </w:r>
      <w:r w:rsidRPr="00E56A6E">
        <w:rPr>
          <w:lang w:val="es-ES"/>
        </w:rPr>
        <w:t xml:space="preserve">para la aplicación de las disposiciones del Protocolo relativas a los pueblos indígenas y las comunidades locales (véase la sección III.A.7 </w:t>
      </w:r>
      <w:r w:rsidRPr="00E56A6E">
        <w:rPr>
          <w:i/>
          <w:iCs/>
          <w:lang w:val="es-ES"/>
        </w:rPr>
        <w:t>supra</w:t>
      </w:r>
      <w:r w:rsidRPr="00E56A6E">
        <w:rPr>
          <w:lang w:val="es-ES"/>
        </w:rPr>
        <w:t xml:space="preserve">). </w:t>
      </w:r>
    </w:p>
    <w:p w14:paraId="1B02753F" w14:textId="739DD10E" w:rsidR="00EE17C9" w:rsidRPr="00E56A6E" w:rsidRDefault="00EE17C9" w:rsidP="00EE17C9">
      <w:pPr>
        <w:pStyle w:val="CBDNormalNumber"/>
        <w:rPr>
          <w:lang w:val="es-ES"/>
        </w:rPr>
      </w:pPr>
      <w:r w:rsidRPr="00E56A6E">
        <w:rPr>
          <w:lang w:val="es-ES"/>
        </w:rPr>
        <w:t xml:space="preserve">Ambas son esferas en las que las Partes necesitan apoyo adicional para aplicar el Protocolo y </w:t>
      </w:r>
      <w:r w:rsidR="00FD7797" w:rsidRPr="00E56A6E">
        <w:rPr>
          <w:lang w:val="es-ES"/>
        </w:rPr>
        <w:t xml:space="preserve">velar por </w:t>
      </w:r>
      <w:r w:rsidRPr="00E56A6E">
        <w:rPr>
          <w:lang w:val="es-ES"/>
        </w:rPr>
        <w:t xml:space="preserve">que los beneficios se compartan con los pueblos indígenas y las comunidades locales, según proceda. La entrada en vigor y la aplicación del Tratado sobre Propiedad Intelectual, Recursos Genéticos y </w:t>
      </w:r>
      <w:r w:rsidR="00D426EC" w:rsidRPr="00E56A6E">
        <w:rPr>
          <w:lang w:val="es-ES"/>
        </w:rPr>
        <w:t xml:space="preserve">Conocimientos </w:t>
      </w:r>
      <w:r w:rsidR="00FD7797" w:rsidRPr="00E56A6E">
        <w:rPr>
          <w:lang w:val="es-ES"/>
        </w:rPr>
        <w:t>T</w:t>
      </w:r>
      <w:r w:rsidR="00D426EC" w:rsidRPr="00E56A6E">
        <w:rPr>
          <w:lang w:val="es-ES"/>
        </w:rPr>
        <w:t xml:space="preserve">radicionales </w:t>
      </w:r>
      <w:r w:rsidR="00FD7797" w:rsidRPr="00E56A6E">
        <w:rPr>
          <w:lang w:val="es-ES"/>
        </w:rPr>
        <w:t>Asociados</w:t>
      </w:r>
      <w:r w:rsidRPr="00E56A6E">
        <w:rPr>
          <w:lang w:val="es-ES"/>
        </w:rPr>
        <w:t xml:space="preserve"> pueden respaldar </w:t>
      </w:r>
      <w:r w:rsidR="00FD7797" w:rsidRPr="00E56A6E">
        <w:rPr>
          <w:lang w:val="es-ES"/>
        </w:rPr>
        <w:t>dichas iniciativas</w:t>
      </w:r>
      <w:r w:rsidRPr="00E56A6E">
        <w:rPr>
          <w:lang w:val="es-ES"/>
        </w:rPr>
        <w:t>.</w:t>
      </w:r>
    </w:p>
    <w:p w14:paraId="787321AE" w14:textId="59B89970" w:rsidR="00CB2510" w:rsidRPr="00E56A6E" w:rsidRDefault="00061EFF" w:rsidP="006B066D">
      <w:pPr>
        <w:pStyle w:val="CBDH2"/>
        <w:jc w:val="left"/>
        <w:rPr>
          <w:rFonts w:asciiTheme="majorBidi" w:hAnsiTheme="majorBidi"/>
          <w:lang w:val="es-ES"/>
        </w:rPr>
      </w:pPr>
      <w:bookmarkStart w:id="15" w:name="_Toc231911608"/>
      <w:r w:rsidRPr="00E56A6E">
        <w:rPr>
          <w:lang w:val="es-ES"/>
        </w:rPr>
        <w:lastRenderedPageBreak/>
        <w:t>F.</w:t>
      </w:r>
      <w:r w:rsidRPr="00E56A6E">
        <w:rPr>
          <w:lang w:val="es-ES"/>
        </w:rPr>
        <w:tab/>
      </w:r>
      <w:r w:rsidR="00EE17C9" w:rsidRPr="00E56A6E">
        <w:rPr>
          <w:szCs w:val="24"/>
          <w:lang w:val="es-ES"/>
        </w:rPr>
        <w:t xml:space="preserve">Balance del uso de cláusulas contractuales </w:t>
      </w:r>
      <w:r w:rsidR="00965FF1" w:rsidRPr="00E56A6E">
        <w:rPr>
          <w:szCs w:val="24"/>
          <w:lang w:val="es-ES"/>
        </w:rPr>
        <w:t>modelo</w:t>
      </w:r>
      <w:r w:rsidR="00EE17C9" w:rsidRPr="00E56A6E">
        <w:rPr>
          <w:szCs w:val="24"/>
          <w:lang w:val="es-ES"/>
        </w:rPr>
        <w:t xml:space="preserve">, códigos de conducta, directrices, prácticas </w:t>
      </w:r>
      <w:r w:rsidR="00965FF1" w:rsidRPr="00E56A6E">
        <w:rPr>
          <w:szCs w:val="24"/>
          <w:lang w:val="es-ES"/>
        </w:rPr>
        <w:t>óptimas y estándares</w:t>
      </w:r>
      <w:r w:rsidR="00EE17C9" w:rsidRPr="00E56A6E">
        <w:rPr>
          <w:szCs w:val="24"/>
          <w:lang w:val="es-ES"/>
        </w:rPr>
        <w:t>, así como de las leyes consuetudinarias, los protocolos comunitarios y los procedimientos de los pueblos indígenas y las comunidades locales</w:t>
      </w:r>
      <w:r w:rsidR="00EE17C9" w:rsidRPr="00E56A6E">
        <w:rPr>
          <w:rStyle w:val="FootnoteReference"/>
          <w:szCs w:val="24"/>
          <w:lang w:val="es-ES"/>
        </w:rPr>
        <w:footnoteReference w:id="79"/>
      </w:r>
      <w:bookmarkEnd w:id="15"/>
      <w:r w:rsidR="001E37A2" w:rsidRPr="00E56A6E">
        <w:rPr>
          <w:sz w:val="22"/>
          <w:lang w:val="es-ES"/>
        </w:rPr>
        <w:t xml:space="preserve"> </w:t>
      </w:r>
    </w:p>
    <w:p w14:paraId="06AAE5DE" w14:textId="0560A396" w:rsidR="0056552E" w:rsidRPr="00E56A6E" w:rsidRDefault="00061EFF" w:rsidP="00061EFF">
      <w:pPr>
        <w:pStyle w:val="CBDH3"/>
        <w:rPr>
          <w:lang w:val="es-ES"/>
        </w:rPr>
      </w:pPr>
      <w:r w:rsidRPr="00E56A6E">
        <w:rPr>
          <w:lang w:val="es-ES"/>
        </w:rPr>
        <w:t>1.</w:t>
      </w:r>
      <w:r w:rsidRPr="00E56A6E">
        <w:rPr>
          <w:lang w:val="es-ES"/>
        </w:rPr>
        <w:tab/>
      </w:r>
      <w:r w:rsidR="00EE17C9" w:rsidRPr="00E56A6E">
        <w:rPr>
          <w:lang w:val="es-ES"/>
        </w:rPr>
        <w:t>Protocolos comunitarios y procedimientos de los pueblos indígenas y las comunidades locales</w:t>
      </w:r>
    </w:p>
    <w:p w14:paraId="1A1D16F2" w14:textId="65971727" w:rsidR="004469A6" w:rsidRPr="00E56A6E" w:rsidRDefault="00061EFF" w:rsidP="00061EFF">
      <w:pPr>
        <w:pStyle w:val="CBDH4"/>
        <w:rPr>
          <w:lang w:val="es-ES"/>
        </w:rPr>
      </w:pPr>
      <w:r w:rsidRPr="00E56A6E">
        <w:rPr>
          <w:lang w:val="es-ES"/>
        </w:rPr>
        <w:t>a)</w:t>
      </w:r>
      <w:r w:rsidRPr="00E56A6E">
        <w:rPr>
          <w:lang w:val="es-ES"/>
        </w:rPr>
        <w:tab/>
      </w:r>
      <w:r w:rsidR="00EE17C9" w:rsidRPr="00E56A6E">
        <w:rPr>
          <w:lang w:val="es-ES"/>
        </w:rPr>
        <w:t>Avances en la aplicación y datos actualizados de los indicadores</w:t>
      </w:r>
    </w:p>
    <w:p w14:paraId="6196630E" w14:textId="0708787D" w:rsidR="00D45E5F" w:rsidRPr="00E56A6E" w:rsidRDefault="00D45E5F" w:rsidP="00D45E5F">
      <w:pPr>
        <w:pStyle w:val="CBDNormalNumber"/>
        <w:rPr>
          <w:lang w:val="es-ES"/>
        </w:rPr>
      </w:pPr>
      <w:r w:rsidRPr="00E56A6E">
        <w:rPr>
          <w:lang w:val="es-ES"/>
        </w:rPr>
        <w:t xml:space="preserve">Los indicadores incluidos en el cuadro 13 que figura a continuación muestran un aumento </w:t>
      </w:r>
      <w:r w:rsidR="00FD7797" w:rsidRPr="00E56A6E">
        <w:rPr>
          <w:lang w:val="es-ES"/>
        </w:rPr>
        <w:t xml:space="preserve">importante </w:t>
      </w:r>
      <w:r w:rsidRPr="00E56A6E">
        <w:rPr>
          <w:lang w:val="es-ES"/>
        </w:rPr>
        <w:t xml:space="preserve">del número de protocolos comunitarios (de 3 a 48) publicados en el Centro de Intercambio de Información desde la última evaluación y revisión, en 2018. Sin embargo, se elaboraron en un número relativamente reducido de países (14) y, en su mayoría, en </w:t>
      </w:r>
      <w:r w:rsidR="00FD7797" w:rsidRPr="00E56A6E">
        <w:rPr>
          <w:lang w:val="es-ES"/>
        </w:rPr>
        <w:t>relación con</w:t>
      </w:r>
      <w:r w:rsidRPr="00E56A6E">
        <w:rPr>
          <w:lang w:val="es-ES"/>
        </w:rPr>
        <w:t xml:space="preserve"> proyectos de cooperación o de </w:t>
      </w:r>
      <w:r w:rsidR="00FD7797" w:rsidRPr="00E56A6E">
        <w:rPr>
          <w:lang w:val="es-ES"/>
        </w:rPr>
        <w:t xml:space="preserve">creación de </w:t>
      </w:r>
      <w:r w:rsidRPr="00E56A6E">
        <w:rPr>
          <w:lang w:val="es-ES"/>
        </w:rPr>
        <w:t>capacidad</w:t>
      </w:r>
      <w:r w:rsidRPr="00E56A6E">
        <w:rPr>
          <w:rStyle w:val="FootnoteReference"/>
          <w:lang w:val="es-ES"/>
        </w:rPr>
        <w:footnoteReference w:id="80"/>
      </w:r>
      <w:r w:rsidRPr="00E56A6E">
        <w:rPr>
          <w:lang w:val="es-ES"/>
        </w:rPr>
        <w:t xml:space="preserve">. </w:t>
      </w:r>
    </w:p>
    <w:p w14:paraId="6163074C" w14:textId="0B92135A" w:rsidR="00D45E5F" w:rsidRPr="00E56A6E" w:rsidRDefault="00D45E5F" w:rsidP="00D45E5F">
      <w:pPr>
        <w:pStyle w:val="CBDNormalNumber"/>
        <w:rPr>
          <w:lang w:val="es-ES"/>
        </w:rPr>
      </w:pPr>
      <w:r w:rsidRPr="00E56A6E">
        <w:rPr>
          <w:lang w:val="es-ES"/>
        </w:rPr>
        <w:t>A través del Centro de Intercambio de Información, se ofrece a los países la posibilidad de publicar protocolos comunitarios como registros nacionales y, por lo tanto, como parte de su marco y perfil nacionales. Hasta la fecha, ningún país ha hecho uso de esta opción.</w:t>
      </w:r>
    </w:p>
    <w:p w14:paraId="2F1BC813" w14:textId="7479C19B" w:rsidR="00D45E5F" w:rsidRPr="00E56A6E" w:rsidRDefault="00D45E5F" w:rsidP="00D45E5F">
      <w:pPr>
        <w:pStyle w:val="CBDNormalNumber"/>
        <w:rPr>
          <w:lang w:val="es-ES"/>
        </w:rPr>
      </w:pPr>
      <w:r w:rsidRPr="00E56A6E">
        <w:rPr>
          <w:lang w:val="es-ES"/>
        </w:rPr>
        <w:t>La elaboración y aplicación de protocolos comunitarios constituyen un elemento clave para poner en práctica las disposiciones del Protocolo de Nagoya relativas a los pueblos indígenas y las comunidades locales de una manera participativa y adaptada al contexto. Para los pueblos indígenas y las comunidades locales que desean participar en los procesos de acceso y participación en los beneficios, la elaboración de protocolos comunitarios suele ser un primer paso fundamental, ya que permite a las comunidades expresar sus valores, prácticas consuetudinarias y aspiraciones, y comunicarlos de manera eficaz a los usuarios y a las autoridades gubernamentales.</w:t>
      </w:r>
    </w:p>
    <w:p w14:paraId="7C805052" w14:textId="725B3267" w:rsidR="00D45E5F" w:rsidRPr="00E56A6E" w:rsidRDefault="00D45E5F" w:rsidP="00D45E5F">
      <w:pPr>
        <w:pStyle w:val="CBDNormalNumber"/>
        <w:rPr>
          <w:lang w:val="es-ES"/>
        </w:rPr>
      </w:pPr>
      <w:r w:rsidRPr="00E56A6E">
        <w:rPr>
          <w:lang w:val="es-ES"/>
        </w:rPr>
        <w:t xml:space="preserve">Los protocolos comunitarios pueden ayudar a los </w:t>
      </w:r>
      <w:r w:rsidR="005D5027" w:rsidRPr="00E56A6E">
        <w:rPr>
          <w:lang w:val="es-ES"/>
        </w:rPr>
        <w:t>Gobiernos</w:t>
      </w:r>
      <w:r w:rsidRPr="00E56A6E">
        <w:rPr>
          <w:lang w:val="es-ES"/>
        </w:rPr>
        <w:t xml:space="preserve"> a aplicar las disposiciones del Protocolo relativas a los pueblos indígenas y las comunidades locales, y proporcionar mayor claridad y seguridad jurídica a los posibles usuarios en cuanto a las condiciones en las que se puede conceder el acceso a los recursos genéticos o a los </w:t>
      </w:r>
      <w:r w:rsidR="00D426EC" w:rsidRPr="00E56A6E">
        <w:rPr>
          <w:lang w:val="es-ES"/>
        </w:rPr>
        <w:t>conocimientos tradicionales conexos</w:t>
      </w:r>
      <w:r w:rsidRPr="00E56A6E">
        <w:rPr>
          <w:lang w:val="es-ES"/>
        </w:rPr>
        <w:t xml:space="preserve"> que poseen los pueblos indígenas y las comunidades locales.</w:t>
      </w:r>
    </w:p>
    <w:p w14:paraId="77228FF3" w14:textId="062DC81C" w:rsidR="005063BA" w:rsidRPr="00E56A6E" w:rsidRDefault="00653A73" w:rsidP="00755898">
      <w:pPr>
        <w:pStyle w:val="CBDTableTitle"/>
        <w:rPr>
          <w:lang w:val="es-ES"/>
        </w:rPr>
      </w:pPr>
      <w:r w:rsidRPr="00E56A6E">
        <w:rPr>
          <w:b w:val="0"/>
          <w:bCs/>
          <w:lang w:val="es-ES"/>
        </w:rPr>
        <w:t>Cuadro</w:t>
      </w:r>
      <w:r w:rsidR="005063BA" w:rsidRPr="00E56A6E">
        <w:rPr>
          <w:b w:val="0"/>
          <w:bCs/>
          <w:lang w:val="es-ES"/>
        </w:rPr>
        <w:t xml:space="preserve"> 13 </w:t>
      </w:r>
      <w:r w:rsidR="00755898" w:rsidRPr="00E56A6E">
        <w:rPr>
          <w:lang w:val="es-ES"/>
        </w:rPr>
        <w:br/>
      </w:r>
      <w:r w:rsidR="006C3A7D" w:rsidRPr="00E56A6E">
        <w:rPr>
          <w:lang w:val="es-ES"/>
        </w:rPr>
        <w:t>Indicadores para medir los avances en los protocolos comunitarios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5063BA" w:rsidRPr="005A210D" w14:paraId="468D6EC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3F9450F" w14:textId="00A34534" w:rsidR="005063BA" w:rsidRPr="00E56A6E" w:rsidRDefault="00EE1C1B"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CDAF398" w14:textId="21487B58" w:rsidR="005063BA"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Punto de referencia</w:t>
            </w:r>
            <w:r w:rsidR="005063BA" w:rsidRPr="00E56A6E">
              <w:rPr>
                <w:rFonts w:asciiTheme="majorBidi" w:hAnsiTheme="majorBidi" w:cstheme="majorBidi"/>
                <w:i/>
                <w:iCs/>
                <w:kern w:val="22"/>
                <w:sz w:val="20"/>
                <w:szCs w:val="20"/>
                <w:lang w:val="es-ES"/>
              </w:rPr>
              <w:t xml:space="preserve"> </w:t>
            </w:r>
            <w:r w:rsidR="00106138" w:rsidRPr="00E56A6E">
              <w:rPr>
                <w:rFonts w:asciiTheme="majorBidi" w:hAnsiTheme="majorBidi" w:cstheme="majorBidi"/>
                <w:i/>
                <w:iCs/>
                <w:kern w:val="22"/>
                <w:sz w:val="20"/>
                <w:szCs w:val="20"/>
                <w:lang w:val="es-ES"/>
              </w:rPr>
              <w:br/>
            </w:r>
            <w:r w:rsidR="005063BA" w:rsidRPr="00E56A6E">
              <w:rPr>
                <w:rFonts w:asciiTheme="majorBidi" w:hAnsiTheme="majorBidi" w:cstheme="majorBidi"/>
                <w:i/>
                <w:iCs/>
                <w:kern w:val="22"/>
                <w:sz w:val="20"/>
                <w:szCs w:val="20"/>
                <w:lang w:val="es-ES"/>
              </w:rPr>
              <w:t>(</w:t>
            </w:r>
            <w:r w:rsidRPr="00E56A6E">
              <w:rPr>
                <w:rFonts w:asciiTheme="majorBidi" w:hAnsiTheme="majorBidi" w:cstheme="majorBidi"/>
                <w:i/>
                <w:iCs/>
                <w:kern w:val="22"/>
                <w:sz w:val="20"/>
                <w:szCs w:val="20"/>
                <w:lang w:val="es-ES"/>
              </w:rPr>
              <w:t>al 22 de febrero de 2018</w:t>
            </w:r>
            <w:r w:rsidR="005063BA" w:rsidRPr="00E56A6E">
              <w:rPr>
                <w:rFonts w:asciiTheme="majorBidi" w:hAnsiTheme="majorBidi" w:cstheme="majorBidi"/>
                <w:i/>
                <w:iCs/>
                <w:kern w:val="22"/>
                <w:sz w:val="20"/>
                <w:szCs w:val="20"/>
                <w:lang w:val="es-ES"/>
              </w:rPr>
              <w:t>)</w:t>
            </w:r>
          </w:p>
        </w:tc>
        <w:tc>
          <w:tcPr>
            <w:tcW w:w="1512" w:type="dxa"/>
            <w:tcBorders>
              <w:top w:val="single" w:sz="4" w:space="0" w:color="auto"/>
              <w:left w:val="single" w:sz="4" w:space="0" w:color="auto"/>
              <w:bottom w:val="single" w:sz="4" w:space="0" w:color="auto"/>
              <w:right w:val="single" w:sz="4" w:space="0" w:color="auto"/>
            </w:tcBorders>
            <w:vAlign w:val="bottom"/>
          </w:tcPr>
          <w:p w14:paraId="46BFC8F6" w14:textId="134B9F6D" w:rsidR="005063BA"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Avances al 9 de marzo de 2026</w:t>
            </w:r>
          </w:p>
        </w:tc>
      </w:tr>
      <w:tr w:rsidR="00846463" w:rsidRPr="00E56A6E" w14:paraId="76DC58B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AE02B07" w14:textId="15D58882" w:rsidR="00846463" w:rsidRPr="00E56A6E" w:rsidRDefault="00846463" w:rsidP="00846463">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lang w:val="es-ES"/>
              </w:rPr>
            </w:pPr>
            <w:r w:rsidRPr="00E56A6E">
              <w:rPr>
                <w:sz w:val="20"/>
                <w:szCs w:val="20"/>
                <w:lang w:val="es-ES"/>
              </w:rPr>
              <w:t>Número de protocolos y procedimientos comunitarios elaborados por pueblos indígenas y comunidades locales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DF77BF" w14:textId="7BACC3B2" w:rsidR="00846463" w:rsidRPr="00E56A6E" w:rsidRDefault="00383127" w:rsidP="008464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Sin información concluyente</w:t>
            </w:r>
          </w:p>
        </w:tc>
        <w:tc>
          <w:tcPr>
            <w:tcW w:w="1512" w:type="dxa"/>
            <w:tcBorders>
              <w:top w:val="single" w:sz="4" w:space="0" w:color="auto"/>
            </w:tcBorders>
            <w:vAlign w:val="bottom"/>
          </w:tcPr>
          <w:p w14:paraId="4C01A9CF" w14:textId="77777777" w:rsidR="00846463" w:rsidRPr="00E56A6E" w:rsidRDefault="00846463" w:rsidP="008464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48</w:t>
            </w:r>
          </w:p>
        </w:tc>
      </w:tr>
      <w:tr w:rsidR="00846463" w:rsidRPr="00E56A6E" w14:paraId="41BFC65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44619B" w14:textId="7DF851BD" w:rsidR="00846463" w:rsidRPr="00E56A6E" w:rsidRDefault="00846463" w:rsidP="00846463">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lang w:val="es-ES"/>
              </w:rPr>
            </w:pPr>
            <w:r w:rsidRPr="00E56A6E">
              <w:rPr>
                <w:sz w:val="20"/>
                <w:szCs w:val="20"/>
                <w:lang w:val="es-ES"/>
              </w:rPr>
              <w:t xml:space="preserve">Número de leyes consuetudinarias, protocolos y procedimientos comunitarios de pueblos indígenas y comunidades locales disponibles como registros de referencia en el </w:t>
            </w:r>
            <w:r w:rsidR="00467E2F" w:rsidRPr="00E56A6E">
              <w:rPr>
                <w:sz w:val="20"/>
                <w:szCs w:val="20"/>
                <w:lang w:val="es-ES"/>
              </w:rPr>
              <w:t>Centro de Intercambio de Información sobre Acceso y Participación en los Beneficios</w:t>
            </w:r>
            <w:r w:rsidRPr="00E56A6E">
              <w:rPr>
                <w:i/>
                <w:iCs/>
                <w:sz w:val="20"/>
                <w:szCs w:val="20"/>
                <w:vertAlign w:val="superscript"/>
                <w:lang w:val="es-ES"/>
              </w:rPr>
              <w:t>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6184B3" w14:textId="77777777" w:rsidR="00846463" w:rsidRPr="00E56A6E" w:rsidRDefault="00846463" w:rsidP="008464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w:t>
            </w:r>
          </w:p>
        </w:tc>
        <w:tc>
          <w:tcPr>
            <w:tcW w:w="1512" w:type="dxa"/>
            <w:vAlign w:val="bottom"/>
          </w:tcPr>
          <w:p w14:paraId="582C9793" w14:textId="7BD56C33" w:rsidR="00846463" w:rsidRPr="00E56A6E" w:rsidRDefault="00846463" w:rsidP="00846463">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44 (92 %)</w:t>
            </w:r>
          </w:p>
        </w:tc>
      </w:tr>
    </w:tbl>
    <w:p w14:paraId="6D886C4C" w14:textId="2FA988D6" w:rsidR="00D66729" w:rsidRPr="00E56A6E" w:rsidRDefault="001404A0" w:rsidP="006B066D">
      <w:pPr>
        <w:ind w:left="993" w:hanging="284"/>
        <w:rPr>
          <w:sz w:val="18"/>
          <w:szCs w:val="18"/>
          <w:highlight w:val="yellow"/>
          <w:lang w:val="es-ES"/>
        </w:rPr>
      </w:pPr>
      <w:r w:rsidRPr="00E56A6E">
        <w:rPr>
          <w:i/>
          <w:iCs/>
          <w:vertAlign w:val="superscript"/>
          <w:lang w:val="es-ES"/>
        </w:rPr>
        <w:t>a</w:t>
      </w:r>
      <w:r w:rsidRPr="00E56A6E">
        <w:rPr>
          <w:lang w:val="es-ES"/>
        </w:rPr>
        <w:tab/>
      </w:r>
      <w:r w:rsidR="00846463" w:rsidRPr="00E56A6E">
        <w:rPr>
          <w:sz w:val="18"/>
          <w:szCs w:val="18"/>
          <w:lang w:val="es-ES"/>
        </w:rPr>
        <w:t>El indicador se ha modificado para aclarar que tiene en cuenta la información presentada como registros de referencia en la categoría “protocolos y procedimientos comunitarios y derecho consuetudinario”.</w:t>
      </w:r>
    </w:p>
    <w:p w14:paraId="25AF7E52" w14:textId="349DF0B4" w:rsidR="00D66729" w:rsidRPr="00E56A6E" w:rsidRDefault="00755898" w:rsidP="00755898">
      <w:pPr>
        <w:pStyle w:val="CBDH4"/>
        <w:rPr>
          <w:lang w:val="es-ES"/>
        </w:rPr>
      </w:pPr>
      <w:r w:rsidRPr="00E56A6E">
        <w:rPr>
          <w:lang w:val="es-ES"/>
        </w:rPr>
        <w:t>b)</w:t>
      </w:r>
      <w:r w:rsidRPr="00E56A6E">
        <w:rPr>
          <w:lang w:val="es-ES"/>
        </w:rPr>
        <w:tab/>
      </w:r>
      <w:r w:rsidR="00034F8F" w:rsidRPr="00E56A6E">
        <w:rPr>
          <w:lang w:val="es-ES"/>
        </w:rPr>
        <w:t>Dificultades</w:t>
      </w:r>
      <w:r w:rsidR="00795389" w:rsidRPr="00E56A6E">
        <w:rPr>
          <w:lang w:val="es-ES"/>
        </w:rPr>
        <w:t xml:space="preserve">, </w:t>
      </w:r>
      <w:r w:rsidR="0030514E" w:rsidRPr="00E56A6E">
        <w:rPr>
          <w:lang w:val="es-ES"/>
        </w:rPr>
        <w:t>causas subyacentes</w:t>
      </w:r>
      <w:r w:rsidR="00795389" w:rsidRPr="00E56A6E">
        <w:rPr>
          <w:lang w:val="es-ES"/>
        </w:rPr>
        <w:t xml:space="preserve"> y posibles </w:t>
      </w:r>
      <w:r w:rsidR="00034F8F" w:rsidRPr="00E56A6E">
        <w:rPr>
          <w:lang w:val="es-ES"/>
        </w:rPr>
        <w:t>maneras</w:t>
      </w:r>
      <w:r w:rsidR="00795389" w:rsidRPr="00E56A6E">
        <w:rPr>
          <w:lang w:val="es-ES"/>
        </w:rPr>
        <w:t xml:space="preserve"> de potenciar el uso de los protocolos comunitarios para apoyar la aplicación del Protocolo de Nagoya</w:t>
      </w:r>
    </w:p>
    <w:p w14:paraId="5EB0D3F3" w14:textId="1811B9C6" w:rsidR="00795389" w:rsidRPr="00E56A6E" w:rsidRDefault="00795389" w:rsidP="00795389">
      <w:pPr>
        <w:pStyle w:val="CBDNormalNumber"/>
        <w:rPr>
          <w:lang w:val="es-ES"/>
        </w:rPr>
      </w:pPr>
      <w:r w:rsidRPr="00E56A6E">
        <w:rPr>
          <w:lang w:val="es-ES"/>
        </w:rPr>
        <w:t xml:space="preserve">Gran parte de la labor </w:t>
      </w:r>
      <w:r w:rsidR="00BE36C5" w:rsidRPr="00E56A6E">
        <w:rPr>
          <w:lang w:val="es-ES"/>
        </w:rPr>
        <w:t xml:space="preserve">realizada </w:t>
      </w:r>
      <w:r w:rsidRPr="00E56A6E">
        <w:rPr>
          <w:lang w:val="es-ES"/>
        </w:rPr>
        <w:t xml:space="preserve">para </w:t>
      </w:r>
      <w:r w:rsidR="00BE36C5" w:rsidRPr="00E56A6E">
        <w:rPr>
          <w:lang w:val="es-ES"/>
        </w:rPr>
        <w:t xml:space="preserve">respaldar </w:t>
      </w:r>
      <w:r w:rsidRPr="00E56A6E">
        <w:rPr>
          <w:lang w:val="es-ES"/>
        </w:rPr>
        <w:t xml:space="preserve">la elaboración y aplicación de los protocolos comunitarios parece haberse llevado a cabo mediante proyectos e iniciativas de </w:t>
      </w:r>
      <w:r w:rsidR="00FD7797" w:rsidRPr="00E56A6E">
        <w:rPr>
          <w:lang w:val="es-ES"/>
        </w:rPr>
        <w:t xml:space="preserve">creación </w:t>
      </w:r>
      <w:r w:rsidRPr="00E56A6E">
        <w:rPr>
          <w:lang w:val="es-ES"/>
        </w:rPr>
        <w:t xml:space="preserve">de capacidad. Por ejemplo, muchos de los que se publican actualmente en el Centro de Intercambio de Información son el resultado de diferentes proyectos financiados por el FMAM. Sin recursos </w:t>
      </w:r>
      <w:r w:rsidRPr="00E56A6E">
        <w:rPr>
          <w:lang w:val="es-ES"/>
        </w:rPr>
        <w:lastRenderedPageBreak/>
        <w:t>adicionales, las Partes y los pueblos indígenas y las comunidades locales no suelen mantener la capacidad para llevar a cabo dicha labor. Los protocolos comunitarios se están elaborando y utilizando en diversos contextos, entre los que se incluyen, entre otros, el acceso y la participación en los beneficios. La incorporación de elementos de acceso y participación en los beneficios en los protocolos comunitarios existentes relacionados con la gestión de los recursos o de la tierra o con el biocomercio puede facilitar el proceso.</w:t>
      </w:r>
    </w:p>
    <w:p w14:paraId="40BFF049" w14:textId="3EF69D3E" w:rsidR="00795389" w:rsidRPr="00E56A6E" w:rsidRDefault="00795389" w:rsidP="00795389">
      <w:pPr>
        <w:pStyle w:val="CBDNormalNumber"/>
        <w:rPr>
          <w:lang w:val="es-ES"/>
        </w:rPr>
      </w:pPr>
      <w:r w:rsidRPr="00E56A6E">
        <w:rPr>
          <w:lang w:val="es-ES"/>
        </w:rPr>
        <w:t xml:space="preserve">Aunque las comunidades de varios países han elaborado protocolos comunitarios, su reconocimiento oficial por parte de las autoridades nacionales encargadas del acceso y la participación en los beneficios varía de un país a otro. Además, aunque puedan estar reconocidos oficialmente por el Gobierno, su aplicación puede ser irregular. En otros países, aunque aún no se ha establecido ningún marco nacional de acceso y participación en los beneficios, diferentes comunidades han elaborado protocolos comunitarios que regulan el acceso a los recursos genéticos y a los </w:t>
      </w:r>
      <w:r w:rsidR="00D426EC" w:rsidRPr="00E56A6E">
        <w:rPr>
          <w:lang w:val="es-ES"/>
        </w:rPr>
        <w:t>conocimientos tradicionales conexos</w:t>
      </w:r>
      <w:r w:rsidRPr="00E56A6E">
        <w:rPr>
          <w:lang w:val="es-ES"/>
        </w:rPr>
        <w:t xml:space="preserve">. El hecho de que las autoridades gubernamentales puedan desconocer la existencia de esos protocolos puede hacer que la búsqueda de información sobre ellos resulte </w:t>
      </w:r>
      <w:r w:rsidR="00BE36C5" w:rsidRPr="00E56A6E">
        <w:rPr>
          <w:lang w:val="es-ES"/>
        </w:rPr>
        <w:t xml:space="preserve">difícil </w:t>
      </w:r>
      <w:r w:rsidRPr="00E56A6E">
        <w:rPr>
          <w:lang w:val="es-ES"/>
        </w:rPr>
        <w:t xml:space="preserve">para los usuarios. </w:t>
      </w:r>
    </w:p>
    <w:p w14:paraId="1E7206A6" w14:textId="7E19145C" w:rsidR="00795389" w:rsidRPr="00E56A6E" w:rsidRDefault="00795389" w:rsidP="00795389">
      <w:pPr>
        <w:pStyle w:val="CBDNormalNumber"/>
        <w:rPr>
          <w:lang w:val="es-ES"/>
        </w:rPr>
      </w:pPr>
      <w:r w:rsidRPr="00E56A6E">
        <w:rPr>
          <w:lang w:val="es-ES"/>
        </w:rPr>
        <w:t xml:space="preserve">El intercambio de información sobre los protocolos comunitarios a través del Centro de Intercambio de Información ayuda a los </w:t>
      </w:r>
      <w:r w:rsidR="00BE36C5" w:rsidRPr="00E56A6E">
        <w:rPr>
          <w:lang w:val="es-ES"/>
        </w:rPr>
        <w:t xml:space="preserve">posibles </w:t>
      </w:r>
      <w:r w:rsidRPr="00E56A6E">
        <w:rPr>
          <w:lang w:val="es-ES"/>
        </w:rPr>
        <w:t xml:space="preserve">usuarios a comprender cómo acceder a los </w:t>
      </w:r>
      <w:r w:rsidR="00D426EC" w:rsidRPr="00E56A6E">
        <w:rPr>
          <w:lang w:val="es-ES"/>
        </w:rPr>
        <w:t xml:space="preserve">conocimientos </w:t>
      </w:r>
      <w:r w:rsidR="00F05DBD" w:rsidRPr="00E56A6E">
        <w:rPr>
          <w:lang w:val="es-ES"/>
        </w:rPr>
        <w:t>tradicionales relacionados con los recursos genéticos</w:t>
      </w:r>
      <w:r w:rsidRPr="00E56A6E">
        <w:rPr>
          <w:lang w:val="es-ES"/>
        </w:rPr>
        <w:t xml:space="preserve"> dentro de una comunidad. Además, las Partes pueden publicar esa información como parte de los registros nacionales del Centro de Intercambio de Información, con el fin de facilitar el reconocimiento de estas herramientas como un componente del marco nacional de acceso y participación en los beneficios.</w:t>
      </w:r>
    </w:p>
    <w:p w14:paraId="249E0EF7" w14:textId="1D148AF2" w:rsidR="00795389" w:rsidRPr="00E56A6E" w:rsidRDefault="00795389" w:rsidP="00795389">
      <w:pPr>
        <w:pStyle w:val="CBDNormalNumber"/>
        <w:rPr>
          <w:lang w:val="es-ES"/>
        </w:rPr>
      </w:pPr>
      <w:r w:rsidRPr="00E56A6E">
        <w:rPr>
          <w:lang w:val="es-ES"/>
        </w:rPr>
        <w:t>Compartir las experiencias existentes y las lecciones aprendidas de</w:t>
      </w:r>
      <w:r w:rsidR="00BE36C5" w:rsidRPr="00E56A6E">
        <w:rPr>
          <w:lang w:val="es-ES"/>
        </w:rPr>
        <w:t xml:space="preserve"> </w:t>
      </w:r>
      <w:r w:rsidRPr="00E56A6E">
        <w:rPr>
          <w:lang w:val="es-ES"/>
        </w:rPr>
        <w:t>l</w:t>
      </w:r>
      <w:r w:rsidR="00BE36C5" w:rsidRPr="00E56A6E">
        <w:rPr>
          <w:lang w:val="es-ES"/>
        </w:rPr>
        <w:t xml:space="preserve">a elaboración </w:t>
      </w:r>
      <w:r w:rsidRPr="00E56A6E">
        <w:rPr>
          <w:lang w:val="es-ES"/>
        </w:rPr>
        <w:t xml:space="preserve">y aplicación de protocolos y procedimientos comunitarios podría resultar útil para quienes trabajan en la </w:t>
      </w:r>
      <w:r w:rsidR="008A7FF7" w:rsidRPr="00E56A6E">
        <w:rPr>
          <w:lang w:val="es-ES"/>
        </w:rPr>
        <w:t xml:space="preserve">preparación </w:t>
      </w:r>
      <w:r w:rsidRPr="00E56A6E">
        <w:rPr>
          <w:lang w:val="es-ES"/>
        </w:rPr>
        <w:t xml:space="preserve">de protocolos o para quienes tienen previsto hacerlo. </w:t>
      </w:r>
    </w:p>
    <w:p w14:paraId="7CBA720D" w14:textId="721201BC" w:rsidR="005C2C9B" w:rsidRPr="00E56A6E" w:rsidRDefault="0038691C" w:rsidP="0038691C">
      <w:pPr>
        <w:pStyle w:val="CBDH3"/>
        <w:rPr>
          <w:lang w:val="es-ES"/>
        </w:rPr>
      </w:pPr>
      <w:r w:rsidRPr="00E56A6E">
        <w:rPr>
          <w:lang w:val="es-ES"/>
        </w:rPr>
        <w:t>2.</w:t>
      </w:r>
      <w:r w:rsidRPr="00E56A6E">
        <w:rPr>
          <w:lang w:val="es-ES"/>
        </w:rPr>
        <w:tab/>
      </w:r>
      <w:r w:rsidR="00795389" w:rsidRPr="00E56A6E">
        <w:rPr>
          <w:lang w:val="es-ES"/>
        </w:rPr>
        <w:t xml:space="preserve">Cláusulas contractuales </w:t>
      </w:r>
      <w:r w:rsidR="008A7FF7" w:rsidRPr="00E56A6E">
        <w:rPr>
          <w:lang w:val="es-ES"/>
        </w:rPr>
        <w:t>modelo</w:t>
      </w:r>
      <w:r w:rsidR="00795389" w:rsidRPr="00E56A6E">
        <w:rPr>
          <w:lang w:val="es-ES"/>
        </w:rPr>
        <w:t xml:space="preserve"> y códigos de conducta, directrices, prácticas </w:t>
      </w:r>
      <w:r w:rsidR="008A7FF7" w:rsidRPr="00E56A6E">
        <w:rPr>
          <w:lang w:val="es-ES"/>
        </w:rPr>
        <w:t>óptimas o estándares</w:t>
      </w:r>
      <w:r w:rsidR="00795389" w:rsidRPr="00E56A6E">
        <w:rPr>
          <w:lang w:val="es-ES"/>
        </w:rPr>
        <w:t xml:space="preserve"> (artículos 19 y 20)</w:t>
      </w:r>
      <w:r w:rsidR="00795389" w:rsidRPr="00E56A6E">
        <w:rPr>
          <w:rStyle w:val="FootnoteReference"/>
          <w:lang w:val="es-ES"/>
        </w:rPr>
        <w:footnoteReference w:id="81"/>
      </w:r>
      <w:r w:rsidR="001E37A2" w:rsidRPr="00E56A6E">
        <w:rPr>
          <w:lang w:val="es-ES"/>
        </w:rPr>
        <w:t xml:space="preserve"> </w:t>
      </w:r>
    </w:p>
    <w:p w14:paraId="26EE9F23" w14:textId="50D56B7E" w:rsidR="00D66729" w:rsidRPr="00E56A6E" w:rsidRDefault="0038691C" w:rsidP="0038691C">
      <w:pPr>
        <w:pStyle w:val="CBDH4"/>
        <w:rPr>
          <w:lang w:val="es-ES"/>
        </w:rPr>
      </w:pPr>
      <w:r w:rsidRPr="00E56A6E">
        <w:rPr>
          <w:lang w:val="es-ES"/>
        </w:rPr>
        <w:t>a)</w:t>
      </w:r>
      <w:r w:rsidRPr="00E56A6E">
        <w:rPr>
          <w:lang w:val="es-ES"/>
        </w:rPr>
        <w:tab/>
      </w:r>
      <w:r w:rsidR="00795389" w:rsidRPr="00E56A6E">
        <w:rPr>
          <w:lang w:val="es-ES"/>
        </w:rPr>
        <w:t>Avances en la aplicación y datos actualizados sobre los indicadores</w:t>
      </w:r>
    </w:p>
    <w:p w14:paraId="699FD97A" w14:textId="2336FF94" w:rsidR="00795389" w:rsidRPr="00E56A6E" w:rsidRDefault="00795389" w:rsidP="00795389">
      <w:pPr>
        <w:pStyle w:val="CBDNormalNumber"/>
        <w:rPr>
          <w:lang w:val="es-ES"/>
        </w:rPr>
      </w:pPr>
      <w:r w:rsidRPr="00E56A6E">
        <w:rPr>
          <w:lang w:val="es-ES"/>
        </w:rPr>
        <w:t>Las organizaciones y redes de usuarios desempeñan un papel importante a la hora de atender las necesidades de sus miembros</w:t>
      </w:r>
      <w:r w:rsidR="00775B38" w:rsidRPr="00E56A6E">
        <w:rPr>
          <w:lang w:val="es-ES"/>
        </w:rPr>
        <w:t xml:space="preserve"> elaborando </w:t>
      </w:r>
      <w:r w:rsidRPr="00E56A6E">
        <w:rPr>
          <w:lang w:val="es-ES"/>
        </w:rPr>
        <w:t xml:space="preserve">herramientas que aclaran cómo se puede incorporar el acceso y la participación en los beneficios a su práctica, y ayudando a las organizaciones miembros a cumplir los requisitos de acceso y participación en los beneficios. Las cláusulas contractuales </w:t>
      </w:r>
      <w:r w:rsidR="008A7FF7" w:rsidRPr="00E56A6E">
        <w:rPr>
          <w:lang w:val="es-ES"/>
        </w:rPr>
        <w:t>modelo</w:t>
      </w:r>
      <w:r w:rsidR="00775B38" w:rsidRPr="00E56A6E">
        <w:rPr>
          <w:lang w:val="es-ES"/>
        </w:rPr>
        <w:t xml:space="preserve"> y</w:t>
      </w:r>
      <w:r w:rsidR="008A7FF7" w:rsidRPr="00E56A6E">
        <w:rPr>
          <w:lang w:val="es-ES"/>
        </w:rPr>
        <w:t xml:space="preserve"> los </w:t>
      </w:r>
      <w:r w:rsidRPr="00E56A6E">
        <w:rPr>
          <w:lang w:val="es-ES"/>
        </w:rPr>
        <w:t xml:space="preserve">códigos de conducta, </w:t>
      </w:r>
      <w:r w:rsidR="008A7FF7" w:rsidRPr="00E56A6E">
        <w:rPr>
          <w:lang w:val="es-ES"/>
        </w:rPr>
        <w:t xml:space="preserve">las </w:t>
      </w:r>
      <w:r w:rsidRPr="00E56A6E">
        <w:rPr>
          <w:lang w:val="es-ES"/>
        </w:rPr>
        <w:t xml:space="preserve">directrices, </w:t>
      </w:r>
      <w:r w:rsidR="008A7FF7" w:rsidRPr="00E56A6E">
        <w:rPr>
          <w:lang w:val="es-ES"/>
        </w:rPr>
        <w:t xml:space="preserve">las </w:t>
      </w:r>
      <w:r w:rsidRPr="00E56A6E">
        <w:rPr>
          <w:lang w:val="es-ES"/>
        </w:rPr>
        <w:t xml:space="preserve">prácticas </w:t>
      </w:r>
      <w:r w:rsidR="008A7FF7" w:rsidRPr="00E56A6E">
        <w:rPr>
          <w:lang w:val="es-ES"/>
        </w:rPr>
        <w:t xml:space="preserve">óptimas </w:t>
      </w:r>
      <w:r w:rsidRPr="00E56A6E">
        <w:rPr>
          <w:lang w:val="es-ES"/>
        </w:rPr>
        <w:t xml:space="preserve">y </w:t>
      </w:r>
      <w:r w:rsidR="008A7FF7" w:rsidRPr="00E56A6E">
        <w:rPr>
          <w:lang w:val="es-ES"/>
        </w:rPr>
        <w:t xml:space="preserve">los estándares </w:t>
      </w:r>
      <w:r w:rsidRPr="00E56A6E">
        <w:rPr>
          <w:lang w:val="es-ES"/>
        </w:rPr>
        <w:t>son algunas de esas herramientas</w:t>
      </w:r>
      <w:r w:rsidRPr="00E56A6E">
        <w:rPr>
          <w:rStyle w:val="FootnoteReference"/>
          <w:lang w:val="es-ES"/>
        </w:rPr>
        <w:footnoteReference w:id="82"/>
      </w:r>
      <w:r w:rsidRPr="00E56A6E">
        <w:rPr>
          <w:lang w:val="es-ES"/>
        </w:rPr>
        <w:t>.</w:t>
      </w:r>
    </w:p>
    <w:p w14:paraId="34670639" w14:textId="54D84A6F" w:rsidR="00795389" w:rsidRPr="00E56A6E" w:rsidRDefault="00795389" w:rsidP="00795389">
      <w:pPr>
        <w:pStyle w:val="CBDNormalNumber"/>
        <w:rPr>
          <w:lang w:val="es-ES"/>
        </w:rPr>
      </w:pPr>
      <w:r w:rsidRPr="00E56A6E">
        <w:rPr>
          <w:lang w:val="es-ES"/>
        </w:rPr>
        <w:t>Debido a los cambios introducidos en la metodología aplicada</w:t>
      </w:r>
      <w:r w:rsidRPr="00E56A6E">
        <w:rPr>
          <w:vertAlign w:val="superscript"/>
          <w:lang w:val="es-ES"/>
        </w:rPr>
        <w:footnoteReference w:id="83"/>
      </w:r>
      <w:r w:rsidRPr="00E56A6E">
        <w:rPr>
          <w:lang w:val="es-ES"/>
        </w:rPr>
        <w:t xml:space="preserve">, los resultados de este ejercicio de balance no son directamente comparables con los del punto de referencia de 2018 (véase el cuadro 14 más adelante). Además, algunos documentos abarcan varios tipos de instrumentos (por ejemplo, un mismo documento puede incluir tanto </w:t>
      </w:r>
      <w:r w:rsidR="00775B38" w:rsidRPr="00E56A6E">
        <w:rPr>
          <w:lang w:val="es-ES"/>
        </w:rPr>
        <w:t xml:space="preserve">estándares </w:t>
      </w:r>
      <w:r w:rsidRPr="00E56A6E">
        <w:rPr>
          <w:lang w:val="es-ES"/>
        </w:rPr>
        <w:t xml:space="preserve">sobre acceso y participación en los beneficios </w:t>
      </w:r>
      <w:r w:rsidRPr="00E56A6E">
        <w:rPr>
          <w:lang w:val="es-ES"/>
        </w:rPr>
        <w:lastRenderedPageBreak/>
        <w:t xml:space="preserve">como cláusulas contractuales </w:t>
      </w:r>
      <w:r w:rsidR="00775B38" w:rsidRPr="00E56A6E">
        <w:rPr>
          <w:lang w:val="es-ES"/>
        </w:rPr>
        <w:t>modelo</w:t>
      </w:r>
      <w:r w:rsidRPr="00E56A6E">
        <w:rPr>
          <w:lang w:val="es-ES"/>
        </w:rPr>
        <w:t xml:space="preserve">). Por lo tanto, existe un solapamiento entre las herramientas notificadas en virtud del artículo 19 y las notificadas en virtud del artículo 20. </w:t>
      </w:r>
    </w:p>
    <w:p w14:paraId="6F667792" w14:textId="557BBA84" w:rsidR="00795389" w:rsidRPr="00E56A6E" w:rsidRDefault="00795389" w:rsidP="00795389">
      <w:pPr>
        <w:pStyle w:val="CBDNormalNumber"/>
        <w:rPr>
          <w:lang w:val="es-ES"/>
        </w:rPr>
      </w:pPr>
      <w:r w:rsidRPr="00E56A6E">
        <w:rPr>
          <w:lang w:val="es-ES"/>
        </w:rPr>
        <w:t xml:space="preserve">Además de las herramientas contempladas en los artículos 19 y 20, las organizaciones de usuarios y otros actores pertinentes han desarrollado una serie de enfoques y recursos para </w:t>
      </w:r>
      <w:r w:rsidR="00775B38" w:rsidRPr="00E56A6E">
        <w:rPr>
          <w:lang w:val="es-ES"/>
        </w:rPr>
        <w:t xml:space="preserve">asegurar </w:t>
      </w:r>
      <w:r w:rsidRPr="00E56A6E">
        <w:rPr>
          <w:lang w:val="es-ES"/>
        </w:rPr>
        <w:t xml:space="preserve">el cumplimiento de los requisitos legales nacionales en materia de acceso y participación en los beneficios, tanto de los países proveedores como de los países usuarios. Entre ellos figuran sistemas y bases de datos internos en línea sobre medidas nacionales de acceso y participación en los beneficios, listas de verificación, sistemas internos de diligencia debida en materia de acceso y participación en los beneficios y procedimientos operativos estándar, </w:t>
      </w:r>
      <w:r w:rsidR="00775B38" w:rsidRPr="00E56A6E">
        <w:rPr>
          <w:lang w:val="es-ES"/>
        </w:rPr>
        <w:t xml:space="preserve">por </w:t>
      </w:r>
      <w:proofErr w:type="gramStart"/>
      <w:r w:rsidR="00775B38" w:rsidRPr="00E56A6E">
        <w:rPr>
          <w:lang w:val="es-ES"/>
        </w:rPr>
        <w:t>ejemplo</w:t>
      </w:r>
      <w:proofErr w:type="gramEnd"/>
      <w:r w:rsidR="00775B38" w:rsidRPr="00E56A6E">
        <w:rPr>
          <w:lang w:val="es-ES"/>
        </w:rPr>
        <w:t xml:space="preserve"> </w:t>
      </w:r>
      <w:r w:rsidRPr="00E56A6E">
        <w:rPr>
          <w:lang w:val="es-ES"/>
        </w:rPr>
        <w:t>flujos de trabajo y protocolos de documentación claros, sesiones internas de sensibilización y capacitación, y servicios de asesoramiento. Las instituciones más pequeñas con recursos más limitados se han beneficiado del apoyo jurídico y técnico externo</w:t>
      </w:r>
      <w:r w:rsidRPr="00E56A6E">
        <w:rPr>
          <w:rStyle w:val="FootnoteReference"/>
          <w:lang w:val="es-ES"/>
        </w:rPr>
        <w:footnoteReference w:id="84"/>
      </w:r>
      <w:r w:rsidRPr="00E56A6E">
        <w:rPr>
          <w:lang w:val="es-ES"/>
        </w:rPr>
        <w:t>.</w:t>
      </w:r>
    </w:p>
    <w:p w14:paraId="356B1F63" w14:textId="3BFA8715" w:rsidR="00795389" w:rsidRPr="00E56A6E" w:rsidRDefault="00795389" w:rsidP="00795389">
      <w:pPr>
        <w:pStyle w:val="CBDNormalNumber"/>
        <w:rPr>
          <w:lang w:val="es-ES"/>
        </w:rPr>
      </w:pPr>
      <w:r w:rsidRPr="00E56A6E">
        <w:rPr>
          <w:lang w:val="es-ES"/>
        </w:rPr>
        <w:t xml:space="preserve">En los primeros informes nacionales, 62 Partes (el 43 %) indicaron que su país había animado a otros actores a elaborar, actualizar y utilizar cláusulas contractuales </w:t>
      </w:r>
      <w:r w:rsidR="008A7FF7" w:rsidRPr="00E56A6E">
        <w:rPr>
          <w:lang w:val="es-ES"/>
        </w:rPr>
        <w:t xml:space="preserve">modelo </w:t>
      </w:r>
      <w:r w:rsidRPr="00E56A6E">
        <w:rPr>
          <w:lang w:val="es-ES"/>
        </w:rPr>
        <w:t xml:space="preserve">para establecer condiciones </w:t>
      </w:r>
      <w:r w:rsidR="00AD27E0" w:rsidRPr="00E56A6E">
        <w:rPr>
          <w:lang w:val="es-ES"/>
        </w:rPr>
        <w:t>mutuamente acordadas</w:t>
      </w:r>
      <w:r w:rsidRPr="00E56A6E">
        <w:rPr>
          <w:lang w:val="es-ES"/>
        </w:rPr>
        <w:t xml:space="preserve">, y 68 Partes (el 48 %) </w:t>
      </w:r>
      <w:r w:rsidR="00775B38" w:rsidRPr="00E56A6E">
        <w:rPr>
          <w:lang w:val="es-ES"/>
        </w:rPr>
        <w:t xml:space="preserve">señalaron </w:t>
      </w:r>
      <w:r w:rsidRPr="00E56A6E">
        <w:rPr>
          <w:lang w:val="es-ES"/>
        </w:rPr>
        <w:t xml:space="preserve">que su país había animado a otros actores a elaborar, actualizar y utilizar códigos de conducta, directrices y prácticas </w:t>
      </w:r>
      <w:r w:rsidR="00965FF1" w:rsidRPr="00E56A6E">
        <w:rPr>
          <w:lang w:val="es-ES"/>
        </w:rPr>
        <w:t xml:space="preserve">óptimas </w:t>
      </w:r>
      <w:r w:rsidRPr="00E56A6E">
        <w:rPr>
          <w:lang w:val="es-ES"/>
        </w:rPr>
        <w:t xml:space="preserve">o </w:t>
      </w:r>
      <w:r w:rsidR="00965FF1" w:rsidRPr="00E56A6E">
        <w:rPr>
          <w:lang w:val="es-ES"/>
        </w:rPr>
        <w:t>estándares</w:t>
      </w:r>
      <w:r w:rsidRPr="00E56A6E">
        <w:rPr>
          <w:lang w:val="es-ES"/>
        </w:rPr>
        <w:t>.</w:t>
      </w:r>
    </w:p>
    <w:p w14:paraId="19EB1B5F" w14:textId="233604ED" w:rsidR="006C1DF9" w:rsidRPr="00E56A6E" w:rsidRDefault="00653A73" w:rsidP="0004088C">
      <w:pPr>
        <w:pStyle w:val="CBDTableTitle"/>
        <w:rPr>
          <w:lang w:val="es-ES"/>
        </w:rPr>
      </w:pPr>
      <w:r w:rsidRPr="00E56A6E">
        <w:rPr>
          <w:b w:val="0"/>
          <w:bCs/>
          <w:lang w:val="es-ES"/>
        </w:rPr>
        <w:t>Cuadro</w:t>
      </w:r>
      <w:r w:rsidR="00306691" w:rsidRPr="00E56A6E">
        <w:rPr>
          <w:b w:val="0"/>
          <w:bCs/>
          <w:lang w:val="es-ES"/>
        </w:rPr>
        <w:t xml:space="preserve"> </w:t>
      </w:r>
      <w:r w:rsidR="007829C7" w:rsidRPr="00E56A6E">
        <w:rPr>
          <w:b w:val="0"/>
          <w:bCs/>
          <w:lang w:val="es-ES"/>
        </w:rPr>
        <w:t>14</w:t>
      </w:r>
      <w:r w:rsidR="006C1DF9" w:rsidRPr="00E56A6E">
        <w:rPr>
          <w:lang w:val="es-ES"/>
        </w:rPr>
        <w:t xml:space="preserve"> </w:t>
      </w:r>
      <w:r w:rsidR="0004088C" w:rsidRPr="00E56A6E">
        <w:rPr>
          <w:lang w:val="es-ES"/>
        </w:rPr>
        <w:br/>
      </w:r>
      <w:r w:rsidR="00B322A8" w:rsidRPr="00E56A6E">
        <w:rPr>
          <w:lang w:val="es-ES"/>
        </w:rPr>
        <w:t>Indicadores para medir los avances en relación con los artículos 19 y 20 del Protocolo</w:t>
      </w: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710"/>
        <w:gridCol w:w="1418"/>
      </w:tblGrid>
      <w:tr w:rsidR="006C1DF9" w:rsidRPr="005A210D" w14:paraId="25B805B2"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B85BBC3" w14:textId="03992159" w:rsidR="006C1DF9" w:rsidRPr="00E56A6E" w:rsidRDefault="00EE1C1B" w:rsidP="006B066D">
            <w:pPr>
              <w:keepNext/>
              <w:suppressLineNumbers/>
              <w:suppressAutoHyphens/>
              <w:kinsoku w:val="0"/>
              <w:overflowPunct w:val="0"/>
              <w:autoSpaceDE w:val="0"/>
              <w:autoSpaceDN w:val="0"/>
              <w:adjustRightInd w:val="0"/>
              <w:snapToGrid w:val="0"/>
              <w:ind w:left="317" w:hanging="360"/>
              <w:jc w:val="lef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Marco de indicadores</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4812726" w14:textId="36FFD94A" w:rsidR="006C1DF9"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Punto de referencia</w:t>
            </w:r>
            <w:r w:rsidR="006C1DF9" w:rsidRPr="00E56A6E">
              <w:rPr>
                <w:rFonts w:asciiTheme="majorBidi" w:hAnsiTheme="majorBidi" w:cstheme="majorBidi"/>
                <w:i/>
                <w:iCs/>
                <w:kern w:val="22"/>
                <w:sz w:val="20"/>
                <w:szCs w:val="20"/>
                <w:lang w:val="es-ES"/>
              </w:rPr>
              <w:t xml:space="preserve"> </w:t>
            </w:r>
            <w:r w:rsidR="006D090E" w:rsidRPr="00E56A6E">
              <w:rPr>
                <w:rFonts w:asciiTheme="majorBidi" w:hAnsiTheme="majorBidi" w:cstheme="majorBidi"/>
                <w:i/>
                <w:iCs/>
                <w:kern w:val="22"/>
                <w:sz w:val="20"/>
                <w:szCs w:val="20"/>
                <w:lang w:val="es-ES"/>
              </w:rPr>
              <w:br/>
            </w:r>
            <w:r w:rsidR="006C1DF9" w:rsidRPr="00E56A6E">
              <w:rPr>
                <w:rFonts w:asciiTheme="majorBidi" w:hAnsiTheme="majorBidi" w:cstheme="majorBidi"/>
                <w:i/>
                <w:iCs/>
                <w:kern w:val="22"/>
                <w:sz w:val="20"/>
                <w:szCs w:val="20"/>
                <w:lang w:val="es-ES"/>
              </w:rPr>
              <w:t>(</w:t>
            </w:r>
            <w:r w:rsidRPr="00E56A6E">
              <w:rPr>
                <w:rFonts w:asciiTheme="majorBidi" w:hAnsiTheme="majorBidi" w:cstheme="majorBidi"/>
                <w:i/>
                <w:iCs/>
                <w:kern w:val="22"/>
                <w:sz w:val="20"/>
                <w:szCs w:val="20"/>
                <w:lang w:val="es-ES"/>
              </w:rPr>
              <w:t>al 22 de febrero de 2018</w:t>
            </w:r>
            <w:r w:rsidR="006C1DF9" w:rsidRPr="00E56A6E">
              <w:rPr>
                <w:rFonts w:asciiTheme="majorBidi" w:hAnsiTheme="majorBidi" w:cstheme="majorBidi"/>
                <w:i/>
                <w:iCs/>
                <w:kern w:val="22"/>
                <w:sz w:val="20"/>
                <w:szCs w:val="20"/>
                <w:lang w:val="es-ES"/>
              </w:rPr>
              <w:t>)</w:t>
            </w:r>
          </w:p>
        </w:tc>
        <w:tc>
          <w:tcPr>
            <w:tcW w:w="1418" w:type="dxa"/>
            <w:tcBorders>
              <w:top w:val="single" w:sz="4" w:space="0" w:color="auto"/>
              <w:left w:val="single" w:sz="4" w:space="0" w:color="auto"/>
              <w:bottom w:val="single" w:sz="4" w:space="0" w:color="auto"/>
              <w:right w:val="single" w:sz="4" w:space="0" w:color="auto"/>
            </w:tcBorders>
            <w:vAlign w:val="bottom"/>
          </w:tcPr>
          <w:p w14:paraId="69C7814B" w14:textId="5F72A98C" w:rsidR="006C1DF9" w:rsidRPr="00E56A6E" w:rsidRDefault="007F3ECF"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es-ES"/>
              </w:rPr>
            </w:pPr>
            <w:r w:rsidRPr="00E56A6E">
              <w:rPr>
                <w:rFonts w:asciiTheme="majorBidi" w:hAnsiTheme="majorBidi" w:cstheme="majorBidi"/>
                <w:i/>
                <w:iCs/>
                <w:kern w:val="22"/>
                <w:sz w:val="20"/>
                <w:szCs w:val="20"/>
                <w:lang w:val="es-ES"/>
              </w:rPr>
              <w:t>Avances al 9 de marzo de 2026</w:t>
            </w:r>
          </w:p>
        </w:tc>
      </w:tr>
      <w:tr w:rsidR="00B322A8" w:rsidRPr="00E56A6E" w14:paraId="221D226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FBF4346" w14:textId="0D3911E9" w:rsidR="00B322A8" w:rsidRPr="00E56A6E" w:rsidRDefault="00B322A8" w:rsidP="00B322A8">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de cláusulas contractuales </w:t>
            </w:r>
            <w:proofErr w:type="gramStart"/>
            <w:r w:rsidRPr="00E56A6E">
              <w:rPr>
                <w:sz w:val="20"/>
                <w:szCs w:val="20"/>
                <w:lang w:val="es-ES"/>
              </w:rPr>
              <w:t>modelo elaboradas</w:t>
            </w:r>
            <w:proofErr w:type="gramEnd"/>
            <w:r w:rsidRPr="00E56A6E">
              <w:rPr>
                <w:sz w:val="20"/>
                <w:szCs w:val="20"/>
                <w:lang w:val="es-ES"/>
              </w:rPr>
              <w:t xml:space="preserve"> </w:t>
            </w:r>
            <w:r w:rsidRPr="00E56A6E">
              <w:rPr>
                <w:i/>
                <w:iCs/>
                <w:sz w:val="20"/>
                <w:szCs w:val="20"/>
                <w:lang w:val="es-ES"/>
              </w:rPr>
              <w:t>(cambio de metodología)</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84A475" w14:textId="77777777" w:rsidR="00B322A8" w:rsidRPr="00E56A6E" w:rsidRDefault="00B322A8" w:rsidP="00B322A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29</w:t>
            </w:r>
          </w:p>
        </w:tc>
        <w:tc>
          <w:tcPr>
            <w:tcW w:w="1418" w:type="dxa"/>
            <w:tcBorders>
              <w:top w:val="single" w:sz="4" w:space="0" w:color="auto"/>
              <w:left w:val="single" w:sz="4" w:space="0" w:color="auto"/>
              <w:bottom w:val="single" w:sz="4" w:space="0" w:color="auto"/>
              <w:right w:val="single" w:sz="4" w:space="0" w:color="auto"/>
            </w:tcBorders>
            <w:vAlign w:val="bottom"/>
          </w:tcPr>
          <w:p w14:paraId="06A5CFAF" w14:textId="77777777" w:rsidR="00B322A8" w:rsidRPr="00E56A6E" w:rsidRDefault="00B322A8" w:rsidP="00B322A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12</w:t>
            </w:r>
          </w:p>
        </w:tc>
      </w:tr>
      <w:tr w:rsidR="00B322A8" w:rsidRPr="00E56A6E" w14:paraId="3014472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9622B2" w14:textId="70D37BAD" w:rsidR="00B322A8" w:rsidRPr="00E56A6E" w:rsidRDefault="00B322A8" w:rsidP="00B322A8">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de códigos de conducta, directrices, prácticas </w:t>
            </w:r>
            <w:r w:rsidR="00965FF1" w:rsidRPr="00E56A6E">
              <w:rPr>
                <w:sz w:val="20"/>
                <w:szCs w:val="20"/>
                <w:lang w:val="es-ES"/>
              </w:rPr>
              <w:t xml:space="preserve">óptimas </w:t>
            </w:r>
            <w:r w:rsidRPr="00E56A6E">
              <w:rPr>
                <w:sz w:val="20"/>
                <w:szCs w:val="20"/>
                <w:lang w:val="es-ES"/>
              </w:rPr>
              <w:t xml:space="preserve">y </w:t>
            </w:r>
            <w:r w:rsidR="00965FF1" w:rsidRPr="00E56A6E">
              <w:rPr>
                <w:sz w:val="20"/>
                <w:szCs w:val="20"/>
                <w:lang w:val="es-ES"/>
              </w:rPr>
              <w:t xml:space="preserve">estándares </w:t>
            </w:r>
            <w:r w:rsidRPr="00E56A6E">
              <w:rPr>
                <w:sz w:val="20"/>
                <w:szCs w:val="20"/>
                <w:lang w:val="es-ES"/>
              </w:rPr>
              <w:t>elaborad</w:t>
            </w:r>
            <w:r w:rsidR="00965FF1" w:rsidRPr="00E56A6E">
              <w:rPr>
                <w:sz w:val="20"/>
                <w:szCs w:val="20"/>
                <w:lang w:val="es-ES"/>
              </w:rPr>
              <w:t xml:space="preserve">os </w:t>
            </w:r>
            <w:r w:rsidRPr="00E56A6E">
              <w:rPr>
                <w:i/>
                <w:iCs/>
                <w:sz w:val="20"/>
                <w:szCs w:val="20"/>
                <w:lang w:val="es-ES"/>
              </w:rPr>
              <w:t>(cambio de metodología)</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BDBA24" w14:textId="77777777" w:rsidR="00B322A8" w:rsidRPr="00E56A6E" w:rsidRDefault="00B322A8" w:rsidP="00B322A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33</w:t>
            </w:r>
          </w:p>
        </w:tc>
        <w:tc>
          <w:tcPr>
            <w:tcW w:w="1418" w:type="dxa"/>
            <w:tcBorders>
              <w:top w:val="single" w:sz="4" w:space="0" w:color="auto"/>
              <w:left w:val="single" w:sz="4" w:space="0" w:color="auto"/>
              <w:bottom w:val="single" w:sz="4" w:space="0" w:color="auto"/>
              <w:right w:val="single" w:sz="4" w:space="0" w:color="auto"/>
            </w:tcBorders>
            <w:vAlign w:val="bottom"/>
          </w:tcPr>
          <w:p w14:paraId="3F9AC8C0" w14:textId="77777777" w:rsidR="00B322A8" w:rsidRPr="00E56A6E" w:rsidRDefault="00B322A8" w:rsidP="00B322A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es-ES"/>
              </w:rPr>
            </w:pPr>
            <w:r w:rsidRPr="00E56A6E">
              <w:rPr>
                <w:rFonts w:asciiTheme="majorBidi" w:hAnsiTheme="majorBidi" w:cstheme="majorBidi"/>
                <w:kern w:val="22"/>
                <w:sz w:val="20"/>
                <w:szCs w:val="20"/>
                <w:lang w:val="es-ES"/>
              </w:rPr>
              <w:t>29</w:t>
            </w:r>
          </w:p>
        </w:tc>
      </w:tr>
      <w:tr w:rsidR="00B322A8" w:rsidRPr="00E56A6E" w14:paraId="484B75C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F9FE4E" w14:textId="3E438A61" w:rsidR="00B322A8" w:rsidRPr="00E56A6E" w:rsidRDefault="00B322A8" w:rsidP="00B322A8">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cláusulas contractuales </w:t>
            </w:r>
            <w:proofErr w:type="gramStart"/>
            <w:r w:rsidRPr="00E56A6E">
              <w:rPr>
                <w:sz w:val="20"/>
                <w:szCs w:val="20"/>
                <w:lang w:val="es-ES"/>
              </w:rPr>
              <w:t>modelo disponibles</w:t>
            </w:r>
            <w:proofErr w:type="gramEnd"/>
            <w:r w:rsidRPr="00E56A6E">
              <w:rPr>
                <w:sz w:val="20"/>
                <w:szCs w:val="20"/>
                <w:lang w:val="es-ES"/>
              </w:rPr>
              <w:t xml:space="preserve"> como registros de referencia en el </w:t>
            </w:r>
            <w:r w:rsidR="00B67C83" w:rsidRPr="00E56A6E">
              <w:rPr>
                <w:sz w:val="20"/>
                <w:szCs w:val="20"/>
                <w:lang w:val="es-ES"/>
              </w:rPr>
              <w:t>Centro de Intercambio de Información sobre Acceso y Participación</w:t>
            </w:r>
            <w:r w:rsidRPr="00E56A6E">
              <w:rPr>
                <w:sz w:val="20"/>
                <w:szCs w:val="20"/>
                <w:lang w:val="es-ES"/>
              </w:rPr>
              <w:t xml:space="preserve"> en los Beneficios</w:t>
            </w:r>
            <w:r w:rsidR="003F7B9F" w:rsidRPr="00E56A6E">
              <w:rPr>
                <w:bCs/>
                <w:i/>
                <w:iCs/>
                <w:sz w:val="20"/>
                <w:szCs w:val="20"/>
                <w:vertAlign w:val="superscript"/>
                <w:lang w:val="es-ES"/>
              </w:rPr>
              <w:t>a</w:t>
            </w:r>
            <w:r w:rsidRPr="00E56A6E">
              <w:rPr>
                <w:sz w:val="20"/>
                <w:szCs w:val="20"/>
                <w:lang w:val="es-ES"/>
              </w:rPr>
              <w:t xml:space="preserve"> </w:t>
            </w:r>
            <w:r w:rsidRPr="00E56A6E">
              <w:rPr>
                <w:i/>
                <w:iCs/>
                <w:sz w:val="20"/>
                <w:szCs w:val="20"/>
                <w:lang w:val="es-ES"/>
              </w:rPr>
              <w:t>(cambio de metodología)</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59DC216" w14:textId="1593792F" w:rsidR="00B322A8" w:rsidRPr="00E56A6E" w:rsidRDefault="00B322A8" w:rsidP="00B322A8">
            <w:pPr>
              <w:jc w:val="right"/>
              <w:rPr>
                <w:sz w:val="20"/>
                <w:szCs w:val="20"/>
                <w:lang w:val="es-ES"/>
              </w:rPr>
            </w:pPr>
            <w:r w:rsidRPr="00E56A6E">
              <w:rPr>
                <w:sz w:val="20"/>
                <w:szCs w:val="20"/>
                <w:lang w:val="es-ES"/>
              </w:rPr>
              <w:t>17 (59 %)</w:t>
            </w:r>
          </w:p>
        </w:tc>
        <w:tc>
          <w:tcPr>
            <w:tcW w:w="1418" w:type="dxa"/>
            <w:tcBorders>
              <w:top w:val="single" w:sz="4" w:space="0" w:color="auto"/>
              <w:left w:val="single" w:sz="4" w:space="0" w:color="auto"/>
              <w:bottom w:val="single" w:sz="4" w:space="0" w:color="auto"/>
              <w:right w:val="single" w:sz="4" w:space="0" w:color="auto"/>
            </w:tcBorders>
            <w:vAlign w:val="bottom"/>
          </w:tcPr>
          <w:p w14:paraId="202BB856" w14:textId="764AE948" w:rsidR="00B322A8" w:rsidRPr="00E56A6E" w:rsidRDefault="00B322A8" w:rsidP="00B322A8">
            <w:pPr>
              <w:jc w:val="right"/>
              <w:rPr>
                <w:sz w:val="20"/>
                <w:szCs w:val="20"/>
                <w:lang w:val="es-ES"/>
              </w:rPr>
            </w:pPr>
            <w:r w:rsidRPr="00E56A6E">
              <w:rPr>
                <w:sz w:val="20"/>
                <w:szCs w:val="20"/>
                <w:lang w:val="es-ES"/>
              </w:rPr>
              <w:t>12 (100 %)</w:t>
            </w:r>
          </w:p>
        </w:tc>
      </w:tr>
      <w:tr w:rsidR="00B322A8" w:rsidRPr="00E56A6E" w14:paraId="6184CFC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1F18E5D" w14:textId="0BE78763" w:rsidR="00B322A8" w:rsidRPr="00E56A6E" w:rsidRDefault="00B322A8" w:rsidP="00B322A8">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sz w:val="20"/>
                <w:szCs w:val="20"/>
                <w:lang w:val="es-ES"/>
              </w:rPr>
              <w:t xml:space="preserve">Número y porcentaje de códigos de conducta, directrices, prácticas </w:t>
            </w:r>
            <w:r w:rsidR="00965FF1" w:rsidRPr="00E56A6E">
              <w:rPr>
                <w:sz w:val="20"/>
                <w:szCs w:val="20"/>
                <w:lang w:val="es-ES"/>
              </w:rPr>
              <w:t xml:space="preserve">óptimas y estándares </w:t>
            </w:r>
            <w:r w:rsidRPr="00E56A6E">
              <w:rPr>
                <w:sz w:val="20"/>
                <w:szCs w:val="20"/>
                <w:lang w:val="es-ES"/>
              </w:rPr>
              <w:t xml:space="preserve">disponibles como registros de referencia en el Centro de Intercambio de Información sobre Acceso y Participación en los </w:t>
            </w:r>
            <w:proofErr w:type="spellStart"/>
            <w:proofErr w:type="gramStart"/>
            <w:r w:rsidRPr="00E56A6E">
              <w:rPr>
                <w:sz w:val="20"/>
                <w:szCs w:val="20"/>
                <w:lang w:val="es-ES"/>
              </w:rPr>
              <w:t>Beneficios</w:t>
            </w:r>
            <w:r w:rsidR="003F7B9F" w:rsidRPr="00E56A6E">
              <w:rPr>
                <w:bCs/>
                <w:i/>
                <w:iCs/>
                <w:sz w:val="20"/>
                <w:szCs w:val="20"/>
                <w:vertAlign w:val="superscript"/>
                <w:lang w:val="es-ES"/>
              </w:rPr>
              <w:t>b</w:t>
            </w:r>
            <w:proofErr w:type="spellEnd"/>
            <w:r w:rsidRPr="00E56A6E">
              <w:rPr>
                <w:i/>
                <w:iCs/>
                <w:sz w:val="20"/>
                <w:szCs w:val="20"/>
                <w:lang w:val="es-ES"/>
              </w:rPr>
              <w:t>(</w:t>
            </w:r>
            <w:proofErr w:type="gramEnd"/>
            <w:r w:rsidRPr="00E56A6E">
              <w:rPr>
                <w:i/>
                <w:iCs/>
                <w:sz w:val="20"/>
                <w:szCs w:val="20"/>
                <w:lang w:val="es-ES"/>
              </w:rPr>
              <w:t>cambio de metodología)</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EF3510" w14:textId="7F409D5F" w:rsidR="00B322A8" w:rsidRPr="00E56A6E" w:rsidRDefault="00B322A8" w:rsidP="00B322A8">
            <w:pPr>
              <w:jc w:val="right"/>
              <w:rPr>
                <w:sz w:val="20"/>
                <w:szCs w:val="20"/>
                <w:lang w:val="es-ES"/>
              </w:rPr>
            </w:pPr>
            <w:r w:rsidRPr="00E56A6E">
              <w:rPr>
                <w:sz w:val="20"/>
                <w:szCs w:val="20"/>
                <w:lang w:val="es-ES"/>
              </w:rPr>
              <w:t>25 (75 %)</w:t>
            </w:r>
          </w:p>
        </w:tc>
        <w:tc>
          <w:tcPr>
            <w:tcW w:w="1418" w:type="dxa"/>
            <w:vAlign w:val="bottom"/>
          </w:tcPr>
          <w:p w14:paraId="45D39841" w14:textId="3F23749B" w:rsidR="00B322A8" w:rsidRPr="00E56A6E" w:rsidRDefault="00B322A8" w:rsidP="00B322A8">
            <w:pPr>
              <w:jc w:val="right"/>
              <w:rPr>
                <w:sz w:val="20"/>
                <w:szCs w:val="20"/>
                <w:lang w:val="es-ES"/>
              </w:rPr>
            </w:pPr>
            <w:r w:rsidRPr="00E56A6E">
              <w:rPr>
                <w:sz w:val="20"/>
                <w:szCs w:val="20"/>
                <w:lang w:val="es-ES"/>
              </w:rPr>
              <w:t>29 (100 %)</w:t>
            </w:r>
          </w:p>
        </w:tc>
      </w:tr>
    </w:tbl>
    <w:p w14:paraId="62CEA1B3" w14:textId="75AB3992" w:rsidR="00EF434C" w:rsidRPr="00E56A6E" w:rsidRDefault="00ED7401" w:rsidP="00ED7401">
      <w:pPr>
        <w:ind w:left="851" w:hanging="284"/>
        <w:rPr>
          <w:bCs/>
          <w:sz w:val="18"/>
          <w:szCs w:val="18"/>
          <w:lang w:val="es-ES"/>
        </w:rPr>
      </w:pPr>
      <w:proofErr w:type="spellStart"/>
      <w:r w:rsidRPr="00E56A6E">
        <w:rPr>
          <w:bCs/>
          <w:i/>
          <w:iCs/>
          <w:sz w:val="18"/>
          <w:szCs w:val="18"/>
          <w:vertAlign w:val="superscript"/>
          <w:lang w:val="es-ES"/>
        </w:rPr>
        <w:t>a</w:t>
      </w:r>
      <w:proofErr w:type="spellEnd"/>
      <w:r w:rsidRPr="00E56A6E">
        <w:rPr>
          <w:b/>
          <w:lang w:val="es-ES"/>
        </w:rPr>
        <w:tab/>
      </w:r>
      <w:r w:rsidR="003F7B9F" w:rsidRPr="00E56A6E">
        <w:rPr>
          <w:bCs/>
          <w:sz w:val="18"/>
          <w:szCs w:val="18"/>
          <w:lang w:val="es-ES"/>
        </w:rPr>
        <w:t>Se ha modificado el indicador para aclarar que solo mide las cláusulas contractuales modelo presentadas como registros de referencia y no incluye aquellas que las Partes han presentado como registros nacionales y que forman parte del marco nacional de acceso y participación en los beneficios.</w:t>
      </w:r>
    </w:p>
    <w:p w14:paraId="75C0BA3D" w14:textId="0485A917" w:rsidR="00ED7401" w:rsidRPr="00E56A6E" w:rsidRDefault="00ED7401" w:rsidP="006B066D">
      <w:pPr>
        <w:ind w:left="851" w:hanging="284"/>
        <w:rPr>
          <w:bCs/>
          <w:sz w:val="18"/>
          <w:szCs w:val="18"/>
          <w:lang w:val="es-ES"/>
        </w:rPr>
      </w:pPr>
      <w:r w:rsidRPr="00E56A6E">
        <w:rPr>
          <w:bCs/>
          <w:i/>
          <w:iCs/>
          <w:sz w:val="18"/>
          <w:szCs w:val="18"/>
          <w:vertAlign w:val="superscript"/>
          <w:lang w:val="es-ES"/>
        </w:rPr>
        <w:t>b</w:t>
      </w:r>
      <w:r w:rsidRPr="00E56A6E">
        <w:rPr>
          <w:bCs/>
          <w:sz w:val="18"/>
          <w:szCs w:val="18"/>
          <w:lang w:val="es-ES"/>
        </w:rPr>
        <w:tab/>
      </w:r>
      <w:r w:rsidR="003F7B9F" w:rsidRPr="00E56A6E">
        <w:rPr>
          <w:bCs/>
          <w:sz w:val="18"/>
          <w:szCs w:val="18"/>
          <w:lang w:val="es-ES"/>
        </w:rPr>
        <w:t xml:space="preserve">El indicador se ha modificado para aclarar que mide únicamente los códigos de conducta, las directrices, las prácticas </w:t>
      </w:r>
      <w:r w:rsidR="00965FF1" w:rsidRPr="00E56A6E">
        <w:rPr>
          <w:bCs/>
          <w:sz w:val="18"/>
          <w:szCs w:val="18"/>
          <w:lang w:val="es-ES"/>
        </w:rPr>
        <w:t xml:space="preserve">óptimas </w:t>
      </w:r>
      <w:r w:rsidR="003F7B9F" w:rsidRPr="00E56A6E">
        <w:rPr>
          <w:bCs/>
          <w:sz w:val="18"/>
          <w:szCs w:val="18"/>
          <w:lang w:val="es-ES"/>
        </w:rPr>
        <w:t xml:space="preserve">y </w:t>
      </w:r>
      <w:r w:rsidR="00965FF1" w:rsidRPr="00E56A6E">
        <w:rPr>
          <w:bCs/>
          <w:sz w:val="18"/>
          <w:szCs w:val="18"/>
          <w:lang w:val="es-ES"/>
        </w:rPr>
        <w:t xml:space="preserve">los estándares facilitados </w:t>
      </w:r>
      <w:r w:rsidR="003F7B9F" w:rsidRPr="00E56A6E">
        <w:rPr>
          <w:bCs/>
          <w:sz w:val="18"/>
          <w:szCs w:val="18"/>
          <w:lang w:val="es-ES"/>
        </w:rPr>
        <w:t>como registros de referencia, y no incluye las directrices u otros documentos presentados por las Partes como registros nacionales y que forman parte del marco nacional de acceso y participación en los beneficios.</w:t>
      </w:r>
    </w:p>
    <w:p w14:paraId="2B5BD377" w14:textId="780FD19E" w:rsidR="00D66729" w:rsidRPr="00E56A6E" w:rsidRDefault="0004088C" w:rsidP="0004088C">
      <w:pPr>
        <w:pStyle w:val="CBDH4"/>
        <w:rPr>
          <w:lang w:val="es-ES"/>
        </w:rPr>
      </w:pPr>
      <w:r w:rsidRPr="00E56A6E">
        <w:rPr>
          <w:lang w:val="es-ES"/>
        </w:rPr>
        <w:t>b)</w:t>
      </w:r>
      <w:r w:rsidRPr="00E56A6E">
        <w:rPr>
          <w:lang w:val="es-ES"/>
        </w:rPr>
        <w:tab/>
      </w:r>
      <w:r w:rsidR="004357B2" w:rsidRPr="00E56A6E">
        <w:rPr>
          <w:lang w:val="es-ES"/>
        </w:rPr>
        <w:t xml:space="preserve">Dificultades, causas subyacentes y posibles maneras de mejorar </w:t>
      </w:r>
      <w:r w:rsidR="003F7B9F" w:rsidRPr="00E56A6E">
        <w:rPr>
          <w:lang w:val="es-ES"/>
        </w:rPr>
        <w:t xml:space="preserve">de potenciar el uso de cláusulas contractuales </w:t>
      </w:r>
      <w:r w:rsidR="008A7FF7" w:rsidRPr="00E56A6E">
        <w:rPr>
          <w:lang w:val="es-ES"/>
        </w:rPr>
        <w:t xml:space="preserve">modelo </w:t>
      </w:r>
      <w:r w:rsidR="003F7B9F" w:rsidRPr="00E56A6E">
        <w:rPr>
          <w:lang w:val="es-ES"/>
        </w:rPr>
        <w:t xml:space="preserve">y códigos de conducta, directrices, prácticas </w:t>
      </w:r>
      <w:r w:rsidR="008A7FF7" w:rsidRPr="00E56A6E">
        <w:rPr>
          <w:lang w:val="es-ES"/>
        </w:rPr>
        <w:t xml:space="preserve">óptimas </w:t>
      </w:r>
      <w:r w:rsidR="003F7B9F" w:rsidRPr="00E56A6E">
        <w:rPr>
          <w:lang w:val="es-ES"/>
        </w:rPr>
        <w:t xml:space="preserve">y </w:t>
      </w:r>
      <w:r w:rsidR="008A7FF7" w:rsidRPr="00E56A6E">
        <w:rPr>
          <w:lang w:val="es-ES"/>
        </w:rPr>
        <w:t xml:space="preserve">estándares </w:t>
      </w:r>
      <w:r w:rsidR="003F7B9F" w:rsidRPr="00E56A6E">
        <w:rPr>
          <w:lang w:val="es-ES"/>
        </w:rPr>
        <w:t>para apoyar la aplicación del Protocolo de Nagoya</w:t>
      </w:r>
    </w:p>
    <w:p w14:paraId="36D8CC93" w14:textId="2E61FA9D" w:rsidR="003F7B9F" w:rsidRPr="00E56A6E" w:rsidRDefault="003F7B9F" w:rsidP="003F7B9F">
      <w:pPr>
        <w:pStyle w:val="CBDNormalNumber"/>
        <w:rPr>
          <w:lang w:val="es-ES"/>
        </w:rPr>
      </w:pPr>
      <w:r w:rsidRPr="00E56A6E">
        <w:rPr>
          <w:lang w:val="es-ES"/>
        </w:rPr>
        <w:t xml:space="preserve">Con el fin de apoyar el cumplimiento de las disposiciones sobre acceso y participación en los beneficios por parte de los usuarios, los </w:t>
      </w:r>
      <w:r w:rsidR="005D5027" w:rsidRPr="00E56A6E">
        <w:rPr>
          <w:lang w:val="es-ES"/>
        </w:rPr>
        <w:t>Gobiernos</w:t>
      </w:r>
      <w:r w:rsidRPr="00E56A6E">
        <w:rPr>
          <w:lang w:val="es-ES"/>
        </w:rPr>
        <w:t xml:space="preserve"> han adoptado medidas para dar a conocer el </w:t>
      </w:r>
      <w:r w:rsidRPr="00E56A6E">
        <w:rPr>
          <w:lang w:val="es-ES"/>
        </w:rPr>
        <w:lastRenderedPageBreak/>
        <w:t xml:space="preserve">Protocolo de Nagoya y fomentar la capacidad de los usuarios dentro de su jurisdicción, así como para promover </w:t>
      </w:r>
      <w:r w:rsidR="00EE07C6" w:rsidRPr="00E56A6E">
        <w:rPr>
          <w:lang w:val="es-ES"/>
        </w:rPr>
        <w:t xml:space="preserve">la elaboración </w:t>
      </w:r>
      <w:r w:rsidRPr="00E56A6E">
        <w:rPr>
          <w:lang w:val="es-ES"/>
        </w:rPr>
        <w:t>de herramientas relacionadas con la aplicación de los artículos 19 y 20.</w:t>
      </w:r>
      <w:r w:rsidR="00112E38" w:rsidRPr="00E56A6E">
        <w:rPr>
          <w:lang w:val="es-ES"/>
        </w:rPr>
        <w:t xml:space="preserve"> </w:t>
      </w:r>
    </w:p>
    <w:p w14:paraId="362CF23A" w14:textId="446C111E" w:rsidR="003F7B9F" w:rsidRPr="00E56A6E" w:rsidRDefault="003F7B9F" w:rsidP="003F7B9F">
      <w:pPr>
        <w:pStyle w:val="CBDNormalNumber"/>
        <w:rPr>
          <w:lang w:val="es-ES"/>
        </w:rPr>
      </w:pPr>
      <w:r w:rsidRPr="00E56A6E">
        <w:rPr>
          <w:lang w:val="es-ES"/>
        </w:rPr>
        <w:t xml:space="preserve">Los usuarios de los sectores empresarial y científico han desarrollado procesos internos y adoptado una serie de procedimientos y herramientas diseñados para </w:t>
      </w:r>
      <w:r w:rsidR="00A27726" w:rsidRPr="00E56A6E">
        <w:rPr>
          <w:lang w:val="es-ES"/>
        </w:rPr>
        <w:t xml:space="preserve">asegurar </w:t>
      </w:r>
      <w:r w:rsidRPr="00E56A6E">
        <w:rPr>
          <w:lang w:val="es-ES"/>
        </w:rPr>
        <w:t xml:space="preserve">el cumplimiento de las disposiciones sobre acceso y participación en los beneficios, </w:t>
      </w:r>
      <w:r w:rsidR="00A27726" w:rsidRPr="00E56A6E">
        <w:rPr>
          <w:lang w:val="es-ES"/>
        </w:rPr>
        <w:t xml:space="preserve">en particular </w:t>
      </w:r>
      <w:r w:rsidRPr="00E56A6E">
        <w:rPr>
          <w:lang w:val="es-ES"/>
        </w:rPr>
        <w:t>herramientas para la aplicación de los artículos 19 y 20.</w:t>
      </w:r>
      <w:r w:rsidR="00112E38" w:rsidRPr="00E56A6E">
        <w:rPr>
          <w:lang w:val="es-ES"/>
        </w:rPr>
        <w:t xml:space="preserve"> </w:t>
      </w:r>
    </w:p>
    <w:p w14:paraId="75557834" w14:textId="78FDDFA7" w:rsidR="003F7B9F" w:rsidRPr="00E56A6E" w:rsidRDefault="003F7B9F" w:rsidP="003F7B9F">
      <w:pPr>
        <w:pStyle w:val="CBDNormalNumber"/>
        <w:rPr>
          <w:lang w:val="es-ES"/>
        </w:rPr>
      </w:pPr>
      <w:r w:rsidRPr="00E56A6E">
        <w:rPr>
          <w:lang w:val="es-ES"/>
        </w:rPr>
        <w:t xml:space="preserve">Reforzar </w:t>
      </w:r>
      <w:r w:rsidR="00A27726" w:rsidRPr="00E56A6E">
        <w:rPr>
          <w:lang w:val="es-ES"/>
        </w:rPr>
        <w:t>tales iniciativas</w:t>
      </w:r>
      <w:r w:rsidRPr="00E56A6E">
        <w:rPr>
          <w:lang w:val="es-ES"/>
        </w:rPr>
        <w:t xml:space="preserve">, en paralelo con otras actividades destinadas a apoyar a las Partes en la aplicación del Protocolo de Nagoya, es fundamental para alcanzar los objetivos del Protocolo. El intercambio de información, experiencias y prácticas </w:t>
      </w:r>
      <w:r w:rsidR="00965FF1" w:rsidRPr="00E56A6E">
        <w:rPr>
          <w:lang w:val="es-ES"/>
        </w:rPr>
        <w:t xml:space="preserve">óptimas </w:t>
      </w:r>
      <w:r w:rsidRPr="00E56A6E">
        <w:rPr>
          <w:lang w:val="es-ES"/>
        </w:rPr>
        <w:t xml:space="preserve">a este respecto puede respaldar </w:t>
      </w:r>
      <w:r w:rsidR="00D4089C" w:rsidRPr="00E56A6E">
        <w:rPr>
          <w:lang w:val="es-ES"/>
        </w:rPr>
        <w:t xml:space="preserve">las iniciativas </w:t>
      </w:r>
      <w:r w:rsidRPr="00E56A6E">
        <w:rPr>
          <w:lang w:val="es-ES"/>
        </w:rPr>
        <w:t xml:space="preserve">de los </w:t>
      </w:r>
      <w:r w:rsidR="005D5027" w:rsidRPr="00E56A6E">
        <w:rPr>
          <w:lang w:val="es-ES"/>
        </w:rPr>
        <w:t>Gobiernos</w:t>
      </w:r>
      <w:r w:rsidRPr="00E56A6E">
        <w:rPr>
          <w:lang w:val="es-ES"/>
        </w:rPr>
        <w:t>, los usuarios y las organizaciones de usuarios.</w:t>
      </w:r>
    </w:p>
    <w:p w14:paraId="3DBDD673" w14:textId="03E9E0FF" w:rsidR="003F7B9F" w:rsidRPr="00E56A6E" w:rsidRDefault="003F7B9F" w:rsidP="003F7B9F">
      <w:pPr>
        <w:pStyle w:val="CBDNormalNumber"/>
        <w:rPr>
          <w:lang w:val="es-ES"/>
        </w:rPr>
      </w:pPr>
      <w:r w:rsidRPr="00E56A6E">
        <w:rPr>
          <w:lang w:val="es-ES"/>
        </w:rPr>
        <w:t xml:space="preserve">El intercambio de herramientas relacionadas con la aplicación de los artículos 19 y 20 a través del Centro de Intercambio de Información ayuda a otras organizaciones a elaborar documentos similares adaptados a sus circunstancias, además de ofrecer orientación a los usuarios de recursos genéticos y </w:t>
      </w:r>
      <w:r w:rsidR="00D426EC" w:rsidRPr="00E56A6E">
        <w:rPr>
          <w:lang w:val="es-ES"/>
        </w:rPr>
        <w:t>conocimientos tradicionales conexos</w:t>
      </w:r>
      <w:r w:rsidRPr="00E56A6E">
        <w:rPr>
          <w:lang w:val="es-ES"/>
        </w:rPr>
        <w:t xml:space="preserve"> que quizá no conozcan dichas herramientas y deseen adoptar las prácticas </w:t>
      </w:r>
      <w:r w:rsidR="00DE23D8" w:rsidRPr="00E56A6E">
        <w:rPr>
          <w:lang w:val="es-ES"/>
        </w:rPr>
        <w:t xml:space="preserve">óptimas </w:t>
      </w:r>
      <w:r w:rsidRPr="00E56A6E">
        <w:rPr>
          <w:lang w:val="es-ES"/>
        </w:rPr>
        <w:t>en su propio trabajo.</w:t>
      </w:r>
    </w:p>
    <w:p w14:paraId="6B5C601A" w14:textId="460D33DD" w:rsidR="0056552E" w:rsidRPr="00E56A6E" w:rsidRDefault="0004088C" w:rsidP="006B066D">
      <w:pPr>
        <w:pStyle w:val="CBDH2"/>
        <w:jc w:val="left"/>
        <w:rPr>
          <w:lang w:val="es-ES"/>
        </w:rPr>
      </w:pPr>
      <w:bookmarkStart w:id="16" w:name="_Toc231911609"/>
      <w:r w:rsidRPr="00E56A6E">
        <w:rPr>
          <w:lang w:val="es-ES"/>
        </w:rPr>
        <w:t>G.</w:t>
      </w:r>
      <w:r w:rsidRPr="00E56A6E">
        <w:rPr>
          <w:lang w:val="es-ES"/>
        </w:rPr>
        <w:tab/>
      </w:r>
      <w:r w:rsidR="003F7B9F" w:rsidRPr="00E56A6E">
        <w:rPr>
          <w:szCs w:val="24"/>
          <w:lang w:val="es-ES"/>
        </w:rPr>
        <w:t xml:space="preserve">Examen de la aplicación y el funcionamiento del </w:t>
      </w:r>
      <w:r w:rsidR="00467E2F" w:rsidRPr="00E56A6E">
        <w:rPr>
          <w:szCs w:val="24"/>
          <w:lang w:val="es-ES"/>
        </w:rPr>
        <w:t>Centro de Intercambio de Información sobre Acceso y Participación en los Beneficios</w:t>
      </w:r>
      <w:r w:rsidR="003F7B9F" w:rsidRPr="00E56A6E">
        <w:rPr>
          <w:rStyle w:val="FootnoteReference"/>
          <w:szCs w:val="24"/>
          <w:lang w:val="es-ES"/>
        </w:rPr>
        <w:footnoteReference w:id="85"/>
      </w:r>
      <w:bookmarkEnd w:id="16"/>
    </w:p>
    <w:p w14:paraId="68D25EAC" w14:textId="5867D6E2" w:rsidR="003F7B9F" w:rsidRPr="00E56A6E" w:rsidRDefault="003F7B9F" w:rsidP="003F7B9F">
      <w:pPr>
        <w:pStyle w:val="CBDNormalNumber"/>
        <w:rPr>
          <w:lang w:val="es-ES"/>
        </w:rPr>
      </w:pPr>
      <w:r w:rsidRPr="00E56A6E">
        <w:rPr>
          <w:lang w:val="es-ES"/>
        </w:rPr>
        <w:t xml:space="preserve">El </w:t>
      </w:r>
      <w:r w:rsidR="00B67C83" w:rsidRPr="00E56A6E">
        <w:rPr>
          <w:lang w:val="es-ES"/>
        </w:rPr>
        <w:t>Centro de Intercambio de Información sobre Acceso y Participación</w:t>
      </w:r>
      <w:r w:rsidRPr="00E56A6E">
        <w:rPr>
          <w:lang w:val="es-ES"/>
        </w:rPr>
        <w:t xml:space="preserve"> en los Beneficios se estableció en virtud del artículo 14 del Protocolo de Nagoya como plataforma central de intercambio de información para apoyar la aplicación del Protocolo. El Centro de Intercambio de Información desempeña tres funciones fundamentales e interrelacionadas: a) facilitar el acceso a los recursos genéticos y los </w:t>
      </w:r>
      <w:r w:rsidR="00D426EC" w:rsidRPr="00E56A6E">
        <w:rPr>
          <w:lang w:val="es-ES"/>
        </w:rPr>
        <w:t>conocimientos tradicionales conexos</w:t>
      </w:r>
      <w:r w:rsidRPr="00E56A6E">
        <w:rPr>
          <w:lang w:val="es-ES"/>
        </w:rPr>
        <w:t xml:space="preserve">; b) apoyar el cumplimiento y </w:t>
      </w:r>
      <w:r w:rsidR="008D151E" w:rsidRPr="00E56A6E">
        <w:rPr>
          <w:lang w:val="es-ES"/>
        </w:rPr>
        <w:t>vigilar la utilización</w:t>
      </w:r>
      <w:r w:rsidRPr="00E56A6E">
        <w:rPr>
          <w:lang w:val="es-ES"/>
        </w:rPr>
        <w:t xml:space="preserve"> de los recursos genéticos; y c) apoyar </w:t>
      </w:r>
      <w:r w:rsidR="00915E2F" w:rsidRPr="00E56A6E">
        <w:rPr>
          <w:lang w:val="es-ES"/>
        </w:rPr>
        <w:t>la creación de capacidad</w:t>
      </w:r>
      <w:r w:rsidRPr="00E56A6E">
        <w:rPr>
          <w:lang w:val="es-ES"/>
        </w:rPr>
        <w:t xml:space="preserve"> para la aplicación del Protocolo.</w:t>
      </w:r>
    </w:p>
    <w:p w14:paraId="6986E93D" w14:textId="45575BCE" w:rsidR="003F7B9F" w:rsidRPr="00E56A6E" w:rsidRDefault="003F7B9F" w:rsidP="003F7B9F">
      <w:pPr>
        <w:pStyle w:val="CBDNormalNumber"/>
        <w:rPr>
          <w:lang w:val="es-ES"/>
        </w:rPr>
      </w:pPr>
      <w:r w:rsidRPr="00E56A6E">
        <w:rPr>
          <w:lang w:val="es-ES"/>
        </w:rPr>
        <w:t xml:space="preserve">En general, los resultados muestran que el Centro de Intercambio de Información ha evolucionado considerablemente desde la primera evaluación y revisión realizadas en 2018 y ha registrado aumentos graduales pero </w:t>
      </w:r>
      <w:r w:rsidR="00726C67" w:rsidRPr="00E56A6E">
        <w:rPr>
          <w:lang w:val="es-ES"/>
        </w:rPr>
        <w:t>considerables</w:t>
      </w:r>
      <w:r w:rsidRPr="00E56A6E">
        <w:rPr>
          <w:lang w:val="es-ES"/>
        </w:rPr>
        <w:t xml:space="preserve"> tanto en el número de registros publicados en casi todos los tipos de registros como en el número de Partes que participan en la publicación de información, así como un crecimiento considerable del tráfico del sitio web. </w:t>
      </w:r>
    </w:p>
    <w:p w14:paraId="3B1D299E" w14:textId="5BF7FCC6" w:rsidR="003F7B9F" w:rsidRPr="00E56A6E" w:rsidRDefault="003F7B9F" w:rsidP="005556C7">
      <w:pPr>
        <w:pStyle w:val="CBDNormalNumber"/>
        <w:rPr>
          <w:lang w:val="es-ES"/>
        </w:rPr>
      </w:pPr>
      <w:r w:rsidRPr="00E56A6E">
        <w:rPr>
          <w:lang w:val="es-ES"/>
        </w:rPr>
        <w:t xml:space="preserve">Sin embargo, el análisis revela </w:t>
      </w:r>
      <w:r w:rsidR="00726C67" w:rsidRPr="00E56A6E">
        <w:rPr>
          <w:lang w:val="es-ES"/>
        </w:rPr>
        <w:t xml:space="preserve">dificultades </w:t>
      </w:r>
      <w:r w:rsidRPr="00E56A6E">
        <w:rPr>
          <w:lang w:val="es-ES"/>
        </w:rPr>
        <w:t>importantes y persistentes relacionad</w:t>
      </w:r>
      <w:r w:rsidR="003354D0" w:rsidRPr="00E56A6E">
        <w:rPr>
          <w:lang w:val="es-ES"/>
        </w:rPr>
        <w:t>a</w:t>
      </w:r>
      <w:r w:rsidRPr="00E56A6E">
        <w:rPr>
          <w:lang w:val="es-ES"/>
        </w:rPr>
        <w:t>s con cada uno de los tres objetivos principales del Centro de Intercambio de Información.</w:t>
      </w:r>
    </w:p>
    <w:p w14:paraId="73BA0C0C" w14:textId="181A7180" w:rsidR="0092130F" w:rsidRPr="00E56A6E" w:rsidRDefault="0004088C" w:rsidP="0004088C">
      <w:pPr>
        <w:pStyle w:val="CBDH3"/>
        <w:rPr>
          <w:lang w:val="es-ES"/>
        </w:rPr>
      </w:pPr>
      <w:r w:rsidRPr="00E56A6E">
        <w:rPr>
          <w:lang w:val="es-ES"/>
        </w:rPr>
        <w:t>1.</w:t>
      </w:r>
      <w:r w:rsidRPr="00E56A6E">
        <w:rPr>
          <w:lang w:val="es-ES"/>
        </w:rPr>
        <w:tab/>
      </w:r>
      <w:r w:rsidR="005556C7" w:rsidRPr="00E56A6E">
        <w:rPr>
          <w:lang w:val="es-ES"/>
        </w:rPr>
        <w:t xml:space="preserve">Registros nacionales en el </w:t>
      </w:r>
      <w:r w:rsidR="00467E2F" w:rsidRPr="00E56A6E">
        <w:rPr>
          <w:lang w:val="es-ES"/>
        </w:rPr>
        <w:t>Centro de Intercambio de Información sobre Acceso y Participación en los Beneficios</w:t>
      </w:r>
    </w:p>
    <w:p w14:paraId="18D5510F" w14:textId="0A646F09" w:rsidR="00F44A3C" w:rsidRPr="00E56A6E" w:rsidRDefault="0004088C" w:rsidP="0004088C">
      <w:pPr>
        <w:pStyle w:val="CBDH4"/>
        <w:rPr>
          <w:lang w:val="es-ES"/>
        </w:rPr>
      </w:pPr>
      <w:r w:rsidRPr="00E56A6E">
        <w:rPr>
          <w:lang w:val="es-ES"/>
        </w:rPr>
        <w:t>a)</w:t>
      </w:r>
      <w:r w:rsidRPr="00E56A6E">
        <w:rPr>
          <w:lang w:val="es-ES"/>
        </w:rPr>
        <w:tab/>
      </w:r>
      <w:r w:rsidR="005556C7" w:rsidRPr="00E56A6E">
        <w:rPr>
          <w:lang w:val="es-ES"/>
        </w:rPr>
        <w:t>Avances en la publicación de registros nacionales y datos actualizados de los indicadores</w:t>
      </w:r>
    </w:p>
    <w:p w14:paraId="3A95558A" w14:textId="10CAD764" w:rsidR="009F2412" w:rsidRPr="00E56A6E" w:rsidRDefault="009F2412" w:rsidP="009F2412">
      <w:pPr>
        <w:pStyle w:val="CBDNormalNumber"/>
        <w:rPr>
          <w:rFonts w:asciiTheme="majorBidi" w:hAnsiTheme="majorBidi" w:cstheme="majorBidi"/>
          <w:lang w:val="es-ES"/>
        </w:rPr>
      </w:pPr>
      <w:r w:rsidRPr="00E56A6E">
        <w:rPr>
          <w:lang w:val="es-ES"/>
        </w:rPr>
        <w:t>Como se indica en la tabla 15 que figura a continuación, las tendencias generales muestran un aumento constante tanto en el número de registros nacionales publicados, independientemente del tipo de registro, como en el porcentaje de Partes que publican información nacional. La participación en el Centro de Intercambio de Información ha experimentado un crecimiento constante, ya que 93 Partes (el 66 %) han publicado al menos un registro nacional</w:t>
      </w:r>
      <w:r w:rsidRPr="00E56A6E">
        <w:rPr>
          <w:rStyle w:val="FootnoteReference"/>
          <w:lang w:val="es-ES"/>
        </w:rPr>
        <w:footnoteReference w:id="86"/>
      </w:r>
      <w:r w:rsidRPr="00E56A6E">
        <w:rPr>
          <w:lang w:val="es-ES"/>
        </w:rPr>
        <w:t>, frente a las 54 Partes (el 51 %) que lo hicieron en 2018.</w:t>
      </w:r>
    </w:p>
    <w:p w14:paraId="4FCB9B23" w14:textId="6531084D" w:rsidR="00936F7A" w:rsidRPr="00E56A6E" w:rsidRDefault="004E7EFF" w:rsidP="006C3A7D">
      <w:pPr>
        <w:pStyle w:val="CBDTableTitle"/>
        <w:rPr>
          <w:lang w:val="es-ES"/>
        </w:rPr>
      </w:pPr>
      <w:r w:rsidRPr="00E56A6E">
        <w:rPr>
          <w:b w:val="0"/>
          <w:bCs/>
          <w:lang w:val="es-ES"/>
        </w:rPr>
        <w:lastRenderedPageBreak/>
        <w:t>Figur</w:t>
      </w:r>
      <w:r w:rsidR="009F2412" w:rsidRPr="00E56A6E">
        <w:rPr>
          <w:b w:val="0"/>
          <w:bCs/>
          <w:lang w:val="es-ES"/>
        </w:rPr>
        <w:t>a</w:t>
      </w:r>
      <w:r w:rsidRPr="00E56A6E">
        <w:rPr>
          <w:b w:val="0"/>
          <w:bCs/>
          <w:lang w:val="es-ES"/>
        </w:rPr>
        <w:t xml:space="preserve"> I</w:t>
      </w:r>
      <w:r w:rsidR="00936F7A" w:rsidRPr="00E56A6E">
        <w:rPr>
          <w:lang w:val="es-ES"/>
        </w:rPr>
        <w:t xml:space="preserve"> </w:t>
      </w:r>
      <w:r w:rsidR="00406CC3" w:rsidRPr="00E56A6E">
        <w:rPr>
          <w:lang w:val="es-ES"/>
        </w:rPr>
        <w:br/>
      </w:r>
      <w:r w:rsidR="009F2412" w:rsidRPr="00E56A6E">
        <w:rPr>
          <w:lang w:val="es-ES"/>
        </w:rPr>
        <w:t>Número de registros nacionales y porcentaje de Partes que los publican, a</w:t>
      </w:r>
      <w:r w:rsidR="003354D0" w:rsidRPr="00E56A6E">
        <w:rPr>
          <w:lang w:val="es-ES"/>
        </w:rPr>
        <w:t xml:space="preserve">l </w:t>
      </w:r>
      <w:r w:rsidR="009F2412" w:rsidRPr="00E56A6E">
        <w:rPr>
          <w:lang w:val="es-ES"/>
        </w:rPr>
        <w:t>9 de marzo de 2026</w:t>
      </w:r>
    </w:p>
    <w:p w14:paraId="2D66F1E7" w14:textId="27C75F08" w:rsidR="00936F7A" w:rsidRPr="00E56A6E" w:rsidRDefault="00845FB9" w:rsidP="000C3C4B">
      <w:pPr>
        <w:pStyle w:val="Para10"/>
        <w:ind w:left="567" w:firstLine="0"/>
        <w:jc w:val="center"/>
        <w:rPr>
          <w:rFonts w:asciiTheme="majorBidi" w:hAnsiTheme="majorBidi" w:cstheme="majorBidi"/>
          <w:lang w:val="es-ES"/>
        </w:rPr>
      </w:pPr>
      <w:r w:rsidRPr="00E56A6E">
        <w:rPr>
          <w:noProof/>
          <w:lang w:val="es-ES"/>
          <w14:ligatures w14:val="standardContextual"/>
        </w:rPr>
        <w:drawing>
          <wp:inline distT="0" distB="0" distL="0" distR="0" wp14:anchorId="269582B6" wp14:editId="50C43A90">
            <wp:extent cx="5550535" cy="2411427"/>
            <wp:effectExtent l="0" t="0" r="12065" b="8255"/>
            <wp:docPr id="57816552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27C9E64" w14:textId="7DEE53EC" w:rsidR="00B72245" w:rsidRPr="00E56A6E" w:rsidRDefault="009F2412" w:rsidP="00B72245">
      <w:pPr>
        <w:pStyle w:val="CBDNormalNumber"/>
        <w:numPr>
          <w:ilvl w:val="0"/>
          <w:numId w:val="0"/>
        </w:numPr>
        <w:ind w:left="567"/>
        <w:rPr>
          <w:rFonts w:asciiTheme="majorBidi" w:hAnsiTheme="majorBidi" w:cstheme="majorBidi"/>
          <w:sz w:val="18"/>
          <w:szCs w:val="18"/>
          <w:lang w:val="es-ES"/>
        </w:rPr>
      </w:pPr>
      <w:r w:rsidRPr="00E56A6E">
        <w:rPr>
          <w:rFonts w:asciiTheme="majorBidi" w:hAnsiTheme="majorBidi" w:cstheme="majorBidi"/>
          <w:i/>
          <w:iCs/>
          <w:sz w:val="18"/>
          <w:szCs w:val="18"/>
          <w:lang w:val="es-ES"/>
        </w:rPr>
        <w:t>Abreviaturas</w:t>
      </w:r>
      <w:r w:rsidRPr="00E56A6E">
        <w:rPr>
          <w:rFonts w:asciiTheme="majorBidi" w:hAnsiTheme="majorBidi" w:cstheme="majorBidi"/>
          <w:sz w:val="18"/>
          <w:szCs w:val="18"/>
          <w:lang w:val="es-ES"/>
        </w:rPr>
        <w:t xml:space="preserve">: CNA, autoridad nacional competente; CP, </w:t>
      </w:r>
      <w:r w:rsidR="003745C1" w:rsidRPr="00E56A6E">
        <w:rPr>
          <w:rFonts w:asciiTheme="majorBidi" w:hAnsiTheme="majorBidi" w:cstheme="majorBidi"/>
          <w:sz w:val="18"/>
          <w:szCs w:val="18"/>
          <w:lang w:val="es-ES"/>
        </w:rPr>
        <w:t>punto de verificación</w:t>
      </w:r>
      <w:r w:rsidRPr="00E56A6E">
        <w:rPr>
          <w:rFonts w:asciiTheme="majorBidi" w:hAnsiTheme="majorBidi" w:cstheme="majorBidi"/>
          <w:sz w:val="18"/>
          <w:szCs w:val="18"/>
          <w:lang w:val="es-ES"/>
        </w:rPr>
        <w:t xml:space="preserve">; CPC, comunicado del </w:t>
      </w:r>
      <w:r w:rsidR="003745C1" w:rsidRPr="00E56A6E">
        <w:rPr>
          <w:rFonts w:asciiTheme="majorBidi" w:hAnsiTheme="majorBidi" w:cstheme="majorBidi"/>
          <w:sz w:val="18"/>
          <w:szCs w:val="18"/>
          <w:lang w:val="es-ES"/>
        </w:rPr>
        <w:t>punto de verificación</w:t>
      </w:r>
      <w:r w:rsidRPr="00E56A6E">
        <w:rPr>
          <w:rFonts w:asciiTheme="majorBidi" w:hAnsiTheme="majorBidi" w:cstheme="majorBidi"/>
          <w:sz w:val="18"/>
          <w:szCs w:val="18"/>
          <w:lang w:val="es-ES"/>
        </w:rPr>
        <w:t>; IRCC, certificado de conformidad reconocido internacionalmente; MSR, medida legislativa, administrativa o normativa sobre acceso y participación en los beneficios; NDB, sitios web y bases de datos nacionales; NMCC, cláusula contractual modelo nacional; PRO, procedimiento de acceso y participación en los beneficios.</w:t>
      </w:r>
    </w:p>
    <w:p w14:paraId="1180A06B" w14:textId="4995591F" w:rsidR="009F2412" w:rsidRPr="00E56A6E" w:rsidRDefault="009F2412" w:rsidP="009F2412">
      <w:pPr>
        <w:pStyle w:val="CBDNormalNumber"/>
        <w:rPr>
          <w:lang w:val="es-ES"/>
        </w:rPr>
      </w:pPr>
      <w:r w:rsidRPr="00E56A6E">
        <w:rPr>
          <w:lang w:val="es-ES"/>
        </w:rPr>
        <w:t>A nivel mundial, la publicación de registros sobre las autoridades nacionales competentes y las medidas legislativas, administrativas o normativas registró los niveles más altos de participación entre las Partes, ya que algo menos del 60 % de las Partes había publicado al menos un registro en cada una de estas categorías.</w:t>
      </w:r>
    </w:p>
    <w:p w14:paraId="0E96EE2F" w14:textId="3BAB5203" w:rsidR="009F2412" w:rsidRPr="00E56A6E" w:rsidRDefault="009F2412" w:rsidP="009F2412">
      <w:pPr>
        <w:pStyle w:val="CBDNormalNumber"/>
        <w:rPr>
          <w:lang w:val="es-ES"/>
        </w:rPr>
      </w:pPr>
      <w:r w:rsidRPr="00E56A6E">
        <w:rPr>
          <w:lang w:val="es-ES"/>
        </w:rPr>
        <w:t xml:space="preserve">La publicación de información sobre los </w:t>
      </w:r>
      <w:r w:rsidR="003745C1" w:rsidRPr="00E56A6E">
        <w:rPr>
          <w:lang w:val="es-ES"/>
        </w:rPr>
        <w:t>puntos de verificación</w:t>
      </w:r>
      <w:r w:rsidRPr="00E56A6E">
        <w:rPr>
          <w:lang w:val="es-ES"/>
        </w:rPr>
        <w:t xml:space="preserve"> registró una participación menor, </w:t>
      </w:r>
      <w:r w:rsidR="002B78D2" w:rsidRPr="00E56A6E">
        <w:rPr>
          <w:lang w:val="es-ES"/>
        </w:rPr>
        <w:t xml:space="preserve">dado que </w:t>
      </w:r>
      <w:r w:rsidRPr="00E56A6E">
        <w:rPr>
          <w:lang w:val="es-ES"/>
        </w:rPr>
        <w:t xml:space="preserve">más del 30 % de las Partes había publicado información y, en general, un número comparativamente menor de registros disponibles. </w:t>
      </w:r>
    </w:p>
    <w:p w14:paraId="4F3C3539" w14:textId="54593A9F" w:rsidR="009F2412" w:rsidRPr="00E56A6E" w:rsidRDefault="009F2412" w:rsidP="009F2412">
      <w:pPr>
        <w:pStyle w:val="CBDNormalNumber"/>
        <w:rPr>
          <w:lang w:val="es-ES"/>
        </w:rPr>
      </w:pPr>
      <w:r w:rsidRPr="00E56A6E">
        <w:rPr>
          <w:lang w:val="es-ES"/>
        </w:rPr>
        <w:t>La publicación de bases de datos y sitios web nacionales tuvo una baja participación</w:t>
      </w:r>
      <w:r w:rsidR="00876B05" w:rsidRPr="00E56A6E">
        <w:rPr>
          <w:lang w:val="es-ES"/>
        </w:rPr>
        <w:t xml:space="preserve">; solo un </w:t>
      </w:r>
      <w:r w:rsidRPr="00E56A6E">
        <w:rPr>
          <w:lang w:val="es-ES"/>
        </w:rPr>
        <w:t>30 % de las Partes</w:t>
      </w:r>
      <w:r w:rsidR="00876B05" w:rsidRPr="00E56A6E">
        <w:rPr>
          <w:lang w:val="es-ES"/>
        </w:rPr>
        <w:t xml:space="preserve"> publicaron</w:t>
      </w:r>
      <w:r w:rsidRPr="00E56A6E">
        <w:rPr>
          <w:lang w:val="es-ES"/>
        </w:rPr>
        <w:t>. Las cláusulas contractuales modelo nacionales y los procedimientos de acceso y participación en los beneficios registraron tanto un bajo número de registros publicados como una baja participación</w:t>
      </w:r>
      <w:r w:rsidR="00876B05" w:rsidRPr="00E56A6E">
        <w:rPr>
          <w:lang w:val="es-ES"/>
        </w:rPr>
        <w:t xml:space="preserve">; </w:t>
      </w:r>
      <w:r w:rsidRPr="00E56A6E">
        <w:rPr>
          <w:lang w:val="es-ES"/>
        </w:rPr>
        <w:t xml:space="preserve">menos del 20 % de las Partes aportaron información. </w:t>
      </w:r>
    </w:p>
    <w:p w14:paraId="2946859D" w14:textId="67E521F7" w:rsidR="009F2412" w:rsidRPr="00E56A6E" w:rsidRDefault="009F2412" w:rsidP="009F2412">
      <w:pPr>
        <w:pStyle w:val="CBDNormalNumber"/>
        <w:rPr>
          <w:lang w:val="es-ES"/>
        </w:rPr>
      </w:pPr>
      <w:r w:rsidRPr="00E56A6E">
        <w:rPr>
          <w:lang w:val="es-ES"/>
        </w:rPr>
        <w:t xml:space="preserve">Si bien los certificados (6.269 registros) y los comunicados de los </w:t>
      </w:r>
      <w:r w:rsidR="003745C1" w:rsidRPr="00E56A6E">
        <w:rPr>
          <w:lang w:val="es-ES"/>
        </w:rPr>
        <w:t>puntos de verificación</w:t>
      </w:r>
      <w:r w:rsidRPr="00E56A6E">
        <w:rPr>
          <w:lang w:val="es-ES"/>
        </w:rPr>
        <w:t xml:space="preserve"> (371</w:t>
      </w:r>
      <w:r w:rsidR="002B78D2" w:rsidRPr="00E56A6E">
        <w:rPr>
          <w:lang w:val="es-ES"/>
        </w:rPr>
        <w:t> </w:t>
      </w:r>
      <w:r w:rsidRPr="00E56A6E">
        <w:rPr>
          <w:lang w:val="es-ES"/>
        </w:rPr>
        <w:t xml:space="preserve">registros) representaron el mayor número de registros en el Centro de Intercambio de Información, los resultados revelaron que relativamente pocas Partes (34, es decir, el 24 %) publicaban certificados y que aún menos Partes (14, es decir, el 10 %) publicaban comunicados de los </w:t>
      </w:r>
      <w:r w:rsidR="003745C1" w:rsidRPr="00E56A6E">
        <w:rPr>
          <w:lang w:val="es-ES"/>
        </w:rPr>
        <w:t>puntos de verificación</w:t>
      </w:r>
      <w:r w:rsidRPr="00E56A6E">
        <w:rPr>
          <w:lang w:val="es-ES"/>
        </w:rPr>
        <w:t>.</w:t>
      </w:r>
    </w:p>
    <w:p w14:paraId="7C025712" w14:textId="73F20C41" w:rsidR="005A60A6" w:rsidRPr="00E56A6E" w:rsidRDefault="004E7EFF" w:rsidP="0035165F">
      <w:pPr>
        <w:pStyle w:val="CBDTableTitle"/>
        <w:rPr>
          <w:lang w:val="es-ES"/>
        </w:rPr>
      </w:pPr>
      <w:r w:rsidRPr="00E56A6E">
        <w:rPr>
          <w:b w:val="0"/>
          <w:bCs/>
          <w:lang w:val="es-ES"/>
        </w:rPr>
        <w:lastRenderedPageBreak/>
        <w:t>Figur</w:t>
      </w:r>
      <w:r w:rsidR="009F2412" w:rsidRPr="00E56A6E">
        <w:rPr>
          <w:b w:val="0"/>
          <w:bCs/>
          <w:lang w:val="es-ES"/>
        </w:rPr>
        <w:t>a</w:t>
      </w:r>
      <w:r w:rsidRPr="00E56A6E">
        <w:rPr>
          <w:b w:val="0"/>
          <w:bCs/>
          <w:lang w:val="es-ES"/>
        </w:rPr>
        <w:t xml:space="preserve"> II</w:t>
      </w:r>
      <w:r w:rsidR="00112519" w:rsidRPr="00E56A6E">
        <w:rPr>
          <w:lang w:val="es-ES"/>
        </w:rPr>
        <w:t xml:space="preserve"> </w:t>
      </w:r>
      <w:r w:rsidR="0035165F" w:rsidRPr="00E56A6E">
        <w:rPr>
          <w:lang w:val="es-ES"/>
        </w:rPr>
        <w:br/>
      </w:r>
      <w:r w:rsidR="009F2412" w:rsidRPr="00E56A6E">
        <w:rPr>
          <w:lang w:val="es-ES"/>
        </w:rPr>
        <w:t xml:space="preserve">Estado de los avances de las Partes en la publicación de información sobre el </w:t>
      </w:r>
      <w:r w:rsidR="00467E2F" w:rsidRPr="00E56A6E">
        <w:rPr>
          <w:lang w:val="es-ES"/>
        </w:rPr>
        <w:t>Centro de Intercambio de Información sobre Acceso y Participación en los Beneficios</w:t>
      </w:r>
      <w:r w:rsidR="009F2412" w:rsidRPr="00E56A6E">
        <w:rPr>
          <w:lang w:val="es-ES"/>
        </w:rPr>
        <w:t xml:space="preserve"> (porcentaje de Partes por región)</w:t>
      </w:r>
    </w:p>
    <w:p w14:paraId="4ECB53DF" w14:textId="3294891E" w:rsidR="000D779C" w:rsidRPr="00E56A6E" w:rsidRDefault="00845FB9" w:rsidP="000D779C">
      <w:pPr>
        <w:pStyle w:val="Para10"/>
        <w:ind w:left="540" w:firstLine="0"/>
        <w:rPr>
          <w:lang w:val="es-ES"/>
        </w:rPr>
      </w:pPr>
      <w:r w:rsidRPr="00E56A6E">
        <w:rPr>
          <w:noProof/>
          <w:lang w:val="es-ES"/>
          <w14:ligatures w14:val="standardContextual"/>
        </w:rPr>
        <w:drawing>
          <wp:inline distT="0" distB="0" distL="0" distR="0" wp14:anchorId="27D06FC5" wp14:editId="20E8DAAB">
            <wp:extent cx="5943600" cy="2945130"/>
            <wp:effectExtent l="0" t="0" r="0" b="7620"/>
            <wp:docPr id="213426654" name="Chart 1">
              <a:extLst xmlns:a="http://schemas.openxmlformats.org/drawingml/2006/main">
                <a:ext uri="{FF2B5EF4-FFF2-40B4-BE49-F238E27FC236}">
                  <a16:creationId xmlns:a16="http://schemas.microsoft.com/office/drawing/2014/main" id="{425FFA3D-AFFA-2B77-0B25-BA2595D0A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0AE25CA" w14:textId="416B09F2" w:rsidR="002F2963" w:rsidRPr="00E56A6E" w:rsidRDefault="009F2412" w:rsidP="00CD2C50">
      <w:pPr>
        <w:pStyle w:val="CBDNormalNumber"/>
        <w:rPr>
          <w:lang w:val="es-ES"/>
        </w:rPr>
      </w:pPr>
      <w:r w:rsidRPr="00E56A6E">
        <w:rPr>
          <w:lang w:val="es-ES"/>
        </w:rPr>
        <w:t xml:space="preserve">Cabe señalar que muchas Partes disponen de información que aún no han publicado en el Centro de Intercambio de Información. Como se muestra en la figura II, 68 Partes (el 48 %) han publicado cierta información en el Centro de Intercambio de Información, pero según la información </w:t>
      </w:r>
      <w:r w:rsidR="003B32FB" w:rsidRPr="00E56A6E">
        <w:rPr>
          <w:lang w:val="es-ES"/>
        </w:rPr>
        <w:t>existente</w:t>
      </w:r>
      <w:r w:rsidRPr="00E56A6E">
        <w:rPr>
          <w:lang w:val="es-ES"/>
        </w:rPr>
        <w:t>, disponen de más información para publicar, y 46 Partes (el 32 %) no tienen información en el Centro de Intercambio de Información, pero disponen de información para publicar. África y América Latina y el Caribe son las regiones con mayor cantidad de información disponible pero aún no publicada en el Centro de Intercambio de Información</w:t>
      </w:r>
      <w:r w:rsidRPr="00E56A6E">
        <w:rPr>
          <w:rStyle w:val="FootnoteReference"/>
          <w:lang w:val="es-ES"/>
        </w:rPr>
        <w:footnoteReference w:id="87"/>
      </w:r>
      <w:r w:rsidRPr="00E56A6E">
        <w:rPr>
          <w:lang w:val="es-ES"/>
        </w:rPr>
        <w:t>.</w:t>
      </w:r>
    </w:p>
    <w:p w14:paraId="5B531F2F" w14:textId="017B633A" w:rsidR="002F2963" w:rsidRPr="00E56A6E" w:rsidRDefault="00653A73" w:rsidP="00540BD4">
      <w:pPr>
        <w:pStyle w:val="CBDTableTitle"/>
        <w:rPr>
          <w:lang w:val="es-ES"/>
        </w:rPr>
      </w:pPr>
      <w:r w:rsidRPr="00E56A6E">
        <w:rPr>
          <w:b w:val="0"/>
          <w:bCs/>
          <w:lang w:val="es-ES"/>
        </w:rPr>
        <w:t>Cuadro</w:t>
      </w:r>
      <w:r w:rsidR="002F2963" w:rsidRPr="00E56A6E">
        <w:rPr>
          <w:b w:val="0"/>
          <w:bCs/>
          <w:lang w:val="es-ES"/>
        </w:rPr>
        <w:t xml:space="preserve"> 15</w:t>
      </w:r>
      <w:r w:rsidR="002F2963" w:rsidRPr="00E56A6E">
        <w:rPr>
          <w:lang w:val="es-ES"/>
        </w:rPr>
        <w:t xml:space="preserve"> </w:t>
      </w:r>
      <w:r w:rsidR="00540BD4" w:rsidRPr="00E56A6E">
        <w:rPr>
          <w:lang w:val="es-ES"/>
        </w:rPr>
        <w:br/>
      </w:r>
      <w:r w:rsidR="009F2412" w:rsidRPr="00E56A6E">
        <w:rPr>
          <w:lang w:val="es-ES"/>
        </w:rPr>
        <w:t xml:space="preserve">Indicadores para medir los avances en la publicación de registros nacionales en el </w:t>
      </w:r>
      <w:r w:rsidR="00467E2F" w:rsidRPr="00E56A6E">
        <w:rPr>
          <w:lang w:val="es-ES"/>
        </w:rPr>
        <w:t>Centro de Intercambio de Información sobre Acceso y Participación en los Beneficios</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815"/>
        <w:gridCol w:w="1506"/>
      </w:tblGrid>
      <w:tr w:rsidR="002F2963" w:rsidRPr="005A210D" w14:paraId="74A872D1"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EE03986" w14:textId="51486C87" w:rsidR="002F2963" w:rsidRPr="00E56A6E" w:rsidRDefault="00EE1C1B" w:rsidP="006B066D">
            <w:pPr>
              <w:suppressLineNumbers/>
              <w:suppressAutoHyphens/>
              <w:kinsoku w:val="0"/>
              <w:overflowPunct w:val="0"/>
              <w:autoSpaceDE w:val="0"/>
              <w:autoSpaceDN w:val="0"/>
              <w:adjustRightInd w:val="0"/>
              <w:snapToGrid w:val="0"/>
              <w:ind w:left="314" w:hanging="360"/>
              <w:jc w:val="left"/>
              <w:rPr>
                <w:rFonts w:eastAsia="Malgun Gothic"/>
                <w:i/>
                <w:iCs/>
                <w:kern w:val="22"/>
                <w:sz w:val="20"/>
                <w:szCs w:val="20"/>
                <w:lang w:val="es-ES"/>
              </w:rPr>
            </w:pPr>
            <w:r w:rsidRPr="00E56A6E">
              <w:rPr>
                <w:rFonts w:eastAsia="Malgun Gothic"/>
                <w:i/>
                <w:iCs/>
                <w:kern w:val="22"/>
                <w:sz w:val="20"/>
                <w:szCs w:val="20"/>
                <w:lang w:val="es-ES"/>
              </w:rPr>
              <w:t>Marco de indicadores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B0B8F4A" w14:textId="7ADE8CE0" w:rsidR="002F2963" w:rsidRPr="00E56A6E" w:rsidRDefault="007F3ECF" w:rsidP="006B066D">
            <w:pPr>
              <w:suppressLineNumbers/>
              <w:suppressAutoHyphens/>
              <w:kinsoku w:val="0"/>
              <w:overflowPunct w:val="0"/>
              <w:autoSpaceDE w:val="0"/>
              <w:autoSpaceDN w:val="0"/>
              <w:adjustRightInd w:val="0"/>
              <w:snapToGrid w:val="0"/>
              <w:jc w:val="right"/>
              <w:rPr>
                <w:rFonts w:eastAsia="Calibri"/>
                <w:i/>
                <w:iCs/>
                <w:kern w:val="22"/>
                <w:sz w:val="20"/>
                <w:szCs w:val="20"/>
                <w:lang w:val="es-ES"/>
              </w:rPr>
            </w:pPr>
            <w:r w:rsidRPr="00E56A6E">
              <w:rPr>
                <w:rFonts w:eastAsia="Calibri"/>
                <w:i/>
                <w:iCs/>
                <w:kern w:val="22"/>
                <w:sz w:val="20"/>
                <w:szCs w:val="20"/>
                <w:lang w:val="es-ES"/>
              </w:rPr>
              <w:t>Punto de referencia</w:t>
            </w:r>
            <w:r w:rsidR="002F2963" w:rsidRPr="00E56A6E">
              <w:rPr>
                <w:rFonts w:eastAsia="Calibri"/>
                <w:i/>
                <w:iCs/>
                <w:kern w:val="22"/>
                <w:sz w:val="20"/>
                <w:szCs w:val="20"/>
                <w:lang w:val="es-ES"/>
              </w:rPr>
              <w:t xml:space="preserve"> </w:t>
            </w:r>
            <w:r w:rsidR="00300CAC" w:rsidRPr="00E56A6E">
              <w:rPr>
                <w:rFonts w:eastAsia="Calibri"/>
                <w:i/>
                <w:iCs/>
                <w:kern w:val="22"/>
                <w:sz w:val="20"/>
                <w:szCs w:val="20"/>
                <w:lang w:val="es-ES"/>
              </w:rPr>
              <w:br/>
            </w:r>
            <w:r w:rsidR="002F2963" w:rsidRPr="00E56A6E">
              <w:rPr>
                <w:rFonts w:eastAsia="Calibri"/>
                <w:i/>
                <w:iCs/>
                <w:kern w:val="22"/>
                <w:sz w:val="20"/>
                <w:szCs w:val="20"/>
                <w:lang w:val="es-ES"/>
              </w:rPr>
              <w:t>(</w:t>
            </w:r>
            <w:r w:rsidRPr="00E56A6E">
              <w:rPr>
                <w:rFonts w:eastAsia="Calibri"/>
                <w:i/>
                <w:iCs/>
                <w:kern w:val="22"/>
                <w:sz w:val="20"/>
                <w:szCs w:val="20"/>
                <w:lang w:val="es-ES"/>
              </w:rPr>
              <w:t>al 22 de febrero de 2018</w:t>
            </w:r>
            <w:r w:rsidR="002F2963" w:rsidRPr="00E56A6E">
              <w:rPr>
                <w:rFonts w:eastAsia="Calibri"/>
                <w:i/>
                <w:iCs/>
                <w:kern w:val="22"/>
                <w:sz w:val="20"/>
                <w:szCs w:val="20"/>
                <w:lang w:val="es-ES"/>
              </w:rPr>
              <w:t>)</w:t>
            </w:r>
          </w:p>
        </w:tc>
        <w:tc>
          <w:tcPr>
            <w:tcW w:w="1506" w:type="dxa"/>
            <w:tcBorders>
              <w:top w:val="single" w:sz="4" w:space="0" w:color="auto"/>
              <w:left w:val="single" w:sz="4" w:space="0" w:color="auto"/>
              <w:bottom w:val="single" w:sz="4" w:space="0" w:color="auto"/>
              <w:right w:val="single" w:sz="4" w:space="0" w:color="auto"/>
            </w:tcBorders>
            <w:vAlign w:val="bottom"/>
          </w:tcPr>
          <w:p w14:paraId="2584D9E8" w14:textId="2D58DB4F" w:rsidR="002F2963" w:rsidRPr="00E56A6E" w:rsidRDefault="007F3ECF" w:rsidP="006B066D">
            <w:pPr>
              <w:suppressLineNumbers/>
              <w:suppressAutoHyphens/>
              <w:kinsoku w:val="0"/>
              <w:overflowPunct w:val="0"/>
              <w:autoSpaceDE w:val="0"/>
              <w:autoSpaceDN w:val="0"/>
              <w:adjustRightInd w:val="0"/>
              <w:snapToGrid w:val="0"/>
              <w:jc w:val="right"/>
              <w:rPr>
                <w:rFonts w:eastAsia="Calibri"/>
                <w:i/>
                <w:iCs/>
                <w:kern w:val="22"/>
                <w:sz w:val="20"/>
                <w:szCs w:val="20"/>
                <w:lang w:val="es-ES"/>
              </w:rPr>
            </w:pPr>
            <w:r w:rsidRPr="00E56A6E">
              <w:rPr>
                <w:rFonts w:eastAsia="Calibri"/>
                <w:i/>
                <w:iCs/>
                <w:kern w:val="22"/>
                <w:sz w:val="20"/>
                <w:szCs w:val="20"/>
                <w:lang w:val="es-ES"/>
              </w:rPr>
              <w:t>Avances al 9 de marzo de 2026</w:t>
            </w:r>
          </w:p>
        </w:tc>
      </w:tr>
      <w:tr w:rsidR="00C26B6B" w:rsidRPr="00E56A6E" w14:paraId="41981A2F"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D49BE73" w14:textId="3E04780B"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y porcentaje de Partes que han publicado información sobre las autoridades nacionales competentes en el </w:t>
            </w:r>
            <w:r w:rsidR="00467E2F" w:rsidRPr="00E56A6E">
              <w:rPr>
                <w:sz w:val="20"/>
                <w:szCs w:val="20"/>
                <w:lang w:val="es-ES"/>
              </w:rPr>
              <w:t>Centro de Intercambio de Información sobre Acceso y Participación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11C2BCE" w14:textId="6C0EA544"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45 (43 %)</w:t>
            </w:r>
          </w:p>
        </w:tc>
        <w:tc>
          <w:tcPr>
            <w:tcW w:w="1506" w:type="dxa"/>
            <w:vAlign w:val="bottom"/>
          </w:tcPr>
          <w:p w14:paraId="00C93237" w14:textId="24B0C2C1"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83 (58 %)</w:t>
            </w:r>
          </w:p>
        </w:tc>
      </w:tr>
      <w:tr w:rsidR="00C26B6B" w:rsidRPr="00E56A6E" w14:paraId="7915DF37"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314B61" w14:textId="18E466C4"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y porcentaje de Partes que han publicado información sobre </w:t>
            </w:r>
            <w:r w:rsidR="00481B8C" w:rsidRPr="00E56A6E">
              <w:rPr>
                <w:sz w:val="20"/>
                <w:szCs w:val="20"/>
                <w:lang w:val="es-ES"/>
              </w:rPr>
              <w:t>medidas legislativas, administrativas o normativas</w:t>
            </w:r>
            <w:r w:rsidRPr="00E56A6E">
              <w:rPr>
                <w:sz w:val="20"/>
                <w:szCs w:val="20"/>
                <w:lang w:val="es-ES"/>
              </w:rPr>
              <w:t xml:space="preserve"> en el </w:t>
            </w:r>
            <w:r w:rsidR="00467E2F" w:rsidRPr="00E56A6E">
              <w:rPr>
                <w:sz w:val="20"/>
                <w:szCs w:val="20"/>
                <w:lang w:val="es-ES"/>
              </w:rPr>
              <w:t>Centro de Intercambio de Información sobre Acceso y Participación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258010" w14:textId="34E11061"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45 (43 %)</w:t>
            </w:r>
          </w:p>
        </w:tc>
        <w:tc>
          <w:tcPr>
            <w:tcW w:w="1506" w:type="dxa"/>
            <w:vAlign w:val="bottom"/>
          </w:tcPr>
          <w:p w14:paraId="5AAEA5A7" w14:textId="20D8C7D9"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80 (56 %)</w:t>
            </w:r>
          </w:p>
        </w:tc>
      </w:tr>
      <w:tr w:rsidR="00C26B6B" w:rsidRPr="00E56A6E" w14:paraId="0EF00640"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21423B" w14:textId="25B43CBF"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Número y porcentaje de Partes que han publicado información sobre los procedimientos de acceso y participación en los beneficios</w:t>
            </w:r>
            <w:r w:rsidR="003B32FB" w:rsidRPr="00E56A6E">
              <w:rPr>
                <w:i/>
                <w:iCs/>
                <w:sz w:val="18"/>
                <w:szCs w:val="18"/>
                <w:vertAlign w:val="superscript"/>
                <w:lang w:val="es-ES"/>
              </w:rPr>
              <w:t xml:space="preserve"> a</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1F6B803" w14:textId="175B39AF" w:rsidR="00C26B6B" w:rsidRPr="00E56A6E" w:rsidRDefault="008F3D09"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Nuevo</w:t>
            </w:r>
          </w:p>
        </w:tc>
        <w:tc>
          <w:tcPr>
            <w:tcW w:w="1506" w:type="dxa"/>
            <w:vAlign w:val="bottom"/>
          </w:tcPr>
          <w:p w14:paraId="60FE181D" w14:textId="001D520E"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30 (21 %)</w:t>
            </w:r>
          </w:p>
        </w:tc>
      </w:tr>
      <w:tr w:rsidR="00C26B6B" w:rsidRPr="00E56A6E" w14:paraId="77383C56"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2C8670" w14:textId="373E0BEB"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lastRenderedPageBreak/>
              <w:t>Número y porcentaje de Partes que han publicado cláusulas contractuales modelo nacionales</w:t>
            </w:r>
            <w:r w:rsidR="003B32FB" w:rsidRPr="00E56A6E">
              <w:rPr>
                <w:i/>
                <w:iCs/>
                <w:sz w:val="18"/>
                <w:szCs w:val="18"/>
                <w:vertAlign w:val="superscript"/>
                <w:lang w:val="es-ES"/>
              </w:rPr>
              <w:t xml:space="preserve"> b</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C2E5194" w14:textId="6D5C55FA"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N</w:t>
            </w:r>
            <w:r w:rsidR="008F3D09" w:rsidRPr="00E56A6E">
              <w:rPr>
                <w:rFonts w:eastAsia="Calibri"/>
                <w:kern w:val="22"/>
                <w:sz w:val="20"/>
                <w:szCs w:val="20"/>
                <w:lang w:val="es-ES"/>
              </w:rPr>
              <w:t>uevo</w:t>
            </w:r>
          </w:p>
        </w:tc>
        <w:tc>
          <w:tcPr>
            <w:tcW w:w="1506" w:type="dxa"/>
            <w:vAlign w:val="bottom"/>
          </w:tcPr>
          <w:p w14:paraId="07FC5AE8" w14:textId="0BE9C908"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11 (8 %)</w:t>
            </w:r>
          </w:p>
        </w:tc>
      </w:tr>
      <w:tr w:rsidR="00C26B6B" w:rsidRPr="00E56A6E" w14:paraId="1F98EB60"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6FA913" w14:textId="63166A9B"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Número y porcentaje de Partes que han publicado información en sitios web y bases de datos nacionales</w:t>
            </w:r>
            <w:r w:rsidR="003B32FB" w:rsidRPr="00E56A6E">
              <w:rPr>
                <w:i/>
                <w:iCs/>
                <w:sz w:val="18"/>
                <w:szCs w:val="18"/>
                <w:vertAlign w:val="superscript"/>
                <w:lang w:val="es-ES"/>
              </w:rPr>
              <w:t xml:space="preserve"> c</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DB6253B" w14:textId="2A157C1C"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N</w:t>
            </w:r>
            <w:r w:rsidR="008F3D09" w:rsidRPr="00E56A6E">
              <w:rPr>
                <w:rFonts w:eastAsia="Calibri"/>
                <w:kern w:val="22"/>
                <w:sz w:val="20"/>
                <w:szCs w:val="20"/>
                <w:lang w:val="es-ES"/>
              </w:rPr>
              <w:t>uevo</w:t>
            </w:r>
          </w:p>
        </w:tc>
        <w:tc>
          <w:tcPr>
            <w:tcW w:w="1506" w:type="dxa"/>
            <w:vAlign w:val="bottom"/>
          </w:tcPr>
          <w:p w14:paraId="3FBF0E6B" w14:textId="6D703B8B"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45 (32 %)</w:t>
            </w:r>
          </w:p>
        </w:tc>
      </w:tr>
      <w:tr w:rsidR="00C26B6B" w:rsidRPr="00E56A6E" w14:paraId="5E32D59A"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88A86CF" w14:textId="7FA32383"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y porcentaje de Partes que han publicado información sobre </w:t>
            </w:r>
            <w:r w:rsidR="003745C1" w:rsidRPr="00E56A6E">
              <w:rPr>
                <w:sz w:val="20"/>
                <w:szCs w:val="20"/>
                <w:lang w:val="es-ES"/>
              </w:rPr>
              <w:t>puntos de verificación</w:t>
            </w:r>
            <w:r w:rsidRPr="00E56A6E">
              <w:rPr>
                <w:sz w:val="20"/>
                <w:szCs w:val="20"/>
                <w:lang w:val="es-ES"/>
              </w:rPr>
              <w:t xml:space="preserve"> en el </w:t>
            </w:r>
            <w:r w:rsidR="00467E2F" w:rsidRPr="00E56A6E">
              <w:rPr>
                <w:sz w:val="20"/>
                <w:szCs w:val="20"/>
                <w:lang w:val="es-ES"/>
              </w:rPr>
              <w:t>Centro de Intercambio de Información sobre Acceso y Participación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562913D" w14:textId="469A5E2D"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20 (19 %)</w:t>
            </w:r>
          </w:p>
        </w:tc>
        <w:tc>
          <w:tcPr>
            <w:tcW w:w="1506" w:type="dxa"/>
            <w:vAlign w:val="bottom"/>
          </w:tcPr>
          <w:p w14:paraId="316A8310" w14:textId="60E37A0D"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48 (34 %)</w:t>
            </w:r>
          </w:p>
        </w:tc>
      </w:tr>
      <w:tr w:rsidR="00C26B6B" w:rsidRPr="00E56A6E" w14:paraId="6FC6F6DE"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F395826" w14:textId="146BA364" w:rsidR="00C26B6B" w:rsidRPr="00E56A6E" w:rsidRDefault="00C26B6B" w:rsidP="00C26B6B">
            <w:pPr>
              <w:suppressLineNumbers/>
              <w:suppressAutoHyphens/>
              <w:kinsoku w:val="0"/>
              <w:overflowPunct w:val="0"/>
              <w:autoSpaceDE w:val="0"/>
              <w:autoSpaceDN w:val="0"/>
              <w:adjustRightInd w:val="0"/>
              <w:snapToGrid w:val="0"/>
              <w:jc w:val="left"/>
              <w:rPr>
                <w:rFonts w:eastAsia="Calibri"/>
                <w:color w:val="000000"/>
                <w:kern w:val="22"/>
                <w:sz w:val="20"/>
                <w:szCs w:val="20"/>
                <w:lang w:val="es-ES"/>
              </w:rPr>
            </w:pPr>
            <w:r w:rsidRPr="00E56A6E">
              <w:rPr>
                <w:sz w:val="20"/>
                <w:szCs w:val="20"/>
                <w:lang w:val="es-ES"/>
              </w:rPr>
              <w:t xml:space="preserve">Número y porcentaje de Partes que han publicado certificados de conformidad reconocidos internacionalmente en el </w:t>
            </w:r>
            <w:r w:rsidR="00467E2F" w:rsidRPr="00E56A6E">
              <w:rPr>
                <w:sz w:val="20"/>
                <w:szCs w:val="20"/>
                <w:lang w:val="es-ES"/>
              </w:rPr>
              <w:t>Centro de Intercambio de Información sobre Acceso y Participación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5F79687" w14:textId="2BD067FA"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12 (11 %)</w:t>
            </w:r>
          </w:p>
        </w:tc>
        <w:tc>
          <w:tcPr>
            <w:tcW w:w="1506" w:type="dxa"/>
            <w:vAlign w:val="bottom"/>
          </w:tcPr>
          <w:p w14:paraId="76568205" w14:textId="0E020AB4"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34 (24 %)</w:t>
            </w:r>
          </w:p>
        </w:tc>
      </w:tr>
      <w:tr w:rsidR="00C26B6B" w:rsidRPr="00E56A6E" w14:paraId="06ADD461"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EF9A8FF" w14:textId="2DCED5D8" w:rsidR="00C26B6B" w:rsidRPr="00E56A6E" w:rsidRDefault="00C26B6B" w:rsidP="00C26B6B">
            <w:pPr>
              <w:suppressLineNumbers/>
              <w:suppressAutoHyphens/>
              <w:kinsoku w:val="0"/>
              <w:overflowPunct w:val="0"/>
              <w:autoSpaceDE w:val="0"/>
              <w:autoSpaceDN w:val="0"/>
              <w:adjustRightInd w:val="0"/>
              <w:snapToGrid w:val="0"/>
              <w:jc w:val="left"/>
              <w:rPr>
                <w:kern w:val="22"/>
                <w:sz w:val="20"/>
                <w:szCs w:val="20"/>
                <w:lang w:val="es-ES"/>
              </w:rPr>
            </w:pPr>
            <w:r w:rsidRPr="00E56A6E">
              <w:rPr>
                <w:sz w:val="20"/>
                <w:szCs w:val="20"/>
                <w:lang w:val="es-ES"/>
              </w:rPr>
              <w:t xml:space="preserve">Número de certificados de conformidad reconocidos internacionalmente disponibles en el </w:t>
            </w:r>
            <w:r w:rsidR="00467E2F" w:rsidRPr="00E56A6E">
              <w:rPr>
                <w:sz w:val="20"/>
                <w:szCs w:val="20"/>
                <w:lang w:val="es-ES"/>
              </w:rPr>
              <w:t>Centro de Intercambio de Información sobre Acceso y Participación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D50C57" w14:textId="77777777"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146</w:t>
            </w:r>
          </w:p>
        </w:tc>
        <w:tc>
          <w:tcPr>
            <w:tcW w:w="1506" w:type="dxa"/>
            <w:vAlign w:val="bottom"/>
          </w:tcPr>
          <w:p w14:paraId="2A4726F2" w14:textId="136BD6BA"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6,269</w:t>
            </w:r>
          </w:p>
        </w:tc>
      </w:tr>
      <w:tr w:rsidR="00C26B6B" w:rsidRPr="00E56A6E" w14:paraId="6AC5F323"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B94522" w14:textId="3716A499" w:rsidR="00C26B6B" w:rsidRPr="00E56A6E" w:rsidRDefault="00C26B6B" w:rsidP="00C26B6B">
            <w:pPr>
              <w:suppressLineNumbers/>
              <w:suppressAutoHyphens/>
              <w:kinsoku w:val="0"/>
              <w:overflowPunct w:val="0"/>
              <w:autoSpaceDE w:val="0"/>
              <w:autoSpaceDN w:val="0"/>
              <w:adjustRightInd w:val="0"/>
              <w:snapToGrid w:val="0"/>
              <w:jc w:val="left"/>
              <w:rPr>
                <w:kern w:val="22"/>
                <w:sz w:val="20"/>
                <w:szCs w:val="20"/>
                <w:lang w:val="es-ES"/>
              </w:rPr>
            </w:pPr>
            <w:r w:rsidRPr="00E56A6E">
              <w:rPr>
                <w:sz w:val="20"/>
                <w:szCs w:val="20"/>
                <w:lang w:val="es-ES"/>
              </w:rPr>
              <w:t xml:space="preserve">Número y porcentaje de Partes que facilitaron la información recopilada o recibida en un </w:t>
            </w:r>
            <w:r w:rsidR="003745C1" w:rsidRPr="00E56A6E">
              <w:rPr>
                <w:sz w:val="20"/>
                <w:szCs w:val="20"/>
                <w:lang w:val="es-ES"/>
              </w:rPr>
              <w:t>punto de verificación</w:t>
            </w:r>
            <w:r w:rsidRPr="00E56A6E">
              <w:rPr>
                <w:sz w:val="20"/>
                <w:szCs w:val="20"/>
                <w:lang w:val="es-ES"/>
              </w:rPr>
              <w:t xml:space="preserve"> designado a las autoridades nacionales pertinentes, a la Parte que otorgó el consentimiento fundamentado previo y al Centro de Intercambio de Información sobre Acceso y Participación en los Beneficios</w:t>
            </w:r>
            <w:r w:rsidR="003B32FB" w:rsidRPr="00E56A6E">
              <w:rPr>
                <w:i/>
                <w:iCs/>
                <w:sz w:val="18"/>
                <w:szCs w:val="18"/>
                <w:vertAlign w:val="superscript"/>
                <w:lang w:val="es-ES"/>
              </w:rPr>
              <w:t xml:space="preserve"> d</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F9E1686" w14:textId="0141AAEA" w:rsidR="00C26B6B" w:rsidRPr="00E56A6E" w:rsidRDefault="00C26B6B" w:rsidP="006C3A7D">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kern w:val="22"/>
                <w:sz w:val="20"/>
                <w:szCs w:val="20"/>
                <w:lang w:val="es-ES"/>
              </w:rPr>
              <w:t>9 (9 %)</w:t>
            </w:r>
          </w:p>
        </w:tc>
        <w:tc>
          <w:tcPr>
            <w:tcW w:w="1506" w:type="dxa"/>
            <w:vAlign w:val="bottom"/>
          </w:tcPr>
          <w:p w14:paraId="2ED2DF1C" w14:textId="5D7F1FC7"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kern w:val="22"/>
                <w:sz w:val="20"/>
                <w:szCs w:val="20"/>
                <w:lang w:val="es-ES"/>
              </w:rPr>
              <w:t>15 (10 %)</w:t>
            </w:r>
          </w:p>
        </w:tc>
      </w:tr>
      <w:tr w:rsidR="00C26B6B" w:rsidRPr="00E56A6E" w14:paraId="60C4A3A9"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0D67DF" w14:textId="0266C309"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de comunicados sobre </w:t>
            </w:r>
            <w:r w:rsidR="003745C1" w:rsidRPr="00E56A6E">
              <w:rPr>
                <w:sz w:val="20"/>
                <w:szCs w:val="20"/>
                <w:lang w:val="es-ES"/>
              </w:rPr>
              <w:t>puntos de verificación</w:t>
            </w:r>
            <w:r w:rsidRPr="00E56A6E">
              <w:rPr>
                <w:sz w:val="20"/>
                <w:szCs w:val="20"/>
                <w:lang w:val="es-ES"/>
              </w:rPr>
              <w:t xml:space="preserve"> publicados en el </w:t>
            </w:r>
            <w:r w:rsidR="00B67C83" w:rsidRPr="00E56A6E">
              <w:rPr>
                <w:sz w:val="20"/>
                <w:szCs w:val="20"/>
                <w:lang w:val="es-ES"/>
              </w:rPr>
              <w:t>Centro de Intercambio de Información sobre Acceso y Participación</w:t>
            </w:r>
            <w:r w:rsidRPr="00E56A6E">
              <w:rPr>
                <w:sz w:val="20"/>
                <w:szCs w:val="20"/>
                <w:lang w:val="es-ES"/>
              </w:rPr>
              <w:t xml:space="preserve">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856AE0D" w14:textId="77777777"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0</w:t>
            </w:r>
          </w:p>
        </w:tc>
        <w:tc>
          <w:tcPr>
            <w:tcW w:w="1506" w:type="dxa"/>
            <w:vAlign w:val="bottom"/>
          </w:tcPr>
          <w:p w14:paraId="606012F8" w14:textId="77777777"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371</w:t>
            </w:r>
          </w:p>
        </w:tc>
      </w:tr>
      <w:tr w:rsidR="00C26B6B" w:rsidRPr="00E56A6E" w14:paraId="557E30B3"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2C775FD" w14:textId="4ECADC39"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y porcentaje de Partes que han </w:t>
            </w:r>
            <w:r w:rsidR="000622F0" w:rsidRPr="00E56A6E">
              <w:rPr>
                <w:sz w:val="20"/>
                <w:szCs w:val="20"/>
                <w:lang w:val="es-ES"/>
              </w:rPr>
              <w:t xml:space="preserve">facilitado información (sobre autoridades nacionales competentes, puntos de verificación, medidas de acceso y participación en los beneficios o certificados de conformidad reconocidos internacionalmente) al </w:t>
            </w:r>
            <w:r w:rsidR="00B67C83" w:rsidRPr="00E56A6E">
              <w:rPr>
                <w:sz w:val="20"/>
                <w:szCs w:val="20"/>
                <w:lang w:val="es-ES"/>
              </w:rPr>
              <w:t>Centro de Intercambio de Información sobre Acceso y Participación</w:t>
            </w:r>
            <w:r w:rsidRPr="00E56A6E">
              <w:rPr>
                <w:sz w:val="20"/>
                <w:szCs w:val="20"/>
                <w:lang w:val="es-ES"/>
              </w:rPr>
              <w:t xml:space="preserve"> en los Beneficios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90664D1" w14:textId="34B5670A"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54 (51 %)</w:t>
            </w:r>
          </w:p>
        </w:tc>
        <w:tc>
          <w:tcPr>
            <w:tcW w:w="1506" w:type="dxa"/>
            <w:vAlign w:val="bottom"/>
          </w:tcPr>
          <w:p w14:paraId="35569425" w14:textId="3771B9BC"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93 (66 %)</w:t>
            </w:r>
          </w:p>
        </w:tc>
      </w:tr>
      <w:tr w:rsidR="00C26B6B" w:rsidRPr="00E56A6E" w14:paraId="4C234416"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1F1406" w14:textId="50254B33" w:rsidR="00C26B6B" w:rsidRPr="00E56A6E" w:rsidRDefault="00C26B6B" w:rsidP="00C26B6B">
            <w:pPr>
              <w:suppressLineNumbers/>
              <w:suppressAutoHyphens/>
              <w:kinsoku w:val="0"/>
              <w:overflowPunct w:val="0"/>
              <w:autoSpaceDE w:val="0"/>
              <w:autoSpaceDN w:val="0"/>
              <w:adjustRightInd w:val="0"/>
              <w:snapToGrid w:val="0"/>
              <w:jc w:val="left"/>
              <w:rPr>
                <w:kern w:val="22"/>
                <w:sz w:val="20"/>
                <w:szCs w:val="20"/>
                <w:lang w:val="es-ES"/>
              </w:rPr>
            </w:pPr>
            <w:r w:rsidRPr="00E56A6E">
              <w:rPr>
                <w:sz w:val="20"/>
                <w:szCs w:val="20"/>
                <w:lang w:val="es-ES"/>
              </w:rPr>
              <w:t xml:space="preserve">Número y porcentaje de Partes que disponen de información (sobre autoridades nacionales competentes, </w:t>
            </w:r>
            <w:r w:rsidR="003745C1" w:rsidRPr="00E56A6E">
              <w:rPr>
                <w:sz w:val="20"/>
                <w:szCs w:val="20"/>
                <w:lang w:val="es-ES"/>
              </w:rPr>
              <w:t>puntos de verificación</w:t>
            </w:r>
            <w:r w:rsidRPr="00E56A6E">
              <w:rPr>
                <w:sz w:val="20"/>
                <w:szCs w:val="20"/>
                <w:lang w:val="es-ES"/>
              </w:rPr>
              <w:t>, medidas de acceso y participación en los beneficios o permisos) que aún no se ha</w:t>
            </w:r>
            <w:r w:rsidR="000622F0" w:rsidRPr="00E56A6E">
              <w:rPr>
                <w:sz w:val="20"/>
                <w:szCs w:val="20"/>
                <w:lang w:val="es-ES"/>
              </w:rPr>
              <w:t xml:space="preserve"> facilitado al </w:t>
            </w:r>
            <w:r w:rsidRPr="00E56A6E">
              <w:rPr>
                <w:sz w:val="20"/>
                <w:szCs w:val="20"/>
                <w:lang w:val="es-ES"/>
              </w:rPr>
              <w:t>Centro de Intercambio de Información sobre Acceso y Participación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4501194" w14:textId="14E4BD94"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46 (44 %)</w:t>
            </w:r>
          </w:p>
        </w:tc>
        <w:tc>
          <w:tcPr>
            <w:tcW w:w="1506" w:type="dxa"/>
            <w:vAlign w:val="bottom"/>
          </w:tcPr>
          <w:p w14:paraId="3EBF4E15" w14:textId="71121E1F" w:rsidR="00C26B6B" w:rsidRPr="00E56A6E" w:rsidRDefault="00C26B6B" w:rsidP="00C26B6B">
            <w:pPr>
              <w:suppressLineNumbers/>
              <w:suppressAutoHyphens/>
              <w:kinsoku w:val="0"/>
              <w:overflowPunct w:val="0"/>
              <w:autoSpaceDE w:val="0"/>
              <w:autoSpaceDN w:val="0"/>
              <w:adjustRightInd w:val="0"/>
              <w:snapToGrid w:val="0"/>
              <w:jc w:val="right"/>
              <w:rPr>
                <w:rFonts w:eastAsia="Calibri"/>
                <w:kern w:val="22"/>
                <w:sz w:val="20"/>
                <w:szCs w:val="20"/>
                <w:lang w:val="es-ES"/>
              </w:rPr>
            </w:pPr>
            <w:r w:rsidRPr="00E56A6E">
              <w:rPr>
                <w:rFonts w:eastAsia="Calibri"/>
                <w:kern w:val="22"/>
                <w:sz w:val="20"/>
                <w:szCs w:val="20"/>
                <w:lang w:val="es-ES"/>
              </w:rPr>
              <w:t>68 (48 %)</w:t>
            </w:r>
          </w:p>
        </w:tc>
      </w:tr>
      <w:tr w:rsidR="00C26B6B" w:rsidRPr="00E56A6E" w14:paraId="29D00FEF"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F7CC44" w14:textId="61FD5F57" w:rsidR="00C26B6B" w:rsidRPr="00E56A6E" w:rsidRDefault="00C26B6B" w:rsidP="00C26B6B">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de Estados no Partes que han publicado información nacional (sobre medidas de acceso y participación en los beneficios, autoridades nacionales competentes o </w:t>
            </w:r>
            <w:r w:rsidR="003745C1" w:rsidRPr="00E56A6E">
              <w:rPr>
                <w:sz w:val="20"/>
                <w:szCs w:val="20"/>
                <w:lang w:val="es-ES"/>
              </w:rPr>
              <w:t>puntos de verificación</w:t>
            </w:r>
            <w:r w:rsidRPr="00E56A6E">
              <w:rPr>
                <w:sz w:val="20"/>
                <w:szCs w:val="20"/>
                <w:lang w:val="es-ES"/>
              </w:rPr>
              <w:t>) en el Centro de Intercambio de Información sobre Acceso y Participación en los Beneficios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0644975" w14:textId="77777777" w:rsidR="00C26B6B" w:rsidRPr="00E56A6E" w:rsidRDefault="00C26B6B" w:rsidP="00C26B6B">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8</w:t>
            </w:r>
          </w:p>
        </w:tc>
        <w:tc>
          <w:tcPr>
            <w:tcW w:w="1506" w:type="dxa"/>
            <w:tcBorders>
              <w:top w:val="single" w:sz="4" w:space="0" w:color="auto"/>
              <w:left w:val="single" w:sz="4" w:space="0" w:color="auto"/>
              <w:bottom w:val="single" w:sz="4" w:space="0" w:color="auto"/>
              <w:right w:val="single" w:sz="4" w:space="0" w:color="auto"/>
            </w:tcBorders>
            <w:vAlign w:val="bottom"/>
          </w:tcPr>
          <w:p w14:paraId="0262F7FB" w14:textId="77777777" w:rsidR="00C26B6B" w:rsidRPr="00E56A6E" w:rsidRDefault="00C26B6B" w:rsidP="00C26B6B">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8</w:t>
            </w:r>
          </w:p>
        </w:tc>
      </w:tr>
    </w:tbl>
    <w:p w14:paraId="0074FF4F" w14:textId="6879FEB6" w:rsidR="002A52C9" w:rsidRPr="00E56A6E" w:rsidRDefault="00CB4ADC" w:rsidP="006B066D">
      <w:pPr>
        <w:pStyle w:val="CBDNormalNoNumber"/>
        <w:tabs>
          <w:tab w:val="clear" w:pos="567"/>
          <w:tab w:val="clear" w:pos="1134"/>
        </w:tabs>
        <w:spacing w:after="0"/>
        <w:ind w:left="993" w:hanging="284"/>
        <w:rPr>
          <w:sz w:val="18"/>
          <w:szCs w:val="18"/>
          <w:lang w:val="es-ES"/>
        </w:rPr>
      </w:pPr>
      <w:proofErr w:type="spellStart"/>
      <w:r w:rsidRPr="00E56A6E">
        <w:rPr>
          <w:i/>
          <w:iCs/>
          <w:sz w:val="18"/>
          <w:szCs w:val="18"/>
          <w:vertAlign w:val="superscript"/>
          <w:lang w:val="es-ES"/>
        </w:rPr>
        <w:t>a</w:t>
      </w:r>
      <w:proofErr w:type="spellEnd"/>
      <w:r w:rsidRPr="00E56A6E">
        <w:rPr>
          <w:sz w:val="18"/>
          <w:szCs w:val="18"/>
          <w:lang w:val="es-ES"/>
        </w:rPr>
        <w:t xml:space="preserve"> </w:t>
      </w:r>
      <w:r w:rsidR="00562B75" w:rsidRPr="00E56A6E">
        <w:rPr>
          <w:sz w:val="18"/>
          <w:szCs w:val="18"/>
          <w:lang w:val="es-ES"/>
        </w:rPr>
        <w:tab/>
      </w:r>
      <w:r w:rsidR="00495117" w:rsidRPr="00E56A6E">
        <w:rPr>
          <w:sz w:val="18"/>
          <w:szCs w:val="18"/>
          <w:lang w:val="es-ES"/>
        </w:rPr>
        <w:t xml:space="preserve">Se ha añadido un nuevo indicador para medir los avances en la publicación de los procedimientos de acceso y participación en los beneficios, dada la importancia que reviste la publicación de esa información para los posibles usuarios de los recursos genéticos o los </w:t>
      </w:r>
      <w:r w:rsidR="00D426EC" w:rsidRPr="00E56A6E">
        <w:rPr>
          <w:sz w:val="18"/>
          <w:szCs w:val="18"/>
          <w:lang w:val="es-ES"/>
        </w:rPr>
        <w:t>conocimientos tradicionales conexos</w:t>
      </w:r>
      <w:r w:rsidR="00495117" w:rsidRPr="00E56A6E">
        <w:rPr>
          <w:sz w:val="18"/>
          <w:szCs w:val="18"/>
          <w:lang w:val="es-ES"/>
        </w:rPr>
        <w:t>.</w:t>
      </w:r>
    </w:p>
    <w:p w14:paraId="050F99B9" w14:textId="0D223AD4" w:rsidR="00CB4ADC" w:rsidRPr="00E56A6E" w:rsidRDefault="00562B75" w:rsidP="00562B75">
      <w:pPr>
        <w:pStyle w:val="CBDNormalNoNumber"/>
        <w:tabs>
          <w:tab w:val="clear" w:pos="567"/>
          <w:tab w:val="clear" w:pos="1134"/>
        </w:tabs>
        <w:spacing w:after="0"/>
        <w:ind w:left="993" w:hanging="284"/>
        <w:rPr>
          <w:sz w:val="18"/>
          <w:szCs w:val="18"/>
          <w:lang w:val="es-ES"/>
        </w:rPr>
      </w:pPr>
      <w:r w:rsidRPr="00E56A6E">
        <w:rPr>
          <w:i/>
          <w:iCs/>
          <w:sz w:val="18"/>
          <w:szCs w:val="18"/>
          <w:vertAlign w:val="superscript"/>
          <w:lang w:val="es-ES"/>
        </w:rPr>
        <w:t>b</w:t>
      </w:r>
      <w:r w:rsidRPr="00E56A6E">
        <w:rPr>
          <w:sz w:val="18"/>
          <w:szCs w:val="18"/>
          <w:lang w:val="es-ES"/>
        </w:rPr>
        <w:tab/>
      </w:r>
      <w:r w:rsidR="00495117" w:rsidRPr="00E56A6E">
        <w:rPr>
          <w:sz w:val="18"/>
          <w:szCs w:val="18"/>
          <w:lang w:val="es-ES"/>
        </w:rPr>
        <w:t xml:space="preserve">Se ha añadido un nuevo indicador para medir los avances en la publicación de cláusulas contractuales </w:t>
      </w:r>
      <w:proofErr w:type="gramStart"/>
      <w:r w:rsidR="00495117" w:rsidRPr="00E56A6E">
        <w:rPr>
          <w:sz w:val="18"/>
          <w:szCs w:val="18"/>
          <w:lang w:val="es-ES"/>
        </w:rPr>
        <w:t>modelo nacionales</w:t>
      </w:r>
      <w:proofErr w:type="gramEnd"/>
      <w:r w:rsidR="00495117" w:rsidRPr="00E56A6E">
        <w:rPr>
          <w:sz w:val="18"/>
          <w:szCs w:val="18"/>
          <w:lang w:val="es-ES"/>
        </w:rPr>
        <w:t xml:space="preserve">, dada la importancia que reviste la publicación de esa información para los posibles usuarios de los recursos genéticos o los </w:t>
      </w:r>
      <w:r w:rsidR="00D426EC" w:rsidRPr="00E56A6E">
        <w:rPr>
          <w:sz w:val="18"/>
          <w:szCs w:val="18"/>
          <w:lang w:val="es-ES"/>
        </w:rPr>
        <w:t>conocimientos tradicionales conexos</w:t>
      </w:r>
      <w:r w:rsidR="00495117" w:rsidRPr="00E56A6E">
        <w:rPr>
          <w:sz w:val="18"/>
          <w:szCs w:val="18"/>
          <w:lang w:val="es-ES"/>
        </w:rPr>
        <w:t>.</w:t>
      </w:r>
    </w:p>
    <w:p w14:paraId="7D2CA566" w14:textId="6D86E3ED" w:rsidR="00CE2AC4" w:rsidRPr="00E56A6E" w:rsidRDefault="00CE2AC4" w:rsidP="00562B75">
      <w:pPr>
        <w:pStyle w:val="CBDNormalNoNumber"/>
        <w:tabs>
          <w:tab w:val="clear" w:pos="567"/>
          <w:tab w:val="clear" w:pos="1134"/>
        </w:tabs>
        <w:spacing w:after="0"/>
        <w:ind w:left="993" w:hanging="284"/>
        <w:rPr>
          <w:sz w:val="18"/>
          <w:szCs w:val="18"/>
          <w:lang w:val="es-ES"/>
        </w:rPr>
      </w:pPr>
      <w:r w:rsidRPr="00E56A6E">
        <w:rPr>
          <w:i/>
          <w:iCs/>
          <w:sz w:val="18"/>
          <w:szCs w:val="18"/>
          <w:vertAlign w:val="superscript"/>
          <w:lang w:val="es-ES"/>
        </w:rPr>
        <w:t>c</w:t>
      </w:r>
      <w:r w:rsidRPr="00E56A6E">
        <w:rPr>
          <w:sz w:val="18"/>
          <w:szCs w:val="18"/>
          <w:lang w:val="es-ES"/>
        </w:rPr>
        <w:tab/>
      </w:r>
      <w:r w:rsidR="00495117" w:rsidRPr="00E56A6E">
        <w:rPr>
          <w:sz w:val="18"/>
          <w:szCs w:val="18"/>
          <w:lang w:val="es-ES"/>
        </w:rPr>
        <w:t xml:space="preserve">Se ha añadido un nuevo indicador para medir los avances en la publicación de sitios web y bases de datos nacionales, dada la importancia de publicar esa información para los posibles usuarios de recursos genéticos o </w:t>
      </w:r>
      <w:r w:rsidR="00D426EC" w:rsidRPr="00E56A6E">
        <w:rPr>
          <w:sz w:val="18"/>
          <w:szCs w:val="18"/>
          <w:lang w:val="es-ES"/>
        </w:rPr>
        <w:t>conocimientos tradicionales conexos</w:t>
      </w:r>
      <w:r w:rsidR="00495117" w:rsidRPr="00E56A6E">
        <w:rPr>
          <w:sz w:val="18"/>
          <w:szCs w:val="18"/>
          <w:lang w:val="es-ES"/>
        </w:rPr>
        <w:t>.</w:t>
      </w:r>
    </w:p>
    <w:p w14:paraId="6AE9FBD5" w14:textId="25DAA159" w:rsidR="00495117" w:rsidRPr="00E56A6E" w:rsidRDefault="00094251" w:rsidP="00495117">
      <w:pPr>
        <w:pStyle w:val="CBDNormalNoNumber"/>
        <w:tabs>
          <w:tab w:val="clear" w:pos="567"/>
          <w:tab w:val="clear" w:pos="1134"/>
        </w:tabs>
        <w:spacing w:after="0"/>
        <w:ind w:left="993" w:hanging="284"/>
        <w:rPr>
          <w:sz w:val="18"/>
          <w:szCs w:val="18"/>
          <w:lang w:val="es-ES"/>
        </w:rPr>
      </w:pPr>
      <w:r w:rsidRPr="00E56A6E">
        <w:rPr>
          <w:i/>
          <w:iCs/>
          <w:sz w:val="18"/>
          <w:szCs w:val="18"/>
          <w:vertAlign w:val="superscript"/>
          <w:lang w:val="es-ES"/>
        </w:rPr>
        <w:t>d</w:t>
      </w:r>
      <w:r w:rsidRPr="00E56A6E">
        <w:rPr>
          <w:sz w:val="18"/>
          <w:szCs w:val="18"/>
          <w:lang w:val="es-ES"/>
        </w:rPr>
        <w:tab/>
      </w:r>
      <w:r w:rsidR="000622F0" w:rsidRPr="00E56A6E">
        <w:rPr>
          <w:sz w:val="18"/>
          <w:szCs w:val="18"/>
          <w:lang w:val="es-ES"/>
        </w:rPr>
        <w:t xml:space="preserve">Este </w:t>
      </w:r>
      <w:r w:rsidR="00495117" w:rsidRPr="00E56A6E">
        <w:rPr>
          <w:sz w:val="18"/>
          <w:szCs w:val="18"/>
          <w:lang w:val="es-ES"/>
        </w:rPr>
        <w:t xml:space="preserve">indicador mide el número y el porcentaje de Partes que han publicado comunicados de </w:t>
      </w:r>
      <w:r w:rsidR="003745C1" w:rsidRPr="00E56A6E">
        <w:rPr>
          <w:sz w:val="18"/>
          <w:szCs w:val="18"/>
          <w:lang w:val="es-ES"/>
        </w:rPr>
        <w:t>puntos de verificación</w:t>
      </w:r>
      <w:r w:rsidR="00495117" w:rsidRPr="00E56A6E">
        <w:rPr>
          <w:sz w:val="18"/>
          <w:szCs w:val="18"/>
          <w:lang w:val="es-ES"/>
        </w:rPr>
        <w:t xml:space="preserve"> de conformidad con la información facilitada en el informe nacional y en el Centro de Intercambio de Información. Se propone que este indicador se utilice para ayudar a medir los avances en la </w:t>
      </w:r>
      <w:r w:rsidR="00551EF7" w:rsidRPr="00E56A6E">
        <w:rPr>
          <w:sz w:val="18"/>
          <w:szCs w:val="18"/>
          <w:lang w:val="es-ES"/>
        </w:rPr>
        <w:t xml:space="preserve">aplicación </w:t>
      </w:r>
      <w:r w:rsidR="00495117" w:rsidRPr="00E56A6E">
        <w:rPr>
          <w:sz w:val="18"/>
          <w:szCs w:val="18"/>
          <w:lang w:val="es-ES"/>
        </w:rPr>
        <w:t>y el funcionamiento del Centro de Intercambio de Información.</w:t>
      </w:r>
    </w:p>
    <w:p w14:paraId="5F73C9C5" w14:textId="2D6F0407" w:rsidR="00094251" w:rsidRPr="00E56A6E" w:rsidRDefault="00094251" w:rsidP="006B066D">
      <w:pPr>
        <w:pStyle w:val="CBDNormalNoNumber"/>
        <w:tabs>
          <w:tab w:val="clear" w:pos="567"/>
          <w:tab w:val="clear" w:pos="1134"/>
        </w:tabs>
        <w:spacing w:after="0"/>
        <w:ind w:left="993" w:hanging="284"/>
        <w:rPr>
          <w:sz w:val="18"/>
          <w:szCs w:val="18"/>
          <w:lang w:val="es-ES"/>
        </w:rPr>
      </w:pPr>
    </w:p>
    <w:p w14:paraId="6E31E7C1" w14:textId="61CD0D2E" w:rsidR="002C555B" w:rsidRPr="00E56A6E" w:rsidRDefault="00B139A7" w:rsidP="00540BD4">
      <w:pPr>
        <w:pStyle w:val="CBDH4"/>
        <w:rPr>
          <w:lang w:val="es-ES"/>
        </w:rPr>
      </w:pPr>
      <w:r w:rsidRPr="00E56A6E">
        <w:rPr>
          <w:lang w:val="es-ES"/>
        </w:rPr>
        <w:lastRenderedPageBreak/>
        <w:t>b)</w:t>
      </w:r>
      <w:r w:rsidRPr="00E56A6E">
        <w:rPr>
          <w:lang w:val="es-ES"/>
        </w:rPr>
        <w:tab/>
      </w:r>
      <w:r w:rsidR="004357B2" w:rsidRPr="00E56A6E">
        <w:rPr>
          <w:lang w:val="es-ES"/>
        </w:rPr>
        <w:t>Dificultades</w:t>
      </w:r>
      <w:r w:rsidR="00B4416E" w:rsidRPr="00E56A6E">
        <w:rPr>
          <w:lang w:val="es-ES"/>
        </w:rPr>
        <w:t xml:space="preserve"> y causas </w:t>
      </w:r>
      <w:r w:rsidR="004357B2" w:rsidRPr="00E56A6E">
        <w:rPr>
          <w:lang w:val="es-ES"/>
        </w:rPr>
        <w:t xml:space="preserve">subyacentes </w:t>
      </w:r>
      <w:r w:rsidR="00B4416E" w:rsidRPr="00E56A6E">
        <w:rPr>
          <w:lang w:val="es-ES"/>
        </w:rPr>
        <w:t xml:space="preserve">que afectan a la eficacia del </w:t>
      </w:r>
      <w:r w:rsidR="00B67C83" w:rsidRPr="00E56A6E">
        <w:rPr>
          <w:lang w:val="es-ES"/>
        </w:rPr>
        <w:t>Centro de Intercambio de Información sobre Acceso y Participación</w:t>
      </w:r>
      <w:r w:rsidR="00B4416E" w:rsidRPr="00E56A6E">
        <w:rPr>
          <w:lang w:val="es-ES"/>
        </w:rPr>
        <w:t xml:space="preserve"> en los Beneficios a la hora de facilitar el acceso a los recursos genéticos y los </w:t>
      </w:r>
      <w:r w:rsidR="00D426EC" w:rsidRPr="00E56A6E">
        <w:rPr>
          <w:lang w:val="es-ES"/>
        </w:rPr>
        <w:t>conocimientos tradicionales conexos</w:t>
      </w:r>
    </w:p>
    <w:p w14:paraId="3DA869C7" w14:textId="7F56706A" w:rsidR="00B4416E" w:rsidRPr="00E56A6E" w:rsidRDefault="00B4416E" w:rsidP="00B4416E">
      <w:pPr>
        <w:pStyle w:val="CBDNormalNumber"/>
        <w:rPr>
          <w:lang w:val="es-ES"/>
        </w:rPr>
      </w:pPr>
      <w:r w:rsidRPr="00E56A6E">
        <w:rPr>
          <w:lang w:val="es-ES"/>
        </w:rPr>
        <w:t xml:space="preserve">El </w:t>
      </w:r>
      <w:r w:rsidR="00B007EB" w:rsidRPr="00E56A6E">
        <w:rPr>
          <w:lang w:val="es-ES"/>
        </w:rPr>
        <w:t>estudio preliminar</w:t>
      </w:r>
      <w:r w:rsidRPr="00E56A6E">
        <w:rPr>
          <w:lang w:val="es-ES"/>
        </w:rPr>
        <w:t xml:space="preserve"> y el análisis de las respuestas a la </w:t>
      </w:r>
      <w:r w:rsidR="00E47368" w:rsidRPr="00E56A6E">
        <w:rPr>
          <w:lang w:val="es-ES"/>
        </w:rPr>
        <w:t>encuesta dirigida</w:t>
      </w:r>
      <w:r w:rsidRPr="00E56A6E">
        <w:rPr>
          <w:lang w:val="es-ES"/>
        </w:rPr>
        <w:t xml:space="preserve"> del </w:t>
      </w:r>
      <w:r w:rsidR="00B67C83" w:rsidRPr="00E56A6E">
        <w:rPr>
          <w:lang w:val="es-ES"/>
        </w:rPr>
        <w:t>Centro de Intercambio de Información sobre Acceso y Participación</w:t>
      </w:r>
      <w:r w:rsidRPr="00E56A6E">
        <w:rPr>
          <w:lang w:val="es-ES"/>
        </w:rPr>
        <w:t xml:space="preserve"> en los Beneficios reafirmaron el papel central del Centro en la aplicación del Protocolo de Nagoya y en la facilitación del acceso a los recursos genéticos y los </w:t>
      </w:r>
      <w:r w:rsidR="00D426EC" w:rsidRPr="00E56A6E">
        <w:rPr>
          <w:lang w:val="es-ES"/>
        </w:rPr>
        <w:t>conocimientos tradicionales conexos</w:t>
      </w:r>
      <w:r w:rsidRPr="00E56A6E">
        <w:rPr>
          <w:lang w:val="es-ES"/>
        </w:rPr>
        <w:t xml:space="preserve">. Esto se puede observar en los ejemplos de la vida real proporcionados por muchos de los encuestados, que </w:t>
      </w:r>
      <w:r w:rsidR="00FC68F8" w:rsidRPr="00E56A6E">
        <w:rPr>
          <w:lang w:val="es-ES"/>
        </w:rPr>
        <w:t>mostra</w:t>
      </w:r>
      <w:r w:rsidRPr="00E56A6E">
        <w:rPr>
          <w:lang w:val="es-ES"/>
        </w:rPr>
        <w:t>ban que, cuando la información era completa, precisa y actualizada, el Centro de Intercambio de Información contribuía de manera eficaz y significativa a lograr la participación justa y equitativa en los beneficios derivados de la utilización de los recursos genéticos</w:t>
      </w:r>
      <w:r w:rsidRPr="00E56A6E">
        <w:rPr>
          <w:rStyle w:val="FootnoteReference"/>
          <w:lang w:val="es-ES"/>
        </w:rPr>
        <w:footnoteReference w:id="88"/>
      </w:r>
      <w:r w:rsidRPr="00E56A6E">
        <w:rPr>
          <w:lang w:val="es-ES"/>
        </w:rPr>
        <w:t>.</w:t>
      </w:r>
    </w:p>
    <w:p w14:paraId="00EEB9FC" w14:textId="70292F89" w:rsidR="00B4416E" w:rsidRPr="00E56A6E" w:rsidRDefault="00B4416E" w:rsidP="00B4416E">
      <w:pPr>
        <w:pStyle w:val="CBDNormalNumber"/>
        <w:rPr>
          <w:lang w:val="es-ES"/>
        </w:rPr>
      </w:pPr>
      <w:r w:rsidRPr="00E56A6E">
        <w:rPr>
          <w:lang w:val="es-ES"/>
        </w:rPr>
        <w:t xml:space="preserve">Al mismo tiempo, los resultados de la encuesta y el </w:t>
      </w:r>
      <w:r w:rsidR="00B007EB" w:rsidRPr="00E56A6E">
        <w:rPr>
          <w:lang w:val="es-ES"/>
        </w:rPr>
        <w:t>estudio preliminar</w:t>
      </w:r>
      <w:r w:rsidRPr="00E56A6E">
        <w:rPr>
          <w:lang w:val="es-ES"/>
        </w:rPr>
        <w:t xml:space="preserve"> </w:t>
      </w:r>
      <w:r w:rsidR="00C47E1C" w:rsidRPr="00E56A6E">
        <w:rPr>
          <w:lang w:val="es-ES"/>
        </w:rPr>
        <w:t xml:space="preserve">señalaron </w:t>
      </w:r>
      <w:r w:rsidRPr="00E56A6E">
        <w:rPr>
          <w:lang w:val="es-ES"/>
        </w:rPr>
        <w:t xml:space="preserve">que el Centro de Intercambio de Información aún no cumplía plenamente los objetivos previstos. Si bien su facilidad de uso y su funcionalidad generales se perciben, en general, de forma positiva, su eficacia se ha visto considerablemente limitada por cuestiones relacionadas con la calidad, </w:t>
      </w:r>
      <w:r w:rsidR="00816584" w:rsidRPr="00E56A6E">
        <w:rPr>
          <w:lang w:val="es-ES"/>
        </w:rPr>
        <w:t xml:space="preserve">integridad </w:t>
      </w:r>
      <w:r w:rsidRPr="00E56A6E">
        <w:rPr>
          <w:lang w:val="es-ES"/>
        </w:rPr>
        <w:t xml:space="preserve">y fiabilidad de la información disponible. Se </w:t>
      </w:r>
      <w:r w:rsidR="00E0439B" w:rsidRPr="00E56A6E">
        <w:rPr>
          <w:lang w:val="es-ES"/>
        </w:rPr>
        <w:t xml:space="preserve">observó </w:t>
      </w:r>
      <w:r w:rsidRPr="00E56A6E">
        <w:rPr>
          <w:lang w:val="es-ES"/>
        </w:rPr>
        <w:t>que la información desactualizada, incompleta, incoherente o poco fiable, especialmente en lo que respecta a las medidas de acceso, los procedimientos y el alcance, constituía un obstáculo importante para el uso eficaz del Centro de Intercambio de Información</w:t>
      </w:r>
      <w:r w:rsidRPr="00E56A6E">
        <w:rPr>
          <w:rStyle w:val="FootnoteReference"/>
          <w:lang w:val="es-ES"/>
        </w:rPr>
        <w:footnoteReference w:id="89"/>
      </w:r>
      <w:r w:rsidRPr="00E56A6E">
        <w:rPr>
          <w:lang w:val="es-ES"/>
        </w:rPr>
        <w:t>.</w:t>
      </w:r>
    </w:p>
    <w:p w14:paraId="61619EFC" w14:textId="43753064" w:rsidR="00B4416E" w:rsidRPr="00E56A6E" w:rsidRDefault="00B4416E" w:rsidP="00B4416E">
      <w:pPr>
        <w:pStyle w:val="CBDNormalNumber"/>
        <w:rPr>
          <w:lang w:val="es-ES"/>
        </w:rPr>
      </w:pPr>
      <w:r w:rsidRPr="00E56A6E">
        <w:rPr>
          <w:lang w:val="es-ES"/>
        </w:rPr>
        <w:t xml:space="preserve">Para los usuarios de recursos genéticos y de los </w:t>
      </w:r>
      <w:r w:rsidR="00D426EC" w:rsidRPr="00E56A6E">
        <w:rPr>
          <w:lang w:val="es-ES"/>
        </w:rPr>
        <w:t>conocimientos tradicionales conexos</w:t>
      </w:r>
      <w:r w:rsidRPr="00E56A6E">
        <w:rPr>
          <w:lang w:val="es-ES"/>
        </w:rPr>
        <w:t xml:space="preserve">, la eficacia y el valor añadido del Centro de Intercambio de Información están estrechamente vinculados a la utilidad práctica de la información que se proporciona </w:t>
      </w:r>
      <w:r w:rsidR="006954E8" w:rsidRPr="00E56A6E">
        <w:rPr>
          <w:lang w:val="es-ES"/>
        </w:rPr>
        <w:t>–</w:t>
      </w:r>
      <w:r w:rsidRPr="00E56A6E">
        <w:rPr>
          <w:lang w:val="es-ES"/>
        </w:rPr>
        <w:t xml:space="preserve">como requisitos y normas jurídicas claros, orientaciones </w:t>
      </w:r>
      <w:r w:rsidR="00E0439B" w:rsidRPr="00E56A6E">
        <w:rPr>
          <w:lang w:val="es-ES"/>
        </w:rPr>
        <w:t xml:space="preserve">de </w:t>
      </w:r>
      <w:r w:rsidRPr="00E56A6E">
        <w:rPr>
          <w:lang w:val="es-ES"/>
        </w:rPr>
        <w:t>procedim</w:t>
      </w:r>
      <w:r w:rsidR="00E0439B" w:rsidRPr="00E56A6E">
        <w:rPr>
          <w:lang w:val="es-ES"/>
        </w:rPr>
        <w:t xml:space="preserve">iento </w:t>
      </w:r>
      <w:r w:rsidRPr="00E56A6E">
        <w:rPr>
          <w:lang w:val="es-ES"/>
        </w:rPr>
        <w:t>precisas y datos de contacto actualizados</w:t>
      </w:r>
      <w:r w:rsidR="006954E8" w:rsidRPr="00E56A6E">
        <w:rPr>
          <w:lang w:val="es-ES"/>
        </w:rPr>
        <w:t>–</w:t>
      </w:r>
      <w:r w:rsidRPr="00E56A6E">
        <w:rPr>
          <w:lang w:val="es-ES"/>
        </w:rPr>
        <w:t xml:space="preserve"> más que a las funcionalidades técnicas específicas de la propia plataforma. Los resultados de la </w:t>
      </w:r>
      <w:r w:rsidR="00E47368" w:rsidRPr="00E56A6E">
        <w:rPr>
          <w:lang w:val="es-ES"/>
        </w:rPr>
        <w:t>encuesta dirigida</w:t>
      </w:r>
      <w:r w:rsidRPr="00E56A6E">
        <w:rPr>
          <w:lang w:val="es-ES"/>
        </w:rPr>
        <w:t xml:space="preserve"> del Centro de Intercambio de Información </w:t>
      </w:r>
      <w:r w:rsidR="00FC68F8" w:rsidRPr="00E56A6E">
        <w:rPr>
          <w:lang w:val="es-ES"/>
        </w:rPr>
        <w:t xml:space="preserve">muestran </w:t>
      </w:r>
      <w:r w:rsidRPr="00E56A6E">
        <w:rPr>
          <w:lang w:val="es-ES"/>
        </w:rPr>
        <w:t xml:space="preserve">la naturaleza de las preocupaciones expresadas por muchos encuestados, quienes observan, por ejemplo, que “la funcionalidad no es el problema principal: es la falta de información útil y actualizada o la información incompleta sobre cada país lo que hace que el sitio web no permita al usuario determinar sus obligaciones de cumplimiento. Inevitablemente, esto significa que es necesario ponerse en contacto con el </w:t>
      </w:r>
      <w:r w:rsidR="00E0439B" w:rsidRPr="00E56A6E">
        <w:rPr>
          <w:lang w:val="es-ES"/>
        </w:rPr>
        <w:t xml:space="preserve">punto focal nacional </w:t>
      </w:r>
      <w:r w:rsidRPr="00E56A6E">
        <w:rPr>
          <w:lang w:val="es-ES"/>
        </w:rPr>
        <w:t>del país correspondiente”.</w:t>
      </w:r>
    </w:p>
    <w:p w14:paraId="791D0A5A" w14:textId="42375E21" w:rsidR="00B4416E" w:rsidRPr="00E56A6E" w:rsidRDefault="00B4416E" w:rsidP="00B4416E">
      <w:pPr>
        <w:pStyle w:val="CBDNormalNumber"/>
        <w:rPr>
          <w:lang w:val="es-ES"/>
        </w:rPr>
      </w:pPr>
      <w:r w:rsidRPr="00E56A6E">
        <w:rPr>
          <w:lang w:val="es-ES"/>
        </w:rPr>
        <w:t xml:space="preserve">Según los resultados de la encuesta presentados en el estudio preliminar, que concuerdan con las conclusiones generales, las razones </w:t>
      </w:r>
      <w:r w:rsidR="00A05194" w:rsidRPr="00E56A6E">
        <w:rPr>
          <w:lang w:val="es-ES"/>
        </w:rPr>
        <w:t>y causas subyacentes</w:t>
      </w:r>
      <w:r w:rsidRPr="00E56A6E">
        <w:rPr>
          <w:lang w:val="es-ES"/>
        </w:rPr>
        <w:t xml:space="preserve"> aducidas por los países que no habían publicado la información obligatoria fueron la falta de recursos y capacidad, la elevada rotación del personal y la falta de priorización. Además, la encuesta reveló que el nivel de institucionalización de la </w:t>
      </w:r>
      <w:r w:rsidR="00BE3A35" w:rsidRPr="00E56A6E">
        <w:rPr>
          <w:lang w:val="es-ES"/>
        </w:rPr>
        <w:t>capacita</w:t>
      </w:r>
      <w:r w:rsidRPr="00E56A6E">
        <w:rPr>
          <w:lang w:val="es-ES"/>
        </w:rPr>
        <w:t xml:space="preserve">ción sobre el </w:t>
      </w:r>
      <w:r w:rsidR="00B67C83" w:rsidRPr="00E56A6E">
        <w:rPr>
          <w:lang w:val="es-ES"/>
        </w:rPr>
        <w:t>Centro de Intercambio de Información sobre Acceso y Participación</w:t>
      </w:r>
      <w:r w:rsidRPr="00E56A6E">
        <w:rPr>
          <w:lang w:val="es-ES"/>
        </w:rPr>
        <w:t xml:space="preserve"> en los Beneficios era bastante bajo y que solo alrededor de un tercio de los encuestados había </w:t>
      </w:r>
      <w:r w:rsidR="00120F8F" w:rsidRPr="00E56A6E">
        <w:rPr>
          <w:lang w:val="es-ES"/>
        </w:rPr>
        <w:t xml:space="preserve">adoptado </w:t>
      </w:r>
      <w:r w:rsidRPr="00E56A6E">
        <w:rPr>
          <w:lang w:val="es-ES"/>
        </w:rPr>
        <w:t xml:space="preserve">medidas para incluir la </w:t>
      </w:r>
      <w:r w:rsidR="00120F8F" w:rsidRPr="00E56A6E">
        <w:rPr>
          <w:lang w:val="es-ES"/>
        </w:rPr>
        <w:t>capacita</w:t>
      </w:r>
      <w:r w:rsidRPr="00E56A6E">
        <w:rPr>
          <w:lang w:val="es-ES"/>
        </w:rPr>
        <w:t>ción sobre el Centro de Intercambio de Información en las actividades internas de creación de capacidad o de incorporación. Estas conclusiones ponen de relieve la necesidad de seguir reforzando y orientando mejor</w:t>
      </w:r>
      <w:r w:rsidR="002D1088" w:rsidRPr="00E56A6E">
        <w:rPr>
          <w:lang w:val="es-ES"/>
        </w:rPr>
        <w:t xml:space="preserve"> las iniciativas </w:t>
      </w:r>
      <w:r w:rsidRPr="00E56A6E">
        <w:rPr>
          <w:lang w:val="es-ES"/>
        </w:rPr>
        <w:t>de creación de capacidad, así como de promover las mejores prácticas relacionadas con el Centro de Intercambio de Información sobre</w:t>
      </w:r>
      <w:r w:rsidR="00101E18" w:rsidRPr="00E56A6E">
        <w:rPr>
          <w:lang w:val="es-ES"/>
        </w:rPr>
        <w:t xml:space="preserve"> </w:t>
      </w:r>
      <w:r w:rsidR="00B71E87" w:rsidRPr="00E56A6E">
        <w:rPr>
          <w:lang w:val="es-ES"/>
        </w:rPr>
        <w:t>APB</w:t>
      </w:r>
      <w:r w:rsidRPr="00E56A6E">
        <w:rPr>
          <w:lang w:val="es-ES"/>
        </w:rPr>
        <w:t xml:space="preserve">. </w:t>
      </w:r>
    </w:p>
    <w:p w14:paraId="434EB5FC" w14:textId="037247FC" w:rsidR="00B4416E" w:rsidRPr="00E56A6E" w:rsidRDefault="00B4416E" w:rsidP="00B4416E">
      <w:pPr>
        <w:pStyle w:val="CBDNormalNumber"/>
        <w:rPr>
          <w:lang w:val="es-ES"/>
        </w:rPr>
      </w:pPr>
      <w:r w:rsidRPr="00E56A6E">
        <w:rPr>
          <w:lang w:val="es-ES"/>
        </w:rPr>
        <w:t xml:space="preserve">En sus informes nacionales, muchas Partes citaron sus </w:t>
      </w:r>
      <w:r w:rsidR="00F366F2" w:rsidRPr="00E56A6E">
        <w:rPr>
          <w:lang w:val="es-ES"/>
        </w:rPr>
        <w:t xml:space="preserve">gestiones para </w:t>
      </w:r>
      <w:r w:rsidRPr="00E56A6E">
        <w:rPr>
          <w:lang w:val="es-ES"/>
        </w:rPr>
        <w:t xml:space="preserve">establecer o revisar los marcos nacionales como motivo para no publicar información, lo que sugiere que las lagunas en la publicación del Centro de Intercambio de Información podrían </w:t>
      </w:r>
      <w:r w:rsidR="00F366F2" w:rsidRPr="00E56A6E">
        <w:rPr>
          <w:lang w:val="es-ES"/>
        </w:rPr>
        <w:t xml:space="preserve">dar cuenta de </w:t>
      </w:r>
      <w:r w:rsidRPr="00E56A6E">
        <w:rPr>
          <w:lang w:val="es-ES"/>
        </w:rPr>
        <w:t xml:space="preserve">deficiencias más amplias en la aplicación a nivel nacional, más que meras barreras técnicas o dificultades </w:t>
      </w:r>
      <w:r w:rsidR="00F366F2" w:rsidRPr="00E56A6E">
        <w:rPr>
          <w:lang w:val="es-ES"/>
        </w:rPr>
        <w:t xml:space="preserve">relacionadas con el </w:t>
      </w:r>
      <w:r w:rsidRPr="00E56A6E">
        <w:rPr>
          <w:lang w:val="es-ES"/>
        </w:rPr>
        <w:t>uso de la plataforma.</w:t>
      </w:r>
    </w:p>
    <w:p w14:paraId="6AED45F1" w14:textId="70697025" w:rsidR="00C6409D" w:rsidRPr="00E56A6E" w:rsidRDefault="00B139A7" w:rsidP="00B139A7">
      <w:pPr>
        <w:pStyle w:val="CBDH4"/>
        <w:rPr>
          <w:lang w:val="es-ES"/>
        </w:rPr>
      </w:pPr>
      <w:r w:rsidRPr="00E56A6E">
        <w:rPr>
          <w:lang w:val="es-ES"/>
        </w:rPr>
        <w:lastRenderedPageBreak/>
        <w:t>c)</w:t>
      </w:r>
      <w:r w:rsidRPr="00E56A6E">
        <w:rPr>
          <w:lang w:val="es-ES"/>
        </w:rPr>
        <w:tab/>
      </w:r>
      <w:r w:rsidR="009F6791" w:rsidRPr="00E56A6E">
        <w:rPr>
          <w:lang w:val="es-ES"/>
        </w:rPr>
        <w:t>Dificultades y causas subyacentes</w:t>
      </w:r>
      <w:r w:rsidR="00B4416E" w:rsidRPr="00E56A6E">
        <w:rPr>
          <w:lang w:val="es-ES"/>
        </w:rPr>
        <w:t xml:space="preserve"> que afectan a la eficacia del </w:t>
      </w:r>
      <w:r w:rsidR="00467E2F" w:rsidRPr="00E56A6E">
        <w:rPr>
          <w:lang w:val="es-ES"/>
        </w:rPr>
        <w:t>Centro de Intercambio de Información sobre Acceso y Participación en los Beneficios</w:t>
      </w:r>
      <w:r w:rsidR="00B4416E" w:rsidRPr="00E56A6E">
        <w:rPr>
          <w:lang w:val="es-ES"/>
        </w:rPr>
        <w:t xml:space="preserve"> a la hora de apoyar el cumplimiento y </w:t>
      </w:r>
      <w:r w:rsidR="008D151E" w:rsidRPr="00E56A6E">
        <w:rPr>
          <w:lang w:val="es-ES"/>
        </w:rPr>
        <w:t>vigilar la utilización</w:t>
      </w:r>
      <w:r w:rsidR="00B4416E" w:rsidRPr="00E56A6E">
        <w:rPr>
          <w:lang w:val="es-ES"/>
        </w:rPr>
        <w:t xml:space="preserve"> de los recursos genéticos</w:t>
      </w:r>
    </w:p>
    <w:p w14:paraId="5B230BC1" w14:textId="30E1D016" w:rsidR="00B4416E" w:rsidRPr="00E56A6E" w:rsidRDefault="00B4416E" w:rsidP="00B4416E">
      <w:pPr>
        <w:pStyle w:val="CBDNormalNumber"/>
        <w:rPr>
          <w:lang w:val="es-ES"/>
        </w:rPr>
      </w:pPr>
      <w:r w:rsidRPr="00E56A6E">
        <w:rPr>
          <w:lang w:val="es-ES"/>
        </w:rPr>
        <w:t xml:space="preserve">De conformidad con el artículo 17 del Protocolo, el apoyo al cumplimiento y la </w:t>
      </w:r>
      <w:r w:rsidR="00726C67" w:rsidRPr="00E56A6E">
        <w:rPr>
          <w:lang w:val="es-ES"/>
        </w:rPr>
        <w:t xml:space="preserve">vigilancia </w:t>
      </w:r>
      <w:r w:rsidRPr="00E56A6E">
        <w:rPr>
          <w:lang w:val="es-ES"/>
        </w:rPr>
        <w:t xml:space="preserve">de la utilización de los recursos genéticos dependen de la puesta en marcha de sistemas nacionales que generen certificados, recopilen información pertinente en </w:t>
      </w:r>
      <w:r w:rsidR="003745C1" w:rsidRPr="00E56A6E">
        <w:rPr>
          <w:lang w:val="es-ES"/>
        </w:rPr>
        <w:t>puntos de verificación</w:t>
      </w:r>
      <w:r w:rsidRPr="00E56A6E">
        <w:rPr>
          <w:lang w:val="es-ES"/>
        </w:rPr>
        <w:t xml:space="preserve"> eficaces y transmitan dicha información a los países proveedores y, cuando proceda, a través del Centro de Intercambio de Información en forma de comunicados de los </w:t>
      </w:r>
      <w:r w:rsidR="003745C1" w:rsidRPr="00E56A6E">
        <w:rPr>
          <w:lang w:val="es-ES"/>
        </w:rPr>
        <w:t>puntos de verificación</w:t>
      </w:r>
      <w:r w:rsidRPr="00E56A6E">
        <w:rPr>
          <w:rStyle w:val="FootnoteReference"/>
          <w:lang w:val="es-ES"/>
        </w:rPr>
        <w:footnoteReference w:id="90"/>
      </w:r>
      <w:r w:rsidRPr="00E56A6E">
        <w:rPr>
          <w:lang w:val="es-ES"/>
        </w:rPr>
        <w:t>.</w:t>
      </w:r>
      <w:r w:rsidR="00112E38" w:rsidRPr="00E56A6E">
        <w:rPr>
          <w:lang w:val="es-ES"/>
        </w:rPr>
        <w:t xml:space="preserve"> </w:t>
      </w:r>
    </w:p>
    <w:p w14:paraId="6A86CCF8" w14:textId="557DE90A" w:rsidR="00B4416E" w:rsidRPr="00E56A6E" w:rsidRDefault="00B4416E" w:rsidP="00B4416E">
      <w:pPr>
        <w:pStyle w:val="CBDNormalNumber"/>
        <w:rPr>
          <w:lang w:val="es-ES"/>
        </w:rPr>
      </w:pPr>
      <w:r w:rsidRPr="00E56A6E">
        <w:rPr>
          <w:lang w:val="es-ES"/>
        </w:rPr>
        <w:t xml:space="preserve">Las fuentes de información clave </w:t>
      </w:r>
      <w:r w:rsidR="00C76E8D" w:rsidRPr="00E56A6E">
        <w:rPr>
          <w:lang w:val="es-ES"/>
        </w:rPr>
        <w:t xml:space="preserve">que </w:t>
      </w:r>
      <w:r w:rsidRPr="00E56A6E">
        <w:rPr>
          <w:lang w:val="es-ES"/>
        </w:rPr>
        <w:t>publica</w:t>
      </w:r>
      <w:r w:rsidR="00C76E8D" w:rsidRPr="00E56A6E">
        <w:rPr>
          <w:lang w:val="es-ES"/>
        </w:rPr>
        <w:t xml:space="preserve">n </w:t>
      </w:r>
      <w:r w:rsidRPr="00E56A6E">
        <w:rPr>
          <w:lang w:val="es-ES"/>
        </w:rPr>
        <w:t xml:space="preserve">las Partes en el Centro de Intercambio de Información para apoyar </w:t>
      </w:r>
      <w:r w:rsidR="00C76E8D" w:rsidRPr="00E56A6E">
        <w:rPr>
          <w:lang w:val="es-ES"/>
        </w:rPr>
        <w:t>la vigilancia de la utilización</w:t>
      </w:r>
      <w:r w:rsidRPr="00E56A6E">
        <w:rPr>
          <w:lang w:val="es-ES"/>
        </w:rPr>
        <w:t xml:space="preserve"> son los certificados, los </w:t>
      </w:r>
      <w:r w:rsidR="003745C1" w:rsidRPr="00E56A6E">
        <w:rPr>
          <w:lang w:val="es-ES"/>
        </w:rPr>
        <w:t>puntos de verificación</w:t>
      </w:r>
      <w:r w:rsidRPr="00E56A6E">
        <w:rPr>
          <w:lang w:val="es-ES"/>
        </w:rPr>
        <w:t xml:space="preserve"> y </w:t>
      </w:r>
      <w:r w:rsidR="00312D84" w:rsidRPr="00E56A6E">
        <w:rPr>
          <w:lang w:val="es-ES"/>
        </w:rPr>
        <w:t>sus</w:t>
      </w:r>
      <w:r w:rsidRPr="00E56A6E">
        <w:rPr>
          <w:lang w:val="es-ES"/>
        </w:rPr>
        <w:t xml:space="preserve"> comunicados. Una vez más, existe un margen </w:t>
      </w:r>
      <w:r w:rsidR="00BE3FE4" w:rsidRPr="00E56A6E">
        <w:rPr>
          <w:lang w:val="es-ES"/>
        </w:rPr>
        <w:t xml:space="preserve">importante </w:t>
      </w:r>
      <w:r w:rsidRPr="00E56A6E">
        <w:rPr>
          <w:lang w:val="es-ES"/>
        </w:rPr>
        <w:t>de mejora en lo que respecta a aumentar la participación de las Partes y el número de registros publicados.</w:t>
      </w:r>
    </w:p>
    <w:p w14:paraId="50722879" w14:textId="71250C10" w:rsidR="00B4416E" w:rsidRPr="00E56A6E" w:rsidRDefault="00B4416E" w:rsidP="00B4416E">
      <w:pPr>
        <w:pStyle w:val="CBDNormalNumber"/>
        <w:rPr>
          <w:lang w:val="es-ES"/>
        </w:rPr>
      </w:pPr>
      <w:r w:rsidRPr="00E56A6E">
        <w:rPr>
          <w:lang w:val="es-ES"/>
        </w:rPr>
        <w:t>Según la información disponible en los informes nacionales, aunque 64 Partes (el 45 %) han expedido permisos de acceso, solo aproximadamente la mitad los ha publicado en forma de certificados. También se observa que se han expedido aproximadamente cuatro veces más permisos de acceso y participación en los beneficios (24</w:t>
      </w:r>
      <w:r w:rsidR="006126C7" w:rsidRPr="00E56A6E">
        <w:rPr>
          <w:lang w:val="es-ES"/>
        </w:rPr>
        <w:t>.</w:t>
      </w:r>
      <w:r w:rsidRPr="00E56A6E">
        <w:rPr>
          <w:lang w:val="es-ES"/>
        </w:rPr>
        <w:t>253) que los certificados publicados. Sin embargo, algunas Partes reconocieron que los permisos que habían expedido, denominados autorizaciones, aprobaciones o recomendaciones, no cumplían los requisitos para su publicación como certificados, alegando factores como la ausencia de condiciones mutuamente acordadas o una base jurídica insuficiente. Además, algunas Partes respondieron que habían cargado los permisos en los centros de intercambio de información nacionales sobre acceso y participación en los beneficios, lo que sugiere que pudo haber habido un malentendido en cuanto a la obligación de las Partes de publicar la información a través del Centro de Intercambio de Información sobre Acceso y Participación en los Beneficios</w:t>
      </w:r>
      <w:r w:rsidR="00C76E8D" w:rsidRPr="00E56A6E">
        <w:rPr>
          <w:lang w:val="es-ES"/>
        </w:rPr>
        <w:t>.</w:t>
      </w:r>
    </w:p>
    <w:p w14:paraId="468796C1" w14:textId="37292943" w:rsidR="00B4416E" w:rsidRPr="00E56A6E" w:rsidRDefault="00B4416E" w:rsidP="00B4416E">
      <w:pPr>
        <w:pStyle w:val="CBDNormalNumber"/>
        <w:rPr>
          <w:lang w:val="es-ES"/>
        </w:rPr>
      </w:pPr>
      <w:r w:rsidRPr="00E56A6E">
        <w:rPr>
          <w:lang w:val="es-ES"/>
        </w:rPr>
        <w:t xml:space="preserve">Por otra parte, el número de registros de </w:t>
      </w:r>
      <w:r w:rsidR="003745C1" w:rsidRPr="00E56A6E">
        <w:rPr>
          <w:lang w:val="es-ES"/>
        </w:rPr>
        <w:t>puntos de verificación</w:t>
      </w:r>
      <w:r w:rsidRPr="00E56A6E">
        <w:rPr>
          <w:lang w:val="es-ES"/>
        </w:rPr>
        <w:t xml:space="preserve"> publicados ha aumentado de forma constante, con 40 nuevos registros añadidos en los últimos dos años, lo que eleva el total a 106 registros publicados por el 34 % de las Partes (48).</w:t>
      </w:r>
      <w:r w:rsidR="00112E38" w:rsidRPr="00E56A6E">
        <w:rPr>
          <w:lang w:val="es-ES"/>
        </w:rPr>
        <w:t xml:space="preserve"> </w:t>
      </w:r>
    </w:p>
    <w:p w14:paraId="66621095" w14:textId="2AEF8888" w:rsidR="00B4416E" w:rsidRPr="00E56A6E" w:rsidRDefault="00B4416E" w:rsidP="002B2B46">
      <w:pPr>
        <w:pStyle w:val="CBDNormalNumber"/>
        <w:rPr>
          <w:lang w:val="es-ES"/>
        </w:rPr>
      </w:pPr>
      <w:r w:rsidRPr="00E56A6E">
        <w:rPr>
          <w:lang w:val="es-ES"/>
        </w:rPr>
        <w:t xml:space="preserve">Las conclusiones ponen de manifiesto una falta de comprensión generalizada y persistente entre muchas Partes respecto al sistema de </w:t>
      </w:r>
      <w:r w:rsidR="00C76E8D" w:rsidRPr="00E56A6E">
        <w:rPr>
          <w:lang w:val="es-ES"/>
        </w:rPr>
        <w:t>vigilancia de la utilización</w:t>
      </w:r>
      <w:r w:rsidRPr="00E56A6E">
        <w:rPr>
          <w:lang w:val="es-ES"/>
        </w:rPr>
        <w:t xml:space="preserve"> a través del Centro de Intercambio de Información, así como una falta de claridad sobre las responsabilidades y funciones de los </w:t>
      </w:r>
      <w:r w:rsidR="003745C1" w:rsidRPr="00E56A6E">
        <w:rPr>
          <w:lang w:val="es-ES"/>
        </w:rPr>
        <w:t>puntos de verificación</w:t>
      </w:r>
      <w:r w:rsidRPr="00E56A6E">
        <w:rPr>
          <w:lang w:val="es-ES"/>
        </w:rPr>
        <w:t xml:space="preserve">. Esa falta de comprensión puede ayudar a explicar en parte la ausencia de Partes que hayan publicado comunicados de </w:t>
      </w:r>
      <w:r w:rsidR="003745C1" w:rsidRPr="00E56A6E">
        <w:rPr>
          <w:lang w:val="es-ES"/>
        </w:rPr>
        <w:t>puntos de verificación</w:t>
      </w:r>
      <w:r w:rsidRPr="00E56A6E">
        <w:rPr>
          <w:lang w:val="es-ES"/>
        </w:rPr>
        <w:t>, especialmente en regiones con menor capacidad y menos usuarios que utilicen recursos genéticos.</w:t>
      </w:r>
    </w:p>
    <w:p w14:paraId="2934013A" w14:textId="60A5B753" w:rsidR="00023F77" w:rsidRPr="00E56A6E" w:rsidRDefault="00B139A7" w:rsidP="00B139A7">
      <w:pPr>
        <w:pStyle w:val="CBDH4"/>
        <w:rPr>
          <w:lang w:val="es-ES"/>
        </w:rPr>
      </w:pPr>
      <w:r w:rsidRPr="00E56A6E">
        <w:rPr>
          <w:lang w:val="es-ES"/>
        </w:rPr>
        <w:t>d)</w:t>
      </w:r>
      <w:r w:rsidRPr="00E56A6E">
        <w:rPr>
          <w:lang w:val="es-ES"/>
        </w:rPr>
        <w:tab/>
      </w:r>
      <w:r w:rsidR="006126C7" w:rsidRPr="00E56A6E">
        <w:rPr>
          <w:lang w:val="es-ES"/>
        </w:rPr>
        <w:t xml:space="preserve">Formas de mejorar la eficacia del </w:t>
      </w:r>
      <w:r w:rsidR="00467E2F" w:rsidRPr="00E56A6E">
        <w:rPr>
          <w:lang w:val="es-ES"/>
        </w:rPr>
        <w:t>Centro de Intercambio de Información sobre Acceso y Participación en los Beneficios</w:t>
      </w:r>
    </w:p>
    <w:p w14:paraId="392C3ED8" w14:textId="5FEE77F6" w:rsidR="006126C7" w:rsidRPr="00E56A6E" w:rsidRDefault="006126C7" w:rsidP="006126C7">
      <w:pPr>
        <w:pStyle w:val="CBDNormalNumber"/>
        <w:rPr>
          <w:lang w:val="es-ES"/>
        </w:rPr>
      </w:pPr>
      <w:r w:rsidRPr="00E56A6E">
        <w:rPr>
          <w:lang w:val="es-ES"/>
        </w:rPr>
        <w:t xml:space="preserve">El fortalecimiento del papel y las funciones básicas del Centro de Intercambio de Información, en </w:t>
      </w:r>
      <w:r w:rsidR="008D5533" w:rsidRPr="00E56A6E">
        <w:rPr>
          <w:lang w:val="es-ES"/>
        </w:rPr>
        <w:t xml:space="preserve">tanto </w:t>
      </w:r>
      <w:r w:rsidRPr="00E56A6E">
        <w:rPr>
          <w:lang w:val="es-ES"/>
        </w:rPr>
        <w:t>mecanismo central para el intercambio de información sobre acceso y participación en los beneficios y el apoyo a la aplicación del Protocolo de Nagoya, es esencial para mejorar la eficacia del Protocolo.</w:t>
      </w:r>
    </w:p>
    <w:p w14:paraId="7173A7C0" w14:textId="00F4444A" w:rsidR="006126C7" w:rsidRPr="00E56A6E" w:rsidRDefault="006126C7" w:rsidP="006126C7">
      <w:pPr>
        <w:pStyle w:val="CBDNormalNumber"/>
        <w:rPr>
          <w:lang w:val="es-ES"/>
        </w:rPr>
      </w:pPr>
      <w:r w:rsidRPr="00E56A6E">
        <w:rPr>
          <w:lang w:val="es-ES"/>
        </w:rPr>
        <w:t xml:space="preserve">Según la </w:t>
      </w:r>
      <w:r w:rsidR="00E47368" w:rsidRPr="00E56A6E">
        <w:rPr>
          <w:lang w:val="es-ES"/>
        </w:rPr>
        <w:t>encuesta dirigida</w:t>
      </w:r>
      <w:r w:rsidRPr="00E56A6E">
        <w:rPr>
          <w:lang w:val="es-ES"/>
        </w:rPr>
        <w:t xml:space="preserve"> </w:t>
      </w:r>
      <w:r w:rsidR="008D5533" w:rsidRPr="00E56A6E">
        <w:rPr>
          <w:lang w:val="es-ES"/>
        </w:rPr>
        <w:t>de</w:t>
      </w:r>
      <w:r w:rsidRPr="00E56A6E">
        <w:rPr>
          <w:lang w:val="es-ES"/>
        </w:rPr>
        <w:t>l Centro de Intercambio de Información, se consideró que l</w:t>
      </w:r>
      <w:r w:rsidR="008D5533" w:rsidRPr="00E56A6E">
        <w:rPr>
          <w:lang w:val="es-ES"/>
        </w:rPr>
        <w:t xml:space="preserve">as iniciativas </w:t>
      </w:r>
      <w:r w:rsidRPr="00E56A6E">
        <w:rPr>
          <w:lang w:val="es-ES"/>
        </w:rPr>
        <w:t>de la Secretaría relacionad</w:t>
      </w:r>
      <w:r w:rsidR="008D5533" w:rsidRPr="00E56A6E">
        <w:rPr>
          <w:lang w:val="es-ES"/>
        </w:rPr>
        <w:t xml:space="preserve">as </w:t>
      </w:r>
      <w:r w:rsidRPr="00E56A6E">
        <w:rPr>
          <w:lang w:val="es-ES"/>
        </w:rPr>
        <w:t xml:space="preserve">con </w:t>
      </w:r>
      <w:r w:rsidR="008D5533" w:rsidRPr="00E56A6E">
        <w:rPr>
          <w:lang w:val="es-ES"/>
        </w:rPr>
        <w:t xml:space="preserve">la creación de </w:t>
      </w:r>
      <w:r w:rsidRPr="00E56A6E">
        <w:rPr>
          <w:lang w:val="es-ES"/>
        </w:rPr>
        <w:t>capacidad del Centro de Intercambio de Información eran útiles y valios</w:t>
      </w:r>
      <w:r w:rsidR="008D5533" w:rsidRPr="00E56A6E">
        <w:rPr>
          <w:lang w:val="es-ES"/>
        </w:rPr>
        <w:t>a</w:t>
      </w:r>
      <w:r w:rsidRPr="00E56A6E">
        <w:rPr>
          <w:lang w:val="es-ES"/>
        </w:rPr>
        <w:t xml:space="preserve">s. </w:t>
      </w:r>
      <w:r w:rsidR="008D5533" w:rsidRPr="00E56A6E">
        <w:rPr>
          <w:lang w:val="es-ES"/>
        </w:rPr>
        <w:t xml:space="preserve">Entre ellas figuran </w:t>
      </w:r>
      <w:r w:rsidRPr="00E56A6E">
        <w:rPr>
          <w:lang w:val="es-ES"/>
        </w:rPr>
        <w:t xml:space="preserve">talleres y seminarios web, actividades de divulgación, </w:t>
      </w:r>
      <w:r w:rsidR="001F785A" w:rsidRPr="00E56A6E">
        <w:rPr>
          <w:lang w:val="es-ES"/>
        </w:rPr>
        <w:t xml:space="preserve">capacitación </w:t>
      </w:r>
      <w:r w:rsidRPr="00E56A6E">
        <w:rPr>
          <w:lang w:val="es-ES"/>
        </w:rPr>
        <w:t>y apoyo técnico a petición, así como los recursos disponibles en la base de conocimientos del Centro de Intercambio de Información</w:t>
      </w:r>
      <w:r w:rsidRPr="00E56A6E">
        <w:rPr>
          <w:vertAlign w:val="superscript"/>
          <w:lang w:val="es-ES"/>
        </w:rPr>
        <w:footnoteReference w:id="91"/>
      </w:r>
      <w:r w:rsidRPr="00E56A6E">
        <w:rPr>
          <w:lang w:val="es-ES"/>
        </w:rPr>
        <w:t>.</w:t>
      </w:r>
      <w:r w:rsidR="00112E38" w:rsidRPr="00E56A6E">
        <w:rPr>
          <w:lang w:val="es-ES"/>
        </w:rPr>
        <w:t xml:space="preserve"> </w:t>
      </w:r>
    </w:p>
    <w:p w14:paraId="27A9D3BA" w14:textId="15216598" w:rsidR="006126C7" w:rsidRPr="00E56A6E" w:rsidRDefault="006126C7" w:rsidP="006126C7">
      <w:pPr>
        <w:pStyle w:val="CBDNormalNumber"/>
        <w:rPr>
          <w:lang w:val="es-ES"/>
        </w:rPr>
      </w:pPr>
      <w:r w:rsidRPr="00E56A6E">
        <w:rPr>
          <w:lang w:val="es-ES"/>
        </w:rPr>
        <w:lastRenderedPageBreak/>
        <w:t>El análisis destaca vari</w:t>
      </w:r>
      <w:r w:rsidR="00EA2E2F" w:rsidRPr="00E56A6E">
        <w:rPr>
          <w:lang w:val="es-ES"/>
        </w:rPr>
        <w:t xml:space="preserve">as formas </w:t>
      </w:r>
      <w:r w:rsidRPr="00E56A6E">
        <w:rPr>
          <w:lang w:val="es-ES"/>
        </w:rPr>
        <w:t xml:space="preserve">para mejorar la eficacia del Centro de Intercambio de Información, entre </w:t>
      </w:r>
      <w:r w:rsidR="00EA2E2F" w:rsidRPr="00E56A6E">
        <w:rPr>
          <w:lang w:val="es-ES"/>
        </w:rPr>
        <w:t>ellas</w:t>
      </w:r>
      <w:r w:rsidRPr="00E56A6E">
        <w:rPr>
          <w:lang w:val="es-ES"/>
        </w:rPr>
        <w:t>:</w:t>
      </w:r>
    </w:p>
    <w:p w14:paraId="09B22CFA" w14:textId="77777777" w:rsidR="00725083" w:rsidRPr="00E56A6E" w:rsidRDefault="00725083" w:rsidP="00320511">
      <w:pPr>
        <w:pStyle w:val="CBDNormalNumber"/>
        <w:numPr>
          <w:ilvl w:val="1"/>
          <w:numId w:val="7"/>
        </w:numPr>
        <w:ind w:left="567" w:firstLine="567"/>
        <w:rPr>
          <w:lang w:val="es-ES"/>
        </w:rPr>
      </w:pPr>
      <w:r w:rsidRPr="00E56A6E">
        <w:rPr>
          <w:lang w:val="es-ES"/>
        </w:rPr>
        <w:t>Mejorar la claridad y la facilidad de uso de la información nacional sobre los requisitos de acceso y cumplimiento, en particular perfeccionando el formato de los procedimientos de acceso y participación en los beneficios para responder mejor a las necesidades de los usuarios de recursos genéticos;</w:t>
      </w:r>
    </w:p>
    <w:p w14:paraId="21BF63CA" w14:textId="3D5D2193" w:rsidR="00725083" w:rsidRPr="00E56A6E" w:rsidRDefault="00725083" w:rsidP="00320511">
      <w:pPr>
        <w:pStyle w:val="CBDNormalNumber"/>
        <w:numPr>
          <w:ilvl w:val="1"/>
          <w:numId w:val="7"/>
        </w:numPr>
        <w:ind w:left="567" w:firstLine="567"/>
        <w:rPr>
          <w:lang w:val="es-ES"/>
        </w:rPr>
      </w:pPr>
      <w:r w:rsidRPr="00E56A6E">
        <w:rPr>
          <w:lang w:val="es-ES"/>
        </w:rPr>
        <w:t xml:space="preserve">Mejorar la funcionalidad del Centro de Intercambio de Información para ayudar </w:t>
      </w:r>
      <w:r w:rsidR="003E6E78" w:rsidRPr="00E56A6E">
        <w:rPr>
          <w:lang w:val="es-ES"/>
        </w:rPr>
        <w:t xml:space="preserve">en mayor medida </w:t>
      </w:r>
      <w:r w:rsidRPr="00E56A6E">
        <w:rPr>
          <w:lang w:val="es-ES"/>
        </w:rPr>
        <w:t>a las Partes a actualizar y mantener la exactitud y fiabilidad de su información nacional, por ejemplo, mediante recordatorios automáticos y procesos simplificados de gestión de registros;</w:t>
      </w:r>
    </w:p>
    <w:p w14:paraId="41839CCA" w14:textId="1729278A" w:rsidR="00725083" w:rsidRPr="00E56A6E" w:rsidRDefault="00725083" w:rsidP="00320511">
      <w:pPr>
        <w:pStyle w:val="CBDNormalNumber"/>
        <w:numPr>
          <w:ilvl w:val="1"/>
          <w:numId w:val="7"/>
        </w:numPr>
        <w:ind w:left="567" w:firstLine="567"/>
        <w:rPr>
          <w:lang w:val="es-ES"/>
        </w:rPr>
      </w:pPr>
      <w:r w:rsidRPr="00E56A6E">
        <w:rPr>
          <w:lang w:val="es-ES"/>
        </w:rPr>
        <w:t xml:space="preserve">Llevar a cabo actividades de divulgación periódicas, coherentes y específicas dirigidas a las Partes, que incluirían ofertas de </w:t>
      </w:r>
      <w:r w:rsidR="003E6E78" w:rsidRPr="00E56A6E">
        <w:rPr>
          <w:lang w:val="es-ES"/>
        </w:rPr>
        <w:t>capacita</w:t>
      </w:r>
      <w:r w:rsidRPr="00E56A6E">
        <w:rPr>
          <w:lang w:val="es-ES"/>
        </w:rPr>
        <w:t>ción, asistencia y orientación, en particular a aquellas Partes cuya información nacional disponible aún no se haya publicado en el Centro de Intercambio de Información, y promover el uso eficaz de</w:t>
      </w:r>
      <w:r w:rsidR="00E06B2B" w:rsidRPr="00E56A6E">
        <w:rPr>
          <w:lang w:val="es-ES"/>
        </w:rPr>
        <w:t xml:space="preserve"> dicho </w:t>
      </w:r>
      <w:r w:rsidRPr="00E56A6E">
        <w:rPr>
          <w:lang w:val="es-ES"/>
        </w:rPr>
        <w:t>Centro, incluso para la publicación y el mantenimiento de información nacional precisa, fiable y actualizada;</w:t>
      </w:r>
    </w:p>
    <w:p w14:paraId="678245E2" w14:textId="7B50BB8D" w:rsidR="00725083" w:rsidRPr="00E56A6E" w:rsidRDefault="00725083" w:rsidP="00320511">
      <w:pPr>
        <w:pStyle w:val="CBDNormalNumber"/>
        <w:numPr>
          <w:ilvl w:val="1"/>
          <w:numId w:val="7"/>
        </w:numPr>
        <w:ind w:left="567" w:firstLine="567"/>
        <w:rPr>
          <w:lang w:val="es-ES"/>
        </w:rPr>
      </w:pPr>
      <w:r w:rsidRPr="00E56A6E">
        <w:rPr>
          <w:lang w:val="es-ES"/>
        </w:rPr>
        <w:t xml:space="preserve">Apoyar la institucionalización de la </w:t>
      </w:r>
      <w:r w:rsidR="00E06B2B" w:rsidRPr="00E56A6E">
        <w:rPr>
          <w:lang w:val="es-ES"/>
        </w:rPr>
        <w:t>capacitación</w:t>
      </w:r>
      <w:r w:rsidRPr="00E56A6E">
        <w:rPr>
          <w:lang w:val="es-ES"/>
        </w:rPr>
        <w:t xml:space="preserve"> sobre el Centro de Intercambio de Información en las actividades de creación de capacidad y de incorporación de las Partes;</w:t>
      </w:r>
    </w:p>
    <w:p w14:paraId="2EA7BF8B" w14:textId="53E5BD8A" w:rsidR="00725083" w:rsidRPr="00E56A6E" w:rsidRDefault="00725083" w:rsidP="00320511">
      <w:pPr>
        <w:pStyle w:val="CBDNormalNumber"/>
        <w:numPr>
          <w:ilvl w:val="1"/>
          <w:numId w:val="7"/>
        </w:numPr>
        <w:ind w:left="567" w:firstLine="567"/>
        <w:rPr>
          <w:lang w:val="es-ES"/>
        </w:rPr>
      </w:pPr>
      <w:r w:rsidRPr="00E56A6E">
        <w:rPr>
          <w:lang w:val="es-ES"/>
        </w:rPr>
        <w:t xml:space="preserve">Promover el desarrollo de sistemas nacionales de información sobre el acceso y la participación en los beneficios, así como la publicación eficaz de la información nacional mediante la interoperabilidad, en particular en lo que respecta a los certificados de cumplimiento y los comunicados de los </w:t>
      </w:r>
      <w:r w:rsidR="003745C1" w:rsidRPr="00E56A6E">
        <w:rPr>
          <w:lang w:val="es-ES"/>
        </w:rPr>
        <w:t>puntos de verificación</w:t>
      </w:r>
      <w:r w:rsidRPr="00E56A6E">
        <w:rPr>
          <w:lang w:val="es-ES"/>
        </w:rPr>
        <w:t xml:space="preserve"> reconocidos internacionalmente;</w:t>
      </w:r>
    </w:p>
    <w:p w14:paraId="50E4A77D" w14:textId="4341BDCE" w:rsidR="00725083" w:rsidRPr="00E56A6E" w:rsidRDefault="00725083" w:rsidP="00320511">
      <w:pPr>
        <w:pStyle w:val="CBDNormalNumber"/>
        <w:numPr>
          <w:ilvl w:val="1"/>
          <w:numId w:val="7"/>
        </w:numPr>
        <w:ind w:left="567" w:firstLine="567"/>
        <w:rPr>
          <w:lang w:val="es-ES"/>
        </w:rPr>
      </w:pPr>
      <w:r w:rsidRPr="00E56A6E">
        <w:rPr>
          <w:lang w:val="es-ES"/>
        </w:rPr>
        <w:t xml:space="preserve">Crear oportunidades, incentivos y reconocimiento para la participación de las Partes y proporcionar prácticas </w:t>
      </w:r>
      <w:r w:rsidR="00273441" w:rsidRPr="00E56A6E">
        <w:rPr>
          <w:lang w:val="es-ES"/>
        </w:rPr>
        <w:t xml:space="preserve">óptimas </w:t>
      </w:r>
      <w:r w:rsidRPr="00E56A6E">
        <w:rPr>
          <w:lang w:val="es-ES"/>
        </w:rPr>
        <w:t>que destaquen y promuevan el valor del Centro de Intercambio de Información como herramienta de apoyo a la aplicación;</w:t>
      </w:r>
      <w:r w:rsidR="00112E38" w:rsidRPr="00E56A6E">
        <w:rPr>
          <w:lang w:val="es-ES"/>
        </w:rPr>
        <w:t xml:space="preserve"> </w:t>
      </w:r>
    </w:p>
    <w:p w14:paraId="68CD3EC1" w14:textId="17D8DC99" w:rsidR="00725083" w:rsidRPr="00E56A6E" w:rsidRDefault="00D74A97" w:rsidP="00320511">
      <w:pPr>
        <w:pStyle w:val="CBDNormalNumber"/>
        <w:numPr>
          <w:ilvl w:val="1"/>
          <w:numId w:val="7"/>
        </w:numPr>
        <w:ind w:left="567" w:firstLine="567"/>
        <w:rPr>
          <w:lang w:val="es-ES"/>
        </w:rPr>
      </w:pPr>
      <w:r w:rsidRPr="00E56A6E">
        <w:rPr>
          <w:lang w:val="es-ES"/>
        </w:rPr>
        <w:t xml:space="preserve">Procurar </w:t>
      </w:r>
      <w:r w:rsidR="00725083" w:rsidRPr="00E56A6E">
        <w:rPr>
          <w:lang w:val="es-ES"/>
        </w:rPr>
        <w:t xml:space="preserve">que la publicación de información pertinente en el Centro de Intercambio de Información y la </w:t>
      </w:r>
      <w:r w:rsidRPr="00E56A6E">
        <w:rPr>
          <w:lang w:val="es-ES"/>
        </w:rPr>
        <w:t xml:space="preserve">capacitación </w:t>
      </w:r>
      <w:r w:rsidR="00725083" w:rsidRPr="00E56A6E">
        <w:rPr>
          <w:lang w:val="es-ES"/>
        </w:rPr>
        <w:t>adecuada se incluyan en los proyectos y en</w:t>
      </w:r>
      <w:r w:rsidRPr="00E56A6E">
        <w:rPr>
          <w:lang w:val="es-ES"/>
        </w:rPr>
        <w:t xml:space="preserve"> la creación de </w:t>
      </w:r>
      <w:r w:rsidR="00725083" w:rsidRPr="00E56A6E">
        <w:rPr>
          <w:lang w:val="es-ES"/>
        </w:rPr>
        <w:t>capacidad relacionados con la aplicación del Protocolo;</w:t>
      </w:r>
    </w:p>
    <w:p w14:paraId="7A339B4B" w14:textId="09189FD3" w:rsidR="00725083" w:rsidRPr="00E56A6E" w:rsidRDefault="00D74A97" w:rsidP="00320511">
      <w:pPr>
        <w:pStyle w:val="CBDNormalNumber"/>
        <w:numPr>
          <w:ilvl w:val="1"/>
          <w:numId w:val="7"/>
        </w:numPr>
        <w:ind w:left="567" w:firstLine="567"/>
        <w:rPr>
          <w:lang w:val="es-ES"/>
        </w:rPr>
      </w:pPr>
      <w:r w:rsidRPr="00E56A6E">
        <w:rPr>
          <w:lang w:val="es-ES"/>
        </w:rPr>
        <w:t xml:space="preserve">Velar por </w:t>
      </w:r>
      <w:r w:rsidR="00725083" w:rsidRPr="00E56A6E">
        <w:rPr>
          <w:lang w:val="es-ES"/>
        </w:rPr>
        <w:t>un apoyo específico y sostenido a</w:t>
      </w:r>
      <w:r w:rsidRPr="00E56A6E">
        <w:rPr>
          <w:lang w:val="es-ES"/>
        </w:rPr>
        <w:t xml:space="preserve"> la creación </w:t>
      </w:r>
      <w:r w:rsidR="00725083" w:rsidRPr="00E56A6E">
        <w:rPr>
          <w:lang w:val="es-ES"/>
        </w:rPr>
        <w:t xml:space="preserve">de capacidad, centrado específicamente en el sistema del Protocolo para </w:t>
      </w:r>
      <w:r w:rsidR="00C76E8D" w:rsidRPr="00E56A6E">
        <w:rPr>
          <w:lang w:val="es-ES"/>
        </w:rPr>
        <w:t>la vigilancia de la utilización</w:t>
      </w:r>
      <w:r w:rsidR="00725083" w:rsidRPr="00E56A6E">
        <w:rPr>
          <w:lang w:val="es-ES"/>
        </w:rPr>
        <w:t xml:space="preserve"> a través del Centro de Intercambio de Información y en la puesta en funcionamiento de los </w:t>
      </w:r>
      <w:r w:rsidR="003745C1" w:rsidRPr="00E56A6E">
        <w:rPr>
          <w:lang w:val="es-ES"/>
        </w:rPr>
        <w:t>puntos de verificación</w:t>
      </w:r>
      <w:r w:rsidR="00725083" w:rsidRPr="00E56A6E">
        <w:rPr>
          <w:lang w:val="es-ES"/>
        </w:rPr>
        <w:t xml:space="preserve">, la expedición de certificados y la publicación de comunicados de los </w:t>
      </w:r>
      <w:r w:rsidR="003745C1" w:rsidRPr="00E56A6E">
        <w:rPr>
          <w:lang w:val="es-ES"/>
        </w:rPr>
        <w:t>puntos de verificación</w:t>
      </w:r>
      <w:r w:rsidR="00725083" w:rsidRPr="00E56A6E">
        <w:rPr>
          <w:lang w:val="es-ES"/>
        </w:rPr>
        <w:t>, entre otras cosas mediante el fortalecimiento de la comunicación, la cooperación y la confianza entre las autoridades de los países proveedores y de los países usuarios.</w:t>
      </w:r>
    </w:p>
    <w:p w14:paraId="59A82A00" w14:textId="78B7C733" w:rsidR="00484881" w:rsidRPr="00E56A6E" w:rsidRDefault="00B139A7" w:rsidP="00B139A7">
      <w:pPr>
        <w:pStyle w:val="CBDH3"/>
        <w:rPr>
          <w:lang w:val="es-ES"/>
        </w:rPr>
      </w:pPr>
      <w:r w:rsidRPr="00E56A6E">
        <w:rPr>
          <w:lang w:val="es-ES"/>
        </w:rPr>
        <w:t>2.</w:t>
      </w:r>
      <w:r w:rsidRPr="00E56A6E">
        <w:rPr>
          <w:lang w:val="es-ES"/>
        </w:rPr>
        <w:tab/>
      </w:r>
      <w:r w:rsidR="001F39D2" w:rsidRPr="00E56A6E">
        <w:rPr>
          <w:lang w:val="es-ES"/>
        </w:rPr>
        <w:t xml:space="preserve">Registros de referencia en el </w:t>
      </w:r>
      <w:r w:rsidR="00467E2F" w:rsidRPr="00E56A6E">
        <w:rPr>
          <w:lang w:val="es-ES"/>
        </w:rPr>
        <w:t>Centro de Intercambio de Información sobre Acceso y Participación en los Beneficios</w:t>
      </w:r>
    </w:p>
    <w:p w14:paraId="36F896A1" w14:textId="4725E22C" w:rsidR="00BA027D" w:rsidRPr="00E56A6E" w:rsidRDefault="00B139A7" w:rsidP="00B139A7">
      <w:pPr>
        <w:pStyle w:val="CBDH4"/>
        <w:rPr>
          <w:lang w:val="es-ES"/>
        </w:rPr>
      </w:pPr>
      <w:r w:rsidRPr="00E56A6E">
        <w:rPr>
          <w:lang w:val="es-ES"/>
        </w:rPr>
        <w:t>a)</w:t>
      </w:r>
      <w:r w:rsidRPr="00E56A6E">
        <w:rPr>
          <w:lang w:val="es-ES"/>
        </w:rPr>
        <w:tab/>
      </w:r>
      <w:r w:rsidR="001F39D2" w:rsidRPr="00E56A6E">
        <w:rPr>
          <w:lang w:val="es-ES"/>
        </w:rPr>
        <w:t>Avances en la publicación de registros de referencia y datos actualizados de los indicadores</w:t>
      </w:r>
    </w:p>
    <w:p w14:paraId="1D825E49" w14:textId="49FBDF6F" w:rsidR="00A92FBC" w:rsidRPr="00E56A6E" w:rsidRDefault="00770CE7" w:rsidP="00A92FBC">
      <w:pPr>
        <w:pStyle w:val="CBDNormalNumber"/>
        <w:rPr>
          <w:lang w:val="es-ES"/>
        </w:rPr>
      </w:pPr>
      <w:r w:rsidRPr="00E56A6E">
        <w:rPr>
          <w:lang w:val="es-ES"/>
        </w:rPr>
        <w:t>Tal como</w:t>
      </w:r>
      <w:r w:rsidR="00A92FBC" w:rsidRPr="00E56A6E">
        <w:rPr>
          <w:lang w:val="es-ES"/>
        </w:rPr>
        <w:t xml:space="preserve"> se muestra en el cuadro 16 que figura a continuación, los recursos de la biblioteca virtual y los protocolos y procedimientos comunitarios, así como los registros de derecho consuetudinario, han aumentado gradualmente en los últimos años. El tráfico del sitio web también ha aumentado </w:t>
      </w:r>
      <w:r w:rsidR="00D533A9" w:rsidRPr="00E56A6E">
        <w:rPr>
          <w:lang w:val="es-ES"/>
        </w:rPr>
        <w:t xml:space="preserve">de manera </w:t>
      </w:r>
      <w:r w:rsidR="00D74A97" w:rsidRPr="00E56A6E">
        <w:rPr>
          <w:lang w:val="es-ES"/>
        </w:rPr>
        <w:t>considerable</w:t>
      </w:r>
      <w:r w:rsidR="00A92FBC" w:rsidRPr="00E56A6E">
        <w:rPr>
          <w:lang w:val="es-ES"/>
        </w:rPr>
        <w:t>, pasando de a</w:t>
      </w:r>
      <w:r w:rsidR="007B3B75" w:rsidRPr="00E56A6E">
        <w:rPr>
          <w:lang w:val="es-ES"/>
        </w:rPr>
        <w:t xml:space="preserve">lrededor de </w:t>
      </w:r>
      <w:r w:rsidR="00A92FBC" w:rsidRPr="00E56A6E">
        <w:rPr>
          <w:lang w:val="es-ES"/>
        </w:rPr>
        <w:t>19</w:t>
      </w:r>
      <w:r w:rsidR="00E766DA" w:rsidRPr="00E56A6E">
        <w:rPr>
          <w:lang w:val="es-ES"/>
        </w:rPr>
        <w:t>.</w:t>
      </w:r>
      <w:r w:rsidR="00A92FBC" w:rsidRPr="00E56A6E">
        <w:rPr>
          <w:lang w:val="es-ES"/>
        </w:rPr>
        <w:t>000 a 85</w:t>
      </w:r>
      <w:r w:rsidR="00E766DA" w:rsidRPr="00E56A6E">
        <w:rPr>
          <w:lang w:val="es-ES"/>
        </w:rPr>
        <w:t>.</w:t>
      </w:r>
      <w:r w:rsidR="00A92FBC" w:rsidRPr="00E56A6E">
        <w:rPr>
          <w:lang w:val="es-ES"/>
        </w:rPr>
        <w:t>000 visitantes al año</w:t>
      </w:r>
      <w:r w:rsidR="00A92FBC" w:rsidRPr="00E56A6E">
        <w:rPr>
          <w:rStyle w:val="FootnoteReference"/>
          <w:lang w:val="es-ES"/>
        </w:rPr>
        <w:footnoteReference w:id="92"/>
      </w:r>
      <w:r w:rsidR="007B3B75" w:rsidRPr="00E56A6E">
        <w:rPr>
          <w:lang w:val="es-ES"/>
        </w:rPr>
        <w:t>.</w:t>
      </w:r>
    </w:p>
    <w:p w14:paraId="2D67E9EB" w14:textId="10F335F1" w:rsidR="00A92FBC" w:rsidRPr="00E56A6E" w:rsidRDefault="00A92FBC" w:rsidP="00A92FBC">
      <w:pPr>
        <w:pStyle w:val="CBDNormalNumber"/>
        <w:rPr>
          <w:lang w:val="es-ES"/>
        </w:rPr>
      </w:pPr>
      <w:r w:rsidRPr="00E56A6E">
        <w:rPr>
          <w:lang w:val="es-ES"/>
        </w:rPr>
        <w:t xml:space="preserve">La información sobre cláusulas contractuales modelo, herramientas relacionadas con los artículos 19 y 20, códigos de conducta, directrices, prácticas </w:t>
      </w:r>
      <w:r w:rsidR="00965FF1" w:rsidRPr="00E56A6E">
        <w:rPr>
          <w:lang w:val="es-ES"/>
        </w:rPr>
        <w:t xml:space="preserve">óptimas </w:t>
      </w:r>
      <w:r w:rsidRPr="00E56A6E">
        <w:rPr>
          <w:lang w:val="es-ES"/>
        </w:rPr>
        <w:t xml:space="preserve">y </w:t>
      </w:r>
      <w:r w:rsidR="00965FF1" w:rsidRPr="00E56A6E">
        <w:rPr>
          <w:lang w:val="es-ES"/>
        </w:rPr>
        <w:t>estándares</w:t>
      </w:r>
      <w:r w:rsidRPr="00E56A6E">
        <w:rPr>
          <w:lang w:val="es-ES"/>
        </w:rPr>
        <w:t xml:space="preserve">, así como sobre el </w:t>
      </w:r>
      <w:r w:rsidRPr="00E56A6E">
        <w:rPr>
          <w:lang w:val="es-ES"/>
        </w:rPr>
        <w:lastRenderedPageBreak/>
        <w:t>derecho consuetudinario de los pueblos indígenas y las comunidades locales, y los protocolos y procedimientos comunitarios publicados en el Centro de Intercambio de Información puede consultarse en la sección III.F anterior.</w:t>
      </w:r>
    </w:p>
    <w:p w14:paraId="06859638" w14:textId="098B9EDA" w:rsidR="00A92FBC" w:rsidRPr="00E56A6E" w:rsidRDefault="00A92FBC" w:rsidP="00A92FBC">
      <w:pPr>
        <w:pStyle w:val="CBDNormalNumber"/>
        <w:rPr>
          <w:lang w:val="es-ES"/>
        </w:rPr>
      </w:pPr>
      <w:r w:rsidRPr="00E56A6E">
        <w:rPr>
          <w:lang w:val="es-ES"/>
        </w:rPr>
        <w:t xml:space="preserve">Los resultados del análisis de la información sobre las iniciativas y los recursos de creación de capacidad </w:t>
      </w:r>
      <w:r w:rsidR="001E6165" w:rsidRPr="00E56A6E">
        <w:rPr>
          <w:lang w:val="es-ES"/>
        </w:rPr>
        <w:t xml:space="preserve">dieron cuenta de </w:t>
      </w:r>
      <w:r w:rsidRPr="00E56A6E">
        <w:rPr>
          <w:lang w:val="es-ES"/>
        </w:rPr>
        <w:t xml:space="preserve">que, a pesar de la amplia actividad de creación de capacidad llevada a cabo en el marco del Protocolo de Nagoya, su visibilidad en el </w:t>
      </w:r>
      <w:r w:rsidR="00467E2F" w:rsidRPr="00E56A6E">
        <w:rPr>
          <w:lang w:val="es-ES"/>
        </w:rPr>
        <w:t xml:space="preserve">Centro de Intercambio de Información sobre </w:t>
      </w:r>
      <w:r w:rsidR="00C66334" w:rsidRPr="00E56A6E">
        <w:rPr>
          <w:lang w:val="es-ES"/>
        </w:rPr>
        <w:t>APB</w:t>
      </w:r>
      <w:r w:rsidRPr="00E56A6E">
        <w:rPr>
          <w:lang w:val="es-ES"/>
        </w:rPr>
        <w:t xml:space="preserve"> seguía siendo parcial, ya que, en marzo de 2026, solo se habían registrado 61 de las 134 iniciativas identificadas. El aumento de registros observado en períodos anteriores reflejaba l</w:t>
      </w:r>
      <w:r w:rsidR="0001482B" w:rsidRPr="00E56A6E">
        <w:rPr>
          <w:lang w:val="es-ES"/>
        </w:rPr>
        <w:t>as</w:t>
      </w:r>
      <w:r w:rsidRPr="00E56A6E">
        <w:rPr>
          <w:lang w:val="es-ES"/>
        </w:rPr>
        <w:t xml:space="preserve"> </w:t>
      </w:r>
      <w:r w:rsidR="0001482B" w:rsidRPr="00E56A6E">
        <w:rPr>
          <w:lang w:val="es-ES"/>
        </w:rPr>
        <w:t xml:space="preserve">iniciativas </w:t>
      </w:r>
      <w:r w:rsidRPr="00E56A6E">
        <w:rPr>
          <w:lang w:val="es-ES"/>
        </w:rPr>
        <w:t>específic</w:t>
      </w:r>
      <w:r w:rsidR="0001482B" w:rsidRPr="00E56A6E">
        <w:rPr>
          <w:lang w:val="es-ES"/>
        </w:rPr>
        <w:t>a</w:t>
      </w:r>
      <w:r w:rsidRPr="00E56A6E">
        <w:rPr>
          <w:lang w:val="es-ES"/>
        </w:rPr>
        <w:t>s de inventario y publicación liderad</w:t>
      </w:r>
      <w:r w:rsidR="0001482B" w:rsidRPr="00E56A6E">
        <w:rPr>
          <w:lang w:val="es-ES"/>
        </w:rPr>
        <w:t>a</w:t>
      </w:r>
      <w:r w:rsidRPr="00E56A6E">
        <w:rPr>
          <w:lang w:val="es-ES"/>
        </w:rPr>
        <w:t>s por la Secretaría, más que una actualización rutinaria y sostenida por parte de las Partes y los propios proveedores de creación de capacidad</w:t>
      </w:r>
      <w:r w:rsidRPr="00E56A6E">
        <w:rPr>
          <w:rStyle w:val="FootnoteReference"/>
          <w:lang w:val="es-ES"/>
        </w:rPr>
        <w:footnoteReference w:id="93"/>
      </w:r>
      <w:r w:rsidRPr="00E56A6E">
        <w:rPr>
          <w:lang w:val="es-ES"/>
        </w:rPr>
        <w:t>.</w:t>
      </w:r>
      <w:r w:rsidR="00112E38" w:rsidRPr="00E56A6E">
        <w:rPr>
          <w:lang w:val="es-ES"/>
        </w:rPr>
        <w:t xml:space="preserve"> </w:t>
      </w:r>
    </w:p>
    <w:p w14:paraId="4DE09E83" w14:textId="2051CC69" w:rsidR="00A92FBC" w:rsidRPr="00E56A6E" w:rsidRDefault="00C14736" w:rsidP="00A92FBC">
      <w:pPr>
        <w:pStyle w:val="CBDNormalNumber"/>
        <w:rPr>
          <w:lang w:val="es-ES"/>
        </w:rPr>
      </w:pPr>
      <w:r w:rsidRPr="00E56A6E">
        <w:rPr>
          <w:lang w:val="es-ES"/>
        </w:rPr>
        <w:t xml:space="preserve">Según el </w:t>
      </w:r>
      <w:r w:rsidR="00A92FBC" w:rsidRPr="00E56A6E">
        <w:rPr>
          <w:lang w:val="es-ES"/>
        </w:rPr>
        <w:t>análisis de los registros de referencia</w:t>
      </w:r>
      <w:r w:rsidRPr="00E56A6E">
        <w:rPr>
          <w:lang w:val="es-ES"/>
        </w:rPr>
        <w:t>,</w:t>
      </w:r>
      <w:r w:rsidR="00A92FBC" w:rsidRPr="00E56A6E">
        <w:rPr>
          <w:lang w:val="es-ES"/>
        </w:rPr>
        <w:t xml:space="preserve"> el número de nuevos registros publicados al año había disminuido en general en todos los tipos de registros de referencia; solo se habían publicado 29 registros de referencia en los últimos 12 meses; y alrededor del 65 % de esos registros estaban directamente relacionados con información </w:t>
      </w:r>
      <w:r w:rsidRPr="00E56A6E">
        <w:rPr>
          <w:lang w:val="es-ES"/>
        </w:rPr>
        <w:t xml:space="preserve">digital </w:t>
      </w:r>
      <w:r w:rsidR="00A92FBC" w:rsidRPr="00E56A6E">
        <w:rPr>
          <w:lang w:val="es-ES"/>
        </w:rPr>
        <w:t>sobre secuencias</w:t>
      </w:r>
      <w:r w:rsidR="00A92FBC" w:rsidRPr="00E56A6E">
        <w:rPr>
          <w:vertAlign w:val="superscript"/>
          <w:lang w:val="es-ES"/>
        </w:rPr>
        <w:footnoteReference w:id="94"/>
      </w:r>
      <w:r w:rsidR="00A92FBC" w:rsidRPr="00E56A6E">
        <w:rPr>
          <w:lang w:val="es-ES"/>
        </w:rPr>
        <w:t>.</w:t>
      </w:r>
      <w:r w:rsidR="00112E38" w:rsidRPr="00E56A6E">
        <w:rPr>
          <w:lang w:val="es-ES"/>
        </w:rPr>
        <w:t xml:space="preserve"> </w:t>
      </w:r>
      <w:r w:rsidR="00A92FBC" w:rsidRPr="00E56A6E">
        <w:rPr>
          <w:lang w:val="es-ES"/>
        </w:rPr>
        <w:t xml:space="preserve">El análisis puso de relieve varias cuestiones </w:t>
      </w:r>
      <w:r w:rsidR="000B0B10" w:rsidRPr="00E56A6E">
        <w:rPr>
          <w:lang w:val="es-ES"/>
        </w:rPr>
        <w:t xml:space="preserve">y posibles </w:t>
      </w:r>
      <w:r w:rsidR="00A92FBC" w:rsidRPr="00E56A6E">
        <w:rPr>
          <w:lang w:val="es-ES"/>
        </w:rPr>
        <w:t>incoherencias con respecto a los registros de referencia, que pueden requerir un nuevo examen, actualización y reorganización para permitir una contribución más eficaz a la aplicación del Protocolo.</w:t>
      </w:r>
    </w:p>
    <w:p w14:paraId="50B3D1BF" w14:textId="01027AA7" w:rsidR="00A92FBC" w:rsidRPr="00E56A6E" w:rsidRDefault="00A92FBC" w:rsidP="00A92FBC">
      <w:pPr>
        <w:pStyle w:val="CBDNormalNumber"/>
        <w:rPr>
          <w:lang w:val="es-ES"/>
        </w:rPr>
      </w:pPr>
      <w:r w:rsidRPr="00E56A6E">
        <w:rPr>
          <w:lang w:val="es-ES"/>
        </w:rPr>
        <w:t xml:space="preserve">La clasificación de los registros de referencia </w:t>
      </w:r>
      <w:r w:rsidR="006954E8" w:rsidRPr="00E56A6E">
        <w:rPr>
          <w:lang w:val="es-ES"/>
        </w:rPr>
        <w:t>–</w:t>
      </w:r>
      <w:r w:rsidRPr="00E56A6E">
        <w:rPr>
          <w:lang w:val="es-ES"/>
        </w:rPr>
        <w:t xml:space="preserve">incluidos los registros de bibliotecas virtuales, las cláusulas contractuales </w:t>
      </w:r>
      <w:r w:rsidR="00965FF1" w:rsidRPr="00E56A6E">
        <w:rPr>
          <w:lang w:val="es-ES"/>
        </w:rPr>
        <w:t>modelo</w:t>
      </w:r>
      <w:r w:rsidRPr="00E56A6E">
        <w:rPr>
          <w:lang w:val="es-ES"/>
        </w:rPr>
        <w:t xml:space="preserve">, los códigos de conducta, las directrices, las prácticas </w:t>
      </w:r>
      <w:r w:rsidR="00965FF1" w:rsidRPr="00E56A6E">
        <w:rPr>
          <w:lang w:val="es-ES"/>
        </w:rPr>
        <w:t xml:space="preserve">óptimas o </w:t>
      </w:r>
      <w:r w:rsidRPr="00E56A6E">
        <w:rPr>
          <w:lang w:val="es-ES"/>
        </w:rPr>
        <w:t>l</w:t>
      </w:r>
      <w:r w:rsidR="00965FF1" w:rsidRPr="00E56A6E">
        <w:rPr>
          <w:lang w:val="es-ES"/>
        </w:rPr>
        <w:t xml:space="preserve">os estándares derivados </w:t>
      </w:r>
      <w:r w:rsidRPr="00E56A6E">
        <w:rPr>
          <w:lang w:val="es-ES"/>
        </w:rPr>
        <w:t>de los artículos 19 y 20 del Protocolo, así como los protocolos y procedimientos comunitarios y el derecho consuetudinario</w:t>
      </w:r>
      <w:r w:rsidR="006954E8" w:rsidRPr="00E56A6E">
        <w:rPr>
          <w:lang w:val="es-ES"/>
        </w:rPr>
        <w:t>–</w:t>
      </w:r>
      <w:r w:rsidRPr="00E56A6E">
        <w:rPr>
          <w:lang w:val="es-ES"/>
        </w:rPr>
        <w:t xml:space="preserve"> puso de manifiesto algunas incoherencias, entre ellas la superposición de terminología, posibles duplic</w:t>
      </w:r>
      <w:r w:rsidR="000B0B10" w:rsidRPr="00E56A6E">
        <w:rPr>
          <w:lang w:val="es-ES"/>
        </w:rPr>
        <w:t xml:space="preserve">aciones </w:t>
      </w:r>
      <w:r w:rsidRPr="00E56A6E">
        <w:rPr>
          <w:lang w:val="es-ES"/>
        </w:rPr>
        <w:t>entre distintos tipos de registros y casos en los que los registros podrían clasificarse más adecuadamente como registros nacionales.</w:t>
      </w:r>
    </w:p>
    <w:p w14:paraId="700A5211" w14:textId="4B9B4953" w:rsidR="001405EF" w:rsidRPr="00E56A6E" w:rsidRDefault="00653A73" w:rsidP="00B139A7">
      <w:pPr>
        <w:pStyle w:val="CBDTableTitle"/>
        <w:rPr>
          <w:lang w:val="es-ES"/>
        </w:rPr>
      </w:pPr>
      <w:r w:rsidRPr="00E56A6E">
        <w:rPr>
          <w:b w:val="0"/>
          <w:bCs/>
          <w:lang w:val="es-ES"/>
        </w:rPr>
        <w:t>Cuadro</w:t>
      </w:r>
      <w:r w:rsidR="001405EF" w:rsidRPr="00E56A6E">
        <w:rPr>
          <w:b w:val="0"/>
          <w:bCs/>
          <w:lang w:val="es-ES"/>
        </w:rPr>
        <w:t xml:space="preserve"> 1</w:t>
      </w:r>
      <w:r w:rsidR="001B62EC" w:rsidRPr="00E56A6E">
        <w:rPr>
          <w:b w:val="0"/>
          <w:bCs/>
          <w:iCs/>
          <w:lang w:val="es-ES"/>
        </w:rPr>
        <w:t>6</w:t>
      </w:r>
      <w:r w:rsidR="001405EF" w:rsidRPr="00E56A6E">
        <w:rPr>
          <w:lang w:val="es-ES"/>
        </w:rPr>
        <w:t xml:space="preserve"> </w:t>
      </w:r>
      <w:r w:rsidR="00B139A7" w:rsidRPr="00E56A6E">
        <w:rPr>
          <w:lang w:val="es-ES"/>
        </w:rPr>
        <w:br/>
      </w:r>
      <w:r w:rsidR="00E766DA" w:rsidRPr="00E56A6E">
        <w:rPr>
          <w:lang w:val="es-ES"/>
        </w:rPr>
        <w:t xml:space="preserve">Indicadores para medir los avances en la publicación de registros de referencia en el </w:t>
      </w:r>
      <w:r w:rsidR="00B67C83" w:rsidRPr="00E56A6E">
        <w:rPr>
          <w:lang w:val="es-ES"/>
        </w:rPr>
        <w:t>Centro de Intercambio de Información sobre Acceso y Participación</w:t>
      </w:r>
      <w:r w:rsidR="00E766DA" w:rsidRPr="00E56A6E">
        <w:rPr>
          <w:lang w:val="es-ES"/>
        </w:rPr>
        <w:t xml:space="preserve"> en los Beneficios</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843"/>
        <w:gridCol w:w="1331"/>
      </w:tblGrid>
      <w:tr w:rsidR="00387201" w:rsidRPr="005A210D" w14:paraId="4FA813DD"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785D26B" w14:textId="3FFB4AAF" w:rsidR="00387201" w:rsidRPr="00E56A6E" w:rsidRDefault="00EE1C1B" w:rsidP="006B066D">
            <w:pPr>
              <w:suppressLineNumbers/>
              <w:suppressAutoHyphens/>
              <w:kinsoku w:val="0"/>
              <w:overflowPunct w:val="0"/>
              <w:autoSpaceDE w:val="0"/>
              <w:autoSpaceDN w:val="0"/>
              <w:adjustRightInd w:val="0"/>
              <w:snapToGrid w:val="0"/>
              <w:ind w:left="314" w:hanging="360"/>
              <w:jc w:val="left"/>
              <w:rPr>
                <w:rFonts w:eastAsia="Malgun Gothic"/>
                <w:i/>
                <w:iCs/>
                <w:kern w:val="22"/>
                <w:sz w:val="20"/>
                <w:szCs w:val="20"/>
                <w:lang w:val="es-ES"/>
              </w:rPr>
            </w:pPr>
            <w:r w:rsidRPr="00E56A6E">
              <w:rPr>
                <w:rFonts w:eastAsia="Malgun Gothic"/>
                <w:i/>
                <w:iCs/>
                <w:kern w:val="22"/>
                <w:sz w:val="20"/>
                <w:szCs w:val="20"/>
                <w:lang w:val="es-ES"/>
              </w:rPr>
              <w:t>Marco de indicadores</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3E6339A" w14:textId="7DFBBAE5" w:rsidR="00387201" w:rsidRPr="00E56A6E" w:rsidRDefault="007F3ECF" w:rsidP="006B066D">
            <w:pPr>
              <w:suppressLineNumbers/>
              <w:suppressAutoHyphens/>
              <w:kinsoku w:val="0"/>
              <w:overflowPunct w:val="0"/>
              <w:autoSpaceDE w:val="0"/>
              <w:autoSpaceDN w:val="0"/>
              <w:adjustRightInd w:val="0"/>
              <w:snapToGrid w:val="0"/>
              <w:jc w:val="right"/>
              <w:rPr>
                <w:rFonts w:eastAsia="Calibri"/>
                <w:i/>
                <w:iCs/>
                <w:kern w:val="22"/>
                <w:sz w:val="20"/>
                <w:szCs w:val="20"/>
                <w:lang w:val="es-ES"/>
              </w:rPr>
            </w:pPr>
            <w:r w:rsidRPr="00E56A6E">
              <w:rPr>
                <w:rFonts w:eastAsia="Calibri"/>
                <w:i/>
                <w:iCs/>
                <w:kern w:val="22"/>
                <w:sz w:val="20"/>
                <w:szCs w:val="20"/>
                <w:lang w:val="es-ES"/>
              </w:rPr>
              <w:t>Punto de referencia</w:t>
            </w:r>
            <w:r w:rsidR="00387201" w:rsidRPr="00E56A6E">
              <w:rPr>
                <w:rFonts w:eastAsia="Calibri"/>
                <w:i/>
                <w:iCs/>
                <w:kern w:val="22"/>
                <w:sz w:val="20"/>
                <w:szCs w:val="20"/>
                <w:lang w:val="es-ES"/>
              </w:rPr>
              <w:t xml:space="preserve"> </w:t>
            </w:r>
            <w:r w:rsidR="00300CAC" w:rsidRPr="00E56A6E">
              <w:rPr>
                <w:rFonts w:eastAsia="Calibri"/>
                <w:i/>
                <w:iCs/>
                <w:kern w:val="22"/>
                <w:sz w:val="20"/>
                <w:szCs w:val="20"/>
                <w:lang w:val="es-ES"/>
              </w:rPr>
              <w:br/>
            </w:r>
            <w:r w:rsidR="00387201" w:rsidRPr="00E56A6E">
              <w:rPr>
                <w:rFonts w:eastAsia="Calibri"/>
                <w:i/>
                <w:iCs/>
                <w:kern w:val="22"/>
                <w:sz w:val="20"/>
                <w:szCs w:val="20"/>
                <w:lang w:val="es-ES"/>
              </w:rPr>
              <w:t>(</w:t>
            </w:r>
            <w:r w:rsidRPr="00E56A6E">
              <w:rPr>
                <w:rFonts w:eastAsia="Calibri"/>
                <w:i/>
                <w:iCs/>
                <w:kern w:val="22"/>
                <w:sz w:val="20"/>
                <w:szCs w:val="20"/>
                <w:lang w:val="es-ES"/>
              </w:rPr>
              <w:t xml:space="preserve">al </w:t>
            </w:r>
            <w:r w:rsidR="00387201" w:rsidRPr="00E56A6E">
              <w:rPr>
                <w:rFonts w:eastAsia="Calibri"/>
                <w:i/>
                <w:iCs/>
                <w:kern w:val="22"/>
                <w:sz w:val="20"/>
                <w:szCs w:val="20"/>
                <w:lang w:val="es-ES"/>
              </w:rPr>
              <w:t xml:space="preserve">22 </w:t>
            </w:r>
            <w:r w:rsidRPr="00E56A6E">
              <w:rPr>
                <w:rFonts w:eastAsia="Calibri"/>
                <w:i/>
                <w:iCs/>
                <w:kern w:val="22"/>
                <w:sz w:val="20"/>
                <w:szCs w:val="20"/>
                <w:lang w:val="es-ES"/>
              </w:rPr>
              <w:t xml:space="preserve">de febrero de </w:t>
            </w:r>
            <w:r w:rsidR="00387201" w:rsidRPr="00E56A6E">
              <w:rPr>
                <w:rFonts w:eastAsia="Calibri"/>
                <w:i/>
                <w:iCs/>
                <w:kern w:val="22"/>
                <w:sz w:val="20"/>
                <w:szCs w:val="20"/>
                <w:lang w:val="es-ES"/>
              </w:rPr>
              <w:t>2018)</w:t>
            </w:r>
          </w:p>
        </w:tc>
        <w:tc>
          <w:tcPr>
            <w:tcW w:w="1331" w:type="dxa"/>
            <w:tcBorders>
              <w:top w:val="single" w:sz="4" w:space="0" w:color="auto"/>
              <w:left w:val="single" w:sz="4" w:space="0" w:color="auto"/>
              <w:bottom w:val="single" w:sz="4" w:space="0" w:color="auto"/>
              <w:right w:val="single" w:sz="4" w:space="0" w:color="auto"/>
            </w:tcBorders>
            <w:vAlign w:val="bottom"/>
          </w:tcPr>
          <w:p w14:paraId="615687E4" w14:textId="642E432E" w:rsidR="00387201" w:rsidRPr="00E56A6E" w:rsidRDefault="007F3ECF" w:rsidP="006B066D">
            <w:pPr>
              <w:suppressLineNumbers/>
              <w:suppressAutoHyphens/>
              <w:kinsoku w:val="0"/>
              <w:overflowPunct w:val="0"/>
              <w:autoSpaceDE w:val="0"/>
              <w:autoSpaceDN w:val="0"/>
              <w:adjustRightInd w:val="0"/>
              <w:snapToGrid w:val="0"/>
              <w:jc w:val="right"/>
              <w:rPr>
                <w:rFonts w:eastAsia="Calibri"/>
                <w:i/>
                <w:iCs/>
                <w:kern w:val="22"/>
                <w:sz w:val="20"/>
                <w:szCs w:val="20"/>
                <w:lang w:val="es-ES"/>
              </w:rPr>
            </w:pPr>
            <w:r w:rsidRPr="00E56A6E">
              <w:rPr>
                <w:rFonts w:eastAsia="Calibri"/>
                <w:i/>
                <w:iCs/>
                <w:kern w:val="22"/>
                <w:sz w:val="20"/>
                <w:szCs w:val="20"/>
                <w:lang w:val="es-ES"/>
              </w:rPr>
              <w:t xml:space="preserve">Avances al </w:t>
            </w:r>
            <w:r w:rsidR="00387201" w:rsidRPr="00E56A6E">
              <w:rPr>
                <w:rFonts w:eastAsia="Calibri"/>
                <w:i/>
                <w:iCs/>
                <w:kern w:val="22"/>
                <w:sz w:val="20"/>
                <w:szCs w:val="20"/>
                <w:lang w:val="es-ES"/>
              </w:rPr>
              <w:t xml:space="preserve">9 </w:t>
            </w:r>
            <w:r w:rsidRPr="00E56A6E">
              <w:rPr>
                <w:rFonts w:eastAsia="Calibri"/>
                <w:i/>
                <w:iCs/>
                <w:kern w:val="22"/>
                <w:sz w:val="20"/>
                <w:szCs w:val="20"/>
                <w:lang w:val="es-ES"/>
              </w:rPr>
              <w:t xml:space="preserve">de marzo de </w:t>
            </w:r>
            <w:r w:rsidR="00387201" w:rsidRPr="00E56A6E">
              <w:rPr>
                <w:rFonts w:eastAsia="Calibri"/>
                <w:i/>
                <w:iCs/>
                <w:kern w:val="22"/>
                <w:sz w:val="20"/>
                <w:szCs w:val="20"/>
                <w:lang w:val="es-ES"/>
              </w:rPr>
              <w:t>2026</w:t>
            </w:r>
          </w:p>
        </w:tc>
      </w:tr>
      <w:tr w:rsidR="00E766DA" w:rsidRPr="00E56A6E" w14:paraId="360650E6"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A00ED3" w14:textId="787143E7" w:rsidR="00E766DA" w:rsidRPr="00E56A6E" w:rsidRDefault="00E766DA" w:rsidP="00E766DA">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de leyes consuetudinarias, protocolos comunitarios y procedimientos de los pueblos indígenas y las comunidades locales </w:t>
            </w:r>
            <w:r w:rsidR="00C44327" w:rsidRPr="00E56A6E">
              <w:rPr>
                <w:sz w:val="20"/>
                <w:szCs w:val="20"/>
                <w:lang w:val="es-ES"/>
              </w:rPr>
              <w:t xml:space="preserve">facilitados </w:t>
            </w:r>
            <w:r w:rsidRPr="00E56A6E">
              <w:rPr>
                <w:sz w:val="20"/>
                <w:szCs w:val="20"/>
                <w:lang w:val="es-ES"/>
              </w:rPr>
              <w:t xml:space="preserve">como registros de referencia </w:t>
            </w:r>
            <w:r w:rsidR="00C44327" w:rsidRPr="00E56A6E">
              <w:rPr>
                <w:sz w:val="20"/>
                <w:szCs w:val="20"/>
                <w:lang w:val="es-ES"/>
              </w:rPr>
              <w:t>al</w:t>
            </w:r>
            <w:r w:rsidRPr="00E56A6E">
              <w:rPr>
                <w:sz w:val="20"/>
                <w:szCs w:val="20"/>
                <w:lang w:val="es-ES"/>
              </w:rPr>
              <w:t xml:space="preserve"> </w:t>
            </w:r>
            <w:r w:rsidR="00B67C83" w:rsidRPr="00E56A6E">
              <w:rPr>
                <w:sz w:val="20"/>
                <w:szCs w:val="20"/>
                <w:lang w:val="es-ES"/>
              </w:rPr>
              <w:t>Centro de Intercambio de Información sobre Acceso y Participación</w:t>
            </w:r>
            <w:r w:rsidRPr="00E56A6E">
              <w:rPr>
                <w:sz w:val="20"/>
                <w:szCs w:val="20"/>
                <w:lang w:val="es-ES"/>
              </w:rPr>
              <w:t xml:space="preserve"> en los Beneficios</w:t>
            </w:r>
            <w:r w:rsidR="00EC4955" w:rsidRPr="00E56A6E">
              <w:rPr>
                <w:rFonts w:eastAsia="Malgun Gothic"/>
                <w:i/>
                <w:iCs/>
                <w:kern w:val="22"/>
                <w:sz w:val="20"/>
                <w:szCs w:val="20"/>
                <w:vertAlign w:val="superscript"/>
                <w:lang w:val="es-ES"/>
              </w:rPr>
              <w:t>a</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7658DBE" w14:textId="77777777"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rFonts w:eastAsia="Malgun Gothic"/>
                <w:kern w:val="22"/>
                <w:sz w:val="20"/>
                <w:szCs w:val="20"/>
                <w:lang w:val="es-ES"/>
              </w:rPr>
              <w:t>3</w:t>
            </w:r>
          </w:p>
        </w:tc>
        <w:tc>
          <w:tcPr>
            <w:tcW w:w="1331" w:type="dxa"/>
            <w:tcBorders>
              <w:top w:val="single" w:sz="4" w:space="0" w:color="auto"/>
              <w:left w:val="single" w:sz="4" w:space="0" w:color="auto"/>
              <w:bottom w:val="single" w:sz="4" w:space="0" w:color="auto"/>
              <w:right w:val="single" w:sz="4" w:space="0" w:color="auto"/>
            </w:tcBorders>
            <w:vAlign w:val="bottom"/>
          </w:tcPr>
          <w:p w14:paraId="7DFB8ABC" w14:textId="2F487B02"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44 (92 %)</w:t>
            </w:r>
          </w:p>
        </w:tc>
      </w:tr>
      <w:tr w:rsidR="00E766DA" w:rsidRPr="00E56A6E" w14:paraId="2C772136"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5A521C" w14:textId="2E9F8DE9" w:rsidR="00E766DA" w:rsidRPr="00E56A6E" w:rsidRDefault="00E766DA" w:rsidP="00E766DA">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y porcentaje de cláusulas contractuales </w:t>
            </w:r>
            <w:proofErr w:type="gramStart"/>
            <w:r w:rsidRPr="00E56A6E">
              <w:rPr>
                <w:sz w:val="20"/>
                <w:szCs w:val="20"/>
                <w:lang w:val="es-ES"/>
              </w:rPr>
              <w:t xml:space="preserve">modelo </w:t>
            </w:r>
            <w:r w:rsidR="008414C9" w:rsidRPr="00E56A6E">
              <w:rPr>
                <w:sz w:val="20"/>
                <w:szCs w:val="20"/>
                <w:lang w:val="es-ES"/>
              </w:rPr>
              <w:t>facilitados</w:t>
            </w:r>
            <w:proofErr w:type="gramEnd"/>
            <w:r w:rsidR="008414C9" w:rsidRPr="00E56A6E">
              <w:rPr>
                <w:sz w:val="20"/>
                <w:szCs w:val="20"/>
                <w:lang w:val="es-ES"/>
              </w:rPr>
              <w:t xml:space="preserve"> </w:t>
            </w:r>
            <w:r w:rsidRPr="00E56A6E">
              <w:rPr>
                <w:sz w:val="20"/>
                <w:szCs w:val="20"/>
                <w:lang w:val="es-ES"/>
              </w:rPr>
              <w:t xml:space="preserve">como registros de referencia </w:t>
            </w:r>
            <w:r w:rsidR="008414C9" w:rsidRPr="00E56A6E">
              <w:rPr>
                <w:sz w:val="20"/>
                <w:szCs w:val="20"/>
                <w:lang w:val="es-ES"/>
              </w:rPr>
              <w:t>a</w:t>
            </w:r>
            <w:r w:rsidRPr="00E56A6E">
              <w:rPr>
                <w:sz w:val="20"/>
                <w:szCs w:val="20"/>
                <w:lang w:val="es-ES"/>
              </w:rPr>
              <w:t xml:space="preserve">l </w:t>
            </w:r>
            <w:r w:rsidR="00B67C83" w:rsidRPr="00E56A6E">
              <w:rPr>
                <w:sz w:val="20"/>
                <w:szCs w:val="20"/>
                <w:lang w:val="es-ES"/>
              </w:rPr>
              <w:t>Centro de Intercambio de Información sobre Acceso y Participación</w:t>
            </w:r>
            <w:r w:rsidRPr="00E56A6E">
              <w:rPr>
                <w:sz w:val="20"/>
                <w:szCs w:val="20"/>
                <w:lang w:val="es-ES"/>
              </w:rPr>
              <w:t xml:space="preserve"> en los Beneficios </w:t>
            </w:r>
            <w:r w:rsidRPr="00E56A6E">
              <w:rPr>
                <w:i/>
                <w:iCs/>
                <w:sz w:val="20"/>
                <w:szCs w:val="20"/>
                <w:lang w:val="es-ES"/>
              </w:rPr>
              <w:t>(cambio de metodología</w:t>
            </w:r>
            <w:r w:rsidR="008414C9" w:rsidRPr="00E56A6E">
              <w:rPr>
                <w:i/>
                <w:iCs/>
                <w:sz w:val="20"/>
                <w:szCs w:val="20"/>
                <w:lang w:val="es-ES"/>
              </w:rPr>
              <w:t>)</w:t>
            </w:r>
            <w:r w:rsidR="00EC4955" w:rsidRPr="00E56A6E">
              <w:rPr>
                <w:i/>
                <w:iCs/>
                <w:vertAlign w:val="superscript"/>
                <w:lang w:val="es-ES"/>
              </w:rPr>
              <w:t xml:space="preserve"> b</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30CCBBF" w14:textId="46D84BCB" w:rsidR="00E766DA" w:rsidRPr="00E56A6E" w:rsidRDefault="00E766DA" w:rsidP="00E766DA">
            <w:pPr>
              <w:suppressLineNumbers/>
              <w:suppressAutoHyphens/>
              <w:kinsoku w:val="0"/>
              <w:overflowPunct w:val="0"/>
              <w:autoSpaceDE w:val="0"/>
              <w:autoSpaceDN w:val="0"/>
              <w:adjustRightInd w:val="0"/>
              <w:snapToGrid w:val="0"/>
              <w:jc w:val="right"/>
              <w:rPr>
                <w:rFonts w:eastAsia="Malgun Gothic"/>
                <w:kern w:val="22"/>
                <w:sz w:val="20"/>
                <w:szCs w:val="20"/>
                <w:lang w:val="es-ES"/>
              </w:rPr>
            </w:pPr>
            <w:r w:rsidRPr="00E56A6E">
              <w:rPr>
                <w:rFonts w:eastAsia="Malgun Gothic"/>
                <w:kern w:val="22"/>
                <w:sz w:val="20"/>
                <w:szCs w:val="20"/>
                <w:lang w:val="es-ES"/>
              </w:rPr>
              <w:t>17 (59 %)</w:t>
            </w:r>
          </w:p>
        </w:tc>
        <w:tc>
          <w:tcPr>
            <w:tcW w:w="1331" w:type="dxa"/>
            <w:tcBorders>
              <w:top w:val="single" w:sz="4" w:space="0" w:color="auto"/>
              <w:left w:val="single" w:sz="4" w:space="0" w:color="auto"/>
              <w:bottom w:val="single" w:sz="4" w:space="0" w:color="auto"/>
              <w:right w:val="single" w:sz="4" w:space="0" w:color="auto"/>
            </w:tcBorders>
            <w:vAlign w:val="bottom"/>
          </w:tcPr>
          <w:p w14:paraId="5CF1347A" w14:textId="2D421E06"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12 (100 %)</w:t>
            </w:r>
          </w:p>
        </w:tc>
      </w:tr>
      <w:tr w:rsidR="00E766DA" w:rsidRPr="00E56A6E" w14:paraId="5B70491E"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41D5E1" w14:textId="309345A7" w:rsidR="00E766DA" w:rsidRPr="00E56A6E" w:rsidRDefault="00E766DA" w:rsidP="00E766DA">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y porcentaje de códigos de conducta, directrices, prácticas </w:t>
            </w:r>
            <w:r w:rsidR="00965FF1" w:rsidRPr="00E56A6E">
              <w:rPr>
                <w:sz w:val="20"/>
                <w:szCs w:val="20"/>
                <w:lang w:val="es-ES"/>
              </w:rPr>
              <w:t xml:space="preserve">óptimas </w:t>
            </w:r>
            <w:r w:rsidRPr="00E56A6E">
              <w:rPr>
                <w:sz w:val="20"/>
                <w:szCs w:val="20"/>
                <w:lang w:val="es-ES"/>
              </w:rPr>
              <w:t xml:space="preserve">y </w:t>
            </w:r>
            <w:r w:rsidR="00965FF1" w:rsidRPr="00E56A6E">
              <w:rPr>
                <w:sz w:val="20"/>
                <w:szCs w:val="20"/>
                <w:lang w:val="es-ES"/>
              </w:rPr>
              <w:t xml:space="preserve">estándares </w:t>
            </w:r>
            <w:r w:rsidR="00983078" w:rsidRPr="00E56A6E">
              <w:rPr>
                <w:sz w:val="20"/>
                <w:szCs w:val="20"/>
                <w:lang w:val="es-ES"/>
              </w:rPr>
              <w:t xml:space="preserve">facilitados </w:t>
            </w:r>
            <w:r w:rsidRPr="00E56A6E">
              <w:rPr>
                <w:sz w:val="20"/>
                <w:szCs w:val="20"/>
                <w:lang w:val="es-ES"/>
              </w:rPr>
              <w:t xml:space="preserve">como registros de referencia </w:t>
            </w:r>
            <w:r w:rsidR="00983078" w:rsidRPr="00E56A6E">
              <w:rPr>
                <w:sz w:val="20"/>
                <w:szCs w:val="20"/>
                <w:lang w:val="es-ES"/>
              </w:rPr>
              <w:t>a</w:t>
            </w:r>
            <w:r w:rsidRPr="00E56A6E">
              <w:rPr>
                <w:sz w:val="20"/>
                <w:szCs w:val="20"/>
                <w:lang w:val="es-ES"/>
              </w:rPr>
              <w:t xml:space="preserve">l </w:t>
            </w:r>
            <w:r w:rsidR="00B67C83" w:rsidRPr="00E56A6E">
              <w:rPr>
                <w:sz w:val="20"/>
                <w:szCs w:val="20"/>
                <w:lang w:val="es-ES"/>
              </w:rPr>
              <w:t>Centro de Intercambio de Información sobre Acceso y Participación</w:t>
            </w:r>
            <w:r w:rsidRPr="00E56A6E">
              <w:rPr>
                <w:sz w:val="20"/>
                <w:szCs w:val="20"/>
                <w:lang w:val="es-ES"/>
              </w:rPr>
              <w:t xml:space="preserve"> en los Beneficios </w:t>
            </w:r>
            <w:r w:rsidRPr="00E56A6E">
              <w:rPr>
                <w:i/>
                <w:sz w:val="20"/>
                <w:szCs w:val="20"/>
                <w:lang w:val="es-ES"/>
              </w:rPr>
              <w:t>(cambio de metodología</w:t>
            </w:r>
            <w:r w:rsidR="00EC4955" w:rsidRPr="00E56A6E">
              <w:rPr>
                <w:i/>
                <w:sz w:val="20"/>
                <w:szCs w:val="20"/>
                <w:lang w:val="es-ES"/>
              </w:rPr>
              <w:t>)</w:t>
            </w:r>
            <w:r w:rsidR="00EC4955" w:rsidRPr="00E56A6E">
              <w:rPr>
                <w:rFonts w:eastAsia="Malgun Gothic"/>
                <w:i/>
                <w:iCs/>
                <w:kern w:val="22"/>
                <w:sz w:val="20"/>
                <w:szCs w:val="20"/>
                <w:vertAlign w:val="superscript"/>
                <w:lang w:val="es-ES"/>
              </w:rPr>
              <w:t xml:space="preserve"> c</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5B6FA99" w14:textId="327F77CD"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rFonts w:eastAsia="Malgun Gothic"/>
                <w:kern w:val="22"/>
                <w:sz w:val="20"/>
                <w:szCs w:val="20"/>
                <w:lang w:val="es-ES"/>
              </w:rPr>
              <w:t>25 (75 %)</w:t>
            </w:r>
          </w:p>
        </w:tc>
        <w:tc>
          <w:tcPr>
            <w:tcW w:w="1331" w:type="dxa"/>
            <w:tcBorders>
              <w:top w:val="single" w:sz="4" w:space="0" w:color="auto"/>
              <w:left w:val="single" w:sz="4" w:space="0" w:color="auto"/>
              <w:bottom w:val="single" w:sz="4" w:space="0" w:color="auto"/>
              <w:right w:val="single" w:sz="4" w:space="0" w:color="auto"/>
            </w:tcBorders>
            <w:vAlign w:val="bottom"/>
          </w:tcPr>
          <w:p w14:paraId="57B87BC0" w14:textId="7C967B93"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29 (100 %)</w:t>
            </w:r>
          </w:p>
        </w:tc>
      </w:tr>
      <w:tr w:rsidR="00E766DA" w:rsidRPr="00E56A6E" w14:paraId="5925CF0A"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B1F1F7" w14:textId="6AFF6F70" w:rsidR="00E766DA" w:rsidRPr="00E56A6E" w:rsidRDefault="00E766DA" w:rsidP="00E766DA">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lastRenderedPageBreak/>
              <w:t xml:space="preserve">Número de iniciativas de creación de capacidad y desarrollo </w:t>
            </w:r>
            <w:r w:rsidR="00983078" w:rsidRPr="00E56A6E">
              <w:rPr>
                <w:sz w:val="20"/>
                <w:szCs w:val="20"/>
                <w:lang w:val="es-ES"/>
              </w:rPr>
              <w:t xml:space="preserve">facilitados </w:t>
            </w:r>
            <w:r w:rsidRPr="00E56A6E">
              <w:rPr>
                <w:sz w:val="20"/>
                <w:szCs w:val="20"/>
                <w:lang w:val="es-ES"/>
              </w:rPr>
              <w:t xml:space="preserve">como registros de referencia </w:t>
            </w:r>
            <w:r w:rsidR="00983078" w:rsidRPr="00E56A6E">
              <w:rPr>
                <w:sz w:val="20"/>
                <w:szCs w:val="20"/>
                <w:lang w:val="es-ES"/>
              </w:rPr>
              <w:t>a</w:t>
            </w:r>
            <w:r w:rsidRPr="00E56A6E">
              <w:rPr>
                <w:sz w:val="20"/>
                <w:szCs w:val="20"/>
                <w:lang w:val="es-ES"/>
              </w:rPr>
              <w:t>l Centro de Intercambio de Información sobre Acceso y Participación en los Beneficios</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E9C8A6A" w14:textId="77777777"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57</w:t>
            </w:r>
          </w:p>
        </w:tc>
        <w:tc>
          <w:tcPr>
            <w:tcW w:w="1331" w:type="dxa"/>
            <w:tcBorders>
              <w:top w:val="single" w:sz="4" w:space="0" w:color="auto"/>
              <w:left w:val="single" w:sz="4" w:space="0" w:color="auto"/>
              <w:bottom w:val="single" w:sz="4" w:space="0" w:color="auto"/>
              <w:right w:val="single" w:sz="4" w:space="0" w:color="auto"/>
            </w:tcBorders>
            <w:vAlign w:val="center"/>
          </w:tcPr>
          <w:p w14:paraId="4676DDBF" w14:textId="77777777"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104</w:t>
            </w:r>
          </w:p>
        </w:tc>
      </w:tr>
      <w:tr w:rsidR="00E766DA" w:rsidRPr="00E56A6E" w14:paraId="5AFD1225"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8486A1" w14:textId="216157B6" w:rsidR="00E766DA" w:rsidRPr="00E56A6E" w:rsidRDefault="00E766DA" w:rsidP="00E766DA">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de herramientas de creación de capacidad y sensibilización (recursos de la biblioteca virtual) y de recursos </w:t>
            </w:r>
            <w:r w:rsidR="00983078" w:rsidRPr="00E56A6E">
              <w:rPr>
                <w:sz w:val="20"/>
                <w:szCs w:val="20"/>
                <w:lang w:val="es-ES"/>
              </w:rPr>
              <w:t xml:space="preserve">facilitados </w:t>
            </w:r>
            <w:r w:rsidRPr="00E56A6E">
              <w:rPr>
                <w:sz w:val="20"/>
                <w:szCs w:val="20"/>
                <w:lang w:val="es-ES"/>
              </w:rPr>
              <w:t xml:space="preserve">como registros de referencia </w:t>
            </w:r>
            <w:r w:rsidR="00983078" w:rsidRPr="00E56A6E">
              <w:rPr>
                <w:sz w:val="20"/>
                <w:szCs w:val="20"/>
                <w:lang w:val="es-ES"/>
              </w:rPr>
              <w:t>al</w:t>
            </w:r>
            <w:r w:rsidRPr="00E56A6E">
              <w:rPr>
                <w:sz w:val="20"/>
                <w:szCs w:val="20"/>
                <w:lang w:val="es-ES"/>
              </w:rPr>
              <w:t xml:space="preserve"> Centro de Intercambio de Información sobre Acceso y Participación en los Beneficios</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2D99B7" w14:textId="77777777"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34</w:t>
            </w:r>
          </w:p>
        </w:tc>
        <w:tc>
          <w:tcPr>
            <w:tcW w:w="1331" w:type="dxa"/>
            <w:tcBorders>
              <w:top w:val="single" w:sz="4" w:space="0" w:color="auto"/>
              <w:left w:val="single" w:sz="4" w:space="0" w:color="auto"/>
              <w:bottom w:val="single" w:sz="4" w:space="0" w:color="auto"/>
              <w:right w:val="single" w:sz="4" w:space="0" w:color="auto"/>
            </w:tcBorders>
            <w:vAlign w:val="center"/>
          </w:tcPr>
          <w:p w14:paraId="156EE969" w14:textId="77777777"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367</w:t>
            </w:r>
          </w:p>
        </w:tc>
      </w:tr>
      <w:tr w:rsidR="00E766DA" w:rsidRPr="00E56A6E" w14:paraId="19BF3F49"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9BA69" w14:textId="320E10CD" w:rsidR="00E766DA" w:rsidRPr="00E56A6E" w:rsidRDefault="00E766DA" w:rsidP="00E766DA">
            <w:pPr>
              <w:suppressLineNumbers/>
              <w:suppressAutoHyphens/>
              <w:kinsoku w:val="0"/>
              <w:overflowPunct w:val="0"/>
              <w:autoSpaceDE w:val="0"/>
              <w:autoSpaceDN w:val="0"/>
              <w:adjustRightInd w:val="0"/>
              <w:snapToGrid w:val="0"/>
              <w:jc w:val="left"/>
              <w:rPr>
                <w:rFonts w:eastAsia="Malgun Gothic"/>
                <w:kern w:val="22"/>
                <w:sz w:val="20"/>
                <w:szCs w:val="20"/>
                <w:lang w:val="es-ES"/>
              </w:rPr>
            </w:pPr>
            <w:r w:rsidRPr="00E56A6E">
              <w:rPr>
                <w:sz w:val="20"/>
                <w:szCs w:val="20"/>
                <w:lang w:val="es-ES"/>
              </w:rPr>
              <w:t xml:space="preserve">Número de visitantes del Centro de Intercambio de Información sobre Acceso y Participación en los Beneficios por </w:t>
            </w:r>
            <w:proofErr w:type="spellStart"/>
            <w:r w:rsidRPr="00E56A6E">
              <w:rPr>
                <w:sz w:val="20"/>
                <w:szCs w:val="20"/>
                <w:lang w:val="es-ES"/>
              </w:rPr>
              <w:t>año</w:t>
            </w:r>
            <w:r w:rsidR="00EC4955" w:rsidRPr="00E56A6E">
              <w:rPr>
                <w:rFonts w:eastAsia="Malgun Gothic"/>
                <w:i/>
                <w:iCs/>
                <w:kern w:val="22"/>
                <w:sz w:val="20"/>
                <w:szCs w:val="20"/>
                <w:vertAlign w:val="superscript"/>
                <w:lang w:val="es-ES"/>
              </w:rPr>
              <w:t>d</w:t>
            </w:r>
            <w:proofErr w:type="spellEnd"/>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3BA8521" w14:textId="64611037"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18</w:t>
            </w:r>
            <w:r w:rsidR="00983078" w:rsidRPr="00E56A6E">
              <w:rPr>
                <w:kern w:val="22"/>
                <w:sz w:val="20"/>
                <w:szCs w:val="20"/>
                <w:lang w:val="es-ES"/>
              </w:rPr>
              <w:t>.</w:t>
            </w:r>
            <w:r w:rsidRPr="00E56A6E">
              <w:rPr>
                <w:kern w:val="22"/>
                <w:sz w:val="20"/>
                <w:szCs w:val="20"/>
                <w:lang w:val="es-ES"/>
              </w:rPr>
              <w:t xml:space="preserve">709 </w:t>
            </w:r>
          </w:p>
        </w:tc>
        <w:tc>
          <w:tcPr>
            <w:tcW w:w="1331" w:type="dxa"/>
            <w:tcBorders>
              <w:top w:val="single" w:sz="4" w:space="0" w:color="auto"/>
              <w:left w:val="single" w:sz="4" w:space="0" w:color="auto"/>
              <w:bottom w:val="single" w:sz="4" w:space="0" w:color="auto"/>
              <w:right w:val="single" w:sz="4" w:space="0" w:color="auto"/>
            </w:tcBorders>
            <w:vAlign w:val="center"/>
          </w:tcPr>
          <w:p w14:paraId="678FFBE4" w14:textId="7EEB9670" w:rsidR="00E766DA" w:rsidRPr="00E56A6E" w:rsidRDefault="00E766DA" w:rsidP="00E766DA">
            <w:pPr>
              <w:suppressLineNumbers/>
              <w:suppressAutoHyphens/>
              <w:kinsoku w:val="0"/>
              <w:overflowPunct w:val="0"/>
              <w:autoSpaceDE w:val="0"/>
              <w:autoSpaceDN w:val="0"/>
              <w:adjustRightInd w:val="0"/>
              <w:snapToGrid w:val="0"/>
              <w:jc w:val="right"/>
              <w:rPr>
                <w:kern w:val="22"/>
                <w:sz w:val="20"/>
                <w:szCs w:val="20"/>
                <w:lang w:val="es-ES"/>
              </w:rPr>
            </w:pPr>
            <w:r w:rsidRPr="00E56A6E">
              <w:rPr>
                <w:kern w:val="22"/>
                <w:sz w:val="20"/>
                <w:szCs w:val="20"/>
                <w:lang w:val="es-ES"/>
              </w:rPr>
              <w:t>85</w:t>
            </w:r>
            <w:r w:rsidR="00983078" w:rsidRPr="00E56A6E">
              <w:rPr>
                <w:kern w:val="22"/>
                <w:sz w:val="20"/>
                <w:szCs w:val="20"/>
                <w:lang w:val="es-ES"/>
              </w:rPr>
              <w:t>.</w:t>
            </w:r>
            <w:r w:rsidRPr="00E56A6E">
              <w:rPr>
                <w:kern w:val="22"/>
                <w:sz w:val="20"/>
                <w:szCs w:val="20"/>
                <w:lang w:val="es-ES"/>
              </w:rPr>
              <w:t xml:space="preserve">000 </w:t>
            </w:r>
          </w:p>
        </w:tc>
      </w:tr>
    </w:tbl>
    <w:p w14:paraId="1EC462B7" w14:textId="24F1A22F" w:rsidR="008F4C00" w:rsidRPr="00E56A6E" w:rsidRDefault="008F4C00" w:rsidP="006B066D">
      <w:pPr>
        <w:pStyle w:val="CBDNormal"/>
        <w:ind w:left="993" w:hanging="284"/>
        <w:rPr>
          <w:sz w:val="18"/>
          <w:szCs w:val="18"/>
          <w:lang w:val="es-ES"/>
        </w:rPr>
      </w:pPr>
      <w:proofErr w:type="spellStart"/>
      <w:r w:rsidRPr="00E56A6E">
        <w:rPr>
          <w:i/>
          <w:iCs/>
          <w:sz w:val="18"/>
          <w:szCs w:val="18"/>
          <w:vertAlign w:val="superscript"/>
          <w:lang w:val="es-ES"/>
        </w:rPr>
        <w:t>a</w:t>
      </w:r>
      <w:proofErr w:type="spellEnd"/>
      <w:r w:rsidRPr="00E56A6E">
        <w:rPr>
          <w:b/>
          <w:bCs/>
          <w:sz w:val="18"/>
          <w:szCs w:val="18"/>
          <w:lang w:val="es-ES"/>
        </w:rPr>
        <w:tab/>
      </w:r>
      <w:r w:rsidR="002B58F0" w:rsidRPr="00E56A6E">
        <w:rPr>
          <w:bCs/>
          <w:sz w:val="18"/>
          <w:szCs w:val="18"/>
          <w:lang w:val="es-ES"/>
        </w:rPr>
        <w:t>Se ha modificado el indicador para aclarar que tiene en cuenta la información presentada como registros de referencia en la categoría de registros “protocolos y procedimientos comunitarios y derecho consuetudinario”.</w:t>
      </w:r>
    </w:p>
    <w:p w14:paraId="095EE540" w14:textId="1790A8F0" w:rsidR="008F4C00" w:rsidRPr="00E56A6E" w:rsidRDefault="008F4C00" w:rsidP="006B066D">
      <w:pPr>
        <w:pStyle w:val="CBDNormal"/>
        <w:ind w:left="993" w:hanging="284"/>
        <w:rPr>
          <w:bCs/>
          <w:sz w:val="18"/>
          <w:szCs w:val="18"/>
          <w:lang w:val="es-ES"/>
        </w:rPr>
      </w:pPr>
      <w:r w:rsidRPr="00E56A6E">
        <w:rPr>
          <w:bCs/>
          <w:i/>
          <w:iCs/>
          <w:sz w:val="18"/>
          <w:szCs w:val="18"/>
          <w:vertAlign w:val="superscript"/>
          <w:lang w:val="es-ES"/>
        </w:rPr>
        <w:t>b</w:t>
      </w:r>
      <w:r w:rsidRPr="00E56A6E">
        <w:rPr>
          <w:bCs/>
          <w:sz w:val="18"/>
          <w:szCs w:val="18"/>
          <w:lang w:val="es-ES"/>
        </w:rPr>
        <w:tab/>
      </w:r>
      <w:r w:rsidR="002B58F0" w:rsidRPr="00E56A6E">
        <w:rPr>
          <w:bCs/>
          <w:sz w:val="18"/>
          <w:szCs w:val="18"/>
          <w:lang w:val="es-ES"/>
        </w:rPr>
        <w:t>Se ha modificado el indicador para aclarar que mide únicamente las cláusulas contractuales modelo presentadas como registros de referencia y no incluye aquellas que las Partes han presentado como registros nacionales y que forman parte del marco nacional de acceso y participación en los beneficios (</w:t>
      </w:r>
      <w:r w:rsidR="00B71E87" w:rsidRPr="00E56A6E">
        <w:rPr>
          <w:bCs/>
          <w:sz w:val="18"/>
          <w:szCs w:val="18"/>
          <w:lang w:val="es-ES"/>
        </w:rPr>
        <w:t>APB</w:t>
      </w:r>
      <w:r w:rsidR="002B58F0" w:rsidRPr="00E56A6E">
        <w:rPr>
          <w:bCs/>
          <w:sz w:val="18"/>
          <w:szCs w:val="18"/>
          <w:lang w:val="es-ES"/>
        </w:rPr>
        <w:t>).</w:t>
      </w:r>
    </w:p>
    <w:p w14:paraId="0B4D412A" w14:textId="63087ECE" w:rsidR="008F4C00" w:rsidRPr="00E56A6E" w:rsidRDefault="008F4C00" w:rsidP="006B066D">
      <w:pPr>
        <w:pStyle w:val="CBDNormal"/>
        <w:ind w:left="993" w:hanging="284"/>
        <w:rPr>
          <w:bCs/>
          <w:sz w:val="18"/>
          <w:szCs w:val="18"/>
          <w:lang w:val="es-ES"/>
        </w:rPr>
      </w:pPr>
      <w:r w:rsidRPr="00E56A6E">
        <w:rPr>
          <w:bCs/>
          <w:i/>
          <w:iCs/>
          <w:sz w:val="18"/>
          <w:szCs w:val="18"/>
          <w:vertAlign w:val="superscript"/>
          <w:lang w:val="es-ES"/>
        </w:rPr>
        <w:t>c</w:t>
      </w:r>
      <w:r w:rsidRPr="00E56A6E">
        <w:rPr>
          <w:bCs/>
          <w:sz w:val="18"/>
          <w:szCs w:val="18"/>
          <w:lang w:val="es-ES"/>
        </w:rPr>
        <w:tab/>
      </w:r>
      <w:r w:rsidR="002B58F0" w:rsidRPr="00E56A6E">
        <w:rPr>
          <w:bCs/>
          <w:sz w:val="18"/>
          <w:szCs w:val="18"/>
          <w:lang w:val="es-ES"/>
        </w:rPr>
        <w:t xml:space="preserve">El indicador se ha modificado para aclarar que mide únicamente los códigos de conducta, las directrices, las prácticas </w:t>
      </w:r>
      <w:r w:rsidR="00965FF1" w:rsidRPr="00E56A6E">
        <w:rPr>
          <w:bCs/>
          <w:sz w:val="18"/>
          <w:szCs w:val="18"/>
          <w:lang w:val="es-ES"/>
        </w:rPr>
        <w:t>óptimas y los estándares</w:t>
      </w:r>
      <w:r w:rsidR="002B58F0" w:rsidRPr="00E56A6E">
        <w:rPr>
          <w:bCs/>
          <w:sz w:val="18"/>
          <w:szCs w:val="18"/>
          <w:lang w:val="es-ES"/>
        </w:rPr>
        <w:t xml:space="preserve"> facilitad</w:t>
      </w:r>
      <w:r w:rsidR="00965FF1" w:rsidRPr="00E56A6E">
        <w:rPr>
          <w:bCs/>
          <w:sz w:val="18"/>
          <w:szCs w:val="18"/>
          <w:lang w:val="es-ES"/>
        </w:rPr>
        <w:t xml:space="preserve">os </w:t>
      </w:r>
      <w:r w:rsidR="002B58F0" w:rsidRPr="00E56A6E">
        <w:rPr>
          <w:bCs/>
          <w:sz w:val="18"/>
          <w:szCs w:val="18"/>
          <w:lang w:val="es-ES"/>
        </w:rPr>
        <w:t>como registros de referencia y no incluye las directrices u otros documentos presentados por las Partes como registros nacionales y que forman parte del marco nacional de acceso y participación en los beneficios.</w:t>
      </w:r>
    </w:p>
    <w:p w14:paraId="1EFD3E08" w14:textId="3636347C" w:rsidR="002B58F0" w:rsidRPr="00E56A6E" w:rsidRDefault="00B714A0" w:rsidP="002B58F0">
      <w:pPr>
        <w:pStyle w:val="CBDNormal"/>
        <w:ind w:left="993" w:hanging="284"/>
        <w:rPr>
          <w:bCs/>
          <w:sz w:val="18"/>
          <w:szCs w:val="18"/>
          <w:lang w:val="es-ES"/>
        </w:rPr>
      </w:pPr>
      <w:r w:rsidRPr="00E56A6E">
        <w:rPr>
          <w:bCs/>
          <w:i/>
          <w:iCs/>
          <w:sz w:val="18"/>
          <w:szCs w:val="18"/>
          <w:vertAlign w:val="superscript"/>
          <w:lang w:val="es-ES"/>
        </w:rPr>
        <w:t>d</w:t>
      </w:r>
      <w:r w:rsidRPr="00E56A6E">
        <w:rPr>
          <w:bCs/>
          <w:sz w:val="18"/>
          <w:szCs w:val="18"/>
          <w:lang w:val="es-ES"/>
        </w:rPr>
        <w:tab/>
      </w:r>
      <w:r w:rsidR="00983078" w:rsidRPr="00E56A6E">
        <w:rPr>
          <w:bCs/>
          <w:sz w:val="18"/>
          <w:szCs w:val="18"/>
          <w:lang w:val="es-ES"/>
        </w:rPr>
        <w:t xml:space="preserve">Este </w:t>
      </w:r>
      <w:r w:rsidR="002B58F0" w:rsidRPr="00E56A6E">
        <w:rPr>
          <w:bCs/>
          <w:sz w:val="18"/>
          <w:szCs w:val="18"/>
          <w:lang w:val="es-ES"/>
        </w:rPr>
        <w:t>indicador se calcula sobre la base del total de visitas durante el año anterior a la fecha de referencia (es decir, del 9 de marzo de 2025 al 9 de marzo de 2026, para este período de presentación de informes). Se proporcionan datos aproximados para este indicador.</w:t>
      </w:r>
    </w:p>
    <w:p w14:paraId="71CC3D9E" w14:textId="2D2571F9" w:rsidR="002A146A" w:rsidRPr="00E56A6E" w:rsidRDefault="004B0132" w:rsidP="004B0132">
      <w:pPr>
        <w:pStyle w:val="CBDH4"/>
        <w:rPr>
          <w:lang w:val="es-ES"/>
        </w:rPr>
      </w:pPr>
      <w:r w:rsidRPr="00E56A6E">
        <w:rPr>
          <w:lang w:val="es-ES"/>
        </w:rPr>
        <w:t>b)</w:t>
      </w:r>
      <w:r w:rsidRPr="00E56A6E">
        <w:rPr>
          <w:lang w:val="es-ES"/>
        </w:rPr>
        <w:tab/>
      </w:r>
      <w:r w:rsidR="009F6791" w:rsidRPr="00E56A6E">
        <w:rPr>
          <w:lang w:val="es-ES"/>
        </w:rPr>
        <w:t>Dificultades y causas subyacentes</w:t>
      </w:r>
      <w:r w:rsidR="0033335C" w:rsidRPr="00E56A6E">
        <w:rPr>
          <w:lang w:val="es-ES"/>
        </w:rPr>
        <w:t xml:space="preserve"> que afectan a la eficacia del </w:t>
      </w:r>
      <w:r w:rsidR="00467E2F" w:rsidRPr="00E56A6E">
        <w:rPr>
          <w:lang w:val="es-ES"/>
        </w:rPr>
        <w:t>Centro de Intercambio de Información sobre Acceso y Participación en los Beneficios</w:t>
      </w:r>
      <w:r w:rsidR="0033335C" w:rsidRPr="00E56A6E">
        <w:rPr>
          <w:lang w:val="es-ES"/>
        </w:rPr>
        <w:t xml:space="preserve"> a la hora de apoyar </w:t>
      </w:r>
      <w:r w:rsidR="00C45673" w:rsidRPr="00E56A6E">
        <w:rPr>
          <w:lang w:val="es-ES"/>
        </w:rPr>
        <w:t xml:space="preserve">la creación de </w:t>
      </w:r>
      <w:r w:rsidR="0033335C" w:rsidRPr="00E56A6E">
        <w:rPr>
          <w:lang w:val="es-ES"/>
        </w:rPr>
        <w:t>capacidad para la aplicación del Protocolo</w:t>
      </w:r>
    </w:p>
    <w:p w14:paraId="62C12ED0" w14:textId="11D2D001" w:rsidR="0053282D" w:rsidRPr="00E56A6E" w:rsidRDefault="0053282D" w:rsidP="0053282D">
      <w:pPr>
        <w:pStyle w:val="CBDNormalNumber"/>
        <w:rPr>
          <w:lang w:val="es-ES"/>
        </w:rPr>
      </w:pPr>
      <w:r w:rsidRPr="00E56A6E">
        <w:rPr>
          <w:lang w:val="es-ES"/>
        </w:rPr>
        <w:t xml:space="preserve">El </w:t>
      </w:r>
      <w:r w:rsidR="00467E2F" w:rsidRPr="00E56A6E">
        <w:rPr>
          <w:lang w:val="es-ES"/>
        </w:rPr>
        <w:t>Centro de Intercambio de Información sobre Acceso y Participación en los Beneficios</w:t>
      </w:r>
      <w:r w:rsidRPr="00E56A6E">
        <w:rPr>
          <w:lang w:val="es-ES"/>
        </w:rPr>
        <w:t xml:space="preserve"> desempeña un papel fundamental como plataforma central para el intercambio de información en el marco del Protocolo y, como tal, tiene por objeto promover y apoyar </w:t>
      </w:r>
      <w:r w:rsidR="00FF429D" w:rsidRPr="00E56A6E">
        <w:rPr>
          <w:lang w:val="es-ES"/>
        </w:rPr>
        <w:t xml:space="preserve">la creación de </w:t>
      </w:r>
      <w:r w:rsidRPr="00E56A6E">
        <w:rPr>
          <w:lang w:val="es-ES"/>
        </w:rPr>
        <w:t>capacidad para su aplicación</w:t>
      </w:r>
      <w:r w:rsidR="00FF19A7" w:rsidRPr="00E56A6E">
        <w:rPr>
          <w:lang w:val="es-ES"/>
        </w:rPr>
        <w:t>.</w:t>
      </w:r>
    </w:p>
    <w:p w14:paraId="282DBC4D" w14:textId="059D097C" w:rsidR="0053282D" w:rsidRPr="00E56A6E" w:rsidRDefault="0053282D" w:rsidP="0053282D">
      <w:pPr>
        <w:pStyle w:val="CBDNormalNumber"/>
        <w:rPr>
          <w:lang w:val="es-ES"/>
        </w:rPr>
      </w:pPr>
      <w:r w:rsidRPr="00E56A6E">
        <w:rPr>
          <w:lang w:val="es-ES"/>
        </w:rPr>
        <w:t>Los usuarios de la plataforma deben poder encontrar fácilmente en el Centro de Intercambio de Información orientaciones y recursos actuales, pertinentes y prácticos para que este sea percibido como eficaz. El Centro de Intercambio de Información también debe responder a las necesidades reales de creación de capacidad y aportar un valor añadido suficiente para que la recopilación y el intercambio de información merezcan la pena, incentivando así su presentación continua.</w:t>
      </w:r>
    </w:p>
    <w:p w14:paraId="559C2841" w14:textId="01080005" w:rsidR="0053282D" w:rsidRPr="00E56A6E" w:rsidRDefault="0053282D" w:rsidP="0053282D">
      <w:pPr>
        <w:pStyle w:val="CBDNormalNumber"/>
        <w:rPr>
          <w:lang w:val="es-ES"/>
        </w:rPr>
      </w:pPr>
      <w:r w:rsidRPr="00E56A6E">
        <w:rPr>
          <w:lang w:val="es-ES"/>
        </w:rPr>
        <w:t>La disminución del número de publicaciones en los recursos de la biblioteca virtual y de las iniciativas de creación de capacidad refleja, en gran medida, el papel menos activo que ha desempeñado la Secretaría en la recopilación y publicación de dichos contenidos, y sugiere que el componente de creación de capacidad del Centro de Intercambio de Información aún no se ha convertido en un canal fundamental o valorado de forma sistemática para el intercambio y la actualización periódicos de información por parte de las Partes y los proveedores de servicios de creación de capacidad.</w:t>
      </w:r>
    </w:p>
    <w:p w14:paraId="1381AA31" w14:textId="44E0433E" w:rsidR="00C43F31" w:rsidRPr="00E56A6E" w:rsidRDefault="004B0132" w:rsidP="004B0132">
      <w:pPr>
        <w:pStyle w:val="CBDH4"/>
        <w:rPr>
          <w:lang w:val="es-ES"/>
        </w:rPr>
      </w:pPr>
      <w:r w:rsidRPr="00E56A6E">
        <w:rPr>
          <w:lang w:val="es-ES"/>
        </w:rPr>
        <w:t>c)</w:t>
      </w:r>
      <w:r w:rsidRPr="00E56A6E">
        <w:rPr>
          <w:lang w:val="es-ES"/>
        </w:rPr>
        <w:tab/>
      </w:r>
      <w:r w:rsidR="0053282D" w:rsidRPr="00E56A6E">
        <w:rPr>
          <w:lang w:val="es-ES"/>
        </w:rPr>
        <w:t>Formas de mejorar la eficacia del Centro de Intercambio de Información en lo que respecta a los registros de referencia</w:t>
      </w:r>
    </w:p>
    <w:p w14:paraId="172D83EF" w14:textId="290976F2" w:rsidR="00F05B28" w:rsidRPr="00E56A6E" w:rsidRDefault="00770CE7" w:rsidP="00F05B28">
      <w:pPr>
        <w:pStyle w:val="CBDNormalNumber"/>
        <w:rPr>
          <w:lang w:val="es-ES"/>
        </w:rPr>
      </w:pPr>
      <w:r w:rsidRPr="00E56A6E">
        <w:rPr>
          <w:lang w:val="es-ES"/>
        </w:rPr>
        <w:t>Tal como</w:t>
      </w:r>
      <w:r w:rsidR="00F05B28" w:rsidRPr="00E56A6E">
        <w:rPr>
          <w:lang w:val="es-ES"/>
        </w:rPr>
        <w:t xml:space="preserve"> se concluyó en otro análisis, podría prestarse mayor atención </w:t>
      </w:r>
      <w:r w:rsidR="00CF40B3" w:rsidRPr="00E56A6E">
        <w:rPr>
          <w:lang w:val="es-ES"/>
        </w:rPr>
        <w:t xml:space="preserve">a la importancia </w:t>
      </w:r>
      <w:r w:rsidR="00F05B28" w:rsidRPr="00E56A6E">
        <w:rPr>
          <w:lang w:val="es-ES"/>
        </w:rPr>
        <w:t>de mantener y utilizar eficazmente iniciativas actualizadas de creación de capacidad en el Centro de Intercambio de Información, incluso en relación con el papel de la Secretaría en la coordinación y facilitación de la creación de capacidad,</w:t>
      </w:r>
      <w:r w:rsidR="00112E38" w:rsidRPr="00E56A6E">
        <w:rPr>
          <w:lang w:val="es-ES"/>
        </w:rPr>
        <w:t xml:space="preserve"> </w:t>
      </w:r>
      <w:r w:rsidR="00F05B28" w:rsidRPr="00E56A6E">
        <w:rPr>
          <w:lang w:val="es-ES"/>
        </w:rPr>
        <w:t>el trabajo sobre creación y desarrollo de capacidad y la cooperación técnica y científica en apoyo de las prioridades determinadas a nivel nacional para la aplicación del Marco Mundial de Biodiversidad de Kunming-Montreal.</w:t>
      </w:r>
    </w:p>
    <w:p w14:paraId="19B6DC48" w14:textId="27E58601" w:rsidR="00F05B28" w:rsidRPr="00E56A6E" w:rsidRDefault="00F05B28" w:rsidP="00F05B28">
      <w:pPr>
        <w:pStyle w:val="CBDNormalNumber"/>
        <w:rPr>
          <w:lang w:val="es-ES"/>
        </w:rPr>
      </w:pPr>
      <w:r w:rsidRPr="00E56A6E">
        <w:rPr>
          <w:lang w:val="es-ES"/>
        </w:rPr>
        <w:t xml:space="preserve">Debería llevarse a cabo un nuevo examen y perfeccionamiento de los registros de referencia –incluidos los registros de la biblioteca virtual, los recursos de creación de capacidad, las cláusulas </w:t>
      </w:r>
      <w:r w:rsidRPr="00E56A6E">
        <w:rPr>
          <w:lang w:val="es-ES"/>
        </w:rPr>
        <w:lastRenderedPageBreak/>
        <w:t xml:space="preserve">contractuales modelo, los códigos de conducta, las directrices, las prácticas </w:t>
      </w:r>
      <w:r w:rsidR="00965FF1" w:rsidRPr="00E56A6E">
        <w:rPr>
          <w:lang w:val="es-ES"/>
        </w:rPr>
        <w:t>óptimas o estándares</w:t>
      </w:r>
      <w:r w:rsidRPr="00E56A6E">
        <w:rPr>
          <w:lang w:val="es-ES"/>
        </w:rPr>
        <w:t>, y los protocolos y procedimientos comunitarios y las leyes consuetudinarias– tanto en lo que respecta al contenido como a la presentación (incluida la organización, la accesibilidad y la visibilidad), con el fin de mejorar su eficacia a la hora de apoyar la aplicación del Protocolo de Nagoya.</w:t>
      </w:r>
    </w:p>
    <w:p w14:paraId="57186692" w14:textId="070F8774" w:rsidR="0056552E" w:rsidRPr="00E56A6E" w:rsidRDefault="004B0132" w:rsidP="004B0132">
      <w:pPr>
        <w:pStyle w:val="CBDH2"/>
        <w:rPr>
          <w:lang w:val="es-ES"/>
        </w:rPr>
      </w:pPr>
      <w:bookmarkStart w:id="17" w:name="_Toc231911610"/>
      <w:r w:rsidRPr="00E56A6E">
        <w:rPr>
          <w:lang w:val="es-ES"/>
        </w:rPr>
        <w:t>H.</w:t>
      </w:r>
      <w:r w:rsidRPr="00E56A6E">
        <w:rPr>
          <w:lang w:val="es-ES"/>
        </w:rPr>
        <w:tab/>
      </w:r>
      <w:r w:rsidR="00F05B28" w:rsidRPr="00E56A6E">
        <w:rPr>
          <w:lang w:val="es-ES"/>
        </w:rPr>
        <w:t>Avances en la aplicación del artículo 10, relativo a un mecanismo multilateral mundial de participación en los beneficios</w:t>
      </w:r>
      <w:bookmarkEnd w:id="17"/>
    </w:p>
    <w:p w14:paraId="55A49C0E" w14:textId="6D3B1F45" w:rsidR="00F05B28" w:rsidRPr="00E56A6E" w:rsidRDefault="00F05B28" w:rsidP="00F05B28">
      <w:pPr>
        <w:pStyle w:val="CBDNormalNumber"/>
        <w:rPr>
          <w:lang w:val="es-ES"/>
        </w:rPr>
      </w:pPr>
      <w:r w:rsidRPr="00E56A6E">
        <w:rPr>
          <w:lang w:val="es-ES"/>
        </w:rPr>
        <w:t>El artículo 10 del Protocolo de Nagoya</w:t>
      </w:r>
      <w:r w:rsidRPr="00E56A6E">
        <w:rPr>
          <w:vertAlign w:val="superscript"/>
          <w:lang w:val="es-ES"/>
        </w:rPr>
        <w:footnoteReference w:id="95"/>
      </w:r>
      <w:r w:rsidR="00112E38" w:rsidRPr="00E56A6E">
        <w:rPr>
          <w:lang w:val="es-ES"/>
        </w:rPr>
        <w:t xml:space="preserve"> </w:t>
      </w:r>
      <w:r w:rsidRPr="00E56A6E">
        <w:rPr>
          <w:lang w:val="es-ES"/>
        </w:rPr>
        <w:t>ha sido objeto de examen desde poco después de la adopción del Protocolo en 2010. La labor realizada a lo largo de los años ha incluido la presentación de opiniones, debates en línea, reuniones de expertos y la realización de estudios</w:t>
      </w:r>
      <w:r w:rsidRPr="00E56A6E">
        <w:rPr>
          <w:vertAlign w:val="superscript"/>
          <w:lang w:val="es-ES"/>
        </w:rPr>
        <w:footnoteReference w:id="96"/>
      </w:r>
      <w:r w:rsidRPr="00E56A6E">
        <w:rPr>
          <w:lang w:val="es-ES"/>
        </w:rPr>
        <w:t>.</w:t>
      </w:r>
      <w:r w:rsidR="00112E38" w:rsidRPr="00E56A6E">
        <w:rPr>
          <w:lang w:val="es-ES"/>
        </w:rPr>
        <w:t xml:space="preserve"> </w:t>
      </w:r>
    </w:p>
    <w:p w14:paraId="2703A24C" w14:textId="79B053EC" w:rsidR="00F05B28" w:rsidRPr="00E56A6E" w:rsidRDefault="00F05B28" w:rsidP="00F05B28">
      <w:pPr>
        <w:pStyle w:val="CBDNormalNumber"/>
        <w:rPr>
          <w:lang w:val="es-ES"/>
        </w:rPr>
      </w:pPr>
      <w:r w:rsidRPr="00E56A6E">
        <w:rPr>
          <w:lang w:val="es-ES"/>
        </w:rPr>
        <w:t xml:space="preserve">Más recientemente, en su quinta reunión, celebrada en octubre de 2024, la </w:t>
      </w:r>
      <w:r w:rsidR="00F44AD8" w:rsidRPr="00E56A6E">
        <w:rPr>
          <w:lang w:val="es-ES"/>
        </w:rPr>
        <w:t>Conferencia de las Partes que actúa como reunión de las Partes en el Protocolo de Nagoya</w:t>
      </w:r>
      <w:r w:rsidRPr="00E56A6E">
        <w:rPr>
          <w:lang w:val="es-ES"/>
        </w:rPr>
        <w:t xml:space="preserve"> examinó un documento sobre el artículo 10</w:t>
      </w:r>
      <w:r w:rsidRPr="00E56A6E">
        <w:rPr>
          <w:rStyle w:val="FootnoteReference"/>
          <w:lang w:val="es-ES"/>
        </w:rPr>
        <w:footnoteReference w:id="97"/>
      </w:r>
      <w:r w:rsidRPr="00E56A6E">
        <w:rPr>
          <w:lang w:val="es-ES"/>
        </w:rPr>
        <w:t xml:space="preserve"> y decidió volver a examinar, en su sexta reunión, la cuestión de la necesidad y las modalidades de un mecanismo multilateral mundial de participación en los beneficios, tal como se establece en el artículo 10 del Protocolo, teniendo en cuenta el análisis y la síntesis de la información para la segunda evaluación y revisión del Protocolo (véase la decisión </w:t>
      </w:r>
      <w:hyperlink r:id="rId31" w:history="1">
        <w:r w:rsidRPr="00E56A6E">
          <w:rPr>
            <w:rStyle w:val="Hyperlink"/>
            <w:rFonts w:asciiTheme="majorBidi" w:hAnsiTheme="majorBidi" w:cstheme="majorBidi"/>
            <w:lang w:val="es-ES"/>
          </w:rPr>
          <w:t>NP-5/7</w:t>
        </w:r>
      </w:hyperlink>
      <w:r w:rsidRPr="00E56A6E">
        <w:rPr>
          <w:lang w:val="es-ES"/>
        </w:rPr>
        <w:t>).</w:t>
      </w:r>
    </w:p>
    <w:p w14:paraId="1D401887" w14:textId="73264242" w:rsidR="0056552E" w:rsidRPr="00E56A6E" w:rsidRDefault="004B0132" w:rsidP="004B0132">
      <w:pPr>
        <w:pStyle w:val="CBDH2"/>
        <w:rPr>
          <w:lang w:val="es-ES"/>
        </w:rPr>
      </w:pPr>
      <w:bookmarkStart w:id="18" w:name="_Toc231911611"/>
      <w:r w:rsidRPr="00E56A6E">
        <w:rPr>
          <w:lang w:val="es-ES"/>
        </w:rPr>
        <w:t>I.</w:t>
      </w:r>
      <w:r w:rsidRPr="00E56A6E">
        <w:rPr>
          <w:lang w:val="es-ES"/>
        </w:rPr>
        <w:tab/>
      </w:r>
      <w:r w:rsidR="00D11229" w:rsidRPr="00E56A6E">
        <w:rPr>
          <w:lang w:val="es-ES"/>
        </w:rPr>
        <w:t>Avances en la aplicación del artículo 23, relativo a la transferencia de tecnología, la colaboración y la cooperación</w:t>
      </w:r>
      <w:r w:rsidR="00D11229" w:rsidRPr="00E56A6E">
        <w:rPr>
          <w:rStyle w:val="FootnoteReference"/>
          <w:rFonts w:asciiTheme="majorBidi" w:hAnsiTheme="majorBidi"/>
          <w:lang w:val="es-ES"/>
        </w:rPr>
        <w:footnoteReference w:id="98"/>
      </w:r>
      <w:bookmarkEnd w:id="18"/>
      <w:r w:rsidR="00112E38" w:rsidRPr="00E56A6E">
        <w:rPr>
          <w:lang w:val="es-ES"/>
        </w:rPr>
        <w:t xml:space="preserve"> </w:t>
      </w:r>
    </w:p>
    <w:p w14:paraId="7D9EB6B8" w14:textId="41C87C35" w:rsidR="0016687C" w:rsidRPr="00E56A6E" w:rsidRDefault="004B0132" w:rsidP="004B0132">
      <w:pPr>
        <w:pStyle w:val="CBDH3"/>
        <w:rPr>
          <w:lang w:val="es-ES"/>
        </w:rPr>
      </w:pPr>
      <w:r w:rsidRPr="00E56A6E">
        <w:rPr>
          <w:lang w:val="es-ES"/>
        </w:rPr>
        <w:t>1.</w:t>
      </w:r>
      <w:r w:rsidRPr="00E56A6E">
        <w:rPr>
          <w:lang w:val="es-ES"/>
        </w:rPr>
        <w:tab/>
      </w:r>
      <w:r w:rsidR="00D11229" w:rsidRPr="00E56A6E">
        <w:rPr>
          <w:lang w:val="es-ES"/>
        </w:rPr>
        <w:t>Avances en la aplicación y datos actualizados de los indicadores</w:t>
      </w:r>
    </w:p>
    <w:p w14:paraId="2A0E8021" w14:textId="69BC8176" w:rsidR="00D11229" w:rsidRPr="00E56A6E" w:rsidRDefault="00D11229" w:rsidP="00D11229">
      <w:pPr>
        <w:pStyle w:val="CBDNormalNumber"/>
        <w:rPr>
          <w:lang w:val="es-ES"/>
        </w:rPr>
      </w:pPr>
      <w:r w:rsidRPr="00E56A6E">
        <w:rPr>
          <w:lang w:val="es-ES"/>
        </w:rPr>
        <w:t xml:space="preserve">Como se desprende del indicador incluido en el cuadro 17 que figura a continuación, se han registrado avances moderados en lo que respecta al porcentaje de Partes que colaboraron y cooperaron en programas de investigación y desarrollo técnico y científico como </w:t>
      </w:r>
      <w:r w:rsidR="00CF40B3" w:rsidRPr="00E56A6E">
        <w:rPr>
          <w:lang w:val="es-ES"/>
        </w:rPr>
        <w:t xml:space="preserve">forma de </w:t>
      </w:r>
      <w:r w:rsidRPr="00E56A6E">
        <w:rPr>
          <w:lang w:val="es-ES"/>
        </w:rPr>
        <w:t xml:space="preserve">alcanzar el objetivo del Protocolo, </w:t>
      </w:r>
      <w:r w:rsidR="00770CE7" w:rsidRPr="00E56A6E">
        <w:rPr>
          <w:lang w:val="es-ES"/>
        </w:rPr>
        <w:t>tal como</w:t>
      </w:r>
      <w:r w:rsidRPr="00E56A6E">
        <w:rPr>
          <w:lang w:val="es-ES"/>
        </w:rPr>
        <w:t xml:space="preserve"> se establece en el artículo 23 del Protocolo.</w:t>
      </w:r>
    </w:p>
    <w:p w14:paraId="35F24359" w14:textId="0285DEE6" w:rsidR="00D11229" w:rsidRPr="00E56A6E" w:rsidRDefault="00D11229" w:rsidP="00D11229">
      <w:pPr>
        <w:pStyle w:val="CBDNormalNumber"/>
        <w:rPr>
          <w:lang w:val="es-ES"/>
        </w:rPr>
      </w:pPr>
      <w:r w:rsidRPr="00E56A6E">
        <w:rPr>
          <w:lang w:val="es-ES"/>
        </w:rPr>
        <w:t>Las Partes informaron de diversas modalidades de cooperación y transferencia de tecnología</w:t>
      </w:r>
      <w:r w:rsidRPr="00E56A6E">
        <w:rPr>
          <w:rStyle w:val="FootnoteReference"/>
          <w:lang w:val="es-ES"/>
        </w:rPr>
        <w:footnoteReference w:id="99"/>
      </w:r>
      <w:r w:rsidRPr="00E56A6E">
        <w:rPr>
          <w:lang w:val="es-ES"/>
        </w:rPr>
        <w:t>.</w:t>
      </w:r>
      <w:r w:rsidR="00112E38" w:rsidRPr="00E56A6E">
        <w:rPr>
          <w:lang w:val="es-ES"/>
        </w:rPr>
        <w:t xml:space="preserve"> </w:t>
      </w:r>
      <w:r w:rsidRPr="00E56A6E">
        <w:rPr>
          <w:lang w:val="es-ES"/>
        </w:rPr>
        <w:t xml:space="preserve">La transferencia de tecnología se produjo tanto dentro como fuera del contexto del acceso y la participación en los beneficios, a menudo a través de una cooperación más amplia en materia de investigación, iniciativas de creación de capacidad y asociaciones técnicas. Cuando la transferencia de tecnología estaba vinculada específicamente al acceso a los recursos genéticos o a los </w:t>
      </w:r>
      <w:r w:rsidR="00D426EC" w:rsidRPr="00E56A6E">
        <w:rPr>
          <w:lang w:val="es-ES"/>
        </w:rPr>
        <w:t>conocimientos tradicionales conexos</w:t>
      </w:r>
      <w:r w:rsidRPr="00E56A6E">
        <w:rPr>
          <w:lang w:val="es-ES"/>
        </w:rPr>
        <w:t xml:space="preserve"> en el marco del Protocolo de Nagoya, constituía en su mayor parte un beneficio no monetario negociado en condiciones mutuamente acordadas. En tales casos, los acuerdos de transferencia de tecnología formaban parte de las condiciones de participación en los beneficios </w:t>
      </w:r>
      <w:r w:rsidR="00397A3D" w:rsidRPr="00E56A6E">
        <w:rPr>
          <w:lang w:val="es-ES"/>
        </w:rPr>
        <w:t>relacionadas con e</w:t>
      </w:r>
      <w:r w:rsidRPr="00E56A6E">
        <w:rPr>
          <w:lang w:val="es-ES"/>
        </w:rPr>
        <w:t>l acceso, junto con otros beneficios no monetarios como la formación, la investigación conjunta y el acceso a la información científica.</w:t>
      </w:r>
    </w:p>
    <w:p w14:paraId="67107034" w14:textId="1288A689" w:rsidR="001E55CE" w:rsidRPr="00E56A6E" w:rsidRDefault="00653A73" w:rsidP="004B0132">
      <w:pPr>
        <w:pStyle w:val="CBDTableTitle"/>
        <w:rPr>
          <w:highlight w:val="yellow"/>
          <w:lang w:val="es-ES"/>
        </w:rPr>
      </w:pPr>
      <w:r w:rsidRPr="00E56A6E">
        <w:rPr>
          <w:b w:val="0"/>
          <w:bCs/>
          <w:lang w:val="es-ES"/>
        </w:rPr>
        <w:lastRenderedPageBreak/>
        <w:t>Cuadro</w:t>
      </w:r>
      <w:r w:rsidR="001E55CE" w:rsidRPr="00E56A6E">
        <w:rPr>
          <w:b w:val="0"/>
          <w:bCs/>
          <w:lang w:val="es-ES"/>
        </w:rPr>
        <w:t xml:space="preserve"> </w:t>
      </w:r>
      <w:r w:rsidR="00BB2D22" w:rsidRPr="00E56A6E">
        <w:rPr>
          <w:b w:val="0"/>
          <w:bCs/>
          <w:lang w:val="es-ES"/>
        </w:rPr>
        <w:t>1</w:t>
      </w:r>
      <w:r w:rsidR="001B62EC" w:rsidRPr="00E56A6E">
        <w:rPr>
          <w:b w:val="0"/>
          <w:bCs/>
          <w:lang w:val="es-ES"/>
        </w:rPr>
        <w:t>7</w:t>
      </w:r>
      <w:r w:rsidR="004B0132" w:rsidRPr="00E56A6E">
        <w:rPr>
          <w:lang w:val="es-ES"/>
        </w:rPr>
        <w:br/>
      </w:r>
      <w:r w:rsidR="00D11229" w:rsidRPr="00E56A6E">
        <w:rPr>
          <w:lang w:val="es-ES"/>
        </w:rPr>
        <w:t>Indicadores para medir los avances en materia de transferencia de tecnología</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72E88" w:rsidRPr="005A210D" w14:paraId="70AE2CF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CAD613D" w14:textId="3DC1ED29" w:rsidR="001E55CE" w:rsidRPr="00E56A6E" w:rsidRDefault="00EE1C1B"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shd w:val="pct15" w:color="auto" w:fill="FFFFFF"/>
                <w:lang w:val="es-ES"/>
              </w:rPr>
            </w:pPr>
            <w:r w:rsidRPr="00E56A6E">
              <w:rPr>
                <w:rFonts w:asciiTheme="majorBidi" w:hAnsiTheme="majorBidi" w:cstheme="majorBidi"/>
                <w:i/>
                <w:iCs/>
                <w:kern w:val="22"/>
                <w:sz w:val="20"/>
                <w:szCs w:val="20"/>
                <w:lang w:val="es-ES"/>
              </w:rPr>
              <w:t>Marco de indicadores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2786603" w14:textId="1BF3F7D0" w:rsidR="001E55CE" w:rsidRPr="00E56A6E" w:rsidRDefault="007F3ECF"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es-ES"/>
              </w:rPr>
            </w:pPr>
            <w:r w:rsidRPr="00E56A6E">
              <w:rPr>
                <w:rFonts w:asciiTheme="majorBidi" w:eastAsia="Calibri" w:hAnsiTheme="majorBidi" w:cstheme="majorBidi"/>
                <w:i/>
                <w:iCs/>
                <w:kern w:val="22"/>
                <w:sz w:val="20"/>
                <w:szCs w:val="20"/>
                <w:lang w:val="es-ES"/>
              </w:rPr>
              <w:t>Punto de referencia</w:t>
            </w:r>
            <w:r w:rsidR="001E55CE" w:rsidRPr="00E56A6E">
              <w:rPr>
                <w:rFonts w:asciiTheme="majorBidi" w:eastAsia="Calibri" w:hAnsiTheme="majorBidi" w:cstheme="majorBidi"/>
                <w:i/>
                <w:iCs/>
                <w:kern w:val="22"/>
                <w:sz w:val="20"/>
                <w:szCs w:val="20"/>
                <w:lang w:val="es-ES"/>
              </w:rPr>
              <w:t xml:space="preserve"> (</w:t>
            </w:r>
            <w:r w:rsidRPr="00E56A6E">
              <w:rPr>
                <w:rFonts w:asciiTheme="majorBidi" w:eastAsia="Calibri" w:hAnsiTheme="majorBidi" w:cstheme="majorBidi"/>
                <w:i/>
                <w:iCs/>
                <w:kern w:val="22"/>
                <w:sz w:val="20"/>
                <w:szCs w:val="20"/>
                <w:lang w:val="es-ES"/>
              </w:rPr>
              <w:t>al 22 de febrero de 2018</w:t>
            </w:r>
            <w:r w:rsidR="001E55CE" w:rsidRPr="00E56A6E">
              <w:rPr>
                <w:rFonts w:asciiTheme="majorBidi" w:eastAsia="Calibri" w:hAnsiTheme="majorBidi" w:cstheme="majorBidi"/>
                <w:i/>
                <w:iCs/>
                <w:kern w:val="22"/>
                <w:sz w:val="20"/>
                <w:szCs w:val="20"/>
                <w:lang w:val="es-ES"/>
              </w:rPr>
              <w:t>)</w:t>
            </w:r>
          </w:p>
        </w:tc>
        <w:tc>
          <w:tcPr>
            <w:tcW w:w="1512" w:type="dxa"/>
            <w:tcBorders>
              <w:top w:val="single" w:sz="4" w:space="0" w:color="auto"/>
              <w:left w:val="single" w:sz="4" w:space="0" w:color="auto"/>
              <w:bottom w:val="single" w:sz="4" w:space="0" w:color="auto"/>
              <w:right w:val="single" w:sz="4" w:space="0" w:color="auto"/>
            </w:tcBorders>
            <w:vAlign w:val="bottom"/>
          </w:tcPr>
          <w:p w14:paraId="7FEE3683" w14:textId="3533D3BF" w:rsidR="001E55CE" w:rsidRPr="00E56A6E" w:rsidRDefault="007F3ECF"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es-ES"/>
              </w:rPr>
            </w:pPr>
            <w:r w:rsidRPr="00E56A6E">
              <w:rPr>
                <w:rFonts w:asciiTheme="majorBidi" w:eastAsia="Calibri" w:hAnsiTheme="majorBidi" w:cstheme="majorBidi"/>
                <w:i/>
                <w:iCs/>
                <w:kern w:val="22"/>
                <w:sz w:val="20"/>
                <w:szCs w:val="20"/>
                <w:lang w:val="es-ES"/>
              </w:rPr>
              <w:t>Avances al 9 de marzo de 2026</w:t>
            </w:r>
          </w:p>
        </w:tc>
      </w:tr>
      <w:tr w:rsidR="008463A6" w:rsidRPr="00E56A6E" w14:paraId="1388CEA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00A0E0" w14:textId="2447715A" w:rsidR="001E55CE" w:rsidRPr="00E56A6E" w:rsidRDefault="00D1122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E56A6E">
              <w:rPr>
                <w:rFonts w:eastAsia="Malgun Gothic"/>
                <w:kern w:val="22"/>
                <w:sz w:val="20"/>
                <w:szCs w:val="20"/>
                <w:lang w:val="es-ES"/>
              </w:rPr>
              <w:t xml:space="preserve">Número y porcentaje de Partes que han colaborado y cooperado en programas de investigación y desarrollo técnico y científico con el fin de alcanzar el objetivo del Protocolo, </w:t>
            </w:r>
            <w:r w:rsidR="00770CE7" w:rsidRPr="00E56A6E">
              <w:rPr>
                <w:rFonts w:eastAsia="Malgun Gothic"/>
                <w:kern w:val="22"/>
                <w:sz w:val="20"/>
                <w:szCs w:val="20"/>
                <w:lang w:val="es-ES"/>
              </w:rPr>
              <w:t>tal como</w:t>
            </w:r>
            <w:r w:rsidRPr="00E56A6E">
              <w:rPr>
                <w:rFonts w:eastAsia="Malgun Gothic"/>
                <w:kern w:val="22"/>
                <w:sz w:val="20"/>
                <w:szCs w:val="20"/>
                <w:lang w:val="es-ES"/>
              </w:rPr>
              <w:t xml:space="preserve"> se establece en el artículo 23</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428AFC7" w14:textId="593C314C" w:rsidR="001E55CE" w:rsidRPr="00E56A6E" w:rsidRDefault="00F462B9" w:rsidP="006B066D">
            <w:pPr>
              <w:jc w:val="right"/>
              <w:rPr>
                <w:rFonts w:eastAsia="Calibri"/>
                <w:sz w:val="20"/>
                <w:szCs w:val="20"/>
                <w:lang w:val="es-ES"/>
              </w:rPr>
            </w:pPr>
            <w:r w:rsidRPr="00E56A6E">
              <w:rPr>
                <w:rFonts w:eastAsia="Calibri"/>
                <w:sz w:val="20"/>
                <w:szCs w:val="20"/>
                <w:lang w:val="es-ES"/>
              </w:rPr>
              <w:t xml:space="preserve">46 </w:t>
            </w:r>
            <w:r w:rsidR="001E55CE" w:rsidRPr="00E56A6E">
              <w:rPr>
                <w:rFonts w:eastAsia="Calibri"/>
                <w:sz w:val="20"/>
                <w:szCs w:val="20"/>
                <w:lang w:val="es-ES"/>
              </w:rPr>
              <w:t>(44</w:t>
            </w:r>
            <w:r w:rsidR="00653A73" w:rsidRPr="00E56A6E">
              <w:rPr>
                <w:rFonts w:eastAsia="Calibri"/>
                <w:sz w:val="20"/>
                <w:szCs w:val="20"/>
                <w:lang w:val="es-ES"/>
              </w:rPr>
              <w:t> %</w:t>
            </w:r>
            <w:r w:rsidR="001E55CE" w:rsidRPr="00E56A6E">
              <w:rPr>
                <w:rFonts w:eastAsia="Calibri"/>
                <w:sz w:val="20"/>
                <w:szCs w:val="20"/>
                <w:lang w:val="es-ES"/>
              </w:rPr>
              <w:t>)</w:t>
            </w:r>
          </w:p>
        </w:tc>
        <w:tc>
          <w:tcPr>
            <w:tcW w:w="1512" w:type="dxa"/>
            <w:vAlign w:val="bottom"/>
          </w:tcPr>
          <w:p w14:paraId="0FB450B4" w14:textId="1C7AC32A" w:rsidR="001E55CE" w:rsidRPr="00E56A6E" w:rsidRDefault="00661EB5" w:rsidP="006B066D">
            <w:pPr>
              <w:jc w:val="right"/>
              <w:rPr>
                <w:rFonts w:eastAsia="Calibri"/>
                <w:sz w:val="20"/>
                <w:szCs w:val="20"/>
                <w:lang w:val="es-ES"/>
              </w:rPr>
            </w:pPr>
            <w:r w:rsidRPr="00E56A6E">
              <w:rPr>
                <w:rFonts w:eastAsia="Calibri"/>
                <w:sz w:val="20"/>
                <w:szCs w:val="20"/>
                <w:lang w:val="es-ES"/>
              </w:rPr>
              <w:t xml:space="preserve">66 </w:t>
            </w:r>
            <w:r w:rsidR="00B25670" w:rsidRPr="00E56A6E">
              <w:rPr>
                <w:rFonts w:eastAsia="Calibri"/>
                <w:sz w:val="20"/>
                <w:szCs w:val="20"/>
                <w:lang w:val="es-ES"/>
              </w:rPr>
              <w:t>(</w:t>
            </w:r>
            <w:r w:rsidR="001E55CE" w:rsidRPr="00E56A6E">
              <w:rPr>
                <w:rFonts w:eastAsia="Calibri"/>
                <w:sz w:val="20"/>
                <w:szCs w:val="20"/>
                <w:lang w:val="es-ES"/>
              </w:rPr>
              <w:t>47</w:t>
            </w:r>
            <w:r w:rsidR="00653A73" w:rsidRPr="00E56A6E">
              <w:rPr>
                <w:rFonts w:eastAsia="Calibri"/>
                <w:sz w:val="20"/>
                <w:szCs w:val="20"/>
                <w:lang w:val="es-ES"/>
              </w:rPr>
              <w:t> %</w:t>
            </w:r>
            <w:r w:rsidR="001E55CE" w:rsidRPr="00E56A6E">
              <w:rPr>
                <w:rFonts w:eastAsia="Calibri"/>
                <w:sz w:val="20"/>
                <w:szCs w:val="20"/>
                <w:lang w:val="es-ES"/>
              </w:rPr>
              <w:t>)</w:t>
            </w:r>
          </w:p>
        </w:tc>
      </w:tr>
    </w:tbl>
    <w:p w14:paraId="7B8A2EA3" w14:textId="781A410F" w:rsidR="00030F36" w:rsidRPr="00E56A6E" w:rsidRDefault="004B0132" w:rsidP="004B0132">
      <w:pPr>
        <w:pStyle w:val="CBDH3"/>
        <w:rPr>
          <w:lang w:val="es-ES"/>
        </w:rPr>
      </w:pPr>
      <w:r w:rsidRPr="00E56A6E">
        <w:rPr>
          <w:lang w:val="es-ES"/>
        </w:rPr>
        <w:t>2.</w:t>
      </w:r>
      <w:r w:rsidRPr="00E56A6E">
        <w:rPr>
          <w:lang w:val="es-ES"/>
        </w:rPr>
        <w:tab/>
      </w:r>
      <w:r w:rsidR="009F6791" w:rsidRPr="00E56A6E">
        <w:rPr>
          <w:lang w:val="es-ES"/>
        </w:rPr>
        <w:t>Dificultades, causas subyacentes</w:t>
      </w:r>
      <w:r w:rsidR="00FF19A7" w:rsidRPr="00E56A6E">
        <w:rPr>
          <w:lang w:val="es-ES"/>
        </w:rPr>
        <w:t xml:space="preserve"> y posibles vías para mejorar la transferencia de tecnología, la colaboración y la cooperación con el fin de apoyar la aplicación del Protocolo</w:t>
      </w:r>
    </w:p>
    <w:p w14:paraId="2E1BC165" w14:textId="57D22E32" w:rsidR="000C652D" w:rsidRPr="00E56A6E" w:rsidRDefault="00FF19A7" w:rsidP="00CD2C50">
      <w:pPr>
        <w:pStyle w:val="CBDNormalNumber"/>
        <w:rPr>
          <w:rFonts w:asciiTheme="majorBidi" w:hAnsiTheme="majorBidi" w:cstheme="majorBidi"/>
          <w:lang w:val="es-ES"/>
        </w:rPr>
      </w:pPr>
      <w:r w:rsidRPr="00E56A6E">
        <w:rPr>
          <w:lang w:val="es-ES"/>
        </w:rPr>
        <w:t xml:space="preserve">Entre los retos mencionados figuraban el hecho de que algunas Partes tenían una capacidad limitada para recibir o asimilar tecnologías avanzadas, la necesidad de articular mejor la conexión entre las actividades nacionales de investigación y el acceso y la participación en los beneficios, los enfoques a corto plazo en la financiación de la investigación y la falta de capacidad para negociar y </w:t>
      </w:r>
      <w:r w:rsidR="008B6267" w:rsidRPr="00E56A6E">
        <w:rPr>
          <w:lang w:val="es-ES"/>
        </w:rPr>
        <w:t xml:space="preserve">vigilar </w:t>
      </w:r>
      <w:r w:rsidRPr="00E56A6E">
        <w:rPr>
          <w:lang w:val="es-ES"/>
        </w:rPr>
        <w:t>las condiciones acordadas mutuamente.</w:t>
      </w:r>
    </w:p>
    <w:p w14:paraId="3732390A" w14:textId="4F7464F5" w:rsidR="005C19B5" w:rsidRPr="00E56A6E" w:rsidRDefault="00FF19A7" w:rsidP="00CD2C50">
      <w:pPr>
        <w:pStyle w:val="CBDNormalNumber"/>
        <w:rPr>
          <w:lang w:val="es-ES"/>
        </w:rPr>
      </w:pPr>
      <w:r w:rsidRPr="00E56A6E">
        <w:rPr>
          <w:lang w:val="es-ES"/>
        </w:rPr>
        <w:t xml:space="preserve">Se consideró que el establecimiento de una visión política clara antes de redactar la legislación contribuía al desarrollo de un marco jurídico más sólido y coherente. Los instrumentos de política podrían ayudar a </w:t>
      </w:r>
      <w:r w:rsidR="000A42E0" w:rsidRPr="00E56A6E">
        <w:rPr>
          <w:lang w:val="es-ES"/>
        </w:rPr>
        <w:t xml:space="preserve">definir </w:t>
      </w:r>
      <w:r w:rsidRPr="00E56A6E">
        <w:rPr>
          <w:lang w:val="es-ES"/>
        </w:rPr>
        <w:t xml:space="preserve">las prioridades de los países en materia de acceso y participación en los beneficios. El fortalecimiento de la capacidad para llevar a cabo investigación y desarrollo endógenos basados en la diversidad </w:t>
      </w:r>
      <w:r w:rsidR="000A42E0" w:rsidRPr="00E56A6E">
        <w:rPr>
          <w:lang w:val="es-ES"/>
        </w:rPr>
        <w:t xml:space="preserve">biológica </w:t>
      </w:r>
      <w:r w:rsidRPr="00E56A6E">
        <w:rPr>
          <w:lang w:val="es-ES"/>
        </w:rPr>
        <w:t>con el fin de añadir valor a los recursos genéticos</w:t>
      </w:r>
      <w:r w:rsidRPr="00E56A6E">
        <w:rPr>
          <w:rStyle w:val="FootnoteReference"/>
          <w:lang w:val="es-ES"/>
        </w:rPr>
        <w:footnoteReference w:id="100"/>
      </w:r>
      <w:r w:rsidRPr="00E56A6E">
        <w:rPr>
          <w:lang w:val="es-ES"/>
        </w:rPr>
        <w:t>,</w:t>
      </w:r>
      <w:r w:rsidR="00112E38" w:rsidRPr="00E56A6E">
        <w:rPr>
          <w:lang w:val="es-ES"/>
        </w:rPr>
        <w:t xml:space="preserve"> </w:t>
      </w:r>
      <w:r w:rsidRPr="00E56A6E">
        <w:rPr>
          <w:lang w:val="es-ES"/>
        </w:rPr>
        <w:t>incluida la transferencia de tecnología como prioridad, podría figurar entre los objetivos de la política.</w:t>
      </w:r>
    </w:p>
    <w:p w14:paraId="01D86AAC" w14:textId="51049A82" w:rsidR="00FF19A7" w:rsidRPr="00E56A6E" w:rsidRDefault="007D0CEF" w:rsidP="006B066D">
      <w:pPr>
        <w:pStyle w:val="CBDNormalNumber"/>
        <w:numPr>
          <w:ilvl w:val="0"/>
          <w:numId w:val="0"/>
        </w:numPr>
        <w:ind w:left="567"/>
        <w:rPr>
          <w:kern w:val="22"/>
          <w:lang w:val="es-ES"/>
        </w:rPr>
      </w:pPr>
      <w:r w:rsidRPr="00E56A6E">
        <w:rPr>
          <w:rFonts w:asciiTheme="majorBidi" w:hAnsiTheme="majorBidi" w:cstheme="majorBidi"/>
          <w:lang w:val="es-ES"/>
        </w:rPr>
        <w:t xml:space="preserve">243. </w:t>
      </w:r>
      <w:r w:rsidR="00FF19A7" w:rsidRPr="00E56A6E">
        <w:rPr>
          <w:lang w:val="es-ES"/>
        </w:rPr>
        <w:t>La inclusión de elementos de transferencia de tecnología en los acuerdos negociados sobre acceso y participación en los beneficios podría contribuir a</w:t>
      </w:r>
      <w:r w:rsidR="00D24843" w:rsidRPr="00E56A6E">
        <w:rPr>
          <w:lang w:val="es-ES"/>
        </w:rPr>
        <w:t xml:space="preserve"> la creación de capacidad </w:t>
      </w:r>
      <w:r w:rsidR="00FF19A7" w:rsidRPr="00E56A6E">
        <w:rPr>
          <w:lang w:val="es-ES"/>
        </w:rPr>
        <w:t xml:space="preserve">a largo plazo y a unos resultados más equilibrados en materia de participación en los beneficios, en particular cuando se ajusten a las prioridades nacionales y a las capacidades de aplicación. Las medidas, plantillas o cláusulas contractuales </w:t>
      </w:r>
      <w:r w:rsidR="008A7FF7" w:rsidRPr="00E56A6E">
        <w:rPr>
          <w:lang w:val="es-ES"/>
        </w:rPr>
        <w:t xml:space="preserve">modelo </w:t>
      </w:r>
      <w:r w:rsidR="00FF19A7" w:rsidRPr="00E56A6E">
        <w:rPr>
          <w:lang w:val="es-ES"/>
        </w:rPr>
        <w:t>relativas al acceso y la participación en los beneficios podrían facilitar la inclusión de disposiciones sobre transferencia de tecnología en los acuerdos sobre acceso y participación en los beneficios, reflejando las prioridades nacionales y las necesidades de aplicación.</w:t>
      </w:r>
    </w:p>
    <w:p w14:paraId="20EFB657" w14:textId="630ABB8A" w:rsidR="00C45731" w:rsidRPr="00E56A6E" w:rsidRDefault="00D84123" w:rsidP="00A85D7A">
      <w:pPr>
        <w:pStyle w:val="Para1"/>
        <w:numPr>
          <w:ilvl w:val="0"/>
          <w:numId w:val="0"/>
        </w:numPr>
        <w:tabs>
          <w:tab w:val="left" w:pos="1080"/>
        </w:tabs>
        <w:ind w:left="720"/>
        <w:jc w:val="center"/>
        <w:rPr>
          <w:kern w:val="22"/>
          <w:lang w:val="es-ES"/>
        </w:rPr>
      </w:pPr>
      <w:r w:rsidRPr="00E56A6E">
        <w:rPr>
          <w:kern w:val="22"/>
          <w:lang w:val="es-ES"/>
        </w:rPr>
        <w:t>__________</w:t>
      </w:r>
    </w:p>
    <w:sectPr w:rsidR="00C45731" w:rsidRPr="00E56A6E" w:rsidSect="00515215">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9104" w14:textId="77777777" w:rsidR="005B22F7" w:rsidRPr="00D2758E" w:rsidRDefault="005B22F7" w:rsidP="00A96B21">
      <w:r w:rsidRPr="00D2758E">
        <w:separator/>
      </w:r>
    </w:p>
  </w:endnote>
  <w:endnote w:type="continuationSeparator" w:id="0">
    <w:p w14:paraId="206D4A65" w14:textId="77777777" w:rsidR="005B22F7" w:rsidRPr="00D2758E" w:rsidRDefault="005B22F7" w:rsidP="00A96B21">
      <w:r w:rsidRPr="00D2758E">
        <w:continuationSeparator/>
      </w:r>
    </w:p>
  </w:endnote>
  <w:endnote w:type="continuationNotice" w:id="1">
    <w:p w14:paraId="72B56C29" w14:textId="77777777" w:rsidR="005B22F7" w:rsidRPr="00D2758E" w:rsidRDefault="005B22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D2758E" w:rsidRDefault="002B559C">
    <w:pPr>
      <w:pStyle w:val="Footer"/>
    </w:pPr>
    <w:r w:rsidRPr="00D2758E">
      <w:rPr>
        <w:szCs w:val="20"/>
      </w:rPr>
      <w:fldChar w:fldCharType="begin"/>
    </w:r>
    <w:r w:rsidRPr="00D2758E">
      <w:rPr>
        <w:szCs w:val="20"/>
      </w:rPr>
      <w:instrText xml:space="preserve"> PAGE </w:instrText>
    </w:r>
    <w:r w:rsidRPr="00D2758E">
      <w:rPr>
        <w:szCs w:val="20"/>
      </w:rPr>
      <w:fldChar w:fldCharType="separate"/>
    </w:r>
    <w:r w:rsidRPr="00D2758E">
      <w:rPr>
        <w:noProof/>
        <w:szCs w:val="20"/>
      </w:rPr>
      <w:t>2</w:t>
    </w:r>
    <w:r w:rsidRPr="00D2758E">
      <w:rPr>
        <w:szCs w:val="20"/>
      </w:rPr>
      <w:fldChar w:fldCharType="end"/>
    </w:r>
    <w:r w:rsidRPr="00D2758E">
      <w:rPr>
        <w:szCs w:val="20"/>
      </w:rPr>
      <w:t>/</w:t>
    </w:r>
    <w:r w:rsidRPr="00D2758E">
      <w:rPr>
        <w:szCs w:val="20"/>
      </w:rPr>
      <w:fldChar w:fldCharType="begin"/>
    </w:r>
    <w:r w:rsidRPr="00D2758E">
      <w:rPr>
        <w:szCs w:val="20"/>
      </w:rPr>
      <w:instrText xml:space="preserve"> NUMPAGES  </w:instrText>
    </w:r>
    <w:r w:rsidRPr="00D2758E">
      <w:rPr>
        <w:szCs w:val="20"/>
      </w:rPr>
      <w:fldChar w:fldCharType="separate"/>
    </w:r>
    <w:r w:rsidRPr="00D2758E">
      <w:rPr>
        <w:noProof/>
        <w:szCs w:val="20"/>
      </w:rPr>
      <w:t>2</w:t>
    </w:r>
    <w:r w:rsidRPr="00D2758E">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Pr="00D2758E" w:rsidRDefault="002B559C" w:rsidP="002B559C">
            <w:pPr>
              <w:pStyle w:val="Footer"/>
              <w:jc w:val="right"/>
            </w:pPr>
            <w:r w:rsidRPr="00D2758E">
              <w:rPr>
                <w:szCs w:val="20"/>
              </w:rPr>
              <w:fldChar w:fldCharType="begin"/>
            </w:r>
            <w:r w:rsidRPr="00D2758E">
              <w:rPr>
                <w:szCs w:val="20"/>
              </w:rPr>
              <w:instrText xml:space="preserve"> PAGE </w:instrText>
            </w:r>
            <w:r w:rsidRPr="00D2758E">
              <w:rPr>
                <w:szCs w:val="20"/>
              </w:rPr>
              <w:fldChar w:fldCharType="separate"/>
            </w:r>
            <w:r w:rsidRPr="00D2758E">
              <w:rPr>
                <w:noProof/>
                <w:szCs w:val="20"/>
              </w:rPr>
              <w:t>2</w:t>
            </w:r>
            <w:r w:rsidRPr="00D2758E">
              <w:rPr>
                <w:szCs w:val="20"/>
              </w:rPr>
              <w:fldChar w:fldCharType="end"/>
            </w:r>
            <w:r w:rsidRPr="00D2758E">
              <w:rPr>
                <w:szCs w:val="20"/>
              </w:rPr>
              <w:t>/</w:t>
            </w:r>
            <w:r w:rsidRPr="00D2758E">
              <w:rPr>
                <w:szCs w:val="20"/>
              </w:rPr>
              <w:fldChar w:fldCharType="begin"/>
            </w:r>
            <w:r w:rsidRPr="00D2758E">
              <w:rPr>
                <w:szCs w:val="20"/>
              </w:rPr>
              <w:instrText xml:space="preserve"> NUMPAGES  </w:instrText>
            </w:r>
            <w:r w:rsidRPr="00D2758E">
              <w:rPr>
                <w:szCs w:val="20"/>
              </w:rPr>
              <w:fldChar w:fldCharType="separate"/>
            </w:r>
            <w:r w:rsidRPr="00D2758E">
              <w:rPr>
                <w:noProof/>
                <w:szCs w:val="20"/>
              </w:rPr>
              <w:t>2</w:t>
            </w:r>
            <w:r w:rsidRPr="00D275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77492" w14:textId="77777777" w:rsidR="005B22F7" w:rsidRPr="00D2758E" w:rsidRDefault="005B22F7" w:rsidP="00A96B21">
      <w:r w:rsidRPr="00D2758E">
        <w:separator/>
      </w:r>
    </w:p>
  </w:footnote>
  <w:footnote w:type="continuationSeparator" w:id="0">
    <w:p w14:paraId="465BBF64" w14:textId="77777777" w:rsidR="005B22F7" w:rsidRPr="00D2758E" w:rsidRDefault="005B22F7" w:rsidP="00A96B21">
      <w:r w:rsidRPr="00D2758E">
        <w:continuationSeparator/>
      </w:r>
    </w:p>
  </w:footnote>
  <w:footnote w:type="continuationNotice" w:id="1">
    <w:p w14:paraId="101722C6" w14:textId="77777777" w:rsidR="005B22F7" w:rsidRPr="00D2758E" w:rsidRDefault="005B22F7"/>
  </w:footnote>
  <w:footnote w:id="2">
    <w:p w14:paraId="43EBC488" w14:textId="1521B0E5" w:rsidR="009E7724" w:rsidRPr="00AF380B" w:rsidRDefault="009E7724" w:rsidP="00775CED">
      <w:pPr>
        <w:pStyle w:val="Footnote"/>
        <w:rPr>
          <w:lang w:val="es-ES"/>
        </w:rPr>
      </w:pPr>
      <w:r w:rsidRPr="00457BB6">
        <w:rPr>
          <w:rStyle w:val="FootnoteReference"/>
          <w:sz w:val="20"/>
          <w:szCs w:val="20"/>
          <w:lang w:val="es-ES"/>
        </w:rPr>
        <w:t>*</w:t>
      </w:r>
      <w:r w:rsidRPr="00457BB6">
        <w:rPr>
          <w:lang w:val="es-ES"/>
        </w:rPr>
        <w:t xml:space="preserve"> CBD/NP</w:t>
      </w:r>
      <w:r w:rsidRPr="00AF380B">
        <w:rPr>
          <w:lang w:val="es-ES"/>
        </w:rPr>
        <w:t>/CC/5/1.</w:t>
      </w:r>
    </w:p>
  </w:footnote>
  <w:footnote w:id="3">
    <w:p w14:paraId="64273AF6" w14:textId="488BFBC9" w:rsidR="009E7724" w:rsidRPr="00AF380B" w:rsidRDefault="009E7724" w:rsidP="00775CED">
      <w:pPr>
        <w:pStyle w:val="Footnote"/>
        <w:rPr>
          <w:lang w:val="es-ES"/>
        </w:rPr>
      </w:pPr>
      <w:r w:rsidRPr="00AF380B">
        <w:rPr>
          <w:rStyle w:val="FootnoteReference"/>
          <w:sz w:val="20"/>
          <w:szCs w:val="20"/>
          <w:lang w:val="es-ES"/>
        </w:rPr>
        <w:t>**</w:t>
      </w:r>
      <w:r w:rsidRPr="00AF380B">
        <w:rPr>
          <w:rStyle w:val="normaltextrun"/>
          <w:color w:val="000000"/>
          <w:shd w:val="clear" w:color="auto" w:fill="FFFFFF"/>
          <w:lang w:val="es-ES"/>
        </w:rPr>
        <w:t xml:space="preserve"> </w:t>
      </w:r>
      <w:r w:rsidRPr="00AF380B">
        <w:rPr>
          <w:lang w:val="es-ES"/>
        </w:rPr>
        <w:t>CBD/NP/CB-IAC/2026/1/1.</w:t>
      </w:r>
    </w:p>
  </w:footnote>
  <w:footnote w:id="4">
    <w:p w14:paraId="4C05E88A" w14:textId="127106E1" w:rsidR="009E7724" w:rsidRPr="00AF380B" w:rsidRDefault="009E7724" w:rsidP="00775CED">
      <w:pPr>
        <w:pStyle w:val="Footnote"/>
        <w:rPr>
          <w:lang w:val="es-ES"/>
        </w:rPr>
      </w:pPr>
      <w:r w:rsidRPr="00AF380B">
        <w:rPr>
          <w:rStyle w:val="FootnoteReference"/>
          <w:lang w:val="es-ES"/>
        </w:rPr>
        <w:t>***</w:t>
      </w:r>
      <w:r w:rsidRPr="00AF380B">
        <w:rPr>
          <w:lang w:val="es-ES"/>
        </w:rPr>
        <w:t xml:space="preserve"> CBD/SBI/7/1.</w:t>
      </w:r>
    </w:p>
  </w:footnote>
  <w:footnote w:id="5">
    <w:p w14:paraId="17D37395" w14:textId="77777777" w:rsidR="007E102F" w:rsidRPr="00AF380B" w:rsidRDefault="007E102F">
      <w:pPr>
        <w:rPr>
          <w:lang w:val="es-ES"/>
        </w:rPr>
      </w:pPr>
    </w:p>
    <w:p w14:paraId="3DD1F4F0" w14:textId="1AE745AF" w:rsidR="009E7724" w:rsidRPr="00AF380B" w:rsidRDefault="009E7724">
      <w:pPr>
        <w:pStyle w:val="FootnoteText"/>
        <w:rPr>
          <w:lang w:val="es-ES"/>
        </w:rPr>
      </w:pPr>
    </w:p>
  </w:footnote>
  <w:footnote w:id="6">
    <w:p w14:paraId="2C09E5B6" w14:textId="77777777" w:rsidR="00482429" w:rsidRPr="00AF380B" w:rsidRDefault="00482429" w:rsidP="00482429">
      <w:pPr>
        <w:pStyle w:val="FootnoteText"/>
        <w:rPr>
          <w:szCs w:val="18"/>
          <w:lang w:val="es-ES"/>
        </w:rPr>
      </w:pPr>
      <w:r w:rsidRPr="00AF380B">
        <w:rPr>
          <w:rStyle w:val="FootnoteReference"/>
          <w:szCs w:val="18"/>
          <w:lang w:val="es-ES"/>
        </w:rPr>
        <w:footnoteRef/>
      </w:r>
      <w:r w:rsidRPr="00AF380B">
        <w:rPr>
          <w:szCs w:val="18"/>
          <w:lang w:val="es-ES"/>
        </w:rPr>
        <w:t xml:space="preserve"> </w:t>
      </w:r>
      <w:hyperlink r:id="rId1" w:history="1">
        <w:r w:rsidRPr="00AF380B">
          <w:rPr>
            <w:rStyle w:val="Hyperlink"/>
            <w:szCs w:val="18"/>
            <w:lang w:val="es-ES"/>
          </w:rPr>
          <w:t>CBD/SBI/7/INF/2</w:t>
        </w:r>
      </w:hyperlink>
      <w:r w:rsidRPr="00AF380B">
        <w:rPr>
          <w:lang w:val="es-ES"/>
        </w:rPr>
        <w:t>.</w:t>
      </w:r>
    </w:p>
  </w:footnote>
  <w:footnote w:id="7">
    <w:p w14:paraId="12BE5096" w14:textId="77777777" w:rsidR="00482429" w:rsidRPr="00AF380B" w:rsidRDefault="00482429" w:rsidP="00482429">
      <w:pPr>
        <w:pStyle w:val="FootnoteText"/>
        <w:rPr>
          <w:szCs w:val="18"/>
          <w:lang w:val="es-ES"/>
        </w:rPr>
      </w:pPr>
      <w:r w:rsidRPr="00AF380B">
        <w:rPr>
          <w:rStyle w:val="FootnoteReference"/>
          <w:szCs w:val="18"/>
          <w:lang w:val="es-ES"/>
        </w:rPr>
        <w:footnoteRef/>
      </w:r>
      <w:r w:rsidRPr="00AF380B">
        <w:rPr>
          <w:szCs w:val="18"/>
          <w:lang w:val="es-ES"/>
        </w:rPr>
        <w:t xml:space="preserve"> </w:t>
      </w:r>
      <w:hyperlink r:id="rId2" w:history="1">
        <w:r w:rsidRPr="00AF380B">
          <w:rPr>
            <w:rStyle w:val="Hyperlink"/>
            <w:szCs w:val="18"/>
            <w:lang w:val="es-ES"/>
          </w:rPr>
          <w:t>CBD/SBI/7/INF/3</w:t>
        </w:r>
      </w:hyperlink>
    </w:p>
  </w:footnote>
  <w:footnote w:id="8">
    <w:p w14:paraId="2A263953" w14:textId="77777777" w:rsidR="00482429" w:rsidRPr="00AF380B" w:rsidRDefault="00482429" w:rsidP="00482429">
      <w:pPr>
        <w:pStyle w:val="FootnoteText"/>
        <w:rPr>
          <w:szCs w:val="18"/>
          <w:lang w:val="es-ES"/>
        </w:rPr>
      </w:pPr>
      <w:r w:rsidRPr="00AF380B">
        <w:rPr>
          <w:rStyle w:val="FootnoteReference"/>
          <w:szCs w:val="18"/>
          <w:lang w:val="es-ES"/>
        </w:rPr>
        <w:footnoteRef/>
      </w:r>
      <w:r w:rsidRPr="00AF380B">
        <w:rPr>
          <w:szCs w:val="18"/>
          <w:lang w:val="es-ES"/>
        </w:rPr>
        <w:t xml:space="preserve"> </w:t>
      </w:r>
      <w:hyperlink r:id="rId3" w:history="1">
        <w:r w:rsidRPr="00AF380B">
          <w:rPr>
            <w:rStyle w:val="Hyperlink"/>
            <w:szCs w:val="18"/>
            <w:lang w:val="es-ES"/>
          </w:rPr>
          <w:t>CBD/SBI/7/INF/4</w:t>
        </w:r>
      </w:hyperlink>
      <w:r w:rsidRPr="00AF380B">
        <w:rPr>
          <w:lang w:val="es-ES"/>
        </w:rPr>
        <w:t>.</w:t>
      </w:r>
    </w:p>
  </w:footnote>
  <w:footnote w:id="9">
    <w:p w14:paraId="601C1F66" w14:textId="77777777" w:rsidR="00015C2F" w:rsidRPr="00AF380B" w:rsidRDefault="00015C2F" w:rsidP="00015C2F">
      <w:pPr>
        <w:pStyle w:val="FootnoteText"/>
        <w:rPr>
          <w:szCs w:val="18"/>
          <w:lang w:val="es-ES"/>
        </w:rPr>
      </w:pPr>
      <w:r w:rsidRPr="00AF380B">
        <w:rPr>
          <w:rStyle w:val="FootnoteReference"/>
          <w:szCs w:val="18"/>
          <w:lang w:val="es-ES"/>
        </w:rPr>
        <w:footnoteRef/>
      </w:r>
      <w:r w:rsidRPr="00AF380B">
        <w:rPr>
          <w:szCs w:val="18"/>
          <w:lang w:val="es-ES"/>
        </w:rPr>
        <w:t xml:space="preserve"> </w:t>
      </w:r>
      <w:hyperlink r:id="rId4" w:history="1">
        <w:r w:rsidRPr="00AF380B">
          <w:rPr>
            <w:rStyle w:val="Hyperlink"/>
            <w:szCs w:val="18"/>
            <w:lang w:val="es-ES"/>
          </w:rPr>
          <w:t>CBD/SBI/7/INF/5</w:t>
        </w:r>
      </w:hyperlink>
      <w:r w:rsidRPr="00AF380B">
        <w:rPr>
          <w:lang w:val="es-ES"/>
        </w:rPr>
        <w:t>.</w:t>
      </w:r>
    </w:p>
  </w:footnote>
  <w:footnote w:id="10">
    <w:p w14:paraId="0895A760" w14:textId="77777777" w:rsidR="00482429" w:rsidRPr="00AF380B" w:rsidRDefault="00482429" w:rsidP="00482429">
      <w:pPr>
        <w:pStyle w:val="FootnoteText"/>
        <w:rPr>
          <w:szCs w:val="18"/>
          <w:lang w:val="es-ES"/>
        </w:rPr>
      </w:pPr>
      <w:r w:rsidRPr="00AF380B">
        <w:rPr>
          <w:rStyle w:val="FootnoteReference"/>
          <w:szCs w:val="18"/>
          <w:lang w:val="es-ES"/>
        </w:rPr>
        <w:footnoteRef/>
      </w:r>
      <w:r w:rsidRPr="00AF380B">
        <w:rPr>
          <w:szCs w:val="18"/>
          <w:lang w:val="es-ES"/>
        </w:rPr>
        <w:t xml:space="preserve"> </w:t>
      </w:r>
      <w:hyperlink r:id="rId5" w:history="1">
        <w:r w:rsidRPr="00AF380B">
          <w:rPr>
            <w:rStyle w:val="Hyperlink"/>
            <w:szCs w:val="18"/>
            <w:lang w:val="es-ES"/>
          </w:rPr>
          <w:t>CBD/SBI/7/INF/6</w:t>
        </w:r>
      </w:hyperlink>
      <w:r w:rsidRPr="00AF380B">
        <w:rPr>
          <w:lang w:val="es-ES"/>
        </w:rPr>
        <w:t>.</w:t>
      </w:r>
    </w:p>
  </w:footnote>
  <w:footnote w:id="11">
    <w:p w14:paraId="7042C4DF" w14:textId="77777777" w:rsidR="00482429" w:rsidRPr="00AF380B" w:rsidRDefault="00482429" w:rsidP="00482429">
      <w:pPr>
        <w:pStyle w:val="FootnoteText"/>
        <w:rPr>
          <w:lang w:val="es-ES"/>
        </w:rPr>
      </w:pPr>
      <w:r w:rsidRPr="00AF380B">
        <w:rPr>
          <w:rStyle w:val="FootnoteReference"/>
          <w:szCs w:val="18"/>
          <w:lang w:val="es-ES"/>
        </w:rPr>
        <w:footnoteRef/>
      </w:r>
      <w:r w:rsidRPr="00AF380B">
        <w:rPr>
          <w:szCs w:val="18"/>
          <w:lang w:val="es-ES"/>
        </w:rPr>
        <w:t xml:space="preserve"> </w:t>
      </w:r>
      <w:hyperlink r:id="rId6" w:history="1">
        <w:r w:rsidRPr="00AF380B">
          <w:rPr>
            <w:rStyle w:val="Hyperlink"/>
            <w:szCs w:val="18"/>
            <w:lang w:val="es-ES"/>
          </w:rPr>
          <w:t>CBD/SBI/7/INF/7</w:t>
        </w:r>
      </w:hyperlink>
      <w:r w:rsidRPr="00AF380B">
        <w:rPr>
          <w:lang w:val="es-ES"/>
        </w:rPr>
        <w:t>.</w:t>
      </w:r>
    </w:p>
  </w:footnote>
  <w:footnote w:id="12">
    <w:p w14:paraId="7576186B" w14:textId="78AC5597" w:rsidR="00D06366" w:rsidRPr="00AF380B" w:rsidRDefault="00D06366" w:rsidP="00D06366">
      <w:pPr>
        <w:pStyle w:val="FootnoteText"/>
        <w:rPr>
          <w:szCs w:val="18"/>
          <w:lang w:val="es-ES"/>
        </w:rPr>
      </w:pPr>
      <w:r w:rsidRPr="00AF380B">
        <w:rPr>
          <w:rStyle w:val="FootnoteReference"/>
          <w:szCs w:val="18"/>
          <w:lang w:val="es-ES"/>
        </w:rPr>
        <w:footnoteRef/>
      </w:r>
      <w:r w:rsidRPr="00AF380B">
        <w:rPr>
          <w:szCs w:val="18"/>
          <w:lang w:val="es-ES"/>
        </w:rPr>
        <w:t xml:space="preserve"> </w:t>
      </w:r>
      <w:r w:rsidR="007A50BA" w:rsidRPr="00AF380B">
        <w:rPr>
          <w:szCs w:val="18"/>
          <w:lang w:val="es-ES"/>
        </w:rPr>
        <w:t>Para más información, véase</w:t>
      </w:r>
      <w:r w:rsidRPr="00AF380B">
        <w:rPr>
          <w:szCs w:val="18"/>
          <w:lang w:val="es-ES"/>
        </w:rPr>
        <w:t xml:space="preserve"> </w:t>
      </w:r>
      <w:hyperlink r:id="rId7" w:history="1">
        <w:r w:rsidRPr="00AF380B">
          <w:rPr>
            <w:rStyle w:val="Hyperlink"/>
            <w:szCs w:val="18"/>
            <w:lang w:val="es-ES"/>
          </w:rPr>
          <w:t>CBD/SBI/7/INF/2</w:t>
        </w:r>
      </w:hyperlink>
      <w:r w:rsidRPr="00AF380B">
        <w:rPr>
          <w:szCs w:val="18"/>
          <w:lang w:val="es-ES"/>
        </w:rPr>
        <w:t xml:space="preserve">, </w:t>
      </w:r>
      <w:r w:rsidR="007A50BA" w:rsidRPr="00AF380B">
        <w:rPr>
          <w:szCs w:val="18"/>
          <w:lang w:val="es-ES"/>
        </w:rPr>
        <w:t xml:space="preserve">sección </w:t>
      </w:r>
      <w:r w:rsidRPr="00AF380B">
        <w:rPr>
          <w:szCs w:val="18"/>
          <w:lang w:val="es-ES"/>
        </w:rPr>
        <w:t xml:space="preserve">III.A.2; </w:t>
      </w:r>
      <w:hyperlink r:id="rId8" w:history="1">
        <w:r w:rsidRPr="00AF380B">
          <w:rPr>
            <w:rStyle w:val="Hyperlink"/>
            <w:szCs w:val="18"/>
            <w:lang w:val="es-ES"/>
          </w:rPr>
          <w:t>CBD/SBI/7/INF/3</w:t>
        </w:r>
      </w:hyperlink>
      <w:r w:rsidRPr="00AF380B">
        <w:rPr>
          <w:lang w:val="es-ES"/>
        </w:rPr>
        <w:t>;</w:t>
      </w:r>
      <w:r w:rsidRPr="00AF380B">
        <w:rPr>
          <w:szCs w:val="18"/>
          <w:lang w:val="es-ES"/>
        </w:rPr>
        <w:t xml:space="preserve"> </w:t>
      </w:r>
      <w:r w:rsidR="007A50BA" w:rsidRPr="00AF380B">
        <w:rPr>
          <w:szCs w:val="18"/>
          <w:lang w:val="es-ES"/>
        </w:rPr>
        <w:t xml:space="preserve">y </w:t>
      </w:r>
      <w:hyperlink r:id="rId9" w:history="1">
        <w:r w:rsidRPr="00AF380B">
          <w:rPr>
            <w:rStyle w:val="Hyperlink"/>
            <w:szCs w:val="18"/>
            <w:lang w:val="es-ES"/>
          </w:rPr>
          <w:t>CBD/SBI/7/INF/4</w:t>
        </w:r>
      </w:hyperlink>
      <w:r w:rsidRPr="00AF380B">
        <w:rPr>
          <w:szCs w:val="18"/>
          <w:lang w:val="es-ES"/>
        </w:rPr>
        <w:t>.</w:t>
      </w:r>
    </w:p>
  </w:footnote>
  <w:footnote w:id="13">
    <w:p w14:paraId="7B7A7571" w14:textId="6038A322" w:rsidR="00C94E49" w:rsidRPr="00AF380B" w:rsidRDefault="00C94E49" w:rsidP="00C94E49">
      <w:pPr>
        <w:pStyle w:val="FootnoteText"/>
        <w:rPr>
          <w:szCs w:val="18"/>
          <w:lang w:val="es-ES"/>
        </w:rPr>
      </w:pPr>
      <w:r w:rsidRPr="00AF380B">
        <w:rPr>
          <w:rStyle w:val="FootnoteReference"/>
          <w:szCs w:val="18"/>
          <w:lang w:val="es-ES"/>
        </w:rPr>
        <w:footnoteRef/>
      </w:r>
      <w:r w:rsidRPr="00AF380B">
        <w:rPr>
          <w:szCs w:val="18"/>
          <w:lang w:val="es-ES"/>
        </w:rPr>
        <w:t xml:space="preserve"> </w:t>
      </w:r>
      <w:r w:rsidR="00C35F61" w:rsidRPr="00AF380B">
        <w:rPr>
          <w:szCs w:val="18"/>
          <w:lang w:val="es-ES"/>
        </w:rPr>
        <w:t xml:space="preserve">El documento </w:t>
      </w:r>
      <w:hyperlink r:id="rId10" w:history="1">
        <w:r w:rsidR="00C35F61" w:rsidRPr="00AF380B">
          <w:rPr>
            <w:rStyle w:val="Hyperlink"/>
            <w:szCs w:val="18"/>
            <w:lang w:val="es-ES"/>
          </w:rPr>
          <w:t>CBD/SBI/7/INF/2</w:t>
        </w:r>
      </w:hyperlink>
      <w:r w:rsidR="00C35F61" w:rsidRPr="00AF380B">
        <w:rPr>
          <w:lang w:val="es-ES"/>
        </w:rPr>
        <w:t xml:space="preserve"> </w:t>
      </w:r>
      <w:r w:rsidR="00112E38" w:rsidRPr="00AF380B">
        <w:rPr>
          <w:szCs w:val="18"/>
          <w:lang w:val="es-ES"/>
        </w:rPr>
        <w:t>contiene</w:t>
      </w:r>
      <w:r w:rsidR="00C35F61" w:rsidRPr="00AF380B">
        <w:rPr>
          <w:szCs w:val="18"/>
          <w:lang w:val="es-ES"/>
        </w:rPr>
        <w:t xml:space="preserve"> resúmenes y ejemplos de algunos de esos enfoques. El documento </w:t>
      </w:r>
      <w:hyperlink r:id="rId11" w:history="1">
        <w:r w:rsidR="00C35F61" w:rsidRPr="00AF380B">
          <w:rPr>
            <w:rStyle w:val="Hyperlink"/>
            <w:szCs w:val="18"/>
            <w:lang w:val="es-ES"/>
          </w:rPr>
          <w:t>CBD/SBI/7/INF/4</w:t>
        </w:r>
      </w:hyperlink>
      <w:r w:rsidR="00C35F61" w:rsidRPr="00AF380B">
        <w:rPr>
          <w:lang w:val="es-ES"/>
        </w:rPr>
        <w:t xml:space="preserve"> </w:t>
      </w:r>
      <w:r w:rsidR="00C35F61" w:rsidRPr="00AF380B">
        <w:rPr>
          <w:szCs w:val="18"/>
          <w:lang w:val="es-ES"/>
        </w:rPr>
        <w:t xml:space="preserve">contiene un análisis de la información disponible en el </w:t>
      </w:r>
      <w:r w:rsidR="00746B08" w:rsidRPr="00AF380B">
        <w:rPr>
          <w:szCs w:val="18"/>
          <w:lang w:val="es-ES"/>
        </w:rPr>
        <w:t>Centro de Intercambio de Información sobre Acceso y Participación en los Beneficios</w:t>
      </w:r>
      <w:r w:rsidR="00C35F61" w:rsidRPr="00AF380B">
        <w:rPr>
          <w:szCs w:val="18"/>
          <w:lang w:val="es-ES"/>
        </w:rPr>
        <w:t xml:space="preserve"> acerca de los tipos de puntos focales nacionales, autoridades nacionales competentes, puntos </w:t>
      </w:r>
      <w:r w:rsidR="007C536C" w:rsidRPr="00AF380B">
        <w:rPr>
          <w:szCs w:val="18"/>
          <w:lang w:val="es-ES"/>
        </w:rPr>
        <w:t>de verificación</w:t>
      </w:r>
      <w:r w:rsidR="00C35F61" w:rsidRPr="00AF380B">
        <w:rPr>
          <w:szCs w:val="18"/>
          <w:lang w:val="es-ES"/>
        </w:rPr>
        <w:t xml:space="preserve"> y medidas de acceso y participación en los beneficios establecidas.</w:t>
      </w:r>
    </w:p>
  </w:footnote>
  <w:footnote w:id="14">
    <w:p w14:paraId="54CA65E5" w14:textId="79E22C5F" w:rsidR="0022028D" w:rsidRPr="00AF380B" w:rsidRDefault="0022028D" w:rsidP="0022028D">
      <w:pPr>
        <w:pStyle w:val="FootnoteText"/>
        <w:rPr>
          <w:lang w:val="es-ES"/>
        </w:rPr>
      </w:pPr>
      <w:r w:rsidRPr="00AF380B">
        <w:rPr>
          <w:rStyle w:val="FootnoteReference"/>
          <w:lang w:val="es-ES"/>
        </w:rPr>
        <w:footnoteRef/>
      </w:r>
      <w:r w:rsidRPr="00AF380B">
        <w:rPr>
          <w:lang w:val="es-ES"/>
        </w:rPr>
        <w:t xml:space="preserve"> </w:t>
      </w:r>
      <w:r w:rsidR="00C35F61" w:rsidRPr="00AF380B">
        <w:rPr>
          <w:rFonts w:asciiTheme="majorBidi" w:hAnsiTheme="majorBidi" w:cstheme="majorBidi"/>
          <w:lang w:val="es-ES"/>
        </w:rPr>
        <w:t xml:space="preserve">Para más información, véase el documento </w:t>
      </w:r>
      <w:hyperlink r:id="rId12" w:history="1">
        <w:r w:rsidR="00C35F61" w:rsidRPr="00AF380B">
          <w:rPr>
            <w:rStyle w:val="Hyperlink"/>
            <w:szCs w:val="18"/>
            <w:lang w:val="es-ES"/>
          </w:rPr>
          <w:t>CBD/SBI/7/INF/3</w:t>
        </w:r>
      </w:hyperlink>
      <w:r w:rsidR="00C35F61" w:rsidRPr="00AF380B">
        <w:rPr>
          <w:rFonts w:asciiTheme="majorBidi" w:hAnsiTheme="majorBidi" w:cstheme="majorBidi"/>
          <w:lang w:val="es-ES"/>
        </w:rPr>
        <w:t xml:space="preserve">, sección 2.1. Algunas de las causas </w:t>
      </w:r>
      <w:r w:rsidR="00E500FC" w:rsidRPr="00AF380B">
        <w:rPr>
          <w:rFonts w:asciiTheme="majorBidi" w:hAnsiTheme="majorBidi" w:cstheme="majorBidi"/>
          <w:lang w:val="es-ES"/>
        </w:rPr>
        <w:t>subyacentes</w:t>
      </w:r>
      <w:r w:rsidR="00C35F61" w:rsidRPr="00AF380B">
        <w:rPr>
          <w:rFonts w:asciiTheme="majorBidi" w:hAnsiTheme="majorBidi" w:cstheme="majorBidi"/>
          <w:lang w:val="es-ES"/>
        </w:rPr>
        <w:t xml:space="preserve"> de </w:t>
      </w:r>
      <w:r w:rsidR="00E500FC" w:rsidRPr="00AF380B">
        <w:rPr>
          <w:rFonts w:asciiTheme="majorBidi" w:hAnsiTheme="majorBidi" w:cstheme="majorBidi"/>
          <w:lang w:val="es-ES"/>
        </w:rPr>
        <w:t xml:space="preserve">las dificultades </w:t>
      </w:r>
      <w:r w:rsidR="00C35F61" w:rsidRPr="00AF380B">
        <w:rPr>
          <w:rFonts w:asciiTheme="majorBidi" w:hAnsiTheme="majorBidi" w:cstheme="majorBidi"/>
          <w:lang w:val="es-ES"/>
        </w:rPr>
        <w:t>enumerad</w:t>
      </w:r>
      <w:r w:rsidR="00E500FC" w:rsidRPr="00AF380B">
        <w:rPr>
          <w:rFonts w:asciiTheme="majorBidi" w:hAnsiTheme="majorBidi" w:cstheme="majorBidi"/>
          <w:lang w:val="es-ES"/>
        </w:rPr>
        <w:t>a</w:t>
      </w:r>
      <w:r w:rsidR="00C35F61" w:rsidRPr="00AF380B">
        <w:rPr>
          <w:rFonts w:asciiTheme="majorBidi" w:hAnsiTheme="majorBidi" w:cstheme="majorBidi"/>
          <w:lang w:val="es-ES"/>
        </w:rPr>
        <w:t>s en el párrafo 21 anterior se tratan a continuación en el elemento B, relativo a la eficacia.</w:t>
      </w:r>
    </w:p>
  </w:footnote>
  <w:footnote w:id="15">
    <w:p w14:paraId="73B3ECE3" w14:textId="15BD659C" w:rsidR="0022028D" w:rsidRPr="00AF380B" w:rsidRDefault="0022028D" w:rsidP="0022028D">
      <w:pPr>
        <w:pStyle w:val="FootnoteText"/>
        <w:rPr>
          <w:szCs w:val="18"/>
          <w:lang w:val="es-ES"/>
        </w:rPr>
      </w:pPr>
      <w:r w:rsidRPr="00AF380B">
        <w:rPr>
          <w:rStyle w:val="FootnoteReference"/>
          <w:szCs w:val="18"/>
          <w:lang w:val="es-ES"/>
        </w:rPr>
        <w:footnoteRef/>
      </w:r>
      <w:r w:rsidRPr="00AF380B">
        <w:rPr>
          <w:szCs w:val="18"/>
          <w:lang w:val="es-ES"/>
        </w:rPr>
        <w:t xml:space="preserve"> </w:t>
      </w:r>
      <w:r w:rsidR="00C35F61" w:rsidRPr="00AF380B">
        <w:rPr>
          <w:rFonts w:asciiTheme="majorBidi" w:hAnsiTheme="majorBidi" w:cstheme="majorBidi"/>
          <w:lang w:val="es-ES"/>
        </w:rPr>
        <w:t xml:space="preserve">Para más información, véase el documento </w:t>
      </w:r>
      <w:r w:rsidRPr="00AF380B">
        <w:rPr>
          <w:lang w:val="es-ES"/>
        </w:rPr>
        <w:t>CBD/SBI/7/INF/2,</w:t>
      </w:r>
      <w:r w:rsidRPr="00AF380B">
        <w:rPr>
          <w:szCs w:val="18"/>
          <w:lang w:val="es-ES"/>
        </w:rPr>
        <w:t xml:space="preserve"> sec</w:t>
      </w:r>
      <w:r w:rsidR="00C35F61" w:rsidRPr="00AF380B">
        <w:rPr>
          <w:szCs w:val="18"/>
          <w:lang w:val="es-ES"/>
        </w:rPr>
        <w:t>ción</w:t>
      </w:r>
      <w:r w:rsidRPr="00AF380B">
        <w:rPr>
          <w:szCs w:val="18"/>
          <w:lang w:val="es-ES"/>
        </w:rPr>
        <w:t xml:space="preserve"> III.A.2.</w:t>
      </w:r>
    </w:p>
  </w:footnote>
  <w:footnote w:id="16">
    <w:p w14:paraId="75D43617" w14:textId="1D558FF9" w:rsidR="005D7A16" w:rsidRPr="00AF380B" w:rsidRDefault="005D7A16" w:rsidP="005D7A16">
      <w:pPr>
        <w:rPr>
          <w:sz w:val="20"/>
          <w:szCs w:val="20"/>
          <w:lang w:val="es-ES"/>
        </w:rPr>
      </w:pPr>
      <w:r w:rsidRPr="00AF380B">
        <w:rPr>
          <w:rStyle w:val="FootnoteReference"/>
          <w:lang w:val="es-ES"/>
        </w:rPr>
        <w:footnoteRef/>
      </w:r>
      <w:r w:rsidR="007C3930" w:rsidRPr="00AF380B">
        <w:rPr>
          <w:sz w:val="18"/>
          <w:szCs w:val="18"/>
          <w:lang w:val="es-ES"/>
        </w:rPr>
        <w:t xml:space="preserve"> </w:t>
      </w:r>
      <w:r w:rsidRPr="00AF380B">
        <w:rPr>
          <w:sz w:val="18"/>
          <w:szCs w:val="18"/>
          <w:lang w:val="es-ES"/>
        </w:rPr>
        <w:t xml:space="preserve">En sus respuestas a la encuesta </w:t>
      </w:r>
      <w:r w:rsidR="001767D2" w:rsidRPr="00AF380B">
        <w:rPr>
          <w:sz w:val="18"/>
          <w:szCs w:val="18"/>
          <w:lang w:val="es-ES"/>
        </w:rPr>
        <w:t>dirigida</w:t>
      </w:r>
      <w:r w:rsidRPr="00AF380B">
        <w:rPr>
          <w:sz w:val="18"/>
          <w:szCs w:val="18"/>
          <w:lang w:val="es-ES"/>
        </w:rPr>
        <w:t xml:space="preserve">, varios usuarios del sector empresarial señalaron que los proyectos previstos solían cancelarse debido a la falta de respuesta, a retrasos en las respuestas o a respuestas incoherentes por parte de los puntos focales nacionales de acceso y participación en los beneficios en relación con el alcance de las actividades cubiertas, ya que no cabía esperar que las empresas iniciaran investigaciones si no existía seguridad jurídica y podían estar infringiendo la ley. Varias universidades y otras instituciones de investigación de los países usuarios indicaron que habían rechazado solicitudes de posdoctorado o interrumpido colaboraciones internacionales con investigadores extranjeros de países proveedores que deseaban estudiar organismos de su país de origen debido a las dificultades para obtener permisos de acceso. Esto repercute en sus intereses de investigación, así como en las oportunidades para los científicos de los países en desarrollo, con lo que tanto los usuarios como los proveedores pierden posibles beneficios científicos y sociales. Para más información, véase el documento </w:t>
      </w:r>
      <w:hyperlink r:id="rId13" w:history="1">
        <w:r w:rsidRPr="00AF380B">
          <w:rPr>
            <w:rStyle w:val="Hyperlink"/>
            <w:sz w:val="18"/>
            <w:szCs w:val="18"/>
            <w:lang w:val="es-ES"/>
          </w:rPr>
          <w:t>CBD/SBI/7/INF/3</w:t>
        </w:r>
      </w:hyperlink>
      <w:r w:rsidRPr="00AF380B">
        <w:rPr>
          <w:sz w:val="18"/>
          <w:szCs w:val="18"/>
          <w:lang w:val="es-ES"/>
        </w:rPr>
        <w:t>, sección 2.1.1.</w:t>
      </w:r>
    </w:p>
  </w:footnote>
  <w:footnote w:id="17">
    <w:p w14:paraId="355948A1" w14:textId="39E688DC" w:rsidR="0022028D" w:rsidRPr="00AF380B" w:rsidRDefault="0022028D" w:rsidP="0022028D">
      <w:pPr>
        <w:pStyle w:val="FootnoteText"/>
        <w:rPr>
          <w:szCs w:val="18"/>
          <w:lang w:val="es-ES"/>
        </w:rPr>
      </w:pPr>
      <w:r w:rsidRPr="00AF380B">
        <w:rPr>
          <w:rStyle w:val="FootnoteReference"/>
          <w:szCs w:val="18"/>
          <w:lang w:val="es-ES"/>
        </w:rPr>
        <w:footnoteRef/>
      </w:r>
      <w:r w:rsidRPr="00AF380B">
        <w:rPr>
          <w:szCs w:val="18"/>
          <w:lang w:val="es-ES"/>
        </w:rPr>
        <w:t xml:space="preserve"> </w:t>
      </w:r>
      <w:r w:rsidR="00D54233" w:rsidRPr="00AF380B">
        <w:rPr>
          <w:lang w:val="es-ES"/>
        </w:rPr>
        <w:t xml:space="preserve">Es más probable que los puntos focales nacionales fuera de la región de los Estados de Europa Occidental y otros Estados cuenten con designaciones adicionales como puntos focales. Al examinar </w:t>
      </w:r>
      <w:r w:rsidR="007C3930" w:rsidRPr="00AF380B">
        <w:rPr>
          <w:lang w:val="es-ES"/>
        </w:rPr>
        <w:t xml:space="preserve">la categoría profesional </w:t>
      </w:r>
      <w:r w:rsidR="00D54233" w:rsidRPr="00AF380B">
        <w:rPr>
          <w:lang w:val="es-ES"/>
        </w:rPr>
        <w:t xml:space="preserve">de los puntos focales nacionales basándose en la información facilitada sobre su función oficial, se observó que aproximadamente el 13 % se encontraba </w:t>
      </w:r>
      <w:r w:rsidR="003D5010" w:rsidRPr="00AF380B">
        <w:rPr>
          <w:lang w:val="es-ES"/>
        </w:rPr>
        <w:t xml:space="preserve">en la categoría </w:t>
      </w:r>
      <w:r w:rsidR="00D54233" w:rsidRPr="00AF380B">
        <w:rPr>
          <w:lang w:val="es-ES"/>
        </w:rPr>
        <w:t>ministerial o de director general</w:t>
      </w:r>
      <w:r w:rsidR="003D5010" w:rsidRPr="00AF380B">
        <w:rPr>
          <w:lang w:val="es-ES"/>
        </w:rPr>
        <w:t>,</w:t>
      </w:r>
      <w:r w:rsidR="00D54233" w:rsidRPr="00AF380B">
        <w:rPr>
          <w:lang w:val="es-ES"/>
        </w:rPr>
        <w:t xml:space="preserve"> y alrededor del 40 % </w:t>
      </w:r>
      <w:r w:rsidR="003D5010" w:rsidRPr="00AF380B">
        <w:rPr>
          <w:lang w:val="es-ES"/>
        </w:rPr>
        <w:t xml:space="preserve">en la categoría </w:t>
      </w:r>
      <w:r w:rsidR="00D54233" w:rsidRPr="00AF380B">
        <w:rPr>
          <w:lang w:val="es-ES"/>
        </w:rPr>
        <w:t xml:space="preserve">de director o jefe. Para más información sobre los puntos focales nacionales, véase el documento </w:t>
      </w:r>
      <w:hyperlink r:id="rId14" w:history="1">
        <w:r w:rsidR="00D54233" w:rsidRPr="00AF380B">
          <w:rPr>
            <w:rStyle w:val="Hyperlink"/>
            <w:szCs w:val="18"/>
            <w:lang w:val="es-ES"/>
          </w:rPr>
          <w:t>CBD/SBI/7/INF/4</w:t>
        </w:r>
      </w:hyperlink>
      <w:r w:rsidR="00D54233" w:rsidRPr="00AF380B">
        <w:rPr>
          <w:lang w:val="es-ES"/>
        </w:rPr>
        <w:t>, sección II.A.1.</w:t>
      </w:r>
    </w:p>
  </w:footnote>
  <w:footnote w:id="18">
    <w:p w14:paraId="3D442540" w14:textId="1A157253" w:rsidR="0022028D" w:rsidRPr="00AF380B" w:rsidRDefault="0022028D" w:rsidP="0022028D">
      <w:pPr>
        <w:pStyle w:val="FootnoteText"/>
        <w:rPr>
          <w:szCs w:val="18"/>
          <w:lang w:val="es-ES"/>
        </w:rPr>
      </w:pPr>
      <w:r w:rsidRPr="00AF380B">
        <w:rPr>
          <w:rStyle w:val="FootnoteReference"/>
          <w:szCs w:val="18"/>
          <w:lang w:val="es-ES"/>
        </w:rPr>
        <w:footnoteRef/>
      </w:r>
      <w:r w:rsidRPr="00AF380B">
        <w:rPr>
          <w:szCs w:val="18"/>
          <w:lang w:val="es-ES"/>
        </w:rPr>
        <w:t xml:space="preserve"> </w:t>
      </w:r>
      <w:r w:rsidR="00D54233" w:rsidRPr="00AF380B">
        <w:rPr>
          <w:szCs w:val="18"/>
          <w:lang w:val="es-ES"/>
        </w:rPr>
        <w:t xml:space="preserve">Para más información, véase el documento </w:t>
      </w:r>
      <w:hyperlink r:id="rId15" w:history="1">
        <w:r w:rsidR="00D54233" w:rsidRPr="00AF380B">
          <w:rPr>
            <w:rStyle w:val="Hyperlink"/>
            <w:szCs w:val="18"/>
            <w:lang w:val="es-ES"/>
          </w:rPr>
          <w:t>CBD/SBI/7/INF/3</w:t>
        </w:r>
      </w:hyperlink>
      <w:r w:rsidR="00D54233" w:rsidRPr="00AF380B">
        <w:rPr>
          <w:szCs w:val="18"/>
          <w:lang w:val="es-ES"/>
        </w:rPr>
        <w:t>, sección 2.1.1</w:t>
      </w:r>
    </w:p>
  </w:footnote>
  <w:footnote w:id="19">
    <w:p w14:paraId="7A55DD24" w14:textId="2F78A764" w:rsidR="0022028D" w:rsidRPr="00AF380B" w:rsidRDefault="0022028D" w:rsidP="0022028D">
      <w:pPr>
        <w:pStyle w:val="FootnoteText"/>
        <w:rPr>
          <w:szCs w:val="18"/>
          <w:lang w:val="es-ES"/>
        </w:rPr>
      </w:pPr>
      <w:r w:rsidRPr="00AF380B">
        <w:rPr>
          <w:rStyle w:val="FootnoteReference"/>
          <w:lang w:val="es-ES"/>
        </w:rPr>
        <w:footnoteRef/>
      </w:r>
      <w:r w:rsidRPr="00AF380B">
        <w:rPr>
          <w:lang w:val="es-ES"/>
        </w:rPr>
        <w:t xml:space="preserve"> </w:t>
      </w:r>
      <w:r w:rsidR="00D54233" w:rsidRPr="00AF380B">
        <w:rPr>
          <w:lang w:val="es-ES"/>
        </w:rPr>
        <w:t>Esto se explica con más detalle en la sección III.A.5 más adelante, relativa a la aplicación de los artículos 15 y 17 del Protocolo de Nagoya.</w:t>
      </w:r>
    </w:p>
  </w:footnote>
  <w:footnote w:id="20">
    <w:p w14:paraId="6E66ABB1" w14:textId="502356F3" w:rsidR="00F03156" w:rsidRPr="00AF380B" w:rsidRDefault="00F03156" w:rsidP="00F03156">
      <w:pPr>
        <w:pStyle w:val="FootnoteText"/>
        <w:rPr>
          <w:szCs w:val="18"/>
          <w:lang w:val="es-ES"/>
        </w:rPr>
      </w:pPr>
      <w:r w:rsidRPr="00AF380B">
        <w:rPr>
          <w:rStyle w:val="FootnoteReference"/>
          <w:lang w:val="es-ES"/>
        </w:rPr>
        <w:footnoteRef/>
      </w:r>
      <w:r w:rsidRPr="00AF380B">
        <w:rPr>
          <w:lang w:val="es-ES"/>
        </w:rPr>
        <w:t xml:space="preserve"> </w:t>
      </w:r>
      <w:r w:rsidR="00D54233" w:rsidRPr="00AF380B">
        <w:rPr>
          <w:szCs w:val="18"/>
          <w:lang w:val="es-ES"/>
        </w:rPr>
        <w:t xml:space="preserve">De conformidad con el </w:t>
      </w:r>
      <w:hyperlink r:id="rId16" w:history="1">
        <w:r w:rsidR="00D54233" w:rsidRPr="00AF380B">
          <w:rPr>
            <w:rStyle w:val="Hyperlink"/>
            <w:szCs w:val="18"/>
            <w:lang w:val="es-ES"/>
          </w:rPr>
          <w:t>artículo 17</w:t>
        </w:r>
        <w:r w:rsidR="009F169B" w:rsidRPr="00AF380B">
          <w:rPr>
            <w:rStyle w:val="Hyperlink"/>
            <w:szCs w:val="18"/>
            <w:lang w:val="es-ES"/>
          </w:rPr>
          <w:t> </w:t>
        </w:r>
        <w:r w:rsidR="00D54233" w:rsidRPr="00AF380B">
          <w:rPr>
            <w:rStyle w:val="Hyperlink"/>
            <w:szCs w:val="18"/>
            <w:lang w:val="es-ES"/>
          </w:rPr>
          <w:t>1 a) </w:t>
        </w:r>
        <w:proofErr w:type="spellStart"/>
        <w:r w:rsidR="00D54233" w:rsidRPr="00AF380B">
          <w:rPr>
            <w:rStyle w:val="Hyperlink"/>
            <w:szCs w:val="18"/>
            <w:lang w:val="es-ES"/>
          </w:rPr>
          <w:t>iv</w:t>
        </w:r>
        <w:proofErr w:type="spellEnd"/>
      </w:hyperlink>
      <w:r w:rsidR="00D54233" w:rsidRPr="00AF380B">
        <w:rPr>
          <w:lang w:val="es-ES"/>
        </w:rPr>
        <w:t>)</w:t>
      </w:r>
      <w:r w:rsidR="00D54233" w:rsidRPr="00AF380B">
        <w:rPr>
          <w:szCs w:val="18"/>
          <w:lang w:val="es-ES"/>
        </w:rPr>
        <w:t xml:space="preserve"> del Protocolo de Nagoya, los puntos </w:t>
      </w:r>
      <w:r w:rsidR="007C536C" w:rsidRPr="00AF380B">
        <w:rPr>
          <w:szCs w:val="18"/>
          <w:lang w:val="es-ES"/>
        </w:rPr>
        <w:t>de verificación</w:t>
      </w:r>
      <w:r w:rsidR="00D54233" w:rsidRPr="00AF380B">
        <w:rPr>
          <w:szCs w:val="18"/>
          <w:lang w:val="es-ES"/>
        </w:rPr>
        <w:t xml:space="preserve"> deben estar relacionados con la utilización de los recursos genéticos o la recopilación de información pertinente, entre otras cosas, en cualquier fase de la investigación, el desarrollo, la innovación, la precomercialización o la comercialización.</w:t>
      </w:r>
    </w:p>
  </w:footnote>
  <w:footnote w:id="21">
    <w:p w14:paraId="73A3EE1D" w14:textId="45AC8DE4" w:rsidR="00F03156" w:rsidRPr="00AF380B" w:rsidRDefault="00F03156" w:rsidP="00422CAD">
      <w:pPr>
        <w:rPr>
          <w:szCs w:val="18"/>
          <w:lang w:val="es-ES"/>
        </w:rPr>
      </w:pPr>
      <w:r w:rsidRPr="00AF380B">
        <w:rPr>
          <w:rStyle w:val="FootnoteReference"/>
          <w:sz w:val="18"/>
          <w:szCs w:val="18"/>
          <w:lang w:val="es-ES"/>
        </w:rPr>
        <w:footnoteRef/>
      </w:r>
      <w:r w:rsidR="00422CAD" w:rsidRPr="00AF380B">
        <w:rPr>
          <w:sz w:val="18"/>
          <w:szCs w:val="18"/>
          <w:lang w:val="es-ES"/>
        </w:rPr>
        <w:t xml:space="preserve"> Para más información, véanse los documentos </w:t>
      </w:r>
      <w:hyperlink r:id="rId17" w:history="1">
        <w:r w:rsidR="00422CAD" w:rsidRPr="00AF380B">
          <w:rPr>
            <w:rStyle w:val="Hyperlink"/>
            <w:sz w:val="18"/>
            <w:szCs w:val="18"/>
            <w:lang w:val="es-ES"/>
          </w:rPr>
          <w:t>CBD/SBI/7/INF/2</w:t>
        </w:r>
      </w:hyperlink>
      <w:r w:rsidR="00422CAD" w:rsidRPr="00AF380B">
        <w:rPr>
          <w:sz w:val="18"/>
          <w:szCs w:val="18"/>
          <w:lang w:val="es-ES"/>
        </w:rPr>
        <w:t xml:space="preserve">, sección III.A.3; </w:t>
      </w:r>
      <w:hyperlink r:id="rId18" w:history="1">
        <w:r w:rsidR="00422CAD" w:rsidRPr="00AF380B">
          <w:rPr>
            <w:rStyle w:val="Hyperlink"/>
            <w:sz w:val="18"/>
            <w:szCs w:val="18"/>
            <w:lang w:val="es-ES"/>
          </w:rPr>
          <w:t>CBD/SBI/7/INF/3</w:t>
        </w:r>
      </w:hyperlink>
      <w:r w:rsidR="00422CAD" w:rsidRPr="00AF380B">
        <w:rPr>
          <w:sz w:val="18"/>
          <w:szCs w:val="18"/>
          <w:lang w:val="es-ES"/>
        </w:rPr>
        <w:t xml:space="preserve">, secciones 2.1.1 y 2.2; y </w:t>
      </w:r>
      <w:hyperlink r:id="rId19" w:history="1">
        <w:r w:rsidR="00422CAD" w:rsidRPr="00AF380B">
          <w:rPr>
            <w:rStyle w:val="Hyperlink"/>
            <w:sz w:val="18"/>
            <w:szCs w:val="18"/>
            <w:lang w:val="es-ES"/>
          </w:rPr>
          <w:t>CBD/SBI/7/INF/4</w:t>
        </w:r>
      </w:hyperlink>
      <w:r w:rsidR="00422CAD" w:rsidRPr="00AF380B">
        <w:rPr>
          <w:sz w:val="18"/>
          <w:szCs w:val="18"/>
          <w:lang w:val="es-ES"/>
        </w:rPr>
        <w:t>.</w:t>
      </w:r>
    </w:p>
  </w:footnote>
  <w:footnote w:id="22">
    <w:p w14:paraId="315A3909" w14:textId="1691CE1F" w:rsidR="00F03156" w:rsidRPr="00AF380B" w:rsidRDefault="00F03156" w:rsidP="00422CAD">
      <w:pPr>
        <w:rPr>
          <w:szCs w:val="18"/>
          <w:lang w:val="es-ES"/>
        </w:rPr>
      </w:pPr>
      <w:r w:rsidRPr="00AF380B">
        <w:rPr>
          <w:rStyle w:val="FootnoteReference"/>
          <w:sz w:val="18"/>
          <w:szCs w:val="18"/>
          <w:lang w:val="es-ES"/>
        </w:rPr>
        <w:footnoteRef/>
      </w:r>
      <w:r w:rsidRPr="00AF380B">
        <w:rPr>
          <w:sz w:val="18"/>
          <w:szCs w:val="18"/>
          <w:lang w:val="es-ES"/>
        </w:rPr>
        <w:t xml:space="preserve"> </w:t>
      </w:r>
      <w:r w:rsidR="00422CAD" w:rsidRPr="00AF380B">
        <w:rPr>
          <w:sz w:val="18"/>
          <w:szCs w:val="18"/>
          <w:lang w:val="es-ES"/>
        </w:rPr>
        <w:t xml:space="preserve">La sección III.A.3 del documento </w:t>
      </w:r>
      <w:hyperlink r:id="rId20" w:history="1">
        <w:r w:rsidR="00422CAD" w:rsidRPr="00AF380B">
          <w:rPr>
            <w:rStyle w:val="Hyperlink"/>
            <w:sz w:val="18"/>
            <w:szCs w:val="18"/>
            <w:lang w:val="es-ES"/>
          </w:rPr>
          <w:t>CBD/SBI/7/INF/2</w:t>
        </w:r>
      </w:hyperlink>
      <w:r w:rsidR="00422CAD" w:rsidRPr="00AF380B">
        <w:rPr>
          <w:sz w:val="18"/>
          <w:szCs w:val="18"/>
          <w:lang w:val="es-ES"/>
        </w:rPr>
        <w:t xml:space="preserve"> </w:t>
      </w:r>
      <w:r w:rsidR="00586951" w:rsidRPr="00AF380B">
        <w:rPr>
          <w:sz w:val="18"/>
          <w:szCs w:val="18"/>
          <w:lang w:val="es-ES"/>
        </w:rPr>
        <w:t xml:space="preserve">contiene </w:t>
      </w:r>
      <w:r w:rsidR="00422CAD" w:rsidRPr="00AF380B">
        <w:rPr>
          <w:sz w:val="18"/>
          <w:szCs w:val="18"/>
          <w:lang w:val="es-ES"/>
        </w:rPr>
        <w:t xml:space="preserve">resúmenes y ejemplos de algunos de esos enfoques. </w:t>
      </w:r>
    </w:p>
  </w:footnote>
  <w:footnote w:id="23">
    <w:p w14:paraId="6D4ADDD7" w14:textId="053D4153" w:rsidR="00F03156" w:rsidRPr="00AF380B" w:rsidRDefault="00F03156" w:rsidP="00CC025E">
      <w:pPr>
        <w:rPr>
          <w:sz w:val="18"/>
          <w:szCs w:val="18"/>
          <w:lang w:val="es-ES"/>
        </w:rPr>
      </w:pPr>
      <w:r w:rsidRPr="00AF380B">
        <w:rPr>
          <w:rStyle w:val="FootnoteReference"/>
          <w:sz w:val="18"/>
          <w:szCs w:val="18"/>
          <w:lang w:val="es-ES"/>
        </w:rPr>
        <w:footnoteRef/>
      </w:r>
      <w:r w:rsidRPr="00AF380B">
        <w:rPr>
          <w:sz w:val="18"/>
          <w:szCs w:val="18"/>
          <w:lang w:val="es-ES"/>
        </w:rPr>
        <w:t xml:space="preserve"> </w:t>
      </w:r>
      <w:r w:rsidR="00422CAD" w:rsidRPr="00AF380B">
        <w:rPr>
          <w:sz w:val="18"/>
          <w:szCs w:val="18"/>
          <w:lang w:val="es-ES"/>
        </w:rPr>
        <w:t xml:space="preserve">Treinta Partes (el 21 %) han publicado al menos un procedimiento, con un total de 39 registros. En la sección II.A.5 del documento </w:t>
      </w:r>
      <w:hyperlink r:id="rId21" w:history="1">
        <w:r w:rsidR="00422CAD" w:rsidRPr="00AF380B">
          <w:rPr>
            <w:rStyle w:val="Hyperlink"/>
            <w:sz w:val="18"/>
            <w:szCs w:val="18"/>
            <w:lang w:val="es-ES"/>
          </w:rPr>
          <w:t>CBD/SBI/7/INF/4</w:t>
        </w:r>
      </w:hyperlink>
      <w:r w:rsidR="00422CAD" w:rsidRPr="00AF380B">
        <w:rPr>
          <w:sz w:val="18"/>
          <w:szCs w:val="18"/>
          <w:lang w:val="es-ES"/>
        </w:rPr>
        <w:t xml:space="preserve"> se puede encontrar información adicional sobre el análisis de los procedimientos publicados de acceso y participación en los beneficios, así como información de referencia.</w:t>
      </w:r>
    </w:p>
  </w:footnote>
  <w:footnote w:id="24">
    <w:p w14:paraId="6C2D7D8F" w14:textId="6E678407" w:rsidR="00F03156" w:rsidRPr="00AF380B" w:rsidRDefault="00F03156" w:rsidP="00152FF8">
      <w:pPr>
        <w:rPr>
          <w:lang w:val="es-ES"/>
        </w:rPr>
      </w:pPr>
      <w:r w:rsidRPr="00AF380B">
        <w:rPr>
          <w:rStyle w:val="FootnoteReference"/>
          <w:sz w:val="18"/>
          <w:szCs w:val="18"/>
          <w:lang w:val="es-ES"/>
        </w:rPr>
        <w:footnoteRef/>
      </w:r>
      <w:r w:rsidRPr="00AF380B">
        <w:rPr>
          <w:sz w:val="18"/>
          <w:szCs w:val="18"/>
          <w:lang w:val="es-ES"/>
        </w:rPr>
        <w:t xml:space="preserve"> </w:t>
      </w:r>
      <w:r w:rsidR="00152FF8" w:rsidRPr="00AF380B">
        <w:rPr>
          <w:sz w:val="18"/>
          <w:szCs w:val="18"/>
          <w:lang w:val="es-ES"/>
        </w:rPr>
        <w:t xml:space="preserve">Solo 12 Partes (el 8 %) han publicado información sobre las cláusulas contractuales </w:t>
      </w:r>
      <w:proofErr w:type="gramStart"/>
      <w:r w:rsidR="00152FF8" w:rsidRPr="00AF380B">
        <w:rPr>
          <w:sz w:val="18"/>
          <w:szCs w:val="18"/>
          <w:lang w:val="es-ES"/>
        </w:rPr>
        <w:t>modelo nacionales</w:t>
      </w:r>
      <w:proofErr w:type="gramEnd"/>
      <w:r w:rsidR="00152FF8" w:rsidRPr="00AF380B">
        <w:rPr>
          <w:sz w:val="18"/>
          <w:szCs w:val="18"/>
          <w:lang w:val="es-ES"/>
        </w:rPr>
        <w:t xml:space="preserve"> mediante ese formato específico de registro. En algunos casos, las cláusulas contractuales modelo nacionales se han incluido como parte de los registros de medidas de acceso y participación en los beneficios. Se puede </w:t>
      </w:r>
      <w:r w:rsidR="0048399F" w:rsidRPr="00AF380B">
        <w:rPr>
          <w:sz w:val="18"/>
          <w:szCs w:val="18"/>
          <w:lang w:val="es-ES"/>
        </w:rPr>
        <w:t xml:space="preserve">consultar </w:t>
      </w:r>
      <w:r w:rsidR="00152FF8" w:rsidRPr="00AF380B">
        <w:rPr>
          <w:sz w:val="18"/>
          <w:szCs w:val="18"/>
          <w:lang w:val="es-ES"/>
        </w:rPr>
        <w:t xml:space="preserve">información adicional al respecto en el documento </w:t>
      </w:r>
      <w:hyperlink r:id="rId22" w:history="1">
        <w:r w:rsidR="00152FF8" w:rsidRPr="00AF380B">
          <w:rPr>
            <w:rStyle w:val="Hyperlink"/>
            <w:sz w:val="18"/>
            <w:szCs w:val="18"/>
            <w:lang w:val="es-ES"/>
          </w:rPr>
          <w:t>CBD/SBI/7/INF/4</w:t>
        </w:r>
      </w:hyperlink>
      <w:r w:rsidR="00152FF8" w:rsidRPr="00AF380B">
        <w:rPr>
          <w:sz w:val="18"/>
          <w:szCs w:val="18"/>
          <w:lang w:val="es-ES"/>
        </w:rPr>
        <w:t>, sección II.A.4.</w:t>
      </w:r>
    </w:p>
  </w:footnote>
  <w:footnote w:id="25">
    <w:p w14:paraId="2836CBEA" w14:textId="66891FA8" w:rsidR="00F03156" w:rsidRPr="00AF380B" w:rsidRDefault="00F03156" w:rsidP="00F03156">
      <w:pPr>
        <w:pStyle w:val="FootnoteText"/>
        <w:rPr>
          <w:szCs w:val="18"/>
          <w:lang w:val="es-ES"/>
        </w:rPr>
      </w:pPr>
      <w:r w:rsidRPr="00AF380B">
        <w:rPr>
          <w:rStyle w:val="FootnoteReference"/>
          <w:lang w:val="es-ES"/>
        </w:rPr>
        <w:footnoteRef/>
      </w:r>
      <w:r w:rsidR="00152FF8" w:rsidRPr="00AF380B">
        <w:rPr>
          <w:szCs w:val="18"/>
          <w:lang w:val="es-ES"/>
        </w:rPr>
        <w:t xml:space="preserve"> Cuarenta y seis Partes han publicado 66 registros. Se puede consultar información adicional en la sección II.A.10 del documento </w:t>
      </w:r>
      <w:hyperlink r:id="rId23" w:history="1">
        <w:r w:rsidR="00152FF8" w:rsidRPr="00AF380B">
          <w:rPr>
            <w:rStyle w:val="Hyperlink"/>
            <w:szCs w:val="18"/>
            <w:lang w:val="es-ES"/>
          </w:rPr>
          <w:t>CBD/SBI/7/INF/4</w:t>
        </w:r>
      </w:hyperlink>
      <w:r w:rsidR="00152FF8" w:rsidRPr="00AF380B">
        <w:rPr>
          <w:szCs w:val="18"/>
          <w:lang w:val="es-ES"/>
        </w:rPr>
        <w:t>.</w:t>
      </w:r>
    </w:p>
  </w:footnote>
  <w:footnote w:id="26">
    <w:p w14:paraId="59EE322F" w14:textId="0A9DE6FD" w:rsidR="00EE1C1B" w:rsidRPr="00AF380B" w:rsidRDefault="00EE1C1B" w:rsidP="00705E74">
      <w:pPr>
        <w:rPr>
          <w:lang w:val="es-ES"/>
        </w:rPr>
      </w:pPr>
      <w:r w:rsidRPr="00AF380B">
        <w:rPr>
          <w:rStyle w:val="FootnoteReference"/>
          <w:sz w:val="18"/>
          <w:szCs w:val="18"/>
          <w:lang w:val="es-ES"/>
        </w:rPr>
        <w:footnoteRef/>
      </w:r>
      <w:r w:rsidRPr="00AF380B">
        <w:rPr>
          <w:sz w:val="18"/>
          <w:szCs w:val="18"/>
          <w:lang w:val="es-ES"/>
        </w:rPr>
        <w:t xml:space="preserve"> </w:t>
      </w:r>
      <w:r w:rsidR="00705E74" w:rsidRPr="00AF380B">
        <w:rPr>
          <w:sz w:val="18"/>
          <w:szCs w:val="18"/>
          <w:lang w:val="es-ES"/>
        </w:rPr>
        <w:t xml:space="preserve">En las respuestas a la encuesta </w:t>
      </w:r>
      <w:r w:rsidR="001767D2" w:rsidRPr="00AF380B">
        <w:rPr>
          <w:sz w:val="18"/>
          <w:szCs w:val="18"/>
          <w:lang w:val="es-ES"/>
        </w:rPr>
        <w:t>dirigida</w:t>
      </w:r>
      <w:r w:rsidR="00705E74" w:rsidRPr="00AF380B">
        <w:rPr>
          <w:sz w:val="18"/>
          <w:szCs w:val="18"/>
          <w:lang w:val="es-ES"/>
        </w:rPr>
        <w:t xml:space="preserve">, varios usuarios, tanto del ámbito científico como del empresarial, han destacado la dificultad que supone hacer frente al amplio impacto de las burocracias gubernamentales y a los considerables retrasos en la obtención del consentimiento fundamentado previo, que puede llevar meses o incluso años. Se han aportado numerosos ejemplos de procesos prolongados para </w:t>
      </w:r>
      <w:r w:rsidR="0020245E" w:rsidRPr="00AF380B">
        <w:rPr>
          <w:sz w:val="18"/>
          <w:szCs w:val="18"/>
          <w:lang w:val="es-ES"/>
        </w:rPr>
        <w:t xml:space="preserve">señalar </w:t>
      </w:r>
      <w:r w:rsidR="00705E74" w:rsidRPr="00AF380B">
        <w:rPr>
          <w:sz w:val="18"/>
          <w:szCs w:val="18"/>
          <w:lang w:val="es-ES"/>
        </w:rPr>
        <w:t xml:space="preserve">estas dificultades. La complejidad de los procesos de acceso y </w:t>
      </w:r>
      <w:r w:rsidR="005139A6" w:rsidRPr="00AF380B">
        <w:rPr>
          <w:sz w:val="18"/>
          <w:szCs w:val="18"/>
          <w:lang w:val="es-ES"/>
        </w:rPr>
        <w:t xml:space="preserve">participación en los </w:t>
      </w:r>
      <w:r w:rsidR="00705E74" w:rsidRPr="00AF380B">
        <w:rPr>
          <w:sz w:val="18"/>
          <w:szCs w:val="18"/>
          <w:lang w:val="es-ES"/>
        </w:rPr>
        <w:t xml:space="preserve">beneficios y los plazos impredecibles han afectado a la capacidad de algunas instituciones para iniciar y completar actividades de investigación, ya que el tiempo necesario para establecer condiciones mutuamente acordadas puede ser incompatible con los plazos de los proyectos o las restricciones de financiación. Se puede encontrar más información al respecto en el documento </w:t>
      </w:r>
      <w:hyperlink r:id="rId24" w:history="1">
        <w:r w:rsidR="00705E74" w:rsidRPr="00AF380B">
          <w:rPr>
            <w:rStyle w:val="Hyperlink"/>
            <w:sz w:val="18"/>
            <w:szCs w:val="18"/>
            <w:lang w:val="es-ES"/>
          </w:rPr>
          <w:t>CBD/SBI/7/INF/3</w:t>
        </w:r>
      </w:hyperlink>
      <w:r w:rsidR="00705E74" w:rsidRPr="00AF380B">
        <w:rPr>
          <w:sz w:val="18"/>
          <w:szCs w:val="18"/>
          <w:lang w:val="es-ES"/>
        </w:rPr>
        <w:t xml:space="preserve">, sección 2.1.1. La cuestión también se </w:t>
      </w:r>
      <w:r w:rsidR="00EF0453" w:rsidRPr="00AF380B">
        <w:rPr>
          <w:sz w:val="18"/>
          <w:szCs w:val="18"/>
          <w:lang w:val="es-ES"/>
        </w:rPr>
        <w:t xml:space="preserve">trata </w:t>
      </w:r>
      <w:r w:rsidR="00705E74" w:rsidRPr="00AF380B">
        <w:rPr>
          <w:sz w:val="18"/>
          <w:szCs w:val="18"/>
          <w:lang w:val="es-ES"/>
        </w:rPr>
        <w:t>más adelante en el elemento B sobre la eficacia.</w:t>
      </w:r>
    </w:p>
  </w:footnote>
  <w:footnote w:id="27">
    <w:p w14:paraId="2208083F" w14:textId="1101F72B" w:rsidR="00EE1C1B" w:rsidRPr="00AF380B" w:rsidRDefault="00EE1C1B" w:rsidP="00EE1C1B">
      <w:pPr>
        <w:pStyle w:val="FootnoteText"/>
        <w:rPr>
          <w:szCs w:val="18"/>
          <w:lang w:val="es-ES"/>
        </w:rPr>
      </w:pPr>
      <w:r w:rsidRPr="00AF380B">
        <w:rPr>
          <w:rStyle w:val="FootnoteReference"/>
          <w:lang w:val="es-ES"/>
        </w:rPr>
        <w:footnoteRef/>
      </w:r>
      <w:r w:rsidR="00705E74" w:rsidRPr="00AF380B">
        <w:rPr>
          <w:szCs w:val="18"/>
          <w:lang w:val="es-ES"/>
        </w:rPr>
        <w:t xml:space="preserve"> Las empresas necesitan seguridad jurídica y previsibilidad</w:t>
      </w:r>
      <w:r w:rsidR="0020245E" w:rsidRPr="00AF380B">
        <w:rPr>
          <w:szCs w:val="18"/>
          <w:lang w:val="es-ES"/>
        </w:rPr>
        <w:t>,</w:t>
      </w:r>
      <w:r w:rsidR="00705E74" w:rsidRPr="00AF380B">
        <w:rPr>
          <w:szCs w:val="18"/>
          <w:lang w:val="es-ES"/>
        </w:rPr>
        <w:t xml:space="preserve"> y muchas de ellas, según los resultados de la encuesta </w:t>
      </w:r>
      <w:r w:rsidR="001767D2" w:rsidRPr="00AF380B">
        <w:rPr>
          <w:szCs w:val="18"/>
          <w:lang w:val="es-ES"/>
        </w:rPr>
        <w:t>dirigida</w:t>
      </w:r>
      <w:r w:rsidR="00705E74" w:rsidRPr="00AF380B">
        <w:rPr>
          <w:szCs w:val="18"/>
          <w:lang w:val="es-ES"/>
        </w:rPr>
        <w:t xml:space="preserve">, subrayaron que las obligaciones de participación en los beneficios no podían determinarse únicamente tras la comercialización o el desarrollo del producto. Por lo general, las empresas no están dispuestas a invertir en investigación y desarrollo sin la garantía o la seguridad jurídica de que se puedan negociar condiciones aceptables en un plazo razonable. Se puede </w:t>
      </w:r>
      <w:r w:rsidR="0020245E" w:rsidRPr="00AF380B">
        <w:rPr>
          <w:szCs w:val="18"/>
          <w:lang w:val="es-ES"/>
        </w:rPr>
        <w:t xml:space="preserve">consultar </w:t>
      </w:r>
      <w:r w:rsidR="00705E74" w:rsidRPr="00AF380B">
        <w:rPr>
          <w:szCs w:val="18"/>
          <w:lang w:val="es-ES"/>
        </w:rPr>
        <w:t xml:space="preserve">más información al respecto en el documento </w:t>
      </w:r>
      <w:hyperlink r:id="rId25" w:history="1">
        <w:r w:rsidR="00705E74" w:rsidRPr="00AF380B">
          <w:rPr>
            <w:rStyle w:val="Hyperlink"/>
            <w:szCs w:val="18"/>
            <w:lang w:val="es-ES"/>
          </w:rPr>
          <w:t>CBD/SBI/7/INF/3</w:t>
        </w:r>
      </w:hyperlink>
      <w:r w:rsidR="00705E74" w:rsidRPr="00AF380B">
        <w:rPr>
          <w:szCs w:val="18"/>
          <w:lang w:val="es-ES"/>
        </w:rPr>
        <w:t>, sección 2.2.</w:t>
      </w:r>
    </w:p>
  </w:footnote>
  <w:footnote w:id="28">
    <w:p w14:paraId="2C3CC1CA" w14:textId="1C0B62DA" w:rsidR="00777658" w:rsidRPr="00AF380B" w:rsidRDefault="00777658" w:rsidP="00777658">
      <w:pPr>
        <w:pStyle w:val="FootnoteText"/>
        <w:rPr>
          <w:szCs w:val="18"/>
          <w:lang w:val="es-ES"/>
        </w:rPr>
      </w:pPr>
      <w:r w:rsidRPr="00AF380B">
        <w:rPr>
          <w:rStyle w:val="FootnoteReference"/>
          <w:szCs w:val="18"/>
          <w:lang w:val="es-ES"/>
        </w:rPr>
        <w:footnoteRef/>
      </w:r>
      <w:r w:rsidRPr="00AF380B">
        <w:rPr>
          <w:szCs w:val="18"/>
          <w:lang w:val="es-ES"/>
        </w:rPr>
        <w:t xml:space="preserve"> </w:t>
      </w:r>
      <w:r w:rsidR="00B250C7" w:rsidRPr="00AF380B">
        <w:rPr>
          <w:szCs w:val="18"/>
          <w:lang w:val="es-ES"/>
        </w:rPr>
        <w:t xml:space="preserve">Este aspecto se </w:t>
      </w:r>
      <w:r w:rsidR="00457BB6" w:rsidRPr="00AF380B">
        <w:rPr>
          <w:szCs w:val="18"/>
          <w:lang w:val="es-ES"/>
        </w:rPr>
        <w:t xml:space="preserve">trata </w:t>
      </w:r>
      <w:r w:rsidR="00B250C7" w:rsidRPr="00AF380B">
        <w:rPr>
          <w:szCs w:val="18"/>
          <w:lang w:val="es-ES"/>
        </w:rPr>
        <w:t xml:space="preserve">con más detalle en el elemento G, que figura a continuación, relativo al examen de la aplicación y el funcionamiento del </w:t>
      </w:r>
      <w:r w:rsidR="00746B08" w:rsidRPr="00AF380B">
        <w:rPr>
          <w:szCs w:val="18"/>
          <w:lang w:val="es-ES"/>
        </w:rPr>
        <w:t>Centro de Intercambio de Información sobre Acceso y Participación en los Beneficios</w:t>
      </w:r>
      <w:r w:rsidR="00B250C7" w:rsidRPr="00AF380B">
        <w:rPr>
          <w:szCs w:val="18"/>
          <w:lang w:val="es-ES"/>
        </w:rPr>
        <w:t>.</w:t>
      </w:r>
    </w:p>
  </w:footnote>
  <w:footnote w:id="29">
    <w:p w14:paraId="7C5A241D" w14:textId="550B8305" w:rsidR="00890F56" w:rsidRPr="00AF380B" w:rsidRDefault="00890F56" w:rsidP="00890F56">
      <w:pPr>
        <w:pStyle w:val="FootnoteText"/>
        <w:rPr>
          <w:lang w:val="es-ES"/>
        </w:rPr>
      </w:pPr>
      <w:r w:rsidRPr="00AF380B">
        <w:rPr>
          <w:rStyle w:val="FootnoteReference"/>
          <w:szCs w:val="18"/>
          <w:lang w:val="es-ES"/>
        </w:rPr>
        <w:footnoteRef/>
      </w:r>
      <w:r w:rsidRPr="00AF380B">
        <w:rPr>
          <w:szCs w:val="18"/>
          <w:lang w:val="es-ES"/>
        </w:rPr>
        <w:t xml:space="preserve"> </w:t>
      </w:r>
      <w:r w:rsidR="00B250C7" w:rsidRPr="00AF380B">
        <w:rPr>
          <w:szCs w:val="18"/>
          <w:lang w:val="es-ES"/>
        </w:rPr>
        <w:t xml:space="preserve">Para más información, véase el documento </w:t>
      </w:r>
      <w:hyperlink r:id="rId26" w:history="1">
        <w:r w:rsidRPr="00AF380B">
          <w:rPr>
            <w:rStyle w:val="Hyperlink"/>
            <w:szCs w:val="18"/>
            <w:lang w:val="es-ES"/>
          </w:rPr>
          <w:t>CBD/SBI/7/INF/2</w:t>
        </w:r>
      </w:hyperlink>
      <w:r w:rsidRPr="00AF380B">
        <w:rPr>
          <w:szCs w:val="18"/>
          <w:lang w:val="es-ES"/>
        </w:rPr>
        <w:t>, sec</w:t>
      </w:r>
      <w:r w:rsidR="00B250C7" w:rsidRPr="00AF380B">
        <w:rPr>
          <w:szCs w:val="18"/>
          <w:lang w:val="es-ES"/>
        </w:rPr>
        <w:t>ción</w:t>
      </w:r>
      <w:r w:rsidRPr="00AF380B">
        <w:rPr>
          <w:szCs w:val="18"/>
          <w:lang w:val="es-ES"/>
        </w:rPr>
        <w:t xml:space="preserve"> III.A.4.</w:t>
      </w:r>
    </w:p>
  </w:footnote>
  <w:footnote w:id="30">
    <w:p w14:paraId="5B5ECDA3" w14:textId="5415F752" w:rsidR="00890F56" w:rsidRPr="00AF380B" w:rsidRDefault="00890F56" w:rsidP="00890F56">
      <w:pPr>
        <w:pStyle w:val="FootnoteText"/>
        <w:rPr>
          <w:szCs w:val="18"/>
          <w:lang w:val="es-ES"/>
        </w:rPr>
      </w:pPr>
      <w:r w:rsidRPr="00AF380B">
        <w:rPr>
          <w:rStyle w:val="FootnoteReference"/>
          <w:szCs w:val="18"/>
          <w:lang w:val="es-ES"/>
        </w:rPr>
        <w:footnoteRef/>
      </w:r>
      <w:r w:rsidRPr="00AF380B">
        <w:rPr>
          <w:szCs w:val="18"/>
          <w:lang w:val="es-ES"/>
        </w:rPr>
        <w:t xml:space="preserve"> </w:t>
      </w:r>
      <w:r w:rsidR="00B250C7" w:rsidRPr="00AF380B">
        <w:rPr>
          <w:szCs w:val="18"/>
          <w:lang w:val="es-ES"/>
        </w:rPr>
        <w:t xml:space="preserve">El documento </w:t>
      </w:r>
      <w:hyperlink r:id="rId27" w:history="1">
        <w:r w:rsidR="00B250C7" w:rsidRPr="00AF380B">
          <w:rPr>
            <w:rStyle w:val="Hyperlink"/>
            <w:szCs w:val="18"/>
            <w:lang w:val="es-ES"/>
          </w:rPr>
          <w:t>CBD/SBI/7/INF/2</w:t>
        </w:r>
      </w:hyperlink>
      <w:r w:rsidR="00B250C7" w:rsidRPr="00AF380B">
        <w:rPr>
          <w:lang w:val="es-ES"/>
        </w:rPr>
        <w:t xml:space="preserve"> </w:t>
      </w:r>
      <w:r w:rsidR="00B250C7" w:rsidRPr="00AF380B">
        <w:rPr>
          <w:szCs w:val="18"/>
          <w:lang w:val="es-ES"/>
        </w:rPr>
        <w:t>incluye resúmenes y ejemplos de algunos de esos enfoques.</w:t>
      </w:r>
    </w:p>
  </w:footnote>
  <w:footnote w:id="31">
    <w:p w14:paraId="2939E906" w14:textId="558D0914" w:rsidR="00503DB0" w:rsidRPr="00AF380B" w:rsidRDefault="00503DB0">
      <w:pPr>
        <w:pStyle w:val="FootnoteText"/>
        <w:rPr>
          <w:szCs w:val="18"/>
          <w:lang w:val="es-ES"/>
        </w:rPr>
      </w:pPr>
      <w:r w:rsidRPr="00AF380B">
        <w:rPr>
          <w:rStyle w:val="FootnoteReference"/>
          <w:szCs w:val="18"/>
          <w:lang w:val="es-ES"/>
        </w:rPr>
        <w:footnoteRef/>
      </w:r>
      <w:r w:rsidRPr="00AF380B">
        <w:rPr>
          <w:szCs w:val="18"/>
          <w:lang w:val="es-ES"/>
        </w:rPr>
        <w:t xml:space="preserve"> </w:t>
      </w:r>
      <w:r w:rsidR="00B250C7" w:rsidRPr="00AF380B">
        <w:rPr>
          <w:szCs w:val="18"/>
          <w:lang w:val="es-ES"/>
        </w:rPr>
        <w:t>La información relativa a la negociación de condiciones mutuamente acordadas figura en la sección III.A.3 anterior, sobre medidas relacionadas con el acceso.</w:t>
      </w:r>
    </w:p>
  </w:footnote>
  <w:footnote w:id="32">
    <w:p w14:paraId="067D93DE" w14:textId="1373EF9C" w:rsidR="00AB668F" w:rsidRPr="00AF380B" w:rsidRDefault="00773863" w:rsidP="00AB668F">
      <w:pPr>
        <w:rPr>
          <w:sz w:val="18"/>
          <w:szCs w:val="18"/>
          <w:lang w:val="es-ES"/>
        </w:rPr>
      </w:pPr>
      <w:r w:rsidRPr="00AF380B">
        <w:rPr>
          <w:rStyle w:val="FootnoteReference"/>
          <w:sz w:val="18"/>
          <w:szCs w:val="18"/>
          <w:lang w:val="es-ES"/>
        </w:rPr>
        <w:footnoteRef/>
      </w:r>
      <w:r w:rsidR="00AB668F" w:rsidRPr="00AF380B">
        <w:rPr>
          <w:sz w:val="18"/>
          <w:szCs w:val="18"/>
          <w:lang w:val="es-ES"/>
        </w:rPr>
        <w:t xml:space="preserve"> Para más información, véanse los documentos </w:t>
      </w:r>
      <w:hyperlink r:id="rId28" w:history="1">
        <w:r w:rsidR="00AB668F" w:rsidRPr="00AF380B">
          <w:rPr>
            <w:rStyle w:val="Hyperlink"/>
            <w:sz w:val="18"/>
            <w:szCs w:val="18"/>
            <w:lang w:val="es-ES"/>
          </w:rPr>
          <w:t>CBD/SBI/7/INF/2</w:t>
        </w:r>
      </w:hyperlink>
      <w:r w:rsidR="00AB668F" w:rsidRPr="00AF380B">
        <w:rPr>
          <w:sz w:val="18"/>
          <w:szCs w:val="18"/>
          <w:lang w:val="es-ES"/>
        </w:rPr>
        <w:t xml:space="preserve">, sección III.A.5; </w:t>
      </w:r>
      <w:hyperlink r:id="rId29" w:history="1">
        <w:r w:rsidR="00AB668F" w:rsidRPr="00AF380B">
          <w:rPr>
            <w:rStyle w:val="Hyperlink"/>
            <w:sz w:val="18"/>
            <w:szCs w:val="18"/>
            <w:lang w:val="es-ES"/>
          </w:rPr>
          <w:t>CBD/SBI/7/INF/3</w:t>
        </w:r>
      </w:hyperlink>
      <w:r w:rsidR="00AB668F" w:rsidRPr="00AF380B">
        <w:rPr>
          <w:sz w:val="18"/>
          <w:szCs w:val="18"/>
          <w:lang w:val="es-ES"/>
        </w:rPr>
        <w:t xml:space="preserve">, sección 2.1.2; y </w:t>
      </w:r>
      <w:hyperlink r:id="rId30" w:history="1">
        <w:r w:rsidR="00AB668F" w:rsidRPr="00AF380B">
          <w:rPr>
            <w:rStyle w:val="Hyperlink"/>
            <w:sz w:val="18"/>
            <w:szCs w:val="18"/>
            <w:lang w:val="es-ES"/>
          </w:rPr>
          <w:t>CBD/SBI/7/INF/4</w:t>
        </w:r>
      </w:hyperlink>
      <w:r w:rsidR="0020245E" w:rsidRPr="00AF380B">
        <w:rPr>
          <w:sz w:val="18"/>
          <w:szCs w:val="18"/>
          <w:lang w:val="es-ES"/>
        </w:rPr>
        <w:t>.</w:t>
      </w:r>
    </w:p>
    <w:p w14:paraId="3126F4ED" w14:textId="1A9E5E61" w:rsidR="00773863" w:rsidRPr="00AF380B" w:rsidRDefault="00773863" w:rsidP="00773863">
      <w:pPr>
        <w:pStyle w:val="FootnoteText"/>
        <w:rPr>
          <w:szCs w:val="18"/>
          <w:lang w:val="es-ES"/>
        </w:rPr>
      </w:pPr>
    </w:p>
  </w:footnote>
  <w:footnote w:id="33">
    <w:p w14:paraId="02728150" w14:textId="7B8D2510" w:rsidR="00062AC0" w:rsidRPr="00AF380B" w:rsidRDefault="009776A8" w:rsidP="00FA58D2">
      <w:pPr>
        <w:rPr>
          <w:sz w:val="18"/>
          <w:szCs w:val="18"/>
          <w:lang w:val="es-ES"/>
        </w:rPr>
      </w:pPr>
      <w:r w:rsidRPr="00AF380B">
        <w:rPr>
          <w:rStyle w:val="FootnoteReference"/>
          <w:sz w:val="18"/>
          <w:szCs w:val="18"/>
          <w:lang w:val="es-ES"/>
        </w:rPr>
        <w:footnoteRef/>
      </w:r>
      <w:r w:rsidRPr="00AF380B">
        <w:rPr>
          <w:sz w:val="18"/>
          <w:szCs w:val="18"/>
          <w:lang w:val="es-ES"/>
        </w:rPr>
        <w:t xml:space="preserve"> </w:t>
      </w:r>
      <w:r w:rsidR="00062AC0" w:rsidRPr="00AF380B">
        <w:rPr>
          <w:sz w:val="18"/>
          <w:szCs w:val="18"/>
          <w:lang w:val="es-ES"/>
        </w:rPr>
        <w:t xml:space="preserve">El análisis de la información contenida en los comunicados reveló que el 31 % hacía referencia a un certificado específico y que otro 55 % aportaba alguna prueba de consentimiento fundamentado previo o de un permiso de acceso y participación en los beneficios. Aproximadamente el 14 % de los registros de comunicados no hace referencia a ninguna prueba de consentimiento fundamentado previo. Para obtener más información y un análisis más detallado del contenido de los comunicados de los puntos </w:t>
      </w:r>
      <w:r w:rsidR="007C536C" w:rsidRPr="00AF380B">
        <w:rPr>
          <w:sz w:val="18"/>
          <w:szCs w:val="18"/>
          <w:lang w:val="es-ES"/>
        </w:rPr>
        <w:t>de verificación</w:t>
      </w:r>
      <w:r w:rsidR="00062AC0" w:rsidRPr="00AF380B">
        <w:rPr>
          <w:sz w:val="18"/>
          <w:szCs w:val="18"/>
          <w:lang w:val="es-ES"/>
        </w:rPr>
        <w:t xml:space="preserve"> publicados en el Centro de Intercambio de Información, véase el documento </w:t>
      </w:r>
      <w:hyperlink r:id="rId31" w:history="1">
        <w:r w:rsidR="00062AC0" w:rsidRPr="00AF380B">
          <w:rPr>
            <w:rStyle w:val="Hyperlink"/>
            <w:sz w:val="18"/>
            <w:szCs w:val="18"/>
            <w:lang w:val="es-ES"/>
          </w:rPr>
          <w:t>CBD/SBI/7/INF/4</w:t>
        </w:r>
      </w:hyperlink>
      <w:r w:rsidR="00062AC0" w:rsidRPr="00AF380B">
        <w:rPr>
          <w:sz w:val="18"/>
          <w:szCs w:val="18"/>
          <w:lang w:val="es-ES"/>
        </w:rPr>
        <w:t>, sección II.A.9.</w:t>
      </w:r>
    </w:p>
  </w:footnote>
  <w:footnote w:id="34">
    <w:p w14:paraId="528A4F26" w14:textId="067393A1" w:rsidR="00FA58D2" w:rsidRPr="00AF380B" w:rsidRDefault="00FA58D2" w:rsidP="00FA58D2">
      <w:pPr>
        <w:rPr>
          <w:sz w:val="18"/>
          <w:szCs w:val="18"/>
          <w:lang w:val="es-ES"/>
        </w:rPr>
      </w:pPr>
      <w:r w:rsidRPr="00AF380B">
        <w:rPr>
          <w:rStyle w:val="FootnoteReference"/>
          <w:sz w:val="18"/>
          <w:szCs w:val="18"/>
          <w:lang w:val="es-ES"/>
        </w:rPr>
        <w:footnoteRef/>
      </w:r>
      <w:r w:rsidRPr="00AF380B">
        <w:rPr>
          <w:sz w:val="18"/>
          <w:szCs w:val="18"/>
          <w:lang w:val="es-ES"/>
        </w:rPr>
        <w:t xml:space="preserve"> Véanse los documentos </w:t>
      </w:r>
      <w:hyperlink r:id="rId32" w:history="1">
        <w:r w:rsidRPr="00AF380B">
          <w:rPr>
            <w:rStyle w:val="Hyperlink"/>
            <w:sz w:val="18"/>
            <w:szCs w:val="18"/>
            <w:lang w:val="es-ES"/>
          </w:rPr>
          <w:t>CBD/SBI/7/INF/2</w:t>
        </w:r>
      </w:hyperlink>
      <w:r w:rsidRPr="00AF380B">
        <w:rPr>
          <w:sz w:val="18"/>
          <w:szCs w:val="18"/>
          <w:lang w:val="es-ES"/>
        </w:rPr>
        <w:t xml:space="preserve">, sección III.A.5, y </w:t>
      </w:r>
      <w:hyperlink r:id="rId33" w:history="1">
        <w:r w:rsidRPr="00AF380B">
          <w:rPr>
            <w:rStyle w:val="Hyperlink"/>
            <w:sz w:val="18"/>
            <w:szCs w:val="18"/>
            <w:lang w:val="es-ES"/>
          </w:rPr>
          <w:t>CBD/SBI/7/INF/3</w:t>
        </w:r>
      </w:hyperlink>
      <w:r w:rsidRPr="00AF380B">
        <w:rPr>
          <w:sz w:val="18"/>
          <w:szCs w:val="18"/>
          <w:lang w:val="es-ES"/>
        </w:rPr>
        <w:t xml:space="preserve">, sección 2.1.2, para obtener más información sobre los enfoques adoptados por las Partes. </w:t>
      </w:r>
    </w:p>
  </w:footnote>
  <w:footnote w:id="35">
    <w:p w14:paraId="1097DB94" w14:textId="34515883" w:rsidR="00FA58D2" w:rsidRPr="00AF380B" w:rsidRDefault="00FA58D2" w:rsidP="00FA58D2">
      <w:pPr>
        <w:pStyle w:val="FootnoteText"/>
        <w:rPr>
          <w:lang w:val="es-ES"/>
        </w:rPr>
      </w:pPr>
      <w:r w:rsidRPr="00AF380B">
        <w:rPr>
          <w:rStyle w:val="FootnoteReference"/>
          <w:szCs w:val="18"/>
          <w:lang w:val="es-ES"/>
        </w:rPr>
        <w:footnoteRef/>
      </w:r>
      <w:r w:rsidRPr="00AF380B">
        <w:rPr>
          <w:szCs w:val="18"/>
          <w:lang w:val="es-ES"/>
        </w:rPr>
        <w:t xml:space="preserve"> Estos se explican con mayor detalle en el elemento F más adelante, en relación con los artículos 19 y 20 del Protocolo.</w:t>
      </w:r>
    </w:p>
  </w:footnote>
  <w:footnote w:id="36">
    <w:p w14:paraId="038689B1" w14:textId="66CC2134" w:rsidR="005F3B64" w:rsidRPr="00AF380B" w:rsidRDefault="005F3B64" w:rsidP="00094A92">
      <w:pPr>
        <w:rPr>
          <w:szCs w:val="18"/>
          <w:lang w:val="es-ES"/>
        </w:rPr>
      </w:pPr>
      <w:r w:rsidRPr="00AF380B">
        <w:rPr>
          <w:rStyle w:val="FootnoteReference"/>
          <w:sz w:val="18"/>
          <w:szCs w:val="18"/>
          <w:lang w:val="es-ES"/>
        </w:rPr>
        <w:footnoteRef/>
      </w:r>
      <w:r w:rsidRPr="00AF380B">
        <w:rPr>
          <w:sz w:val="18"/>
          <w:szCs w:val="18"/>
          <w:lang w:val="es-ES"/>
        </w:rPr>
        <w:t xml:space="preserve"> </w:t>
      </w:r>
      <w:r w:rsidR="00094A92" w:rsidRPr="00AF380B">
        <w:rPr>
          <w:sz w:val="18"/>
          <w:szCs w:val="18"/>
          <w:lang w:val="es-ES"/>
        </w:rPr>
        <w:t xml:space="preserve">Para más información, véase el documento </w:t>
      </w:r>
      <w:hyperlink r:id="rId34" w:history="1">
        <w:r w:rsidR="00583230" w:rsidRPr="00AF380B">
          <w:rPr>
            <w:rStyle w:val="Hyperlink"/>
            <w:sz w:val="18"/>
            <w:szCs w:val="18"/>
            <w:lang w:val="es-ES"/>
          </w:rPr>
          <w:t>CBD/SBI/7/INF/3</w:t>
        </w:r>
      </w:hyperlink>
      <w:r w:rsidR="00094A92" w:rsidRPr="00AF380B">
        <w:rPr>
          <w:sz w:val="18"/>
          <w:szCs w:val="18"/>
          <w:lang w:val="es-ES"/>
        </w:rPr>
        <w:t>, sección 2.1.2.</w:t>
      </w:r>
    </w:p>
  </w:footnote>
  <w:footnote w:id="37">
    <w:p w14:paraId="60608F1E" w14:textId="418A8DB7" w:rsidR="005F3B64" w:rsidRPr="00AF380B" w:rsidRDefault="005F3B64" w:rsidP="005F3B64">
      <w:pPr>
        <w:pStyle w:val="FootnoteText"/>
        <w:rPr>
          <w:szCs w:val="18"/>
          <w:lang w:val="es-ES"/>
        </w:rPr>
      </w:pPr>
      <w:r w:rsidRPr="00AF380B">
        <w:rPr>
          <w:rStyle w:val="FootnoteReference"/>
          <w:szCs w:val="18"/>
          <w:lang w:val="es-ES"/>
        </w:rPr>
        <w:footnoteRef/>
      </w:r>
      <w:r w:rsidRPr="00AF380B">
        <w:rPr>
          <w:szCs w:val="18"/>
          <w:lang w:val="es-ES"/>
        </w:rPr>
        <w:t xml:space="preserve"> </w:t>
      </w:r>
      <w:r w:rsidR="00094A92" w:rsidRPr="00AF380B">
        <w:rPr>
          <w:lang w:val="es-ES"/>
        </w:rPr>
        <w:t xml:space="preserve">Para más información, véanse los documentos </w:t>
      </w:r>
      <w:hyperlink r:id="rId35" w:history="1">
        <w:r w:rsidR="00583230" w:rsidRPr="00AF380B">
          <w:rPr>
            <w:rStyle w:val="Hyperlink"/>
            <w:szCs w:val="18"/>
            <w:lang w:val="es-ES"/>
          </w:rPr>
          <w:t>CBD/SBI/7/INF/2</w:t>
        </w:r>
      </w:hyperlink>
      <w:r w:rsidR="00094A92" w:rsidRPr="00AF380B">
        <w:rPr>
          <w:lang w:val="es-ES"/>
        </w:rPr>
        <w:t xml:space="preserve">, sección III.A.5, y </w:t>
      </w:r>
      <w:hyperlink r:id="rId36" w:history="1">
        <w:r w:rsidR="00583230" w:rsidRPr="00AF380B">
          <w:rPr>
            <w:rStyle w:val="Hyperlink"/>
            <w:szCs w:val="18"/>
            <w:lang w:val="es-ES"/>
          </w:rPr>
          <w:t>CBD/SBI/7/INF/3</w:t>
        </w:r>
      </w:hyperlink>
      <w:r w:rsidR="00094A92" w:rsidRPr="00AF380B">
        <w:rPr>
          <w:lang w:val="es-ES"/>
        </w:rPr>
        <w:t>, sección 2.1.1.</w:t>
      </w:r>
      <w:r w:rsidR="00583230" w:rsidRPr="00AF380B">
        <w:rPr>
          <w:lang w:val="es-ES"/>
        </w:rPr>
        <w:t xml:space="preserve"> </w:t>
      </w:r>
      <w:r w:rsidR="00094A92" w:rsidRPr="00AF380B">
        <w:rPr>
          <w:lang w:val="es-ES"/>
        </w:rPr>
        <w:t>A</w:t>
      </w:r>
      <w:r w:rsidR="00583230" w:rsidRPr="00AF380B">
        <w:rPr>
          <w:lang w:val="es-ES"/>
        </w:rPr>
        <w:t> </w:t>
      </w:r>
      <w:r w:rsidR="00094A92" w:rsidRPr="00AF380B">
        <w:rPr>
          <w:lang w:val="es-ES"/>
        </w:rPr>
        <w:t>continuación, en el elemento B sobre la eficacia, se tratan también algunas consideraciones especiales.</w:t>
      </w:r>
    </w:p>
  </w:footnote>
  <w:footnote w:id="38">
    <w:p w14:paraId="0B553823" w14:textId="136A1C31" w:rsidR="005F3B64" w:rsidRPr="00AF380B" w:rsidRDefault="005F3B64" w:rsidP="005F3B64">
      <w:pPr>
        <w:pStyle w:val="FootnoteText"/>
        <w:rPr>
          <w:szCs w:val="18"/>
          <w:lang w:val="es-ES"/>
        </w:rPr>
      </w:pPr>
      <w:r w:rsidRPr="00AF380B">
        <w:rPr>
          <w:rStyle w:val="FootnoteReference"/>
          <w:szCs w:val="18"/>
          <w:lang w:val="es-ES"/>
        </w:rPr>
        <w:footnoteRef/>
      </w:r>
      <w:r w:rsidRPr="00AF380B">
        <w:rPr>
          <w:szCs w:val="18"/>
          <w:lang w:val="es-ES"/>
        </w:rPr>
        <w:t xml:space="preserve"> </w:t>
      </w:r>
      <w:r w:rsidR="00094A92" w:rsidRPr="00AF380B">
        <w:rPr>
          <w:szCs w:val="18"/>
          <w:lang w:val="es-ES"/>
        </w:rPr>
        <w:t xml:space="preserve">En el documento </w:t>
      </w:r>
      <w:bookmarkStart w:id="9" w:name="_Hlk231913446"/>
      <w:r w:rsidR="00583230" w:rsidRPr="00AF380B">
        <w:rPr>
          <w:lang w:val="es-ES"/>
        </w:rPr>
        <w:fldChar w:fldCharType="begin"/>
      </w:r>
      <w:r w:rsidR="00583230" w:rsidRPr="00AF380B">
        <w:rPr>
          <w:lang w:val="es-ES"/>
        </w:rPr>
        <w:instrText>HYPERLINK "https://www.cbd.int/documents/CBD/SBI/7/INF/2"</w:instrText>
      </w:r>
      <w:r w:rsidR="00583230" w:rsidRPr="00AF380B">
        <w:rPr>
          <w:lang w:val="es-ES"/>
        </w:rPr>
      </w:r>
      <w:r w:rsidR="00583230" w:rsidRPr="00AF380B">
        <w:rPr>
          <w:lang w:val="es-ES"/>
        </w:rPr>
        <w:fldChar w:fldCharType="separate"/>
      </w:r>
      <w:r w:rsidR="00583230" w:rsidRPr="00AF380B">
        <w:rPr>
          <w:rStyle w:val="Hyperlink"/>
          <w:szCs w:val="18"/>
          <w:lang w:val="es-ES"/>
        </w:rPr>
        <w:t>CBD/SBI/7/INF/2</w:t>
      </w:r>
      <w:r w:rsidR="00583230" w:rsidRPr="00AF380B">
        <w:rPr>
          <w:lang w:val="es-ES"/>
        </w:rPr>
        <w:fldChar w:fldCharType="end"/>
      </w:r>
      <w:bookmarkEnd w:id="9"/>
      <w:r w:rsidR="00094A92" w:rsidRPr="00AF380B">
        <w:rPr>
          <w:szCs w:val="18"/>
          <w:lang w:val="es-ES"/>
        </w:rPr>
        <w:t>, sección III.A.5, figuran ejemplos de esos enfoques.</w:t>
      </w:r>
    </w:p>
  </w:footnote>
  <w:footnote w:id="39">
    <w:p w14:paraId="5F573C67" w14:textId="3CC57533" w:rsidR="005F3B64" w:rsidRPr="00AF380B" w:rsidRDefault="005F3B64" w:rsidP="005F3B64">
      <w:pPr>
        <w:pStyle w:val="FootnoteText"/>
        <w:rPr>
          <w:szCs w:val="18"/>
          <w:lang w:val="es-ES"/>
        </w:rPr>
      </w:pPr>
      <w:r w:rsidRPr="00AF380B">
        <w:rPr>
          <w:rStyle w:val="FootnoteReference"/>
          <w:szCs w:val="18"/>
          <w:lang w:val="es-ES"/>
        </w:rPr>
        <w:footnoteRef/>
      </w:r>
      <w:r w:rsidR="00021284" w:rsidRPr="00AF380B">
        <w:rPr>
          <w:lang w:val="es-ES"/>
        </w:rPr>
        <w:t xml:space="preserve"> </w:t>
      </w:r>
      <w:r w:rsidR="00094A92" w:rsidRPr="00AF380B">
        <w:rPr>
          <w:lang w:val="es-ES"/>
        </w:rPr>
        <w:t>Esa cuestión se trata más adelante en la sección III.A.10, relativa al artículo 4 del Protocolo.</w:t>
      </w:r>
    </w:p>
  </w:footnote>
  <w:footnote w:id="40">
    <w:p w14:paraId="01B65888" w14:textId="0436E2E9" w:rsidR="00E43436" w:rsidRPr="00AF380B" w:rsidRDefault="00E43436" w:rsidP="00E43436">
      <w:pPr>
        <w:pStyle w:val="FootnoteText"/>
        <w:rPr>
          <w:szCs w:val="18"/>
          <w:lang w:val="es-ES"/>
        </w:rPr>
      </w:pPr>
      <w:r w:rsidRPr="00AF380B">
        <w:rPr>
          <w:rStyle w:val="FootnoteReference"/>
          <w:szCs w:val="18"/>
          <w:lang w:val="es-ES"/>
        </w:rPr>
        <w:footnoteRef/>
      </w:r>
      <w:r w:rsidRPr="00AF380B">
        <w:rPr>
          <w:szCs w:val="18"/>
          <w:lang w:val="es-ES"/>
        </w:rPr>
        <w:t xml:space="preserve"> </w:t>
      </w:r>
      <w:r w:rsidR="00094A92" w:rsidRPr="00AF380B">
        <w:rPr>
          <w:szCs w:val="18"/>
          <w:lang w:val="es-ES"/>
        </w:rPr>
        <w:t>Para más información, véase el documento CBD/SBI/7/INF/3, sección 2.1.1.</w:t>
      </w:r>
    </w:p>
  </w:footnote>
  <w:footnote w:id="41">
    <w:p w14:paraId="0907249E" w14:textId="127FB401" w:rsidR="00245205" w:rsidRPr="00AF380B" w:rsidRDefault="00245205" w:rsidP="00245205">
      <w:pPr>
        <w:pStyle w:val="FootnoteText"/>
        <w:rPr>
          <w:szCs w:val="18"/>
          <w:lang w:val="es-ES"/>
        </w:rPr>
      </w:pPr>
      <w:r w:rsidRPr="00AF380B">
        <w:rPr>
          <w:rStyle w:val="FootnoteReference"/>
          <w:szCs w:val="18"/>
          <w:lang w:val="es-ES"/>
        </w:rPr>
        <w:footnoteRef/>
      </w:r>
      <w:r w:rsidRPr="00AF380B">
        <w:rPr>
          <w:szCs w:val="18"/>
          <w:lang w:val="es-ES"/>
        </w:rPr>
        <w:t xml:space="preserve"> Para más información, véanse los documentos </w:t>
      </w:r>
      <w:hyperlink r:id="rId37" w:history="1">
        <w:r w:rsidRPr="00AF380B">
          <w:rPr>
            <w:rStyle w:val="Hyperlink"/>
            <w:szCs w:val="18"/>
            <w:lang w:val="es-ES"/>
          </w:rPr>
          <w:t>CBD/SBI/7/INF/2</w:t>
        </w:r>
      </w:hyperlink>
      <w:r w:rsidRPr="00AF380B">
        <w:rPr>
          <w:szCs w:val="18"/>
          <w:lang w:val="es-ES"/>
        </w:rPr>
        <w:t xml:space="preserve">, sección III.A.7; y </w:t>
      </w:r>
      <w:hyperlink r:id="rId38" w:history="1">
        <w:r w:rsidRPr="00AF380B">
          <w:rPr>
            <w:rStyle w:val="Hyperlink"/>
            <w:szCs w:val="18"/>
            <w:lang w:val="es-ES"/>
          </w:rPr>
          <w:t>CBD/SBI/7/INF/3</w:t>
        </w:r>
      </w:hyperlink>
      <w:r w:rsidRPr="00AF380B">
        <w:rPr>
          <w:szCs w:val="18"/>
          <w:lang w:val="es-ES"/>
        </w:rPr>
        <w:t>, sección 2.4.</w:t>
      </w:r>
    </w:p>
  </w:footnote>
  <w:footnote w:id="42">
    <w:p w14:paraId="0F436E64" w14:textId="108770BE" w:rsidR="00E43436" w:rsidRPr="00AF380B" w:rsidRDefault="00E43436" w:rsidP="00E43436">
      <w:pPr>
        <w:pStyle w:val="FootnoteText"/>
        <w:rPr>
          <w:szCs w:val="18"/>
          <w:lang w:val="es-ES"/>
        </w:rPr>
      </w:pPr>
      <w:r w:rsidRPr="00AF380B">
        <w:rPr>
          <w:rStyle w:val="FootnoteReference"/>
          <w:szCs w:val="18"/>
          <w:lang w:val="es-ES"/>
        </w:rPr>
        <w:footnoteRef/>
      </w:r>
      <w:r w:rsidRPr="00AF380B">
        <w:rPr>
          <w:szCs w:val="18"/>
          <w:lang w:val="es-ES"/>
        </w:rPr>
        <w:t xml:space="preserve"> </w:t>
      </w:r>
      <w:r w:rsidR="00094A92" w:rsidRPr="00AF380B">
        <w:rPr>
          <w:szCs w:val="18"/>
          <w:lang w:val="es-ES"/>
        </w:rPr>
        <w:t xml:space="preserve">En el documento </w:t>
      </w:r>
      <w:hyperlink r:id="rId39" w:history="1">
        <w:r w:rsidR="00583230" w:rsidRPr="00AF380B">
          <w:rPr>
            <w:rStyle w:val="Hyperlink"/>
            <w:szCs w:val="18"/>
            <w:lang w:val="es-ES"/>
          </w:rPr>
          <w:t>CBD/SBI/7/INF/2</w:t>
        </w:r>
      </w:hyperlink>
      <w:r w:rsidR="00094A92" w:rsidRPr="00AF380B">
        <w:rPr>
          <w:szCs w:val="18"/>
          <w:lang w:val="es-ES"/>
        </w:rPr>
        <w:t>, sección III.A.7, se puede</w:t>
      </w:r>
      <w:r w:rsidR="00583230" w:rsidRPr="00AF380B">
        <w:rPr>
          <w:szCs w:val="18"/>
          <w:lang w:val="es-ES"/>
        </w:rPr>
        <w:t xml:space="preserve"> consultar </w:t>
      </w:r>
      <w:r w:rsidR="00094A92" w:rsidRPr="00AF380B">
        <w:rPr>
          <w:szCs w:val="18"/>
          <w:lang w:val="es-ES"/>
        </w:rPr>
        <w:t>ejemplos de esos enfoques.</w:t>
      </w:r>
    </w:p>
  </w:footnote>
  <w:footnote w:id="43">
    <w:p w14:paraId="28EEBE15" w14:textId="0C605AF6" w:rsidR="00E43436" w:rsidRPr="00AF380B" w:rsidRDefault="00E43436" w:rsidP="00E43436">
      <w:pPr>
        <w:pStyle w:val="FootnoteText"/>
        <w:rPr>
          <w:lang w:val="es-ES"/>
        </w:rPr>
      </w:pPr>
      <w:r w:rsidRPr="00AF380B">
        <w:rPr>
          <w:rStyle w:val="FootnoteReference"/>
          <w:lang w:val="es-ES"/>
        </w:rPr>
        <w:footnoteRef/>
      </w:r>
      <w:r w:rsidRPr="00AF380B">
        <w:rPr>
          <w:lang w:val="es-ES"/>
        </w:rPr>
        <w:t xml:space="preserve"> </w:t>
      </w:r>
      <w:r w:rsidR="00FC6BAF" w:rsidRPr="00AF380B">
        <w:rPr>
          <w:szCs w:val="18"/>
          <w:lang w:val="es-ES"/>
        </w:rPr>
        <w:t>Diez Partes, que representan el 14 % de las Partes con pueblos indígenas y comunidades locales en su</w:t>
      </w:r>
      <w:r w:rsidR="006F26FD" w:rsidRPr="00AF380B">
        <w:rPr>
          <w:szCs w:val="18"/>
          <w:lang w:val="es-ES"/>
        </w:rPr>
        <w:t xml:space="preserve"> país</w:t>
      </w:r>
      <w:r w:rsidR="00FC6BAF" w:rsidRPr="00AF380B">
        <w:rPr>
          <w:szCs w:val="18"/>
          <w:lang w:val="es-ES"/>
        </w:rPr>
        <w:t>, informaron de que habían recibido beneficios económicos por conceder acceso a los conocimientos tradicionales</w:t>
      </w:r>
      <w:r w:rsidR="00944BC0" w:rsidRPr="00AF380B">
        <w:rPr>
          <w:szCs w:val="18"/>
          <w:lang w:val="es-ES"/>
        </w:rPr>
        <w:t xml:space="preserve"> relacionados con </w:t>
      </w:r>
      <w:r w:rsidR="00FC6BAF" w:rsidRPr="00AF380B">
        <w:rPr>
          <w:szCs w:val="18"/>
          <w:lang w:val="es-ES"/>
        </w:rPr>
        <w:t xml:space="preserve">los recursos genéticos desde la entrada en vigor del Protocolo. Veintisiete Partes (el 39 %) informaron de que habían recibido beneficios no </w:t>
      </w:r>
      <w:r w:rsidR="006F26FD" w:rsidRPr="00AF380B">
        <w:rPr>
          <w:szCs w:val="18"/>
          <w:lang w:val="es-ES"/>
        </w:rPr>
        <w:t xml:space="preserve">monetarios </w:t>
      </w:r>
      <w:r w:rsidR="00FC6BAF" w:rsidRPr="00AF380B">
        <w:rPr>
          <w:szCs w:val="18"/>
          <w:lang w:val="es-ES"/>
        </w:rPr>
        <w:t xml:space="preserve">por conceder acceso a los conocimientos </w:t>
      </w:r>
      <w:r w:rsidR="00944BC0" w:rsidRPr="00AF380B">
        <w:rPr>
          <w:szCs w:val="18"/>
          <w:lang w:val="es-ES"/>
        </w:rPr>
        <w:t>tradicionales relacionados con los recursos genéticos</w:t>
      </w:r>
      <w:r w:rsidR="00FC6BAF" w:rsidRPr="00AF380B">
        <w:rPr>
          <w:szCs w:val="18"/>
          <w:lang w:val="es-ES"/>
        </w:rPr>
        <w:t>.</w:t>
      </w:r>
    </w:p>
  </w:footnote>
  <w:footnote w:id="44">
    <w:p w14:paraId="3EDF5838" w14:textId="69CBC891" w:rsidR="00A453D6" w:rsidRPr="00AF380B" w:rsidRDefault="00A453D6" w:rsidP="00A453D6">
      <w:pPr>
        <w:pStyle w:val="FootnoteText"/>
        <w:rPr>
          <w:szCs w:val="18"/>
          <w:lang w:val="es-ES"/>
        </w:rPr>
      </w:pPr>
      <w:r w:rsidRPr="00AF380B">
        <w:rPr>
          <w:rStyle w:val="FootnoteReference"/>
          <w:szCs w:val="18"/>
          <w:lang w:val="es-ES"/>
        </w:rPr>
        <w:footnoteRef/>
      </w:r>
      <w:r w:rsidRPr="00AF380B">
        <w:rPr>
          <w:szCs w:val="18"/>
          <w:lang w:val="es-ES"/>
        </w:rPr>
        <w:t xml:space="preserve"> </w:t>
      </w:r>
      <w:r w:rsidR="00FC6BAF" w:rsidRPr="00AF380B">
        <w:rPr>
          <w:szCs w:val="18"/>
          <w:lang w:val="es-ES"/>
        </w:rPr>
        <w:t>Los protocolos y procedimientos comunitarios de los pueblos indígenas y las comunidades locales se tratan más adelante, en la sección III.F.1, dentro del elemento F.</w:t>
      </w:r>
    </w:p>
  </w:footnote>
  <w:footnote w:id="45">
    <w:p w14:paraId="0DD1BBAC" w14:textId="77363F69" w:rsidR="00A453D6" w:rsidRPr="00AF380B" w:rsidRDefault="00A453D6" w:rsidP="00A453D6">
      <w:pPr>
        <w:pStyle w:val="FootnoteText"/>
        <w:rPr>
          <w:szCs w:val="18"/>
          <w:lang w:val="es-ES"/>
        </w:rPr>
      </w:pPr>
      <w:r w:rsidRPr="00AF380B">
        <w:rPr>
          <w:rStyle w:val="FootnoteReference"/>
          <w:szCs w:val="18"/>
          <w:lang w:val="es-ES"/>
        </w:rPr>
        <w:footnoteRef/>
      </w:r>
      <w:r w:rsidRPr="00AF380B">
        <w:rPr>
          <w:szCs w:val="18"/>
          <w:lang w:val="es-ES"/>
        </w:rPr>
        <w:t xml:space="preserve"> </w:t>
      </w:r>
      <w:r w:rsidR="00925FD1" w:rsidRPr="00AF380B">
        <w:rPr>
          <w:szCs w:val="18"/>
          <w:lang w:val="es-ES"/>
        </w:rPr>
        <w:t>Para más información, véase el documento CBD/SBI/7/INF/2, sección III.A.8.</w:t>
      </w:r>
    </w:p>
  </w:footnote>
  <w:footnote w:id="46">
    <w:p w14:paraId="470FA91F" w14:textId="3EE07561" w:rsidR="008E022B" w:rsidRPr="00AF380B" w:rsidRDefault="008E022B" w:rsidP="008E022B">
      <w:pPr>
        <w:pStyle w:val="FootnoteText"/>
        <w:rPr>
          <w:szCs w:val="18"/>
          <w:lang w:val="es-ES"/>
        </w:rPr>
      </w:pPr>
      <w:r w:rsidRPr="00AF380B">
        <w:rPr>
          <w:rStyle w:val="FootnoteReference"/>
          <w:szCs w:val="18"/>
          <w:lang w:val="es-ES"/>
        </w:rPr>
        <w:footnoteRef/>
      </w:r>
      <w:r w:rsidRPr="00AF380B">
        <w:rPr>
          <w:szCs w:val="18"/>
          <w:lang w:val="es-ES"/>
        </w:rPr>
        <w:t xml:space="preserve"> Para más información, véanse los documentos </w:t>
      </w:r>
      <w:hyperlink r:id="rId40" w:history="1">
        <w:r w:rsidRPr="00AF380B">
          <w:rPr>
            <w:rStyle w:val="Hyperlink"/>
            <w:szCs w:val="18"/>
            <w:lang w:val="es-ES"/>
          </w:rPr>
          <w:t>CBD/SBI/7/INF/2</w:t>
        </w:r>
      </w:hyperlink>
      <w:r w:rsidRPr="00AF380B">
        <w:rPr>
          <w:szCs w:val="18"/>
          <w:lang w:val="es-ES"/>
        </w:rPr>
        <w:t xml:space="preserve">, sección III.A.9; y </w:t>
      </w:r>
      <w:hyperlink r:id="rId41" w:history="1">
        <w:r w:rsidRPr="00AF380B">
          <w:rPr>
            <w:rStyle w:val="Hyperlink"/>
            <w:szCs w:val="18"/>
            <w:lang w:val="es-ES"/>
          </w:rPr>
          <w:t>CBD/SBI/7/INF/3</w:t>
        </w:r>
      </w:hyperlink>
      <w:r w:rsidRPr="00AF380B">
        <w:rPr>
          <w:szCs w:val="18"/>
          <w:lang w:val="es-ES"/>
        </w:rPr>
        <w:t>.</w:t>
      </w:r>
    </w:p>
  </w:footnote>
  <w:footnote w:id="47">
    <w:p w14:paraId="79B2CB6A" w14:textId="0B1E1E23" w:rsidR="002C788A" w:rsidRPr="00AF380B" w:rsidRDefault="002C788A" w:rsidP="002C788A">
      <w:pPr>
        <w:pStyle w:val="FootnoteText"/>
        <w:rPr>
          <w:lang w:val="es-ES"/>
        </w:rPr>
      </w:pPr>
      <w:r w:rsidRPr="00AF380B">
        <w:rPr>
          <w:rStyle w:val="FootnoteReference"/>
          <w:szCs w:val="18"/>
          <w:lang w:val="es-ES"/>
        </w:rPr>
        <w:footnoteRef/>
      </w:r>
      <w:r w:rsidRPr="00AF380B">
        <w:rPr>
          <w:szCs w:val="18"/>
          <w:lang w:val="es-ES"/>
        </w:rPr>
        <w:t xml:space="preserve"> </w:t>
      </w:r>
      <w:r w:rsidR="00925FD1" w:rsidRPr="00AF380B">
        <w:rPr>
          <w:szCs w:val="18"/>
          <w:lang w:val="es-ES"/>
        </w:rPr>
        <w:t xml:space="preserve">En el documento </w:t>
      </w:r>
      <w:hyperlink r:id="rId42" w:history="1">
        <w:r w:rsidR="006F26FD" w:rsidRPr="00AF380B">
          <w:rPr>
            <w:rStyle w:val="Hyperlink"/>
            <w:szCs w:val="18"/>
            <w:lang w:val="es-ES"/>
          </w:rPr>
          <w:t>CBD/SBI/7/INF/2</w:t>
        </w:r>
      </w:hyperlink>
      <w:r w:rsidR="00925FD1" w:rsidRPr="00AF380B">
        <w:rPr>
          <w:szCs w:val="18"/>
          <w:lang w:val="es-ES"/>
        </w:rPr>
        <w:t>, sección III.A.9, figuran ejemplos de actividades realizadas y enfoques adoptados por las Partes en materia de sensibilización.</w:t>
      </w:r>
    </w:p>
  </w:footnote>
  <w:footnote w:id="48">
    <w:p w14:paraId="1B18763C" w14:textId="754111FA" w:rsidR="002C788A" w:rsidRPr="00AF380B" w:rsidRDefault="002C788A" w:rsidP="002C788A">
      <w:pPr>
        <w:pStyle w:val="FootnoteText"/>
        <w:rPr>
          <w:szCs w:val="18"/>
          <w:lang w:val="es-ES"/>
        </w:rPr>
      </w:pPr>
      <w:r w:rsidRPr="00AF380B">
        <w:rPr>
          <w:rStyle w:val="FootnoteReference"/>
          <w:szCs w:val="18"/>
          <w:lang w:val="es-ES"/>
        </w:rPr>
        <w:footnoteRef/>
      </w:r>
      <w:r w:rsidRPr="00AF380B">
        <w:rPr>
          <w:szCs w:val="18"/>
          <w:lang w:val="es-ES"/>
        </w:rPr>
        <w:t xml:space="preserve"> </w:t>
      </w:r>
      <w:r w:rsidR="00E47FA0" w:rsidRPr="00AF380B">
        <w:rPr>
          <w:szCs w:val="18"/>
          <w:lang w:val="es-ES"/>
        </w:rPr>
        <w:t xml:space="preserve">Para más información, véase el documento </w:t>
      </w:r>
      <w:hyperlink r:id="rId43" w:history="1">
        <w:r w:rsidR="006F26FD" w:rsidRPr="00AF380B">
          <w:rPr>
            <w:rStyle w:val="Hyperlink"/>
            <w:szCs w:val="18"/>
            <w:lang w:val="es-ES"/>
          </w:rPr>
          <w:t>CBD/SBI/7/INF/3</w:t>
        </w:r>
      </w:hyperlink>
      <w:r w:rsidR="00E47FA0" w:rsidRPr="00AF380B">
        <w:rPr>
          <w:szCs w:val="18"/>
          <w:lang w:val="es-ES"/>
        </w:rPr>
        <w:t>, sección 4.2.</w:t>
      </w:r>
    </w:p>
  </w:footnote>
  <w:footnote w:id="49">
    <w:p w14:paraId="147C9F9C" w14:textId="0BCCCDEF" w:rsidR="002C788A" w:rsidRPr="00AF380B" w:rsidRDefault="002C788A" w:rsidP="005D4CEF">
      <w:pPr>
        <w:rPr>
          <w:szCs w:val="18"/>
          <w:lang w:val="es-ES"/>
        </w:rPr>
      </w:pPr>
      <w:r w:rsidRPr="00AF380B">
        <w:rPr>
          <w:rStyle w:val="FootnoteReference"/>
          <w:sz w:val="18"/>
          <w:szCs w:val="18"/>
          <w:lang w:val="es-ES"/>
        </w:rPr>
        <w:footnoteRef/>
      </w:r>
      <w:r w:rsidRPr="00AF380B">
        <w:rPr>
          <w:sz w:val="18"/>
          <w:szCs w:val="18"/>
          <w:lang w:val="es-ES"/>
        </w:rPr>
        <w:t xml:space="preserve"> </w:t>
      </w:r>
      <w:r w:rsidR="005D4CEF" w:rsidRPr="00AF380B">
        <w:rPr>
          <w:sz w:val="18"/>
          <w:szCs w:val="18"/>
          <w:lang w:val="es-ES"/>
        </w:rPr>
        <w:t xml:space="preserve">El conjunto de herramientas de comunicación, educación y sensibilización pública, que incluye consideraciones sobre el acceso y la participación en los beneficios (Montreal, Canadá, Secretaría del Convenio sobre la Diversidad Biológica, 2018), está disponible en </w:t>
      </w:r>
      <w:hyperlink r:id="rId44" w:history="1">
        <w:r w:rsidR="005D4CEF" w:rsidRPr="00AF380B">
          <w:rPr>
            <w:rStyle w:val="Hyperlink"/>
            <w:sz w:val="18"/>
            <w:szCs w:val="18"/>
            <w:lang w:val="es-ES"/>
          </w:rPr>
          <w:t>www.cbd.int/abs/doc/cepa-toolkit-en.pdf</w:t>
        </w:r>
      </w:hyperlink>
      <w:r w:rsidR="005D4CEF" w:rsidRPr="00AF380B">
        <w:rPr>
          <w:sz w:val="18"/>
          <w:szCs w:val="18"/>
          <w:lang w:val="es-ES"/>
        </w:rPr>
        <w:t xml:space="preserve">. </w:t>
      </w:r>
    </w:p>
  </w:footnote>
  <w:footnote w:id="50">
    <w:p w14:paraId="41B518C5" w14:textId="6E2EA1BE" w:rsidR="005D4CEF" w:rsidRPr="00AF380B" w:rsidRDefault="00650DB4" w:rsidP="005D4CEF">
      <w:pPr>
        <w:rPr>
          <w:sz w:val="18"/>
          <w:szCs w:val="18"/>
          <w:lang w:val="es-ES"/>
        </w:rPr>
      </w:pPr>
      <w:r w:rsidRPr="00AF380B">
        <w:rPr>
          <w:rStyle w:val="FootnoteReference"/>
          <w:sz w:val="18"/>
          <w:szCs w:val="18"/>
          <w:lang w:val="es-ES"/>
        </w:rPr>
        <w:footnoteRef/>
      </w:r>
      <w:r w:rsidRPr="00AF380B">
        <w:rPr>
          <w:sz w:val="18"/>
          <w:szCs w:val="18"/>
          <w:lang w:val="es-ES"/>
        </w:rPr>
        <w:t xml:space="preserve"> </w:t>
      </w:r>
      <w:r w:rsidR="005D4CEF" w:rsidRPr="00AF380B">
        <w:rPr>
          <w:sz w:val="18"/>
          <w:szCs w:val="18"/>
          <w:lang w:val="es-ES"/>
        </w:rPr>
        <w:t xml:space="preserve">Para más información, véase el documento </w:t>
      </w:r>
      <w:hyperlink r:id="rId45" w:history="1">
        <w:r w:rsidR="006F26FD" w:rsidRPr="00AF380B">
          <w:rPr>
            <w:rStyle w:val="Hyperlink"/>
            <w:sz w:val="18"/>
            <w:szCs w:val="18"/>
            <w:lang w:val="es-ES"/>
          </w:rPr>
          <w:t>CBD/SBI/7/INF/2</w:t>
        </w:r>
      </w:hyperlink>
      <w:r w:rsidR="005D4CEF" w:rsidRPr="00AF380B">
        <w:rPr>
          <w:sz w:val="18"/>
          <w:szCs w:val="18"/>
          <w:lang w:val="es-ES"/>
        </w:rPr>
        <w:t>, sección III.A.10.</w:t>
      </w:r>
    </w:p>
    <w:p w14:paraId="14824601" w14:textId="5B842245" w:rsidR="00650DB4" w:rsidRPr="00AF380B" w:rsidRDefault="00650DB4" w:rsidP="00650DB4">
      <w:pPr>
        <w:pStyle w:val="FootnoteText"/>
        <w:rPr>
          <w:szCs w:val="18"/>
          <w:lang w:val="es-ES"/>
        </w:rPr>
      </w:pPr>
    </w:p>
  </w:footnote>
  <w:footnote w:id="51">
    <w:p w14:paraId="4BE98DAD" w14:textId="0D3BE7A9" w:rsidR="000A4C3D" w:rsidRPr="00AF380B" w:rsidRDefault="000A4C3D" w:rsidP="000A4C3D">
      <w:pPr>
        <w:pStyle w:val="FootnoteText"/>
        <w:rPr>
          <w:szCs w:val="18"/>
          <w:lang w:val="es-ES"/>
        </w:rPr>
      </w:pPr>
      <w:r w:rsidRPr="00AF380B">
        <w:rPr>
          <w:rStyle w:val="FootnoteReference"/>
          <w:lang w:val="es-ES"/>
        </w:rPr>
        <w:footnoteRef/>
      </w:r>
      <w:r w:rsidRPr="00AF380B">
        <w:rPr>
          <w:lang w:val="es-ES"/>
        </w:rPr>
        <w:t xml:space="preserve"> </w:t>
      </w:r>
      <w:r w:rsidR="005D4CEF" w:rsidRPr="00AF380B">
        <w:rPr>
          <w:szCs w:val="18"/>
          <w:lang w:val="es-ES"/>
        </w:rPr>
        <w:t xml:space="preserve">Para más información, véanse los documentos </w:t>
      </w:r>
      <w:hyperlink r:id="rId46" w:history="1">
        <w:r w:rsidR="00477A0D" w:rsidRPr="00AF380B">
          <w:rPr>
            <w:rStyle w:val="Hyperlink"/>
            <w:szCs w:val="18"/>
            <w:lang w:val="es-ES"/>
          </w:rPr>
          <w:t>CBD/SBI/7/INF/2</w:t>
        </w:r>
      </w:hyperlink>
      <w:r w:rsidR="005D4CEF" w:rsidRPr="00AF380B">
        <w:rPr>
          <w:szCs w:val="18"/>
          <w:lang w:val="es-ES"/>
        </w:rPr>
        <w:t xml:space="preserve">, sección III.B, y </w:t>
      </w:r>
      <w:hyperlink r:id="rId47" w:history="1">
        <w:r w:rsidR="00477A0D" w:rsidRPr="00AF380B">
          <w:rPr>
            <w:rStyle w:val="Hyperlink"/>
            <w:szCs w:val="18"/>
            <w:lang w:val="es-ES"/>
          </w:rPr>
          <w:t>CBD/SBI/7/INF/3</w:t>
        </w:r>
      </w:hyperlink>
      <w:r w:rsidR="005D4CEF" w:rsidRPr="00AF380B">
        <w:rPr>
          <w:szCs w:val="18"/>
          <w:lang w:val="es-ES"/>
        </w:rPr>
        <w:t>, en particular las secciones 3 y 4.</w:t>
      </w:r>
    </w:p>
  </w:footnote>
  <w:footnote w:id="52">
    <w:p w14:paraId="6221694C" w14:textId="77777777" w:rsidR="002743D7" w:rsidRPr="00AF380B" w:rsidRDefault="002743D7" w:rsidP="002743D7">
      <w:pPr>
        <w:rPr>
          <w:sz w:val="18"/>
          <w:szCs w:val="18"/>
          <w:lang w:val="es-ES" w:eastAsia="zh-CN"/>
        </w:rPr>
      </w:pPr>
      <w:r w:rsidRPr="00AF380B">
        <w:rPr>
          <w:rStyle w:val="FootnoteReference"/>
          <w:sz w:val="18"/>
          <w:szCs w:val="18"/>
          <w:lang w:val="es-ES"/>
        </w:rPr>
        <w:footnoteRef/>
      </w:r>
      <w:r w:rsidRPr="00AF380B">
        <w:rPr>
          <w:sz w:val="18"/>
          <w:szCs w:val="18"/>
          <w:lang w:val="es-ES"/>
        </w:rPr>
        <w:t xml:space="preserve"> Cinco Partes representaban el 8 % del total de certificados publicados, y una sola de ellas concentraba el 57 % del total.</w:t>
      </w:r>
    </w:p>
  </w:footnote>
  <w:footnote w:id="53">
    <w:p w14:paraId="5760D0BE" w14:textId="3844FB88" w:rsidR="008118EC" w:rsidRPr="00AF380B" w:rsidRDefault="008118EC" w:rsidP="0046657F">
      <w:pPr>
        <w:rPr>
          <w:sz w:val="18"/>
          <w:szCs w:val="18"/>
          <w:lang w:val="es-ES"/>
        </w:rPr>
      </w:pPr>
      <w:r w:rsidRPr="00AF380B">
        <w:rPr>
          <w:rStyle w:val="FootnoteReference"/>
          <w:sz w:val="18"/>
          <w:szCs w:val="18"/>
          <w:lang w:val="es-ES"/>
        </w:rPr>
        <w:footnoteRef/>
      </w:r>
      <w:r w:rsidRPr="00AF380B">
        <w:rPr>
          <w:sz w:val="18"/>
          <w:szCs w:val="18"/>
          <w:lang w:val="es-ES"/>
        </w:rPr>
        <w:t xml:space="preserve"> </w:t>
      </w:r>
      <w:r w:rsidR="0046657F" w:rsidRPr="00AF380B">
        <w:rPr>
          <w:sz w:val="18"/>
          <w:szCs w:val="18"/>
          <w:lang w:val="es-ES"/>
        </w:rPr>
        <w:t xml:space="preserve">Veintitrés Partes facilitaron datos numéricos sobre los beneficios generados por el acceso a los recursos genéticos y los conocimientos tradicionales </w:t>
      </w:r>
      <w:r w:rsidR="00477A0D" w:rsidRPr="00AF380B">
        <w:rPr>
          <w:sz w:val="18"/>
          <w:szCs w:val="18"/>
          <w:lang w:val="es-ES"/>
        </w:rPr>
        <w:t>conexos</w:t>
      </w:r>
      <w:r w:rsidR="0046657F" w:rsidRPr="00AF380B">
        <w:rPr>
          <w:sz w:val="18"/>
          <w:szCs w:val="18"/>
          <w:lang w:val="es-ES"/>
        </w:rPr>
        <w:t xml:space="preserve">, y a menudo presentaron cifras </w:t>
      </w:r>
      <w:r w:rsidR="00477A0D" w:rsidRPr="00AF380B">
        <w:rPr>
          <w:sz w:val="18"/>
          <w:szCs w:val="18"/>
          <w:lang w:val="es-ES"/>
        </w:rPr>
        <w:t>globales</w:t>
      </w:r>
      <w:r w:rsidR="0046657F" w:rsidRPr="00AF380B">
        <w:rPr>
          <w:sz w:val="18"/>
          <w:szCs w:val="18"/>
          <w:lang w:val="es-ES"/>
        </w:rPr>
        <w:t xml:space="preserve"> que abarcaban ambas categorías. </w:t>
      </w:r>
    </w:p>
  </w:footnote>
  <w:footnote w:id="54">
    <w:p w14:paraId="3834EBDB" w14:textId="2DC39C8B" w:rsidR="008118EC" w:rsidRPr="00AF380B" w:rsidRDefault="008118EC" w:rsidP="0046657F">
      <w:pPr>
        <w:rPr>
          <w:sz w:val="18"/>
          <w:szCs w:val="18"/>
          <w:lang w:val="es-ES"/>
        </w:rPr>
      </w:pPr>
      <w:r w:rsidRPr="00AF380B">
        <w:rPr>
          <w:rStyle w:val="FootnoteReference"/>
          <w:sz w:val="18"/>
          <w:szCs w:val="18"/>
          <w:lang w:val="es-ES"/>
        </w:rPr>
        <w:footnoteRef/>
      </w:r>
      <w:r w:rsidRPr="00AF380B">
        <w:rPr>
          <w:sz w:val="18"/>
          <w:szCs w:val="18"/>
          <w:lang w:val="es-ES"/>
        </w:rPr>
        <w:t xml:space="preserve"> </w:t>
      </w:r>
      <w:r w:rsidR="0046657F" w:rsidRPr="00AF380B">
        <w:rPr>
          <w:sz w:val="18"/>
          <w:szCs w:val="18"/>
          <w:lang w:val="es-ES"/>
        </w:rPr>
        <w:t xml:space="preserve">Por ejemplo, al tener en cuenta los certificados expedidos, se observó que solo 13 de los 6.269 certificados (el 0,2 %) se habían concedido por el acceso a los conocimientos tradicionales </w:t>
      </w:r>
      <w:r w:rsidR="00477A0D" w:rsidRPr="00AF380B">
        <w:rPr>
          <w:sz w:val="18"/>
          <w:szCs w:val="18"/>
          <w:lang w:val="es-ES"/>
        </w:rPr>
        <w:t>conexos</w:t>
      </w:r>
      <w:r w:rsidR="0046657F" w:rsidRPr="00AF380B">
        <w:rPr>
          <w:sz w:val="18"/>
          <w:szCs w:val="18"/>
          <w:lang w:val="es-ES"/>
        </w:rPr>
        <w:t>.</w:t>
      </w:r>
    </w:p>
  </w:footnote>
  <w:footnote w:id="55">
    <w:p w14:paraId="6148FA70" w14:textId="6255E317" w:rsidR="008118EC" w:rsidRPr="00AF380B" w:rsidRDefault="008118EC" w:rsidP="0046657F">
      <w:pPr>
        <w:rPr>
          <w:sz w:val="18"/>
          <w:szCs w:val="18"/>
          <w:lang w:val="es-ES"/>
        </w:rPr>
      </w:pPr>
      <w:r w:rsidRPr="00AF380B">
        <w:rPr>
          <w:rStyle w:val="FootnoteReference"/>
          <w:sz w:val="18"/>
          <w:szCs w:val="18"/>
          <w:lang w:val="es-ES"/>
        </w:rPr>
        <w:footnoteRef/>
      </w:r>
      <w:r w:rsidRPr="00AF380B">
        <w:rPr>
          <w:sz w:val="18"/>
          <w:szCs w:val="18"/>
          <w:lang w:val="es-ES"/>
        </w:rPr>
        <w:t xml:space="preserve"> </w:t>
      </w:r>
      <w:r w:rsidR="0046657F" w:rsidRPr="00AF380B">
        <w:rPr>
          <w:sz w:val="18"/>
          <w:szCs w:val="18"/>
          <w:lang w:val="es-ES"/>
        </w:rPr>
        <w:t>Una Parte representaba el 85 % de los certificados comerciales y otras cuatro Partes representaban en conjunto el 6 % de los certificados comerciales.</w:t>
      </w:r>
    </w:p>
  </w:footnote>
  <w:footnote w:id="56">
    <w:p w14:paraId="47BC7846" w14:textId="45CB9B86" w:rsidR="008118EC" w:rsidRPr="00AF380B" w:rsidRDefault="008118EC" w:rsidP="0046657F">
      <w:pPr>
        <w:rPr>
          <w:sz w:val="18"/>
          <w:szCs w:val="18"/>
          <w:lang w:val="es-ES"/>
        </w:rPr>
      </w:pPr>
      <w:r w:rsidRPr="00AF380B">
        <w:rPr>
          <w:sz w:val="18"/>
          <w:szCs w:val="18"/>
          <w:vertAlign w:val="superscript"/>
          <w:lang w:val="es-ES"/>
        </w:rPr>
        <w:footnoteRef/>
      </w:r>
      <w:r w:rsidRPr="00AF380B">
        <w:rPr>
          <w:sz w:val="18"/>
          <w:szCs w:val="18"/>
          <w:vertAlign w:val="superscript"/>
          <w:lang w:val="es-ES"/>
        </w:rPr>
        <w:t xml:space="preserve"> </w:t>
      </w:r>
      <w:r w:rsidR="0046657F" w:rsidRPr="00AF380B">
        <w:rPr>
          <w:sz w:val="18"/>
          <w:szCs w:val="18"/>
          <w:lang w:val="es-ES"/>
        </w:rPr>
        <w:t>La siguiente información se basó en los datos de contacto de la</w:t>
      </w:r>
      <w:r w:rsidR="00214FCA">
        <w:rPr>
          <w:sz w:val="18"/>
          <w:szCs w:val="18"/>
          <w:lang w:val="es-ES"/>
        </w:rPr>
        <w:t xml:space="preserve"> </w:t>
      </w:r>
      <w:r w:rsidR="0046657F" w:rsidRPr="00AF380B">
        <w:rPr>
          <w:sz w:val="18"/>
          <w:szCs w:val="18"/>
          <w:lang w:val="es-ES"/>
        </w:rPr>
        <w:t xml:space="preserve">entidad o entidades a las que se había otorgado el consentimiento fundamentado previo en los certificados, cuando no eran confidenciales: el 15 % de los usuarios procedía de Estados de Asia y el Pacífico, el 4 % de Estados de Europa Oriental, el 4 % de Estados de América Latina y el Caribe y el 2 % de Estados africanos. Se puede </w:t>
      </w:r>
      <w:r w:rsidR="00F67B4F" w:rsidRPr="00AF380B">
        <w:rPr>
          <w:sz w:val="18"/>
          <w:szCs w:val="18"/>
          <w:lang w:val="es-ES"/>
        </w:rPr>
        <w:t xml:space="preserve">consultar </w:t>
      </w:r>
      <w:r w:rsidR="0046657F" w:rsidRPr="00AF380B">
        <w:rPr>
          <w:sz w:val="18"/>
          <w:szCs w:val="18"/>
          <w:lang w:val="es-ES"/>
        </w:rPr>
        <w:t xml:space="preserve">más información al respecto en el documento </w:t>
      </w:r>
      <w:hyperlink r:id="rId48" w:history="1">
        <w:r w:rsidR="00A254CD" w:rsidRPr="00AF380B">
          <w:rPr>
            <w:rStyle w:val="Hyperlink"/>
            <w:sz w:val="18"/>
            <w:szCs w:val="18"/>
            <w:lang w:val="es-ES"/>
          </w:rPr>
          <w:t>CBD/SBI/7/INF/4</w:t>
        </w:r>
      </w:hyperlink>
      <w:r w:rsidR="0046657F" w:rsidRPr="00AF380B">
        <w:rPr>
          <w:sz w:val="18"/>
          <w:szCs w:val="18"/>
          <w:lang w:val="es-ES"/>
        </w:rPr>
        <w:t xml:space="preserve">. </w:t>
      </w:r>
    </w:p>
  </w:footnote>
  <w:footnote w:id="57">
    <w:p w14:paraId="245EEA40" w14:textId="22CF6455" w:rsidR="008118EC" w:rsidRPr="00AF380B" w:rsidRDefault="008118EC" w:rsidP="0046657F">
      <w:pPr>
        <w:rPr>
          <w:sz w:val="18"/>
          <w:szCs w:val="18"/>
          <w:lang w:val="es-ES"/>
        </w:rPr>
      </w:pPr>
      <w:r w:rsidRPr="00AF380B">
        <w:rPr>
          <w:rStyle w:val="FootnoteReference"/>
          <w:sz w:val="18"/>
          <w:szCs w:val="18"/>
          <w:lang w:val="es-ES"/>
        </w:rPr>
        <w:footnoteRef/>
      </w:r>
      <w:r w:rsidRPr="00AF380B">
        <w:rPr>
          <w:sz w:val="18"/>
          <w:szCs w:val="18"/>
          <w:lang w:val="es-ES"/>
        </w:rPr>
        <w:t xml:space="preserve"> </w:t>
      </w:r>
      <w:r w:rsidR="0046657F" w:rsidRPr="00AF380B">
        <w:rPr>
          <w:sz w:val="18"/>
          <w:szCs w:val="18"/>
          <w:lang w:val="es-ES"/>
        </w:rPr>
        <w:t xml:space="preserve">El 80 % de las Partes (59) que exigían el consentimiento fundamentado previo para el acceso a los recursos genéticos comunicaron haber recibido beneficios no monetarios derivados de la concesión del acceso a los recursos genéticos para su utilización. Además, el 39 % de las Partes (27) que cuentan con pueblos indígenas y comunidades locales en su territorio indicaron haber recibido beneficios no monetarios por haber concedido acceso a los conocimientos </w:t>
      </w:r>
      <w:r w:rsidR="00944BC0" w:rsidRPr="00AF380B">
        <w:rPr>
          <w:sz w:val="18"/>
          <w:szCs w:val="18"/>
          <w:lang w:val="es-ES"/>
        </w:rPr>
        <w:t>tradicionales relacionados con los recursos genéticos</w:t>
      </w:r>
      <w:r w:rsidR="0046657F" w:rsidRPr="00AF380B">
        <w:rPr>
          <w:sz w:val="18"/>
          <w:szCs w:val="18"/>
          <w:lang w:val="es-ES"/>
        </w:rPr>
        <w:t xml:space="preserve">. </w:t>
      </w:r>
    </w:p>
  </w:footnote>
  <w:footnote w:id="58">
    <w:p w14:paraId="684D6467" w14:textId="1407B5D7" w:rsidR="008118EC" w:rsidRPr="00AF380B" w:rsidRDefault="008118EC" w:rsidP="008118EC">
      <w:pPr>
        <w:pStyle w:val="FootnoteText"/>
        <w:rPr>
          <w:lang w:val="es-ES"/>
        </w:rPr>
      </w:pPr>
      <w:r w:rsidRPr="00AF380B">
        <w:rPr>
          <w:rStyle w:val="FootnoteReference"/>
          <w:lang w:val="es-ES"/>
        </w:rPr>
        <w:footnoteRef/>
      </w:r>
      <w:r w:rsidRPr="00AF380B">
        <w:rPr>
          <w:lang w:val="es-ES"/>
        </w:rPr>
        <w:t xml:space="preserve"> </w:t>
      </w:r>
      <w:r w:rsidR="0046657F" w:rsidRPr="00AF380B">
        <w:rPr>
          <w:szCs w:val="18"/>
          <w:lang w:val="es-ES"/>
        </w:rPr>
        <w:t>Esos habían sido publicados por las dos Partes.</w:t>
      </w:r>
    </w:p>
  </w:footnote>
  <w:footnote w:id="59">
    <w:p w14:paraId="7C11A45F" w14:textId="757D4730" w:rsidR="008118EC" w:rsidRPr="00AF380B" w:rsidRDefault="008118EC" w:rsidP="008118EC">
      <w:pPr>
        <w:pStyle w:val="FootnoteText"/>
        <w:rPr>
          <w:szCs w:val="18"/>
          <w:lang w:val="es-ES"/>
        </w:rPr>
      </w:pPr>
      <w:r w:rsidRPr="00AF380B">
        <w:rPr>
          <w:rStyle w:val="FootnoteReference"/>
          <w:lang w:val="es-ES"/>
        </w:rPr>
        <w:footnoteRef/>
      </w:r>
      <w:r w:rsidRPr="00AF380B">
        <w:rPr>
          <w:lang w:val="es-ES"/>
        </w:rPr>
        <w:t xml:space="preserve"> </w:t>
      </w:r>
      <w:r w:rsidR="0046657F" w:rsidRPr="00AF380B">
        <w:rPr>
          <w:szCs w:val="18"/>
          <w:lang w:val="es-ES"/>
        </w:rPr>
        <w:t xml:space="preserve">En el 14 % restante de los casos, la identidad de la entidad a la que se había otorgado el consentimiento fundamentado previo se mantuvo confidencial y, por lo tanto, no pudo clasificarse ni como interna ni como externa. Se puede </w:t>
      </w:r>
      <w:r w:rsidR="00271E58" w:rsidRPr="00AF380B">
        <w:rPr>
          <w:szCs w:val="18"/>
          <w:lang w:val="es-ES"/>
        </w:rPr>
        <w:t xml:space="preserve">consultar </w:t>
      </w:r>
      <w:r w:rsidR="0046657F" w:rsidRPr="00AF380B">
        <w:rPr>
          <w:szCs w:val="18"/>
          <w:lang w:val="es-ES"/>
        </w:rPr>
        <w:t xml:space="preserve">más información sobre los resultados del análisis de los certificados en el documento </w:t>
      </w:r>
      <w:hyperlink r:id="rId49" w:history="1">
        <w:r w:rsidR="00D846EC" w:rsidRPr="00AF380B">
          <w:rPr>
            <w:rStyle w:val="Hyperlink"/>
            <w:szCs w:val="18"/>
            <w:lang w:val="es-ES"/>
          </w:rPr>
          <w:t>CBD/SBI/7/INF/4</w:t>
        </w:r>
      </w:hyperlink>
      <w:r w:rsidR="0046657F" w:rsidRPr="00AF380B">
        <w:rPr>
          <w:szCs w:val="18"/>
          <w:lang w:val="es-ES"/>
        </w:rPr>
        <w:t>.</w:t>
      </w:r>
    </w:p>
  </w:footnote>
  <w:footnote w:id="60">
    <w:p w14:paraId="598673A4" w14:textId="358D7C6B" w:rsidR="002D64C0" w:rsidRPr="00AF380B" w:rsidRDefault="002D64C0" w:rsidP="002D64C0">
      <w:pPr>
        <w:pStyle w:val="FootnoteText"/>
        <w:rPr>
          <w:szCs w:val="18"/>
          <w:lang w:val="es-ES"/>
        </w:rPr>
      </w:pPr>
      <w:r w:rsidRPr="00AF380B">
        <w:rPr>
          <w:rStyle w:val="FootnoteReference"/>
          <w:szCs w:val="18"/>
          <w:lang w:val="es-ES"/>
        </w:rPr>
        <w:footnoteRef/>
      </w:r>
      <w:r w:rsidRPr="00AF380B">
        <w:rPr>
          <w:szCs w:val="18"/>
          <w:lang w:val="es-ES"/>
        </w:rPr>
        <w:t xml:space="preserve"> </w:t>
      </w:r>
      <w:r w:rsidR="004425EC" w:rsidRPr="00AF380B">
        <w:rPr>
          <w:szCs w:val="18"/>
          <w:lang w:val="es-ES"/>
        </w:rPr>
        <w:t>Véase el elemento C más abajo sobre la evaluación de los recursos disponibles para la aplicación.</w:t>
      </w:r>
    </w:p>
  </w:footnote>
  <w:footnote w:id="61">
    <w:p w14:paraId="160F4AE6" w14:textId="1EC4F153" w:rsidR="002D64C0" w:rsidRPr="00AF380B" w:rsidRDefault="002D64C0" w:rsidP="004425EC">
      <w:pPr>
        <w:pStyle w:val="FootnoteText"/>
        <w:rPr>
          <w:szCs w:val="18"/>
          <w:lang w:val="es-ES"/>
        </w:rPr>
      </w:pPr>
      <w:r w:rsidRPr="00AF380B">
        <w:rPr>
          <w:rStyle w:val="FootnoteReference"/>
          <w:szCs w:val="18"/>
          <w:lang w:val="es-ES"/>
        </w:rPr>
        <w:footnoteRef/>
      </w:r>
      <w:r w:rsidRPr="00AF380B">
        <w:rPr>
          <w:szCs w:val="18"/>
          <w:lang w:val="es-ES"/>
        </w:rPr>
        <w:t xml:space="preserve"> </w:t>
      </w:r>
      <w:r w:rsidR="004425EC" w:rsidRPr="00AF380B">
        <w:rPr>
          <w:szCs w:val="18"/>
          <w:lang w:val="es-ES"/>
        </w:rPr>
        <w:t xml:space="preserve">Véase la sección III.A.5 anterior para obtener más información sobre los avances, </w:t>
      </w:r>
      <w:r w:rsidR="00034F8F" w:rsidRPr="00AF380B">
        <w:rPr>
          <w:szCs w:val="18"/>
          <w:lang w:val="es-ES"/>
        </w:rPr>
        <w:t xml:space="preserve">las dificultades </w:t>
      </w:r>
      <w:r w:rsidR="004425EC" w:rsidRPr="00AF380B">
        <w:rPr>
          <w:szCs w:val="18"/>
          <w:lang w:val="es-ES"/>
        </w:rPr>
        <w:t xml:space="preserve">y las posibles </w:t>
      </w:r>
      <w:r w:rsidR="00034F8F" w:rsidRPr="00AF380B">
        <w:rPr>
          <w:szCs w:val="18"/>
          <w:lang w:val="es-ES"/>
        </w:rPr>
        <w:t xml:space="preserve">maneras </w:t>
      </w:r>
      <w:r w:rsidR="004425EC" w:rsidRPr="00AF380B">
        <w:rPr>
          <w:szCs w:val="18"/>
          <w:lang w:val="es-ES"/>
        </w:rPr>
        <w:t>de apoyar la aplicación de los artículos 15 y 17 del Protocolo.</w:t>
      </w:r>
      <w:r w:rsidR="00214FCA">
        <w:rPr>
          <w:szCs w:val="18"/>
          <w:lang w:val="es-ES"/>
        </w:rPr>
        <w:t xml:space="preserve"> </w:t>
      </w:r>
    </w:p>
  </w:footnote>
  <w:footnote w:id="62">
    <w:p w14:paraId="122BD909" w14:textId="601ABEF3" w:rsidR="000179B2" w:rsidRPr="00AF380B" w:rsidRDefault="000179B2" w:rsidP="000179B2">
      <w:pPr>
        <w:pStyle w:val="FootnoteText"/>
        <w:rPr>
          <w:szCs w:val="18"/>
          <w:lang w:val="es-ES"/>
        </w:rPr>
      </w:pPr>
      <w:r w:rsidRPr="00AF380B">
        <w:rPr>
          <w:rStyle w:val="FootnoteReference"/>
          <w:lang w:val="es-ES"/>
        </w:rPr>
        <w:footnoteRef/>
      </w:r>
      <w:r w:rsidRPr="00AF380B">
        <w:rPr>
          <w:lang w:val="es-ES"/>
        </w:rPr>
        <w:t xml:space="preserve"> </w:t>
      </w:r>
      <w:r w:rsidR="004425EC" w:rsidRPr="00AF380B">
        <w:rPr>
          <w:szCs w:val="18"/>
          <w:lang w:val="es-ES"/>
        </w:rPr>
        <w:t>Para más información, véase el documento CBD/SBI/7/INF/3, sección 3.</w:t>
      </w:r>
    </w:p>
  </w:footnote>
  <w:footnote w:id="63">
    <w:p w14:paraId="70B22E85" w14:textId="089EEC8E" w:rsidR="000F2ED6" w:rsidRPr="00AF380B" w:rsidRDefault="000F2ED6" w:rsidP="000F2ED6">
      <w:pPr>
        <w:pStyle w:val="FootnoteText"/>
        <w:rPr>
          <w:lang w:val="es-ES"/>
        </w:rPr>
      </w:pPr>
      <w:r w:rsidRPr="00AF380B">
        <w:rPr>
          <w:rStyle w:val="FootnoteReference"/>
          <w:lang w:val="es-ES"/>
        </w:rPr>
        <w:footnoteRef/>
      </w:r>
      <w:r w:rsidRPr="00AF380B">
        <w:rPr>
          <w:lang w:val="es-ES"/>
        </w:rPr>
        <w:t xml:space="preserve"> </w:t>
      </w:r>
      <w:r w:rsidR="004425EC" w:rsidRPr="00AF380B">
        <w:rPr>
          <w:szCs w:val="18"/>
          <w:lang w:val="es-ES"/>
        </w:rPr>
        <w:t xml:space="preserve">Para más información, véase el documento </w:t>
      </w:r>
      <w:hyperlink r:id="rId50" w:history="1">
        <w:r w:rsidR="006E18B9" w:rsidRPr="00AF380B">
          <w:rPr>
            <w:rStyle w:val="Hyperlink"/>
            <w:szCs w:val="18"/>
            <w:lang w:val="es-ES"/>
          </w:rPr>
          <w:t>CBD/SBI/7/INF/3</w:t>
        </w:r>
      </w:hyperlink>
      <w:r w:rsidR="004425EC" w:rsidRPr="00AF380B">
        <w:rPr>
          <w:szCs w:val="18"/>
          <w:lang w:val="es-ES"/>
        </w:rPr>
        <w:t>, sección 4.</w:t>
      </w:r>
    </w:p>
  </w:footnote>
  <w:footnote w:id="64">
    <w:p w14:paraId="1FB75CCC" w14:textId="0DECAC4F" w:rsidR="000F2ED6" w:rsidRPr="00AF380B" w:rsidRDefault="000F2ED6" w:rsidP="004425EC">
      <w:pPr>
        <w:pStyle w:val="FootnoteText"/>
        <w:rPr>
          <w:szCs w:val="18"/>
          <w:lang w:val="es-ES"/>
        </w:rPr>
      </w:pPr>
      <w:r w:rsidRPr="00AF380B">
        <w:rPr>
          <w:rStyle w:val="FootnoteReference"/>
          <w:szCs w:val="18"/>
          <w:lang w:val="es-ES"/>
        </w:rPr>
        <w:footnoteRef/>
      </w:r>
      <w:r w:rsidRPr="00AF380B">
        <w:rPr>
          <w:szCs w:val="18"/>
          <w:lang w:val="es-ES"/>
        </w:rPr>
        <w:t xml:space="preserve"> </w:t>
      </w:r>
      <w:r w:rsidR="004425EC" w:rsidRPr="00AF380B">
        <w:rPr>
          <w:szCs w:val="18"/>
          <w:lang w:val="es-ES"/>
        </w:rPr>
        <w:t>Este tema se trata con más detalle a continuación, en el elemento G, relativo al examen de la aplicación y el funcionamiento del Centro de Intercambio de Información, sección III.G.</w:t>
      </w:r>
      <w:r w:rsidR="00214FCA">
        <w:rPr>
          <w:szCs w:val="18"/>
          <w:lang w:val="es-ES"/>
        </w:rPr>
        <w:t xml:space="preserve"> </w:t>
      </w:r>
    </w:p>
  </w:footnote>
  <w:footnote w:id="65">
    <w:p w14:paraId="586FC55D" w14:textId="6A6D7CF6" w:rsidR="000F2ED6" w:rsidRPr="00AF380B" w:rsidRDefault="000F2ED6" w:rsidP="000F2ED6">
      <w:pPr>
        <w:pStyle w:val="FootnoteText"/>
        <w:rPr>
          <w:szCs w:val="18"/>
          <w:lang w:val="es-ES"/>
        </w:rPr>
      </w:pPr>
      <w:r w:rsidRPr="00AF380B">
        <w:rPr>
          <w:rStyle w:val="FootnoteReference"/>
          <w:szCs w:val="18"/>
          <w:lang w:val="es-ES"/>
        </w:rPr>
        <w:footnoteRef/>
      </w:r>
      <w:r w:rsidR="004425EC" w:rsidRPr="00AF380B">
        <w:rPr>
          <w:szCs w:val="18"/>
          <w:lang w:val="es-ES"/>
        </w:rPr>
        <w:t xml:space="preserve"> La capacidad (artículo 22), los recursos financieros (artículo 25) y la movilización de recursos se tratan en la sección III.C más adelante.</w:t>
      </w:r>
    </w:p>
  </w:footnote>
  <w:footnote w:id="66">
    <w:p w14:paraId="52F37705" w14:textId="1CA8A1EE" w:rsidR="000F2ED6" w:rsidRPr="00AF380B" w:rsidRDefault="000F2ED6" w:rsidP="000F2ED6">
      <w:pPr>
        <w:pStyle w:val="FootnoteText"/>
        <w:rPr>
          <w:szCs w:val="18"/>
          <w:lang w:val="es-ES"/>
        </w:rPr>
      </w:pPr>
      <w:r w:rsidRPr="00AF380B">
        <w:rPr>
          <w:rStyle w:val="FootnoteReference"/>
          <w:szCs w:val="18"/>
          <w:lang w:val="es-ES"/>
        </w:rPr>
        <w:footnoteRef/>
      </w:r>
      <w:r w:rsidRPr="00AF380B">
        <w:rPr>
          <w:szCs w:val="18"/>
          <w:lang w:val="es-ES"/>
        </w:rPr>
        <w:t xml:space="preserve"> </w:t>
      </w:r>
      <w:r w:rsidR="002750E2" w:rsidRPr="00AF380B">
        <w:rPr>
          <w:szCs w:val="18"/>
          <w:lang w:val="es-ES"/>
        </w:rPr>
        <w:t xml:space="preserve">Se puede encontrar más información sobre la medición de los beneficios monetarios y no monetarios obtenidos en las fichas de metadatos de los indicadores </w:t>
      </w:r>
      <w:hyperlink r:id="rId51" w:history="1">
        <w:r w:rsidR="008E022B" w:rsidRPr="00AF380B">
          <w:rPr>
            <w:rStyle w:val="Hyperlink"/>
            <w:szCs w:val="18"/>
            <w:lang w:val="es-ES"/>
          </w:rPr>
          <w:t>C.1</w:t>
        </w:r>
      </w:hyperlink>
      <w:r w:rsidR="008E022B" w:rsidRPr="00AF380B">
        <w:rPr>
          <w:szCs w:val="18"/>
          <w:lang w:val="es-ES"/>
        </w:rPr>
        <w:t xml:space="preserve"> y </w:t>
      </w:r>
      <w:hyperlink r:id="rId52" w:history="1">
        <w:r w:rsidR="008E022B" w:rsidRPr="00AF380B">
          <w:rPr>
            <w:rStyle w:val="Hyperlink"/>
            <w:szCs w:val="18"/>
            <w:lang w:val="es-ES"/>
          </w:rPr>
          <w:t>C.2</w:t>
        </w:r>
      </w:hyperlink>
      <w:r w:rsidR="002750E2" w:rsidRPr="00AF380B">
        <w:rPr>
          <w:szCs w:val="18"/>
          <w:lang w:val="es-ES"/>
        </w:rPr>
        <w:t>, respectivamente.</w:t>
      </w:r>
    </w:p>
  </w:footnote>
  <w:footnote w:id="67">
    <w:p w14:paraId="3F257A36" w14:textId="1DFBA439" w:rsidR="00A463A9" w:rsidRPr="00AF380B" w:rsidRDefault="008C4EA6" w:rsidP="0023434D">
      <w:pPr>
        <w:pStyle w:val="FootnoteText"/>
        <w:rPr>
          <w:szCs w:val="18"/>
          <w:lang w:val="es-ES"/>
        </w:rPr>
      </w:pPr>
      <w:r w:rsidRPr="00AF380B">
        <w:rPr>
          <w:rStyle w:val="FootnoteReference"/>
          <w:szCs w:val="18"/>
          <w:lang w:val="es-ES"/>
        </w:rPr>
        <w:footnoteRef/>
      </w:r>
      <w:r w:rsidRPr="00AF380B">
        <w:rPr>
          <w:szCs w:val="18"/>
          <w:lang w:val="es-ES"/>
        </w:rPr>
        <w:t xml:space="preserve"> </w:t>
      </w:r>
      <w:r w:rsidR="002750E2" w:rsidRPr="00AF380B">
        <w:rPr>
          <w:szCs w:val="18"/>
          <w:lang w:val="es-ES"/>
        </w:rPr>
        <w:t xml:space="preserve">Para más información, véanse los documentos </w:t>
      </w:r>
      <w:hyperlink r:id="rId53" w:history="1">
        <w:r w:rsidR="00A463A9" w:rsidRPr="00AF380B">
          <w:rPr>
            <w:rStyle w:val="Hyperlink"/>
            <w:szCs w:val="18"/>
            <w:lang w:val="es-ES"/>
          </w:rPr>
          <w:t>CBD/SBI/7/INF/2</w:t>
        </w:r>
      </w:hyperlink>
      <w:r w:rsidR="00A463A9" w:rsidRPr="00AF380B">
        <w:rPr>
          <w:szCs w:val="18"/>
          <w:lang w:val="es-ES"/>
        </w:rPr>
        <w:t xml:space="preserve">, sección III.C.1; </w:t>
      </w:r>
      <w:hyperlink r:id="rId54" w:history="1">
        <w:r w:rsidR="00A463A9" w:rsidRPr="00AF380B">
          <w:rPr>
            <w:rStyle w:val="Hyperlink"/>
            <w:szCs w:val="18"/>
            <w:lang w:val="es-ES"/>
          </w:rPr>
          <w:t>CBD/SBI/7/INF/5</w:t>
        </w:r>
      </w:hyperlink>
      <w:r w:rsidR="00A463A9" w:rsidRPr="00AF380B">
        <w:rPr>
          <w:szCs w:val="18"/>
          <w:lang w:val="es-ES"/>
        </w:rPr>
        <w:t xml:space="preserve">; y </w:t>
      </w:r>
      <w:hyperlink r:id="rId55" w:history="1">
        <w:r w:rsidR="00A463A9" w:rsidRPr="00AF380B">
          <w:rPr>
            <w:rStyle w:val="Hyperlink"/>
            <w:szCs w:val="18"/>
            <w:lang w:val="es-ES"/>
          </w:rPr>
          <w:t>CBD/SBI/7/INF/3</w:t>
        </w:r>
      </w:hyperlink>
      <w:r w:rsidR="00A463A9" w:rsidRPr="00AF380B">
        <w:rPr>
          <w:lang w:val="es-ES"/>
        </w:rPr>
        <w:t xml:space="preserve">, </w:t>
      </w:r>
      <w:r w:rsidR="002750E2" w:rsidRPr="00AF380B">
        <w:rPr>
          <w:szCs w:val="18"/>
          <w:lang w:val="es-ES"/>
        </w:rPr>
        <w:t>sección 2.6.</w:t>
      </w:r>
      <w:r w:rsidR="00A463A9" w:rsidRPr="00AF380B">
        <w:rPr>
          <w:szCs w:val="18"/>
          <w:lang w:val="es-ES"/>
        </w:rPr>
        <w:t xml:space="preserve"> </w:t>
      </w:r>
    </w:p>
  </w:footnote>
  <w:footnote w:id="68">
    <w:p w14:paraId="0DAB260B" w14:textId="68A67B22" w:rsidR="006E6E63" w:rsidRPr="00AF380B" w:rsidRDefault="006E6E63" w:rsidP="006E6E63">
      <w:pPr>
        <w:pStyle w:val="FootnoteText"/>
        <w:rPr>
          <w:szCs w:val="18"/>
          <w:lang w:val="es-ES"/>
        </w:rPr>
      </w:pPr>
      <w:r w:rsidRPr="00AF380B">
        <w:rPr>
          <w:rStyle w:val="FootnoteReference"/>
          <w:szCs w:val="18"/>
          <w:lang w:val="es-ES"/>
        </w:rPr>
        <w:footnoteRef/>
      </w:r>
      <w:r w:rsidRPr="00AF380B">
        <w:rPr>
          <w:szCs w:val="18"/>
          <w:lang w:val="es-ES"/>
        </w:rPr>
        <w:t xml:space="preserve"> </w:t>
      </w:r>
      <w:r w:rsidR="002750E2" w:rsidRPr="00AF380B">
        <w:rPr>
          <w:szCs w:val="18"/>
          <w:lang w:val="es-ES"/>
        </w:rPr>
        <w:t xml:space="preserve">Para más detalles, véase el análisis de la información sobre iniciativas de creación de capacidad publicado en el documento </w:t>
      </w:r>
      <w:hyperlink r:id="rId56" w:history="1">
        <w:r w:rsidR="00A463A9" w:rsidRPr="00AF380B">
          <w:rPr>
            <w:rStyle w:val="Hyperlink"/>
            <w:szCs w:val="18"/>
            <w:lang w:val="es-ES"/>
          </w:rPr>
          <w:t>CBD/SBI/7/INF/5</w:t>
        </w:r>
      </w:hyperlink>
      <w:r w:rsidR="002750E2" w:rsidRPr="00AF380B">
        <w:rPr>
          <w:szCs w:val="18"/>
          <w:lang w:val="es-ES"/>
        </w:rPr>
        <w:t>, sección II.D.</w:t>
      </w:r>
    </w:p>
  </w:footnote>
  <w:footnote w:id="69">
    <w:p w14:paraId="79DF3541" w14:textId="42E1D836" w:rsidR="006E6E63" w:rsidRPr="00AF380B" w:rsidRDefault="006E6E63" w:rsidP="006E6E63">
      <w:pPr>
        <w:pStyle w:val="FootnoteText"/>
        <w:rPr>
          <w:szCs w:val="18"/>
          <w:lang w:val="es-ES"/>
        </w:rPr>
      </w:pPr>
      <w:r w:rsidRPr="00AF380B">
        <w:rPr>
          <w:rStyle w:val="FootnoteReference"/>
          <w:szCs w:val="18"/>
          <w:lang w:val="es-ES"/>
        </w:rPr>
        <w:footnoteRef/>
      </w:r>
      <w:r w:rsidRPr="00AF380B">
        <w:rPr>
          <w:szCs w:val="18"/>
          <w:lang w:val="es-ES"/>
        </w:rPr>
        <w:t xml:space="preserve"> </w:t>
      </w:r>
      <w:r w:rsidR="002750E2" w:rsidRPr="00AF380B">
        <w:rPr>
          <w:szCs w:val="18"/>
          <w:lang w:val="es-ES"/>
        </w:rPr>
        <w:t xml:space="preserve">Para el análisis de la información facilitada por las Partes sobre la creación </w:t>
      </w:r>
      <w:r w:rsidR="00A5695E" w:rsidRPr="00AF380B">
        <w:rPr>
          <w:szCs w:val="18"/>
          <w:lang w:val="es-ES"/>
        </w:rPr>
        <w:t xml:space="preserve">y el desarrollo </w:t>
      </w:r>
      <w:r w:rsidR="002750E2" w:rsidRPr="00AF380B">
        <w:rPr>
          <w:szCs w:val="18"/>
          <w:lang w:val="es-ES"/>
        </w:rPr>
        <w:t xml:space="preserve">de capacidad en los primeros informes nacionales, véase el documento </w:t>
      </w:r>
      <w:hyperlink r:id="rId57" w:history="1">
        <w:r w:rsidR="00A463A9" w:rsidRPr="00AF380B">
          <w:rPr>
            <w:rStyle w:val="Hyperlink"/>
            <w:szCs w:val="18"/>
            <w:lang w:val="es-ES"/>
          </w:rPr>
          <w:t>CBD/SBI/7/INF/2</w:t>
        </w:r>
      </w:hyperlink>
      <w:r w:rsidR="002750E2" w:rsidRPr="00AF380B">
        <w:rPr>
          <w:szCs w:val="18"/>
          <w:lang w:val="es-ES"/>
        </w:rPr>
        <w:t>, sección III.C.1.</w:t>
      </w:r>
    </w:p>
  </w:footnote>
  <w:footnote w:id="70">
    <w:p w14:paraId="4D5056AE" w14:textId="4BCD91D0" w:rsidR="009064A1" w:rsidRPr="00AF380B" w:rsidRDefault="009064A1" w:rsidP="009064A1">
      <w:pPr>
        <w:pStyle w:val="FootnoteText"/>
        <w:rPr>
          <w:szCs w:val="18"/>
          <w:lang w:val="es-ES"/>
        </w:rPr>
      </w:pPr>
      <w:r w:rsidRPr="00AF380B">
        <w:rPr>
          <w:rStyle w:val="FootnoteReference"/>
          <w:lang w:val="es-ES"/>
        </w:rPr>
        <w:footnoteRef/>
      </w:r>
      <w:r w:rsidRPr="00AF380B">
        <w:rPr>
          <w:lang w:val="es-ES"/>
        </w:rPr>
        <w:t xml:space="preserve"> </w:t>
      </w:r>
      <w:r w:rsidR="00C9136D" w:rsidRPr="00AF380B">
        <w:rPr>
          <w:lang w:val="es-ES"/>
        </w:rPr>
        <w:t>Véase el anexo del documento</w:t>
      </w:r>
      <w:r w:rsidRPr="00AF380B">
        <w:rPr>
          <w:szCs w:val="18"/>
          <w:lang w:val="es-ES"/>
        </w:rPr>
        <w:t xml:space="preserve"> </w:t>
      </w:r>
      <w:hyperlink r:id="rId58" w:history="1">
        <w:r w:rsidR="00A463A9" w:rsidRPr="00AF380B">
          <w:rPr>
            <w:rStyle w:val="Hyperlink"/>
            <w:szCs w:val="18"/>
            <w:lang w:val="es-ES"/>
          </w:rPr>
          <w:t>CBD/NP/MP/DEC/5/3</w:t>
        </w:r>
      </w:hyperlink>
      <w:r w:rsidRPr="00AF380B">
        <w:rPr>
          <w:szCs w:val="18"/>
          <w:lang w:val="es-ES"/>
        </w:rPr>
        <w:t>.</w:t>
      </w:r>
    </w:p>
  </w:footnote>
  <w:footnote w:id="71">
    <w:p w14:paraId="1E1A426E" w14:textId="27E5E287" w:rsidR="009064A1" w:rsidRPr="00AF380B" w:rsidRDefault="009064A1" w:rsidP="009064A1">
      <w:pPr>
        <w:pStyle w:val="FootnoteText"/>
        <w:rPr>
          <w:lang w:val="es-ES"/>
        </w:rPr>
      </w:pPr>
      <w:r w:rsidRPr="00AF380B">
        <w:rPr>
          <w:rStyle w:val="FootnoteReference"/>
          <w:szCs w:val="18"/>
          <w:lang w:val="es-ES"/>
        </w:rPr>
        <w:footnoteRef/>
      </w:r>
      <w:r w:rsidRPr="00AF380B">
        <w:rPr>
          <w:szCs w:val="18"/>
          <w:lang w:val="es-ES"/>
        </w:rPr>
        <w:t xml:space="preserve"> </w:t>
      </w:r>
      <w:r w:rsidR="00C9136D" w:rsidRPr="00AF380B">
        <w:rPr>
          <w:szCs w:val="18"/>
          <w:lang w:val="es-ES"/>
        </w:rPr>
        <w:t xml:space="preserve">Véase el anexo I del documento </w:t>
      </w:r>
      <w:hyperlink r:id="rId59" w:history="1">
        <w:r w:rsidR="00A463A9" w:rsidRPr="00AF380B">
          <w:rPr>
            <w:rStyle w:val="Hyperlink"/>
            <w:szCs w:val="18"/>
            <w:lang w:val="es-ES"/>
          </w:rPr>
          <w:t>CBD/COP/DEC/15/8</w:t>
        </w:r>
      </w:hyperlink>
      <w:r w:rsidRPr="00AF380B">
        <w:rPr>
          <w:szCs w:val="18"/>
          <w:lang w:val="es-ES"/>
        </w:rPr>
        <w:t>.</w:t>
      </w:r>
    </w:p>
  </w:footnote>
  <w:footnote w:id="72">
    <w:p w14:paraId="70733B0B" w14:textId="4E49CF23" w:rsidR="009064A1" w:rsidRPr="00AF380B" w:rsidRDefault="009064A1" w:rsidP="009064A1">
      <w:pPr>
        <w:pStyle w:val="FootnoteText"/>
        <w:rPr>
          <w:szCs w:val="18"/>
          <w:lang w:val="es-ES"/>
        </w:rPr>
      </w:pPr>
      <w:r w:rsidRPr="00AF380B">
        <w:rPr>
          <w:rStyle w:val="FootnoteReference"/>
          <w:szCs w:val="18"/>
          <w:lang w:val="es-ES"/>
        </w:rPr>
        <w:footnoteRef/>
      </w:r>
      <w:r w:rsidRPr="00AF380B">
        <w:rPr>
          <w:szCs w:val="18"/>
          <w:lang w:val="es-ES"/>
        </w:rPr>
        <w:t xml:space="preserve"> </w:t>
      </w:r>
      <w:r w:rsidR="00C9136D" w:rsidRPr="00AF380B">
        <w:rPr>
          <w:szCs w:val="18"/>
          <w:lang w:val="es-ES"/>
        </w:rPr>
        <w:t xml:space="preserve">Véase el anexo II del documento </w:t>
      </w:r>
      <w:hyperlink r:id="rId60" w:history="1">
        <w:r w:rsidR="00A463A9" w:rsidRPr="00AF380B">
          <w:rPr>
            <w:rStyle w:val="Hyperlink"/>
            <w:szCs w:val="18"/>
            <w:lang w:val="es-ES"/>
          </w:rPr>
          <w:t>CBD/COP/DEC/15/8</w:t>
        </w:r>
      </w:hyperlink>
      <w:r w:rsidRPr="00AF380B">
        <w:rPr>
          <w:szCs w:val="18"/>
          <w:lang w:val="es-ES"/>
        </w:rPr>
        <w:t>.</w:t>
      </w:r>
    </w:p>
  </w:footnote>
  <w:footnote w:id="73">
    <w:p w14:paraId="25D24B7E" w14:textId="7F8D983B" w:rsidR="007F02F7" w:rsidRPr="00AF380B" w:rsidRDefault="007F02F7" w:rsidP="007F02F7">
      <w:pPr>
        <w:pStyle w:val="FootnoteText"/>
        <w:rPr>
          <w:lang w:val="es-ES"/>
        </w:rPr>
      </w:pPr>
      <w:r w:rsidRPr="00AF380B">
        <w:rPr>
          <w:rStyle w:val="FootnoteReference"/>
          <w:lang w:val="es-ES"/>
        </w:rPr>
        <w:footnoteRef/>
      </w:r>
      <w:r w:rsidRPr="00AF380B">
        <w:rPr>
          <w:lang w:val="es-ES"/>
        </w:rPr>
        <w:t xml:space="preserve"> </w:t>
      </w:r>
      <w:r w:rsidR="00C9136D" w:rsidRPr="00AF380B">
        <w:rPr>
          <w:lang w:val="es-ES"/>
        </w:rPr>
        <w:t xml:space="preserve">Véanse los documentos </w:t>
      </w:r>
      <w:hyperlink r:id="rId61" w:history="1">
        <w:r w:rsidR="001E7E45" w:rsidRPr="00AF380B">
          <w:rPr>
            <w:rStyle w:val="Hyperlink"/>
            <w:szCs w:val="18"/>
            <w:lang w:val="es-ES"/>
          </w:rPr>
          <w:t>CBD/SBI/7/INF/2</w:t>
        </w:r>
      </w:hyperlink>
      <w:r w:rsidRPr="00AF380B">
        <w:rPr>
          <w:szCs w:val="18"/>
          <w:lang w:val="es-ES"/>
        </w:rPr>
        <w:t>, sec</w:t>
      </w:r>
      <w:r w:rsidR="00C9136D" w:rsidRPr="00AF380B">
        <w:rPr>
          <w:szCs w:val="18"/>
          <w:lang w:val="es-ES"/>
        </w:rPr>
        <w:t>ción</w:t>
      </w:r>
      <w:r w:rsidRPr="00AF380B">
        <w:rPr>
          <w:szCs w:val="18"/>
          <w:lang w:val="es-ES"/>
        </w:rPr>
        <w:t xml:space="preserve"> III.C.2; </w:t>
      </w:r>
      <w:hyperlink r:id="rId62" w:history="1">
        <w:r w:rsidR="001E7E45" w:rsidRPr="00AF380B">
          <w:rPr>
            <w:rStyle w:val="Hyperlink"/>
            <w:szCs w:val="18"/>
            <w:lang w:val="es-ES"/>
          </w:rPr>
          <w:t>CBD/SBI/7/INF/3</w:t>
        </w:r>
      </w:hyperlink>
      <w:r w:rsidRPr="00AF380B">
        <w:rPr>
          <w:szCs w:val="18"/>
          <w:lang w:val="es-ES"/>
        </w:rPr>
        <w:t>, sec</w:t>
      </w:r>
      <w:r w:rsidR="00C9136D" w:rsidRPr="00AF380B">
        <w:rPr>
          <w:szCs w:val="18"/>
          <w:lang w:val="es-ES"/>
        </w:rPr>
        <w:t>ción</w:t>
      </w:r>
      <w:r w:rsidRPr="00AF380B">
        <w:rPr>
          <w:szCs w:val="18"/>
          <w:lang w:val="es-ES"/>
        </w:rPr>
        <w:t xml:space="preserve"> 2.6; </w:t>
      </w:r>
      <w:r w:rsidR="00C9136D" w:rsidRPr="00AF380B">
        <w:rPr>
          <w:szCs w:val="18"/>
          <w:lang w:val="es-ES"/>
        </w:rPr>
        <w:t xml:space="preserve">y </w:t>
      </w:r>
      <w:hyperlink r:id="rId63" w:history="1">
        <w:r w:rsidR="001E7E45" w:rsidRPr="00AF380B">
          <w:rPr>
            <w:rStyle w:val="Hyperlink"/>
            <w:szCs w:val="18"/>
            <w:lang w:val="es-ES"/>
          </w:rPr>
          <w:t>CBD/SBI/7/INF/7</w:t>
        </w:r>
      </w:hyperlink>
      <w:r w:rsidRPr="00AF380B">
        <w:rPr>
          <w:szCs w:val="18"/>
          <w:lang w:val="es-ES"/>
        </w:rPr>
        <w:t>.</w:t>
      </w:r>
    </w:p>
  </w:footnote>
  <w:footnote w:id="74">
    <w:p w14:paraId="012492FF" w14:textId="4620B81E" w:rsidR="000216C6" w:rsidRPr="00AF380B" w:rsidRDefault="000216C6" w:rsidP="000216C6">
      <w:pPr>
        <w:pStyle w:val="Footnote"/>
        <w:rPr>
          <w:lang w:val="es-ES"/>
        </w:rPr>
      </w:pPr>
      <w:r w:rsidRPr="00AF380B">
        <w:rPr>
          <w:rStyle w:val="FootnoteReference"/>
          <w:lang w:val="es-ES"/>
        </w:rPr>
        <w:footnoteRef/>
      </w:r>
      <w:r w:rsidRPr="00AF380B">
        <w:rPr>
          <w:lang w:val="es-ES"/>
        </w:rPr>
        <w:t xml:space="preserve"> Para más información, véase el documento </w:t>
      </w:r>
      <w:hyperlink r:id="rId64" w:history="1">
        <w:r w:rsidRPr="00AF380B">
          <w:rPr>
            <w:rStyle w:val="Hyperlink"/>
            <w:lang w:val="es-ES"/>
          </w:rPr>
          <w:t>CBD/SBI/7/INF/2</w:t>
        </w:r>
      </w:hyperlink>
      <w:r w:rsidRPr="00AF380B">
        <w:rPr>
          <w:lang w:val="es-ES"/>
        </w:rPr>
        <w:t>, sección III.D.</w:t>
      </w:r>
    </w:p>
  </w:footnote>
  <w:footnote w:id="75">
    <w:p w14:paraId="5651A1C3" w14:textId="7F2C7025" w:rsidR="006635C1" w:rsidRPr="00AF380B" w:rsidRDefault="006635C1" w:rsidP="006635C1">
      <w:pPr>
        <w:pStyle w:val="FootnoteText"/>
        <w:rPr>
          <w:szCs w:val="18"/>
          <w:lang w:val="es-ES"/>
        </w:rPr>
      </w:pPr>
      <w:r w:rsidRPr="00AF380B">
        <w:rPr>
          <w:rStyle w:val="FootnoteReference"/>
          <w:lang w:val="es-ES"/>
        </w:rPr>
        <w:footnoteRef/>
      </w:r>
      <w:r w:rsidRPr="00AF380B">
        <w:rPr>
          <w:lang w:val="es-ES"/>
        </w:rPr>
        <w:t xml:space="preserve"> </w:t>
      </w:r>
      <w:r w:rsidR="00C62031" w:rsidRPr="00AF380B">
        <w:rPr>
          <w:lang w:val="es-ES"/>
        </w:rPr>
        <w:t>P</w:t>
      </w:r>
      <w:r w:rsidR="00C62031" w:rsidRPr="00AF380B">
        <w:rPr>
          <w:szCs w:val="18"/>
          <w:lang w:val="es-ES"/>
        </w:rPr>
        <w:t xml:space="preserve">ara más información, véase la decisión </w:t>
      </w:r>
      <w:hyperlink r:id="rId65" w:history="1">
        <w:r w:rsidR="000216C6" w:rsidRPr="00AF380B">
          <w:rPr>
            <w:rStyle w:val="Hyperlink"/>
            <w:szCs w:val="18"/>
            <w:lang w:val="es-ES"/>
          </w:rPr>
          <w:t>NP-3/1</w:t>
        </w:r>
      </w:hyperlink>
      <w:r w:rsidR="00C62031" w:rsidRPr="00AF380B">
        <w:rPr>
          <w:szCs w:val="18"/>
          <w:lang w:val="es-ES"/>
        </w:rPr>
        <w:t>, anexo,</w:t>
      </w:r>
      <w:r w:rsidR="00D846EC" w:rsidRPr="00AF380B">
        <w:rPr>
          <w:szCs w:val="18"/>
          <w:lang w:val="es-ES"/>
        </w:rPr>
        <w:t xml:space="preserve"> elemento</w:t>
      </w:r>
      <w:r w:rsidR="00C62031" w:rsidRPr="00AF380B">
        <w:rPr>
          <w:szCs w:val="18"/>
          <w:lang w:val="es-ES"/>
        </w:rPr>
        <w:t xml:space="preserve"> d): Evaluación de la eficacia del artículo 18 (grado de aplicación).</w:t>
      </w:r>
    </w:p>
  </w:footnote>
  <w:footnote w:id="76">
    <w:p w14:paraId="14B78F4F" w14:textId="3B00156A" w:rsidR="006635C1" w:rsidRPr="00AF380B" w:rsidRDefault="006635C1" w:rsidP="006635C1">
      <w:pPr>
        <w:pStyle w:val="FootnoteText"/>
        <w:rPr>
          <w:szCs w:val="18"/>
          <w:lang w:val="es-ES"/>
        </w:rPr>
      </w:pPr>
      <w:r w:rsidRPr="00AF380B">
        <w:rPr>
          <w:rStyle w:val="FootnoteReference"/>
          <w:lang w:val="es-ES"/>
        </w:rPr>
        <w:footnoteRef/>
      </w:r>
      <w:r w:rsidRPr="00AF380B">
        <w:rPr>
          <w:lang w:val="es-ES"/>
        </w:rPr>
        <w:t xml:space="preserve"> </w:t>
      </w:r>
      <w:r w:rsidR="00C62031" w:rsidRPr="00AF380B">
        <w:rPr>
          <w:szCs w:val="18"/>
          <w:lang w:val="es-ES"/>
        </w:rPr>
        <w:t xml:space="preserve">En el documento </w:t>
      </w:r>
      <w:hyperlink r:id="rId66" w:history="1">
        <w:r w:rsidR="000216C6" w:rsidRPr="00AF380B">
          <w:rPr>
            <w:rStyle w:val="Hyperlink"/>
            <w:szCs w:val="18"/>
            <w:lang w:val="es-ES"/>
          </w:rPr>
          <w:t>CBD/SBI/7/INF/2</w:t>
        </w:r>
      </w:hyperlink>
      <w:r w:rsidR="00C62031" w:rsidRPr="00AF380B">
        <w:rPr>
          <w:szCs w:val="18"/>
          <w:lang w:val="es-ES"/>
        </w:rPr>
        <w:t>, sección III.D, se recogen ejemplos de medidas adoptadas, enfoques y experiencias aportadas por las Partes.</w:t>
      </w:r>
    </w:p>
  </w:footnote>
  <w:footnote w:id="77">
    <w:p w14:paraId="61F7632A" w14:textId="4662D91B" w:rsidR="006635C1" w:rsidRPr="00AF380B" w:rsidRDefault="006635C1" w:rsidP="006635C1">
      <w:pPr>
        <w:pStyle w:val="FootnoteText"/>
        <w:rPr>
          <w:lang w:val="es-ES"/>
        </w:rPr>
      </w:pPr>
      <w:r w:rsidRPr="00AF380B">
        <w:rPr>
          <w:rStyle w:val="FootnoteReference"/>
          <w:szCs w:val="18"/>
          <w:lang w:val="es-ES"/>
        </w:rPr>
        <w:footnoteRef/>
      </w:r>
      <w:r w:rsidRPr="00AF380B">
        <w:rPr>
          <w:szCs w:val="18"/>
          <w:lang w:val="es-ES"/>
        </w:rPr>
        <w:t xml:space="preserve"> </w:t>
      </w:r>
      <w:r w:rsidR="00C356FF" w:rsidRPr="00AF380B">
        <w:rPr>
          <w:lang w:val="es-ES"/>
        </w:rPr>
        <w:t xml:space="preserve">Para más información, véase el documento </w:t>
      </w:r>
      <w:hyperlink r:id="rId67" w:history="1">
        <w:r w:rsidR="000216C6" w:rsidRPr="00AF380B">
          <w:rPr>
            <w:rStyle w:val="Hyperlink"/>
            <w:szCs w:val="18"/>
            <w:lang w:val="es-ES"/>
          </w:rPr>
          <w:t>CBD/SBI/7/INF/2</w:t>
        </w:r>
      </w:hyperlink>
      <w:r w:rsidR="00C356FF" w:rsidRPr="00AF380B">
        <w:rPr>
          <w:lang w:val="es-ES"/>
        </w:rPr>
        <w:t>, sección III.E.</w:t>
      </w:r>
    </w:p>
  </w:footnote>
  <w:footnote w:id="78">
    <w:p w14:paraId="0739E809" w14:textId="155F2497" w:rsidR="00977A55" w:rsidRPr="00AF380B" w:rsidRDefault="00977A55" w:rsidP="00977A55">
      <w:pPr>
        <w:pStyle w:val="FootnoteText"/>
        <w:rPr>
          <w:szCs w:val="18"/>
          <w:lang w:val="es-ES"/>
        </w:rPr>
      </w:pPr>
      <w:r w:rsidRPr="00AF380B">
        <w:rPr>
          <w:rStyle w:val="FootnoteReference"/>
          <w:lang w:val="es-ES"/>
        </w:rPr>
        <w:footnoteRef/>
      </w:r>
      <w:r w:rsidRPr="00AF380B">
        <w:rPr>
          <w:lang w:val="es-ES"/>
        </w:rPr>
        <w:t xml:space="preserve"> </w:t>
      </w:r>
      <w:r w:rsidR="00C356FF" w:rsidRPr="00AF380B">
        <w:rPr>
          <w:szCs w:val="18"/>
          <w:lang w:val="es-ES"/>
        </w:rPr>
        <w:t xml:space="preserve">Los avances en el marco del Comité Intergubernamental sobre Propiedad Intelectual y Recursos Genéticos, Conocimientos Tradicionales y Folclore de la Organización Mundial de la Propiedad Intelectual se recogen en el documento </w:t>
      </w:r>
      <w:hyperlink r:id="rId68" w:history="1">
        <w:r w:rsidR="000216C6" w:rsidRPr="00AF380B">
          <w:rPr>
            <w:rStyle w:val="Hyperlink"/>
            <w:szCs w:val="18"/>
            <w:lang w:val="es-ES"/>
          </w:rPr>
          <w:t>CBD/SBI/7/INF/2</w:t>
        </w:r>
      </w:hyperlink>
      <w:r w:rsidR="00C356FF" w:rsidRPr="00AF380B">
        <w:rPr>
          <w:szCs w:val="18"/>
          <w:lang w:val="es-ES"/>
        </w:rPr>
        <w:t>, sección III.E.</w:t>
      </w:r>
    </w:p>
  </w:footnote>
  <w:footnote w:id="79">
    <w:p w14:paraId="64FA1BE4" w14:textId="14546904" w:rsidR="00EE17C9" w:rsidRPr="00AF380B" w:rsidRDefault="00EE17C9" w:rsidP="00106266">
      <w:pPr>
        <w:pStyle w:val="FootnoteText"/>
        <w:rPr>
          <w:lang w:val="es-ES"/>
        </w:rPr>
      </w:pPr>
      <w:r w:rsidRPr="00AF380B">
        <w:rPr>
          <w:rStyle w:val="FootnoteReference"/>
          <w:szCs w:val="18"/>
          <w:lang w:val="es-ES"/>
        </w:rPr>
        <w:footnoteRef/>
      </w:r>
      <w:r w:rsidRPr="00AF380B">
        <w:rPr>
          <w:szCs w:val="18"/>
          <w:lang w:val="es-ES"/>
        </w:rPr>
        <w:t xml:space="preserve"> </w:t>
      </w:r>
      <w:r w:rsidR="00106266" w:rsidRPr="00AF380B">
        <w:rPr>
          <w:lang w:val="es-ES"/>
        </w:rPr>
        <w:t xml:space="preserve">Para más información, véanse los documentos </w:t>
      </w:r>
      <w:hyperlink r:id="rId69" w:history="1">
        <w:r w:rsidR="000216C6" w:rsidRPr="00AF380B">
          <w:rPr>
            <w:rStyle w:val="Hyperlink"/>
            <w:szCs w:val="18"/>
            <w:lang w:val="es-ES"/>
          </w:rPr>
          <w:t>CBD/SBI/7/INF/2</w:t>
        </w:r>
      </w:hyperlink>
      <w:r w:rsidR="00106266" w:rsidRPr="00AF380B">
        <w:rPr>
          <w:lang w:val="es-ES"/>
        </w:rPr>
        <w:t xml:space="preserve">, sección III.F, y </w:t>
      </w:r>
      <w:hyperlink r:id="rId70" w:history="1">
        <w:r w:rsidR="000216C6" w:rsidRPr="00AF380B">
          <w:rPr>
            <w:rStyle w:val="Hyperlink"/>
            <w:szCs w:val="18"/>
            <w:lang w:val="es-ES"/>
          </w:rPr>
          <w:t>CBD/SBI/7/INF/3</w:t>
        </w:r>
      </w:hyperlink>
      <w:r w:rsidR="00106266" w:rsidRPr="00AF380B">
        <w:rPr>
          <w:lang w:val="es-ES"/>
        </w:rPr>
        <w:t>, sección 2.4.</w:t>
      </w:r>
      <w:r w:rsidR="00214FCA">
        <w:rPr>
          <w:lang w:val="es-ES"/>
        </w:rPr>
        <w:t xml:space="preserve"> </w:t>
      </w:r>
    </w:p>
  </w:footnote>
  <w:footnote w:id="80">
    <w:p w14:paraId="7B0EC4B6" w14:textId="5B92348B" w:rsidR="00D45E5F" w:rsidRPr="00AF380B" w:rsidRDefault="00D45E5F" w:rsidP="00D45E5F">
      <w:pPr>
        <w:pStyle w:val="FootnoteText"/>
        <w:rPr>
          <w:szCs w:val="18"/>
          <w:lang w:val="es-ES"/>
        </w:rPr>
      </w:pPr>
      <w:r w:rsidRPr="00AF380B">
        <w:rPr>
          <w:rStyle w:val="FootnoteReference"/>
          <w:lang w:val="es-ES"/>
        </w:rPr>
        <w:footnoteRef/>
      </w:r>
      <w:r w:rsidRPr="00AF380B">
        <w:rPr>
          <w:lang w:val="es-ES"/>
        </w:rPr>
        <w:t xml:space="preserve"> </w:t>
      </w:r>
      <w:r w:rsidR="00106266" w:rsidRPr="00AF380B">
        <w:rPr>
          <w:lang w:val="es-ES"/>
        </w:rPr>
        <w:t xml:space="preserve">En el documento </w:t>
      </w:r>
      <w:hyperlink r:id="rId71" w:history="1">
        <w:r w:rsidR="000216C6" w:rsidRPr="00AF380B">
          <w:rPr>
            <w:rStyle w:val="Hyperlink"/>
            <w:szCs w:val="18"/>
            <w:lang w:val="es-ES"/>
          </w:rPr>
          <w:t>CBD/SBI/7/INF/2</w:t>
        </w:r>
      </w:hyperlink>
      <w:r w:rsidR="002767AE" w:rsidRPr="00AF380B">
        <w:rPr>
          <w:lang w:val="es-ES"/>
        </w:rPr>
        <w:t>s</w:t>
      </w:r>
      <w:r w:rsidR="00106266" w:rsidRPr="00AF380B">
        <w:rPr>
          <w:lang w:val="es-ES"/>
        </w:rPr>
        <w:t xml:space="preserve">, sección III.F.1, y en el Centro de Intercambio de Información pueden </w:t>
      </w:r>
      <w:r w:rsidR="002E25CF" w:rsidRPr="00AF380B">
        <w:rPr>
          <w:lang w:val="es-ES"/>
        </w:rPr>
        <w:t xml:space="preserve">consultarse </w:t>
      </w:r>
      <w:r w:rsidR="00106266" w:rsidRPr="00AF380B">
        <w:rPr>
          <w:lang w:val="es-ES"/>
        </w:rPr>
        <w:t>ejemplos y enfoques adoptados para elaborar protocolos comunitarios.</w:t>
      </w:r>
    </w:p>
  </w:footnote>
  <w:footnote w:id="81">
    <w:p w14:paraId="7068ECAA" w14:textId="45F88179" w:rsidR="00795389" w:rsidRPr="00AF380B" w:rsidRDefault="00795389" w:rsidP="00795389">
      <w:pPr>
        <w:pStyle w:val="FootnoteText"/>
        <w:rPr>
          <w:szCs w:val="18"/>
          <w:lang w:val="es-ES"/>
        </w:rPr>
      </w:pPr>
      <w:r w:rsidRPr="00AF380B">
        <w:rPr>
          <w:rStyle w:val="FootnoteReference"/>
          <w:lang w:val="es-ES"/>
        </w:rPr>
        <w:footnoteRef/>
      </w:r>
      <w:r w:rsidRPr="00AF380B">
        <w:rPr>
          <w:lang w:val="es-ES"/>
        </w:rPr>
        <w:t xml:space="preserve"> </w:t>
      </w:r>
      <w:r w:rsidR="001B1F74" w:rsidRPr="00AF380B">
        <w:rPr>
          <w:szCs w:val="18"/>
          <w:lang w:val="es-ES"/>
        </w:rPr>
        <w:t xml:space="preserve">Para más información, véanse los documentos </w:t>
      </w:r>
      <w:hyperlink r:id="rId72" w:history="1">
        <w:r w:rsidR="002767AE" w:rsidRPr="00AF380B">
          <w:rPr>
            <w:rStyle w:val="Hyperlink"/>
            <w:szCs w:val="18"/>
            <w:lang w:val="es-ES"/>
          </w:rPr>
          <w:t>CBD/SBI/7/INF/2</w:t>
        </w:r>
      </w:hyperlink>
      <w:r w:rsidR="001B1F74" w:rsidRPr="00AF380B">
        <w:rPr>
          <w:szCs w:val="18"/>
          <w:lang w:val="es-ES"/>
        </w:rPr>
        <w:t xml:space="preserve">, sección III.F.2, y </w:t>
      </w:r>
      <w:hyperlink r:id="rId73" w:history="1">
        <w:r w:rsidR="002767AE" w:rsidRPr="00AF380B">
          <w:rPr>
            <w:rStyle w:val="Hyperlink"/>
            <w:szCs w:val="18"/>
            <w:lang w:val="es-ES"/>
          </w:rPr>
          <w:t>CBD/SBI/7/INF/3</w:t>
        </w:r>
      </w:hyperlink>
      <w:r w:rsidR="001B1F74" w:rsidRPr="00AF380B">
        <w:rPr>
          <w:szCs w:val="18"/>
          <w:lang w:val="es-ES"/>
        </w:rPr>
        <w:t>, sección 2.1.2.</w:t>
      </w:r>
      <w:r w:rsidR="002767AE" w:rsidRPr="00AF380B">
        <w:rPr>
          <w:szCs w:val="18"/>
          <w:lang w:val="es-ES"/>
        </w:rPr>
        <w:t xml:space="preserve"> </w:t>
      </w:r>
    </w:p>
  </w:footnote>
  <w:footnote w:id="82">
    <w:p w14:paraId="06FE1050" w14:textId="6412E49E" w:rsidR="00795389" w:rsidRPr="00AF380B" w:rsidRDefault="00795389" w:rsidP="00795389">
      <w:pPr>
        <w:pStyle w:val="FootnoteText"/>
        <w:rPr>
          <w:szCs w:val="18"/>
          <w:lang w:val="es-ES"/>
        </w:rPr>
      </w:pPr>
      <w:r w:rsidRPr="00AF380B">
        <w:rPr>
          <w:rStyle w:val="FootnoteReference"/>
          <w:lang w:val="es-ES"/>
        </w:rPr>
        <w:footnoteRef/>
      </w:r>
      <w:r w:rsidRPr="00AF380B">
        <w:rPr>
          <w:lang w:val="es-ES"/>
        </w:rPr>
        <w:t xml:space="preserve"> </w:t>
      </w:r>
      <w:r w:rsidR="001273A9" w:rsidRPr="00AF380B">
        <w:rPr>
          <w:szCs w:val="18"/>
          <w:lang w:val="es-ES"/>
        </w:rPr>
        <w:t xml:space="preserve">En el documento </w:t>
      </w:r>
      <w:hyperlink r:id="rId74" w:history="1">
        <w:r w:rsidR="00446A68" w:rsidRPr="00AF380B">
          <w:rPr>
            <w:rStyle w:val="Hyperlink"/>
            <w:szCs w:val="18"/>
            <w:lang w:val="es-ES"/>
          </w:rPr>
          <w:t>CBD/SBI/7/INF/2</w:t>
        </w:r>
      </w:hyperlink>
      <w:r w:rsidR="001273A9" w:rsidRPr="00AF380B">
        <w:rPr>
          <w:szCs w:val="18"/>
          <w:lang w:val="es-ES"/>
        </w:rPr>
        <w:t>, sección III.F.2, y en el Centro de Intercambio de Información se pueden encontrar ejemplos y enfoques relativos a las herramientas notificadas en virtud de los artículos 19 y 20.</w:t>
      </w:r>
    </w:p>
  </w:footnote>
  <w:footnote w:id="83">
    <w:p w14:paraId="5BC46F14" w14:textId="07C7E13F" w:rsidR="00795389" w:rsidRPr="00AF380B" w:rsidRDefault="00795389" w:rsidP="00795389">
      <w:pPr>
        <w:pStyle w:val="Footnote"/>
        <w:rPr>
          <w:lang w:val="es-ES"/>
        </w:rPr>
      </w:pPr>
      <w:r w:rsidRPr="00AF380B">
        <w:rPr>
          <w:rStyle w:val="FootnoteReference"/>
          <w:lang w:val="es-ES"/>
        </w:rPr>
        <w:footnoteRef/>
      </w:r>
      <w:r w:rsidRPr="00AF380B">
        <w:rPr>
          <w:lang w:val="es-ES"/>
        </w:rPr>
        <w:t xml:space="preserve"> </w:t>
      </w:r>
      <w:r w:rsidR="001273A9" w:rsidRPr="00AF380B">
        <w:rPr>
          <w:lang w:val="es-ES"/>
        </w:rPr>
        <w:t>El anterior ejercicio de balance de las herramientas elaboradas en virtud de los artículos 19 y 20, llevado a cabo en el contexto del primer proceso de evaluación y revisión del Protocolo, incluía, como parte del ejercicio sobre herramientas, información sobre cláusulas modelo nacionales y directrices nacionales que formaban parte del marco nacional o regional, así como</w:t>
      </w:r>
      <w:r w:rsidR="00214FCA">
        <w:rPr>
          <w:lang w:val="es-ES"/>
        </w:rPr>
        <w:t xml:space="preserve"> </w:t>
      </w:r>
      <w:r w:rsidR="001273A9" w:rsidRPr="00AF380B">
        <w:rPr>
          <w:lang w:val="es-ES"/>
        </w:rPr>
        <w:t xml:space="preserve">herramientas y recursos desarrollados por los países para apoyar el cumplimiento de sus propios sistemas o de los requisitos nacionales de otros países en materia de acceso y participación en los beneficios, tal como se exige en los artículos 15 y 16 del Protocolo. Sin embargo, esta información se analiza ahora por separado, ya que los objetivos del uso de esas herramientas son muy diferentes. Esto permite evaluar las herramientas desarrolladas por los usuarios y las organizaciones pertinentes de forma independiente de las desarrolladas por los países. Las herramientas </w:t>
      </w:r>
      <w:r w:rsidR="00EF0453" w:rsidRPr="00AF380B">
        <w:rPr>
          <w:lang w:val="es-ES"/>
        </w:rPr>
        <w:t xml:space="preserve">elaboradas </w:t>
      </w:r>
      <w:r w:rsidR="001273A9" w:rsidRPr="00AF380B">
        <w:rPr>
          <w:lang w:val="es-ES"/>
        </w:rPr>
        <w:t>por los países como parte de su marco nacional se analizan y tienen en cuenta ahora únicamente en el contexto del elemento a), que aborda el establecimiento de estructuras institucionales y medidas de acceso y participación en los beneficios para aplicar el Protocolo.</w:t>
      </w:r>
    </w:p>
  </w:footnote>
  <w:footnote w:id="84">
    <w:p w14:paraId="3B3E04AA" w14:textId="713E7044" w:rsidR="00446A68" w:rsidRPr="00AF380B" w:rsidRDefault="00795389" w:rsidP="00446A68">
      <w:pPr>
        <w:pStyle w:val="FootnoteText"/>
        <w:rPr>
          <w:szCs w:val="18"/>
          <w:lang w:val="es-ES"/>
        </w:rPr>
      </w:pPr>
      <w:r w:rsidRPr="00AF380B">
        <w:rPr>
          <w:rStyle w:val="FootnoteReference"/>
          <w:szCs w:val="18"/>
          <w:lang w:val="es-ES"/>
        </w:rPr>
        <w:footnoteRef/>
      </w:r>
      <w:r w:rsidRPr="00AF380B">
        <w:rPr>
          <w:szCs w:val="18"/>
          <w:lang w:val="es-ES"/>
        </w:rPr>
        <w:t xml:space="preserve"> </w:t>
      </w:r>
      <w:r w:rsidR="001273A9" w:rsidRPr="00AF380B">
        <w:rPr>
          <w:szCs w:val="18"/>
          <w:lang w:val="es-ES"/>
        </w:rPr>
        <w:t xml:space="preserve">Se pueden encontrar ejemplos y enfoques de este tipo de iniciativas en los documentos </w:t>
      </w:r>
      <w:hyperlink r:id="rId75" w:history="1">
        <w:r w:rsidR="00446A68" w:rsidRPr="00AF380B">
          <w:rPr>
            <w:rStyle w:val="Hyperlink"/>
            <w:szCs w:val="18"/>
            <w:lang w:val="es-ES"/>
          </w:rPr>
          <w:t>CBD/SBI/7/INF/2</w:t>
        </w:r>
      </w:hyperlink>
      <w:r w:rsidR="001273A9" w:rsidRPr="00AF380B">
        <w:rPr>
          <w:szCs w:val="18"/>
          <w:lang w:val="es-ES"/>
        </w:rPr>
        <w:t xml:space="preserve">, secc. III.F.2; y </w:t>
      </w:r>
      <w:hyperlink r:id="rId76" w:history="1">
        <w:r w:rsidR="00446A68" w:rsidRPr="00AF380B">
          <w:rPr>
            <w:rStyle w:val="Hyperlink"/>
            <w:szCs w:val="18"/>
            <w:lang w:val="es-ES"/>
          </w:rPr>
          <w:t>CBD/SBI/7/INF/3</w:t>
        </w:r>
      </w:hyperlink>
      <w:r w:rsidR="001273A9" w:rsidRPr="00AF380B">
        <w:rPr>
          <w:szCs w:val="18"/>
          <w:lang w:val="es-ES"/>
        </w:rPr>
        <w:t>, secc. 2.1.2.</w:t>
      </w:r>
      <w:r w:rsidR="00446A68" w:rsidRPr="00AF380B">
        <w:rPr>
          <w:szCs w:val="18"/>
          <w:lang w:val="es-ES"/>
        </w:rPr>
        <w:t xml:space="preserve"> </w:t>
      </w:r>
    </w:p>
    <w:p w14:paraId="19E63DF1" w14:textId="5545C114" w:rsidR="00795389" w:rsidRPr="00AF380B" w:rsidRDefault="00795389" w:rsidP="00795389">
      <w:pPr>
        <w:pStyle w:val="FootnoteText"/>
        <w:rPr>
          <w:szCs w:val="18"/>
          <w:lang w:val="es-ES"/>
        </w:rPr>
      </w:pPr>
    </w:p>
  </w:footnote>
  <w:footnote w:id="85">
    <w:p w14:paraId="43FDD033" w14:textId="6FCAF0D9" w:rsidR="003F7B9F" w:rsidRPr="00AF380B" w:rsidRDefault="003F7B9F" w:rsidP="003F7B9F">
      <w:pPr>
        <w:pStyle w:val="FootnoteText"/>
        <w:rPr>
          <w:szCs w:val="18"/>
          <w:lang w:val="es-ES"/>
        </w:rPr>
      </w:pPr>
      <w:r w:rsidRPr="00AF380B">
        <w:rPr>
          <w:rStyle w:val="FootnoteReference"/>
          <w:szCs w:val="18"/>
          <w:lang w:val="es-ES"/>
        </w:rPr>
        <w:footnoteRef/>
      </w:r>
      <w:r w:rsidRPr="00AF380B">
        <w:rPr>
          <w:szCs w:val="18"/>
          <w:lang w:val="es-ES"/>
        </w:rPr>
        <w:t xml:space="preserve"> </w:t>
      </w:r>
      <w:r w:rsidR="000937D4" w:rsidRPr="00AF380B">
        <w:rPr>
          <w:szCs w:val="18"/>
          <w:lang w:val="es-ES"/>
        </w:rPr>
        <w:t xml:space="preserve">Para más información, véanse los documentos </w:t>
      </w:r>
      <w:hyperlink r:id="rId77" w:history="1">
        <w:r w:rsidR="00B56017" w:rsidRPr="00AF380B">
          <w:rPr>
            <w:rStyle w:val="Hyperlink"/>
            <w:szCs w:val="18"/>
            <w:lang w:val="es-ES"/>
          </w:rPr>
          <w:t>CBD/SBI/7/INF/2</w:t>
        </w:r>
      </w:hyperlink>
      <w:r w:rsidR="000937D4" w:rsidRPr="00AF380B">
        <w:rPr>
          <w:szCs w:val="18"/>
          <w:lang w:val="es-ES"/>
        </w:rPr>
        <w:t xml:space="preserve">, sección III.G; </w:t>
      </w:r>
      <w:hyperlink r:id="rId78" w:history="1">
        <w:r w:rsidR="00B56017" w:rsidRPr="00AF380B">
          <w:rPr>
            <w:rStyle w:val="Hyperlink"/>
            <w:szCs w:val="18"/>
            <w:lang w:val="es-ES"/>
          </w:rPr>
          <w:t>CBD/SBI/7/INF/5</w:t>
        </w:r>
      </w:hyperlink>
      <w:r w:rsidR="000937D4" w:rsidRPr="00AF380B">
        <w:rPr>
          <w:szCs w:val="18"/>
          <w:lang w:val="es-ES"/>
        </w:rPr>
        <w:t xml:space="preserve">; </w:t>
      </w:r>
      <w:hyperlink r:id="rId79" w:history="1">
        <w:r w:rsidR="00B56017" w:rsidRPr="00AF380B">
          <w:rPr>
            <w:rStyle w:val="Hyperlink"/>
            <w:szCs w:val="18"/>
            <w:lang w:val="es-ES"/>
          </w:rPr>
          <w:t>CBD/SBI/7/INF/3</w:t>
        </w:r>
      </w:hyperlink>
      <w:r w:rsidR="000937D4" w:rsidRPr="00AF380B">
        <w:rPr>
          <w:szCs w:val="18"/>
          <w:lang w:val="es-ES"/>
        </w:rPr>
        <w:t xml:space="preserve">, sección 2.5; y </w:t>
      </w:r>
      <w:hyperlink r:id="rId80" w:history="1">
        <w:r w:rsidR="00B56017" w:rsidRPr="00AF380B">
          <w:rPr>
            <w:rStyle w:val="Hyperlink"/>
            <w:szCs w:val="18"/>
            <w:lang w:val="es-ES"/>
          </w:rPr>
          <w:t>CBD/SBI/7/INF/4</w:t>
        </w:r>
      </w:hyperlink>
      <w:r w:rsidR="000937D4" w:rsidRPr="00AF380B">
        <w:rPr>
          <w:szCs w:val="18"/>
          <w:lang w:val="es-ES"/>
        </w:rPr>
        <w:t>.</w:t>
      </w:r>
      <w:r w:rsidR="00B56017" w:rsidRPr="00AF380B">
        <w:rPr>
          <w:szCs w:val="18"/>
          <w:lang w:val="es-ES"/>
        </w:rPr>
        <w:t xml:space="preserve"> </w:t>
      </w:r>
    </w:p>
  </w:footnote>
  <w:footnote w:id="86">
    <w:p w14:paraId="17A4EA13" w14:textId="67F62A1C" w:rsidR="009F2412" w:rsidRPr="00AF380B" w:rsidRDefault="009F2412" w:rsidP="009F2412">
      <w:pPr>
        <w:pStyle w:val="FootnoteText"/>
        <w:rPr>
          <w:lang w:val="es-ES"/>
        </w:rPr>
      </w:pPr>
      <w:r w:rsidRPr="00AF380B">
        <w:rPr>
          <w:rStyle w:val="FootnoteReference"/>
          <w:lang w:val="es-ES"/>
        </w:rPr>
        <w:footnoteRef/>
      </w:r>
      <w:r w:rsidRPr="00AF380B">
        <w:rPr>
          <w:lang w:val="es-ES"/>
        </w:rPr>
        <w:t xml:space="preserve"> </w:t>
      </w:r>
      <w:r w:rsidR="000937D4" w:rsidRPr="00AF380B">
        <w:rPr>
          <w:szCs w:val="18"/>
          <w:lang w:val="es-ES"/>
        </w:rPr>
        <w:t xml:space="preserve">Los datos relativos a los puntos focales nacionales en materia de acceso y </w:t>
      </w:r>
      <w:r w:rsidR="005139A6" w:rsidRPr="00AF380B">
        <w:rPr>
          <w:szCs w:val="18"/>
          <w:lang w:val="es-ES"/>
        </w:rPr>
        <w:t xml:space="preserve">participación en los </w:t>
      </w:r>
      <w:r w:rsidR="000937D4" w:rsidRPr="00AF380B">
        <w:rPr>
          <w:szCs w:val="18"/>
          <w:lang w:val="es-ES"/>
        </w:rPr>
        <w:t>beneficios no se incluyen en los registros nacionales. La designación de los puntos focales nacionales se realiza mediante cartas oficiales dirigidas a la Secretaría y no se publica directamente a través del Centro de Intercambio de Información.</w:t>
      </w:r>
    </w:p>
  </w:footnote>
  <w:footnote w:id="87">
    <w:p w14:paraId="6D2057CB" w14:textId="4AEA8C5B" w:rsidR="009F2412" w:rsidRPr="00AF380B" w:rsidRDefault="009F2412" w:rsidP="009F2412">
      <w:pPr>
        <w:pStyle w:val="FootnoteText"/>
        <w:rPr>
          <w:szCs w:val="18"/>
          <w:lang w:val="es-ES"/>
        </w:rPr>
      </w:pPr>
      <w:r w:rsidRPr="00AF380B">
        <w:rPr>
          <w:rStyle w:val="FootnoteReference"/>
          <w:lang w:val="es-ES"/>
        </w:rPr>
        <w:footnoteRef/>
      </w:r>
      <w:r w:rsidRPr="00AF380B">
        <w:rPr>
          <w:lang w:val="es-ES"/>
        </w:rPr>
        <w:t xml:space="preserve"> </w:t>
      </w:r>
      <w:r w:rsidR="00C4729D" w:rsidRPr="00AF380B">
        <w:rPr>
          <w:szCs w:val="18"/>
          <w:lang w:val="es-ES"/>
        </w:rPr>
        <w:t xml:space="preserve">Para más información sobre los avances realizados en relación con la obligación de publicar información nacional en el Centro de Intercambio de Información, desglosada por región y por tipo de registro, véase el documento </w:t>
      </w:r>
      <w:hyperlink r:id="rId81" w:history="1">
        <w:r w:rsidR="00D07559" w:rsidRPr="00AF380B">
          <w:rPr>
            <w:rStyle w:val="Hyperlink"/>
            <w:szCs w:val="18"/>
            <w:lang w:val="es-ES"/>
          </w:rPr>
          <w:t>CBD/SBI/7/INF/2</w:t>
        </w:r>
      </w:hyperlink>
      <w:r w:rsidR="00C4729D" w:rsidRPr="00AF380B">
        <w:rPr>
          <w:szCs w:val="18"/>
          <w:lang w:val="es-ES"/>
        </w:rPr>
        <w:t>, sección III.G.</w:t>
      </w:r>
    </w:p>
  </w:footnote>
  <w:footnote w:id="88">
    <w:p w14:paraId="604590A6" w14:textId="34CB72A6" w:rsidR="00B4416E" w:rsidRPr="00AF380B" w:rsidRDefault="00B4416E" w:rsidP="00B4416E">
      <w:pPr>
        <w:pStyle w:val="FootnoteText"/>
        <w:rPr>
          <w:szCs w:val="18"/>
          <w:lang w:val="es-ES"/>
        </w:rPr>
      </w:pPr>
      <w:r w:rsidRPr="00AF380B">
        <w:rPr>
          <w:rStyle w:val="FootnoteReference"/>
          <w:lang w:val="es-ES"/>
        </w:rPr>
        <w:footnoteRef/>
      </w:r>
      <w:r w:rsidRPr="00AF380B">
        <w:rPr>
          <w:lang w:val="es-ES"/>
        </w:rPr>
        <w:t xml:space="preserve"> </w:t>
      </w:r>
      <w:r w:rsidR="00C4729D" w:rsidRPr="00AF380B">
        <w:rPr>
          <w:szCs w:val="18"/>
          <w:lang w:val="es-ES"/>
        </w:rPr>
        <w:t xml:space="preserve">Véase el documento </w:t>
      </w:r>
      <w:hyperlink r:id="rId82" w:history="1">
        <w:r w:rsidR="00D07559" w:rsidRPr="00AF380B">
          <w:rPr>
            <w:rStyle w:val="Hyperlink"/>
            <w:szCs w:val="18"/>
            <w:lang w:val="es-ES"/>
          </w:rPr>
          <w:t>CBD/SBI/7/INF/5</w:t>
        </w:r>
      </w:hyperlink>
      <w:r w:rsidR="00C4729D" w:rsidRPr="00AF380B">
        <w:rPr>
          <w:szCs w:val="18"/>
          <w:lang w:val="es-ES"/>
        </w:rPr>
        <w:t>, sección II.G, donde se recogen ejemplos y testimonios de usuarios del Centro de Intercambio de Información.</w:t>
      </w:r>
    </w:p>
  </w:footnote>
  <w:footnote w:id="89">
    <w:p w14:paraId="67CB10A9" w14:textId="4A0B819E" w:rsidR="00B4416E" w:rsidRPr="00AF380B" w:rsidRDefault="00B4416E" w:rsidP="00B4416E">
      <w:pPr>
        <w:pStyle w:val="FootnoteText"/>
        <w:rPr>
          <w:szCs w:val="18"/>
          <w:lang w:val="es-ES"/>
        </w:rPr>
      </w:pPr>
      <w:r w:rsidRPr="00AF380B">
        <w:rPr>
          <w:rStyle w:val="FootnoteReference"/>
          <w:lang w:val="es-ES"/>
        </w:rPr>
        <w:footnoteRef/>
      </w:r>
      <w:r w:rsidRPr="00AF380B">
        <w:rPr>
          <w:lang w:val="es-ES"/>
        </w:rPr>
        <w:t xml:space="preserve"> </w:t>
      </w:r>
      <w:r w:rsidR="00E3338A" w:rsidRPr="00AF380B">
        <w:rPr>
          <w:szCs w:val="18"/>
          <w:lang w:val="es-ES"/>
        </w:rPr>
        <w:t>Por ejemplo, mediante un programa de comprobación automática de enlaces, se constató que alrededor del 42 % de los registros de los sitios web y las bases de datos nacionales contenían enlaces rotos e inaccesibles.</w:t>
      </w:r>
      <w:r w:rsidR="00214FCA">
        <w:rPr>
          <w:szCs w:val="18"/>
          <w:lang w:val="es-ES"/>
        </w:rPr>
        <w:t xml:space="preserve"> </w:t>
      </w:r>
    </w:p>
  </w:footnote>
  <w:footnote w:id="90">
    <w:p w14:paraId="0F534A63" w14:textId="6B2456D1" w:rsidR="00B4416E" w:rsidRPr="00AF380B" w:rsidRDefault="00B4416E" w:rsidP="00B4416E">
      <w:pPr>
        <w:pStyle w:val="FootnoteText"/>
        <w:rPr>
          <w:lang w:val="es-ES"/>
        </w:rPr>
      </w:pPr>
      <w:r w:rsidRPr="00AF380B">
        <w:rPr>
          <w:rStyle w:val="FootnoteReference"/>
          <w:lang w:val="es-ES"/>
        </w:rPr>
        <w:footnoteRef/>
      </w:r>
      <w:r w:rsidR="00D720C2" w:rsidRPr="00AF380B">
        <w:rPr>
          <w:szCs w:val="18"/>
          <w:lang w:val="es-ES"/>
        </w:rPr>
        <w:t xml:space="preserve"> Para más información sobre las dificultades que plantea la aplicación del artículo 17, véase la sección III.A.5 anterior.</w:t>
      </w:r>
    </w:p>
  </w:footnote>
  <w:footnote w:id="91">
    <w:p w14:paraId="3C5BCAE3" w14:textId="7827E427" w:rsidR="006126C7" w:rsidRPr="005A210D" w:rsidRDefault="006126C7" w:rsidP="006126C7">
      <w:pPr>
        <w:pStyle w:val="FootnoteText"/>
        <w:rPr>
          <w:lang w:val="fr-FR"/>
        </w:rPr>
      </w:pPr>
      <w:r w:rsidRPr="00AF380B">
        <w:rPr>
          <w:rStyle w:val="FootnoteReference"/>
          <w:lang w:val="es-ES"/>
        </w:rPr>
        <w:footnoteRef/>
      </w:r>
      <w:r w:rsidRPr="005A210D">
        <w:rPr>
          <w:lang w:val="fr-FR"/>
        </w:rPr>
        <w:t xml:space="preserve"> </w:t>
      </w:r>
      <w:proofErr w:type="spellStart"/>
      <w:r w:rsidR="005966E0" w:rsidRPr="005A210D">
        <w:rPr>
          <w:szCs w:val="18"/>
          <w:lang w:val="fr-FR"/>
        </w:rPr>
        <w:t>Véase</w:t>
      </w:r>
      <w:proofErr w:type="spellEnd"/>
      <w:r w:rsidR="005966E0" w:rsidRPr="005A210D">
        <w:rPr>
          <w:szCs w:val="18"/>
          <w:lang w:val="fr-FR"/>
        </w:rPr>
        <w:t xml:space="preserve"> </w:t>
      </w:r>
      <w:hyperlink r:id="rId83" w:history="1">
        <w:r w:rsidR="00D07559" w:rsidRPr="005A210D">
          <w:rPr>
            <w:rStyle w:val="Hyperlink"/>
            <w:lang w:val="fr-FR"/>
          </w:rPr>
          <w:t>https://absch.cbd.int/en/kb</w:t>
        </w:r>
      </w:hyperlink>
      <w:r w:rsidRPr="005A210D">
        <w:rPr>
          <w:lang w:val="fr-FR"/>
        </w:rPr>
        <w:t>.</w:t>
      </w:r>
    </w:p>
  </w:footnote>
  <w:footnote w:id="92">
    <w:p w14:paraId="235C3413" w14:textId="4EACCE5B" w:rsidR="00A92FBC" w:rsidRPr="00AF380B" w:rsidRDefault="00A92FBC" w:rsidP="00A92FBC">
      <w:pPr>
        <w:pStyle w:val="FootnoteText"/>
        <w:rPr>
          <w:szCs w:val="18"/>
          <w:lang w:val="es-ES"/>
        </w:rPr>
      </w:pPr>
      <w:r w:rsidRPr="00AF380B">
        <w:rPr>
          <w:rStyle w:val="FootnoteReference"/>
          <w:lang w:val="es-ES"/>
        </w:rPr>
        <w:footnoteRef/>
      </w:r>
      <w:r w:rsidRPr="00AF380B">
        <w:rPr>
          <w:lang w:val="es-ES"/>
        </w:rPr>
        <w:t xml:space="preserve"> </w:t>
      </w:r>
      <w:r w:rsidR="005966E0" w:rsidRPr="00AF380B">
        <w:rPr>
          <w:szCs w:val="18"/>
          <w:lang w:val="es-ES"/>
        </w:rPr>
        <w:t xml:space="preserve">La mayoría de los visitantes tenían direcciones IP procedentes de uno de los siguientes 10 países (enumerados por orden decreciente de número de visitantes): China, Singapur, Estados Unidos de América, Alemania, Francia, Reino Unido de Gran Bretaña e Irlanda del Norte, Japón, India, Reino de los Países Bajos y Brasil. Para más información sobre el tráfico del sitio web, véase la sección II.C del documento </w:t>
      </w:r>
      <w:hyperlink r:id="rId84" w:history="1">
        <w:r w:rsidR="00CE19E8" w:rsidRPr="00AF380B">
          <w:rPr>
            <w:rStyle w:val="Hyperlink"/>
            <w:szCs w:val="18"/>
            <w:lang w:val="es-ES"/>
          </w:rPr>
          <w:t>CBD/SBI/7/INF/4</w:t>
        </w:r>
      </w:hyperlink>
      <w:r w:rsidR="00CE19E8" w:rsidRPr="00AF380B">
        <w:rPr>
          <w:szCs w:val="18"/>
          <w:lang w:val="es-ES"/>
        </w:rPr>
        <w:t xml:space="preserve"> </w:t>
      </w:r>
      <w:r w:rsidR="005966E0" w:rsidRPr="00AF380B">
        <w:rPr>
          <w:szCs w:val="18"/>
          <w:lang w:val="es-ES"/>
        </w:rPr>
        <w:t>(análisis de la información publicada en el Centro de Intercambio de Información).</w:t>
      </w:r>
    </w:p>
  </w:footnote>
  <w:footnote w:id="93">
    <w:p w14:paraId="2346903A" w14:textId="73C1A894" w:rsidR="00A92FBC" w:rsidRPr="00AF380B" w:rsidRDefault="00A92FBC" w:rsidP="00A92FBC">
      <w:pPr>
        <w:pStyle w:val="FootnoteText"/>
        <w:rPr>
          <w:szCs w:val="18"/>
          <w:lang w:val="es-ES"/>
        </w:rPr>
      </w:pPr>
      <w:r w:rsidRPr="00AF380B">
        <w:rPr>
          <w:rStyle w:val="FootnoteReference"/>
          <w:lang w:val="es-ES"/>
        </w:rPr>
        <w:footnoteRef/>
      </w:r>
      <w:r w:rsidRPr="00AF380B">
        <w:rPr>
          <w:lang w:val="es-ES"/>
        </w:rPr>
        <w:t xml:space="preserve"> </w:t>
      </w:r>
      <w:r w:rsidR="00E949FA" w:rsidRPr="00AF380B">
        <w:rPr>
          <w:lang w:val="es-ES"/>
        </w:rPr>
        <w:t>Por más información, véase el documento</w:t>
      </w:r>
      <w:r w:rsidRPr="00AF380B">
        <w:rPr>
          <w:szCs w:val="18"/>
          <w:lang w:val="es-ES"/>
        </w:rPr>
        <w:t xml:space="preserve"> </w:t>
      </w:r>
      <w:hyperlink r:id="rId85" w:history="1">
        <w:r w:rsidR="00CE19E8" w:rsidRPr="00AF380B">
          <w:rPr>
            <w:rStyle w:val="Hyperlink"/>
            <w:szCs w:val="18"/>
            <w:lang w:val="es-ES"/>
          </w:rPr>
          <w:t>CBD/SBI/7/INF/5</w:t>
        </w:r>
      </w:hyperlink>
      <w:r w:rsidRPr="00AF380B">
        <w:rPr>
          <w:szCs w:val="18"/>
          <w:lang w:val="es-ES"/>
        </w:rPr>
        <w:t>.</w:t>
      </w:r>
    </w:p>
  </w:footnote>
  <w:footnote w:id="94">
    <w:p w14:paraId="6517B3F2" w14:textId="218EC57B" w:rsidR="00A92FBC" w:rsidRPr="00AF380B" w:rsidRDefault="00A92FBC" w:rsidP="00A92FBC">
      <w:pPr>
        <w:pStyle w:val="FootnoteText"/>
        <w:rPr>
          <w:lang w:val="es-ES"/>
        </w:rPr>
      </w:pPr>
      <w:r w:rsidRPr="00AF380B">
        <w:rPr>
          <w:rStyle w:val="FootnoteReference"/>
          <w:lang w:val="es-ES"/>
        </w:rPr>
        <w:footnoteRef/>
      </w:r>
      <w:r w:rsidRPr="00AF380B">
        <w:rPr>
          <w:lang w:val="es-ES"/>
        </w:rPr>
        <w:t xml:space="preserve"> </w:t>
      </w:r>
      <w:r w:rsidR="00E949FA" w:rsidRPr="00AF380B">
        <w:rPr>
          <w:lang w:val="es-ES"/>
        </w:rPr>
        <w:t>Por más información, véase el documento</w:t>
      </w:r>
      <w:r w:rsidR="00E949FA" w:rsidRPr="00AF380B">
        <w:rPr>
          <w:szCs w:val="18"/>
          <w:lang w:val="es-ES"/>
        </w:rPr>
        <w:t xml:space="preserve"> </w:t>
      </w:r>
      <w:hyperlink r:id="rId86" w:history="1">
        <w:r w:rsidR="00CE19E8" w:rsidRPr="00AF380B">
          <w:rPr>
            <w:rStyle w:val="Hyperlink"/>
            <w:szCs w:val="18"/>
            <w:lang w:val="es-ES"/>
          </w:rPr>
          <w:t>CBD/SBI/7/INF/4</w:t>
        </w:r>
      </w:hyperlink>
      <w:r w:rsidRPr="00AF380B">
        <w:rPr>
          <w:szCs w:val="18"/>
          <w:lang w:val="es-ES"/>
        </w:rPr>
        <w:t>, sec</w:t>
      </w:r>
      <w:r w:rsidR="00E949FA" w:rsidRPr="00AF380B">
        <w:rPr>
          <w:szCs w:val="18"/>
          <w:lang w:val="es-ES"/>
        </w:rPr>
        <w:t>ción</w:t>
      </w:r>
      <w:r w:rsidRPr="00AF380B">
        <w:rPr>
          <w:szCs w:val="18"/>
          <w:lang w:val="es-ES"/>
        </w:rPr>
        <w:t xml:space="preserve"> II.B.</w:t>
      </w:r>
    </w:p>
  </w:footnote>
  <w:footnote w:id="95">
    <w:p w14:paraId="517615F3" w14:textId="57C0FCC5" w:rsidR="00F05B28" w:rsidRPr="00AF380B" w:rsidRDefault="00F05B28" w:rsidP="00F05B28">
      <w:pPr>
        <w:pStyle w:val="Footnote"/>
        <w:rPr>
          <w:lang w:val="es-ES"/>
        </w:rPr>
      </w:pPr>
      <w:r w:rsidRPr="00AF380B">
        <w:rPr>
          <w:rStyle w:val="FootnoteReference"/>
          <w:lang w:val="es-ES"/>
        </w:rPr>
        <w:footnoteRef/>
      </w:r>
      <w:r w:rsidRPr="00AF380B">
        <w:rPr>
          <w:lang w:val="es-ES"/>
        </w:rPr>
        <w:t xml:space="preserve"> </w:t>
      </w:r>
      <w:r w:rsidR="00375C8D" w:rsidRPr="00AF380B">
        <w:rPr>
          <w:lang w:val="es-ES"/>
        </w:rPr>
        <w:t xml:space="preserve">El artículo 10 establece que </w:t>
      </w:r>
      <w:r w:rsidRPr="00AF380B">
        <w:rPr>
          <w:lang w:val="es-ES"/>
        </w:rPr>
        <w:t>“</w:t>
      </w:r>
      <w:r w:rsidR="00375C8D" w:rsidRPr="00AF380B">
        <w:rPr>
          <w:lang w:val="es-ES"/>
        </w:rPr>
        <w:t xml:space="preserve">las Partes considerarán la necesidad de contar con un mecanismo mundial multilateral de participación en los beneficios, y con modalidades para este, para abordar la participación justa y equitativa en los beneficios que se deriven de la utilización de los recursos genéticos y los conocimientos </w:t>
      </w:r>
      <w:r w:rsidR="00944BC0" w:rsidRPr="00AF380B">
        <w:rPr>
          <w:lang w:val="es-ES"/>
        </w:rPr>
        <w:t>tradicionales relacionados con los recursos genéticos</w:t>
      </w:r>
      <w:r w:rsidR="00375C8D" w:rsidRPr="00AF380B">
        <w:rPr>
          <w:lang w:val="es-ES"/>
        </w:rPr>
        <w:t xml:space="preserve"> que se producen en situaciones transfronterizas o en las que no es posible otorgar y obtener consentimiento fundamentado previo</w:t>
      </w:r>
      <w:r w:rsidR="005175E4" w:rsidRPr="00AF380B">
        <w:rPr>
          <w:lang w:val="es-ES"/>
        </w:rPr>
        <w:t xml:space="preserve">. </w:t>
      </w:r>
      <w:r w:rsidR="00375C8D" w:rsidRPr="00AF380B">
        <w:rPr>
          <w:lang w:val="es-ES"/>
        </w:rPr>
        <w:t>Los beneficios compartidos por los usuarios de recursos genéticos y conocimientos tradicionales asociados a recursos genéticos a través de este mecanismo se utilizarán para apoyar la conservación de la diversidad biológica y la utilización sostenible de sus componentes a nivel mundial</w:t>
      </w:r>
      <w:r w:rsidRPr="00AF380B">
        <w:rPr>
          <w:lang w:val="es-ES"/>
        </w:rPr>
        <w:t>”.</w:t>
      </w:r>
    </w:p>
  </w:footnote>
  <w:footnote w:id="96">
    <w:p w14:paraId="3A34EB09" w14:textId="533EBCCC" w:rsidR="00F05B28" w:rsidRPr="00AF380B" w:rsidRDefault="00F05B28" w:rsidP="00F05B28">
      <w:pPr>
        <w:pStyle w:val="Footnote"/>
        <w:rPr>
          <w:lang w:val="es-ES"/>
        </w:rPr>
      </w:pPr>
      <w:r w:rsidRPr="00AF380B">
        <w:rPr>
          <w:rStyle w:val="FootnoteReference"/>
          <w:lang w:val="es-ES"/>
        </w:rPr>
        <w:footnoteRef/>
      </w:r>
      <w:r w:rsidRPr="00AF380B">
        <w:rPr>
          <w:lang w:val="es-ES"/>
        </w:rPr>
        <w:t xml:space="preserve"> </w:t>
      </w:r>
      <w:r w:rsidR="00BE3934" w:rsidRPr="00AF380B">
        <w:rPr>
          <w:lang w:val="es-ES"/>
        </w:rPr>
        <w:t xml:space="preserve">En </w:t>
      </w:r>
      <w:hyperlink r:id="rId87" w:history="1">
        <w:r w:rsidR="00CE19E8" w:rsidRPr="00AF380B">
          <w:rPr>
            <w:rStyle w:val="Hyperlink"/>
            <w:lang w:val="es-ES"/>
          </w:rPr>
          <w:t>www.cbd.int/abs/art10.shtml</w:t>
        </w:r>
      </w:hyperlink>
      <w:r w:rsidR="00CE19E8" w:rsidRPr="00AF380B">
        <w:rPr>
          <w:lang w:val="es-ES"/>
        </w:rPr>
        <w:t xml:space="preserve"> </w:t>
      </w:r>
      <w:r w:rsidR="00BE3934" w:rsidRPr="00AF380B">
        <w:rPr>
          <w:lang w:val="es-ES"/>
        </w:rPr>
        <w:t xml:space="preserve">se podrá </w:t>
      </w:r>
      <w:r w:rsidR="00375C8D" w:rsidRPr="00AF380B">
        <w:rPr>
          <w:lang w:val="es-ES"/>
        </w:rPr>
        <w:t>consultar un resumen de la labor realizada al respecto desde la adopción del Protocolo.</w:t>
      </w:r>
    </w:p>
  </w:footnote>
  <w:footnote w:id="97">
    <w:p w14:paraId="1B29975B" w14:textId="2787A57B" w:rsidR="00F05B28" w:rsidRPr="00AF380B" w:rsidRDefault="00F05B28" w:rsidP="00F05B28">
      <w:pPr>
        <w:pStyle w:val="FootnoteText"/>
        <w:rPr>
          <w:szCs w:val="18"/>
          <w:lang w:val="es-ES"/>
        </w:rPr>
      </w:pPr>
      <w:r w:rsidRPr="00AF380B">
        <w:rPr>
          <w:rStyle w:val="FootnoteReference"/>
          <w:szCs w:val="18"/>
          <w:lang w:val="es-ES"/>
        </w:rPr>
        <w:footnoteRef/>
      </w:r>
      <w:r w:rsidRPr="00AF380B">
        <w:rPr>
          <w:szCs w:val="18"/>
          <w:lang w:val="es-ES"/>
        </w:rPr>
        <w:t xml:space="preserve"> </w:t>
      </w:r>
      <w:r w:rsidR="00CE19E8" w:rsidRPr="00AF380B">
        <w:rPr>
          <w:szCs w:val="18"/>
          <w:lang w:val="es-ES"/>
        </w:rPr>
        <w:t>Véase el d</w:t>
      </w:r>
      <w:r w:rsidR="00BE3934" w:rsidRPr="00AF380B">
        <w:rPr>
          <w:szCs w:val="18"/>
          <w:lang w:val="es-ES"/>
        </w:rPr>
        <w:t xml:space="preserve">ocumento </w:t>
      </w:r>
      <w:hyperlink r:id="rId88" w:history="1">
        <w:r w:rsidR="00CE19E8" w:rsidRPr="00AF380B">
          <w:rPr>
            <w:rStyle w:val="Hyperlink"/>
            <w:lang w:val="es-ES"/>
          </w:rPr>
          <w:t>CBD/NP/MOP/5/10</w:t>
        </w:r>
      </w:hyperlink>
      <w:r w:rsidRPr="00AF380B">
        <w:rPr>
          <w:szCs w:val="18"/>
          <w:lang w:val="es-ES"/>
        </w:rPr>
        <w:t>.</w:t>
      </w:r>
    </w:p>
  </w:footnote>
  <w:footnote w:id="98">
    <w:p w14:paraId="1D00A364" w14:textId="3DD9A2A5" w:rsidR="00D11229" w:rsidRPr="00AF380B" w:rsidRDefault="00D11229" w:rsidP="00D11229">
      <w:pPr>
        <w:pStyle w:val="FootnoteText"/>
        <w:rPr>
          <w:szCs w:val="18"/>
          <w:lang w:val="es-ES"/>
        </w:rPr>
      </w:pPr>
      <w:r w:rsidRPr="00AF380B">
        <w:rPr>
          <w:rStyle w:val="FootnoteReference"/>
          <w:szCs w:val="18"/>
          <w:lang w:val="es-ES"/>
        </w:rPr>
        <w:footnoteRef/>
      </w:r>
      <w:r w:rsidRPr="00AF380B">
        <w:rPr>
          <w:szCs w:val="18"/>
          <w:lang w:val="es-ES"/>
        </w:rPr>
        <w:t xml:space="preserve"> </w:t>
      </w:r>
      <w:r w:rsidR="00375C8D" w:rsidRPr="00AF380B">
        <w:rPr>
          <w:szCs w:val="18"/>
          <w:lang w:val="es-ES"/>
        </w:rPr>
        <w:t xml:space="preserve">Para más información, véase el documento </w:t>
      </w:r>
      <w:hyperlink r:id="rId89" w:history="1">
        <w:r w:rsidR="00CE19E8" w:rsidRPr="00AF380B">
          <w:rPr>
            <w:rStyle w:val="Hyperlink"/>
            <w:szCs w:val="18"/>
            <w:lang w:val="es-ES"/>
          </w:rPr>
          <w:t>CBD/SBI/7/INF/2</w:t>
        </w:r>
      </w:hyperlink>
      <w:r w:rsidR="00375C8D" w:rsidRPr="00AF380B">
        <w:rPr>
          <w:szCs w:val="18"/>
          <w:lang w:val="es-ES"/>
        </w:rPr>
        <w:t>, sección III.I.</w:t>
      </w:r>
    </w:p>
  </w:footnote>
  <w:footnote w:id="99">
    <w:p w14:paraId="4D0148B3" w14:textId="5D233367" w:rsidR="00D11229" w:rsidRPr="00AF380B" w:rsidRDefault="00D11229" w:rsidP="00D11229">
      <w:pPr>
        <w:pStyle w:val="FootnoteText"/>
        <w:rPr>
          <w:szCs w:val="18"/>
          <w:lang w:val="es-ES"/>
        </w:rPr>
      </w:pPr>
      <w:r w:rsidRPr="00AF380B">
        <w:rPr>
          <w:rStyle w:val="FootnoteReference"/>
          <w:szCs w:val="18"/>
          <w:lang w:val="es-ES"/>
        </w:rPr>
        <w:footnoteRef/>
      </w:r>
      <w:r w:rsidRPr="00AF380B">
        <w:rPr>
          <w:szCs w:val="18"/>
          <w:lang w:val="es-ES"/>
        </w:rPr>
        <w:t xml:space="preserve"> </w:t>
      </w:r>
      <w:r w:rsidR="00375C8D" w:rsidRPr="00AF380B">
        <w:rPr>
          <w:szCs w:val="18"/>
          <w:lang w:val="es-ES"/>
        </w:rPr>
        <w:t>Esas modalidades incluían la modernización de laboratorios y el establecimiento de instalaciones de conservación o bancos de genes, el suministro de equipos, proyectos de investigación conjuntos, intercambios científicos, transferencia de conocimientos y habilidades, publicaciones en coautoría, transferencia de tecnología mediante condiciones o permisos mutuamente acordados, así como asociaciones estructuradas y plataformas digitales sobre diversidad</w:t>
      </w:r>
      <w:r w:rsidR="000B0B10" w:rsidRPr="00AF380B">
        <w:rPr>
          <w:szCs w:val="18"/>
          <w:lang w:val="es-ES"/>
        </w:rPr>
        <w:t xml:space="preserve"> biológica</w:t>
      </w:r>
      <w:r w:rsidR="00375C8D" w:rsidRPr="00AF380B">
        <w:rPr>
          <w:szCs w:val="18"/>
          <w:lang w:val="es-ES"/>
        </w:rPr>
        <w:t xml:space="preserve">. Se puede encontrar más información al respecto en el documento </w:t>
      </w:r>
      <w:hyperlink r:id="rId90" w:history="1">
        <w:r w:rsidR="00CE19E8" w:rsidRPr="00AF380B">
          <w:rPr>
            <w:rStyle w:val="Hyperlink"/>
            <w:szCs w:val="18"/>
            <w:lang w:val="es-ES"/>
          </w:rPr>
          <w:t>CBD/SBI/7/INF/2</w:t>
        </w:r>
      </w:hyperlink>
      <w:r w:rsidR="00375C8D" w:rsidRPr="00AF380B">
        <w:rPr>
          <w:szCs w:val="18"/>
          <w:lang w:val="es-ES"/>
        </w:rPr>
        <w:t>, secc</w:t>
      </w:r>
      <w:r w:rsidR="00CE19E8" w:rsidRPr="00AF380B">
        <w:rPr>
          <w:szCs w:val="18"/>
          <w:lang w:val="es-ES"/>
        </w:rPr>
        <w:t>ión</w:t>
      </w:r>
      <w:r w:rsidR="00375C8D" w:rsidRPr="00AF380B">
        <w:rPr>
          <w:szCs w:val="18"/>
          <w:lang w:val="es-ES"/>
        </w:rPr>
        <w:t xml:space="preserve"> III.I.</w:t>
      </w:r>
      <w:r w:rsidR="00BE3934" w:rsidRPr="00AF380B">
        <w:rPr>
          <w:szCs w:val="18"/>
          <w:lang w:val="es-ES"/>
        </w:rPr>
        <w:t xml:space="preserve"> </w:t>
      </w:r>
    </w:p>
  </w:footnote>
  <w:footnote w:id="100">
    <w:p w14:paraId="74F7F6D6" w14:textId="47C9FC54" w:rsidR="00FF19A7" w:rsidRPr="00892224" w:rsidRDefault="00FF19A7" w:rsidP="00FF19A7">
      <w:pPr>
        <w:pStyle w:val="FootnoteText"/>
        <w:rPr>
          <w:szCs w:val="18"/>
          <w:lang w:val="es-ES"/>
        </w:rPr>
      </w:pPr>
      <w:r w:rsidRPr="00AF380B">
        <w:rPr>
          <w:rStyle w:val="FootnoteReference"/>
          <w:lang w:val="es-ES"/>
        </w:rPr>
        <w:footnoteRef/>
      </w:r>
      <w:r w:rsidRPr="00AF380B">
        <w:rPr>
          <w:lang w:val="es-ES"/>
        </w:rPr>
        <w:t xml:space="preserve"> </w:t>
      </w:r>
      <w:r w:rsidR="00892224" w:rsidRPr="00AF380B">
        <w:rPr>
          <w:szCs w:val="18"/>
          <w:lang w:val="es-ES"/>
        </w:rPr>
        <w:t xml:space="preserve">Tal como se recoge en </w:t>
      </w:r>
      <w:r w:rsidR="005175E4" w:rsidRPr="00AF380B">
        <w:rPr>
          <w:szCs w:val="18"/>
          <w:lang w:val="es-ES"/>
        </w:rPr>
        <w:t xml:space="preserve">la esfera de logros </w:t>
      </w:r>
      <w:r w:rsidR="00892224" w:rsidRPr="00AF380B">
        <w:rPr>
          <w:szCs w:val="18"/>
          <w:lang w:val="es-ES"/>
        </w:rPr>
        <w:t xml:space="preserve">5 del Plan </w:t>
      </w:r>
      <w:r w:rsidR="00F4436F" w:rsidRPr="00AF380B">
        <w:rPr>
          <w:szCs w:val="18"/>
          <w:lang w:val="es-ES"/>
        </w:rPr>
        <w:t>de acción para la creación y el desarrollo de capacidad para el Protocolo de Nagoya sobre Acceso a los Recursos Genéticos y Participación Justa y Equitativa en los Beneficios que se Deriven de su Utilización</w:t>
      </w:r>
      <w:r w:rsidR="00892224" w:rsidRPr="00AF380B">
        <w:rPr>
          <w:szCs w:val="18"/>
          <w:lang w:val="es-ES"/>
        </w:rPr>
        <w:t xml:space="preserve">, adoptado en la </w:t>
      </w:r>
      <w:r w:rsidR="00715BAE" w:rsidRPr="00AF380B">
        <w:rPr>
          <w:szCs w:val="18"/>
          <w:lang w:val="es-ES"/>
        </w:rPr>
        <w:t>d</w:t>
      </w:r>
      <w:r w:rsidR="00892224" w:rsidRPr="00AF380B">
        <w:rPr>
          <w:szCs w:val="18"/>
          <w:lang w:val="es-ES"/>
        </w:rPr>
        <w:t xml:space="preserve">ecisión </w:t>
      </w:r>
      <w:hyperlink r:id="rId91" w:history="1">
        <w:r w:rsidR="00715BAE" w:rsidRPr="00AF380B">
          <w:rPr>
            <w:rStyle w:val="Hyperlink"/>
            <w:szCs w:val="18"/>
            <w:lang w:val="es-ES"/>
          </w:rPr>
          <w:t>NP-5/3</w:t>
        </w:r>
      </w:hyperlink>
      <w:r w:rsidR="00892224" w:rsidRPr="00AF380B">
        <w:rPr>
          <w:szCs w:val="18"/>
          <w:lang w:val="es-ES"/>
        </w:rPr>
        <w:t>.</w:t>
      </w:r>
      <w:r w:rsidR="005175E4">
        <w:rPr>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11518C9" w14:textId="5CC1C24C" w:rsidR="00692FFD" w:rsidRPr="00D2758E" w:rsidRDefault="005B22F7" w:rsidP="006B066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45FB9" w:rsidRPr="00D2758E">
          <w:t>CBD/NP/CC/5/</w:t>
        </w:r>
        <w:r w:rsidR="00845FB9">
          <w:t>4/Add.1</w:t>
        </w:r>
        <w:r w:rsidR="00845FB9" w:rsidRPr="00D2758E">
          <w:t>-CBD/NP/CB-IAC/2026/1/3-CBD/SBI/7/7/Add.1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22C4" w14:textId="1047D5CC" w:rsidR="002B559C" w:rsidRPr="00D2758E" w:rsidRDefault="005B22F7"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845FB9">
          <w:rPr>
            <w:szCs w:val="20"/>
          </w:rPr>
          <w:t>CBD/NP/CC/5/4/Add.1-CBD/NP/CB-IAC/2026/1/3-CBD/SBI/7/7/Add.1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0C50" w14:textId="77777777" w:rsidR="00515215" w:rsidRPr="00D2758E" w:rsidRDefault="00515215" w:rsidP="0051521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AFF"/>
    <w:multiLevelType w:val="hybridMultilevel"/>
    <w:tmpl w:val="7AE2B466"/>
    <w:lvl w:ilvl="0" w:tplc="00620BBC">
      <w:start w:val="73"/>
      <w:numFmt w:val="decimal"/>
      <w:lvlText w:val="%1"/>
      <w:lvlJc w:val="left"/>
      <w:pPr>
        <w:ind w:left="314" w:hanging="360"/>
      </w:pPr>
      <w:rPr>
        <w:rFonts w:hint="default"/>
      </w:rPr>
    </w:lvl>
    <w:lvl w:ilvl="1" w:tplc="10090019" w:tentative="1">
      <w:start w:val="1"/>
      <w:numFmt w:val="lowerLetter"/>
      <w:lvlText w:val="%2."/>
      <w:lvlJc w:val="left"/>
      <w:pPr>
        <w:ind w:left="1034" w:hanging="360"/>
      </w:pPr>
    </w:lvl>
    <w:lvl w:ilvl="2" w:tplc="1009001B" w:tentative="1">
      <w:start w:val="1"/>
      <w:numFmt w:val="lowerRoman"/>
      <w:lvlText w:val="%3."/>
      <w:lvlJc w:val="right"/>
      <w:pPr>
        <w:ind w:left="1754" w:hanging="180"/>
      </w:pPr>
    </w:lvl>
    <w:lvl w:ilvl="3" w:tplc="1009000F" w:tentative="1">
      <w:start w:val="1"/>
      <w:numFmt w:val="decimal"/>
      <w:lvlText w:val="%4."/>
      <w:lvlJc w:val="left"/>
      <w:pPr>
        <w:ind w:left="2474" w:hanging="360"/>
      </w:pPr>
    </w:lvl>
    <w:lvl w:ilvl="4" w:tplc="10090019" w:tentative="1">
      <w:start w:val="1"/>
      <w:numFmt w:val="lowerLetter"/>
      <w:lvlText w:val="%5."/>
      <w:lvlJc w:val="left"/>
      <w:pPr>
        <w:ind w:left="3194" w:hanging="360"/>
      </w:pPr>
    </w:lvl>
    <w:lvl w:ilvl="5" w:tplc="1009001B" w:tentative="1">
      <w:start w:val="1"/>
      <w:numFmt w:val="lowerRoman"/>
      <w:lvlText w:val="%6."/>
      <w:lvlJc w:val="right"/>
      <w:pPr>
        <w:ind w:left="3914" w:hanging="180"/>
      </w:pPr>
    </w:lvl>
    <w:lvl w:ilvl="6" w:tplc="1009000F" w:tentative="1">
      <w:start w:val="1"/>
      <w:numFmt w:val="decimal"/>
      <w:lvlText w:val="%7."/>
      <w:lvlJc w:val="left"/>
      <w:pPr>
        <w:ind w:left="4634" w:hanging="360"/>
      </w:pPr>
    </w:lvl>
    <w:lvl w:ilvl="7" w:tplc="10090019" w:tentative="1">
      <w:start w:val="1"/>
      <w:numFmt w:val="lowerLetter"/>
      <w:lvlText w:val="%8."/>
      <w:lvlJc w:val="left"/>
      <w:pPr>
        <w:ind w:left="5354" w:hanging="360"/>
      </w:pPr>
    </w:lvl>
    <w:lvl w:ilvl="8" w:tplc="1009001B" w:tentative="1">
      <w:start w:val="1"/>
      <w:numFmt w:val="lowerRoman"/>
      <w:lvlText w:val="%9."/>
      <w:lvlJc w:val="right"/>
      <w:pPr>
        <w:ind w:left="6074" w:hanging="18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 w15:restartNumberingAfterBreak="0">
    <w:nsid w:val="5D943BEE"/>
    <w:multiLevelType w:val="multilevel"/>
    <w:tmpl w:val="CE4A923C"/>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4"/>
  </w:num>
  <w:num w:numId="2" w16cid:durableId="1480611021">
    <w:abstractNumId w:val="7"/>
  </w:num>
  <w:num w:numId="3" w16cid:durableId="611476475">
    <w:abstractNumId w:val="2"/>
  </w:num>
  <w:num w:numId="4" w16cid:durableId="2093965935">
    <w:abstractNumId w:val="0"/>
  </w:num>
  <w:num w:numId="5" w16cid:durableId="1072390599">
    <w:abstractNumId w:val="6"/>
  </w:num>
  <w:num w:numId="6" w16cid:durableId="893932166">
    <w:abstractNumId w:val="5"/>
  </w:num>
  <w:num w:numId="7" w16cid:durableId="323945383">
    <w:abstractNumId w:val="3"/>
  </w:num>
  <w:num w:numId="8" w16cid:durableId="1491753960">
    <w:abstractNumId w:val="1"/>
  </w:num>
  <w:num w:numId="9" w16cid:durableId="442042593">
    <w:abstractNumId w:val="3"/>
  </w:num>
  <w:num w:numId="10" w16cid:durableId="1150633284">
    <w:abstractNumId w:val="3"/>
  </w:num>
  <w:num w:numId="11" w16cid:durableId="181552214">
    <w:abstractNumId w:val="3"/>
  </w:num>
  <w:num w:numId="12" w16cid:durableId="151219066">
    <w:abstractNumId w:val="3"/>
  </w:num>
  <w:num w:numId="13" w16cid:durableId="1482388995">
    <w:abstractNumId w:val="3"/>
  </w:num>
  <w:num w:numId="14" w16cid:durableId="1077021474">
    <w:abstractNumId w:val="3"/>
  </w:num>
  <w:num w:numId="15" w16cid:durableId="1903368768">
    <w:abstractNumId w:val="3"/>
  </w:num>
  <w:num w:numId="16" w16cid:durableId="1538346017">
    <w:abstractNumId w:val="3"/>
  </w:num>
  <w:num w:numId="17" w16cid:durableId="501625551">
    <w:abstractNumId w:val="3"/>
  </w:num>
  <w:num w:numId="18" w16cid:durableId="1982923410">
    <w:abstractNumId w:val="3"/>
  </w:num>
  <w:num w:numId="19" w16cid:durableId="1241982432">
    <w:abstractNumId w:val="3"/>
  </w:num>
  <w:num w:numId="20" w16cid:durableId="1037659359">
    <w:abstractNumId w:val="3"/>
  </w:num>
  <w:num w:numId="21" w16cid:durableId="1550456769">
    <w:abstractNumId w:val="3"/>
  </w:num>
  <w:num w:numId="22" w16cid:durableId="1526596038">
    <w:abstractNumId w:val="3"/>
  </w:num>
  <w:num w:numId="23" w16cid:durableId="1870751153">
    <w:abstractNumId w:val="3"/>
  </w:num>
  <w:num w:numId="24" w16cid:durableId="853036161">
    <w:abstractNumId w:val="3"/>
  </w:num>
  <w:num w:numId="25" w16cid:durableId="1987930699">
    <w:abstractNumId w:val="3"/>
  </w:num>
  <w:num w:numId="26" w16cid:durableId="523248376">
    <w:abstractNumId w:val="3"/>
  </w:num>
  <w:num w:numId="27" w16cid:durableId="7461467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290283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23348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72934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6C0"/>
    <w:rsid w:val="000006E7"/>
    <w:rsid w:val="00000A05"/>
    <w:rsid w:val="00000F79"/>
    <w:rsid w:val="00000FAA"/>
    <w:rsid w:val="0000107A"/>
    <w:rsid w:val="00001193"/>
    <w:rsid w:val="0000135D"/>
    <w:rsid w:val="000014CC"/>
    <w:rsid w:val="00001BBA"/>
    <w:rsid w:val="00001C2C"/>
    <w:rsid w:val="00001D52"/>
    <w:rsid w:val="00001E0C"/>
    <w:rsid w:val="00002858"/>
    <w:rsid w:val="00002B6E"/>
    <w:rsid w:val="00002CDB"/>
    <w:rsid w:val="00002D30"/>
    <w:rsid w:val="00002DD4"/>
    <w:rsid w:val="0000314A"/>
    <w:rsid w:val="000034BA"/>
    <w:rsid w:val="000035D8"/>
    <w:rsid w:val="00003A72"/>
    <w:rsid w:val="00003D3B"/>
    <w:rsid w:val="00003EC8"/>
    <w:rsid w:val="000040D7"/>
    <w:rsid w:val="0000436E"/>
    <w:rsid w:val="00004538"/>
    <w:rsid w:val="00004574"/>
    <w:rsid w:val="0000459E"/>
    <w:rsid w:val="000045AD"/>
    <w:rsid w:val="000046EE"/>
    <w:rsid w:val="00004747"/>
    <w:rsid w:val="000047BD"/>
    <w:rsid w:val="000049C5"/>
    <w:rsid w:val="00004E89"/>
    <w:rsid w:val="00004EDD"/>
    <w:rsid w:val="0000522A"/>
    <w:rsid w:val="00005230"/>
    <w:rsid w:val="00005876"/>
    <w:rsid w:val="00005E38"/>
    <w:rsid w:val="00005F8F"/>
    <w:rsid w:val="00005FB0"/>
    <w:rsid w:val="00006042"/>
    <w:rsid w:val="0000622D"/>
    <w:rsid w:val="000062B4"/>
    <w:rsid w:val="00006414"/>
    <w:rsid w:val="0000661C"/>
    <w:rsid w:val="00006777"/>
    <w:rsid w:val="0000686D"/>
    <w:rsid w:val="000068B8"/>
    <w:rsid w:val="00006953"/>
    <w:rsid w:val="00006D22"/>
    <w:rsid w:val="00006EEA"/>
    <w:rsid w:val="00007137"/>
    <w:rsid w:val="0000770B"/>
    <w:rsid w:val="00007913"/>
    <w:rsid w:val="00007C98"/>
    <w:rsid w:val="0001004C"/>
    <w:rsid w:val="000100F0"/>
    <w:rsid w:val="00010173"/>
    <w:rsid w:val="00010313"/>
    <w:rsid w:val="000109E6"/>
    <w:rsid w:val="00010BDC"/>
    <w:rsid w:val="00010C27"/>
    <w:rsid w:val="00010CD7"/>
    <w:rsid w:val="00010CF1"/>
    <w:rsid w:val="00010DE8"/>
    <w:rsid w:val="00010F66"/>
    <w:rsid w:val="00010FCA"/>
    <w:rsid w:val="00011070"/>
    <w:rsid w:val="000110B6"/>
    <w:rsid w:val="0001134E"/>
    <w:rsid w:val="00011386"/>
    <w:rsid w:val="00011414"/>
    <w:rsid w:val="00011B06"/>
    <w:rsid w:val="00011C1F"/>
    <w:rsid w:val="00011DF2"/>
    <w:rsid w:val="0001204D"/>
    <w:rsid w:val="0001215B"/>
    <w:rsid w:val="0001215E"/>
    <w:rsid w:val="0001251F"/>
    <w:rsid w:val="00012553"/>
    <w:rsid w:val="00012702"/>
    <w:rsid w:val="00012835"/>
    <w:rsid w:val="00012CA2"/>
    <w:rsid w:val="00012DC5"/>
    <w:rsid w:val="00012FD3"/>
    <w:rsid w:val="0001324F"/>
    <w:rsid w:val="0001381D"/>
    <w:rsid w:val="00014492"/>
    <w:rsid w:val="000146D4"/>
    <w:rsid w:val="0001481E"/>
    <w:rsid w:val="0001482B"/>
    <w:rsid w:val="00014A47"/>
    <w:rsid w:val="00014AE5"/>
    <w:rsid w:val="00014D61"/>
    <w:rsid w:val="00014DEB"/>
    <w:rsid w:val="000150BA"/>
    <w:rsid w:val="00015256"/>
    <w:rsid w:val="0001526A"/>
    <w:rsid w:val="00015AF6"/>
    <w:rsid w:val="00015B1D"/>
    <w:rsid w:val="00015C04"/>
    <w:rsid w:val="00015C2F"/>
    <w:rsid w:val="00015C84"/>
    <w:rsid w:val="00015D8F"/>
    <w:rsid w:val="00015F85"/>
    <w:rsid w:val="00015FA2"/>
    <w:rsid w:val="00015FAA"/>
    <w:rsid w:val="000161F8"/>
    <w:rsid w:val="000164A9"/>
    <w:rsid w:val="00016657"/>
    <w:rsid w:val="00016C86"/>
    <w:rsid w:val="00016DE6"/>
    <w:rsid w:val="00016E56"/>
    <w:rsid w:val="00016F11"/>
    <w:rsid w:val="00017225"/>
    <w:rsid w:val="0001735E"/>
    <w:rsid w:val="000174A2"/>
    <w:rsid w:val="00017627"/>
    <w:rsid w:val="000179B2"/>
    <w:rsid w:val="00017B98"/>
    <w:rsid w:val="00017C37"/>
    <w:rsid w:val="00017D5A"/>
    <w:rsid w:val="00017F46"/>
    <w:rsid w:val="00020401"/>
    <w:rsid w:val="000204D6"/>
    <w:rsid w:val="000205E4"/>
    <w:rsid w:val="0002119B"/>
    <w:rsid w:val="00021274"/>
    <w:rsid w:val="00021284"/>
    <w:rsid w:val="00021332"/>
    <w:rsid w:val="0002156F"/>
    <w:rsid w:val="000215D1"/>
    <w:rsid w:val="000216C6"/>
    <w:rsid w:val="00021763"/>
    <w:rsid w:val="00021779"/>
    <w:rsid w:val="000219B6"/>
    <w:rsid w:val="00021A75"/>
    <w:rsid w:val="00021CDE"/>
    <w:rsid w:val="00021D9F"/>
    <w:rsid w:val="00021FC9"/>
    <w:rsid w:val="00022130"/>
    <w:rsid w:val="0002240C"/>
    <w:rsid w:val="0002251B"/>
    <w:rsid w:val="0002297C"/>
    <w:rsid w:val="000229F4"/>
    <w:rsid w:val="00022A34"/>
    <w:rsid w:val="00023782"/>
    <w:rsid w:val="00023832"/>
    <w:rsid w:val="0002389F"/>
    <w:rsid w:val="000239B0"/>
    <w:rsid w:val="00023F77"/>
    <w:rsid w:val="00024029"/>
    <w:rsid w:val="00024154"/>
    <w:rsid w:val="0002426D"/>
    <w:rsid w:val="000247BA"/>
    <w:rsid w:val="00024938"/>
    <w:rsid w:val="00024C3E"/>
    <w:rsid w:val="000250D2"/>
    <w:rsid w:val="000251D7"/>
    <w:rsid w:val="000252CD"/>
    <w:rsid w:val="000254DF"/>
    <w:rsid w:val="000255C4"/>
    <w:rsid w:val="00025606"/>
    <w:rsid w:val="00025A88"/>
    <w:rsid w:val="00025B53"/>
    <w:rsid w:val="00025CB1"/>
    <w:rsid w:val="000262DB"/>
    <w:rsid w:val="000268BB"/>
    <w:rsid w:val="00026A91"/>
    <w:rsid w:val="00026B9D"/>
    <w:rsid w:val="00026C2F"/>
    <w:rsid w:val="00026C59"/>
    <w:rsid w:val="00026FEC"/>
    <w:rsid w:val="0002701D"/>
    <w:rsid w:val="00027562"/>
    <w:rsid w:val="0002783E"/>
    <w:rsid w:val="000278DF"/>
    <w:rsid w:val="00027908"/>
    <w:rsid w:val="00027B26"/>
    <w:rsid w:val="00027BC8"/>
    <w:rsid w:val="00027C3D"/>
    <w:rsid w:val="00027EE2"/>
    <w:rsid w:val="00027F7E"/>
    <w:rsid w:val="0003031D"/>
    <w:rsid w:val="0003042B"/>
    <w:rsid w:val="00030585"/>
    <w:rsid w:val="000306C3"/>
    <w:rsid w:val="000306FE"/>
    <w:rsid w:val="00030898"/>
    <w:rsid w:val="000309C2"/>
    <w:rsid w:val="00030E52"/>
    <w:rsid w:val="00030F36"/>
    <w:rsid w:val="00031122"/>
    <w:rsid w:val="00031334"/>
    <w:rsid w:val="00031493"/>
    <w:rsid w:val="00031BD5"/>
    <w:rsid w:val="00031BEE"/>
    <w:rsid w:val="00031D2F"/>
    <w:rsid w:val="00031D6E"/>
    <w:rsid w:val="00031FFC"/>
    <w:rsid w:val="0003209C"/>
    <w:rsid w:val="000321A4"/>
    <w:rsid w:val="00032433"/>
    <w:rsid w:val="00032573"/>
    <w:rsid w:val="0003266E"/>
    <w:rsid w:val="00032936"/>
    <w:rsid w:val="00032DBC"/>
    <w:rsid w:val="0003306F"/>
    <w:rsid w:val="000330D6"/>
    <w:rsid w:val="000331A5"/>
    <w:rsid w:val="0003320E"/>
    <w:rsid w:val="00033A1C"/>
    <w:rsid w:val="00033BCD"/>
    <w:rsid w:val="00033C7E"/>
    <w:rsid w:val="00033C90"/>
    <w:rsid w:val="00033D23"/>
    <w:rsid w:val="00033EAB"/>
    <w:rsid w:val="0003427B"/>
    <w:rsid w:val="0003433E"/>
    <w:rsid w:val="000343AD"/>
    <w:rsid w:val="00034566"/>
    <w:rsid w:val="0003498D"/>
    <w:rsid w:val="00034EA9"/>
    <w:rsid w:val="00034F8F"/>
    <w:rsid w:val="0003541E"/>
    <w:rsid w:val="00035604"/>
    <w:rsid w:val="0003574A"/>
    <w:rsid w:val="00035DCF"/>
    <w:rsid w:val="00035E31"/>
    <w:rsid w:val="00035F86"/>
    <w:rsid w:val="0003608D"/>
    <w:rsid w:val="000360B1"/>
    <w:rsid w:val="00036100"/>
    <w:rsid w:val="000362DD"/>
    <w:rsid w:val="00036485"/>
    <w:rsid w:val="0003657C"/>
    <w:rsid w:val="000369B0"/>
    <w:rsid w:val="000369FD"/>
    <w:rsid w:val="00036D6A"/>
    <w:rsid w:val="00036E1C"/>
    <w:rsid w:val="00037087"/>
    <w:rsid w:val="0003765A"/>
    <w:rsid w:val="000376A0"/>
    <w:rsid w:val="000379AA"/>
    <w:rsid w:val="00037DBD"/>
    <w:rsid w:val="00037EE5"/>
    <w:rsid w:val="00037F09"/>
    <w:rsid w:val="00040176"/>
    <w:rsid w:val="00040190"/>
    <w:rsid w:val="00040598"/>
    <w:rsid w:val="000405B3"/>
    <w:rsid w:val="00040795"/>
    <w:rsid w:val="00040832"/>
    <w:rsid w:val="0004088C"/>
    <w:rsid w:val="000408FD"/>
    <w:rsid w:val="00040D33"/>
    <w:rsid w:val="00040E99"/>
    <w:rsid w:val="000410FF"/>
    <w:rsid w:val="0004120E"/>
    <w:rsid w:val="00041213"/>
    <w:rsid w:val="00041248"/>
    <w:rsid w:val="00041491"/>
    <w:rsid w:val="000414ED"/>
    <w:rsid w:val="000415DC"/>
    <w:rsid w:val="0004180D"/>
    <w:rsid w:val="0004198A"/>
    <w:rsid w:val="00041D44"/>
    <w:rsid w:val="00041EB1"/>
    <w:rsid w:val="00041FEA"/>
    <w:rsid w:val="0004249F"/>
    <w:rsid w:val="00042CF4"/>
    <w:rsid w:val="00042DF7"/>
    <w:rsid w:val="00043087"/>
    <w:rsid w:val="0004351B"/>
    <w:rsid w:val="00043618"/>
    <w:rsid w:val="000438DB"/>
    <w:rsid w:val="00043991"/>
    <w:rsid w:val="00043B6F"/>
    <w:rsid w:val="00043C6B"/>
    <w:rsid w:val="00043D6D"/>
    <w:rsid w:val="00043E23"/>
    <w:rsid w:val="00043E74"/>
    <w:rsid w:val="00043F56"/>
    <w:rsid w:val="00043F6A"/>
    <w:rsid w:val="00043FAE"/>
    <w:rsid w:val="0004403A"/>
    <w:rsid w:val="00044087"/>
    <w:rsid w:val="00044124"/>
    <w:rsid w:val="0004447B"/>
    <w:rsid w:val="00044884"/>
    <w:rsid w:val="00044F47"/>
    <w:rsid w:val="00044F68"/>
    <w:rsid w:val="000450EB"/>
    <w:rsid w:val="000453C0"/>
    <w:rsid w:val="000454D5"/>
    <w:rsid w:val="000454D8"/>
    <w:rsid w:val="00045A9F"/>
    <w:rsid w:val="00045F14"/>
    <w:rsid w:val="00045F3A"/>
    <w:rsid w:val="000460A0"/>
    <w:rsid w:val="00046389"/>
    <w:rsid w:val="000463A1"/>
    <w:rsid w:val="0004661B"/>
    <w:rsid w:val="000466C7"/>
    <w:rsid w:val="000466EE"/>
    <w:rsid w:val="000468CB"/>
    <w:rsid w:val="00046C20"/>
    <w:rsid w:val="00047037"/>
    <w:rsid w:val="000470C4"/>
    <w:rsid w:val="00047186"/>
    <w:rsid w:val="000473CD"/>
    <w:rsid w:val="0004760C"/>
    <w:rsid w:val="00047670"/>
    <w:rsid w:val="000478DF"/>
    <w:rsid w:val="00047B03"/>
    <w:rsid w:val="0005009B"/>
    <w:rsid w:val="000506D3"/>
    <w:rsid w:val="00050C58"/>
    <w:rsid w:val="00050E31"/>
    <w:rsid w:val="00050E35"/>
    <w:rsid w:val="000510A6"/>
    <w:rsid w:val="00051273"/>
    <w:rsid w:val="0005161D"/>
    <w:rsid w:val="00051885"/>
    <w:rsid w:val="000519BE"/>
    <w:rsid w:val="00052088"/>
    <w:rsid w:val="000521AA"/>
    <w:rsid w:val="000522AF"/>
    <w:rsid w:val="0005234D"/>
    <w:rsid w:val="0005270A"/>
    <w:rsid w:val="0005274F"/>
    <w:rsid w:val="00052AB6"/>
    <w:rsid w:val="00052B96"/>
    <w:rsid w:val="000531C6"/>
    <w:rsid w:val="00053403"/>
    <w:rsid w:val="00053478"/>
    <w:rsid w:val="000534CF"/>
    <w:rsid w:val="000536F1"/>
    <w:rsid w:val="000538ED"/>
    <w:rsid w:val="00053B92"/>
    <w:rsid w:val="00053C03"/>
    <w:rsid w:val="00053E34"/>
    <w:rsid w:val="00054367"/>
    <w:rsid w:val="00054434"/>
    <w:rsid w:val="00054493"/>
    <w:rsid w:val="000546C6"/>
    <w:rsid w:val="00054892"/>
    <w:rsid w:val="00054A23"/>
    <w:rsid w:val="00054AF4"/>
    <w:rsid w:val="00054B26"/>
    <w:rsid w:val="00054D31"/>
    <w:rsid w:val="00054F59"/>
    <w:rsid w:val="00055062"/>
    <w:rsid w:val="000551CB"/>
    <w:rsid w:val="0005534D"/>
    <w:rsid w:val="000553CA"/>
    <w:rsid w:val="00055447"/>
    <w:rsid w:val="00055523"/>
    <w:rsid w:val="000555F8"/>
    <w:rsid w:val="0005562A"/>
    <w:rsid w:val="00055989"/>
    <w:rsid w:val="00055F38"/>
    <w:rsid w:val="00055FBD"/>
    <w:rsid w:val="00056014"/>
    <w:rsid w:val="00056163"/>
    <w:rsid w:val="000561E9"/>
    <w:rsid w:val="00056238"/>
    <w:rsid w:val="00056525"/>
    <w:rsid w:val="000565F8"/>
    <w:rsid w:val="000566E2"/>
    <w:rsid w:val="000566FA"/>
    <w:rsid w:val="00056997"/>
    <w:rsid w:val="00056E63"/>
    <w:rsid w:val="00057025"/>
    <w:rsid w:val="000572D6"/>
    <w:rsid w:val="000576F4"/>
    <w:rsid w:val="00057F54"/>
    <w:rsid w:val="00057FDC"/>
    <w:rsid w:val="0006005D"/>
    <w:rsid w:val="00060098"/>
    <w:rsid w:val="00060309"/>
    <w:rsid w:val="0006117D"/>
    <w:rsid w:val="0006175B"/>
    <w:rsid w:val="00061789"/>
    <w:rsid w:val="00061BAC"/>
    <w:rsid w:val="00061C3F"/>
    <w:rsid w:val="00061EFF"/>
    <w:rsid w:val="00062276"/>
    <w:rsid w:val="000622F0"/>
    <w:rsid w:val="000624DF"/>
    <w:rsid w:val="00062AC0"/>
    <w:rsid w:val="00062D74"/>
    <w:rsid w:val="00062DFD"/>
    <w:rsid w:val="000633D5"/>
    <w:rsid w:val="000638BF"/>
    <w:rsid w:val="00063984"/>
    <w:rsid w:val="00063F6D"/>
    <w:rsid w:val="00063FB8"/>
    <w:rsid w:val="00064390"/>
    <w:rsid w:val="00064855"/>
    <w:rsid w:val="00064AAD"/>
    <w:rsid w:val="00064B39"/>
    <w:rsid w:val="00064E02"/>
    <w:rsid w:val="00064E15"/>
    <w:rsid w:val="00064FCE"/>
    <w:rsid w:val="00065108"/>
    <w:rsid w:val="000651E9"/>
    <w:rsid w:val="00065227"/>
    <w:rsid w:val="000652BC"/>
    <w:rsid w:val="000652EB"/>
    <w:rsid w:val="000654FE"/>
    <w:rsid w:val="00065865"/>
    <w:rsid w:val="00065884"/>
    <w:rsid w:val="000659AB"/>
    <w:rsid w:val="00065BFD"/>
    <w:rsid w:val="00065FCF"/>
    <w:rsid w:val="0006604D"/>
    <w:rsid w:val="000662B6"/>
    <w:rsid w:val="00066522"/>
    <w:rsid w:val="000665C5"/>
    <w:rsid w:val="000666C3"/>
    <w:rsid w:val="000667EC"/>
    <w:rsid w:val="00066F48"/>
    <w:rsid w:val="00067047"/>
    <w:rsid w:val="000672D9"/>
    <w:rsid w:val="0006743E"/>
    <w:rsid w:val="0006797A"/>
    <w:rsid w:val="000679F0"/>
    <w:rsid w:val="00067C32"/>
    <w:rsid w:val="00067D12"/>
    <w:rsid w:val="000700DA"/>
    <w:rsid w:val="00070203"/>
    <w:rsid w:val="0007040F"/>
    <w:rsid w:val="0007062E"/>
    <w:rsid w:val="000706F1"/>
    <w:rsid w:val="0007091E"/>
    <w:rsid w:val="00070AE3"/>
    <w:rsid w:val="00070C2B"/>
    <w:rsid w:val="00070EA6"/>
    <w:rsid w:val="0007109F"/>
    <w:rsid w:val="00071185"/>
    <w:rsid w:val="000717D0"/>
    <w:rsid w:val="00071C5C"/>
    <w:rsid w:val="00072216"/>
    <w:rsid w:val="00072293"/>
    <w:rsid w:val="00072552"/>
    <w:rsid w:val="000725D1"/>
    <w:rsid w:val="000728FD"/>
    <w:rsid w:val="00072B2E"/>
    <w:rsid w:val="00072D9B"/>
    <w:rsid w:val="00072E45"/>
    <w:rsid w:val="00072F25"/>
    <w:rsid w:val="00073126"/>
    <w:rsid w:val="000731B6"/>
    <w:rsid w:val="00073204"/>
    <w:rsid w:val="00073248"/>
    <w:rsid w:val="00073268"/>
    <w:rsid w:val="000734F1"/>
    <w:rsid w:val="00073D1C"/>
    <w:rsid w:val="00073DE2"/>
    <w:rsid w:val="0007427A"/>
    <w:rsid w:val="0007450B"/>
    <w:rsid w:val="00074554"/>
    <w:rsid w:val="00074680"/>
    <w:rsid w:val="00074688"/>
    <w:rsid w:val="000747A6"/>
    <w:rsid w:val="00074952"/>
    <w:rsid w:val="000749F7"/>
    <w:rsid w:val="00074A08"/>
    <w:rsid w:val="00074B19"/>
    <w:rsid w:val="00074B5E"/>
    <w:rsid w:val="00074D9F"/>
    <w:rsid w:val="00075684"/>
    <w:rsid w:val="0007570C"/>
    <w:rsid w:val="00075757"/>
    <w:rsid w:val="00075B5F"/>
    <w:rsid w:val="00075C87"/>
    <w:rsid w:val="00075D2C"/>
    <w:rsid w:val="00075D68"/>
    <w:rsid w:val="00076326"/>
    <w:rsid w:val="00076873"/>
    <w:rsid w:val="00076E69"/>
    <w:rsid w:val="000773C6"/>
    <w:rsid w:val="00077A0C"/>
    <w:rsid w:val="00077ADA"/>
    <w:rsid w:val="00077BCE"/>
    <w:rsid w:val="00077D1D"/>
    <w:rsid w:val="00077D59"/>
    <w:rsid w:val="0008003E"/>
    <w:rsid w:val="0008007F"/>
    <w:rsid w:val="000803EE"/>
    <w:rsid w:val="00080946"/>
    <w:rsid w:val="00080A20"/>
    <w:rsid w:val="00080A3C"/>
    <w:rsid w:val="00080C6E"/>
    <w:rsid w:val="00080E2A"/>
    <w:rsid w:val="000810F6"/>
    <w:rsid w:val="00081118"/>
    <w:rsid w:val="000812C3"/>
    <w:rsid w:val="00081543"/>
    <w:rsid w:val="000816FF"/>
    <w:rsid w:val="00081896"/>
    <w:rsid w:val="0008199D"/>
    <w:rsid w:val="00081C2A"/>
    <w:rsid w:val="00081C63"/>
    <w:rsid w:val="00081F5A"/>
    <w:rsid w:val="0008221F"/>
    <w:rsid w:val="00082926"/>
    <w:rsid w:val="00083014"/>
    <w:rsid w:val="000830CE"/>
    <w:rsid w:val="000830DE"/>
    <w:rsid w:val="00083265"/>
    <w:rsid w:val="000832C6"/>
    <w:rsid w:val="0008333A"/>
    <w:rsid w:val="0008359F"/>
    <w:rsid w:val="0008387D"/>
    <w:rsid w:val="00083902"/>
    <w:rsid w:val="00083A0C"/>
    <w:rsid w:val="00083B3B"/>
    <w:rsid w:val="00083BA6"/>
    <w:rsid w:val="00083CDB"/>
    <w:rsid w:val="00083FA1"/>
    <w:rsid w:val="00084B9B"/>
    <w:rsid w:val="00084C13"/>
    <w:rsid w:val="00084C4B"/>
    <w:rsid w:val="00084EBA"/>
    <w:rsid w:val="00085332"/>
    <w:rsid w:val="000853C6"/>
    <w:rsid w:val="00085678"/>
    <w:rsid w:val="0008579A"/>
    <w:rsid w:val="000857F5"/>
    <w:rsid w:val="000859C8"/>
    <w:rsid w:val="00085A56"/>
    <w:rsid w:val="00085AB3"/>
    <w:rsid w:val="00085C8C"/>
    <w:rsid w:val="0008600A"/>
    <w:rsid w:val="0008616F"/>
    <w:rsid w:val="00086275"/>
    <w:rsid w:val="000868C3"/>
    <w:rsid w:val="00086903"/>
    <w:rsid w:val="00086947"/>
    <w:rsid w:val="000869AC"/>
    <w:rsid w:val="00086B13"/>
    <w:rsid w:val="00086B80"/>
    <w:rsid w:val="00086C87"/>
    <w:rsid w:val="00087326"/>
    <w:rsid w:val="00087423"/>
    <w:rsid w:val="00087656"/>
    <w:rsid w:val="00087669"/>
    <w:rsid w:val="00087D53"/>
    <w:rsid w:val="00090058"/>
    <w:rsid w:val="00090592"/>
    <w:rsid w:val="00090996"/>
    <w:rsid w:val="00090C40"/>
    <w:rsid w:val="00090F20"/>
    <w:rsid w:val="000912DE"/>
    <w:rsid w:val="00091399"/>
    <w:rsid w:val="00091588"/>
    <w:rsid w:val="0009164E"/>
    <w:rsid w:val="000917A0"/>
    <w:rsid w:val="00091811"/>
    <w:rsid w:val="000919FE"/>
    <w:rsid w:val="00091C1B"/>
    <w:rsid w:val="00091D77"/>
    <w:rsid w:val="00091F70"/>
    <w:rsid w:val="000921A5"/>
    <w:rsid w:val="00092336"/>
    <w:rsid w:val="00092692"/>
    <w:rsid w:val="000926EC"/>
    <w:rsid w:val="00092968"/>
    <w:rsid w:val="00092AA1"/>
    <w:rsid w:val="00092CB8"/>
    <w:rsid w:val="00092D78"/>
    <w:rsid w:val="00092EAD"/>
    <w:rsid w:val="00093115"/>
    <w:rsid w:val="00093173"/>
    <w:rsid w:val="000937D4"/>
    <w:rsid w:val="000939E3"/>
    <w:rsid w:val="00093C3D"/>
    <w:rsid w:val="00093F1F"/>
    <w:rsid w:val="00094059"/>
    <w:rsid w:val="00094251"/>
    <w:rsid w:val="000942DC"/>
    <w:rsid w:val="0009448D"/>
    <w:rsid w:val="00094590"/>
    <w:rsid w:val="0009466D"/>
    <w:rsid w:val="0009488C"/>
    <w:rsid w:val="000948C3"/>
    <w:rsid w:val="00094A92"/>
    <w:rsid w:val="00094B15"/>
    <w:rsid w:val="00094CBA"/>
    <w:rsid w:val="00094D20"/>
    <w:rsid w:val="00094D39"/>
    <w:rsid w:val="00095164"/>
    <w:rsid w:val="000954D6"/>
    <w:rsid w:val="00095A20"/>
    <w:rsid w:val="000960E6"/>
    <w:rsid w:val="00096663"/>
    <w:rsid w:val="000966BE"/>
    <w:rsid w:val="000968BF"/>
    <w:rsid w:val="00096903"/>
    <w:rsid w:val="00096B23"/>
    <w:rsid w:val="00096BE6"/>
    <w:rsid w:val="00096DFC"/>
    <w:rsid w:val="00096F45"/>
    <w:rsid w:val="000971B3"/>
    <w:rsid w:val="00097580"/>
    <w:rsid w:val="000975B4"/>
    <w:rsid w:val="00097748"/>
    <w:rsid w:val="000978B9"/>
    <w:rsid w:val="000A01DD"/>
    <w:rsid w:val="000A03CB"/>
    <w:rsid w:val="000A0472"/>
    <w:rsid w:val="000A04DF"/>
    <w:rsid w:val="000A0744"/>
    <w:rsid w:val="000A08D3"/>
    <w:rsid w:val="000A092E"/>
    <w:rsid w:val="000A0C1A"/>
    <w:rsid w:val="000A0F99"/>
    <w:rsid w:val="000A0FF7"/>
    <w:rsid w:val="000A1243"/>
    <w:rsid w:val="000A12B6"/>
    <w:rsid w:val="000A131C"/>
    <w:rsid w:val="000A138D"/>
    <w:rsid w:val="000A1875"/>
    <w:rsid w:val="000A19BC"/>
    <w:rsid w:val="000A19D2"/>
    <w:rsid w:val="000A19E8"/>
    <w:rsid w:val="000A1A66"/>
    <w:rsid w:val="000A1BD3"/>
    <w:rsid w:val="000A201D"/>
    <w:rsid w:val="000A219C"/>
    <w:rsid w:val="000A222B"/>
    <w:rsid w:val="000A292F"/>
    <w:rsid w:val="000A29E0"/>
    <w:rsid w:val="000A2A7F"/>
    <w:rsid w:val="000A2AC8"/>
    <w:rsid w:val="000A2C61"/>
    <w:rsid w:val="000A2E30"/>
    <w:rsid w:val="000A2E76"/>
    <w:rsid w:val="000A2EB0"/>
    <w:rsid w:val="000A3659"/>
    <w:rsid w:val="000A3AA8"/>
    <w:rsid w:val="000A3D33"/>
    <w:rsid w:val="000A3E0D"/>
    <w:rsid w:val="000A40E8"/>
    <w:rsid w:val="000A42E0"/>
    <w:rsid w:val="000A43FF"/>
    <w:rsid w:val="000A4582"/>
    <w:rsid w:val="000A483F"/>
    <w:rsid w:val="000A4987"/>
    <w:rsid w:val="000A4AEC"/>
    <w:rsid w:val="000A4C3D"/>
    <w:rsid w:val="000A4CD8"/>
    <w:rsid w:val="000A4DA4"/>
    <w:rsid w:val="000A4E03"/>
    <w:rsid w:val="000A4ECA"/>
    <w:rsid w:val="000A4F16"/>
    <w:rsid w:val="000A5015"/>
    <w:rsid w:val="000A50A4"/>
    <w:rsid w:val="000A57D1"/>
    <w:rsid w:val="000A58D2"/>
    <w:rsid w:val="000A5FD1"/>
    <w:rsid w:val="000A6556"/>
    <w:rsid w:val="000A670E"/>
    <w:rsid w:val="000A67F7"/>
    <w:rsid w:val="000A6825"/>
    <w:rsid w:val="000A687C"/>
    <w:rsid w:val="000A6E88"/>
    <w:rsid w:val="000A6ECC"/>
    <w:rsid w:val="000A6EF1"/>
    <w:rsid w:val="000A6F34"/>
    <w:rsid w:val="000A7361"/>
    <w:rsid w:val="000A77D4"/>
    <w:rsid w:val="000A78A3"/>
    <w:rsid w:val="000A7ABA"/>
    <w:rsid w:val="000A7DAA"/>
    <w:rsid w:val="000B0101"/>
    <w:rsid w:val="000B0128"/>
    <w:rsid w:val="000B022E"/>
    <w:rsid w:val="000B025D"/>
    <w:rsid w:val="000B030B"/>
    <w:rsid w:val="000B045A"/>
    <w:rsid w:val="000B08A7"/>
    <w:rsid w:val="000B0B03"/>
    <w:rsid w:val="000B0B10"/>
    <w:rsid w:val="000B0F14"/>
    <w:rsid w:val="000B0F66"/>
    <w:rsid w:val="000B0F91"/>
    <w:rsid w:val="000B1753"/>
    <w:rsid w:val="000B1874"/>
    <w:rsid w:val="000B190C"/>
    <w:rsid w:val="000B1918"/>
    <w:rsid w:val="000B1A92"/>
    <w:rsid w:val="000B2304"/>
    <w:rsid w:val="000B2A71"/>
    <w:rsid w:val="000B2BC8"/>
    <w:rsid w:val="000B3393"/>
    <w:rsid w:val="000B33D1"/>
    <w:rsid w:val="000B3548"/>
    <w:rsid w:val="000B3A24"/>
    <w:rsid w:val="000B3AFF"/>
    <w:rsid w:val="000B4114"/>
    <w:rsid w:val="000B4141"/>
    <w:rsid w:val="000B41F2"/>
    <w:rsid w:val="000B429E"/>
    <w:rsid w:val="000B433C"/>
    <w:rsid w:val="000B43B6"/>
    <w:rsid w:val="000B44ED"/>
    <w:rsid w:val="000B45BE"/>
    <w:rsid w:val="000B45C0"/>
    <w:rsid w:val="000B4AE8"/>
    <w:rsid w:val="000B4D24"/>
    <w:rsid w:val="000B4DBF"/>
    <w:rsid w:val="000B5212"/>
    <w:rsid w:val="000B5213"/>
    <w:rsid w:val="000B58C5"/>
    <w:rsid w:val="000B58DA"/>
    <w:rsid w:val="000B5A58"/>
    <w:rsid w:val="000B5B2A"/>
    <w:rsid w:val="000B60AE"/>
    <w:rsid w:val="000B6136"/>
    <w:rsid w:val="000B627A"/>
    <w:rsid w:val="000B628B"/>
    <w:rsid w:val="000B63E6"/>
    <w:rsid w:val="000B67BA"/>
    <w:rsid w:val="000B6E85"/>
    <w:rsid w:val="000B6EA3"/>
    <w:rsid w:val="000B7051"/>
    <w:rsid w:val="000B72BD"/>
    <w:rsid w:val="000B77E5"/>
    <w:rsid w:val="000B77E7"/>
    <w:rsid w:val="000B79E9"/>
    <w:rsid w:val="000B7BDD"/>
    <w:rsid w:val="000B7D0F"/>
    <w:rsid w:val="000B7F1B"/>
    <w:rsid w:val="000C01EB"/>
    <w:rsid w:val="000C0588"/>
    <w:rsid w:val="000C0820"/>
    <w:rsid w:val="000C09FC"/>
    <w:rsid w:val="000C0C8B"/>
    <w:rsid w:val="000C0DA6"/>
    <w:rsid w:val="000C0F73"/>
    <w:rsid w:val="000C129C"/>
    <w:rsid w:val="000C18B6"/>
    <w:rsid w:val="000C1B5E"/>
    <w:rsid w:val="000C1DFD"/>
    <w:rsid w:val="000C2118"/>
    <w:rsid w:val="000C2476"/>
    <w:rsid w:val="000C275E"/>
    <w:rsid w:val="000C288F"/>
    <w:rsid w:val="000C2A03"/>
    <w:rsid w:val="000C2B07"/>
    <w:rsid w:val="000C2E58"/>
    <w:rsid w:val="000C2F2A"/>
    <w:rsid w:val="000C361A"/>
    <w:rsid w:val="000C37A4"/>
    <w:rsid w:val="000C3870"/>
    <w:rsid w:val="000C3948"/>
    <w:rsid w:val="000C3972"/>
    <w:rsid w:val="000C3C4B"/>
    <w:rsid w:val="000C4042"/>
    <w:rsid w:val="000C412A"/>
    <w:rsid w:val="000C4704"/>
    <w:rsid w:val="000C4748"/>
    <w:rsid w:val="000C4755"/>
    <w:rsid w:val="000C4794"/>
    <w:rsid w:val="000C49C8"/>
    <w:rsid w:val="000C4E5A"/>
    <w:rsid w:val="000C4FBB"/>
    <w:rsid w:val="000C5257"/>
    <w:rsid w:val="000C5364"/>
    <w:rsid w:val="000C54AB"/>
    <w:rsid w:val="000C5705"/>
    <w:rsid w:val="000C59DB"/>
    <w:rsid w:val="000C5A13"/>
    <w:rsid w:val="000C6225"/>
    <w:rsid w:val="000C652D"/>
    <w:rsid w:val="000C661D"/>
    <w:rsid w:val="000C6779"/>
    <w:rsid w:val="000C6816"/>
    <w:rsid w:val="000C692D"/>
    <w:rsid w:val="000C6A6E"/>
    <w:rsid w:val="000C6AD8"/>
    <w:rsid w:val="000C6C61"/>
    <w:rsid w:val="000C6CCC"/>
    <w:rsid w:val="000C6D9A"/>
    <w:rsid w:val="000C6E21"/>
    <w:rsid w:val="000C6F52"/>
    <w:rsid w:val="000C70E0"/>
    <w:rsid w:val="000C7131"/>
    <w:rsid w:val="000C71E1"/>
    <w:rsid w:val="000C7216"/>
    <w:rsid w:val="000C7449"/>
    <w:rsid w:val="000C7961"/>
    <w:rsid w:val="000C7C37"/>
    <w:rsid w:val="000C7D39"/>
    <w:rsid w:val="000C7EC0"/>
    <w:rsid w:val="000D003B"/>
    <w:rsid w:val="000D0069"/>
    <w:rsid w:val="000D006E"/>
    <w:rsid w:val="000D05AF"/>
    <w:rsid w:val="000D087F"/>
    <w:rsid w:val="000D0FF6"/>
    <w:rsid w:val="000D153F"/>
    <w:rsid w:val="000D1801"/>
    <w:rsid w:val="000D1813"/>
    <w:rsid w:val="000D1840"/>
    <w:rsid w:val="000D1931"/>
    <w:rsid w:val="000D19A0"/>
    <w:rsid w:val="000D2226"/>
    <w:rsid w:val="000D23AC"/>
    <w:rsid w:val="000D250A"/>
    <w:rsid w:val="000D2A1A"/>
    <w:rsid w:val="000D2B16"/>
    <w:rsid w:val="000D2F8D"/>
    <w:rsid w:val="000D2FAA"/>
    <w:rsid w:val="000D312C"/>
    <w:rsid w:val="000D33B7"/>
    <w:rsid w:val="000D342F"/>
    <w:rsid w:val="000D358B"/>
    <w:rsid w:val="000D35E5"/>
    <w:rsid w:val="000D365D"/>
    <w:rsid w:val="000D389F"/>
    <w:rsid w:val="000D38CF"/>
    <w:rsid w:val="000D3C07"/>
    <w:rsid w:val="000D3C4E"/>
    <w:rsid w:val="000D3F77"/>
    <w:rsid w:val="000D400E"/>
    <w:rsid w:val="000D410B"/>
    <w:rsid w:val="000D4152"/>
    <w:rsid w:val="000D41CC"/>
    <w:rsid w:val="000D42BB"/>
    <w:rsid w:val="000D42D1"/>
    <w:rsid w:val="000D44C4"/>
    <w:rsid w:val="000D4636"/>
    <w:rsid w:val="000D476A"/>
    <w:rsid w:val="000D4AB4"/>
    <w:rsid w:val="000D4DF9"/>
    <w:rsid w:val="000D4F68"/>
    <w:rsid w:val="000D540E"/>
    <w:rsid w:val="000D56DB"/>
    <w:rsid w:val="000D5832"/>
    <w:rsid w:val="000D5BF7"/>
    <w:rsid w:val="000D5C53"/>
    <w:rsid w:val="000D5DE0"/>
    <w:rsid w:val="000D64DA"/>
    <w:rsid w:val="000D7092"/>
    <w:rsid w:val="000D729C"/>
    <w:rsid w:val="000D779C"/>
    <w:rsid w:val="000D7866"/>
    <w:rsid w:val="000D7AF5"/>
    <w:rsid w:val="000D7BF5"/>
    <w:rsid w:val="000D7CEB"/>
    <w:rsid w:val="000D7D21"/>
    <w:rsid w:val="000E0124"/>
    <w:rsid w:val="000E04B1"/>
    <w:rsid w:val="000E0707"/>
    <w:rsid w:val="000E08E9"/>
    <w:rsid w:val="000E0D28"/>
    <w:rsid w:val="000E0F05"/>
    <w:rsid w:val="000E1073"/>
    <w:rsid w:val="000E1541"/>
    <w:rsid w:val="000E1555"/>
    <w:rsid w:val="000E156A"/>
    <w:rsid w:val="000E1A9C"/>
    <w:rsid w:val="000E1DFE"/>
    <w:rsid w:val="000E1F52"/>
    <w:rsid w:val="000E1FC4"/>
    <w:rsid w:val="000E1FF9"/>
    <w:rsid w:val="000E22E0"/>
    <w:rsid w:val="000E26EC"/>
    <w:rsid w:val="000E2822"/>
    <w:rsid w:val="000E2A9A"/>
    <w:rsid w:val="000E2D78"/>
    <w:rsid w:val="000E2E7B"/>
    <w:rsid w:val="000E33AB"/>
    <w:rsid w:val="000E3A71"/>
    <w:rsid w:val="000E3C13"/>
    <w:rsid w:val="000E3D24"/>
    <w:rsid w:val="000E41C8"/>
    <w:rsid w:val="000E4279"/>
    <w:rsid w:val="000E4282"/>
    <w:rsid w:val="000E452F"/>
    <w:rsid w:val="000E4792"/>
    <w:rsid w:val="000E47DA"/>
    <w:rsid w:val="000E47E4"/>
    <w:rsid w:val="000E47EC"/>
    <w:rsid w:val="000E487A"/>
    <w:rsid w:val="000E4988"/>
    <w:rsid w:val="000E499C"/>
    <w:rsid w:val="000E4B72"/>
    <w:rsid w:val="000E4D78"/>
    <w:rsid w:val="000E4E7A"/>
    <w:rsid w:val="000E5168"/>
    <w:rsid w:val="000E52B9"/>
    <w:rsid w:val="000E536D"/>
    <w:rsid w:val="000E5577"/>
    <w:rsid w:val="000E5598"/>
    <w:rsid w:val="000E5718"/>
    <w:rsid w:val="000E5902"/>
    <w:rsid w:val="000E594A"/>
    <w:rsid w:val="000E5A05"/>
    <w:rsid w:val="000E5A51"/>
    <w:rsid w:val="000E5AA5"/>
    <w:rsid w:val="000E5C6D"/>
    <w:rsid w:val="000E5FE5"/>
    <w:rsid w:val="000E60E4"/>
    <w:rsid w:val="000E6519"/>
    <w:rsid w:val="000E6A99"/>
    <w:rsid w:val="000E6EF2"/>
    <w:rsid w:val="000E6F46"/>
    <w:rsid w:val="000E6F4B"/>
    <w:rsid w:val="000E7338"/>
    <w:rsid w:val="000E74BD"/>
    <w:rsid w:val="000E74F8"/>
    <w:rsid w:val="000E75E6"/>
    <w:rsid w:val="000E7C7E"/>
    <w:rsid w:val="000E7DCB"/>
    <w:rsid w:val="000E7F7B"/>
    <w:rsid w:val="000F003D"/>
    <w:rsid w:val="000F01B9"/>
    <w:rsid w:val="000F020D"/>
    <w:rsid w:val="000F033F"/>
    <w:rsid w:val="000F0429"/>
    <w:rsid w:val="000F0733"/>
    <w:rsid w:val="000F0D0B"/>
    <w:rsid w:val="000F0DFB"/>
    <w:rsid w:val="000F0EB2"/>
    <w:rsid w:val="000F1058"/>
    <w:rsid w:val="000F1091"/>
    <w:rsid w:val="000F13E9"/>
    <w:rsid w:val="000F1A86"/>
    <w:rsid w:val="000F1AC8"/>
    <w:rsid w:val="000F1B89"/>
    <w:rsid w:val="000F1DF8"/>
    <w:rsid w:val="000F1E57"/>
    <w:rsid w:val="000F1F65"/>
    <w:rsid w:val="000F224A"/>
    <w:rsid w:val="000F251B"/>
    <w:rsid w:val="000F2739"/>
    <w:rsid w:val="000F285A"/>
    <w:rsid w:val="000F29BD"/>
    <w:rsid w:val="000F2C45"/>
    <w:rsid w:val="000F2C4E"/>
    <w:rsid w:val="000F2CEF"/>
    <w:rsid w:val="000F2DC0"/>
    <w:rsid w:val="000F2ECE"/>
    <w:rsid w:val="000F2ED6"/>
    <w:rsid w:val="000F352B"/>
    <w:rsid w:val="000F3C52"/>
    <w:rsid w:val="000F3F76"/>
    <w:rsid w:val="000F4129"/>
    <w:rsid w:val="000F432A"/>
    <w:rsid w:val="000F459E"/>
    <w:rsid w:val="000F45E7"/>
    <w:rsid w:val="000F471E"/>
    <w:rsid w:val="000F4E6E"/>
    <w:rsid w:val="000F518B"/>
    <w:rsid w:val="000F5313"/>
    <w:rsid w:val="000F55A1"/>
    <w:rsid w:val="000F55CB"/>
    <w:rsid w:val="000F574E"/>
    <w:rsid w:val="000F57E6"/>
    <w:rsid w:val="000F6141"/>
    <w:rsid w:val="000F62A5"/>
    <w:rsid w:val="000F64D3"/>
    <w:rsid w:val="000F6626"/>
    <w:rsid w:val="000F6F51"/>
    <w:rsid w:val="000F73B6"/>
    <w:rsid w:val="000F75AB"/>
    <w:rsid w:val="000F76BE"/>
    <w:rsid w:val="000F78BE"/>
    <w:rsid w:val="000F7A68"/>
    <w:rsid w:val="000F7C6A"/>
    <w:rsid w:val="000F7DBA"/>
    <w:rsid w:val="000F7EB5"/>
    <w:rsid w:val="000F7F46"/>
    <w:rsid w:val="0010008D"/>
    <w:rsid w:val="00100317"/>
    <w:rsid w:val="00100387"/>
    <w:rsid w:val="001005DF"/>
    <w:rsid w:val="001007E8"/>
    <w:rsid w:val="00100998"/>
    <w:rsid w:val="00100A25"/>
    <w:rsid w:val="00100B5B"/>
    <w:rsid w:val="00100C29"/>
    <w:rsid w:val="00100EA7"/>
    <w:rsid w:val="00100F7C"/>
    <w:rsid w:val="00101055"/>
    <w:rsid w:val="00101253"/>
    <w:rsid w:val="00101396"/>
    <w:rsid w:val="0010140C"/>
    <w:rsid w:val="0010154C"/>
    <w:rsid w:val="00101608"/>
    <w:rsid w:val="001017C5"/>
    <w:rsid w:val="00101816"/>
    <w:rsid w:val="0010190E"/>
    <w:rsid w:val="00101AFF"/>
    <w:rsid w:val="00101B82"/>
    <w:rsid w:val="00101D5A"/>
    <w:rsid w:val="00101D9D"/>
    <w:rsid w:val="00101DB1"/>
    <w:rsid w:val="00101E18"/>
    <w:rsid w:val="00101E4E"/>
    <w:rsid w:val="00101E5A"/>
    <w:rsid w:val="0010228C"/>
    <w:rsid w:val="00102485"/>
    <w:rsid w:val="00102516"/>
    <w:rsid w:val="00102533"/>
    <w:rsid w:val="0010273A"/>
    <w:rsid w:val="00102CC1"/>
    <w:rsid w:val="00102D26"/>
    <w:rsid w:val="0010309A"/>
    <w:rsid w:val="00103225"/>
    <w:rsid w:val="00103330"/>
    <w:rsid w:val="0010397B"/>
    <w:rsid w:val="00103EBA"/>
    <w:rsid w:val="00103F26"/>
    <w:rsid w:val="00104168"/>
    <w:rsid w:val="0010420D"/>
    <w:rsid w:val="001044D8"/>
    <w:rsid w:val="00104649"/>
    <w:rsid w:val="00104916"/>
    <w:rsid w:val="00104ABC"/>
    <w:rsid w:val="00104AEC"/>
    <w:rsid w:val="00104DB1"/>
    <w:rsid w:val="00104E4F"/>
    <w:rsid w:val="00105381"/>
    <w:rsid w:val="0010558B"/>
    <w:rsid w:val="0010576A"/>
    <w:rsid w:val="00105A94"/>
    <w:rsid w:val="00105CA8"/>
    <w:rsid w:val="00105DB1"/>
    <w:rsid w:val="00105E65"/>
    <w:rsid w:val="0010609F"/>
    <w:rsid w:val="001060D2"/>
    <w:rsid w:val="00106138"/>
    <w:rsid w:val="00106266"/>
    <w:rsid w:val="00106790"/>
    <w:rsid w:val="001067BA"/>
    <w:rsid w:val="0010683F"/>
    <w:rsid w:val="00106979"/>
    <w:rsid w:val="0010699D"/>
    <w:rsid w:val="00106B03"/>
    <w:rsid w:val="00106B09"/>
    <w:rsid w:val="00106B20"/>
    <w:rsid w:val="00106CD5"/>
    <w:rsid w:val="00106ED9"/>
    <w:rsid w:val="00106FBE"/>
    <w:rsid w:val="0010703D"/>
    <w:rsid w:val="0010706D"/>
    <w:rsid w:val="0010726C"/>
    <w:rsid w:val="001077BB"/>
    <w:rsid w:val="00107B86"/>
    <w:rsid w:val="00107C7D"/>
    <w:rsid w:val="00107CD9"/>
    <w:rsid w:val="00107D00"/>
    <w:rsid w:val="00107ECC"/>
    <w:rsid w:val="00107F15"/>
    <w:rsid w:val="001100DC"/>
    <w:rsid w:val="00110157"/>
    <w:rsid w:val="001101C7"/>
    <w:rsid w:val="00110466"/>
    <w:rsid w:val="00110864"/>
    <w:rsid w:val="001109E9"/>
    <w:rsid w:val="00110A1C"/>
    <w:rsid w:val="00110FF0"/>
    <w:rsid w:val="001111A0"/>
    <w:rsid w:val="001112A2"/>
    <w:rsid w:val="0011154D"/>
    <w:rsid w:val="00111BBC"/>
    <w:rsid w:val="00111C85"/>
    <w:rsid w:val="00111C9E"/>
    <w:rsid w:val="00111D7C"/>
    <w:rsid w:val="00111F43"/>
    <w:rsid w:val="00112452"/>
    <w:rsid w:val="00112519"/>
    <w:rsid w:val="00112653"/>
    <w:rsid w:val="00112761"/>
    <w:rsid w:val="00112B33"/>
    <w:rsid w:val="00112B34"/>
    <w:rsid w:val="00112E38"/>
    <w:rsid w:val="00112FE7"/>
    <w:rsid w:val="00113038"/>
    <w:rsid w:val="00113051"/>
    <w:rsid w:val="001131B7"/>
    <w:rsid w:val="00113888"/>
    <w:rsid w:val="001139CA"/>
    <w:rsid w:val="001139E2"/>
    <w:rsid w:val="00113D7C"/>
    <w:rsid w:val="00114223"/>
    <w:rsid w:val="00114446"/>
    <w:rsid w:val="0011449A"/>
    <w:rsid w:val="00114A25"/>
    <w:rsid w:val="00114BAB"/>
    <w:rsid w:val="00114D8F"/>
    <w:rsid w:val="00114F69"/>
    <w:rsid w:val="00114FC4"/>
    <w:rsid w:val="0011505F"/>
    <w:rsid w:val="0011510C"/>
    <w:rsid w:val="001151AF"/>
    <w:rsid w:val="00115569"/>
    <w:rsid w:val="0011578E"/>
    <w:rsid w:val="001157A8"/>
    <w:rsid w:val="001157FB"/>
    <w:rsid w:val="00115967"/>
    <w:rsid w:val="00115D82"/>
    <w:rsid w:val="0011608C"/>
    <w:rsid w:val="00116177"/>
    <w:rsid w:val="001161D5"/>
    <w:rsid w:val="00116322"/>
    <w:rsid w:val="0011679D"/>
    <w:rsid w:val="001167A4"/>
    <w:rsid w:val="001167DE"/>
    <w:rsid w:val="00116983"/>
    <w:rsid w:val="00116CFC"/>
    <w:rsid w:val="00116D86"/>
    <w:rsid w:val="00116DD4"/>
    <w:rsid w:val="00116FB3"/>
    <w:rsid w:val="0011709D"/>
    <w:rsid w:val="0011753E"/>
    <w:rsid w:val="001178AF"/>
    <w:rsid w:val="001178E5"/>
    <w:rsid w:val="00117B37"/>
    <w:rsid w:val="0012040A"/>
    <w:rsid w:val="001208F2"/>
    <w:rsid w:val="00120A09"/>
    <w:rsid w:val="00120BF5"/>
    <w:rsid w:val="00120F8F"/>
    <w:rsid w:val="00121430"/>
    <w:rsid w:val="001214A7"/>
    <w:rsid w:val="001215E4"/>
    <w:rsid w:val="0012191B"/>
    <w:rsid w:val="00121B93"/>
    <w:rsid w:val="00121BF7"/>
    <w:rsid w:val="00121C8A"/>
    <w:rsid w:val="00121CA7"/>
    <w:rsid w:val="00121EF6"/>
    <w:rsid w:val="00121F00"/>
    <w:rsid w:val="001220F7"/>
    <w:rsid w:val="0012259A"/>
    <w:rsid w:val="001226A9"/>
    <w:rsid w:val="00122720"/>
    <w:rsid w:val="00122770"/>
    <w:rsid w:val="0012279D"/>
    <w:rsid w:val="00122924"/>
    <w:rsid w:val="00123022"/>
    <w:rsid w:val="00123128"/>
    <w:rsid w:val="0012324D"/>
    <w:rsid w:val="00123448"/>
    <w:rsid w:val="001237AA"/>
    <w:rsid w:val="00123830"/>
    <w:rsid w:val="00123836"/>
    <w:rsid w:val="001239D0"/>
    <w:rsid w:val="00123B4A"/>
    <w:rsid w:val="00123EE9"/>
    <w:rsid w:val="0012439A"/>
    <w:rsid w:val="001244F8"/>
    <w:rsid w:val="0012475A"/>
    <w:rsid w:val="00124D04"/>
    <w:rsid w:val="001250AD"/>
    <w:rsid w:val="001250CA"/>
    <w:rsid w:val="00125258"/>
    <w:rsid w:val="001254C5"/>
    <w:rsid w:val="001255F3"/>
    <w:rsid w:val="0012560E"/>
    <w:rsid w:val="001256D7"/>
    <w:rsid w:val="001257BA"/>
    <w:rsid w:val="001257E3"/>
    <w:rsid w:val="001258E8"/>
    <w:rsid w:val="001264A8"/>
    <w:rsid w:val="00126533"/>
    <w:rsid w:val="0012668A"/>
    <w:rsid w:val="001268FB"/>
    <w:rsid w:val="00126D23"/>
    <w:rsid w:val="00126D9F"/>
    <w:rsid w:val="00127187"/>
    <w:rsid w:val="001273A9"/>
    <w:rsid w:val="001277AE"/>
    <w:rsid w:val="00127844"/>
    <w:rsid w:val="001279F3"/>
    <w:rsid w:val="00127A2C"/>
    <w:rsid w:val="00127CD0"/>
    <w:rsid w:val="00127E07"/>
    <w:rsid w:val="00127ED9"/>
    <w:rsid w:val="0013008D"/>
    <w:rsid w:val="001300E5"/>
    <w:rsid w:val="001301E9"/>
    <w:rsid w:val="001305D3"/>
    <w:rsid w:val="0013089C"/>
    <w:rsid w:val="00130B75"/>
    <w:rsid w:val="00130CF9"/>
    <w:rsid w:val="00130E0B"/>
    <w:rsid w:val="001312C2"/>
    <w:rsid w:val="00131334"/>
    <w:rsid w:val="001313D3"/>
    <w:rsid w:val="0013147C"/>
    <w:rsid w:val="001318A4"/>
    <w:rsid w:val="001318C5"/>
    <w:rsid w:val="00131913"/>
    <w:rsid w:val="0013191B"/>
    <w:rsid w:val="00131B60"/>
    <w:rsid w:val="00131F59"/>
    <w:rsid w:val="00131FDC"/>
    <w:rsid w:val="001321C9"/>
    <w:rsid w:val="001323F9"/>
    <w:rsid w:val="00132581"/>
    <w:rsid w:val="001325D3"/>
    <w:rsid w:val="001325DA"/>
    <w:rsid w:val="00132653"/>
    <w:rsid w:val="00132766"/>
    <w:rsid w:val="001328E0"/>
    <w:rsid w:val="00132EE1"/>
    <w:rsid w:val="00132F83"/>
    <w:rsid w:val="00133577"/>
    <w:rsid w:val="0013367C"/>
    <w:rsid w:val="001336FA"/>
    <w:rsid w:val="00133797"/>
    <w:rsid w:val="0013383B"/>
    <w:rsid w:val="00133958"/>
    <w:rsid w:val="001339A1"/>
    <w:rsid w:val="001339B7"/>
    <w:rsid w:val="00133F4E"/>
    <w:rsid w:val="00133F7B"/>
    <w:rsid w:val="001341F2"/>
    <w:rsid w:val="001341F7"/>
    <w:rsid w:val="00134350"/>
    <w:rsid w:val="001345BB"/>
    <w:rsid w:val="00134AA9"/>
    <w:rsid w:val="00134BED"/>
    <w:rsid w:val="001351FA"/>
    <w:rsid w:val="00135306"/>
    <w:rsid w:val="0013538A"/>
    <w:rsid w:val="001356F6"/>
    <w:rsid w:val="001358EA"/>
    <w:rsid w:val="00135B02"/>
    <w:rsid w:val="00135D90"/>
    <w:rsid w:val="00135FE8"/>
    <w:rsid w:val="00136003"/>
    <w:rsid w:val="001361B1"/>
    <w:rsid w:val="001362C4"/>
    <w:rsid w:val="001362D6"/>
    <w:rsid w:val="001367E4"/>
    <w:rsid w:val="00136C9C"/>
    <w:rsid w:val="00136F0A"/>
    <w:rsid w:val="00136FE4"/>
    <w:rsid w:val="00137233"/>
    <w:rsid w:val="001378AC"/>
    <w:rsid w:val="00137D74"/>
    <w:rsid w:val="00140096"/>
    <w:rsid w:val="001402C1"/>
    <w:rsid w:val="001404A0"/>
    <w:rsid w:val="001405EF"/>
    <w:rsid w:val="00140784"/>
    <w:rsid w:val="001407F9"/>
    <w:rsid w:val="001408D9"/>
    <w:rsid w:val="00140BD1"/>
    <w:rsid w:val="00140C5D"/>
    <w:rsid w:val="00140EC1"/>
    <w:rsid w:val="00140F92"/>
    <w:rsid w:val="00141081"/>
    <w:rsid w:val="0014115B"/>
    <w:rsid w:val="001416EC"/>
    <w:rsid w:val="0014195A"/>
    <w:rsid w:val="001419ED"/>
    <w:rsid w:val="00141B35"/>
    <w:rsid w:val="00141E05"/>
    <w:rsid w:val="00141E62"/>
    <w:rsid w:val="00141F4D"/>
    <w:rsid w:val="00142260"/>
    <w:rsid w:val="0014246A"/>
    <w:rsid w:val="0014249C"/>
    <w:rsid w:val="0014250B"/>
    <w:rsid w:val="0014250D"/>
    <w:rsid w:val="0014259B"/>
    <w:rsid w:val="001427E5"/>
    <w:rsid w:val="001428B4"/>
    <w:rsid w:val="0014290D"/>
    <w:rsid w:val="00142B2B"/>
    <w:rsid w:val="00142BA9"/>
    <w:rsid w:val="0014335A"/>
    <w:rsid w:val="00143452"/>
    <w:rsid w:val="0014362F"/>
    <w:rsid w:val="00143708"/>
    <w:rsid w:val="00143713"/>
    <w:rsid w:val="00143941"/>
    <w:rsid w:val="00143943"/>
    <w:rsid w:val="00143961"/>
    <w:rsid w:val="001439C0"/>
    <w:rsid w:val="00143B7D"/>
    <w:rsid w:val="00143FD5"/>
    <w:rsid w:val="0014402E"/>
    <w:rsid w:val="0014424D"/>
    <w:rsid w:val="0014435C"/>
    <w:rsid w:val="001445EA"/>
    <w:rsid w:val="0014464E"/>
    <w:rsid w:val="00144703"/>
    <w:rsid w:val="001448BF"/>
    <w:rsid w:val="001449A1"/>
    <w:rsid w:val="00144A1C"/>
    <w:rsid w:val="00144D95"/>
    <w:rsid w:val="0014508C"/>
    <w:rsid w:val="00145454"/>
    <w:rsid w:val="001457A1"/>
    <w:rsid w:val="0014583B"/>
    <w:rsid w:val="00145EBE"/>
    <w:rsid w:val="00146239"/>
    <w:rsid w:val="00146443"/>
    <w:rsid w:val="001466F9"/>
    <w:rsid w:val="00146727"/>
    <w:rsid w:val="001467DC"/>
    <w:rsid w:val="00146897"/>
    <w:rsid w:val="00146AA9"/>
    <w:rsid w:val="00146AD7"/>
    <w:rsid w:val="00146E73"/>
    <w:rsid w:val="00146F28"/>
    <w:rsid w:val="00146FBE"/>
    <w:rsid w:val="00147205"/>
    <w:rsid w:val="0014722D"/>
    <w:rsid w:val="0014741C"/>
    <w:rsid w:val="0014748A"/>
    <w:rsid w:val="0014749C"/>
    <w:rsid w:val="00147511"/>
    <w:rsid w:val="001475F0"/>
    <w:rsid w:val="00147621"/>
    <w:rsid w:val="00147A39"/>
    <w:rsid w:val="00147D51"/>
    <w:rsid w:val="00150064"/>
    <w:rsid w:val="0015027F"/>
    <w:rsid w:val="00150309"/>
    <w:rsid w:val="001504AE"/>
    <w:rsid w:val="001508F5"/>
    <w:rsid w:val="00150C7F"/>
    <w:rsid w:val="00150D4C"/>
    <w:rsid w:val="001510A0"/>
    <w:rsid w:val="0015130B"/>
    <w:rsid w:val="00151389"/>
    <w:rsid w:val="00151411"/>
    <w:rsid w:val="0015147F"/>
    <w:rsid w:val="0015184E"/>
    <w:rsid w:val="00151C90"/>
    <w:rsid w:val="00151E2B"/>
    <w:rsid w:val="00151E3B"/>
    <w:rsid w:val="00151E71"/>
    <w:rsid w:val="00151F75"/>
    <w:rsid w:val="00151F94"/>
    <w:rsid w:val="001520CA"/>
    <w:rsid w:val="00152167"/>
    <w:rsid w:val="0015217D"/>
    <w:rsid w:val="00152322"/>
    <w:rsid w:val="0015238F"/>
    <w:rsid w:val="001523DE"/>
    <w:rsid w:val="00152697"/>
    <w:rsid w:val="00152712"/>
    <w:rsid w:val="001529E8"/>
    <w:rsid w:val="00152A5B"/>
    <w:rsid w:val="00152A70"/>
    <w:rsid w:val="00152A95"/>
    <w:rsid w:val="00152FF8"/>
    <w:rsid w:val="00153245"/>
    <w:rsid w:val="00153422"/>
    <w:rsid w:val="001534DE"/>
    <w:rsid w:val="001535B8"/>
    <w:rsid w:val="0015369E"/>
    <w:rsid w:val="00153830"/>
    <w:rsid w:val="00153AA0"/>
    <w:rsid w:val="001540C3"/>
    <w:rsid w:val="001541B7"/>
    <w:rsid w:val="001541C4"/>
    <w:rsid w:val="00154466"/>
    <w:rsid w:val="00154623"/>
    <w:rsid w:val="001548CC"/>
    <w:rsid w:val="00154D8D"/>
    <w:rsid w:val="00154F14"/>
    <w:rsid w:val="00154F58"/>
    <w:rsid w:val="001551E7"/>
    <w:rsid w:val="00155972"/>
    <w:rsid w:val="00155C88"/>
    <w:rsid w:val="00155DC1"/>
    <w:rsid w:val="00155E82"/>
    <w:rsid w:val="00156567"/>
    <w:rsid w:val="00156AD5"/>
    <w:rsid w:val="00156D61"/>
    <w:rsid w:val="00156E59"/>
    <w:rsid w:val="00156E98"/>
    <w:rsid w:val="0015728F"/>
    <w:rsid w:val="0015731C"/>
    <w:rsid w:val="00157537"/>
    <w:rsid w:val="00157600"/>
    <w:rsid w:val="00157732"/>
    <w:rsid w:val="00157A86"/>
    <w:rsid w:val="00160281"/>
    <w:rsid w:val="001602BD"/>
    <w:rsid w:val="0016043B"/>
    <w:rsid w:val="001604F3"/>
    <w:rsid w:val="00160720"/>
    <w:rsid w:val="001607F3"/>
    <w:rsid w:val="001608D9"/>
    <w:rsid w:val="00160900"/>
    <w:rsid w:val="00160F24"/>
    <w:rsid w:val="00160FE2"/>
    <w:rsid w:val="00161582"/>
    <w:rsid w:val="001616CA"/>
    <w:rsid w:val="00161821"/>
    <w:rsid w:val="0016190E"/>
    <w:rsid w:val="00161A67"/>
    <w:rsid w:val="00161BE5"/>
    <w:rsid w:val="00161D68"/>
    <w:rsid w:val="00161EB2"/>
    <w:rsid w:val="00162246"/>
    <w:rsid w:val="00162488"/>
    <w:rsid w:val="00162F10"/>
    <w:rsid w:val="00162FA2"/>
    <w:rsid w:val="00162FC7"/>
    <w:rsid w:val="0016337D"/>
    <w:rsid w:val="0016387F"/>
    <w:rsid w:val="00163928"/>
    <w:rsid w:val="00163A14"/>
    <w:rsid w:val="00163AE9"/>
    <w:rsid w:val="00163C12"/>
    <w:rsid w:val="00163C2B"/>
    <w:rsid w:val="00163FDF"/>
    <w:rsid w:val="00164166"/>
    <w:rsid w:val="00164250"/>
    <w:rsid w:val="001642AF"/>
    <w:rsid w:val="001645CC"/>
    <w:rsid w:val="00164637"/>
    <w:rsid w:val="0016464C"/>
    <w:rsid w:val="001647DC"/>
    <w:rsid w:val="00164ABC"/>
    <w:rsid w:val="00164E11"/>
    <w:rsid w:val="00164FBE"/>
    <w:rsid w:val="00165495"/>
    <w:rsid w:val="001659E9"/>
    <w:rsid w:val="00165A38"/>
    <w:rsid w:val="00165BAA"/>
    <w:rsid w:val="00165FCA"/>
    <w:rsid w:val="00166090"/>
    <w:rsid w:val="0016687C"/>
    <w:rsid w:val="001668EE"/>
    <w:rsid w:val="00166B31"/>
    <w:rsid w:val="00166EB6"/>
    <w:rsid w:val="00166EE4"/>
    <w:rsid w:val="0016757C"/>
    <w:rsid w:val="0016778D"/>
    <w:rsid w:val="00167790"/>
    <w:rsid w:val="001678EE"/>
    <w:rsid w:val="00167990"/>
    <w:rsid w:val="00167B45"/>
    <w:rsid w:val="00167BE1"/>
    <w:rsid w:val="00167E99"/>
    <w:rsid w:val="001702EE"/>
    <w:rsid w:val="00170773"/>
    <w:rsid w:val="001709EF"/>
    <w:rsid w:val="00170C21"/>
    <w:rsid w:val="00170E58"/>
    <w:rsid w:val="001710FD"/>
    <w:rsid w:val="001712BC"/>
    <w:rsid w:val="00171648"/>
    <w:rsid w:val="00171921"/>
    <w:rsid w:val="00171CB3"/>
    <w:rsid w:val="001724A5"/>
    <w:rsid w:val="00172747"/>
    <w:rsid w:val="0017293C"/>
    <w:rsid w:val="00172BBF"/>
    <w:rsid w:val="00172E09"/>
    <w:rsid w:val="00172F28"/>
    <w:rsid w:val="001730DA"/>
    <w:rsid w:val="00173382"/>
    <w:rsid w:val="0017350E"/>
    <w:rsid w:val="00173601"/>
    <w:rsid w:val="00173659"/>
    <w:rsid w:val="001738FE"/>
    <w:rsid w:val="00173936"/>
    <w:rsid w:val="00173EAD"/>
    <w:rsid w:val="00173ED4"/>
    <w:rsid w:val="00173F8A"/>
    <w:rsid w:val="001742DC"/>
    <w:rsid w:val="0017431B"/>
    <w:rsid w:val="00174370"/>
    <w:rsid w:val="00174BEE"/>
    <w:rsid w:val="00174C1F"/>
    <w:rsid w:val="00174C58"/>
    <w:rsid w:val="001750E6"/>
    <w:rsid w:val="0017545D"/>
    <w:rsid w:val="00175486"/>
    <w:rsid w:val="001755A5"/>
    <w:rsid w:val="00175B00"/>
    <w:rsid w:val="00175B58"/>
    <w:rsid w:val="00175F6E"/>
    <w:rsid w:val="00176428"/>
    <w:rsid w:val="001764D7"/>
    <w:rsid w:val="001767D2"/>
    <w:rsid w:val="00176952"/>
    <w:rsid w:val="00176C26"/>
    <w:rsid w:val="00176DAB"/>
    <w:rsid w:val="00176F0E"/>
    <w:rsid w:val="00177066"/>
    <w:rsid w:val="0017715C"/>
    <w:rsid w:val="0017723B"/>
    <w:rsid w:val="00177285"/>
    <w:rsid w:val="00177555"/>
    <w:rsid w:val="00177773"/>
    <w:rsid w:val="00177EEE"/>
    <w:rsid w:val="001801C9"/>
    <w:rsid w:val="001805EA"/>
    <w:rsid w:val="00180785"/>
    <w:rsid w:val="00180975"/>
    <w:rsid w:val="001809F8"/>
    <w:rsid w:val="00180BD1"/>
    <w:rsid w:val="00180BFE"/>
    <w:rsid w:val="00181189"/>
    <w:rsid w:val="0018120A"/>
    <w:rsid w:val="00181327"/>
    <w:rsid w:val="001813A7"/>
    <w:rsid w:val="00181690"/>
    <w:rsid w:val="001817F4"/>
    <w:rsid w:val="00181898"/>
    <w:rsid w:val="00181A93"/>
    <w:rsid w:val="00181D63"/>
    <w:rsid w:val="00181E1F"/>
    <w:rsid w:val="00181E76"/>
    <w:rsid w:val="001820A8"/>
    <w:rsid w:val="001825FC"/>
    <w:rsid w:val="00182805"/>
    <w:rsid w:val="0018285B"/>
    <w:rsid w:val="001835BF"/>
    <w:rsid w:val="0018375F"/>
    <w:rsid w:val="00183B70"/>
    <w:rsid w:val="00183DE5"/>
    <w:rsid w:val="00184241"/>
    <w:rsid w:val="001843E9"/>
    <w:rsid w:val="00184455"/>
    <w:rsid w:val="001846E2"/>
    <w:rsid w:val="00184909"/>
    <w:rsid w:val="00184C92"/>
    <w:rsid w:val="001851CC"/>
    <w:rsid w:val="001854B7"/>
    <w:rsid w:val="00185B5D"/>
    <w:rsid w:val="00185D46"/>
    <w:rsid w:val="00185D6D"/>
    <w:rsid w:val="00185DF8"/>
    <w:rsid w:val="00185F93"/>
    <w:rsid w:val="00186121"/>
    <w:rsid w:val="00186161"/>
    <w:rsid w:val="001863CF"/>
    <w:rsid w:val="00186477"/>
    <w:rsid w:val="00186698"/>
    <w:rsid w:val="001866D4"/>
    <w:rsid w:val="00186724"/>
    <w:rsid w:val="0018680D"/>
    <w:rsid w:val="00186B74"/>
    <w:rsid w:val="00186F91"/>
    <w:rsid w:val="001872E6"/>
    <w:rsid w:val="001874BF"/>
    <w:rsid w:val="00187535"/>
    <w:rsid w:val="00187C46"/>
    <w:rsid w:val="00187FCE"/>
    <w:rsid w:val="001902D3"/>
    <w:rsid w:val="001905CC"/>
    <w:rsid w:val="00190D07"/>
    <w:rsid w:val="00190D68"/>
    <w:rsid w:val="00190DDE"/>
    <w:rsid w:val="00190FF0"/>
    <w:rsid w:val="0019102A"/>
    <w:rsid w:val="001910B7"/>
    <w:rsid w:val="0019129D"/>
    <w:rsid w:val="0019149A"/>
    <w:rsid w:val="00191965"/>
    <w:rsid w:val="00191980"/>
    <w:rsid w:val="00191CF4"/>
    <w:rsid w:val="00191E2D"/>
    <w:rsid w:val="00191F3A"/>
    <w:rsid w:val="00191FD4"/>
    <w:rsid w:val="00191FEA"/>
    <w:rsid w:val="00192407"/>
    <w:rsid w:val="00192589"/>
    <w:rsid w:val="0019282B"/>
    <w:rsid w:val="001928C7"/>
    <w:rsid w:val="0019296C"/>
    <w:rsid w:val="001929AD"/>
    <w:rsid w:val="001929F4"/>
    <w:rsid w:val="00192A8B"/>
    <w:rsid w:val="00192C06"/>
    <w:rsid w:val="00192CE3"/>
    <w:rsid w:val="00192DC1"/>
    <w:rsid w:val="00192FF7"/>
    <w:rsid w:val="001930BB"/>
    <w:rsid w:val="00193837"/>
    <w:rsid w:val="001939F2"/>
    <w:rsid w:val="00193B87"/>
    <w:rsid w:val="00193E7B"/>
    <w:rsid w:val="001941FE"/>
    <w:rsid w:val="001942DA"/>
    <w:rsid w:val="00194329"/>
    <w:rsid w:val="001944B6"/>
    <w:rsid w:val="001946F8"/>
    <w:rsid w:val="00194863"/>
    <w:rsid w:val="001949FA"/>
    <w:rsid w:val="00194AB4"/>
    <w:rsid w:val="00194C05"/>
    <w:rsid w:val="00194DF3"/>
    <w:rsid w:val="00195899"/>
    <w:rsid w:val="00195A50"/>
    <w:rsid w:val="00195A8B"/>
    <w:rsid w:val="00195A98"/>
    <w:rsid w:val="0019603F"/>
    <w:rsid w:val="00196255"/>
    <w:rsid w:val="0019636A"/>
    <w:rsid w:val="00196536"/>
    <w:rsid w:val="00196739"/>
    <w:rsid w:val="00196B92"/>
    <w:rsid w:val="001972D6"/>
    <w:rsid w:val="001972F4"/>
    <w:rsid w:val="001974F7"/>
    <w:rsid w:val="00197678"/>
    <w:rsid w:val="001976BD"/>
    <w:rsid w:val="00197851"/>
    <w:rsid w:val="00197A03"/>
    <w:rsid w:val="00197B62"/>
    <w:rsid w:val="00197BD7"/>
    <w:rsid w:val="00197C6C"/>
    <w:rsid w:val="00197CE1"/>
    <w:rsid w:val="00197F9A"/>
    <w:rsid w:val="001A0349"/>
    <w:rsid w:val="001A034A"/>
    <w:rsid w:val="001A0482"/>
    <w:rsid w:val="001A090C"/>
    <w:rsid w:val="001A09A2"/>
    <w:rsid w:val="001A0A78"/>
    <w:rsid w:val="001A0B4C"/>
    <w:rsid w:val="001A0C6A"/>
    <w:rsid w:val="001A0E17"/>
    <w:rsid w:val="001A0F08"/>
    <w:rsid w:val="001A1216"/>
    <w:rsid w:val="001A1883"/>
    <w:rsid w:val="001A18F8"/>
    <w:rsid w:val="001A190E"/>
    <w:rsid w:val="001A1B56"/>
    <w:rsid w:val="001A20A3"/>
    <w:rsid w:val="001A20BA"/>
    <w:rsid w:val="001A214F"/>
    <w:rsid w:val="001A2164"/>
    <w:rsid w:val="001A231B"/>
    <w:rsid w:val="001A23C6"/>
    <w:rsid w:val="001A2788"/>
    <w:rsid w:val="001A27E3"/>
    <w:rsid w:val="001A2911"/>
    <w:rsid w:val="001A293C"/>
    <w:rsid w:val="001A2B29"/>
    <w:rsid w:val="001A2B87"/>
    <w:rsid w:val="001A2FDE"/>
    <w:rsid w:val="001A3062"/>
    <w:rsid w:val="001A31AD"/>
    <w:rsid w:val="001A32CA"/>
    <w:rsid w:val="001A36A8"/>
    <w:rsid w:val="001A38E0"/>
    <w:rsid w:val="001A3D5F"/>
    <w:rsid w:val="001A3D82"/>
    <w:rsid w:val="001A3EAC"/>
    <w:rsid w:val="001A42A6"/>
    <w:rsid w:val="001A4535"/>
    <w:rsid w:val="001A480E"/>
    <w:rsid w:val="001A497E"/>
    <w:rsid w:val="001A4A6A"/>
    <w:rsid w:val="001A4A6B"/>
    <w:rsid w:val="001A500B"/>
    <w:rsid w:val="001A5166"/>
    <w:rsid w:val="001A5333"/>
    <w:rsid w:val="001A5802"/>
    <w:rsid w:val="001A59DB"/>
    <w:rsid w:val="001A5F03"/>
    <w:rsid w:val="001A5FDA"/>
    <w:rsid w:val="001A606F"/>
    <w:rsid w:val="001A6183"/>
    <w:rsid w:val="001A6AC1"/>
    <w:rsid w:val="001A6E30"/>
    <w:rsid w:val="001A7102"/>
    <w:rsid w:val="001A71E8"/>
    <w:rsid w:val="001A739E"/>
    <w:rsid w:val="001A76F5"/>
    <w:rsid w:val="001A7727"/>
    <w:rsid w:val="001A7AC3"/>
    <w:rsid w:val="001B0030"/>
    <w:rsid w:val="001B03A2"/>
    <w:rsid w:val="001B08FB"/>
    <w:rsid w:val="001B10C0"/>
    <w:rsid w:val="001B10CC"/>
    <w:rsid w:val="001B12A4"/>
    <w:rsid w:val="001B15C1"/>
    <w:rsid w:val="001B1607"/>
    <w:rsid w:val="001B186D"/>
    <w:rsid w:val="001B191A"/>
    <w:rsid w:val="001B191D"/>
    <w:rsid w:val="001B1EC8"/>
    <w:rsid w:val="001B1F74"/>
    <w:rsid w:val="001B219E"/>
    <w:rsid w:val="001B24E0"/>
    <w:rsid w:val="001B26E2"/>
    <w:rsid w:val="001B2C9C"/>
    <w:rsid w:val="001B2DF5"/>
    <w:rsid w:val="001B34A1"/>
    <w:rsid w:val="001B35BA"/>
    <w:rsid w:val="001B35DC"/>
    <w:rsid w:val="001B3894"/>
    <w:rsid w:val="001B39C9"/>
    <w:rsid w:val="001B4195"/>
    <w:rsid w:val="001B4301"/>
    <w:rsid w:val="001B459B"/>
    <w:rsid w:val="001B469D"/>
    <w:rsid w:val="001B4972"/>
    <w:rsid w:val="001B534D"/>
    <w:rsid w:val="001B54DC"/>
    <w:rsid w:val="001B54F5"/>
    <w:rsid w:val="001B5520"/>
    <w:rsid w:val="001B58BD"/>
    <w:rsid w:val="001B5990"/>
    <w:rsid w:val="001B5BD8"/>
    <w:rsid w:val="001B5D99"/>
    <w:rsid w:val="001B5FB5"/>
    <w:rsid w:val="001B6131"/>
    <w:rsid w:val="001B62CC"/>
    <w:rsid w:val="001B62EC"/>
    <w:rsid w:val="001B67FD"/>
    <w:rsid w:val="001B681A"/>
    <w:rsid w:val="001B6A0B"/>
    <w:rsid w:val="001B6A5D"/>
    <w:rsid w:val="001B6B90"/>
    <w:rsid w:val="001B7B31"/>
    <w:rsid w:val="001C0013"/>
    <w:rsid w:val="001C0017"/>
    <w:rsid w:val="001C0126"/>
    <w:rsid w:val="001C0328"/>
    <w:rsid w:val="001C12E1"/>
    <w:rsid w:val="001C18A5"/>
    <w:rsid w:val="001C19ED"/>
    <w:rsid w:val="001C1A34"/>
    <w:rsid w:val="001C1F5E"/>
    <w:rsid w:val="001C2432"/>
    <w:rsid w:val="001C26BA"/>
    <w:rsid w:val="001C2900"/>
    <w:rsid w:val="001C2D16"/>
    <w:rsid w:val="001C2D40"/>
    <w:rsid w:val="001C3290"/>
    <w:rsid w:val="001C343A"/>
    <w:rsid w:val="001C363A"/>
    <w:rsid w:val="001C38BC"/>
    <w:rsid w:val="001C3B58"/>
    <w:rsid w:val="001C3BCF"/>
    <w:rsid w:val="001C3D4A"/>
    <w:rsid w:val="001C3E69"/>
    <w:rsid w:val="001C4049"/>
    <w:rsid w:val="001C425D"/>
    <w:rsid w:val="001C43B0"/>
    <w:rsid w:val="001C444D"/>
    <w:rsid w:val="001C44C8"/>
    <w:rsid w:val="001C47FB"/>
    <w:rsid w:val="001C4C59"/>
    <w:rsid w:val="001C52A1"/>
    <w:rsid w:val="001C52D9"/>
    <w:rsid w:val="001C543C"/>
    <w:rsid w:val="001C55A8"/>
    <w:rsid w:val="001C5972"/>
    <w:rsid w:val="001C5987"/>
    <w:rsid w:val="001C59E9"/>
    <w:rsid w:val="001C5A15"/>
    <w:rsid w:val="001C5A3F"/>
    <w:rsid w:val="001C5E28"/>
    <w:rsid w:val="001C6155"/>
    <w:rsid w:val="001C61C5"/>
    <w:rsid w:val="001C6608"/>
    <w:rsid w:val="001C6613"/>
    <w:rsid w:val="001C6651"/>
    <w:rsid w:val="001C66DF"/>
    <w:rsid w:val="001C6DA1"/>
    <w:rsid w:val="001C6E73"/>
    <w:rsid w:val="001C72F7"/>
    <w:rsid w:val="001C7600"/>
    <w:rsid w:val="001C760C"/>
    <w:rsid w:val="001C7702"/>
    <w:rsid w:val="001C7ACF"/>
    <w:rsid w:val="001C7E32"/>
    <w:rsid w:val="001D0670"/>
    <w:rsid w:val="001D0926"/>
    <w:rsid w:val="001D0B76"/>
    <w:rsid w:val="001D0C7C"/>
    <w:rsid w:val="001D0C9F"/>
    <w:rsid w:val="001D0CD7"/>
    <w:rsid w:val="001D104C"/>
    <w:rsid w:val="001D1102"/>
    <w:rsid w:val="001D11E0"/>
    <w:rsid w:val="001D11E5"/>
    <w:rsid w:val="001D1350"/>
    <w:rsid w:val="001D1490"/>
    <w:rsid w:val="001D19EE"/>
    <w:rsid w:val="001D1BE0"/>
    <w:rsid w:val="001D20D4"/>
    <w:rsid w:val="001D2138"/>
    <w:rsid w:val="001D233A"/>
    <w:rsid w:val="001D24F9"/>
    <w:rsid w:val="001D253F"/>
    <w:rsid w:val="001D2664"/>
    <w:rsid w:val="001D2670"/>
    <w:rsid w:val="001D26AF"/>
    <w:rsid w:val="001D28F2"/>
    <w:rsid w:val="001D2959"/>
    <w:rsid w:val="001D2E71"/>
    <w:rsid w:val="001D3118"/>
    <w:rsid w:val="001D314A"/>
    <w:rsid w:val="001D31EE"/>
    <w:rsid w:val="001D3391"/>
    <w:rsid w:val="001D3809"/>
    <w:rsid w:val="001D3884"/>
    <w:rsid w:val="001D44DC"/>
    <w:rsid w:val="001D46AD"/>
    <w:rsid w:val="001D4B6C"/>
    <w:rsid w:val="001D4C65"/>
    <w:rsid w:val="001D4C86"/>
    <w:rsid w:val="001D4E57"/>
    <w:rsid w:val="001D4EC8"/>
    <w:rsid w:val="001D4F52"/>
    <w:rsid w:val="001D5063"/>
    <w:rsid w:val="001D51BC"/>
    <w:rsid w:val="001D52E2"/>
    <w:rsid w:val="001D53BA"/>
    <w:rsid w:val="001D549F"/>
    <w:rsid w:val="001D55C3"/>
    <w:rsid w:val="001D56EF"/>
    <w:rsid w:val="001D570E"/>
    <w:rsid w:val="001D58C4"/>
    <w:rsid w:val="001D5FC8"/>
    <w:rsid w:val="001D69F0"/>
    <w:rsid w:val="001D6A00"/>
    <w:rsid w:val="001D6A97"/>
    <w:rsid w:val="001D6C8A"/>
    <w:rsid w:val="001D6D37"/>
    <w:rsid w:val="001D6DA5"/>
    <w:rsid w:val="001D72CE"/>
    <w:rsid w:val="001D740F"/>
    <w:rsid w:val="001D7413"/>
    <w:rsid w:val="001D77FD"/>
    <w:rsid w:val="001D7939"/>
    <w:rsid w:val="001D7C5F"/>
    <w:rsid w:val="001D7DB1"/>
    <w:rsid w:val="001D7ED3"/>
    <w:rsid w:val="001E0130"/>
    <w:rsid w:val="001E038D"/>
    <w:rsid w:val="001E0496"/>
    <w:rsid w:val="001E0A38"/>
    <w:rsid w:val="001E0B3D"/>
    <w:rsid w:val="001E0B4E"/>
    <w:rsid w:val="001E0D55"/>
    <w:rsid w:val="001E0E26"/>
    <w:rsid w:val="001E0FA1"/>
    <w:rsid w:val="001E14E7"/>
    <w:rsid w:val="001E159D"/>
    <w:rsid w:val="001E1622"/>
    <w:rsid w:val="001E1FBA"/>
    <w:rsid w:val="001E2087"/>
    <w:rsid w:val="001E20E1"/>
    <w:rsid w:val="001E2147"/>
    <w:rsid w:val="001E223D"/>
    <w:rsid w:val="001E2275"/>
    <w:rsid w:val="001E250C"/>
    <w:rsid w:val="001E2AB3"/>
    <w:rsid w:val="001E2BE6"/>
    <w:rsid w:val="001E2C0D"/>
    <w:rsid w:val="001E2C57"/>
    <w:rsid w:val="001E2CB5"/>
    <w:rsid w:val="001E2CF1"/>
    <w:rsid w:val="001E2D59"/>
    <w:rsid w:val="001E2D86"/>
    <w:rsid w:val="001E2E13"/>
    <w:rsid w:val="001E3028"/>
    <w:rsid w:val="001E308F"/>
    <w:rsid w:val="001E3149"/>
    <w:rsid w:val="001E3176"/>
    <w:rsid w:val="001E34A0"/>
    <w:rsid w:val="001E3726"/>
    <w:rsid w:val="001E37A2"/>
    <w:rsid w:val="001E3851"/>
    <w:rsid w:val="001E3869"/>
    <w:rsid w:val="001E38AB"/>
    <w:rsid w:val="001E3A4F"/>
    <w:rsid w:val="001E3ACF"/>
    <w:rsid w:val="001E3DBD"/>
    <w:rsid w:val="001E3E54"/>
    <w:rsid w:val="001E4205"/>
    <w:rsid w:val="001E4395"/>
    <w:rsid w:val="001E46D2"/>
    <w:rsid w:val="001E4EB4"/>
    <w:rsid w:val="001E4EC1"/>
    <w:rsid w:val="001E5052"/>
    <w:rsid w:val="001E51CC"/>
    <w:rsid w:val="001E5306"/>
    <w:rsid w:val="001E55CE"/>
    <w:rsid w:val="001E5764"/>
    <w:rsid w:val="001E6006"/>
    <w:rsid w:val="001E6143"/>
    <w:rsid w:val="001E6165"/>
    <w:rsid w:val="001E64CA"/>
    <w:rsid w:val="001E67BE"/>
    <w:rsid w:val="001E6824"/>
    <w:rsid w:val="001E68D7"/>
    <w:rsid w:val="001E6F45"/>
    <w:rsid w:val="001E71E4"/>
    <w:rsid w:val="001E71FC"/>
    <w:rsid w:val="001E7233"/>
    <w:rsid w:val="001E737A"/>
    <w:rsid w:val="001E74A2"/>
    <w:rsid w:val="001E7518"/>
    <w:rsid w:val="001E751A"/>
    <w:rsid w:val="001E76D0"/>
    <w:rsid w:val="001E775C"/>
    <w:rsid w:val="001E79BF"/>
    <w:rsid w:val="001E79DC"/>
    <w:rsid w:val="001E7AA2"/>
    <w:rsid w:val="001E7CF6"/>
    <w:rsid w:val="001E7E45"/>
    <w:rsid w:val="001F05B9"/>
    <w:rsid w:val="001F079F"/>
    <w:rsid w:val="001F0AB9"/>
    <w:rsid w:val="001F0BEA"/>
    <w:rsid w:val="001F10F5"/>
    <w:rsid w:val="001F125C"/>
    <w:rsid w:val="001F13B3"/>
    <w:rsid w:val="001F15AD"/>
    <w:rsid w:val="001F190F"/>
    <w:rsid w:val="001F1A5F"/>
    <w:rsid w:val="001F1B26"/>
    <w:rsid w:val="001F1BB0"/>
    <w:rsid w:val="001F1DDF"/>
    <w:rsid w:val="001F1F98"/>
    <w:rsid w:val="001F2037"/>
    <w:rsid w:val="001F2272"/>
    <w:rsid w:val="001F23E6"/>
    <w:rsid w:val="001F26CD"/>
    <w:rsid w:val="001F277D"/>
    <w:rsid w:val="001F2CB8"/>
    <w:rsid w:val="001F2E18"/>
    <w:rsid w:val="001F3058"/>
    <w:rsid w:val="001F317A"/>
    <w:rsid w:val="001F3233"/>
    <w:rsid w:val="001F3265"/>
    <w:rsid w:val="001F337E"/>
    <w:rsid w:val="001F35DF"/>
    <w:rsid w:val="001F39D2"/>
    <w:rsid w:val="001F3A44"/>
    <w:rsid w:val="001F3D0F"/>
    <w:rsid w:val="001F3E06"/>
    <w:rsid w:val="001F4041"/>
    <w:rsid w:val="001F4223"/>
    <w:rsid w:val="001F44E2"/>
    <w:rsid w:val="001F45F8"/>
    <w:rsid w:val="001F468A"/>
    <w:rsid w:val="001F4C2C"/>
    <w:rsid w:val="001F4D1E"/>
    <w:rsid w:val="001F4FF6"/>
    <w:rsid w:val="001F53FB"/>
    <w:rsid w:val="001F543D"/>
    <w:rsid w:val="001F5D69"/>
    <w:rsid w:val="001F5E0C"/>
    <w:rsid w:val="001F5ED0"/>
    <w:rsid w:val="001F6012"/>
    <w:rsid w:val="001F63EC"/>
    <w:rsid w:val="001F6591"/>
    <w:rsid w:val="001F6FD5"/>
    <w:rsid w:val="001F7151"/>
    <w:rsid w:val="001F7215"/>
    <w:rsid w:val="001F7468"/>
    <w:rsid w:val="001F785A"/>
    <w:rsid w:val="001F7908"/>
    <w:rsid w:val="001F7A3A"/>
    <w:rsid w:val="001F7D32"/>
    <w:rsid w:val="001F7ED0"/>
    <w:rsid w:val="001F7F7E"/>
    <w:rsid w:val="0020005F"/>
    <w:rsid w:val="00200064"/>
    <w:rsid w:val="0020007C"/>
    <w:rsid w:val="002000F9"/>
    <w:rsid w:val="002000FA"/>
    <w:rsid w:val="00200251"/>
    <w:rsid w:val="002007C8"/>
    <w:rsid w:val="0020089C"/>
    <w:rsid w:val="00200D95"/>
    <w:rsid w:val="00201129"/>
    <w:rsid w:val="002013F7"/>
    <w:rsid w:val="002016BE"/>
    <w:rsid w:val="00201943"/>
    <w:rsid w:val="00201AFE"/>
    <w:rsid w:val="00201B05"/>
    <w:rsid w:val="00201F20"/>
    <w:rsid w:val="00202258"/>
    <w:rsid w:val="00202280"/>
    <w:rsid w:val="0020245E"/>
    <w:rsid w:val="0020246A"/>
    <w:rsid w:val="002026B9"/>
    <w:rsid w:val="0020275F"/>
    <w:rsid w:val="0020283B"/>
    <w:rsid w:val="00202891"/>
    <w:rsid w:val="00202D78"/>
    <w:rsid w:val="00202EBA"/>
    <w:rsid w:val="00203013"/>
    <w:rsid w:val="0020329E"/>
    <w:rsid w:val="002036B9"/>
    <w:rsid w:val="0020384D"/>
    <w:rsid w:val="00203A83"/>
    <w:rsid w:val="00203CEB"/>
    <w:rsid w:val="00204130"/>
    <w:rsid w:val="00204402"/>
    <w:rsid w:val="002044E1"/>
    <w:rsid w:val="002047A3"/>
    <w:rsid w:val="00204AA9"/>
    <w:rsid w:val="00204AB9"/>
    <w:rsid w:val="00204C07"/>
    <w:rsid w:val="00204CAD"/>
    <w:rsid w:val="00204CEB"/>
    <w:rsid w:val="00204D40"/>
    <w:rsid w:val="00205042"/>
    <w:rsid w:val="00205170"/>
    <w:rsid w:val="00205537"/>
    <w:rsid w:val="0020586B"/>
    <w:rsid w:val="00205C83"/>
    <w:rsid w:val="00205D9D"/>
    <w:rsid w:val="0020610A"/>
    <w:rsid w:val="002062F4"/>
    <w:rsid w:val="002063E7"/>
    <w:rsid w:val="00207058"/>
    <w:rsid w:val="00207121"/>
    <w:rsid w:val="00207186"/>
    <w:rsid w:val="00207663"/>
    <w:rsid w:val="00207AF0"/>
    <w:rsid w:val="00207E8D"/>
    <w:rsid w:val="0021004D"/>
    <w:rsid w:val="00210065"/>
    <w:rsid w:val="0021029C"/>
    <w:rsid w:val="0021046C"/>
    <w:rsid w:val="002105AF"/>
    <w:rsid w:val="002106EF"/>
    <w:rsid w:val="00210CAA"/>
    <w:rsid w:val="00210CDE"/>
    <w:rsid w:val="00210E01"/>
    <w:rsid w:val="002114A4"/>
    <w:rsid w:val="002119A9"/>
    <w:rsid w:val="00211B71"/>
    <w:rsid w:val="00211EE0"/>
    <w:rsid w:val="00211F6A"/>
    <w:rsid w:val="00211F83"/>
    <w:rsid w:val="0021216C"/>
    <w:rsid w:val="0021228E"/>
    <w:rsid w:val="00212326"/>
    <w:rsid w:val="002127BC"/>
    <w:rsid w:val="002127DC"/>
    <w:rsid w:val="002128A0"/>
    <w:rsid w:val="00212CF7"/>
    <w:rsid w:val="00213197"/>
    <w:rsid w:val="002136A0"/>
    <w:rsid w:val="002136F4"/>
    <w:rsid w:val="00213B0D"/>
    <w:rsid w:val="00213BEF"/>
    <w:rsid w:val="00213D1A"/>
    <w:rsid w:val="00214104"/>
    <w:rsid w:val="0021428E"/>
    <w:rsid w:val="00214607"/>
    <w:rsid w:val="002149D8"/>
    <w:rsid w:val="00214AFA"/>
    <w:rsid w:val="00214DBB"/>
    <w:rsid w:val="00214ECF"/>
    <w:rsid w:val="00214FCA"/>
    <w:rsid w:val="0021503E"/>
    <w:rsid w:val="00215279"/>
    <w:rsid w:val="002152A2"/>
    <w:rsid w:val="002157CE"/>
    <w:rsid w:val="00215CF4"/>
    <w:rsid w:val="0021646F"/>
    <w:rsid w:val="002169F2"/>
    <w:rsid w:val="00216BF4"/>
    <w:rsid w:val="00216D11"/>
    <w:rsid w:val="00216F65"/>
    <w:rsid w:val="002173C4"/>
    <w:rsid w:val="0021755A"/>
    <w:rsid w:val="002175E0"/>
    <w:rsid w:val="00217709"/>
    <w:rsid w:val="0021797C"/>
    <w:rsid w:val="00217CBA"/>
    <w:rsid w:val="00217DA1"/>
    <w:rsid w:val="00217DEA"/>
    <w:rsid w:val="00220209"/>
    <w:rsid w:val="0022028D"/>
    <w:rsid w:val="00220325"/>
    <w:rsid w:val="0022049A"/>
    <w:rsid w:val="002204EF"/>
    <w:rsid w:val="002206EA"/>
    <w:rsid w:val="00220B01"/>
    <w:rsid w:val="00220BCC"/>
    <w:rsid w:val="00220CF3"/>
    <w:rsid w:val="00221419"/>
    <w:rsid w:val="002215CD"/>
    <w:rsid w:val="002216A4"/>
    <w:rsid w:val="002217C8"/>
    <w:rsid w:val="002219C2"/>
    <w:rsid w:val="00221A8E"/>
    <w:rsid w:val="00221B7A"/>
    <w:rsid w:val="00222002"/>
    <w:rsid w:val="00222055"/>
    <w:rsid w:val="0022210D"/>
    <w:rsid w:val="00222290"/>
    <w:rsid w:val="0022247E"/>
    <w:rsid w:val="002224CA"/>
    <w:rsid w:val="00222623"/>
    <w:rsid w:val="002229ED"/>
    <w:rsid w:val="00222E62"/>
    <w:rsid w:val="00223172"/>
    <w:rsid w:val="00223282"/>
    <w:rsid w:val="0022353A"/>
    <w:rsid w:val="002235A8"/>
    <w:rsid w:val="002237B7"/>
    <w:rsid w:val="002238F6"/>
    <w:rsid w:val="00223CA4"/>
    <w:rsid w:val="00223CC6"/>
    <w:rsid w:val="00224046"/>
    <w:rsid w:val="00224217"/>
    <w:rsid w:val="0022428C"/>
    <w:rsid w:val="00224578"/>
    <w:rsid w:val="002245BB"/>
    <w:rsid w:val="002247C0"/>
    <w:rsid w:val="00224834"/>
    <w:rsid w:val="0022488F"/>
    <w:rsid w:val="00224A4E"/>
    <w:rsid w:val="00224B2D"/>
    <w:rsid w:val="00224C9E"/>
    <w:rsid w:val="00224DA0"/>
    <w:rsid w:val="00224E25"/>
    <w:rsid w:val="0022511E"/>
    <w:rsid w:val="002251F5"/>
    <w:rsid w:val="00225284"/>
    <w:rsid w:val="00225317"/>
    <w:rsid w:val="0022533F"/>
    <w:rsid w:val="0022535E"/>
    <w:rsid w:val="002256D9"/>
    <w:rsid w:val="002257E1"/>
    <w:rsid w:val="00225919"/>
    <w:rsid w:val="00225DD3"/>
    <w:rsid w:val="00225E02"/>
    <w:rsid w:val="00225E30"/>
    <w:rsid w:val="00225F0C"/>
    <w:rsid w:val="00225F4C"/>
    <w:rsid w:val="00226095"/>
    <w:rsid w:val="002260A7"/>
    <w:rsid w:val="002264A0"/>
    <w:rsid w:val="00226546"/>
    <w:rsid w:val="002266E6"/>
    <w:rsid w:val="00226873"/>
    <w:rsid w:val="00226E03"/>
    <w:rsid w:val="00226EA4"/>
    <w:rsid w:val="00227311"/>
    <w:rsid w:val="00227521"/>
    <w:rsid w:val="002275F2"/>
    <w:rsid w:val="00227911"/>
    <w:rsid w:val="00227938"/>
    <w:rsid w:val="00227A37"/>
    <w:rsid w:val="00227B1B"/>
    <w:rsid w:val="00227BE3"/>
    <w:rsid w:val="00227DDC"/>
    <w:rsid w:val="002300C5"/>
    <w:rsid w:val="00230416"/>
    <w:rsid w:val="00230453"/>
    <w:rsid w:val="002307FC"/>
    <w:rsid w:val="00230A4E"/>
    <w:rsid w:val="00230B15"/>
    <w:rsid w:val="00230BF4"/>
    <w:rsid w:val="00230E76"/>
    <w:rsid w:val="00230EC8"/>
    <w:rsid w:val="00230F85"/>
    <w:rsid w:val="00231076"/>
    <w:rsid w:val="0023118D"/>
    <w:rsid w:val="00231496"/>
    <w:rsid w:val="002317C7"/>
    <w:rsid w:val="0023190C"/>
    <w:rsid w:val="00231CDE"/>
    <w:rsid w:val="00231D21"/>
    <w:rsid w:val="00231D6B"/>
    <w:rsid w:val="0023206F"/>
    <w:rsid w:val="00232185"/>
    <w:rsid w:val="0023221B"/>
    <w:rsid w:val="0023226F"/>
    <w:rsid w:val="0023247A"/>
    <w:rsid w:val="002326D7"/>
    <w:rsid w:val="002328EF"/>
    <w:rsid w:val="002329F6"/>
    <w:rsid w:val="00232BDF"/>
    <w:rsid w:val="00232C85"/>
    <w:rsid w:val="00232C86"/>
    <w:rsid w:val="00232CEC"/>
    <w:rsid w:val="00232D1C"/>
    <w:rsid w:val="00232EC7"/>
    <w:rsid w:val="00232FED"/>
    <w:rsid w:val="0023311C"/>
    <w:rsid w:val="00233126"/>
    <w:rsid w:val="00233629"/>
    <w:rsid w:val="002337A8"/>
    <w:rsid w:val="002337BC"/>
    <w:rsid w:val="00233B2B"/>
    <w:rsid w:val="002340DF"/>
    <w:rsid w:val="002341CD"/>
    <w:rsid w:val="0023434D"/>
    <w:rsid w:val="002344F8"/>
    <w:rsid w:val="00234B80"/>
    <w:rsid w:val="00234E53"/>
    <w:rsid w:val="00234ED1"/>
    <w:rsid w:val="00235056"/>
    <w:rsid w:val="00235062"/>
    <w:rsid w:val="0023510C"/>
    <w:rsid w:val="00235112"/>
    <w:rsid w:val="00235902"/>
    <w:rsid w:val="00235F3A"/>
    <w:rsid w:val="002360CD"/>
    <w:rsid w:val="00236291"/>
    <w:rsid w:val="0023664F"/>
    <w:rsid w:val="002367D4"/>
    <w:rsid w:val="00236847"/>
    <w:rsid w:val="0023685F"/>
    <w:rsid w:val="0023699A"/>
    <w:rsid w:val="00236D28"/>
    <w:rsid w:val="00236DCE"/>
    <w:rsid w:val="00236E36"/>
    <w:rsid w:val="00236F0F"/>
    <w:rsid w:val="002377F1"/>
    <w:rsid w:val="00237897"/>
    <w:rsid w:val="002378DC"/>
    <w:rsid w:val="00237995"/>
    <w:rsid w:val="00237AD2"/>
    <w:rsid w:val="00237B7C"/>
    <w:rsid w:val="00237EDF"/>
    <w:rsid w:val="00240502"/>
    <w:rsid w:val="002405A9"/>
    <w:rsid w:val="00240746"/>
    <w:rsid w:val="002408B9"/>
    <w:rsid w:val="00240902"/>
    <w:rsid w:val="00240A1F"/>
    <w:rsid w:val="00240F93"/>
    <w:rsid w:val="002411F8"/>
    <w:rsid w:val="002413D0"/>
    <w:rsid w:val="00241591"/>
    <w:rsid w:val="00241AFF"/>
    <w:rsid w:val="00241B8F"/>
    <w:rsid w:val="00241C77"/>
    <w:rsid w:val="00241CF3"/>
    <w:rsid w:val="00241EBA"/>
    <w:rsid w:val="00241EF1"/>
    <w:rsid w:val="00241FD8"/>
    <w:rsid w:val="00242068"/>
    <w:rsid w:val="002421A1"/>
    <w:rsid w:val="002424F1"/>
    <w:rsid w:val="00242565"/>
    <w:rsid w:val="00242880"/>
    <w:rsid w:val="00243151"/>
    <w:rsid w:val="0024366E"/>
    <w:rsid w:val="00243A33"/>
    <w:rsid w:val="00243AA3"/>
    <w:rsid w:val="00243CBB"/>
    <w:rsid w:val="00243CF3"/>
    <w:rsid w:val="00243D24"/>
    <w:rsid w:val="00243D3B"/>
    <w:rsid w:val="00243E2A"/>
    <w:rsid w:val="00243E43"/>
    <w:rsid w:val="002442A7"/>
    <w:rsid w:val="002446DC"/>
    <w:rsid w:val="00244812"/>
    <w:rsid w:val="00244932"/>
    <w:rsid w:val="00244B59"/>
    <w:rsid w:val="00244C24"/>
    <w:rsid w:val="00244DA4"/>
    <w:rsid w:val="00244E00"/>
    <w:rsid w:val="00244EC2"/>
    <w:rsid w:val="00244F73"/>
    <w:rsid w:val="00245090"/>
    <w:rsid w:val="00245205"/>
    <w:rsid w:val="00245256"/>
    <w:rsid w:val="002453EC"/>
    <w:rsid w:val="00245408"/>
    <w:rsid w:val="002454AC"/>
    <w:rsid w:val="002454BD"/>
    <w:rsid w:val="00245A2B"/>
    <w:rsid w:val="00245E30"/>
    <w:rsid w:val="002460D1"/>
    <w:rsid w:val="00246238"/>
    <w:rsid w:val="00246761"/>
    <w:rsid w:val="0024691F"/>
    <w:rsid w:val="00246CBA"/>
    <w:rsid w:val="00246D90"/>
    <w:rsid w:val="00246E16"/>
    <w:rsid w:val="00246F35"/>
    <w:rsid w:val="002474CF"/>
    <w:rsid w:val="002475BA"/>
    <w:rsid w:val="002477B2"/>
    <w:rsid w:val="00247A60"/>
    <w:rsid w:val="00247E59"/>
    <w:rsid w:val="00250230"/>
    <w:rsid w:val="00250266"/>
    <w:rsid w:val="002503B1"/>
    <w:rsid w:val="0025069F"/>
    <w:rsid w:val="00250756"/>
    <w:rsid w:val="002507E0"/>
    <w:rsid w:val="00250876"/>
    <w:rsid w:val="002508BD"/>
    <w:rsid w:val="00250F6E"/>
    <w:rsid w:val="00251200"/>
    <w:rsid w:val="00251263"/>
    <w:rsid w:val="00251306"/>
    <w:rsid w:val="00251497"/>
    <w:rsid w:val="002514A0"/>
    <w:rsid w:val="002515C7"/>
    <w:rsid w:val="002515E0"/>
    <w:rsid w:val="00251A9A"/>
    <w:rsid w:val="00251A9F"/>
    <w:rsid w:val="00251BAF"/>
    <w:rsid w:val="00251FA6"/>
    <w:rsid w:val="002530A4"/>
    <w:rsid w:val="0025351C"/>
    <w:rsid w:val="00253915"/>
    <w:rsid w:val="00253B51"/>
    <w:rsid w:val="00253BBF"/>
    <w:rsid w:val="00253CA6"/>
    <w:rsid w:val="00253E7A"/>
    <w:rsid w:val="0025414B"/>
    <w:rsid w:val="00254186"/>
    <w:rsid w:val="00254207"/>
    <w:rsid w:val="002545FF"/>
    <w:rsid w:val="00254C85"/>
    <w:rsid w:val="00255209"/>
    <w:rsid w:val="00255500"/>
    <w:rsid w:val="002557F0"/>
    <w:rsid w:val="0025600C"/>
    <w:rsid w:val="0025634F"/>
    <w:rsid w:val="0025644B"/>
    <w:rsid w:val="002565D2"/>
    <w:rsid w:val="00256791"/>
    <w:rsid w:val="0025681A"/>
    <w:rsid w:val="00256842"/>
    <w:rsid w:val="00256FD7"/>
    <w:rsid w:val="0025709C"/>
    <w:rsid w:val="002573BE"/>
    <w:rsid w:val="0025763B"/>
    <w:rsid w:val="00257799"/>
    <w:rsid w:val="00257801"/>
    <w:rsid w:val="00257938"/>
    <w:rsid w:val="00257BE8"/>
    <w:rsid w:val="00257EBC"/>
    <w:rsid w:val="002601E8"/>
    <w:rsid w:val="002604EE"/>
    <w:rsid w:val="00260610"/>
    <w:rsid w:val="00260B9D"/>
    <w:rsid w:val="00260BBE"/>
    <w:rsid w:val="00260C5C"/>
    <w:rsid w:val="002611C5"/>
    <w:rsid w:val="0026155B"/>
    <w:rsid w:val="002620DB"/>
    <w:rsid w:val="00262A07"/>
    <w:rsid w:val="00262B42"/>
    <w:rsid w:val="00262CEE"/>
    <w:rsid w:val="00262D15"/>
    <w:rsid w:val="00262D3B"/>
    <w:rsid w:val="00262E56"/>
    <w:rsid w:val="00262F26"/>
    <w:rsid w:val="00262FC6"/>
    <w:rsid w:val="002630DD"/>
    <w:rsid w:val="0026335B"/>
    <w:rsid w:val="00263605"/>
    <w:rsid w:val="002638B8"/>
    <w:rsid w:val="00263CDA"/>
    <w:rsid w:val="00263D7B"/>
    <w:rsid w:val="00263E84"/>
    <w:rsid w:val="00263ECB"/>
    <w:rsid w:val="002640B7"/>
    <w:rsid w:val="002640EB"/>
    <w:rsid w:val="00264387"/>
    <w:rsid w:val="0026449E"/>
    <w:rsid w:val="002644C5"/>
    <w:rsid w:val="00264ADE"/>
    <w:rsid w:val="00264E93"/>
    <w:rsid w:val="00265014"/>
    <w:rsid w:val="0026514D"/>
    <w:rsid w:val="0026542C"/>
    <w:rsid w:val="00265435"/>
    <w:rsid w:val="00265441"/>
    <w:rsid w:val="002655E0"/>
    <w:rsid w:val="00265684"/>
    <w:rsid w:val="00265785"/>
    <w:rsid w:val="00265BF6"/>
    <w:rsid w:val="00265C1F"/>
    <w:rsid w:val="00266338"/>
    <w:rsid w:val="0026660B"/>
    <w:rsid w:val="002666FF"/>
    <w:rsid w:val="0026682E"/>
    <w:rsid w:val="00266EF2"/>
    <w:rsid w:val="002672B0"/>
    <w:rsid w:val="002677C6"/>
    <w:rsid w:val="002679BF"/>
    <w:rsid w:val="00267B51"/>
    <w:rsid w:val="00270141"/>
    <w:rsid w:val="002704B4"/>
    <w:rsid w:val="00270608"/>
    <w:rsid w:val="00270957"/>
    <w:rsid w:val="00270AC1"/>
    <w:rsid w:val="00270BC0"/>
    <w:rsid w:val="00270D4D"/>
    <w:rsid w:val="00270ECE"/>
    <w:rsid w:val="00271365"/>
    <w:rsid w:val="00271636"/>
    <w:rsid w:val="00271665"/>
    <w:rsid w:val="00271733"/>
    <w:rsid w:val="00271786"/>
    <w:rsid w:val="002719DD"/>
    <w:rsid w:val="00271B34"/>
    <w:rsid w:val="00271BAE"/>
    <w:rsid w:val="00271E58"/>
    <w:rsid w:val="002729D1"/>
    <w:rsid w:val="00272BC6"/>
    <w:rsid w:val="00272EBC"/>
    <w:rsid w:val="00272F7E"/>
    <w:rsid w:val="00273062"/>
    <w:rsid w:val="002732F5"/>
    <w:rsid w:val="00273388"/>
    <w:rsid w:val="00273441"/>
    <w:rsid w:val="002738C0"/>
    <w:rsid w:val="00273933"/>
    <w:rsid w:val="00273C9F"/>
    <w:rsid w:val="0027401E"/>
    <w:rsid w:val="00274343"/>
    <w:rsid w:val="002743D7"/>
    <w:rsid w:val="002743FD"/>
    <w:rsid w:val="002744B1"/>
    <w:rsid w:val="00274525"/>
    <w:rsid w:val="002746AB"/>
    <w:rsid w:val="00274BA0"/>
    <w:rsid w:val="00274C3C"/>
    <w:rsid w:val="002750E2"/>
    <w:rsid w:val="00275178"/>
    <w:rsid w:val="002751AF"/>
    <w:rsid w:val="00275785"/>
    <w:rsid w:val="002758EC"/>
    <w:rsid w:val="00275C65"/>
    <w:rsid w:val="00275C89"/>
    <w:rsid w:val="00275CFC"/>
    <w:rsid w:val="00275D86"/>
    <w:rsid w:val="00275DBB"/>
    <w:rsid w:val="00275EE7"/>
    <w:rsid w:val="0027624A"/>
    <w:rsid w:val="00276297"/>
    <w:rsid w:val="00276584"/>
    <w:rsid w:val="0027672F"/>
    <w:rsid w:val="00276784"/>
    <w:rsid w:val="002767AE"/>
    <w:rsid w:val="00276B7E"/>
    <w:rsid w:val="00276BEC"/>
    <w:rsid w:val="00276E0A"/>
    <w:rsid w:val="002770DF"/>
    <w:rsid w:val="00277165"/>
    <w:rsid w:val="00277455"/>
    <w:rsid w:val="002774ED"/>
    <w:rsid w:val="002775C4"/>
    <w:rsid w:val="00277B7E"/>
    <w:rsid w:val="00277DA6"/>
    <w:rsid w:val="00277E62"/>
    <w:rsid w:val="00277E74"/>
    <w:rsid w:val="00277EE4"/>
    <w:rsid w:val="00277F81"/>
    <w:rsid w:val="002802E7"/>
    <w:rsid w:val="0028037D"/>
    <w:rsid w:val="00280698"/>
    <w:rsid w:val="002808D4"/>
    <w:rsid w:val="00280970"/>
    <w:rsid w:val="00280AC3"/>
    <w:rsid w:val="00280CEF"/>
    <w:rsid w:val="00280EE7"/>
    <w:rsid w:val="002814D4"/>
    <w:rsid w:val="00281747"/>
    <w:rsid w:val="00281798"/>
    <w:rsid w:val="002817BC"/>
    <w:rsid w:val="00281852"/>
    <w:rsid w:val="00281C8E"/>
    <w:rsid w:val="00281CFA"/>
    <w:rsid w:val="00281D4A"/>
    <w:rsid w:val="00281F0D"/>
    <w:rsid w:val="00282073"/>
    <w:rsid w:val="00282271"/>
    <w:rsid w:val="002822BB"/>
    <w:rsid w:val="00282380"/>
    <w:rsid w:val="00282AD1"/>
    <w:rsid w:val="002837B7"/>
    <w:rsid w:val="0028392D"/>
    <w:rsid w:val="00283B4D"/>
    <w:rsid w:val="00283D83"/>
    <w:rsid w:val="00283E89"/>
    <w:rsid w:val="00283F5C"/>
    <w:rsid w:val="00283F7D"/>
    <w:rsid w:val="002844E5"/>
    <w:rsid w:val="00284EC5"/>
    <w:rsid w:val="00284FC3"/>
    <w:rsid w:val="00285216"/>
    <w:rsid w:val="0028550A"/>
    <w:rsid w:val="00285772"/>
    <w:rsid w:val="00285973"/>
    <w:rsid w:val="00285B64"/>
    <w:rsid w:val="00285E97"/>
    <w:rsid w:val="00285EE7"/>
    <w:rsid w:val="00285EF8"/>
    <w:rsid w:val="00286075"/>
    <w:rsid w:val="00286516"/>
    <w:rsid w:val="002866DF"/>
    <w:rsid w:val="002869FB"/>
    <w:rsid w:val="00286EF4"/>
    <w:rsid w:val="00286FEC"/>
    <w:rsid w:val="00287310"/>
    <w:rsid w:val="00287527"/>
    <w:rsid w:val="00287745"/>
    <w:rsid w:val="00287838"/>
    <w:rsid w:val="00287CD4"/>
    <w:rsid w:val="002901DB"/>
    <w:rsid w:val="0029092F"/>
    <w:rsid w:val="002909C0"/>
    <w:rsid w:val="00290ADD"/>
    <w:rsid w:val="002910F0"/>
    <w:rsid w:val="0029144A"/>
    <w:rsid w:val="002914E1"/>
    <w:rsid w:val="00291C78"/>
    <w:rsid w:val="00291CA4"/>
    <w:rsid w:val="00291CD4"/>
    <w:rsid w:val="00291CEA"/>
    <w:rsid w:val="00291FB3"/>
    <w:rsid w:val="00292012"/>
    <w:rsid w:val="00292063"/>
    <w:rsid w:val="002923DF"/>
    <w:rsid w:val="002924F8"/>
    <w:rsid w:val="002926B5"/>
    <w:rsid w:val="002928D5"/>
    <w:rsid w:val="00292966"/>
    <w:rsid w:val="00292C0D"/>
    <w:rsid w:val="00292C2D"/>
    <w:rsid w:val="00292C32"/>
    <w:rsid w:val="00293045"/>
    <w:rsid w:val="0029333D"/>
    <w:rsid w:val="002934C4"/>
    <w:rsid w:val="002935F5"/>
    <w:rsid w:val="00293743"/>
    <w:rsid w:val="00293744"/>
    <w:rsid w:val="002937C9"/>
    <w:rsid w:val="00293A60"/>
    <w:rsid w:val="00293B95"/>
    <w:rsid w:val="00293BC9"/>
    <w:rsid w:val="00293C71"/>
    <w:rsid w:val="00293EAA"/>
    <w:rsid w:val="00293F1D"/>
    <w:rsid w:val="00294773"/>
    <w:rsid w:val="002947E4"/>
    <w:rsid w:val="00294A14"/>
    <w:rsid w:val="00294AB2"/>
    <w:rsid w:val="00294AC7"/>
    <w:rsid w:val="00294CF1"/>
    <w:rsid w:val="00294E6E"/>
    <w:rsid w:val="00294F3C"/>
    <w:rsid w:val="0029528D"/>
    <w:rsid w:val="00295476"/>
    <w:rsid w:val="0029584D"/>
    <w:rsid w:val="00295989"/>
    <w:rsid w:val="002959A8"/>
    <w:rsid w:val="00295A84"/>
    <w:rsid w:val="00295CCE"/>
    <w:rsid w:val="00295F65"/>
    <w:rsid w:val="0029645A"/>
    <w:rsid w:val="002969D0"/>
    <w:rsid w:val="00296A16"/>
    <w:rsid w:val="002971DC"/>
    <w:rsid w:val="002971E4"/>
    <w:rsid w:val="002972E7"/>
    <w:rsid w:val="0029740A"/>
    <w:rsid w:val="002974D8"/>
    <w:rsid w:val="00297CF8"/>
    <w:rsid w:val="00297F13"/>
    <w:rsid w:val="002A0264"/>
    <w:rsid w:val="002A0577"/>
    <w:rsid w:val="002A0866"/>
    <w:rsid w:val="002A091E"/>
    <w:rsid w:val="002A0A53"/>
    <w:rsid w:val="002A0AB7"/>
    <w:rsid w:val="002A137D"/>
    <w:rsid w:val="002A146A"/>
    <w:rsid w:val="002A14B2"/>
    <w:rsid w:val="002A161C"/>
    <w:rsid w:val="002A1758"/>
    <w:rsid w:val="002A185E"/>
    <w:rsid w:val="002A187F"/>
    <w:rsid w:val="002A1965"/>
    <w:rsid w:val="002A1C52"/>
    <w:rsid w:val="002A1E84"/>
    <w:rsid w:val="002A1E95"/>
    <w:rsid w:val="002A1E97"/>
    <w:rsid w:val="002A1EFD"/>
    <w:rsid w:val="002A2207"/>
    <w:rsid w:val="002A241C"/>
    <w:rsid w:val="002A245B"/>
    <w:rsid w:val="002A270B"/>
    <w:rsid w:val="002A2A52"/>
    <w:rsid w:val="002A2B15"/>
    <w:rsid w:val="002A2D7F"/>
    <w:rsid w:val="002A2EC0"/>
    <w:rsid w:val="002A300F"/>
    <w:rsid w:val="002A303A"/>
    <w:rsid w:val="002A3944"/>
    <w:rsid w:val="002A3A3B"/>
    <w:rsid w:val="002A3B1F"/>
    <w:rsid w:val="002A3E50"/>
    <w:rsid w:val="002A401F"/>
    <w:rsid w:val="002A422B"/>
    <w:rsid w:val="002A4270"/>
    <w:rsid w:val="002A466A"/>
    <w:rsid w:val="002A4865"/>
    <w:rsid w:val="002A4B81"/>
    <w:rsid w:val="002A4B8A"/>
    <w:rsid w:val="002A509D"/>
    <w:rsid w:val="002A5126"/>
    <w:rsid w:val="002A52C9"/>
    <w:rsid w:val="002A557F"/>
    <w:rsid w:val="002A5645"/>
    <w:rsid w:val="002A584A"/>
    <w:rsid w:val="002A59C1"/>
    <w:rsid w:val="002A5AFD"/>
    <w:rsid w:val="002A5D69"/>
    <w:rsid w:val="002A5DBD"/>
    <w:rsid w:val="002A5DCC"/>
    <w:rsid w:val="002A5F5B"/>
    <w:rsid w:val="002A5FA4"/>
    <w:rsid w:val="002A60F9"/>
    <w:rsid w:val="002A6253"/>
    <w:rsid w:val="002A665F"/>
    <w:rsid w:val="002A6684"/>
    <w:rsid w:val="002A6C96"/>
    <w:rsid w:val="002A6CC3"/>
    <w:rsid w:val="002A7596"/>
    <w:rsid w:val="002A75ED"/>
    <w:rsid w:val="002A76B7"/>
    <w:rsid w:val="002A77B9"/>
    <w:rsid w:val="002A7B5E"/>
    <w:rsid w:val="002A7C8E"/>
    <w:rsid w:val="002B0074"/>
    <w:rsid w:val="002B00CA"/>
    <w:rsid w:val="002B00EC"/>
    <w:rsid w:val="002B031E"/>
    <w:rsid w:val="002B0494"/>
    <w:rsid w:val="002B05CD"/>
    <w:rsid w:val="002B06A5"/>
    <w:rsid w:val="002B0964"/>
    <w:rsid w:val="002B0B3B"/>
    <w:rsid w:val="002B0F9B"/>
    <w:rsid w:val="002B0FF4"/>
    <w:rsid w:val="002B128E"/>
    <w:rsid w:val="002B131F"/>
    <w:rsid w:val="002B137D"/>
    <w:rsid w:val="002B19DE"/>
    <w:rsid w:val="002B1B93"/>
    <w:rsid w:val="002B1B9D"/>
    <w:rsid w:val="002B1CFD"/>
    <w:rsid w:val="002B1F06"/>
    <w:rsid w:val="002B28EE"/>
    <w:rsid w:val="002B29AC"/>
    <w:rsid w:val="002B2ACF"/>
    <w:rsid w:val="002B2B46"/>
    <w:rsid w:val="002B2CC1"/>
    <w:rsid w:val="002B3297"/>
    <w:rsid w:val="002B329A"/>
    <w:rsid w:val="002B371F"/>
    <w:rsid w:val="002B38ED"/>
    <w:rsid w:val="002B3B4B"/>
    <w:rsid w:val="002B4312"/>
    <w:rsid w:val="002B4599"/>
    <w:rsid w:val="002B45F9"/>
    <w:rsid w:val="002B465A"/>
    <w:rsid w:val="002B476C"/>
    <w:rsid w:val="002B48D5"/>
    <w:rsid w:val="002B48DA"/>
    <w:rsid w:val="002B4AC3"/>
    <w:rsid w:val="002B4FFC"/>
    <w:rsid w:val="002B5120"/>
    <w:rsid w:val="002B5122"/>
    <w:rsid w:val="002B5427"/>
    <w:rsid w:val="002B550D"/>
    <w:rsid w:val="002B559C"/>
    <w:rsid w:val="002B58F0"/>
    <w:rsid w:val="002B5912"/>
    <w:rsid w:val="002B5CDF"/>
    <w:rsid w:val="002B5F36"/>
    <w:rsid w:val="002B60E6"/>
    <w:rsid w:val="002B6306"/>
    <w:rsid w:val="002B6A0B"/>
    <w:rsid w:val="002B6A7E"/>
    <w:rsid w:val="002B6B5C"/>
    <w:rsid w:val="002B6D0E"/>
    <w:rsid w:val="002B6EA0"/>
    <w:rsid w:val="002B7467"/>
    <w:rsid w:val="002B76F1"/>
    <w:rsid w:val="002B7765"/>
    <w:rsid w:val="002B78D2"/>
    <w:rsid w:val="002B798E"/>
    <w:rsid w:val="002B7A61"/>
    <w:rsid w:val="002B7BD4"/>
    <w:rsid w:val="002B7C74"/>
    <w:rsid w:val="002B7DCC"/>
    <w:rsid w:val="002C006F"/>
    <w:rsid w:val="002C01D6"/>
    <w:rsid w:val="002C03B1"/>
    <w:rsid w:val="002C077E"/>
    <w:rsid w:val="002C099D"/>
    <w:rsid w:val="002C0BB1"/>
    <w:rsid w:val="002C0C08"/>
    <w:rsid w:val="002C0D37"/>
    <w:rsid w:val="002C0D63"/>
    <w:rsid w:val="002C0FA1"/>
    <w:rsid w:val="002C127F"/>
    <w:rsid w:val="002C16AD"/>
    <w:rsid w:val="002C16F6"/>
    <w:rsid w:val="002C18DF"/>
    <w:rsid w:val="002C196D"/>
    <w:rsid w:val="002C1AA9"/>
    <w:rsid w:val="002C1C95"/>
    <w:rsid w:val="002C1D96"/>
    <w:rsid w:val="002C21AE"/>
    <w:rsid w:val="002C28D8"/>
    <w:rsid w:val="002C2998"/>
    <w:rsid w:val="002C2AAD"/>
    <w:rsid w:val="002C2C3D"/>
    <w:rsid w:val="002C2CE6"/>
    <w:rsid w:val="002C2F0A"/>
    <w:rsid w:val="002C3195"/>
    <w:rsid w:val="002C323B"/>
    <w:rsid w:val="002C37EC"/>
    <w:rsid w:val="002C3C71"/>
    <w:rsid w:val="002C3CB2"/>
    <w:rsid w:val="002C413C"/>
    <w:rsid w:val="002C4420"/>
    <w:rsid w:val="002C45D7"/>
    <w:rsid w:val="002C4A3D"/>
    <w:rsid w:val="002C4A4A"/>
    <w:rsid w:val="002C4B6B"/>
    <w:rsid w:val="002C4B71"/>
    <w:rsid w:val="002C4BA3"/>
    <w:rsid w:val="002C4C55"/>
    <w:rsid w:val="002C4D16"/>
    <w:rsid w:val="002C520D"/>
    <w:rsid w:val="002C532C"/>
    <w:rsid w:val="002C5355"/>
    <w:rsid w:val="002C535A"/>
    <w:rsid w:val="002C53F1"/>
    <w:rsid w:val="002C5502"/>
    <w:rsid w:val="002C555B"/>
    <w:rsid w:val="002C5ABF"/>
    <w:rsid w:val="002C5BFF"/>
    <w:rsid w:val="002C5DD3"/>
    <w:rsid w:val="002C62DC"/>
    <w:rsid w:val="002C6418"/>
    <w:rsid w:val="002C658C"/>
    <w:rsid w:val="002C673C"/>
    <w:rsid w:val="002C69FA"/>
    <w:rsid w:val="002C6A12"/>
    <w:rsid w:val="002C71D7"/>
    <w:rsid w:val="002C72A4"/>
    <w:rsid w:val="002C7486"/>
    <w:rsid w:val="002C7535"/>
    <w:rsid w:val="002C759D"/>
    <w:rsid w:val="002C788A"/>
    <w:rsid w:val="002C78B3"/>
    <w:rsid w:val="002C7D61"/>
    <w:rsid w:val="002C7DCF"/>
    <w:rsid w:val="002C7FFB"/>
    <w:rsid w:val="002D0210"/>
    <w:rsid w:val="002D0433"/>
    <w:rsid w:val="002D05FB"/>
    <w:rsid w:val="002D06AA"/>
    <w:rsid w:val="002D0933"/>
    <w:rsid w:val="002D09F1"/>
    <w:rsid w:val="002D0B83"/>
    <w:rsid w:val="002D0B8E"/>
    <w:rsid w:val="002D0C6F"/>
    <w:rsid w:val="002D0E31"/>
    <w:rsid w:val="002D0E98"/>
    <w:rsid w:val="002D0FAE"/>
    <w:rsid w:val="002D1088"/>
    <w:rsid w:val="002D1B0C"/>
    <w:rsid w:val="002D1BB0"/>
    <w:rsid w:val="002D20D8"/>
    <w:rsid w:val="002D23A7"/>
    <w:rsid w:val="002D24A3"/>
    <w:rsid w:val="002D2A07"/>
    <w:rsid w:val="002D2C06"/>
    <w:rsid w:val="002D2C7F"/>
    <w:rsid w:val="002D2DE5"/>
    <w:rsid w:val="002D2E62"/>
    <w:rsid w:val="002D3002"/>
    <w:rsid w:val="002D303E"/>
    <w:rsid w:val="002D3158"/>
    <w:rsid w:val="002D34BE"/>
    <w:rsid w:val="002D351A"/>
    <w:rsid w:val="002D3937"/>
    <w:rsid w:val="002D3B6E"/>
    <w:rsid w:val="002D3B84"/>
    <w:rsid w:val="002D3CE8"/>
    <w:rsid w:val="002D3D35"/>
    <w:rsid w:val="002D41A5"/>
    <w:rsid w:val="002D442C"/>
    <w:rsid w:val="002D4487"/>
    <w:rsid w:val="002D4A4A"/>
    <w:rsid w:val="002D5143"/>
    <w:rsid w:val="002D51DF"/>
    <w:rsid w:val="002D540D"/>
    <w:rsid w:val="002D567C"/>
    <w:rsid w:val="002D5C91"/>
    <w:rsid w:val="002D5D95"/>
    <w:rsid w:val="002D60B4"/>
    <w:rsid w:val="002D60D6"/>
    <w:rsid w:val="002D6198"/>
    <w:rsid w:val="002D6487"/>
    <w:rsid w:val="002D64C0"/>
    <w:rsid w:val="002D66EE"/>
    <w:rsid w:val="002D684A"/>
    <w:rsid w:val="002D698B"/>
    <w:rsid w:val="002D6AA6"/>
    <w:rsid w:val="002D6B08"/>
    <w:rsid w:val="002D6C3F"/>
    <w:rsid w:val="002D6FB3"/>
    <w:rsid w:val="002D7039"/>
    <w:rsid w:val="002D7610"/>
    <w:rsid w:val="002D764D"/>
    <w:rsid w:val="002D7A34"/>
    <w:rsid w:val="002D7C19"/>
    <w:rsid w:val="002D7C21"/>
    <w:rsid w:val="002D7D89"/>
    <w:rsid w:val="002D7F0E"/>
    <w:rsid w:val="002E00C2"/>
    <w:rsid w:val="002E028C"/>
    <w:rsid w:val="002E042C"/>
    <w:rsid w:val="002E07BD"/>
    <w:rsid w:val="002E07BF"/>
    <w:rsid w:val="002E0859"/>
    <w:rsid w:val="002E0A2C"/>
    <w:rsid w:val="002E0D12"/>
    <w:rsid w:val="002E1230"/>
    <w:rsid w:val="002E1777"/>
    <w:rsid w:val="002E186E"/>
    <w:rsid w:val="002E1B19"/>
    <w:rsid w:val="002E1C17"/>
    <w:rsid w:val="002E226B"/>
    <w:rsid w:val="002E24F6"/>
    <w:rsid w:val="002E25CF"/>
    <w:rsid w:val="002E266A"/>
    <w:rsid w:val="002E2685"/>
    <w:rsid w:val="002E2894"/>
    <w:rsid w:val="002E2A5B"/>
    <w:rsid w:val="002E2C5B"/>
    <w:rsid w:val="002E2F78"/>
    <w:rsid w:val="002E3180"/>
    <w:rsid w:val="002E3269"/>
    <w:rsid w:val="002E377C"/>
    <w:rsid w:val="002E37C6"/>
    <w:rsid w:val="002E3A50"/>
    <w:rsid w:val="002E3AA7"/>
    <w:rsid w:val="002E3B07"/>
    <w:rsid w:val="002E3B8C"/>
    <w:rsid w:val="002E3BAA"/>
    <w:rsid w:val="002E3E45"/>
    <w:rsid w:val="002E3FAC"/>
    <w:rsid w:val="002E4129"/>
    <w:rsid w:val="002E4416"/>
    <w:rsid w:val="002E4564"/>
    <w:rsid w:val="002E46EA"/>
    <w:rsid w:val="002E47CE"/>
    <w:rsid w:val="002E49E2"/>
    <w:rsid w:val="002E5189"/>
    <w:rsid w:val="002E535F"/>
    <w:rsid w:val="002E54B6"/>
    <w:rsid w:val="002E5B96"/>
    <w:rsid w:val="002E5BFF"/>
    <w:rsid w:val="002E5F86"/>
    <w:rsid w:val="002E6012"/>
    <w:rsid w:val="002E68EF"/>
    <w:rsid w:val="002E6C63"/>
    <w:rsid w:val="002E6F4B"/>
    <w:rsid w:val="002E70C1"/>
    <w:rsid w:val="002E70D3"/>
    <w:rsid w:val="002E70E9"/>
    <w:rsid w:val="002E726D"/>
    <w:rsid w:val="002E7306"/>
    <w:rsid w:val="002E74EA"/>
    <w:rsid w:val="002E7839"/>
    <w:rsid w:val="002E798B"/>
    <w:rsid w:val="002E7C7B"/>
    <w:rsid w:val="002E7E25"/>
    <w:rsid w:val="002E7F55"/>
    <w:rsid w:val="002F00A5"/>
    <w:rsid w:val="002F00BF"/>
    <w:rsid w:val="002F0119"/>
    <w:rsid w:val="002F07D5"/>
    <w:rsid w:val="002F09D5"/>
    <w:rsid w:val="002F0A10"/>
    <w:rsid w:val="002F0A26"/>
    <w:rsid w:val="002F0FFA"/>
    <w:rsid w:val="002F136B"/>
    <w:rsid w:val="002F148A"/>
    <w:rsid w:val="002F19BB"/>
    <w:rsid w:val="002F1F37"/>
    <w:rsid w:val="002F2084"/>
    <w:rsid w:val="002F2963"/>
    <w:rsid w:val="002F2D67"/>
    <w:rsid w:val="002F2F2C"/>
    <w:rsid w:val="002F3245"/>
    <w:rsid w:val="002F344B"/>
    <w:rsid w:val="002F34E0"/>
    <w:rsid w:val="002F3882"/>
    <w:rsid w:val="002F3A19"/>
    <w:rsid w:val="002F3BE6"/>
    <w:rsid w:val="002F3F7A"/>
    <w:rsid w:val="002F3FF3"/>
    <w:rsid w:val="002F415F"/>
    <w:rsid w:val="002F42C0"/>
    <w:rsid w:val="002F4395"/>
    <w:rsid w:val="002F46EC"/>
    <w:rsid w:val="002F485E"/>
    <w:rsid w:val="002F4A2B"/>
    <w:rsid w:val="002F4B99"/>
    <w:rsid w:val="002F4ED0"/>
    <w:rsid w:val="002F4FAE"/>
    <w:rsid w:val="002F52B9"/>
    <w:rsid w:val="002F52EC"/>
    <w:rsid w:val="002F549B"/>
    <w:rsid w:val="002F580F"/>
    <w:rsid w:val="002F5EC3"/>
    <w:rsid w:val="002F5EF3"/>
    <w:rsid w:val="002F60C5"/>
    <w:rsid w:val="002F611C"/>
    <w:rsid w:val="002F629A"/>
    <w:rsid w:val="002F660B"/>
    <w:rsid w:val="002F6E85"/>
    <w:rsid w:val="002F6F63"/>
    <w:rsid w:val="002F706D"/>
    <w:rsid w:val="002F74D8"/>
    <w:rsid w:val="002F762C"/>
    <w:rsid w:val="002F7684"/>
    <w:rsid w:val="002F780B"/>
    <w:rsid w:val="002F7AD8"/>
    <w:rsid w:val="002F7FF3"/>
    <w:rsid w:val="003000B2"/>
    <w:rsid w:val="0030014B"/>
    <w:rsid w:val="003002C0"/>
    <w:rsid w:val="003002C7"/>
    <w:rsid w:val="003004FB"/>
    <w:rsid w:val="0030092E"/>
    <w:rsid w:val="00300A3C"/>
    <w:rsid w:val="00300BCC"/>
    <w:rsid w:val="00300CAC"/>
    <w:rsid w:val="00300DF2"/>
    <w:rsid w:val="00300EF9"/>
    <w:rsid w:val="00300F44"/>
    <w:rsid w:val="00300FE3"/>
    <w:rsid w:val="0030139A"/>
    <w:rsid w:val="0030152C"/>
    <w:rsid w:val="00301545"/>
    <w:rsid w:val="00301BC2"/>
    <w:rsid w:val="00301BE9"/>
    <w:rsid w:val="00301DDA"/>
    <w:rsid w:val="00301F86"/>
    <w:rsid w:val="00302031"/>
    <w:rsid w:val="00302817"/>
    <w:rsid w:val="00302AAD"/>
    <w:rsid w:val="0030321B"/>
    <w:rsid w:val="0030332F"/>
    <w:rsid w:val="00303339"/>
    <w:rsid w:val="003037A1"/>
    <w:rsid w:val="00303F53"/>
    <w:rsid w:val="00303FF1"/>
    <w:rsid w:val="00304134"/>
    <w:rsid w:val="003044D8"/>
    <w:rsid w:val="00304612"/>
    <w:rsid w:val="0030494E"/>
    <w:rsid w:val="00305123"/>
    <w:rsid w:val="0030514E"/>
    <w:rsid w:val="0030569C"/>
    <w:rsid w:val="003057AD"/>
    <w:rsid w:val="00305879"/>
    <w:rsid w:val="00305A58"/>
    <w:rsid w:val="00305C99"/>
    <w:rsid w:val="00306193"/>
    <w:rsid w:val="00306559"/>
    <w:rsid w:val="00306691"/>
    <w:rsid w:val="003068E5"/>
    <w:rsid w:val="00306A49"/>
    <w:rsid w:val="00306DFB"/>
    <w:rsid w:val="00306FAD"/>
    <w:rsid w:val="00307354"/>
    <w:rsid w:val="00307426"/>
    <w:rsid w:val="003076F2"/>
    <w:rsid w:val="00307828"/>
    <w:rsid w:val="00307A48"/>
    <w:rsid w:val="00307D70"/>
    <w:rsid w:val="00307E19"/>
    <w:rsid w:val="00310145"/>
    <w:rsid w:val="00310384"/>
    <w:rsid w:val="0031038A"/>
    <w:rsid w:val="0031040B"/>
    <w:rsid w:val="00310608"/>
    <w:rsid w:val="003107BE"/>
    <w:rsid w:val="0031093C"/>
    <w:rsid w:val="00310998"/>
    <w:rsid w:val="003109AA"/>
    <w:rsid w:val="00310B0E"/>
    <w:rsid w:val="00310B6C"/>
    <w:rsid w:val="00310C03"/>
    <w:rsid w:val="00310E5A"/>
    <w:rsid w:val="00310F73"/>
    <w:rsid w:val="00310F83"/>
    <w:rsid w:val="00310FA5"/>
    <w:rsid w:val="00311076"/>
    <w:rsid w:val="003115B1"/>
    <w:rsid w:val="00311AF0"/>
    <w:rsid w:val="00311B72"/>
    <w:rsid w:val="00311BFE"/>
    <w:rsid w:val="00311E2F"/>
    <w:rsid w:val="00311E55"/>
    <w:rsid w:val="00312056"/>
    <w:rsid w:val="003121B5"/>
    <w:rsid w:val="003123A1"/>
    <w:rsid w:val="003125B0"/>
    <w:rsid w:val="003127B3"/>
    <w:rsid w:val="00312A0A"/>
    <w:rsid w:val="00312C9D"/>
    <w:rsid w:val="00312D29"/>
    <w:rsid w:val="00312D84"/>
    <w:rsid w:val="00312DEC"/>
    <w:rsid w:val="00312E31"/>
    <w:rsid w:val="003132A7"/>
    <w:rsid w:val="00313350"/>
    <w:rsid w:val="0031338C"/>
    <w:rsid w:val="00313858"/>
    <w:rsid w:val="00313875"/>
    <w:rsid w:val="003138CF"/>
    <w:rsid w:val="003138D6"/>
    <w:rsid w:val="00313980"/>
    <w:rsid w:val="00313AB6"/>
    <w:rsid w:val="00313AB9"/>
    <w:rsid w:val="00313BF7"/>
    <w:rsid w:val="00313F4B"/>
    <w:rsid w:val="00313F9A"/>
    <w:rsid w:val="003140FD"/>
    <w:rsid w:val="00314433"/>
    <w:rsid w:val="0031459C"/>
    <w:rsid w:val="003147EF"/>
    <w:rsid w:val="00314C49"/>
    <w:rsid w:val="00314FA4"/>
    <w:rsid w:val="0031585C"/>
    <w:rsid w:val="003164F2"/>
    <w:rsid w:val="0031688C"/>
    <w:rsid w:val="00316928"/>
    <w:rsid w:val="00316C29"/>
    <w:rsid w:val="00316D2C"/>
    <w:rsid w:val="00316D73"/>
    <w:rsid w:val="00316DE9"/>
    <w:rsid w:val="00317133"/>
    <w:rsid w:val="003174CC"/>
    <w:rsid w:val="00317763"/>
    <w:rsid w:val="003177C6"/>
    <w:rsid w:val="00317A8A"/>
    <w:rsid w:val="00317B52"/>
    <w:rsid w:val="00317B86"/>
    <w:rsid w:val="00317BD0"/>
    <w:rsid w:val="00320511"/>
    <w:rsid w:val="0032054E"/>
    <w:rsid w:val="0032074C"/>
    <w:rsid w:val="00320A12"/>
    <w:rsid w:val="00320B31"/>
    <w:rsid w:val="00320B5F"/>
    <w:rsid w:val="00320D60"/>
    <w:rsid w:val="00320F6E"/>
    <w:rsid w:val="00321090"/>
    <w:rsid w:val="003215C3"/>
    <w:rsid w:val="003219DC"/>
    <w:rsid w:val="00321A6B"/>
    <w:rsid w:val="00321C6A"/>
    <w:rsid w:val="00321E16"/>
    <w:rsid w:val="00321E1B"/>
    <w:rsid w:val="00321F15"/>
    <w:rsid w:val="00322188"/>
    <w:rsid w:val="003221C7"/>
    <w:rsid w:val="00322679"/>
    <w:rsid w:val="00322691"/>
    <w:rsid w:val="00322A2D"/>
    <w:rsid w:val="00322C3A"/>
    <w:rsid w:val="0032330D"/>
    <w:rsid w:val="00323719"/>
    <w:rsid w:val="00323B43"/>
    <w:rsid w:val="00323DB6"/>
    <w:rsid w:val="00323DFA"/>
    <w:rsid w:val="00323EDA"/>
    <w:rsid w:val="00323EF8"/>
    <w:rsid w:val="00323F22"/>
    <w:rsid w:val="00323F76"/>
    <w:rsid w:val="00324195"/>
    <w:rsid w:val="003243D3"/>
    <w:rsid w:val="003243E4"/>
    <w:rsid w:val="003245B0"/>
    <w:rsid w:val="00324609"/>
    <w:rsid w:val="003247DB"/>
    <w:rsid w:val="003249F8"/>
    <w:rsid w:val="00324A20"/>
    <w:rsid w:val="00324A7B"/>
    <w:rsid w:val="0032567C"/>
    <w:rsid w:val="0032573E"/>
    <w:rsid w:val="0032578E"/>
    <w:rsid w:val="00325B22"/>
    <w:rsid w:val="00326196"/>
    <w:rsid w:val="00326325"/>
    <w:rsid w:val="003265B3"/>
    <w:rsid w:val="003267C8"/>
    <w:rsid w:val="0032699B"/>
    <w:rsid w:val="00326B21"/>
    <w:rsid w:val="00326E99"/>
    <w:rsid w:val="00326F92"/>
    <w:rsid w:val="0032739E"/>
    <w:rsid w:val="003278A5"/>
    <w:rsid w:val="003278E4"/>
    <w:rsid w:val="00327DFD"/>
    <w:rsid w:val="003303BA"/>
    <w:rsid w:val="003304A5"/>
    <w:rsid w:val="00330B52"/>
    <w:rsid w:val="00330E22"/>
    <w:rsid w:val="00330EB4"/>
    <w:rsid w:val="003310E7"/>
    <w:rsid w:val="003319AB"/>
    <w:rsid w:val="003319B5"/>
    <w:rsid w:val="00331D08"/>
    <w:rsid w:val="00331D47"/>
    <w:rsid w:val="00331F05"/>
    <w:rsid w:val="00331F82"/>
    <w:rsid w:val="003321EF"/>
    <w:rsid w:val="003322FB"/>
    <w:rsid w:val="00332D5C"/>
    <w:rsid w:val="00332E96"/>
    <w:rsid w:val="00333019"/>
    <w:rsid w:val="0033306C"/>
    <w:rsid w:val="0033335C"/>
    <w:rsid w:val="00333EBA"/>
    <w:rsid w:val="00333EC6"/>
    <w:rsid w:val="00334047"/>
    <w:rsid w:val="00334213"/>
    <w:rsid w:val="003344C1"/>
    <w:rsid w:val="003345DF"/>
    <w:rsid w:val="003346DF"/>
    <w:rsid w:val="00334836"/>
    <w:rsid w:val="00334E49"/>
    <w:rsid w:val="00334E90"/>
    <w:rsid w:val="00334F57"/>
    <w:rsid w:val="003350E6"/>
    <w:rsid w:val="003354B0"/>
    <w:rsid w:val="003354D0"/>
    <w:rsid w:val="003354D3"/>
    <w:rsid w:val="00335629"/>
    <w:rsid w:val="003356D6"/>
    <w:rsid w:val="00335787"/>
    <w:rsid w:val="003359EC"/>
    <w:rsid w:val="00335BB8"/>
    <w:rsid w:val="00335D63"/>
    <w:rsid w:val="00335D7D"/>
    <w:rsid w:val="00335F37"/>
    <w:rsid w:val="003362AD"/>
    <w:rsid w:val="00336518"/>
    <w:rsid w:val="003367AE"/>
    <w:rsid w:val="003367FD"/>
    <w:rsid w:val="00336A1D"/>
    <w:rsid w:val="00337052"/>
    <w:rsid w:val="003373D7"/>
    <w:rsid w:val="003375D6"/>
    <w:rsid w:val="00337966"/>
    <w:rsid w:val="00337A4F"/>
    <w:rsid w:val="00337B1E"/>
    <w:rsid w:val="00337B56"/>
    <w:rsid w:val="00337D37"/>
    <w:rsid w:val="00337D4E"/>
    <w:rsid w:val="00337D8E"/>
    <w:rsid w:val="0034017E"/>
    <w:rsid w:val="003402C3"/>
    <w:rsid w:val="0034067E"/>
    <w:rsid w:val="00340830"/>
    <w:rsid w:val="00340905"/>
    <w:rsid w:val="00340F2E"/>
    <w:rsid w:val="003413DE"/>
    <w:rsid w:val="00341429"/>
    <w:rsid w:val="00341524"/>
    <w:rsid w:val="00341530"/>
    <w:rsid w:val="003415AD"/>
    <w:rsid w:val="003416C4"/>
    <w:rsid w:val="003417F0"/>
    <w:rsid w:val="00341C25"/>
    <w:rsid w:val="00341D15"/>
    <w:rsid w:val="00341D9D"/>
    <w:rsid w:val="003420E3"/>
    <w:rsid w:val="003421A2"/>
    <w:rsid w:val="003424C8"/>
    <w:rsid w:val="0034281B"/>
    <w:rsid w:val="00342842"/>
    <w:rsid w:val="00342F5D"/>
    <w:rsid w:val="00343309"/>
    <w:rsid w:val="0034338B"/>
    <w:rsid w:val="003434DB"/>
    <w:rsid w:val="0034357D"/>
    <w:rsid w:val="003437DF"/>
    <w:rsid w:val="003440FE"/>
    <w:rsid w:val="0034426C"/>
    <w:rsid w:val="00344CCE"/>
    <w:rsid w:val="00344D20"/>
    <w:rsid w:val="00344E24"/>
    <w:rsid w:val="00344F6A"/>
    <w:rsid w:val="003450EF"/>
    <w:rsid w:val="003451F0"/>
    <w:rsid w:val="003457FA"/>
    <w:rsid w:val="00345870"/>
    <w:rsid w:val="003458CF"/>
    <w:rsid w:val="00345A95"/>
    <w:rsid w:val="00345CBA"/>
    <w:rsid w:val="00345D1A"/>
    <w:rsid w:val="00345D27"/>
    <w:rsid w:val="00345E62"/>
    <w:rsid w:val="00345F72"/>
    <w:rsid w:val="0034602D"/>
    <w:rsid w:val="00346031"/>
    <w:rsid w:val="003464FE"/>
    <w:rsid w:val="003466EB"/>
    <w:rsid w:val="00346816"/>
    <w:rsid w:val="00346B08"/>
    <w:rsid w:val="00346B0F"/>
    <w:rsid w:val="00346B85"/>
    <w:rsid w:val="00346F38"/>
    <w:rsid w:val="0034701E"/>
    <w:rsid w:val="0034760F"/>
    <w:rsid w:val="003476A9"/>
    <w:rsid w:val="003479A3"/>
    <w:rsid w:val="00347A29"/>
    <w:rsid w:val="0035014D"/>
    <w:rsid w:val="003503CE"/>
    <w:rsid w:val="00350433"/>
    <w:rsid w:val="003504A7"/>
    <w:rsid w:val="0035058C"/>
    <w:rsid w:val="00350833"/>
    <w:rsid w:val="00350A39"/>
    <w:rsid w:val="00350A8C"/>
    <w:rsid w:val="00351137"/>
    <w:rsid w:val="003512F0"/>
    <w:rsid w:val="0035165F"/>
    <w:rsid w:val="003516CB"/>
    <w:rsid w:val="0035189E"/>
    <w:rsid w:val="003518C8"/>
    <w:rsid w:val="003519E3"/>
    <w:rsid w:val="00351ABD"/>
    <w:rsid w:val="00351B41"/>
    <w:rsid w:val="00351D2D"/>
    <w:rsid w:val="00351E3C"/>
    <w:rsid w:val="0035209B"/>
    <w:rsid w:val="00352269"/>
    <w:rsid w:val="003523AA"/>
    <w:rsid w:val="003525D2"/>
    <w:rsid w:val="003527C2"/>
    <w:rsid w:val="00352B85"/>
    <w:rsid w:val="00352BBE"/>
    <w:rsid w:val="003531A6"/>
    <w:rsid w:val="00353360"/>
    <w:rsid w:val="003535B5"/>
    <w:rsid w:val="0035380E"/>
    <w:rsid w:val="00353A04"/>
    <w:rsid w:val="00353D2A"/>
    <w:rsid w:val="00353D42"/>
    <w:rsid w:val="00353D47"/>
    <w:rsid w:val="003541A3"/>
    <w:rsid w:val="00354211"/>
    <w:rsid w:val="003542C8"/>
    <w:rsid w:val="00354B40"/>
    <w:rsid w:val="00354B52"/>
    <w:rsid w:val="00354D90"/>
    <w:rsid w:val="00354E99"/>
    <w:rsid w:val="003551B4"/>
    <w:rsid w:val="0035526A"/>
    <w:rsid w:val="003553FA"/>
    <w:rsid w:val="00355577"/>
    <w:rsid w:val="0035569D"/>
    <w:rsid w:val="003559B2"/>
    <w:rsid w:val="00355AE1"/>
    <w:rsid w:val="00355B40"/>
    <w:rsid w:val="00355CD1"/>
    <w:rsid w:val="00355DF2"/>
    <w:rsid w:val="00356524"/>
    <w:rsid w:val="003566C6"/>
    <w:rsid w:val="0035696D"/>
    <w:rsid w:val="00356D3F"/>
    <w:rsid w:val="00356E0B"/>
    <w:rsid w:val="00356EDE"/>
    <w:rsid w:val="0035718E"/>
    <w:rsid w:val="00357218"/>
    <w:rsid w:val="003572D2"/>
    <w:rsid w:val="003573F7"/>
    <w:rsid w:val="0035758D"/>
    <w:rsid w:val="00357722"/>
    <w:rsid w:val="00357D0E"/>
    <w:rsid w:val="00357D18"/>
    <w:rsid w:val="00357F97"/>
    <w:rsid w:val="003600F6"/>
    <w:rsid w:val="00360466"/>
    <w:rsid w:val="00360B25"/>
    <w:rsid w:val="00360B61"/>
    <w:rsid w:val="00360FE1"/>
    <w:rsid w:val="003612DA"/>
    <w:rsid w:val="003614D9"/>
    <w:rsid w:val="00361585"/>
    <w:rsid w:val="003616FC"/>
    <w:rsid w:val="00361770"/>
    <w:rsid w:val="003619D9"/>
    <w:rsid w:val="00361A1C"/>
    <w:rsid w:val="00361AD0"/>
    <w:rsid w:val="00361B03"/>
    <w:rsid w:val="00361D86"/>
    <w:rsid w:val="00361FCF"/>
    <w:rsid w:val="0036203E"/>
    <w:rsid w:val="003621D2"/>
    <w:rsid w:val="0036225F"/>
    <w:rsid w:val="0036245C"/>
    <w:rsid w:val="0036268D"/>
    <w:rsid w:val="003626BC"/>
    <w:rsid w:val="003626F0"/>
    <w:rsid w:val="00362A14"/>
    <w:rsid w:val="00362A1F"/>
    <w:rsid w:val="00362DDC"/>
    <w:rsid w:val="00363113"/>
    <w:rsid w:val="00363393"/>
    <w:rsid w:val="003635DD"/>
    <w:rsid w:val="00363E06"/>
    <w:rsid w:val="00363F59"/>
    <w:rsid w:val="003642B8"/>
    <w:rsid w:val="003645A2"/>
    <w:rsid w:val="00364A68"/>
    <w:rsid w:val="00364A7B"/>
    <w:rsid w:val="00364BB9"/>
    <w:rsid w:val="00364D0D"/>
    <w:rsid w:val="00364D5A"/>
    <w:rsid w:val="00364EB7"/>
    <w:rsid w:val="00364FAD"/>
    <w:rsid w:val="003650C6"/>
    <w:rsid w:val="00365138"/>
    <w:rsid w:val="003651BE"/>
    <w:rsid w:val="003652D9"/>
    <w:rsid w:val="00365306"/>
    <w:rsid w:val="003655EA"/>
    <w:rsid w:val="003657B8"/>
    <w:rsid w:val="003659CB"/>
    <w:rsid w:val="00365AD4"/>
    <w:rsid w:val="00365BB2"/>
    <w:rsid w:val="00365F53"/>
    <w:rsid w:val="003660C9"/>
    <w:rsid w:val="003661A1"/>
    <w:rsid w:val="003663F7"/>
    <w:rsid w:val="0036656D"/>
    <w:rsid w:val="00366866"/>
    <w:rsid w:val="00366C94"/>
    <w:rsid w:val="00366CCC"/>
    <w:rsid w:val="00366D5E"/>
    <w:rsid w:val="00366E97"/>
    <w:rsid w:val="0036751D"/>
    <w:rsid w:val="00367620"/>
    <w:rsid w:val="003679FC"/>
    <w:rsid w:val="00367E2E"/>
    <w:rsid w:val="00370587"/>
    <w:rsid w:val="0037058D"/>
    <w:rsid w:val="0037086C"/>
    <w:rsid w:val="00371132"/>
    <w:rsid w:val="0037122E"/>
    <w:rsid w:val="003717D5"/>
    <w:rsid w:val="00371997"/>
    <w:rsid w:val="003721AB"/>
    <w:rsid w:val="003722D2"/>
    <w:rsid w:val="00372357"/>
    <w:rsid w:val="0037235D"/>
    <w:rsid w:val="00372499"/>
    <w:rsid w:val="003724A1"/>
    <w:rsid w:val="003725BB"/>
    <w:rsid w:val="00372996"/>
    <w:rsid w:val="003729E4"/>
    <w:rsid w:val="00372BD8"/>
    <w:rsid w:val="00372D6A"/>
    <w:rsid w:val="00373337"/>
    <w:rsid w:val="0037338F"/>
    <w:rsid w:val="00373439"/>
    <w:rsid w:val="0037365D"/>
    <w:rsid w:val="003738C8"/>
    <w:rsid w:val="003738F1"/>
    <w:rsid w:val="003739B1"/>
    <w:rsid w:val="00373D6F"/>
    <w:rsid w:val="00373E31"/>
    <w:rsid w:val="00373F6C"/>
    <w:rsid w:val="0037410E"/>
    <w:rsid w:val="00374192"/>
    <w:rsid w:val="003742BC"/>
    <w:rsid w:val="00374544"/>
    <w:rsid w:val="003745C1"/>
    <w:rsid w:val="00374E36"/>
    <w:rsid w:val="00374F44"/>
    <w:rsid w:val="0037568A"/>
    <w:rsid w:val="00375918"/>
    <w:rsid w:val="00375A95"/>
    <w:rsid w:val="00375C8D"/>
    <w:rsid w:val="00376209"/>
    <w:rsid w:val="003763CE"/>
    <w:rsid w:val="003768B3"/>
    <w:rsid w:val="00376A76"/>
    <w:rsid w:val="00376DB2"/>
    <w:rsid w:val="0037701B"/>
    <w:rsid w:val="003772A4"/>
    <w:rsid w:val="003775F1"/>
    <w:rsid w:val="00377850"/>
    <w:rsid w:val="00377B5C"/>
    <w:rsid w:val="00377C33"/>
    <w:rsid w:val="00377D1A"/>
    <w:rsid w:val="00380099"/>
    <w:rsid w:val="003800B2"/>
    <w:rsid w:val="0038057C"/>
    <w:rsid w:val="0038066F"/>
    <w:rsid w:val="003806AF"/>
    <w:rsid w:val="0038079C"/>
    <w:rsid w:val="00380A66"/>
    <w:rsid w:val="00380BF7"/>
    <w:rsid w:val="00380C7D"/>
    <w:rsid w:val="00380CD9"/>
    <w:rsid w:val="00380F54"/>
    <w:rsid w:val="003812C1"/>
    <w:rsid w:val="00381582"/>
    <w:rsid w:val="00381785"/>
    <w:rsid w:val="00381AEF"/>
    <w:rsid w:val="00381BA2"/>
    <w:rsid w:val="00381C80"/>
    <w:rsid w:val="00381D99"/>
    <w:rsid w:val="00382232"/>
    <w:rsid w:val="0038224A"/>
    <w:rsid w:val="003823AA"/>
    <w:rsid w:val="003826F0"/>
    <w:rsid w:val="0038278A"/>
    <w:rsid w:val="0038294E"/>
    <w:rsid w:val="00382F0E"/>
    <w:rsid w:val="00382FEF"/>
    <w:rsid w:val="00383127"/>
    <w:rsid w:val="00383634"/>
    <w:rsid w:val="00383BF5"/>
    <w:rsid w:val="00383C4A"/>
    <w:rsid w:val="00383E5D"/>
    <w:rsid w:val="00383EB5"/>
    <w:rsid w:val="00383F5A"/>
    <w:rsid w:val="003841E9"/>
    <w:rsid w:val="00384983"/>
    <w:rsid w:val="00384D9C"/>
    <w:rsid w:val="00384E17"/>
    <w:rsid w:val="0038503F"/>
    <w:rsid w:val="003850B3"/>
    <w:rsid w:val="003851C3"/>
    <w:rsid w:val="003853D4"/>
    <w:rsid w:val="00385648"/>
    <w:rsid w:val="003857DD"/>
    <w:rsid w:val="00385A05"/>
    <w:rsid w:val="00385B7E"/>
    <w:rsid w:val="00385E76"/>
    <w:rsid w:val="0038603A"/>
    <w:rsid w:val="00386245"/>
    <w:rsid w:val="003868D2"/>
    <w:rsid w:val="003868F0"/>
    <w:rsid w:val="0038691C"/>
    <w:rsid w:val="00386A87"/>
    <w:rsid w:val="00386BA4"/>
    <w:rsid w:val="00386FE6"/>
    <w:rsid w:val="00386FEA"/>
    <w:rsid w:val="0038708F"/>
    <w:rsid w:val="003871D5"/>
    <w:rsid w:val="003871DD"/>
    <w:rsid w:val="00387201"/>
    <w:rsid w:val="0038727A"/>
    <w:rsid w:val="003875B9"/>
    <w:rsid w:val="003877A1"/>
    <w:rsid w:val="003877F1"/>
    <w:rsid w:val="00387919"/>
    <w:rsid w:val="00387DB1"/>
    <w:rsid w:val="00390034"/>
    <w:rsid w:val="00390585"/>
    <w:rsid w:val="00390759"/>
    <w:rsid w:val="00390A40"/>
    <w:rsid w:val="00390F10"/>
    <w:rsid w:val="00390FC5"/>
    <w:rsid w:val="00391648"/>
    <w:rsid w:val="0039184B"/>
    <w:rsid w:val="00391919"/>
    <w:rsid w:val="00391D72"/>
    <w:rsid w:val="00392320"/>
    <w:rsid w:val="0039241B"/>
    <w:rsid w:val="00392592"/>
    <w:rsid w:val="00392719"/>
    <w:rsid w:val="003927B6"/>
    <w:rsid w:val="00392962"/>
    <w:rsid w:val="00392B39"/>
    <w:rsid w:val="00392C42"/>
    <w:rsid w:val="00393042"/>
    <w:rsid w:val="0039313C"/>
    <w:rsid w:val="00393227"/>
    <w:rsid w:val="00393383"/>
    <w:rsid w:val="00393468"/>
    <w:rsid w:val="00393476"/>
    <w:rsid w:val="00393589"/>
    <w:rsid w:val="00393638"/>
    <w:rsid w:val="0039370A"/>
    <w:rsid w:val="0039376E"/>
    <w:rsid w:val="00393A8A"/>
    <w:rsid w:val="00393BBE"/>
    <w:rsid w:val="00393C02"/>
    <w:rsid w:val="003940BE"/>
    <w:rsid w:val="003940E8"/>
    <w:rsid w:val="00394104"/>
    <w:rsid w:val="003941E7"/>
    <w:rsid w:val="003948C3"/>
    <w:rsid w:val="003954C4"/>
    <w:rsid w:val="003957FC"/>
    <w:rsid w:val="00395DDF"/>
    <w:rsid w:val="00395E6B"/>
    <w:rsid w:val="00395FFC"/>
    <w:rsid w:val="0039605F"/>
    <w:rsid w:val="0039640F"/>
    <w:rsid w:val="00396498"/>
    <w:rsid w:val="003966FE"/>
    <w:rsid w:val="00396A2A"/>
    <w:rsid w:val="003970DD"/>
    <w:rsid w:val="00397286"/>
    <w:rsid w:val="003973FA"/>
    <w:rsid w:val="0039746D"/>
    <w:rsid w:val="00397606"/>
    <w:rsid w:val="00397613"/>
    <w:rsid w:val="0039770F"/>
    <w:rsid w:val="00397845"/>
    <w:rsid w:val="00397972"/>
    <w:rsid w:val="00397A3D"/>
    <w:rsid w:val="00397C2B"/>
    <w:rsid w:val="00397DE5"/>
    <w:rsid w:val="003A0487"/>
    <w:rsid w:val="003A0D20"/>
    <w:rsid w:val="003A14B4"/>
    <w:rsid w:val="003A1552"/>
    <w:rsid w:val="003A19D1"/>
    <w:rsid w:val="003A1DA7"/>
    <w:rsid w:val="003A1E22"/>
    <w:rsid w:val="003A2244"/>
    <w:rsid w:val="003A22BB"/>
    <w:rsid w:val="003A22FA"/>
    <w:rsid w:val="003A2355"/>
    <w:rsid w:val="003A25E3"/>
    <w:rsid w:val="003A290E"/>
    <w:rsid w:val="003A2D9B"/>
    <w:rsid w:val="003A2DB7"/>
    <w:rsid w:val="003A2DDD"/>
    <w:rsid w:val="003A2F5F"/>
    <w:rsid w:val="003A309A"/>
    <w:rsid w:val="003A31DC"/>
    <w:rsid w:val="003A32CC"/>
    <w:rsid w:val="003A351E"/>
    <w:rsid w:val="003A3856"/>
    <w:rsid w:val="003A39DB"/>
    <w:rsid w:val="003A3D6F"/>
    <w:rsid w:val="003A4102"/>
    <w:rsid w:val="003A413B"/>
    <w:rsid w:val="003A4294"/>
    <w:rsid w:val="003A42C3"/>
    <w:rsid w:val="003A4591"/>
    <w:rsid w:val="003A491C"/>
    <w:rsid w:val="003A4922"/>
    <w:rsid w:val="003A49FD"/>
    <w:rsid w:val="003A4CC3"/>
    <w:rsid w:val="003A4F19"/>
    <w:rsid w:val="003A4F40"/>
    <w:rsid w:val="003A4FF8"/>
    <w:rsid w:val="003A5132"/>
    <w:rsid w:val="003A548F"/>
    <w:rsid w:val="003A560B"/>
    <w:rsid w:val="003A56C1"/>
    <w:rsid w:val="003A5DD0"/>
    <w:rsid w:val="003A6068"/>
    <w:rsid w:val="003A6418"/>
    <w:rsid w:val="003A64BB"/>
    <w:rsid w:val="003A64F9"/>
    <w:rsid w:val="003A6594"/>
    <w:rsid w:val="003A68F2"/>
    <w:rsid w:val="003A699D"/>
    <w:rsid w:val="003A6A02"/>
    <w:rsid w:val="003A6B3B"/>
    <w:rsid w:val="003A6B8D"/>
    <w:rsid w:val="003A7399"/>
    <w:rsid w:val="003A746C"/>
    <w:rsid w:val="003A765F"/>
    <w:rsid w:val="003A7722"/>
    <w:rsid w:val="003A778C"/>
    <w:rsid w:val="003B003A"/>
    <w:rsid w:val="003B00AF"/>
    <w:rsid w:val="003B01A2"/>
    <w:rsid w:val="003B0781"/>
    <w:rsid w:val="003B07F1"/>
    <w:rsid w:val="003B0BBB"/>
    <w:rsid w:val="003B0C0F"/>
    <w:rsid w:val="003B0EA3"/>
    <w:rsid w:val="003B1280"/>
    <w:rsid w:val="003B1435"/>
    <w:rsid w:val="003B149D"/>
    <w:rsid w:val="003B1927"/>
    <w:rsid w:val="003B1A3F"/>
    <w:rsid w:val="003B1B60"/>
    <w:rsid w:val="003B1F1C"/>
    <w:rsid w:val="003B1F3E"/>
    <w:rsid w:val="003B2450"/>
    <w:rsid w:val="003B268F"/>
    <w:rsid w:val="003B26DC"/>
    <w:rsid w:val="003B282C"/>
    <w:rsid w:val="003B2E07"/>
    <w:rsid w:val="003B30D5"/>
    <w:rsid w:val="003B3104"/>
    <w:rsid w:val="003B32FB"/>
    <w:rsid w:val="003B336C"/>
    <w:rsid w:val="003B33F3"/>
    <w:rsid w:val="003B361C"/>
    <w:rsid w:val="003B38E2"/>
    <w:rsid w:val="003B3A9A"/>
    <w:rsid w:val="003B3B22"/>
    <w:rsid w:val="003B3F31"/>
    <w:rsid w:val="003B40FC"/>
    <w:rsid w:val="003B4116"/>
    <w:rsid w:val="003B439E"/>
    <w:rsid w:val="003B44CE"/>
    <w:rsid w:val="003B46B7"/>
    <w:rsid w:val="003B479D"/>
    <w:rsid w:val="003B4A63"/>
    <w:rsid w:val="003B4B36"/>
    <w:rsid w:val="003B4B81"/>
    <w:rsid w:val="003B4C0D"/>
    <w:rsid w:val="003B4C2D"/>
    <w:rsid w:val="003B5284"/>
    <w:rsid w:val="003B5405"/>
    <w:rsid w:val="003B540E"/>
    <w:rsid w:val="003B54F3"/>
    <w:rsid w:val="003B58FF"/>
    <w:rsid w:val="003B5BF9"/>
    <w:rsid w:val="003B5C4C"/>
    <w:rsid w:val="003B5DE1"/>
    <w:rsid w:val="003B61C7"/>
    <w:rsid w:val="003B65CF"/>
    <w:rsid w:val="003B6971"/>
    <w:rsid w:val="003B719F"/>
    <w:rsid w:val="003B7982"/>
    <w:rsid w:val="003B79E3"/>
    <w:rsid w:val="003C005B"/>
    <w:rsid w:val="003C022F"/>
    <w:rsid w:val="003C02E5"/>
    <w:rsid w:val="003C04D0"/>
    <w:rsid w:val="003C0520"/>
    <w:rsid w:val="003C068E"/>
    <w:rsid w:val="003C09B5"/>
    <w:rsid w:val="003C0ADA"/>
    <w:rsid w:val="003C0C4C"/>
    <w:rsid w:val="003C0C96"/>
    <w:rsid w:val="003C0D31"/>
    <w:rsid w:val="003C0E74"/>
    <w:rsid w:val="003C1001"/>
    <w:rsid w:val="003C12CD"/>
    <w:rsid w:val="003C144D"/>
    <w:rsid w:val="003C157D"/>
    <w:rsid w:val="003C17B1"/>
    <w:rsid w:val="003C1CFB"/>
    <w:rsid w:val="003C1D3D"/>
    <w:rsid w:val="003C1F3A"/>
    <w:rsid w:val="003C1F46"/>
    <w:rsid w:val="003C227E"/>
    <w:rsid w:val="003C23C3"/>
    <w:rsid w:val="003C25E8"/>
    <w:rsid w:val="003C2889"/>
    <w:rsid w:val="003C2A89"/>
    <w:rsid w:val="003C3A27"/>
    <w:rsid w:val="003C3C68"/>
    <w:rsid w:val="003C3CD3"/>
    <w:rsid w:val="003C3E24"/>
    <w:rsid w:val="003C3E7C"/>
    <w:rsid w:val="003C3F06"/>
    <w:rsid w:val="003C419B"/>
    <w:rsid w:val="003C44D2"/>
    <w:rsid w:val="003C4937"/>
    <w:rsid w:val="003C4A91"/>
    <w:rsid w:val="003C4E30"/>
    <w:rsid w:val="003C4F02"/>
    <w:rsid w:val="003C5474"/>
    <w:rsid w:val="003C5874"/>
    <w:rsid w:val="003C58AE"/>
    <w:rsid w:val="003C5A9F"/>
    <w:rsid w:val="003C6110"/>
    <w:rsid w:val="003C6224"/>
    <w:rsid w:val="003C6324"/>
    <w:rsid w:val="003C64FA"/>
    <w:rsid w:val="003C655E"/>
    <w:rsid w:val="003C666A"/>
    <w:rsid w:val="003C6773"/>
    <w:rsid w:val="003C694B"/>
    <w:rsid w:val="003C6C19"/>
    <w:rsid w:val="003C6C3B"/>
    <w:rsid w:val="003C6D5F"/>
    <w:rsid w:val="003C6EAF"/>
    <w:rsid w:val="003C6F10"/>
    <w:rsid w:val="003C70B0"/>
    <w:rsid w:val="003C7453"/>
    <w:rsid w:val="003C7A37"/>
    <w:rsid w:val="003C7B33"/>
    <w:rsid w:val="003C7DF7"/>
    <w:rsid w:val="003D01C5"/>
    <w:rsid w:val="003D0CB5"/>
    <w:rsid w:val="003D0EB5"/>
    <w:rsid w:val="003D0F4D"/>
    <w:rsid w:val="003D0FE3"/>
    <w:rsid w:val="003D1060"/>
    <w:rsid w:val="003D13AA"/>
    <w:rsid w:val="003D15C4"/>
    <w:rsid w:val="003D168B"/>
    <w:rsid w:val="003D16FD"/>
    <w:rsid w:val="003D1810"/>
    <w:rsid w:val="003D1834"/>
    <w:rsid w:val="003D19C8"/>
    <w:rsid w:val="003D1B51"/>
    <w:rsid w:val="003D1DC3"/>
    <w:rsid w:val="003D1FF6"/>
    <w:rsid w:val="003D2056"/>
    <w:rsid w:val="003D21B9"/>
    <w:rsid w:val="003D22D9"/>
    <w:rsid w:val="003D24ED"/>
    <w:rsid w:val="003D25E2"/>
    <w:rsid w:val="003D25F5"/>
    <w:rsid w:val="003D2601"/>
    <w:rsid w:val="003D327E"/>
    <w:rsid w:val="003D3345"/>
    <w:rsid w:val="003D342D"/>
    <w:rsid w:val="003D3559"/>
    <w:rsid w:val="003D3994"/>
    <w:rsid w:val="003D3C0C"/>
    <w:rsid w:val="003D3C91"/>
    <w:rsid w:val="003D3D3F"/>
    <w:rsid w:val="003D3D61"/>
    <w:rsid w:val="003D3DE2"/>
    <w:rsid w:val="003D3F32"/>
    <w:rsid w:val="003D3FAD"/>
    <w:rsid w:val="003D40A3"/>
    <w:rsid w:val="003D411E"/>
    <w:rsid w:val="003D4229"/>
    <w:rsid w:val="003D4996"/>
    <w:rsid w:val="003D4A71"/>
    <w:rsid w:val="003D4B10"/>
    <w:rsid w:val="003D4EC8"/>
    <w:rsid w:val="003D5010"/>
    <w:rsid w:val="003D579D"/>
    <w:rsid w:val="003D59A0"/>
    <w:rsid w:val="003D5A29"/>
    <w:rsid w:val="003D5B51"/>
    <w:rsid w:val="003D6671"/>
    <w:rsid w:val="003D6756"/>
    <w:rsid w:val="003D677A"/>
    <w:rsid w:val="003D67C8"/>
    <w:rsid w:val="003D6A36"/>
    <w:rsid w:val="003D6C55"/>
    <w:rsid w:val="003D6C60"/>
    <w:rsid w:val="003D6DF1"/>
    <w:rsid w:val="003D712A"/>
    <w:rsid w:val="003D759B"/>
    <w:rsid w:val="003D7609"/>
    <w:rsid w:val="003D7A09"/>
    <w:rsid w:val="003D7DEB"/>
    <w:rsid w:val="003E025C"/>
    <w:rsid w:val="003E02AD"/>
    <w:rsid w:val="003E0673"/>
    <w:rsid w:val="003E0A37"/>
    <w:rsid w:val="003E0A5F"/>
    <w:rsid w:val="003E0B85"/>
    <w:rsid w:val="003E0BDF"/>
    <w:rsid w:val="003E0FF3"/>
    <w:rsid w:val="003E1295"/>
    <w:rsid w:val="003E13B7"/>
    <w:rsid w:val="003E1491"/>
    <w:rsid w:val="003E175D"/>
    <w:rsid w:val="003E18D7"/>
    <w:rsid w:val="003E1901"/>
    <w:rsid w:val="003E1998"/>
    <w:rsid w:val="003E1CCA"/>
    <w:rsid w:val="003E20F3"/>
    <w:rsid w:val="003E2223"/>
    <w:rsid w:val="003E2461"/>
    <w:rsid w:val="003E24A5"/>
    <w:rsid w:val="003E24EE"/>
    <w:rsid w:val="003E3074"/>
    <w:rsid w:val="003E307B"/>
    <w:rsid w:val="003E311A"/>
    <w:rsid w:val="003E322A"/>
    <w:rsid w:val="003E34E8"/>
    <w:rsid w:val="003E3523"/>
    <w:rsid w:val="003E36C1"/>
    <w:rsid w:val="003E36ED"/>
    <w:rsid w:val="003E3799"/>
    <w:rsid w:val="003E3ABD"/>
    <w:rsid w:val="003E3C16"/>
    <w:rsid w:val="003E3DD6"/>
    <w:rsid w:val="003E4037"/>
    <w:rsid w:val="003E40B5"/>
    <w:rsid w:val="003E4986"/>
    <w:rsid w:val="003E4CD0"/>
    <w:rsid w:val="003E4E20"/>
    <w:rsid w:val="003E4E83"/>
    <w:rsid w:val="003E4F7A"/>
    <w:rsid w:val="003E50BD"/>
    <w:rsid w:val="003E50F4"/>
    <w:rsid w:val="003E511B"/>
    <w:rsid w:val="003E521C"/>
    <w:rsid w:val="003E53F0"/>
    <w:rsid w:val="003E5560"/>
    <w:rsid w:val="003E56BE"/>
    <w:rsid w:val="003E57CF"/>
    <w:rsid w:val="003E6027"/>
    <w:rsid w:val="003E61FE"/>
    <w:rsid w:val="003E6676"/>
    <w:rsid w:val="003E693E"/>
    <w:rsid w:val="003E6B17"/>
    <w:rsid w:val="003E6C1F"/>
    <w:rsid w:val="003E6C8B"/>
    <w:rsid w:val="003E6D0F"/>
    <w:rsid w:val="003E6E78"/>
    <w:rsid w:val="003E6EDF"/>
    <w:rsid w:val="003E6F1A"/>
    <w:rsid w:val="003E7097"/>
    <w:rsid w:val="003E7257"/>
    <w:rsid w:val="003E726E"/>
    <w:rsid w:val="003E7388"/>
    <w:rsid w:val="003E743B"/>
    <w:rsid w:val="003E782F"/>
    <w:rsid w:val="003E793F"/>
    <w:rsid w:val="003F0515"/>
    <w:rsid w:val="003F0A77"/>
    <w:rsid w:val="003F0BB9"/>
    <w:rsid w:val="003F0E0E"/>
    <w:rsid w:val="003F0EC2"/>
    <w:rsid w:val="003F15B2"/>
    <w:rsid w:val="003F1618"/>
    <w:rsid w:val="003F1D3D"/>
    <w:rsid w:val="003F1D6C"/>
    <w:rsid w:val="003F1E1D"/>
    <w:rsid w:val="003F21CC"/>
    <w:rsid w:val="003F2661"/>
    <w:rsid w:val="003F29B8"/>
    <w:rsid w:val="003F2BB6"/>
    <w:rsid w:val="003F2DFB"/>
    <w:rsid w:val="003F2E3E"/>
    <w:rsid w:val="003F3115"/>
    <w:rsid w:val="003F3202"/>
    <w:rsid w:val="003F3357"/>
    <w:rsid w:val="003F3750"/>
    <w:rsid w:val="003F37EF"/>
    <w:rsid w:val="003F3851"/>
    <w:rsid w:val="003F38A2"/>
    <w:rsid w:val="003F38B1"/>
    <w:rsid w:val="003F3C4D"/>
    <w:rsid w:val="003F42BB"/>
    <w:rsid w:val="003F454D"/>
    <w:rsid w:val="003F4617"/>
    <w:rsid w:val="003F4853"/>
    <w:rsid w:val="003F48B7"/>
    <w:rsid w:val="003F498D"/>
    <w:rsid w:val="003F4F2F"/>
    <w:rsid w:val="003F4FB4"/>
    <w:rsid w:val="003F5114"/>
    <w:rsid w:val="003F5314"/>
    <w:rsid w:val="003F53C5"/>
    <w:rsid w:val="003F53E1"/>
    <w:rsid w:val="003F53E6"/>
    <w:rsid w:val="003F5503"/>
    <w:rsid w:val="003F5584"/>
    <w:rsid w:val="003F584A"/>
    <w:rsid w:val="003F5AC4"/>
    <w:rsid w:val="003F5B45"/>
    <w:rsid w:val="003F5C0B"/>
    <w:rsid w:val="003F5E06"/>
    <w:rsid w:val="003F5EB2"/>
    <w:rsid w:val="003F6114"/>
    <w:rsid w:val="003F62B5"/>
    <w:rsid w:val="003F6301"/>
    <w:rsid w:val="003F637D"/>
    <w:rsid w:val="003F6505"/>
    <w:rsid w:val="003F68DA"/>
    <w:rsid w:val="003F69B0"/>
    <w:rsid w:val="003F6AF5"/>
    <w:rsid w:val="003F6C73"/>
    <w:rsid w:val="003F6CC1"/>
    <w:rsid w:val="003F6D0A"/>
    <w:rsid w:val="003F6D78"/>
    <w:rsid w:val="003F6DEB"/>
    <w:rsid w:val="003F7050"/>
    <w:rsid w:val="003F70AF"/>
    <w:rsid w:val="003F7451"/>
    <w:rsid w:val="003F7455"/>
    <w:rsid w:val="003F7567"/>
    <w:rsid w:val="003F7A4B"/>
    <w:rsid w:val="003F7B9F"/>
    <w:rsid w:val="003F7D4F"/>
    <w:rsid w:val="003F7E06"/>
    <w:rsid w:val="003F7E5A"/>
    <w:rsid w:val="00400233"/>
    <w:rsid w:val="0040034E"/>
    <w:rsid w:val="004008B1"/>
    <w:rsid w:val="004008D6"/>
    <w:rsid w:val="0040093D"/>
    <w:rsid w:val="00400C25"/>
    <w:rsid w:val="00400F9B"/>
    <w:rsid w:val="00400FBD"/>
    <w:rsid w:val="0040106D"/>
    <w:rsid w:val="004012C9"/>
    <w:rsid w:val="004012CE"/>
    <w:rsid w:val="00401339"/>
    <w:rsid w:val="00401682"/>
    <w:rsid w:val="00401DD0"/>
    <w:rsid w:val="0040250A"/>
    <w:rsid w:val="00402880"/>
    <w:rsid w:val="00402984"/>
    <w:rsid w:val="004029F6"/>
    <w:rsid w:val="00402B31"/>
    <w:rsid w:val="00402BBB"/>
    <w:rsid w:val="00402BD3"/>
    <w:rsid w:val="00402D12"/>
    <w:rsid w:val="004030EF"/>
    <w:rsid w:val="00403374"/>
    <w:rsid w:val="00403416"/>
    <w:rsid w:val="00403512"/>
    <w:rsid w:val="004036C7"/>
    <w:rsid w:val="00403714"/>
    <w:rsid w:val="00403C67"/>
    <w:rsid w:val="00403CFF"/>
    <w:rsid w:val="00403EB5"/>
    <w:rsid w:val="004040FA"/>
    <w:rsid w:val="0040421A"/>
    <w:rsid w:val="00404744"/>
    <w:rsid w:val="004047C6"/>
    <w:rsid w:val="00404D8E"/>
    <w:rsid w:val="00404F87"/>
    <w:rsid w:val="00405237"/>
    <w:rsid w:val="0040530C"/>
    <w:rsid w:val="0040573A"/>
    <w:rsid w:val="00405A03"/>
    <w:rsid w:val="00405FF8"/>
    <w:rsid w:val="004060B7"/>
    <w:rsid w:val="0040620F"/>
    <w:rsid w:val="00406439"/>
    <w:rsid w:val="004065CE"/>
    <w:rsid w:val="00406605"/>
    <w:rsid w:val="004067C4"/>
    <w:rsid w:val="00406CC3"/>
    <w:rsid w:val="00406DE7"/>
    <w:rsid w:val="004076BB"/>
    <w:rsid w:val="004078A9"/>
    <w:rsid w:val="00407B2E"/>
    <w:rsid w:val="00407EDA"/>
    <w:rsid w:val="004101DD"/>
    <w:rsid w:val="0041025A"/>
    <w:rsid w:val="004102CD"/>
    <w:rsid w:val="0041033D"/>
    <w:rsid w:val="00410342"/>
    <w:rsid w:val="004103D9"/>
    <w:rsid w:val="004106FB"/>
    <w:rsid w:val="0041081F"/>
    <w:rsid w:val="00410C1F"/>
    <w:rsid w:val="00411259"/>
    <w:rsid w:val="0041147D"/>
    <w:rsid w:val="0041175E"/>
    <w:rsid w:val="004121A1"/>
    <w:rsid w:val="0041229D"/>
    <w:rsid w:val="0041274F"/>
    <w:rsid w:val="00412935"/>
    <w:rsid w:val="004129DC"/>
    <w:rsid w:val="00412CED"/>
    <w:rsid w:val="00413046"/>
    <w:rsid w:val="0041343E"/>
    <w:rsid w:val="004134C8"/>
    <w:rsid w:val="004135F9"/>
    <w:rsid w:val="00413667"/>
    <w:rsid w:val="00413675"/>
    <w:rsid w:val="0041374D"/>
    <w:rsid w:val="00413A50"/>
    <w:rsid w:val="00413CFB"/>
    <w:rsid w:val="0041420D"/>
    <w:rsid w:val="0041424F"/>
    <w:rsid w:val="0041484A"/>
    <w:rsid w:val="004148DC"/>
    <w:rsid w:val="00414980"/>
    <w:rsid w:val="00414BA4"/>
    <w:rsid w:val="00414FC3"/>
    <w:rsid w:val="00415347"/>
    <w:rsid w:val="004153E7"/>
    <w:rsid w:val="00415AC9"/>
    <w:rsid w:val="00415FD2"/>
    <w:rsid w:val="004160A1"/>
    <w:rsid w:val="0041664D"/>
    <w:rsid w:val="00416882"/>
    <w:rsid w:val="004169CC"/>
    <w:rsid w:val="00416D0D"/>
    <w:rsid w:val="00416E16"/>
    <w:rsid w:val="00416FDE"/>
    <w:rsid w:val="0041703D"/>
    <w:rsid w:val="00417240"/>
    <w:rsid w:val="0041750A"/>
    <w:rsid w:val="00417571"/>
    <w:rsid w:val="0041763E"/>
    <w:rsid w:val="00417754"/>
    <w:rsid w:val="00417989"/>
    <w:rsid w:val="00417A56"/>
    <w:rsid w:val="00417DE2"/>
    <w:rsid w:val="00417EC0"/>
    <w:rsid w:val="00417F02"/>
    <w:rsid w:val="00417FFE"/>
    <w:rsid w:val="0042030B"/>
    <w:rsid w:val="00420555"/>
    <w:rsid w:val="004207A7"/>
    <w:rsid w:val="0042081E"/>
    <w:rsid w:val="00420843"/>
    <w:rsid w:val="00420912"/>
    <w:rsid w:val="00420BFB"/>
    <w:rsid w:val="00420C0D"/>
    <w:rsid w:val="00420C7A"/>
    <w:rsid w:val="00420E5E"/>
    <w:rsid w:val="00420EFC"/>
    <w:rsid w:val="00420F7B"/>
    <w:rsid w:val="00421438"/>
    <w:rsid w:val="004218EF"/>
    <w:rsid w:val="00421BB8"/>
    <w:rsid w:val="00421CAD"/>
    <w:rsid w:val="00422089"/>
    <w:rsid w:val="004220D7"/>
    <w:rsid w:val="00422146"/>
    <w:rsid w:val="0042221D"/>
    <w:rsid w:val="00422363"/>
    <w:rsid w:val="00422428"/>
    <w:rsid w:val="00422C63"/>
    <w:rsid w:val="00422CAD"/>
    <w:rsid w:val="00422F40"/>
    <w:rsid w:val="0042302E"/>
    <w:rsid w:val="004235C8"/>
    <w:rsid w:val="004237C4"/>
    <w:rsid w:val="00423B0D"/>
    <w:rsid w:val="00423C34"/>
    <w:rsid w:val="00423FB0"/>
    <w:rsid w:val="004241D1"/>
    <w:rsid w:val="0042427F"/>
    <w:rsid w:val="0042453D"/>
    <w:rsid w:val="0042554D"/>
    <w:rsid w:val="00425864"/>
    <w:rsid w:val="00425C60"/>
    <w:rsid w:val="00425E5D"/>
    <w:rsid w:val="00425FD5"/>
    <w:rsid w:val="004261AB"/>
    <w:rsid w:val="0042640D"/>
    <w:rsid w:val="00426693"/>
    <w:rsid w:val="004268E1"/>
    <w:rsid w:val="00426A82"/>
    <w:rsid w:val="00426BA2"/>
    <w:rsid w:val="00426CDE"/>
    <w:rsid w:val="00427AA6"/>
    <w:rsid w:val="00427AC7"/>
    <w:rsid w:val="00427E8C"/>
    <w:rsid w:val="00427E9F"/>
    <w:rsid w:val="004300CE"/>
    <w:rsid w:val="004303E8"/>
    <w:rsid w:val="0043067D"/>
    <w:rsid w:val="00430ADF"/>
    <w:rsid w:val="00430ECD"/>
    <w:rsid w:val="00430EFC"/>
    <w:rsid w:val="00430F65"/>
    <w:rsid w:val="004311DE"/>
    <w:rsid w:val="004312BD"/>
    <w:rsid w:val="004312D6"/>
    <w:rsid w:val="00431BE8"/>
    <w:rsid w:val="00432586"/>
    <w:rsid w:val="004326B1"/>
    <w:rsid w:val="00432815"/>
    <w:rsid w:val="00432B64"/>
    <w:rsid w:val="00432CE7"/>
    <w:rsid w:val="00432F12"/>
    <w:rsid w:val="00432F4C"/>
    <w:rsid w:val="00433273"/>
    <w:rsid w:val="0043343A"/>
    <w:rsid w:val="004334FA"/>
    <w:rsid w:val="0043388F"/>
    <w:rsid w:val="00433BC9"/>
    <w:rsid w:val="00433C1B"/>
    <w:rsid w:val="00434039"/>
    <w:rsid w:val="00434240"/>
    <w:rsid w:val="00435063"/>
    <w:rsid w:val="0043543C"/>
    <w:rsid w:val="0043546A"/>
    <w:rsid w:val="0043553F"/>
    <w:rsid w:val="00435647"/>
    <w:rsid w:val="004356F7"/>
    <w:rsid w:val="004357B2"/>
    <w:rsid w:val="0043581B"/>
    <w:rsid w:val="0043599F"/>
    <w:rsid w:val="00435C1A"/>
    <w:rsid w:val="00435C59"/>
    <w:rsid w:val="00435F66"/>
    <w:rsid w:val="004360E4"/>
    <w:rsid w:val="0043622E"/>
    <w:rsid w:val="00436264"/>
    <w:rsid w:val="00436302"/>
    <w:rsid w:val="0043633C"/>
    <w:rsid w:val="00436359"/>
    <w:rsid w:val="004364B8"/>
    <w:rsid w:val="004369E7"/>
    <w:rsid w:val="00436ECC"/>
    <w:rsid w:val="00436F6D"/>
    <w:rsid w:val="004371B8"/>
    <w:rsid w:val="00437352"/>
    <w:rsid w:val="0043765D"/>
    <w:rsid w:val="00437ADC"/>
    <w:rsid w:val="00437AF8"/>
    <w:rsid w:val="00437E3C"/>
    <w:rsid w:val="00437EB1"/>
    <w:rsid w:val="00437FA5"/>
    <w:rsid w:val="00440037"/>
    <w:rsid w:val="00440058"/>
    <w:rsid w:val="004400A6"/>
    <w:rsid w:val="004400D1"/>
    <w:rsid w:val="004400EF"/>
    <w:rsid w:val="004403C7"/>
    <w:rsid w:val="004403CD"/>
    <w:rsid w:val="004404DA"/>
    <w:rsid w:val="00440916"/>
    <w:rsid w:val="00440C6E"/>
    <w:rsid w:val="00440CA9"/>
    <w:rsid w:val="00440D97"/>
    <w:rsid w:val="00441352"/>
    <w:rsid w:val="004418CF"/>
    <w:rsid w:val="00441B02"/>
    <w:rsid w:val="00441BF3"/>
    <w:rsid w:val="00441C8A"/>
    <w:rsid w:val="004425EC"/>
    <w:rsid w:val="00442601"/>
    <w:rsid w:val="004429FB"/>
    <w:rsid w:val="00442FFE"/>
    <w:rsid w:val="00443B44"/>
    <w:rsid w:val="00443FE4"/>
    <w:rsid w:val="00444020"/>
    <w:rsid w:val="0044424D"/>
    <w:rsid w:val="00444267"/>
    <w:rsid w:val="004442B7"/>
    <w:rsid w:val="004444F5"/>
    <w:rsid w:val="0044456A"/>
    <w:rsid w:val="004445AD"/>
    <w:rsid w:val="0044469C"/>
    <w:rsid w:val="00444B2F"/>
    <w:rsid w:val="00444C34"/>
    <w:rsid w:val="00445089"/>
    <w:rsid w:val="004455FB"/>
    <w:rsid w:val="004456AB"/>
    <w:rsid w:val="004457A4"/>
    <w:rsid w:val="00445EAC"/>
    <w:rsid w:val="00446016"/>
    <w:rsid w:val="00446218"/>
    <w:rsid w:val="004467CC"/>
    <w:rsid w:val="00446822"/>
    <w:rsid w:val="004469A6"/>
    <w:rsid w:val="00446A68"/>
    <w:rsid w:val="00446CB8"/>
    <w:rsid w:val="00446DB4"/>
    <w:rsid w:val="00446E2C"/>
    <w:rsid w:val="00446E36"/>
    <w:rsid w:val="00446F30"/>
    <w:rsid w:val="00447732"/>
    <w:rsid w:val="00447872"/>
    <w:rsid w:val="00447918"/>
    <w:rsid w:val="00447BC5"/>
    <w:rsid w:val="00447D45"/>
    <w:rsid w:val="00447D53"/>
    <w:rsid w:val="00447F55"/>
    <w:rsid w:val="00447F92"/>
    <w:rsid w:val="004500B9"/>
    <w:rsid w:val="004504F3"/>
    <w:rsid w:val="00450D7B"/>
    <w:rsid w:val="00450E9B"/>
    <w:rsid w:val="00450F45"/>
    <w:rsid w:val="00450F5C"/>
    <w:rsid w:val="00450FB4"/>
    <w:rsid w:val="00451123"/>
    <w:rsid w:val="00451151"/>
    <w:rsid w:val="0045116F"/>
    <w:rsid w:val="00451423"/>
    <w:rsid w:val="004515F5"/>
    <w:rsid w:val="004516AC"/>
    <w:rsid w:val="0045170E"/>
    <w:rsid w:val="00451AF7"/>
    <w:rsid w:val="00451E5F"/>
    <w:rsid w:val="00452127"/>
    <w:rsid w:val="0045216B"/>
    <w:rsid w:val="00452377"/>
    <w:rsid w:val="00452379"/>
    <w:rsid w:val="00453058"/>
    <w:rsid w:val="004530DC"/>
    <w:rsid w:val="004536C0"/>
    <w:rsid w:val="00453739"/>
    <w:rsid w:val="004538F5"/>
    <w:rsid w:val="004539BA"/>
    <w:rsid w:val="00453A72"/>
    <w:rsid w:val="004544E6"/>
    <w:rsid w:val="00454B32"/>
    <w:rsid w:val="00454CC7"/>
    <w:rsid w:val="00454FD7"/>
    <w:rsid w:val="0045553E"/>
    <w:rsid w:val="00455679"/>
    <w:rsid w:val="00455B93"/>
    <w:rsid w:val="00455E26"/>
    <w:rsid w:val="00455F03"/>
    <w:rsid w:val="004561DC"/>
    <w:rsid w:val="004562F5"/>
    <w:rsid w:val="00456306"/>
    <w:rsid w:val="00456505"/>
    <w:rsid w:val="00456682"/>
    <w:rsid w:val="004568C8"/>
    <w:rsid w:val="00456CF5"/>
    <w:rsid w:val="00457069"/>
    <w:rsid w:val="0045728A"/>
    <w:rsid w:val="00457315"/>
    <w:rsid w:val="0045742E"/>
    <w:rsid w:val="0045770F"/>
    <w:rsid w:val="0045780E"/>
    <w:rsid w:val="00457BB6"/>
    <w:rsid w:val="00457D45"/>
    <w:rsid w:val="00457D50"/>
    <w:rsid w:val="00457E37"/>
    <w:rsid w:val="00457EE1"/>
    <w:rsid w:val="00457FC1"/>
    <w:rsid w:val="00460080"/>
    <w:rsid w:val="0046020E"/>
    <w:rsid w:val="004602FB"/>
    <w:rsid w:val="0046037B"/>
    <w:rsid w:val="004608D8"/>
    <w:rsid w:val="004609AB"/>
    <w:rsid w:val="00460A33"/>
    <w:rsid w:val="00460B98"/>
    <w:rsid w:val="00460E21"/>
    <w:rsid w:val="00461120"/>
    <w:rsid w:val="004612EC"/>
    <w:rsid w:val="0046131E"/>
    <w:rsid w:val="004616C6"/>
    <w:rsid w:val="0046192D"/>
    <w:rsid w:val="004619FA"/>
    <w:rsid w:val="00461A88"/>
    <w:rsid w:val="00461C2C"/>
    <w:rsid w:val="00461D7A"/>
    <w:rsid w:val="0046215F"/>
    <w:rsid w:val="004621B7"/>
    <w:rsid w:val="004622D4"/>
    <w:rsid w:val="00462477"/>
    <w:rsid w:val="0046260C"/>
    <w:rsid w:val="0046263D"/>
    <w:rsid w:val="00462675"/>
    <w:rsid w:val="00462761"/>
    <w:rsid w:val="00462763"/>
    <w:rsid w:val="004627DC"/>
    <w:rsid w:val="00462959"/>
    <w:rsid w:val="00462CCA"/>
    <w:rsid w:val="0046300A"/>
    <w:rsid w:val="00463056"/>
    <w:rsid w:val="004631AE"/>
    <w:rsid w:val="0046351A"/>
    <w:rsid w:val="004635B5"/>
    <w:rsid w:val="004635F4"/>
    <w:rsid w:val="00463791"/>
    <w:rsid w:val="004637C2"/>
    <w:rsid w:val="004638BB"/>
    <w:rsid w:val="00463F3D"/>
    <w:rsid w:val="00463FF4"/>
    <w:rsid w:val="00464049"/>
    <w:rsid w:val="0046416F"/>
    <w:rsid w:val="0046421A"/>
    <w:rsid w:val="00464781"/>
    <w:rsid w:val="004647D1"/>
    <w:rsid w:val="00464905"/>
    <w:rsid w:val="0046492F"/>
    <w:rsid w:val="00464A26"/>
    <w:rsid w:val="00464D7D"/>
    <w:rsid w:val="0046505E"/>
    <w:rsid w:val="00465132"/>
    <w:rsid w:val="00465576"/>
    <w:rsid w:val="00465EBB"/>
    <w:rsid w:val="00465FF1"/>
    <w:rsid w:val="004660A2"/>
    <w:rsid w:val="00466380"/>
    <w:rsid w:val="00466394"/>
    <w:rsid w:val="004664BE"/>
    <w:rsid w:val="0046657F"/>
    <w:rsid w:val="00466736"/>
    <w:rsid w:val="00466833"/>
    <w:rsid w:val="00466961"/>
    <w:rsid w:val="00466A91"/>
    <w:rsid w:val="00466E3F"/>
    <w:rsid w:val="004672EB"/>
    <w:rsid w:val="004674B2"/>
    <w:rsid w:val="00467599"/>
    <w:rsid w:val="004678F8"/>
    <w:rsid w:val="00467981"/>
    <w:rsid w:val="00467AA5"/>
    <w:rsid w:val="00467E2F"/>
    <w:rsid w:val="004701EE"/>
    <w:rsid w:val="004706DD"/>
    <w:rsid w:val="00470777"/>
    <w:rsid w:val="00470A33"/>
    <w:rsid w:val="00470B92"/>
    <w:rsid w:val="00470C36"/>
    <w:rsid w:val="00470DD8"/>
    <w:rsid w:val="00471369"/>
    <w:rsid w:val="004714F8"/>
    <w:rsid w:val="0047173F"/>
    <w:rsid w:val="0047187D"/>
    <w:rsid w:val="004718E2"/>
    <w:rsid w:val="004719AB"/>
    <w:rsid w:val="00471B61"/>
    <w:rsid w:val="00471D85"/>
    <w:rsid w:val="00471DF1"/>
    <w:rsid w:val="00471E39"/>
    <w:rsid w:val="00471F82"/>
    <w:rsid w:val="00472102"/>
    <w:rsid w:val="0047276F"/>
    <w:rsid w:val="00472948"/>
    <w:rsid w:val="00472BEB"/>
    <w:rsid w:val="00472D68"/>
    <w:rsid w:val="00472DEE"/>
    <w:rsid w:val="00473382"/>
    <w:rsid w:val="00473391"/>
    <w:rsid w:val="004734FF"/>
    <w:rsid w:val="00473720"/>
    <w:rsid w:val="004738CB"/>
    <w:rsid w:val="00473ECE"/>
    <w:rsid w:val="00473EF3"/>
    <w:rsid w:val="0047470F"/>
    <w:rsid w:val="00474EE1"/>
    <w:rsid w:val="00474F3F"/>
    <w:rsid w:val="00474F8A"/>
    <w:rsid w:val="004751F8"/>
    <w:rsid w:val="004754C2"/>
    <w:rsid w:val="0047553D"/>
    <w:rsid w:val="004755E0"/>
    <w:rsid w:val="00475677"/>
    <w:rsid w:val="00475753"/>
    <w:rsid w:val="00475CB3"/>
    <w:rsid w:val="00475CB8"/>
    <w:rsid w:val="00475E81"/>
    <w:rsid w:val="00475F90"/>
    <w:rsid w:val="004762E9"/>
    <w:rsid w:val="00476A2C"/>
    <w:rsid w:val="00476C9C"/>
    <w:rsid w:val="00477222"/>
    <w:rsid w:val="00477288"/>
    <w:rsid w:val="004772AC"/>
    <w:rsid w:val="00477356"/>
    <w:rsid w:val="0047738A"/>
    <w:rsid w:val="004773FD"/>
    <w:rsid w:val="00477609"/>
    <w:rsid w:val="004776F2"/>
    <w:rsid w:val="00477A0D"/>
    <w:rsid w:val="00477AB8"/>
    <w:rsid w:val="00477C0D"/>
    <w:rsid w:val="00477E2F"/>
    <w:rsid w:val="00480009"/>
    <w:rsid w:val="004802B4"/>
    <w:rsid w:val="0048055E"/>
    <w:rsid w:val="00480AEF"/>
    <w:rsid w:val="00480CC3"/>
    <w:rsid w:val="00480FE0"/>
    <w:rsid w:val="0048126C"/>
    <w:rsid w:val="0048161B"/>
    <w:rsid w:val="00481678"/>
    <w:rsid w:val="00481797"/>
    <w:rsid w:val="0048185A"/>
    <w:rsid w:val="00481A10"/>
    <w:rsid w:val="00481B8C"/>
    <w:rsid w:val="00481C1F"/>
    <w:rsid w:val="00481F28"/>
    <w:rsid w:val="00481F7F"/>
    <w:rsid w:val="00482173"/>
    <w:rsid w:val="00482429"/>
    <w:rsid w:val="00482537"/>
    <w:rsid w:val="004825EC"/>
    <w:rsid w:val="00482BEF"/>
    <w:rsid w:val="00482BF7"/>
    <w:rsid w:val="00482EAC"/>
    <w:rsid w:val="00483672"/>
    <w:rsid w:val="00483816"/>
    <w:rsid w:val="00483825"/>
    <w:rsid w:val="004838C5"/>
    <w:rsid w:val="0048399F"/>
    <w:rsid w:val="004839E3"/>
    <w:rsid w:val="00483AC5"/>
    <w:rsid w:val="00483AD3"/>
    <w:rsid w:val="00483B10"/>
    <w:rsid w:val="00483B59"/>
    <w:rsid w:val="00483EEB"/>
    <w:rsid w:val="00483F10"/>
    <w:rsid w:val="00483F48"/>
    <w:rsid w:val="004841C2"/>
    <w:rsid w:val="004842B2"/>
    <w:rsid w:val="0048443C"/>
    <w:rsid w:val="00484453"/>
    <w:rsid w:val="00484521"/>
    <w:rsid w:val="00484647"/>
    <w:rsid w:val="00484836"/>
    <w:rsid w:val="00484881"/>
    <w:rsid w:val="0048496F"/>
    <w:rsid w:val="00484D2F"/>
    <w:rsid w:val="00485132"/>
    <w:rsid w:val="004851C6"/>
    <w:rsid w:val="004853AB"/>
    <w:rsid w:val="0048543D"/>
    <w:rsid w:val="0048551B"/>
    <w:rsid w:val="00485540"/>
    <w:rsid w:val="00485813"/>
    <w:rsid w:val="00485AE1"/>
    <w:rsid w:val="00485BB0"/>
    <w:rsid w:val="00485C88"/>
    <w:rsid w:val="00485E30"/>
    <w:rsid w:val="00486092"/>
    <w:rsid w:val="00486546"/>
    <w:rsid w:val="00486557"/>
    <w:rsid w:val="00486A27"/>
    <w:rsid w:val="00487165"/>
    <w:rsid w:val="00487567"/>
    <w:rsid w:val="004875B1"/>
    <w:rsid w:val="004876E2"/>
    <w:rsid w:val="00487728"/>
    <w:rsid w:val="00487AEB"/>
    <w:rsid w:val="00490181"/>
    <w:rsid w:val="00490269"/>
    <w:rsid w:val="004902EA"/>
    <w:rsid w:val="0049083F"/>
    <w:rsid w:val="0049084A"/>
    <w:rsid w:val="004908E1"/>
    <w:rsid w:val="00490A0A"/>
    <w:rsid w:val="00490B33"/>
    <w:rsid w:val="00490E21"/>
    <w:rsid w:val="00490F80"/>
    <w:rsid w:val="00490FDF"/>
    <w:rsid w:val="004911A4"/>
    <w:rsid w:val="004911C1"/>
    <w:rsid w:val="004911E9"/>
    <w:rsid w:val="00491674"/>
    <w:rsid w:val="004916B0"/>
    <w:rsid w:val="00491C1E"/>
    <w:rsid w:val="00491DBC"/>
    <w:rsid w:val="00491EBB"/>
    <w:rsid w:val="00491EEA"/>
    <w:rsid w:val="004920B5"/>
    <w:rsid w:val="00492515"/>
    <w:rsid w:val="00492BBD"/>
    <w:rsid w:val="00492DF1"/>
    <w:rsid w:val="004931E3"/>
    <w:rsid w:val="0049326E"/>
    <w:rsid w:val="0049332A"/>
    <w:rsid w:val="0049388A"/>
    <w:rsid w:val="00493F59"/>
    <w:rsid w:val="00494408"/>
    <w:rsid w:val="00494612"/>
    <w:rsid w:val="0049479A"/>
    <w:rsid w:val="004947BD"/>
    <w:rsid w:val="00494CE5"/>
    <w:rsid w:val="004950FC"/>
    <w:rsid w:val="00495117"/>
    <w:rsid w:val="004955C2"/>
    <w:rsid w:val="004955EA"/>
    <w:rsid w:val="00495683"/>
    <w:rsid w:val="004958B4"/>
    <w:rsid w:val="004959BB"/>
    <w:rsid w:val="004959D2"/>
    <w:rsid w:val="00495B59"/>
    <w:rsid w:val="00495C64"/>
    <w:rsid w:val="00495EA3"/>
    <w:rsid w:val="004961BF"/>
    <w:rsid w:val="004963DE"/>
    <w:rsid w:val="00496799"/>
    <w:rsid w:val="004969D2"/>
    <w:rsid w:val="00496A24"/>
    <w:rsid w:val="00496A82"/>
    <w:rsid w:val="00497095"/>
    <w:rsid w:val="0049734C"/>
    <w:rsid w:val="00497667"/>
    <w:rsid w:val="004976EB"/>
    <w:rsid w:val="00497761"/>
    <w:rsid w:val="00497B43"/>
    <w:rsid w:val="00497DC3"/>
    <w:rsid w:val="004A02C1"/>
    <w:rsid w:val="004A050D"/>
    <w:rsid w:val="004A05D4"/>
    <w:rsid w:val="004A0792"/>
    <w:rsid w:val="004A0842"/>
    <w:rsid w:val="004A085F"/>
    <w:rsid w:val="004A0963"/>
    <w:rsid w:val="004A0D91"/>
    <w:rsid w:val="004A0EDC"/>
    <w:rsid w:val="004A114F"/>
    <w:rsid w:val="004A11E9"/>
    <w:rsid w:val="004A143B"/>
    <w:rsid w:val="004A15A3"/>
    <w:rsid w:val="004A16EF"/>
    <w:rsid w:val="004A173D"/>
    <w:rsid w:val="004A1745"/>
    <w:rsid w:val="004A176D"/>
    <w:rsid w:val="004A17ED"/>
    <w:rsid w:val="004A1A98"/>
    <w:rsid w:val="004A1E03"/>
    <w:rsid w:val="004A1E80"/>
    <w:rsid w:val="004A1F2D"/>
    <w:rsid w:val="004A2451"/>
    <w:rsid w:val="004A275A"/>
    <w:rsid w:val="004A2995"/>
    <w:rsid w:val="004A2A2D"/>
    <w:rsid w:val="004A2D17"/>
    <w:rsid w:val="004A2D38"/>
    <w:rsid w:val="004A2EC9"/>
    <w:rsid w:val="004A2F98"/>
    <w:rsid w:val="004A30B7"/>
    <w:rsid w:val="004A3324"/>
    <w:rsid w:val="004A3567"/>
    <w:rsid w:val="004A36A0"/>
    <w:rsid w:val="004A38CE"/>
    <w:rsid w:val="004A3A0B"/>
    <w:rsid w:val="004A3B3D"/>
    <w:rsid w:val="004A3C07"/>
    <w:rsid w:val="004A3C08"/>
    <w:rsid w:val="004A3D24"/>
    <w:rsid w:val="004A3DB5"/>
    <w:rsid w:val="004A3EC8"/>
    <w:rsid w:val="004A4238"/>
    <w:rsid w:val="004A43C5"/>
    <w:rsid w:val="004A4766"/>
    <w:rsid w:val="004A4A0F"/>
    <w:rsid w:val="004A4B10"/>
    <w:rsid w:val="004A4B21"/>
    <w:rsid w:val="004A547E"/>
    <w:rsid w:val="004A5572"/>
    <w:rsid w:val="004A569C"/>
    <w:rsid w:val="004A56C0"/>
    <w:rsid w:val="004A5961"/>
    <w:rsid w:val="004A5969"/>
    <w:rsid w:val="004A603A"/>
    <w:rsid w:val="004A66B7"/>
    <w:rsid w:val="004A6BE6"/>
    <w:rsid w:val="004A6EF9"/>
    <w:rsid w:val="004A742B"/>
    <w:rsid w:val="004A744D"/>
    <w:rsid w:val="004A7668"/>
    <w:rsid w:val="004A78A9"/>
    <w:rsid w:val="004A78E9"/>
    <w:rsid w:val="004A7BF2"/>
    <w:rsid w:val="004A7D05"/>
    <w:rsid w:val="004A7DC1"/>
    <w:rsid w:val="004B0132"/>
    <w:rsid w:val="004B02E0"/>
    <w:rsid w:val="004B03B1"/>
    <w:rsid w:val="004B03CB"/>
    <w:rsid w:val="004B04AB"/>
    <w:rsid w:val="004B0613"/>
    <w:rsid w:val="004B0A71"/>
    <w:rsid w:val="004B10D4"/>
    <w:rsid w:val="004B169A"/>
    <w:rsid w:val="004B17BE"/>
    <w:rsid w:val="004B1883"/>
    <w:rsid w:val="004B1BBA"/>
    <w:rsid w:val="004B1D8B"/>
    <w:rsid w:val="004B1EBE"/>
    <w:rsid w:val="004B21A7"/>
    <w:rsid w:val="004B21F6"/>
    <w:rsid w:val="004B222E"/>
    <w:rsid w:val="004B2543"/>
    <w:rsid w:val="004B270C"/>
    <w:rsid w:val="004B2C66"/>
    <w:rsid w:val="004B2E68"/>
    <w:rsid w:val="004B30CB"/>
    <w:rsid w:val="004B322B"/>
    <w:rsid w:val="004B3280"/>
    <w:rsid w:val="004B339E"/>
    <w:rsid w:val="004B355E"/>
    <w:rsid w:val="004B3BD8"/>
    <w:rsid w:val="004B3FD9"/>
    <w:rsid w:val="004B430B"/>
    <w:rsid w:val="004B435F"/>
    <w:rsid w:val="004B4763"/>
    <w:rsid w:val="004B4AF7"/>
    <w:rsid w:val="004B4CB6"/>
    <w:rsid w:val="004B4DFC"/>
    <w:rsid w:val="004B5E59"/>
    <w:rsid w:val="004B67C7"/>
    <w:rsid w:val="004B6CD9"/>
    <w:rsid w:val="004B6DB1"/>
    <w:rsid w:val="004B6DC7"/>
    <w:rsid w:val="004B6F0C"/>
    <w:rsid w:val="004B74D1"/>
    <w:rsid w:val="004B79C5"/>
    <w:rsid w:val="004B7AA9"/>
    <w:rsid w:val="004B7AB2"/>
    <w:rsid w:val="004B7AE4"/>
    <w:rsid w:val="004B7CA0"/>
    <w:rsid w:val="004B7D3E"/>
    <w:rsid w:val="004B7DAF"/>
    <w:rsid w:val="004B7FEE"/>
    <w:rsid w:val="004C010B"/>
    <w:rsid w:val="004C03AD"/>
    <w:rsid w:val="004C0667"/>
    <w:rsid w:val="004C0914"/>
    <w:rsid w:val="004C097B"/>
    <w:rsid w:val="004C09D8"/>
    <w:rsid w:val="004C0B27"/>
    <w:rsid w:val="004C0D0F"/>
    <w:rsid w:val="004C0F07"/>
    <w:rsid w:val="004C10EB"/>
    <w:rsid w:val="004C11D9"/>
    <w:rsid w:val="004C12B5"/>
    <w:rsid w:val="004C1495"/>
    <w:rsid w:val="004C1D80"/>
    <w:rsid w:val="004C1DDC"/>
    <w:rsid w:val="004C2377"/>
    <w:rsid w:val="004C24CA"/>
    <w:rsid w:val="004C262E"/>
    <w:rsid w:val="004C2A08"/>
    <w:rsid w:val="004C2A72"/>
    <w:rsid w:val="004C2CF3"/>
    <w:rsid w:val="004C3099"/>
    <w:rsid w:val="004C335E"/>
    <w:rsid w:val="004C33E2"/>
    <w:rsid w:val="004C3726"/>
    <w:rsid w:val="004C3957"/>
    <w:rsid w:val="004C3BB2"/>
    <w:rsid w:val="004C3F7D"/>
    <w:rsid w:val="004C3FCA"/>
    <w:rsid w:val="004C42C3"/>
    <w:rsid w:val="004C4459"/>
    <w:rsid w:val="004C46BD"/>
    <w:rsid w:val="004C4B4E"/>
    <w:rsid w:val="004C4F3A"/>
    <w:rsid w:val="004C5623"/>
    <w:rsid w:val="004C5631"/>
    <w:rsid w:val="004C5775"/>
    <w:rsid w:val="004C586C"/>
    <w:rsid w:val="004C59BA"/>
    <w:rsid w:val="004C5B74"/>
    <w:rsid w:val="004C5E79"/>
    <w:rsid w:val="004C6044"/>
    <w:rsid w:val="004C619E"/>
    <w:rsid w:val="004C675D"/>
    <w:rsid w:val="004C6891"/>
    <w:rsid w:val="004C68BC"/>
    <w:rsid w:val="004C6B2B"/>
    <w:rsid w:val="004C6B9E"/>
    <w:rsid w:val="004C6D5D"/>
    <w:rsid w:val="004C6F32"/>
    <w:rsid w:val="004C6F68"/>
    <w:rsid w:val="004C713D"/>
    <w:rsid w:val="004C73EE"/>
    <w:rsid w:val="004C77AE"/>
    <w:rsid w:val="004C7940"/>
    <w:rsid w:val="004C7A11"/>
    <w:rsid w:val="004C7DF7"/>
    <w:rsid w:val="004D00AB"/>
    <w:rsid w:val="004D0157"/>
    <w:rsid w:val="004D01A8"/>
    <w:rsid w:val="004D0202"/>
    <w:rsid w:val="004D020A"/>
    <w:rsid w:val="004D074B"/>
    <w:rsid w:val="004D0863"/>
    <w:rsid w:val="004D0864"/>
    <w:rsid w:val="004D090A"/>
    <w:rsid w:val="004D09C4"/>
    <w:rsid w:val="004D0B31"/>
    <w:rsid w:val="004D0DCA"/>
    <w:rsid w:val="004D0DE3"/>
    <w:rsid w:val="004D0E6D"/>
    <w:rsid w:val="004D103A"/>
    <w:rsid w:val="004D12C3"/>
    <w:rsid w:val="004D1538"/>
    <w:rsid w:val="004D163A"/>
    <w:rsid w:val="004D19B1"/>
    <w:rsid w:val="004D1A25"/>
    <w:rsid w:val="004D1AA1"/>
    <w:rsid w:val="004D1BDD"/>
    <w:rsid w:val="004D1E53"/>
    <w:rsid w:val="004D20BD"/>
    <w:rsid w:val="004D21B5"/>
    <w:rsid w:val="004D2318"/>
    <w:rsid w:val="004D23CB"/>
    <w:rsid w:val="004D23F5"/>
    <w:rsid w:val="004D2458"/>
    <w:rsid w:val="004D25AD"/>
    <w:rsid w:val="004D285E"/>
    <w:rsid w:val="004D2E24"/>
    <w:rsid w:val="004D2E79"/>
    <w:rsid w:val="004D2F14"/>
    <w:rsid w:val="004D34EA"/>
    <w:rsid w:val="004D3516"/>
    <w:rsid w:val="004D3887"/>
    <w:rsid w:val="004D3A4C"/>
    <w:rsid w:val="004D40B2"/>
    <w:rsid w:val="004D4559"/>
    <w:rsid w:val="004D475C"/>
    <w:rsid w:val="004D4805"/>
    <w:rsid w:val="004D4BF4"/>
    <w:rsid w:val="004D502D"/>
    <w:rsid w:val="004D5223"/>
    <w:rsid w:val="004D539C"/>
    <w:rsid w:val="004D53E7"/>
    <w:rsid w:val="004D549E"/>
    <w:rsid w:val="004D5569"/>
    <w:rsid w:val="004D55BA"/>
    <w:rsid w:val="004D575D"/>
    <w:rsid w:val="004D5943"/>
    <w:rsid w:val="004D5AFA"/>
    <w:rsid w:val="004D5BC3"/>
    <w:rsid w:val="004D5CB4"/>
    <w:rsid w:val="004D5EAF"/>
    <w:rsid w:val="004D6117"/>
    <w:rsid w:val="004D6201"/>
    <w:rsid w:val="004D625D"/>
    <w:rsid w:val="004D62FA"/>
    <w:rsid w:val="004D631D"/>
    <w:rsid w:val="004D68D7"/>
    <w:rsid w:val="004D6A53"/>
    <w:rsid w:val="004D6AAC"/>
    <w:rsid w:val="004D6CFC"/>
    <w:rsid w:val="004D6E79"/>
    <w:rsid w:val="004D6ED0"/>
    <w:rsid w:val="004D72F3"/>
    <w:rsid w:val="004D758C"/>
    <w:rsid w:val="004D7889"/>
    <w:rsid w:val="004D7AF1"/>
    <w:rsid w:val="004D7C3B"/>
    <w:rsid w:val="004D7DE4"/>
    <w:rsid w:val="004D7FE8"/>
    <w:rsid w:val="004E0182"/>
    <w:rsid w:val="004E04C7"/>
    <w:rsid w:val="004E09DE"/>
    <w:rsid w:val="004E0CFE"/>
    <w:rsid w:val="004E1089"/>
    <w:rsid w:val="004E1129"/>
    <w:rsid w:val="004E12A8"/>
    <w:rsid w:val="004E1335"/>
    <w:rsid w:val="004E179A"/>
    <w:rsid w:val="004E18C9"/>
    <w:rsid w:val="004E1944"/>
    <w:rsid w:val="004E19F6"/>
    <w:rsid w:val="004E1AC3"/>
    <w:rsid w:val="004E1C1A"/>
    <w:rsid w:val="004E1D0B"/>
    <w:rsid w:val="004E1E08"/>
    <w:rsid w:val="004E203F"/>
    <w:rsid w:val="004E2073"/>
    <w:rsid w:val="004E2081"/>
    <w:rsid w:val="004E209F"/>
    <w:rsid w:val="004E216D"/>
    <w:rsid w:val="004E2198"/>
    <w:rsid w:val="004E2538"/>
    <w:rsid w:val="004E3079"/>
    <w:rsid w:val="004E395D"/>
    <w:rsid w:val="004E3A6E"/>
    <w:rsid w:val="004E3C0B"/>
    <w:rsid w:val="004E3D53"/>
    <w:rsid w:val="004E3F7D"/>
    <w:rsid w:val="004E41E3"/>
    <w:rsid w:val="004E426D"/>
    <w:rsid w:val="004E4329"/>
    <w:rsid w:val="004E46A1"/>
    <w:rsid w:val="004E4B17"/>
    <w:rsid w:val="004E4FDB"/>
    <w:rsid w:val="004E5073"/>
    <w:rsid w:val="004E508E"/>
    <w:rsid w:val="004E5737"/>
    <w:rsid w:val="004E5BCB"/>
    <w:rsid w:val="004E5BF6"/>
    <w:rsid w:val="004E5C6C"/>
    <w:rsid w:val="004E5CAA"/>
    <w:rsid w:val="004E5EBE"/>
    <w:rsid w:val="004E6129"/>
    <w:rsid w:val="004E627D"/>
    <w:rsid w:val="004E6351"/>
    <w:rsid w:val="004E635C"/>
    <w:rsid w:val="004E63AA"/>
    <w:rsid w:val="004E6F58"/>
    <w:rsid w:val="004E73F7"/>
    <w:rsid w:val="004E78EC"/>
    <w:rsid w:val="004E7CAB"/>
    <w:rsid w:val="004E7EFF"/>
    <w:rsid w:val="004F006B"/>
    <w:rsid w:val="004F014A"/>
    <w:rsid w:val="004F0290"/>
    <w:rsid w:val="004F05EE"/>
    <w:rsid w:val="004F0722"/>
    <w:rsid w:val="004F09EC"/>
    <w:rsid w:val="004F0C37"/>
    <w:rsid w:val="004F19AA"/>
    <w:rsid w:val="004F19C8"/>
    <w:rsid w:val="004F1AEF"/>
    <w:rsid w:val="004F1B97"/>
    <w:rsid w:val="004F1F86"/>
    <w:rsid w:val="004F1F89"/>
    <w:rsid w:val="004F2381"/>
    <w:rsid w:val="004F24C2"/>
    <w:rsid w:val="004F2779"/>
    <w:rsid w:val="004F2BE5"/>
    <w:rsid w:val="004F2CE6"/>
    <w:rsid w:val="004F2D56"/>
    <w:rsid w:val="004F3047"/>
    <w:rsid w:val="004F33F1"/>
    <w:rsid w:val="004F3690"/>
    <w:rsid w:val="004F3818"/>
    <w:rsid w:val="004F3953"/>
    <w:rsid w:val="004F39B2"/>
    <w:rsid w:val="004F3A7F"/>
    <w:rsid w:val="004F3C8A"/>
    <w:rsid w:val="004F3CA6"/>
    <w:rsid w:val="004F4573"/>
    <w:rsid w:val="004F4B56"/>
    <w:rsid w:val="004F4CFA"/>
    <w:rsid w:val="004F4FF2"/>
    <w:rsid w:val="004F5043"/>
    <w:rsid w:val="004F5320"/>
    <w:rsid w:val="004F53AC"/>
    <w:rsid w:val="004F5707"/>
    <w:rsid w:val="004F5847"/>
    <w:rsid w:val="004F5AAA"/>
    <w:rsid w:val="004F5D4B"/>
    <w:rsid w:val="004F5D8F"/>
    <w:rsid w:val="004F62FA"/>
    <w:rsid w:val="004F692C"/>
    <w:rsid w:val="004F6A35"/>
    <w:rsid w:val="004F6D5B"/>
    <w:rsid w:val="004F71BB"/>
    <w:rsid w:val="004F72EF"/>
    <w:rsid w:val="004F72F3"/>
    <w:rsid w:val="004F73FE"/>
    <w:rsid w:val="004F7433"/>
    <w:rsid w:val="004F76E9"/>
    <w:rsid w:val="004F770A"/>
    <w:rsid w:val="004F7843"/>
    <w:rsid w:val="004F789F"/>
    <w:rsid w:val="004F79F3"/>
    <w:rsid w:val="004F7AD5"/>
    <w:rsid w:val="004F7E55"/>
    <w:rsid w:val="004F7EC4"/>
    <w:rsid w:val="004F7F66"/>
    <w:rsid w:val="0050004A"/>
    <w:rsid w:val="005000FF"/>
    <w:rsid w:val="005002D4"/>
    <w:rsid w:val="005004C5"/>
    <w:rsid w:val="00500774"/>
    <w:rsid w:val="005007EE"/>
    <w:rsid w:val="00500990"/>
    <w:rsid w:val="00500BC0"/>
    <w:rsid w:val="00500CBA"/>
    <w:rsid w:val="00500DDE"/>
    <w:rsid w:val="00500E54"/>
    <w:rsid w:val="00500E79"/>
    <w:rsid w:val="0050106A"/>
    <w:rsid w:val="00501210"/>
    <w:rsid w:val="005013E7"/>
    <w:rsid w:val="005014B3"/>
    <w:rsid w:val="00501734"/>
    <w:rsid w:val="005019EC"/>
    <w:rsid w:val="00501BEF"/>
    <w:rsid w:val="00501C16"/>
    <w:rsid w:val="00501C30"/>
    <w:rsid w:val="00501F3D"/>
    <w:rsid w:val="00502030"/>
    <w:rsid w:val="0050203F"/>
    <w:rsid w:val="005023B9"/>
    <w:rsid w:val="00502519"/>
    <w:rsid w:val="00502557"/>
    <w:rsid w:val="00502607"/>
    <w:rsid w:val="005028E2"/>
    <w:rsid w:val="00502CDB"/>
    <w:rsid w:val="00502CE6"/>
    <w:rsid w:val="00502D0A"/>
    <w:rsid w:val="00502E56"/>
    <w:rsid w:val="005031E3"/>
    <w:rsid w:val="00503272"/>
    <w:rsid w:val="005036DC"/>
    <w:rsid w:val="00503920"/>
    <w:rsid w:val="00503AEC"/>
    <w:rsid w:val="00503D93"/>
    <w:rsid w:val="00503DB0"/>
    <w:rsid w:val="00503E07"/>
    <w:rsid w:val="00503EF1"/>
    <w:rsid w:val="00503F01"/>
    <w:rsid w:val="00504842"/>
    <w:rsid w:val="0050494E"/>
    <w:rsid w:val="0050497B"/>
    <w:rsid w:val="005049D3"/>
    <w:rsid w:val="00504FC3"/>
    <w:rsid w:val="00505000"/>
    <w:rsid w:val="00505150"/>
    <w:rsid w:val="005056B4"/>
    <w:rsid w:val="00505904"/>
    <w:rsid w:val="00505A73"/>
    <w:rsid w:val="00505DD8"/>
    <w:rsid w:val="00506053"/>
    <w:rsid w:val="0050605D"/>
    <w:rsid w:val="005063BA"/>
    <w:rsid w:val="005068A1"/>
    <w:rsid w:val="005068B5"/>
    <w:rsid w:val="005068DC"/>
    <w:rsid w:val="00506947"/>
    <w:rsid w:val="00506954"/>
    <w:rsid w:val="00506CBD"/>
    <w:rsid w:val="00506CF2"/>
    <w:rsid w:val="00506E9B"/>
    <w:rsid w:val="00506F31"/>
    <w:rsid w:val="005071B1"/>
    <w:rsid w:val="0050726D"/>
    <w:rsid w:val="005074A0"/>
    <w:rsid w:val="00507527"/>
    <w:rsid w:val="00507DBA"/>
    <w:rsid w:val="00510117"/>
    <w:rsid w:val="00510387"/>
    <w:rsid w:val="005105FD"/>
    <w:rsid w:val="00510791"/>
    <w:rsid w:val="005107F8"/>
    <w:rsid w:val="005109AA"/>
    <w:rsid w:val="00510BCD"/>
    <w:rsid w:val="00510C40"/>
    <w:rsid w:val="00510CBE"/>
    <w:rsid w:val="0051108A"/>
    <w:rsid w:val="00511189"/>
    <w:rsid w:val="0051119D"/>
    <w:rsid w:val="005111EF"/>
    <w:rsid w:val="0051121A"/>
    <w:rsid w:val="00511292"/>
    <w:rsid w:val="00511353"/>
    <w:rsid w:val="005116A9"/>
    <w:rsid w:val="00511DD1"/>
    <w:rsid w:val="00511FF4"/>
    <w:rsid w:val="005125FD"/>
    <w:rsid w:val="00512877"/>
    <w:rsid w:val="00512879"/>
    <w:rsid w:val="00512A34"/>
    <w:rsid w:val="00512D48"/>
    <w:rsid w:val="00512EB2"/>
    <w:rsid w:val="00513290"/>
    <w:rsid w:val="005132D4"/>
    <w:rsid w:val="00513327"/>
    <w:rsid w:val="00513354"/>
    <w:rsid w:val="00513534"/>
    <w:rsid w:val="00513695"/>
    <w:rsid w:val="005139A6"/>
    <w:rsid w:val="00513D0C"/>
    <w:rsid w:val="00513F02"/>
    <w:rsid w:val="00513FD7"/>
    <w:rsid w:val="005141F8"/>
    <w:rsid w:val="00514396"/>
    <w:rsid w:val="005147A4"/>
    <w:rsid w:val="00514880"/>
    <w:rsid w:val="00514B6E"/>
    <w:rsid w:val="00514BCD"/>
    <w:rsid w:val="00514D40"/>
    <w:rsid w:val="00514E3E"/>
    <w:rsid w:val="005151C6"/>
    <w:rsid w:val="00515215"/>
    <w:rsid w:val="005153A0"/>
    <w:rsid w:val="005154F0"/>
    <w:rsid w:val="00515508"/>
    <w:rsid w:val="005156E7"/>
    <w:rsid w:val="005159C9"/>
    <w:rsid w:val="005159F5"/>
    <w:rsid w:val="00515AB2"/>
    <w:rsid w:val="00515DD9"/>
    <w:rsid w:val="00515F94"/>
    <w:rsid w:val="005161E5"/>
    <w:rsid w:val="0051622C"/>
    <w:rsid w:val="0051627D"/>
    <w:rsid w:val="00516343"/>
    <w:rsid w:val="0051640E"/>
    <w:rsid w:val="00516415"/>
    <w:rsid w:val="00516B89"/>
    <w:rsid w:val="00516C5B"/>
    <w:rsid w:val="00516DB2"/>
    <w:rsid w:val="00516DFC"/>
    <w:rsid w:val="00516FC5"/>
    <w:rsid w:val="0051703A"/>
    <w:rsid w:val="005171CC"/>
    <w:rsid w:val="00517341"/>
    <w:rsid w:val="005175E4"/>
    <w:rsid w:val="00517AE1"/>
    <w:rsid w:val="00517AF0"/>
    <w:rsid w:val="00517B67"/>
    <w:rsid w:val="005200E0"/>
    <w:rsid w:val="005205FA"/>
    <w:rsid w:val="00520620"/>
    <w:rsid w:val="005206E9"/>
    <w:rsid w:val="00520793"/>
    <w:rsid w:val="005207ED"/>
    <w:rsid w:val="005209FF"/>
    <w:rsid w:val="00520C99"/>
    <w:rsid w:val="00520D1C"/>
    <w:rsid w:val="005212BE"/>
    <w:rsid w:val="00521395"/>
    <w:rsid w:val="00521BE7"/>
    <w:rsid w:val="00521FF0"/>
    <w:rsid w:val="0052207F"/>
    <w:rsid w:val="005220F6"/>
    <w:rsid w:val="0052210C"/>
    <w:rsid w:val="00522414"/>
    <w:rsid w:val="0052249B"/>
    <w:rsid w:val="005225A4"/>
    <w:rsid w:val="005226AB"/>
    <w:rsid w:val="005228F0"/>
    <w:rsid w:val="005229F4"/>
    <w:rsid w:val="00522C45"/>
    <w:rsid w:val="00523030"/>
    <w:rsid w:val="005230A8"/>
    <w:rsid w:val="00523334"/>
    <w:rsid w:val="00523489"/>
    <w:rsid w:val="00523681"/>
    <w:rsid w:val="005237C4"/>
    <w:rsid w:val="005237F0"/>
    <w:rsid w:val="005238CF"/>
    <w:rsid w:val="00523A10"/>
    <w:rsid w:val="00523A83"/>
    <w:rsid w:val="00523AE1"/>
    <w:rsid w:val="00523B5F"/>
    <w:rsid w:val="005249F3"/>
    <w:rsid w:val="00524BBA"/>
    <w:rsid w:val="00524F99"/>
    <w:rsid w:val="00524FBD"/>
    <w:rsid w:val="00525177"/>
    <w:rsid w:val="005253D2"/>
    <w:rsid w:val="0052550E"/>
    <w:rsid w:val="005256B6"/>
    <w:rsid w:val="005257D3"/>
    <w:rsid w:val="00525C8C"/>
    <w:rsid w:val="00525CF2"/>
    <w:rsid w:val="00525F42"/>
    <w:rsid w:val="005261C2"/>
    <w:rsid w:val="00526365"/>
    <w:rsid w:val="0052647C"/>
    <w:rsid w:val="0052652C"/>
    <w:rsid w:val="00526698"/>
    <w:rsid w:val="00526735"/>
    <w:rsid w:val="005268CD"/>
    <w:rsid w:val="00526DEA"/>
    <w:rsid w:val="00526ED1"/>
    <w:rsid w:val="00526F0A"/>
    <w:rsid w:val="00526FF3"/>
    <w:rsid w:val="0052729A"/>
    <w:rsid w:val="005272E9"/>
    <w:rsid w:val="0052761F"/>
    <w:rsid w:val="00527956"/>
    <w:rsid w:val="00527BC6"/>
    <w:rsid w:val="00527D36"/>
    <w:rsid w:val="0053010E"/>
    <w:rsid w:val="00530116"/>
    <w:rsid w:val="0053069B"/>
    <w:rsid w:val="00530D6D"/>
    <w:rsid w:val="00531186"/>
    <w:rsid w:val="005311C1"/>
    <w:rsid w:val="00531429"/>
    <w:rsid w:val="0053190C"/>
    <w:rsid w:val="00531BD6"/>
    <w:rsid w:val="00531C39"/>
    <w:rsid w:val="00531C5F"/>
    <w:rsid w:val="0053242E"/>
    <w:rsid w:val="0053275F"/>
    <w:rsid w:val="0053282D"/>
    <w:rsid w:val="00532C5D"/>
    <w:rsid w:val="00532CA7"/>
    <w:rsid w:val="0053308D"/>
    <w:rsid w:val="005333ED"/>
    <w:rsid w:val="00533616"/>
    <w:rsid w:val="005336B6"/>
    <w:rsid w:val="00533857"/>
    <w:rsid w:val="00533F2C"/>
    <w:rsid w:val="00533F9C"/>
    <w:rsid w:val="00534080"/>
    <w:rsid w:val="005340E5"/>
    <w:rsid w:val="005341F3"/>
    <w:rsid w:val="0053437B"/>
    <w:rsid w:val="005343FE"/>
    <w:rsid w:val="005344D2"/>
    <w:rsid w:val="0053456B"/>
    <w:rsid w:val="005346D0"/>
    <w:rsid w:val="005346F4"/>
    <w:rsid w:val="00534845"/>
    <w:rsid w:val="00534AF2"/>
    <w:rsid w:val="00534BA2"/>
    <w:rsid w:val="00534DF0"/>
    <w:rsid w:val="00534F7B"/>
    <w:rsid w:val="00535042"/>
    <w:rsid w:val="0053504F"/>
    <w:rsid w:val="0053512B"/>
    <w:rsid w:val="00535193"/>
    <w:rsid w:val="005351E3"/>
    <w:rsid w:val="0053521F"/>
    <w:rsid w:val="0053561C"/>
    <w:rsid w:val="005356A3"/>
    <w:rsid w:val="0053575C"/>
    <w:rsid w:val="00535786"/>
    <w:rsid w:val="0053589D"/>
    <w:rsid w:val="00535A51"/>
    <w:rsid w:val="00535DC7"/>
    <w:rsid w:val="00535DF8"/>
    <w:rsid w:val="00535EDB"/>
    <w:rsid w:val="00535EFF"/>
    <w:rsid w:val="00535FCF"/>
    <w:rsid w:val="005361B0"/>
    <w:rsid w:val="005361E1"/>
    <w:rsid w:val="005361E4"/>
    <w:rsid w:val="005364D2"/>
    <w:rsid w:val="0053681E"/>
    <w:rsid w:val="005368BA"/>
    <w:rsid w:val="00536BFF"/>
    <w:rsid w:val="00536CD0"/>
    <w:rsid w:val="00536E88"/>
    <w:rsid w:val="00536F83"/>
    <w:rsid w:val="00537055"/>
    <w:rsid w:val="0053712C"/>
    <w:rsid w:val="00537248"/>
    <w:rsid w:val="00537252"/>
    <w:rsid w:val="00537369"/>
    <w:rsid w:val="0053759A"/>
    <w:rsid w:val="005376CD"/>
    <w:rsid w:val="005376FB"/>
    <w:rsid w:val="005377F7"/>
    <w:rsid w:val="00537D01"/>
    <w:rsid w:val="00537DD8"/>
    <w:rsid w:val="00540647"/>
    <w:rsid w:val="005407B2"/>
    <w:rsid w:val="00540868"/>
    <w:rsid w:val="00540954"/>
    <w:rsid w:val="00540B6C"/>
    <w:rsid w:val="00540BD4"/>
    <w:rsid w:val="00540BE2"/>
    <w:rsid w:val="00540C4C"/>
    <w:rsid w:val="00540E29"/>
    <w:rsid w:val="00540E2C"/>
    <w:rsid w:val="00540EA6"/>
    <w:rsid w:val="00540FA0"/>
    <w:rsid w:val="00540FC9"/>
    <w:rsid w:val="00540FE7"/>
    <w:rsid w:val="0054125A"/>
    <w:rsid w:val="005414B5"/>
    <w:rsid w:val="00541704"/>
    <w:rsid w:val="005417CB"/>
    <w:rsid w:val="00541884"/>
    <w:rsid w:val="005419F6"/>
    <w:rsid w:val="00541D68"/>
    <w:rsid w:val="0054209D"/>
    <w:rsid w:val="0054286B"/>
    <w:rsid w:val="0054298E"/>
    <w:rsid w:val="00542A0E"/>
    <w:rsid w:val="00542BC1"/>
    <w:rsid w:val="00542F58"/>
    <w:rsid w:val="00543508"/>
    <w:rsid w:val="00543C85"/>
    <w:rsid w:val="00543CCB"/>
    <w:rsid w:val="00543DC7"/>
    <w:rsid w:val="0054406A"/>
    <w:rsid w:val="00544244"/>
    <w:rsid w:val="0054449F"/>
    <w:rsid w:val="00544598"/>
    <w:rsid w:val="005445A0"/>
    <w:rsid w:val="005447B6"/>
    <w:rsid w:val="00544C02"/>
    <w:rsid w:val="00544C3D"/>
    <w:rsid w:val="00544EBB"/>
    <w:rsid w:val="00544EC8"/>
    <w:rsid w:val="00545132"/>
    <w:rsid w:val="005454D4"/>
    <w:rsid w:val="00545820"/>
    <w:rsid w:val="00545859"/>
    <w:rsid w:val="00545F1D"/>
    <w:rsid w:val="00545FBD"/>
    <w:rsid w:val="0054636B"/>
    <w:rsid w:val="005464B9"/>
    <w:rsid w:val="005464C6"/>
    <w:rsid w:val="005467C2"/>
    <w:rsid w:val="00546B37"/>
    <w:rsid w:val="00546C56"/>
    <w:rsid w:val="00546C7F"/>
    <w:rsid w:val="00546CAB"/>
    <w:rsid w:val="00546E99"/>
    <w:rsid w:val="00546F1A"/>
    <w:rsid w:val="00546FD5"/>
    <w:rsid w:val="005473A4"/>
    <w:rsid w:val="00547B49"/>
    <w:rsid w:val="00547CBC"/>
    <w:rsid w:val="00550026"/>
    <w:rsid w:val="00550071"/>
    <w:rsid w:val="00550243"/>
    <w:rsid w:val="00550554"/>
    <w:rsid w:val="00550B9B"/>
    <w:rsid w:val="00550E45"/>
    <w:rsid w:val="005510A3"/>
    <w:rsid w:val="005515D0"/>
    <w:rsid w:val="00551BAF"/>
    <w:rsid w:val="00551EE0"/>
    <w:rsid w:val="00551EF7"/>
    <w:rsid w:val="005520C0"/>
    <w:rsid w:val="00552A43"/>
    <w:rsid w:val="00552A99"/>
    <w:rsid w:val="00552C0D"/>
    <w:rsid w:val="005530D0"/>
    <w:rsid w:val="0055323C"/>
    <w:rsid w:val="00553488"/>
    <w:rsid w:val="005534DF"/>
    <w:rsid w:val="0055350D"/>
    <w:rsid w:val="00553548"/>
    <w:rsid w:val="005535E0"/>
    <w:rsid w:val="005537EC"/>
    <w:rsid w:val="00553C3A"/>
    <w:rsid w:val="00553DDA"/>
    <w:rsid w:val="005541E5"/>
    <w:rsid w:val="00554205"/>
    <w:rsid w:val="00554249"/>
    <w:rsid w:val="00554657"/>
    <w:rsid w:val="005546C0"/>
    <w:rsid w:val="00554783"/>
    <w:rsid w:val="005549CF"/>
    <w:rsid w:val="00554B29"/>
    <w:rsid w:val="00554D1C"/>
    <w:rsid w:val="005551DF"/>
    <w:rsid w:val="0055558C"/>
    <w:rsid w:val="005556C7"/>
    <w:rsid w:val="00555BA2"/>
    <w:rsid w:val="00555D54"/>
    <w:rsid w:val="00555FF1"/>
    <w:rsid w:val="00556164"/>
    <w:rsid w:val="00556296"/>
    <w:rsid w:val="00556437"/>
    <w:rsid w:val="00556648"/>
    <w:rsid w:val="0055695B"/>
    <w:rsid w:val="00556D63"/>
    <w:rsid w:val="005573E0"/>
    <w:rsid w:val="0055768A"/>
    <w:rsid w:val="00557884"/>
    <w:rsid w:val="0055790B"/>
    <w:rsid w:val="00557963"/>
    <w:rsid w:val="005579CC"/>
    <w:rsid w:val="00557AFD"/>
    <w:rsid w:val="00557CC5"/>
    <w:rsid w:val="00557D28"/>
    <w:rsid w:val="00560059"/>
    <w:rsid w:val="0056016F"/>
    <w:rsid w:val="0056029B"/>
    <w:rsid w:val="005602FD"/>
    <w:rsid w:val="00560338"/>
    <w:rsid w:val="0056052F"/>
    <w:rsid w:val="00560624"/>
    <w:rsid w:val="0056085C"/>
    <w:rsid w:val="00560897"/>
    <w:rsid w:val="00560DC7"/>
    <w:rsid w:val="00560FE8"/>
    <w:rsid w:val="0056120F"/>
    <w:rsid w:val="00561265"/>
    <w:rsid w:val="00561309"/>
    <w:rsid w:val="005613EA"/>
    <w:rsid w:val="005613F8"/>
    <w:rsid w:val="005616A9"/>
    <w:rsid w:val="005616EB"/>
    <w:rsid w:val="005616EC"/>
    <w:rsid w:val="00561B29"/>
    <w:rsid w:val="00561C31"/>
    <w:rsid w:val="00561F53"/>
    <w:rsid w:val="00562138"/>
    <w:rsid w:val="00562542"/>
    <w:rsid w:val="00562575"/>
    <w:rsid w:val="00562778"/>
    <w:rsid w:val="00562779"/>
    <w:rsid w:val="00562882"/>
    <w:rsid w:val="00562B75"/>
    <w:rsid w:val="00562C5D"/>
    <w:rsid w:val="00562CA9"/>
    <w:rsid w:val="00562D7E"/>
    <w:rsid w:val="00563078"/>
    <w:rsid w:val="005632EE"/>
    <w:rsid w:val="00563685"/>
    <w:rsid w:val="00563776"/>
    <w:rsid w:val="00563992"/>
    <w:rsid w:val="00563AEC"/>
    <w:rsid w:val="00563B29"/>
    <w:rsid w:val="00563BA5"/>
    <w:rsid w:val="00563DEB"/>
    <w:rsid w:val="00563F67"/>
    <w:rsid w:val="00563F88"/>
    <w:rsid w:val="00564298"/>
    <w:rsid w:val="0056432E"/>
    <w:rsid w:val="005644B0"/>
    <w:rsid w:val="00564632"/>
    <w:rsid w:val="00564A85"/>
    <w:rsid w:val="005651A8"/>
    <w:rsid w:val="0056529F"/>
    <w:rsid w:val="0056552E"/>
    <w:rsid w:val="005655D6"/>
    <w:rsid w:val="005655F5"/>
    <w:rsid w:val="00565A0C"/>
    <w:rsid w:val="00565E0E"/>
    <w:rsid w:val="00565FE1"/>
    <w:rsid w:val="00566007"/>
    <w:rsid w:val="00566136"/>
    <w:rsid w:val="005661A7"/>
    <w:rsid w:val="005662A3"/>
    <w:rsid w:val="005662EA"/>
    <w:rsid w:val="0056654D"/>
    <w:rsid w:val="00566588"/>
    <w:rsid w:val="005665C4"/>
    <w:rsid w:val="00566A1B"/>
    <w:rsid w:val="00566C70"/>
    <w:rsid w:val="00566CC5"/>
    <w:rsid w:val="00566F0F"/>
    <w:rsid w:val="00567301"/>
    <w:rsid w:val="005673BF"/>
    <w:rsid w:val="005673C8"/>
    <w:rsid w:val="00567A93"/>
    <w:rsid w:val="00567CEB"/>
    <w:rsid w:val="00567D17"/>
    <w:rsid w:val="0057014B"/>
    <w:rsid w:val="005702AA"/>
    <w:rsid w:val="00570328"/>
    <w:rsid w:val="005704E0"/>
    <w:rsid w:val="005705C0"/>
    <w:rsid w:val="00570617"/>
    <w:rsid w:val="005706DA"/>
    <w:rsid w:val="00570AA3"/>
    <w:rsid w:val="00570E60"/>
    <w:rsid w:val="00570F76"/>
    <w:rsid w:val="0057107C"/>
    <w:rsid w:val="00571122"/>
    <w:rsid w:val="00571445"/>
    <w:rsid w:val="00571894"/>
    <w:rsid w:val="00571926"/>
    <w:rsid w:val="00571A9F"/>
    <w:rsid w:val="00571B84"/>
    <w:rsid w:val="00571CBD"/>
    <w:rsid w:val="00571D29"/>
    <w:rsid w:val="00572351"/>
    <w:rsid w:val="005724BC"/>
    <w:rsid w:val="00572536"/>
    <w:rsid w:val="00572579"/>
    <w:rsid w:val="005725C9"/>
    <w:rsid w:val="005726F8"/>
    <w:rsid w:val="00572D9E"/>
    <w:rsid w:val="00572F0F"/>
    <w:rsid w:val="00572F85"/>
    <w:rsid w:val="005730F9"/>
    <w:rsid w:val="00573120"/>
    <w:rsid w:val="0057350A"/>
    <w:rsid w:val="0057352C"/>
    <w:rsid w:val="005735E2"/>
    <w:rsid w:val="005737C3"/>
    <w:rsid w:val="005737F1"/>
    <w:rsid w:val="005738B8"/>
    <w:rsid w:val="00573D64"/>
    <w:rsid w:val="00573EA8"/>
    <w:rsid w:val="0057415A"/>
    <w:rsid w:val="005742F8"/>
    <w:rsid w:val="0057443F"/>
    <w:rsid w:val="0057449D"/>
    <w:rsid w:val="005744B1"/>
    <w:rsid w:val="005745AF"/>
    <w:rsid w:val="005746E5"/>
    <w:rsid w:val="00574924"/>
    <w:rsid w:val="0057499D"/>
    <w:rsid w:val="00574C69"/>
    <w:rsid w:val="00574ED5"/>
    <w:rsid w:val="005750C9"/>
    <w:rsid w:val="005752B3"/>
    <w:rsid w:val="0057542E"/>
    <w:rsid w:val="00575A0F"/>
    <w:rsid w:val="00575A1F"/>
    <w:rsid w:val="00575A65"/>
    <w:rsid w:val="00575ADE"/>
    <w:rsid w:val="00575B8C"/>
    <w:rsid w:val="00575F33"/>
    <w:rsid w:val="00576307"/>
    <w:rsid w:val="00576416"/>
    <w:rsid w:val="0057649A"/>
    <w:rsid w:val="00576895"/>
    <w:rsid w:val="00576ABD"/>
    <w:rsid w:val="00576B99"/>
    <w:rsid w:val="00576D45"/>
    <w:rsid w:val="00576F07"/>
    <w:rsid w:val="005771B7"/>
    <w:rsid w:val="00577334"/>
    <w:rsid w:val="005773E7"/>
    <w:rsid w:val="0057761F"/>
    <w:rsid w:val="005776D5"/>
    <w:rsid w:val="00577870"/>
    <w:rsid w:val="005778C9"/>
    <w:rsid w:val="00577ACB"/>
    <w:rsid w:val="00577C29"/>
    <w:rsid w:val="00577CD0"/>
    <w:rsid w:val="00577DC1"/>
    <w:rsid w:val="00577E57"/>
    <w:rsid w:val="0058006C"/>
    <w:rsid w:val="005804B5"/>
    <w:rsid w:val="00580563"/>
    <w:rsid w:val="00580571"/>
    <w:rsid w:val="0058090D"/>
    <w:rsid w:val="00580B94"/>
    <w:rsid w:val="00580D96"/>
    <w:rsid w:val="00581781"/>
    <w:rsid w:val="00581BF4"/>
    <w:rsid w:val="00581C5C"/>
    <w:rsid w:val="0058257E"/>
    <w:rsid w:val="00582952"/>
    <w:rsid w:val="00582BE7"/>
    <w:rsid w:val="00582EA2"/>
    <w:rsid w:val="00582EF4"/>
    <w:rsid w:val="00582F89"/>
    <w:rsid w:val="00583095"/>
    <w:rsid w:val="00583230"/>
    <w:rsid w:val="0058338D"/>
    <w:rsid w:val="0058342A"/>
    <w:rsid w:val="00583645"/>
    <w:rsid w:val="0058388B"/>
    <w:rsid w:val="00583B2C"/>
    <w:rsid w:val="00583D5B"/>
    <w:rsid w:val="00583E60"/>
    <w:rsid w:val="00583ED5"/>
    <w:rsid w:val="005840B4"/>
    <w:rsid w:val="005841E9"/>
    <w:rsid w:val="0058421F"/>
    <w:rsid w:val="00584238"/>
    <w:rsid w:val="0058454B"/>
    <w:rsid w:val="005846CD"/>
    <w:rsid w:val="0058474A"/>
    <w:rsid w:val="00584A60"/>
    <w:rsid w:val="00585250"/>
    <w:rsid w:val="0058529C"/>
    <w:rsid w:val="00585392"/>
    <w:rsid w:val="00585EF7"/>
    <w:rsid w:val="005861B3"/>
    <w:rsid w:val="0058638E"/>
    <w:rsid w:val="005863A0"/>
    <w:rsid w:val="00586951"/>
    <w:rsid w:val="00586A05"/>
    <w:rsid w:val="00586E12"/>
    <w:rsid w:val="00587320"/>
    <w:rsid w:val="00587568"/>
    <w:rsid w:val="00587804"/>
    <w:rsid w:val="00587CFA"/>
    <w:rsid w:val="00587E8E"/>
    <w:rsid w:val="00590326"/>
    <w:rsid w:val="0059049A"/>
    <w:rsid w:val="005904CC"/>
    <w:rsid w:val="005906B3"/>
    <w:rsid w:val="00590733"/>
    <w:rsid w:val="00590812"/>
    <w:rsid w:val="0059094B"/>
    <w:rsid w:val="00590A55"/>
    <w:rsid w:val="00590A7F"/>
    <w:rsid w:val="00590B39"/>
    <w:rsid w:val="00590D5C"/>
    <w:rsid w:val="00591041"/>
    <w:rsid w:val="00591250"/>
    <w:rsid w:val="00591295"/>
    <w:rsid w:val="00591420"/>
    <w:rsid w:val="005915A8"/>
    <w:rsid w:val="00591609"/>
    <w:rsid w:val="00591ADC"/>
    <w:rsid w:val="00591BD5"/>
    <w:rsid w:val="00591C4D"/>
    <w:rsid w:val="00591D0B"/>
    <w:rsid w:val="00592159"/>
    <w:rsid w:val="005922DD"/>
    <w:rsid w:val="005924CA"/>
    <w:rsid w:val="00592859"/>
    <w:rsid w:val="005929E3"/>
    <w:rsid w:val="00592A6C"/>
    <w:rsid w:val="00592CBF"/>
    <w:rsid w:val="005938C8"/>
    <w:rsid w:val="00593A15"/>
    <w:rsid w:val="00593D2B"/>
    <w:rsid w:val="00593E14"/>
    <w:rsid w:val="00594276"/>
    <w:rsid w:val="00594391"/>
    <w:rsid w:val="005945A3"/>
    <w:rsid w:val="00594AAE"/>
    <w:rsid w:val="00594C66"/>
    <w:rsid w:val="005950D5"/>
    <w:rsid w:val="005952E3"/>
    <w:rsid w:val="0059537D"/>
    <w:rsid w:val="005953B1"/>
    <w:rsid w:val="005955A6"/>
    <w:rsid w:val="005956AC"/>
    <w:rsid w:val="00595837"/>
    <w:rsid w:val="005958CB"/>
    <w:rsid w:val="0059591F"/>
    <w:rsid w:val="005959A6"/>
    <w:rsid w:val="00595C5D"/>
    <w:rsid w:val="00595C98"/>
    <w:rsid w:val="00595CA7"/>
    <w:rsid w:val="00595EB9"/>
    <w:rsid w:val="005961E6"/>
    <w:rsid w:val="00596236"/>
    <w:rsid w:val="0059639B"/>
    <w:rsid w:val="0059644A"/>
    <w:rsid w:val="0059666E"/>
    <w:rsid w:val="005966E0"/>
    <w:rsid w:val="00596A7D"/>
    <w:rsid w:val="00596AF1"/>
    <w:rsid w:val="00596B2E"/>
    <w:rsid w:val="00596E09"/>
    <w:rsid w:val="00596E98"/>
    <w:rsid w:val="00596EC7"/>
    <w:rsid w:val="00596F57"/>
    <w:rsid w:val="00597443"/>
    <w:rsid w:val="00597772"/>
    <w:rsid w:val="0059784E"/>
    <w:rsid w:val="00597C5B"/>
    <w:rsid w:val="00597D12"/>
    <w:rsid w:val="00597F6B"/>
    <w:rsid w:val="005A001B"/>
    <w:rsid w:val="005A0466"/>
    <w:rsid w:val="005A0562"/>
    <w:rsid w:val="005A0730"/>
    <w:rsid w:val="005A09AB"/>
    <w:rsid w:val="005A0A08"/>
    <w:rsid w:val="005A0C23"/>
    <w:rsid w:val="005A0F99"/>
    <w:rsid w:val="005A11A0"/>
    <w:rsid w:val="005A13C0"/>
    <w:rsid w:val="005A15C7"/>
    <w:rsid w:val="005A1720"/>
    <w:rsid w:val="005A1A46"/>
    <w:rsid w:val="005A1FC6"/>
    <w:rsid w:val="005A206E"/>
    <w:rsid w:val="005A210D"/>
    <w:rsid w:val="005A2174"/>
    <w:rsid w:val="005A219D"/>
    <w:rsid w:val="005A2259"/>
    <w:rsid w:val="005A246C"/>
    <w:rsid w:val="005A24A2"/>
    <w:rsid w:val="005A2795"/>
    <w:rsid w:val="005A2913"/>
    <w:rsid w:val="005A2A2C"/>
    <w:rsid w:val="005A2B93"/>
    <w:rsid w:val="005A2F12"/>
    <w:rsid w:val="005A3102"/>
    <w:rsid w:val="005A32DC"/>
    <w:rsid w:val="005A3473"/>
    <w:rsid w:val="005A36F2"/>
    <w:rsid w:val="005A3F46"/>
    <w:rsid w:val="005A4047"/>
    <w:rsid w:val="005A4071"/>
    <w:rsid w:val="005A42AA"/>
    <w:rsid w:val="005A484C"/>
    <w:rsid w:val="005A4B97"/>
    <w:rsid w:val="005A4C2C"/>
    <w:rsid w:val="005A4C39"/>
    <w:rsid w:val="005A522F"/>
    <w:rsid w:val="005A5333"/>
    <w:rsid w:val="005A55E5"/>
    <w:rsid w:val="005A5814"/>
    <w:rsid w:val="005A5B96"/>
    <w:rsid w:val="005A5C18"/>
    <w:rsid w:val="005A5C39"/>
    <w:rsid w:val="005A5D90"/>
    <w:rsid w:val="005A5E15"/>
    <w:rsid w:val="005A6056"/>
    <w:rsid w:val="005A60A6"/>
    <w:rsid w:val="005A62C8"/>
    <w:rsid w:val="005A643A"/>
    <w:rsid w:val="005A685A"/>
    <w:rsid w:val="005A68EF"/>
    <w:rsid w:val="005A6AEB"/>
    <w:rsid w:val="005A6CEC"/>
    <w:rsid w:val="005A70F9"/>
    <w:rsid w:val="005A71C7"/>
    <w:rsid w:val="005A750C"/>
    <w:rsid w:val="005A77AE"/>
    <w:rsid w:val="005A78A5"/>
    <w:rsid w:val="005A7997"/>
    <w:rsid w:val="005B059B"/>
    <w:rsid w:val="005B0727"/>
    <w:rsid w:val="005B07E8"/>
    <w:rsid w:val="005B0B6C"/>
    <w:rsid w:val="005B0C58"/>
    <w:rsid w:val="005B0CE1"/>
    <w:rsid w:val="005B103D"/>
    <w:rsid w:val="005B10BD"/>
    <w:rsid w:val="005B13C5"/>
    <w:rsid w:val="005B13CA"/>
    <w:rsid w:val="005B1766"/>
    <w:rsid w:val="005B1996"/>
    <w:rsid w:val="005B19B8"/>
    <w:rsid w:val="005B1AB6"/>
    <w:rsid w:val="005B2071"/>
    <w:rsid w:val="005B223F"/>
    <w:rsid w:val="005B2261"/>
    <w:rsid w:val="005B22F7"/>
    <w:rsid w:val="005B2445"/>
    <w:rsid w:val="005B2473"/>
    <w:rsid w:val="005B250D"/>
    <w:rsid w:val="005B26CF"/>
    <w:rsid w:val="005B26FE"/>
    <w:rsid w:val="005B2986"/>
    <w:rsid w:val="005B2A91"/>
    <w:rsid w:val="005B2B37"/>
    <w:rsid w:val="005B2B85"/>
    <w:rsid w:val="005B2CB6"/>
    <w:rsid w:val="005B2CD7"/>
    <w:rsid w:val="005B2E0B"/>
    <w:rsid w:val="005B2F5D"/>
    <w:rsid w:val="005B30F1"/>
    <w:rsid w:val="005B30F4"/>
    <w:rsid w:val="005B329E"/>
    <w:rsid w:val="005B33EF"/>
    <w:rsid w:val="005B3535"/>
    <w:rsid w:val="005B3983"/>
    <w:rsid w:val="005B3BFB"/>
    <w:rsid w:val="005B3EB7"/>
    <w:rsid w:val="005B3EC5"/>
    <w:rsid w:val="005B40E2"/>
    <w:rsid w:val="005B4263"/>
    <w:rsid w:val="005B4265"/>
    <w:rsid w:val="005B448D"/>
    <w:rsid w:val="005B4671"/>
    <w:rsid w:val="005B49C7"/>
    <w:rsid w:val="005B49D1"/>
    <w:rsid w:val="005B4B7D"/>
    <w:rsid w:val="005B4CFA"/>
    <w:rsid w:val="005B4D0D"/>
    <w:rsid w:val="005B4E53"/>
    <w:rsid w:val="005B4E66"/>
    <w:rsid w:val="005B4FBA"/>
    <w:rsid w:val="005B5628"/>
    <w:rsid w:val="005B5B04"/>
    <w:rsid w:val="005B5BCE"/>
    <w:rsid w:val="005B5D3E"/>
    <w:rsid w:val="005B5EC1"/>
    <w:rsid w:val="005B6475"/>
    <w:rsid w:val="005B649F"/>
    <w:rsid w:val="005B662B"/>
    <w:rsid w:val="005B6632"/>
    <w:rsid w:val="005B69AC"/>
    <w:rsid w:val="005B6A8E"/>
    <w:rsid w:val="005B6DBE"/>
    <w:rsid w:val="005B720E"/>
    <w:rsid w:val="005B7690"/>
    <w:rsid w:val="005B7A6C"/>
    <w:rsid w:val="005B7DE7"/>
    <w:rsid w:val="005B7FE5"/>
    <w:rsid w:val="005C01B0"/>
    <w:rsid w:val="005C0284"/>
    <w:rsid w:val="005C02C5"/>
    <w:rsid w:val="005C02D8"/>
    <w:rsid w:val="005C041A"/>
    <w:rsid w:val="005C04D9"/>
    <w:rsid w:val="005C0679"/>
    <w:rsid w:val="005C0735"/>
    <w:rsid w:val="005C0801"/>
    <w:rsid w:val="005C09C0"/>
    <w:rsid w:val="005C0C72"/>
    <w:rsid w:val="005C0DF1"/>
    <w:rsid w:val="005C11C6"/>
    <w:rsid w:val="005C1342"/>
    <w:rsid w:val="005C1545"/>
    <w:rsid w:val="005C1881"/>
    <w:rsid w:val="005C19B5"/>
    <w:rsid w:val="005C19E6"/>
    <w:rsid w:val="005C1EA8"/>
    <w:rsid w:val="005C2120"/>
    <w:rsid w:val="005C2186"/>
    <w:rsid w:val="005C22DD"/>
    <w:rsid w:val="005C234D"/>
    <w:rsid w:val="005C23B1"/>
    <w:rsid w:val="005C260D"/>
    <w:rsid w:val="005C2976"/>
    <w:rsid w:val="005C2BED"/>
    <w:rsid w:val="005C2C11"/>
    <w:rsid w:val="005C2C9B"/>
    <w:rsid w:val="005C2DE0"/>
    <w:rsid w:val="005C2DFC"/>
    <w:rsid w:val="005C32E9"/>
    <w:rsid w:val="005C35AA"/>
    <w:rsid w:val="005C36AD"/>
    <w:rsid w:val="005C3992"/>
    <w:rsid w:val="005C3E52"/>
    <w:rsid w:val="005C3F9C"/>
    <w:rsid w:val="005C46B5"/>
    <w:rsid w:val="005C46C3"/>
    <w:rsid w:val="005C4AE6"/>
    <w:rsid w:val="005C4DAD"/>
    <w:rsid w:val="005C5247"/>
    <w:rsid w:val="005C557B"/>
    <w:rsid w:val="005C583B"/>
    <w:rsid w:val="005C59B1"/>
    <w:rsid w:val="005C59DC"/>
    <w:rsid w:val="005C5BE5"/>
    <w:rsid w:val="005C5F45"/>
    <w:rsid w:val="005C62DB"/>
    <w:rsid w:val="005C6533"/>
    <w:rsid w:val="005C6779"/>
    <w:rsid w:val="005C67B1"/>
    <w:rsid w:val="005C6894"/>
    <w:rsid w:val="005C6CF4"/>
    <w:rsid w:val="005C6DC2"/>
    <w:rsid w:val="005C72C3"/>
    <w:rsid w:val="005C757D"/>
    <w:rsid w:val="005C7664"/>
    <w:rsid w:val="005C7ABF"/>
    <w:rsid w:val="005C7CFF"/>
    <w:rsid w:val="005C7DDE"/>
    <w:rsid w:val="005D02BA"/>
    <w:rsid w:val="005D03AB"/>
    <w:rsid w:val="005D050F"/>
    <w:rsid w:val="005D05A4"/>
    <w:rsid w:val="005D0657"/>
    <w:rsid w:val="005D0661"/>
    <w:rsid w:val="005D08AF"/>
    <w:rsid w:val="005D0939"/>
    <w:rsid w:val="005D0A02"/>
    <w:rsid w:val="005D0A42"/>
    <w:rsid w:val="005D0C53"/>
    <w:rsid w:val="005D163D"/>
    <w:rsid w:val="005D168A"/>
    <w:rsid w:val="005D16E6"/>
    <w:rsid w:val="005D17AA"/>
    <w:rsid w:val="005D1884"/>
    <w:rsid w:val="005D1A9B"/>
    <w:rsid w:val="005D1B9E"/>
    <w:rsid w:val="005D1EA1"/>
    <w:rsid w:val="005D216F"/>
    <w:rsid w:val="005D2174"/>
    <w:rsid w:val="005D2235"/>
    <w:rsid w:val="005D2619"/>
    <w:rsid w:val="005D2998"/>
    <w:rsid w:val="005D2C07"/>
    <w:rsid w:val="005D2E55"/>
    <w:rsid w:val="005D2EA3"/>
    <w:rsid w:val="005D2F3A"/>
    <w:rsid w:val="005D2F69"/>
    <w:rsid w:val="005D37E9"/>
    <w:rsid w:val="005D3EE3"/>
    <w:rsid w:val="005D4282"/>
    <w:rsid w:val="005D48AB"/>
    <w:rsid w:val="005D4CEF"/>
    <w:rsid w:val="005D4D79"/>
    <w:rsid w:val="005D5019"/>
    <w:rsid w:val="005D5027"/>
    <w:rsid w:val="005D50B1"/>
    <w:rsid w:val="005D548A"/>
    <w:rsid w:val="005D54BC"/>
    <w:rsid w:val="005D5547"/>
    <w:rsid w:val="005D56C4"/>
    <w:rsid w:val="005D56CD"/>
    <w:rsid w:val="005D57DF"/>
    <w:rsid w:val="005D587C"/>
    <w:rsid w:val="005D59BB"/>
    <w:rsid w:val="005D5C32"/>
    <w:rsid w:val="005D5DC5"/>
    <w:rsid w:val="005D620F"/>
    <w:rsid w:val="005D6656"/>
    <w:rsid w:val="005D6682"/>
    <w:rsid w:val="005D679D"/>
    <w:rsid w:val="005D67A7"/>
    <w:rsid w:val="005D6AC8"/>
    <w:rsid w:val="005D6B66"/>
    <w:rsid w:val="005D6B93"/>
    <w:rsid w:val="005D6D3D"/>
    <w:rsid w:val="005D6D9E"/>
    <w:rsid w:val="005D6F71"/>
    <w:rsid w:val="005D7120"/>
    <w:rsid w:val="005D7818"/>
    <w:rsid w:val="005D7A0B"/>
    <w:rsid w:val="005D7A16"/>
    <w:rsid w:val="005D7A74"/>
    <w:rsid w:val="005D7B62"/>
    <w:rsid w:val="005D7D60"/>
    <w:rsid w:val="005D7F2C"/>
    <w:rsid w:val="005D7F34"/>
    <w:rsid w:val="005D7FB9"/>
    <w:rsid w:val="005D7FEA"/>
    <w:rsid w:val="005E01D2"/>
    <w:rsid w:val="005E051B"/>
    <w:rsid w:val="005E06B2"/>
    <w:rsid w:val="005E07A3"/>
    <w:rsid w:val="005E0980"/>
    <w:rsid w:val="005E0A14"/>
    <w:rsid w:val="005E0A39"/>
    <w:rsid w:val="005E0C84"/>
    <w:rsid w:val="005E10C6"/>
    <w:rsid w:val="005E10F6"/>
    <w:rsid w:val="005E17D0"/>
    <w:rsid w:val="005E1919"/>
    <w:rsid w:val="005E1AF4"/>
    <w:rsid w:val="005E1B65"/>
    <w:rsid w:val="005E1D94"/>
    <w:rsid w:val="005E202B"/>
    <w:rsid w:val="005E238B"/>
    <w:rsid w:val="005E247C"/>
    <w:rsid w:val="005E25C0"/>
    <w:rsid w:val="005E2605"/>
    <w:rsid w:val="005E2619"/>
    <w:rsid w:val="005E264A"/>
    <w:rsid w:val="005E27D7"/>
    <w:rsid w:val="005E27DA"/>
    <w:rsid w:val="005E2B5D"/>
    <w:rsid w:val="005E2EC0"/>
    <w:rsid w:val="005E319C"/>
    <w:rsid w:val="005E32D0"/>
    <w:rsid w:val="005E3352"/>
    <w:rsid w:val="005E3467"/>
    <w:rsid w:val="005E3830"/>
    <w:rsid w:val="005E3B76"/>
    <w:rsid w:val="005E40AC"/>
    <w:rsid w:val="005E41E9"/>
    <w:rsid w:val="005E43D9"/>
    <w:rsid w:val="005E4480"/>
    <w:rsid w:val="005E46BE"/>
    <w:rsid w:val="005E46CF"/>
    <w:rsid w:val="005E48AD"/>
    <w:rsid w:val="005E4AC8"/>
    <w:rsid w:val="005E4BE7"/>
    <w:rsid w:val="005E501B"/>
    <w:rsid w:val="005E5052"/>
    <w:rsid w:val="005E50B5"/>
    <w:rsid w:val="005E547F"/>
    <w:rsid w:val="005E55CC"/>
    <w:rsid w:val="005E5627"/>
    <w:rsid w:val="005E61CD"/>
    <w:rsid w:val="005E635F"/>
    <w:rsid w:val="005E67FD"/>
    <w:rsid w:val="005E6845"/>
    <w:rsid w:val="005E68BA"/>
    <w:rsid w:val="005E69E7"/>
    <w:rsid w:val="005E6AC6"/>
    <w:rsid w:val="005E6EAE"/>
    <w:rsid w:val="005E7051"/>
    <w:rsid w:val="005E721A"/>
    <w:rsid w:val="005E73C6"/>
    <w:rsid w:val="005E74E0"/>
    <w:rsid w:val="005F0822"/>
    <w:rsid w:val="005F088B"/>
    <w:rsid w:val="005F08AE"/>
    <w:rsid w:val="005F0A0A"/>
    <w:rsid w:val="005F0B76"/>
    <w:rsid w:val="005F0C79"/>
    <w:rsid w:val="005F100A"/>
    <w:rsid w:val="005F10CE"/>
    <w:rsid w:val="005F113A"/>
    <w:rsid w:val="005F12A9"/>
    <w:rsid w:val="005F1366"/>
    <w:rsid w:val="005F172F"/>
    <w:rsid w:val="005F1837"/>
    <w:rsid w:val="005F27CC"/>
    <w:rsid w:val="005F2B4B"/>
    <w:rsid w:val="005F2F5D"/>
    <w:rsid w:val="005F3173"/>
    <w:rsid w:val="005F320E"/>
    <w:rsid w:val="005F335E"/>
    <w:rsid w:val="005F3414"/>
    <w:rsid w:val="005F347E"/>
    <w:rsid w:val="005F35D7"/>
    <w:rsid w:val="005F36A7"/>
    <w:rsid w:val="005F36FE"/>
    <w:rsid w:val="005F3B64"/>
    <w:rsid w:val="005F3DC6"/>
    <w:rsid w:val="005F3F95"/>
    <w:rsid w:val="005F4427"/>
    <w:rsid w:val="005F4557"/>
    <w:rsid w:val="005F47E8"/>
    <w:rsid w:val="005F4BDA"/>
    <w:rsid w:val="005F4C46"/>
    <w:rsid w:val="005F50F2"/>
    <w:rsid w:val="005F52F2"/>
    <w:rsid w:val="005F56C6"/>
    <w:rsid w:val="005F589A"/>
    <w:rsid w:val="005F5BE3"/>
    <w:rsid w:val="005F5F1B"/>
    <w:rsid w:val="005F5F8C"/>
    <w:rsid w:val="005F6058"/>
    <w:rsid w:val="005F6396"/>
    <w:rsid w:val="005F6484"/>
    <w:rsid w:val="005F64F9"/>
    <w:rsid w:val="005F655B"/>
    <w:rsid w:val="005F68BE"/>
    <w:rsid w:val="005F697C"/>
    <w:rsid w:val="005F6A01"/>
    <w:rsid w:val="005F6E92"/>
    <w:rsid w:val="005F6ED5"/>
    <w:rsid w:val="005F6EEE"/>
    <w:rsid w:val="005F7275"/>
    <w:rsid w:val="005F728C"/>
    <w:rsid w:val="005F7457"/>
    <w:rsid w:val="005F7556"/>
    <w:rsid w:val="005F77F8"/>
    <w:rsid w:val="005F7844"/>
    <w:rsid w:val="005F796F"/>
    <w:rsid w:val="005F799B"/>
    <w:rsid w:val="005F79C1"/>
    <w:rsid w:val="005F7AEB"/>
    <w:rsid w:val="0060006B"/>
    <w:rsid w:val="0060009E"/>
    <w:rsid w:val="00600280"/>
    <w:rsid w:val="0060041B"/>
    <w:rsid w:val="0060048C"/>
    <w:rsid w:val="00600542"/>
    <w:rsid w:val="0060144A"/>
    <w:rsid w:val="006014F5"/>
    <w:rsid w:val="00601BAE"/>
    <w:rsid w:val="00602108"/>
    <w:rsid w:val="0060273A"/>
    <w:rsid w:val="006029CF"/>
    <w:rsid w:val="00602D6A"/>
    <w:rsid w:val="00603047"/>
    <w:rsid w:val="0060310D"/>
    <w:rsid w:val="0060315D"/>
    <w:rsid w:val="00603259"/>
    <w:rsid w:val="00603905"/>
    <w:rsid w:val="00603908"/>
    <w:rsid w:val="006039F1"/>
    <w:rsid w:val="00603EEB"/>
    <w:rsid w:val="00603F94"/>
    <w:rsid w:val="0060440E"/>
    <w:rsid w:val="00604487"/>
    <w:rsid w:val="006049BC"/>
    <w:rsid w:val="00604ACD"/>
    <w:rsid w:val="00604DCD"/>
    <w:rsid w:val="0060543A"/>
    <w:rsid w:val="00605587"/>
    <w:rsid w:val="006056E4"/>
    <w:rsid w:val="006057A0"/>
    <w:rsid w:val="00605A78"/>
    <w:rsid w:val="00605B35"/>
    <w:rsid w:val="00605BEF"/>
    <w:rsid w:val="0060688C"/>
    <w:rsid w:val="006069B9"/>
    <w:rsid w:val="00606E72"/>
    <w:rsid w:val="00607493"/>
    <w:rsid w:val="006075CB"/>
    <w:rsid w:val="00607AB5"/>
    <w:rsid w:val="00607BE8"/>
    <w:rsid w:val="00607E7B"/>
    <w:rsid w:val="00607EC9"/>
    <w:rsid w:val="006100B1"/>
    <w:rsid w:val="00610F63"/>
    <w:rsid w:val="00610FC0"/>
    <w:rsid w:val="00611291"/>
    <w:rsid w:val="00611636"/>
    <w:rsid w:val="00611CED"/>
    <w:rsid w:val="006126C7"/>
    <w:rsid w:val="00612B73"/>
    <w:rsid w:val="00612BAD"/>
    <w:rsid w:val="00612EC4"/>
    <w:rsid w:val="006133F2"/>
    <w:rsid w:val="00613A2A"/>
    <w:rsid w:val="00614076"/>
    <w:rsid w:val="006140B0"/>
    <w:rsid w:val="00614357"/>
    <w:rsid w:val="00614870"/>
    <w:rsid w:val="00614B72"/>
    <w:rsid w:val="00614B8C"/>
    <w:rsid w:val="00614CA7"/>
    <w:rsid w:val="00614EA4"/>
    <w:rsid w:val="0061533D"/>
    <w:rsid w:val="0061571B"/>
    <w:rsid w:val="0061585D"/>
    <w:rsid w:val="00615B3F"/>
    <w:rsid w:val="00615C63"/>
    <w:rsid w:val="00616129"/>
    <w:rsid w:val="00616723"/>
    <w:rsid w:val="00616ABC"/>
    <w:rsid w:val="00616D44"/>
    <w:rsid w:val="00617223"/>
    <w:rsid w:val="00617857"/>
    <w:rsid w:val="00617B45"/>
    <w:rsid w:val="00617F14"/>
    <w:rsid w:val="00617F5C"/>
    <w:rsid w:val="00617FB9"/>
    <w:rsid w:val="0062057C"/>
    <w:rsid w:val="006205C9"/>
    <w:rsid w:val="00620664"/>
    <w:rsid w:val="0062077C"/>
    <w:rsid w:val="006207D2"/>
    <w:rsid w:val="00620A55"/>
    <w:rsid w:val="00620BC2"/>
    <w:rsid w:val="006211FC"/>
    <w:rsid w:val="006214DE"/>
    <w:rsid w:val="00621545"/>
    <w:rsid w:val="0062196B"/>
    <w:rsid w:val="00621D82"/>
    <w:rsid w:val="00622028"/>
    <w:rsid w:val="0062209F"/>
    <w:rsid w:val="006223CF"/>
    <w:rsid w:val="00622FB0"/>
    <w:rsid w:val="00622FC0"/>
    <w:rsid w:val="006237AA"/>
    <w:rsid w:val="006238E0"/>
    <w:rsid w:val="006239A3"/>
    <w:rsid w:val="00624294"/>
    <w:rsid w:val="006249C9"/>
    <w:rsid w:val="00624C28"/>
    <w:rsid w:val="00624D78"/>
    <w:rsid w:val="00624E83"/>
    <w:rsid w:val="0062503F"/>
    <w:rsid w:val="006252B0"/>
    <w:rsid w:val="006252CA"/>
    <w:rsid w:val="00625370"/>
    <w:rsid w:val="00625378"/>
    <w:rsid w:val="006254A9"/>
    <w:rsid w:val="006257F5"/>
    <w:rsid w:val="006259E9"/>
    <w:rsid w:val="00625AE5"/>
    <w:rsid w:val="00625D05"/>
    <w:rsid w:val="00625E1E"/>
    <w:rsid w:val="00625E3B"/>
    <w:rsid w:val="006260F8"/>
    <w:rsid w:val="006268E1"/>
    <w:rsid w:val="0062691A"/>
    <w:rsid w:val="00626936"/>
    <w:rsid w:val="00626A33"/>
    <w:rsid w:val="00626C17"/>
    <w:rsid w:val="00626CE3"/>
    <w:rsid w:val="00626D22"/>
    <w:rsid w:val="00626F14"/>
    <w:rsid w:val="006271C9"/>
    <w:rsid w:val="0062734B"/>
    <w:rsid w:val="006274B0"/>
    <w:rsid w:val="006276C0"/>
    <w:rsid w:val="00627838"/>
    <w:rsid w:val="0062787D"/>
    <w:rsid w:val="00627989"/>
    <w:rsid w:val="006279C1"/>
    <w:rsid w:val="00627C76"/>
    <w:rsid w:val="00627E2A"/>
    <w:rsid w:val="00630048"/>
    <w:rsid w:val="006300CF"/>
    <w:rsid w:val="006303B0"/>
    <w:rsid w:val="006303FF"/>
    <w:rsid w:val="00630765"/>
    <w:rsid w:val="0063085E"/>
    <w:rsid w:val="00630E7F"/>
    <w:rsid w:val="00630EA3"/>
    <w:rsid w:val="00630FF8"/>
    <w:rsid w:val="0063113C"/>
    <w:rsid w:val="00631261"/>
    <w:rsid w:val="00631295"/>
    <w:rsid w:val="00631471"/>
    <w:rsid w:val="00631521"/>
    <w:rsid w:val="0063155F"/>
    <w:rsid w:val="00631CCD"/>
    <w:rsid w:val="00631DAA"/>
    <w:rsid w:val="0063217A"/>
    <w:rsid w:val="0063243D"/>
    <w:rsid w:val="0063281E"/>
    <w:rsid w:val="006328D7"/>
    <w:rsid w:val="00632E75"/>
    <w:rsid w:val="00632FD8"/>
    <w:rsid w:val="00632FFF"/>
    <w:rsid w:val="00633282"/>
    <w:rsid w:val="00633360"/>
    <w:rsid w:val="00633363"/>
    <w:rsid w:val="00633D6C"/>
    <w:rsid w:val="00633F81"/>
    <w:rsid w:val="00634524"/>
    <w:rsid w:val="006345F2"/>
    <w:rsid w:val="006346E0"/>
    <w:rsid w:val="00634802"/>
    <w:rsid w:val="0063482B"/>
    <w:rsid w:val="006348A1"/>
    <w:rsid w:val="0063495E"/>
    <w:rsid w:val="00634A29"/>
    <w:rsid w:val="00634B8B"/>
    <w:rsid w:val="00634C65"/>
    <w:rsid w:val="00635137"/>
    <w:rsid w:val="0063525D"/>
    <w:rsid w:val="006353A6"/>
    <w:rsid w:val="006357FE"/>
    <w:rsid w:val="00635EEF"/>
    <w:rsid w:val="0063629B"/>
    <w:rsid w:val="00636335"/>
    <w:rsid w:val="006365F3"/>
    <w:rsid w:val="006368D0"/>
    <w:rsid w:val="006368F9"/>
    <w:rsid w:val="00636AC3"/>
    <w:rsid w:val="00636B9D"/>
    <w:rsid w:val="0063720F"/>
    <w:rsid w:val="006375FB"/>
    <w:rsid w:val="00637876"/>
    <w:rsid w:val="00637921"/>
    <w:rsid w:val="006402F8"/>
    <w:rsid w:val="006403D4"/>
    <w:rsid w:val="006404C5"/>
    <w:rsid w:val="00640C2B"/>
    <w:rsid w:val="00640E12"/>
    <w:rsid w:val="0064110D"/>
    <w:rsid w:val="006412B6"/>
    <w:rsid w:val="006413FA"/>
    <w:rsid w:val="006419C3"/>
    <w:rsid w:val="00641C58"/>
    <w:rsid w:val="0064228E"/>
    <w:rsid w:val="00642752"/>
    <w:rsid w:val="006427C7"/>
    <w:rsid w:val="00642803"/>
    <w:rsid w:val="00642BD8"/>
    <w:rsid w:val="00642D6A"/>
    <w:rsid w:val="00642ED1"/>
    <w:rsid w:val="00642F0E"/>
    <w:rsid w:val="00642FF1"/>
    <w:rsid w:val="006430A6"/>
    <w:rsid w:val="00643594"/>
    <w:rsid w:val="006437F9"/>
    <w:rsid w:val="006439B6"/>
    <w:rsid w:val="00643A82"/>
    <w:rsid w:val="00643B98"/>
    <w:rsid w:val="00643BFD"/>
    <w:rsid w:val="00643E8D"/>
    <w:rsid w:val="00643FD1"/>
    <w:rsid w:val="006445DE"/>
    <w:rsid w:val="006447F4"/>
    <w:rsid w:val="006449BD"/>
    <w:rsid w:val="00644ABA"/>
    <w:rsid w:val="00644C0B"/>
    <w:rsid w:val="00644DF7"/>
    <w:rsid w:val="00644E75"/>
    <w:rsid w:val="00644FB6"/>
    <w:rsid w:val="006452AC"/>
    <w:rsid w:val="00645465"/>
    <w:rsid w:val="00645476"/>
    <w:rsid w:val="00645602"/>
    <w:rsid w:val="006457D0"/>
    <w:rsid w:val="00645A43"/>
    <w:rsid w:val="00645D2B"/>
    <w:rsid w:val="00646044"/>
    <w:rsid w:val="0064608D"/>
    <w:rsid w:val="006460AB"/>
    <w:rsid w:val="00646408"/>
    <w:rsid w:val="00646564"/>
    <w:rsid w:val="00646798"/>
    <w:rsid w:val="006467D7"/>
    <w:rsid w:val="00646C33"/>
    <w:rsid w:val="00646F40"/>
    <w:rsid w:val="00647331"/>
    <w:rsid w:val="0064761B"/>
    <w:rsid w:val="006476C4"/>
    <w:rsid w:val="006476E6"/>
    <w:rsid w:val="006477D3"/>
    <w:rsid w:val="006479D9"/>
    <w:rsid w:val="00647A8C"/>
    <w:rsid w:val="00647D7E"/>
    <w:rsid w:val="00647E11"/>
    <w:rsid w:val="00650015"/>
    <w:rsid w:val="006500A8"/>
    <w:rsid w:val="00650508"/>
    <w:rsid w:val="006505A1"/>
    <w:rsid w:val="006505AD"/>
    <w:rsid w:val="00650632"/>
    <w:rsid w:val="00650B3B"/>
    <w:rsid w:val="00650BC3"/>
    <w:rsid w:val="00650D5D"/>
    <w:rsid w:val="00650DB4"/>
    <w:rsid w:val="00651007"/>
    <w:rsid w:val="006512ED"/>
    <w:rsid w:val="006518D3"/>
    <w:rsid w:val="0065191D"/>
    <w:rsid w:val="00651A2C"/>
    <w:rsid w:val="00651AE6"/>
    <w:rsid w:val="00651B24"/>
    <w:rsid w:val="00651BFC"/>
    <w:rsid w:val="00651CD9"/>
    <w:rsid w:val="006522ED"/>
    <w:rsid w:val="00652385"/>
    <w:rsid w:val="006524EE"/>
    <w:rsid w:val="00652573"/>
    <w:rsid w:val="00652609"/>
    <w:rsid w:val="0065265C"/>
    <w:rsid w:val="00652783"/>
    <w:rsid w:val="00652960"/>
    <w:rsid w:val="006529BB"/>
    <w:rsid w:val="00652C57"/>
    <w:rsid w:val="00652CF4"/>
    <w:rsid w:val="00652D88"/>
    <w:rsid w:val="00652EBE"/>
    <w:rsid w:val="00653251"/>
    <w:rsid w:val="006537B7"/>
    <w:rsid w:val="0065389A"/>
    <w:rsid w:val="00653996"/>
    <w:rsid w:val="006539F5"/>
    <w:rsid w:val="00653A73"/>
    <w:rsid w:val="00653B57"/>
    <w:rsid w:val="00654210"/>
    <w:rsid w:val="00654383"/>
    <w:rsid w:val="00654470"/>
    <w:rsid w:val="006545B6"/>
    <w:rsid w:val="006548AA"/>
    <w:rsid w:val="00654AD8"/>
    <w:rsid w:val="00654C37"/>
    <w:rsid w:val="00655435"/>
    <w:rsid w:val="0065544A"/>
    <w:rsid w:val="006556C8"/>
    <w:rsid w:val="00655B1E"/>
    <w:rsid w:val="00655E22"/>
    <w:rsid w:val="00656411"/>
    <w:rsid w:val="00656519"/>
    <w:rsid w:val="006568D5"/>
    <w:rsid w:val="00656A3D"/>
    <w:rsid w:val="00656BE5"/>
    <w:rsid w:val="00656F1A"/>
    <w:rsid w:val="0065705C"/>
    <w:rsid w:val="006570E8"/>
    <w:rsid w:val="0065716B"/>
    <w:rsid w:val="006572FC"/>
    <w:rsid w:val="00657462"/>
    <w:rsid w:val="006579BD"/>
    <w:rsid w:val="006579DA"/>
    <w:rsid w:val="00657AC5"/>
    <w:rsid w:val="00657B67"/>
    <w:rsid w:val="00657DC3"/>
    <w:rsid w:val="00657E44"/>
    <w:rsid w:val="00657ED6"/>
    <w:rsid w:val="0066004B"/>
    <w:rsid w:val="006607F9"/>
    <w:rsid w:val="00660931"/>
    <w:rsid w:val="00660B7A"/>
    <w:rsid w:val="00660DC2"/>
    <w:rsid w:val="00661281"/>
    <w:rsid w:val="0066155B"/>
    <w:rsid w:val="00661697"/>
    <w:rsid w:val="006616EB"/>
    <w:rsid w:val="00661B28"/>
    <w:rsid w:val="00661C2C"/>
    <w:rsid w:val="00661E38"/>
    <w:rsid w:val="00661EB5"/>
    <w:rsid w:val="00661F81"/>
    <w:rsid w:val="00662189"/>
    <w:rsid w:val="00662246"/>
    <w:rsid w:val="006625C2"/>
    <w:rsid w:val="00662681"/>
    <w:rsid w:val="00662B3A"/>
    <w:rsid w:val="00662B70"/>
    <w:rsid w:val="00662B96"/>
    <w:rsid w:val="00662C3D"/>
    <w:rsid w:val="00662C61"/>
    <w:rsid w:val="00662FBA"/>
    <w:rsid w:val="006635C1"/>
    <w:rsid w:val="00663607"/>
    <w:rsid w:val="00663979"/>
    <w:rsid w:val="00663ACE"/>
    <w:rsid w:val="00663CBB"/>
    <w:rsid w:val="00664114"/>
    <w:rsid w:val="0066429C"/>
    <w:rsid w:val="006642C4"/>
    <w:rsid w:val="00664636"/>
    <w:rsid w:val="00664830"/>
    <w:rsid w:val="00664B9E"/>
    <w:rsid w:val="00664C0A"/>
    <w:rsid w:val="00664C8E"/>
    <w:rsid w:val="00664EA8"/>
    <w:rsid w:val="00665212"/>
    <w:rsid w:val="006653EC"/>
    <w:rsid w:val="00665451"/>
    <w:rsid w:val="00665600"/>
    <w:rsid w:val="00665973"/>
    <w:rsid w:val="006659F3"/>
    <w:rsid w:val="00665A0E"/>
    <w:rsid w:val="00665E88"/>
    <w:rsid w:val="00666149"/>
    <w:rsid w:val="00666295"/>
    <w:rsid w:val="00666517"/>
    <w:rsid w:val="00666614"/>
    <w:rsid w:val="00666690"/>
    <w:rsid w:val="0066697A"/>
    <w:rsid w:val="00666CEA"/>
    <w:rsid w:val="00666F95"/>
    <w:rsid w:val="006674D4"/>
    <w:rsid w:val="00667817"/>
    <w:rsid w:val="006678B7"/>
    <w:rsid w:val="00667E78"/>
    <w:rsid w:val="00667F74"/>
    <w:rsid w:val="00667FBD"/>
    <w:rsid w:val="00670257"/>
    <w:rsid w:val="0067025D"/>
    <w:rsid w:val="006707B7"/>
    <w:rsid w:val="006707DF"/>
    <w:rsid w:val="00670C5C"/>
    <w:rsid w:val="00670C9F"/>
    <w:rsid w:val="00670E96"/>
    <w:rsid w:val="00671082"/>
    <w:rsid w:val="0067157C"/>
    <w:rsid w:val="00671AA3"/>
    <w:rsid w:val="00671B8B"/>
    <w:rsid w:val="00671D6B"/>
    <w:rsid w:val="00671FF4"/>
    <w:rsid w:val="006720A0"/>
    <w:rsid w:val="006720E2"/>
    <w:rsid w:val="0067222A"/>
    <w:rsid w:val="0067232A"/>
    <w:rsid w:val="006726C1"/>
    <w:rsid w:val="00672F77"/>
    <w:rsid w:val="006733C2"/>
    <w:rsid w:val="00673414"/>
    <w:rsid w:val="00673475"/>
    <w:rsid w:val="006737CF"/>
    <w:rsid w:val="0067387E"/>
    <w:rsid w:val="0067394B"/>
    <w:rsid w:val="00673C9F"/>
    <w:rsid w:val="00673D0E"/>
    <w:rsid w:val="006741B5"/>
    <w:rsid w:val="0067431A"/>
    <w:rsid w:val="006743EF"/>
    <w:rsid w:val="00674966"/>
    <w:rsid w:val="00674978"/>
    <w:rsid w:val="00674A1D"/>
    <w:rsid w:val="00674CB0"/>
    <w:rsid w:val="00675060"/>
    <w:rsid w:val="00675148"/>
    <w:rsid w:val="006754BD"/>
    <w:rsid w:val="006756B2"/>
    <w:rsid w:val="006758B8"/>
    <w:rsid w:val="00675AD7"/>
    <w:rsid w:val="00675B61"/>
    <w:rsid w:val="00675BEA"/>
    <w:rsid w:val="00676021"/>
    <w:rsid w:val="0067603D"/>
    <w:rsid w:val="006761D2"/>
    <w:rsid w:val="00676522"/>
    <w:rsid w:val="00676773"/>
    <w:rsid w:val="006768A1"/>
    <w:rsid w:val="00676A26"/>
    <w:rsid w:val="00676A41"/>
    <w:rsid w:val="00677050"/>
    <w:rsid w:val="006773D7"/>
    <w:rsid w:val="006776AA"/>
    <w:rsid w:val="00677786"/>
    <w:rsid w:val="00677799"/>
    <w:rsid w:val="0067794D"/>
    <w:rsid w:val="00677A50"/>
    <w:rsid w:val="00677AA2"/>
    <w:rsid w:val="00677C06"/>
    <w:rsid w:val="00677CFA"/>
    <w:rsid w:val="00677E84"/>
    <w:rsid w:val="00680063"/>
    <w:rsid w:val="006801C1"/>
    <w:rsid w:val="00680219"/>
    <w:rsid w:val="00680480"/>
    <w:rsid w:val="00680557"/>
    <w:rsid w:val="0068082D"/>
    <w:rsid w:val="00680A20"/>
    <w:rsid w:val="00680A86"/>
    <w:rsid w:val="00680E9D"/>
    <w:rsid w:val="00680ED7"/>
    <w:rsid w:val="006811C4"/>
    <w:rsid w:val="00681244"/>
    <w:rsid w:val="0068162C"/>
    <w:rsid w:val="00681C20"/>
    <w:rsid w:val="006824A7"/>
    <w:rsid w:val="00682765"/>
    <w:rsid w:val="006827CA"/>
    <w:rsid w:val="0068284D"/>
    <w:rsid w:val="00682909"/>
    <w:rsid w:val="00682E0A"/>
    <w:rsid w:val="00682E81"/>
    <w:rsid w:val="006833CD"/>
    <w:rsid w:val="00683522"/>
    <w:rsid w:val="006839F4"/>
    <w:rsid w:val="00683A2E"/>
    <w:rsid w:val="00683BDB"/>
    <w:rsid w:val="00683D22"/>
    <w:rsid w:val="00683D2A"/>
    <w:rsid w:val="00683E28"/>
    <w:rsid w:val="006840AC"/>
    <w:rsid w:val="00684312"/>
    <w:rsid w:val="006843B6"/>
    <w:rsid w:val="0068445B"/>
    <w:rsid w:val="00684603"/>
    <w:rsid w:val="0068461E"/>
    <w:rsid w:val="00684910"/>
    <w:rsid w:val="00684AA4"/>
    <w:rsid w:val="00684C1D"/>
    <w:rsid w:val="00684D26"/>
    <w:rsid w:val="00684DA1"/>
    <w:rsid w:val="00684DA3"/>
    <w:rsid w:val="00685188"/>
    <w:rsid w:val="00685288"/>
    <w:rsid w:val="00685375"/>
    <w:rsid w:val="00685444"/>
    <w:rsid w:val="0068580E"/>
    <w:rsid w:val="006859DB"/>
    <w:rsid w:val="00685AEB"/>
    <w:rsid w:val="00685AF1"/>
    <w:rsid w:val="00685EEF"/>
    <w:rsid w:val="00685F12"/>
    <w:rsid w:val="006860C1"/>
    <w:rsid w:val="0068623A"/>
    <w:rsid w:val="006865D8"/>
    <w:rsid w:val="00686CFA"/>
    <w:rsid w:val="00686FC0"/>
    <w:rsid w:val="00686FEA"/>
    <w:rsid w:val="00687419"/>
    <w:rsid w:val="00687438"/>
    <w:rsid w:val="00687495"/>
    <w:rsid w:val="0068756A"/>
    <w:rsid w:val="0068779E"/>
    <w:rsid w:val="00687913"/>
    <w:rsid w:val="00687A93"/>
    <w:rsid w:val="00687BBE"/>
    <w:rsid w:val="00687C25"/>
    <w:rsid w:val="00687C94"/>
    <w:rsid w:val="00687D8F"/>
    <w:rsid w:val="006904D7"/>
    <w:rsid w:val="00690A96"/>
    <w:rsid w:val="00690B1C"/>
    <w:rsid w:val="00690D7C"/>
    <w:rsid w:val="00690F0B"/>
    <w:rsid w:val="00691042"/>
    <w:rsid w:val="00691082"/>
    <w:rsid w:val="006910AD"/>
    <w:rsid w:val="006917BC"/>
    <w:rsid w:val="00691C99"/>
    <w:rsid w:val="00691E58"/>
    <w:rsid w:val="006920D2"/>
    <w:rsid w:val="0069214D"/>
    <w:rsid w:val="00692338"/>
    <w:rsid w:val="006927F4"/>
    <w:rsid w:val="00692831"/>
    <w:rsid w:val="006928B0"/>
    <w:rsid w:val="00692977"/>
    <w:rsid w:val="00692E8A"/>
    <w:rsid w:val="00692F62"/>
    <w:rsid w:val="00692FFD"/>
    <w:rsid w:val="00693067"/>
    <w:rsid w:val="00693345"/>
    <w:rsid w:val="006933CD"/>
    <w:rsid w:val="00693654"/>
    <w:rsid w:val="00693B7C"/>
    <w:rsid w:val="00693C2C"/>
    <w:rsid w:val="00693C74"/>
    <w:rsid w:val="00693D56"/>
    <w:rsid w:val="00693DBB"/>
    <w:rsid w:val="00693DE3"/>
    <w:rsid w:val="00693F2B"/>
    <w:rsid w:val="006942A1"/>
    <w:rsid w:val="006943AB"/>
    <w:rsid w:val="0069479C"/>
    <w:rsid w:val="00694A70"/>
    <w:rsid w:val="00694B61"/>
    <w:rsid w:val="00694BAC"/>
    <w:rsid w:val="00694C84"/>
    <w:rsid w:val="00694E9F"/>
    <w:rsid w:val="00694FB4"/>
    <w:rsid w:val="006951A5"/>
    <w:rsid w:val="00695449"/>
    <w:rsid w:val="006954E8"/>
    <w:rsid w:val="00695A69"/>
    <w:rsid w:val="00695D30"/>
    <w:rsid w:val="00695F09"/>
    <w:rsid w:val="006960F7"/>
    <w:rsid w:val="00696225"/>
    <w:rsid w:val="006962A2"/>
    <w:rsid w:val="00696A4F"/>
    <w:rsid w:val="00697028"/>
    <w:rsid w:val="0069732A"/>
    <w:rsid w:val="006976DA"/>
    <w:rsid w:val="00697726"/>
    <w:rsid w:val="0069780A"/>
    <w:rsid w:val="00697967"/>
    <w:rsid w:val="006979CA"/>
    <w:rsid w:val="00697A48"/>
    <w:rsid w:val="00697C62"/>
    <w:rsid w:val="006A0262"/>
    <w:rsid w:val="006A0817"/>
    <w:rsid w:val="006A08A2"/>
    <w:rsid w:val="006A0B7A"/>
    <w:rsid w:val="006A0CFE"/>
    <w:rsid w:val="006A0E02"/>
    <w:rsid w:val="006A1122"/>
    <w:rsid w:val="006A1419"/>
    <w:rsid w:val="006A1712"/>
    <w:rsid w:val="006A17DA"/>
    <w:rsid w:val="006A18D7"/>
    <w:rsid w:val="006A1AA4"/>
    <w:rsid w:val="006A1AB8"/>
    <w:rsid w:val="006A1CD4"/>
    <w:rsid w:val="006A21C3"/>
    <w:rsid w:val="006A2685"/>
    <w:rsid w:val="006A2707"/>
    <w:rsid w:val="006A2939"/>
    <w:rsid w:val="006A2B29"/>
    <w:rsid w:val="006A2B7C"/>
    <w:rsid w:val="006A2C17"/>
    <w:rsid w:val="006A2E4E"/>
    <w:rsid w:val="006A2EB2"/>
    <w:rsid w:val="006A2F2E"/>
    <w:rsid w:val="006A302B"/>
    <w:rsid w:val="006A336C"/>
    <w:rsid w:val="006A35C8"/>
    <w:rsid w:val="006A35DC"/>
    <w:rsid w:val="006A3AF9"/>
    <w:rsid w:val="006A3D7C"/>
    <w:rsid w:val="006A43AC"/>
    <w:rsid w:val="006A43BE"/>
    <w:rsid w:val="006A44E7"/>
    <w:rsid w:val="006A46C7"/>
    <w:rsid w:val="006A4724"/>
    <w:rsid w:val="006A4803"/>
    <w:rsid w:val="006A498D"/>
    <w:rsid w:val="006A4A4C"/>
    <w:rsid w:val="006A4EAC"/>
    <w:rsid w:val="006A4F21"/>
    <w:rsid w:val="006A4F36"/>
    <w:rsid w:val="006A4FC5"/>
    <w:rsid w:val="006A4FDD"/>
    <w:rsid w:val="006A562F"/>
    <w:rsid w:val="006A56B1"/>
    <w:rsid w:val="006A5769"/>
    <w:rsid w:val="006A5D3D"/>
    <w:rsid w:val="006A5DDE"/>
    <w:rsid w:val="006A61BB"/>
    <w:rsid w:val="006A61C3"/>
    <w:rsid w:val="006A624C"/>
    <w:rsid w:val="006A674E"/>
    <w:rsid w:val="006A6825"/>
    <w:rsid w:val="006A68D9"/>
    <w:rsid w:val="006A6AF2"/>
    <w:rsid w:val="006A6C5D"/>
    <w:rsid w:val="006A6C9D"/>
    <w:rsid w:val="006A6CE0"/>
    <w:rsid w:val="006A6D14"/>
    <w:rsid w:val="006A6EB9"/>
    <w:rsid w:val="006A704B"/>
    <w:rsid w:val="006A7116"/>
    <w:rsid w:val="006A74D8"/>
    <w:rsid w:val="006A74E1"/>
    <w:rsid w:val="006A7598"/>
    <w:rsid w:val="006A77C1"/>
    <w:rsid w:val="006A7B2E"/>
    <w:rsid w:val="006A7BE1"/>
    <w:rsid w:val="006A7CD3"/>
    <w:rsid w:val="006A7EC4"/>
    <w:rsid w:val="006A7F98"/>
    <w:rsid w:val="006B01FE"/>
    <w:rsid w:val="006B066D"/>
    <w:rsid w:val="006B0A6C"/>
    <w:rsid w:val="006B0CA9"/>
    <w:rsid w:val="006B0CF1"/>
    <w:rsid w:val="006B0ED1"/>
    <w:rsid w:val="006B110F"/>
    <w:rsid w:val="006B126C"/>
    <w:rsid w:val="006B1560"/>
    <w:rsid w:val="006B18FD"/>
    <w:rsid w:val="006B1958"/>
    <w:rsid w:val="006B19C2"/>
    <w:rsid w:val="006B1AE9"/>
    <w:rsid w:val="006B1BA6"/>
    <w:rsid w:val="006B1C54"/>
    <w:rsid w:val="006B1DB9"/>
    <w:rsid w:val="006B2095"/>
    <w:rsid w:val="006B22FD"/>
    <w:rsid w:val="006B2884"/>
    <w:rsid w:val="006B293D"/>
    <w:rsid w:val="006B2B29"/>
    <w:rsid w:val="006B2CD6"/>
    <w:rsid w:val="006B3026"/>
    <w:rsid w:val="006B3039"/>
    <w:rsid w:val="006B3247"/>
    <w:rsid w:val="006B399B"/>
    <w:rsid w:val="006B3B47"/>
    <w:rsid w:val="006B3C7B"/>
    <w:rsid w:val="006B3E11"/>
    <w:rsid w:val="006B3FAF"/>
    <w:rsid w:val="006B406E"/>
    <w:rsid w:val="006B40A8"/>
    <w:rsid w:val="006B424B"/>
    <w:rsid w:val="006B4480"/>
    <w:rsid w:val="006B45A1"/>
    <w:rsid w:val="006B48FA"/>
    <w:rsid w:val="006B502B"/>
    <w:rsid w:val="006B558B"/>
    <w:rsid w:val="006B5810"/>
    <w:rsid w:val="006B5BA0"/>
    <w:rsid w:val="006B5CA9"/>
    <w:rsid w:val="006B5CD9"/>
    <w:rsid w:val="006B5EA9"/>
    <w:rsid w:val="006B5F62"/>
    <w:rsid w:val="006B612C"/>
    <w:rsid w:val="006B662C"/>
    <w:rsid w:val="006B6799"/>
    <w:rsid w:val="006B6AB4"/>
    <w:rsid w:val="006B6B2E"/>
    <w:rsid w:val="006B6EEB"/>
    <w:rsid w:val="006B6FF6"/>
    <w:rsid w:val="006B70DB"/>
    <w:rsid w:val="006B73D3"/>
    <w:rsid w:val="006B75AF"/>
    <w:rsid w:val="006B771C"/>
    <w:rsid w:val="006B7788"/>
    <w:rsid w:val="006B789B"/>
    <w:rsid w:val="006B78A4"/>
    <w:rsid w:val="006C007A"/>
    <w:rsid w:val="006C022C"/>
    <w:rsid w:val="006C0B15"/>
    <w:rsid w:val="006C0B71"/>
    <w:rsid w:val="006C1267"/>
    <w:rsid w:val="006C14B7"/>
    <w:rsid w:val="006C159C"/>
    <w:rsid w:val="006C195E"/>
    <w:rsid w:val="006C19D7"/>
    <w:rsid w:val="006C1D4B"/>
    <w:rsid w:val="006C1DF9"/>
    <w:rsid w:val="006C1E52"/>
    <w:rsid w:val="006C217D"/>
    <w:rsid w:val="006C22CD"/>
    <w:rsid w:val="006C23D3"/>
    <w:rsid w:val="006C2432"/>
    <w:rsid w:val="006C2511"/>
    <w:rsid w:val="006C2830"/>
    <w:rsid w:val="006C2959"/>
    <w:rsid w:val="006C30C9"/>
    <w:rsid w:val="006C31C9"/>
    <w:rsid w:val="006C3326"/>
    <w:rsid w:val="006C362D"/>
    <w:rsid w:val="006C3896"/>
    <w:rsid w:val="006C38D3"/>
    <w:rsid w:val="006C38F6"/>
    <w:rsid w:val="006C39B0"/>
    <w:rsid w:val="006C3A7D"/>
    <w:rsid w:val="006C3D06"/>
    <w:rsid w:val="006C3D6C"/>
    <w:rsid w:val="006C42F4"/>
    <w:rsid w:val="006C4437"/>
    <w:rsid w:val="006C46CB"/>
    <w:rsid w:val="006C49B0"/>
    <w:rsid w:val="006C4A97"/>
    <w:rsid w:val="006C4CC5"/>
    <w:rsid w:val="006C4D4E"/>
    <w:rsid w:val="006C4DF7"/>
    <w:rsid w:val="006C4E2D"/>
    <w:rsid w:val="006C54C3"/>
    <w:rsid w:val="006C5983"/>
    <w:rsid w:val="006C5C10"/>
    <w:rsid w:val="006C633B"/>
    <w:rsid w:val="006C64F8"/>
    <w:rsid w:val="006C6CE2"/>
    <w:rsid w:val="006C6F57"/>
    <w:rsid w:val="006C716F"/>
    <w:rsid w:val="006C730F"/>
    <w:rsid w:val="006C7778"/>
    <w:rsid w:val="006C780C"/>
    <w:rsid w:val="006C7B0F"/>
    <w:rsid w:val="006C7BAB"/>
    <w:rsid w:val="006C7C1B"/>
    <w:rsid w:val="006C7F1D"/>
    <w:rsid w:val="006C7FAF"/>
    <w:rsid w:val="006D0244"/>
    <w:rsid w:val="006D03F3"/>
    <w:rsid w:val="006D046D"/>
    <w:rsid w:val="006D05CC"/>
    <w:rsid w:val="006D06A6"/>
    <w:rsid w:val="006D090E"/>
    <w:rsid w:val="006D0E5B"/>
    <w:rsid w:val="006D0EB9"/>
    <w:rsid w:val="006D0ED0"/>
    <w:rsid w:val="006D0FC6"/>
    <w:rsid w:val="006D101B"/>
    <w:rsid w:val="006D1D00"/>
    <w:rsid w:val="006D1D9D"/>
    <w:rsid w:val="006D1EAD"/>
    <w:rsid w:val="006D259B"/>
    <w:rsid w:val="006D26AC"/>
    <w:rsid w:val="006D2961"/>
    <w:rsid w:val="006D2A57"/>
    <w:rsid w:val="006D2DB6"/>
    <w:rsid w:val="006D2F30"/>
    <w:rsid w:val="006D2F33"/>
    <w:rsid w:val="006D326C"/>
    <w:rsid w:val="006D3462"/>
    <w:rsid w:val="006D37FE"/>
    <w:rsid w:val="006D381B"/>
    <w:rsid w:val="006D386B"/>
    <w:rsid w:val="006D3FF9"/>
    <w:rsid w:val="006D4057"/>
    <w:rsid w:val="006D40F6"/>
    <w:rsid w:val="006D4146"/>
    <w:rsid w:val="006D445E"/>
    <w:rsid w:val="006D4811"/>
    <w:rsid w:val="006D4821"/>
    <w:rsid w:val="006D4B3D"/>
    <w:rsid w:val="006D4C5E"/>
    <w:rsid w:val="006D4D54"/>
    <w:rsid w:val="006D50DB"/>
    <w:rsid w:val="006D53B8"/>
    <w:rsid w:val="006D544C"/>
    <w:rsid w:val="006D55B6"/>
    <w:rsid w:val="006D55E1"/>
    <w:rsid w:val="006D59BE"/>
    <w:rsid w:val="006D5F93"/>
    <w:rsid w:val="006D64A1"/>
    <w:rsid w:val="006D65EA"/>
    <w:rsid w:val="006D6948"/>
    <w:rsid w:val="006D6B40"/>
    <w:rsid w:val="006D6BDA"/>
    <w:rsid w:val="006D6F4A"/>
    <w:rsid w:val="006D6F73"/>
    <w:rsid w:val="006D6FF8"/>
    <w:rsid w:val="006D7299"/>
    <w:rsid w:val="006D75B0"/>
    <w:rsid w:val="006D7D43"/>
    <w:rsid w:val="006E057C"/>
    <w:rsid w:val="006E0664"/>
    <w:rsid w:val="006E0854"/>
    <w:rsid w:val="006E08BA"/>
    <w:rsid w:val="006E0B08"/>
    <w:rsid w:val="006E1208"/>
    <w:rsid w:val="006E1222"/>
    <w:rsid w:val="006E14F4"/>
    <w:rsid w:val="006E15ED"/>
    <w:rsid w:val="006E161F"/>
    <w:rsid w:val="006E1660"/>
    <w:rsid w:val="006E18B9"/>
    <w:rsid w:val="006E1D40"/>
    <w:rsid w:val="006E1E8E"/>
    <w:rsid w:val="006E1FB7"/>
    <w:rsid w:val="006E20EC"/>
    <w:rsid w:val="006E25E7"/>
    <w:rsid w:val="006E27E5"/>
    <w:rsid w:val="006E2E0C"/>
    <w:rsid w:val="006E3034"/>
    <w:rsid w:val="006E3094"/>
    <w:rsid w:val="006E3486"/>
    <w:rsid w:val="006E35CB"/>
    <w:rsid w:val="006E38BC"/>
    <w:rsid w:val="006E3D41"/>
    <w:rsid w:val="006E415B"/>
    <w:rsid w:val="006E48EC"/>
    <w:rsid w:val="006E48F5"/>
    <w:rsid w:val="006E4A19"/>
    <w:rsid w:val="006E4A87"/>
    <w:rsid w:val="006E4B1F"/>
    <w:rsid w:val="006E4C08"/>
    <w:rsid w:val="006E4CC8"/>
    <w:rsid w:val="006E4F7C"/>
    <w:rsid w:val="006E525D"/>
    <w:rsid w:val="006E5426"/>
    <w:rsid w:val="006E5535"/>
    <w:rsid w:val="006E5821"/>
    <w:rsid w:val="006E5A1B"/>
    <w:rsid w:val="006E5AAC"/>
    <w:rsid w:val="006E5CCF"/>
    <w:rsid w:val="006E5D0B"/>
    <w:rsid w:val="006E5DD6"/>
    <w:rsid w:val="006E5E7E"/>
    <w:rsid w:val="006E5F7C"/>
    <w:rsid w:val="006E5FB7"/>
    <w:rsid w:val="006E61F9"/>
    <w:rsid w:val="006E6307"/>
    <w:rsid w:val="006E6329"/>
    <w:rsid w:val="006E66F3"/>
    <w:rsid w:val="006E6922"/>
    <w:rsid w:val="006E69E4"/>
    <w:rsid w:val="006E6A66"/>
    <w:rsid w:val="006E6CF6"/>
    <w:rsid w:val="006E6E63"/>
    <w:rsid w:val="006E7109"/>
    <w:rsid w:val="006E7659"/>
    <w:rsid w:val="006E7C50"/>
    <w:rsid w:val="006F0092"/>
    <w:rsid w:val="006F015E"/>
    <w:rsid w:val="006F02EA"/>
    <w:rsid w:val="006F0581"/>
    <w:rsid w:val="006F08B2"/>
    <w:rsid w:val="006F0A7C"/>
    <w:rsid w:val="006F0CD6"/>
    <w:rsid w:val="006F0EB8"/>
    <w:rsid w:val="006F0F98"/>
    <w:rsid w:val="006F1003"/>
    <w:rsid w:val="006F12F0"/>
    <w:rsid w:val="006F1311"/>
    <w:rsid w:val="006F1991"/>
    <w:rsid w:val="006F1D59"/>
    <w:rsid w:val="006F2580"/>
    <w:rsid w:val="006F26B7"/>
    <w:rsid w:val="006F26FD"/>
    <w:rsid w:val="006F2822"/>
    <w:rsid w:val="006F2929"/>
    <w:rsid w:val="006F2EA2"/>
    <w:rsid w:val="006F2ECF"/>
    <w:rsid w:val="006F2FB5"/>
    <w:rsid w:val="006F31FC"/>
    <w:rsid w:val="006F3368"/>
    <w:rsid w:val="006F340E"/>
    <w:rsid w:val="006F34B9"/>
    <w:rsid w:val="006F3654"/>
    <w:rsid w:val="006F3724"/>
    <w:rsid w:val="006F38FA"/>
    <w:rsid w:val="006F3BA3"/>
    <w:rsid w:val="006F3F4A"/>
    <w:rsid w:val="006F4020"/>
    <w:rsid w:val="006F45E1"/>
    <w:rsid w:val="006F4A7D"/>
    <w:rsid w:val="006F4AC4"/>
    <w:rsid w:val="006F4B96"/>
    <w:rsid w:val="006F4CB2"/>
    <w:rsid w:val="006F4EFB"/>
    <w:rsid w:val="006F4F11"/>
    <w:rsid w:val="006F52B2"/>
    <w:rsid w:val="006F56E8"/>
    <w:rsid w:val="006F5707"/>
    <w:rsid w:val="006F5745"/>
    <w:rsid w:val="006F5E0E"/>
    <w:rsid w:val="006F5E47"/>
    <w:rsid w:val="006F5F21"/>
    <w:rsid w:val="006F5FDB"/>
    <w:rsid w:val="006F60B8"/>
    <w:rsid w:val="006F662C"/>
    <w:rsid w:val="006F694E"/>
    <w:rsid w:val="006F6CDE"/>
    <w:rsid w:val="006F6D29"/>
    <w:rsid w:val="006F6ED2"/>
    <w:rsid w:val="006F7233"/>
    <w:rsid w:val="006F765D"/>
    <w:rsid w:val="006F77B3"/>
    <w:rsid w:val="006F7850"/>
    <w:rsid w:val="006F7F55"/>
    <w:rsid w:val="0070053B"/>
    <w:rsid w:val="00700BAE"/>
    <w:rsid w:val="00701176"/>
    <w:rsid w:val="00701870"/>
    <w:rsid w:val="007019E8"/>
    <w:rsid w:val="00701B05"/>
    <w:rsid w:val="00701D19"/>
    <w:rsid w:val="0070205A"/>
    <w:rsid w:val="007022FD"/>
    <w:rsid w:val="007026B6"/>
    <w:rsid w:val="007027F4"/>
    <w:rsid w:val="00702987"/>
    <w:rsid w:val="00702CD3"/>
    <w:rsid w:val="00702CE8"/>
    <w:rsid w:val="0070321D"/>
    <w:rsid w:val="007032D0"/>
    <w:rsid w:val="00703716"/>
    <w:rsid w:val="00703DFB"/>
    <w:rsid w:val="00703F2F"/>
    <w:rsid w:val="0070401A"/>
    <w:rsid w:val="00704154"/>
    <w:rsid w:val="00704314"/>
    <w:rsid w:val="0070432E"/>
    <w:rsid w:val="00704349"/>
    <w:rsid w:val="00704438"/>
    <w:rsid w:val="0070447D"/>
    <w:rsid w:val="00704692"/>
    <w:rsid w:val="007048BF"/>
    <w:rsid w:val="00704B95"/>
    <w:rsid w:val="00704CD9"/>
    <w:rsid w:val="0070506C"/>
    <w:rsid w:val="0070512D"/>
    <w:rsid w:val="007055CF"/>
    <w:rsid w:val="007058A8"/>
    <w:rsid w:val="007059BD"/>
    <w:rsid w:val="00705A63"/>
    <w:rsid w:val="00705E74"/>
    <w:rsid w:val="00705F2D"/>
    <w:rsid w:val="00705FB1"/>
    <w:rsid w:val="00706158"/>
    <w:rsid w:val="00706185"/>
    <w:rsid w:val="007061FA"/>
    <w:rsid w:val="0070628F"/>
    <w:rsid w:val="007065A3"/>
    <w:rsid w:val="00706765"/>
    <w:rsid w:val="00706832"/>
    <w:rsid w:val="00706875"/>
    <w:rsid w:val="00706E8A"/>
    <w:rsid w:val="00706F64"/>
    <w:rsid w:val="00706FCC"/>
    <w:rsid w:val="0070710B"/>
    <w:rsid w:val="0070718F"/>
    <w:rsid w:val="00707309"/>
    <w:rsid w:val="007077FA"/>
    <w:rsid w:val="007078F6"/>
    <w:rsid w:val="007079A2"/>
    <w:rsid w:val="00707A0D"/>
    <w:rsid w:val="00707ED0"/>
    <w:rsid w:val="00707F1A"/>
    <w:rsid w:val="007101EF"/>
    <w:rsid w:val="007103B4"/>
    <w:rsid w:val="00710467"/>
    <w:rsid w:val="0071058F"/>
    <w:rsid w:val="0071075D"/>
    <w:rsid w:val="007107C0"/>
    <w:rsid w:val="00710A04"/>
    <w:rsid w:val="00710A1F"/>
    <w:rsid w:val="00710BB7"/>
    <w:rsid w:val="00710FEB"/>
    <w:rsid w:val="007110C1"/>
    <w:rsid w:val="00711218"/>
    <w:rsid w:val="0071137B"/>
    <w:rsid w:val="0071146F"/>
    <w:rsid w:val="007114E0"/>
    <w:rsid w:val="007114E6"/>
    <w:rsid w:val="007117EE"/>
    <w:rsid w:val="00711900"/>
    <w:rsid w:val="0071196D"/>
    <w:rsid w:val="00711A07"/>
    <w:rsid w:val="00711D03"/>
    <w:rsid w:val="00711F2C"/>
    <w:rsid w:val="00711FB1"/>
    <w:rsid w:val="00712064"/>
    <w:rsid w:val="00712432"/>
    <w:rsid w:val="0071258C"/>
    <w:rsid w:val="00712AEC"/>
    <w:rsid w:val="00712B10"/>
    <w:rsid w:val="00712DEF"/>
    <w:rsid w:val="00712F57"/>
    <w:rsid w:val="00713054"/>
    <w:rsid w:val="007130FD"/>
    <w:rsid w:val="0071327C"/>
    <w:rsid w:val="00713405"/>
    <w:rsid w:val="007139FB"/>
    <w:rsid w:val="0071405C"/>
    <w:rsid w:val="007140BE"/>
    <w:rsid w:val="007143EC"/>
    <w:rsid w:val="007144BF"/>
    <w:rsid w:val="007144F0"/>
    <w:rsid w:val="007145C2"/>
    <w:rsid w:val="00714777"/>
    <w:rsid w:val="00714790"/>
    <w:rsid w:val="00714A14"/>
    <w:rsid w:val="00714CE0"/>
    <w:rsid w:val="00714F1C"/>
    <w:rsid w:val="00714F92"/>
    <w:rsid w:val="0071513F"/>
    <w:rsid w:val="007151B8"/>
    <w:rsid w:val="007151F6"/>
    <w:rsid w:val="007153BC"/>
    <w:rsid w:val="00715649"/>
    <w:rsid w:val="0071580D"/>
    <w:rsid w:val="0071590D"/>
    <w:rsid w:val="00715A06"/>
    <w:rsid w:val="00715BAE"/>
    <w:rsid w:val="00715C67"/>
    <w:rsid w:val="00715FC7"/>
    <w:rsid w:val="007162A2"/>
    <w:rsid w:val="007163A5"/>
    <w:rsid w:val="00716731"/>
    <w:rsid w:val="007167AF"/>
    <w:rsid w:val="007168E5"/>
    <w:rsid w:val="00716AD0"/>
    <w:rsid w:val="00716B8F"/>
    <w:rsid w:val="00716D24"/>
    <w:rsid w:val="00716F43"/>
    <w:rsid w:val="007170B7"/>
    <w:rsid w:val="007171E7"/>
    <w:rsid w:val="007173DE"/>
    <w:rsid w:val="007173E6"/>
    <w:rsid w:val="0071755F"/>
    <w:rsid w:val="007176D9"/>
    <w:rsid w:val="007178C6"/>
    <w:rsid w:val="00717CA2"/>
    <w:rsid w:val="00717DB2"/>
    <w:rsid w:val="00717DDF"/>
    <w:rsid w:val="00717EC4"/>
    <w:rsid w:val="007200C1"/>
    <w:rsid w:val="0072029A"/>
    <w:rsid w:val="0072033A"/>
    <w:rsid w:val="00720A87"/>
    <w:rsid w:val="00720F1E"/>
    <w:rsid w:val="00721139"/>
    <w:rsid w:val="0072114E"/>
    <w:rsid w:val="007212D1"/>
    <w:rsid w:val="007215F3"/>
    <w:rsid w:val="007218B0"/>
    <w:rsid w:val="00721A30"/>
    <w:rsid w:val="00721AEB"/>
    <w:rsid w:val="00721AF7"/>
    <w:rsid w:val="00721CB4"/>
    <w:rsid w:val="007221D3"/>
    <w:rsid w:val="007224CB"/>
    <w:rsid w:val="00722762"/>
    <w:rsid w:val="0072298D"/>
    <w:rsid w:val="00722A5A"/>
    <w:rsid w:val="00723058"/>
    <w:rsid w:val="0072310F"/>
    <w:rsid w:val="00723233"/>
    <w:rsid w:val="00723570"/>
    <w:rsid w:val="007236BD"/>
    <w:rsid w:val="007238D7"/>
    <w:rsid w:val="00723981"/>
    <w:rsid w:val="00724111"/>
    <w:rsid w:val="007242DF"/>
    <w:rsid w:val="007245EC"/>
    <w:rsid w:val="00724820"/>
    <w:rsid w:val="007249B8"/>
    <w:rsid w:val="00724E6C"/>
    <w:rsid w:val="00724F36"/>
    <w:rsid w:val="00725049"/>
    <w:rsid w:val="00725083"/>
    <w:rsid w:val="00725190"/>
    <w:rsid w:val="007254BA"/>
    <w:rsid w:val="0072552F"/>
    <w:rsid w:val="0072562F"/>
    <w:rsid w:val="007256EA"/>
    <w:rsid w:val="007257B4"/>
    <w:rsid w:val="00725FFA"/>
    <w:rsid w:val="00726101"/>
    <w:rsid w:val="00726390"/>
    <w:rsid w:val="007263EC"/>
    <w:rsid w:val="00726A59"/>
    <w:rsid w:val="00726BB0"/>
    <w:rsid w:val="00726C25"/>
    <w:rsid w:val="00726C67"/>
    <w:rsid w:val="00726DA1"/>
    <w:rsid w:val="00726E8D"/>
    <w:rsid w:val="00726F67"/>
    <w:rsid w:val="0072737D"/>
    <w:rsid w:val="007273DA"/>
    <w:rsid w:val="007278F1"/>
    <w:rsid w:val="00727A4C"/>
    <w:rsid w:val="00727A59"/>
    <w:rsid w:val="00727AE4"/>
    <w:rsid w:val="00727C49"/>
    <w:rsid w:val="00727C6C"/>
    <w:rsid w:val="0073030B"/>
    <w:rsid w:val="00730C49"/>
    <w:rsid w:val="00730CF7"/>
    <w:rsid w:val="00730D75"/>
    <w:rsid w:val="00730E52"/>
    <w:rsid w:val="0073125C"/>
    <w:rsid w:val="007313C8"/>
    <w:rsid w:val="007314E0"/>
    <w:rsid w:val="0073184A"/>
    <w:rsid w:val="007318FA"/>
    <w:rsid w:val="00731D70"/>
    <w:rsid w:val="00731D92"/>
    <w:rsid w:val="00731ECA"/>
    <w:rsid w:val="00732A89"/>
    <w:rsid w:val="00732AEF"/>
    <w:rsid w:val="00732DE5"/>
    <w:rsid w:val="00732E64"/>
    <w:rsid w:val="00732F17"/>
    <w:rsid w:val="00732F82"/>
    <w:rsid w:val="0073326C"/>
    <w:rsid w:val="007336A0"/>
    <w:rsid w:val="007339B4"/>
    <w:rsid w:val="00733DAC"/>
    <w:rsid w:val="00733DC7"/>
    <w:rsid w:val="00733E9A"/>
    <w:rsid w:val="00734183"/>
    <w:rsid w:val="00734323"/>
    <w:rsid w:val="007346B2"/>
    <w:rsid w:val="007347BB"/>
    <w:rsid w:val="00734D3D"/>
    <w:rsid w:val="0073503F"/>
    <w:rsid w:val="00735356"/>
    <w:rsid w:val="007353F1"/>
    <w:rsid w:val="00735477"/>
    <w:rsid w:val="00735BF8"/>
    <w:rsid w:val="0073610C"/>
    <w:rsid w:val="007361DB"/>
    <w:rsid w:val="00736435"/>
    <w:rsid w:val="0073644D"/>
    <w:rsid w:val="0073650A"/>
    <w:rsid w:val="00736561"/>
    <w:rsid w:val="00736958"/>
    <w:rsid w:val="00736B8B"/>
    <w:rsid w:val="00736E52"/>
    <w:rsid w:val="00737131"/>
    <w:rsid w:val="007371B8"/>
    <w:rsid w:val="007372ED"/>
    <w:rsid w:val="0073742B"/>
    <w:rsid w:val="0073753D"/>
    <w:rsid w:val="00737890"/>
    <w:rsid w:val="007379F6"/>
    <w:rsid w:val="00737A1A"/>
    <w:rsid w:val="00737B11"/>
    <w:rsid w:val="00737D58"/>
    <w:rsid w:val="00740396"/>
    <w:rsid w:val="00740631"/>
    <w:rsid w:val="00740872"/>
    <w:rsid w:val="00740A1A"/>
    <w:rsid w:val="00740A45"/>
    <w:rsid w:val="00740BE9"/>
    <w:rsid w:val="00740E88"/>
    <w:rsid w:val="00740F65"/>
    <w:rsid w:val="007413B5"/>
    <w:rsid w:val="00741401"/>
    <w:rsid w:val="00741850"/>
    <w:rsid w:val="00741877"/>
    <w:rsid w:val="00741E25"/>
    <w:rsid w:val="00741E45"/>
    <w:rsid w:val="00741F51"/>
    <w:rsid w:val="00742442"/>
    <w:rsid w:val="0074262E"/>
    <w:rsid w:val="00742A81"/>
    <w:rsid w:val="00742C2C"/>
    <w:rsid w:val="00742F52"/>
    <w:rsid w:val="007430E3"/>
    <w:rsid w:val="00743999"/>
    <w:rsid w:val="007439F8"/>
    <w:rsid w:val="00743AE7"/>
    <w:rsid w:val="00743BDE"/>
    <w:rsid w:val="00743CFC"/>
    <w:rsid w:val="007441F3"/>
    <w:rsid w:val="00744324"/>
    <w:rsid w:val="0074449C"/>
    <w:rsid w:val="0074480B"/>
    <w:rsid w:val="007449F0"/>
    <w:rsid w:val="00744E3A"/>
    <w:rsid w:val="00744EE7"/>
    <w:rsid w:val="00744F48"/>
    <w:rsid w:val="00745214"/>
    <w:rsid w:val="007458BD"/>
    <w:rsid w:val="00745BD8"/>
    <w:rsid w:val="00745C84"/>
    <w:rsid w:val="00745DE9"/>
    <w:rsid w:val="00745DF3"/>
    <w:rsid w:val="00745F58"/>
    <w:rsid w:val="00746259"/>
    <w:rsid w:val="007463FF"/>
    <w:rsid w:val="007467D6"/>
    <w:rsid w:val="00746B08"/>
    <w:rsid w:val="00746FFC"/>
    <w:rsid w:val="007470C7"/>
    <w:rsid w:val="00747293"/>
    <w:rsid w:val="0074758C"/>
    <w:rsid w:val="007477C6"/>
    <w:rsid w:val="0074786C"/>
    <w:rsid w:val="0074791D"/>
    <w:rsid w:val="00747964"/>
    <w:rsid w:val="007479E3"/>
    <w:rsid w:val="00747CFF"/>
    <w:rsid w:val="00747D42"/>
    <w:rsid w:val="007504ED"/>
    <w:rsid w:val="0075070E"/>
    <w:rsid w:val="007507DE"/>
    <w:rsid w:val="00750FCE"/>
    <w:rsid w:val="007510ED"/>
    <w:rsid w:val="00751503"/>
    <w:rsid w:val="007516F7"/>
    <w:rsid w:val="007516F8"/>
    <w:rsid w:val="0075186B"/>
    <w:rsid w:val="00751973"/>
    <w:rsid w:val="00751B62"/>
    <w:rsid w:val="00751B90"/>
    <w:rsid w:val="00751ECB"/>
    <w:rsid w:val="007521B5"/>
    <w:rsid w:val="007524A1"/>
    <w:rsid w:val="0075257D"/>
    <w:rsid w:val="00752731"/>
    <w:rsid w:val="00752C45"/>
    <w:rsid w:val="00752C99"/>
    <w:rsid w:val="00753427"/>
    <w:rsid w:val="0075345A"/>
    <w:rsid w:val="007535D5"/>
    <w:rsid w:val="007538D0"/>
    <w:rsid w:val="00753D3C"/>
    <w:rsid w:val="00753D56"/>
    <w:rsid w:val="00753DA0"/>
    <w:rsid w:val="00753DB4"/>
    <w:rsid w:val="00754366"/>
    <w:rsid w:val="00754517"/>
    <w:rsid w:val="00754601"/>
    <w:rsid w:val="00754688"/>
    <w:rsid w:val="007547CB"/>
    <w:rsid w:val="00754959"/>
    <w:rsid w:val="00754A0D"/>
    <w:rsid w:val="00754CD7"/>
    <w:rsid w:val="00754D84"/>
    <w:rsid w:val="007550DA"/>
    <w:rsid w:val="00755216"/>
    <w:rsid w:val="007552C7"/>
    <w:rsid w:val="007556C9"/>
    <w:rsid w:val="00755748"/>
    <w:rsid w:val="007557FD"/>
    <w:rsid w:val="00755898"/>
    <w:rsid w:val="007558C1"/>
    <w:rsid w:val="00755C04"/>
    <w:rsid w:val="00755E79"/>
    <w:rsid w:val="00755EE3"/>
    <w:rsid w:val="00755F6C"/>
    <w:rsid w:val="00756083"/>
    <w:rsid w:val="007562D6"/>
    <w:rsid w:val="0075632C"/>
    <w:rsid w:val="00756402"/>
    <w:rsid w:val="007567F0"/>
    <w:rsid w:val="007568F5"/>
    <w:rsid w:val="00756C70"/>
    <w:rsid w:val="00756CD1"/>
    <w:rsid w:val="00756D68"/>
    <w:rsid w:val="0075709E"/>
    <w:rsid w:val="007571CC"/>
    <w:rsid w:val="0075747D"/>
    <w:rsid w:val="007574BA"/>
    <w:rsid w:val="007576D2"/>
    <w:rsid w:val="007579B5"/>
    <w:rsid w:val="00757AC8"/>
    <w:rsid w:val="00757C41"/>
    <w:rsid w:val="00757CD4"/>
    <w:rsid w:val="00757D43"/>
    <w:rsid w:val="00757E6D"/>
    <w:rsid w:val="00757EF2"/>
    <w:rsid w:val="0076072A"/>
    <w:rsid w:val="00760CA6"/>
    <w:rsid w:val="00760D7F"/>
    <w:rsid w:val="0076124F"/>
    <w:rsid w:val="007612C8"/>
    <w:rsid w:val="0076154D"/>
    <w:rsid w:val="00761D66"/>
    <w:rsid w:val="00761E45"/>
    <w:rsid w:val="007621CE"/>
    <w:rsid w:val="00762261"/>
    <w:rsid w:val="007622C1"/>
    <w:rsid w:val="00762317"/>
    <w:rsid w:val="0076238C"/>
    <w:rsid w:val="00762409"/>
    <w:rsid w:val="00762490"/>
    <w:rsid w:val="0076264F"/>
    <w:rsid w:val="00762797"/>
    <w:rsid w:val="007627A5"/>
    <w:rsid w:val="007628C6"/>
    <w:rsid w:val="00762AA6"/>
    <w:rsid w:val="00762E86"/>
    <w:rsid w:val="007631BB"/>
    <w:rsid w:val="0076344E"/>
    <w:rsid w:val="0076345C"/>
    <w:rsid w:val="00763484"/>
    <w:rsid w:val="0076359E"/>
    <w:rsid w:val="00763968"/>
    <w:rsid w:val="00763CEC"/>
    <w:rsid w:val="0076428C"/>
    <w:rsid w:val="007646B7"/>
    <w:rsid w:val="00764D96"/>
    <w:rsid w:val="00764E83"/>
    <w:rsid w:val="00764ED0"/>
    <w:rsid w:val="00764F03"/>
    <w:rsid w:val="00765109"/>
    <w:rsid w:val="007652BA"/>
    <w:rsid w:val="007653F0"/>
    <w:rsid w:val="00765484"/>
    <w:rsid w:val="007654D4"/>
    <w:rsid w:val="00765551"/>
    <w:rsid w:val="00765663"/>
    <w:rsid w:val="007656E5"/>
    <w:rsid w:val="007657D5"/>
    <w:rsid w:val="0076622E"/>
    <w:rsid w:val="0076636C"/>
    <w:rsid w:val="00766565"/>
    <w:rsid w:val="00766673"/>
    <w:rsid w:val="00766A67"/>
    <w:rsid w:val="00766CB7"/>
    <w:rsid w:val="00766DF5"/>
    <w:rsid w:val="007678A7"/>
    <w:rsid w:val="00767CBF"/>
    <w:rsid w:val="00767E61"/>
    <w:rsid w:val="00770249"/>
    <w:rsid w:val="00770319"/>
    <w:rsid w:val="007708CF"/>
    <w:rsid w:val="0077095F"/>
    <w:rsid w:val="00770CE7"/>
    <w:rsid w:val="00770E49"/>
    <w:rsid w:val="00771108"/>
    <w:rsid w:val="00771223"/>
    <w:rsid w:val="007716D5"/>
    <w:rsid w:val="007718DB"/>
    <w:rsid w:val="00771C05"/>
    <w:rsid w:val="00771E52"/>
    <w:rsid w:val="00772006"/>
    <w:rsid w:val="0077210D"/>
    <w:rsid w:val="0077255D"/>
    <w:rsid w:val="0077266E"/>
    <w:rsid w:val="0077274C"/>
    <w:rsid w:val="007728AF"/>
    <w:rsid w:val="00772BA9"/>
    <w:rsid w:val="00772C1D"/>
    <w:rsid w:val="00772C2A"/>
    <w:rsid w:val="00772DA3"/>
    <w:rsid w:val="00772F4D"/>
    <w:rsid w:val="007733C7"/>
    <w:rsid w:val="0077346B"/>
    <w:rsid w:val="00773673"/>
    <w:rsid w:val="00773863"/>
    <w:rsid w:val="00773875"/>
    <w:rsid w:val="007738D3"/>
    <w:rsid w:val="00773F88"/>
    <w:rsid w:val="00774119"/>
    <w:rsid w:val="00774AAC"/>
    <w:rsid w:val="00774B8A"/>
    <w:rsid w:val="00774BAE"/>
    <w:rsid w:val="00774BFD"/>
    <w:rsid w:val="00774EE9"/>
    <w:rsid w:val="007759AB"/>
    <w:rsid w:val="00775B38"/>
    <w:rsid w:val="00775CC1"/>
    <w:rsid w:val="00775CC6"/>
    <w:rsid w:val="00775CED"/>
    <w:rsid w:val="00775E5E"/>
    <w:rsid w:val="0077628B"/>
    <w:rsid w:val="007763E9"/>
    <w:rsid w:val="00776488"/>
    <w:rsid w:val="0077676B"/>
    <w:rsid w:val="007767DD"/>
    <w:rsid w:val="007769D4"/>
    <w:rsid w:val="00776E6E"/>
    <w:rsid w:val="00776F18"/>
    <w:rsid w:val="007771A5"/>
    <w:rsid w:val="00777209"/>
    <w:rsid w:val="00777211"/>
    <w:rsid w:val="0077739E"/>
    <w:rsid w:val="007773DB"/>
    <w:rsid w:val="00777453"/>
    <w:rsid w:val="0077748C"/>
    <w:rsid w:val="007775A7"/>
    <w:rsid w:val="00777626"/>
    <w:rsid w:val="00777658"/>
    <w:rsid w:val="00777668"/>
    <w:rsid w:val="00777883"/>
    <w:rsid w:val="00777B8A"/>
    <w:rsid w:val="00777D63"/>
    <w:rsid w:val="00777FDD"/>
    <w:rsid w:val="007805C8"/>
    <w:rsid w:val="007805FE"/>
    <w:rsid w:val="007807AA"/>
    <w:rsid w:val="00780815"/>
    <w:rsid w:val="007808B6"/>
    <w:rsid w:val="007808D1"/>
    <w:rsid w:val="00780C64"/>
    <w:rsid w:val="00780E72"/>
    <w:rsid w:val="00780FC0"/>
    <w:rsid w:val="00781049"/>
    <w:rsid w:val="007814A6"/>
    <w:rsid w:val="0078196A"/>
    <w:rsid w:val="00781A1B"/>
    <w:rsid w:val="00781A9E"/>
    <w:rsid w:val="00781BA8"/>
    <w:rsid w:val="00782064"/>
    <w:rsid w:val="007821F2"/>
    <w:rsid w:val="00782805"/>
    <w:rsid w:val="007828ED"/>
    <w:rsid w:val="007828F7"/>
    <w:rsid w:val="007829C7"/>
    <w:rsid w:val="00782A9E"/>
    <w:rsid w:val="00782B13"/>
    <w:rsid w:val="00782B14"/>
    <w:rsid w:val="00782E0B"/>
    <w:rsid w:val="007830B2"/>
    <w:rsid w:val="007833AB"/>
    <w:rsid w:val="0078353A"/>
    <w:rsid w:val="00783639"/>
    <w:rsid w:val="00783884"/>
    <w:rsid w:val="00783BAD"/>
    <w:rsid w:val="00783E71"/>
    <w:rsid w:val="00783FBA"/>
    <w:rsid w:val="007840FF"/>
    <w:rsid w:val="007841F3"/>
    <w:rsid w:val="0078450D"/>
    <w:rsid w:val="007845B8"/>
    <w:rsid w:val="0078470E"/>
    <w:rsid w:val="0078478D"/>
    <w:rsid w:val="007853B7"/>
    <w:rsid w:val="00785693"/>
    <w:rsid w:val="007858D2"/>
    <w:rsid w:val="00785997"/>
    <w:rsid w:val="00785B93"/>
    <w:rsid w:val="00785E4B"/>
    <w:rsid w:val="00785F48"/>
    <w:rsid w:val="007862E2"/>
    <w:rsid w:val="00786609"/>
    <w:rsid w:val="00786676"/>
    <w:rsid w:val="00786791"/>
    <w:rsid w:val="00786908"/>
    <w:rsid w:val="00786B46"/>
    <w:rsid w:val="00786C2D"/>
    <w:rsid w:val="00786E0F"/>
    <w:rsid w:val="007870A0"/>
    <w:rsid w:val="00787149"/>
    <w:rsid w:val="0078726C"/>
    <w:rsid w:val="007872FC"/>
    <w:rsid w:val="007874E5"/>
    <w:rsid w:val="007876BC"/>
    <w:rsid w:val="00787F7E"/>
    <w:rsid w:val="00790582"/>
    <w:rsid w:val="0079085C"/>
    <w:rsid w:val="00790B1A"/>
    <w:rsid w:val="00790B83"/>
    <w:rsid w:val="00790E40"/>
    <w:rsid w:val="00791090"/>
    <w:rsid w:val="00791311"/>
    <w:rsid w:val="007914E4"/>
    <w:rsid w:val="0079183C"/>
    <w:rsid w:val="00791969"/>
    <w:rsid w:val="007919FB"/>
    <w:rsid w:val="00791A9A"/>
    <w:rsid w:val="00791D71"/>
    <w:rsid w:val="00791DAC"/>
    <w:rsid w:val="00791DD7"/>
    <w:rsid w:val="00791EE9"/>
    <w:rsid w:val="00792199"/>
    <w:rsid w:val="00792343"/>
    <w:rsid w:val="00792377"/>
    <w:rsid w:val="00792385"/>
    <w:rsid w:val="007924E5"/>
    <w:rsid w:val="0079260E"/>
    <w:rsid w:val="00792662"/>
    <w:rsid w:val="007927F7"/>
    <w:rsid w:val="007928A1"/>
    <w:rsid w:val="007929BB"/>
    <w:rsid w:val="00792AFC"/>
    <w:rsid w:val="00792C54"/>
    <w:rsid w:val="00792CFA"/>
    <w:rsid w:val="00792F3F"/>
    <w:rsid w:val="0079328B"/>
    <w:rsid w:val="00793702"/>
    <w:rsid w:val="00793B20"/>
    <w:rsid w:val="00793CF6"/>
    <w:rsid w:val="00793D06"/>
    <w:rsid w:val="00793D33"/>
    <w:rsid w:val="00793EA2"/>
    <w:rsid w:val="0079400D"/>
    <w:rsid w:val="00794050"/>
    <w:rsid w:val="007941DA"/>
    <w:rsid w:val="007947A9"/>
    <w:rsid w:val="0079499F"/>
    <w:rsid w:val="00794AA0"/>
    <w:rsid w:val="00794BCE"/>
    <w:rsid w:val="00794BE3"/>
    <w:rsid w:val="00794BFA"/>
    <w:rsid w:val="00794E80"/>
    <w:rsid w:val="00794F4B"/>
    <w:rsid w:val="0079511D"/>
    <w:rsid w:val="0079531F"/>
    <w:rsid w:val="00795389"/>
    <w:rsid w:val="0079539E"/>
    <w:rsid w:val="00795484"/>
    <w:rsid w:val="00795706"/>
    <w:rsid w:val="00795ABE"/>
    <w:rsid w:val="00795CA6"/>
    <w:rsid w:val="00795DA8"/>
    <w:rsid w:val="00795E49"/>
    <w:rsid w:val="00795FFC"/>
    <w:rsid w:val="007961FE"/>
    <w:rsid w:val="00796240"/>
    <w:rsid w:val="00796303"/>
    <w:rsid w:val="00796732"/>
    <w:rsid w:val="007968ED"/>
    <w:rsid w:val="007969BC"/>
    <w:rsid w:val="00796A74"/>
    <w:rsid w:val="00796B83"/>
    <w:rsid w:val="00796BA7"/>
    <w:rsid w:val="00796BB2"/>
    <w:rsid w:val="00796C1C"/>
    <w:rsid w:val="00796C29"/>
    <w:rsid w:val="00796F69"/>
    <w:rsid w:val="007972C6"/>
    <w:rsid w:val="00797338"/>
    <w:rsid w:val="00797406"/>
    <w:rsid w:val="007975CB"/>
    <w:rsid w:val="00797E91"/>
    <w:rsid w:val="007A0095"/>
    <w:rsid w:val="007A03B3"/>
    <w:rsid w:val="007A0635"/>
    <w:rsid w:val="007A0742"/>
    <w:rsid w:val="007A0812"/>
    <w:rsid w:val="007A097F"/>
    <w:rsid w:val="007A0A17"/>
    <w:rsid w:val="007A0A19"/>
    <w:rsid w:val="007A0AED"/>
    <w:rsid w:val="007A0D82"/>
    <w:rsid w:val="007A0EF7"/>
    <w:rsid w:val="007A0F5F"/>
    <w:rsid w:val="007A1162"/>
    <w:rsid w:val="007A1184"/>
    <w:rsid w:val="007A127B"/>
    <w:rsid w:val="007A16EC"/>
    <w:rsid w:val="007A17F4"/>
    <w:rsid w:val="007A1855"/>
    <w:rsid w:val="007A18F7"/>
    <w:rsid w:val="007A1BD4"/>
    <w:rsid w:val="007A1D80"/>
    <w:rsid w:val="007A1EB8"/>
    <w:rsid w:val="007A216C"/>
    <w:rsid w:val="007A2990"/>
    <w:rsid w:val="007A299F"/>
    <w:rsid w:val="007A2A62"/>
    <w:rsid w:val="007A2CD0"/>
    <w:rsid w:val="007A2F1D"/>
    <w:rsid w:val="007A3405"/>
    <w:rsid w:val="007A3457"/>
    <w:rsid w:val="007A39D4"/>
    <w:rsid w:val="007A3A04"/>
    <w:rsid w:val="007A3B5A"/>
    <w:rsid w:val="007A42DE"/>
    <w:rsid w:val="007A439C"/>
    <w:rsid w:val="007A45F9"/>
    <w:rsid w:val="007A468B"/>
    <w:rsid w:val="007A49AC"/>
    <w:rsid w:val="007A4A7F"/>
    <w:rsid w:val="007A4D6F"/>
    <w:rsid w:val="007A5021"/>
    <w:rsid w:val="007A505E"/>
    <w:rsid w:val="007A50BA"/>
    <w:rsid w:val="007A5267"/>
    <w:rsid w:val="007A5377"/>
    <w:rsid w:val="007A5759"/>
    <w:rsid w:val="007A5A02"/>
    <w:rsid w:val="007A5A9D"/>
    <w:rsid w:val="007A5ABF"/>
    <w:rsid w:val="007A5C7F"/>
    <w:rsid w:val="007A5F15"/>
    <w:rsid w:val="007A618C"/>
    <w:rsid w:val="007A627C"/>
    <w:rsid w:val="007A62B6"/>
    <w:rsid w:val="007A63DA"/>
    <w:rsid w:val="007A64DB"/>
    <w:rsid w:val="007A65D4"/>
    <w:rsid w:val="007A6768"/>
    <w:rsid w:val="007A6773"/>
    <w:rsid w:val="007A6BF0"/>
    <w:rsid w:val="007A6DED"/>
    <w:rsid w:val="007A6E03"/>
    <w:rsid w:val="007A6E37"/>
    <w:rsid w:val="007A6FF7"/>
    <w:rsid w:val="007A7306"/>
    <w:rsid w:val="007A7882"/>
    <w:rsid w:val="007A7C27"/>
    <w:rsid w:val="007A7F6A"/>
    <w:rsid w:val="007B009F"/>
    <w:rsid w:val="007B062A"/>
    <w:rsid w:val="007B06FB"/>
    <w:rsid w:val="007B0E7A"/>
    <w:rsid w:val="007B0ED4"/>
    <w:rsid w:val="007B0F7F"/>
    <w:rsid w:val="007B1175"/>
    <w:rsid w:val="007B13EA"/>
    <w:rsid w:val="007B1470"/>
    <w:rsid w:val="007B163C"/>
    <w:rsid w:val="007B17D8"/>
    <w:rsid w:val="007B192B"/>
    <w:rsid w:val="007B19F1"/>
    <w:rsid w:val="007B1BB3"/>
    <w:rsid w:val="007B1D48"/>
    <w:rsid w:val="007B1E61"/>
    <w:rsid w:val="007B2203"/>
    <w:rsid w:val="007B25BF"/>
    <w:rsid w:val="007B277F"/>
    <w:rsid w:val="007B287D"/>
    <w:rsid w:val="007B2917"/>
    <w:rsid w:val="007B2973"/>
    <w:rsid w:val="007B29A9"/>
    <w:rsid w:val="007B2D08"/>
    <w:rsid w:val="007B3407"/>
    <w:rsid w:val="007B35AC"/>
    <w:rsid w:val="007B3B75"/>
    <w:rsid w:val="007B3D63"/>
    <w:rsid w:val="007B403D"/>
    <w:rsid w:val="007B404D"/>
    <w:rsid w:val="007B4222"/>
    <w:rsid w:val="007B4449"/>
    <w:rsid w:val="007B4634"/>
    <w:rsid w:val="007B4D41"/>
    <w:rsid w:val="007B4D47"/>
    <w:rsid w:val="007B53DE"/>
    <w:rsid w:val="007B544D"/>
    <w:rsid w:val="007B545E"/>
    <w:rsid w:val="007B56F6"/>
    <w:rsid w:val="007B5754"/>
    <w:rsid w:val="007B589D"/>
    <w:rsid w:val="007B5B29"/>
    <w:rsid w:val="007B5CBB"/>
    <w:rsid w:val="007B600F"/>
    <w:rsid w:val="007B6028"/>
    <w:rsid w:val="007B6616"/>
    <w:rsid w:val="007B6624"/>
    <w:rsid w:val="007B6800"/>
    <w:rsid w:val="007B72E6"/>
    <w:rsid w:val="007B7362"/>
    <w:rsid w:val="007B743C"/>
    <w:rsid w:val="007B7863"/>
    <w:rsid w:val="007B7A2D"/>
    <w:rsid w:val="007B7BC1"/>
    <w:rsid w:val="007B7CD0"/>
    <w:rsid w:val="007B7D3C"/>
    <w:rsid w:val="007C01A4"/>
    <w:rsid w:val="007C05FD"/>
    <w:rsid w:val="007C06A9"/>
    <w:rsid w:val="007C079C"/>
    <w:rsid w:val="007C0812"/>
    <w:rsid w:val="007C0A9B"/>
    <w:rsid w:val="007C0CDC"/>
    <w:rsid w:val="007C135A"/>
    <w:rsid w:val="007C1388"/>
    <w:rsid w:val="007C13F8"/>
    <w:rsid w:val="007C1458"/>
    <w:rsid w:val="007C15A5"/>
    <w:rsid w:val="007C16E6"/>
    <w:rsid w:val="007C174B"/>
    <w:rsid w:val="007C1890"/>
    <w:rsid w:val="007C1A28"/>
    <w:rsid w:val="007C1B84"/>
    <w:rsid w:val="007C1CF5"/>
    <w:rsid w:val="007C1DC2"/>
    <w:rsid w:val="007C227D"/>
    <w:rsid w:val="007C2400"/>
    <w:rsid w:val="007C2549"/>
    <w:rsid w:val="007C2633"/>
    <w:rsid w:val="007C2DF4"/>
    <w:rsid w:val="007C2DFB"/>
    <w:rsid w:val="007C2FAF"/>
    <w:rsid w:val="007C2FBC"/>
    <w:rsid w:val="007C3584"/>
    <w:rsid w:val="007C36A8"/>
    <w:rsid w:val="007C370E"/>
    <w:rsid w:val="007C37AC"/>
    <w:rsid w:val="007C3859"/>
    <w:rsid w:val="007C3930"/>
    <w:rsid w:val="007C3FB8"/>
    <w:rsid w:val="007C4072"/>
    <w:rsid w:val="007C41D5"/>
    <w:rsid w:val="007C44F8"/>
    <w:rsid w:val="007C452E"/>
    <w:rsid w:val="007C4A38"/>
    <w:rsid w:val="007C4ADA"/>
    <w:rsid w:val="007C5023"/>
    <w:rsid w:val="007C5055"/>
    <w:rsid w:val="007C5168"/>
    <w:rsid w:val="007C5358"/>
    <w:rsid w:val="007C536C"/>
    <w:rsid w:val="007C5528"/>
    <w:rsid w:val="007C5808"/>
    <w:rsid w:val="007C5A04"/>
    <w:rsid w:val="007C5AF2"/>
    <w:rsid w:val="007C5D0B"/>
    <w:rsid w:val="007C60A1"/>
    <w:rsid w:val="007C6476"/>
    <w:rsid w:val="007C68DF"/>
    <w:rsid w:val="007C6B3F"/>
    <w:rsid w:val="007C6D34"/>
    <w:rsid w:val="007C6E9E"/>
    <w:rsid w:val="007C7002"/>
    <w:rsid w:val="007C731B"/>
    <w:rsid w:val="007C76FB"/>
    <w:rsid w:val="007C77BC"/>
    <w:rsid w:val="007C77F0"/>
    <w:rsid w:val="007C7B3B"/>
    <w:rsid w:val="007C7D13"/>
    <w:rsid w:val="007C7E32"/>
    <w:rsid w:val="007C7ECA"/>
    <w:rsid w:val="007C7FE1"/>
    <w:rsid w:val="007D009E"/>
    <w:rsid w:val="007D00A5"/>
    <w:rsid w:val="007D0195"/>
    <w:rsid w:val="007D0338"/>
    <w:rsid w:val="007D04CB"/>
    <w:rsid w:val="007D0654"/>
    <w:rsid w:val="007D0670"/>
    <w:rsid w:val="007D0AC1"/>
    <w:rsid w:val="007D0B89"/>
    <w:rsid w:val="007D0CEF"/>
    <w:rsid w:val="007D0F27"/>
    <w:rsid w:val="007D0F42"/>
    <w:rsid w:val="007D1596"/>
    <w:rsid w:val="007D1AF7"/>
    <w:rsid w:val="007D1CB9"/>
    <w:rsid w:val="007D227C"/>
    <w:rsid w:val="007D2388"/>
    <w:rsid w:val="007D23B7"/>
    <w:rsid w:val="007D2471"/>
    <w:rsid w:val="007D2A69"/>
    <w:rsid w:val="007D2AA6"/>
    <w:rsid w:val="007D2D8A"/>
    <w:rsid w:val="007D30BB"/>
    <w:rsid w:val="007D3554"/>
    <w:rsid w:val="007D35AC"/>
    <w:rsid w:val="007D36BA"/>
    <w:rsid w:val="007D371C"/>
    <w:rsid w:val="007D3AE4"/>
    <w:rsid w:val="007D3C4E"/>
    <w:rsid w:val="007D3D83"/>
    <w:rsid w:val="007D3DCF"/>
    <w:rsid w:val="007D3F59"/>
    <w:rsid w:val="007D3FB2"/>
    <w:rsid w:val="007D40AE"/>
    <w:rsid w:val="007D4534"/>
    <w:rsid w:val="007D4579"/>
    <w:rsid w:val="007D4916"/>
    <w:rsid w:val="007D4A68"/>
    <w:rsid w:val="007D4D0C"/>
    <w:rsid w:val="007D511E"/>
    <w:rsid w:val="007D578A"/>
    <w:rsid w:val="007D57CE"/>
    <w:rsid w:val="007D5B36"/>
    <w:rsid w:val="007D5EDD"/>
    <w:rsid w:val="007D5FB3"/>
    <w:rsid w:val="007D608B"/>
    <w:rsid w:val="007D60ED"/>
    <w:rsid w:val="007D64FC"/>
    <w:rsid w:val="007D65FF"/>
    <w:rsid w:val="007D668A"/>
    <w:rsid w:val="007D67AC"/>
    <w:rsid w:val="007D6A2F"/>
    <w:rsid w:val="007D6E18"/>
    <w:rsid w:val="007D6FA9"/>
    <w:rsid w:val="007D736A"/>
    <w:rsid w:val="007D7578"/>
    <w:rsid w:val="007D75FB"/>
    <w:rsid w:val="007D7622"/>
    <w:rsid w:val="007D7685"/>
    <w:rsid w:val="007D784B"/>
    <w:rsid w:val="007D7919"/>
    <w:rsid w:val="007D7A2E"/>
    <w:rsid w:val="007D7B7E"/>
    <w:rsid w:val="007D7FA5"/>
    <w:rsid w:val="007E0070"/>
    <w:rsid w:val="007E04C8"/>
    <w:rsid w:val="007E09EE"/>
    <w:rsid w:val="007E0FCE"/>
    <w:rsid w:val="007E1017"/>
    <w:rsid w:val="007E1024"/>
    <w:rsid w:val="007E102F"/>
    <w:rsid w:val="007E14F4"/>
    <w:rsid w:val="007E16E6"/>
    <w:rsid w:val="007E1C15"/>
    <w:rsid w:val="007E1D29"/>
    <w:rsid w:val="007E205C"/>
    <w:rsid w:val="007E233F"/>
    <w:rsid w:val="007E254D"/>
    <w:rsid w:val="007E2716"/>
    <w:rsid w:val="007E2992"/>
    <w:rsid w:val="007E2C69"/>
    <w:rsid w:val="007E2C98"/>
    <w:rsid w:val="007E2CE8"/>
    <w:rsid w:val="007E2F4A"/>
    <w:rsid w:val="007E3124"/>
    <w:rsid w:val="007E33E5"/>
    <w:rsid w:val="007E3600"/>
    <w:rsid w:val="007E3688"/>
    <w:rsid w:val="007E3902"/>
    <w:rsid w:val="007E3AB1"/>
    <w:rsid w:val="007E3ACF"/>
    <w:rsid w:val="007E3D72"/>
    <w:rsid w:val="007E46BE"/>
    <w:rsid w:val="007E46E0"/>
    <w:rsid w:val="007E47D4"/>
    <w:rsid w:val="007E47F5"/>
    <w:rsid w:val="007E4935"/>
    <w:rsid w:val="007E497A"/>
    <w:rsid w:val="007E4F3F"/>
    <w:rsid w:val="007E5151"/>
    <w:rsid w:val="007E5263"/>
    <w:rsid w:val="007E5503"/>
    <w:rsid w:val="007E56BA"/>
    <w:rsid w:val="007E59AA"/>
    <w:rsid w:val="007E5AC7"/>
    <w:rsid w:val="007E5B95"/>
    <w:rsid w:val="007E5EE3"/>
    <w:rsid w:val="007E6811"/>
    <w:rsid w:val="007E6835"/>
    <w:rsid w:val="007E6B56"/>
    <w:rsid w:val="007E6B94"/>
    <w:rsid w:val="007E6C01"/>
    <w:rsid w:val="007E6C71"/>
    <w:rsid w:val="007E6DC8"/>
    <w:rsid w:val="007E6F66"/>
    <w:rsid w:val="007E70EB"/>
    <w:rsid w:val="007E7183"/>
    <w:rsid w:val="007E7260"/>
    <w:rsid w:val="007E7396"/>
    <w:rsid w:val="007E7475"/>
    <w:rsid w:val="007E75CF"/>
    <w:rsid w:val="007E7AFB"/>
    <w:rsid w:val="007E7C41"/>
    <w:rsid w:val="007F01D6"/>
    <w:rsid w:val="007F02F7"/>
    <w:rsid w:val="007F034E"/>
    <w:rsid w:val="007F0484"/>
    <w:rsid w:val="007F0591"/>
    <w:rsid w:val="007F05BD"/>
    <w:rsid w:val="007F073C"/>
    <w:rsid w:val="007F0864"/>
    <w:rsid w:val="007F0B48"/>
    <w:rsid w:val="007F0D77"/>
    <w:rsid w:val="007F11CF"/>
    <w:rsid w:val="007F1443"/>
    <w:rsid w:val="007F167A"/>
    <w:rsid w:val="007F171D"/>
    <w:rsid w:val="007F1872"/>
    <w:rsid w:val="007F18C0"/>
    <w:rsid w:val="007F1F50"/>
    <w:rsid w:val="007F205D"/>
    <w:rsid w:val="007F206E"/>
    <w:rsid w:val="007F2204"/>
    <w:rsid w:val="007F221E"/>
    <w:rsid w:val="007F2388"/>
    <w:rsid w:val="007F27CF"/>
    <w:rsid w:val="007F2964"/>
    <w:rsid w:val="007F2A1A"/>
    <w:rsid w:val="007F2AFE"/>
    <w:rsid w:val="007F2BD0"/>
    <w:rsid w:val="007F2DA5"/>
    <w:rsid w:val="007F30B4"/>
    <w:rsid w:val="007F3139"/>
    <w:rsid w:val="007F3228"/>
    <w:rsid w:val="007F373D"/>
    <w:rsid w:val="007F38C9"/>
    <w:rsid w:val="007F3903"/>
    <w:rsid w:val="007F393F"/>
    <w:rsid w:val="007F3ECF"/>
    <w:rsid w:val="007F403D"/>
    <w:rsid w:val="007F40C6"/>
    <w:rsid w:val="007F42F2"/>
    <w:rsid w:val="007F4328"/>
    <w:rsid w:val="007F4609"/>
    <w:rsid w:val="007F468E"/>
    <w:rsid w:val="007F49D8"/>
    <w:rsid w:val="007F4A4A"/>
    <w:rsid w:val="007F4C4D"/>
    <w:rsid w:val="007F4E9E"/>
    <w:rsid w:val="007F4FFD"/>
    <w:rsid w:val="007F5221"/>
    <w:rsid w:val="007F527E"/>
    <w:rsid w:val="007F52A5"/>
    <w:rsid w:val="007F52B5"/>
    <w:rsid w:val="007F536F"/>
    <w:rsid w:val="007F53F9"/>
    <w:rsid w:val="007F55F6"/>
    <w:rsid w:val="007F56F1"/>
    <w:rsid w:val="007F5700"/>
    <w:rsid w:val="007F57BA"/>
    <w:rsid w:val="007F59FB"/>
    <w:rsid w:val="007F5BA9"/>
    <w:rsid w:val="007F5D64"/>
    <w:rsid w:val="007F5F89"/>
    <w:rsid w:val="007F6066"/>
    <w:rsid w:val="007F65E5"/>
    <w:rsid w:val="007F68E7"/>
    <w:rsid w:val="007F6AA6"/>
    <w:rsid w:val="007F6B08"/>
    <w:rsid w:val="007F6E14"/>
    <w:rsid w:val="007F7199"/>
    <w:rsid w:val="007F76B7"/>
    <w:rsid w:val="007F7829"/>
    <w:rsid w:val="007F7A5E"/>
    <w:rsid w:val="007F7CA5"/>
    <w:rsid w:val="00800210"/>
    <w:rsid w:val="0080021A"/>
    <w:rsid w:val="008008D7"/>
    <w:rsid w:val="00800957"/>
    <w:rsid w:val="008009BC"/>
    <w:rsid w:val="00800C50"/>
    <w:rsid w:val="00800E3D"/>
    <w:rsid w:val="00800F67"/>
    <w:rsid w:val="0080172A"/>
    <w:rsid w:val="00801779"/>
    <w:rsid w:val="008019A9"/>
    <w:rsid w:val="00801A92"/>
    <w:rsid w:val="00801AA5"/>
    <w:rsid w:val="00801BEE"/>
    <w:rsid w:val="00801BFE"/>
    <w:rsid w:val="00801C6D"/>
    <w:rsid w:val="00801D47"/>
    <w:rsid w:val="00801EAD"/>
    <w:rsid w:val="00801FFC"/>
    <w:rsid w:val="00802363"/>
    <w:rsid w:val="0080246D"/>
    <w:rsid w:val="008024DF"/>
    <w:rsid w:val="008026FD"/>
    <w:rsid w:val="008029A6"/>
    <w:rsid w:val="00802AA0"/>
    <w:rsid w:val="00803261"/>
    <w:rsid w:val="00803281"/>
    <w:rsid w:val="00803289"/>
    <w:rsid w:val="0080348A"/>
    <w:rsid w:val="00803729"/>
    <w:rsid w:val="00803785"/>
    <w:rsid w:val="008037AE"/>
    <w:rsid w:val="008039C3"/>
    <w:rsid w:val="00803FD5"/>
    <w:rsid w:val="00804016"/>
    <w:rsid w:val="008043E6"/>
    <w:rsid w:val="008044F8"/>
    <w:rsid w:val="00804506"/>
    <w:rsid w:val="00804756"/>
    <w:rsid w:val="0080483E"/>
    <w:rsid w:val="00804C22"/>
    <w:rsid w:val="00804C46"/>
    <w:rsid w:val="00804E0F"/>
    <w:rsid w:val="00804F16"/>
    <w:rsid w:val="00804FB7"/>
    <w:rsid w:val="008050F1"/>
    <w:rsid w:val="00805109"/>
    <w:rsid w:val="00805931"/>
    <w:rsid w:val="0080597A"/>
    <w:rsid w:val="00805DAA"/>
    <w:rsid w:val="00805E71"/>
    <w:rsid w:val="00805E81"/>
    <w:rsid w:val="00805F0C"/>
    <w:rsid w:val="008061C0"/>
    <w:rsid w:val="008061C5"/>
    <w:rsid w:val="00806216"/>
    <w:rsid w:val="00806647"/>
    <w:rsid w:val="00806679"/>
    <w:rsid w:val="00806899"/>
    <w:rsid w:val="00806A90"/>
    <w:rsid w:val="00806BDE"/>
    <w:rsid w:val="00806D67"/>
    <w:rsid w:val="00806DAF"/>
    <w:rsid w:val="00807080"/>
    <w:rsid w:val="008074B9"/>
    <w:rsid w:val="00807521"/>
    <w:rsid w:val="008078EB"/>
    <w:rsid w:val="008078EF"/>
    <w:rsid w:val="00807AA7"/>
    <w:rsid w:val="00807C30"/>
    <w:rsid w:val="00807C72"/>
    <w:rsid w:val="00807EFD"/>
    <w:rsid w:val="0081052E"/>
    <w:rsid w:val="00810554"/>
    <w:rsid w:val="008105C6"/>
    <w:rsid w:val="008107CD"/>
    <w:rsid w:val="008108A9"/>
    <w:rsid w:val="008108EA"/>
    <w:rsid w:val="008109ED"/>
    <w:rsid w:val="008111A4"/>
    <w:rsid w:val="008111B8"/>
    <w:rsid w:val="008111F9"/>
    <w:rsid w:val="008112EB"/>
    <w:rsid w:val="0081181A"/>
    <w:rsid w:val="008118EC"/>
    <w:rsid w:val="00811A61"/>
    <w:rsid w:val="00811AA6"/>
    <w:rsid w:val="00811BA9"/>
    <w:rsid w:val="00811C77"/>
    <w:rsid w:val="008121EC"/>
    <w:rsid w:val="0081273B"/>
    <w:rsid w:val="00812877"/>
    <w:rsid w:val="008128DF"/>
    <w:rsid w:val="00812B80"/>
    <w:rsid w:val="00812F18"/>
    <w:rsid w:val="00812F89"/>
    <w:rsid w:val="00813042"/>
    <w:rsid w:val="008130CA"/>
    <w:rsid w:val="00813181"/>
    <w:rsid w:val="008133EA"/>
    <w:rsid w:val="0081342B"/>
    <w:rsid w:val="00813745"/>
    <w:rsid w:val="00813B57"/>
    <w:rsid w:val="00813BD2"/>
    <w:rsid w:val="00813D7F"/>
    <w:rsid w:val="00813E6D"/>
    <w:rsid w:val="00813F7F"/>
    <w:rsid w:val="008140E6"/>
    <w:rsid w:val="00814462"/>
    <w:rsid w:val="0081452D"/>
    <w:rsid w:val="0081458E"/>
    <w:rsid w:val="008145AA"/>
    <w:rsid w:val="00814A0B"/>
    <w:rsid w:val="00814B61"/>
    <w:rsid w:val="00814D1F"/>
    <w:rsid w:val="00814D38"/>
    <w:rsid w:val="00814E9C"/>
    <w:rsid w:val="00814F86"/>
    <w:rsid w:val="008150E6"/>
    <w:rsid w:val="0081537B"/>
    <w:rsid w:val="008154E0"/>
    <w:rsid w:val="008156C4"/>
    <w:rsid w:val="00815959"/>
    <w:rsid w:val="00815B7E"/>
    <w:rsid w:val="00815D87"/>
    <w:rsid w:val="00816077"/>
    <w:rsid w:val="008160C5"/>
    <w:rsid w:val="008160D1"/>
    <w:rsid w:val="00816173"/>
    <w:rsid w:val="008164BA"/>
    <w:rsid w:val="00816584"/>
    <w:rsid w:val="008168E8"/>
    <w:rsid w:val="0081695B"/>
    <w:rsid w:val="00816D56"/>
    <w:rsid w:val="00816F25"/>
    <w:rsid w:val="00816F4E"/>
    <w:rsid w:val="0081705F"/>
    <w:rsid w:val="00817371"/>
    <w:rsid w:val="00817501"/>
    <w:rsid w:val="008177DF"/>
    <w:rsid w:val="00817833"/>
    <w:rsid w:val="00817A15"/>
    <w:rsid w:val="00817AC3"/>
    <w:rsid w:val="00817BEB"/>
    <w:rsid w:val="00817BF8"/>
    <w:rsid w:val="00817C38"/>
    <w:rsid w:val="008200EC"/>
    <w:rsid w:val="008201C3"/>
    <w:rsid w:val="008201FB"/>
    <w:rsid w:val="00820735"/>
    <w:rsid w:val="00820AE6"/>
    <w:rsid w:val="00820BC7"/>
    <w:rsid w:val="00820CE6"/>
    <w:rsid w:val="00820E47"/>
    <w:rsid w:val="008211CE"/>
    <w:rsid w:val="00821231"/>
    <w:rsid w:val="00821937"/>
    <w:rsid w:val="008219F6"/>
    <w:rsid w:val="00821A6E"/>
    <w:rsid w:val="00821D23"/>
    <w:rsid w:val="0082296C"/>
    <w:rsid w:val="00822B39"/>
    <w:rsid w:val="00822C9A"/>
    <w:rsid w:val="00822E36"/>
    <w:rsid w:val="00822FC0"/>
    <w:rsid w:val="008233B4"/>
    <w:rsid w:val="0082369F"/>
    <w:rsid w:val="00823844"/>
    <w:rsid w:val="0082389C"/>
    <w:rsid w:val="00823A92"/>
    <w:rsid w:val="00823AC9"/>
    <w:rsid w:val="00823C3C"/>
    <w:rsid w:val="00823D29"/>
    <w:rsid w:val="008241C5"/>
    <w:rsid w:val="00824258"/>
    <w:rsid w:val="00824360"/>
    <w:rsid w:val="008245B9"/>
    <w:rsid w:val="008247A2"/>
    <w:rsid w:val="00824A14"/>
    <w:rsid w:val="00824FBB"/>
    <w:rsid w:val="008253B0"/>
    <w:rsid w:val="008253B3"/>
    <w:rsid w:val="008255B7"/>
    <w:rsid w:val="00825755"/>
    <w:rsid w:val="00825857"/>
    <w:rsid w:val="0082591F"/>
    <w:rsid w:val="00825D83"/>
    <w:rsid w:val="00825E7F"/>
    <w:rsid w:val="00826008"/>
    <w:rsid w:val="008260D6"/>
    <w:rsid w:val="00826526"/>
    <w:rsid w:val="00826764"/>
    <w:rsid w:val="00826AD8"/>
    <w:rsid w:val="00826B13"/>
    <w:rsid w:val="00826D6B"/>
    <w:rsid w:val="00826DDD"/>
    <w:rsid w:val="00826FB2"/>
    <w:rsid w:val="008270C5"/>
    <w:rsid w:val="00827191"/>
    <w:rsid w:val="008273D1"/>
    <w:rsid w:val="008275A1"/>
    <w:rsid w:val="008278DB"/>
    <w:rsid w:val="008279AE"/>
    <w:rsid w:val="00827AA3"/>
    <w:rsid w:val="00827AE4"/>
    <w:rsid w:val="00827D35"/>
    <w:rsid w:val="00827EBE"/>
    <w:rsid w:val="00827F3E"/>
    <w:rsid w:val="00830218"/>
    <w:rsid w:val="00830348"/>
    <w:rsid w:val="00830364"/>
    <w:rsid w:val="00830748"/>
    <w:rsid w:val="00830A12"/>
    <w:rsid w:val="00830AEB"/>
    <w:rsid w:val="00830C4A"/>
    <w:rsid w:val="00830CEE"/>
    <w:rsid w:val="00831066"/>
    <w:rsid w:val="0083107B"/>
    <w:rsid w:val="00831219"/>
    <w:rsid w:val="00831238"/>
    <w:rsid w:val="008312EC"/>
    <w:rsid w:val="0083150E"/>
    <w:rsid w:val="008319B8"/>
    <w:rsid w:val="00831B8B"/>
    <w:rsid w:val="00831D2C"/>
    <w:rsid w:val="00831DB8"/>
    <w:rsid w:val="008320BF"/>
    <w:rsid w:val="00832265"/>
    <w:rsid w:val="0083226B"/>
    <w:rsid w:val="00832C0E"/>
    <w:rsid w:val="00832D45"/>
    <w:rsid w:val="00833055"/>
    <w:rsid w:val="008331F7"/>
    <w:rsid w:val="00833250"/>
    <w:rsid w:val="0083336E"/>
    <w:rsid w:val="00833474"/>
    <w:rsid w:val="00833969"/>
    <w:rsid w:val="00833B19"/>
    <w:rsid w:val="00833BA0"/>
    <w:rsid w:val="00833C6C"/>
    <w:rsid w:val="00833EB5"/>
    <w:rsid w:val="00833EDC"/>
    <w:rsid w:val="00834158"/>
    <w:rsid w:val="00834273"/>
    <w:rsid w:val="008342D0"/>
    <w:rsid w:val="008346BF"/>
    <w:rsid w:val="00834775"/>
    <w:rsid w:val="00834A03"/>
    <w:rsid w:val="00834AC5"/>
    <w:rsid w:val="00834BB7"/>
    <w:rsid w:val="00834E21"/>
    <w:rsid w:val="008353FB"/>
    <w:rsid w:val="008359E7"/>
    <w:rsid w:val="00835C0F"/>
    <w:rsid w:val="00835E0F"/>
    <w:rsid w:val="00835E9E"/>
    <w:rsid w:val="008360A6"/>
    <w:rsid w:val="008361CA"/>
    <w:rsid w:val="008364F3"/>
    <w:rsid w:val="008366FD"/>
    <w:rsid w:val="008367A3"/>
    <w:rsid w:val="008367D6"/>
    <w:rsid w:val="00837B14"/>
    <w:rsid w:val="00837D08"/>
    <w:rsid w:val="00840196"/>
    <w:rsid w:val="00840380"/>
    <w:rsid w:val="008404CE"/>
    <w:rsid w:val="008406A3"/>
    <w:rsid w:val="00840C30"/>
    <w:rsid w:val="00840DD1"/>
    <w:rsid w:val="00840F6B"/>
    <w:rsid w:val="00840F6D"/>
    <w:rsid w:val="00841068"/>
    <w:rsid w:val="008414C9"/>
    <w:rsid w:val="0084152A"/>
    <w:rsid w:val="00841732"/>
    <w:rsid w:val="00841CFD"/>
    <w:rsid w:val="008420FA"/>
    <w:rsid w:val="0084230F"/>
    <w:rsid w:val="008424AC"/>
    <w:rsid w:val="008429C0"/>
    <w:rsid w:val="00842FCC"/>
    <w:rsid w:val="00843334"/>
    <w:rsid w:val="008433D8"/>
    <w:rsid w:val="00843534"/>
    <w:rsid w:val="008435C5"/>
    <w:rsid w:val="0084389D"/>
    <w:rsid w:val="00843989"/>
    <w:rsid w:val="00843A2C"/>
    <w:rsid w:val="00843B63"/>
    <w:rsid w:val="00843D5B"/>
    <w:rsid w:val="0084404C"/>
    <w:rsid w:val="008443E8"/>
    <w:rsid w:val="0084440C"/>
    <w:rsid w:val="008444A4"/>
    <w:rsid w:val="008450F8"/>
    <w:rsid w:val="008451C8"/>
    <w:rsid w:val="0084523B"/>
    <w:rsid w:val="00845D68"/>
    <w:rsid w:val="00845F27"/>
    <w:rsid w:val="00845FB9"/>
    <w:rsid w:val="0084602C"/>
    <w:rsid w:val="00846031"/>
    <w:rsid w:val="0084604E"/>
    <w:rsid w:val="008461F6"/>
    <w:rsid w:val="008463A6"/>
    <w:rsid w:val="00846463"/>
    <w:rsid w:val="00846692"/>
    <w:rsid w:val="008469BD"/>
    <w:rsid w:val="00846B5A"/>
    <w:rsid w:val="00846B5B"/>
    <w:rsid w:val="00846DED"/>
    <w:rsid w:val="00846F75"/>
    <w:rsid w:val="008472B1"/>
    <w:rsid w:val="00847454"/>
    <w:rsid w:val="00847647"/>
    <w:rsid w:val="00847B67"/>
    <w:rsid w:val="00847F62"/>
    <w:rsid w:val="008504D2"/>
    <w:rsid w:val="00850593"/>
    <w:rsid w:val="0085059B"/>
    <w:rsid w:val="00850722"/>
    <w:rsid w:val="00850844"/>
    <w:rsid w:val="0085084D"/>
    <w:rsid w:val="008508E2"/>
    <w:rsid w:val="00850D8A"/>
    <w:rsid w:val="00850DA3"/>
    <w:rsid w:val="00850DD6"/>
    <w:rsid w:val="008513AB"/>
    <w:rsid w:val="0085151B"/>
    <w:rsid w:val="00851568"/>
    <w:rsid w:val="008516C5"/>
    <w:rsid w:val="00851820"/>
    <w:rsid w:val="0085241F"/>
    <w:rsid w:val="00852422"/>
    <w:rsid w:val="00852450"/>
    <w:rsid w:val="0085254D"/>
    <w:rsid w:val="0085262B"/>
    <w:rsid w:val="008527A1"/>
    <w:rsid w:val="00852897"/>
    <w:rsid w:val="00852A42"/>
    <w:rsid w:val="00852ADA"/>
    <w:rsid w:val="00852BAE"/>
    <w:rsid w:val="00852D44"/>
    <w:rsid w:val="00852DCD"/>
    <w:rsid w:val="00852E92"/>
    <w:rsid w:val="00853D43"/>
    <w:rsid w:val="008545A2"/>
    <w:rsid w:val="008546C9"/>
    <w:rsid w:val="00854A53"/>
    <w:rsid w:val="00854B6B"/>
    <w:rsid w:val="00854E26"/>
    <w:rsid w:val="00854EFA"/>
    <w:rsid w:val="00855003"/>
    <w:rsid w:val="00855125"/>
    <w:rsid w:val="0085531A"/>
    <w:rsid w:val="00855387"/>
    <w:rsid w:val="00855460"/>
    <w:rsid w:val="008557EB"/>
    <w:rsid w:val="00855901"/>
    <w:rsid w:val="00855A27"/>
    <w:rsid w:val="00855A2D"/>
    <w:rsid w:val="00855D66"/>
    <w:rsid w:val="00855EAA"/>
    <w:rsid w:val="00855FE4"/>
    <w:rsid w:val="0085601E"/>
    <w:rsid w:val="0085603F"/>
    <w:rsid w:val="00856268"/>
    <w:rsid w:val="008563AF"/>
    <w:rsid w:val="008564D5"/>
    <w:rsid w:val="00856595"/>
    <w:rsid w:val="00856789"/>
    <w:rsid w:val="00856854"/>
    <w:rsid w:val="0085695E"/>
    <w:rsid w:val="00856CC8"/>
    <w:rsid w:val="00856F15"/>
    <w:rsid w:val="00856F48"/>
    <w:rsid w:val="00856F73"/>
    <w:rsid w:val="00856FAE"/>
    <w:rsid w:val="0085712F"/>
    <w:rsid w:val="008572C6"/>
    <w:rsid w:val="008573BF"/>
    <w:rsid w:val="00857A01"/>
    <w:rsid w:val="00857A5D"/>
    <w:rsid w:val="00857F5F"/>
    <w:rsid w:val="00860166"/>
    <w:rsid w:val="008601BB"/>
    <w:rsid w:val="00860601"/>
    <w:rsid w:val="008608B4"/>
    <w:rsid w:val="00860994"/>
    <w:rsid w:val="00860C86"/>
    <w:rsid w:val="00861127"/>
    <w:rsid w:val="00861288"/>
    <w:rsid w:val="00861466"/>
    <w:rsid w:val="0086167D"/>
    <w:rsid w:val="00861A9B"/>
    <w:rsid w:val="008620A1"/>
    <w:rsid w:val="00862239"/>
    <w:rsid w:val="008622EF"/>
    <w:rsid w:val="008625C6"/>
    <w:rsid w:val="00862641"/>
    <w:rsid w:val="00862823"/>
    <w:rsid w:val="00862983"/>
    <w:rsid w:val="00862A71"/>
    <w:rsid w:val="00863033"/>
    <w:rsid w:val="00863114"/>
    <w:rsid w:val="0086325F"/>
    <w:rsid w:val="00863282"/>
    <w:rsid w:val="00863854"/>
    <w:rsid w:val="00863AB6"/>
    <w:rsid w:val="00863D07"/>
    <w:rsid w:val="00863E09"/>
    <w:rsid w:val="00864268"/>
    <w:rsid w:val="00864443"/>
    <w:rsid w:val="00864527"/>
    <w:rsid w:val="008646AD"/>
    <w:rsid w:val="00864C35"/>
    <w:rsid w:val="00864CA3"/>
    <w:rsid w:val="0086506D"/>
    <w:rsid w:val="00865112"/>
    <w:rsid w:val="00865337"/>
    <w:rsid w:val="00865390"/>
    <w:rsid w:val="008659EE"/>
    <w:rsid w:val="00865BFB"/>
    <w:rsid w:val="0086608B"/>
    <w:rsid w:val="0086673C"/>
    <w:rsid w:val="00866756"/>
    <w:rsid w:val="00867154"/>
    <w:rsid w:val="00867155"/>
    <w:rsid w:val="0086722F"/>
    <w:rsid w:val="00867241"/>
    <w:rsid w:val="00867573"/>
    <w:rsid w:val="00867728"/>
    <w:rsid w:val="0086777A"/>
    <w:rsid w:val="00867B4C"/>
    <w:rsid w:val="00867D7E"/>
    <w:rsid w:val="00867E62"/>
    <w:rsid w:val="00867EAD"/>
    <w:rsid w:val="00867FC3"/>
    <w:rsid w:val="008700C2"/>
    <w:rsid w:val="00870229"/>
    <w:rsid w:val="0087064E"/>
    <w:rsid w:val="008708B0"/>
    <w:rsid w:val="00870AA3"/>
    <w:rsid w:val="00870F40"/>
    <w:rsid w:val="00870FD5"/>
    <w:rsid w:val="00871143"/>
    <w:rsid w:val="00871166"/>
    <w:rsid w:val="008711D1"/>
    <w:rsid w:val="00871280"/>
    <w:rsid w:val="008713B3"/>
    <w:rsid w:val="00871AE9"/>
    <w:rsid w:val="00871F39"/>
    <w:rsid w:val="008720BF"/>
    <w:rsid w:val="008724C9"/>
    <w:rsid w:val="008724EB"/>
    <w:rsid w:val="0087256B"/>
    <w:rsid w:val="00872A6F"/>
    <w:rsid w:val="00872AF5"/>
    <w:rsid w:val="00872B9E"/>
    <w:rsid w:val="00872F93"/>
    <w:rsid w:val="008732C2"/>
    <w:rsid w:val="00873352"/>
    <w:rsid w:val="008733A1"/>
    <w:rsid w:val="0087359F"/>
    <w:rsid w:val="008737F4"/>
    <w:rsid w:val="00873860"/>
    <w:rsid w:val="00873992"/>
    <w:rsid w:val="00873B5B"/>
    <w:rsid w:val="00873D4F"/>
    <w:rsid w:val="00873E4A"/>
    <w:rsid w:val="00873EF9"/>
    <w:rsid w:val="00873FCE"/>
    <w:rsid w:val="008743E4"/>
    <w:rsid w:val="0087452C"/>
    <w:rsid w:val="00874541"/>
    <w:rsid w:val="00874677"/>
    <w:rsid w:val="0087469E"/>
    <w:rsid w:val="00874875"/>
    <w:rsid w:val="00874B60"/>
    <w:rsid w:val="00874E7F"/>
    <w:rsid w:val="00874EA0"/>
    <w:rsid w:val="008750FE"/>
    <w:rsid w:val="00875158"/>
    <w:rsid w:val="008751C6"/>
    <w:rsid w:val="008752B6"/>
    <w:rsid w:val="008754B3"/>
    <w:rsid w:val="008757D8"/>
    <w:rsid w:val="00875B7B"/>
    <w:rsid w:val="00875DFF"/>
    <w:rsid w:val="00876049"/>
    <w:rsid w:val="008765CD"/>
    <w:rsid w:val="008765F7"/>
    <w:rsid w:val="0087667B"/>
    <w:rsid w:val="00876745"/>
    <w:rsid w:val="008767B0"/>
    <w:rsid w:val="00876837"/>
    <w:rsid w:val="0087683E"/>
    <w:rsid w:val="00876B05"/>
    <w:rsid w:val="00876B28"/>
    <w:rsid w:val="00876C5C"/>
    <w:rsid w:val="00876CC3"/>
    <w:rsid w:val="00876F71"/>
    <w:rsid w:val="0087732E"/>
    <w:rsid w:val="00877572"/>
    <w:rsid w:val="00877DCD"/>
    <w:rsid w:val="0088001D"/>
    <w:rsid w:val="008800F2"/>
    <w:rsid w:val="008801CD"/>
    <w:rsid w:val="008801E5"/>
    <w:rsid w:val="00880543"/>
    <w:rsid w:val="00880775"/>
    <w:rsid w:val="0088078B"/>
    <w:rsid w:val="00880A78"/>
    <w:rsid w:val="00880A97"/>
    <w:rsid w:val="00880DC2"/>
    <w:rsid w:val="00880F85"/>
    <w:rsid w:val="00881078"/>
    <w:rsid w:val="008810CA"/>
    <w:rsid w:val="00881254"/>
    <w:rsid w:val="008814AD"/>
    <w:rsid w:val="0088159C"/>
    <w:rsid w:val="008815A2"/>
    <w:rsid w:val="008817AC"/>
    <w:rsid w:val="008818D0"/>
    <w:rsid w:val="00881A82"/>
    <w:rsid w:val="00881C04"/>
    <w:rsid w:val="00881C4C"/>
    <w:rsid w:val="00882269"/>
    <w:rsid w:val="0088242F"/>
    <w:rsid w:val="0088256F"/>
    <w:rsid w:val="00882783"/>
    <w:rsid w:val="00882884"/>
    <w:rsid w:val="00882918"/>
    <w:rsid w:val="00882C1D"/>
    <w:rsid w:val="00883137"/>
    <w:rsid w:val="008832E7"/>
    <w:rsid w:val="00883496"/>
    <w:rsid w:val="00883910"/>
    <w:rsid w:val="00883BF7"/>
    <w:rsid w:val="00883FF1"/>
    <w:rsid w:val="00884180"/>
    <w:rsid w:val="008841AC"/>
    <w:rsid w:val="008841CC"/>
    <w:rsid w:val="008843AA"/>
    <w:rsid w:val="008844F7"/>
    <w:rsid w:val="00884543"/>
    <w:rsid w:val="008845D2"/>
    <w:rsid w:val="00884936"/>
    <w:rsid w:val="008849D4"/>
    <w:rsid w:val="00884A14"/>
    <w:rsid w:val="00884A70"/>
    <w:rsid w:val="00884C3E"/>
    <w:rsid w:val="00884C67"/>
    <w:rsid w:val="00884F6B"/>
    <w:rsid w:val="008850D4"/>
    <w:rsid w:val="0088553C"/>
    <w:rsid w:val="008856BC"/>
    <w:rsid w:val="00885C65"/>
    <w:rsid w:val="00885FBD"/>
    <w:rsid w:val="0088600E"/>
    <w:rsid w:val="00886226"/>
    <w:rsid w:val="00886397"/>
    <w:rsid w:val="00886600"/>
    <w:rsid w:val="00886640"/>
    <w:rsid w:val="008866E4"/>
    <w:rsid w:val="00886FDE"/>
    <w:rsid w:val="008870BE"/>
    <w:rsid w:val="0088772D"/>
    <w:rsid w:val="0088797C"/>
    <w:rsid w:val="00887A70"/>
    <w:rsid w:val="00887C22"/>
    <w:rsid w:val="00887CAB"/>
    <w:rsid w:val="00887E48"/>
    <w:rsid w:val="00887F0D"/>
    <w:rsid w:val="0089006F"/>
    <w:rsid w:val="008900D9"/>
    <w:rsid w:val="00890245"/>
    <w:rsid w:val="0089059C"/>
    <w:rsid w:val="00890B36"/>
    <w:rsid w:val="00890F56"/>
    <w:rsid w:val="0089105B"/>
    <w:rsid w:val="0089109B"/>
    <w:rsid w:val="00891130"/>
    <w:rsid w:val="008913EE"/>
    <w:rsid w:val="00891520"/>
    <w:rsid w:val="008917F3"/>
    <w:rsid w:val="00891B7B"/>
    <w:rsid w:val="00891D01"/>
    <w:rsid w:val="00891D65"/>
    <w:rsid w:val="00891EEF"/>
    <w:rsid w:val="008921AB"/>
    <w:rsid w:val="008921BB"/>
    <w:rsid w:val="00892224"/>
    <w:rsid w:val="00892305"/>
    <w:rsid w:val="00892601"/>
    <w:rsid w:val="00892627"/>
    <w:rsid w:val="00892752"/>
    <w:rsid w:val="00892A7F"/>
    <w:rsid w:val="00892F81"/>
    <w:rsid w:val="0089303D"/>
    <w:rsid w:val="008930BE"/>
    <w:rsid w:val="008937BC"/>
    <w:rsid w:val="0089381D"/>
    <w:rsid w:val="00893A12"/>
    <w:rsid w:val="00893B71"/>
    <w:rsid w:val="00893EDE"/>
    <w:rsid w:val="00894168"/>
    <w:rsid w:val="008943C8"/>
    <w:rsid w:val="008946CC"/>
    <w:rsid w:val="0089470A"/>
    <w:rsid w:val="00894759"/>
    <w:rsid w:val="008947E6"/>
    <w:rsid w:val="00894BF9"/>
    <w:rsid w:val="00894D13"/>
    <w:rsid w:val="0089510E"/>
    <w:rsid w:val="0089572E"/>
    <w:rsid w:val="00895765"/>
    <w:rsid w:val="008959D3"/>
    <w:rsid w:val="00895AE2"/>
    <w:rsid w:val="00895D7C"/>
    <w:rsid w:val="00895D88"/>
    <w:rsid w:val="00895E77"/>
    <w:rsid w:val="00895EB7"/>
    <w:rsid w:val="00895F3F"/>
    <w:rsid w:val="00895F86"/>
    <w:rsid w:val="00896163"/>
    <w:rsid w:val="00896423"/>
    <w:rsid w:val="008966F4"/>
    <w:rsid w:val="00896840"/>
    <w:rsid w:val="00896A79"/>
    <w:rsid w:val="00896FCB"/>
    <w:rsid w:val="00897049"/>
    <w:rsid w:val="00897095"/>
    <w:rsid w:val="00897124"/>
    <w:rsid w:val="0089747E"/>
    <w:rsid w:val="0089760A"/>
    <w:rsid w:val="0089761D"/>
    <w:rsid w:val="008977D0"/>
    <w:rsid w:val="00897B3F"/>
    <w:rsid w:val="00897D0E"/>
    <w:rsid w:val="00897D93"/>
    <w:rsid w:val="00897E2D"/>
    <w:rsid w:val="008A02AE"/>
    <w:rsid w:val="008A0341"/>
    <w:rsid w:val="008A06AC"/>
    <w:rsid w:val="008A0729"/>
    <w:rsid w:val="008A0A21"/>
    <w:rsid w:val="008A0F06"/>
    <w:rsid w:val="008A0F75"/>
    <w:rsid w:val="008A1365"/>
    <w:rsid w:val="008A163B"/>
    <w:rsid w:val="008A195D"/>
    <w:rsid w:val="008A1CDF"/>
    <w:rsid w:val="008A1E25"/>
    <w:rsid w:val="008A207C"/>
    <w:rsid w:val="008A232B"/>
    <w:rsid w:val="008A2349"/>
    <w:rsid w:val="008A2488"/>
    <w:rsid w:val="008A2528"/>
    <w:rsid w:val="008A28BA"/>
    <w:rsid w:val="008A2912"/>
    <w:rsid w:val="008A296D"/>
    <w:rsid w:val="008A2A6C"/>
    <w:rsid w:val="008A2BF2"/>
    <w:rsid w:val="008A2CC8"/>
    <w:rsid w:val="008A2D2B"/>
    <w:rsid w:val="008A2E8B"/>
    <w:rsid w:val="008A2E93"/>
    <w:rsid w:val="008A30F6"/>
    <w:rsid w:val="008A323F"/>
    <w:rsid w:val="008A37A4"/>
    <w:rsid w:val="008A37E4"/>
    <w:rsid w:val="008A37F3"/>
    <w:rsid w:val="008A382D"/>
    <w:rsid w:val="008A390F"/>
    <w:rsid w:val="008A3C50"/>
    <w:rsid w:val="008A3D9F"/>
    <w:rsid w:val="008A40E4"/>
    <w:rsid w:val="008A445C"/>
    <w:rsid w:val="008A4469"/>
    <w:rsid w:val="008A4599"/>
    <w:rsid w:val="008A48E6"/>
    <w:rsid w:val="008A4B66"/>
    <w:rsid w:val="008A4D8B"/>
    <w:rsid w:val="008A554A"/>
    <w:rsid w:val="008A56A1"/>
    <w:rsid w:val="008A583E"/>
    <w:rsid w:val="008A60FB"/>
    <w:rsid w:val="008A67A6"/>
    <w:rsid w:val="008A682E"/>
    <w:rsid w:val="008A695F"/>
    <w:rsid w:val="008A6AF6"/>
    <w:rsid w:val="008A6C0B"/>
    <w:rsid w:val="008A6E58"/>
    <w:rsid w:val="008A7512"/>
    <w:rsid w:val="008A752C"/>
    <w:rsid w:val="008A770C"/>
    <w:rsid w:val="008A7735"/>
    <w:rsid w:val="008A7D4C"/>
    <w:rsid w:val="008A7DB0"/>
    <w:rsid w:val="008A7E06"/>
    <w:rsid w:val="008A7FF7"/>
    <w:rsid w:val="008B026A"/>
    <w:rsid w:val="008B02B8"/>
    <w:rsid w:val="008B0444"/>
    <w:rsid w:val="008B083D"/>
    <w:rsid w:val="008B0A8A"/>
    <w:rsid w:val="008B0B66"/>
    <w:rsid w:val="008B0CD5"/>
    <w:rsid w:val="008B0DD7"/>
    <w:rsid w:val="008B0F99"/>
    <w:rsid w:val="008B0F9A"/>
    <w:rsid w:val="008B1341"/>
    <w:rsid w:val="008B1709"/>
    <w:rsid w:val="008B18BC"/>
    <w:rsid w:val="008B1912"/>
    <w:rsid w:val="008B1A98"/>
    <w:rsid w:val="008B1C01"/>
    <w:rsid w:val="008B2163"/>
    <w:rsid w:val="008B232E"/>
    <w:rsid w:val="008B282B"/>
    <w:rsid w:val="008B29F6"/>
    <w:rsid w:val="008B2A66"/>
    <w:rsid w:val="008B2CCB"/>
    <w:rsid w:val="008B2D88"/>
    <w:rsid w:val="008B2DF2"/>
    <w:rsid w:val="008B30F9"/>
    <w:rsid w:val="008B31E4"/>
    <w:rsid w:val="008B328B"/>
    <w:rsid w:val="008B339D"/>
    <w:rsid w:val="008B345B"/>
    <w:rsid w:val="008B381D"/>
    <w:rsid w:val="008B38AB"/>
    <w:rsid w:val="008B3919"/>
    <w:rsid w:val="008B396E"/>
    <w:rsid w:val="008B3A69"/>
    <w:rsid w:val="008B3AF5"/>
    <w:rsid w:val="008B4624"/>
    <w:rsid w:val="008B4863"/>
    <w:rsid w:val="008B510F"/>
    <w:rsid w:val="008B5173"/>
    <w:rsid w:val="008B53C6"/>
    <w:rsid w:val="008B590B"/>
    <w:rsid w:val="008B5A81"/>
    <w:rsid w:val="008B5C20"/>
    <w:rsid w:val="008B5E01"/>
    <w:rsid w:val="008B6010"/>
    <w:rsid w:val="008B6047"/>
    <w:rsid w:val="008B6267"/>
    <w:rsid w:val="008B64E1"/>
    <w:rsid w:val="008B695E"/>
    <w:rsid w:val="008B6BF1"/>
    <w:rsid w:val="008B6EFB"/>
    <w:rsid w:val="008B73FF"/>
    <w:rsid w:val="008B764E"/>
    <w:rsid w:val="008B7802"/>
    <w:rsid w:val="008B7A2B"/>
    <w:rsid w:val="008B7AE8"/>
    <w:rsid w:val="008B7CFC"/>
    <w:rsid w:val="008B7D2B"/>
    <w:rsid w:val="008B7D8A"/>
    <w:rsid w:val="008B7EC5"/>
    <w:rsid w:val="008C035F"/>
    <w:rsid w:val="008C0414"/>
    <w:rsid w:val="008C0514"/>
    <w:rsid w:val="008C067A"/>
    <w:rsid w:val="008C0923"/>
    <w:rsid w:val="008C0ACF"/>
    <w:rsid w:val="008C1723"/>
    <w:rsid w:val="008C18AA"/>
    <w:rsid w:val="008C198A"/>
    <w:rsid w:val="008C1C11"/>
    <w:rsid w:val="008C1CEB"/>
    <w:rsid w:val="008C1D21"/>
    <w:rsid w:val="008C1DF0"/>
    <w:rsid w:val="008C1E91"/>
    <w:rsid w:val="008C1EA1"/>
    <w:rsid w:val="008C1EE8"/>
    <w:rsid w:val="008C1FC3"/>
    <w:rsid w:val="008C200A"/>
    <w:rsid w:val="008C2048"/>
    <w:rsid w:val="008C25BD"/>
    <w:rsid w:val="008C2633"/>
    <w:rsid w:val="008C270F"/>
    <w:rsid w:val="008C2ADF"/>
    <w:rsid w:val="008C2BC2"/>
    <w:rsid w:val="008C2C2F"/>
    <w:rsid w:val="008C2CAC"/>
    <w:rsid w:val="008C2FBB"/>
    <w:rsid w:val="008C3009"/>
    <w:rsid w:val="008C340C"/>
    <w:rsid w:val="008C3504"/>
    <w:rsid w:val="008C3871"/>
    <w:rsid w:val="008C3DFB"/>
    <w:rsid w:val="008C40D1"/>
    <w:rsid w:val="008C4307"/>
    <w:rsid w:val="008C4635"/>
    <w:rsid w:val="008C4E22"/>
    <w:rsid w:val="008C4EA6"/>
    <w:rsid w:val="008C5039"/>
    <w:rsid w:val="008C5357"/>
    <w:rsid w:val="008C5A6E"/>
    <w:rsid w:val="008C5B34"/>
    <w:rsid w:val="008C5FFB"/>
    <w:rsid w:val="008C6019"/>
    <w:rsid w:val="008C607A"/>
    <w:rsid w:val="008C6092"/>
    <w:rsid w:val="008C6D54"/>
    <w:rsid w:val="008C6EAA"/>
    <w:rsid w:val="008C6FD5"/>
    <w:rsid w:val="008C73DB"/>
    <w:rsid w:val="008C75E2"/>
    <w:rsid w:val="008C7D13"/>
    <w:rsid w:val="008D0008"/>
    <w:rsid w:val="008D0201"/>
    <w:rsid w:val="008D028E"/>
    <w:rsid w:val="008D030A"/>
    <w:rsid w:val="008D05DB"/>
    <w:rsid w:val="008D0953"/>
    <w:rsid w:val="008D0CE3"/>
    <w:rsid w:val="008D0FBB"/>
    <w:rsid w:val="008D1078"/>
    <w:rsid w:val="008D10B2"/>
    <w:rsid w:val="008D118F"/>
    <w:rsid w:val="008D1494"/>
    <w:rsid w:val="008D151E"/>
    <w:rsid w:val="008D15B8"/>
    <w:rsid w:val="008D1616"/>
    <w:rsid w:val="008D170D"/>
    <w:rsid w:val="008D18E9"/>
    <w:rsid w:val="008D1A6F"/>
    <w:rsid w:val="008D1BB5"/>
    <w:rsid w:val="008D1CA6"/>
    <w:rsid w:val="008D20AE"/>
    <w:rsid w:val="008D21A2"/>
    <w:rsid w:val="008D2944"/>
    <w:rsid w:val="008D294A"/>
    <w:rsid w:val="008D2ECE"/>
    <w:rsid w:val="008D32CD"/>
    <w:rsid w:val="008D348F"/>
    <w:rsid w:val="008D34F0"/>
    <w:rsid w:val="008D36A3"/>
    <w:rsid w:val="008D3879"/>
    <w:rsid w:val="008D3939"/>
    <w:rsid w:val="008D3D49"/>
    <w:rsid w:val="008D3D96"/>
    <w:rsid w:val="008D3E45"/>
    <w:rsid w:val="008D4476"/>
    <w:rsid w:val="008D4494"/>
    <w:rsid w:val="008D46A0"/>
    <w:rsid w:val="008D485D"/>
    <w:rsid w:val="008D48BD"/>
    <w:rsid w:val="008D4924"/>
    <w:rsid w:val="008D4B79"/>
    <w:rsid w:val="008D4CAA"/>
    <w:rsid w:val="008D5533"/>
    <w:rsid w:val="008D56E7"/>
    <w:rsid w:val="008D5BFF"/>
    <w:rsid w:val="008D5DD1"/>
    <w:rsid w:val="008D6A23"/>
    <w:rsid w:val="008D6A56"/>
    <w:rsid w:val="008D6B68"/>
    <w:rsid w:val="008D6B85"/>
    <w:rsid w:val="008D6C9D"/>
    <w:rsid w:val="008D70C6"/>
    <w:rsid w:val="008D7108"/>
    <w:rsid w:val="008D71A6"/>
    <w:rsid w:val="008D74E2"/>
    <w:rsid w:val="008D7654"/>
    <w:rsid w:val="008D78EA"/>
    <w:rsid w:val="008D7AB6"/>
    <w:rsid w:val="008D7AE0"/>
    <w:rsid w:val="008D7C21"/>
    <w:rsid w:val="008D7E9A"/>
    <w:rsid w:val="008E01BA"/>
    <w:rsid w:val="008E022B"/>
    <w:rsid w:val="008E0258"/>
    <w:rsid w:val="008E0386"/>
    <w:rsid w:val="008E0581"/>
    <w:rsid w:val="008E0678"/>
    <w:rsid w:val="008E0955"/>
    <w:rsid w:val="008E0A73"/>
    <w:rsid w:val="008E0B55"/>
    <w:rsid w:val="008E0D0F"/>
    <w:rsid w:val="008E109F"/>
    <w:rsid w:val="008E12C2"/>
    <w:rsid w:val="008E13F7"/>
    <w:rsid w:val="008E140D"/>
    <w:rsid w:val="008E1691"/>
    <w:rsid w:val="008E19ED"/>
    <w:rsid w:val="008E1ACB"/>
    <w:rsid w:val="008E1D7A"/>
    <w:rsid w:val="008E1FF8"/>
    <w:rsid w:val="008E203C"/>
    <w:rsid w:val="008E2042"/>
    <w:rsid w:val="008E2119"/>
    <w:rsid w:val="008E21E1"/>
    <w:rsid w:val="008E2549"/>
    <w:rsid w:val="008E25F7"/>
    <w:rsid w:val="008E26E5"/>
    <w:rsid w:val="008E27DB"/>
    <w:rsid w:val="008E294D"/>
    <w:rsid w:val="008E2B31"/>
    <w:rsid w:val="008E2CF2"/>
    <w:rsid w:val="008E2D34"/>
    <w:rsid w:val="008E2E93"/>
    <w:rsid w:val="008E2F32"/>
    <w:rsid w:val="008E34D9"/>
    <w:rsid w:val="008E36DF"/>
    <w:rsid w:val="008E36FA"/>
    <w:rsid w:val="008E38CC"/>
    <w:rsid w:val="008E38D9"/>
    <w:rsid w:val="008E3E65"/>
    <w:rsid w:val="008E406A"/>
    <w:rsid w:val="008E4110"/>
    <w:rsid w:val="008E413A"/>
    <w:rsid w:val="008E42B2"/>
    <w:rsid w:val="008E4892"/>
    <w:rsid w:val="008E4A37"/>
    <w:rsid w:val="008E4F2E"/>
    <w:rsid w:val="008E4F95"/>
    <w:rsid w:val="008E5298"/>
    <w:rsid w:val="008E5550"/>
    <w:rsid w:val="008E55AF"/>
    <w:rsid w:val="008E55E6"/>
    <w:rsid w:val="008E5612"/>
    <w:rsid w:val="008E56AA"/>
    <w:rsid w:val="008E570A"/>
    <w:rsid w:val="008E5A61"/>
    <w:rsid w:val="008E5AC9"/>
    <w:rsid w:val="008E5BEC"/>
    <w:rsid w:val="008E5C35"/>
    <w:rsid w:val="008E5CD6"/>
    <w:rsid w:val="008E6017"/>
    <w:rsid w:val="008E626C"/>
    <w:rsid w:val="008E65DA"/>
    <w:rsid w:val="008E6670"/>
    <w:rsid w:val="008E66FB"/>
    <w:rsid w:val="008E6E5C"/>
    <w:rsid w:val="008E6EB0"/>
    <w:rsid w:val="008E6F3D"/>
    <w:rsid w:val="008E6FB2"/>
    <w:rsid w:val="008E71E4"/>
    <w:rsid w:val="008E74FE"/>
    <w:rsid w:val="008E7629"/>
    <w:rsid w:val="008E772B"/>
    <w:rsid w:val="008E7827"/>
    <w:rsid w:val="008E791B"/>
    <w:rsid w:val="008E79C4"/>
    <w:rsid w:val="008E7CAB"/>
    <w:rsid w:val="008E7D03"/>
    <w:rsid w:val="008E7FBF"/>
    <w:rsid w:val="008F0197"/>
    <w:rsid w:val="008F02F8"/>
    <w:rsid w:val="008F03DC"/>
    <w:rsid w:val="008F0507"/>
    <w:rsid w:val="008F0751"/>
    <w:rsid w:val="008F08A6"/>
    <w:rsid w:val="008F0988"/>
    <w:rsid w:val="008F09E9"/>
    <w:rsid w:val="008F0B34"/>
    <w:rsid w:val="008F0C98"/>
    <w:rsid w:val="008F110F"/>
    <w:rsid w:val="008F11BA"/>
    <w:rsid w:val="008F14A6"/>
    <w:rsid w:val="008F17A4"/>
    <w:rsid w:val="008F180A"/>
    <w:rsid w:val="008F1DEF"/>
    <w:rsid w:val="008F20F0"/>
    <w:rsid w:val="008F236F"/>
    <w:rsid w:val="008F23BB"/>
    <w:rsid w:val="008F2581"/>
    <w:rsid w:val="008F25DF"/>
    <w:rsid w:val="008F2642"/>
    <w:rsid w:val="008F29A1"/>
    <w:rsid w:val="008F2A62"/>
    <w:rsid w:val="008F2A9A"/>
    <w:rsid w:val="008F2FE8"/>
    <w:rsid w:val="008F32EC"/>
    <w:rsid w:val="008F3461"/>
    <w:rsid w:val="008F36B0"/>
    <w:rsid w:val="008F37F3"/>
    <w:rsid w:val="008F3CFE"/>
    <w:rsid w:val="008F3D08"/>
    <w:rsid w:val="008F3D09"/>
    <w:rsid w:val="008F3E3D"/>
    <w:rsid w:val="008F3ECF"/>
    <w:rsid w:val="008F45D0"/>
    <w:rsid w:val="008F4C00"/>
    <w:rsid w:val="008F4C67"/>
    <w:rsid w:val="008F4D7D"/>
    <w:rsid w:val="008F4FA7"/>
    <w:rsid w:val="008F54B0"/>
    <w:rsid w:val="008F55E3"/>
    <w:rsid w:val="008F589D"/>
    <w:rsid w:val="008F5A49"/>
    <w:rsid w:val="008F62B3"/>
    <w:rsid w:val="008F63DE"/>
    <w:rsid w:val="008F65DD"/>
    <w:rsid w:val="008F6732"/>
    <w:rsid w:val="008F6843"/>
    <w:rsid w:val="008F687A"/>
    <w:rsid w:val="008F6A18"/>
    <w:rsid w:val="008F6BA6"/>
    <w:rsid w:val="008F7218"/>
    <w:rsid w:val="008F730C"/>
    <w:rsid w:val="008F74FF"/>
    <w:rsid w:val="008F7549"/>
    <w:rsid w:val="008F75C7"/>
    <w:rsid w:val="008F76D5"/>
    <w:rsid w:val="008F7A7D"/>
    <w:rsid w:val="008F7C0F"/>
    <w:rsid w:val="008F7CF8"/>
    <w:rsid w:val="008F7E59"/>
    <w:rsid w:val="00900175"/>
    <w:rsid w:val="00900262"/>
    <w:rsid w:val="00900360"/>
    <w:rsid w:val="00900F01"/>
    <w:rsid w:val="00901062"/>
    <w:rsid w:val="0090111B"/>
    <w:rsid w:val="00901AB4"/>
    <w:rsid w:val="00901C19"/>
    <w:rsid w:val="00901C68"/>
    <w:rsid w:val="00901C6D"/>
    <w:rsid w:val="00901DBD"/>
    <w:rsid w:val="0090295F"/>
    <w:rsid w:val="00902A42"/>
    <w:rsid w:val="00902AF5"/>
    <w:rsid w:val="00902C18"/>
    <w:rsid w:val="00902C6D"/>
    <w:rsid w:val="00902FB3"/>
    <w:rsid w:val="00903079"/>
    <w:rsid w:val="00903A71"/>
    <w:rsid w:val="00903B4C"/>
    <w:rsid w:val="00903E08"/>
    <w:rsid w:val="00903EAF"/>
    <w:rsid w:val="00903ED7"/>
    <w:rsid w:val="00904281"/>
    <w:rsid w:val="009043B4"/>
    <w:rsid w:val="009043C2"/>
    <w:rsid w:val="009043FF"/>
    <w:rsid w:val="009045FC"/>
    <w:rsid w:val="00904611"/>
    <w:rsid w:val="009046BB"/>
    <w:rsid w:val="00904820"/>
    <w:rsid w:val="00904E6C"/>
    <w:rsid w:val="00904FE2"/>
    <w:rsid w:val="009051EC"/>
    <w:rsid w:val="00905385"/>
    <w:rsid w:val="00905441"/>
    <w:rsid w:val="009055B4"/>
    <w:rsid w:val="009057C0"/>
    <w:rsid w:val="00905941"/>
    <w:rsid w:val="00905ACF"/>
    <w:rsid w:val="00905B23"/>
    <w:rsid w:val="00905D1A"/>
    <w:rsid w:val="00905D57"/>
    <w:rsid w:val="00905D6B"/>
    <w:rsid w:val="00906090"/>
    <w:rsid w:val="009060FD"/>
    <w:rsid w:val="0090613C"/>
    <w:rsid w:val="00906484"/>
    <w:rsid w:val="009064A1"/>
    <w:rsid w:val="009067D8"/>
    <w:rsid w:val="00906A57"/>
    <w:rsid w:val="00906A95"/>
    <w:rsid w:val="00906B2E"/>
    <w:rsid w:val="00906E86"/>
    <w:rsid w:val="009070C5"/>
    <w:rsid w:val="00907416"/>
    <w:rsid w:val="00907A40"/>
    <w:rsid w:val="00907DA8"/>
    <w:rsid w:val="009100B0"/>
    <w:rsid w:val="00910858"/>
    <w:rsid w:val="00910A9A"/>
    <w:rsid w:val="00910DD1"/>
    <w:rsid w:val="00910DF6"/>
    <w:rsid w:val="00910EAF"/>
    <w:rsid w:val="00911100"/>
    <w:rsid w:val="009111A4"/>
    <w:rsid w:val="00911372"/>
    <w:rsid w:val="009113FE"/>
    <w:rsid w:val="00911597"/>
    <w:rsid w:val="009115CE"/>
    <w:rsid w:val="0091163A"/>
    <w:rsid w:val="00911B11"/>
    <w:rsid w:val="00911BE1"/>
    <w:rsid w:val="00911E7D"/>
    <w:rsid w:val="0091229A"/>
    <w:rsid w:val="009124C5"/>
    <w:rsid w:val="00912503"/>
    <w:rsid w:val="00912771"/>
    <w:rsid w:val="009128C6"/>
    <w:rsid w:val="00912F20"/>
    <w:rsid w:val="00913254"/>
    <w:rsid w:val="00913317"/>
    <w:rsid w:val="009134EB"/>
    <w:rsid w:val="00913A1C"/>
    <w:rsid w:val="00913C0E"/>
    <w:rsid w:val="00913CA8"/>
    <w:rsid w:val="00913EE0"/>
    <w:rsid w:val="00914146"/>
    <w:rsid w:val="0091414C"/>
    <w:rsid w:val="0091415E"/>
    <w:rsid w:val="00914184"/>
    <w:rsid w:val="009141A9"/>
    <w:rsid w:val="009144E7"/>
    <w:rsid w:val="009145BE"/>
    <w:rsid w:val="009148F6"/>
    <w:rsid w:val="00914B8F"/>
    <w:rsid w:val="00914D71"/>
    <w:rsid w:val="009151A1"/>
    <w:rsid w:val="00915536"/>
    <w:rsid w:val="009156FB"/>
    <w:rsid w:val="00915766"/>
    <w:rsid w:val="00915A9B"/>
    <w:rsid w:val="00915DBB"/>
    <w:rsid w:val="00915E2F"/>
    <w:rsid w:val="00916210"/>
    <w:rsid w:val="00916220"/>
    <w:rsid w:val="009163A9"/>
    <w:rsid w:val="00916975"/>
    <w:rsid w:val="00916992"/>
    <w:rsid w:val="00916A10"/>
    <w:rsid w:val="00916E0E"/>
    <w:rsid w:val="009170A3"/>
    <w:rsid w:val="009172C7"/>
    <w:rsid w:val="009172DA"/>
    <w:rsid w:val="0091779C"/>
    <w:rsid w:val="009177BA"/>
    <w:rsid w:val="009178B4"/>
    <w:rsid w:val="00917AF4"/>
    <w:rsid w:val="00917CB8"/>
    <w:rsid w:val="00917CC1"/>
    <w:rsid w:val="00917CE3"/>
    <w:rsid w:val="00917DCD"/>
    <w:rsid w:val="00917E90"/>
    <w:rsid w:val="00917F12"/>
    <w:rsid w:val="00920539"/>
    <w:rsid w:val="009206A0"/>
    <w:rsid w:val="00920866"/>
    <w:rsid w:val="0092098F"/>
    <w:rsid w:val="009209B7"/>
    <w:rsid w:val="00920B89"/>
    <w:rsid w:val="009212F5"/>
    <w:rsid w:val="0092130F"/>
    <w:rsid w:val="009213B7"/>
    <w:rsid w:val="0092148B"/>
    <w:rsid w:val="0092163E"/>
    <w:rsid w:val="009218E2"/>
    <w:rsid w:val="00921C04"/>
    <w:rsid w:val="00921E17"/>
    <w:rsid w:val="00921E7A"/>
    <w:rsid w:val="00922283"/>
    <w:rsid w:val="009224D0"/>
    <w:rsid w:val="009226C2"/>
    <w:rsid w:val="00922A93"/>
    <w:rsid w:val="00922B71"/>
    <w:rsid w:val="00922C5F"/>
    <w:rsid w:val="00922CFE"/>
    <w:rsid w:val="00922D5B"/>
    <w:rsid w:val="00922FEC"/>
    <w:rsid w:val="0092334F"/>
    <w:rsid w:val="00923353"/>
    <w:rsid w:val="009235E4"/>
    <w:rsid w:val="00923AC7"/>
    <w:rsid w:val="00923ACD"/>
    <w:rsid w:val="00923B7D"/>
    <w:rsid w:val="00923CE5"/>
    <w:rsid w:val="00923D54"/>
    <w:rsid w:val="00923FB1"/>
    <w:rsid w:val="00924211"/>
    <w:rsid w:val="009244B1"/>
    <w:rsid w:val="00924927"/>
    <w:rsid w:val="00924DC2"/>
    <w:rsid w:val="00924E21"/>
    <w:rsid w:val="0092568F"/>
    <w:rsid w:val="009256B1"/>
    <w:rsid w:val="0092578B"/>
    <w:rsid w:val="0092587E"/>
    <w:rsid w:val="00925FD1"/>
    <w:rsid w:val="0092608A"/>
    <w:rsid w:val="00926779"/>
    <w:rsid w:val="009269AB"/>
    <w:rsid w:val="00927271"/>
    <w:rsid w:val="00927498"/>
    <w:rsid w:val="0092794B"/>
    <w:rsid w:val="00927AE0"/>
    <w:rsid w:val="00930080"/>
    <w:rsid w:val="00930578"/>
    <w:rsid w:val="00930898"/>
    <w:rsid w:val="009308E2"/>
    <w:rsid w:val="00930AA0"/>
    <w:rsid w:val="00930E6D"/>
    <w:rsid w:val="00930F51"/>
    <w:rsid w:val="009310E1"/>
    <w:rsid w:val="009314A6"/>
    <w:rsid w:val="00931645"/>
    <w:rsid w:val="00931AB7"/>
    <w:rsid w:val="00931CD8"/>
    <w:rsid w:val="00932115"/>
    <w:rsid w:val="00932374"/>
    <w:rsid w:val="00932C22"/>
    <w:rsid w:val="00932C24"/>
    <w:rsid w:val="00932D8F"/>
    <w:rsid w:val="00933236"/>
    <w:rsid w:val="009335A1"/>
    <w:rsid w:val="009337BE"/>
    <w:rsid w:val="009337CD"/>
    <w:rsid w:val="00933BEC"/>
    <w:rsid w:val="00933D70"/>
    <w:rsid w:val="0093419E"/>
    <w:rsid w:val="00934969"/>
    <w:rsid w:val="00934971"/>
    <w:rsid w:val="00934F9A"/>
    <w:rsid w:val="00934FDD"/>
    <w:rsid w:val="00935252"/>
    <w:rsid w:val="009352AF"/>
    <w:rsid w:val="009352CF"/>
    <w:rsid w:val="00935461"/>
    <w:rsid w:val="00935A35"/>
    <w:rsid w:val="00935E72"/>
    <w:rsid w:val="00935EE9"/>
    <w:rsid w:val="009360B5"/>
    <w:rsid w:val="009360D5"/>
    <w:rsid w:val="009360F3"/>
    <w:rsid w:val="0093661B"/>
    <w:rsid w:val="009368A1"/>
    <w:rsid w:val="009368E1"/>
    <w:rsid w:val="009368F2"/>
    <w:rsid w:val="00936910"/>
    <w:rsid w:val="00936A25"/>
    <w:rsid w:val="00936A43"/>
    <w:rsid w:val="00936EF9"/>
    <w:rsid w:val="00936F7A"/>
    <w:rsid w:val="009375A7"/>
    <w:rsid w:val="009377AB"/>
    <w:rsid w:val="00937819"/>
    <w:rsid w:val="00937AA4"/>
    <w:rsid w:val="00937C52"/>
    <w:rsid w:val="00937E59"/>
    <w:rsid w:val="009400DA"/>
    <w:rsid w:val="00940134"/>
    <w:rsid w:val="0094019D"/>
    <w:rsid w:val="009401A1"/>
    <w:rsid w:val="009401F0"/>
    <w:rsid w:val="009406F2"/>
    <w:rsid w:val="009408F1"/>
    <w:rsid w:val="00940F0A"/>
    <w:rsid w:val="009414A6"/>
    <w:rsid w:val="00941591"/>
    <w:rsid w:val="00941605"/>
    <w:rsid w:val="009417B8"/>
    <w:rsid w:val="00941A43"/>
    <w:rsid w:val="00941F38"/>
    <w:rsid w:val="0094211F"/>
    <w:rsid w:val="00942178"/>
    <w:rsid w:val="009421FA"/>
    <w:rsid w:val="009422B6"/>
    <w:rsid w:val="009422D7"/>
    <w:rsid w:val="009422F0"/>
    <w:rsid w:val="00942378"/>
    <w:rsid w:val="00942504"/>
    <w:rsid w:val="0094261B"/>
    <w:rsid w:val="00942E0B"/>
    <w:rsid w:val="0094342F"/>
    <w:rsid w:val="00943468"/>
    <w:rsid w:val="00943558"/>
    <w:rsid w:val="00943A26"/>
    <w:rsid w:val="00943CA8"/>
    <w:rsid w:val="009440BC"/>
    <w:rsid w:val="00944176"/>
    <w:rsid w:val="00944645"/>
    <w:rsid w:val="0094464D"/>
    <w:rsid w:val="009446C8"/>
    <w:rsid w:val="00944977"/>
    <w:rsid w:val="00944BC0"/>
    <w:rsid w:val="00944C95"/>
    <w:rsid w:val="00944F9B"/>
    <w:rsid w:val="00944FA9"/>
    <w:rsid w:val="009452D0"/>
    <w:rsid w:val="0094567C"/>
    <w:rsid w:val="009459A4"/>
    <w:rsid w:val="00945F28"/>
    <w:rsid w:val="00946048"/>
    <w:rsid w:val="0094614E"/>
    <w:rsid w:val="0094626F"/>
    <w:rsid w:val="0094628A"/>
    <w:rsid w:val="0094635D"/>
    <w:rsid w:val="0094641D"/>
    <w:rsid w:val="0094699A"/>
    <w:rsid w:val="00946AAA"/>
    <w:rsid w:val="00946EA5"/>
    <w:rsid w:val="00946EAA"/>
    <w:rsid w:val="009470AB"/>
    <w:rsid w:val="00947155"/>
    <w:rsid w:val="00947403"/>
    <w:rsid w:val="00947B20"/>
    <w:rsid w:val="00947B8C"/>
    <w:rsid w:val="00947FF2"/>
    <w:rsid w:val="009506F2"/>
    <w:rsid w:val="00950741"/>
    <w:rsid w:val="009508EB"/>
    <w:rsid w:val="009509D5"/>
    <w:rsid w:val="00950F35"/>
    <w:rsid w:val="00951138"/>
    <w:rsid w:val="00951579"/>
    <w:rsid w:val="009518D1"/>
    <w:rsid w:val="00951B42"/>
    <w:rsid w:val="00951F25"/>
    <w:rsid w:val="00951FED"/>
    <w:rsid w:val="00952251"/>
    <w:rsid w:val="00952C5D"/>
    <w:rsid w:val="00953304"/>
    <w:rsid w:val="00953557"/>
    <w:rsid w:val="00953897"/>
    <w:rsid w:val="009538EA"/>
    <w:rsid w:val="00953B76"/>
    <w:rsid w:val="00953E88"/>
    <w:rsid w:val="0095404E"/>
    <w:rsid w:val="0095421E"/>
    <w:rsid w:val="00954448"/>
    <w:rsid w:val="00954973"/>
    <w:rsid w:val="009550D9"/>
    <w:rsid w:val="0095510E"/>
    <w:rsid w:val="00955254"/>
    <w:rsid w:val="00955670"/>
    <w:rsid w:val="009556E4"/>
    <w:rsid w:val="0095577C"/>
    <w:rsid w:val="009558D1"/>
    <w:rsid w:val="00955A20"/>
    <w:rsid w:val="00955DDD"/>
    <w:rsid w:val="00955EB8"/>
    <w:rsid w:val="0095649C"/>
    <w:rsid w:val="0095675E"/>
    <w:rsid w:val="00956AF0"/>
    <w:rsid w:val="00956C75"/>
    <w:rsid w:val="00956E29"/>
    <w:rsid w:val="00956E9A"/>
    <w:rsid w:val="0095706A"/>
    <w:rsid w:val="0095710E"/>
    <w:rsid w:val="0095726C"/>
    <w:rsid w:val="0095728A"/>
    <w:rsid w:val="00957317"/>
    <w:rsid w:val="00957443"/>
    <w:rsid w:val="00957756"/>
    <w:rsid w:val="00957CC5"/>
    <w:rsid w:val="00957D85"/>
    <w:rsid w:val="00960293"/>
    <w:rsid w:val="009604DF"/>
    <w:rsid w:val="009607F0"/>
    <w:rsid w:val="00960A60"/>
    <w:rsid w:val="00960B3A"/>
    <w:rsid w:val="00960B8D"/>
    <w:rsid w:val="00960BF0"/>
    <w:rsid w:val="00960C23"/>
    <w:rsid w:val="00960C6D"/>
    <w:rsid w:val="00960CED"/>
    <w:rsid w:val="0096112D"/>
    <w:rsid w:val="00961348"/>
    <w:rsid w:val="009614E5"/>
    <w:rsid w:val="0096171F"/>
    <w:rsid w:val="00961815"/>
    <w:rsid w:val="009618B6"/>
    <w:rsid w:val="009618CB"/>
    <w:rsid w:val="00961BC3"/>
    <w:rsid w:val="00961D2D"/>
    <w:rsid w:val="00961E6A"/>
    <w:rsid w:val="00961F1B"/>
    <w:rsid w:val="009624D8"/>
    <w:rsid w:val="00962AA8"/>
    <w:rsid w:val="00962B93"/>
    <w:rsid w:val="00962F6A"/>
    <w:rsid w:val="00962FB1"/>
    <w:rsid w:val="0096300A"/>
    <w:rsid w:val="00963035"/>
    <w:rsid w:val="00963473"/>
    <w:rsid w:val="0096356F"/>
    <w:rsid w:val="00963D61"/>
    <w:rsid w:val="009640A2"/>
    <w:rsid w:val="00964443"/>
    <w:rsid w:val="009646E3"/>
    <w:rsid w:val="009647D5"/>
    <w:rsid w:val="009648EC"/>
    <w:rsid w:val="00964AD3"/>
    <w:rsid w:val="00964C12"/>
    <w:rsid w:val="00964CD8"/>
    <w:rsid w:val="00964DEB"/>
    <w:rsid w:val="009652A6"/>
    <w:rsid w:val="0096556B"/>
    <w:rsid w:val="0096571C"/>
    <w:rsid w:val="00965721"/>
    <w:rsid w:val="00965797"/>
    <w:rsid w:val="009659E7"/>
    <w:rsid w:val="00965A36"/>
    <w:rsid w:val="00965DAA"/>
    <w:rsid w:val="00965ED8"/>
    <w:rsid w:val="00965FF1"/>
    <w:rsid w:val="00966266"/>
    <w:rsid w:val="00966317"/>
    <w:rsid w:val="009663CB"/>
    <w:rsid w:val="00966534"/>
    <w:rsid w:val="009665EF"/>
    <w:rsid w:val="0096666C"/>
    <w:rsid w:val="009666F7"/>
    <w:rsid w:val="009669CC"/>
    <w:rsid w:val="00966B98"/>
    <w:rsid w:val="00966CE2"/>
    <w:rsid w:val="00966CFD"/>
    <w:rsid w:val="00966DF2"/>
    <w:rsid w:val="00966EB2"/>
    <w:rsid w:val="00966ED0"/>
    <w:rsid w:val="009672E5"/>
    <w:rsid w:val="0096754F"/>
    <w:rsid w:val="009676E2"/>
    <w:rsid w:val="00967787"/>
    <w:rsid w:val="00967A23"/>
    <w:rsid w:val="00967B4E"/>
    <w:rsid w:val="00967BCD"/>
    <w:rsid w:val="00967D18"/>
    <w:rsid w:val="00967F99"/>
    <w:rsid w:val="00970160"/>
    <w:rsid w:val="00970531"/>
    <w:rsid w:val="00970561"/>
    <w:rsid w:val="00970B42"/>
    <w:rsid w:val="00970BEF"/>
    <w:rsid w:val="00971724"/>
    <w:rsid w:val="0097178D"/>
    <w:rsid w:val="00971E26"/>
    <w:rsid w:val="00972918"/>
    <w:rsid w:val="00972928"/>
    <w:rsid w:val="00972C54"/>
    <w:rsid w:val="00972DAD"/>
    <w:rsid w:val="00972E56"/>
    <w:rsid w:val="00973667"/>
    <w:rsid w:val="00973DEE"/>
    <w:rsid w:val="00973EE5"/>
    <w:rsid w:val="00973F1D"/>
    <w:rsid w:val="00973F65"/>
    <w:rsid w:val="00974262"/>
    <w:rsid w:val="009742CD"/>
    <w:rsid w:val="00974616"/>
    <w:rsid w:val="0097477F"/>
    <w:rsid w:val="00974A88"/>
    <w:rsid w:val="00974DD3"/>
    <w:rsid w:val="00975158"/>
    <w:rsid w:val="00975181"/>
    <w:rsid w:val="0097549F"/>
    <w:rsid w:val="009754AD"/>
    <w:rsid w:val="009755D1"/>
    <w:rsid w:val="0097567F"/>
    <w:rsid w:val="009757EA"/>
    <w:rsid w:val="00975B13"/>
    <w:rsid w:val="00975BDC"/>
    <w:rsid w:val="00975C60"/>
    <w:rsid w:val="00975CA7"/>
    <w:rsid w:val="00975EC3"/>
    <w:rsid w:val="009761D2"/>
    <w:rsid w:val="00976207"/>
    <w:rsid w:val="00976311"/>
    <w:rsid w:val="009765DE"/>
    <w:rsid w:val="00976766"/>
    <w:rsid w:val="00976A0B"/>
    <w:rsid w:val="00976B6A"/>
    <w:rsid w:val="00976D53"/>
    <w:rsid w:val="00976D87"/>
    <w:rsid w:val="00976E69"/>
    <w:rsid w:val="00976E8F"/>
    <w:rsid w:val="00976F5C"/>
    <w:rsid w:val="00977083"/>
    <w:rsid w:val="009772BB"/>
    <w:rsid w:val="009773E4"/>
    <w:rsid w:val="0097748A"/>
    <w:rsid w:val="00977527"/>
    <w:rsid w:val="009776A8"/>
    <w:rsid w:val="00977711"/>
    <w:rsid w:val="009777D1"/>
    <w:rsid w:val="00977A55"/>
    <w:rsid w:val="00977BA2"/>
    <w:rsid w:val="00977F8F"/>
    <w:rsid w:val="00977FD8"/>
    <w:rsid w:val="009800BB"/>
    <w:rsid w:val="00980130"/>
    <w:rsid w:val="009801F4"/>
    <w:rsid w:val="0098052F"/>
    <w:rsid w:val="009805E1"/>
    <w:rsid w:val="009807AA"/>
    <w:rsid w:val="00980823"/>
    <w:rsid w:val="009808B8"/>
    <w:rsid w:val="00980972"/>
    <w:rsid w:val="009809A0"/>
    <w:rsid w:val="00980EC4"/>
    <w:rsid w:val="00981477"/>
    <w:rsid w:val="00981809"/>
    <w:rsid w:val="00982296"/>
    <w:rsid w:val="00982790"/>
    <w:rsid w:val="00983078"/>
    <w:rsid w:val="00983149"/>
    <w:rsid w:val="0098341C"/>
    <w:rsid w:val="009834B6"/>
    <w:rsid w:val="0098370D"/>
    <w:rsid w:val="00983CCF"/>
    <w:rsid w:val="00983DDA"/>
    <w:rsid w:val="00983E48"/>
    <w:rsid w:val="00983E7C"/>
    <w:rsid w:val="00984291"/>
    <w:rsid w:val="009842B1"/>
    <w:rsid w:val="009843F6"/>
    <w:rsid w:val="00984472"/>
    <w:rsid w:val="00984502"/>
    <w:rsid w:val="0098464A"/>
    <w:rsid w:val="00984788"/>
    <w:rsid w:val="00984830"/>
    <w:rsid w:val="009849B1"/>
    <w:rsid w:val="00984C97"/>
    <w:rsid w:val="00984D2B"/>
    <w:rsid w:val="00984F81"/>
    <w:rsid w:val="00985019"/>
    <w:rsid w:val="00985085"/>
    <w:rsid w:val="0098540F"/>
    <w:rsid w:val="009854DA"/>
    <w:rsid w:val="00985622"/>
    <w:rsid w:val="00985710"/>
    <w:rsid w:val="00985773"/>
    <w:rsid w:val="00985F0E"/>
    <w:rsid w:val="00985FC7"/>
    <w:rsid w:val="00986167"/>
    <w:rsid w:val="0098666C"/>
    <w:rsid w:val="0098666E"/>
    <w:rsid w:val="009868FB"/>
    <w:rsid w:val="009869A7"/>
    <w:rsid w:val="00986D04"/>
    <w:rsid w:val="00986DCA"/>
    <w:rsid w:val="00986F48"/>
    <w:rsid w:val="00987039"/>
    <w:rsid w:val="0098707C"/>
    <w:rsid w:val="00987149"/>
    <w:rsid w:val="00987508"/>
    <w:rsid w:val="009876B2"/>
    <w:rsid w:val="00987929"/>
    <w:rsid w:val="00987B39"/>
    <w:rsid w:val="00987C32"/>
    <w:rsid w:val="00987F3E"/>
    <w:rsid w:val="0099012A"/>
    <w:rsid w:val="00990208"/>
    <w:rsid w:val="0099020A"/>
    <w:rsid w:val="009905FC"/>
    <w:rsid w:val="0099060F"/>
    <w:rsid w:val="00990657"/>
    <w:rsid w:val="0099065F"/>
    <w:rsid w:val="00990AC4"/>
    <w:rsid w:val="00990ECC"/>
    <w:rsid w:val="00991413"/>
    <w:rsid w:val="0099142C"/>
    <w:rsid w:val="00991B34"/>
    <w:rsid w:val="00991B8A"/>
    <w:rsid w:val="00991BA6"/>
    <w:rsid w:val="00991E56"/>
    <w:rsid w:val="0099201C"/>
    <w:rsid w:val="00992121"/>
    <w:rsid w:val="009925EF"/>
    <w:rsid w:val="00992E43"/>
    <w:rsid w:val="00992FBA"/>
    <w:rsid w:val="0099311C"/>
    <w:rsid w:val="009931E9"/>
    <w:rsid w:val="009932C9"/>
    <w:rsid w:val="0099355A"/>
    <w:rsid w:val="00993587"/>
    <w:rsid w:val="009937C1"/>
    <w:rsid w:val="00993A22"/>
    <w:rsid w:val="00993B12"/>
    <w:rsid w:val="00993B43"/>
    <w:rsid w:val="00993C1B"/>
    <w:rsid w:val="00993E77"/>
    <w:rsid w:val="00993FDF"/>
    <w:rsid w:val="00994310"/>
    <w:rsid w:val="0099441B"/>
    <w:rsid w:val="00994744"/>
    <w:rsid w:val="009947E8"/>
    <w:rsid w:val="009947EF"/>
    <w:rsid w:val="00994AB5"/>
    <w:rsid w:val="00994AF0"/>
    <w:rsid w:val="00994BE2"/>
    <w:rsid w:val="00994CC3"/>
    <w:rsid w:val="00995114"/>
    <w:rsid w:val="00995251"/>
    <w:rsid w:val="00995452"/>
    <w:rsid w:val="009956AB"/>
    <w:rsid w:val="009957D8"/>
    <w:rsid w:val="0099588D"/>
    <w:rsid w:val="00995937"/>
    <w:rsid w:val="0099595E"/>
    <w:rsid w:val="00995BB0"/>
    <w:rsid w:val="00995C0F"/>
    <w:rsid w:val="00995D4E"/>
    <w:rsid w:val="00995DDC"/>
    <w:rsid w:val="00995EFD"/>
    <w:rsid w:val="00995FAA"/>
    <w:rsid w:val="009961DB"/>
    <w:rsid w:val="00996289"/>
    <w:rsid w:val="009962C2"/>
    <w:rsid w:val="00996339"/>
    <w:rsid w:val="009966FE"/>
    <w:rsid w:val="0099674B"/>
    <w:rsid w:val="009967AF"/>
    <w:rsid w:val="0099680E"/>
    <w:rsid w:val="0099693F"/>
    <w:rsid w:val="009969A5"/>
    <w:rsid w:val="00996A6C"/>
    <w:rsid w:val="00996BF2"/>
    <w:rsid w:val="00996EC9"/>
    <w:rsid w:val="009975EE"/>
    <w:rsid w:val="00997934"/>
    <w:rsid w:val="00997AC5"/>
    <w:rsid w:val="00997B3B"/>
    <w:rsid w:val="00997CB2"/>
    <w:rsid w:val="00997FA3"/>
    <w:rsid w:val="00997FA4"/>
    <w:rsid w:val="009A0586"/>
    <w:rsid w:val="009A06B1"/>
    <w:rsid w:val="009A0930"/>
    <w:rsid w:val="009A0979"/>
    <w:rsid w:val="009A101F"/>
    <w:rsid w:val="009A1098"/>
    <w:rsid w:val="009A11C1"/>
    <w:rsid w:val="009A133A"/>
    <w:rsid w:val="009A135F"/>
    <w:rsid w:val="009A1624"/>
    <w:rsid w:val="009A195C"/>
    <w:rsid w:val="009A1A24"/>
    <w:rsid w:val="009A1FF4"/>
    <w:rsid w:val="009A288E"/>
    <w:rsid w:val="009A3461"/>
    <w:rsid w:val="009A379C"/>
    <w:rsid w:val="009A3B0B"/>
    <w:rsid w:val="009A3B2A"/>
    <w:rsid w:val="009A3DEC"/>
    <w:rsid w:val="009A41EE"/>
    <w:rsid w:val="009A4264"/>
    <w:rsid w:val="009A43B0"/>
    <w:rsid w:val="009A4413"/>
    <w:rsid w:val="009A44B1"/>
    <w:rsid w:val="009A4592"/>
    <w:rsid w:val="009A51BD"/>
    <w:rsid w:val="009A5570"/>
    <w:rsid w:val="009A565A"/>
    <w:rsid w:val="009A56CF"/>
    <w:rsid w:val="009A57F2"/>
    <w:rsid w:val="009A5C0E"/>
    <w:rsid w:val="009A5EB6"/>
    <w:rsid w:val="009A5F97"/>
    <w:rsid w:val="009A5FCD"/>
    <w:rsid w:val="009A60E7"/>
    <w:rsid w:val="009A616F"/>
    <w:rsid w:val="009A6728"/>
    <w:rsid w:val="009A683B"/>
    <w:rsid w:val="009A6853"/>
    <w:rsid w:val="009A6BFB"/>
    <w:rsid w:val="009A6C5D"/>
    <w:rsid w:val="009A6C91"/>
    <w:rsid w:val="009A6CBA"/>
    <w:rsid w:val="009A6D88"/>
    <w:rsid w:val="009A6DC4"/>
    <w:rsid w:val="009A6EC6"/>
    <w:rsid w:val="009A6FF1"/>
    <w:rsid w:val="009A7111"/>
    <w:rsid w:val="009A711F"/>
    <w:rsid w:val="009A724D"/>
    <w:rsid w:val="009A7316"/>
    <w:rsid w:val="009A737A"/>
    <w:rsid w:val="009A796F"/>
    <w:rsid w:val="009A79D7"/>
    <w:rsid w:val="009A7B93"/>
    <w:rsid w:val="009A7F0C"/>
    <w:rsid w:val="009B0102"/>
    <w:rsid w:val="009B02D2"/>
    <w:rsid w:val="009B0605"/>
    <w:rsid w:val="009B0777"/>
    <w:rsid w:val="009B07D5"/>
    <w:rsid w:val="009B0944"/>
    <w:rsid w:val="009B116E"/>
    <w:rsid w:val="009B13D5"/>
    <w:rsid w:val="009B147C"/>
    <w:rsid w:val="009B154E"/>
    <w:rsid w:val="009B163E"/>
    <w:rsid w:val="009B1746"/>
    <w:rsid w:val="009B17CE"/>
    <w:rsid w:val="009B18ED"/>
    <w:rsid w:val="009B1D10"/>
    <w:rsid w:val="009B1EA1"/>
    <w:rsid w:val="009B1EDF"/>
    <w:rsid w:val="009B20F0"/>
    <w:rsid w:val="009B22EE"/>
    <w:rsid w:val="009B2471"/>
    <w:rsid w:val="009B28E9"/>
    <w:rsid w:val="009B2D61"/>
    <w:rsid w:val="009B2DF6"/>
    <w:rsid w:val="009B2F27"/>
    <w:rsid w:val="009B30E9"/>
    <w:rsid w:val="009B3233"/>
    <w:rsid w:val="009B3740"/>
    <w:rsid w:val="009B3788"/>
    <w:rsid w:val="009B388B"/>
    <w:rsid w:val="009B38B3"/>
    <w:rsid w:val="009B3912"/>
    <w:rsid w:val="009B39EB"/>
    <w:rsid w:val="009B4257"/>
    <w:rsid w:val="009B437D"/>
    <w:rsid w:val="009B45A5"/>
    <w:rsid w:val="009B4690"/>
    <w:rsid w:val="009B49EA"/>
    <w:rsid w:val="009B4D99"/>
    <w:rsid w:val="009B507F"/>
    <w:rsid w:val="009B52BD"/>
    <w:rsid w:val="009B52EC"/>
    <w:rsid w:val="009B5ABA"/>
    <w:rsid w:val="009B5C4B"/>
    <w:rsid w:val="009B5D79"/>
    <w:rsid w:val="009B5E0C"/>
    <w:rsid w:val="009B5E1F"/>
    <w:rsid w:val="009B6339"/>
    <w:rsid w:val="009B64A1"/>
    <w:rsid w:val="009B65E4"/>
    <w:rsid w:val="009B662B"/>
    <w:rsid w:val="009B6879"/>
    <w:rsid w:val="009B6A50"/>
    <w:rsid w:val="009B6C76"/>
    <w:rsid w:val="009B6DD5"/>
    <w:rsid w:val="009B7052"/>
    <w:rsid w:val="009B7089"/>
    <w:rsid w:val="009B7318"/>
    <w:rsid w:val="009B73BA"/>
    <w:rsid w:val="009B79C7"/>
    <w:rsid w:val="009B7ECC"/>
    <w:rsid w:val="009C0055"/>
    <w:rsid w:val="009C020A"/>
    <w:rsid w:val="009C020B"/>
    <w:rsid w:val="009C04B3"/>
    <w:rsid w:val="009C0672"/>
    <w:rsid w:val="009C0772"/>
    <w:rsid w:val="009C079A"/>
    <w:rsid w:val="009C08D3"/>
    <w:rsid w:val="009C08F0"/>
    <w:rsid w:val="009C0C9E"/>
    <w:rsid w:val="009C1007"/>
    <w:rsid w:val="009C10B5"/>
    <w:rsid w:val="009C1114"/>
    <w:rsid w:val="009C12E2"/>
    <w:rsid w:val="009C1B92"/>
    <w:rsid w:val="009C1BE9"/>
    <w:rsid w:val="009C1C98"/>
    <w:rsid w:val="009C1C9C"/>
    <w:rsid w:val="009C1D89"/>
    <w:rsid w:val="009C1F40"/>
    <w:rsid w:val="009C2315"/>
    <w:rsid w:val="009C2468"/>
    <w:rsid w:val="009C2743"/>
    <w:rsid w:val="009C2A21"/>
    <w:rsid w:val="009C2C4D"/>
    <w:rsid w:val="009C2CEC"/>
    <w:rsid w:val="009C2E57"/>
    <w:rsid w:val="009C30D7"/>
    <w:rsid w:val="009C32BA"/>
    <w:rsid w:val="009C3600"/>
    <w:rsid w:val="009C386C"/>
    <w:rsid w:val="009C39A9"/>
    <w:rsid w:val="009C3E9C"/>
    <w:rsid w:val="009C3EC3"/>
    <w:rsid w:val="009C3FF9"/>
    <w:rsid w:val="009C4079"/>
    <w:rsid w:val="009C4700"/>
    <w:rsid w:val="009C4C96"/>
    <w:rsid w:val="009C4E21"/>
    <w:rsid w:val="009C53C1"/>
    <w:rsid w:val="009C5634"/>
    <w:rsid w:val="009C581B"/>
    <w:rsid w:val="009C5964"/>
    <w:rsid w:val="009C5ACB"/>
    <w:rsid w:val="009C5D15"/>
    <w:rsid w:val="009C5E03"/>
    <w:rsid w:val="009C6225"/>
    <w:rsid w:val="009C673E"/>
    <w:rsid w:val="009C6862"/>
    <w:rsid w:val="009C697E"/>
    <w:rsid w:val="009C6A28"/>
    <w:rsid w:val="009C6A2F"/>
    <w:rsid w:val="009C6C73"/>
    <w:rsid w:val="009C6E83"/>
    <w:rsid w:val="009C6EBE"/>
    <w:rsid w:val="009C6ED9"/>
    <w:rsid w:val="009C6EF0"/>
    <w:rsid w:val="009C7141"/>
    <w:rsid w:val="009C7407"/>
    <w:rsid w:val="009C754E"/>
    <w:rsid w:val="009C78A1"/>
    <w:rsid w:val="009C7D4D"/>
    <w:rsid w:val="009D067F"/>
    <w:rsid w:val="009D070B"/>
    <w:rsid w:val="009D0A74"/>
    <w:rsid w:val="009D0CC7"/>
    <w:rsid w:val="009D0D1A"/>
    <w:rsid w:val="009D0D70"/>
    <w:rsid w:val="009D131F"/>
    <w:rsid w:val="009D1372"/>
    <w:rsid w:val="009D1463"/>
    <w:rsid w:val="009D1726"/>
    <w:rsid w:val="009D1BBC"/>
    <w:rsid w:val="009D1ECB"/>
    <w:rsid w:val="009D201F"/>
    <w:rsid w:val="009D226D"/>
    <w:rsid w:val="009D22E2"/>
    <w:rsid w:val="009D2307"/>
    <w:rsid w:val="009D2453"/>
    <w:rsid w:val="009D3132"/>
    <w:rsid w:val="009D3174"/>
    <w:rsid w:val="009D324D"/>
    <w:rsid w:val="009D370F"/>
    <w:rsid w:val="009D3C06"/>
    <w:rsid w:val="009D3E4A"/>
    <w:rsid w:val="009D408A"/>
    <w:rsid w:val="009D4614"/>
    <w:rsid w:val="009D4689"/>
    <w:rsid w:val="009D4B7A"/>
    <w:rsid w:val="009D4C05"/>
    <w:rsid w:val="009D5028"/>
    <w:rsid w:val="009D5058"/>
    <w:rsid w:val="009D51E5"/>
    <w:rsid w:val="009D528D"/>
    <w:rsid w:val="009D542C"/>
    <w:rsid w:val="009D5966"/>
    <w:rsid w:val="009D59B4"/>
    <w:rsid w:val="009D6025"/>
    <w:rsid w:val="009D6156"/>
    <w:rsid w:val="009D6294"/>
    <w:rsid w:val="009D637A"/>
    <w:rsid w:val="009D656B"/>
    <w:rsid w:val="009D66E2"/>
    <w:rsid w:val="009D693A"/>
    <w:rsid w:val="009D6AB2"/>
    <w:rsid w:val="009D71A1"/>
    <w:rsid w:val="009D7634"/>
    <w:rsid w:val="009D78AC"/>
    <w:rsid w:val="009D78C8"/>
    <w:rsid w:val="009E01B0"/>
    <w:rsid w:val="009E01FB"/>
    <w:rsid w:val="009E0290"/>
    <w:rsid w:val="009E0548"/>
    <w:rsid w:val="009E064D"/>
    <w:rsid w:val="009E0A10"/>
    <w:rsid w:val="009E0B00"/>
    <w:rsid w:val="009E0E14"/>
    <w:rsid w:val="009E0EA9"/>
    <w:rsid w:val="009E0F10"/>
    <w:rsid w:val="009E0F44"/>
    <w:rsid w:val="009E1532"/>
    <w:rsid w:val="009E161B"/>
    <w:rsid w:val="009E1623"/>
    <w:rsid w:val="009E16CF"/>
    <w:rsid w:val="009E17AE"/>
    <w:rsid w:val="009E1AB4"/>
    <w:rsid w:val="009E1F02"/>
    <w:rsid w:val="009E208C"/>
    <w:rsid w:val="009E20B1"/>
    <w:rsid w:val="009E21B0"/>
    <w:rsid w:val="009E22BE"/>
    <w:rsid w:val="009E26D8"/>
    <w:rsid w:val="009E2883"/>
    <w:rsid w:val="009E2A91"/>
    <w:rsid w:val="009E2BA2"/>
    <w:rsid w:val="009E2D72"/>
    <w:rsid w:val="009E2EA2"/>
    <w:rsid w:val="009E2F0E"/>
    <w:rsid w:val="009E3165"/>
    <w:rsid w:val="009E3317"/>
    <w:rsid w:val="009E3458"/>
    <w:rsid w:val="009E3519"/>
    <w:rsid w:val="009E41A5"/>
    <w:rsid w:val="009E444B"/>
    <w:rsid w:val="009E4678"/>
    <w:rsid w:val="009E4742"/>
    <w:rsid w:val="009E484B"/>
    <w:rsid w:val="009E4CCC"/>
    <w:rsid w:val="009E5015"/>
    <w:rsid w:val="009E51AA"/>
    <w:rsid w:val="009E567F"/>
    <w:rsid w:val="009E56D4"/>
    <w:rsid w:val="009E56DF"/>
    <w:rsid w:val="009E56FE"/>
    <w:rsid w:val="009E5D0F"/>
    <w:rsid w:val="009E6492"/>
    <w:rsid w:val="009E6599"/>
    <w:rsid w:val="009E66C4"/>
    <w:rsid w:val="009E6740"/>
    <w:rsid w:val="009E6919"/>
    <w:rsid w:val="009E6996"/>
    <w:rsid w:val="009E6A1A"/>
    <w:rsid w:val="009E6C3D"/>
    <w:rsid w:val="009E6DC5"/>
    <w:rsid w:val="009E6E57"/>
    <w:rsid w:val="009E6F06"/>
    <w:rsid w:val="009E7038"/>
    <w:rsid w:val="009E729F"/>
    <w:rsid w:val="009E74D5"/>
    <w:rsid w:val="009E7724"/>
    <w:rsid w:val="009E78D7"/>
    <w:rsid w:val="009E7FA3"/>
    <w:rsid w:val="009F06FC"/>
    <w:rsid w:val="009F0949"/>
    <w:rsid w:val="009F0B2F"/>
    <w:rsid w:val="009F0C83"/>
    <w:rsid w:val="009F0CEE"/>
    <w:rsid w:val="009F0DE9"/>
    <w:rsid w:val="009F1074"/>
    <w:rsid w:val="009F1149"/>
    <w:rsid w:val="009F138D"/>
    <w:rsid w:val="009F169B"/>
    <w:rsid w:val="009F1722"/>
    <w:rsid w:val="009F1B58"/>
    <w:rsid w:val="009F1F58"/>
    <w:rsid w:val="009F216F"/>
    <w:rsid w:val="009F21EF"/>
    <w:rsid w:val="009F23B3"/>
    <w:rsid w:val="009F23E3"/>
    <w:rsid w:val="009F2412"/>
    <w:rsid w:val="009F24C1"/>
    <w:rsid w:val="009F2A0D"/>
    <w:rsid w:val="009F2B73"/>
    <w:rsid w:val="009F30F2"/>
    <w:rsid w:val="009F32CC"/>
    <w:rsid w:val="009F3341"/>
    <w:rsid w:val="009F34B2"/>
    <w:rsid w:val="009F36DE"/>
    <w:rsid w:val="009F377A"/>
    <w:rsid w:val="009F37FF"/>
    <w:rsid w:val="009F3E32"/>
    <w:rsid w:val="009F46E1"/>
    <w:rsid w:val="009F49E7"/>
    <w:rsid w:val="009F4C42"/>
    <w:rsid w:val="009F4D9F"/>
    <w:rsid w:val="009F4E2A"/>
    <w:rsid w:val="009F5047"/>
    <w:rsid w:val="009F527F"/>
    <w:rsid w:val="009F55AA"/>
    <w:rsid w:val="009F57FE"/>
    <w:rsid w:val="009F5916"/>
    <w:rsid w:val="009F6052"/>
    <w:rsid w:val="009F6791"/>
    <w:rsid w:val="009F6A57"/>
    <w:rsid w:val="009F6ACA"/>
    <w:rsid w:val="009F6BD8"/>
    <w:rsid w:val="009F6E05"/>
    <w:rsid w:val="009F71CE"/>
    <w:rsid w:val="009F7666"/>
    <w:rsid w:val="009F76C3"/>
    <w:rsid w:val="009F78E3"/>
    <w:rsid w:val="009F78FF"/>
    <w:rsid w:val="009F7A55"/>
    <w:rsid w:val="009F7A60"/>
    <w:rsid w:val="009F7CB2"/>
    <w:rsid w:val="009F7EC2"/>
    <w:rsid w:val="00A00101"/>
    <w:rsid w:val="00A00314"/>
    <w:rsid w:val="00A003BE"/>
    <w:rsid w:val="00A00519"/>
    <w:rsid w:val="00A006C9"/>
    <w:rsid w:val="00A0080A"/>
    <w:rsid w:val="00A00FB0"/>
    <w:rsid w:val="00A01151"/>
    <w:rsid w:val="00A0157E"/>
    <w:rsid w:val="00A01A6F"/>
    <w:rsid w:val="00A01D40"/>
    <w:rsid w:val="00A01F47"/>
    <w:rsid w:val="00A01FA9"/>
    <w:rsid w:val="00A01FD0"/>
    <w:rsid w:val="00A023ED"/>
    <w:rsid w:val="00A02820"/>
    <w:rsid w:val="00A02A3C"/>
    <w:rsid w:val="00A02CAA"/>
    <w:rsid w:val="00A0336A"/>
    <w:rsid w:val="00A033B9"/>
    <w:rsid w:val="00A039FE"/>
    <w:rsid w:val="00A03B5D"/>
    <w:rsid w:val="00A03C19"/>
    <w:rsid w:val="00A03C58"/>
    <w:rsid w:val="00A03D02"/>
    <w:rsid w:val="00A03FF9"/>
    <w:rsid w:val="00A040F2"/>
    <w:rsid w:val="00A0413B"/>
    <w:rsid w:val="00A041D5"/>
    <w:rsid w:val="00A044C0"/>
    <w:rsid w:val="00A04770"/>
    <w:rsid w:val="00A04830"/>
    <w:rsid w:val="00A048E1"/>
    <w:rsid w:val="00A04C63"/>
    <w:rsid w:val="00A04CEB"/>
    <w:rsid w:val="00A04D9E"/>
    <w:rsid w:val="00A05194"/>
    <w:rsid w:val="00A05310"/>
    <w:rsid w:val="00A05722"/>
    <w:rsid w:val="00A057FA"/>
    <w:rsid w:val="00A05E79"/>
    <w:rsid w:val="00A05EAD"/>
    <w:rsid w:val="00A05F3E"/>
    <w:rsid w:val="00A0615A"/>
    <w:rsid w:val="00A0623D"/>
    <w:rsid w:val="00A06358"/>
    <w:rsid w:val="00A0698F"/>
    <w:rsid w:val="00A06C23"/>
    <w:rsid w:val="00A06DC4"/>
    <w:rsid w:val="00A078A0"/>
    <w:rsid w:val="00A07B7A"/>
    <w:rsid w:val="00A07C4A"/>
    <w:rsid w:val="00A07C5D"/>
    <w:rsid w:val="00A07CCD"/>
    <w:rsid w:val="00A1060C"/>
    <w:rsid w:val="00A10619"/>
    <w:rsid w:val="00A106F0"/>
    <w:rsid w:val="00A108B1"/>
    <w:rsid w:val="00A10972"/>
    <w:rsid w:val="00A10C5E"/>
    <w:rsid w:val="00A10C78"/>
    <w:rsid w:val="00A10D7F"/>
    <w:rsid w:val="00A10F53"/>
    <w:rsid w:val="00A10FE6"/>
    <w:rsid w:val="00A1103C"/>
    <w:rsid w:val="00A1116D"/>
    <w:rsid w:val="00A11192"/>
    <w:rsid w:val="00A112B6"/>
    <w:rsid w:val="00A1151F"/>
    <w:rsid w:val="00A115A2"/>
    <w:rsid w:val="00A11876"/>
    <w:rsid w:val="00A1197C"/>
    <w:rsid w:val="00A1198A"/>
    <w:rsid w:val="00A11AD5"/>
    <w:rsid w:val="00A11BC5"/>
    <w:rsid w:val="00A11C11"/>
    <w:rsid w:val="00A11DBC"/>
    <w:rsid w:val="00A12329"/>
    <w:rsid w:val="00A1244D"/>
    <w:rsid w:val="00A12599"/>
    <w:rsid w:val="00A1289A"/>
    <w:rsid w:val="00A129A7"/>
    <w:rsid w:val="00A129A8"/>
    <w:rsid w:val="00A129F6"/>
    <w:rsid w:val="00A12A62"/>
    <w:rsid w:val="00A12B0F"/>
    <w:rsid w:val="00A12C74"/>
    <w:rsid w:val="00A12EBB"/>
    <w:rsid w:val="00A12FB4"/>
    <w:rsid w:val="00A13026"/>
    <w:rsid w:val="00A1327B"/>
    <w:rsid w:val="00A1328A"/>
    <w:rsid w:val="00A13404"/>
    <w:rsid w:val="00A1355A"/>
    <w:rsid w:val="00A139D3"/>
    <w:rsid w:val="00A13A70"/>
    <w:rsid w:val="00A13D89"/>
    <w:rsid w:val="00A13F46"/>
    <w:rsid w:val="00A140B0"/>
    <w:rsid w:val="00A140B7"/>
    <w:rsid w:val="00A14418"/>
    <w:rsid w:val="00A14495"/>
    <w:rsid w:val="00A144A8"/>
    <w:rsid w:val="00A14506"/>
    <w:rsid w:val="00A146AC"/>
    <w:rsid w:val="00A14712"/>
    <w:rsid w:val="00A14870"/>
    <w:rsid w:val="00A1492E"/>
    <w:rsid w:val="00A14973"/>
    <w:rsid w:val="00A14B1E"/>
    <w:rsid w:val="00A14DEA"/>
    <w:rsid w:val="00A14FF0"/>
    <w:rsid w:val="00A150D2"/>
    <w:rsid w:val="00A15102"/>
    <w:rsid w:val="00A154CB"/>
    <w:rsid w:val="00A1577C"/>
    <w:rsid w:val="00A157F4"/>
    <w:rsid w:val="00A159E9"/>
    <w:rsid w:val="00A15BDE"/>
    <w:rsid w:val="00A15D1A"/>
    <w:rsid w:val="00A15ED4"/>
    <w:rsid w:val="00A16141"/>
    <w:rsid w:val="00A163C7"/>
    <w:rsid w:val="00A16513"/>
    <w:rsid w:val="00A165A3"/>
    <w:rsid w:val="00A16E49"/>
    <w:rsid w:val="00A16EEA"/>
    <w:rsid w:val="00A16F8C"/>
    <w:rsid w:val="00A170C8"/>
    <w:rsid w:val="00A1719A"/>
    <w:rsid w:val="00A17265"/>
    <w:rsid w:val="00A17468"/>
    <w:rsid w:val="00A175BE"/>
    <w:rsid w:val="00A176BA"/>
    <w:rsid w:val="00A17968"/>
    <w:rsid w:val="00A17C09"/>
    <w:rsid w:val="00A17C66"/>
    <w:rsid w:val="00A17F89"/>
    <w:rsid w:val="00A201F8"/>
    <w:rsid w:val="00A2023A"/>
    <w:rsid w:val="00A203EF"/>
    <w:rsid w:val="00A2052E"/>
    <w:rsid w:val="00A2074E"/>
    <w:rsid w:val="00A20823"/>
    <w:rsid w:val="00A20A0E"/>
    <w:rsid w:val="00A20BB4"/>
    <w:rsid w:val="00A21183"/>
    <w:rsid w:val="00A21688"/>
    <w:rsid w:val="00A21723"/>
    <w:rsid w:val="00A21C77"/>
    <w:rsid w:val="00A21D1C"/>
    <w:rsid w:val="00A21FD4"/>
    <w:rsid w:val="00A22342"/>
    <w:rsid w:val="00A22621"/>
    <w:rsid w:val="00A2269F"/>
    <w:rsid w:val="00A22B36"/>
    <w:rsid w:val="00A22BA8"/>
    <w:rsid w:val="00A23040"/>
    <w:rsid w:val="00A230DD"/>
    <w:rsid w:val="00A230DF"/>
    <w:rsid w:val="00A232A6"/>
    <w:rsid w:val="00A234F8"/>
    <w:rsid w:val="00A236AB"/>
    <w:rsid w:val="00A2393A"/>
    <w:rsid w:val="00A240FB"/>
    <w:rsid w:val="00A2417B"/>
    <w:rsid w:val="00A24330"/>
    <w:rsid w:val="00A2489C"/>
    <w:rsid w:val="00A2491D"/>
    <w:rsid w:val="00A24CDC"/>
    <w:rsid w:val="00A253CA"/>
    <w:rsid w:val="00A254CD"/>
    <w:rsid w:val="00A25544"/>
    <w:rsid w:val="00A25563"/>
    <w:rsid w:val="00A25589"/>
    <w:rsid w:val="00A2570D"/>
    <w:rsid w:val="00A25CB5"/>
    <w:rsid w:val="00A25D83"/>
    <w:rsid w:val="00A25E74"/>
    <w:rsid w:val="00A25EA7"/>
    <w:rsid w:val="00A25F37"/>
    <w:rsid w:val="00A26457"/>
    <w:rsid w:val="00A264C0"/>
    <w:rsid w:val="00A269FA"/>
    <w:rsid w:val="00A26CDF"/>
    <w:rsid w:val="00A273E5"/>
    <w:rsid w:val="00A27472"/>
    <w:rsid w:val="00A2754C"/>
    <w:rsid w:val="00A27726"/>
    <w:rsid w:val="00A2772E"/>
    <w:rsid w:val="00A27879"/>
    <w:rsid w:val="00A27961"/>
    <w:rsid w:val="00A27996"/>
    <w:rsid w:val="00A27B63"/>
    <w:rsid w:val="00A27B80"/>
    <w:rsid w:val="00A27BD1"/>
    <w:rsid w:val="00A27E39"/>
    <w:rsid w:val="00A27FCC"/>
    <w:rsid w:val="00A301E6"/>
    <w:rsid w:val="00A30535"/>
    <w:rsid w:val="00A3078D"/>
    <w:rsid w:val="00A30C09"/>
    <w:rsid w:val="00A30CF3"/>
    <w:rsid w:val="00A30D60"/>
    <w:rsid w:val="00A30DE0"/>
    <w:rsid w:val="00A30E2D"/>
    <w:rsid w:val="00A314C7"/>
    <w:rsid w:val="00A31765"/>
    <w:rsid w:val="00A3189F"/>
    <w:rsid w:val="00A31961"/>
    <w:rsid w:val="00A31BAF"/>
    <w:rsid w:val="00A31D5E"/>
    <w:rsid w:val="00A31F53"/>
    <w:rsid w:val="00A322D0"/>
    <w:rsid w:val="00A3240B"/>
    <w:rsid w:val="00A3242F"/>
    <w:rsid w:val="00A326E8"/>
    <w:rsid w:val="00A32991"/>
    <w:rsid w:val="00A32A92"/>
    <w:rsid w:val="00A32EA1"/>
    <w:rsid w:val="00A330B3"/>
    <w:rsid w:val="00A330FC"/>
    <w:rsid w:val="00A33546"/>
    <w:rsid w:val="00A335C3"/>
    <w:rsid w:val="00A33633"/>
    <w:rsid w:val="00A33F8D"/>
    <w:rsid w:val="00A34236"/>
    <w:rsid w:val="00A34417"/>
    <w:rsid w:val="00A34469"/>
    <w:rsid w:val="00A34652"/>
    <w:rsid w:val="00A349C0"/>
    <w:rsid w:val="00A34C14"/>
    <w:rsid w:val="00A3510B"/>
    <w:rsid w:val="00A3546B"/>
    <w:rsid w:val="00A3556D"/>
    <w:rsid w:val="00A35659"/>
    <w:rsid w:val="00A35794"/>
    <w:rsid w:val="00A35A04"/>
    <w:rsid w:val="00A35B7D"/>
    <w:rsid w:val="00A35EC1"/>
    <w:rsid w:val="00A35FF6"/>
    <w:rsid w:val="00A36715"/>
    <w:rsid w:val="00A36804"/>
    <w:rsid w:val="00A3681B"/>
    <w:rsid w:val="00A369AF"/>
    <w:rsid w:val="00A36C8B"/>
    <w:rsid w:val="00A36C90"/>
    <w:rsid w:val="00A36CA7"/>
    <w:rsid w:val="00A36EFC"/>
    <w:rsid w:val="00A371AC"/>
    <w:rsid w:val="00A376F1"/>
    <w:rsid w:val="00A37706"/>
    <w:rsid w:val="00A37864"/>
    <w:rsid w:val="00A37914"/>
    <w:rsid w:val="00A37932"/>
    <w:rsid w:val="00A37EFB"/>
    <w:rsid w:val="00A401C3"/>
    <w:rsid w:val="00A402EA"/>
    <w:rsid w:val="00A40424"/>
    <w:rsid w:val="00A4054D"/>
    <w:rsid w:val="00A4067C"/>
    <w:rsid w:val="00A40773"/>
    <w:rsid w:val="00A4184E"/>
    <w:rsid w:val="00A41893"/>
    <w:rsid w:val="00A4189D"/>
    <w:rsid w:val="00A419C5"/>
    <w:rsid w:val="00A41BB1"/>
    <w:rsid w:val="00A42072"/>
    <w:rsid w:val="00A420ED"/>
    <w:rsid w:val="00A42288"/>
    <w:rsid w:val="00A42595"/>
    <w:rsid w:val="00A42874"/>
    <w:rsid w:val="00A428C5"/>
    <w:rsid w:val="00A43014"/>
    <w:rsid w:val="00A43163"/>
    <w:rsid w:val="00A43834"/>
    <w:rsid w:val="00A439BA"/>
    <w:rsid w:val="00A43A8B"/>
    <w:rsid w:val="00A43DA5"/>
    <w:rsid w:val="00A43E9A"/>
    <w:rsid w:val="00A43EFE"/>
    <w:rsid w:val="00A442B5"/>
    <w:rsid w:val="00A447BC"/>
    <w:rsid w:val="00A44884"/>
    <w:rsid w:val="00A44BA4"/>
    <w:rsid w:val="00A44C0A"/>
    <w:rsid w:val="00A44C1F"/>
    <w:rsid w:val="00A44D26"/>
    <w:rsid w:val="00A44D84"/>
    <w:rsid w:val="00A44EA8"/>
    <w:rsid w:val="00A451E0"/>
    <w:rsid w:val="00A4537A"/>
    <w:rsid w:val="00A453D6"/>
    <w:rsid w:val="00A455FA"/>
    <w:rsid w:val="00A45602"/>
    <w:rsid w:val="00A45808"/>
    <w:rsid w:val="00A45A0C"/>
    <w:rsid w:val="00A45E9D"/>
    <w:rsid w:val="00A46043"/>
    <w:rsid w:val="00A46139"/>
    <w:rsid w:val="00A4627D"/>
    <w:rsid w:val="00A463A9"/>
    <w:rsid w:val="00A46455"/>
    <w:rsid w:val="00A4681B"/>
    <w:rsid w:val="00A46A8A"/>
    <w:rsid w:val="00A46E34"/>
    <w:rsid w:val="00A46EF5"/>
    <w:rsid w:val="00A46F71"/>
    <w:rsid w:val="00A471B3"/>
    <w:rsid w:val="00A4721B"/>
    <w:rsid w:val="00A475E5"/>
    <w:rsid w:val="00A4780C"/>
    <w:rsid w:val="00A478FF"/>
    <w:rsid w:val="00A479F3"/>
    <w:rsid w:val="00A47A94"/>
    <w:rsid w:val="00A47B8C"/>
    <w:rsid w:val="00A47D45"/>
    <w:rsid w:val="00A47FB6"/>
    <w:rsid w:val="00A503F2"/>
    <w:rsid w:val="00A505B9"/>
    <w:rsid w:val="00A507E1"/>
    <w:rsid w:val="00A509C4"/>
    <w:rsid w:val="00A50DE0"/>
    <w:rsid w:val="00A50F25"/>
    <w:rsid w:val="00A51255"/>
    <w:rsid w:val="00A51285"/>
    <w:rsid w:val="00A51433"/>
    <w:rsid w:val="00A5154E"/>
    <w:rsid w:val="00A51619"/>
    <w:rsid w:val="00A52530"/>
    <w:rsid w:val="00A52735"/>
    <w:rsid w:val="00A5274D"/>
    <w:rsid w:val="00A527D6"/>
    <w:rsid w:val="00A528D3"/>
    <w:rsid w:val="00A52A31"/>
    <w:rsid w:val="00A52B3E"/>
    <w:rsid w:val="00A52BDF"/>
    <w:rsid w:val="00A52E49"/>
    <w:rsid w:val="00A53247"/>
    <w:rsid w:val="00A53978"/>
    <w:rsid w:val="00A53AF3"/>
    <w:rsid w:val="00A53EEA"/>
    <w:rsid w:val="00A53F59"/>
    <w:rsid w:val="00A540BC"/>
    <w:rsid w:val="00A5430A"/>
    <w:rsid w:val="00A549B7"/>
    <w:rsid w:val="00A54AC3"/>
    <w:rsid w:val="00A54D46"/>
    <w:rsid w:val="00A54FA0"/>
    <w:rsid w:val="00A5506C"/>
    <w:rsid w:val="00A55248"/>
    <w:rsid w:val="00A55281"/>
    <w:rsid w:val="00A5534A"/>
    <w:rsid w:val="00A554B1"/>
    <w:rsid w:val="00A556AF"/>
    <w:rsid w:val="00A5572D"/>
    <w:rsid w:val="00A558F3"/>
    <w:rsid w:val="00A55A83"/>
    <w:rsid w:val="00A55B26"/>
    <w:rsid w:val="00A55B33"/>
    <w:rsid w:val="00A55DF0"/>
    <w:rsid w:val="00A55EB6"/>
    <w:rsid w:val="00A55FDA"/>
    <w:rsid w:val="00A56564"/>
    <w:rsid w:val="00A5695E"/>
    <w:rsid w:val="00A56CE6"/>
    <w:rsid w:val="00A56D81"/>
    <w:rsid w:val="00A56D9A"/>
    <w:rsid w:val="00A57164"/>
    <w:rsid w:val="00A571C5"/>
    <w:rsid w:val="00A57218"/>
    <w:rsid w:val="00A573D9"/>
    <w:rsid w:val="00A576B3"/>
    <w:rsid w:val="00A578AA"/>
    <w:rsid w:val="00A57CF3"/>
    <w:rsid w:val="00A57D58"/>
    <w:rsid w:val="00A6060D"/>
    <w:rsid w:val="00A607BA"/>
    <w:rsid w:val="00A60806"/>
    <w:rsid w:val="00A608DF"/>
    <w:rsid w:val="00A60AF3"/>
    <w:rsid w:val="00A60C7C"/>
    <w:rsid w:val="00A60DE6"/>
    <w:rsid w:val="00A611F8"/>
    <w:rsid w:val="00A6131E"/>
    <w:rsid w:val="00A6175F"/>
    <w:rsid w:val="00A618BA"/>
    <w:rsid w:val="00A61C30"/>
    <w:rsid w:val="00A620AA"/>
    <w:rsid w:val="00A62142"/>
    <w:rsid w:val="00A62173"/>
    <w:rsid w:val="00A62380"/>
    <w:rsid w:val="00A6296D"/>
    <w:rsid w:val="00A629CD"/>
    <w:rsid w:val="00A62ACC"/>
    <w:rsid w:val="00A63254"/>
    <w:rsid w:val="00A633EF"/>
    <w:rsid w:val="00A636FD"/>
    <w:rsid w:val="00A6373F"/>
    <w:rsid w:val="00A6389F"/>
    <w:rsid w:val="00A63D57"/>
    <w:rsid w:val="00A63E4A"/>
    <w:rsid w:val="00A63F49"/>
    <w:rsid w:val="00A64356"/>
    <w:rsid w:val="00A6436F"/>
    <w:rsid w:val="00A6448A"/>
    <w:rsid w:val="00A64608"/>
    <w:rsid w:val="00A649B2"/>
    <w:rsid w:val="00A64A03"/>
    <w:rsid w:val="00A64FD0"/>
    <w:rsid w:val="00A650F3"/>
    <w:rsid w:val="00A6561F"/>
    <w:rsid w:val="00A657FD"/>
    <w:rsid w:val="00A658D4"/>
    <w:rsid w:val="00A65B73"/>
    <w:rsid w:val="00A65C66"/>
    <w:rsid w:val="00A65E03"/>
    <w:rsid w:val="00A65E3C"/>
    <w:rsid w:val="00A66258"/>
    <w:rsid w:val="00A662D0"/>
    <w:rsid w:val="00A662DC"/>
    <w:rsid w:val="00A662FE"/>
    <w:rsid w:val="00A66411"/>
    <w:rsid w:val="00A66615"/>
    <w:rsid w:val="00A66C91"/>
    <w:rsid w:val="00A66D45"/>
    <w:rsid w:val="00A6707E"/>
    <w:rsid w:val="00A670BF"/>
    <w:rsid w:val="00A6716D"/>
    <w:rsid w:val="00A67D06"/>
    <w:rsid w:val="00A700E9"/>
    <w:rsid w:val="00A70253"/>
    <w:rsid w:val="00A70427"/>
    <w:rsid w:val="00A70993"/>
    <w:rsid w:val="00A70FF1"/>
    <w:rsid w:val="00A71DD0"/>
    <w:rsid w:val="00A71DE4"/>
    <w:rsid w:val="00A71EC1"/>
    <w:rsid w:val="00A71FE4"/>
    <w:rsid w:val="00A72443"/>
    <w:rsid w:val="00A7260F"/>
    <w:rsid w:val="00A72BA8"/>
    <w:rsid w:val="00A72BC6"/>
    <w:rsid w:val="00A72D98"/>
    <w:rsid w:val="00A72DE7"/>
    <w:rsid w:val="00A72FA6"/>
    <w:rsid w:val="00A730F4"/>
    <w:rsid w:val="00A73401"/>
    <w:rsid w:val="00A7346A"/>
    <w:rsid w:val="00A734A3"/>
    <w:rsid w:val="00A73923"/>
    <w:rsid w:val="00A73A5C"/>
    <w:rsid w:val="00A73AB2"/>
    <w:rsid w:val="00A73C50"/>
    <w:rsid w:val="00A73DB2"/>
    <w:rsid w:val="00A73FC7"/>
    <w:rsid w:val="00A74C88"/>
    <w:rsid w:val="00A74E46"/>
    <w:rsid w:val="00A74E4F"/>
    <w:rsid w:val="00A750BD"/>
    <w:rsid w:val="00A75161"/>
    <w:rsid w:val="00A75295"/>
    <w:rsid w:val="00A759E0"/>
    <w:rsid w:val="00A75AF5"/>
    <w:rsid w:val="00A75D99"/>
    <w:rsid w:val="00A75EEB"/>
    <w:rsid w:val="00A7630C"/>
    <w:rsid w:val="00A7637E"/>
    <w:rsid w:val="00A76408"/>
    <w:rsid w:val="00A76600"/>
    <w:rsid w:val="00A7661D"/>
    <w:rsid w:val="00A7694F"/>
    <w:rsid w:val="00A76B50"/>
    <w:rsid w:val="00A76DEE"/>
    <w:rsid w:val="00A76E6D"/>
    <w:rsid w:val="00A76E85"/>
    <w:rsid w:val="00A76E9F"/>
    <w:rsid w:val="00A76F1C"/>
    <w:rsid w:val="00A770A5"/>
    <w:rsid w:val="00A77295"/>
    <w:rsid w:val="00A773A3"/>
    <w:rsid w:val="00A77708"/>
    <w:rsid w:val="00A7770D"/>
    <w:rsid w:val="00A77803"/>
    <w:rsid w:val="00A779FF"/>
    <w:rsid w:val="00A77B02"/>
    <w:rsid w:val="00A77CBF"/>
    <w:rsid w:val="00A77DBD"/>
    <w:rsid w:val="00A77EE5"/>
    <w:rsid w:val="00A77F2A"/>
    <w:rsid w:val="00A800D3"/>
    <w:rsid w:val="00A80204"/>
    <w:rsid w:val="00A8040A"/>
    <w:rsid w:val="00A804C4"/>
    <w:rsid w:val="00A80675"/>
    <w:rsid w:val="00A80799"/>
    <w:rsid w:val="00A80FBE"/>
    <w:rsid w:val="00A810C3"/>
    <w:rsid w:val="00A813DB"/>
    <w:rsid w:val="00A817CD"/>
    <w:rsid w:val="00A818EB"/>
    <w:rsid w:val="00A8232A"/>
    <w:rsid w:val="00A8249F"/>
    <w:rsid w:val="00A825C4"/>
    <w:rsid w:val="00A82677"/>
    <w:rsid w:val="00A826BA"/>
    <w:rsid w:val="00A82C40"/>
    <w:rsid w:val="00A82C89"/>
    <w:rsid w:val="00A82E37"/>
    <w:rsid w:val="00A830AF"/>
    <w:rsid w:val="00A83142"/>
    <w:rsid w:val="00A8326D"/>
    <w:rsid w:val="00A8360E"/>
    <w:rsid w:val="00A83840"/>
    <w:rsid w:val="00A838B7"/>
    <w:rsid w:val="00A83A71"/>
    <w:rsid w:val="00A83AAE"/>
    <w:rsid w:val="00A83CDF"/>
    <w:rsid w:val="00A83E2D"/>
    <w:rsid w:val="00A83E9F"/>
    <w:rsid w:val="00A83F24"/>
    <w:rsid w:val="00A84152"/>
    <w:rsid w:val="00A84667"/>
    <w:rsid w:val="00A846A9"/>
    <w:rsid w:val="00A84913"/>
    <w:rsid w:val="00A84AF8"/>
    <w:rsid w:val="00A84D4D"/>
    <w:rsid w:val="00A84E39"/>
    <w:rsid w:val="00A8526F"/>
    <w:rsid w:val="00A85338"/>
    <w:rsid w:val="00A85412"/>
    <w:rsid w:val="00A8592A"/>
    <w:rsid w:val="00A85AD4"/>
    <w:rsid w:val="00A85B17"/>
    <w:rsid w:val="00A85BFA"/>
    <w:rsid w:val="00A85D7A"/>
    <w:rsid w:val="00A86004"/>
    <w:rsid w:val="00A860BD"/>
    <w:rsid w:val="00A8619A"/>
    <w:rsid w:val="00A86302"/>
    <w:rsid w:val="00A8659D"/>
    <w:rsid w:val="00A867AF"/>
    <w:rsid w:val="00A86838"/>
    <w:rsid w:val="00A86982"/>
    <w:rsid w:val="00A86AC7"/>
    <w:rsid w:val="00A87010"/>
    <w:rsid w:val="00A87168"/>
    <w:rsid w:val="00A872AA"/>
    <w:rsid w:val="00A8734B"/>
    <w:rsid w:val="00A87475"/>
    <w:rsid w:val="00A87AD2"/>
    <w:rsid w:val="00A87B37"/>
    <w:rsid w:val="00A87B5A"/>
    <w:rsid w:val="00A90100"/>
    <w:rsid w:val="00A90304"/>
    <w:rsid w:val="00A9035F"/>
    <w:rsid w:val="00A90496"/>
    <w:rsid w:val="00A905A8"/>
    <w:rsid w:val="00A90717"/>
    <w:rsid w:val="00A90772"/>
    <w:rsid w:val="00A9081C"/>
    <w:rsid w:val="00A90F88"/>
    <w:rsid w:val="00A90FAC"/>
    <w:rsid w:val="00A91164"/>
    <w:rsid w:val="00A91443"/>
    <w:rsid w:val="00A9158A"/>
    <w:rsid w:val="00A918C7"/>
    <w:rsid w:val="00A91D29"/>
    <w:rsid w:val="00A91F35"/>
    <w:rsid w:val="00A91FA2"/>
    <w:rsid w:val="00A92141"/>
    <w:rsid w:val="00A9230E"/>
    <w:rsid w:val="00A924D6"/>
    <w:rsid w:val="00A9255F"/>
    <w:rsid w:val="00A9259B"/>
    <w:rsid w:val="00A92738"/>
    <w:rsid w:val="00A92789"/>
    <w:rsid w:val="00A929AA"/>
    <w:rsid w:val="00A929F3"/>
    <w:rsid w:val="00A92A99"/>
    <w:rsid w:val="00A92B78"/>
    <w:rsid w:val="00A92FBC"/>
    <w:rsid w:val="00A92FE3"/>
    <w:rsid w:val="00A9339A"/>
    <w:rsid w:val="00A93429"/>
    <w:rsid w:val="00A93871"/>
    <w:rsid w:val="00A939F4"/>
    <w:rsid w:val="00A93C3C"/>
    <w:rsid w:val="00A93E80"/>
    <w:rsid w:val="00A946EF"/>
    <w:rsid w:val="00A947BE"/>
    <w:rsid w:val="00A94A7E"/>
    <w:rsid w:val="00A94DD9"/>
    <w:rsid w:val="00A94DF6"/>
    <w:rsid w:val="00A95349"/>
    <w:rsid w:val="00A955D1"/>
    <w:rsid w:val="00A957BB"/>
    <w:rsid w:val="00A95AA9"/>
    <w:rsid w:val="00A95B05"/>
    <w:rsid w:val="00A95C1A"/>
    <w:rsid w:val="00A95E74"/>
    <w:rsid w:val="00A95FD8"/>
    <w:rsid w:val="00A962B7"/>
    <w:rsid w:val="00A96533"/>
    <w:rsid w:val="00A96567"/>
    <w:rsid w:val="00A9665D"/>
    <w:rsid w:val="00A96B21"/>
    <w:rsid w:val="00A96E0A"/>
    <w:rsid w:val="00A96F8D"/>
    <w:rsid w:val="00A96F8F"/>
    <w:rsid w:val="00A9757D"/>
    <w:rsid w:val="00A97683"/>
    <w:rsid w:val="00A97A18"/>
    <w:rsid w:val="00A97B54"/>
    <w:rsid w:val="00A97C93"/>
    <w:rsid w:val="00A97F4D"/>
    <w:rsid w:val="00AA006F"/>
    <w:rsid w:val="00AA04D7"/>
    <w:rsid w:val="00AA07C7"/>
    <w:rsid w:val="00AA081D"/>
    <w:rsid w:val="00AA0A94"/>
    <w:rsid w:val="00AA0ABE"/>
    <w:rsid w:val="00AA0AF8"/>
    <w:rsid w:val="00AA1586"/>
    <w:rsid w:val="00AA1753"/>
    <w:rsid w:val="00AA1763"/>
    <w:rsid w:val="00AA1E11"/>
    <w:rsid w:val="00AA2410"/>
    <w:rsid w:val="00AA2566"/>
    <w:rsid w:val="00AA276B"/>
    <w:rsid w:val="00AA27C5"/>
    <w:rsid w:val="00AA2AB9"/>
    <w:rsid w:val="00AA2E47"/>
    <w:rsid w:val="00AA2F01"/>
    <w:rsid w:val="00AA2F68"/>
    <w:rsid w:val="00AA39C1"/>
    <w:rsid w:val="00AA3AD0"/>
    <w:rsid w:val="00AA3BB7"/>
    <w:rsid w:val="00AA3DC1"/>
    <w:rsid w:val="00AA43FE"/>
    <w:rsid w:val="00AA45BE"/>
    <w:rsid w:val="00AA4980"/>
    <w:rsid w:val="00AA49A8"/>
    <w:rsid w:val="00AA4B3B"/>
    <w:rsid w:val="00AA4C9C"/>
    <w:rsid w:val="00AA5159"/>
    <w:rsid w:val="00AA52C5"/>
    <w:rsid w:val="00AA55C8"/>
    <w:rsid w:val="00AA5682"/>
    <w:rsid w:val="00AA56EA"/>
    <w:rsid w:val="00AA5917"/>
    <w:rsid w:val="00AA5928"/>
    <w:rsid w:val="00AA5B72"/>
    <w:rsid w:val="00AA5C17"/>
    <w:rsid w:val="00AA5DBB"/>
    <w:rsid w:val="00AA5FA3"/>
    <w:rsid w:val="00AA6237"/>
    <w:rsid w:val="00AA62B7"/>
    <w:rsid w:val="00AA631E"/>
    <w:rsid w:val="00AA63B9"/>
    <w:rsid w:val="00AA6D39"/>
    <w:rsid w:val="00AA6F7E"/>
    <w:rsid w:val="00AA6FEB"/>
    <w:rsid w:val="00AA7123"/>
    <w:rsid w:val="00AA7293"/>
    <w:rsid w:val="00AA7666"/>
    <w:rsid w:val="00AA7681"/>
    <w:rsid w:val="00AA774E"/>
    <w:rsid w:val="00AA7802"/>
    <w:rsid w:val="00AA7FB3"/>
    <w:rsid w:val="00AA7FDD"/>
    <w:rsid w:val="00AB025D"/>
    <w:rsid w:val="00AB037C"/>
    <w:rsid w:val="00AB0525"/>
    <w:rsid w:val="00AB0806"/>
    <w:rsid w:val="00AB0887"/>
    <w:rsid w:val="00AB0CDC"/>
    <w:rsid w:val="00AB0D69"/>
    <w:rsid w:val="00AB117B"/>
    <w:rsid w:val="00AB11CB"/>
    <w:rsid w:val="00AB1404"/>
    <w:rsid w:val="00AB1944"/>
    <w:rsid w:val="00AB1ABB"/>
    <w:rsid w:val="00AB1C4E"/>
    <w:rsid w:val="00AB1C8A"/>
    <w:rsid w:val="00AB26A9"/>
    <w:rsid w:val="00AB2828"/>
    <w:rsid w:val="00AB2901"/>
    <w:rsid w:val="00AB2CF1"/>
    <w:rsid w:val="00AB2D5B"/>
    <w:rsid w:val="00AB2E83"/>
    <w:rsid w:val="00AB30DC"/>
    <w:rsid w:val="00AB31FA"/>
    <w:rsid w:val="00AB3341"/>
    <w:rsid w:val="00AB3360"/>
    <w:rsid w:val="00AB35BC"/>
    <w:rsid w:val="00AB36FE"/>
    <w:rsid w:val="00AB38BA"/>
    <w:rsid w:val="00AB39E5"/>
    <w:rsid w:val="00AB3A3A"/>
    <w:rsid w:val="00AB3B0B"/>
    <w:rsid w:val="00AB3C94"/>
    <w:rsid w:val="00AB3D4B"/>
    <w:rsid w:val="00AB3D9D"/>
    <w:rsid w:val="00AB3EFB"/>
    <w:rsid w:val="00AB41B5"/>
    <w:rsid w:val="00AB4228"/>
    <w:rsid w:val="00AB4275"/>
    <w:rsid w:val="00AB44C5"/>
    <w:rsid w:val="00AB46AA"/>
    <w:rsid w:val="00AB48A6"/>
    <w:rsid w:val="00AB490B"/>
    <w:rsid w:val="00AB4A44"/>
    <w:rsid w:val="00AB4BAB"/>
    <w:rsid w:val="00AB504E"/>
    <w:rsid w:val="00AB521B"/>
    <w:rsid w:val="00AB53F5"/>
    <w:rsid w:val="00AB57CB"/>
    <w:rsid w:val="00AB5862"/>
    <w:rsid w:val="00AB5A11"/>
    <w:rsid w:val="00AB5A24"/>
    <w:rsid w:val="00AB6449"/>
    <w:rsid w:val="00AB657D"/>
    <w:rsid w:val="00AB668F"/>
    <w:rsid w:val="00AB67A9"/>
    <w:rsid w:val="00AB6B98"/>
    <w:rsid w:val="00AB7071"/>
    <w:rsid w:val="00AB77BE"/>
    <w:rsid w:val="00AB7B78"/>
    <w:rsid w:val="00AB7B7E"/>
    <w:rsid w:val="00AB7D1E"/>
    <w:rsid w:val="00AC0041"/>
    <w:rsid w:val="00AC0123"/>
    <w:rsid w:val="00AC0494"/>
    <w:rsid w:val="00AC0797"/>
    <w:rsid w:val="00AC0B21"/>
    <w:rsid w:val="00AC0C6D"/>
    <w:rsid w:val="00AC14DB"/>
    <w:rsid w:val="00AC1709"/>
    <w:rsid w:val="00AC1A4D"/>
    <w:rsid w:val="00AC1AC0"/>
    <w:rsid w:val="00AC1B00"/>
    <w:rsid w:val="00AC1F20"/>
    <w:rsid w:val="00AC20AD"/>
    <w:rsid w:val="00AC22A7"/>
    <w:rsid w:val="00AC22DC"/>
    <w:rsid w:val="00AC2394"/>
    <w:rsid w:val="00AC2558"/>
    <w:rsid w:val="00AC25CA"/>
    <w:rsid w:val="00AC2724"/>
    <w:rsid w:val="00AC2727"/>
    <w:rsid w:val="00AC2758"/>
    <w:rsid w:val="00AC2EFD"/>
    <w:rsid w:val="00AC36BB"/>
    <w:rsid w:val="00AC36F9"/>
    <w:rsid w:val="00AC3730"/>
    <w:rsid w:val="00AC3A57"/>
    <w:rsid w:val="00AC3A6B"/>
    <w:rsid w:val="00AC3B5B"/>
    <w:rsid w:val="00AC3CD0"/>
    <w:rsid w:val="00AC3D2D"/>
    <w:rsid w:val="00AC4034"/>
    <w:rsid w:val="00AC4050"/>
    <w:rsid w:val="00AC4099"/>
    <w:rsid w:val="00AC40A5"/>
    <w:rsid w:val="00AC427D"/>
    <w:rsid w:val="00AC4304"/>
    <w:rsid w:val="00AC4A48"/>
    <w:rsid w:val="00AC4AA5"/>
    <w:rsid w:val="00AC4B7E"/>
    <w:rsid w:val="00AC4BC6"/>
    <w:rsid w:val="00AC4C35"/>
    <w:rsid w:val="00AC504B"/>
    <w:rsid w:val="00AC5451"/>
    <w:rsid w:val="00AC5576"/>
    <w:rsid w:val="00AC5720"/>
    <w:rsid w:val="00AC5D21"/>
    <w:rsid w:val="00AC5D59"/>
    <w:rsid w:val="00AC5DC7"/>
    <w:rsid w:val="00AC5DFE"/>
    <w:rsid w:val="00AC60B4"/>
    <w:rsid w:val="00AC62CD"/>
    <w:rsid w:val="00AC641A"/>
    <w:rsid w:val="00AC65E5"/>
    <w:rsid w:val="00AC6691"/>
    <w:rsid w:val="00AC6A8A"/>
    <w:rsid w:val="00AC6A9A"/>
    <w:rsid w:val="00AC73E1"/>
    <w:rsid w:val="00AC7883"/>
    <w:rsid w:val="00AC7FCB"/>
    <w:rsid w:val="00AD01E7"/>
    <w:rsid w:val="00AD0291"/>
    <w:rsid w:val="00AD03DD"/>
    <w:rsid w:val="00AD0615"/>
    <w:rsid w:val="00AD06EA"/>
    <w:rsid w:val="00AD0711"/>
    <w:rsid w:val="00AD0784"/>
    <w:rsid w:val="00AD08D5"/>
    <w:rsid w:val="00AD0971"/>
    <w:rsid w:val="00AD0976"/>
    <w:rsid w:val="00AD0A60"/>
    <w:rsid w:val="00AD0C96"/>
    <w:rsid w:val="00AD0FCD"/>
    <w:rsid w:val="00AD1236"/>
    <w:rsid w:val="00AD12F4"/>
    <w:rsid w:val="00AD16F0"/>
    <w:rsid w:val="00AD17BA"/>
    <w:rsid w:val="00AD1815"/>
    <w:rsid w:val="00AD1DFD"/>
    <w:rsid w:val="00AD1E94"/>
    <w:rsid w:val="00AD23D9"/>
    <w:rsid w:val="00AD2431"/>
    <w:rsid w:val="00AD2795"/>
    <w:rsid w:val="00AD27E0"/>
    <w:rsid w:val="00AD2BEB"/>
    <w:rsid w:val="00AD2C8C"/>
    <w:rsid w:val="00AD2D9E"/>
    <w:rsid w:val="00AD2F8D"/>
    <w:rsid w:val="00AD315B"/>
    <w:rsid w:val="00AD331E"/>
    <w:rsid w:val="00AD3AF2"/>
    <w:rsid w:val="00AD3B32"/>
    <w:rsid w:val="00AD3DC2"/>
    <w:rsid w:val="00AD4244"/>
    <w:rsid w:val="00AD437E"/>
    <w:rsid w:val="00AD45CD"/>
    <w:rsid w:val="00AD4944"/>
    <w:rsid w:val="00AD4C77"/>
    <w:rsid w:val="00AD4D77"/>
    <w:rsid w:val="00AD4E65"/>
    <w:rsid w:val="00AD56FB"/>
    <w:rsid w:val="00AD595A"/>
    <w:rsid w:val="00AD5B63"/>
    <w:rsid w:val="00AD5D0A"/>
    <w:rsid w:val="00AD5D33"/>
    <w:rsid w:val="00AD5E26"/>
    <w:rsid w:val="00AD5E54"/>
    <w:rsid w:val="00AD6250"/>
    <w:rsid w:val="00AD6490"/>
    <w:rsid w:val="00AD64C0"/>
    <w:rsid w:val="00AD64D2"/>
    <w:rsid w:val="00AD6777"/>
    <w:rsid w:val="00AD692B"/>
    <w:rsid w:val="00AD6A1C"/>
    <w:rsid w:val="00AD716D"/>
    <w:rsid w:val="00AD798C"/>
    <w:rsid w:val="00AD7DB6"/>
    <w:rsid w:val="00AD7EFD"/>
    <w:rsid w:val="00AE0198"/>
    <w:rsid w:val="00AE01D8"/>
    <w:rsid w:val="00AE02DB"/>
    <w:rsid w:val="00AE041F"/>
    <w:rsid w:val="00AE0930"/>
    <w:rsid w:val="00AE0CDC"/>
    <w:rsid w:val="00AE0CF7"/>
    <w:rsid w:val="00AE0DDD"/>
    <w:rsid w:val="00AE0FD0"/>
    <w:rsid w:val="00AE1230"/>
    <w:rsid w:val="00AE1A7E"/>
    <w:rsid w:val="00AE1A95"/>
    <w:rsid w:val="00AE1C22"/>
    <w:rsid w:val="00AE1D7A"/>
    <w:rsid w:val="00AE1EEC"/>
    <w:rsid w:val="00AE24F8"/>
    <w:rsid w:val="00AE2A20"/>
    <w:rsid w:val="00AE2D8C"/>
    <w:rsid w:val="00AE2D95"/>
    <w:rsid w:val="00AE2FB4"/>
    <w:rsid w:val="00AE321F"/>
    <w:rsid w:val="00AE32D5"/>
    <w:rsid w:val="00AE34D9"/>
    <w:rsid w:val="00AE3878"/>
    <w:rsid w:val="00AE38B7"/>
    <w:rsid w:val="00AE398F"/>
    <w:rsid w:val="00AE3A37"/>
    <w:rsid w:val="00AE4377"/>
    <w:rsid w:val="00AE4985"/>
    <w:rsid w:val="00AE5075"/>
    <w:rsid w:val="00AE5677"/>
    <w:rsid w:val="00AE56F4"/>
    <w:rsid w:val="00AE577E"/>
    <w:rsid w:val="00AE57AD"/>
    <w:rsid w:val="00AE5839"/>
    <w:rsid w:val="00AE5BD1"/>
    <w:rsid w:val="00AE5DF5"/>
    <w:rsid w:val="00AE5F6A"/>
    <w:rsid w:val="00AE6021"/>
    <w:rsid w:val="00AE612C"/>
    <w:rsid w:val="00AE61B6"/>
    <w:rsid w:val="00AE6674"/>
    <w:rsid w:val="00AE679B"/>
    <w:rsid w:val="00AE6998"/>
    <w:rsid w:val="00AE6ABA"/>
    <w:rsid w:val="00AE6CFE"/>
    <w:rsid w:val="00AE6D62"/>
    <w:rsid w:val="00AE7394"/>
    <w:rsid w:val="00AE7563"/>
    <w:rsid w:val="00AE79DC"/>
    <w:rsid w:val="00AE79E4"/>
    <w:rsid w:val="00AE7B35"/>
    <w:rsid w:val="00AE7C2E"/>
    <w:rsid w:val="00AE7D16"/>
    <w:rsid w:val="00AE7D22"/>
    <w:rsid w:val="00AE7E85"/>
    <w:rsid w:val="00AF05F4"/>
    <w:rsid w:val="00AF0618"/>
    <w:rsid w:val="00AF0BE0"/>
    <w:rsid w:val="00AF0CBA"/>
    <w:rsid w:val="00AF0E10"/>
    <w:rsid w:val="00AF0E4C"/>
    <w:rsid w:val="00AF0F39"/>
    <w:rsid w:val="00AF1073"/>
    <w:rsid w:val="00AF145C"/>
    <w:rsid w:val="00AF1608"/>
    <w:rsid w:val="00AF1635"/>
    <w:rsid w:val="00AF1B4F"/>
    <w:rsid w:val="00AF1C9D"/>
    <w:rsid w:val="00AF1D0E"/>
    <w:rsid w:val="00AF1EA6"/>
    <w:rsid w:val="00AF2004"/>
    <w:rsid w:val="00AF219E"/>
    <w:rsid w:val="00AF2398"/>
    <w:rsid w:val="00AF2649"/>
    <w:rsid w:val="00AF2723"/>
    <w:rsid w:val="00AF273F"/>
    <w:rsid w:val="00AF29BC"/>
    <w:rsid w:val="00AF29CF"/>
    <w:rsid w:val="00AF2F62"/>
    <w:rsid w:val="00AF3131"/>
    <w:rsid w:val="00AF36D3"/>
    <w:rsid w:val="00AF380B"/>
    <w:rsid w:val="00AF3BF5"/>
    <w:rsid w:val="00AF3EAF"/>
    <w:rsid w:val="00AF4108"/>
    <w:rsid w:val="00AF4378"/>
    <w:rsid w:val="00AF464D"/>
    <w:rsid w:val="00AF4657"/>
    <w:rsid w:val="00AF4B0C"/>
    <w:rsid w:val="00AF4B94"/>
    <w:rsid w:val="00AF4C40"/>
    <w:rsid w:val="00AF4C47"/>
    <w:rsid w:val="00AF4E97"/>
    <w:rsid w:val="00AF4FE2"/>
    <w:rsid w:val="00AF5505"/>
    <w:rsid w:val="00AF5649"/>
    <w:rsid w:val="00AF5720"/>
    <w:rsid w:val="00AF5739"/>
    <w:rsid w:val="00AF596B"/>
    <w:rsid w:val="00AF59EB"/>
    <w:rsid w:val="00AF5CBE"/>
    <w:rsid w:val="00AF5E4E"/>
    <w:rsid w:val="00AF5F8B"/>
    <w:rsid w:val="00AF6184"/>
    <w:rsid w:val="00AF6AB7"/>
    <w:rsid w:val="00AF6BEC"/>
    <w:rsid w:val="00AF7048"/>
    <w:rsid w:val="00AF7742"/>
    <w:rsid w:val="00AF7744"/>
    <w:rsid w:val="00AF7C6A"/>
    <w:rsid w:val="00AF7F80"/>
    <w:rsid w:val="00B0010B"/>
    <w:rsid w:val="00B00302"/>
    <w:rsid w:val="00B0032C"/>
    <w:rsid w:val="00B00497"/>
    <w:rsid w:val="00B0054D"/>
    <w:rsid w:val="00B007EB"/>
    <w:rsid w:val="00B00AD1"/>
    <w:rsid w:val="00B00ADB"/>
    <w:rsid w:val="00B00B60"/>
    <w:rsid w:val="00B00C19"/>
    <w:rsid w:val="00B00CE6"/>
    <w:rsid w:val="00B00D1C"/>
    <w:rsid w:val="00B013C7"/>
    <w:rsid w:val="00B01456"/>
    <w:rsid w:val="00B015EE"/>
    <w:rsid w:val="00B01754"/>
    <w:rsid w:val="00B01903"/>
    <w:rsid w:val="00B01AF7"/>
    <w:rsid w:val="00B01B90"/>
    <w:rsid w:val="00B01BC0"/>
    <w:rsid w:val="00B01D4C"/>
    <w:rsid w:val="00B01F5E"/>
    <w:rsid w:val="00B02161"/>
    <w:rsid w:val="00B02209"/>
    <w:rsid w:val="00B02338"/>
    <w:rsid w:val="00B02747"/>
    <w:rsid w:val="00B027F5"/>
    <w:rsid w:val="00B030BB"/>
    <w:rsid w:val="00B031A8"/>
    <w:rsid w:val="00B037AB"/>
    <w:rsid w:val="00B03806"/>
    <w:rsid w:val="00B03E13"/>
    <w:rsid w:val="00B041A4"/>
    <w:rsid w:val="00B041FA"/>
    <w:rsid w:val="00B043B2"/>
    <w:rsid w:val="00B045AB"/>
    <w:rsid w:val="00B047B0"/>
    <w:rsid w:val="00B0488E"/>
    <w:rsid w:val="00B04ACD"/>
    <w:rsid w:val="00B04BAB"/>
    <w:rsid w:val="00B04BD3"/>
    <w:rsid w:val="00B04E66"/>
    <w:rsid w:val="00B04EE8"/>
    <w:rsid w:val="00B051A1"/>
    <w:rsid w:val="00B054DF"/>
    <w:rsid w:val="00B0574F"/>
    <w:rsid w:val="00B05AEA"/>
    <w:rsid w:val="00B05D89"/>
    <w:rsid w:val="00B05F0F"/>
    <w:rsid w:val="00B05F89"/>
    <w:rsid w:val="00B0600E"/>
    <w:rsid w:val="00B0627C"/>
    <w:rsid w:val="00B06314"/>
    <w:rsid w:val="00B066B4"/>
    <w:rsid w:val="00B068F5"/>
    <w:rsid w:val="00B06C5D"/>
    <w:rsid w:val="00B06F48"/>
    <w:rsid w:val="00B0718B"/>
    <w:rsid w:val="00B0767A"/>
    <w:rsid w:val="00B0774A"/>
    <w:rsid w:val="00B077BD"/>
    <w:rsid w:val="00B0792B"/>
    <w:rsid w:val="00B07BC5"/>
    <w:rsid w:val="00B07CD2"/>
    <w:rsid w:val="00B1016B"/>
    <w:rsid w:val="00B1049E"/>
    <w:rsid w:val="00B104DC"/>
    <w:rsid w:val="00B1063C"/>
    <w:rsid w:val="00B10744"/>
    <w:rsid w:val="00B1083B"/>
    <w:rsid w:val="00B10867"/>
    <w:rsid w:val="00B11046"/>
    <w:rsid w:val="00B11258"/>
    <w:rsid w:val="00B1135E"/>
    <w:rsid w:val="00B1152B"/>
    <w:rsid w:val="00B11866"/>
    <w:rsid w:val="00B119C5"/>
    <w:rsid w:val="00B11B91"/>
    <w:rsid w:val="00B11DAE"/>
    <w:rsid w:val="00B11EA0"/>
    <w:rsid w:val="00B1204E"/>
    <w:rsid w:val="00B121B7"/>
    <w:rsid w:val="00B12324"/>
    <w:rsid w:val="00B126FD"/>
    <w:rsid w:val="00B12749"/>
    <w:rsid w:val="00B128AF"/>
    <w:rsid w:val="00B12939"/>
    <w:rsid w:val="00B12C06"/>
    <w:rsid w:val="00B12F13"/>
    <w:rsid w:val="00B12FF8"/>
    <w:rsid w:val="00B1307C"/>
    <w:rsid w:val="00B1325D"/>
    <w:rsid w:val="00B1329E"/>
    <w:rsid w:val="00B132C3"/>
    <w:rsid w:val="00B132E7"/>
    <w:rsid w:val="00B13588"/>
    <w:rsid w:val="00B139A7"/>
    <w:rsid w:val="00B13B22"/>
    <w:rsid w:val="00B13D45"/>
    <w:rsid w:val="00B13ED6"/>
    <w:rsid w:val="00B13EE3"/>
    <w:rsid w:val="00B13F84"/>
    <w:rsid w:val="00B14288"/>
    <w:rsid w:val="00B14347"/>
    <w:rsid w:val="00B1459C"/>
    <w:rsid w:val="00B14ABE"/>
    <w:rsid w:val="00B14B20"/>
    <w:rsid w:val="00B14BED"/>
    <w:rsid w:val="00B1508C"/>
    <w:rsid w:val="00B15136"/>
    <w:rsid w:val="00B151B4"/>
    <w:rsid w:val="00B156A9"/>
    <w:rsid w:val="00B156FE"/>
    <w:rsid w:val="00B1592E"/>
    <w:rsid w:val="00B15B8F"/>
    <w:rsid w:val="00B15ED1"/>
    <w:rsid w:val="00B1604B"/>
    <w:rsid w:val="00B1632A"/>
    <w:rsid w:val="00B163DB"/>
    <w:rsid w:val="00B165E0"/>
    <w:rsid w:val="00B16697"/>
    <w:rsid w:val="00B16719"/>
    <w:rsid w:val="00B16768"/>
    <w:rsid w:val="00B16841"/>
    <w:rsid w:val="00B16862"/>
    <w:rsid w:val="00B1696A"/>
    <w:rsid w:val="00B16B99"/>
    <w:rsid w:val="00B17142"/>
    <w:rsid w:val="00B175B9"/>
    <w:rsid w:val="00B176B4"/>
    <w:rsid w:val="00B17757"/>
    <w:rsid w:val="00B1790D"/>
    <w:rsid w:val="00B17F3F"/>
    <w:rsid w:val="00B17F48"/>
    <w:rsid w:val="00B200BE"/>
    <w:rsid w:val="00B20194"/>
    <w:rsid w:val="00B206B5"/>
    <w:rsid w:val="00B2092C"/>
    <w:rsid w:val="00B20A47"/>
    <w:rsid w:val="00B20C82"/>
    <w:rsid w:val="00B20D2E"/>
    <w:rsid w:val="00B20E5C"/>
    <w:rsid w:val="00B20E99"/>
    <w:rsid w:val="00B20E9D"/>
    <w:rsid w:val="00B210AD"/>
    <w:rsid w:val="00B21315"/>
    <w:rsid w:val="00B218E1"/>
    <w:rsid w:val="00B219FD"/>
    <w:rsid w:val="00B21AC0"/>
    <w:rsid w:val="00B21B82"/>
    <w:rsid w:val="00B221AD"/>
    <w:rsid w:val="00B225CE"/>
    <w:rsid w:val="00B228DD"/>
    <w:rsid w:val="00B229A4"/>
    <w:rsid w:val="00B22CF0"/>
    <w:rsid w:val="00B22F65"/>
    <w:rsid w:val="00B2329F"/>
    <w:rsid w:val="00B2330A"/>
    <w:rsid w:val="00B2363B"/>
    <w:rsid w:val="00B236A2"/>
    <w:rsid w:val="00B2382B"/>
    <w:rsid w:val="00B23889"/>
    <w:rsid w:val="00B23942"/>
    <w:rsid w:val="00B23A3A"/>
    <w:rsid w:val="00B23C4F"/>
    <w:rsid w:val="00B2409D"/>
    <w:rsid w:val="00B243E2"/>
    <w:rsid w:val="00B24420"/>
    <w:rsid w:val="00B24452"/>
    <w:rsid w:val="00B24477"/>
    <w:rsid w:val="00B244CD"/>
    <w:rsid w:val="00B247B8"/>
    <w:rsid w:val="00B24840"/>
    <w:rsid w:val="00B24CDF"/>
    <w:rsid w:val="00B24E10"/>
    <w:rsid w:val="00B250C7"/>
    <w:rsid w:val="00B250E2"/>
    <w:rsid w:val="00B253AF"/>
    <w:rsid w:val="00B25670"/>
    <w:rsid w:val="00B258D0"/>
    <w:rsid w:val="00B258FF"/>
    <w:rsid w:val="00B25D6C"/>
    <w:rsid w:val="00B25F03"/>
    <w:rsid w:val="00B26011"/>
    <w:rsid w:val="00B261D4"/>
    <w:rsid w:val="00B2624D"/>
    <w:rsid w:val="00B262F5"/>
    <w:rsid w:val="00B26985"/>
    <w:rsid w:val="00B26B48"/>
    <w:rsid w:val="00B26DC2"/>
    <w:rsid w:val="00B26FAB"/>
    <w:rsid w:val="00B271D5"/>
    <w:rsid w:val="00B271DC"/>
    <w:rsid w:val="00B272B0"/>
    <w:rsid w:val="00B27303"/>
    <w:rsid w:val="00B27457"/>
    <w:rsid w:val="00B27679"/>
    <w:rsid w:val="00B27827"/>
    <w:rsid w:val="00B27977"/>
    <w:rsid w:val="00B279DB"/>
    <w:rsid w:val="00B27F55"/>
    <w:rsid w:val="00B3013A"/>
    <w:rsid w:val="00B30346"/>
    <w:rsid w:val="00B303CD"/>
    <w:rsid w:val="00B304E6"/>
    <w:rsid w:val="00B3054B"/>
    <w:rsid w:val="00B3058C"/>
    <w:rsid w:val="00B30723"/>
    <w:rsid w:val="00B307D1"/>
    <w:rsid w:val="00B30A9B"/>
    <w:rsid w:val="00B30C71"/>
    <w:rsid w:val="00B30C7E"/>
    <w:rsid w:val="00B30DD3"/>
    <w:rsid w:val="00B31585"/>
    <w:rsid w:val="00B31599"/>
    <w:rsid w:val="00B31A72"/>
    <w:rsid w:val="00B31E07"/>
    <w:rsid w:val="00B31E82"/>
    <w:rsid w:val="00B322A8"/>
    <w:rsid w:val="00B32658"/>
    <w:rsid w:val="00B327B0"/>
    <w:rsid w:val="00B329E4"/>
    <w:rsid w:val="00B32D2C"/>
    <w:rsid w:val="00B32F69"/>
    <w:rsid w:val="00B33260"/>
    <w:rsid w:val="00B34690"/>
    <w:rsid w:val="00B34A1D"/>
    <w:rsid w:val="00B34D4C"/>
    <w:rsid w:val="00B34DB0"/>
    <w:rsid w:val="00B35158"/>
    <w:rsid w:val="00B35CDD"/>
    <w:rsid w:val="00B35D22"/>
    <w:rsid w:val="00B35D76"/>
    <w:rsid w:val="00B3658A"/>
    <w:rsid w:val="00B36AC3"/>
    <w:rsid w:val="00B36B57"/>
    <w:rsid w:val="00B36EA9"/>
    <w:rsid w:val="00B37215"/>
    <w:rsid w:val="00B37369"/>
    <w:rsid w:val="00B374BF"/>
    <w:rsid w:val="00B3765A"/>
    <w:rsid w:val="00B376A9"/>
    <w:rsid w:val="00B3795C"/>
    <w:rsid w:val="00B379E9"/>
    <w:rsid w:val="00B37B75"/>
    <w:rsid w:val="00B37C88"/>
    <w:rsid w:val="00B40085"/>
    <w:rsid w:val="00B400CB"/>
    <w:rsid w:val="00B40728"/>
    <w:rsid w:val="00B40878"/>
    <w:rsid w:val="00B40890"/>
    <w:rsid w:val="00B40C3A"/>
    <w:rsid w:val="00B40F4C"/>
    <w:rsid w:val="00B412D7"/>
    <w:rsid w:val="00B41303"/>
    <w:rsid w:val="00B4157F"/>
    <w:rsid w:val="00B4165A"/>
    <w:rsid w:val="00B41676"/>
    <w:rsid w:val="00B41942"/>
    <w:rsid w:val="00B41AF0"/>
    <w:rsid w:val="00B41B94"/>
    <w:rsid w:val="00B41CC2"/>
    <w:rsid w:val="00B41CCE"/>
    <w:rsid w:val="00B41EA1"/>
    <w:rsid w:val="00B42172"/>
    <w:rsid w:val="00B428FA"/>
    <w:rsid w:val="00B4296F"/>
    <w:rsid w:val="00B42ADA"/>
    <w:rsid w:val="00B42CD1"/>
    <w:rsid w:val="00B43194"/>
    <w:rsid w:val="00B4357B"/>
    <w:rsid w:val="00B439FF"/>
    <w:rsid w:val="00B43B72"/>
    <w:rsid w:val="00B43B82"/>
    <w:rsid w:val="00B43C64"/>
    <w:rsid w:val="00B43CBD"/>
    <w:rsid w:val="00B43DB7"/>
    <w:rsid w:val="00B43FAB"/>
    <w:rsid w:val="00B43FB2"/>
    <w:rsid w:val="00B43FCC"/>
    <w:rsid w:val="00B4416E"/>
    <w:rsid w:val="00B441DF"/>
    <w:rsid w:val="00B444D2"/>
    <w:rsid w:val="00B44654"/>
    <w:rsid w:val="00B44925"/>
    <w:rsid w:val="00B449B8"/>
    <w:rsid w:val="00B44D20"/>
    <w:rsid w:val="00B44DE9"/>
    <w:rsid w:val="00B44EA1"/>
    <w:rsid w:val="00B4507D"/>
    <w:rsid w:val="00B45428"/>
    <w:rsid w:val="00B454EE"/>
    <w:rsid w:val="00B4551E"/>
    <w:rsid w:val="00B456B6"/>
    <w:rsid w:val="00B457FD"/>
    <w:rsid w:val="00B45942"/>
    <w:rsid w:val="00B45F4D"/>
    <w:rsid w:val="00B4632F"/>
    <w:rsid w:val="00B463B7"/>
    <w:rsid w:val="00B46488"/>
    <w:rsid w:val="00B4666C"/>
    <w:rsid w:val="00B467C8"/>
    <w:rsid w:val="00B46A31"/>
    <w:rsid w:val="00B472BE"/>
    <w:rsid w:val="00B47840"/>
    <w:rsid w:val="00B47893"/>
    <w:rsid w:val="00B47DD0"/>
    <w:rsid w:val="00B47EB9"/>
    <w:rsid w:val="00B50035"/>
    <w:rsid w:val="00B502E3"/>
    <w:rsid w:val="00B503F5"/>
    <w:rsid w:val="00B50DBF"/>
    <w:rsid w:val="00B50E53"/>
    <w:rsid w:val="00B51131"/>
    <w:rsid w:val="00B512AB"/>
    <w:rsid w:val="00B5149A"/>
    <w:rsid w:val="00B517D3"/>
    <w:rsid w:val="00B52673"/>
    <w:rsid w:val="00B528B8"/>
    <w:rsid w:val="00B52CCD"/>
    <w:rsid w:val="00B52DF7"/>
    <w:rsid w:val="00B53149"/>
    <w:rsid w:val="00B53179"/>
    <w:rsid w:val="00B531F6"/>
    <w:rsid w:val="00B533E6"/>
    <w:rsid w:val="00B5358C"/>
    <w:rsid w:val="00B535A6"/>
    <w:rsid w:val="00B535CB"/>
    <w:rsid w:val="00B53E72"/>
    <w:rsid w:val="00B5445D"/>
    <w:rsid w:val="00B5460E"/>
    <w:rsid w:val="00B5493D"/>
    <w:rsid w:val="00B54A6C"/>
    <w:rsid w:val="00B54C1C"/>
    <w:rsid w:val="00B55071"/>
    <w:rsid w:val="00B5536D"/>
    <w:rsid w:val="00B553DB"/>
    <w:rsid w:val="00B553E6"/>
    <w:rsid w:val="00B55420"/>
    <w:rsid w:val="00B554C6"/>
    <w:rsid w:val="00B5578B"/>
    <w:rsid w:val="00B55D72"/>
    <w:rsid w:val="00B56017"/>
    <w:rsid w:val="00B565C8"/>
    <w:rsid w:val="00B566AA"/>
    <w:rsid w:val="00B56B16"/>
    <w:rsid w:val="00B56D91"/>
    <w:rsid w:val="00B56DBB"/>
    <w:rsid w:val="00B57992"/>
    <w:rsid w:val="00B579A3"/>
    <w:rsid w:val="00B57FA5"/>
    <w:rsid w:val="00B60136"/>
    <w:rsid w:val="00B60196"/>
    <w:rsid w:val="00B602F3"/>
    <w:rsid w:val="00B60307"/>
    <w:rsid w:val="00B60805"/>
    <w:rsid w:val="00B60B06"/>
    <w:rsid w:val="00B60C7F"/>
    <w:rsid w:val="00B60C9A"/>
    <w:rsid w:val="00B60F41"/>
    <w:rsid w:val="00B61010"/>
    <w:rsid w:val="00B61274"/>
    <w:rsid w:val="00B6130C"/>
    <w:rsid w:val="00B61B09"/>
    <w:rsid w:val="00B61D39"/>
    <w:rsid w:val="00B61D97"/>
    <w:rsid w:val="00B61DB5"/>
    <w:rsid w:val="00B61DEF"/>
    <w:rsid w:val="00B6207A"/>
    <w:rsid w:val="00B6212E"/>
    <w:rsid w:val="00B626DF"/>
    <w:rsid w:val="00B6280F"/>
    <w:rsid w:val="00B62AC4"/>
    <w:rsid w:val="00B62ACF"/>
    <w:rsid w:val="00B62B14"/>
    <w:rsid w:val="00B62C38"/>
    <w:rsid w:val="00B63367"/>
    <w:rsid w:val="00B633B8"/>
    <w:rsid w:val="00B63654"/>
    <w:rsid w:val="00B6380A"/>
    <w:rsid w:val="00B63915"/>
    <w:rsid w:val="00B63B9E"/>
    <w:rsid w:val="00B63E2F"/>
    <w:rsid w:val="00B64043"/>
    <w:rsid w:val="00B640A0"/>
    <w:rsid w:val="00B643E0"/>
    <w:rsid w:val="00B644FF"/>
    <w:rsid w:val="00B64561"/>
    <w:rsid w:val="00B647B5"/>
    <w:rsid w:val="00B64C65"/>
    <w:rsid w:val="00B650DC"/>
    <w:rsid w:val="00B6513F"/>
    <w:rsid w:val="00B65513"/>
    <w:rsid w:val="00B65DF6"/>
    <w:rsid w:val="00B660C3"/>
    <w:rsid w:val="00B66189"/>
    <w:rsid w:val="00B66539"/>
    <w:rsid w:val="00B66981"/>
    <w:rsid w:val="00B66985"/>
    <w:rsid w:val="00B669F3"/>
    <w:rsid w:val="00B66B2F"/>
    <w:rsid w:val="00B66BB4"/>
    <w:rsid w:val="00B66C23"/>
    <w:rsid w:val="00B66CC9"/>
    <w:rsid w:val="00B66EEE"/>
    <w:rsid w:val="00B6700E"/>
    <w:rsid w:val="00B670D0"/>
    <w:rsid w:val="00B671BC"/>
    <w:rsid w:val="00B67394"/>
    <w:rsid w:val="00B67418"/>
    <w:rsid w:val="00B67460"/>
    <w:rsid w:val="00B67501"/>
    <w:rsid w:val="00B67562"/>
    <w:rsid w:val="00B678FC"/>
    <w:rsid w:val="00B679E0"/>
    <w:rsid w:val="00B67C83"/>
    <w:rsid w:val="00B67CDB"/>
    <w:rsid w:val="00B67F82"/>
    <w:rsid w:val="00B70408"/>
    <w:rsid w:val="00B70824"/>
    <w:rsid w:val="00B70BD4"/>
    <w:rsid w:val="00B70C4F"/>
    <w:rsid w:val="00B71099"/>
    <w:rsid w:val="00B71180"/>
    <w:rsid w:val="00B71197"/>
    <w:rsid w:val="00B711EB"/>
    <w:rsid w:val="00B7149F"/>
    <w:rsid w:val="00B714A0"/>
    <w:rsid w:val="00B715D1"/>
    <w:rsid w:val="00B716CE"/>
    <w:rsid w:val="00B717F0"/>
    <w:rsid w:val="00B71CD3"/>
    <w:rsid w:val="00B71E87"/>
    <w:rsid w:val="00B72032"/>
    <w:rsid w:val="00B720DB"/>
    <w:rsid w:val="00B72245"/>
    <w:rsid w:val="00B722FF"/>
    <w:rsid w:val="00B72308"/>
    <w:rsid w:val="00B7256B"/>
    <w:rsid w:val="00B726CC"/>
    <w:rsid w:val="00B726E5"/>
    <w:rsid w:val="00B72940"/>
    <w:rsid w:val="00B72DC6"/>
    <w:rsid w:val="00B73006"/>
    <w:rsid w:val="00B73037"/>
    <w:rsid w:val="00B73376"/>
    <w:rsid w:val="00B735CA"/>
    <w:rsid w:val="00B73747"/>
    <w:rsid w:val="00B737AF"/>
    <w:rsid w:val="00B73DB9"/>
    <w:rsid w:val="00B73F62"/>
    <w:rsid w:val="00B743FF"/>
    <w:rsid w:val="00B744FB"/>
    <w:rsid w:val="00B7454E"/>
    <w:rsid w:val="00B74595"/>
    <w:rsid w:val="00B746DD"/>
    <w:rsid w:val="00B74730"/>
    <w:rsid w:val="00B748C9"/>
    <w:rsid w:val="00B74B51"/>
    <w:rsid w:val="00B74CE9"/>
    <w:rsid w:val="00B74D5B"/>
    <w:rsid w:val="00B74F42"/>
    <w:rsid w:val="00B74F68"/>
    <w:rsid w:val="00B74F76"/>
    <w:rsid w:val="00B75074"/>
    <w:rsid w:val="00B750C6"/>
    <w:rsid w:val="00B752EB"/>
    <w:rsid w:val="00B753D5"/>
    <w:rsid w:val="00B75683"/>
    <w:rsid w:val="00B7576A"/>
    <w:rsid w:val="00B75912"/>
    <w:rsid w:val="00B75BF8"/>
    <w:rsid w:val="00B75C80"/>
    <w:rsid w:val="00B75D0E"/>
    <w:rsid w:val="00B75D53"/>
    <w:rsid w:val="00B75F1C"/>
    <w:rsid w:val="00B7612F"/>
    <w:rsid w:val="00B76181"/>
    <w:rsid w:val="00B762BB"/>
    <w:rsid w:val="00B764C9"/>
    <w:rsid w:val="00B7667B"/>
    <w:rsid w:val="00B768A5"/>
    <w:rsid w:val="00B76958"/>
    <w:rsid w:val="00B76B74"/>
    <w:rsid w:val="00B76FB1"/>
    <w:rsid w:val="00B77133"/>
    <w:rsid w:val="00B771A6"/>
    <w:rsid w:val="00B77530"/>
    <w:rsid w:val="00B779EA"/>
    <w:rsid w:val="00B77C35"/>
    <w:rsid w:val="00B77C69"/>
    <w:rsid w:val="00B77E54"/>
    <w:rsid w:val="00B77EBE"/>
    <w:rsid w:val="00B77F89"/>
    <w:rsid w:val="00B800B3"/>
    <w:rsid w:val="00B805EE"/>
    <w:rsid w:val="00B80785"/>
    <w:rsid w:val="00B8079F"/>
    <w:rsid w:val="00B80913"/>
    <w:rsid w:val="00B80B54"/>
    <w:rsid w:val="00B80B6D"/>
    <w:rsid w:val="00B80CD3"/>
    <w:rsid w:val="00B80EA6"/>
    <w:rsid w:val="00B8175E"/>
    <w:rsid w:val="00B819D4"/>
    <w:rsid w:val="00B81BA0"/>
    <w:rsid w:val="00B81E68"/>
    <w:rsid w:val="00B81EAD"/>
    <w:rsid w:val="00B822F0"/>
    <w:rsid w:val="00B82586"/>
    <w:rsid w:val="00B8267B"/>
    <w:rsid w:val="00B8354E"/>
    <w:rsid w:val="00B8377A"/>
    <w:rsid w:val="00B837DC"/>
    <w:rsid w:val="00B83B6A"/>
    <w:rsid w:val="00B83BA0"/>
    <w:rsid w:val="00B83D40"/>
    <w:rsid w:val="00B83E12"/>
    <w:rsid w:val="00B83F6D"/>
    <w:rsid w:val="00B83F81"/>
    <w:rsid w:val="00B840DF"/>
    <w:rsid w:val="00B841BB"/>
    <w:rsid w:val="00B842E1"/>
    <w:rsid w:val="00B8453C"/>
    <w:rsid w:val="00B845CB"/>
    <w:rsid w:val="00B847C4"/>
    <w:rsid w:val="00B8480F"/>
    <w:rsid w:val="00B84970"/>
    <w:rsid w:val="00B84BBD"/>
    <w:rsid w:val="00B84CB0"/>
    <w:rsid w:val="00B84D30"/>
    <w:rsid w:val="00B84EC1"/>
    <w:rsid w:val="00B850C5"/>
    <w:rsid w:val="00B8516D"/>
    <w:rsid w:val="00B852E5"/>
    <w:rsid w:val="00B85529"/>
    <w:rsid w:val="00B85536"/>
    <w:rsid w:val="00B85827"/>
    <w:rsid w:val="00B8584C"/>
    <w:rsid w:val="00B859AE"/>
    <w:rsid w:val="00B85A46"/>
    <w:rsid w:val="00B8613F"/>
    <w:rsid w:val="00B861D6"/>
    <w:rsid w:val="00B8655F"/>
    <w:rsid w:val="00B86903"/>
    <w:rsid w:val="00B86976"/>
    <w:rsid w:val="00B86C5D"/>
    <w:rsid w:val="00B86D7A"/>
    <w:rsid w:val="00B86E59"/>
    <w:rsid w:val="00B86F07"/>
    <w:rsid w:val="00B8716B"/>
    <w:rsid w:val="00B8733A"/>
    <w:rsid w:val="00B87737"/>
    <w:rsid w:val="00B8796F"/>
    <w:rsid w:val="00B87F45"/>
    <w:rsid w:val="00B901D5"/>
    <w:rsid w:val="00B9053A"/>
    <w:rsid w:val="00B9057B"/>
    <w:rsid w:val="00B9097A"/>
    <w:rsid w:val="00B90AE5"/>
    <w:rsid w:val="00B90C51"/>
    <w:rsid w:val="00B91237"/>
    <w:rsid w:val="00B912BC"/>
    <w:rsid w:val="00B91438"/>
    <w:rsid w:val="00B9152E"/>
    <w:rsid w:val="00B91610"/>
    <w:rsid w:val="00B91631"/>
    <w:rsid w:val="00B9164F"/>
    <w:rsid w:val="00B91751"/>
    <w:rsid w:val="00B91B07"/>
    <w:rsid w:val="00B91B0E"/>
    <w:rsid w:val="00B91EF8"/>
    <w:rsid w:val="00B91FDE"/>
    <w:rsid w:val="00B92193"/>
    <w:rsid w:val="00B9279C"/>
    <w:rsid w:val="00B92B84"/>
    <w:rsid w:val="00B92B88"/>
    <w:rsid w:val="00B92BC6"/>
    <w:rsid w:val="00B92C05"/>
    <w:rsid w:val="00B92D01"/>
    <w:rsid w:val="00B92DA3"/>
    <w:rsid w:val="00B92E94"/>
    <w:rsid w:val="00B92F1A"/>
    <w:rsid w:val="00B9317F"/>
    <w:rsid w:val="00B93253"/>
    <w:rsid w:val="00B9329B"/>
    <w:rsid w:val="00B93305"/>
    <w:rsid w:val="00B93784"/>
    <w:rsid w:val="00B938C6"/>
    <w:rsid w:val="00B93C99"/>
    <w:rsid w:val="00B93D2B"/>
    <w:rsid w:val="00B93DD2"/>
    <w:rsid w:val="00B93FE5"/>
    <w:rsid w:val="00B94103"/>
    <w:rsid w:val="00B9423A"/>
    <w:rsid w:val="00B9447A"/>
    <w:rsid w:val="00B94595"/>
    <w:rsid w:val="00B945C3"/>
    <w:rsid w:val="00B945E1"/>
    <w:rsid w:val="00B94C04"/>
    <w:rsid w:val="00B94C92"/>
    <w:rsid w:val="00B94CBB"/>
    <w:rsid w:val="00B94F60"/>
    <w:rsid w:val="00B9558D"/>
    <w:rsid w:val="00B96040"/>
    <w:rsid w:val="00B96076"/>
    <w:rsid w:val="00B96161"/>
    <w:rsid w:val="00B961CB"/>
    <w:rsid w:val="00B961E8"/>
    <w:rsid w:val="00B965E7"/>
    <w:rsid w:val="00B967D7"/>
    <w:rsid w:val="00B96892"/>
    <w:rsid w:val="00B96A06"/>
    <w:rsid w:val="00B96C15"/>
    <w:rsid w:val="00B96C1C"/>
    <w:rsid w:val="00B96CBF"/>
    <w:rsid w:val="00B96DB8"/>
    <w:rsid w:val="00B96F55"/>
    <w:rsid w:val="00B97151"/>
    <w:rsid w:val="00B97179"/>
    <w:rsid w:val="00B97197"/>
    <w:rsid w:val="00B97487"/>
    <w:rsid w:val="00B975AC"/>
    <w:rsid w:val="00B97832"/>
    <w:rsid w:val="00B9792A"/>
    <w:rsid w:val="00B97BAA"/>
    <w:rsid w:val="00B97F31"/>
    <w:rsid w:val="00B97F74"/>
    <w:rsid w:val="00BA027D"/>
    <w:rsid w:val="00BA02F9"/>
    <w:rsid w:val="00BA03EE"/>
    <w:rsid w:val="00BA099C"/>
    <w:rsid w:val="00BA0B71"/>
    <w:rsid w:val="00BA0C2E"/>
    <w:rsid w:val="00BA0D69"/>
    <w:rsid w:val="00BA0F7D"/>
    <w:rsid w:val="00BA1017"/>
    <w:rsid w:val="00BA10E0"/>
    <w:rsid w:val="00BA15E2"/>
    <w:rsid w:val="00BA17F0"/>
    <w:rsid w:val="00BA180F"/>
    <w:rsid w:val="00BA1A8A"/>
    <w:rsid w:val="00BA1ABE"/>
    <w:rsid w:val="00BA22FE"/>
    <w:rsid w:val="00BA236D"/>
    <w:rsid w:val="00BA26A8"/>
    <w:rsid w:val="00BA29BE"/>
    <w:rsid w:val="00BA2B98"/>
    <w:rsid w:val="00BA2CBB"/>
    <w:rsid w:val="00BA2DF3"/>
    <w:rsid w:val="00BA2E8A"/>
    <w:rsid w:val="00BA3229"/>
    <w:rsid w:val="00BA338B"/>
    <w:rsid w:val="00BA33DF"/>
    <w:rsid w:val="00BA349F"/>
    <w:rsid w:val="00BA3A31"/>
    <w:rsid w:val="00BA3B3D"/>
    <w:rsid w:val="00BA3C8A"/>
    <w:rsid w:val="00BA3DBD"/>
    <w:rsid w:val="00BA3F31"/>
    <w:rsid w:val="00BA4376"/>
    <w:rsid w:val="00BA4517"/>
    <w:rsid w:val="00BA477F"/>
    <w:rsid w:val="00BA4B18"/>
    <w:rsid w:val="00BA4B6B"/>
    <w:rsid w:val="00BA4B9F"/>
    <w:rsid w:val="00BA4BEB"/>
    <w:rsid w:val="00BA4EEC"/>
    <w:rsid w:val="00BA542A"/>
    <w:rsid w:val="00BA54BE"/>
    <w:rsid w:val="00BA59DE"/>
    <w:rsid w:val="00BA5A2C"/>
    <w:rsid w:val="00BA5B93"/>
    <w:rsid w:val="00BA5E1C"/>
    <w:rsid w:val="00BA5E1F"/>
    <w:rsid w:val="00BA5ECE"/>
    <w:rsid w:val="00BA617D"/>
    <w:rsid w:val="00BA62F3"/>
    <w:rsid w:val="00BA6404"/>
    <w:rsid w:val="00BA69F2"/>
    <w:rsid w:val="00BA6A55"/>
    <w:rsid w:val="00BA6B60"/>
    <w:rsid w:val="00BA6D04"/>
    <w:rsid w:val="00BA6D49"/>
    <w:rsid w:val="00BA76E8"/>
    <w:rsid w:val="00BB006D"/>
    <w:rsid w:val="00BB015D"/>
    <w:rsid w:val="00BB01CA"/>
    <w:rsid w:val="00BB0253"/>
    <w:rsid w:val="00BB08BC"/>
    <w:rsid w:val="00BB0D87"/>
    <w:rsid w:val="00BB10A4"/>
    <w:rsid w:val="00BB1279"/>
    <w:rsid w:val="00BB17A9"/>
    <w:rsid w:val="00BB1827"/>
    <w:rsid w:val="00BB19E2"/>
    <w:rsid w:val="00BB1B18"/>
    <w:rsid w:val="00BB1BE0"/>
    <w:rsid w:val="00BB21F9"/>
    <w:rsid w:val="00BB2299"/>
    <w:rsid w:val="00BB23C2"/>
    <w:rsid w:val="00BB28A5"/>
    <w:rsid w:val="00BB2AE1"/>
    <w:rsid w:val="00BB2AF9"/>
    <w:rsid w:val="00BB2B38"/>
    <w:rsid w:val="00BB2D22"/>
    <w:rsid w:val="00BB2F15"/>
    <w:rsid w:val="00BB3B3A"/>
    <w:rsid w:val="00BB3B3D"/>
    <w:rsid w:val="00BB3D3E"/>
    <w:rsid w:val="00BB3E3C"/>
    <w:rsid w:val="00BB3E5F"/>
    <w:rsid w:val="00BB41B1"/>
    <w:rsid w:val="00BB4B9D"/>
    <w:rsid w:val="00BB4E67"/>
    <w:rsid w:val="00BB4ED8"/>
    <w:rsid w:val="00BB5037"/>
    <w:rsid w:val="00BB51F3"/>
    <w:rsid w:val="00BB52CF"/>
    <w:rsid w:val="00BB59C3"/>
    <w:rsid w:val="00BB5A44"/>
    <w:rsid w:val="00BB5B58"/>
    <w:rsid w:val="00BB5BE8"/>
    <w:rsid w:val="00BB5EB6"/>
    <w:rsid w:val="00BB5F45"/>
    <w:rsid w:val="00BB6011"/>
    <w:rsid w:val="00BB630B"/>
    <w:rsid w:val="00BB6445"/>
    <w:rsid w:val="00BB6487"/>
    <w:rsid w:val="00BB6588"/>
    <w:rsid w:val="00BB67C9"/>
    <w:rsid w:val="00BB69A7"/>
    <w:rsid w:val="00BB6B6E"/>
    <w:rsid w:val="00BB6BBB"/>
    <w:rsid w:val="00BB6EDC"/>
    <w:rsid w:val="00BB6FD6"/>
    <w:rsid w:val="00BB715C"/>
    <w:rsid w:val="00BB7291"/>
    <w:rsid w:val="00BB7B1F"/>
    <w:rsid w:val="00BB7C33"/>
    <w:rsid w:val="00BC002D"/>
    <w:rsid w:val="00BC00DA"/>
    <w:rsid w:val="00BC010B"/>
    <w:rsid w:val="00BC028C"/>
    <w:rsid w:val="00BC02B9"/>
    <w:rsid w:val="00BC030F"/>
    <w:rsid w:val="00BC0334"/>
    <w:rsid w:val="00BC04D0"/>
    <w:rsid w:val="00BC05D2"/>
    <w:rsid w:val="00BC06D4"/>
    <w:rsid w:val="00BC0CDB"/>
    <w:rsid w:val="00BC0D4F"/>
    <w:rsid w:val="00BC0E16"/>
    <w:rsid w:val="00BC0F97"/>
    <w:rsid w:val="00BC120E"/>
    <w:rsid w:val="00BC1481"/>
    <w:rsid w:val="00BC1736"/>
    <w:rsid w:val="00BC1756"/>
    <w:rsid w:val="00BC1CFA"/>
    <w:rsid w:val="00BC1CFC"/>
    <w:rsid w:val="00BC1EE6"/>
    <w:rsid w:val="00BC1EEB"/>
    <w:rsid w:val="00BC1F19"/>
    <w:rsid w:val="00BC1F32"/>
    <w:rsid w:val="00BC2070"/>
    <w:rsid w:val="00BC2100"/>
    <w:rsid w:val="00BC2316"/>
    <w:rsid w:val="00BC2717"/>
    <w:rsid w:val="00BC2A22"/>
    <w:rsid w:val="00BC2B4F"/>
    <w:rsid w:val="00BC2BA1"/>
    <w:rsid w:val="00BC3119"/>
    <w:rsid w:val="00BC357C"/>
    <w:rsid w:val="00BC3EFE"/>
    <w:rsid w:val="00BC3F40"/>
    <w:rsid w:val="00BC4122"/>
    <w:rsid w:val="00BC41DD"/>
    <w:rsid w:val="00BC4322"/>
    <w:rsid w:val="00BC4474"/>
    <w:rsid w:val="00BC44AF"/>
    <w:rsid w:val="00BC4585"/>
    <w:rsid w:val="00BC464A"/>
    <w:rsid w:val="00BC4AEF"/>
    <w:rsid w:val="00BC4D30"/>
    <w:rsid w:val="00BC4DF9"/>
    <w:rsid w:val="00BC4E53"/>
    <w:rsid w:val="00BC5006"/>
    <w:rsid w:val="00BC5514"/>
    <w:rsid w:val="00BC556D"/>
    <w:rsid w:val="00BC5B75"/>
    <w:rsid w:val="00BC5E37"/>
    <w:rsid w:val="00BC5EF6"/>
    <w:rsid w:val="00BC654A"/>
    <w:rsid w:val="00BC668D"/>
    <w:rsid w:val="00BC66B9"/>
    <w:rsid w:val="00BC6965"/>
    <w:rsid w:val="00BC6B30"/>
    <w:rsid w:val="00BC6B56"/>
    <w:rsid w:val="00BC6C55"/>
    <w:rsid w:val="00BC6F36"/>
    <w:rsid w:val="00BC70FA"/>
    <w:rsid w:val="00BC736A"/>
    <w:rsid w:val="00BC73E7"/>
    <w:rsid w:val="00BC7BD5"/>
    <w:rsid w:val="00BC7D81"/>
    <w:rsid w:val="00BD0034"/>
    <w:rsid w:val="00BD01C0"/>
    <w:rsid w:val="00BD0514"/>
    <w:rsid w:val="00BD0614"/>
    <w:rsid w:val="00BD0791"/>
    <w:rsid w:val="00BD08FA"/>
    <w:rsid w:val="00BD0934"/>
    <w:rsid w:val="00BD0B6F"/>
    <w:rsid w:val="00BD0BCA"/>
    <w:rsid w:val="00BD0C54"/>
    <w:rsid w:val="00BD0DE7"/>
    <w:rsid w:val="00BD1093"/>
    <w:rsid w:val="00BD112D"/>
    <w:rsid w:val="00BD12D3"/>
    <w:rsid w:val="00BD1426"/>
    <w:rsid w:val="00BD18F4"/>
    <w:rsid w:val="00BD1DA8"/>
    <w:rsid w:val="00BD2054"/>
    <w:rsid w:val="00BD2183"/>
    <w:rsid w:val="00BD2223"/>
    <w:rsid w:val="00BD2235"/>
    <w:rsid w:val="00BD25B3"/>
    <w:rsid w:val="00BD2856"/>
    <w:rsid w:val="00BD28FD"/>
    <w:rsid w:val="00BD303E"/>
    <w:rsid w:val="00BD30D8"/>
    <w:rsid w:val="00BD30F3"/>
    <w:rsid w:val="00BD3595"/>
    <w:rsid w:val="00BD38ED"/>
    <w:rsid w:val="00BD398B"/>
    <w:rsid w:val="00BD3B26"/>
    <w:rsid w:val="00BD3C78"/>
    <w:rsid w:val="00BD42AD"/>
    <w:rsid w:val="00BD458E"/>
    <w:rsid w:val="00BD4A92"/>
    <w:rsid w:val="00BD4ADE"/>
    <w:rsid w:val="00BD4AE4"/>
    <w:rsid w:val="00BD4C59"/>
    <w:rsid w:val="00BD507D"/>
    <w:rsid w:val="00BD525C"/>
    <w:rsid w:val="00BD5613"/>
    <w:rsid w:val="00BD5D4A"/>
    <w:rsid w:val="00BD5E0F"/>
    <w:rsid w:val="00BD60C3"/>
    <w:rsid w:val="00BD6513"/>
    <w:rsid w:val="00BD690C"/>
    <w:rsid w:val="00BD707D"/>
    <w:rsid w:val="00BD75FA"/>
    <w:rsid w:val="00BD776D"/>
    <w:rsid w:val="00BD779C"/>
    <w:rsid w:val="00BD7817"/>
    <w:rsid w:val="00BD7C34"/>
    <w:rsid w:val="00BE01A4"/>
    <w:rsid w:val="00BE01B3"/>
    <w:rsid w:val="00BE06AF"/>
    <w:rsid w:val="00BE071F"/>
    <w:rsid w:val="00BE07B0"/>
    <w:rsid w:val="00BE0883"/>
    <w:rsid w:val="00BE0994"/>
    <w:rsid w:val="00BE0BE4"/>
    <w:rsid w:val="00BE0EF4"/>
    <w:rsid w:val="00BE1192"/>
    <w:rsid w:val="00BE1441"/>
    <w:rsid w:val="00BE15C0"/>
    <w:rsid w:val="00BE1735"/>
    <w:rsid w:val="00BE1959"/>
    <w:rsid w:val="00BE1CAD"/>
    <w:rsid w:val="00BE21CB"/>
    <w:rsid w:val="00BE22C0"/>
    <w:rsid w:val="00BE2362"/>
    <w:rsid w:val="00BE29C3"/>
    <w:rsid w:val="00BE29D1"/>
    <w:rsid w:val="00BE2A46"/>
    <w:rsid w:val="00BE2AE8"/>
    <w:rsid w:val="00BE31CF"/>
    <w:rsid w:val="00BE321B"/>
    <w:rsid w:val="00BE3366"/>
    <w:rsid w:val="00BE338E"/>
    <w:rsid w:val="00BE354A"/>
    <w:rsid w:val="00BE35EF"/>
    <w:rsid w:val="00BE36C5"/>
    <w:rsid w:val="00BE3867"/>
    <w:rsid w:val="00BE3934"/>
    <w:rsid w:val="00BE3A35"/>
    <w:rsid w:val="00BE3FE4"/>
    <w:rsid w:val="00BE40DE"/>
    <w:rsid w:val="00BE4650"/>
    <w:rsid w:val="00BE4692"/>
    <w:rsid w:val="00BE4A5A"/>
    <w:rsid w:val="00BE4A87"/>
    <w:rsid w:val="00BE4BBF"/>
    <w:rsid w:val="00BE4C46"/>
    <w:rsid w:val="00BE4EE9"/>
    <w:rsid w:val="00BE4FD3"/>
    <w:rsid w:val="00BE4FED"/>
    <w:rsid w:val="00BE5523"/>
    <w:rsid w:val="00BE5B74"/>
    <w:rsid w:val="00BE5E53"/>
    <w:rsid w:val="00BE6351"/>
    <w:rsid w:val="00BE6419"/>
    <w:rsid w:val="00BE6753"/>
    <w:rsid w:val="00BE6784"/>
    <w:rsid w:val="00BE67C2"/>
    <w:rsid w:val="00BE6B85"/>
    <w:rsid w:val="00BE6E0B"/>
    <w:rsid w:val="00BE6F3C"/>
    <w:rsid w:val="00BE6FA6"/>
    <w:rsid w:val="00BE7201"/>
    <w:rsid w:val="00BE72D7"/>
    <w:rsid w:val="00BE72EB"/>
    <w:rsid w:val="00BE74AF"/>
    <w:rsid w:val="00BE753F"/>
    <w:rsid w:val="00BE764C"/>
    <w:rsid w:val="00BE78C0"/>
    <w:rsid w:val="00BE7ADC"/>
    <w:rsid w:val="00BE7BEF"/>
    <w:rsid w:val="00BE7F53"/>
    <w:rsid w:val="00BE7F7E"/>
    <w:rsid w:val="00BE7FDB"/>
    <w:rsid w:val="00BF0165"/>
    <w:rsid w:val="00BF01C7"/>
    <w:rsid w:val="00BF0AE4"/>
    <w:rsid w:val="00BF0D98"/>
    <w:rsid w:val="00BF1322"/>
    <w:rsid w:val="00BF1540"/>
    <w:rsid w:val="00BF17B7"/>
    <w:rsid w:val="00BF1899"/>
    <w:rsid w:val="00BF18E1"/>
    <w:rsid w:val="00BF1A9B"/>
    <w:rsid w:val="00BF1C22"/>
    <w:rsid w:val="00BF2117"/>
    <w:rsid w:val="00BF21D0"/>
    <w:rsid w:val="00BF2331"/>
    <w:rsid w:val="00BF2464"/>
    <w:rsid w:val="00BF2572"/>
    <w:rsid w:val="00BF2DB3"/>
    <w:rsid w:val="00BF321F"/>
    <w:rsid w:val="00BF3796"/>
    <w:rsid w:val="00BF39FC"/>
    <w:rsid w:val="00BF3C36"/>
    <w:rsid w:val="00BF3C66"/>
    <w:rsid w:val="00BF3CA6"/>
    <w:rsid w:val="00BF3F56"/>
    <w:rsid w:val="00BF41CD"/>
    <w:rsid w:val="00BF41ED"/>
    <w:rsid w:val="00BF471C"/>
    <w:rsid w:val="00BF48CA"/>
    <w:rsid w:val="00BF49F7"/>
    <w:rsid w:val="00BF5430"/>
    <w:rsid w:val="00BF5576"/>
    <w:rsid w:val="00BF56A5"/>
    <w:rsid w:val="00BF56CA"/>
    <w:rsid w:val="00BF5729"/>
    <w:rsid w:val="00BF573B"/>
    <w:rsid w:val="00BF5895"/>
    <w:rsid w:val="00BF5F11"/>
    <w:rsid w:val="00BF5FBC"/>
    <w:rsid w:val="00BF61D8"/>
    <w:rsid w:val="00BF6338"/>
    <w:rsid w:val="00BF64C5"/>
    <w:rsid w:val="00BF6573"/>
    <w:rsid w:val="00BF6819"/>
    <w:rsid w:val="00BF6922"/>
    <w:rsid w:val="00BF6E19"/>
    <w:rsid w:val="00BF6F38"/>
    <w:rsid w:val="00BF795F"/>
    <w:rsid w:val="00BF79E7"/>
    <w:rsid w:val="00BF7BC9"/>
    <w:rsid w:val="00C0057C"/>
    <w:rsid w:val="00C00AF9"/>
    <w:rsid w:val="00C00F66"/>
    <w:rsid w:val="00C00F9D"/>
    <w:rsid w:val="00C010CE"/>
    <w:rsid w:val="00C015CC"/>
    <w:rsid w:val="00C01A1F"/>
    <w:rsid w:val="00C01AB8"/>
    <w:rsid w:val="00C01B9C"/>
    <w:rsid w:val="00C01D5B"/>
    <w:rsid w:val="00C024CA"/>
    <w:rsid w:val="00C027D9"/>
    <w:rsid w:val="00C02BB8"/>
    <w:rsid w:val="00C02F0F"/>
    <w:rsid w:val="00C02F52"/>
    <w:rsid w:val="00C03019"/>
    <w:rsid w:val="00C0337B"/>
    <w:rsid w:val="00C03415"/>
    <w:rsid w:val="00C034C2"/>
    <w:rsid w:val="00C0353D"/>
    <w:rsid w:val="00C0374B"/>
    <w:rsid w:val="00C037DE"/>
    <w:rsid w:val="00C0392E"/>
    <w:rsid w:val="00C03CF9"/>
    <w:rsid w:val="00C04063"/>
    <w:rsid w:val="00C044F9"/>
    <w:rsid w:val="00C0473D"/>
    <w:rsid w:val="00C048DE"/>
    <w:rsid w:val="00C05196"/>
    <w:rsid w:val="00C05627"/>
    <w:rsid w:val="00C0575A"/>
    <w:rsid w:val="00C05774"/>
    <w:rsid w:val="00C058A4"/>
    <w:rsid w:val="00C05DA4"/>
    <w:rsid w:val="00C05E90"/>
    <w:rsid w:val="00C062AB"/>
    <w:rsid w:val="00C06987"/>
    <w:rsid w:val="00C0698D"/>
    <w:rsid w:val="00C06C49"/>
    <w:rsid w:val="00C06DB0"/>
    <w:rsid w:val="00C070E5"/>
    <w:rsid w:val="00C07319"/>
    <w:rsid w:val="00C073B8"/>
    <w:rsid w:val="00C0745F"/>
    <w:rsid w:val="00C07628"/>
    <w:rsid w:val="00C07B56"/>
    <w:rsid w:val="00C07EA4"/>
    <w:rsid w:val="00C07EF7"/>
    <w:rsid w:val="00C07FB9"/>
    <w:rsid w:val="00C1008E"/>
    <w:rsid w:val="00C100DE"/>
    <w:rsid w:val="00C102D0"/>
    <w:rsid w:val="00C103B2"/>
    <w:rsid w:val="00C10937"/>
    <w:rsid w:val="00C10979"/>
    <w:rsid w:val="00C10A5B"/>
    <w:rsid w:val="00C10B80"/>
    <w:rsid w:val="00C10C24"/>
    <w:rsid w:val="00C10DBF"/>
    <w:rsid w:val="00C1145B"/>
    <w:rsid w:val="00C11662"/>
    <w:rsid w:val="00C11944"/>
    <w:rsid w:val="00C11DDA"/>
    <w:rsid w:val="00C11EC5"/>
    <w:rsid w:val="00C11F91"/>
    <w:rsid w:val="00C11FCD"/>
    <w:rsid w:val="00C120C9"/>
    <w:rsid w:val="00C12114"/>
    <w:rsid w:val="00C122C6"/>
    <w:rsid w:val="00C124CC"/>
    <w:rsid w:val="00C12695"/>
    <w:rsid w:val="00C127AA"/>
    <w:rsid w:val="00C1295E"/>
    <w:rsid w:val="00C132DA"/>
    <w:rsid w:val="00C13816"/>
    <w:rsid w:val="00C13FBD"/>
    <w:rsid w:val="00C1439E"/>
    <w:rsid w:val="00C14736"/>
    <w:rsid w:val="00C1473E"/>
    <w:rsid w:val="00C14CF5"/>
    <w:rsid w:val="00C14DFF"/>
    <w:rsid w:val="00C1503C"/>
    <w:rsid w:val="00C15119"/>
    <w:rsid w:val="00C151CF"/>
    <w:rsid w:val="00C1523D"/>
    <w:rsid w:val="00C152B1"/>
    <w:rsid w:val="00C153D0"/>
    <w:rsid w:val="00C1544A"/>
    <w:rsid w:val="00C15769"/>
    <w:rsid w:val="00C159F8"/>
    <w:rsid w:val="00C15BC6"/>
    <w:rsid w:val="00C15EED"/>
    <w:rsid w:val="00C1647B"/>
    <w:rsid w:val="00C1649C"/>
    <w:rsid w:val="00C166A4"/>
    <w:rsid w:val="00C16AC5"/>
    <w:rsid w:val="00C17175"/>
    <w:rsid w:val="00C17313"/>
    <w:rsid w:val="00C174D1"/>
    <w:rsid w:val="00C17572"/>
    <w:rsid w:val="00C17DB3"/>
    <w:rsid w:val="00C2066D"/>
    <w:rsid w:val="00C2098B"/>
    <w:rsid w:val="00C20A40"/>
    <w:rsid w:val="00C20ADF"/>
    <w:rsid w:val="00C20C6C"/>
    <w:rsid w:val="00C20EA4"/>
    <w:rsid w:val="00C218BD"/>
    <w:rsid w:val="00C21A18"/>
    <w:rsid w:val="00C21D63"/>
    <w:rsid w:val="00C22158"/>
    <w:rsid w:val="00C22228"/>
    <w:rsid w:val="00C22733"/>
    <w:rsid w:val="00C227A4"/>
    <w:rsid w:val="00C228D5"/>
    <w:rsid w:val="00C22ABB"/>
    <w:rsid w:val="00C22C33"/>
    <w:rsid w:val="00C22DC2"/>
    <w:rsid w:val="00C22F55"/>
    <w:rsid w:val="00C230B9"/>
    <w:rsid w:val="00C2326C"/>
    <w:rsid w:val="00C2354A"/>
    <w:rsid w:val="00C2355D"/>
    <w:rsid w:val="00C239A8"/>
    <w:rsid w:val="00C23BAD"/>
    <w:rsid w:val="00C24482"/>
    <w:rsid w:val="00C247A3"/>
    <w:rsid w:val="00C2488B"/>
    <w:rsid w:val="00C24A06"/>
    <w:rsid w:val="00C24ED0"/>
    <w:rsid w:val="00C24FB7"/>
    <w:rsid w:val="00C24FC5"/>
    <w:rsid w:val="00C252AC"/>
    <w:rsid w:val="00C252D8"/>
    <w:rsid w:val="00C254F9"/>
    <w:rsid w:val="00C255B5"/>
    <w:rsid w:val="00C25857"/>
    <w:rsid w:val="00C25895"/>
    <w:rsid w:val="00C25949"/>
    <w:rsid w:val="00C25A2B"/>
    <w:rsid w:val="00C25E99"/>
    <w:rsid w:val="00C2603E"/>
    <w:rsid w:val="00C262A8"/>
    <w:rsid w:val="00C265D3"/>
    <w:rsid w:val="00C26769"/>
    <w:rsid w:val="00C26816"/>
    <w:rsid w:val="00C2683C"/>
    <w:rsid w:val="00C26B46"/>
    <w:rsid w:val="00C26B4E"/>
    <w:rsid w:val="00C26B6B"/>
    <w:rsid w:val="00C26BCC"/>
    <w:rsid w:val="00C26BFF"/>
    <w:rsid w:val="00C26D28"/>
    <w:rsid w:val="00C26F00"/>
    <w:rsid w:val="00C26F52"/>
    <w:rsid w:val="00C2722E"/>
    <w:rsid w:val="00C2737C"/>
    <w:rsid w:val="00C27B06"/>
    <w:rsid w:val="00C27FB5"/>
    <w:rsid w:val="00C30056"/>
    <w:rsid w:val="00C303BB"/>
    <w:rsid w:val="00C30627"/>
    <w:rsid w:val="00C30632"/>
    <w:rsid w:val="00C30688"/>
    <w:rsid w:val="00C3078E"/>
    <w:rsid w:val="00C30833"/>
    <w:rsid w:val="00C308B2"/>
    <w:rsid w:val="00C30A19"/>
    <w:rsid w:val="00C30AD6"/>
    <w:rsid w:val="00C30D6F"/>
    <w:rsid w:val="00C30FE8"/>
    <w:rsid w:val="00C31161"/>
    <w:rsid w:val="00C31429"/>
    <w:rsid w:val="00C31563"/>
    <w:rsid w:val="00C31C2D"/>
    <w:rsid w:val="00C32066"/>
    <w:rsid w:val="00C32462"/>
    <w:rsid w:val="00C32645"/>
    <w:rsid w:val="00C32882"/>
    <w:rsid w:val="00C32B09"/>
    <w:rsid w:val="00C3305C"/>
    <w:rsid w:val="00C33803"/>
    <w:rsid w:val="00C338B5"/>
    <w:rsid w:val="00C3393B"/>
    <w:rsid w:val="00C3407D"/>
    <w:rsid w:val="00C34545"/>
    <w:rsid w:val="00C34574"/>
    <w:rsid w:val="00C346BC"/>
    <w:rsid w:val="00C348C3"/>
    <w:rsid w:val="00C34920"/>
    <w:rsid w:val="00C34CEB"/>
    <w:rsid w:val="00C34DCC"/>
    <w:rsid w:val="00C34DE3"/>
    <w:rsid w:val="00C34F3B"/>
    <w:rsid w:val="00C350FF"/>
    <w:rsid w:val="00C35294"/>
    <w:rsid w:val="00C3566F"/>
    <w:rsid w:val="00C356FF"/>
    <w:rsid w:val="00C35801"/>
    <w:rsid w:val="00C35851"/>
    <w:rsid w:val="00C35A7A"/>
    <w:rsid w:val="00C35AA9"/>
    <w:rsid w:val="00C35C06"/>
    <w:rsid w:val="00C35F61"/>
    <w:rsid w:val="00C35F63"/>
    <w:rsid w:val="00C36235"/>
    <w:rsid w:val="00C36335"/>
    <w:rsid w:val="00C36673"/>
    <w:rsid w:val="00C367E4"/>
    <w:rsid w:val="00C36946"/>
    <w:rsid w:val="00C36BF3"/>
    <w:rsid w:val="00C37089"/>
    <w:rsid w:val="00C3728A"/>
    <w:rsid w:val="00C37518"/>
    <w:rsid w:val="00C37785"/>
    <w:rsid w:val="00C37909"/>
    <w:rsid w:val="00C379B9"/>
    <w:rsid w:val="00C37B34"/>
    <w:rsid w:val="00C37C1B"/>
    <w:rsid w:val="00C37D43"/>
    <w:rsid w:val="00C37EDD"/>
    <w:rsid w:val="00C40096"/>
    <w:rsid w:val="00C40163"/>
    <w:rsid w:val="00C402B9"/>
    <w:rsid w:val="00C402D3"/>
    <w:rsid w:val="00C404BE"/>
    <w:rsid w:val="00C40609"/>
    <w:rsid w:val="00C40822"/>
    <w:rsid w:val="00C40F2F"/>
    <w:rsid w:val="00C41247"/>
    <w:rsid w:val="00C41311"/>
    <w:rsid w:val="00C41491"/>
    <w:rsid w:val="00C417B8"/>
    <w:rsid w:val="00C42011"/>
    <w:rsid w:val="00C420FD"/>
    <w:rsid w:val="00C42158"/>
    <w:rsid w:val="00C425AC"/>
    <w:rsid w:val="00C42ABD"/>
    <w:rsid w:val="00C42F6A"/>
    <w:rsid w:val="00C432A0"/>
    <w:rsid w:val="00C43517"/>
    <w:rsid w:val="00C435F4"/>
    <w:rsid w:val="00C4369B"/>
    <w:rsid w:val="00C438FD"/>
    <w:rsid w:val="00C4397E"/>
    <w:rsid w:val="00C43A95"/>
    <w:rsid w:val="00C43BC9"/>
    <w:rsid w:val="00C43E52"/>
    <w:rsid w:val="00C43F31"/>
    <w:rsid w:val="00C44087"/>
    <w:rsid w:val="00C44117"/>
    <w:rsid w:val="00C44327"/>
    <w:rsid w:val="00C443E5"/>
    <w:rsid w:val="00C44BAA"/>
    <w:rsid w:val="00C44C53"/>
    <w:rsid w:val="00C44D79"/>
    <w:rsid w:val="00C44EBA"/>
    <w:rsid w:val="00C44FC4"/>
    <w:rsid w:val="00C44FDB"/>
    <w:rsid w:val="00C45043"/>
    <w:rsid w:val="00C45314"/>
    <w:rsid w:val="00C45673"/>
    <w:rsid w:val="00C45731"/>
    <w:rsid w:val="00C4590D"/>
    <w:rsid w:val="00C459BC"/>
    <w:rsid w:val="00C45A09"/>
    <w:rsid w:val="00C461B5"/>
    <w:rsid w:val="00C46449"/>
    <w:rsid w:val="00C46505"/>
    <w:rsid w:val="00C4655E"/>
    <w:rsid w:val="00C46599"/>
    <w:rsid w:val="00C465B2"/>
    <w:rsid w:val="00C46936"/>
    <w:rsid w:val="00C46A51"/>
    <w:rsid w:val="00C46DBA"/>
    <w:rsid w:val="00C4729D"/>
    <w:rsid w:val="00C475CC"/>
    <w:rsid w:val="00C47691"/>
    <w:rsid w:val="00C47881"/>
    <w:rsid w:val="00C47B4B"/>
    <w:rsid w:val="00C47DBD"/>
    <w:rsid w:val="00C47E1C"/>
    <w:rsid w:val="00C47F29"/>
    <w:rsid w:val="00C50093"/>
    <w:rsid w:val="00C50227"/>
    <w:rsid w:val="00C50734"/>
    <w:rsid w:val="00C50850"/>
    <w:rsid w:val="00C50927"/>
    <w:rsid w:val="00C509B9"/>
    <w:rsid w:val="00C50AF0"/>
    <w:rsid w:val="00C50BB6"/>
    <w:rsid w:val="00C50C8C"/>
    <w:rsid w:val="00C50CCD"/>
    <w:rsid w:val="00C50DDA"/>
    <w:rsid w:val="00C511A2"/>
    <w:rsid w:val="00C51210"/>
    <w:rsid w:val="00C51517"/>
    <w:rsid w:val="00C51560"/>
    <w:rsid w:val="00C515B0"/>
    <w:rsid w:val="00C518AF"/>
    <w:rsid w:val="00C51B03"/>
    <w:rsid w:val="00C51D41"/>
    <w:rsid w:val="00C51DD5"/>
    <w:rsid w:val="00C51F10"/>
    <w:rsid w:val="00C51F79"/>
    <w:rsid w:val="00C523F6"/>
    <w:rsid w:val="00C526F2"/>
    <w:rsid w:val="00C532A3"/>
    <w:rsid w:val="00C53363"/>
    <w:rsid w:val="00C53544"/>
    <w:rsid w:val="00C535C2"/>
    <w:rsid w:val="00C535F6"/>
    <w:rsid w:val="00C537CF"/>
    <w:rsid w:val="00C53801"/>
    <w:rsid w:val="00C53982"/>
    <w:rsid w:val="00C53BFE"/>
    <w:rsid w:val="00C53E17"/>
    <w:rsid w:val="00C53FBA"/>
    <w:rsid w:val="00C54107"/>
    <w:rsid w:val="00C54155"/>
    <w:rsid w:val="00C541CE"/>
    <w:rsid w:val="00C5436E"/>
    <w:rsid w:val="00C54B13"/>
    <w:rsid w:val="00C54EE0"/>
    <w:rsid w:val="00C54F4F"/>
    <w:rsid w:val="00C55085"/>
    <w:rsid w:val="00C5533D"/>
    <w:rsid w:val="00C553C4"/>
    <w:rsid w:val="00C55990"/>
    <w:rsid w:val="00C55B14"/>
    <w:rsid w:val="00C55D6C"/>
    <w:rsid w:val="00C55E50"/>
    <w:rsid w:val="00C56041"/>
    <w:rsid w:val="00C562F0"/>
    <w:rsid w:val="00C5637C"/>
    <w:rsid w:val="00C565B9"/>
    <w:rsid w:val="00C5677E"/>
    <w:rsid w:val="00C56A9A"/>
    <w:rsid w:val="00C56B5C"/>
    <w:rsid w:val="00C56B99"/>
    <w:rsid w:val="00C56BEF"/>
    <w:rsid w:val="00C56E94"/>
    <w:rsid w:val="00C56FBD"/>
    <w:rsid w:val="00C5706C"/>
    <w:rsid w:val="00C57111"/>
    <w:rsid w:val="00C571DB"/>
    <w:rsid w:val="00C5743E"/>
    <w:rsid w:val="00C57793"/>
    <w:rsid w:val="00C57B1C"/>
    <w:rsid w:val="00C60465"/>
    <w:rsid w:val="00C608A3"/>
    <w:rsid w:val="00C61042"/>
    <w:rsid w:val="00C6105E"/>
    <w:rsid w:val="00C612EF"/>
    <w:rsid w:val="00C61469"/>
    <w:rsid w:val="00C616F7"/>
    <w:rsid w:val="00C61A15"/>
    <w:rsid w:val="00C61C99"/>
    <w:rsid w:val="00C61CCE"/>
    <w:rsid w:val="00C61D29"/>
    <w:rsid w:val="00C61DD6"/>
    <w:rsid w:val="00C61ED1"/>
    <w:rsid w:val="00C61FA0"/>
    <w:rsid w:val="00C62022"/>
    <w:rsid w:val="00C62031"/>
    <w:rsid w:val="00C621A1"/>
    <w:rsid w:val="00C621B6"/>
    <w:rsid w:val="00C6224F"/>
    <w:rsid w:val="00C625BC"/>
    <w:rsid w:val="00C625F7"/>
    <w:rsid w:val="00C62884"/>
    <w:rsid w:val="00C62C88"/>
    <w:rsid w:val="00C62C8D"/>
    <w:rsid w:val="00C62E94"/>
    <w:rsid w:val="00C6314D"/>
    <w:rsid w:val="00C632A8"/>
    <w:rsid w:val="00C63479"/>
    <w:rsid w:val="00C638B3"/>
    <w:rsid w:val="00C63949"/>
    <w:rsid w:val="00C6409D"/>
    <w:rsid w:val="00C64430"/>
    <w:rsid w:val="00C644CA"/>
    <w:rsid w:val="00C64586"/>
    <w:rsid w:val="00C64767"/>
    <w:rsid w:val="00C648B0"/>
    <w:rsid w:val="00C64D5B"/>
    <w:rsid w:val="00C6525E"/>
    <w:rsid w:val="00C652E9"/>
    <w:rsid w:val="00C65490"/>
    <w:rsid w:val="00C6557D"/>
    <w:rsid w:val="00C655A7"/>
    <w:rsid w:val="00C65767"/>
    <w:rsid w:val="00C65D69"/>
    <w:rsid w:val="00C65F96"/>
    <w:rsid w:val="00C660DC"/>
    <w:rsid w:val="00C66334"/>
    <w:rsid w:val="00C665D7"/>
    <w:rsid w:val="00C66745"/>
    <w:rsid w:val="00C66CF0"/>
    <w:rsid w:val="00C67127"/>
    <w:rsid w:val="00C6723A"/>
    <w:rsid w:val="00C67389"/>
    <w:rsid w:val="00C67475"/>
    <w:rsid w:val="00C674A3"/>
    <w:rsid w:val="00C675EC"/>
    <w:rsid w:val="00C6760E"/>
    <w:rsid w:val="00C67A8F"/>
    <w:rsid w:val="00C67BA6"/>
    <w:rsid w:val="00C67BC3"/>
    <w:rsid w:val="00C67CBC"/>
    <w:rsid w:val="00C67CC4"/>
    <w:rsid w:val="00C67D70"/>
    <w:rsid w:val="00C67F02"/>
    <w:rsid w:val="00C7006B"/>
    <w:rsid w:val="00C70327"/>
    <w:rsid w:val="00C7032B"/>
    <w:rsid w:val="00C70333"/>
    <w:rsid w:val="00C70550"/>
    <w:rsid w:val="00C70902"/>
    <w:rsid w:val="00C70A16"/>
    <w:rsid w:val="00C70CB4"/>
    <w:rsid w:val="00C70E5D"/>
    <w:rsid w:val="00C70F03"/>
    <w:rsid w:val="00C711C2"/>
    <w:rsid w:val="00C71381"/>
    <w:rsid w:val="00C71581"/>
    <w:rsid w:val="00C716C9"/>
    <w:rsid w:val="00C719C3"/>
    <w:rsid w:val="00C71A6B"/>
    <w:rsid w:val="00C71DD7"/>
    <w:rsid w:val="00C723D8"/>
    <w:rsid w:val="00C72442"/>
    <w:rsid w:val="00C726F9"/>
    <w:rsid w:val="00C72726"/>
    <w:rsid w:val="00C727E2"/>
    <w:rsid w:val="00C72815"/>
    <w:rsid w:val="00C72B4F"/>
    <w:rsid w:val="00C73204"/>
    <w:rsid w:val="00C73289"/>
    <w:rsid w:val="00C7364E"/>
    <w:rsid w:val="00C736B5"/>
    <w:rsid w:val="00C737D0"/>
    <w:rsid w:val="00C73AF9"/>
    <w:rsid w:val="00C73BA1"/>
    <w:rsid w:val="00C73EE9"/>
    <w:rsid w:val="00C741BA"/>
    <w:rsid w:val="00C747BE"/>
    <w:rsid w:val="00C74A25"/>
    <w:rsid w:val="00C74C38"/>
    <w:rsid w:val="00C75229"/>
    <w:rsid w:val="00C7580A"/>
    <w:rsid w:val="00C75CE4"/>
    <w:rsid w:val="00C75DC2"/>
    <w:rsid w:val="00C760EA"/>
    <w:rsid w:val="00C76135"/>
    <w:rsid w:val="00C7640F"/>
    <w:rsid w:val="00C7653C"/>
    <w:rsid w:val="00C766C8"/>
    <w:rsid w:val="00C769C6"/>
    <w:rsid w:val="00C76E8D"/>
    <w:rsid w:val="00C76ED0"/>
    <w:rsid w:val="00C7700B"/>
    <w:rsid w:val="00C770C8"/>
    <w:rsid w:val="00C77144"/>
    <w:rsid w:val="00C77183"/>
    <w:rsid w:val="00C771EE"/>
    <w:rsid w:val="00C775AF"/>
    <w:rsid w:val="00C77790"/>
    <w:rsid w:val="00C778C2"/>
    <w:rsid w:val="00C77A2E"/>
    <w:rsid w:val="00C77A90"/>
    <w:rsid w:val="00C77E53"/>
    <w:rsid w:val="00C80024"/>
    <w:rsid w:val="00C80318"/>
    <w:rsid w:val="00C804AD"/>
    <w:rsid w:val="00C804E3"/>
    <w:rsid w:val="00C806D3"/>
    <w:rsid w:val="00C8073A"/>
    <w:rsid w:val="00C80A34"/>
    <w:rsid w:val="00C80BB8"/>
    <w:rsid w:val="00C80BFB"/>
    <w:rsid w:val="00C80C37"/>
    <w:rsid w:val="00C80C79"/>
    <w:rsid w:val="00C80C9A"/>
    <w:rsid w:val="00C80CF1"/>
    <w:rsid w:val="00C80F5C"/>
    <w:rsid w:val="00C81010"/>
    <w:rsid w:val="00C813A8"/>
    <w:rsid w:val="00C813C5"/>
    <w:rsid w:val="00C815C2"/>
    <w:rsid w:val="00C81CC7"/>
    <w:rsid w:val="00C81EC1"/>
    <w:rsid w:val="00C8231F"/>
    <w:rsid w:val="00C824F7"/>
    <w:rsid w:val="00C82BD5"/>
    <w:rsid w:val="00C82E29"/>
    <w:rsid w:val="00C82E92"/>
    <w:rsid w:val="00C82FFB"/>
    <w:rsid w:val="00C833FD"/>
    <w:rsid w:val="00C8352C"/>
    <w:rsid w:val="00C83A1C"/>
    <w:rsid w:val="00C83AC5"/>
    <w:rsid w:val="00C83BE9"/>
    <w:rsid w:val="00C83CE0"/>
    <w:rsid w:val="00C83CEB"/>
    <w:rsid w:val="00C83FC9"/>
    <w:rsid w:val="00C8450E"/>
    <w:rsid w:val="00C845D9"/>
    <w:rsid w:val="00C845FC"/>
    <w:rsid w:val="00C84660"/>
    <w:rsid w:val="00C84838"/>
    <w:rsid w:val="00C84868"/>
    <w:rsid w:val="00C8492C"/>
    <w:rsid w:val="00C849B8"/>
    <w:rsid w:val="00C85181"/>
    <w:rsid w:val="00C85269"/>
    <w:rsid w:val="00C85290"/>
    <w:rsid w:val="00C85471"/>
    <w:rsid w:val="00C854DA"/>
    <w:rsid w:val="00C857A1"/>
    <w:rsid w:val="00C85A28"/>
    <w:rsid w:val="00C85CBB"/>
    <w:rsid w:val="00C85D86"/>
    <w:rsid w:val="00C85EAD"/>
    <w:rsid w:val="00C860B4"/>
    <w:rsid w:val="00C861FC"/>
    <w:rsid w:val="00C8659B"/>
    <w:rsid w:val="00C86CD7"/>
    <w:rsid w:val="00C86E36"/>
    <w:rsid w:val="00C86F06"/>
    <w:rsid w:val="00C8747E"/>
    <w:rsid w:val="00C879CA"/>
    <w:rsid w:val="00C87AA8"/>
    <w:rsid w:val="00C87B40"/>
    <w:rsid w:val="00C87CE1"/>
    <w:rsid w:val="00C87DE6"/>
    <w:rsid w:val="00C87F06"/>
    <w:rsid w:val="00C87FEC"/>
    <w:rsid w:val="00C9021A"/>
    <w:rsid w:val="00C9026E"/>
    <w:rsid w:val="00C902AF"/>
    <w:rsid w:val="00C90407"/>
    <w:rsid w:val="00C904C8"/>
    <w:rsid w:val="00C90845"/>
    <w:rsid w:val="00C90C8C"/>
    <w:rsid w:val="00C9136D"/>
    <w:rsid w:val="00C915DE"/>
    <w:rsid w:val="00C919F5"/>
    <w:rsid w:val="00C92571"/>
    <w:rsid w:val="00C929DA"/>
    <w:rsid w:val="00C92C96"/>
    <w:rsid w:val="00C92D04"/>
    <w:rsid w:val="00C92D75"/>
    <w:rsid w:val="00C92E01"/>
    <w:rsid w:val="00C92E5B"/>
    <w:rsid w:val="00C92F95"/>
    <w:rsid w:val="00C93109"/>
    <w:rsid w:val="00C936C0"/>
    <w:rsid w:val="00C9398D"/>
    <w:rsid w:val="00C93CB7"/>
    <w:rsid w:val="00C93E4E"/>
    <w:rsid w:val="00C94056"/>
    <w:rsid w:val="00C941B3"/>
    <w:rsid w:val="00C9425D"/>
    <w:rsid w:val="00C94286"/>
    <w:rsid w:val="00C9447A"/>
    <w:rsid w:val="00C94603"/>
    <w:rsid w:val="00C94698"/>
    <w:rsid w:val="00C94AE5"/>
    <w:rsid w:val="00C94B1A"/>
    <w:rsid w:val="00C94C76"/>
    <w:rsid w:val="00C94E49"/>
    <w:rsid w:val="00C94F34"/>
    <w:rsid w:val="00C94FBC"/>
    <w:rsid w:val="00C953BE"/>
    <w:rsid w:val="00C95661"/>
    <w:rsid w:val="00C95730"/>
    <w:rsid w:val="00C9588E"/>
    <w:rsid w:val="00C9599A"/>
    <w:rsid w:val="00C95A08"/>
    <w:rsid w:val="00C95E74"/>
    <w:rsid w:val="00C95F3B"/>
    <w:rsid w:val="00C95F96"/>
    <w:rsid w:val="00C96661"/>
    <w:rsid w:val="00C9682D"/>
    <w:rsid w:val="00C968BD"/>
    <w:rsid w:val="00C96ADC"/>
    <w:rsid w:val="00C96C79"/>
    <w:rsid w:val="00C96F34"/>
    <w:rsid w:val="00C971AF"/>
    <w:rsid w:val="00C97213"/>
    <w:rsid w:val="00C9727A"/>
    <w:rsid w:val="00C975CC"/>
    <w:rsid w:val="00C97D50"/>
    <w:rsid w:val="00C97F1D"/>
    <w:rsid w:val="00C97F75"/>
    <w:rsid w:val="00CA0052"/>
    <w:rsid w:val="00CA0189"/>
    <w:rsid w:val="00CA0407"/>
    <w:rsid w:val="00CA0513"/>
    <w:rsid w:val="00CA06BA"/>
    <w:rsid w:val="00CA08DA"/>
    <w:rsid w:val="00CA0A69"/>
    <w:rsid w:val="00CA0D51"/>
    <w:rsid w:val="00CA0FD4"/>
    <w:rsid w:val="00CA1247"/>
    <w:rsid w:val="00CA1349"/>
    <w:rsid w:val="00CA1609"/>
    <w:rsid w:val="00CA16B2"/>
    <w:rsid w:val="00CA16E3"/>
    <w:rsid w:val="00CA1A12"/>
    <w:rsid w:val="00CA1B83"/>
    <w:rsid w:val="00CA1FEE"/>
    <w:rsid w:val="00CA204C"/>
    <w:rsid w:val="00CA215B"/>
    <w:rsid w:val="00CA21F2"/>
    <w:rsid w:val="00CA2213"/>
    <w:rsid w:val="00CA223F"/>
    <w:rsid w:val="00CA22A4"/>
    <w:rsid w:val="00CA252C"/>
    <w:rsid w:val="00CA26C8"/>
    <w:rsid w:val="00CA2736"/>
    <w:rsid w:val="00CA275A"/>
    <w:rsid w:val="00CA2892"/>
    <w:rsid w:val="00CA2B65"/>
    <w:rsid w:val="00CA2E1B"/>
    <w:rsid w:val="00CA2F3F"/>
    <w:rsid w:val="00CA324D"/>
    <w:rsid w:val="00CA3612"/>
    <w:rsid w:val="00CA3759"/>
    <w:rsid w:val="00CA38F4"/>
    <w:rsid w:val="00CA3D0C"/>
    <w:rsid w:val="00CA3DF5"/>
    <w:rsid w:val="00CA3FFC"/>
    <w:rsid w:val="00CA40DA"/>
    <w:rsid w:val="00CA4A7D"/>
    <w:rsid w:val="00CA502D"/>
    <w:rsid w:val="00CA507D"/>
    <w:rsid w:val="00CA509A"/>
    <w:rsid w:val="00CA51FA"/>
    <w:rsid w:val="00CA5360"/>
    <w:rsid w:val="00CA5420"/>
    <w:rsid w:val="00CA5438"/>
    <w:rsid w:val="00CA5AB2"/>
    <w:rsid w:val="00CA5AC6"/>
    <w:rsid w:val="00CA5C8B"/>
    <w:rsid w:val="00CA5CFA"/>
    <w:rsid w:val="00CA5F41"/>
    <w:rsid w:val="00CA6014"/>
    <w:rsid w:val="00CA6448"/>
    <w:rsid w:val="00CA6E79"/>
    <w:rsid w:val="00CA7558"/>
    <w:rsid w:val="00CA755C"/>
    <w:rsid w:val="00CA765A"/>
    <w:rsid w:val="00CA7974"/>
    <w:rsid w:val="00CA7CE7"/>
    <w:rsid w:val="00CA7D02"/>
    <w:rsid w:val="00CA7E38"/>
    <w:rsid w:val="00CB039C"/>
    <w:rsid w:val="00CB03CC"/>
    <w:rsid w:val="00CB04E6"/>
    <w:rsid w:val="00CB0897"/>
    <w:rsid w:val="00CB08BD"/>
    <w:rsid w:val="00CB0B3F"/>
    <w:rsid w:val="00CB0C3E"/>
    <w:rsid w:val="00CB0F0E"/>
    <w:rsid w:val="00CB176D"/>
    <w:rsid w:val="00CB1815"/>
    <w:rsid w:val="00CB19F4"/>
    <w:rsid w:val="00CB1CB6"/>
    <w:rsid w:val="00CB1E59"/>
    <w:rsid w:val="00CB23B5"/>
    <w:rsid w:val="00CB2510"/>
    <w:rsid w:val="00CB2631"/>
    <w:rsid w:val="00CB2B31"/>
    <w:rsid w:val="00CB2B78"/>
    <w:rsid w:val="00CB2BDE"/>
    <w:rsid w:val="00CB2FD0"/>
    <w:rsid w:val="00CB3199"/>
    <w:rsid w:val="00CB4366"/>
    <w:rsid w:val="00CB43D6"/>
    <w:rsid w:val="00CB43DC"/>
    <w:rsid w:val="00CB4792"/>
    <w:rsid w:val="00CB4797"/>
    <w:rsid w:val="00CB4850"/>
    <w:rsid w:val="00CB4A09"/>
    <w:rsid w:val="00CB4ADC"/>
    <w:rsid w:val="00CB4D68"/>
    <w:rsid w:val="00CB4DC9"/>
    <w:rsid w:val="00CB4E30"/>
    <w:rsid w:val="00CB5111"/>
    <w:rsid w:val="00CB55C2"/>
    <w:rsid w:val="00CB565F"/>
    <w:rsid w:val="00CB566F"/>
    <w:rsid w:val="00CB58F1"/>
    <w:rsid w:val="00CB5A20"/>
    <w:rsid w:val="00CB5A79"/>
    <w:rsid w:val="00CB5B6E"/>
    <w:rsid w:val="00CB5C6E"/>
    <w:rsid w:val="00CB5CB1"/>
    <w:rsid w:val="00CB5D87"/>
    <w:rsid w:val="00CB5DD1"/>
    <w:rsid w:val="00CB5E36"/>
    <w:rsid w:val="00CB5ECA"/>
    <w:rsid w:val="00CB6120"/>
    <w:rsid w:val="00CB630E"/>
    <w:rsid w:val="00CB6376"/>
    <w:rsid w:val="00CB63B3"/>
    <w:rsid w:val="00CB65C7"/>
    <w:rsid w:val="00CB668B"/>
    <w:rsid w:val="00CB66A7"/>
    <w:rsid w:val="00CB692C"/>
    <w:rsid w:val="00CB6ADD"/>
    <w:rsid w:val="00CB6E70"/>
    <w:rsid w:val="00CB7437"/>
    <w:rsid w:val="00CB75EB"/>
    <w:rsid w:val="00CB77DC"/>
    <w:rsid w:val="00CB78C5"/>
    <w:rsid w:val="00CC0149"/>
    <w:rsid w:val="00CC0191"/>
    <w:rsid w:val="00CC025E"/>
    <w:rsid w:val="00CC03E9"/>
    <w:rsid w:val="00CC0587"/>
    <w:rsid w:val="00CC06EA"/>
    <w:rsid w:val="00CC0CF5"/>
    <w:rsid w:val="00CC0D33"/>
    <w:rsid w:val="00CC0DC5"/>
    <w:rsid w:val="00CC0E1D"/>
    <w:rsid w:val="00CC0E9C"/>
    <w:rsid w:val="00CC0F57"/>
    <w:rsid w:val="00CC1273"/>
    <w:rsid w:val="00CC1804"/>
    <w:rsid w:val="00CC189E"/>
    <w:rsid w:val="00CC1B17"/>
    <w:rsid w:val="00CC1E72"/>
    <w:rsid w:val="00CC1EF1"/>
    <w:rsid w:val="00CC203D"/>
    <w:rsid w:val="00CC2099"/>
    <w:rsid w:val="00CC27D9"/>
    <w:rsid w:val="00CC2BB7"/>
    <w:rsid w:val="00CC2C3A"/>
    <w:rsid w:val="00CC2CF0"/>
    <w:rsid w:val="00CC3004"/>
    <w:rsid w:val="00CC3131"/>
    <w:rsid w:val="00CC3241"/>
    <w:rsid w:val="00CC373C"/>
    <w:rsid w:val="00CC3D7D"/>
    <w:rsid w:val="00CC3E2B"/>
    <w:rsid w:val="00CC41B1"/>
    <w:rsid w:val="00CC4214"/>
    <w:rsid w:val="00CC433E"/>
    <w:rsid w:val="00CC4526"/>
    <w:rsid w:val="00CC4774"/>
    <w:rsid w:val="00CC482C"/>
    <w:rsid w:val="00CC4A83"/>
    <w:rsid w:val="00CC4BB8"/>
    <w:rsid w:val="00CC4CA7"/>
    <w:rsid w:val="00CC4CBB"/>
    <w:rsid w:val="00CC4E5B"/>
    <w:rsid w:val="00CC4F4F"/>
    <w:rsid w:val="00CC5016"/>
    <w:rsid w:val="00CC5019"/>
    <w:rsid w:val="00CC5904"/>
    <w:rsid w:val="00CC5929"/>
    <w:rsid w:val="00CC5D20"/>
    <w:rsid w:val="00CC5D60"/>
    <w:rsid w:val="00CC5E41"/>
    <w:rsid w:val="00CC60A5"/>
    <w:rsid w:val="00CC60CB"/>
    <w:rsid w:val="00CC69CF"/>
    <w:rsid w:val="00CC6BD8"/>
    <w:rsid w:val="00CC6CEA"/>
    <w:rsid w:val="00CC6E19"/>
    <w:rsid w:val="00CC6F53"/>
    <w:rsid w:val="00CC715E"/>
    <w:rsid w:val="00CC7482"/>
    <w:rsid w:val="00CC7635"/>
    <w:rsid w:val="00CC784D"/>
    <w:rsid w:val="00CC788B"/>
    <w:rsid w:val="00CC788E"/>
    <w:rsid w:val="00CC78F5"/>
    <w:rsid w:val="00CC7B3D"/>
    <w:rsid w:val="00CC7CE5"/>
    <w:rsid w:val="00CD0189"/>
    <w:rsid w:val="00CD0289"/>
    <w:rsid w:val="00CD05B9"/>
    <w:rsid w:val="00CD0B50"/>
    <w:rsid w:val="00CD0CA0"/>
    <w:rsid w:val="00CD10A4"/>
    <w:rsid w:val="00CD1241"/>
    <w:rsid w:val="00CD1724"/>
    <w:rsid w:val="00CD1E93"/>
    <w:rsid w:val="00CD1FFE"/>
    <w:rsid w:val="00CD2063"/>
    <w:rsid w:val="00CD2099"/>
    <w:rsid w:val="00CD20F8"/>
    <w:rsid w:val="00CD21B9"/>
    <w:rsid w:val="00CD2288"/>
    <w:rsid w:val="00CD231D"/>
    <w:rsid w:val="00CD255C"/>
    <w:rsid w:val="00CD265F"/>
    <w:rsid w:val="00CD271F"/>
    <w:rsid w:val="00CD2C50"/>
    <w:rsid w:val="00CD2C75"/>
    <w:rsid w:val="00CD2DD7"/>
    <w:rsid w:val="00CD2E4D"/>
    <w:rsid w:val="00CD30A3"/>
    <w:rsid w:val="00CD30EE"/>
    <w:rsid w:val="00CD31C7"/>
    <w:rsid w:val="00CD343B"/>
    <w:rsid w:val="00CD37FC"/>
    <w:rsid w:val="00CD3C16"/>
    <w:rsid w:val="00CD3D0F"/>
    <w:rsid w:val="00CD3DA3"/>
    <w:rsid w:val="00CD3DD9"/>
    <w:rsid w:val="00CD3E53"/>
    <w:rsid w:val="00CD3EF8"/>
    <w:rsid w:val="00CD427C"/>
    <w:rsid w:val="00CD4379"/>
    <w:rsid w:val="00CD44C0"/>
    <w:rsid w:val="00CD4504"/>
    <w:rsid w:val="00CD46EA"/>
    <w:rsid w:val="00CD48E0"/>
    <w:rsid w:val="00CD4B8A"/>
    <w:rsid w:val="00CD4CCD"/>
    <w:rsid w:val="00CD4FA8"/>
    <w:rsid w:val="00CD58A6"/>
    <w:rsid w:val="00CD5FE3"/>
    <w:rsid w:val="00CD6021"/>
    <w:rsid w:val="00CD6584"/>
    <w:rsid w:val="00CD67D2"/>
    <w:rsid w:val="00CD68E8"/>
    <w:rsid w:val="00CD6A28"/>
    <w:rsid w:val="00CD6A43"/>
    <w:rsid w:val="00CD6A72"/>
    <w:rsid w:val="00CD6C66"/>
    <w:rsid w:val="00CD6EE3"/>
    <w:rsid w:val="00CD6F3B"/>
    <w:rsid w:val="00CD6F85"/>
    <w:rsid w:val="00CD70B0"/>
    <w:rsid w:val="00CD72FE"/>
    <w:rsid w:val="00CD78EF"/>
    <w:rsid w:val="00CD796B"/>
    <w:rsid w:val="00CD7AF9"/>
    <w:rsid w:val="00CD7B87"/>
    <w:rsid w:val="00CD7BB6"/>
    <w:rsid w:val="00CD7D08"/>
    <w:rsid w:val="00CE00CF"/>
    <w:rsid w:val="00CE0520"/>
    <w:rsid w:val="00CE0689"/>
    <w:rsid w:val="00CE0839"/>
    <w:rsid w:val="00CE0C6C"/>
    <w:rsid w:val="00CE0C8F"/>
    <w:rsid w:val="00CE1383"/>
    <w:rsid w:val="00CE140A"/>
    <w:rsid w:val="00CE1507"/>
    <w:rsid w:val="00CE16A9"/>
    <w:rsid w:val="00CE16D5"/>
    <w:rsid w:val="00CE1899"/>
    <w:rsid w:val="00CE19D2"/>
    <w:rsid w:val="00CE19E8"/>
    <w:rsid w:val="00CE1A21"/>
    <w:rsid w:val="00CE1C2B"/>
    <w:rsid w:val="00CE1CE0"/>
    <w:rsid w:val="00CE2345"/>
    <w:rsid w:val="00CE266E"/>
    <w:rsid w:val="00CE2685"/>
    <w:rsid w:val="00CE26CB"/>
    <w:rsid w:val="00CE274D"/>
    <w:rsid w:val="00CE27C8"/>
    <w:rsid w:val="00CE2AC4"/>
    <w:rsid w:val="00CE2CF9"/>
    <w:rsid w:val="00CE3011"/>
    <w:rsid w:val="00CE32C5"/>
    <w:rsid w:val="00CE3388"/>
    <w:rsid w:val="00CE3811"/>
    <w:rsid w:val="00CE397D"/>
    <w:rsid w:val="00CE3999"/>
    <w:rsid w:val="00CE39FC"/>
    <w:rsid w:val="00CE3AC3"/>
    <w:rsid w:val="00CE3E8F"/>
    <w:rsid w:val="00CE3EA6"/>
    <w:rsid w:val="00CE3F38"/>
    <w:rsid w:val="00CE4092"/>
    <w:rsid w:val="00CE4188"/>
    <w:rsid w:val="00CE4217"/>
    <w:rsid w:val="00CE46C1"/>
    <w:rsid w:val="00CE47C7"/>
    <w:rsid w:val="00CE5072"/>
    <w:rsid w:val="00CE558B"/>
    <w:rsid w:val="00CE55DB"/>
    <w:rsid w:val="00CE5AD7"/>
    <w:rsid w:val="00CE5CC1"/>
    <w:rsid w:val="00CE6147"/>
    <w:rsid w:val="00CE6690"/>
    <w:rsid w:val="00CE675F"/>
    <w:rsid w:val="00CE6AF7"/>
    <w:rsid w:val="00CE6B6E"/>
    <w:rsid w:val="00CE6D5B"/>
    <w:rsid w:val="00CE714C"/>
    <w:rsid w:val="00CE7319"/>
    <w:rsid w:val="00CE7349"/>
    <w:rsid w:val="00CE7CBE"/>
    <w:rsid w:val="00CE7DA9"/>
    <w:rsid w:val="00CE7F8B"/>
    <w:rsid w:val="00CF0255"/>
    <w:rsid w:val="00CF0354"/>
    <w:rsid w:val="00CF0B36"/>
    <w:rsid w:val="00CF0D16"/>
    <w:rsid w:val="00CF0E08"/>
    <w:rsid w:val="00CF0E57"/>
    <w:rsid w:val="00CF0ECE"/>
    <w:rsid w:val="00CF101B"/>
    <w:rsid w:val="00CF1027"/>
    <w:rsid w:val="00CF1030"/>
    <w:rsid w:val="00CF17C1"/>
    <w:rsid w:val="00CF1A67"/>
    <w:rsid w:val="00CF242C"/>
    <w:rsid w:val="00CF257A"/>
    <w:rsid w:val="00CF264A"/>
    <w:rsid w:val="00CF2906"/>
    <w:rsid w:val="00CF291B"/>
    <w:rsid w:val="00CF29AB"/>
    <w:rsid w:val="00CF2A2D"/>
    <w:rsid w:val="00CF2D96"/>
    <w:rsid w:val="00CF2E84"/>
    <w:rsid w:val="00CF2F19"/>
    <w:rsid w:val="00CF331E"/>
    <w:rsid w:val="00CF3598"/>
    <w:rsid w:val="00CF35DC"/>
    <w:rsid w:val="00CF386B"/>
    <w:rsid w:val="00CF39C3"/>
    <w:rsid w:val="00CF3A86"/>
    <w:rsid w:val="00CF3B67"/>
    <w:rsid w:val="00CF3BA3"/>
    <w:rsid w:val="00CF3BFE"/>
    <w:rsid w:val="00CF3DE9"/>
    <w:rsid w:val="00CF3E95"/>
    <w:rsid w:val="00CF40B3"/>
    <w:rsid w:val="00CF43F4"/>
    <w:rsid w:val="00CF47FF"/>
    <w:rsid w:val="00CF4A29"/>
    <w:rsid w:val="00CF4A77"/>
    <w:rsid w:val="00CF4D8B"/>
    <w:rsid w:val="00CF4E24"/>
    <w:rsid w:val="00CF5053"/>
    <w:rsid w:val="00CF5554"/>
    <w:rsid w:val="00CF55CE"/>
    <w:rsid w:val="00CF5C9D"/>
    <w:rsid w:val="00CF5D1B"/>
    <w:rsid w:val="00CF6284"/>
    <w:rsid w:val="00CF6598"/>
    <w:rsid w:val="00CF65CA"/>
    <w:rsid w:val="00CF6778"/>
    <w:rsid w:val="00CF6933"/>
    <w:rsid w:val="00CF6B0B"/>
    <w:rsid w:val="00CF6B0C"/>
    <w:rsid w:val="00CF6B76"/>
    <w:rsid w:val="00CF6C01"/>
    <w:rsid w:val="00CF6D04"/>
    <w:rsid w:val="00CF6D18"/>
    <w:rsid w:val="00CF6DA0"/>
    <w:rsid w:val="00CF6FE2"/>
    <w:rsid w:val="00CF70AB"/>
    <w:rsid w:val="00CF730B"/>
    <w:rsid w:val="00CF745E"/>
    <w:rsid w:val="00CF7A4E"/>
    <w:rsid w:val="00CF7B6C"/>
    <w:rsid w:val="00CF7D25"/>
    <w:rsid w:val="00CF7E3A"/>
    <w:rsid w:val="00CF7E69"/>
    <w:rsid w:val="00CF7F3A"/>
    <w:rsid w:val="00D00221"/>
    <w:rsid w:val="00D00257"/>
    <w:rsid w:val="00D00265"/>
    <w:rsid w:val="00D005D1"/>
    <w:rsid w:val="00D007D7"/>
    <w:rsid w:val="00D00B84"/>
    <w:rsid w:val="00D00E0A"/>
    <w:rsid w:val="00D00E3E"/>
    <w:rsid w:val="00D00EB0"/>
    <w:rsid w:val="00D00EB7"/>
    <w:rsid w:val="00D00F68"/>
    <w:rsid w:val="00D01137"/>
    <w:rsid w:val="00D01437"/>
    <w:rsid w:val="00D016F2"/>
    <w:rsid w:val="00D01A1D"/>
    <w:rsid w:val="00D01B64"/>
    <w:rsid w:val="00D01C11"/>
    <w:rsid w:val="00D01CAC"/>
    <w:rsid w:val="00D01D54"/>
    <w:rsid w:val="00D01E45"/>
    <w:rsid w:val="00D02543"/>
    <w:rsid w:val="00D02A26"/>
    <w:rsid w:val="00D02C5E"/>
    <w:rsid w:val="00D02E55"/>
    <w:rsid w:val="00D02E8B"/>
    <w:rsid w:val="00D03700"/>
    <w:rsid w:val="00D0383A"/>
    <w:rsid w:val="00D03940"/>
    <w:rsid w:val="00D039AE"/>
    <w:rsid w:val="00D03C28"/>
    <w:rsid w:val="00D03C48"/>
    <w:rsid w:val="00D03CB0"/>
    <w:rsid w:val="00D03D2A"/>
    <w:rsid w:val="00D0413D"/>
    <w:rsid w:val="00D0416D"/>
    <w:rsid w:val="00D04182"/>
    <w:rsid w:val="00D048D9"/>
    <w:rsid w:val="00D04E73"/>
    <w:rsid w:val="00D04F9B"/>
    <w:rsid w:val="00D0535F"/>
    <w:rsid w:val="00D0536A"/>
    <w:rsid w:val="00D05A55"/>
    <w:rsid w:val="00D061E5"/>
    <w:rsid w:val="00D06341"/>
    <w:rsid w:val="00D06366"/>
    <w:rsid w:val="00D06A11"/>
    <w:rsid w:val="00D06B1A"/>
    <w:rsid w:val="00D06D81"/>
    <w:rsid w:val="00D06E7B"/>
    <w:rsid w:val="00D06F0D"/>
    <w:rsid w:val="00D06FDD"/>
    <w:rsid w:val="00D070A0"/>
    <w:rsid w:val="00D0714E"/>
    <w:rsid w:val="00D07176"/>
    <w:rsid w:val="00D07559"/>
    <w:rsid w:val="00D0760C"/>
    <w:rsid w:val="00D0764F"/>
    <w:rsid w:val="00D076EE"/>
    <w:rsid w:val="00D07980"/>
    <w:rsid w:val="00D07A64"/>
    <w:rsid w:val="00D07B9D"/>
    <w:rsid w:val="00D07D96"/>
    <w:rsid w:val="00D07E52"/>
    <w:rsid w:val="00D07ECC"/>
    <w:rsid w:val="00D07FB4"/>
    <w:rsid w:val="00D101B1"/>
    <w:rsid w:val="00D104E6"/>
    <w:rsid w:val="00D10BF3"/>
    <w:rsid w:val="00D10C3C"/>
    <w:rsid w:val="00D10D2E"/>
    <w:rsid w:val="00D10D4E"/>
    <w:rsid w:val="00D10E60"/>
    <w:rsid w:val="00D11229"/>
    <w:rsid w:val="00D11486"/>
    <w:rsid w:val="00D11622"/>
    <w:rsid w:val="00D11750"/>
    <w:rsid w:val="00D1176F"/>
    <w:rsid w:val="00D1190F"/>
    <w:rsid w:val="00D11989"/>
    <w:rsid w:val="00D11AF3"/>
    <w:rsid w:val="00D11F1A"/>
    <w:rsid w:val="00D12600"/>
    <w:rsid w:val="00D12CD6"/>
    <w:rsid w:val="00D12D19"/>
    <w:rsid w:val="00D12D9C"/>
    <w:rsid w:val="00D12E5F"/>
    <w:rsid w:val="00D12F5B"/>
    <w:rsid w:val="00D13063"/>
    <w:rsid w:val="00D13396"/>
    <w:rsid w:val="00D13431"/>
    <w:rsid w:val="00D1394B"/>
    <w:rsid w:val="00D13F20"/>
    <w:rsid w:val="00D13FEF"/>
    <w:rsid w:val="00D14396"/>
    <w:rsid w:val="00D143F6"/>
    <w:rsid w:val="00D14444"/>
    <w:rsid w:val="00D144BC"/>
    <w:rsid w:val="00D1459F"/>
    <w:rsid w:val="00D147D7"/>
    <w:rsid w:val="00D14889"/>
    <w:rsid w:val="00D14B69"/>
    <w:rsid w:val="00D14CE8"/>
    <w:rsid w:val="00D15024"/>
    <w:rsid w:val="00D153EB"/>
    <w:rsid w:val="00D1549D"/>
    <w:rsid w:val="00D157B7"/>
    <w:rsid w:val="00D1593C"/>
    <w:rsid w:val="00D15BBF"/>
    <w:rsid w:val="00D15C30"/>
    <w:rsid w:val="00D15C97"/>
    <w:rsid w:val="00D15DDC"/>
    <w:rsid w:val="00D16196"/>
    <w:rsid w:val="00D1659A"/>
    <w:rsid w:val="00D166F6"/>
    <w:rsid w:val="00D16AA6"/>
    <w:rsid w:val="00D16AAE"/>
    <w:rsid w:val="00D16B45"/>
    <w:rsid w:val="00D16C61"/>
    <w:rsid w:val="00D16CB7"/>
    <w:rsid w:val="00D17007"/>
    <w:rsid w:val="00D17031"/>
    <w:rsid w:val="00D175CB"/>
    <w:rsid w:val="00D17A1D"/>
    <w:rsid w:val="00D17C2B"/>
    <w:rsid w:val="00D17E98"/>
    <w:rsid w:val="00D2020A"/>
    <w:rsid w:val="00D202DF"/>
    <w:rsid w:val="00D2034E"/>
    <w:rsid w:val="00D2036B"/>
    <w:rsid w:val="00D20495"/>
    <w:rsid w:val="00D204A5"/>
    <w:rsid w:val="00D204BE"/>
    <w:rsid w:val="00D20648"/>
    <w:rsid w:val="00D20797"/>
    <w:rsid w:val="00D20AAA"/>
    <w:rsid w:val="00D20B16"/>
    <w:rsid w:val="00D20BBB"/>
    <w:rsid w:val="00D20BC8"/>
    <w:rsid w:val="00D20EA1"/>
    <w:rsid w:val="00D212AB"/>
    <w:rsid w:val="00D212D6"/>
    <w:rsid w:val="00D212E4"/>
    <w:rsid w:val="00D21744"/>
    <w:rsid w:val="00D2194D"/>
    <w:rsid w:val="00D21AF5"/>
    <w:rsid w:val="00D21B2F"/>
    <w:rsid w:val="00D21D0C"/>
    <w:rsid w:val="00D21D8D"/>
    <w:rsid w:val="00D222DE"/>
    <w:rsid w:val="00D2252D"/>
    <w:rsid w:val="00D226E1"/>
    <w:rsid w:val="00D22712"/>
    <w:rsid w:val="00D2282E"/>
    <w:rsid w:val="00D2288A"/>
    <w:rsid w:val="00D22982"/>
    <w:rsid w:val="00D22FF5"/>
    <w:rsid w:val="00D23064"/>
    <w:rsid w:val="00D231AE"/>
    <w:rsid w:val="00D231F9"/>
    <w:rsid w:val="00D23274"/>
    <w:rsid w:val="00D233E6"/>
    <w:rsid w:val="00D2340D"/>
    <w:rsid w:val="00D236D5"/>
    <w:rsid w:val="00D23769"/>
    <w:rsid w:val="00D23953"/>
    <w:rsid w:val="00D239FE"/>
    <w:rsid w:val="00D23CC4"/>
    <w:rsid w:val="00D23D25"/>
    <w:rsid w:val="00D23DC9"/>
    <w:rsid w:val="00D23E9C"/>
    <w:rsid w:val="00D23EC8"/>
    <w:rsid w:val="00D23F20"/>
    <w:rsid w:val="00D24507"/>
    <w:rsid w:val="00D24717"/>
    <w:rsid w:val="00D24843"/>
    <w:rsid w:val="00D2491F"/>
    <w:rsid w:val="00D24A07"/>
    <w:rsid w:val="00D24B87"/>
    <w:rsid w:val="00D250B9"/>
    <w:rsid w:val="00D2518A"/>
    <w:rsid w:val="00D2542D"/>
    <w:rsid w:val="00D254CF"/>
    <w:rsid w:val="00D2550C"/>
    <w:rsid w:val="00D25704"/>
    <w:rsid w:val="00D25743"/>
    <w:rsid w:val="00D25956"/>
    <w:rsid w:val="00D25BD9"/>
    <w:rsid w:val="00D25BFC"/>
    <w:rsid w:val="00D25F29"/>
    <w:rsid w:val="00D25F39"/>
    <w:rsid w:val="00D262DD"/>
    <w:rsid w:val="00D262FC"/>
    <w:rsid w:val="00D26448"/>
    <w:rsid w:val="00D26610"/>
    <w:rsid w:val="00D26847"/>
    <w:rsid w:val="00D269E7"/>
    <w:rsid w:val="00D26A04"/>
    <w:rsid w:val="00D26E8B"/>
    <w:rsid w:val="00D26E99"/>
    <w:rsid w:val="00D26F98"/>
    <w:rsid w:val="00D270B9"/>
    <w:rsid w:val="00D2758E"/>
    <w:rsid w:val="00D276DF"/>
    <w:rsid w:val="00D2776B"/>
    <w:rsid w:val="00D27AB3"/>
    <w:rsid w:val="00D27BAF"/>
    <w:rsid w:val="00D27E42"/>
    <w:rsid w:val="00D27E98"/>
    <w:rsid w:val="00D27ED1"/>
    <w:rsid w:val="00D27F35"/>
    <w:rsid w:val="00D27F7F"/>
    <w:rsid w:val="00D3043B"/>
    <w:rsid w:val="00D304A1"/>
    <w:rsid w:val="00D30580"/>
    <w:rsid w:val="00D3059B"/>
    <w:rsid w:val="00D30686"/>
    <w:rsid w:val="00D306FC"/>
    <w:rsid w:val="00D30C8C"/>
    <w:rsid w:val="00D30D7F"/>
    <w:rsid w:val="00D31077"/>
    <w:rsid w:val="00D31180"/>
    <w:rsid w:val="00D31540"/>
    <w:rsid w:val="00D319E0"/>
    <w:rsid w:val="00D31AB7"/>
    <w:rsid w:val="00D31C0B"/>
    <w:rsid w:val="00D31E63"/>
    <w:rsid w:val="00D32003"/>
    <w:rsid w:val="00D32041"/>
    <w:rsid w:val="00D3262B"/>
    <w:rsid w:val="00D32693"/>
    <w:rsid w:val="00D3296F"/>
    <w:rsid w:val="00D32B7B"/>
    <w:rsid w:val="00D32D72"/>
    <w:rsid w:val="00D32E00"/>
    <w:rsid w:val="00D33140"/>
    <w:rsid w:val="00D331E3"/>
    <w:rsid w:val="00D33545"/>
    <w:rsid w:val="00D335E5"/>
    <w:rsid w:val="00D33617"/>
    <w:rsid w:val="00D33D9B"/>
    <w:rsid w:val="00D33E28"/>
    <w:rsid w:val="00D33E41"/>
    <w:rsid w:val="00D33F72"/>
    <w:rsid w:val="00D34036"/>
    <w:rsid w:val="00D34141"/>
    <w:rsid w:val="00D342E4"/>
    <w:rsid w:val="00D346F0"/>
    <w:rsid w:val="00D348A6"/>
    <w:rsid w:val="00D34EFC"/>
    <w:rsid w:val="00D34F01"/>
    <w:rsid w:val="00D35021"/>
    <w:rsid w:val="00D3522A"/>
    <w:rsid w:val="00D35341"/>
    <w:rsid w:val="00D35529"/>
    <w:rsid w:val="00D356EC"/>
    <w:rsid w:val="00D35A21"/>
    <w:rsid w:val="00D35C98"/>
    <w:rsid w:val="00D35F56"/>
    <w:rsid w:val="00D361B8"/>
    <w:rsid w:val="00D365AF"/>
    <w:rsid w:val="00D3666B"/>
    <w:rsid w:val="00D367B9"/>
    <w:rsid w:val="00D36836"/>
    <w:rsid w:val="00D36857"/>
    <w:rsid w:val="00D372DD"/>
    <w:rsid w:val="00D3731E"/>
    <w:rsid w:val="00D3782E"/>
    <w:rsid w:val="00D37A71"/>
    <w:rsid w:val="00D37CA9"/>
    <w:rsid w:val="00D37EE9"/>
    <w:rsid w:val="00D4000D"/>
    <w:rsid w:val="00D40108"/>
    <w:rsid w:val="00D40256"/>
    <w:rsid w:val="00D4028D"/>
    <w:rsid w:val="00D4086C"/>
    <w:rsid w:val="00D4089C"/>
    <w:rsid w:val="00D40D52"/>
    <w:rsid w:val="00D40D65"/>
    <w:rsid w:val="00D40E72"/>
    <w:rsid w:val="00D41333"/>
    <w:rsid w:val="00D413BE"/>
    <w:rsid w:val="00D41696"/>
    <w:rsid w:val="00D41745"/>
    <w:rsid w:val="00D41A65"/>
    <w:rsid w:val="00D41D51"/>
    <w:rsid w:val="00D42310"/>
    <w:rsid w:val="00D426EC"/>
    <w:rsid w:val="00D42708"/>
    <w:rsid w:val="00D42751"/>
    <w:rsid w:val="00D42A86"/>
    <w:rsid w:val="00D42AE3"/>
    <w:rsid w:val="00D42BBA"/>
    <w:rsid w:val="00D42CB9"/>
    <w:rsid w:val="00D42D01"/>
    <w:rsid w:val="00D42E59"/>
    <w:rsid w:val="00D43053"/>
    <w:rsid w:val="00D43233"/>
    <w:rsid w:val="00D432EE"/>
    <w:rsid w:val="00D43333"/>
    <w:rsid w:val="00D434C3"/>
    <w:rsid w:val="00D43931"/>
    <w:rsid w:val="00D43BDB"/>
    <w:rsid w:val="00D442FB"/>
    <w:rsid w:val="00D444B8"/>
    <w:rsid w:val="00D44698"/>
    <w:rsid w:val="00D446F5"/>
    <w:rsid w:val="00D4490F"/>
    <w:rsid w:val="00D44964"/>
    <w:rsid w:val="00D44E2A"/>
    <w:rsid w:val="00D450D1"/>
    <w:rsid w:val="00D455A5"/>
    <w:rsid w:val="00D4568F"/>
    <w:rsid w:val="00D45D98"/>
    <w:rsid w:val="00D45E5F"/>
    <w:rsid w:val="00D463DC"/>
    <w:rsid w:val="00D46501"/>
    <w:rsid w:val="00D46519"/>
    <w:rsid w:val="00D46789"/>
    <w:rsid w:val="00D46B25"/>
    <w:rsid w:val="00D46CD9"/>
    <w:rsid w:val="00D46EB9"/>
    <w:rsid w:val="00D470EC"/>
    <w:rsid w:val="00D4767A"/>
    <w:rsid w:val="00D4784C"/>
    <w:rsid w:val="00D4797F"/>
    <w:rsid w:val="00D47BC6"/>
    <w:rsid w:val="00D47F30"/>
    <w:rsid w:val="00D47F50"/>
    <w:rsid w:val="00D501EB"/>
    <w:rsid w:val="00D50207"/>
    <w:rsid w:val="00D50353"/>
    <w:rsid w:val="00D50398"/>
    <w:rsid w:val="00D5059B"/>
    <w:rsid w:val="00D506A2"/>
    <w:rsid w:val="00D50839"/>
    <w:rsid w:val="00D50917"/>
    <w:rsid w:val="00D50B6A"/>
    <w:rsid w:val="00D50C25"/>
    <w:rsid w:val="00D50E26"/>
    <w:rsid w:val="00D50F88"/>
    <w:rsid w:val="00D5137B"/>
    <w:rsid w:val="00D5138C"/>
    <w:rsid w:val="00D513D1"/>
    <w:rsid w:val="00D51820"/>
    <w:rsid w:val="00D5191B"/>
    <w:rsid w:val="00D51B53"/>
    <w:rsid w:val="00D51E74"/>
    <w:rsid w:val="00D51E98"/>
    <w:rsid w:val="00D5200E"/>
    <w:rsid w:val="00D52040"/>
    <w:rsid w:val="00D522B5"/>
    <w:rsid w:val="00D52354"/>
    <w:rsid w:val="00D52626"/>
    <w:rsid w:val="00D52836"/>
    <w:rsid w:val="00D52962"/>
    <w:rsid w:val="00D52BE9"/>
    <w:rsid w:val="00D52ED4"/>
    <w:rsid w:val="00D5303D"/>
    <w:rsid w:val="00D53060"/>
    <w:rsid w:val="00D533A9"/>
    <w:rsid w:val="00D53598"/>
    <w:rsid w:val="00D539B9"/>
    <w:rsid w:val="00D53D90"/>
    <w:rsid w:val="00D53DAB"/>
    <w:rsid w:val="00D54197"/>
    <w:rsid w:val="00D541F4"/>
    <w:rsid w:val="00D54227"/>
    <w:rsid w:val="00D54233"/>
    <w:rsid w:val="00D54237"/>
    <w:rsid w:val="00D54512"/>
    <w:rsid w:val="00D5455D"/>
    <w:rsid w:val="00D54589"/>
    <w:rsid w:val="00D545F7"/>
    <w:rsid w:val="00D546C5"/>
    <w:rsid w:val="00D549F4"/>
    <w:rsid w:val="00D54ABF"/>
    <w:rsid w:val="00D554CD"/>
    <w:rsid w:val="00D5552C"/>
    <w:rsid w:val="00D55BF3"/>
    <w:rsid w:val="00D55C3C"/>
    <w:rsid w:val="00D55C47"/>
    <w:rsid w:val="00D55CBC"/>
    <w:rsid w:val="00D55CC2"/>
    <w:rsid w:val="00D567DB"/>
    <w:rsid w:val="00D56933"/>
    <w:rsid w:val="00D56E88"/>
    <w:rsid w:val="00D571B1"/>
    <w:rsid w:val="00D5721B"/>
    <w:rsid w:val="00D572AD"/>
    <w:rsid w:val="00D5752B"/>
    <w:rsid w:val="00D57719"/>
    <w:rsid w:val="00D57847"/>
    <w:rsid w:val="00D57D04"/>
    <w:rsid w:val="00D57D6D"/>
    <w:rsid w:val="00D60046"/>
    <w:rsid w:val="00D600D1"/>
    <w:rsid w:val="00D60174"/>
    <w:rsid w:val="00D60384"/>
    <w:rsid w:val="00D605E1"/>
    <w:rsid w:val="00D6075B"/>
    <w:rsid w:val="00D60A08"/>
    <w:rsid w:val="00D60A40"/>
    <w:rsid w:val="00D60CBA"/>
    <w:rsid w:val="00D60DD1"/>
    <w:rsid w:val="00D60E97"/>
    <w:rsid w:val="00D614C0"/>
    <w:rsid w:val="00D61AF0"/>
    <w:rsid w:val="00D620B0"/>
    <w:rsid w:val="00D621F1"/>
    <w:rsid w:val="00D62219"/>
    <w:rsid w:val="00D623EE"/>
    <w:rsid w:val="00D62679"/>
    <w:rsid w:val="00D62847"/>
    <w:rsid w:val="00D629B7"/>
    <w:rsid w:val="00D63379"/>
    <w:rsid w:val="00D6370C"/>
    <w:rsid w:val="00D63950"/>
    <w:rsid w:val="00D63E93"/>
    <w:rsid w:val="00D640AD"/>
    <w:rsid w:val="00D6418B"/>
    <w:rsid w:val="00D641B8"/>
    <w:rsid w:val="00D6422C"/>
    <w:rsid w:val="00D64436"/>
    <w:rsid w:val="00D6460B"/>
    <w:rsid w:val="00D646C5"/>
    <w:rsid w:val="00D64753"/>
    <w:rsid w:val="00D648C0"/>
    <w:rsid w:val="00D6497E"/>
    <w:rsid w:val="00D64F92"/>
    <w:rsid w:val="00D65136"/>
    <w:rsid w:val="00D65260"/>
    <w:rsid w:val="00D653BA"/>
    <w:rsid w:val="00D65779"/>
    <w:rsid w:val="00D65952"/>
    <w:rsid w:val="00D65BEB"/>
    <w:rsid w:val="00D65DD6"/>
    <w:rsid w:val="00D65F5D"/>
    <w:rsid w:val="00D6625E"/>
    <w:rsid w:val="00D6658A"/>
    <w:rsid w:val="00D6664D"/>
    <w:rsid w:val="00D66729"/>
    <w:rsid w:val="00D66741"/>
    <w:rsid w:val="00D66798"/>
    <w:rsid w:val="00D66C9F"/>
    <w:rsid w:val="00D66CF8"/>
    <w:rsid w:val="00D66D5B"/>
    <w:rsid w:val="00D66FD3"/>
    <w:rsid w:val="00D67562"/>
    <w:rsid w:val="00D67739"/>
    <w:rsid w:val="00D678D5"/>
    <w:rsid w:val="00D67EEE"/>
    <w:rsid w:val="00D701FF"/>
    <w:rsid w:val="00D70244"/>
    <w:rsid w:val="00D7048E"/>
    <w:rsid w:val="00D70681"/>
    <w:rsid w:val="00D70761"/>
    <w:rsid w:val="00D70885"/>
    <w:rsid w:val="00D70971"/>
    <w:rsid w:val="00D70B6B"/>
    <w:rsid w:val="00D70FCF"/>
    <w:rsid w:val="00D712A1"/>
    <w:rsid w:val="00D715B5"/>
    <w:rsid w:val="00D7197E"/>
    <w:rsid w:val="00D71C73"/>
    <w:rsid w:val="00D71E25"/>
    <w:rsid w:val="00D71E79"/>
    <w:rsid w:val="00D71FFB"/>
    <w:rsid w:val="00D720C2"/>
    <w:rsid w:val="00D72159"/>
    <w:rsid w:val="00D7220F"/>
    <w:rsid w:val="00D727E2"/>
    <w:rsid w:val="00D72A3A"/>
    <w:rsid w:val="00D72BFE"/>
    <w:rsid w:val="00D72C1E"/>
    <w:rsid w:val="00D72E88"/>
    <w:rsid w:val="00D7312E"/>
    <w:rsid w:val="00D7378C"/>
    <w:rsid w:val="00D73D64"/>
    <w:rsid w:val="00D73E72"/>
    <w:rsid w:val="00D745DF"/>
    <w:rsid w:val="00D748A2"/>
    <w:rsid w:val="00D74A97"/>
    <w:rsid w:val="00D74C6E"/>
    <w:rsid w:val="00D750B3"/>
    <w:rsid w:val="00D75275"/>
    <w:rsid w:val="00D752C9"/>
    <w:rsid w:val="00D7585B"/>
    <w:rsid w:val="00D75943"/>
    <w:rsid w:val="00D7594E"/>
    <w:rsid w:val="00D75A09"/>
    <w:rsid w:val="00D75F48"/>
    <w:rsid w:val="00D760F3"/>
    <w:rsid w:val="00D76275"/>
    <w:rsid w:val="00D762F8"/>
    <w:rsid w:val="00D76338"/>
    <w:rsid w:val="00D763C8"/>
    <w:rsid w:val="00D7641E"/>
    <w:rsid w:val="00D76A85"/>
    <w:rsid w:val="00D76D0B"/>
    <w:rsid w:val="00D76D3D"/>
    <w:rsid w:val="00D76FCF"/>
    <w:rsid w:val="00D770B6"/>
    <w:rsid w:val="00D77273"/>
    <w:rsid w:val="00D772FF"/>
    <w:rsid w:val="00D7769B"/>
    <w:rsid w:val="00D776C9"/>
    <w:rsid w:val="00D77976"/>
    <w:rsid w:val="00D7797C"/>
    <w:rsid w:val="00D77BE6"/>
    <w:rsid w:val="00D77C86"/>
    <w:rsid w:val="00D800F3"/>
    <w:rsid w:val="00D8025C"/>
    <w:rsid w:val="00D80288"/>
    <w:rsid w:val="00D802C8"/>
    <w:rsid w:val="00D8044D"/>
    <w:rsid w:val="00D8071B"/>
    <w:rsid w:val="00D80845"/>
    <w:rsid w:val="00D80A27"/>
    <w:rsid w:val="00D80A53"/>
    <w:rsid w:val="00D80D56"/>
    <w:rsid w:val="00D80E81"/>
    <w:rsid w:val="00D81008"/>
    <w:rsid w:val="00D815BD"/>
    <w:rsid w:val="00D81B35"/>
    <w:rsid w:val="00D81C50"/>
    <w:rsid w:val="00D81DEB"/>
    <w:rsid w:val="00D8203D"/>
    <w:rsid w:val="00D8206F"/>
    <w:rsid w:val="00D8248C"/>
    <w:rsid w:val="00D824B1"/>
    <w:rsid w:val="00D8258D"/>
    <w:rsid w:val="00D826EB"/>
    <w:rsid w:val="00D82926"/>
    <w:rsid w:val="00D82D44"/>
    <w:rsid w:val="00D82F18"/>
    <w:rsid w:val="00D8306F"/>
    <w:rsid w:val="00D830FD"/>
    <w:rsid w:val="00D833D4"/>
    <w:rsid w:val="00D834AB"/>
    <w:rsid w:val="00D83659"/>
    <w:rsid w:val="00D83766"/>
    <w:rsid w:val="00D83A13"/>
    <w:rsid w:val="00D83BC4"/>
    <w:rsid w:val="00D83E2D"/>
    <w:rsid w:val="00D840EB"/>
    <w:rsid w:val="00D84123"/>
    <w:rsid w:val="00D84412"/>
    <w:rsid w:val="00D846EC"/>
    <w:rsid w:val="00D84A68"/>
    <w:rsid w:val="00D84D27"/>
    <w:rsid w:val="00D84EFA"/>
    <w:rsid w:val="00D84EFB"/>
    <w:rsid w:val="00D84FD7"/>
    <w:rsid w:val="00D8501A"/>
    <w:rsid w:val="00D85059"/>
    <w:rsid w:val="00D851CD"/>
    <w:rsid w:val="00D85375"/>
    <w:rsid w:val="00D8537B"/>
    <w:rsid w:val="00D8544E"/>
    <w:rsid w:val="00D85670"/>
    <w:rsid w:val="00D85934"/>
    <w:rsid w:val="00D85CD2"/>
    <w:rsid w:val="00D85D06"/>
    <w:rsid w:val="00D8640C"/>
    <w:rsid w:val="00D867C0"/>
    <w:rsid w:val="00D868AC"/>
    <w:rsid w:val="00D8692E"/>
    <w:rsid w:val="00D869E1"/>
    <w:rsid w:val="00D86B2D"/>
    <w:rsid w:val="00D8718E"/>
    <w:rsid w:val="00D873E1"/>
    <w:rsid w:val="00D8754B"/>
    <w:rsid w:val="00D87856"/>
    <w:rsid w:val="00D87F29"/>
    <w:rsid w:val="00D87F47"/>
    <w:rsid w:val="00D900D8"/>
    <w:rsid w:val="00D90460"/>
    <w:rsid w:val="00D90667"/>
    <w:rsid w:val="00D907FF"/>
    <w:rsid w:val="00D9085F"/>
    <w:rsid w:val="00D90927"/>
    <w:rsid w:val="00D90941"/>
    <w:rsid w:val="00D9098E"/>
    <w:rsid w:val="00D90C0E"/>
    <w:rsid w:val="00D910E5"/>
    <w:rsid w:val="00D91100"/>
    <w:rsid w:val="00D9112E"/>
    <w:rsid w:val="00D91237"/>
    <w:rsid w:val="00D912DD"/>
    <w:rsid w:val="00D917F7"/>
    <w:rsid w:val="00D91864"/>
    <w:rsid w:val="00D918DB"/>
    <w:rsid w:val="00D91A18"/>
    <w:rsid w:val="00D91B62"/>
    <w:rsid w:val="00D91B85"/>
    <w:rsid w:val="00D91C2A"/>
    <w:rsid w:val="00D91C55"/>
    <w:rsid w:val="00D91DA0"/>
    <w:rsid w:val="00D92227"/>
    <w:rsid w:val="00D92275"/>
    <w:rsid w:val="00D92382"/>
    <w:rsid w:val="00D9259A"/>
    <w:rsid w:val="00D925EC"/>
    <w:rsid w:val="00D92666"/>
    <w:rsid w:val="00D929D2"/>
    <w:rsid w:val="00D92B97"/>
    <w:rsid w:val="00D92C6A"/>
    <w:rsid w:val="00D92EE4"/>
    <w:rsid w:val="00D93030"/>
    <w:rsid w:val="00D93117"/>
    <w:rsid w:val="00D93501"/>
    <w:rsid w:val="00D9351D"/>
    <w:rsid w:val="00D935BE"/>
    <w:rsid w:val="00D93A02"/>
    <w:rsid w:val="00D93A21"/>
    <w:rsid w:val="00D93D24"/>
    <w:rsid w:val="00D9415D"/>
    <w:rsid w:val="00D94184"/>
    <w:rsid w:val="00D941CE"/>
    <w:rsid w:val="00D94378"/>
    <w:rsid w:val="00D94504"/>
    <w:rsid w:val="00D94B0C"/>
    <w:rsid w:val="00D94B3C"/>
    <w:rsid w:val="00D94B92"/>
    <w:rsid w:val="00D950BE"/>
    <w:rsid w:val="00D95598"/>
    <w:rsid w:val="00D9594D"/>
    <w:rsid w:val="00D96311"/>
    <w:rsid w:val="00D96381"/>
    <w:rsid w:val="00D96382"/>
    <w:rsid w:val="00D96439"/>
    <w:rsid w:val="00D967E4"/>
    <w:rsid w:val="00D968B8"/>
    <w:rsid w:val="00D970B7"/>
    <w:rsid w:val="00D973D0"/>
    <w:rsid w:val="00D975B7"/>
    <w:rsid w:val="00D9797C"/>
    <w:rsid w:val="00D97987"/>
    <w:rsid w:val="00D979D5"/>
    <w:rsid w:val="00D97A88"/>
    <w:rsid w:val="00D97A93"/>
    <w:rsid w:val="00D97AAC"/>
    <w:rsid w:val="00D97AEB"/>
    <w:rsid w:val="00D97CBE"/>
    <w:rsid w:val="00DA01FE"/>
    <w:rsid w:val="00DA04D2"/>
    <w:rsid w:val="00DA0753"/>
    <w:rsid w:val="00DA087A"/>
    <w:rsid w:val="00DA08A9"/>
    <w:rsid w:val="00DA131B"/>
    <w:rsid w:val="00DA13BE"/>
    <w:rsid w:val="00DA14A9"/>
    <w:rsid w:val="00DA160B"/>
    <w:rsid w:val="00DA1B66"/>
    <w:rsid w:val="00DA1E3D"/>
    <w:rsid w:val="00DA1F76"/>
    <w:rsid w:val="00DA22F7"/>
    <w:rsid w:val="00DA23ED"/>
    <w:rsid w:val="00DA2B97"/>
    <w:rsid w:val="00DA2BB6"/>
    <w:rsid w:val="00DA2E20"/>
    <w:rsid w:val="00DA30FC"/>
    <w:rsid w:val="00DA3145"/>
    <w:rsid w:val="00DA35CA"/>
    <w:rsid w:val="00DA35F8"/>
    <w:rsid w:val="00DA3A84"/>
    <w:rsid w:val="00DA3BEF"/>
    <w:rsid w:val="00DA3F0C"/>
    <w:rsid w:val="00DA4120"/>
    <w:rsid w:val="00DA4332"/>
    <w:rsid w:val="00DA441B"/>
    <w:rsid w:val="00DA487F"/>
    <w:rsid w:val="00DA48A0"/>
    <w:rsid w:val="00DA4A6E"/>
    <w:rsid w:val="00DA4C04"/>
    <w:rsid w:val="00DA4E41"/>
    <w:rsid w:val="00DA4EB7"/>
    <w:rsid w:val="00DA50E3"/>
    <w:rsid w:val="00DA522D"/>
    <w:rsid w:val="00DA53F4"/>
    <w:rsid w:val="00DA5734"/>
    <w:rsid w:val="00DA587F"/>
    <w:rsid w:val="00DA5A8B"/>
    <w:rsid w:val="00DA5C4F"/>
    <w:rsid w:val="00DA603F"/>
    <w:rsid w:val="00DA6730"/>
    <w:rsid w:val="00DA696F"/>
    <w:rsid w:val="00DA69BF"/>
    <w:rsid w:val="00DA6AD0"/>
    <w:rsid w:val="00DA6C42"/>
    <w:rsid w:val="00DA70DA"/>
    <w:rsid w:val="00DA7277"/>
    <w:rsid w:val="00DA7326"/>
    <w:rsid w:val="00DA76C6"/>
    <w:rsid w:val="00DA77CE"/>
    <w:rsid w:val="00DA7889"/>
    <w:rsid w:val="00DA7ADB"/>
    <w:rsid w:val="00DA7D10"/>
    <w:rsid w:val="00DB05D8"/>
    <w:rsid w:val="00DB0712"/>
    <w:rsid w:val="00DB077B"/>
    <w:rsid w:val="00DB0833"/>
    <w:rsid w:val="00DB08D7"/>
    <w:rsid w:val="00DB0A00"/>
    <w:rsid w:val="00DB0AA8"/>
    <w:rsid w:val="00DB11BC"/>
    <w:rsid w:val="00DB1257"/>
    <w:rsid w:val="00DB1639"/>
    <w:rsid w:val="00DB1683"/>
    <w:rsid w:val="00DB1803"/>
    <w:rsid w:val="00DB18C3"/>
    <w:rsid w:val="00DB1F40"/>
    <w:rsid w:val="00DB2024"/>
    <w:rsid w:val="00DB224D"/>
    <w:rsid w:val="00DB230C"/>
    <w:rsid w:val="00DB23CC"/>
    <w:rsid w:val="00DB2405"/>
    <w:rsid w:val="00DB25F8"/>
    <w:rsid w:val="00DB25FA"/>
    <w:rsid w:val="00DB2794"/>
    <w:rsid w:val="00DB2896"/>
    <w:rsid w:val="00DB28EC"/>
    <w:rsid w:val="00DB2D41"/>
    <w:rsid w:val="00DB2EE1"/>
    <w:rsid w:val="00DB3255"/>
    <w:rsid w:val="00DB3421"/>
    <w:rsid w:val="00DB3549"/>
    <w:rsid w:val="00DB369B"/>
    <w:rsid w:val="00DB376E"/>
    <w:rsid w:val="00DB3BFB"/>
    <w:rsid w:val="00DB3C0A"/>
    <w:rsid w:val="00DB3D7F"/>
    <w:rsid w:val="00DB40B4"/>
    <w:rsid w:val="00DB41F7"/>
    <w:rsid w:val="00DB4452"/>
    <w:rsid w:val="00DB4990"/>
    <w:rsid w:val="00DB4B3B"/>
    <w:rsid w:val="00DB536D"/>
    <w:rsid w:val="00DB5555"/>
    <w:rsid w:val="00DB5991"/>
    <w:rsid w:val="00DB5A96"/>
    <w:rsid w:val="00DB5BF8"/>
    <w:rsid w:val="00DB61CF"/>
    <w:rsid w:val="00DB66B3"/>
    <w:rsid w:val="00DB6A28"/>
    <w:rsid w:val="00DB6D67"/>
    <w:rsid w:val="00DB6E94"/>
    <w:rsid w:val="00DB6EE7"/>
    <w:rsid w:val="00DB73F7"/>
    <w:rsid w:val="00DB79A3"/>
    <w:rsid w:val="00DB7AD1"/>
    <w:rsid w:val="00DB7D74"/>
    <w:rsid w:val="00DC0030"/>
    <w:rsid w:val="00DC0B29"/>
    <w:rsid w:val="00DC0BD9"/>
    <w:rsid w:val="00DC0E8E"/>
    <w:rsid w:val="00DC1294"/>
    <w:rsid w:val="00DC131A"/>
    <w:rsid w:val="00DC1688"/>
    <w:rsid w:val="00DC16A8"/>
    <w:rsid w:val="00DC1928"/>
    <w:rsid w:val="00DC1D28"/>
    <w:rsid w:val="00DC1DC5"/>
    <w:rsid w:val="00DC1FE5"/>
    <w:rsid w:val="00DC21C3"/>
    <w:rsid w:val="00DC21DF"/>
    <w:rsid w:val="00DC2325"/>
    <w:rsid w:val="00DC24E4"/>
    <w:rsid w:val="00DC250D"/>
    <w:rsid w:val="00DC292A"/>
    <w:rsid w:val="00DC3401"/>
    <w:rsid w:val="00DC358C"/>
    <w:rsid w:val="00DC36DF"/>
    <w:rsid w:val="00DC392D"/>
    <w:rsid w:val="00DC4022"/>
    <w:rsid w:val="00DC40BA"/>
    <w:rsid w:val="00DC4526"/>
    <w:rsid w:val="00DC45E1"/>
    <w:rsid w:val="00DC45F3"/>
    <w:rsid w:val="00DC47DF"/>
    <w:rsid w:val="00DC4A3F"/>
    <w:rsid w:val="00DC5195"/>
    <w:rsid w:val="00DC57CD"/>
    <w:rsid w:val="00DC5C04"/>
    <w:rsid w:val="00DC5DA6"/>
    <w:rsid w:val="00DC5E42"/>
    <w:rsid w:val="00DC604C"/>
    <w:rsid w:val="00DC6229"/>
    <w:rsid w:val="00DC65DD"/>
    <w:rsid w:val="00DC66C3"/>
    <w:rsid w:val="00DC6C37"/>
    <w:rsid w:val="00DC6C85"/>
    <w:rsid w:val="00DC6D41"/>
    <w:rsid w:val="00DC6F2E"/>
    <w:rsid w:val="00DC70A4"/>
    <w:rsid w:val="00DC7287"/>
    <w:rsid w:val="00DC740E"/>
    <w:rsid w:val="00DC7466"/>
    <w:rsid w:val="00DC7626"/>
    <w:rsid w:val="00DC7C2B"/>
    <w:rsid w:val="00DC7CD9"/>
    <w:rsid w:val="00DC7D8B"/>
    <w:rsid w:val="00DC7DB3"/>
    <w:rsid w:val="00DC7E1F"/>
    <w:rsid w:val="00DC7F87"/>
    <w:rsid w:val="00DD002B"/>
    <w:rsid w:val="00DD044A"/>
    <w:rsid w:val="00DD05AD"/>
    <w:rsid w:val="00DD08EE"/>
    <w:rsid w:val="00DD1059"/>
    <w:rsid w:val="00DD11B3"/>
    <w:rsid w:val="00DD126F"/>
    <w:rsid w:val="00DD145A"/>
    <w:rsid w:val="00DD15AA"/>
    <w:rsid w:val="00DD1645"/>
    <w:rsid w:val="00DD1662"/>
    <w:rsid w:val="00DD1744"/>
    <w:rsid w:val="00DD17CF"/>
    <w:rsid w:val="00DD1812"/>
    <w:rsid w:val="00DD1823"/>
    <w:rsid w:val="00DD1AAE"/>
    <w:rsid w:val="00DD1C09"/>
    <w:rsid w:val="00DD217C"/>
    <w:rsid w:val="00DD24BE"/>
    <w:rsid w:val="00DD2640"/>
    <w:rsid w:val="00DD2BEC"/>
    <w:rsid w:val="00DD2C11"/>
    <w:rsid w:val="00DD2D75"/>
    <w:rsid w:val="00DD2DF1"/>
    <w:rsid w:val="00DD2ED9"/>
    <w:rsid w:val="00DD3276"/>
    <w:rsid w:val="00DD349E"/>
    <w:rsid w:val="00DD371D"/>
    <w:rsid w:val="00DD3817"/>
    <w:rsid w:val="00DD388E"/>
    <w:rsid w:val="00DD3DDB"/>
    <w:rsid w:val="00DD3F10"/>
    <w:rsid w:val="00DD426E"/>
    <w:rsid w:val="00DD4464"/>
    <w:rsid w:val="00DD4F90"/>
    <w:rsid w:val="00DD50C2"/>
    <w:rsid w:val="00DD53B9"/>
    <w:rsid w:val="00DD53BE"/>
    <w:rsid w:val="00DD53E0"/>
    <w:rsid w:val="00DD54E3"/>
    <w:rsid w:val="00DD5561"/>
    <w:rsid w:val="00DD5829"/>
    <w:rsid w:val="00DD5A82"/>
    <w:rsid w:val="00DD628F"/>
    <w:rsid w:val="00DD62CC"/>
    <w:rsid w:val="00DD6704"/>
    <w:rsid w:val="00DD6A82"/>
    <w:rsid w:val="00DD71F5"/>
    <w:rsid w:val="00DD755B"/>
    <w:rsid w:val="00DD77F3"/>
    <w:rsid w:val="00DD7850"/>
    <w:rsid w:val="00DD798E"/>
    <w:rsid w:val="00DD7F8D"/>
    <w:rsid w:val="00DE0271"/>
    <w:rsid w:val="00DE0913"/>
    <w:rsid w:val="00DE0C28"/>
    <w:rsid w:val="00DE0D63"/>
    <w:rsid w:val="00DE0DCE"/>
    <w:rsid w:val="00DE0ECF"/>
    <w:rsid w:val="00DE1C7D"/>
    <w:rsid w:val="00DE1F66"/>
    <w:rsid w:val="00DE2113"/>
    <w:rsid w:val="00DE236D"/>
    <w:rsid w:val="00DE23D8"/>
    <w:rsid w:val="00DE2765"/>
    <w:rsid w:val="00DE31E4"/>
    <w:rsid w:val="00DE32D3"/>
    <w:rsid w:val="00DE3334"/>
    <w:rsid w:val="00DE343B"/>
    <w:rsid w:val="00DE362D"/>
    <w:rsid w:val="00DE3BE1"/>
    <w:rsid w:val="00DE3E2F"/>
    <w:rsid w:val="00DE3E98"/>
    <w:rsid w:val="00DE3FC1"/>
    <w:rsid w:val="00DE4387"/>
    <w:rsid w:val="00DE474D"/>
    <w:rsid w:val="00DE4798"/>
    <w:rsid w:val="00DE4CFE"/>
    <w:rsid w:val="00DE4F2D"/>
    <w:rsid w:val="00DE4F8F"/>
    <w:rsid w:val="00DE505A"/>
    <w:rsid w:val="00DE5083"/>
    <w:rsid w:val="00DE518D"/>
    <w:rsid w:val="00DE5270"/>
    <w:rsid w:val="00DE52AE"/>
    <w:rsid w:val="00DE5321"/>
    <w:rsid w:val="00DE5689"/>
    <w:rsid w:val="00DE58F8"/>
    <w:rsid w:val="00DE5A47"/>
    <w:rsid w:val="00DE5B15"/>
    <w:rsid w:val="00DE5C1C"/>
    <w:rsid w:val="00DE5F4B"/>
    <w:rsid w:val="00DE600F"/>
    <w:rsid w:val="00DE6582"/>
    <w:rsid w:val="00DE6A26"/>
    <w:rsid w:val="00DE6D91"/>
    <w:rsid w:val="00DE71EE"/>
    <w:rsid w:val="00DE7523"/>
    <w:rsid w:val="00DE7A88"/>
    <w:rsid w:val="00DE7B7E"/>
    <w:rsid w:val="00DE7F41"/>
    <w:rsid w:val="00DE7FCF"/>
    <w:rsid w:val="00DF0200"/>
    <w:rsid w:val="00DF028A"/>
    <w:rsid w:val="00DF06EF"/>
    <w:rsid w:val="00DF07DB"/>
    <w:rsid w:val="00DF0B31"/>
    <w:rsid w:val="00DF0CC7"/>
    <w:rsid w:val="00DF15FB"/>
    <w:rsid w:val="00DF196D"/>
    <w:rsid w:val="00DF1E7C"/>
    <w:rsid w:val="00DF203A"/>
    <w:rsid w:val="00DF2133"/>
    <w:rsid w:val="00DF2160"/>
    <w:rsid w:val="00DF21F8"/>
    <w:rsid w:val="00DF2223"/>
    <w:rsid w:val="00DF228C"/>
    <w:rsid w:val="00DF23AC"/>
    <w:rsid w:val="00DF27DA"/>
    <w:rsid w:val="00DF3203"/>
    <w:rsid w:val="00DF335F"/>
    <w:rsid w:val="00DF338E"/>
    <w:rsid w:val="00DF366C"/>
    <w:rsid w:val="00DF3A5E"/>
    <w:rsid w:val="00DF3B17"/>
    <w:rsid w:val="00DF3BFD"/>
    <w:rsid w:val="00DF3DA9"/>
    <w:rsid w:val="00DF3E45"/>
    <w:rsid w:val="00DF428A"/>
    <w:rsid w:val="00DF46A6"/>
    <w:rsid w:val="00DF493A"/>
    <w:rsid w:val="00DF4AFF"/>
    <w:rsid w:val="00DF4E00"/>
    <w:rsid w:val="00DF4E03"/>
    <w:rsid w:val="00DF4ECE"/>
    <w:rsid w:val="00DF4F1B"/>
    <w:rsid w:val="00DF50A0"/>
    <w:rsid w:val="00DF51FC"/>
    <w:rsid w:val="00DF5510"/>
    <w:rsid w:val="00DF5770"/>
    <w:rsid w:val="00DF5A67"/>
    <w:rsid w:val="00DF5AE9"/>
    <w:rsid w:val="00DF5B8F"/>
    <w:rsid w:val="00DF5D6C"/>
    <w:rsid w:val="00DF6073"/>
    <w:rsid w:val="00DF639B"/>
    <w:rsid w:val="00DF63AE"/>
    <w:rsid w:val="00DF63C6"/>
    <w:rsid w:val="00DF6484"/>
    <w:rsid w:val="00DF64AE"/>
    <w:rsid w:val="00DF6509"/>
    <w:rsid w:val="00DF7084"/>
    <w:rsid w:val="00DF7225"/>
    <w:rsid w:val="00DF7695"/>
    <w:rsid w:val="00DF77DC"/>
    <w:rsid w:val="00DF77DE"/>
    <w:rsid w:val="00DF7BD7"/>
    <w:rsid w:val="00DF7D39"/>
    <w:rsid w:val="00E001A7"/>
    <w:rsid w:val="00E007D6"/>
    <w:rsid w:val="00E0083C"/>
    <w:rsid w:val="00E00AFE"/>
    <w:rsid w:val="00E00C23"/>
    <w:rsid w:val="00E00EE4"/>
    <w:rsid w:val="00E00FDC"/>
    <w:rsid w:val="00E01289"/>
    <w:rsid w:val="00E014D8"/>
    <w:rsid w:val="00E0179D"/>
    <w:rsid w:val="00E019B6"/>
    <w:rsid w:val="00E01A8F"/>
    <w:rsid w:val="00E01AC1"/>
    <w:rsid w:val="00E020CF"/>
    <w:rsid w:val="00E021B7"/>
    <w:rsid w:val="00E021C0"/>
    <w:rsid w:val="00E02261"/>
    <w:rsid w:val="00E024D4"/>
    <w:rsid w:val="00E02D19"/>
    <w:rsid w:val="00E02E04"/>
    <w:rsid w:val="00E02F52"/>
    <w:rsid w:val="00E03216"/>
    <w:rsid w:val="00E0335E"/>
    <w:rsid w:val="00E03379"/>
    <w:rsid w:val="00E03744"/>
    <w:rsid w:val="00E038CB"/>
    <w:rsid w:val="00E03CBB"/>
    <w:rsid w:val="00E03F88"/>
    <w:rsid w:val="00E0439B"/>
    <w:rsid w:val="00E04480"/>
    <w:rsid w:val="00E0462E"/>
    <w:rsid w:val="00E0468F"/>
    <w:rsid w:val="00E049D5"/>
    <w:rsid w:val="00E04B77"/>
    <w:rsid w:val="00E04B88"/>
    <w:rsid w:val="00E04D9F"/>
    <w:rsid w:val="00E050F4"/>
    <w:rsid w:val="00E051EE"/>
    <w:rsid w:val="00E052C8"/>
    <w:rsid w:val="00E05506"/>
    <w:rsid w:val="00E0563E"/>
    <w:rsid w:val="00E05778"/>
    <w:rsid w:val="00E059E3"/>
    <w:rsid w:val="00E05D93"/>
    <w:rsid w:val="00E06163"/>
    <w:rsid w:val="00E06656"/>
    <w:rsid w:val="00E06A31"/>
    <w:rsid w:val="00E06B2B"/>
    <w:rsid w:val="00E06C37"/>
    <w:rsid w:val="00E06DAC"/>
    <w:rsid w:val="00E06EDB"/>
    <w:rsid w:val="00E06FF8"/>
    <w:rsid w:val="00E0751E"/>
    <w:rsid w:val="00E0755D"/>
    <w:rsid w:val="00E07607"/>
    <w:rsid w:val="00E07899"/>
    <w:rsid w:val="00E078B3"/>
    <w:rsid w:val="00E07A0F"/>
    <w:rsid w:val="00E07B41"/>
    <w:rsid w:val="00E07DC5"/>
    <w:rsid w:val="00E10344"/>
    <w:rsid w:val="00E1037F"/>
    <w:rsid w:val="00E103DD"/>
    <w:rsid w:val="00E10626"/>
    <w:rsid w:val="00E10679"/>
    <w:rsid w:val="00E10CEA"/>
    <w:rsid w:val="00E10EB1"/>
    <w:rsid w:val="00E10F41"/>
    <w:rsid w:val="00E113FD"/>
    <w:rsid w:val="00E11646"/>
    <w:rsid w:val="00E116CA"/>
    <w:rsid w:val="00E117E7"/>
    <w:rsid w:val="00E1196E"/>
    <w:rsid w:val="00E119EB"/>
    <w:rsid w:val="00E11EA8"/>
    <w:rsid w:val="00E120FC"/>
    <w:rsid w:val="00E1215A"/>
    <w:rsid w:val="00E1224F"/>
    <w:rsid w:val="00E12255"/>
    <w:rsid w:val="00E126CC"/>
    <w:rsid w:val="00E12705"/>
    <w:rsid w:val="00E128BE"/>
    <w:rsid w:val="00E128D4"/>
    <w:rsid w:val="00E128D8"/>
    <w:rsid w:val="00E128E1"/>
    <w:rsid w:val="00E12905"/>
    <w:rsid w:val="00E12B20"/>
    <w:rsid w:val="00E12D77"/>
    <w:rsid w:val="00E13164"/>
    <w:rsid w:val="00E132C8"/>
    <w:rsid w:val="00E1346F"/>
    <w:rsid w:val="00E13947"/>
    <w:rsid w:val="00E1404B"/>
    <w:rsid w:val="00E14128"/>
    <w:rsid w:val="00E146B1"/>
    <w:rsid w:val="00E148E9"/>
    <w:rsid w:val="00E14A2D"/>
    <w:rsid w:val="00E14DC1"/>
    <w:rsid w:val="00E15174"/>
    <w:rsid w:val="00E1521B"/>
    <w:rsid w:val="00E15385"/>
    <w:rsid w:val="00E157BD"/>
    <w:rsid w:val="00E15895"/>
    <w:rsid w:val="00E1597C"/>
    <w:rsid w:val="00E15A71"/>
    <w:rsid w:val="00E15C2E"/>
    <w:rsid w:val="00E16003"/>
    <w:rsid w:val="00E16015"/>
    <w:rsid w:val="00E160C2"/>
    <w:rsid w:val="00E161C3"/>
    <w:rsid w:val="00E16302"/>
    <w:rsid w:val="00E1698C"/>
    <w:rsid w:val="00E1715B"/>
    <w:rsid w:val="00E173CA"/>
    <w:rsid w:val="00E1780E"/>
    <w:rsid w:val="00E178C8"/>
    <w:rsid w:val="00E17AC4"/>
    <w:rsid w:val="00E17BA5"/>
    <w:rsid w:val="00E17C9D"/>
    <w:rsid w:val="00E17E09"/>
    <w:rsid w:val="00E17E0F"/>
    <w:rsid w:val="00E17E34"/>
    <w:rsid w:val="00E17F06"/>
    <w:rsid w:val="00E202FC"/>
    <w:rsid w:val="00E202FE"/>
    <w:rsid w:val="00E204AD"/>
    <w:rsid w:val="00E2077D"/>
    <w:rsid w:val="00E20975"/>
    <w:rsid w:val="00E209E7"/>
    <w:rsid w:val="00E20AFB"/>
    <w:rsid w:val="00E20C55"/>
    <w:rsid w:val="00E20F80"/>
    <w:rsid w:val="00E2111A"/>
    <w:rsid w:val="00E2149B"/>
    <w:rsid w:val="00E214E1"/>
    <w:rsid w:val="00E216CB"/>
    <w:rsid w:val="00E217E6"/>
    <w:rsid w:val="00E21DAA"/>
    <w:rsid w:val="00E224DC"/>
    <w:rsid w:val="00E22A31"/>
    <w:rsid w:val="00E22B2F"/>
    <w:rsid w:val="00E22B7F"/>
    <w:rsid w:val="00E22D0A"/>
    <w:rsid w:val="00E22D43"/>
    <w:rsid w:val="00E2300F"/>
    <w:rsid w:val="00E230E9"/>
    <w:rsid w:val="00E232E7"/>
    <w:rsid w:val="00E234CF"/>
    <w:rsid w:val="00E23740"/>
    <w:rsid w:val="00E23C65"/>
    <w:rsid w:val="00E23F46"/>
    <w:rsid w:val="00E24092"/>
    <w:rsid w:val="00E24228"/>
    <w:rsid w:val="00E2489E"/>
    <w:rsid w:val="00E24D0F"/>
    <w:rsid w:val="00E24DC5"/>
    <w:rsid w:val="00E24E04"/>
    <w:rsid w:val="00E24EE3"/>
    <w:rsid w:val="00E255CC"/>
    <w:rsid w:val="00E2581B"/>
    <w:rsid w:val="00E259E9"/>
    <w:rsid w:val="00E25AD8"/>
    <w:rsid w:val="00E25B96"/>
    <w:rsid w:val="00E25D04"/>
    <w:rsid w:val="00E25E30"/>
    <w:rsid w:val="00E25FC5"/>
    <w:rsid w:val="00E26129"/>
    <w:rsid w:val="00E2617F"/>
    <w:rsid w:val="00E26294"/>
    <w:rsid w:val="00E263F7"/>
    <w:rsid w:val="00E2685A"/>
    <w:rsid w:val="00E26982"/>
    <w:rsid w:val="00E269C8"/>
    <w:rsid w:val="00E26CE8"/>
    <w:rsid w:val="00E26EC0"/>
    <w:rsid w:val="00E26EFF"/>
    <w:rsid w:val="00E26F59"/>
    <w:rsid w:val="00E271BF"/>
    <w:rsid w:val="00E27310"/>
    <w:rsid w:val="00E27759"/>
    <w:rsid w:val="00E27874"/>
    <w:rsid w:val="00E27BB4"/>
    <w:rsid w:val="00E27CAA"/>
    <w:rsid w:val="00E27DB5"/>
    <w:rsid w:val="00E27E22"/>
    <w:rsid w:val="00E27FFD"/>
    <w:rsid w:val="00E300AE"/>
    <w:rsid w:val="00E307D2"/>
    <w:rsid w:val="00E308C0"/>
    <w:rsid w:val="00E309F2"/>
    <w:rsid w:val="00E30AE4"/>
    <w:rsid w:val="00E30B25"/>
    <w:rsid w:val="00E30BD2"/>
    <w:rsid w:val="00E310F3"/>
    <w:rsid w:val="00E31415"/>
    <w:rsid w:val="00E31543"/>
    <w:rsid w:val="00E3159D"/>
    <w:rsid w:val="00E31954"/>
    <w:rsid w:val="00E3196C"/>
    <w:rsid w:val="00E319B5"/>
    <w:rsid w:val="00E31BA9"/>
    <w:rsid w:val="00E31BF4"/>
    <w:rsid w:val="00E31EAF"/>
    <w:rsid w:val="00E31FCD"/>
    <w:rsid w:val="00E321D6"/>
    <w:rsid w:val="00E3240F"/>
    <w:rsid w:val="00E32435"/>
    <w:rsid w:val="00E327E6"/>
    <w:rsid w:val="00E32844"/>
    <w:rsid w:val="00E32871"/>
    <w:rsid w:val="00E3296C"/>
    <w:rsid w:val="00E32B62"/>
    <w:rsid w:val="00E32B73"/>
    <w:rsid w:val="00E32DEF"/>
    <w:rsid w:val="00E32EDB"/>
    <w:rsid w:val="00E32FE1"/>
    <w:rsid w:val="00E33185"/>
    <w:rsid w:val="00E331E1"/>
    <w:rsid w:val="00E3338A"/>
    <w:rsid w:val="00E33472"/>
    <w:rsid w:val="00E335BC"/>
    <w:rsid w:val="00E33A0E"/>
    <w:rsid w:val="00E33A33"/>
    <w:rsid w:val="00E33B53"/>
    <w:rsid w:val="00E33D1A"/>
    <w:rsid w:val="00E33EBA"/>
    <w:rsid w:val="00E34029"/>
    <w:rsid w:val="00E34704"/>
    <w:rsid w:val="00E348CE"/>
    <w:rsid w:val="00E349A1"/>
    <w:rsid w:val="00E349B1"/>
    <w:rsid w:val="00E34A0A"/>
    <w:rsid w:val="00E34A4B"/>
    <w:rsid w:val="00E34D6A"/>
    <w:rsid w:val="00E34EEB"/>
    <w:rsid w:val="00E34FE0"/>
    <w:rsid w:val="00E3511C"/>
    <w:rsid w:val="00E35159"/>
    <w:rsid w:val="00E351F0"/>
    <w:rsid w:val="00E354B0"/>
    <w:rsid w:val="00E354C2"/>
    <w:rsid w:val="00E3552D"/>
    <w:rsid w:val="00E35966"/>
    <w:rsid w:val="00E359D5"/>
    <w:rsid w:val="00E35A61"/>
    <w:rsid w:val="00E35ADD"/>
    <w:rsid w:val="00E35CD9"/>
    <w:rsid w:val="00E35F9D"/>
    <w:rsid w:val="00E35FDA"/>
    <w:rsid w:val="00E3601F"/>
    <w:rsid w:val="00E36224"/>
    <w:rsid w:val="00E36286"/>
    <w:rsid w:val="00E36371"/>
    <w:rsid w:val="00E36458"/>
    <w:rsid w:val="00E366CC"/>
    <w:rsid w:val="00E36979"/>
    <w:rsid w:val="00E36A71"/>
    <w:rsid w:val="00E36AC2"/>
    <w:rsid w:val="00E3753A"/>
    <w:rsid w:val="00E37556"/>
    <w:rsid w:val="00E375DD"/>
    <w:rsid w:val="00E3781B"/>
    <w:rsid w:val="00E37957"/>
    <w:rsid w:val="00E3797F"/>
    <w:rsid w:val="00E37DC2"/>
    <w:rsid w:val="00E37E00"/>
    <w:rsid w:val="00E37E61"/>
    <w:rsid w:val="00E404F3"/>
    <w:rsid w:val="00E4070D"/>
    <w:rsid w:val="00E40763"/>
    <w:rsid w:val="00E407F7"/>
    <w:rsid w:val="00E40884"/>
    <w:rsid w:val="00E40971"/>
    <w:rsid w:val="00E40CA0"/>
    <w:rsid w:val="00E40CC3"/>
    <w:rsid w:val="00E40CE3"/>
    <w:rsid w:val="00E40D10"/>
    <w:rsid w:val="00E40F85"/>
    <w:rsid w:val="00E414FC"/>
    <w:rsid w:val="00E4157F"/>
    <w:rsid w:val="00E4188D"/>
    <w:rsid w:val="00E41A5A"/>
    <w:rsid w:val="00E41CCD"/>
    <w:rsid w:val="00E41DD6"/>
    <w:rsid w:val="00E41FDB"/>
    <w:rsid w:val="00E422A5"/>
    <w:rsid w:val="00E42607"/>
    <w:rsid w:val="00E42A90"/>
    <w:rsid w:val="00E42B1E"/>
    <w:rsid w:val="00E42B74"/>
    <w:rsid w:val="00E42C1B"/>
    <w:rsid w:val="00E42C3D"/>
    <w:rsid w:val="00E42EBA"/>
    <w:rsid w:val="00E43436"/>
    <w:rsid w:val="00E434B7"/>
    <w:rsid w:val="00E43676"/>
    <w:rsid w:val="00E437B0"/>
    <w:rsid w:val="00E43957"/>
    <w:rsid w:val="00E43A8C"/>
    <w:rsid w:val="00E43C01"/>
    <w:rsid w:val="00E43CB6"/>
    <w:rsid w:val="00E442AD"/>
    <w:rsid w:val="00E44394"/>
    <w:rsid w:val="00E445FE"/>
    <w:rsid w:val="00E4465C"/>
    <w:rsid w:val="00E4470E"/>
    <w:rsid w:val="00E447AD"/>
    <w:rsid w:val="00E449C4"/>
    <w:rsid w:val="00E44A24"/>
    <w:rsid w:val="00E44A53"/>
    <w:rsid w:val="00E44D0B"/>
    <w:rsid w:val="00E450BC"/>
    <w:rsid w:val="00E45311"/>
    <w:rsid w:val="00E457C2"/>
    <w:rsid w:val="00E4588B"/>
    <w:rsid w:val="00E45B22"/>
    <w:rsid w:val="00E46376"/>
    <w:rsid w:val="00E46485"/>
    <w:rsid w:val="00E466E5"/>
    <w:rsid w:val="00E46A43"/>
    <w:rsid w:val="00E46AAE"/>
    <w:rsid w:val="00E46C52"/>
    <w:rsid w:val="00E46F64"/>
    <w:rsid w:val="00E4701F"/>
    <w:rsid w:val="00E4717A"/>
    <w:rsid w:val="00E47368"/>
    <w:rsid w:val="00E477D0"/>
    <w:rsid w:val="00E478AF"/>
    <w:rsid w:val="00E479DB"/>
    <w:rsid w:val="00E47FA0"/>
    <w:rsid w:val="00E47FBA"/>
    <w:rsid w:val="00E500FC"/>
    <w:rsid w:val="00E5023B"/>
    <w:rsid w:val="00E50579"/>
    <w:rsid w:val="00E50837"/>
    <w:rsid w:val="00E510B5"/>
    <w:rsid w:val="00E514A9"/>
    <w:rsid w:val="00E516E0"/>
    <w:rsid w:val="00E51904"/>
    <w:rsid w:val="00E51C2D"/>
    <w:rsid w:val="00E51D36"/>
    <w:rsid w:val="00E51F85"/>
    <w:rsid w:val="00E5219B"/>
    <w:rsid w:val="00E525BC"/>
    <w:rsid w:val="00E5264E"/>
    <w:rsid w:val="00E52657"/>
    <w:rsid w:val="00E52DAB"/>
    <w:rsid w:val="00E53042"/>
    <w:rsid w:val="00E536FC"/>
    <w:rsid w:val="00E537B0"/>
    <w:rsid w:val="00E5381C"/>
    <w:rsid w:val="00E538C4"/>
    <w:rsid w:val="00E53915"/>
    <w:rsid w:val="00E539F3"/>
    <w:rsid w:val="00E53B47"/>
    <w:rsid w:val="00E53BB8"/>
    <w:rsid w:val="00E53C87"/>
    <w:rsid w:val="00E53C8E"/>
    <w:rsid w:val="00E53F4E"/>
    <w:rsid w:val="00E53FEA"/>
    <w:rsid w:val="00E54064"/>
    <w:rsid w:val="00E54356"/>
    <w:rsid w:val="00E54632"/>
    <w:rsid w:val="00E54670"/>
    <w:rsid w:val="00E547B5"/>
    <w:rsid w:val="00E54DDC"/>
    <w:rsid w:val="00E54F53"/>
    <w:rsid w:val="00E5508D"/>
    <w:rsid w:val="00E55575"/>
    <w:rsid w:val="00E5567F"/>
    <w:rsid w:val="00E55BDB"/>
    <w:rsid w:val="00E5608E"/>
    <w:rsid w:val="00E5610B"/>
    <w:rsid w:val="00E56150"/>
    <w:rsid w:val="00E56212"/>
    <w:rsid w:val="00E56273"/>
    <w:rsid w:val="00E565F1"/>
    <w:rsid w:val="00E567EC"/>
    <w:rsid w:val="00E56A6E"/>
    <w:rsid w:val="00E56C0F"/>
    <w:rsid w:val="00E56FBC"/>
    <w:rsid w:val="00E570A1"/>
    <w:rsid w:val="00E57823"/>
    <w:rsid w:val="00E57977"/>
    <w:rsid w:val="00E5798E"/>
    <w:rsid w:val="00E57AB9"/>
    <w:rsid w:val="00E57EBB"/>
    <w:rsid w:val="00E57F59"/>
    <w:rsid w:val="00E60071"/>
    <w:rsid w:val="00E6015A"/>
    <w:rsid w:val="00E606B9"/>
    <w:rsid w:val="00E60773"/>
    <w:rsid w:val="00E60A14"/>
    <w:rsid w:val="00E60ABD"/>
    <w:rsid w:val="00E60C26"/>
    <w:rsid w:val="00E60CBE"/>
    <w:rsid w:val="00E60F3D"/>
    <w:rsid w:val="00E60F40"/>
    <w:rsid w:val="00E612A1"/>
    <w:rsid w:val="00E614CD"/>
    <w:rsid w:val="00E6156F"/>
    <w:rsid w:val="00E615C0"/>
    <w:rsid w:val="00E615FA"/>
    <w:rsid w:val="00E61998"/>
    <w:rsid w:val="00E61BC1"/>
    <w:rsid w:val="00E61E3A"/>
    <w:rsid w:val="00E61E3F"/>
    <w:rsid w:val="00E62300"/>
    <w:rsid w:val="00E6243E"/>
    <w:rsid w:val="00E628B9"/>
    <w:rsid w:val="00E62984"/>
    <w:rsid w:val="00E62B23"/>
    <w:rsid w:val="00E62DDE"/>
    <w:rsid w:val="00E62EBD"/>
    <w:rsid w:val="00E6309F"/>
    <w:rsid w:val="00E6328E"/>
    <w:rsid w:val="00E633D1"/>
    <w:rsid w:val="00E633FA"/>
    <w:rsid w:val="00E63490"/>
    <w:rsid w:val="00E634B4"/>
    <w:rsid w:val="00E63506"/>
    <w:rsid w:val="00E63609"/>
    <w:rsid w:val="00E636AA"/>
    <w:rsid w:val="00E63AC4"/>
    <w:rsid w:val="00E63AE1"/>
    <w:rsid w:val="00E63C31"/>
    <w:rsid w:val="00E63E52"/>
    <w:rsid w:val="00E64369"/>
    <w:rsid w:val="00E6442B"/>
    <w:rsid w:val="00E644B4"/>
    <w:rsid w:val="00E649ED"/>
    <w:rsid w:val="00E64B50"/>
    <w:rsid w:val="00E65303"/>
    <w:rsid w:val="00E6556D"/>
    <w:rsid w:val="00E659B2"/>
    <w:rsid w:val="00E65A6E"/>
    <w:rsid w:val="00E65C99"/>
    <w:rsid w:val="00E66303"/>
    <w:rsid w:val="00E66467"/>
    <w:rsid w:val="00E66496"/>
    <w:rsid w:val="00E66792"/>
    <w:rsid w:val="00E667D3"/>
    <w:rsid w:val="00E6685C"/>
    <w:rsid w:val="00E66889"/>
    <w:rsid w:val="00E6723E"/>
    <w:rsid w:val="00E672D8"/>
    <w:rsid w:val="00E67628"/>
    <w:rsid w:val="00E67701"/>
    <w:rsid w:val="00E6773E"/>
    <w:rsid w:val="00E678DA"/>
    <w:rsid w:val="00E67EAA"/>
    <w:rsid w:val="00E70130"/>
    <w:rsid w:val="00E7049A"/>
    <w:rsid w:val="00E70514"/>
    <w:rsid w:val="00E70ABC"/>
    <w:rsid w:val="00E70AEB"/>
    <w:rsid w:val="00E70DD1"/>
    <w:rsid w:val="00E70EDA"/>
    <w:rsid w:val="00E70FEE"/>
    <w:rsid w:val="00E710FC"/>
    <w:rsid w:val="00E7117D"/>
    <w:rsid w:val="00E7171D"/>
    <w:rsid w:val="00E71721"/>
    <w:rsid w:val="00E717EA"/>
    <w:rsid w:val="00E71C45"/>
    <w:rsid w:val="00E71C4F"/>
    <w:rsid w:val="00E71C7D"/>
    <w:rsid w:val="00E71CE8"/>
    <w:rsid w:val="00E7206D"/>
    <w:rsid w:val="00E724C6"/>
    <w:rsid w:val="00E72594"/>
    <w:rsid w:val="00E728DC"/>
    <w:rsid w:val="00E72D0D"/>
    <w:rsid w:val="00E72E0D"/>
    <w:rsid w:val="00E732F6"/>
    <w:rsid w:val="00E73A5B"/>
    <w:rsid w:val="00E73B20"/>
    <w:rsid w:val="00E740CE"/>
    <w:rsid w:val="00E741D9"/>
    <w:rsid w:val="00E74397"/>
    <w:rsid w:val="00E7461A"/>
    <w:rsid w:val="00E74ADD"/>
    <w:rsid w:val="00E74AF0"/>
    <w:rsid w:val="00E755A4"/>
    <w:rsid w:val="00E75883"/>
    <w:rsid w:val="00E75CAF"/>
    <w:rsid w:val="00E75EFA"/>
    <w:rsid w:val="00E760FF"/>
    <w:rsid w:val="00E762CF"/>
    <w:rsid w:val="00E762F6"/>
    <w:rsid w:val="00E76443"/>
    <w:rsid w:val="00E766DA"/>
    <w:rsid w:val="00E768B2"/>
    <w:rsid w:val="00E76A7F"/>
    <w:rsid w:val="00E76A91"/>
    <w:rsid w:val="00E76BCE"/>
    <w:rsid w:val="00E76E68"/>
    <w:rsid w:val="00E76FDC"/>
    <w:rsid w:val="00E77096"/>
    <w:rsid w:val="00E7724A"/>
    <w:rsid w:val="00E772A3"/>
    <w:rsid w:val="00E77328"/>
    <w:rsid w:val="00E7741B"/>
    <w:rsid w:val="00E77429"/>
    <w:rsid w:val="00E77452"/>
    <w:rsid w:val="00E77470"/>
    <w:rsid w:val="00E7771F"/>
    <w:rsid w:val="00E77BC8"/>
    <w:rsid w:val="00E77E18"/>
    <w:rsid w:val="00E8030F"/>
    <w:rsid w:val="00E80611"/>
    <w:rsid w:val="00E80621"/>
    <w:rsid w:val="00E807A6"/>
    <w:rsid w:val="00E807FE"/>
    <w:rsid w:val="00E8091E"/>
    <w:rsid w:val="00E809D6"/>
    <w:rsid w:val="00E80EAA"/>
    <w:rsid w:val="00E80FF0"/>
    <w:rsid w:val="00E814CB"/>
    <w:rsid w:val="00E8197E"/>
    <w:rsid w:val="00E81AB7"/>
    <w:rsid w:val="00E81CEC"/>
    <w:rsid w:val="00E81FBF"/>
    <w:rsid w:val="00E82327"/>
    <w:rsid w:val="00E823D0"/>
    <w:rsid w:val="00E82506"/>
    <w:rsid w:val="00E82510"/>
    <w:rsid w:val="00E827AE"/>
    <w:rsid w:val="00E82C56"/>
    <w:rsid w:val="00E832F0"/>
    <w:rsid w:val="00E83A72"/>
    <w:rsid w:val="00E83C77"/>
    <w:rsid w:val="00E83F78"/>
    <w:rsid w:val="00E84258"/>
    <w:rsid w:val="00E842C1"/>
    <w:rsid w:val="00E84329"/>
    <w:rsid w:val="00E84508"/>
    <w:rsid w:val="00E8478D"/>
    <w:rsid w:val="00E84874"/>
    <w:rsid w:val="00E84DE0"/>
    <w:rsid w:val="00E84FB9"/>
    <w:rsid w:val="00E8565A"/>
    <w:rsid w:val="00E856AA"/>
    <w:rsid w:val="00E856B2"/>
    <w:rsid w:val="00E856C7"/>
    <w:rsid w:val="00E85806"/>
    <w:rsid w:val="00E85A87"/>
    <w:rsid w:val="00E85F26"/>
    <w:rsid w:val="00E8604C"/>
    <w:rsid w:val="00E861F2"/>
    <w:rsid w:val="00E862C3"/>
    <w:rsid w:val="00E868DB"/>
    <w:rsid w:val="00E87244"/>
    <w:rsid w:val="00E8724B"/>
    <w:rsid w:val="00E879BC"/>
    <w:rsid w:val="00E87F1D"/>
    <w:rsid w:val="00E900E7"/>
    <w:rsid w:val="00E90295"/>
    <w:rsid w:val="00E903D4"/>
    <w:rsid w:val="00E9081C"/>
    <w:rsid w:val="00E9091E"/>
    <w:rsid w:val="00E90968"/>
    <w:rsid w:val="00E90A6A"/>
    <w:rsid w:val="00E90F62"/>
    <w:rsid w:val="00E913B3"/>
    <w:rsid w:val="00E915AC"/>
    <w:rsid w:val="00E9160C"/>
    <w:rsid w:val="00E9171E"/>
    <w:rsid w:val="00E91771"/>
    <w:rsid w:val="00E91775"/>
    <w:rsid w:val="00E917C9"/>
    <w:rsid w:val="00E919AF"/>
    <w:rsid w:val="00E91F19"/>
    <w:rsid w:val="00E91F74"/>
    <w:rsid w:val="00E920FA"/>
    <w:rsid w:val="00E9225D"/>
    <w:rsid w:val="00E9237C"/>
    <w:rsid w:val="00E92385"/>
    <w:rsid w:val="00E926C0"/>
    <w:rsid w:val="00E92717"/>
    <w:rsid w:val="00E927A4"/>
    <w:rsid w:val="00E9281C"/>
    <w:rsid w:val="00E92918"/>
    <w:rsid w:val="00E92A50"/>
    <w:rsid w:val="00E92DB9"/>
    <w:rsid w:val="00E92E93"/>
    <w:rsid w:val="00E9314A"/>
    <w:rsid w:val="00E932F4"/>
    <w:rsid w:val="00E933B7"/>
    <w:rsid w:val="00E93482"/>
    <w:rsid w:val="00E93530"/>
    <w:rsid w:val="00E93767"/>
    <w:rsid w:val="00E9387C"/>
    <w:rsid w:val="00E939FF"/>
    <w:rsid w:val="00E93AF8"/>
    <w:rsid w:val="00E93FEF"/>
    <w:rsid w:val="00E94176"/>
    <w:rsid w:val="00E94611"/>
    <w:rsid w:val="00E9483D"/>
    <w:rsid w:val="00E949FA"/>
    <w:rsid w:val="00E94AA1"/>
    <w:rsid w:val="00E94C32"/>
    <w:rsid w:val="00E94CB1"/>
    <w:rsid w:val="00E94FB9"/>
    <w:rsid w:val="00E951F5"/>
    <w:rsid w:val="00E9523A"/>
    <w:rsid w:val="00E95394"/>
    <w:rsid w:val="00E95413"/>
    <w:rsid w:val="00E9597C"/>
    <w:rsid w:val="00E959F7"/>
    <w:rsid w:val="00E96318"/>
    <w:rsid w:val="00E96635"/>
    <w:rsid w:val="00E96B33"/>
    <w:rsid w:val="00E96B75"/>
    <w:rsid w:val="00E96C32"/>
    <w:rsid w:val="00E96CCB"/>
    <w:rsid w:val="00E96D45"/>
    <w:rsid w:val="00E96FAF"/>
    <w:rsid w:val="00E9702C"/>
    <w:rsid w:val="00E97318"/>
    <w:rsid w:val="00E97E3D"/>
    <w:rsid w:val="00E97F11"/>
    <w:rsid w:val="00E97FD5"/>
    <w:rsid w:val="00EA00AD"/>
    <w:rsid w:val="00EA00CF"/>
    <w:rsid w:val="00EA0659"/>
    <w:rsid w:val="00EA0DD5"/>
    <w:rsid w:val="00EA0FD3"/>
    <w:rsid w:val="00EA108A"/>
    <w:rsid w:val="00EA1200"/>
    <w:rsid w:val="00EA12EB"/>
    <w:rsid w:val="00EA12FF"/>
    <w:rsid w:val="00EA1390"/>
    <w:rsid w:val="00EA142D"/>
    <w:rsid w:val="00EA1558"/>
    <w:rsid w:val="00EA164E"/>
    <w:rsid w:val="00EA1886"/>
    <w:rsid w:val="00EA1CD2"/>
    <w:rsid w:val="00EA1D9E"/>
    <w:rsid w:val="00EA2266"/>
    <w:rsid w:val="00EA2273"/>
    <w:rsid w:val="00EA229B"/>
    <w:rsid w:val="00EA251E"/>
    <w:rsid w:val="00EA2547"/>
    <w:rsid w:val="00EA2667"/>
    <w:rsid w:val="00EA299F"/>
    <w:rsid w:val="00EA2DBD"/>
    <w:rsid w:val="00EA2DF9"/>
    <w:rsid w:val="00EA2E2F"/>
    <w:rsid w:val="00EA337B"/>
    <w:rsid w:val="00EA34A3"/>
    <w:rsid w:val="00EA3531"/>
    <w:rsid w:val="00EA361C"/>
    <w:rsid w:val="00EA369D"/>
    <w:rsid w:val="00EA3787"/>
    <w:rsid w:val="00EA3792"/>
    <w:rsid w:val="00EA38A0"/>
    <w:rsid w:val="00EA3A0D"/>
    <w:rsid w:val="00EA3BB9"/>
    <w:rsid w:val="00EA3E63"/>
    <w:rsid w:val="00EA3F1D"/>
    <w:rsid w:val="00EA3F89"/>
    <w:rsid w:val="00EA4062"/>
    <w:rsid w:val="00EA43F3"/>
    <w:rsid w:val="00EA4482"/>
    <w:rsid w:val="00EA4802"/>
    <w:rsid w:val="00EA484F"/>
    <w:rsid w:val="00EA4C69"/>
    <w:rsid w:val="00EA4CEE"/>
    <w:rsid w:val="00EA4E3E"/>
    <w:rsid w:val="00EA4E5B"/>
    <w:rsid w:val="00EA4E8B"/>
    <w:rsid w:val="00EA5901"/>
    <w:rsid w:val="00EA5B8D"/>
    <w:rsid w:val="00EA668C"/>
    <w:rsid w:val="00EA6AE5"/>
    <w:rsid w:val="00EA6B39"/>
    <w:rsid w:val="00EA6BE9"/>
    <w:rsid w:val="00EA6DC5"/>
    <w:rsid w:val="00EA70DE"/>
    <w:rsid w:val="00EA76F6"/>
    <w:rsid w:val="00EA7C45"/>
    <w:rsid w:val="00EA7DCC"/>
    <w:rsid w:val="00EA7E23"/>
    <w:rsid w:val="00EB0761"/>
    <w:rsid w:val="00EB0C6F"/>
    <w:rsid w:val="00EB116B"/>
    <w:rsid w:val="00EB12EC"/>
    <w:rsid w:val="00EB137B"/>
    <w:rsid w:val="00EB1510"/>
    <w:rsid w:val="00EB1A8A"/>
    <w:rsid w:val="00EB1D8B"/>
    <w:rsid w:val="00EB1E2D"/>
    <w:rsid w:val="00EB2215"/>
    <w:rsid w:val="00EB22FF"/>
    <w:rsid w:val="00EB24B6"/>
    <w:rsid w:val="00EB2591"/>
    <w:rsid w:val="00EB28C2"/>
    <w:rsid w:val="00EB2AE5"/>
    <w:rsid w:val="00EB2C37"/>
    <w:rsid w:val="00EB2D6D"/>
    <w:rsid w:val="00EB303D"/>
    <w:rsid w:val="00EB339D"/>
    <w:rsid w:val="00EB35AF"/>
    <w:rsid w:val="00EB35B3"/>
    <w:rsid w:val="00EB3664"/>
    <w:rsid w:val="00EB37B5"/>
    <w:rsid w:val="00EB3BB0"/>
    <w:rsid w:val="00EB3C4A"/>
    <w:rsid w:val="00EB431F"/>
    <w:rsid w:val="00EB46DE"/>
    <w:rsid w:val="00EB4878"/>
    <w:rsid w:val="00EB49BC"/>
    <w:rsid w:val="00EB4B72"/>
    <w:rsid w:val="00EB4BB1"/>
    <w:rsid w:val="00EB4C86"/>
    <w:rsid w:val="00EB4FD4"/>
    <w:rsid w:val="00EB527E"/>
    <w:rsid w:val="00EB56F6"/>
    <w:rsid w:val="00EB5834"/>
    <w:rsid w:val="00EB5BCC"/>
    <w:rsid w:val="00EB5F44"/>
    <w:rsid w:val="00EB5F6A"/>
    <w:rsid w:val="00EB5FED"/>
    <w:rsid w:val="00EB61B3"/>
    <w:rsid w:val="00EB6538"/>
    <w:rsid w:val="00EB655D"/>
    <w:rsid w:val="00EB6E69"/>
    <w:rsid w:val="00EB70E5"/>
    <w:rsid w:val="00EB73BD"/>
    <w:rsid w:val="00EB74D1"/>
    <w:rsid w:val="00EB75B4"/>
    <w:rsid w:val="00EC01AF"/>
    <w:rsid w:val="00EC02BD"/>
    <w:rsid w:val="00EC05FC"/>
    <w:rsid w:val="00EC0645"/>
    <w:rsid w:val="00EC06A6"/>
    <w:rsid w:val="00EC0960"/>
    <w:rsid w:val="00EC0AB1"/>
    <w:rsid w:val="00EC1065"/>
    <w:rsid w:val="00EC10F4"/>
    <w:rsid w:val="00EC1E19"/>
    <w:rsid w:val="00EC201E"/>
    <w:rsid w:val="00EC2079"/>
    <w:rsid w:val="00EC2308"/>
    <w:rsid w:val="00EC2727"/>
    <w:rsid w:val="00EC2893"/>
    <w:rsid w:val="00EC2938"/>
    <w:rsid w:val="00EC2B81"/>
    <w:rsid w:val="00EC2D16"/>
    <w:rsid w:val="00EC2D23"/>
    <w:rsid w:val="00EC2F8F"/>
    <w:rsid w:val="00EC3162"/>
    <w:rsid w:val="00EC31DF"/>
    <w:rsid w:val="00EC3470"/>
    <w:rsid w:val="00EC36F3"/>
    <w:rsid w:val="00EC38C0"/>
    <w:rsid w:val="00EC4106"/>
    <w:rsid w:val="00EC42CE"/>
    <w:rsid w:val="00EC441C"/>
    <w:rsid w:val="00EC4916"/>
    <w:rsid w:val="00EC4955"/>
    <w:rsid w:val="00EC4A75"/>
    <w:rsid w:val="00EC4C5D"/>
    <w:rsid w:val="00EC4ED8"/>
    <w:rsid w:val="00EC50D4"/>
    <w:rsid w:val="00EC525A"/>
    <w:rsid w:val="00EC5287"/>
    <w:rsid w:val="00EC5679"/>
    <w:rsid w:val="00EC5847"/>
    <w:rsid w:val="00EC58D4"/>
    <w:rsid w:val="00EC59AF"/>
    <w:rsid w:val="00EC5C32"/>
    <w:rsid w:val="00EC5D39"/>
    <w:rsid w:val="00EC6298"/>
    <w:rsid w:val="00EC6487"/>
    <w:rsid w:val="00EC6815"/>
    <w:rsid w:val="00EC6841"/>
    <w:rsid w:val="00EC688D"/>
    <w:rsid w:val="00EC68AE"/>
    <w:rsid w:val="00EC714A"/>
    <w:rsid w:val="00EC771C"/>
    <w:rsid w:val="00EC7737"/>
    <w:rsid w:val="00EC78C2"/>
    <w:rsid w:val="00EC7B44"/>
    <w:rsid w:val="00EC7F2C"/>
    <w:rsid w:val="00ED003C"/>
    <w:rsid w:val="00ED01DA"/>
    <w:rsid w:val="00ED0462"/>
    <w:rsid w:val="00ED0734"/>
    <w:rsid w:val="00ED07AF"/>
    <w:rsid w:val="00ED07DD"/>
    <w:rsid w:val="00ED0BE8"/>
    <w:rsid w:val="00ED0F11"/>
    <w:rsid w:val="00ED11E2"/>
    <w:rsid w:val="00ED125C"/>
    <w:rsid w:val="00ED174F"/>
    <w:rsid w:val="00ED1973"/>
    <w:rsid w:val="00ED1BC3"/>
    <w:rsid w:val="00ED1F8A"/>
    <w:rsid w:val="00ED2443"/>
    <w:rsid w:val="00ED2482"/>
    <w:rsid w:val="00ED312D"/>
    <w:rsid w:val="00ED31FF"/>
    <w:rsid w:val="00ED32AA"/>
    <w:rsid w:val="00ED32D7"/>
    <w:rsid w:val="00ED34CD"/>
    <w:rsid w:val="00ED359A"/>
    <w:rsid w:val="00ED360F"/>
    <w:rsid w:val="00ED3720"/>
    <w:rsid w:val="00ED3849"/>
    <w:rsid w:val="00ED3D60"/>
    <w:rsid w:val="00ED523F"/>
    <w:rsid w:val="00ED5362"/>
    <w:rsid w:val="00ED5797"/>
    <w:rsid w:val="00ED58A4"/>
    <w:rsid w:val="00ED59FC"/>
    <w:rsid w:val="00ED5A11"/>
    <w:rsid w:val="00ED5A19"/>
    <w:rsid w:val="00ED5A30"/>
    <w:rsid w:val="00ED5F47"/>
    <w:rsid w:val="00ED5FC0"/>
    <w:rsid w:val="00ED612F"/>
    <w:rsid w:val="00ED63B1"/>
    <w:rsid w:val="00ED6528"/>
    <w:rsid w:val="00ED65BB"/>
    <w:rsid w:val="00ED6736"/>
    <w:rsid w:val="00ED6760"/>
    <w:rsid w:val="00ED68CE"/>
    <w:rsid w:val="00ED69B1"/>
    <w:rsid w:val="00ED6CD2"/>
    <w:rsid w:val="00ED721F"/>
    <w:rsid w:val="00ED7401"/>
    <w:rsid w:val="00ED7923"/>
    <w:rsid w:val="00ED7C3A"/>
    <w:rsid w:val="00EE01F8"/>
    <w:rsid w:val="00EE05A6"/>
    <w:rsid w:val="00EE0721"/>
    <w:rsid w:val="00EE07C6"/>
    <w:rsid w:val="00EE093C"/>
    <w:rsid w:val="00EE0A97"/>
    <w:rsid w:val="00EE0AA0"/>
    <w:rsid w:val="00EE0B97"/>
    <w:rsid w:val="00EE0D5F"/>
    <w:rsid w:val="00EE0DB2"/>
    <w:rsid w:val="00EE0FA3"/>
    <w:rsid w:val="00EE1193"/>
    <w:rsid w:val="00EE1427"/>
    <w:rsid w:val="00EE1457"/>
    <w:rsid w:val="00EE17C9"/>
    <w:rsid w:val="00EE17E1"/>
    <w:rsid w:val="00EE18FD"/>
    <w:rsid w:val="00EE1A91"/>
    <w:rsid w:val="00EE1AC0"/>
    <w:rsid w:val="00EE1C12"/>
    <w:rsid w:val="00EE1C1B"/>
    <w:rsid w:val="00EE2057"/>
    <w:rsid w:val="00EE21BC"/>
    <w:rsid w:val="00EE2342"/>
    <w:rsid w:val="00EE250F"/>
    <w:rsid w:val="00EE2616"/>
    <w:rsid w:val="00EE28B6"/>
    <w:rsid w:val="00EE2A1F"/>
    <w:rsid w:val="00EE2D79"/>
    <w:rsid w:val="00EE2E03"/>
    <w:rsid w:val="00EE2E9C"/>
    <w:rsid w:val="00EE30DE"/>
    <w:rsid w:val="00EE3121"/>
    <w:rsid w:val="00EE3387"/>
    <w:rsid w:val="00EE3486"/>
    <w:rsid w:val="00EE3842"/>
    <w:rsid w:val="00EE389E"/>
    <w:rsid w:val="00EE3AC2"/>
    <w:rsid w:val="00EE3BDB"/>
    <w:rsid w:val="00EE3D3C"/>
    <w:rsid w:val="00EE459E"/>
    <w:rsid w:val="00EE475B"/>
    <w:rsid w:val="00EE491C"/>
    <w:rsid w:val="00EE5541"/>
    <w:rsid w:val="00EE56F7"/>
    <w:rsid w:val="00EE5771"/>
    <w:rsid w:val="00EE5C64"/>
    <w:rsid w:val="00EE5CBF"/>
    <w:rsid w:val="00EE5CD0"/>
    <w:rsid w:val="00EE5D59"/>
    <w:rsid w:val="00EE5F73"/>
    <w:rsid w:val="00EE61B3"/>
    <w:rsid w:val="00EE61FB"/>
    <w:rsid w:val="00EE63D4"/>
    <w:rsid w:val="00EE668F"/>
    <w:rsid w:val="00EE6769"/>
    <w:rsid w:val="00EE68D6"/>
    <w:rsid w:val="00EE6A7D"/>
    <w:rsid w:val="00EE6D67"/>
    <w:rsid w:val="00EE6D78"/>
    <w:rsid w:val="00EE6E53"/>
    <w:rsid w:val="00EE6E67"/>
    <w:rsid w:val="00EE71EE"/>
    <w:rsid w:val="00EE7202"/>
    <w:rsid w:val="00EE7328"/>
    <w:rsid w:val="00EE7575"/>
    <w:rsid w:val="00EE78F4"/>
    <w:rsid w:val="00EE7A6A"/>
    <w:rsid w:val="00EE7BD0"/>
    <w:rsid w:val="00EF001A"/>
    <w:rsid w:val="00EF02C5"/>
    <w:rsid w:val="00EF0379"/>
    <w:rsid w:val="00EF0399"/>
    <w:rsid w:val="00EF0453"/>
    <w:rsid w:val="00EF0607"/>
    <w:rsid w:val="00EF07E5"/>
    <w:rsid w:val="00EF09F5"/>
    <w:rsid w:val="00EF0C81"/>
    <w:rsid w:val="00EF0FA2"/>
    <w:rsid w:val="00EF0FFD"/>
    <w:rsid w:val="00EF14E0"/>
    <w:rsid w:val="00EF159E"/>
    <w:rsid w:val="00EF16C6"/>
    <w:rsid w:val="00EF17FE"/>
    <w:rsid w:val="00EF1808"/>
    <w:rsid w:val="00EF1D4B"/>
    <w:rsid w:val="00EF2112"/>
    <w:rsid w:val="00EF22A7"/>
    <w:rsid w:val="00EF2622"/>
    <w:rsid w:val="00EF283B"/>
    <w:rsid w:val="00EF3B84"/>
    <w:rsid w:val="00EF4055"/>
    <w:rsid w:val="00EF4173"/>
    <w:rsid w:val="00EF434C"/>
    <w:rsid w:val="00EF4428"/>
    <w:rsid w:val="00EF4557"/>
    <w:rsid w:val="00EF45C4"/>
    <w:rsid w:val="00EF476C"/>
    <w:rsid w:val="00EF4923"/>
    <w:rsid w:val="00EF497E"/>
    <w:rsid w:val="00EF4BEC"/>
    <w:rsid w:val="00EF4C58"/>
    <w:rsid w:val="00EF4DEA"/>
    <w:rsid w:val="00EF4E09"/>
    <w:rsid w:val="00EF4E92"/>
    <w:rsid w:val="00EF5148"/>
    <w:rsid w:val="00EF5197"/>
    <w:rsid w:val="00EF54BF"/>
    <w:rsid w:val="00EF56D9"/>
    <w:rsid w:val="00EF57BA"/>
    <w:rsid w:val="00EF5902"/>
    <w:rsid w:val="00EF5A40"/>
    <w:rsid w:val="00EF5CB3"/>
    <w:rsid w:val="00EF5F23"/>
    <w:rsid w:val="00EF5FE3"/>
    <w:rsid w:val="00EF611B"/>
    <w:rsid w:val="00EF6367"/>
    <w:rsid w:val="00EF709C"/>
    <w:rsid w:val="00EF7599"/>
    <w:rsid w:val="00EF7A0C"/>
    <w:rsid w:val="00EF7A84"/>
    <w:rsid w:val="00EF7C41"/>
    <w:rsid w:val="00EF7DE7"/>
    <w:rsid w:val="00F0020F"/>
    <w:rsid w:val="00F00346"/>
    <w:rsid w:val="00F00376"/>
    <w:rsid w:val="00F0066E"/>
    <w:rsid w:val="00F0070F"/>
    <w:rsid w:val="00F0087C"/>
    <w:rsid w:val="00F00BFF"/>
    <w:rsid w:val="00F00C3B"/>
    <w:rsid w:val="00F00C4E"/>
    <w:rsid w:val="00F00DC8"/>
    <w:rsid w:val="00F00E86"/>
    <w:rsid w:val="00F00F2E"/>
    <w:rsid w:val="00F015FF"/>
    <w:rsid w:val="00F01602"/>
    <w:rsid w:val="00F01682"/>
    <w:rsid w:val="00F016FB"/>
    <w:rsid w:val="00F01B31"/>
    <w:rsid w:val="00F01C9E"/>
    <w:rsid w:val="00F0203C"/>
    <w:rsid w:val="00F020A1"/>
    <w:rsid w:val="00F021B1"/>
    <w:rsid w:val="00F021DE"/>
    <w:rsid w:val="00F0229B"/>
    <w:rsid w:val="00F02592"/>
    <w:rsid w:val="00F02EB9"/>
    <w:rsid w:val="00F030AA"/>
    <w:rsid w:val="00F03154"/>
    <w:rsid w:val="00F03156"/>
    <w:rsid w:val="00F03242"/>
    <w:rsid w:val="00F0399B"/>
    <w:rsid w:val="00F03A08"/>
    <w:rsid w:val="00F03A83"/>
    <w:rsid w:val="00F03AA5"/>
    <w:rsid w:val="00F03B81"/>
    <w:rsid w:val="00F03BBF"/>
    <w:rsid w:val="00F03CF8"/>
    <w:rsid w:val="00F0420C"/>
    <w:rsid w:val="00F04233"/>
    <w:rsid w:val="00F04289"/>
    <w:rsid w:val="00F043D4"/>
    <w:rsid w:val="00F044E0"/>
    <w:rsid w:val="00F046F4"/>
    <w:rsid w:val="00F04728"/>
    <w:rsid w:val="00F04AAF"/>
    <w:rsid w:val="00F04D20"/>
    <w:rsid w:val="00F050FC"/>
    <w:rsid w:val="00F054F5"/>
    <w:rsid w:val="00F0557F"/>
    <w:rsid w:val="00F05628"/>
    <w:rsid w:val="00F05808"/>
    <w:rsid w:val="00F058A2"/>
    <w:rsid w:val="00F05B28"/>
    <w:rsid w:val="00F05C50"/>
    <w:rsid w:val="00F05CA9"/>
    <w:rsid w:val="00F05DBD"/>
    <w:rsid w:val="00F05ED7"/>
    <w:rsid w:val="00F06270"/>
    <w:rsid w:val="00F0668A"/>
    <w:rsid w:val="00F066F3"/>
    <w:rsid w:val="00F06733"/>
    <w:rsid w:val="00F06753"/>
    <w:rsid w:val="00F0685E"/>
    <w:rsid w:val="00F06916"/>
    <w:rsid w:val="00F0696D"/>
    <w:rsid w:val="00F06D89"/>
    <w:rsid w:val="00F06FBA"/>
    <w:rsid w:val="00F07130"/>
    <w:rsid w:val="00F07497"/>
    <w:rsid w:val="00F077CE"/>
    <w:rsid w:val="00F07B4C"/>
    <w:rsid w:val="00F07C6E"/>
    <w:rsid w:val="00F07E44"/>
    <w:rsid w:val="00F07EA1"/>
    <w:rsid w:val="00F101DD"/>
    <w:rsid w:val="00F10F0C"/>
    <w:rsid w:val="00F10F8F"/>
    <w:rsid w:val="00F10FC6"/>
    <w:rsid w:val="00F11106"/>
    <w:rsid w:val="00F115C2"/>
    <w:rsid w:val="00F1175B"/>
    <w:rsid w:val="00F1186E"/>
    <w:rsid w:val="00F11963"/>
    <w:rsid w:val="00F1196C"/>
    <w:rsid w:val="00F11A7D"/>
    <w:rsid w:val="00F11A9F"/>
    <w:rsid w:val="00F11B8F"/>
    <w:rsid w:val="00F11BFE"/>
    <w:rsid w:val="00F11FFC"/>
    <w:rsid w:val="00F122D9"/>
    <w:rsid w:val="00F123BF"/>
    <w:rsid w:val="00F123C5"/>
    <w:rsid w:val="00F124DA"/>
    <w:rsid w:val="00F1271E"/>
    <w:rsid w:val="00F127B7"/>
    <w:rsid w:val="00F127FC"/>
    <w:rsid w:val="00F129C0"/>
    <w:rsid w:val="00F12B65"/>
    <w:rsid w:val="00F12DA9"/>
    <w:rsid w:val="00F12FC8"/>
    <w:rsid w:val="00F1333E"/>
    <w:rsid w:val="00F133CB"/>
    <w:rsid w:val="00F13499"/>
    <w:rsid w:val="00F13639"/>
    <w:rsid w:val="00F136C9"/>
    <w:rsid w:val="00F1377B"/>
    <w:rsid w:val="00F139B2"/>
    <w:rsid w:val="00F13B38"/>
    <w:rsid w:val="00F13BE1"/>
    <w:rsid w:val="00F13F1E"/>
    <w:rsid w:val="00F140F0"/>
    <w:rsid w:val="00F1423B"/>
    <w:rsid w:val="00F14306"/>
    <w:rsid w:val="00F14395"/>
    <w:rsid w:val="00F14498"/>
    <w:rsid w:val="00F145FF"/>
    <w:rsid w:val="00F148A1"/>
    <w:rsid w:val="00F14E3B"/>
    <w:rsid w:val="00F14FBC"/>
    <w:rsid w:val="00F151A4"/>
    <w:rsid w:val="00F15544"/>
    <w:rsid w:val="00F15553"/>
    <w:rsid w:val="00F15897"/>
    <w:rsid w:val="00F15DA8"/>
    <w:rsid w:val="00F15ECD"/>
    <w:rsid w:val="00F15F2A"/>
    <w:rsid w:val="00F15F64"/>
    <w:rsid w:val="00F15FA3"/>
    <w:rsid w:val="00F16345"/>
    <w:rsid w:val="00F16453"/>
    <w:rsid w:val="00F164B3"/>
    <w:rsid w:val="00F16694"/>
    <w:rsid w:val="00F16A6C"/>
    <w:rsid w:val="00F16AFA"/>
    <w:rsid w:val="00F16D45"/>
    <w:rsid w:val="00F16D72"/>
    <w:rsid w:val="00F17144"/>
    <w:rsid w:val="00F171B1"/>
    <w:rsid w:val="00F172D0"/>
    <w:rsid w:val="00F17320"/>
    <w:rsid w:val="00F17371"/>
    <w:rsid w:val="00F1737C"/>
    <w:rsid w:val="00F1764F"/>
    <w:rsid w:val="00F176AD"/>
    <w:rsid w:val="00F17ADA"/>
    <w:rsid w:val="00F17B67"/>
    <w:rsid w:val="00F17BA1"/>
    <w:rsid w:val="00F201F9"/>
    <w:rsid w:val="00F202FB"/>
    <w:rsid w:val="00F203C9"/>
    <w:rsid w:val="00F206EE"/>
    <w:rsid w:val="00F20740"/>
    <w:rsid w:val="00F20B5C"/>
    <w:rsid w:val="00F20BAF"/>
    <w:rsid w:val="00F20ED3"/>
    <w:rsid w:val="00F20FB3"/>
    <w:rsid w:val="00F2101C"/>
    <w:rsid w:val="00F2105A"/>
    <w:rsid w:val="00F211BD"/>
    <w:rsid w:val="00F21407"/>
    <w:rsid w:val="00F2161F"/>
    <w:rsid w:val="00F21BE5"/>
    <w:rsid w:val="00F221BB"/>
    <w:rsid w:val="00F222C0"/>
    <w:rsid w:val="00F22914"/>
    <w:rsid w:val="00F22C9B"/>
    <w:rsid w:val="00F22DE2"/>
    <w:rsid w:val="00F232A6"/>
    <w:rsid w:val="00F232C9"/>
    <w:rsid w:val="00F23684"/>
    <w:rsid w:val="00F236E0"/>
    <w:rsid w:val="00F238FF"/>
    <w:rsid w:val="00F23E21"/>
    <w:rsid w:val="00F240CD"/>
    <w:rsid w:val="00F24756"/>
    <w:rsid w:val="00F24907"/>
    <w:rsid w:val="00F2492C"/>
    <w:rsid w:val="00F24B93"/>
    <w:rsid w:val="00F24C9D"/>
    <w:rsid w:val="00F24CBC"/>
    <w:rsid w:val="00F24EA8"/>
    <w:rsid w:val="00F254CC"/>
    <w:rsid w:val="00F258FB"/>
    <w:rsid w:val="00F25927"/>
    <w:rsid w:val="00F25B09"/>
    <w:rsid w:val="00F25C35"/>
    <w:rsid w:val="00F25FD5"/>
    <w:rsid w:val="00F26150"/>
    <w:rsid w:val="00F26620"/>
    <w:rsid w:val="00F268EB"/>
    <w:rsid w:val="00F26DFA"/>
    <w:rsid w:val="00F26E46"/>
    <w:rsid w:val="00F2723A"/>
    <w:rsid w:val="00F27929"/>
    <w:rsid w:val="00F27953"/>
    <w:rsid w:val="00F27E7F"/>
    <w:rsid w:val="00F30103"/>
    <w:rsid w:val="00F30195"/>
    <w:rsid w:val="00F302E0"/>
    <w:rsid w:val="00F3049B"/>
    <w:rsid w:val="00F30609"/>
    <w:rsid w:val="00F307DB"/>
    <w:rsid w:val="00F30855"/>
    <w:rsid w:val="00F308C3"/>
    <w:rsid w:val="00F30D69"/>
    <w:rsid w:val="00F30DA0"/>
    <w:rsid w:val="00F30DD8"/>
    <w:rsid w:val="00F3101C"/>
    <w:rsid w:val="00F31110"/>
    <w:rsid w:val="00F31231"/>
    <w:rsid w:val="00F31463"/>
    <w:rsid w:val="00F315EE"/>
    <w:rsid w:val="00F319A6"/>
    <w:rsid w:val="00F31A22"/>
    <w:rsid w:val="00F31A29"/>
    <w:rsid w:val="00F31AA5"/>
    <w:rsid w:val="00F31AC7"/>
    <w:rsid w:val="00F31DD0"/>
    <w:rsid w:val="00F31DD2"/>
    <w:rsid w:val="00F31E02"/>
    <w:rsid w:val="00F31E25"/>
    <w:rsid w:val="00F31E94"/>
    <w:rsid w:val="00F320AB"/>
    <w:rsid w:val="00F3211B"/>
    <w:rsid w:val="00F32294"/>
    <w:rsid w:val="00F32384"/>
    <w:rsid w:val="00F3244F"/>
    <w:rsid w:val="00F32596"/>
    <w:rsid w:val="00F32859"/>
    <w:rsid w:val="00F328D1"/>
    <w:rsid w:val="00F329F8"/>
    <w:rsid w:val="00F32A89"/>
    <w:rsid w:val="00F32E98"/>
    <w:rsid w:val="00F330A5"/>
    <w:rsid w:val="00F333E2"/>
    <w:rsid w:val="00F333E5"/>
    <w:rsid w:val="00F3357C"/>
    <w:rsid w:val="00F335C1"/>
    <w:rsid w:val="00F3364D"/>
    <w:rsid w:val="00F337F3"/>
    <w:rsid w:val="00F33A27"/>
    <w:rsid w:val="00F33A56"/>
    <w:rsid w:val="00F33CBC"/>
    <w:rsid w:val="00F342FA"/>
    <w:rsid w:val="00F3461C"/>
    <w:rsid w:val="00F34711"/>
    <w:rsid w:val="00F34732"/>
    <w:rsid w:val="00F34807"/>
    <w:rsid w:val="00F34A04"/>
    <w:rsid w:val="00F34E2E"/>
    <w:rsid w:val="00F35094"/>
    <w:rsid w:val="00F350FF"/>
    <w:rsid w:val="00F35173"/>
    <w:rsid w:val="00F35197"/>
    <w:rsid w:val="00F352E4"/>
    <w:rsid w:val="00F35434"/>
    <w:rsid w:val="00F35570"/>
    <w:rsid w:val="00F3557B"/>
    <w:rsid w:val="00F3588F"/>
    <w:rsid w:val="00F3591C"/>
    <w:rsid w:val="00F36248"/>
    <w:rsid w:val="00F364B5"/>
    <w:rsid w:val="00F36572"/>
    <w:rsid w:val="00F366F2"/>
    <w:rsid w:val="00F367F1"/>
    <w:rsid w:val="00F36874"/>
    <w:rsid w:val="00F3691D"/>
    <w:rsid w:val="00F36AF8"/>
    <w:rsid w:val="00F36E6A"/>
    <w:rsid w:val="00F3728A"/>
    <w:rsid w:val="00F375C2"/>
    <w:rsid w:val="00F37B96"/>
    <w:rsid w:val="00F37CC9"/>
    <w:rsid w:val="00F37DC5"/>
    <w:rsid w:val="00F37E31"/>
    <w:rsid w:val="00F37EE4"/>
    <w:rsid w:val="00F37F0B"/>
    <w:rsid w:val="00F37FBB"/>
    <w:rsid w:val="00F403A7"/>
    <w:rsid w:val="00F40445"/>
    <w:rsid w:val="00F40501"/>
    <w:rsid w:val="00F406DB"/>
    <w:rsid w:val="00F406F1"/>
    <w:rsid w:val="00F40981"/>
    <w:rsid w:val="00F41108"/>
    <w:rsid w:val="00F4113D"/>
    <w:rsid w:val="00F41275"/>
    <w:rsid w:val="00F412C7"/>
    <w:rsid w:val="00F4131B"/>
    <w:rsid w:val="00F41507"/>
    <w:rsid w:val="00F4159E"/>
    <w:rsid w:val="00F415FD"/>
    <w:rsid w:val="00F41663"/>
    <w:rsid w:val="00F418A1"/>
    <w:rsid w:val="00F41FD9"/>
    <w:rsid w:val="00F421A8"/>
    <w:rsid w:val="00F42403"/>
    <w:rsid w:val="00F425BE"/>
    <w:rsid w:val="00F42674"/>
    <w:rsid w:val="00F42789"/>
    <w:rsid w:val="00F428F8"/>
    <w:rsid w:val="00F4295A"/>
    <w:rsid w:val="00F42AE3"/>
    <w:rsid w:val="00F43196"/>
    <w:rsid w:val="00F43685"/>
    <w:rsid w:val="00F43832"/>
    <w:rsid w:val="00F43AF5"/>
    <w:rsid w:val="00F43D6C"/>
    <w:rsid w:val="00F43DD8"/>
    <w:rsid w:val="00F43FDD"/>
    <w:rsid w:val="00F4416F"/>
    <w:rsid w:val="00F4421A"/>
    <w:rsid w:val="00F442A4"/>
    <w:rsid w:val="00F4436F"/>
    <w:rsid w:val="00F4445E"/>
    <w:rsid w:val="00F44A3C"/>
    <w:rsid w:val="00F44A7E"/>
    <w:rsid w:val="00F44AD8"/>
    <w:rsid w:val="00F45176"/>
    <w:rsid w:val="00F451C1"/>
    <w:rsid w:val="00F454CC"/>
    <w:rsid w:val="00F456DA"/>
    <w:rsid w:val="00F4573D"/>
    <w:rsid w:val="00F459A1"/>
    <w:rsid w:val="00F45C09"/>
    <w:rsid w:val="00F45EE4"/>
    <w:rsid w:val="00F4629B"/>
    <w:rsid w:val="00F462B9"/>
    <w:rsid w:val="00F462E0"/>
    <w:rsid w:val="00F46450"/>
    <w:rsid w:val="00F467A2"/>
    <w:rsid w:val="00F467FF"/>
    <w:rsid w:val="00F46A75"/>
    <w:rsid w:val="00F46AC8"/>
    <w:rsid w:val="00F46F8A"/>
    <w:rsid w:val="00F46FC3"/>
    <w:rsid w:val="00F472F9"/>
    <w:rsid w:val="00F479D7"/>
    <w:rsid w:val="00F47EE4"/>
    <w:rsid w:val="00F50147"/>
    <w:rsid w:val="00F502F5"/>
    <w:rsid w:val="00F50333"/>
    <w:rsid w:val="00F506B4"/>
    <w:rsid w:val="00F507E3"/>
    <w:rsid w:val="00F50CE7"/>
    <w:rsid w:val="00F515FC"/>
    <w:rsid w:val="00F5193D"/>
    <w:rsid w:val="00F51A89"/>
    <w:rsid w:val="00F51CDE"/>
    <w:rsid w:val="00F52787"/>
    <w:rsid w:val="00F52A3B"/>
    <w:rsid w:val="00F5335D"/>
    <w:rsid w:val="00F5348F"/>
    <w:rsid w:val="00F534F6"/>
    <w:rsid w:val="00F5362E"/>
    <w:rsid w:val="00F53730"/>
    <w:rsid w:val="00F53892"/>
    <w:rsid w:val="00F53AAD"/>
    <w:rsid w:val="00F54044"/>
    <w:rsid w:val="00F5404B"/>
    <w:rsid w:val="00F54357"/>
    <w:rsid w:val="00F543E4"/>
    <w:rsid w:val="00F5457F"/>
    <w:rsid w:val="00F54688"/>
    <w:rsid w:val="00F54698"/>
    <w:rsid w:val="00F547EE"/>
    <w:rsid w:val="00F54E87"/>
    <w:rsid w:val="00F54E97"/>
    <w:rsid w:val="00F551E5"/>
    <w:rsid w:val="00F55BFC"/>
    <w:rsid w:val="00F5649D"/>
    <w:rsid w:val="00F56B1F"/>
    <w:rsid w:val="00F57119"/>
    <w:rsid w:val="00F57331"/>
    <w:rsid w:val="00F5741C"/>
    <w:rsid w:val="00F57560"/>
    <w:rsid w:val="00F57AC4"/>
    <w:rsid w:val="00F6041E"/>
    <w:rsid w:val="00F60433"/>
    <w:rsid w:val="00F6051E"/>
    <w:rsid w:val="00F6066B"/>
    <w:rsid w:val="00F6082E"/>
    <w:rsid w:val="00F6096D"/>
    <w:rsid w:val="00F609A6"/>
    <w:rsid w:val="00F60A42"/>
    <w:rsid w:val="00F60DE1"/>
    <w:rsid w:val="00F60E1E"/>
    <w:rsid w:val="00F61131"/>
    <w:rsid w:val="00F611D9"/>
    <w:rsid w:val="00F6134D"/>
    <w:rsid w:val="00F61748"/>
    <w:rsid w:val="00F6177D"/>
    <w:rsid w:val="00F6188D"/>
    <w:rsid w:val="00F618DA"/>
    <w:rsid w:val="00F619E7"/>
    <w:rsid w:val="00F619E8"/>
    <w:rsid w:val="00F61CC0"/>
    <w:rsid w:val="00F61FD6"/>
    <w:rsid w:val="00F6249A"/>
    <w:rsid w:val="00F624A7"/>
    <w:rsid w:val="00F62B79"/>
    <w:rsid w:val="00F63444"/>
    <w:rsid w:val="00F6344F"/>
    <w:rsid w:val="00F63E2E"/>
    <w:rsid w:val="00F64378"/>
    <w:rsid w:val="00F6442D"/>
    <w:rsid w:val="00F6443E"/>
    <w:rsid w:val="00F64BE3"/>
    <w:rsid w:val="00F64CAE"/>
    <w:rsid w:val="00F64F71"/>
    <w:rsid w:val="00F65236"/>
    <w:rsid w:val="00F655E7"/>
    <w:rsid w:val="00F65870"/>
    <w:rsid w:val="00F65C32"/>
    <w:rsid w:val="00F65CD5"/>
    <w:rsid w:val="00F6617B"/>
    <w:rsid w:val="00F6663F"/>
    <w:rsid w:val="00F66BC3"/>
    <w:rsid w:val="00F66DD0"/>
    <w:rsid w:val="00F67144"/>
    <w:rsid w:val="00F67170"/>
    <w:rsid w:val="00F674E5"/>
    <w:rsid w:val="00F67548"/>
    <w:rsid w:val="00F67803"/>
    <w:rsid w:val="00F6782F"/>
    <w:rsid w:val="00F67833"/>
    <w:rsid w:val="00F67B4F"/>
    <w:rsid w:val="00F67C40"/>
    <w:rsid w:val="00F67CDB"/>
    <w:rsid w:val="00F67DAA"/>
    <w:rsid w:val="00F67EB0"/>
    <w:rsid w:val="00F7023B"/>
    <w:rsid w:val="00F70271"/>
    <w:rsid w:val="00F707D1"/>
    <w:rsid w:val="00F70A2D"/>
    <w:rsid w:val="00F70C19"/>
    <w:rsid w:val="00F70E32"/>
    <w:rsid w:val="00F70F5B"/>
    <w:rsid w:val="00F7144B"/>
    <w:rsid w:val="00F7176A"/>
    <w:rsid w:val="00F71824"/>
    <w:rsid w:val="00F71C28"/>
    <w:rsid w:val="00F71CCA"/>
    <w:rsid w:val="00F71EEE"/>
    <w:rsid w:val="00F720F9"/>
    <w:rsid w:val="00F72223"/>
    <w:rsid w:val="00F723A9"/>
    <w:rsid w:val="00F725A6"/>
    <w:rsid w:val="00F72737"/>
    <w:rsid w:val="00F72927"/>
    <w:rsid w:val="00F72ACA"/>
    <w:rsid w:val="00F72B80"/>
    <w:rsid w:val="00F72E7B"/>
    <w:rsid w:val="00F72E86"/>
    <w:rsid w:val="00F72EBF"/>
    <w:rsid w:val="00F730D8"/>
    <w:rsid w:val="00F735EF"/>
    <w:rsid w:val="00F7371D"/>
    <w:rsid w:val="00F7389C"/>
    <w:rsid w:val="00F73979"/>
    <w:rsid w:val="00F73984"/>
    <w:rsid w:val="00F73C91"/>
    <w:rsid w:val="00F73DD6"/>
    <w:rsid w:val="00F73E02"/>
    <w:rsid w:val="00F74289"/>
    <w:rsid w:val="00F743DE"/>
    <w:rsid w:val="00F74491"/>
    <w:rsid w:val="00F745E9"/>
    <w:rsid w:val="00F74623"/>
    <w:rsid w:val="00F7470E"/>
    <w:rsid w:val="00F74724"/>
    <w:rsid w:val="00F74AD6"/>
    <w:rsid w:val="00F750D8"/>
    <w:rsid w:val="00F752B6"/>
    <w:rsid w:val="00F752D3"/>
    <w:rsid w:val="00F75375"/>
    <w:rsid w:val="00F75635"/>
    <w:rsid w:val="00F75DFD"/>
    <w:rsid w:val="00F75E79"/>
    <w:rsid w:val="00F75F90"/>
    <w:rsid w:val="00F762E6"/>
    <w:rsid w:val="00F76537"/>
    <w:rsid w:val="00F76965"/>
    <w:rsid w:val="00F76BC8"/>
    <w:rsid w:val="00F76DDB"/>
    <w:rsid w:val="00F76F75"/>
    <w:rsid w:val="00F770EE"/>
    <w:rsid w:val="00F77920"/>
    <w:rsid w:val="00F800E6"/>
    <w:rsid w:val="00F80238"/>
    <w:rsid w:val="00F80274"/>
    <w:rsid w:val="00F80386"/>
    <w:rsid w:val="00F805ED"/>
    <w:rsid w:val="00F80687"/>
    <w:rsid w:val="00F806BE"/>
    <w:rsid w:val="00F8075E"/>
    <w:rsid w:val="00F808EB"/>
    <w:rsid w:val="00F809A2"/>
    <w:rsid w:val="00F80A35"/>
    <w:rsid w:val="00F80D63"/>
    <w:rsid w:val="00F80DBF"/>
    <w:rsid w:val="00F811AF"/>
    <w:rsid w:val="00F813CB"/>
    <w:rsid w:val="00F8164C"/>
    <w:rsid w:val="00F8165E"/>
    <w:rsid w:val="00F81769"/>
    <w:rsid w:val="00F81AA3"/>
    <w:rsid w:val="00F81CF6"/>
    <w:rsid w:val="00F81D86"/>
    <w:rsid w:val="00F82036"/>
    <w:rsid w:val="00F822DF"/>
    <w:rsid w:val="00F8231B"/>
    <w:rsid w:val="00F82478"/>
    <w:rsid w:val="00F824A2"/>
    <w:rsid w:val="00F825A7"/>
    <w:rsid w:val="00F82822"/>
    <w:rsid w:val="00F82856"/>
    <w:rsid w:val="00F82964"/>
    <w:rsid w:val="00F82A06"/>
    <w:rsid w:val="00F82A44"/>
    <w:rsid w:val="00F82C18"/>
    <w:rsid w:val="00F82C19"/>
    <w:rsid w:val="00F82D7F"/>
    <w:rsid w:val="00F836FE"/>
    <w:rsid w:val="00F837FA"/>
    <w:rsid w:val="00F839C1"/>
    <w:rsid w:val="00F83F73"/>
    <w:rsid w:val="00F8425E"/>
    <w:rsid w:val="00F8433E"/>
    <w:rsid w:val="00F84622"/>
    <w:rsid w:val="00F84710"/>
    <w:rsid w:val="00F84788"/>
    <w:rsid w:val="00F84BEF"/>
    <w:rsid w:val="00F85099"/>
    <w:rsid w:val="00F85368"/>
    <w:rsid w:val="00F8550B"/>
    <w:rsid w:val="00F855E5"/>
    <w:rsid w:val="00F85639"/>
    <w:rsid w:val="00F85676"/>
    <w:rsid w:val="00F85B74"/>
    <w:rsid w:val="00F85D35"/>
    <w:rsid w:val="00F85F05"/>
    <w:rsid w:val="00F86062"/>
    <w:rsid w:val="00F863AC"/>
    <w:rsid w:val="00F8665B"/>
    <w:rsid w:val="00F8684D"/>
    <w:rsid w:val="00F86869"/>
    <w:rsid w:val="00F86F47"/>
    <w:rsid w:val="00F87038"/>
    <w:rsid w:val="00F8723F"/>
    <w:rsid w:val="00F87379"/>
    <w:rsid w:val="00F87517"/>
    <w:rsid w:val="00F876B8"/>
    <w:rsid w:val="00F8778C"/>
    <w:rsid w:val="00F8784B"/>
    <w:rsid w:val="00F87906"/>
    <w:rsid w:val="00F87A2E"/>
    <w:rsid w:val="00F87DB7"/>
    <w:rsid w:val="00F87DBD"/>
    <w:rsid w:val="00F90739"/>
    <w:rsid w:val="00F90748"/>
    <w:rsid w:val="00F90815"/>
    <w:rsid w:val="00F90F3E"/>
    <w:rsid w:val="00F9132D"/>
    <w:rsid w:val="00F9144D"/>
    <w:rsid w:val="00F91582"/>
    <w:rsid w:val="00F91741"/>
    <w:rsid w:val="00F91AE7"/>
    <w:rsid w:val="00F91B5F"/>
    <w:rsid w:val="00F920FA"/>
    <w:rsid w:val="00F92159"/>
    <w:rsid w:val="00F9241F"/>
    <w:rsid w:val="00F927F5"/>
    <w:rsid w:val="00F931ED"/>
    <w:rsid w:val="00F93285"/>
    <w:rsid w:val="00F937CC"/>
    <w:rsid w:val="00F937E5"/>
    <w:rsid w:val="00F938C9"/>
    <w:rsid w:val="00F94137"/>
    <w:rsid w:val="00F9433B"/>
    <w:rsid w:val="00F9441C"/>
    <w:rsid w:val="00F9474A"/>
    <w:rsid w:val="00F94791"/>
    <w:rsid w:val="00F947F9"/>
    <w:rsid w:val="00F94CF2"/>
    <w:rsid w:val="00F94DB0"/>
    <w:rsid w:val="00F94E61"/>
    <w:rsid w:val="00F9509E"/>
    <w:rsid w:val="00F95130"/>
    <w:rsid w:val="00F9519E"/>
    <w:rsid w:val="00F951AB"/>
    <w:rsid w:val="00F954C5"/>
    <w:rsid w:val="00F956F9"/>
    <w:rsid w:val="00F9577D"/>
    <w:rsid w:val="00F95855"/>
    <w:rsid w:val="00F95914"/>
    <w:rsid w:val="00F95981"/>
    <w:rsid w:val="00F95A37"/>
    <w:rsid w:val="00F95C9D"/>
    <w:rsid w:val="00F95D91"/>
    <w:rsid w:val="00F961F0"/>
    <w:rsid w:val="00F9660C"/>
    <w:rsid w:val="00F96675"/>
    <w:rsid w:val="00F9672F"/>
    <w:rsid w:val="00F9676B"/>
    <w:rsid w:val="00F969F7"/>
    <w:rsid w:val="00F96A35"/>
    <w:rsid w:val="00F96AA1"/>
    <w:rsid w:val="00F96CB6"/>
    <w:rsid w:val="00F96D0E"/>
    <w:rsid w:val="00F96E89"/>
    <w:rsid w:val="00F971DC"/>
    <w:rsid w:val="00F9733D"/>
    <w:rsid w:val="00F975CB"/>
    <w:rsid w:val="00F97B1E"/>
    <w:rsid w:val="00F97F22"/>
    <w:rsid w:val="00FA0031"/>
    <w:rsid w:val="00FA0134"/>
    <w:rsid w:val="00FA032B"/>
    <w:rsid w:val="00FA03DD"/>
    <w:rsid w:val="00FA041D"/>
    <w:rsid w:val="00FA0424"/>
    <w:rsid w:val="00FA045E"/>
    <w:rsid w:val="00FA079B"/>
    <w:rsid w:val="00FA0B5D"/>
    <w:rsid w:val="00FA0BB1"/>
    <w:rsid w:val="00FA1255"/>
    <w:rsid w:val="00FA1719"/>
    <w:rsid w:val="00FA17F8"/>
    <w:rsid w:val="00FA18C9"/>
    <w:rsid w:val="00FA1E5C"/>
    <w:rsid w:val="00FA1F11"/>
    <w:rsid w:val="00FA2567"/>
    <w:rsid w:val="00FA2694"/>
    <w:rsid w:val="00FA2754"/>
    <w:rsid w:val="00FA27B1"/>
    <w:rsid w:val="00FA29C1"/>
    <w:rsid w:val="00FA29E1"/>
    <w:rsid w:val="00FA2A09"/>
    <w:rsid w:val="00FA2AE1"/>
    <w:rsid w:val="00FA2D5B"/>
    <w:rsid w:val="00FA343C"/>
    <w:rsid w:val="00FA35C6"/>
    <w:rsid w:val="00FA389C"/>
    <w:rsid w:val="00FA38DE"/>
    <w:rsid w:val="00FA3DA0"/>
    <w:rsid w:val="00FA3DB5"/>
    <w:rsid w:val="00FA3E8C"/>
    <w:rsid w:val="00FA4196"/>
    <w:rsid w:val="00FA4291"/>
    <w:rsid w:val="00FA438C"/>
    <w:rsid w:val="00FA4439"/>
    <w:rsid w:val="00FA4452"/>
    <w:rsid w:val="00FA45BB"/>
    <w:rsid w:val="00FA45EF"/>
    <w:rsid w:val="00FA4888"/>
    <w:rsid w:val="00FA4A4E"/>
    <w:rsid w:val="00FA4BC9"/>
    <w:rsid w:val="00FA4C1B"/>
    <w:rsid w:val="00FA4D65"/>
    <w:rsid w:val="00FA4E4A"/>
    <w:rsid w:val="00FA4E75"/>
    <w:rsid w:val="00FA4F52"/>
    <w:rsid w:val="00FA504E"/>
    <w:rsid w:val="00FA518D"/>
    <w:rsid w:val="00FA58A7"/>
    <w:rsid w:val="00FA58B5"/>
    <w:rsid w:val="00FA58D2"/>
    <w:rsid w:val="00FA5B7A"/>
    <w:rsid w:val="00FA5BCE"/>
    <w:rsid w:val="00FA5D43"/>
    <w:rsid w:val="00FA60A2"/>
    <w:rsid w:val="00FA61C7"/>
    <w:rsid w:val="00FA62D5"/>
    <w:rsid w:val="00FA6389"/>
    <w:rsid w:val="00FA63BE"/>
    <w:rsid w:val="00FA6D07"/>
    <w:rsid w:val="00FA746C"/>
    <w:rsid w:val="00FA77C3"/>
    <w:rsid w:val="00FA7F59"/>
    <w:rsid w:val="00FB008B"/>
    <w:rsid w:val="00FB01A4"/>
    <w:rsid w:val="00FB01B4"/>
    <w:rsid w:val="00FB064D"/>
    <w:rsid w:val="00FB0AAC"/>
    <w:rsid w:val="00FB0BC7"/>
    <w:rsid w:val="00FB0F84"/>
    <w:rsid w:val="00FB1081"/>
    <w:rsid w:val="00FB11F3"/>
    <w:rsid w:val="00FB14EA"/>
    <w:rsid w:val="00FB153A"/>
    <w:rsid w:val="00FB1900"/>
    <w:rsid w:val="00FB19D4"/>
    <w:rsid w:val="00FB1A70"/>
    <w:rsid w:val="00FB1FDF"/>
    <w:rsid w:val="00FB2295"/>
    <w:rsid w:val="00FB251B"/>
    <w:rsid w:val="00FB25DA"/>
    <w:rsid w:val="00FB2A6C"/>
    <w:rsid w:val="00FB2E56"/>
    <w:rsid w:val="00FB31EB"/>
    <w:rsid w:val="00FB3301"/>
    <w:rsid w:val="00FB3305"/>
    <w:rsid w:val="00FB33AB"/>
    <w:rsid w:val="00FB34FA"/>
    <w:rsid w:val="00FB3588"/>
    <w:rsid w:val="00FB38FA"/>
    <w:rsid w:val="00FB3EA7"/>
    <w:rsid w:val="00FB405C"/>
    <w:rsid w:val="00FB415F"/>
    <w:rsid w:val="00FB41CE"/>
    <w:rsid w:val="00FB4358"/>
    <w:rsid w:val="00FB43C1"/>
    <w:rsid w:val="00FB4730"/>
    <w:rsid w:val="00FB4FAC"/>
    <w:rsid w:val="00FB4FB0"/>
    <w:rsid w:val="00FB54EE"/>
    <w:rsid w:val="00FB5B40"/>
    <w:rsid w:val="00FB5C8B"/>
    <w:rsid w:val="00FB5F8D"/>
    <w:rsid w:val="00FB5FEE"/>
    <w:rsid w:val="00FB5FF8"/>
    <w:rsid w:val="00FB6271"/>
    <w:rsid w:val="00FB667C"/>
    <w:rsid w:val="00FB694E"/>
    <w:rsid w:val="00FB6A74"/>
    <w:rsid w:val="00FB6BA2"/>
    <w:rsid w:val="00FB6C0F"/>
    <w:rsid w:val="00FB702C"/>
    <w:rsid w:val="00FB7208"/>
    <w:rsid w:val="00FB747D"/>
    <w:rsid w:val="00FB7582"/>
    <w:rsid w:val="00FB75CE"/>
    <w:rsid w:val="00FB762C"/>
    <w:rsid w:val="00FB7773"/>
    <w:rsid w:val="00FB778F"/>
    <w:rsid w:val="00FB7892"/>
    <w:rsid w:val="00FB7AF8"/>
    <w:rsid w:val="00FB7B68"/>
    <w:rsid w:val="00FB7DE7"/>
    <w:rsid w:val="00FB7FEC"/>
    <w:rsid w:val="00FC05F8"/>
    <w:rsid w:val="00FC0DEA"/>
    <w:rsid w:val="00FC0F12"/>
    <w:rsid w:val="00FC1577"/>
    <w:rsid w:val="00FC1588"/>
    <w:rsid w:val="00FC1CD7"/>
    <w:rsid w:val="00FC2212"/>
    <w:rsid w:val="00FC2235"/>
    <w:rsid w:val="00FC223F"/>
    <w:rsid w:val="00FC248E"/>
    <w:rsid w:val="00FC2661"/>
    <w:rsid w:val="00FC298A"/>
    <w:rsid w:val="00FC2A32"/>
    <w:rsid w:val="00FC2AB0"/>
    <w:rsid w:val="00FC2B35"/>
    <w:rsid w:val="00FC2C68"/>
    <w:rsid w:val="00FC2E63"/>
    <w:rsid w:val="00FC2F97"/>
    <w:rsid w:val="00FC3254"/>
    <w:rsid w:val="00FC3631"/>
    <w:rsid w:val="00FC363E"/>
    <w:rsid w:val="00FC3E36"/>
    <w:rsid w:val="00FC4C75"/>
    <w:rsid w:val="00FC4E54"/>
    <w:rsid w:val="00FC4E60"/>
    <w:rsid w:val="00FC52A4"/>
    <w:rsid w:val="00FC551A"/>
    <w:rsid w:val="00FC5574"/>
    <w:rsid w:val="00FC5B62"/>
    <w:rsid w:val="00FC5E81"/>
    <w:rsid w:val="00FC5EC3"/>
    <w:rsid w:val="00FC5FD0"/>
    <w:rsid w:val="00FC627A"/>
    <w:rsid w:val="00FC6396"/>
    <w:rsid w:val="00FC6707"/>
    <w:rsid w:val="00FC680C"/>
    <w:rsid w:val="00FC68F2"/>
    <w:rsid w:val="00FC68F8"/>
    <w:rsid w:val="00FC6B82"/>
    <w:rsid w:val="00FC6BAF"/>
    <w:rsid w:val="00FC6F73"/>
    <w:rsid w:val="00FC7006"/>
    <w:rsid w:val="00FC7661"/>
    <w:rsid w:val="00FC76B1"/>
    <w:rsid w:val="00FC7884"/>
    <w:rsid w:val="00FC79E4"/>
    <w:rsid w:val="00FC7A5E"/>
    <w:rsid w:val="00FC7D3E"/>
    <w:rsid w:val="00FD0083"/>
    <w:rsid w:val="00FD0894"/>
    <w:rsid w:val="00FD0E55"/>
    <w:rsid w:val="00FD0FE7"/>
    <w:rsid w:val="00FD101C"/>
    <w:rsid w:val="00FD10AF"/>
    <w:rsid w:val="00FD10FF"/>
    <w:rsid w:val="00FD125B"/>
    <w:rsid w:val="00FD12A2"/>
    <w:rsid w:val="00FD1C21"/>
    <w:rsid w:val="00FD222A"/>
    <w:rsid w:val="00FD22C8"/>
    <w:rsid w:val="00FD236D"/>
    <w:rsid w:val="00FD23D8"/>
    <w:rsid w:val="00FD2540"/>
    <w:rsid w:val="00FD29DB"/>
    <w:rsid w:val="00FD2AF5"/>
    <w:rsid w:val="00FD2C35"/>
    <w:rsid w:val="00FD2DE0"/>
    <w:rsid w:val="00FD2FAD"/>
    <w:rsid w:val="00FD36B1"/>
    <w:rsid w:val="00FD374F"/>
    <w:rsid w:val="00FD37AC"/>
    <w:rsid w:val="00FD3922"/>
    <w:rsid w:val="00FD3E16"/>
    <w:rsid w:val="00FD4148"/>
    <w:rsid w:val="00FD43E6"/>
    <w:rsid w:val="00FD444F"/>
    <w:rsid w:val="00FD4890"/>
    <w:rsid w:val="00FD4A86"/>
    <w:rsid w:val="00FD4F05"/>
    <w:rsid w:val="00FD50FA"/>
    <w:rsid w:val="00FD527D"/>
    <w:rsid w:val="00FD562C"/>
    <w:rsid w:val="00FD57E0"/>
    <w:rsid w:val="00FD5859"/>
    <w:rsid w:val="00FD5957"/>
    <w:rsid w:val="00FD59D9"/>
    <w:rsid w:val="00FD5E05"/>
    <w:rsid w:val="00FD618B"/>
    <w:rsid w:val="00FD6272"/>
    <w:rsid w:val="00FD6376"/>
    <w:rsid w:val="00FD657C"/>
    <w:rsid w:val="00FD66CA"/>
    <w:rsid w:val="00FD6AB3"/>
    <w:rsid w:val="00FD6DAB"/>
    <w:rsid w:val="00FD6E3A"/>
    <w:rsid w:val="00FD71E6"/>
    <w:rsid w:val="00FD7432"/>
    <w:rsid w:val="00FD7797"/>
    <w:rsid w:val="00FD77F6"/>
    <w:rsid w:val="00FD78E4"/>
    <w:rsid w:val="00FD7A6E"/>
    <w:rsid w:val="00FD7B18"/>
    <w:rsid w:val="00FD7D0D"/>
    <w:rsid w:val="00FD7DF3"/>
    <w:rsid w:val="00FE0484"/>
    <w:rsid w:val="00FE06B1"/>
    <w:rsid w:val="00FE07C0"/>
    <w:rsid w:val="00FE0908"/>
    <w:rsid w:val="00FE0B5E"/>
    <w:rsid w:val="00FE0F65"/>
    <w:rsid w:val="00FE0FDC"/>
    <w:rsid w:val="00FE110C"/>
    <w:rsid w:val="00FE1218"/>
    <w:rsid w:val="00FE15B5"/>
    <w:rsid w:val="00FE1814"/>
    <w:rsid w:val="00FE18F5"/>
    <w:rsid w:val="00FE1B3E"/>
    <w:rsid w:val="00FE2113"/>
    <w:rsid w:val="00FE2769"/>
    <w:rsid w:val="00FE2785"/>
    <w:rsid w:val="00FE280F"/>
    <w:rsid w:val="00FE297A"/>
    <w:rsid w:val="00FE2A82"/>
    <w:rsid w:val="00FE2AB9"/>
    <w:rsid w:val="00FE2F66"/>
    <w:rsid w:val="00FE3500"/>
    <w:rsid w:val="00FE384E"/>
    <w:rsid w:val="00FE398C"/>
    <w:rsid w:val="00FE3A1A"/>
    <w:rsid w:val="00FE3B15"/>
    <w:rsid w:val="00FE3B94"/>
    <w:rsid w:val="00FE3D99"/>
    <w:rsid w:val="00FE3E56"/>
    <w:rsid w:val="00FE40C4"/>
    <w:rsid w:val="00FE43CE"/>
    <w:rsid w:val="00FE44EE"/>
    <w:rsid w:val="00FE454C"/>
    <w:rsid w:val="00FE473B"/>
    <w:rsid w:val="00FE47EF"/>
    <w:rsid w:val="00FE48FC"/>
    <w:rsid w:val="00FE490E"/>
    <w:rsid w:val="00FE49CC"/>
    <w:rsid w:val="00FE4A2D"/>
    <w:rsid w:val="00FE4CCA"/>
    <w:rsid w:val="00FE4D29"/>
    <w:rsid w:val="00FE50F2"/>
    <w:rsid w:val="00FE52D1"/>
    <w:rsid w:val="00FE53E4"/>
    <w:rsid w:val="00FE5422"/>
    <w:rsid w:val="00FE54BA"/>
    <w:rsid w:val="00FE563A"/>
    <w:rsid w:val="00FE5886"/>
    <w:rsid w:val="00FE5C68"/>
    <w:rsid w:val="00FE5F44"/>
    <w:rsid w:val="00FE6239"/>
    <w:rsid w:val="00FE655D"/>
    <w:rsid w:val="00FE66D3"/>
    <w:rsid w:val="00FE6B09"/>
    <w:rsid w:val="00FE70C7"/>
    <w:rsid w:val="00FE711E"/>
    <w:rsid w:val="00FE735A"/>
    <w:rsid w:val="00FE75C6"/>
    <w:rsid w:val="00FE770A"/>
    <w:rsid w:val="00FE7951"/>
    <w:rsid w:val="00FE79BC"/>
    <w:rsid w:val="00FE7A80"/>
    <w:rsid w:val="00FE7B39"/>
    <w:rsid w:val="00FE7D95"/>
    <w:rsid w:val="00FE7E5E"/>
    <w:rsid w:val="00FF04AD"/>
    <w:rsid w:val="00FF07D6"/>
    <w:rsid w:val="00FF0F8B"/>
    <w:rsid w:val="00FF12DE"/>
    <w:rsid w:val="00FF15F4"/>
    <w:rsid w:val="00FF1618"/>
    <w:rsid w:val="00FF17ED"/>
    <w:rsid w:val="00FF1914"/>
    <w:rsid w:val="00FF19A7"/>
    <w:rsid w:val="00FF1DCA"/>
    <w:rsid w:val="00FF1FA5"/>
    <w:rsid w:val="00FF20AF"/>
    <w:rsid w:val="00FF2326"/>
    <w:rsid w:val="00FF2429"/>
    <w:rsid w:val="00FF2AEF"/>
    <w:rsid w:val="00FF2B3F"/>
    <w:rsid w:val="00FF2B9C"/>
    <w:rsid w:val="00FF2D5A"/>
    <w:rsid w:val="00FF2EF2"/>
    <w:rsid w:val="00FF2FF1"/>
    <w:rsid w:val="00FF369D"/>
    <w:rsid w:val="00FF374C"/>
    <w:rsid w:val="00FF37E0"/>
    <w:rsid w:val="00FF395F"/>
    <w:rsid w:val="00FF3AC6"/>
    <w:rsid w:val="00FF3CF5"/>
    <w:rsid w:val="00FF3DB3"/>
    <w:rsid w:val="00FF3F70"/>
    <w:rsid w:val="00FF41E2"/>
    <w:rsid w:val="00FF429D"/>
    <w:rsid w:val="00FF4549"/>
    <w:rsid w:val="00FF465C"/>
    <w:rsid w:val="00FF473D"/>
    <w:rsid w:val="00FF48D1"/>
    <w:rsid w:val="00FF4C08"/>
    <w:rsid w:val="00FF4C3A"/>
    <w:rsid w:val="00FF4D3C"/>
    <w:rsid w:val="00FF4E21"/>
    <w:rsid w:val="00FF50CE"/>
    <w:rsid w:val="00FF5176"/>
    <w:rsid w:val="00FF52B7"/>
    <w:rsid w:val="00FF53D8"/>
    <w:rsid w:val="00FF5475"/>
    <w:rsid w:val="00FF54E0"/>
    <w:rsid w:val="00FF5534"/>
    <w:rsid w:val="00FF5951"/>
    <w:rsid w:val="00FF6085"/>
    <w:rsid w:val="00FF6211"/>
    <w:rsid w:val="00FF62C0"/>
    <w:rsid w:val="00FF62DB"/>
    <w:rsid w:val="00FF66EF"/>
    <w:rsid w:val="00FF6756"/>
    <w:rsid w:val="00FF6D25"/>
    <w:rsid w:val="00FF6E22"/>
    <w:rsid w:val="00FF7134"/>
    <w:rsid w:val="00FF736E"/>
    <w:rsid w:val="00FF7405"/>
    <w:rsid w:val="00FF7424"/>
    <w:rsid w:val="00FF75BD"/>
    <w:rsid w:val="00FF7A42"/>
    <w:rsid w:val="00FF7BCE"/>
    <w:rsid w:val="00FF7BD1"/>
    <w:rsid w:val="00FF7C3B"/>
    <w:rsid w:val="00FF7FDA"/>
    <w:rsid w:val="06FCC94B"/>
    <w:rsid w:val="0781D605"/>
    <w:rsid w:val="089A8B6F"/>
    <w:rsid w:val="08A2DD9C"/>
    <w:rsid w:val="0C7B44AC"/>
    <w:rsid w:val="0F286EE0"/>
    <w:rsid w:val="11B5EC40"/>
    <w:rsid w:val="13DC7B43"/>
    <w:rsid w:val="145ECF2E"/>
    <w:rsid w:val="14AAA7D2"/>
    <w:rsid w:val="15683847"/>
    <w:rsid w:val="163607A3"/>
    <w:rsid w:val="175F93CC"/>
    <w:rsid w:val="1862803F"/>
    <w:rsid w:val="195C69CA"/>
    <w:rsid w:val="199CEA48"/>
    <w:rsid w:val="1AE70C72"/>
    <w:rsid w:val="1D77B15D"/>
    <w:rsid w:val="1FDBC993"/>
    <w:rsid w:val="223EECDC"/>
    <w:rsid w:val="2402AB28"/>
    <w:rsid w:val="2404933D"/>
    <w:rsid w:val="24D6FA6C"/>
    <w:rsid w:val="2812EE0E"/>
    <w:rsid w:val="2A942265"/>
    <w:rsid w:val="2B4DF9E7"/>
    <w:rsid w:val="2C189D9C"/>
    <w:rsid w:val="2D0AC47B"/>
    <w:rsid w:val="2E07B71E"/>
    <w:rsid w:val="2FAD6516"/>
    <w:rsid w:val="300E05F4"/>
    <w:rsid w:val="3053E71A"/>
    <w:rsid w:val="32753AE9"/>
    <w:rsid w:val="364646B2"/>
    <w:rsid w:val="36650B02"/>
    <w:rsid w:val="375B22AF"/>
    <w:rsid w:val="375CEF2C"/>
    <w:rsid w:val="3923E8A8"/>
    <w:rsid w:val="39BBF227"/>
    <w:rsid w:val="39CCFB1A"/>
    <w:rsid w:val="3AD4C943"/>
    <w:rsid w:val="3BA9C6B7"/>
    <w:rsid w:val="3EE37C9B"/>
    <w:rsid w:val="402B66C4"/>
    <w:rsid w:val="425DF7B8"/>
    <w:rsid w:val="42702BB2"/>
    <w:rsid w:val="43A1129B"/>
    <w:rsid w:val="47B50DC7"/>
    <w:rsid w:val="480B508E"/>
    <w:rsid w:val="4C8A6297"/>
    <w:rsid w:val="4E6416D5"/>
    <w:rsid w:val="5089E446"/>
    <w:rsid w:val="537C5D6D"/>
    <w:rsid w:val="53A1677C"/>
    <w:rsid w:val="56A23A1C"/>
    <w:rsid w:val="5815C1B3"/>
    <w:rsid w:val="5ABC7B4F"/>
    <w:rsid w:val="5B53B3F9"/>
    <w:rsid w:val="5DAA34A4"/>
    <w:rsid w:val="5F78048F"/>
    <w:rsid w:val="5FFE5F4F"/>
    <w:rsid w:val="60891747"/>
    <w:rsid w:val="61133364"/>
    <w:rsid w:val="64EB4A10"/>
    <w:rsid w:val="64F7A3B6"/>
    <w:rsid w:val="677FFBF5"/>
    <w:rsid w:val="69FCFCB1"/>
    <w:rsid w:val="6CB4E4D2"/>
    <w:rsid w:val="6E996577"/>
    <w:rsid w:val="6FBAAFAA"/>
    <w:rsid w:val="6FC4C83F"/>
    <w:rsid w:val="7282AA7E"/>
    <w:rsid w:val="73F3C8DC"/>
    <w:rsid w:val="7431483D"/>
    <w:rsid w:val="75C41EA3"/>
    <w:rsid w:val="76512D34"/>
    <w:rsid w:val="78DDF326"/>
    <w:rsid w:val="79283A93"/>
    <w:rsid w:val="79F89A3A"/>
    <w:rsid w:val="7A7C7103"/>
    <w:rsid w:val="7D31CBB1"/>
    <w:rsid w:val="7DB101BD"/>
    <w:rsid w:val="7E0A7E15"/>
    <w:rsid w:val="7F47E1EC"/>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47F192EE-F32D-4DFD-B6E3-32D3813FC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5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D2758E"/>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758E"/>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758E"/>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758E"/>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758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758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758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758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758E"/>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75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275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275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758E"/>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D2758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2758E"/>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rsid w:val="00D2758E"/>
    <w:rPr>
      <w:vertAlign w:val="superscript"/>
      <w:lang w:val="en-GB"/>
    </w:rPr>
  </w:style>
  <w:style w:type="paragraph" w:customStyle="1" w:styleId="Footnote">
    <w:name w:val="Footnote"/>
    <w:basedOn w:val="FootnoteText"/>
    <w:qFormat/>
    <w:rsid w:val="00D275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spacing w:before="120" w:after="120"/>
      <w:ind w:left="1260" w:hanging="360"/>
    </w:pPr>
  </w:style>
  <w:style w:type="character" w:customStyle="1" w:styleId="Heading2Char">
    <w:name w:val="Heading 2 Char"/>
    <w:basedOn w:val="DefaultParagraphFont"/>
    <w:link w:val="Heading2"/>
    <w:uiPriority w:val="9"/>
    <w:rsid w:val="00D2758E"/>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275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758E"/>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D2758E"/>
    <w:pPr>
      <w:tabs>
        <w:tab w:val="center" w:pos="4680"/>
        <w:tab w:val="right" w:pos="9360"/>
      </w:tabs>
    </w:pPr>
    <w:rPr>
      <w:sz w:val="20"/>
    </w:rPr>
  </w:style>
  <w:style w:type="character" w:customStyle="1" w:styleId="FooterChar">
    <w:name w:val="Footer Char"/>
    <w:basedOn w:val="DefaultParagraphFont"/>
    <w:link w:val="Footer"/>
    <w:uiPriority w:val="99"/>
    <w:rsid w:val="00D2758E"/>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D2758E"/>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D2758E"/>
    <w:pPr>
      <w:spacing w:after="240"/>
    </w:pPr>
    <w:rPr>
      <w:b/>
      <w:sz w:val="28"/>
    </w:rPr>
  </w:style>
  <w:style w:type="paragraph" w:customStyle="1" w:styleId="Para3">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D2758E"/>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D2758E"/>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D2758E"/>
    <w:rPr>
      <w:sz w:val="16"/>
      <w:szCs w:val="16"/>
      <w:lang w:val="en-GB"/>
    </w:rPr>
  </w:style>
  <w:style w:type="paragraph" w:styleId="CommentText">
    <w:name w:val="annotation text"/>
    <w:basedOn w:val="Normal"/>
    <w:link w:val="CommentTextChar"/>
    <w:uiPriority w:val="99"/>
    <w:rsid w:val="00D2758E"/>
    <w:rPr>
      <w:sz w:val="20"/>
      <w:szCs w:val="20"/>
    </w:rPr>
  </w:style>
  <w:style w:type="character" w:customStyle="1" w:styleId="CommentTextChar">
    <w:name w:val="Comment Text Char"/>
    <w:basedOn w:val="DefaultParagraphFont"/>
    <w:link w:val="CommentText"/>
    <w:uiPriority w:val="99"/>
    <w:rsid w:val="00D275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2758E"/>
    <w:rPr>
      <w:b/>
      <w:bCs/>
    </w:rPr>
  </w:style>
  <w:style w:type="character" w:customStyle="1" w:styleId="CommentSubjectChar">
    <w:name w:val="Comment Subject Char"/>
    <w:basedOn w:val="CommentTextChar"/>
    <w:link w:val="CommentSubject"/>
    <w:uiPriority w:val="99"/>
    <w:semiHidden/>
    <w:rsid w:val="00D2758E"/>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2758E"/>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D275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link w:val="ListParagraphChar"/>
    <w:uiPriority w:val="34"/>
    <w:qFormat/>
    <w:rsid w:val="00D2758E"/>
    <w:pPr>
      <w:ind w:left="720"/>
      <w:contextualSpacing/>
    </w:pPr>
  </w:style>
  <w:style w:type="character" w:styleId="Mention">
    <w:name w:val="Mention"/>
    <w:basedOn w:val="DefaultParagraphFont"/>
    <w:uiPriority w:val="99"/>
    <w:unhideWhenUsed/>
    <w:rsid w:val="001C12E1"/>
    <w:rPr>
      <w:color w:val="2B579A"/>
      <w:shd w:val="clear" w:color="auto" w:fill="E1DFDD"/>
      <w:lang w:val="en-GB"/>
    </w:rPr>
  </w:style>
  <w:style w:type="character" w:customStyle="1" w:styleId="normaltextrun">
    <w:name w:val="normaltextrun"/>
    <w:basedOn w:val="DefaultParagraphFont"/>
    <w:rsid w:val="00092AA1"/>
    <w:rPr>
      <w:lang w:val="en-GB"/>
    </w:rPr>
  </w:style>
  <w:style w:type="paragraph" w:customStyle="1" w:styleId="paragraph">
    <w:name w:val="paragraph"/>
    <w:basedOn w:val="Normal"/>
    <w:rsid w:val="00092AA1"/>
    <w:pPr>
      <w:spacing w:before="100" w:beforeAutospacing="1" w:after="100" w:afterAutospacing="1"/>
      <w:jc w:val="left"/>
    </w:pPr>
    <w:rPr>
      <w:sz w:val="24"/>
    </w:rPr>
  </w:style>
  <w:style w:type="character" w:customStyle="1" w:styleId="eop">
    <w:name w:val="eop"/>
    <w:basedOn w:val="DefaultParagraphFont"/>
    <w:rsid w:val="00092AA1"/>
    <w:rPr>
      <w:lang w:val="en-GB"/>
    </w:rPr>
  </w:style>
  <w:style w:type="character" w:customStyle="1" w:styleId="ListParagraphChar">
    <w:name w:val="List Paragraph Char"/>
    <w:basedOn w:val="DefaultParagraphFont"/>
    <w:link w:val="ListParagraph"/>
    <w:uiPriority w:val="34"/>
    <w:qFormat/>
    <w:rsid w:val="00CB23B5"/>
    <w:rPr>
      <w:rFonts w:ascii="Times New Roman" w:eastAsia="SimSun" w:hAnsi="Times New Roman" w:cs="Times New Roman"/>
      <w:kern w:val="0"/>
      <w:lang w:val="en-GB"/>
      <w14:ligatures w14:val="none"/>
    </w:rPr>
  </w:style>
  <w:style w:type="paragraph" w:customStyle="1" w:styleId="AFCorNotNormal">
    <w:name w:val="AF_CorNotNormal"/>
    <w:basedOn w:val="Normal"/>
    <w:unhideWhenUsed/>
    <w:rsid w:val="00F26E46"/>
  </w:style>
  <w:style w:type="paragraph" w:customStyle="1" w:styleId="AFCorNot12Bold">
    <w:name w:val="AF_CorNot12Bold"/>
    <w:basedOn w:val="AFCorNotNormal"/>
    <w:next w:val="AFCorNotNormal"/>
    <w:unhideWhenUsed/>
    <w:qFormat/>
    <w:rsid w:val="00F26E46"/>
    <w:pPr>
      <w:jc w:val="left"/>
    </w:pPr>
    <w:rPr>
      <w:b/>
      <w:sz w:val="24"/>
    </w:rPr>
  </w:style>
  <w:style w:type="table" w:customStyle="1" w:styleId="TableGrid2">
    <w:name w:val="Table Grid2"/>
    <w:basedOn w:val="TableNormal"/>
    <w:next w:val="TableGrid"/>
    <w:uiPriority w:val="39"/>
    <w:qFormat/>
    <w:rsid w:val="00F26E46"/>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12Bold">
    <w:name w:val="AF_CorN12Bold"/>
    <w:basedOn w:val="AFCorNNormal"/>
    <w:next w:val="AFCorNNormal"/>
    <w:unhideWhenUsed/>
    <w:qFormat/>
    <w:rsid w:val="00D2758E"/>
    <w:rPr>
      <w:b/>
      <w:sz w:val="24"/>
    </w:rPr>
  </w:style>
  <w:style w:type="numbering" w:customStyle="1" w:styleId="ListCBD">
    <w:name w:val="ListCBD"/>
    <w:basedOn w:val="NoList"/>
    <w:uiPriority w:val="99"/>
    <w:rsid w:val="00D2758E"/>
    <w:pPr>
      <w:numPr>
        <w:numId w:val="8"/>
      </w:numPr>
    </w:pPr>
  </w:style>
  <w:style w:type="character" w:customStyle="1" w:styleId="cf01">
    <w:name w:val="cf01"/>
    <w:basedOn w:val="DefaultParagraphFont"/>
    <w:rsid w:val="00F451C1"/>
    <w:rPr>
      <w:rFonts w:ascii="Segoe UI" w:hAnsi="Segoe UI" w:cs="Segoe UI" w:hint="default"/>
      <w:sz w:val="18"/>
      <w:szCs w:val="18"/>
      <w:lang w:val="en-GB"/>
    </w:rPr>
  </w:style>
  <w:style w:type="numbering" w:customStyle="1" w:styleId="ListCBD1">
    <w:name w:val="ListCBD1"/>
    <w:uiPriority w:val="99"/>
    <w:rsid w:val="002969D0"/>
  </w:style>
  <w:style w:type="paragraph" w:customStyle="1" w:styleId="CBDNormalNumber">
    <w:name w:val="CBD_Normal_Number"/>
    <w:basedOn w:val="CBDNormal"/>
    <w:qFormat/>
    <w:rsid w:val="00D2758E"/>
    <w:pPr>
      <w:numPr>
        <w:numId w:val="7"/>
      </w:numPr>
      <w:tabs>
        <w:tab w:val="left" w:pos="3969"/>
      </w:tabs>
      <w:spacing w:before="120" w:after="120"/>
    </w:pPr>
  </w:style>
  <w:style w:type="paragraph" w:styleId="IntenseQuote">
    <w:name w:val="Intense Quote"/>
    <w:basedOn w:val="Normal"/>
    <w:next w:val="Normal"/>
    <w:link w:val="IntenseQuoteChar"/>
    <w:uiPriority w:val="30"/>
    <w:qFormat/>
    <w:rsid w:val="00A16E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lang w:eastAsia="zh-CN"/>
      <w14:ligatures w14:val="standardContextual"/>
    </w:rPr>
  </w:style>
  <w:style w:type="character" w:customStyle="1" w:styleId="IntenseQuoteChar">
    <w:name w:val="Intense Quote Char"/>
    <w:basedOn w:val="DefaultParagraphFont"/>
    <w:link w:val="IntenseQuote"/>
    <w:uiPriority w:val="30"/>
    <w:rsid w:val="00A16EEA"/>
    <w:rPr>
      <w:rFonts w:eastAsiaTheme="minorEastAsia"/>
      <w:i/>
      <w:iCs/>
      <w:color w:val="2F5496" w:themeColor="accent1" w:themeShade="BF"/>
      <w:sz w:val="24"/>
      <w:lang w:val="en-GB" w:eastAsia="zh-CN"/>
    </w:rPr>
  </w:style>
  <w:style w:type="character" w:styleId="Strong">
    <w:name w:val="Strong"/>
    <w:basedOn w:val="DefaultParagraphFont"/>
    <w:uiPriority w:val="22"/>
    <w:qFormat/>
    <w:rsid w:val="00A53978"/>
    <w:rPr>
      <w:b/>
      <w:bCs/>
      <w:lang w:val="en-GB"/>
    </w:rPr>
  </w:style>
  <w:style w:type="paragraph" w:customStyle="1" w:styleId="Normalnumber">
    <w:name w:val="Normal_number"/>
    <w:basedOn w:val="Normal"/>
    <w:rsid w:val="00B93784"/>
    <w:pPr>
      <w:tabs>
        <w:tab w:val="left" w:pos="2835"/>
        <w:tab w:val="left" w:pos="3402"/>
        <w:tab w:val="left" w:pos="3969"/>
      </w:tabs>
      <w:spacing w:after="120"/>
      <w:ind w:left="567"/>
      <w:jc w:val="left"/>
    </w:pPr>
    <w:rPr>
      <w:sz w:val="24"/>
    </w:rPr>
  </w:style>
  <w:style w:type="paragraph" w:styleId="TOC1">
    <w:name w:val="toc 1"/>
    <w:basedOn w:val="CBDNormal"/>
    <w:next w:val="Normal"/>
    <w:autoRedefine/>
    <w:uiPriority w:val="39"/>
    <w:unhideWhenUsed/>
    <w:rsid w:val="005A210D"/>
    <w:pPr>
      <w:tabs>
        <w:tab w:val="clear" w:pos="567"/>
        <w:tab w:val="clear" w:pos="1134"/>
        <w:tab w:val="clear" w:pos="1701"/>
        <w:tab w:val="clear" w:pos="2268"/>
        <w:tab w:val="clear" w:pos="3402"/>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character" w:customStyle="1" w:styleId="Heading6Char">
    <w:name w:val="Heading 6 Char"/>
    <w:basedOn w:val="DefaultParagraphFont"/>
    <w:link w:val="Heading6"/>
    <w:semiHidden/>
    <w:rsid w:val="00D2758E"/>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D2758E"/>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D2758E"/>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D2758E"/>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D275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D2758E"/>
    <w:pPr>
      <w:spacing w:after="120"/>
      <w:ind w:left="567"/>
    </w:pPr>
  </w:style>
  <w:style w:type="paragraph" w:customStyle="1" w:styleId="ABSymbol">
    <w:name w:val="AB_Symbol"/>
    <w:basedOn w:val="Normal"/>
    <w:qFormat/>
    <w:rsid w:val="00D275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D2758E"/>
    <w:pPr>
      <w:jc w:val="left"/>
    </w:pPr>
  </w:style>
  <w:style w:type="paragraph" w:customStyle="1" w:styleId="AEDistrNormal">
    <w:name w:val="AE_DistrNormal"/>
    <w:basedOn w:val="Normal"/>
    <w:unhideWhenUsed/>
    <w:rsid w:val="00D2758E"/>
    <w:pPr>
      <w:jc w:val="left"/>
    </w:pPr>
  </w:style>
  <w:style w:type="paragraph" w:customStyle="1" w:styleId="AASmallLogo">
    <w:name w:val="AA_SmallLogo"/>
    <w:basedOn w:val="AEDistrNormal"/>
    <w:unhideWhenUsed/>
    <w:rsid w:val="00D2758E"/>
    <w:pPr>
      <w:spacing w:before="40"/>
    </w:pPr>
    <w:rPr>
      <w:sz w:val="4"/>
    </w:rPr>
  </w:style>
  <w:style w:type="paragraph" w:customStyle="1" w:styleId="ACLargeLogo">
    <w:name w:val="AC_LargeLogo"/>
    <w:basedOn w:val="AFCorNNormal"/>
    <w:next w:val="AISpacer"/>
    <w:unhideWhenUsed/>
    <w:rsid w:val="00D2758E"/>
    <w:pPr>
      <w:spacing w:before="120"/>
      <w:contextualSpacing/>
    </w:pPr>
    <w:rPr>
      <w:sz w:val="8"/>
    </w:rPr>
  </w:style>
  <w:style w:type="paragraph" w:customStyle="1" w:styleId="CBDNormal">
    <w:name w:val="CBD_Normal"/>
    <w:unhideWhenUsed/>
    <w:qFormat/>
    <w:rsid w:val="00D275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D2758E"/>
    <w:pPr>
      <w:contextualSpacing/>
    </w:pPr>
  </w:style>
  <w:style w:type="numbering" w:customStyle="1" w:styleId="CBDHeadings">
    <w:name w:val="CBD_Headings"/>
    <w:basedOn w:val="ListCBD"/>
    <w:uiPriority w:val="99"/>
    <w:rsid w:val="00D2758E"/>
    <w:pPr>
      <w:numPr>
        <w:numId w:val="6"/>
      </w:numPr>
    </w:pPr>
  </w:style>
  <w:style w:type="paragraph" w:customStyle="1" w:styleId="AISpacer">
    <w:name w:val="AI_Spacer"/>
    <w:next w:val="Normal"/>
    <w:unhideWhenUsed/>
    <w:qFormat/>
    <w:rsid w:val="00D275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D2758E"/>
    <w:pPr>
      <w:spacing w:before="120"/>
    </w:pPr>
  </w:style>
  <w:style w:type="paragraph" w:customStyle="1" w:styleId="AFCorNBold">
    <w:name w:val="AF_CorNBold"/>
    <w:basedOn w:val="AFCorNNormal"/>
    <w:next w:val="AFCorNNormal"/>
    <w:unhideWhenUsed/>
    <w:qFormat/>
    <w:rsid w:val="00D2758E"/>
    <w:rPr>
      <w:b/>
    </w:rPr>
  </w:style>
  <w:style w:type="paragraph" w:customStyle="1" w:styleId="CBDAgendaItemReport">
    <w:name w:val="CBD_AgendaItem_Report"/>
    <w:basedOn w:val="Normal"/>
    <w:qFormat/>
    <w:rsid w:val="00D2758E"/>
    <w:pPr>
      <w:keepNext/>
      <w:keepLines/>
      <w:spacing w:before="240" w:after="120"/>
      <w:jc w:val="left"/>
    </w:pPr>
    <w:rPr>
      <w:b/>
      <w:sz w:val="24"/>
    </w:rPr>
  </w:style>
  <w:style w:type="paragraph" w:customStyle="1" w:styleId="CBDDesicionText">
    <w:name w:val="CBD_DesicionText"/>
    <w:basedOn w:val="CBDNormal"/>
    <w:qFormat/>
    <w:rsid w:val="00D2758E"/>
    <w:pPr>
      <w:spacing w:after="120"/>
      <w:ind w:left="1134" w:firstLine="567"/>
    </w:pPr>
  </w:style>
  <w:style w:type="paragraph" w:customStyle="1" w:styleId="CBDDesicionAnnex">
    <w:name w:val="CBD_DesicionAnnex"/>
    <w:basedOn w:val="CBDNormal"/>
    <w:next w:val="CBDDesicionText"/>
    <w:qFormat/>
    <w:rsid w:val="00D275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2758E"/>
    <w:pPr>
      <w:keepNext/>
      <w:keepLines/>
      <w:spacing w:after="240"/>
      <w:jc w:val="left"/>
    </w:pPr>
    <w:rPr>
      <w:b/>
      <w:sz w:val="28"/>
      <w:lang w:bidi="ar-SY"/>
    </w:rPr>
  </w:style>
  <w:style w:type="paragraph" w:customStyle="1" w:styleId="CBDSubTitle">
    <w:name w:val="CBD_SubTitle"/>
    <w:basedOn w:val="CBDNormal"/>
    <w:qFormat/>
    <w:rsid w:val="00D2758E"/>
    <w:pPr>
      <w:keepNext/>
      <w:keepLines/>
      <w:spacing w:before="240" w:after="240"/>
      <w:ind w:left="567"/>
      <w:jc w:val="left"/>
    </w:pPr>
    <w:rPr>
      <w:b/>
    </w:rPr>
  </w:style>
  <w:style w:type="paragraph" w:customStyle="1" w:styleId="CBDTitle">
    <w:name w:val="CBD_Title"/>
    <w:basedOn w:val="CBDNormal"/>
    <w:next w:val="CBDSubTitle"/>
    <w:qFormat/>
    <w:rsid w:val="00D2758E"/>
    <w:pPr>
      <w:keepNext/>
      <w:keepLines/>
      <w:spacing w:before="240" w:after="240"/>
      <w:ind w:left="567"/>
      <w:jc w:val="left"/>
    </w:pPr>
    <w:rPr>
      <w:b/>
      <w:sz w:val="28"/>
    </w:rPr>
  </w:style>
  <w:style w:type="paragraph" w:customStyle="1" w:styleId="AENormal">
    <w:name w:val="AE_Normal"/>
    <w:basedOn w:val="Normal"/>
    <w:rsid w:val="00D2758E"/>
  </w:style>
  <w:style w:type="paragraph" w:customStyle="1" w:styleId="CBDH1">
    <w:name w:val="CBD_H1"/>
    <w:basedOn w:val="CBDNormal"/>
    <w:qFormat/>
    <w:rsid w:val="00B60F41"/>
    <w:pPr>
      <w:keepNext/>
      <w:keepLines/>
      <w:spacing w:before="240" w:after="120"/>
      <w:ind w:left="567" w:hanging="567"/>
      <w:jc w:val="left"/>
      <w:outlineLvl w:val="0"/>
    </w:pPr>
    <w:rPr>
      <w:b/>
      <w:sz w:val="28"/>
    </w:rPr>
  </w:style>
  <w:style w:type="paragraph" w:customStyle="1" w:styleId="CBDH2">
    <w:name w:val="CBD_H2"/>
    <w:basedOn w:val="CBDNormal"/>
    <w:qFormat/>
    <w:rsid w:val="00B60F41"/>
    <w:pPr>
      <w:keepNext/>
      <w:keepLines/>
      <w:ind w:left="567" w:hanging="567"/>
      <w:outlineLvl w:val="1"/>
    </w:pPr>
    <w:rPr>
      <w:b/>
      <w:sz w:val="24"/>
    </w:rPr>
  </w:style>
  <w:style w:type="paragraph" w:customStyle="1" w:styleId="CBDFootnoteText">
    <w:name w:val="CBD_Footnote_Text"/>
    <w:basedOn w:val="CBDNormal"/>
    <w:qFormat/>
    <w:rsid w:val="00D2758E"/>
    <w:pPr>
      <w:jc w:val="left"/>
    </w:pPr>
    <w:rPr>
      <w:sz w:val="18"/>
    </w:rPr>
  </w:style>
  <w:style w:type="paragraph" w:customStyle="1" w:styleId="CBDFooter">
    <w:name w:val="CBD_Footer"/>
    <w:basedOn w:val="CBDNormal"/>
    <w:qFormat/>
    <w:rsid w:val="00D2758E"/>
    <w:rPr>
      <w:sz w:val="20"/>
    </w:rPr>
  </w:style>
  <w:style w:type="paragraph" w:customStyle="1" w:styleId="CBDHeader">
    <w:name w:val="CBD_Header"/>
    <w:basedOn w:val="CBDNormal"/>
    <w:next w:val="CBDFooter"/>
    <w:qFormat/>
    <w:rsid w:val="00D275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818EB"/>
    <w:pPr>
      <w:keepNext/>
      <w:keepLines/>
      <w:spacing w:before="120" w:after="120"/>
      <w:ind w:left="567" w:hanging="567"/>
      <w:jc w:val="left"/>
      <w:outlineLvl w:val="2"/>
    </w:pPr>
    <w:rPr>
      <w:b/>
    </w:rPr>
  </w:style>
  <w:style w:type="paragraph" w:customStyle="1" w:styleId="CBDH4">
    <w:name w:val="CBD_H4"/>
    <w:basedOn w:val="CBDNormal"/>
    <w:rsid w:val="00B60F41"/>
    <w:pPr>
      <w:keepNext/>
      <w:keepLines/>
      <w:spacing w:before="120" w:after="120"/>
      <w:ind w:left="567" w:hanging="567"/>
      <w:jc w:val="left"/>
      <w:outlineLvl w:val="3"/>
    </w:pPr>
    <w:rPr>
      <w:b/>
    </w:rPr>
  </w:style>
  <w:style w:type="paragraph" w:customStyle="1" w:styleId="CBDH5">
    <w:name w:val="CBD_H5"/>
    <w:basedOn w:val="CBDNormal"/>
    <w:qFormat/>
    <w:rsid w:val="00D2758E"/>
    <w:pPr>
      <w:keepNext/>
      <w:keepLines/>
      <w:spacing w:before="120" w:after="120"/>
      <w:ind w:left="567" w:hanging="567"/>
      <w:jc w:val="left"/>
    </w:pPr>
    <w:rPr>
      <w:i/>
    </w:rPr>
  </w:style>
  <w:style w:type="paragraph" w:customStyle="1" w:styleId="CBDTableNormal">
    <w:name w:val="CBD_TableNormal"/>
    <w:basedOn w:val="CBDNormal"/>
    <w:qFormat/>
    <w:rsid w:val="00D2758E"/>
    <w:pPr>
      <w:spacing w:before="40" w:after="80"/>
      <w:jc w:val="left"/>
    </w:pPr>
    <w:rPr>
      <w:sz w:val="20"/>
    </w:rPr>
  </w:style>
  <w:style w:type="paragraph" w:customStyle="1" w:styleId="CBDTableTitle">
    <w:name w:val="CBD_TableTitle"/>
    <w:basedOn w:val="CBDNormal"/>
    <w:qFormat/>
    <w:rsid w:val="00D2758E"/>
    <w:pPr>
      <w:keepNext/>
      <w:keepLines/>
      <w:spacing w:before="120" w:after="60"/>
      <w:ind w:left="567"/>
      <w:jc w:val="left"/>
    </w:pPr>
    <w:rPr>
      <w:b/>
    </w:rPr>
  </w:style>
  <w:style w:type="paragraph" w:customStyle="1" w:styleId="CBDFigureTitle">
    <w:name w:val="CBD_FigureTitle"/>
    <w:basedOn w:val="CBDNormal"/>
    <w:next w:val="CBDNormalNoNumber"/>
    <w:qFormat/>
    <w:rsid w:val="00D2758E"/>
    <w:pPr>
      <w:keepNext/>
      <w:keepLines/>
      <w:spacing w:before="120" w:after="60"/>
      <w:ind w:left="567"/>
      <w:jc w:val="left"/>
    </w:pPr>
    <w:rPr>
      <w:b/>
    </w:rPr>
  </w:style>
  <w:style w:type="paragraph" w:styleId="TOC3">
    <w:name w:val="toc 3"/>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275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D2758E"/>
  </w:style>
  <w:style w:type="paragraph" w:customStyle="1" w:styleId="CBDpara-item">
    <w:name w:val="CBD_para-item"/>
    <w:basedOn w:val="Normal"/>
    <w:qFormat/>
    <w:rsid w:val="00D2758E"/>
    <w:pPr>
      <w:tabs>
        <w:tab w:val="clear" w:pos="567"/>
      </w:tabs>
      <w:spacing w:before="120" w:after="120"/>
      <w:ind w:left="1134" w:hanging="567"/>
      <w:jc w:val="left"/>
    </w:pPr>
  </w:style>
  <w:style w:type="paragraph" w:customStyle="1" w:styleId="CBDsubpara-item">
    <w:name w:val="CBD_subpara-item"/>
    <w:basedOn w:val="CBDpara-item"/>
    <w:qFormat/>
    <w:rsid w:val="00D2758E"/>
    <w:pPr>
      <w:tabs>
        <w:tab w:val="clear" w:pos="1134"/>
      </w:tabs>
      <w:ind w:left="1701"/>
    </w:pPr>
  </w:style>
  <w:style w:type="paragraph" w:customStyle="1" w:styleId="CBDRecommendText">
    <w:name w:val="CBD_RecommendText"/>
    <w:basedOn w:val="Normal"/>
    <w:qFormat/>
    <w:rsid w:val="00D2758E"/>
    <w:pPr>
      <w:spacing w:after="120"/>
      <w:ind w:left="567"/>
    </w:pPr>
  </w:style>
  <w:style w:type="paragraph" w:customStyle="1" w:styleId="CBDAgendaItem-1">
    <w:name w:val="CBD_AgendaItem-1"/>
    <w:basedOn w:val="Normal"/>
    <w:qFormat/>
    <w:rsid w:val="00D2758E"/>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D2758E"/>
    <w:pPr>
      <w:ind w:left="567" w:hanging="567"/>
    </w:pPr>
    <w:rPr>
      <w:sz w:val="22"/>
    </w:rPr>
  </w:style>
  <w:style w:type="paragraph" w:customStyle="1" w:styleId="CBDAgendaItem-3">
    <w:name w:val="CBD_AgendaItem-3"/>
    <w:basedOn w:val="CBDAgendaItem-1"/>
    <w:qFormat/>
    <w:rsid w:val="00D2758E"/>
    <w:pPr>
      <w:ind w:left="567" w:hanging="567"/>
    </w:pPr>
    <w:rPr>
      <w:sz w:val="20"/>
    </w:rPr>
  </w:style>
  <w:style w:type="paragraph" w:styleId="BalloonText">
    <w:name w:val="Balloon Text"/>
    <w:basedOn w:val="Normal"/>
    <w:link w:val="BalloonTextChar"/>
    <w:uiPriority w:val="99"/>
    <w:semiHidden/>
    <w:unhideWhenUsed/>
    <w:rsid w:val="00C10A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5B"/>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C10A5B"/>
  </w:style>
  <w:style w:type="paragraph" w:styleId="BlockText">
    <w:name w:val="Block Text"/>
    <w:basedOn w:val="Normal"/>
    <w:uiPriority w:val="99"/>
    <w:semiHidden/>
    <w:unhideWhenUsed/>
    <w:rsid w:val="00C10A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10A5B"/>
    <w:pPr>
      <w:spacing w:after="120" w:line="480" w:lineRule="auto"/>
    </w:pPr>
  </w:style>
  <w:style w:type="character" w:customStyle="1" w:styleId="BodyText2Char">
    <w:name w:val="Body Text 2 Char"/>
    <w:basedOn w:val="DefaultParagraphFont"/>
    <w:link w:val="BodyText2"/>
    <w:uiPriority w:val="99"/>
    <w:semiHidden/>
    <w:rsid w:val="00C10A5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10A5B"/>
    <w:pPr>
      <w:spacing w:after="120"/>
    </w:pPr>
    <w:rPr>
      <w:sz w:val="16"/>
      <w:szCs w:val="16"/>
    </w:rPr>
  </w:style>
  <w:style w:type="character" w:customStyle="1" w:styleId="BodyText3Char">
    <w:name w:val="Body Text 3 Char"/>
    <w:basedOn w:val="DefaultParagraphFont"/>
    <w:link w:val="BodyText3"/>
    <w:uiPriority w:val="99"/>
    <w:semiHidden/>
    <w:rsid w:val="00C10A5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10A5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10A5B"/>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C10A5B"/>
    <w:pPr>
      <w:spacing w:after="120"/>
      <w:ind w:left="283"/>
    </w:pPr>
  </w:style>
  <w:style w:type="character" w:customStyle="1" w:styleId="BodyTextIndentChar">
    <w:name w:val="Body Text Indent Char"/>
    <w:basedOn w:val="DefaultParagraphFont"/>
    <w:link w:val="BodyTextIndent"/>
    <w:uiPriority w:val="99"/>
    <w:semiHidden/>
    <w:rsid w:val="00C10A5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10A5B"/>
    <w:pPr>
      <w:spacing w:after="0"/>
      <w:ind w:left="360" w:firstLine="360"/>
    </w:pPr>
  </w:style>
  <w:style w:type="character" w:customStyle="1" w:styleId="BodyTextFirstIndent2Char">
    <w:name w:val="Body Text First Indent 2 Char"/>
    <w:basedOn w:val="BodyTextIndentChar"/>
    <w:link w:val="BodyTextFirstIndent2"/>
    <w:uiPriority w:val="99"/>
    <w:semiHidden/>
    <w:rsid w:val="00C10A5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10A5B"/>
    <w:pPr>
      <w:spacing w:after="120" w:line="480" w:lineRule="auto"/>
      <w:ind w:left="283"/>
    </w:pPr>
  </w:style>
  <w:style w:type="character" w:customStyle="1" w:styleId="BodyTextIndent2Char">
    <w:name w:val="Body Text Indent 2 Char"/>
    <w:basedOn w:val="DefaultParagraphFont"/>
    <w:link w:val="BodyTextIndent2"/>
    <w:uiPriority w:val="99"/>
    <w:semiHidden/>
    <w:rsid w:val="00C10A5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10A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10A5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10A5B"/>
    <w:rPr>
      <w:b/>
      <w:bCs/>
      <w:i/>
      <w:iCs/>
      <w:spacing w:val="5"/>
      <w:lang w:val="en-GB"/>
    </w:rPr>
  </w:style>
  <w:style w:type="paragraph" w:styleId="Caption">
    <w:name w:val="caption"/>
    <w:basedOn w:val="Normal"/>
    <w:next w:val="Normal"/>
    <w:uiPriority w:val="35"/>
    <w:semiHidden/>
    <w:unhideWhenUsed/>
    <w:qFormat/>
    <w:rsid w:val="00C10A5B"/>
    <w:pPr>
      <w:spacing w:after="200"/>
    </w:pPr>
    <w:rPr>
      <w:i/>
      <w:iCs/>
      <w:color w:val="44546A" w:themeColor="text2"/>
      <w:sz w:val="18"/>
      <w:szCs w:val="18"/>
    </w:rPr>
  </w:style>
  <w:style w:type="paragraph" w:styleId="Closing">
    <w:name w:val="Closing"/>
    <w:basedOn w:val="Normal"/>
    <w:link w:val="ClosingChar"/>
    <w:uiPriority w:val="99"/>
    <w:semiHidden/>
    <w:unhideWhenUsed/>
    <w:rsid w:val="00C10A5B"/>
    <w:pPr>
      <w:ind w:left="4252"/>
    </w:pPr>
  </w:style>
  <w:style w:type="character" w:customStyle="1" w:styleId="ClosingChar">
    <w:name w:val="Closing Char"/>
    <w:basedOn w:val="DefaultParagraphFont"/>
    <w:link w:val="Closing"/>
    <w:uiPriority w:val="99"/>
    <w:semiHidden/>
    <w:rsid w:val="00C10A5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10A5B"/>
  </w:style>
  <w:style w:type="character" w:customStyle="1" w:styleId="DateChar">
    <w:name w:val="Date Char"/>
    <w:basedOn w:val="DefaultParagraphFont"/>
    <w:link w:val="Date"/>
    <w:uiPriority w:val="99"/>
    <w:semiHidden/>
    <w:rsid w:val="00C10A5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10A5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10A5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10A5B"/>
  </w:style>
  <w:style w:type="character" w:customStyle="1" w:styleId="E-mailSignatureChar">
    <w:name w:val="E-mail Signature Char"/>
    <w:basedOn w:val="DefaultParagraphFont"/>
    <w:link w:val="E-mailSignature"/>
    <w:uiPriority w:val="99"/>
    <w:semiHidden/>
    <w:rsid w:val="00C10A5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C10A5B"/>
    <w:rPr>
      <w:i/>
      <w:iCs/>
      <w:lang w:val="en-GB"/>
    </w:rPr>
  </w:style>
  <w:style w:type="character" w:styleId="EndnoteReference">
    <w:name w:val="endnote reference"/>
    <w:basedOn w:val="DefaultParagraphFont"/>
    <w:uiPriority w:val="99"/>
    <w:semiHidden/>
    <w:unhideWhenUsed/>
    <w:rsid w:val="00C10A5B"/>
    <w:rPr>
      <w:vertAlign w:val="superscript"/>
      <w:lang w:val="en-GB"/>
    </w:rPr>
  </w:style>
  <w:style w:type="paragraph" w:styleId="EndnoteText">
    <w:name w:val="endnote text"/>
    <w:basedOn w:val="Normal"/>
    <w:link w:val="EndnoteTextChar"/>
    <w:uiPriority w:val="99"/>
    <w:semiHidden/>
    <w:unhideWhenUsed/>
    <w:rsid w:val="00C10A5B"/>
    <w:rPr>
      <w:sz w:val="20"/>
      <w:szCs w:val="20"/>
    </w:rPr>
  </w:style>
  <w:style w:type="character" w:customStyle="1" w:styleId="EndnoteTextChar">
    <w:name w:val="Endnote Text Char"/>
    <w:basedOn w:val="DefaultParagraphFont"/>
    <w:link w:val="EndnoteText"/>
    <w:uiPriority w:val="99"/>
    <w:semiHidden/>
    <w:rsid w:val="00C10A5B"/>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10A5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10A5B"/>
    <w:rPr>
      <w:rFonts w:asciiTheme="majorHAnsi" w:eastAsiaTheme="majorEastAsia" w:hAnsiTheme="majorHAnsi" w:cstheme="majorBidi"/>
      <w:sz w:val="20"/>
      <w:szCs w:val="20"/>
    </w:rPr>
  </w:style>
  <w:style w:type="table" w:styleId="GridTable1Light">
    <w:name w:val="Grid Table 1 Light"/>
    <w:basedOn w:val="TableNormal"/>
    <w:uiPriority w:val="46"/>
    <w:rsid w:val="00C10A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10A5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10A5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0A5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10A5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10A5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10A5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10A5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10A5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10A5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10A5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10A5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10A5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10A5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10A5B"/>
    <w:rPr>
      <w:color w:val="2B579A"/>
      <w:shd w:val="clear" w:color="auto" w:fill="E1DFDD"/>
      <w:lang w:val="en-GB"/>
    </w:rPr>
  </w:style>
  <w:style w:type="character" w:styleId="HTMLAcronym">
    <w:name w:val="HTML Acronym"/>
    <w:basedOn w:val="DefaultParagraphFont"/>
    <w:uiPriority w:val="99"/>
    <w:semiHidden/>
    <w:unhideWhenUsed/>
    <w:rsid w:val="00C10A5B"/>
    <w:rPr>
      <w:lang w:val="en-GB"/>
    </w:rPr>
  </w:style>
  <w:style w:type="paragraph" w:styleId="HTMLAddress">
    <w:name w:val="HTML Address"/>
    <w:basedOn w:val="Normal"/>
    <w:link w:val="HTMLAddressChar"/>
    <w:uiPriority w:val="99"/>
    <w:semiHidden/>
    <w:unhideWhenUsed/>
    <w:rsid w:val="00C10A5B"/>
    <w:rPr>
      <w:i/>
      <w:iCs/>
    </w:rPr>
  </w:style>
  <w:style w:type="character" w:customStyle="1" w:styleId="HTMLAddressChar">
    <w:name w:val="HTML Address Char"/>
    <w:basedOn w:val="DefaultParagraphFont"/>
    <w:link w:val="HTMLAddress"/>
    <w:uiPriority w:val="99"/>
    <w:semiHidden/>
    <w:rsid w:val="00C10A5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10A5B"/>
    <w:rPr>
      <w:i/>
      <w:iCs/>
      <w:lang w:val="en-GB"/>
    </w:rPr>
  </w:style>
  <w:style w:type="character" w:styleId="HTMLCode">
    <w:name w:val="HTML Code"/>
    <w:basedOn w:val="DefaultParagraphFont"/>
    <w:uiPriority w:val="99"/>
    <w:semiHidden/>
    <w:unhideWhenUsed/>
    <w:rsid w:val="00C10A5B"/>
    <w:rPr>
      <w:rFonts w:ascii="Consolas" w:hAnsi="Consolas"/>
      <w:sz w:val="20"/>
      <w:szCs w:val="20"/>
      <w:lang w:val="en-GB"/>
    </w:rPr>
  </w:style>
  <w:style w:type="character" w:styleId="HTMLDefinition">
    <w:name w:val="HTML Definition"/>
    <w:basedOn w:val="DefaultParagraphFont"/>
    <w:uiPriority w:val="99"/>
    <w:semiHidden/>
    <w:unhideWhenUsed/>
    <w:rsid w:val="00C10A5B"/>
    <w:rPr>
      <w:i/>
      <w:iCs/>
      <w:lang w:val="en-GB"/>
    </w:rPr>
  </w:style>
  <w:style w:type="character" w:styleId="HTMLKeyboard">
    <w:name w:val="HTML Keyboard"/>
    <w:basedOn w:val="DefaultParagraphFont"/>
    <w:uiPriority w:val="99"/>
    <w:semiHidden/>
    <w:unhideWhenUsed/>
    <w:rsid w:val="00C10A5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10A5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10A5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10A5B"/>
    <w:rPr>
      <w:rFonts w:ascii="Consolas" w:hAnsi="Consolas"/>
      <w:sz w:val="24"/>
      <w:szCs w:val="24"/>
      <w:lang w:val="en-GB"/>
    </w:rPr>
  </w:style>
  <w:style w:type="character" w:styleId="HTMLTypewriter">
    <w:name w:val="HTML Typewriter"/>
    <w:basedOn w:val="DefaultParagraphFont"/>
    <w:uiPriority w:val="99"/>
    <w:semiHidden/>
    <w:unhideWhenUsed/>
    <w:rsid w:val="00C10A5B"/>
    <w:rPr>
      <w:rFonts w:ascii="Consolas" w:hAnsi="Consolas"/>
      <w:sz w:val="20"/>
      <w:szCs w:val="20"/>
      <w:lang w:val="en-GB"/>
    </w:rPr>
  </w:style>
  <w:style w:type="character" w:styleId="HTMLVariable">
    <w:name w:val="HTML Variable"/>
    <w:basedOn w:val="DefaultParagraphFont"/>
    <w:uiPriority w:val="99"/>
    <w:semiHidden/>
    <w:unhideWhenUsed/>
    <w:rsid w:val="00C10A5B"/>
    <w:rPr>
      <w:i/>
      <w:iCs/>
      <w:lang w:val="en-GB"/>
    </w:rPr>
  </w:style>
  <w:style w:type="paragraph" w:styleId="Index1">
    <w:name w:val="index 1"/>
    <w:basedOn w:val="Normal"/>
    <w:next w:val="Normal"/>
    <w:autoRedefine/>
    <w:uiPriority w:val="99"/>
    <w:semiHidden/>
    <w:unhideWhenUsed/>
    <w:rsid w:val="00C10A5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10A5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10A5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10A5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10A5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10A5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10A5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10A5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10A5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10A5B"/>
    <w:rPr>
      <w:rFonts w:asciiTheme="majorHAnsi" w:eastAsiaTheme="majorEastAsia" w:hAnsiTheme="majorHAnsi" w:cstheme="majorBidi"/>
      <w:b/>
      <w:bCs/>
    </w:rPr>
  </w:style>
  <w:style w:type="character" w:styleId="IntenseEmphasis">
    <w:name w:val="Intense Emphasis"/>
    <w:basedOn w:val="DefaultParagraphFont"/>
    <w:uiPriority w:val="21"/>
    <w:qFormat/>
    <w:rsid w:val="00C10A5B"/>
    <w:rPr>
      <w:i/>
      <w:iCs/>
      <w:color w:val="4472C4" w:themeColor="accent1"/>
      <w:lang w:val="en-GB"/>
    </w:rPr>
  </w:style>
  <w:style w:type="character" w:styleId="IntenseReference">
    <w:name w:val="Intense Reference"/>
    <w:basedOn w:val="DefaultParagraphFont"/>
    <w:uiPriority w:val="32"/>
    <w:qFormat/>
    <w:rsid w:val="00C10A5B"/>
    <w:rPr>
      <w:b/>
      <w:bCs/>
      <w:smallCaps/>
      <w:color w:val="4472C4" w:themeColor="accent1"/>
      <w:spacing w:val="5"/>
      <w:lang w:val="en-GB"/>
    </w:rPr>
  </w:style>
  <w:style w:type="table" w:styleId="LightGrid">
    <w:name w:val="Light Grid"/>
    <w:basedOn w:val="TableNormal"/>
    <w:uiPriority w:val="62"/>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10A5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10A5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10A5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10A5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10A5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10A5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10A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10A5B"/>
    <w:rPr>
      <w:lang w:val="en-GB"/>
    </w:rPr>
  </w:style>
  <w:style w:type="paragraph" w:styleId="List2">
    <w:name w:val="List 2"/>
    <w:basedOn w:val="Normal"/>
    <w:uiPriority w:val="99"/>
    <w:semiHidden/>
    <w:unhideWhenUsed/>
    <w:rsid w:val="00C10A5B"/>
    <w:pPr>
      <w:ind w:left="566" w:hanging="283"/>
      <w:contextualSpacing/>
    </w:pPr>
  </w:style>
  <w:style w:type="paragraph" w:styleId="List3">
    <w:name w:val="List 3"/>
    <w:basedOn w:val="Normal"/>
    <w:uiPriority w:val="99"/>
    <w:semiHidden/>
    <w:unhideWhenUsed/>
    <w:rsid w:val="00C10A5B"/>
    <w:pPr>
      <w:ind w:left="849" w:hanging="283"/>
      <w:contextualSpacing/>
    </w:pPr>
  </w:style>
  <w:style w:type="paragraph" w:styleId="List4">
    <w:name w:val="List 4"/>
    <w:basedOn w:val="Normal"/>
    <w:uiPriority w:val="99"/>
    <w:semiHidden/>
    <w:unhideWhenUsed/>
    <w:rsid w:val="00C10A5B"/>
    <w:pPr>
      <w:ind w:left="1132" w:hanging="283"/>
      <w:contextualSpacing/>
    </w:pPr>
  </w:style>
  <w:style w:type="paragraph" w:styleId="List5">
    <w:name w:val="List 5"/>
    <w:basedOn w:val="Normal"/>
    <w:uiPriority w:val="99"/>
    <w:semiHidden/>
    <w:unhideWhenUsed/>
    <w:rsid w:val="00C10A5B"/>
    <w:pPr>
      <w:ind w:left="1415" w:hanging="283"/>
      <w:contextualSpacing/>
    </w:pPr>
  </w:style>
  <w:style w:type="paragraph" w:styleId="ListBullet">
    <w:name w:val="List Bullet"/>
    <w:basedOn w:val="Normal"/>
    <w:uiPriority w:val="99"/>
    <w:semiHidden/>
    <w:unhideWhenUsed/>
    <w:rsid w:val="00C10A5B"/>
    <w:pPr>
      <w:tabs>
        <w:tab w:val="num" w:pos="360"/>
      </w:tabs>
      <w:ind w:left="360" w:hanging="360"/>
      <w:contextualSpacing/>
    </w:pPr>
  </w:style>
  <w:style w:type="paragraph" w:styleId="ListBullet2">
    <w:name w:val="List Bullet 2"/>
    <w:basedOn w:val="Normal"/>
    <w:uiPriority w:val="99"/>
    <w:semiHidden/>
    <w:unhideWhenUsed/>
    <w:rsid w:val="00C10A5B"/>
    <w:pPr>
      <w:tabs>
        <w:tab w:val="num" w:pos="643"/>
      </w:tabs>
      <w:ind w:left="643" w:hanging="360"/>
      <w:contextualSpacing/>
    </w:pPr>
  </w:style>
  <w:style w:type="paragraph" w:styleId="ListBullet3">
    <w:name w:val="List Bullet 3"/>
    <w:basedOn w:val="Normal"/>
    <w:uiPriority w:val="99"/>
    <w:semiHidden/>
    <w:unhideWhenUsed/>
    <w:rsid w:val="00C10A5B"/>
    <w:pPr>
      <w:tabs>
        <w:tab w:val="num" w:pos="926"/>
      </w:tabs>
      <w:ind w:left="926" w:hanging="360"/>
      <w:contextualSpacing/>
    </w:pPr>
  </w:style>
  <w:style w:type="paragraph" w:styleId="ListBullet4">
    <w:name w:val="List Bullet 4"/>
    <w:basedOn w:val="Normal"/>
    <w:uiPriority w:val="99"/>
    <w:semiHidden/>
    <w:unhideWhenUsed/>
    <w:rsid w:val="00C10A5B"/>
    <w:pPr>
      <w:tabs>
        <w:tab w:val="num" w:pos="1209"/>
      </w:tabs>
      <w:ind w:left="1209" w:hanging="360"/>
      <w:contextualSpacing/>
    </w:pPr>
  </w:style>
  <w:style w:type="paragraph" w:styleId="ListBullet5">
    <w:name w:val="List Bullet 5"/>
    <w:basedOn w:val="Normal"/>
    <w:uiPriority w:val="99"/>
    <w:semiHidden/>
    <w:unhideWhenUsed/>
    <w:rsid w:val="00C10A5B"/>
    <w:pPr>
      <w:tabs>
        <w:tab w:val="num" w:pos="1492"/>
      </w:tabs>
      <w:ind w:left="1492" w:hanging="360"/>
      <w:contextualSpacing/>
    </w:pPr>
  </w:style>
  <w:style w:type="paragraph" w:styleId="ListContinue">
    <w:name w:val="List Continue"/>
    <w:basedOn w:val="Normal"/>
    <w:uiPriority w:val="99"/>
    <w:semiHidden/>
    <w:unhideWhenUsed/>
    <w:rsid w:val="00C10A5B"/>
    <w:pPr>
      <w:spacing w:after="120"/>
      <w:ind w:left="283"/>
      <w:contextualSpacing/>
    </w:pPr>
  </w:style>
  <w:style w:type="paragraph" w:styleId="ListContinue2">
    <w:name w:val="List Continue 2"/>
    <w:basedOn w:val="Normal"/>
    <w:uiPriority w:val="99"/>
    <w:semiHidden/>
    <w:unhideWhenUsed/>
    <w:rsid w:val="00C10A5B"/>
    <w:pPr>
      <w:spacing w:after="120"/>
      <w:ind w:left="566"/>
      <w:contextualSpacing/>
    </w:pPr>
  </w:style>
  <w:style w:type="paragraph" w:styleId="ListContinue3">
    <w:name w:val="List Continue 3"/>
    <w:basedOn w:val="Normal"/>
    <w:uiPriority w:val="99"/>
    <w:semiHidden/>
    <w:unhideWhenUsed/>
    <w:rsid w:val="00C10A5B"/>
    <w:pPr>
      <w:spacing w:after="120"/>
      <w:ind w:left="849"/>
      <w:contextualSpacing/>
    </w:pPr>
  </w:style>
  <w:style w:type="paragraph" w:styleId="ListContinue4">
    <w:name w:val="List Continue 4"/>
    <w:basedOn w:val="Normal"/>
    <w:uiPriority w:val="99"/>
    <w:semiHidden/>
    <w:unhideWhenUsed/>
    <w:rsid w:val="00C10A5B"/>
    <w:pPr>
      <w:spacing w:after="120"/>
      <w:ind w:left="1132"/>
      <w:contextualSpacing/>
    </w:pPr>
  </w:style>
  <w:style w:type="paragraph" w:styleId="ListContinue5">
    <w:name w:val="List Continue 5"/>
    <w:basedOn w:val="Normal"/>
    <w:uiPriority w:val="99"/>
    <w:semiHidden/>
    <w:unhideWhenUsed/>
    <w:rsid w:val="00C10A5B"/>
    <w:pPr>
      <w:spacing w:after="120"/>
      <w:ind w:left="1415"/>
      <w:contextualSpacing/>
    </w:pPr>
  </w:style>
  <w:style w:type="paragraph" w:styleId="ListNumber">
    <w:name w:val="List Number"/>
    <w:basedOn w:val="Normal"/>
    <w:uiPriority w:val="99"/>
    <w:semiHidden/>
    <w:unhideWhenUsed/>
    <w:rsid w:val="00C10A5B"/>
    <w:pPr>
      <w:tabs>
        <w:tab w:val="num" w:pos="360"/>
      </w:tabs>
      <w:ind w:left="360" w:hanging="360"/>
      <w:contextualSpacing/>
    </w:pPr>
  </w:style>
  <w:style w:type="paragraph" w:styleId="ListNumber2">
    <w:name w:val="List Number 2"/>
    <w:basedOn w:val="Normal"/>
    <w:uiPriority w:val="99"/>
    <w:semiHidden/>
    <w:unhideWhenUsed/>
    <w:rsid w:val="00C10A5B"/>
    <w:pPr>
      <w:tabs>
        <w:tab w:val="num" w:pos="643"/>
      </w:tabs>
      <w:ind w:left="643" w:hanging="360"/>
      <w:contextualSpacing/>
    </w:pPr>
  </w:style>
  <w:style w:type="paragraph" w:styleId="ListNumber3">
    <w:name w:val="List Number 3"/>
    <w:basedOn w:val="Normal"/>
    <w:uiPriority w:val="99"/>
    <w:semiHidden/>
    <w:unhideWhenUsed/>
    <w:rsid w:val="00C10A5B"/>
    <w:pPr>
      <w:tabs>
        <w:tab w:val="num" w:pos="926"/>
      </w:tabs>
      <w:ind w:left="926" w:hanging="360"/>
      <w:contextualSpacing/>
    </w:pPr>
  </w:style>
  <w:style w:type="paragraph" w:styleId="ListNumber4">
    <w:name w:val="List Number 4"/>
    <w:basedOn w:val="Normal"/>
    <w:uiPriority w:val="99"/>
    <w:semiHidden/>
    <w:unhideWhenUsed/>
    <w:rsid w:val="00C10A5B"/>
    <w:pPr>
      <w:tabs>
        <w:tab w:val="num" w:pos="1209"/>
      </w:tabs>
      <w:ind w:left="1209" w:hanging="360"/>
      <w:contextualSpacing/>
    </w:pPr>
  </w:style>
  <w:style w:type="paragraph" w:styleId="ListNumber5">
    <w:name w:val="List Number 5"/>
    <w:basedOn w:val="Normal"/>
    <w:uiPriority w:val="99"/>
    <w:semiHidden/>
    <w:unhideWhenUsed/>
    <w:rsid w:val="00C10A5B"/>
    <w:pPr>
      <w:tabs>
        <w:tab w:val="num" w:pos="1800"/>
      </w:tabs>
      <w:ind w:left="1800" w:hanging="360"/>
      <w:contextualSpacing/>
    </w:pPr>
  </w:style>
  <w:style w:type="table" w:styleId="ListTable1Light">
    <w:name w:val="List Table 1 Light"/>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10A5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10A5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10A5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10A5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10A5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10A5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10A5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10A5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10A5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10A5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10A5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10A5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10A5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10A5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10A5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10A5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10A5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10A5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10A5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10A5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10A5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10A5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10A5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10A5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10A5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10A5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10A5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10A5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10A5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10A5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10A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10A5B"/>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C10A5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C10A5B"/>
    <w:rPr>
      <w:sz w:val="24"/>
      <w:szCs w:val="24"/>
    </w:rPr>
  </w:style>
  <w:style w:type="paragraph" w:styleId="NormalIndent">
    <w:name w:val="Normal Indent"/>
    <w:basedOn w:val="Normal"/>
    <w:uiPriority w:val="99"/>
    <w:semiHidden/>
    <w:unhideWhenUsed/>
    <w:rsid w:val="00C10A5B"/>
    <w:pPr>
      <w:ind w:left="720"/>
    </w:pPr>
  </w:style>
  <w:style w:type="paragraph" w:styleId="NoteHeading">
    <w:name w:val="Note Heading"/>
    <w:basedOn w:val="Normal"/>
    <w:next w:val="Normal"/>
    <w:link w:val="NoteHeadingChar"/>
    <w:uiPriority w:val="99"/>
    <w:semiHidden/>
    <w:unhideWhenUsed/>
    <w:rsid w:val="00C10A5B"/>
  </w:style>
  <w:style w:type="character" w:customStyle="1" w:styleId="NoteHeadingChar">
    <w:name w:val="Note Heading Char"/>
    <w:basedOn w:val="DefaultParagraphFont"/>
    <w:link w:val="NoteHeading"/>
    <w:uiPriority w:val="99"/>
    <w:semiHidden/>
    <w:rsid w:val="00C10A5B"/>
    <w:rPr>
      <w:rFonts w:ascii="Times New Roman" w:eastAsia="SimSun" w:hAnsi="Times New Roman" w:cs="Times New Roman"/>
      <w:kern w:val="0"/>
      <w:lang w:val="en-GB"/>
      <w14:ligatures w14:val="none"/>
    </w:rPr>
  </w:style>
  <w:style w:type="table" w:styleId="PlainTable1">
    <w:name w:val="Plain Table 1"/>
    <w:basedOn w:val="TableNormal"/>
    <w:uiPriority w:val="41"/>
    <w:rsid w:val="00C10A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10A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10A5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10A5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10A5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10A5B"/>
    <w:rPr>
      <w:rFonts w:ascii="Consolas" w:hAnsi="Consolas"/>
      <w:sz w:val="21"/>
      <w:szCs w:val="21"/>
    </w:rPr>
  </w:style>
  <w:style w:type="character" w:customStyle="1" w:styleId="PlainTextChar">
    <w:name w:val="Plain Text Char"/>
    <w:basedOn w:val="DefaultParagraphFont"/>
    <w:link w:val="PlainText"/>
    <w:uiPriority w:val="99"/>
    <w:semiHidden/>
    <w:rsid w:val="00C10A5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10A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10A5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10A5B"/>
  </w:style>
  <w:style w:type="character" w:customStyle="1" w:styleId="SalutationChar">
    <w:name w:val="Salutation Char"/>
    <w:basedOn w:val="DefaultParagraphFont"/>
    <w:link w:val="Salutation"/>
    <w:uiPriority w:val="99"/>
    <w:semiHidden/>
    <w:rsid w:val="00C10A5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10A5B"/>
    <w:pPr>
      <w:ind w:left="4252"/>
    </w:pPr>
  </w:style>
  <w:style w:type="character" w:customStyle="1" w:styleId="SignatureChar">
    <w:name w:val="Signature Char"/>
    <w:basedOn w:val="DefaultParagraphFont"/>
    <w:link w:val="Signature"/>
    <w:uiPriority w:val="99"/>
    <w:semiHidden/>
    <w:rsid w:val="00C10A5B"/>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C10A5B"/>
    <w:rPr>
      <w:u w:val="dotted"/>
      <w:lang w:val="en-GB"/>
    </w:rPr>
  </w:style>
  <w:style w:type="character" w:styleId="SmartLink">
    <w:name w:val="Smart Link"/>
    <w:basedOn w:val="DefaultParagraphFont"/>
    <w:uiPriority w:val="99"/>
    <w:semiHidden/>
    <w:unhideWhenUsed/>
    <w:rsid w:val="00C10A5B"/>
    <w:rPr>
      <w:color w:val="0000FF"/>
      <w:u w:val="single"/>
      <w:shd w:val="clear" w:color="auto" w:fill="F3F2F1"/>
      <w:lang w:val="en-GB"/>
    </w:rPr>
  </w:style>
  <w:style w:type="character" w:styleId="SubtleEmphasis">
    <w:name w:val="Subtle Emphasis"/>
    <w:basedOn w:val="DefaultParagraphFont"/>
    <w:uiPriority w:val="19"/>
    <w:qFormat/>
    <w:rsid w:val="00C10A5B"/>
    <w:rPr>
      <w:i/>
      <w:iCs/>
      <w:color w:val="404040" w:themeColor="text1" w:themeTint="BF"/>
      <w:lang w:val="en-GB"/>
    </w:rPr>
  </w:style>
  <w:style w:type="character" w:styleId="SubtleReference">
    <w:name w:val="Subtle Reference"/>
    <w:basedOn w:val="DefaultParagraphFont"/>
    <w:uiPriority w:val="31"/>
    <w:qFormat/>
    <w:rsid w:val="00C10A5B"/>
    <w:rPr>
      <w:smallCaps/>
      <w:color w:val="5A5A5A" w:themeColor="text1" w:themeTint="A5"/>
      <w:lang w:val="en-GB"/>
    </w:rPr>
  </w:style>
  <w:style w:type="table" w:styleId="Table3Deffects1">
    <w:name w:val="Table 3D effects 1"/>
    <w:basedOn w:val="TableNormal"/>
    <w:uiPriority w:val="99"/>
    <w:semiHidden/>
    <w:unhideWhenUsed/>
    <w:rsid w:val="00C10A5B"/>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0A5B"/>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0A5B"/>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10A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10A5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10A5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0A5B"/>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10A5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10A5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3426">
      <w:bodyDiv w:val="1"/>
      <w:marLeft w:val="0"/>
      <w:marRight w:val="0"/>
      <w:marTop w:val="0"/>
      <w:marBottom w:val="0"/>
      <w:divBdr>
        <w:top w:val="none" w:sz="0" w:space="0" w:color="auto"/>
        <w:left w:val="none" w:sz="0" w:space="0" w:color="auto"/>
        <w:bottom w:val="none" w:sz="0" w:space="0" w:color="auto"/>
        <w:right w:val="none" w:sz="0" w:space="0" w:color="auto"/>
      </w:divBdr>
      <w:divsChild>
        <w:div w:id="599145448">
          <w:marLeft w:val="0"/>
          <w:marRight w:val="0"/>
          <w:marTop w:val="0"/>
          <w:marBottom w:val="0"/>
          <w:divBdr>
            <w:top w:val="none" w:sz="0" w:space="0" w:color="auto"/>
            <w:left w:val="none" w:sz="0" w:space="0" w:color="auto"/>
            <w:bottom w:val="none" w:sz="0" w:space="0" w:color="auto"/>
            <w:right w:val="none" w:sz="0" w:space="0" w:color="auto"/>
          </w:divBdr>
        </w:div>
        <w:div w:id="990787213">
          <w:marLeft w:val="0"/>
          <w:marRight w:val="0"/>
          <w:marTop w:val="0"/>
          <w:marBottom w:val="0"/>
          <w:divBdr>
            <w:top w:val="none" w:sz="0" w:space="0" w:color="auto"/>
            <w:left w:val="none" w:sz="0" w:space="0" w:color="auto"/>
            <w:bottom w:val="none" w:sz="0" w:space="0" w:color="auto"/>
            <w:right w:val="none" w:sz="0" w:space="0" w:color="auto"/>
          </w:divBdr>
        </w:div>
        <w:div w:id="1602256549">
          <w:marLeft w:val="0"/>
          <w:marRight w:val="0"/>
          <w:marTop w:val="0"/>
          <w:marBottom w:val="0"/>
          <w:divBdr>
            <w:top w:val="none" w:sz="0" w:space="0" w:color="auto"/>
            <w:left w:val="none" w:sz="0" w:space="0" w:color="auto"/>
            <w:bottom w:val="none" w:sz="0" w:space="0" w:color="auto"/>
            <w:right w:val="none" w:sz="0" w:space="0" w:color="auto"/>
          </w:divBdr>
        </w:div>
      </w:divsChild>
    </w:div>
    <w:div w:id="12305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meetings/NP-MOP-03" TargetMode="External"/><Relationship Id="rId3" Type="http://schemas.openxmlformats.org/officeDocument/2006/relationships/customXml" Target="../customXml/item3.xml"/><Relationship Id="rId21" Type="http://schemas.openxmlformats.org/officeDocument/2006/relationships/hyperlink" Target="https://www.cbd.int/meetings/NP-MOP-0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meetings/NP-MOP-03"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ecisions/np-mop/?m=np-mop-05"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s/np-mop/?m=np-mop-05" TargetMode="External"/><Relationship Id="rId28" Type="http://schemas.openxmlformats.org/officeDocument/2006/relationships/hyperlink" Target="https://www.cbd.int/doc/decisions/np-mop-05/np-mop-05-dec-03-en.pdf" TargetMode="External"/><Relationship Id="rId10" Type="http://schemas.openxmlformats.org/officeDocument/2006/relationships/endnotes" Target="endnotes.xml"/><Relationship Id="rId19" Type="http://schemas.openxmlformats.org/officeDocument/2006/relationships/hyperlink" Target="https://www.cbd.int/meetings/NP-MOP-03" TargetMode="External"/><Relationship Id="rId31" Type="http://schemas.openxmlformats.org/officeDocument/2006/relationships/hyperlink" Target="https://www.cbd.int/doc/decisions/np-mop-05/np-mop-05-dec-07-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meetings/NP-MOP-03" TargetMode="External"/><Relationship Id="rId27" Type="http://schemas.openxmlformats.org/officeDocument/2006/relationships/hyperlink" Target="https://www.cbd.int/decision/np-mop/default.shtml?id=13409" TargetMode="External"/><Relationship Id="rId30" Type="http://schemas.openxmlformats.org/officeDocument/2006/relationships/chart" Target="charts/chart2.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SBI/7/INF/3" TargetMode="External"/><Relationship Id="rId18" Type="http://schemas.openxmlformats.org/officeDocument/2006/relationships/hyperlink" Target="https://www.cbd.int/documents/CBD/SBI/7/INF/3" TargetMode="External"/><Relationship Id="rId26" Type="http://schemas.openxmlformats.org/officeDocument/2006/relationships/hyperlink" Target="https://www.cbd.int/documents/CBD/SBI/7/INF/2" TargetMode="External"/><Relationship Id="rId39" Type="http://schemas.openxmlformats.org/officeDocument/2006/relationships/hyperlink" Target="https://www.cbd.int/documents/CBD/SBI/7/INF/2" TargetMode="External"/><Relationship Id="rId21" Type="http://schemas.openxmlformats.org/officeDocument/2006/relationships/hyperlink" Target="https://www.cbd.int/documents/CBD/SBI/7/INF/4" TargetMode="External"/><Relationship Id="rId34" Type="http://schemas.openxmlformats.org/officeDocument/2006/relationships/hyperlink" Target="https://www.cbd.int/documents/CBD/SBI/7/INF/3" TargetMode="External"/><Relationship Id="rId42" Type="http://schemas.openxmlformats.org/officeDocument/2006/relationships/hyperlink" Target="https://www.cbd.int/documents/CBD/SBI/7/INF/2" TargetMode="External"/><Relationship Id="rId47" Type="http://schemas.openxmlformats.org/officeDocument/2006/relationships/hyperlink" Target="https://www.cbd.int/documents/CBD/SBI/7/INF/3" TargetMode="External"/><Relationship Id="rId50" Type="http://schemas.openxmlformats.org/officeDocument/2006/relationships/hyperlink" Target="https://www.cbd.int/documents/CBD/SBI/7/INF/3" TargetMode="External"/><Relationship Id="rId55" Type="http://schemas.openxmlformats.org/officeDocument/2006/relationships/hyperlink" Target="https://www.cbd.int/documents/CBD/SBI/7/INF/3" TargetMode="External"/><Relationship Id="rId63" Type="http://schemas.openxmlformats.org/officeDocument/2006/relationships/hyperlink" Target="https://www.cbd.int/documents/CBD/SBI/7/INF/7" TargetMode="External"/><Relationship Id="rId68" Type="http://schemas.openxmlformats.org/officeDocument/2006/relationships/hyperlink" Target="https://www.cbd.int/documents/CBD/SBI/7/INF/2" TargetMode="External"/><Relationship Id="rId76" Type="http://schemas.openxmlformats.org/officeDocument/2006/relationships/hyperlink" Target="https://www.cbd.int/documents/CBD/SBI/7/INF/3" TargetMode="External"/><Relationship Id="rId84" Type="http://schemas.openxmlformats.org/officeDocument/2006/relationships/hyperlink" Target="https://www.cbd.int/documents/CBD/SBI/7/INF/4" TargetMode="External"/><Relationship Id="rId89" Type="http://schemas.openxmlformats.org/officeDocument/2006/relationships/hyperlink" Target="https://www.cbd.int/documents/CBD/SBI/7/INF/2" TargetMode="External"/><Relationship Id="rId7" Type="http://schemas.openxmlformats.org/officeDocument/2006/relationships/hyperlink" Target="https://www.cbd.int/documents/CBD/SBI/7/INF/2" TargetMode="External"/><Relationship Id="rId71" Type="http://schemas.openxmlformats.org/officeDocument/2006/relationships/hyperlink" Target="https://www.cbd.int/documents/CBD/SBI/7/INF/2" TargetMode="External"/><Relationship Id="rId2" Type="http://schemas.openxmlformats.org/officeDocument/2006/relationships/hyperlink" Target="https://www.cbd.int/documents/CBD/SBI/7/INF/3" TargetMode="External"/><Relationship Id="rId16" Type="http://schemas.openxmlformats.org/officeDocument/2006/relationships/hyperlink" Target="https://www.cbd.int/abs/text/articles?sec=abs-17" TargetMode="External"/><Relationship Id="rId29" Type="http://schemas.openxmlformats.org/officeDocument/2006/relationships/hyperlink" Target="https://www.cbd.int/documents/CBD/SBI/7/INF/3" TargetMode="External"/><Relationship Id="rId11" Type="http://schemas.openxmlformats.org/officeDocument/2006/relationships/hyperlink" Target="https://www.cbd.int/documents/CBD/SBI/7/INF/4" TargetMode="External"/><Relationship Id="rId24" Type="http://schemas.openxmlformats.org/officeDocument/2006/relationships/hyperlink" Target="https://www.cbd.int/documents/CBD/SBI/7/INF/3" TargetMode="External"/><Relationship Id="rId32" Type="http://schemas.openxmlformats.org/officeDocument/2006/relationships/hyperlink" Target="https://www.cbd.int/documents/CBD/SBI/7/INF/2" TargetMode="External"/><Relationship Id="rId37" Type="http://schemas.openxmlformats.org/officeDocument/2006/relationships/hyperlink" Target="https://www.cbd.int/documents/CBD/SBI/7/INF/2" TargetMode="External"/><Relationship Id="rId40" Type="http://schemas.openxmlformats.org/officeDocument/2006/relationships/hyperlink" Target="https://www.cbd.int/documents/CBD/SBI/7/INF/2" TargetMode="External"/><Relationship Id="rId45" Type="http://schemas.openxmlformats.org/officeDocument/2006/relationships/hyperlink" Target="https://www.cbd.int/documents/CBD/SBI/7/INF/2" TargetMode="External"/><Relationship Id="rId53" Type="http://schemas.openxmlformats.org/officeDocument/2006/relationships/hyperlink" Target="https://www.cbd.int/documents/CBD/SBI/7/INF/2" TargetMode="External"/><Relationship Id="rId58" Type="http://schemas.openxmlformats.org/officeDocument/2006/relationships/hyperlink" Target="https://www.cbd.int/doc/decisions/np-mop-05/np-mop-05-dec-03-es.pdf" TargetMode="External"/><Relationship Id="rId66" Type="http://schemas.openxmlformats.org/officeDocument/2006/relationships/hyperlink" Target="https://www.cbd.int/documents/CBD/SBI/7/INF/2" TargetMode="External"/><Relationship Id="rId74" Type="http://schemas.openxmlformats.org/officeDocument/2006/relationships/hyperlink" Target="https://www.cbd.int/documents/CBD/SBI/7/INF/2" TargetMode="External"/><Relationship Id="rId79" Type="http://schemas.openxmlformats.org/officeDocument/2006/relationships/hyperlink" Target="https://www.cbd.int/documents/CBD/SBI/7/INF/3" TargetMode="External"/><Relationship Id="rId87" Type="http://schemas.openxmlformats.org/officeDocument/2006/relationships/hyperlink" Target="http://www.cbd.int/abs/art10.shtml" TargetMode="External"/><Relationship Id="rId5" Type="http://schemas.openxmlformats.org/officeDocument/2006/relationships/hyperlink" Target="https://www.cbd.int/documents/CBD/SBI/7/INF/6" TargetMode="External"/><Relationship Id="rId61" Type="http://schemas.openxmlformats.org/officeDocument/2006/relationships/hyperlink" Target="https://www.cbd.int/documents/CBD/SBI/7/INF/2" TargetMode="External"/><Relationship Id="rId82" Type="http://schemas.openxmlformats.org/officeDocument/2006/relationships/hyperlink" Target="https://www.cbd.int/documents/CBD/SBI/7/INF/5" TargetMode="External"/><Relationship Id="rId90" Type="http://schemas.openxmlformats.org/officeDocument/2006/relationships/hyperlink" Target="https://www.cbd.int/documents/CBD/SBI/7/INF/2" TargetMode="External"/><Relationship Id="rId19" Type="http://schemas.openxmlformats.org/officeDocument/2006/relationships/hyperlink" Target="https://www.cbd.int/documents/CBD/SBI/7/INF/4" TargetMode="External"/><Relationship Id="rId14" Type="http://schemas.openxmlformats.org/officeDocument/2006/relationships/hyperlink" Target="https://www.cbd.int/documents/CBD/SBI/7/INF/4" TargetMode="External"/><Relationship Id="rId22" Type="http://schemas.openxmlformats.org/officeDocument/2006/relationships/hyperlink" Target="https://www.cbd.int/documents/CBD/SBI/7/INF/4" TargetMode="External"/><Relationship Id="rId27" Type="http://schemas.openxmlformats.org/officeDocument/2006/relationships/hyperlink" Target="https://www.cbd.int/documents/CBD/SBI/7/INF/2" TargetMode="External"/><Relationship Id="rId30" Type="http://schemas.openxmlformats.org/officeDocument/2006/relationships/hyperlink" Target="https://www.cbd.int/documents/CBD/SBI/7/INF/4" TargetMode="External"/><Relationship Id="rId35" Type="http://schemas.openxmlformats.org/officeDocument/2006/relationships/hyperlink" Target="https://www.cbd.int/documents/CBD/SBI/7/INF/2" TargetMode="External"/><Relationship Id="rId43" Type="http://schemas.openxmlformats.org/officeDocument/2006/relationships/hyperlink" Target="https://www.cbd.int/documents/CBD/SBI/7/INF/3" TargetMode="External"/><Relationship Id="rId48" Type="http://schemas.openxmlformats.org/officeDocument/2006/relationships/hyperlink" Target="https://www.cbd.int/documents/CBD/SBI/7/INF/4" TargetMode="External"/><Relationship Id="rId56" Type="http://schemas.openxmlformats.org/officeDocument/2006/relationships/hyperlink" Target="https://www.cbd.int/documents/CBD/SBI/7/INF/5" TargetMode="External"/><Relationship Id="rId64" Type="http://schemas.openxmlformats.org/officeDocument/2006/relationships/hyperlink" Target="https://www.cbd.int/documents/CBD/SBI/7/INF/2" TargetMode="External"/><Relationship Id="rId69" Type="http://schemas.openxmlformats.org/officeDocument/2006/relationships/hyperlink" Target="https://www.cbd.int/documents/CBD/SBI/7/INF/2" TargetMode="External"/><Relationship Id="rId77" Type="http://schemas.openxmlformats.org/officeDocument/2006/relationships/hyperlink" Target="https://www.cbd.int/documents/CBD/SBI/7/INF/2" TargetMode="External"/><Relationship Id="rId8" Type="http://schemas.openxmlformats.org/officeDocument/2006/relationships/hyperlink" Target="https://www.cbd.int/documents/CBD/SBI/7/INF/3" TargetMode="External"/><Relationship Id="rId51" Type="http://schemas.openxmlformats.org/officeDocument/2006/relationships/hyperlink" Target="https://gbf-indicators.org/metadata/headline/C-1" TargetMode="External"/><Relationship Id="rId72" Type="http://schemas.openxmlformats.org/officeDocument/2006/relationships/hyperlink" Target="https://www.cbd.int/documents/CBD/SBI/7/INF/2" TargetMode="External"/><Relationship Id="rId80" Type="http://schemas.openxmlformats.org/officeDocument/2006/relationships/hyperlink" Target="https://www.cbd.int/documents/CBD/SBI/7/INF/4" TargetMode="External"/><Relationship Id="rId85" Type="http://schemas.openxmlformats.org/officeDocument/2006/relationships/hyperlink" Target="https://www.cbd.int/documents/CBD/SBI/7/INF/5" TargetMode="External"/><Relationship Id="rId3" Type="http://schemas.openxmlformats.org/officeDocument/2006/relationships/hyperlink" Target="https://www.cbd.int/documents/CBD/SBI/7/INF/4" TargetMode="External"/><Relationship Id="rId12" Type="http://schemas.openxmlformats.org/officeDocument/2006/relationships/hyperlink" Target="https://www.cbd.int/documents/CBD/SBI/7/INF/3" TargetMode="External"/><Relationship Id="rId17" Type="http://schemas.openxmlformats.org/officeDocument/2006/relationships/hyperlink" Target="https://www.cbd.int/documents/CBD/SBI/7/INF/2" TargetMode="External"/><Relationship Id="rId25" Type="http://schemas.openxmlformats.org/officeDocument/2006/relationships/hyperlink" Target="https://www.cbd.int/documents/CBD/SBI/7/INF/3" TargetMode="External"/><Relationship Id="rId33" Type="http://schemas.openxmlformats.org/officeDocument/2006/relationships/hyperlink" Target="https://www.cbd.int/documents/CBD/SBI/7/INF/3" TargetMode="External"/><Relationship Id="rId38" Type="http://schemas.openxmlformats.org/officeDocument/2006/relationships/hyperlink" Target="https://www.cbd.int/documents/CBD/SBI/7/INF/3" TargetMode="External"/><Relationship Id="rId46" Type="http://schemas.openxmlformats.org/officeDocument/2006/relationships/hyperlink" Target="https://www.cbd.int/documents/CBD/SBI/7/INF/2" TargetMode="External"/><Relationship Id="rId59" Type="http://schemas.openxmlformats.org/officeDocument/2006/relationships/hyperlink" Target="https://www.cbd.int/doc/decisions/cop-15/cop-15-dec-08-es.pdf" TargetMode="External"/><Relationship Id="rId67" Type="http://schemas.openxmlformats.org/officeDocument/2006/relationships/hyperlink" Target="https://www.cbd.int/documents/CBD/SBI/7/INF/2" TargetMode="External"/><Relationship Id="rId20" Type="http://schemas.openxmlformats.org/officeDocument/2006/relationships/hyperlink" Target="https://www.cbd.int/documents/CBD/SBI/7/INF/2" TargetMode="External"/><Relationship Id="rId41" Type="http://schemas.openxmlformats.org/officeDocument/2006/relationships/hyperlink" Target="https://www.cbd.int/documents/CBD/SBI/7/INF/3" TargetMode="External"/><Relationship Id="rId54" Type="http://schemas.openxmlformats.org/officeDocument/2006/relationships/hyperlink" Target="https://www.cbd.int/documents/CBD/SBI/7/INF/5" TargetMode="External"/><Relationship Id="rId62" Type="http://schemas.openxmlformats.org/officeDocument/2006/relationships/hyperlink" Target="https://www.cbd.int/documents/CBD/SBI/7/INF/3" TargetMode="External"/><Relationship Id="rId70" Type="http://schemas.openxmlformats.org/officeDocument/2006/relationships/hyperlink" Target="https://www.cbd.int/documents/CBD/SBI/7/INF/3" TargetMode="External"/><Relationship Id="rId75" Type="http://schemas.openxmlformats.org/officeDocument/2006/relationships/hyperlink" Target="https://www.cbd.int/documents/CBD/SBI/7/INF/2" TargetMode="External"/><Relationship Id="rId83" Type="http://schemas.openxmlformats.org/officeDocument/2006/relationships/hyperlink" Target="https://absch.cbd.int/en/kb" TargetMode="External"/><Relationship Id="rId88" Type="http://schemas.openxmlformats.org/officeDocument/2006/relationships/hyperlink" Target="https://www.cbd.int/documents/CBD/NP/MOP/5/10" TargetMode="External"/><Relationship Id="rId91" Type="http://schemas.openxmlformats.org/officeDocument/2006/relationships/hyperlink" Target="https://www.cbd.int/doc/decisions/np-mop-05/np-mop-05-dec-03-es.pdf" TargetMode="External"/><Relationship Id="rId1" Type="http://schemas.openxmlformats.org/officeDocument/2006/relationships/hyperlink" Target="https://www.cbd.int/documents/CBD/SBI/7/INF/2" TargetMode="External"/><Relationship Id="rId6" Type="http://schemas.openxmlformats.org/officeDocument/2006/relationships/hyperlink" Target="https://www.cbd.int/documents/CBD/SBI/7/INF/7" TargetMode="External"/><Relationship Id="rId15" Type="http://schemas.openxmlformats.org/officeDocument/2006/relationships/hyperlink" Target="https://www.cbd.int/documents/CBD/SBI/7/INF/3" TargetMode="External"/><Relationship Id="rId23" Type="http://schemas.openxmlformats.org/officeDocument/2006/relationships/hyperlink" Target="https://www.cbd.int/documents/CBD/SBI/7/INF/4" TargetMode="External"/><Relationship Id="rId28" Type="http://schemas.openxmlformats.org/officeDocument/2006/relationships/hyperlink" Target="https://www.cbd.int/documents/CBD/SBI/7/INF/2" TargetMode="External"/><Relationship Id="rId36" Type="http://schemas.openxmlformats.org/officeDocument/2006/relationships/hyperlink" Target="https://www.cbd.int/documents/CBD/SBI/7/INF/3" TargetMode="External"/><Relationship Id="rId49" Type="http://schemas.openxmlformats.org/officeDocument/2006/relationships/hyperlink" Target="https://www.cbd.int/documents/CBD/SBI/7/INF/4" TargetMode="External"/><Relationship Id="rId57" Type="http://schemas.openxmlformats.org/officeDocument/2006/relationships/hyperlink" Target="https://www.cbd.int/documents/CBD/SBI/7/INF/2" TargetMode="External"/><Relationship Id="rId10" Type="http://schemas.openxmlformats.org/officeDocument/2006/relationships/hyperlink" Target="https://www.cbd.int/documents/CBD/SBI/7/INF/2" TargetMode="External"/><Relationship Id="rId31" Type="http://schemas.openxmlformats.org/officeDocument/2006/relationships/hyperlink" Target="https://www.cbd.int/documents/CBD/SBI/7/INF/4" TargetMode="External"/><Relationship Id="rId44" Type="http://schemas.openxmlformats.org/officeDocument/2006/relationships/hyperlink" Target="http://www.cbd.int/abs/doc/cepa-toolkit-en.pdf" TargetMode="External"/><Relationship Id="rId52" Type="http://schemas.openxmlformats.org/officeDocument/2006/relationships/hyperlink" Target="https://gbf-indicators.org/metadata/headline/C-2" TargetMode="External"/><Relationship Id="rId60" Type="http://schemas.openxmlformats.org/officeDocument/2006/relationships/hyperlink" Target="https://www.cbd.int/doc/decisions/cop-15/cop-15-dec-08-es.pdf" TargetMode="External"/><Relationship Id="rId65" Type="http://schemas.openxmlformats.org/officeDocument/2006/relationships/hyperlink" Target="https://www.cbd.int/doc/decisions/np-mop-03/np-mop-03-dec-01-es.pdf" TargetMode="External"/><Relationship Id="rId73" Type="http://schemas.openxmlformats.org/officeDocument/2006/relationships/hyperlink" Target="https://www.cbd.int/documents/CBD/SBI/7/INF/3" TargetMode="External"/><Relationship Id="rId78" Type="http://schemas.openxmlformats.org/officeDocument/2006/relationships/hyperlink" Target="https://www.cbd.int/documents/CBD/SBI/7/INF/5" TargetMode="External"/><Relationship Id="rId81" Type="http://schemas.openxmlformats.org/officeDocument/2006/relationships/hyperlink" Target="https://www.cbd.int/documents/CBD/SBI/7/INF/2" TargetMode="External"/><Relationship Id="rId86" Type="http://schemas.openxmlformats.org/officeDocument/2006/relationships/hyperlink" Target="https://www.cbd.int/documents/CBD/SBI/7/INF/4" TargetMode="External"/><Relationship Id="rId4" Type="http://schemas.openxmlformats.org/officeDocument/2006/relationships/hyperlink" Target="https://www.cbd.int/documents/CBD/SBI/7/INF/5" TargetMode="External"/><Relationship Id="rId9" Type="http://schemas.openxmlformats.org/officeDocument/2006/relationships/hyperlink" Target="https://www.cbd.int/documents/CBD/SBI/7/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my.sharepoint.com/personal/diasm_un_org/Documents/Microsoft%20Teams%20Chat%20Files/records_vs_parties-used%20in%20do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unitednations.sharepoint.com/sites/MEA-CBD-Nagoya/Shared%20Documents/Global%20Overview/Assessment%20and%20review%202026/simple%20table%20draf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Data'!$B$1</c:f>
              <c:strCache>
                <c:ptCount val="1"/>
                <c:pt idx="0">
                  <c:v>Number of records</c:v>
                </c:pt>
              </c:strCache>
            </c:strRef>
          </c:tx>
          <c:spPr>
            <a:solidFill>
              <a:schemeClr val="accent1"/>
            </a:solidFill>
            <a:ln>
              <a:noFill/>
            </a:ln>
            <a:effectLst/>
          </c:spPr>
          <c:invertIfNegative val="0"/>
          <c:dLbls>
            <c:dLbl>
              <c:idx val="0"/>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0-B806-4B48-B4E1-48C5025DF6B1}"/>
                </c:ext>
              </c:extLst>
            </c:dLbl>
            <c:dLbl>
              <c:idx val="1"/>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1-B806-4B48-B4E1-48C5025DF6B1}"/>
                </c:ext>
              </c:extLst>
            </c:dLbl>
            <c:dLbl>
              <c:idx val="2"/>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2-B806-4B48-B4E1-48C5025DF6B1}"/>
                </c:ext>
              </c:extLst>
            </c:dLbl>
            <c:dLbl>
              <c:idx val="3"/>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3-B806-4B48-B4E1-48C5025DF6B1}"/>
                </c:ext>
              </c:extLst>
            </c:dLbl>
            <c:dLbl>
              <c:idx val="4"/>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4-B806-4B48-B4E1-48C5025DF6B1}"/>
                </c:ext>
              </c:extLst>
            </c:dLbl>
            <c:dLbl>
              <c:idx val="5"/>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5-B806-4B48-B4E1-48C5025DF6B1}"/>
                </c:ext>
              </c:extLst>
            </c:dLbl>
            <c:dLbl>
              <c:idx val="6"/>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6-B806-4B48-B4E1-48C5025DF6B1}"/>
                </c:ext>
              </c:extLst>
            </c:dLbl>
            <c:dLbl>
              <c:idx val="7"/>
              <c:layout>
                <c:manualLayout>
                  <c:x val="-1.5229205539113876E-3"/>
                  <c:y val="0"/>
                </c:manualLayout>
              </c:layout>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7-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Data'!$B$2:$B$9</c:f>
              <c:numCache>
                <c:formatCode>General</c:formatCode>
                <c:ptCount val="8"/>
                <c:pt idx="0">
                  <c:v>162</c:v>
                </c:pt>
                <c:pt idx="1">
                  <c:v>356</c:v>
                </c:pt>
                <c:pt idx="2">
                  <c:v>13</c:v>
                </c:pt>
                <c:pt idx="3">
                  <c:v>39</c:v>
                </c:pt>
                <c:pt idx="4">
                  <c:v>6269</c:v>
                </c:pt>
                <c:pt idx="5">
                  <c:v>371</c:v>
                </c:pt>
                <c:pt idx="6">
                  <c:v>106</c:v>
                </c:pt>
                <c:pt idx="7">
                  <c:v>66</c:v>
                </c:pt>
              </c:numCache>
            </c:numRef>
          </c:val>
          <c:extLst>
            <c:ext xmlns:c16="http://schemas.microsoft.com/office/drawing/2014/chart" uri="{C3380CC4-5D6E-409C-BE32-E72D297353CC}">
              <c16:uniqueId val="{00000008-B806-4B48-B4E1-48C5025DF6B1}"/>
            </c:ext>
          </c:extLst>
        </c:ser>
        <c:dLbls>
          <c:showLegendKey val="0"/>
          <c:showVal val="0"/>
          <c:showCatName val="0"/>
          <c:showSerName val="0"/>
          <c:showPercent val="0"/>
          <c:showBubbleSize val="0"/>
        </c:dLbls>
        <c:gapWidth val="247"/>
        <c:axId val="29874755"/>
        <c:axId val="83946201"/>
      </c:barChart>
      <c:lineChart>
        <c:grouping val="standard"/>
        <c:varyColors val="0"/>
        <c:ser>
          <c:idx val="1"/>
          <c:order val="1"/>
          <c:tx>
            <c:strRef>
              <c:f>'Chart Data'!$C$1</c:f>
              <c:strCache>
                <c:ptCount val="1"/>
                <c:pt idx="0">
                  <c:v>Percentage of Parties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1.959524963645182E-2"/>
                  <c:y val="-4.9806935250884962E-2"/>
                </c:manualLayout>
              </c:layout>
              <c:dLblPos val="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9-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en-US"/>
              </a:p>
            </c:txPr>
            <c:dLblPos val="t"/>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Data'!$C$2:$C$9</c:f>
              <c:numCache>
                <c:formatCode>0%</c:formatCode>
                <c:ptCount val="8"/>
                <c:pt idx="0">
                  <c:v>0.57746478873239437</c:v>
                </c:pt>
                <c:pt idx="1">
                  <c:v>0.57042253521126762</c:v>
                </c:pt>
                <c:pt idx="2">
                  <c:v>8.4507042253521125E-2</c:v>
                </c:pt>
                <c:pt idx="3">
                  <c:v>0.21126760563380281</c:v>
                </c:pt>
                <c:pt idx="4">
                  <c:v>0.23943661971830985</c:v>
                </c:pt>
                <c:pt idx="5">
                  <c:v>9.8591549295774641E-2</c:v>
                </c:pt>
                <c:pt idx="6">
                  <c:v>0.3380281690140845</c:v>
                </c:pt>
                <c:pt idx="7">
                  <c:v>0.323943661971831</c:v>
                </c:pt>
              </c:numCache>
            </c:numRef>
          </c:val>
          <c:smooth val="1"/>
          <c:extLst>
            <c:ext xmlns:c16="http://schemas.microsoft.com/office/drawing/2014/chart" uri="{C3380CC4-5D6E-409C-BE32-E72D297353CC}">
              <c16:uniqueId val="{0000000A-B806-4B48-B4E1-48C5025DF6B1}"/>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1477385"/>
        <c:axId val="12260091"/>
      </c:lineChart>
      <c:catAx>
        <c:axId val="298747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946201"/>
        <c:crosses val="autoZero"/>
        <c:auto val="1"/>
        <c:lblAlgn val="ctr"/>
        <c:lblOffset val="100"/>
        <c:noMultiLvlLbl val="0"/>
      </c:catAx>
      <c:valAx>
        <c:axId val="8394620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r>
                  <a:rPr lang="en-CA" b="1">
                    <a:solidFill>
                      <a:schemeClr val="accent1"/>
                    </a:solidFill>
                  </a:rPr>
                  <a:t>Number of records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74755"/>
        <c:crosses val="autoZero"/>
        <c:crossBetween val="between"/>
      </c:valAx>
      <c:catAx>
        <c:axId val="21477385"/>
        <c:scaling>
          <c:orientation val="minMax"/>
        </c:scaling>
        <c:delete val="1"/>
        <c:axPos val="b"/>
        <c:numFmt formatCode="General" sourceLinked="1"/>
        <c:majorTickMark val="none"/>
        <c:minorTickMark val="none"/>
        <c:tickLblPos val="nextTo"/>
        <c:crossAx val="12260091"/>
        <c:crosses val="autoZero"/>
        <c:auto val="1"/>
        <c:lblAlgn val="ctr"/>
        <c:lblOffset val="100"/>
        <c:noMultiLvlLbl val="0"/>
      </c:catAx>
      <c:valAx>
        <c:axId val="12260091"/>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b="1">
                    <a:solidFill>
                      <a:srgbClr val="C00000"/>
                    </a:solidFill>
                  </a:rPr>
                  <a:t>Per</a:t>
                </a:r>
                <a:r>
                  <a:rPr lang="en-CA" b="1" baseline="0">
                    <a:solidFill>
                      <a:srgbClr val="C00000"/>
                    </a:solidFill>
                  </a:rPr>
                  <a:t>centage</a:t>
                </a:r>
                <a:r>
                  <a:rPr lang="en-CA" b="1">
                    <a:solidFill>
                      <a:srgbClr val="C00000"/>
                    </a:solidFill>
                  </a:rPr>
                  <a:t> of Parties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77385"/>
        <c:crosses val="max"/>
        <c:crossBetween val="between"/>
      </c:valAx>
      <c:spPr>
        <a:noFill/>
        <a:ln>
          <a:noFill/>
        </a:ln>
        <a:effectLst/>
      </c:spPr>
    </c:plotArea>
    <c:legend>
      <c:legendPos val="b"/>
      <c:layout>
        <c:manualLayout>
          <c:xMode val="edge"/>
          <c:yMode val="edge"/>
          <c:x val="0.10208906180963372"/>
          <c:y val="0.93984792926647298"/>
          <c:w val="0.31913389727992997"/>
          <c:h val="4.2512341857548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5203675518682036"/>
        </c:manualLayout>
      </c:layout>
      <c:barChart>
        <c:barDir val="col"/>
        <c:grouping val="clustered"/>
        <c:varyColors val="0"/>
        <c:ser>
          <c:idx val="0"/>
          <c:order val="0"/>
          <c:tx>
            <c:strRef>
              <c:f>Tables!$O$99</c:f>
              <c:strCache>
                <c:ptCount val="1"/>
                <c:pt idx="0">
                  <c:v>Have published information on the ABS Clearing-House, and no indication of more information to be published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Tables!$O$100:$O$104</c:f>
              <c:numCache>
                <c:formatCode>0%</c:formatCode>
                <c:ptCount val="5"/>
                <c:pt idx="0">
                  <c:v>0.26530612244897961</c:v>
                </c:pt>
                <c:pt idx="1">
                  <c:v>0.23809523809523808</c:v>
                </c:pt>
                <c:pt idx="2">
                  <c:v>0.61538461538461542</c:v>
                </c:pt>
                <c:pt idx="3">
                  <c:v>0.4</c:v>
                </c:pt>
                <c:pt idx="4">
                  <c:v>0.83333333333333337</c:v>
                </c:pt>
              </c:numCache>
            </c:numRef>
          </c:val>
          <c:extLst>
            <c:ext xmlns:c16="http://schemas.microsoft.com/office/drawing/2014/chart" uri="{C3380CC4-5D6E-409C-BE32-E72D297353CC}">
              <c16:uniqueId val="{00000000-AA59-4542-B521-458F354575ED}"/>
            </c:ext>
          </c:extLst>
        </c:ser>
        <c:ser>
          <c:idx val="1"/>
          <c:order val="1"/>
          <c:tx>
            <c:strRef>
              <c:f>Tables!$P$99</c:f>
              <c:strCache>
                <c:ptCount val="1"/>
                <c:pt idx="0">
                  <c:v>Have published information on the ABS Clearing-House, and more information available to be published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Tables!$P$100:$P$104</c:f>
              <c:numCache>
                <c:formatCode>0%</c:formatCode>
                <c:ptCount val="5"/>
                <c:pt idx="0">
                  <c:v>0.55102040816326525</c:v>
                </c:pt>
                <c:pt idx="1">
                  <c:v>0.16666666666666666</c:v>
                </c:pt>
                <c:pt idx="2">
                  <c:v>0.30769230769230771</c:v>
                </c:pt>
                <c:pt idx="3">
                  <c:v>0.5</c:v>
                </c:pt>
                <c:pt idx="4">
                  <c:v>0.1111111111111111</c:v>
                </c:pt>
              </c:numCache>
            </c:numRef>
          </c:val>
          <c:extLst>
            <c:ext xmlns:c16="http://schemas.microsoft.com/office/drawing/2014/chart" uri="{C3380CC4-5D6E-409C-BE32-E72D297353CC}">
              <c16:uniqueId val="{00000001-AA59-4542-B521-458F354575ED}"/>
            </c:ext>
          </c:extLst>
        </c:ser>
        <c:ser>
          <c:idx val="2"/>
          <c:order val="2"/>
          <c:tx>
            <c:strRef>
              <c:f>Tables!$Q$99</c:f>
              <c:strCache>
                <c:ptCount val="1"/>
                <c:pt idx="0">
                  <c:v>No information on the ABS Clearing-House, but there is information available to be published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Tables!$Q$100:$Q$104</c:f>
              <c:numCache>
                <c:formatCode>0%</c:formatCode>
                <c:ptCount val="5"/>
                <c:pt idx="0">
                  <c:v>0.10204081632653061</c:v>
                </c:pt>
                <c:pt idx="1">
                  <c:v>0.2857142857142857</c:v>
                </c:pt>
                <c:pt idx="2">
                  <c:v>7.6923076923076927E-2</c:v>
                </c:pt>
                <c:pt idx="3">
                  <c:v>0</c:v>
                </c:pt>
                <c:pt idx="4">
                  <c:v>0</c:v>
                </c:pt>
              </c:numCache>
            </c:numRef>
          </c:val>
          <c:extLst>
            <c:ext xmlns:c16="http://schemas.microsoft.com/office/drawing/2014/chart" uri="{C3380CC4-5D6E-409C-BE32-E72D297353CC}">
              <c16:uniqueId val="{00000002-AA59-4542-B521-458F354575ED}"/>
            </c:ext>
          </c:extLst>
        </c:ser>
        <c:ser>
          <c:idx val="3"/>
          <c:order val="3"/>
          <c:tx>
            <c:strRef>
              <c:f>Tables!$R$99</c:f>
              <c:strCache>
                <c:ptCount val="1"/>
                <c:pt idx="0">
                  <c:v>No information available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Tables!$R$100:$R$104</c:f>
              <c:numCache>
                <c:formatCode>0%</c:formatCode>
                <c:ptCount val="5"/>
                <c:pt idx="0">
                  <c:v>8.1632653061224483E-2</c:v>
                </c:pt>
                <c:pt idx="1">
                  <c:v>0.30952380952380953</c:v>
                </c:pt>
                <c:pt idx="2">
                  <c:v>0</c:v>
                </c:pt>
                <c:pt idx="3">
                  <c:v>0.1</c:v>
                </c:pt>
                <c:pt idx="4">
                  <c:v>5.5555555555555552E-2</c:v>
                </c:pt>
              </c:numCache>
            </c:numRef>
          </c:val>
          <c:extLst>
            <c:ext xmlns:c16="http://schemas.microsoft.com/office/drawing/2014/chart" uri="{C3380CC4-5D6E-409C-BE32-E72D297353CC}">
              <c16:uniqueId val="{00000003-AA59-4542-B521-458F354575ED}"/>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5.2954101891109752E-2"/>
          <c:y val="0.71032561479970691"/>
          <c:w val="0.90986203647620989"/>
          <c:h val="0.192417525155436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2337E717F940B6802459FDA6E9CB9B"/>
        <w:category>
          <w:name w:val="General"/>
          <w:gallery w:val="placeholder"/>
        </w:category>
        <w:types>
          <w:type w:val="bbPlcHdr"/>
        </w:types>
        <w:behaviors>
          <w:behavior w:val="content"/>
        </w:behaviors>
        <w:guid w:val="{B61505DD-6472-43FB-9095-084836D23BD0}"/>
      </w:docPartPr>
      <w:docPartBody>
        <w:p w:rsidR="009F75B6" w:rsidRDefault="00A84D4D">
          <w:pPr>
            <w:pStyle w:val="CD2337E717F940B6802459FDA6E9CB9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06E7"/>
    <w:rsid w:val="0000596C"/>
    <w:rsid w:val="00015FAA"/>
    <w:rsid w:val="0003118F"/>
    <w:rsid w:val="0007040F"/>
    <w:rsid w:val="000812C3"/>
    <w:rsid w:val="00095437"/>
    <w:rsid w:val="000A5B45"/>
    <w:rsid w:val="000B5493"/>
    <w:rsid w:val="000C508F"/>
    <w:rsid w:val="000D4AB4"/>
    <w:rsid w:val="000F294F"/>
    <w:rsid w:val="0011578E"/>
    <w:rsid w:val="001258F5"/>
    <w:rsid w:val="0014032F"/>
    <w:rsid w:val="0018353A"/>
    <w:rsid w:val="001F426E"/>
    <w:rsid w:val="002131BD"/>
    <w:rsid w:val="002134B4"/>
    <w:rsid w:val="00253E7A"/>
    <w:rsid w:val="00277994"/>
    <w:rsid w:val="002A2546"/>
    <w:rsid w:val="002B4256"/>
    <w:rsid w:val="002B6A7E"/>
    <w:rsid w:val="002C7486"/>
    <w:rsid w:val="002D2AF1"/>
    <w:rsid w:val="002E3B07"/>
    <w:rsid w:val="002F3F7A"/>
    <w:rsid w:val="00302031"/>
    <w:rsid w:val="00370587"/>
    <w:rsid w:val="003B7D5D"/>
    <w:rsid w:val="003C0DBD"/>
    <w:rsid w:val="003D6429"/>
    <w:rsid w:val="004744E4"/>
    <w:rsid w:val="00495C96"/>
    <w:rsid w:val="004B1BBA"/>
    <w:rsid w:val="004B68CA"/>
    <w:rsid w:val="004C16CF"/>
    <w:rsid w:val="004C3099"/>
    <w:rsid w:val="00543E97"/>
    <w:rsid w:val="00585893"/>
    <w:rsid w:val="00590733"/>
    <w:rsid w:val="005A219D"/>
    <w:rsid w:val="005C0502"/>
    <w:rsid w:val="005C3E52"/>
    <w:rsid w:val="005D6FA9"/>
    <w:rsid w:val="005F11D1"/>
    <w:rsid w:val="0066090C"/>
    <w:rsid w:val="00662C8C"/>
    <w:rsid w:val="00664CC4"/>
    <w:rsid w:val="006922C4"/>
    <w:rsid w:val="006A4FC5"/>
    <w:rsid w:val="007013E8"/>
    <w:rsid w:val="007171E7"/>
    <w:rsid w:val="007441C1"/>
    <w:rsid w:val="00752ECB"/>
    <w:rsid w:val="00765FA7"/>
    <w:rsid w:val="00773C5D"/>
    <w:rsid w:val="00791D71"/>
    <w:rsid w:val="00795F81"/>
    <w:rsid w:val="007C33FB"/>
    <w:rsid w:val="007D505C"/>
    <w:rsid w:val="007D7ABA"/>
    <w:rsid w:val="007F5BA9"/>
    <w:rsid w:val="0082274A"/>
    <w:rsid w:val="008531D3"/>
    <w:rsid w:val="00877048"/>
    <w:rsid w:val="00890245"/>
    <w:rsid w:val="008927F0"/>
    <w:rsid w:val="008A20B2"/>
    <w:rsid w:val="008A63B0"/>
    <w:rsid w:val="008B0B66"/>
    <w:rsid w:val="008B5E42"/>
    <w:rsid w:val="008F0D42"/>
    <w:rsid w:val="008F7E8E"/>
    <w:rsid w:val="00910EAF"/>
    <w:rsid w:val="00921ABA"/>
    <w:rsid w:val="00942A6A"/>
    <w:rsid w:val="00957796"/>
    <w:rsid w:val="00960515"/>
    <w:rsid w:val="009645FC"/>
    <w:rsid w:val="00986CAA"/>
    <w:rsid w:val="009A73E6"/>
    <w:rsid w:val="009B163E"/>
    <w:rsid w:val="009C3CF7"/>
    <w:rsid w:val="009D4C05"/>
    <w:rsid w:val="009E167C"/>
    <w:rsid w:val="009E1DE5"/>
    <w:rsid w:val="009F75B6"/>
    <w:rsid w:val="00A42D8A"/>
    <w:rsid w:val="00A84D4D"/>
    <w:rsid w:val="00A97F82"/>
    <w:rsid w:val="00AA27C5"/>
    <w:rsid w:val="00AB5D19"/>
    <w:rsid w:val="00B00CE6"/>
    <w:rsid w:val="00B013E3"/>
    <w:rsid w:val="00B54245"/>
    <w:rsid w:val="00B60242"/>
    <w:rsid w:val="00B9423A"/>
    <w:rsid w:val="00BA0FB1"/>
    <w:rsid w:val="00BD12D3"/>
    <w:rsid w:val="00C2015E"/>
    <w:rsid w:val="00C41BF2"/>
    <w:rsid w:val="00C45840"/>
    <w:rsid w:val="00C466AB"/>
    <w:rsid w:val="00C50227"/>
    <w:rsid w:val="00C515B0"/>
    <w:rsid w:val="00C74E94"/>
    <w:rsid w:val="00C834C4"/>
    <w:rsid w:val="00C846C2"/>
    <w:rsid w:val="00CA1FAD"/>
    <w:rsid w:val="00CB5B6E"/>
    <w:rsid w:val="00CB78C5"/>
    <w:rsid w:val="00CC056B"/>
    <w:rsid w:val="00D1334F"/>
    <w:rsid w:val="00D40588"/>
    <w:rsid w:val="00D57DBD"/>
    <w:rsid w:val="00D8122F"/>
    <w:rsid w:val="00D97AAC"/>
    <w:rsid w:val="00DA7D10"/>
    <w:rsid w:val="00DB373B"/>
    <w:rsid w:val="00DC1DC5"/>
    <w:rsid w:val="00DD3B3C"/>
    <w:rsid w:val="00DD4464"/>
    <w:rsid w:val="00DD48EB"/>
    <w:rsid w:val="00DE4CFE"/>
    <w:rsid w:val="00DE7B7E"/>
    <w:rsid w:val="00E019B6"/>
    <w:rsid w:val="00E103D5"/>
    <w:rsid w:val="00E15411"/>
    <w:rsid w:val="00E25702"/>
    <w:rsid w:val="00E358A5"/>
    <w:rsid w:val="00E402B2"/>
    <w:rsid w:val="00E4701F"/>
    <w:rsid w:val="00E80DB9"/>
    <w:rsid w:val="00E870C0"/>
    <w:rsid w:val="00EE00F7"/>
    <w:rsid w:val="00EF1F00"/>
    <w:rsid w:val="00F47578"/>
    <w:rsid w:val="00F56011"/>
    <w:rsid w:val="00F65D76"/>
    <w:rsid w:val="00FA032B"/>
    <w:rsid w:val="00FC5BAA"/>
    <w:rsid w:val="00FF571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58F5"/>
    <w:rPr>
      <w:color w:val="808080"/>
    </w:rPr>
  </w:style>
  <w:style w:type="paragraph" w:customStyle="1" w:styleId="CD2337E717F940B6802459FDA6E9CB9B">
    <w:name w:val="CD2337E717F940B6802459FDA6E9CB9B"/>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4DD57-5FBA-4E9A-928A-48575FE44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10</TotalTime>
  <Pages>56</Pages>
  <Words>28495</Words>
  <Characters>162428</Characters>
  <Application>Microsoft Office Word</Application>
  <DocSecurity>0</DocSecurity>
  <Lines>1353</Lines>
  <Paragraphs>381</Paragraphs>
  <ScaleCrop>false</ScaleCrop>
  <HeadingPairs>
    <vt:vector size="2" baseType="variant">
      <vt:variant>
        <vt:lpstr>Title</vt:lpstr>
      </vt:variant>
      <vt:variant>
        <vt:i4>1</vt:i4>
      </vt:variant>
    </vt:vector>
  </HeadingPairs>
  <TitlesOfParts>
    <vt:vector size="1" baseType="lpstr">
      <vt:lpstr>Análisis de la información para la segunda evaluación y revisión de la eficacia del Protocolo de Nagoya</vt:lpstr>
    </vt:vector>
  </TitlesOfParts>
  <Company/>
  <LinksUpToDate>false</LinksUpToDate>
  <CharactersWithSpaces>190542</CharactersWithSpaces>
  <SharedDoc>false</SharedDoc>
  <HLinks>
    <vt:vector size="714" baseType="variant">
      <vt:variant>
        <vt:i4>7536689</vt:i4>
      </vt:variant>
      <vt:variant>
        <vt:i4>105</vt:i4>
      </vt:variant>
      <vt:variant>
        <vt:i4>0</vt:i4>
      </vt:variant>
      <vt:variant>
        <vt:i4>5</vt:i4>
      </vt:variant>
      <vt:variant>
        <vt:lpwstr>https://www.cbd.int/doc/decisions/np-mop-05/np-mop-05-dec-07-en.pdf</vt:lpwstr>
      </vt:variant>
      <vt:variant>
        <vt:lpwstr/>
      </vt:variant>
      <vt:variant>
        <vt:i4>7798833</vt:i4>
      </vt:variant>
      <vt:variant>
        <vt:i4>102</vt:i4>
      </vt:variant>
      <vt:variant>
        <vt:i4>0</vt:i4>
      </vt:variant>
      <vt:variant>
        <vt:i4>5</vt:i4>
      </vt:variant>
      <vt:variant>
        <vt:lpwstr>https://www.cbd.int/doc/decisions/np-mop-05/np-mop-05-dec-03-en.pdf</vt:lpwstr>
      </vt:variant>
      <vt:variant>
        <vt:lpwstr/>
      </vt:variant>
      <vt:variant>
        <vt:i4>6881340</vt:i4>
      </vt:variant>
      <vt:variant>
        <vt:i4>99</vt:i4>
      </vt:variant>
      <vt:variant>
        <vt:i4>0</vt:i4>
      </vt:variant>
      <vt:variant>
        <vt:i4>5</vt:i4>
      </vt:variant>
      <vt:variant>
        <vt:lpwstr>https://www.cbd.int/decision/np-mop/default.shtml?id=13409</vt:lpwstr>
      </vt:variant>
      <vt:variant>
        <vt:lpwstr/>
      </vt:variant>
      <vt:variant>
        <vt:i4>8060974</vt:i4>
      </vt:variant>
      <vt:variant>
        <vt:i4>96</vt:i4>
      </vt:variant>
      <vt:variant>
        <vt:i4>0</vt:i4>
      </vt:variant>
      <vt:variant>
        <vt:i4>5</vt:i4>
      </vt:variant>
      <vt:variant>
        <vt:lpwstr>https://www.cbd.int/meetings/NP-MOP-03</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5439581</vt:i4>
      </vt:variant>
      <vt:variant>
        <vt:i4>87</vt:i4>
      </vt:variant>
      <vt:variant>
        <vt:i4>0</vt:i4>
      </vt:variant>
      <vt:variant>
        <vt:i4>5</vt:i4>
      </vt:variant>
      <vt:variant>
        <vt:lpwstr>https://www.cbd.int/decisions/np-mop/?m=np-mop-05</vt:lpwstr>
      </vt:variant>
      <vt:variant>
        <vt:lpwstr/>
      </vt:variant>
      <vt:variant>
        <vt:i4>8060974</vt:i4>
      </vt:variant>
      <vt:variant>
        <vt:i4>84</vt:i4>
      </vt:variant>
      <vt:variant>
        <vt:i4>0</vt:i4>
      </vt:variant>
      <vt:variant>
        <vt:i4>5</vt:i4>
      </vt:variant>
      <vt:variant>
        <vt:lpwstr>https://www.cbd.int/meetings/NP-MOP-03</vt:lpwstr>
      </vt:variant>
      <vt:variant>
        <vt:lpwstr/>
      </vt:variant>
      <vt:variant>
        <vt:i4>8060974</vt:i4>
      </vt:variant>
      <vt:variant>
        <vt:i4>81</vt:i4>
      </vt:variant>
      <vt:variant>
        <vt:i4>0</vt:i4>
      </vt:variant>
      <vt:variant>
        <vt:i4>5</vt:i4>
      </vt:variant>
      <vt:variant>
        <vt:lpwstr>https://www.cbd.int/meetings/NP-MOP-03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8060974</vt:i4>
      </vt:variant>
      <vt:variant>
        <vt:i4>75</vt:i4>
      </vt:variant>
      <vt:variant>
        <vt:i4>0</vt:i4>
      </vt:variant>
      <vt:variant>
        <vt:i4>5</vt:i4>
      </vt:variant>
      <vt:variant>
        <vt:lpwstr>https://www.cbd.int/meetings/NP-MOP-03</vt:lpwstr>
      </vt:variant>
      <vt:variant>
        <vt:lpwstr/>
      </vt:variant>
      <vt:variant>
        <vt:i4>2031673</vt:i4>
      </vt:variant>
      <vt:variant>
        <vt:i4>68</vt:i4>
      </vt:variant>
      <vt:variant>
        <vt:i4>0</vt:i4>
      </vt:variant>
      <vt:variant>
        <vt:i4>5</vt:i4>
      </vt:variant>
      <vt:variant>
        <vt:lpwstr/>
      </vt:variant>
      <vt:variant>
        <vt:lpwstr>_Toc228803312</vt:lpwstr>
      </vt:variant>
      <vt:variant>
        <vt:i4>2031673</vt:i4>
      </vt:variant>
      <vt:variant>
        <vt:i4>62</vt:i4>
      </vt:variant>
      <vt:variant>
        <vt:i4>0</vt:i4>
      </vt:variant>
      <vt:variant>
        <vt:i4>5</vt:i4>
      </vt:variant>
      <vt:variant>
        <vt:lpwstr/>
      </vt:variant>
      <vt:variant>
        <vt:lpwstr>_Toc228803311</vt:lpwstr>
      </vt:variant>
      <vt:variant>
        <vt:i4>2031673</vt:i4>
      </vt:variant>
      <vt:variant>
        <vt:i4>56</vt:i4>
      </vt:variant>
      <vt:variant>
        <vt:i4>0</vt:i4>
      </vt:variant>
      <vt:variant>
        <vt:i4>5</vt:i4>
      </vt:variant>
      <vt:variant>
        <vt:lpwstr/>
      </vt:variant>
      <vt:variant>
        <vt:lpwstr>_Toc228803310</vt:lpwstr>
      </vt:variant>
      <vt:variant>
        <vt:i4>1966137</vt:i4>
      </vt:variant>
      <vt:variant>
        <vt:i4>50</vt:i4>
      </vt:variant>
      <vt:variant>
        <vt:i4>0</vt:i4>
      </vt:variant>
      <vt:variant>
        <vt:i4>5</vt:i4>
      </vt:variant>
      <vt:variant>
        <vt:lpwstr/>
      </vt:variant>
      <vt:variant>
        <vt:lpwstr>_Toc228803309</vt:lpwstr>
      </vt:variant>
      <vt:variant>
        <vt:i4>1966137</vt:i4>
      </vt:variant>
      <vt:variant>
        <vt:i4>44</vt:i4>
      </vt:variant>
      <vt:variant>
        <vt:i4>0</vt:i4>
      </vt:variant>
      <vt:variant>
        <vt:i4>5</vt:i4>
      </vt:variant>
      <vt:variant>
        <vt:lpwstr/>
      </vt:variant>
      <vt:variant>
        <vt:lpwstr>_Toc228803308</vt:lpwstr>
      </vt:variant>
      <vt:variant>
        <vt:i4>1966137</vt:i4>
      </vt:variant>
      <vt:variant>
        <vt:i4>38</vt:i4>
      </vt:variant>
      <vt:variant>
        <vt:i4>0</vt:i4>
      </vt:variant>
      <vt:variant>
        <vt:i4>5</vt:i4>
      </vt:variant>
      <vt:variant>
        <vt:lpwstr/>
      </vt:variant>
      <vt:variant>
        <vt:lpwstr>_Toc228803307</vt:lpwstr>
      </vt:variant>
      <vt:variant>
        <vt:i4>1966137</vt:i4>
      </vt:variant>
      <vt:variant>
        <vt:i4>32</vt:i4>
      </vt:variant>
      <vt:variant>
        <vt:i4>0</vt:i4>
      </vt:variant>
      <vt:variant>
        <vt:i4>5</vt:i4>
      </vt:variant>
      <vt:variant>
        <vt:lpwstr/>
      </vt:variant>
      <vt:variant>
        <vt:lpwstr>_Toc228803306</vt:lpwstr>
      </vt:variant>
      <vt:variant>
        <vt:i4>1966137</vt:i4>
      </vt:variant>
      <vt:variant>
        <vt:i4>26</vt:i4>
      </vt:variant>
      <vt:variant>
        <vt:i4>0</vt:i4>
      </vt:variant>
      <vt:variant>
        <vt:i4>5</vt:i4>
      </vt:variant>
      <vt:variant>
        <vt:lpwstr/>
      </vt:variant>
      <vt:variant>
        <vt:lpwstr>_Toc228803305</vt:lpwstr>
      </vt:variant>
      <vt:variant>
        <vt:i4>1966137</vt:i4>
      </vt:variant>
      <vt:variant>
        <vt:i4>20</vt:i4>
      </vt:variant>
      <vt:variant>
        <vt:i4>0</vt:i4>
      </vt:variant>
      <vt:variant>
        <vt:i4>5</vt:i4>
      </vt:variant>
      <vt:variant>
        <vt:lpwstr/>
      </vt:variant>
      <vt:variant>
        <vt:lpwstr>_Toc228803304</vt:lpwstr>
      </vt:variant>
      <vt:variant>
        <vt:i4>1966137</vt:i4>
      </vt:variant>
      <vt:variant>
        <vt:i4>14</vt:i4>
      </vt:variant>
      <vt:variant>
        <vt:i4>0</vt:i4>
      </vt:variant>
      <vt:variant>
        <vt:i4>5</vt:i4>
      </vt:variant>
      <vt:variant>
        <vt:lpwstr/>
      </vt:variant>
      <vt:variant>
        <vt:lpwstr>_Toc228803303</vt:lpwstr>
      </vt:variant>
      <vt:variant>
        <vt:i4>1966137</vt:i4>
      </vt:variant>
      <vt:variant>
        <vt:i4>8</vt:i4>
      </vt:variant>
      <vt:variant>
        <vt:i4>0</vt:i4>
      </vt:variant>
      <vt:variant>
        <vt:i4>5</vt:i4>
      </vt:variant>
      <vt:variant>
        <vt:lpwstr/>
      </vt:variant>
      <vt:variant>
        <vt:lpwstr>_Toc228803302</vt:lpwstr>
      </vt:variant>
      <vt:variant>
        <vt:i4>1966137</vt:i4>
      </vt:variant>
      <vt:variant>
        <vt:i4>2</vt:i4>
      </vt:variant>
      <vt:variant>
        <vt:i4>0</vt:i4>
      </vt:variant>
      <vt:variant>
        <vt:i4>5</vt:i4>
      </vt:variant>
      <vt:variant>
        <vt:lpwstr/>
      </vt:variant>
      <vt:variant>
        <vt:lpwstr>_Toc228803301</vt:lpwstr>
      </vt:variant>
      <vt:variant>
        <vt:i4>7798833</vt:i4>
      </vt:variant>
      <vt:variant>
        <vt:i4>282</vt:i4>
      </vt:variant>
      <vt:variant>
        <vt:i4>0</vt:i4>
      </vt:variant>
      <vt:variant>
        <vt:i4>5</vt:i4>
      </vt:variant>
      <vt:variant>
        <vt:lpwstr>https://www.cbd.int/doc/decisions/np-mop-05/np-mop-05-dec-03-en.pdf</vt:lpwstr>
      </vt:variant>
      <vt:variant>
        <vt:lpwstr/>
      </vt:variant>
      <vt:variant>
        <vt:i4>983048</vt:i4>
      </vt:variant>
      <vt:variant>
        <vt:i4>279</vt:i4>
      </vt:variant>
      <vt:variant>
        <vt:i4>0</vt:i4>
      </vt:variant>
      <vt:variant>
        <vt:i4>5</vt:i4>
      </vt:variant>
      <vt:variant>
        <vt:lpwstr>https://www.cbd.int/documents/CBD/SBI/7/INF/2</vt:lpwstr>
      </vt:variant>
      <vt:variant>
        <vt:lpwstr/>
      </vt:variant>
      <vt:variant>
        <vt:i4>983048</vt:i4>
      </vt:variant>
      <vt:variant>
        <vt:i4>276</vt:i4>
      </vt:variant>
      <vt:variant>
        <vt:i4>0</vt:i4>
      </vt:variant>
      <vt:variant>
        <vt:i4>5</vt:i4>
      </vt:variant>
      <vt:variant>
        <vt:lpwstr>https://www.cbd.int/documents/CBD/SBI/7/INF/2</vt:lpwstr>
      </vt:variant>
      <vt:variant>
        <vt:lpwstr/>
      </vt:variant>
      <vt:variant>
        <vt:i4>4521988</vt:i4>
      </vt:variant>
      <vt:variant>
        <vt:i4>273</vt:i4>
      </vt:variant>
      <vt:variant>
        <vt:i4>0</vt:i4>
      </vt:variant>
      <vt:variant>
        <vt:i4>5</vt:i4>
      </vt:variant>
      <vt:variant>
        <vt:lpwstr>https://www.cbd.int/documents/CBD/NP/MOP/5/10</vt:lpwstr>
      </vt:variant>
      <vt:variant>
        <vt:lpwstr/>
      </vt:variant>
      <vt:variant>
        <vt:i4>7143544</vt:i4>
      </vt:variant>
      <vt:variant>
        <vt:i4>270</vt:i4>
      </vt:variant>
      <vt:variant>
        <vt:i4>0</vt:i4>
      </vt:variant>
      <vt:variant>
        <vt:i4>5</vt:i4>
      </vt:variant>
      <vt:variant>
        <vt:lpwstr>http://www.cbd.int/abs/art10.shtml</vt:lpwstr>
      </vt:variant>
      <vt:variant>
        <vt:lpwstr/>
      </vt:variant>
      <vt:variant>
        <vt:i4>983048</vt:i4>
      </vt:variant>
      <vt:variant>
        <vt:i4>267</vt:i4>
      </vt:variant>
      <vt:variant>
        <vt:i4>0</vt:i4>
      </vt:variant>
      <vt:variant>
        <vt:i4>5</vt:i4>
      </vt:variant>
      <vt:variant>
        <vt:lpwstr>https://www.cbd.int/documents/CBD/SBI/7/INF/4</vt:lpwstr>
      </vt:variant>
      <vt:variant>
        <vt:lpwstr/>
      </vt:variant>
      <vt:variant>
        <vt:i4>983048</vt:i4>
      </vt:variant>
      <vt:variant>
        <vt:i4>264</vt:i4>
      </vt:variant>
      <vt:variant>
        <vt:i4>0</vt:i4>
      </vt:variant>
      <vt:variant>
        <vt:i4>5</vt:i4>
      </vt:variant>
      <vt:variant>
        <vt:lpwstr>https://www.cbd.int/documents/CBD/SBI/7/INF/5</vt:lpwstr>
      </vt:variant>
      <vt:variant>
        <vt:lpwstr/>
      </vt:variant>
      <vt:variant>
        <vt:i4>983048</vt:i4>
      </vt:variant>
      <vt:variant>
        <vt:i4>261</vt:i4>
      </vt:variant>
      <vt:variant>
        <vt:i4>0</vt:i4>
      </vt:variant>
      <vt:variant>
        <vt:i4>5</vt:i4>
      </vt:variant>
      <vt:variant>
        <vt:lpwstr>https://www.cbd.int/documents/CBD/SBI/7/INF/4</vt:lpwstr>
      </vt:variant>
      <vt:variant>
        <vt:lpwstr/>
      </vt:variant>
      <vt:variant>
        <vt:i4>3539050</vt:i4>
      </vt:variant>
      <vt:variant>
        <vt:i4>258</vt:i4>
      </vt:variant>
      <vt:variant>
        <vt:i4>0</vt:i4>
      </vt:variant>
      <vt:variant>
        <vt:i4>5</vt:i4>
      </vt:variant>
      <vt:variant>
        <vt:lpwstr>https://absch.cbd.int/en/kb</vt:lpwstr>
      </vt:variant>
      <vt:variant>
        <vt:lpwstr/>
      </vt:variant>
      <vt:variant>
        <vt:i4>983048</vt:i4>
      </vt:variant>
      <vt:variant>
        <vt:i4>255</vt:i4>
      </vt:variant>
      <vt:variant>
        <vt:i4>0</vt:i4>
      </vt:variant>
      <vt:variant>
        <vt:i4>5</vt:i4>
      </vt:variant>
      <vt:variant>
        <vt:lpwstr>https://www.cbd.int/documents/CBD/SBI/7/INF/5</vt:lpwstr>
      </vt:variant>
      <vt:variant>
        <vt:lpwstr/>
      </vt:variant>
      <vt:variant>
        <vt:i4>983048</vt:i4>
      </vt:variant>
      <vt:variant>
        <vt:i4>252</vt:i4>
      </vt:variant>
      <vt:variant>
        <vt:i4>0</vt:i4>
      </vt:variant>
      <vt:variant>
        <vt:i4>5</vt:i4>
      </vt:variant>
      <vt:variant>
        <vt:lpwstr>https://www.cbd.int/documents/CBD/SBI/7/INF/2</vt:lpwstr>
      </vt:variant>
      <vt:variant>
        <vt:lpwstr/>
      </vt:variant>
      <vt:variant>
        <vt:i4>983048</vt:i4>
      </vt:variant>
      <vt:variant>
        <vt:i4>249</vt:i4>
      </vt:variant>
      <vt:variant>
        <vt:i4>0</vt:i4>
      </vt:variant>
      <vt:variant>
        <vt:i4>5</vt:i4>
      </vt:variant>
      <vt:variant>
        <vt:lpwstr>https://www.cbd.int/documents/CBD/SBI/7/INF/4</vt:lpwstr>
      </vt:variant>
      <vt:variant>
        <vt:lpwstr/>
      </vt:variant>
      <vt:variant>
        <vt:i4>983048</vt:i4>
      </vt:variant>
      <vt:variant>
        <vt:i4>246</vt:i4>
      </vt:variant>
      <vt:variant>
        <vt:i4>0</vt:i4>
      </vt:variant>
      <vt:variant>
        <vt:i4>5</vt:i4>
      </vt:variant>
      <vt:variant>
        <vt:lpwstr>https://www.cbd.int/documents/CBD/SBI/7/INF/3</vt:lpwstr>
      </vt:variant>
      <vt:variant>
        <vt:lpwstr/>
      </vt:variant>
      <vt:variant>
        <vt:i4>983048</vt:i4>
      </vt:variant>
      <vt:variant>
        <vt:i4>243</vt:i4>
      </vt:variant>
      <vt:variant>
        <vt:i4>0</vt:i4>
      </vt:variant>
      <vt:variant>
        <vt:i4>5</vt:i4>
      </vt:variant>
      <vt:variant>
        <vt:lpwstr>https://www.cbd.int/documents/CBD/SBI/7/INF/5</vt:lpwstr>
      </vt:variant>
      <vt:variant>
        <vt:lpwstr/>
      </vt:variant>
      <vt:variant>
        <vt:i4>983048</vt:i4>
      </vt:variant>
      <vt:variant>
        <vt:i4>240</vt:i4>
      </vt:variant>
      <vt:variant>
        <vt:i4>0</vt:i4>
      </vt:variant>
      <vt:variant>
        <vt:i4>5</vt:i4>
      </vt:variant>
      <vt:variant>
        <vt:lpwstr>https://www.cbd.int/documents/CBD/SBI/7/INF/2</vt:lpwstr>
      </vt:variant>
      <vt:variant>
        <vt:lpwstr/>
      </vt:variant>
      <vt:variant>
        <vt:i4>983048</vt:i4>
      </vt:variant>
      <vt:variant>
        <vt:i4>237</vt:i4>
      </vt:variant>
      <vt:variant>
        <vt:i4>0</vt:i4>
      </vt:variant>
      <vt:variant>
        <vt:i4>5</vt:i4>
      </vt:variant>
      <vt:variant>
        <vt:lpwstr>https://www.cbd.int/documents/CBD/SBI/7/INF/3</vt:lpwstr>
      </vt:variant>
      <vt:variant>
        <vt:lpwstr/>
      </vt:variant>
      <vt:variant>
        <vt:i4>983048</vt:i4>
      </vt:variant>
      <vt:variant>
        <vt:i4>234</vt:i4>
      </vt:variant>
      <vt:variant>
        <vt:i4>0</vt:i4>
      </vt:variant>
      <vt:variant>
        <vt:i4>5</vt:i4>
      </vt:variant>
      <vt:variant>
        <vt:lpwstr>https://www.cbd.int/documents/CBD/SBI/7/INF/2</vt:lpwstr>
      </vt:variant>
      <vt:variant>
        <vt:lpwstr/>
      </vt:variant>
      <vt:variant>
        <vt:i4>983048</vt:i4>
      </vt:variant>
      <vt:variant>
        <vt:i4>231</vt:i4>
      </vt:variant>
      <vt:variant>
        <vt:i4>0</vt:i4>
      </vt:variant>
      <vt:variant>
        <vt:i4>5</vt:i4>
      </vt:variant>
      <vt:variant>
        <vt:lpwstr>https://www.cbd.int/documents/CBD/SBI/7/INF/3</vt:lpwstr>
      </vt:variant>
      <vt:variant>
        <vt:lpwstr/>
      </vt:variant>
      <vt:variant>
        <vt:i4>983048</vt:i4>
      </vt:variant>
      <vt:variant>
        <vt:i4>228</vt:i4>
      </vt:variant>
      <vt:variant>
        <vt:i4>0</vt:i4>
      </vt:variant>
      <vt:variant>
        <vt:i4>5</vt:i4>
      </vt:variant>
      <vt:variant>
        <vt:lpwstr>https://www.cbd.int/documents/CBD/SBI/7/INF/2</vt:lpwstr>
      </vt:variant>
      <vt:variant>
        <vt:lpwstr/>
      </vt:variant>
      <vt:variant>
        <vt:i4>983048</vt:i4>
      </vt:variant>
      <vt:variant>
        <vt:i4>225</vt:i4>
      </vt:variant>
      <vt:variant>
        <vt:i4>0</vt:i4>
      </vt:variant>
      <vt:variant>
        <vt:i4>5</vt:i4>
      </vt:variant>
      <vt:variant>
        <vt:lpwstr>https://www.cbd.int/documents/CBD/SBI/7/INF/2</vt:lpwstr>
      </vt:variant>
      <vt:variant>
        <vt:lpwstr/>
      </vt:variant>
      <vt:variant>
        <vt:i4>983048</vt:i4>
      </vt:variant>
      <vt:variant>
        <vt:i4>222</vt:i4>
      </vt:variant>
      <vt:variant>
        <vt:i4>0</vt:i4>
      </vt:variant>
      <vt:variant>
        <vt:i4>5</vt:i4>
      </vt:variant>
      <vt:variant>
        <vt:lpwstr>https://www.cbd.int/documents/CBD/SBI/7/INF/3</vt:lpwstr>
      </vt:variant>
      <vt:variant>
        <vt:lpwstr/>
      </vt:variant>
      <vt:variant>
        <vt:i4>983048</vt:i4>
      </vt:variant>
      <vt:variant>
        <vt:i4>219</vt:i4>
      </vt:variant>
      <vt:variant>
        <vt:i4>0</vt:i4>
      </vt:variant>
      <vt:variant>
        <vt:i4>5</vt:i4>
      </vt:variant>
      <vt:variant>
        <vt:lpwstr>https://www.cbd.int/documents/CBD/SBI/7/INF/2</vt:lpwstr>
      </vt:variant>
      <vt:variant>
        <vt:lpwstr/>
      </vt:variant>
      <vt:variant>
        <vt:i4>983048</vt:i4>
      </vt:variant>
      <vt:variant>
        <vt:i4>216</vt:i4>
      </vt:variant>
      <vt:variant>
        <vt:i4>0</vt:i4>
      </vt:variant>
      <vt:variant>
        <vt:i4>5</vt:i4>
      </vt:variant>
      <vt:variant>
        <vt:lpwstr>https://www.cbd.int/documents/CBD/SBI/7/INF/2</vt:lpwstr>
      </vt:variant>
      <vt:variant>
        <vt:lpwstr/>
      </vt:variant>
      <vt:variant>
        <vt:i4>983048</vt:i4>
      </vt:variant>
      <vt:variant>
        <vt:i4>213</vt:i4>
      </vt:variant>
      <vt:variant>
        <vt:i4>0</vt:i4>
      </vt:variant>
      <vt:variant>
        <vt:i4>5</vt:i4>
      </vt:variant>
      <vt:variant>
        <vt:lpwstr>https://www.cbd.int/documents/CBD/SBI/7/INF/2</vt:lpwstr>
      </vt:variant>
      <vt:variant>
        <vt:lpwstr/>
      </vt:variant>
      <vt:variant>
        <vt:i4>983048</vt:i4>
      </vt:variant>
      <vt:variant>
        <vt:i4>210</vt:i4>
      </vt:variant>
      <vt:variant>
        <vt:i4>0</vt:i4>
      </vt:variant>
      <vt:variant>
        <vt:i4>5</vt:i4>
      </vt:variant>
      <vt:variant>
        <vt:lpwstr>https://www.cbd.int/documents/CBD/SBI/7/INF/2</vt:lpwstr>
      </vt:variant>
      <vt:variant>
        <vt:lpwstr/>
      </vt:variant>
      <vt:variant>
        <vt:i4>7667761</vt:i4>
      </vt:variant>
      <vt:variant>
        <vt:i4>207</vt:i4>
      </vt:variant>
      <vt:variant>
        <vt:i4>0</vt:i4>
      </vt:variant>
      <vt:variant>
        <vt:i4>5</vt:i4>
      </vt:variant>
      <vt:variant>
        <vt:lpwstr>https://www.cbd.int/doc/decisions/np-mop-03/np-mop-03-dec-01-en.pdf</vt:lpwstr>
      </vt:variant>
      <vt:variant>
        <vt:lpwstr/>
      </vt:variant>
      <vt:variant>
        <vt:i4>983048</vt:i4>
      </vt:variant>
      <vt:variant>
        <vt:i4>204</vt:i4>
      </vt:variant>
      <vt:variant>
        <vt:i4>0</vt:i4>
      </vt:variant>
      <vt:variant>
        <vt:i4>5</vt:i4>
      </vt:variant>
      <vt:variant>
        <vt:lpwstr>https://www.cbd.int/documents/CBD/SBI/7/INF/2</vt:lpwstr>
      </vt:variant>
      <vt:variant>
        <vt:lpwstr/>
      </vt:variant>
      <vt:variant>
        <vt:i4>983048</vt:i4>
      </vt:variant>
      <vt:variant>
        <vt:i4>201</vt:i4>
      </vt:variant>
      <vt:variant>
        <vt:i4>0</vt:i4>
      </vt:variant>
      <vt:variant>
        <vt:i4>5</vt:i4>
      </vt:variant>
      <vt:variant>
        <vt:lpwstr>https://www.cbd.int/documents/CBD/SBI/7/INF/7</vt:lpwstr>
      </vt:variant>
      <vt:variant>
        <vt:lpwstr/>
      </vt:variant>
      <vt:variant>
        <vt:i4>983048</vt:i4>
      </vt:variant>
      <vt:variant>
        <vt:i4>198</vt:i4>
      </vt:variant>
      <vt:variant>
        <vt:i4>0</vt:i4>
      </vt:variant>
      <vt:variant>
        <vt:i4>5</vt:i4>
      </vt:variant>
      <vt:variant>
        <vt:lpwstr>https://www.cbd.int/documents/CBD/SBI/7/INF/3</vt:lpwstr>
      </vt:variant>
      <vt:variant>
        <vt:lpwstr/>
      </vt:variant>
      <vt:variant>
        <vt:i4>983048</vt:i4>
      </vt:variant>
      <vt:variant>
        <vt:i4>195</vt:i4>
      </vt:variant>
      <vt:variant>
        <vt:i4>0</vt:i4>
      </vt:variant>
      <vt:variant>
        <vt:i4>5</vt:i4>
      </vt:variant>
      <vt:variant>
        <vt:lpwstr>https://www.cbd.int/documents/CBD/SBI/7/INF/2</vt:lpwstr>
      </vt:variant>
      <vt:variant>
        <vt:lpwstr/>
      </vt:variant>
      <vt:variant>
        <vt:i4>393291</vt:i4>
      </vt:variant>
      <vt:variant>
        <vt:i4>192</vt:i4>
      </vt:variant>
      <vt:variant>
        <vt:i4>0</vt:i4>
      </vt:variant>
      <vt:variant>
        <vt:i4>5</vt:i4>
      </vt:variant>
      <vt:variant>
        <vt:lpwstr>https://www.cbd.int/doc/decisions/cop-15/cop-15-dec-08-en.pdf</vt:lpwstr>
      </vt:variant>
      <vt:variant>
        <vt:lpwstr/>
      </vt:variant>
      <vt:variant>
        <vt:i4>393291</vt:i4>
      </vt:variant>
      <vt:variant>
        <vt:i4>189</vt:i4>
      </vt:variant>
      <vt:variant>
        <vt:i4>0</vt:i4>
      </vt:variant>
      <vt:variant>
        <vt:i4>5</vt:i4>
      </vt:variant>
      <vt:variant>
        <vt:lpwstr>https://www.cbd.int/doc/decisions/cop-15/cop-15-dec-08-en.pdf</vt:lpwstr>
      </vt:variant>
      <vt:variant>
        <vt:lpwstr/>
      </vt:variant>
      <vt:variant>
        <vt:i4>7798833</vt:i4>
      </vt:variant>
      <vt:variant>
        <vt:i4>186</vt:i4>
      </vt:variant>
      <vt:variant>
        <vt:i4>0</vt:i4>
      </vt:variant>
      <vt:variant>
        <vt:i4>5</vt:i4>
      </vt:variant>
      <vt:variant>
        <vt:lpwstr>https://www.cbd.int/doc/decisions/np-mop-05/np-mop-05-dec-03-en.pdf</vt:lpwstr>
      </vt:variant>
      <vt:variant>
        <vt:lpwstr/>
      </vt:variant>
      <vt:variant>
        <vt:i4>983048</vt:i4>
      </vt:variant>
      <vt:variant>
        <vt:i4>183</vt:i4>
      </vt:variant>
      <vt:variant>
        <vt:i4>0</vt:i4>
      </vt:variant>
      <vt:variant>
        <vt:i4>5</vt:i4>
      </vt:variant>
      <vt:variant>
        <vt:lpwstr>https://www.cbd.int/documents/CBD/SBI/7/INF/2</vt:lpwstr>
      </vt:variant>
      <vt:variant>
        <vt:lpwstr/>
      </vt:variant>
      <vt:variant>
        <vt:i4>983048</vt:i4>
      </vt:variant>
      <vt:variant>
        <vt:i4>180</vt:i4>
      </vt:variant>
      <vt:variant>
        <vt:i4>0</vt:i4>
      </vt:variant>
      <vt:variant>
        <vt:i4>5</vt:i4>
      </vt:variant>
      <vt:variant>
        <vt:lpwstr>https://www.cbd.int/documents/CBD/SBI/7/INF/5</vt:lpwstr>
      </vt:variant>
      <vt:variant>
        <vt:lpwstr/>
      </vt:variant>
      <vt:variant>
        <vt:i4>983048</vt:i4>
      </vt:variant>
      <vt:variant>
        <vt:i4>177</vt:i4>
      </vt:variant>
      <vt:variant>
        <vt:i4>0</vt:i4>
      </vt:variant>
      <vt:variant>
        <vt:i4>5</vt:i4>
      </vt:variant>
      <vt:variant>
        <vt:lpwstr>https://www.cbd.int/documents/CBD/SBI/7/INF/3</vt:lpwstr>
      </vt:variant>
      <vt:variant>
        <vt:lpwstr/>
      </vt:variant>
      <vt:variant>
        <vt:i4>983048</vt:i4>
      </vt:variant>
      <vt:variant>
        <vt:i4>174</vt:i4>
      </vt:variant>
      <vt:variant>
        <vt:i4>0</vt:i4>
      </vt:variant>
      <vt:variant>
        <vt:i4>5</vt:i4>
      </vt:variant>
      <vt:variant>
        <vt:lpwstr>https://www.cbd.int/documents/CBD/SBI/7/INF/5</vt:lpwstr>
      </vt:variant>
      <vt:variant>
        <vt:lpwstr/>
      </vt:variant>
      <vt:variant>
        <vt:i4>983048</vt:i4>
      </vt:variant>
      <vt:variant>
        <vt:i4>171</vt:i4>
      </vt:variant>
      <vt:variant>
        <vt:i4>0</vt:i4>
      </vt:variant>
      <vt:variant>
        <vt:i4>5</vt:i4>
      </vt:variant>
      <vt:variant>
        <vt:lpwstr>https://www.cbd.int/documents/CBD/SBI/7/INF/2</vt:lpwstr>
      </vt:variant>
      <vt:variant>
        <vt:lpwstr/>
      </vt:variant>
      <vt:variant>
        <vt:i4>5636183</vt:i4>
      </vt:variant>
      <vt:variant>
        <vt:i4>168</vt:i4>
      </vt:variant>
      <vt:variant>
        <vt:i4>0</vt:i4>
      </vt:variant>
      <vt:variant>
        <vt:i4>5</vt:i4>
      </vt:variant>
      <vt:variant>
        <vt:lpwstr>https://gbf-indicators.org/metadata/headline/C-2</vt:lpwstr>
      </vt:variant>
      <vt:variant>
        <vt:lpwstr/>
      </vt:variant>
      <vt:variant>
        <vt:i4>5570647</vt:i4>
      </vt:variant>
      <vt:variant>
        <vt:i4>165</vt:i4>
      </vt:variant>
      <vt:variant>
        <vt:i4>0</vt:i4>
      </vt:variant>
      <vt:variant>
        <vt:i4>5</vt:i4>
      </vt:variant>
      <vt:variant>
        <vt:lpwstr>https://gbf-indicators.org/metadata/headline/C-1</vt:lpwstr>
      </vt:variant>
      <vt:variant>
        <vt:lpwstr/>
      </vt:variant>
      <vt:variant>
        <vt:i4>983048</vt:i4>
      </vt:variant>
      <vt:variant>
        <vt:i4>162</vt:i4>
      </vt:variant>
      <vt:variant>
        <vt:i4>0</vt:i4>
      </vt:variant>
      <vt:variant>
        <vt:i4>5</vt:i4>
      </vt:variant>
      <vt:variant>
        <vt:lpwstr>https://www.cbd.int/documents/CBD/SBI/7/INF/3</vt:lpwstr>
      </vt:variant>
      <vt:variant>
        <vt:lpwstr/>
      </vt:variant>
      <vt:variant>
        <vt:i4>983048</vt:i4>
      </vt:variant>
      <vt:variant>
        <vt:i4>159</vt:i4>
      </vt:variant>
      <vt:variant>
        <vt:i4>0</vt:i4>
      </vt:variant>
      <vt:variant>
        <vt:i4>5</vt:i4>
      </vt:variant>
      <vt:variant>
        <vt:lpwstr>https://www.cbd.int/documents/CBD/SBI/7/INF/3</vt:lpwstr>
      </vt:variant>
      <vt:variant>
        <vt:lpwstr/>
      </vt:variant>
      <vt:variant>
        <vt:i4>983048</vt:i4>
      </vt:variant>
      <vt:variant>
        <vt:i4>156</vt:i4>
      </vt:variant>
      <vt:variant>
        <vt:i4>0</vt:i4>
      </vt:variant>
      <vt:variant>
        <vt:i4>5</vt:i4>
      </vt:variant>
      <vt:variant>
        <vt:lpwstr>https://www.cbd.int/documents/CBD/SBI/7/INF/4</vt:lpwstr>
      </vt:variant>
      <vt:variant>
        <vt:lpwstr/>
      </vt:variant>
      <vt:variant>
        <vt:i4>983048</vt:i4>
      </vt:variant>
      <vt:variant>
        <vt:i4>153</vt:i4>
      </vt:variant>
      <vt:variant>
        <vt:i4>0</vt:i4>
      </vt:variant>
      <vt:variant>
        <vt:i4>5</vt:i4>
      </vt:variant>
      <vt:variant>
        <vt:lpwstr>https://www.cbd.int/documents/CBD/SBI/7/INF/4</vt:lpwstr>
      </vt:variant>
      <vt:variant>
        <vt:lpwstr/>
      </vt:variant>
      <vt:variant>
        <vt:i4>983048</vt:i4>
      </vt:variant>
      <vt:variant>
        <vt:i4>150</vt:i4>
      </vt:variant>
      <vt:variant>
        <vt:i4>0</vt:i4>
      </vt:variant>
      <vt:variant>
        <vt:i4>5</vt:i4>
      </vt:variant>
      <vt:variant>
        <vt:lpwstr>https://www.cbd.int/documents/CBD/SBI/7/INF/3</vt:lpwstr>
      </vt:variant>
      <vt:variant>
        <vt:lpwstr/>
      </vt:variant>
      <vt:variant>
        <vt:i4>983048</vt:i4>
      </vt:variant>
      <vt:variant>
        <vt:i4>147</vt:i4>
      </vt:variant>
      <vt:variant>
        <vt:i4>0</vt:i4>
      </vt:variant>
      <vt:variant>
        <vt:i4>5</vt:i4>
      </vt:variant>
      <vt:variant>
        <vt:lpwstr>https://www.cbd.int/documents/CBD/SBI/7/INF/2</vt:lpwstr>
      </vt:variant>
      <vt:variant>
        <vt:lpwstr/>
      </vt:variant>
      <vt:variant>
        <vt:i4>983048</vt:i4>
      </vt:variant>
      <vt:variant>
        <vt:i4>144</vt:i4>
      </vt:variant>
      <vt:variant>
        <vt:i4>0</vt:i4>
      </vt:variant>
      <vt:variant>
        <vt:i4>5</vt:i4>
      </vt:variant>
      <vt:variant>
        <vt:lpwstr>https://www.cbd.int/documents/CBD/SBI/7/INF/2</vt:lpwstr>
      </vt:variant>
      <vt:variant>
        <vt:lpwstr/>
      </vt:variant>
      <vt:variant>
        <vt:i4>983118</vt:i4>
      </vt:variant>
      <vt:variant>
        <vt:i4>141</vt:i4>
      </vt:variant>
      <vt:variant>
        <vt:i4>0</vt:i4>
      </vt:variant>
      <vt:variant>
        <vt:i4>5</vt:i4>
      </vt:variant>
      <vt:variant>
        <vt:lpwstr>https://absch.cbd.int/en/database/resource/16B113CB-CC86-0008-4D4B-4B29E846B83C?_gl=1*1gdm4cz*_ga*MTk4OTgwMjg2My4xNzI3Mzc3MDU3*_ga_7S1TPRE7F5*czE3Nzc0NzU2MTIkbzE3NDUkZzEkdDE3Nzc0NzU3NTkkajIzJGwwJGgw</vt:lpwstr>
      </vt:variant>
      <vt:variant>
        <vt:lpwstr/>
      </vt:variant>
      <vt:variant>
        <vt:i4>983048</vt:i4>
      </vt:variant>
      <vt:variant>
        <vt:i4>138</vt:i4>
      </vt:variant>
      <vt:variant>
        <vt:i4>0</vt:i4>
      </vt:variant>
      <vt:variant>
        <vt:i4>5</vt:i4>
      </vt:variant>
      <vt:variant>
        <vt:lpwstr>https://www.cbd.int/documents/CBD/SBI/7/INF/3</vt:lpwstr>
      </vt:variant>
      <vt:variant>
        <vt:lpwstr/>
      </vt:variant>
      <vt:variant>
        <vt:i4>983048</vt:i4>
      </vt:variant>
      <vt:variant>
        <vt:i4>135</vt:i4>
      </vt:variant>
      <vt:variant>
        <vt:i4>0</vt:i4>
      </vt:variant>
      <vt:variant>
        <vt:i4>5</vt:i4>
      </vt:variant>
      <vt:variant>
        <vt:lpwstr>https://www.cbd.int/documents/CBD/SBI/7/INF/2</vt:lpwstr>
      </vt:variant>
      <vt:variant>
        <vt:lpwstr/>
      </vt:variant>
      <vt:variant>
        <vt:i4>983048</vt:i4>
      </vt:variant>
      <vt:variant>
        <vt:i4>132</vt:i4>
      </vt:variant>
      <vt:variant>
        <vt:i4>0</vt:i4>
      </vt:variant>
      <vt:variant>
        <vt:i4>5</vt:i4>
      </vt:variant>
      <vt:variant>
        <vt:lpwstr>https://www.cbd.int/documents/CBD/SBI/7/INF/3</vt:lpwstr>
      </vt:variant>
      <vt:variant>
        <vt:lpwstr/>
      </vt:variant>
      <vt:variant>
        <vt:i4>983048</vt:i4>
      </vt:variant>
      <vt:variant>
        <vt:i4>129</vt:i4>
      </vt:variant>
      <vt:variant>
        <vt:i4>0</vt:i4>
      </vt:variant>
      <vt:variant>
        <vt:i4>5</vt:i4>
      </vt:variant>
      <vt:variant>
        <vt:lpwstr>https://www.cbd.int/documents/CBD/SBI/7/INF/2</vt:lpwstr>
      </vt:variant>
      <vt:variant>
        <vt:lpwstr/>
      </vt:variant>
      <vt:variant>
        <vt:i4>983048</vt:i4>
      </vt:variant>
      <vt:variant>
        <vt:i4>126</vt:i4>
      </vt:variant>
      <vt:variant>
        <vt:i4>0</vt:i4>
      </vt:variant>
      <vt:variant>
        <vt:i4>5</vt:i4>
      </vt:variant>
      <vt:variant>
        <vt:lpwstr>https://www.cbd.int/documents/CBD/SBI/7/INF/2</vt:lpwstr>
      </vt:variant>
      <vt:variant>
        <vt:lpwstr/>
      </vt:variant>
      <vt:variant>
        <vt:i4>983048</vt:i4>
      </vt:variant>
      <vt:variant>
        <vt:i4>123</vt:i4>
      </vt:variant>
      <vt:variant>
        <vt:i4>0</vt:i4>
      </vt:variant>
      <vt:variant>
        <vt:i4>5</vt:i4>
      </vt:variant>
      <vt:variant>
        <vt:lpwstr>https://www.cbd.int/documents/CBD/SBI/7/INF/2</vt:lpwstr>
      </vt:variant>
      <vt:variant>
        <vt:lpwstr/>
      </vt:variant>
      <vt:variant>
        <vt:i4>983048</vt:i4>
      </vt:variant>
      <vt:variant>
        <vt:i4>120</vt:i4>
      </vt:variant>
      <vt:variant>
        <vt:i4>0</vt:i4>
      </vt:variant>
      <vt:variant>
        <vt:i4>5</vt:i4>
      </vt:variant>
      <vt:variant>
        <vt:lpwstr>https://www.cbd.int/documents/CBD/SBI/7/INF/3</vt:lpwstr>
      </vt:variant>
      <vt:variant>
        <vt:lpwstr/>
      </vt:variant>
      <vt:variant>
        <vt:i4>983048</vt:i4>
      </vt:variant>
      <vt:variant>
        <vt:i4>117</vt:i4>
      </vt:variant>
      <vt:variant>
        <vt:i4>0</vt:i4>
      </vt:variant>
      <vt:variant>
        <vt:i4>5</vt:i4>
      </vt:variant>
      <vt:variant>
        <vt:lpwstr>https://www.cbd.int/documents/CBD/SBI/7/INF/2</vt:lpwstr>
      </vt:variant>
      <vt:variant>
        <vt:lpwstr/>
      </vt:variant>
      <vt:variant>
        <vt:i4>983048</vt:i4>
      </vt:variant>
      <vt:variant>
        <vt:i4>114</vt:i4>
      </vt:variant>
      <vt:variant>
        <vt:i4>0</vt:i4>
      </vt:variant>
      <vt:variant>
        <vt:i4>5</vt:i4>
      </vt:variant>
      <vt:variant>
        <vt:lpwstr>https://www.cbd.int/documents/CBD/SBI/7/INF/3</vt:lpwstr>
      </vt:variant>
      <vt:variant>
        <vt:lpwstr/>
      </vt:variant>
      <vt:variant>
        <vt:i4>983048</vt:i4>
      </vt:variant>
      <vt:variant>
        <vt:i4>111</vt:i4>
      </vt:variant>
      <vt:variant>
        <vt:i4>0</vt:i4>
      </vt:variant>
      <vt:variant>
        <vt:i4>5</vt:i4>
      </vt:variant>
      <vt:variant>
        <vt:lpwstr>https://www.cbd.int/documents/CBD/SBI/7/INF/2</vt:lpwstr>
      </vt:variant>
      <vt:variant>
        <vt:lpwstr/>
      </vt:variant>
      <vt:variant>
        <vt:i4>983048</vt:i4>
      </vt:variant>
      <vt:variant>
        <vt:i4>108</vt:i4>
      </vt:variant>
      <vt:variant>
        <vt:i4>0</vt:i4>
      </vt:variant>
      <vt:variant>
        <vt:i4>5</vt:i4>
      </vt:variant>
      <vt:variant>
        <vt:lpwstr>https://www.cbd.int/documents/CBD/SBI/7/INF/3</vt:lpwstr>
      </vt:variant>
      <vt:variant>
        <vt:lpwstr/>
      </vt:variant>
      <vt:variant>
        <vt:i4>983048</vt:i4>
      </vt:variant>
      <vt:variant>
        <vt:i4>105</vt:i4>
      </vt:variant>
      <vt:variant>
        <vt:i4>0</vt:i4>
      </vt:variant>
      <vt:variant>
        <vt:i4>5</vt:i4>
      </vt:variant>
      <vt:variant>
        <vt:lpwstr>https://www.cbd.int/documents/CBD/SBI/7/INF/2</vt:lpwstr>
      </vt:variant>
      <vt:variant>
        <vt:lpwstr/>
      </vt:variant>
      <vt:variant>
        <vt:i4>983048</vt:i4>
      </vt:variant>
      <vt:variant>
        <vt:i4>102</vt:i4>
      </vt:variant>
      <vt:variant>
        <vt:i4>0</vt:i4>
      </vt:variant>
      <vt:variant>
        <vt:i4>5</vt:i4>
      </vt:variant>
      <vt:variant>
        <vt:lpwstr>https://www.cbd.int/documents/CBD/SBI/7/INF/3</vt:lpwstr>
      </vt:variant>
      <vt:variant>
        <vt:lpwstr/>
      </vt:variant>
      <vt:variant>
        <vt:i4>983048</vt:i4>
      </vt:variant>
      <vt:variant>
        <vt:i4>99</vt:i4>
      </vt:variant>
      <vt:variant>
        <vt:i4>0</vt:i4>
      </vt:variant>
      <vt:variant>
        <vt:i4>5</vt:i4>
      </vt:variant>
      <vt:variant>
        <vt:lpwstr>https://www.cbd.int/documents/CBD/SBI/7/INF/3</vt:lpwstr>
      </vt:variant>
      <vt:variant>
        <vt:lpwstr/>
      </vt:variant>
      <vt:variant>
        <vt:i4>983048</vt:i4>
      </vt:variant>
      <vt:variant>
        <vt:i4>96</vt:i4>
      </vt:variant>
      <vt:variant>
        <vt:i4>0</vt:i4>
      </vt:variant>
      <vt:variant>
        <vt:i4>5</vt:i4>
      </vt:variant>
      <vt:variant>
        <vt:lpwstr>https://www.cbd.int/documents/CBD/SBI/7/INF/2</vt:lpwstr>
      </vt:variant>
      <vt:variant>
        <vt:lpwstr/>
      </vt:variant>
      <vt:variant>
        <vt:i4>983048</vt:i4>
      </vt:variant>
      <vt:variant>
        <vt:i4>93</vt:i4>
      </vt:variant>
      <vt:variant>
        <vt:i4>0</vt:i4>
      </vt:variant>
      <vt:variant>
        <vt:i4>5</vt:i4>
      </vt:variant>
      <vt:variant>
        <vt:lpwstr>https://www.cbd.int/documents/CBD/SBI/7/INF/4</vt:lpwstr>
      </vt:variant>
      <vt:variant>
        <vt:lpwstr/>
      </vt:variant>
      <vt:variant>
        <vt:i4>983048</vt:i4>
      </vt:variant>
      <vt:variant>
        <vt:i4>90</vt:i4>
      </vt:variant>
      <vt:variant>
        <vt:i4>0</vt:i4>
      </vt:variant>
      <vt:variant>
        <vt:i4>5</vt:i4>
      </vt:variant>
      <vt:variant>
        <vt:lpwstr>https://www.cbd.int/documents/CBD/SBI/7/INF/4</vt:lpwstr>
      </vt:variant>
      <vt:variant>
        <vt:lpwstr/>
      </vt:variant>
      <vt:variant>
        <vt:i4>983048</vt:i4>
      </vt:variant>
      <vt:variant>
        <vt:i4>87</vt:i4>
      </vt:variant>
      <vt:variant>
        <vt:i4>0</vt:i4>
      </vt:variant>
      <vt:variant>
        <vt:i4>5</vt:i4>
      </vt:variant>
      <vt:variant>
        <vt:lpwstr>https://www.cbd.int/documents/CBD/SBI/7/INF/3</vt:lpwstr>
      </vt:variant>
      <vt:variant>
        <vt:lpwstr/>
      </vt:variant>
      <vt:variant>
        <vt:i4>983048</vt:i4>
      </vt:variant>
      <vt:variant>
        <vt:i4>84</vt:i4>
      </vt:variant>
      <vt:variant>
        <vt:i4>0</vt:i4>
      </vt:variant>
      <vt:variant>
        <vt:i4>5</vt:i4>
      </vt:variant>
      <vt:variant>
        <vt:lpwstr>https://www.cbd.int/documents/CBD/SBI/7/INF/2</vt:lpwstr>
      </vt:variant>
      <vt:variant>
        <vt:lpwstr/>
      </vt:variant>
      <vt:variant>
        <vt:i4>983048</vt:i4>
      </vt:variant>
      <vt:variant>
        <vt:i4>81</vt:i4>
      </vt:variant>
      <vt:variant>
        <vt:i4>0</vt:i4>
      </vt:variant>
      <vt:variant>
        <vt:i4>5</vt:i4>
      </vt:variant>
      <vt:variant>
        <vt:lpwstr>https://www.cbd.int/documents/CBD/SBI/7/INF/2</vt:lpwstr>
      </vt:variant>
      <vt:variant>
        <vt:lpwstr/>
      </vt:variant>
      <vt:variant>
        <vt:i4>983048</vt:i4>
      </vt:variant>
      <vt:variant>
        <vt:i4>78</vt:i4>
      </vt:variant>
      <vt:variant>
        <vt:i4>0</vt:i4>
      </vt:variant>
      <vt:variant>
        <vt:i4>5</vt:i4>
      </vt:variant>
      <vt:variant>
        <vt:lpwstr>https://www.cbd.int/documents/CBD/SBI/7/INF/2</vt:lpwstr>
      </vt:variant>
      <vt:variant>
        <vt:lpwstr/>
      </vt:variant>
      <vt:variant>
        <vt:i4>983048</vt:i4>
      </vt:variant>
      <vt:variant>
        <vt:i4>75</vt:i4>
      </vt:variant>
      <vt:variant>
        <vt:i4>0</vt:i4>
      </vt:variant>
      <vt:variant>
        <vt:i4>5</vt:i4>
      </vt:variant>
      <vt:variant>
        <vt:lpwstr>https://www.cbd.int/documents/CBD/SBI/7/INF/3</vt:lpwstr>
      </vt:variant>
      <vt:variant>
        <vt:lpwstr/>
      </vt:variant>
      <vt:variant>
        <vt:i4>983048</vt:i4>
      </vt:variant>
      <vt:variant>
        <vt:i4>72</vt:i4>
      </vt:variant>
      <vt:variant>
        <vt:i4>0</vt:i4>
      </vt:variant>
      <vt:variant>
        <vt:i4>5</vt:i4>
      </vt:variant>
      <vt:variant>
        <vt:lpwstr>https://www.cbd.int/documents/CBD/SBI/7/INF/3</vt:lpwstr>
      </vt:variant>
      <vt:variant>
        <vt:lpwstr/>
      </vt:variant>
      <vt:variant>
        <vt:i4>983048</vt:i4>
      </vt:variant>
      <vt:variant>
        <vt:i4>69</vt:i4>
      </vt:variant>
      <vt:variant>
        <vt:i4>0</vt:i4>
      </vt:variant>
      <vt:variant>
        <vt:i4>5</vt:i4>
      </vt:variant>
      <vt:variant>
        <vt:lpwstr>https://www.cbd.int/documents/CBD/SBI/7/INF/4</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https://www.cbd.int/documents/CBD/SBI/7/INF/4</vt:lpwstr>
      </vt:variant>
      <vt:variant>
        <vt:lpwstr/>
      </vt:variant>
      <vt:variant>
        <vt:i4>983048</vt:i4>
      </vt:variant>
      <vt:variant>
        <vt:i4>60</vt:i4>
      </vt:variant>
      <vt:variant>
        <vt:i4>0</vt:i4>
      </vt:variant>
      <vt:variant>
        <vt:i4>5</vt:i4>
      </vt:variant>
      <vt:variant>
        <vt:lpwstr>https://www.cbd.int/documents/CBD/SBI/7/INF/2</vt:lpwstr>
      </vt:variant>
      <vt:variant>
        <vt:lpwstr/>
      </vt:variant>
      <vt:variant>
        <vt:i4>983048</vt:i4>
      </vt:variant>
      <vt:variant>
        <vt:i4>57</vt:i4>
      </vt:variant>
      <vt:variant>
        <vt:i4>0</vt:i4>
      </vt:variant>
      <vt:variant>
        <vt:i4>5</vt:i4>
      </vt:variant>
      <vt:variant>
        <vt:lpwstr>https://www.cbd.int/documents/CBD/SBI/7/INF/4</vt:lpwstr>
      </vt:variant>
      <vt:variant>
        <vt:lpwstr/>
      </vt:variant>
      <vt:variant>
        <vt:i4>983048</vt:i4>
      </vt:variant>
      <vt:variant>
        <vt:i4>54</vt:i4>
      </vt:variant>
      <vt:variant>
        <vt:i4>0</vt:i4>
      </vt:variant>
      <vt:variant>
        <vt:i4>5</vt:i4>
      </vt:variant>
      <vt:variant>
        <vt:lpwstr>https://www.cbd.int/documents/CBD/SBI/7/INF/3</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1376348</vt:i4>
      </vt:variant>
      <vt:variant>
        <vt:i4>48</vt:i4>
      </vt:variant>
      <vt:variant>
        <vt:i4>0</vt:i4>
      </vt:variant>
      <vt:variant>
        <vt:i4>5</vt:i4>
      </vt:variant>
      <vt:variant>
        <vt:lpwstr>https://www.cbd.int/abs/text/articles?sec=abs-17</vt:lpwstr>
      </vt:variant>
      <vt:variant>
        <vt:lpwstr/>
      </vt:variant>
      <vt:variant>
        <vt:i4>983048</vt:i4>
      </vt:variant>
      <vt:variant>
        <vt:i4>45</vt:i4>
      </vt:variant>
      <vt:variant>
        <vt:i4>0</vt:i4>
      </vt:variant>
      <vt:variant>
        <vt:i4>5</vt:i4>
      </vt:variant>
      <vt:variant>
        <vt:lpwstr>https://www.cbd.int/documents/CBD/SBI/7/INF/3</vt:lpwstr>
      </vt:variant>
      <vt:variant>
        <vt:lpwstr/>
      </vt:variant>
      <vt:variant>
        <vt:i4>983048</vt:i4>
      </vt:variant>
      <vt:variant>
        <vt:i4>42</vt:i4>
      </vt:variant>
      <vt:variant>
        <vt:i4>0</vt:i4>
      </vt:variant>
      <vt:variant>
        <vt:i4>5</vt:i4>
      </vt:variant>
      <vt:variant>
        <vt:lpwstr>https://www.cbd.int/documents/CBD/SBI/7/INF/4</vt:lpwstr>
      </vt:variant>
      <vt:variant>
        <vt:lpwstr/>
      </vt:variant>
      <vt:variant>
        <vt:i4>983048</vt:i4>
      </vt:variant>
      <vt:variant>
        <vt:i4>39</vt:i4>
      </vt:variant>
      <vt:variant>
        <vt:i4>0</vt:i4>
      </vt:variant>
      <vt:variant>
        <vt:i4>5</vt:i4>
      </vt:variant>
      <vt:variant>
        <vt:lpwstr>https://www.cbd.int/documents/CBD/SBI/7/INF/3</vt:lpwstr>
      </vt:variant>
      <vt:variant>
        <vt:lpwstr/>
      </vt:variant>
      <vt:variant>
        <vt:i4>983048</vt:i4>
      </vt:variant>
      <vt:variant>
        <vt:i4>36</vt:i4>
      </vt:variant>
      <vt:variant>
        <vt:i4>0</vt:i4>
      </vt:variant>
      <vt:variant>
        <vt:i4>5</vt:i4>
      </vt:variant>
      <vt:variant>
        <vt:lpwstr>https://www.cbd.int/documents/CBD/SBI/7/INF/3</vt:lpwstr>
      </vt:variant>
      <vt:variant>
        <vt:lpwstr/>
      </vt:variant>
      <vt:variant>
        <vt:i4>983048</vt:i4>
      </vt:variant>
      <vt:variant>
        <vt:i4>33</vt:i4>
      </vt:variant>
      <vt:variant>
        <vt:i4>0</vt:i4>
      </vt:variant>
      <vt:variant>
        <vt:i4>5</vt:i4>
      </vt:variant>
      <vt:variant>
        <vt:lpwstr>https://www.cbd.int/documents/CBD/SBI/7/INF/3</vt:lpwstr>
      </vt:variant>
      <vt:variant>
        <vt:lpwstr/>
      </vt:variant>
      <vt:variant>
        <vt:i4>983048</vt:i4>
      </vt:variant>
      <vt:variant>
        <vt:i4>30</vt:i4>
      </vt:variant>
      <vt:variant>
        <vt:i4>0</vt:i4>
      </vt:variant>
      <vt:variant>
        <vt:i4>5</vt:i4>
      </vt:variant>
      <vt:variant>
        <vt:lpwstr>https://www.cbd.int/documents/CBD/SBI/7/INF/4</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983048</vt:i4>
      </vt:variant>
      <vt:variant>
        <vt:i4>21</vt:i4>
      </vt:variant>
      <vt:variant>
        <vt:i4>0</vt:i4>
      </vt:variant>
      <vt:variant>
        <vt:i4>5</vt:i4>
      </vt:variant>
      <vt:variant>
        <vt:lpwstr>https://www.cbd.int/documents/CBD/SBI/7/INF/3</vt:lpwstr>
      </vt:variant>
      <vt:variant>
        <vt:lpwstr/>
      </vt:variant>
      <vt:variant>
        <vt:i4>983048</vt:i4>
      </vt:variant>
      <vt:variant>
        <vt:i4>18</vt:i4>
      </vt:variant>
      <vt:variant>
        <vt:i4>0</vt:i4>
      </vt:variant>
      <vt:variant>
        <vt:i4>5</vt:i4>
      </vt:variant>
      <vt:variant>
        <vt:lpwstr>https://www.cbd.int/documents/CBD/SBI/7/INF/2</vt:lpwstr>
      </vt:variant>
      <vt:variant>
        <vt:lpwstr/>
      </vt:variant>
      <vt:variant>
        <vt:i4>983048</vt:i4>
      </vt:variant>
      <vt:variant>
        <vt:i4>15</vt:i4>
      </vt:variant>
      <vt:variant>
        <vt:i4>0</vt:i4>
      </vt:variant>
      <vt:variant>
        <vt:i4>5</vt:i4>
      </vt:variant>
      <vt:variant>
        <vt:lpwstr>https://www.cbd.int/documents/CBD/SBI/7/INF/7</vt:lpwstr>
      </vt:variant>
      <vt:variant>
        <vt:lpwstr/>
      </vt:variant>
      <vt:variant>
        <vt:i4>983048</vt:i4>
      </vt:variant>
      <vt:variant>
        <vt:i4>12</vt:i4>
      </vt:variant>
      <vt:variant>
        <vt:i4>0</vt:i4>
      </vt:variant>
      <vt:variant>
        <vt:i4>5</vt:i4>
      </vt:variant>
      <vt:variant>
        <vt:lpwstr>https://www.cbd.int/documents/CBD/SBI/7/INF/6</vt:lpwstr>
      </vt:variant>
      <vt:variant>
        <vt:lpwstr/>
      </vt:variant>
      <vt:variant>
        <vt:i4>983048</vt:i4>
      </vt:variant>
      <vt:variant>
        <vt:i4>9</vt:i4>
      </vt:variant>
      <vt:variant>
        <vt:i4>0</vt:i4>
      </vt:variant>
      <vt:variant>
        <vt:i4>5</vt:i4>
      </vt:variant>
      <vt:variant>
        <vt:lpwstr>https://www.cbd.int/documents/CBD/SBI/7/INF/5</vt:lpwstr>
      </vt:variant>
      <vt:variant>
        <vt:lpwstr/>
      </vt:variant>
      <vt:variant>
        <vt:i4>983048</vt:i4>
      </vt:variant>
      <vt:variant>
        <vt:i4>6</vt:i4>
      </vt:variant>
      <vt:variant>
        <vt:i4>0</vt:i4>
      </vt:variant>
      <vt:variant>
        <vt:i4>5</vt:i4>
      </vt:variant>
      <vt:variant>
        <vt:lpwstr>https://www.cbd.int/documents/CBD/SBI/7/INF/4</vt:lpwstr>
      </vt:variant>
      <vt:variant>
        <vt:lpwstr/>
      </vt:variant>
      <vt:variant>
        <vt:i4>983048</vt:i4>
      </vt:variant>
      <vt:variant>
        <vt:i4>3</vt:i4>
      </vt:variant>
      <vt:variant>
        <vt:i4>0</vt:i4>
      </vt:variant>
      <vt:variant>
        <vt:i4>5</vt:i4>
      </vt:variant>
      <vt:variant>
        <vt:lpwstr>https://www.cbd.int/documents/CBD/SBI/7/INF/3</vt:lpwstr>
      </vt:variant>
      <vt:variant>
        <vt:lpwstr/>
      </vt:variant>
      <vt:variant>
        <vt:i4>983048</vt:i4>
      </vt:variant>
      <vt:variant>
        <vt:i4>0</vt:i4>
      </vt:variant>
      <vt:variant>
        <vt:i4>0</vt:i4>
      </vt:variant>
      <vt:variant>
        <vt:i4>5</vt:i4>
      </vt:variant>
      <vt:variant>
        <vt:lpwstr>https://www.cbd.int/documents/CBD/SBI/7/INF/2</vt:lpwstr>
      </vt:variant>
      <vt:variant>
        <vt:lpwstr/>
      </vt:variant>
      <vt:variant>
        <vt:i4>4456552</vt:i4>
      </vt:variant>
      <vt:variant>
        <vt:i4>0</vt:i4>
      </vt:variant>
      <vt:variant>
        <vt:i4>0</vt:i4>
      </vt:variant>
      <vt:variant>
        <vt:i4>5</vt:i4>
      </vt:variant>
      <vt:variant>
        <vt:lpwstr>mailto:cherrett@un.org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la información para la segunda evaluación y revisión de la eficacia del Protocolo de Nagoya</dc:title>
  <dc:subject>CBD/NP/CC/5/4/Add.1-CBD/NP/CB-IAC/2026/1/3-CBD/SBI/7/7/Add.1</dc:subject>
  <dc:creator>scbd</dc:creator>
  <cp:keywords>Eighteenth meeting of the Compliance Committee under the Cartagena Protocol on Biosafety</cp:keywords>
  <dc:description/>
  <cp:lastModifiedBy>Lisa Pedicelli</cp:lastModifiedBy>
  <cp:revision>3</cp:revision>
  <dcterms:created xsi:type="dcterms:W3CDTF">2026-06-10T21:16:00Z</dcterms:created>
  <dcterms:modified xsi:type="dcterms:W3CDTF">2026-06-10T21:26:00Z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