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7F0383" w:rsidRPr="00F86C06" w14:paraId="75064F95" w14:textId="77777777" w:rsidTr="00CE0912">
        <w:trPr>
          <w:trHeight w:val="709"/>
        </w:trPr>
        <w:tc>
          <w:tcPr>
            <w:tcW w:w="976" w:type="dxa"/>
            <w:tcBorders>
              <w:bottom w:val="single" w:sz="12" w:space="0" w:color="auto"/>
            </w:tcBorders>
          </w:tcPr>
          <w:p w14:paraId="342B7172" w14:textId="6F402A9B" w:rsidR="007F0383" w:rsidRPr="00F86C06" w:rsidRDefault="00924E0D" w:rsidP="008E0FCD">
            <w:pPr>
              <w:suppressLineNumbers/>
              <w:suppressAutoHyphens/>
              <w:kinsoku w:val="0"/>
              <w:overflowPunct w:val="0"/>
              <w:autoSpaceDE w:val="0"/>
              <w:autoSpaceDN w:val="0"/>
              <w:rPr>
                <w:kern w:val="22"/>
              </w:rPr>
            </w:pPr>
            <w:bookmarkStart w:id="0" w:name="_Hlk505247837"/>
            <w:r w:rsidRPr="00F86C06">
              <w:rPr>
                <w:noProof/>
                <w:kern w:val="22"/>
                <w:lang w:val="en-US"/>
              </w:rPr>
              <w:drawing>
                <wp:anchor distT="0" distB="0" distL="114300" distR="114300" simplePos="0" relativeHeight="251661312" behindDoc="0" locked="0" layoutInCell="1" allowOverlap="1" wp14:anchorId="19CF0E53" wp14:editId="7843B7FA">
                  <wp:simplePos x="0" y="0"/>
                  <wp:positionH relativeFrom="column">
                    <wp:posOffset>115570</wp:posOffset>
                  </wp:positionH>
                  <wp:positionV relativeFrom="page">
                    <wp:posOffset>-82475</wp:posOffset>
                  </wp:positionV>
                  <wp:extent cx="476250" cy="402590"/>
                  <wp:effectExtent l="0" t="0" r="0" b="0"/>
                  <wp:wrapNone/>
                  <wp:docPr id="6" name="Picture 6"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tcPr>
          <w:p w14:paraId="01AC0147" w14:textId="6BB0C549" w:rsidR="007F0383" w:rsidRPr="00F86C06" w:rsidRDefault="00924E0D" w:rsidP="008E0FCD">
            <w:pPr>
              <w:suppressLineNumbers/>
              <w:suppressAutoHyphens/>
              <w:kinsoku w:val="0"/>
              <w:overflowPunct w:val="0"/>
              <w:autoSpaceDE w:val="0"/>
              <w:autoSpaceDN w:val="0"/>
              <w:rPr>
                <w:kern w:val="22"/>
              </w:rPr>
            </w:pPr>
            <w:r w:rsidRPr="00F86C06">
              <w:rPr>
                <w:noProof/>
                <w:kern w:val="22"/>
                <w:lang w:val="en-US"/>
              </w:rPr>
              <w:drawing>
                <wp:anchor distT="0" distB="0" distL="114300" distR="114300" simplePos="0" relativeHeight="251663360" behindDoc="0" locked="0" layoutInCell="1" allowOverlap="1" wp14:anchorId="3B7C5DB1" wp14:editId="4EA3AD7F">
                  <wp:simplePos x="0" y="0"/>
                  <wp:positionH relativeFrom="column">
                    <wp:posOffset>-5715</wp:posOffset>
                  </wp:positionH>
                  <wp:positionV relativeFrom="page">
                    <wp:posOffset>-154230</wp:posOffset>
                  </wp:positionV>
                  <wp:extent cx="941011" cy="59338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3EB9B29F" w14:textId="77777777" w:rsidR="007F0383" w:rsidRPr="00F86C06" w:rsidRDefault="007F0383" w:rsidP="008E0FCD">
            <w:pPr>
              <w:suppressLineNumbers/>
              <w:suppressAutoHyphens/>
              <w:kinsoku w:val="0"/>
              <w:overflowPunct w:val="0"/>
              <w:autoSpaceDE w:val="0"/>
              <w:autoSpaceDN w:val="0"/>
              <w:jc w:val="right"/>
              <w:rPr>
                <w:rFonts w:ascii="Arial" w:hAnsi="Arial" w:cs="Arial"/>
                <w:b/>
                <w:kern w:val="22"/>
                <w:sz w:val="32"/>
                <w:szCs w:val="32"/>
              </w:rPr>
            </w:pPr>
            <w:r w:rsidRPr="00F86C06">
              <w:rPr>
                <w:rFonts w:ascii="Arial" w:hAnsi="Arial" w:cs="Arial"/>
                <w:b/>
                <w:kern w:val="22"/>
                <w:sz w:val="32"/>
                <w:szCs w:val="32"/>
              </w:rPr>
              <w:t>CBD</w:t>
            </w:r>
          </w:p>
        </w:tc>
      </w:tr>
      <w:bookmarkEnd w:id="0"/>
      <w:tr w:rsidR="007F0383" w:rsidRPr="00F86C06" w14:paraId="49AE34E4" w14:textId="77777777" w:rsidTr="00CE0912">
        <w:tc>
          <w:tcPr>
            <w:tcW w:w="6117" w:type="dxa"/>
            <w:gridSpan w:val="2"/>
            <w:tcBorders>
              <w:top w:val="single" w:sz="12" w:space="0" w:color="auto"/>
              <w:bottom w:val="single" w:sz="36" w:space="0" w:color="auto"/>
            </w:tcBorders>
            <w:vAlign w:val="center"/>
          </w:tcPr>
          <w:p w14:paraId="0E280576" w14:textId="77777777" w:rsidR="007F0383" w:rsidRPr="00F86C06" w:rsidRDefault="007F0383" w:rsidP="008E0FCD">
            <w:pPr>
              <w:suppressLineNumbers/>
              <w:suppressAutoHyphens/>
              <w:kinsoku w:val="0"/>
              <w:overflowPunct w:val="0"/>
              <w:autoSpaceDE w:val="0"/>
              <w:autoSpaceDN w:val="0"/>
              <w:rPr>
                <w:kern w:val="22"/>
              </w:rPr>
            </w:pPr>
            <w:r w:rsidRPr="00F86C06">
              <w:rPr>
                <w:noProof/>
                <w:kern w:val="22"/>
                <w:lang w:val="en-US"/>
              </w:rPr>
              <w:drawing>
                <wp:inline distT="0" distB="0" distL="0" distR="0" wp14:anchorId="2CFC01F9" wp14:editId="5AE4692C">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30663CEF" w14:textId="77777777" w:rsidR="007F0383" w:rsidRPr="00F86C06" w:rsidRDefault="007F0383" w:rsidP="00F86C06">
            <w:pPr>
              <w:suppressLineNumbers/>
              <w:suppressAutoHyphens/>
              <w:kinsoku w:val="0"/>
              <w:overflowPunct w:val="0"/>
              <w:autoSpaceDE w:val="0"/>
              <w:autoSpaceDN w:val="0"/>
              <w:ind w:left="1215"/>
              <w:jc w:val="left"/>
              <w:rPr>
                <w:rFonts w:ascii="Times New Roman" w:hAnsi="Times New Roman" w:cs="Times New Roman"/>
                <w:kern w:val="22"/>
                <w:szCs w:val="22"/>
              </w:rPr>
            </w:pPr>
            <w:r w:rsidRPr="00F86C06">
              <w:rPr>
                <w:rFonts w:ascii="Times New Roman" w:hAnsi="Times New Roman" w:cs="Times New Roman"/>
                <w:kern w:val="22"/>
                <w:szCs w:val="22"/>
              </w:rPr>
              <w:t>Distr.</w:t>
            </w:r>
          </w:p>
          <w:p w14:paraId="47413965" w14:textId="38F0AFC2" w:rsidR="00326711" w:rsidRPr="00F86C06" w:rsidRDefault="003B64CF" w:rsidP="00F86C06">
            <w:pPr>
              <w:suppressLineNumbers/>
              <w:suppressAutoHyphens/>
              <w:kinsoku w:val="0"/>
              <w:overflowPunct w:val="0"/>
              <w:autoSpaceDE w:val="0"/>
              <w:autoSpaceDN w:val="0"/>
              <w:ind w:left="1215"/>
              <w:jc w:val="left"/>
              <w:rPr>
                <w:rFonts w:ascii="Times New Roman" w:hAnsi="Times New Roman" w:cs="Times New Roman"/>
                <w:kern w:val="22"/>
                <w:szCs w:val="22"/>
              </w:rPr>
            </w:pPr>
            <w:sdt>
              <w:sdtPr>
                <w:rPr>
                  <w:kern w:val="22"/>
                  <w:szCs w:val="22"/>
                </w:rPr>
                <w:alias w:val="Status"/>
                <w:tag w:val=""/>
                <w:id w:val="307985777"/>
                <w:placeholder>
                  <w:docPart w:val="C9FF0856983041DDA33E7025FB6B1DCB"/>
                </w:placeholder>
                <w:dataBinding w:prefixMappings="xmlns:ns0='http://purl.org/dc/elements/1.1/' xmlns:ns1='http://schemas.openxmlformats.org/package/2006/metadata/core-properties' " w:xpath="/ns1:coreProperties[1]/ns1:contentStatus[1]" w:storeItemID="{6C3C8BC8-F283-45AE-878A-BAB7291924A1}"/>
                <w:text/>
              </w:sdtPr>
              <w:sdtEndPr/>
              <w:sdtContent>
                <w:r w:rsidR="00326711" w:rsidRPr="00F86C06">
                  <w:rPr>
                    <w:rFonts w:ascii="Times New Roman" w:hAnsi="Times New Roman" w:cs="Times New Roman"/>
                    <w:kern w:val="22"/>
                    <w:szCs w:val="22"/>
                  </w:rPr>
                  <w:t>GENERAL</w:t>
                </w:r>
              </w:sdtContent>
            </w:sdt>
          </w:p>
          <w:p w14:paraId="73D7C6F8" w14:textId="77777777" w:rsidR="007F0383" w:rsidRPr="00F86C06" w:rsidRDefault="007F0383" w:rsidP="00F86C06">
            <w:pPr>
              <w:suppressLineNumbers/>
              <w:suppressAutoHyphens/>
              <w:kinsoku w:val="0"/>
              <w:overflowPunct w:val="0"/>
              <w:autoSpaceDE w:val="0"/>
              <w:autoSpaceDN w:val="0"/>
              <w:ind w:left="1215"/>
              <w:jc w:val="left"/>
              <w:rPr>
                <w:rFonts w:ascii="Times New Roman" w:hAnsi="Times New Roman" w:cs="Times New Roman"/>
                <w:kern w:val="22"/>
                <w:szCs w:val="22"/>
              </w:rPr>
            </w:pPr>
          </w:p>
          <w:p w14:paraId="29DC2032" w14:textId="0EE05C8E" w:rsidR="00326711" w:rsidRPr="00F86C06" w:rsidRDefault="003B64CF" w:rsidP="00F86C06">
            <w:pPr>
              <w:suppressLineNumbers/>
              <w:suppressAutoHyphens/>
              <w:kinsoku w:val="0"/>
              <w:overflowPunct w:val="0"/>
              <w:autoSpaceDE w:val="0"/>
              <w:autoSpaceDN w:val="0"/>
              <w:ind w:left="1215"/>
              <w:jc w:val="left"/>
              <w:rPr>
                <w:rFonts w:ascii="Times New Roman" w:hAnsi="Times New Roman" w:cs="Times New Roman"/>
                <w:kern w:val="22"/>
                <w:szCs w:val="22"/>
              </w:rPr>
            </w:pPr>
            <w:sdt>
              <w:sdtPr>
                <w:rPr>
                  <w:kern w:val="22"/>
                  <w:szCs w:val="22"/>
                </w:rPr>
                <w:alias w:val="Subject"/>
                <w:tag w:val=""/>
                <w:id w:val="2137136483"/>
                <w:placeholder>
                  <w:docPart w:val="B18F895961B54E9E9C0A7C5926E54D41"/>
                </w:placeholder>
                <w:dataBinding w:prefixMappings="xmlns:ns0='http://purl.org/dc/elements/1.1/' xmlns:ns1='http://schemas.openxmlformats.org/package/2006/metadata/core-properties' " w:xpath="/ns1:coreProperties[1]/ns0:subject[1]" w:storeItemID="{6C3C8BC8-F283-45AE-878A-BAB7291924A1}"/>
                <w:text/>
              </w:sdtPr>
              <w:sdtEndPr/>
              <w:sdtContent>
                <w:r w:rsidR="00326711" w:rsidRPr="00F86C06">
                  <w:rPr>
                    <w:rFonts w:ascii="Times New Roman" w:hAnsi="Times New Roman" w:cs="Times New Roman"/>
                    <w:kern w:val="22"/>
                    <w:szCs w:val="22"/>
                  </w:rPr>
                  <w:t>CBD/SBI/3/2/Add.2</w:t>
                </w:r>
              </w:sdtContent>
            </w:sdt>
          </w:p>
          <w:p w14:paraId="7CCBE33F" w14:textId="44AB212F" w:rsidR="00326711" w:rsidRPr="00F86C06" w:rsidRDefault="003B64CF" w:rsidP="00F86C06">
            <w:pPr>
              <w:suppressLineNumbers/>
              <w:suppressAutoHyphens/>
              <w:kinsoku w:val="0"/>
              <w:overflowPunct w:val="0"/>
              <w:autoSpaceDE w:val="0"/>
              <w:autoSpaceDN w:val="0"/>
              <w:ind w:left="1215"/>
              <w:jc w:val="left"/>
              <w:rPr>
                <w:rFonts w:ascii="Times New Roman" w:hAnsi="Times New Roman" w:cs="Times New Roman"/>
                <w:kern w:val="22"/>
                <w:szCs w:val="22"/>
              </w:rPr>
            </w:pPr>
            <w:sdt>
              <w:sdtPr>
                <w:rPr>
                  <w:kern w:val="22"/>
                  <w:szCs w:val="22"/>
                </w:rPr>
                <w:alias w:val="Publish Date"/>
                <w:tag w:val=""/>
                <w:id w:val="276757068"/>
                <w:placeholder>
                  <w:docPart w:val="920688B3489040AA994D00EE52C31A22"/>
                </w:placeholder>
                <w:dataBinding w:prefixMappings="xmlns:ns0='http://schemas.microsoft.com/office/2006/coverPageProps' " w:xpath="/ns0:CoverPageProperties[1]/ns0:PublishDate[1]" w:storeItemID="{55AF091B-3C7A-41E3-B477-F2FDAA23CFDA}"/>
                <w:date w:fullDate="2020-03-16T00:00:00Z">
                  <w:dateFormat w:val="d MMMM yyyy"/>
                  <w:lid w:val="en-US"/>
                  <w:storeMappedDataAs w:val="dateTime"/>
                  <w:calendar w:val="gregorian"/>
                </w:date>
              </w:sdtPr>
              <w:sdtEndPr/>
              <w:sdtContent>
                <w:r w:rsidR="00326711" w:rsidRPr="00F86C06">
                  <w:rPr>
                    <w:rFonts w:ascii="Times New Roman" w:hAnsi="Times New Roman" w:cs="Times New Roman"/>
                    <w:kern w:val="22"/>
                    <w:szCs w:val="22"/>
                  </w:rPr>
                  <w:t>16 March 2020</w:t>
                </w:r>
              </w:sdtContent>
            </w:sdt>
          </w:p>
          <w:p w14:paraId="2A9F9180" w14:textId="77777777" w:rsidR="00BF11D8" w:rsidRPr="00F86C06" w:rsidRDefault="00BF11D8" w:rsidP="00F86C06">
            <w:pPr>
              <w:suppressLineNumbers/>
              <w:suppressAutoHyphens/>
              <w:kinsoku w:val="0"/>
              <w:overflowPunct w:val="0"/>
              <w:autoSpaceDE w:val="0"/>
              <w:autoSpaceDN w:val="0"/>
              <w:ind w:left="1215"/>
              <w:jc w:val="left"/>
              <w:rPr>
                <w:rFonts w:ascii="Times New Roman" w:hAnsi="Times New Roman" w:cs="Times New Roman"/>
                <w:kern w:val="22"/>
                <w:szCs w:val="22"/>
              </w:rPr>
            </w:pPr>
          </w:p>
          <w:p w14:paraId="469D9F9C" w14:textId="77777777" w:rsidR="007F0383" w:rsidRPr="00F86C06" w:rsidRDefault="007F0383" w:rsidP="00F86C06">
            <w:pPr>
              <w:suppressLineNumbers/>
              <w:suppressAutoHyphens/>
              <w:kinsoku w:val="0"/>
              <w:overflowPunct w:val="0"/>
              <w:autoSpaceDE w:val="0"/>
              <w:autoSpaceDN w:val="0"/>
              <w:ind w:left="1215"/>
              <w:jc w:val="left"/>
              <w:rPr>
                <w:rFonts w:ascii="Times New Roman" w:hAnsi="Times New Roman" w:cs="Times New Roman"/>
                <w:kern w:val="22"/>
                <w:szCs w:val="22"/>
              </w:rPr>
            </w:pPr>
            <w:r w:rsidRPr="00F86C06">
              <w:rPr>
                <w:rFonts w:ascii="Times New Roman" w:hAnsi="Times New Roman" w:cs="Times New Roman"/>
                <w:kern w:val="22"/>
                <w:szCs w:val="22"/>
              </w:rPr>
              <w:t>ORIGINAL: ENGLISH</w:t>
            </w:r>
          </w:p>
          <w:p w14:paraId="280101C9" w14:textId="77777777" w:rsidR="007F0383" w:rsidRPr="00F86C06" w:rsidRDefault="007F0383" w:rsidP="00F86C06">
            <w:pPr>
              <w:suppressLineNumbers/>
              <w:suppressAutoHyphens/>
              <w:kinsoku w:val="0"/>
              <w:overflowPunct w:val="0"/>
              <w:autoSpaceDE w:val="0"/>
              <w:autoSpaceDN w:val="0"/>
              <w:jc w:val="left"/>
              <w:rPr>
                <w:kern w:val="22"/>
              </w:rPr>
            </w:pPr>
          </w:p>
        </w:tc>
      </w:tr>
    </w:tbl>
    <w:p w14:paraId="64281D5B" w14:textId="77777777" w:rsidR="00261973" w:rsidRPr="00F86C06" w:rsidRDefault="00261973" w:rsidP="006A7B96">
      <w:pPr>
        <w:pStyle w:val="meetingname"/>
        <w:suppressLineNumbers/>
        <w:suppressAutoHyphens/>
        <w:ind w:left="0" w:right="4398" w:firstLine="0"/>
        <w:rPr>
          <w:kern w:val="22"/>
          <w:szCs w:val="22"/>
        </w:rPr>
      </w:pPr>
      <w:bookmarkStart w:id="1" w:name="Meeting"/>
      <w:r w:rsidRPr="00F86C06">
        <w:rPr>
          <w:kern w:val="22"/>
          <w:szCs w:val="22"/>
        </w:rPr>
        <w:t>SUBSIDIARY BODY ON IMPLEMENTATION</w:t>
      </w:r>
      <w:bookmarkEnd w:id="1"/>
    </w:p>
    <w:p w14:paraId="71FB242A" w14:textId="77777777" w:rsidR="00261973" w:rsidRPr="00F86C06" w:rsidRDefault="00261973" w:rsidP="006A7B96">
      <w:pPr>
        <w:suppressLineNumbers/>
        <w:suppressAutoHyphens/>
        <w:rPr>
          <w:snapToGrid w:val="0"/>
          <w:kern w:val="22"/>
          <w:szCs w:val="22"/>
          <w:lang w:eastAsia="nb-NO"/>
        </w:rPr>
      </w:pPr>
      <w:r w:rsidRPr="00F86C06">
        <w:rPr>
          <w:snapToGrid w:val="0"/>
          <w:kern w:val="22"/>
          <w:szCs w:val="22"/>
          <w:lang w:eastAsia="nb-NO"/>
        </w:rPr>
        <w:t>Third meeting</w:t>
      </w:r>
    </w:p>
    <w:p w14:paraId="4AA765FB" w14:textId="0B3ED4CA" w:rsidR="00261973" w:rsidRPr="00F86C06" w:rsidRDefault="00E72C52" w:rsidP="006A7B96">
      <w:pPr>
        <w:suppressLineNumbers/>
        <w:suppressAutoHyphens/>
        <w:rPr>
          <w:snapToGrid w:val="0"/>
          <w:kern w:val="22"/>
          <w:szCs w:val="22"/>
          <w:lang w:eastAsia="nb-NO"/>
        </w:rPr>
      </w:pPr>
      <w:r w:rsidRPr="00F86C06">
        <w:rPr>
          <w:snapToGrid w:val="0"/>
          <w:kern w:val="22"/>
          <w:szCs w:val="22"/>
          <w:lang w:eastAsia="nb-NO"/>
        </w:rPr>
        <w:t>Montreal, Canada, 24-29 August</w:t>
      </w:r>
      <w:r w:rsidR="00261973" w:rsidRPr="00F86C06">
        <w:rPr>
          <w:snapToGrid w:val="0"/>
          <w:kern w:val="22"/>
          <w:szCs w:val="22"/>
          <w:lang w:eastAsia="nb-NO"/>
        </w:rPr>
        <w:t xml:space="preserve"> 2020</w:t>
      </w:r>
    </w:p>
    <w:p w14:paraId="13001871" w14:textId="5FD739EE" w:rsidR="00261973" w:rsidRPr="00F86C06" w:rsidRDefault="00261973" w:rsidP="006A7B96">
      <w:pPr>
        <w:pStyle w:val="Header"/>
        <w:suppressLineNumbers/>
        <w:tabs>
          <w:tab w:val="left" w:pos="708"/>
        </w:tabs>
        <w:suppressAutoHyphens/>
        <w:rPr>
          <w:snapToGrid w:val="0"/>
          <w:kern w:val="22"/>
          <w:szCs w:val="22"/>
        </w:rPr>
      </w:pPr>
      <w:r w:rsidRPr="00F86C06">
        <w:rPr>
          <w:snapToGrid w:val="0"/>
          <w:kern w:val="22"/>
          <w:szCs w:val="22"/>
        </w:rPr>
        <w:t>Item 3 of the provisional agenda</w:t>
      </w:r>
      <w:r w:rsidRPr="00F86C06">
        <w:rPr>
          <w:rStyle w:val="FootnoteReference"/>
          <w:snapToGrid w:val="0"/>
          <w:kern w:val="22"/>
          <w:sz w:val="22"/>
          <w:szCs w:val="22"/>
          <w:vertAlign w:val="baseline"/>
        </w:rPr>
        <w:footnoteReference w:customMarkFollows="1" w:id="1"/>
        <w:t>*</w:t>
      </w:r>
    </w:p>
    <w:p w14:paraId="626CB2A9" w14:textId="3057C639" w:rsidR="00C1035C" w:rsidRPr="00F86C06" w:rsidRDefault="003B64CF" w:rsidP="00C1035C">
      <w:pPr>
        <w:pStyle w:val="Style1"/>
        <w:spacing w:before="240"/>
        <w:outlineLvl w:val="9"/>
        <w:rPr>
          <w:i w:val="0"/>
          <w:kern w:val="22"/>
          <w:szCs w:val="22"/>
        </w:rPr>
      </w:pPr>
      <w:sdt>
        <w:sdtPr>
          <w:rPr>
            <w:i w:val="0"/>
            <w:caps/>
            <w:kern w:val="22"/>
            <w:szCs w:val="22"/>
          </w:rPr>
          <w:alias w:val="Title"/>
          <w:tag w:val=""/>
          <w:id w:val="501471663"/>
          <w:placeholder>
            <w:docPart w:val="509CE14685D641BDA55CAF0423F6EBD9"/>
          </w:placeholder>
          <w:dataBinding w:prefixMappings="xmlns:ns0='http://purl.org/dc/elements/1.1/' xmlns:ns1='http://schemas.openxmlformats.org/package/2006/metadata/core-properties' " w:xpath="/ns1:coreProperties[1]/ns0:title[1]" w:storeItemID="{6C3C8BC8-F283-45AE-878A-BAB7291924A1}"/>
          <w:text/>
        </w:sdtPr>
        <w:sdtEndPr/>
        <w:sdtContent>
          <w:r w:rsidR="000C7B9E" w:rsidRPr="00F86C06">
            <w:rPr>
              <w:i w:val="0"/>
              <w:caps/>
              <w:kern w:val="22"/>
              <w:szCs w:val="22"/>
              <w:lang w:val="en-US"/>
            </w:rPr>
            <w:t>Analysis of the contribution of targets established by Parties and progress towards the Aichi Biodiversity Targets</w:t>
          </w:r>
        </w:sdtContent>
      </w:sdt>
    </w:p>
    <w:p w14:paraId="633DE6C4" w14:textId="77777777" w:rsidR="00D56CCE" w:rsidRPr="00F86C06" w:rsidRDefault="00292F67" w:rsidP="00C1035C">
      <w:pPr>
        <w:pStyle w:val="Style1"/>
        <w:outlineLvl w:val="9"/>
        <w:rPr>
          <w:b w:val="0"/>
          <w:kern w:val="22"/>
          <w:szCs w:val="22"/>
        </w:rPr>
      </w:pPr>
      <w:r w:rsidRPr="00F86C06">
        <w:rPr>
          <w:b w:val="0"/>
          <w:kern w:val="22"/>
          <w:szCs w:val="22"/>
        </w:rPr>
        <w:t>Note by the Executive Secretary</w:t>
      </w:r>
    </w:p>
    <w:p w14:paraId="666A2D90" w14:textId="3C81D5DF" w:rsidR="00715FD9" w:rsidRPr="00F86C06" w:rsidRDefault="00715FD9" w:rsidP="00BC6C75">
      <w:pPr>
        <w:pStyle w:val="Heading1"/>
        <w:suppressLineNumbers/>
        <w:tabs>
          <w:tab w:val="clear" w:pos="720"/>
        </w:tabs>
        <w:suppressAutoHyphens/>
        <w:kinsoku w:val="0"/>
        <w:overflowPunct w:val="0"/>
        <w:autoSpaceDE w:val="0"/>
        <w:autoSpaceDN w:val="0"/>
        <w:adjustRightInd w:val="0"/>
        <w:snapToGrid w:val="0"/>
        <w:spacing w:before="120"/>
        <w:rPr>
          <w:snapToGrid w:val="0"/>
          <w:kern w:val="22"/>
          <w:szCs w:val="22"/>
        </w:rPr>
      </w:pPr>
      <w:r w:rsidRPr="00F86C06">
        <w:rPr>
          <w:snapToGrid w:val="0"/>
          <w:kern w:val="22"/>
          <w:szCs w:val="22"/>
        </w:rPr>
        <w:t>I.</w:t>
      </w:r>
      <w:r w:rsidRPr="00F86C06">
        <w:rPr>
          <w:snapToGrid w:val="0"/>
          <w:kern w:val="22"/>
          <w:szCs w:val="22"/>
        </w:rPr>
        <w:tab/>
      </w:r>
      <w:r w:rsidR="00C1035C" w:rsidRPr="00F86C06">
        <w:rPr>
          <w:snapToGrid w:val="0"/>
          <w:kern w:val="22"/>
          <w:szCs w:val="22"/>
        </w:rPr>
        <w:t>Background</w:t>
      </w:r>
    </w:p>
    <w:p w14:paraId="1262CE59" w14:textId="5BF6A493" w:rsidR="00715FD9" w:rsidRPr="00F86C06" w:rsidRDefault="00715FD9" w:rsidP="00715FD9">
      <w:pPr>
        <w:pStyle w:val="Para1"/>
        <w:suppressLineNumbers/>
        <w:tabs>
          <w:tab w:val="clear" w:pos="360"/>
        </w:tabs>
        <w:suppressAutoHyphens/>
        <w:kinsoku w:val="0"/>
        <w:overflowPunct w:val="0"/>
        <w:autoSpaceDE w:val="0"/>
        <w:autoSpaceDN w:val="0"/>
        <w:spacing w:before="0"/>
        <w:rPr>
          <w:rFonts w:eastAsia="Malgun Gothic"/>
          <w:kern w:val="22"/>
          <w:szCs w:val="22"/>
        </w:rPr>
      </w:pPr>
      <w:r w:rsidRPr="00F86C06">
        <w:rPr>
          <w:kern w:val="22"/>
          <w:szCs w:val="22"/>
        </w:rPr>
        <w:t xml:space="preserve">In adopting the Strategic Plan for Biodiversity 2011-2020, the Conference of the Parties to the Convention on Biological Diversity invited Parties to establish their own national targets, using the Strategic Plan as </w:t>
      </w:r>
      <w:r w:rsidR="0008275D" w:rsidRPr="00F86C06">
        <w:rPr>
          <w:kern w:val="22"/>
          <w:szCs w:val="22"/>
        </w:rPr>
        <w:t xml:space="preserve">a </w:t>
      </w:r>
      <w:r w:rsidRPr="00F86C06">
        <w:rPr>
          <w:kern w:val="22"/>
          <w:szCs w:val="22"/>
        </w:rPr>
        <w:t xml:space="preserve">flexible framework, taking into account national needs and priorities, while also bearing in mind national contributions to the achievement of the global Aichi Biodiversity Targets. Parties were also urged to review, and as appropriate update and revise, their national biodiversity strategies and action plans (NBSAPs), in line with the Strategic Plan and the guidance adopted in </w:t>
      </w:r>
      <w:hyperlink r:id="rId15" w:history="1">
        <w:r w:rsidRPr="00F86C06">
          <w:rPr>
            <w:rStyle w:val="Hyperlink"/>
            <w:rFonts w:eastAsia="Malgun Gothic"/>
            <w:kern w:val="22"/>
            <w:szCs w:val="22"/>
          </w:rPr>
          <w:t>decision IX/9</w:t>
        </w:r>
      </w:hyperlink>
      <w:r w:rsidRPr="00F86C06">
        <w:rPr>
          <w:kern w:val="22"/>
          <w:szCs w:val="22"/>
        </w:rPr>
        <w:t>, including by integrating their national targets into their NBSAPs, adopted as a policy instrument.</w:t>
      </w:r>
    </w:p>
    <w:p w14:paraId="7392E86C" w14:textId="4B928B86" w:rsidR="00715FD9" w:rsidRPr="00F86C06" w:rsidRDefault="00715FD9" w:rsidP="00715FD9">
      <w:pPr>
        <w:pStyle w:val="Para1"/>
        <w:suppressLineNumbers/>
        <w:tabs>
          <w:tab w:val="clear" w:pos="360"/>
        </w:tabs>
        <w:suppressAutoHyphens/>
        <w:kinsoku w:val="0"/>
        <w:overflowPunct w:val="0"/>
        <w:autoSpaceDE w:val="0"/>
        <w:autoSpaceDN w:val="0"/>
        <w:spacing w:before="0"/>
        <w:rPr>
          <w:rFonts w:eastAsia="Malgun Gothic"/>
          <w:kern w:val="22"/>
          <w:szCs w:val="22"/>
        </w:rPr>
      </w:pPr>
      <w:r w:rsidRPr="00F86C06">
        <w:rPr>
          <w:rFonts w:eastAsia="Malgun Gothic"/>
          <w:kern w:val="22"/>
          <w:szCs w:val="22"/>
        </w:rPr>
        <w:t xml:space="preserve">In its </w:t>
      </w:r>
      <w:hyperlink r:id="rId16" w:history="1">
        <w:r w:rsidRPr="00F86C06">
          <w:rPr>
            <w:rStyle w:val="Hyperlink"/>
            <w:rFonts w:eastAsia="Malgun Gothic"/>
            <w:kern w:val="22"/>
            <w:szCs w:val="22"/>
          </w:rPr>
          <w:t>decision XIII/1</w:t>
        </w:r>
      </w:hyperlink>
      <w:r w:rsidRPr="00F86C06">
        <w:rPr>
          <w:rFonts w:eastAsia="Malgun Gothic"/>
          <w:kern w:val="22"/>
          <w:szCs w:val="22"/>
        </w:rPr>
        <w:t xml:space="preserve">, the Conference of the Parties </w:t>
      </w:r>
      <w:r w:rsidRPr="00F86C06">
        <w:rPr>
          <w:kern w:val="22"/>
          <w:szCs w:val="22"/>
        </w:rPr>
        <w:t xml:space="preserve">urged those Parties that had not yet done so to update and implement their national or regional biodiversity strategies and action plans as soon as possible, in keeping with </w:t>
      </w:r>
      <w:hyperlink r:id="rId17" w:history="1">
        <w:r w:rsidRPr="00F86C06">
          <w:rPr>
            <w:rStyle w:val="Hyperlink"/>
            <w:kern w:val="22"/>
            <w:szCs w:val="22"/>
          </w:rPr>
          <w:t>decision XI/2</w:t>
        </w:r>
      </w:hyperlink>
      <w:r w:rsidRPr="00F86C06">
        <w:rPr>
          <w:kern w:val="22"/>
          <w:szCs w:val="22"/>
        </w:rPr>
        <w:t>.</w:t>
      </w:r>
      <w:r w:rsidRPr="00F86C06">
        <w:rPr>
          <w:rFonts w:eastAsia="Malgun Gothic"/>
          <w:kern w:val="22"/>
          <w:szCs w:val="22"/>
        </w:rPr>
        <w:t xml:space="preserve"> Further information on the </w:t>
      </w:r>
      <w:r w:rsidRPr="00F86C06">
        <w:rPr>
          <w:kern w:val="22"/>
          <w:szCs w:val="22"/>
        </w:rPr>
        <w:t xml:space="preserve">update and analysis of national biodiversity strategies and action plans received after the adoption of the Strategic Plan for Biodiversity 2011-2020 is contained in document </w:t>
      </w:r>
      <w:r w:rsidR="00C11242" w:rsidRPr="00F86C06">
        <w:rPr>
          <w:kern w:val="22"/>
          <w:szCs w:val="22"/>
        </w:rPr>
        <w:t>CBD/</w:t>
      </w:r>
      <w:r w:rsidRPr="00F86C06">
        <w:rPr>
          <w:rFonts w:eastAsia="Malgun Gothic"/>
          <w:kern w:val="22"/>
          <w:szCs w:val="22"/>
        </w:rPr>
        <w:t>SBI/3/2/Add.1</w:t>
      </w:r>
      <w:r w:rsidR="00373A22" w:rsidRPr="00F86C06">
        <w:rPr>
          <w:rFonts w:eastAsia="Malgun Gothic"/>
          <w:kern w:val="22"/>
          <w:szCs w:val="22"/>
        </w:rPr>
        <w:t>.</w:t>
      </w:r>
    </w:p>
    <w:p w14:paraId="65EB6AFF" w14:textId="3F128ABC" w:rsidR="00715FD9" w:rsidRPr="00F86C06" w:rsidRDefault="00715FD9" w:rsidP="00715FD9">
      <w:pPr>
        <w:pStyle w:val="Para1"/>
        <w:suppressLineNumbers/>
        <w:tabs>
          <w:tab w:val="clear" w:pos="360"/>
        </w:tabs>
        <w:suppressAutoHyphens/>
        <w:kinsoku w:val="0"/>
        <w:overflowPunct w:val="0"/>
        <w:autoSpaceDE w:val="0"/>
        <w:autoSpaceDN w:val="0"/>
        <w:spacing w:before="0"/>
        <w:rPr>
          <w:rFonts w:eastAsia="Malgun Gothic"/>
          <w:kern w:val="22"/>
          <w:szCs w:val="22"/>
        </w:rPr>
      </w:pPr>
      <w:r w:rsidRPr="00F86C06">
        <w:rPr>
          <w:rFonts w:eastAsia="Malgun Gothic"/>
          <w:kern w:val="22"/>
          <w:szCs w:val="22"/>
        </w:rPr>
        <w:t>In adopting the Strategic Plan, the Conference of the Parties (</w:t>
      </w:r>
      <w:hyperlink r:id="rId18" w:history="1">
        <w:r w:rsidRPr="00F86C06">
          <w:rPr>
            <w:rStyle w:val="Hyperlink"/>
            <w:rFonts w:eastAsia="Malgun Gothic"/>
            <w:kern w:val="22"/>
            <w:szCs w:val="22"/>
          </w:rPr>
          <w:t>decision X/2</w:t>
        </w:r>
      </w:hyperlink>
      <w:r w:rsidRPr="00F86C06">
        <w:rPr>
          <w:rFonts w:eastAsia="Malgun Gothic"/>
          <w:kern w:val="22"/>
          <w:szCs w:val="22"/>
        </w:rPr>
        <w:t xml:space="preserve">) also noted the need to keep its implementation under review. The national reports are a main source of information for doing this. In decisions </w:t>
      </w:r>
      <w:hyperlink r:id="rId19" w:history="1">
        <w:r w:rsidRPr="00F86C06">
          <w:rPr>
            <w:rStyle w:val="Hyperlink"/>
            <w:kern w:val="22"/>
            <w:szCs w:val="22"/>
          </w:rPr>
          <w:t>XIII/27</w:t>
        </w:r>
      </w:hyperlink>
      <w:r w:rsidRPr="00F86C06">
        <w:rPr>
          <w:kern w:val="22"/>
          <w:szCs w:val="22"/>
        </w:rPr>
        <w:t xml:space="preserve"> and </w:t>
      </w:r>
      <w:hyperlink r:id="rId20" w:history="1">
        <w:r w:rsidRPr="00F86C06">
          <w:rPr>
            <w:rStyle w:val="Hyperlink"/>
            <w:kern w:val="22"/>
            <w:szCs w:val="22"/>
          </w:rPr>
          <w:t>14/1</w:t>
        </w:r>
      </w:hyperlink>
      <w:r w:rsidRPr="00F86C06">
        <w:rPr>
          <w:kern w:val="22"/>
          <w:szCs w:val="22"/>
        </w:rPr>
        <w:t xml:space="preserve"> the Conference of the Parties</w:t>
      </w:r>
      <w:r w:rsidRPr="00F86C06">
        <w:rPr>
          <w:rFonts w:eastAsia="Malgun Gothic"/>
          <w:kern w:val="22"/>
          <w:szCs w:val="22"/>
        </w:rPr>
        <w:t xml:space="preserve"> e</w:t>
      </w:r>
      <w:r w:rsidRPr="00F86C06">
        <w:rPr>
          <w:kern w:val="22"/>
          <w:szCs w:val="22"/>
        </w:rPr>
        <w:t>ncouraged Parties to submit their sixth national report by 31 December 2018. Further</w:t>
      </w:r>
      <w:r w:rsidR="008375B2" w:rsidRPr="00F86C06">
        <w:rPr>
          <w:kern w:val="22"/>
          <w:szCs w:val="22"/>
        </w:rPr>
        <w:t>,</w:t>
      </w:r>
      <w:r w:rsidRPr="00F86C06">
        <w:rPr>
          <w:kern w:val="22"/>
          <w:szCs w:val="22"/>
        </w:rPr>
        <w:t xml:space="preserve"> in </w:t>
      </w:r>
      <w:hyperlink r:id="rId21" w:history="1">
        <w:r w:rsidRPr="00F86C06">
          <w:rPr>
            <w:rStyle w:val="Hyperlink"/>
            <w:kern w:val="22"/>
            <w:szCs w:val="22"/>
          </w:rPr>
          <w:t>recommendation 23/1</w:t>
        </w:r>
      </w:hyperlink>
      <w:r w:rsidR="008375B2" w:rsidRPr="00F86C06">
        <w:rPr>
          <w:kern w:val="22"/>
          <w:szCs w:val="22"/>
        </w:rPr>
        <w:t>,</w:t>
      </w:r>
      <w:r w:rsidRPr="00F86C06">
        <w:rPr>
          <w:kern w:val="22"/>
          <w:szCs w:val="22"/>
        </w:rPr>
        <w:t xml:space="preserve"> the Subsidiary Body on Scientific, Technical and Technological Advice urged Parties that had not yet done so to submit their sixth national reports to the Executive Secretary. </w:t>
      </w:r>
      <w:r w:rsidRPr="00F86C06">
        <w:rPr>
          <w:rFonts w:eastAsia="Malgun Gothic"/>
          <w:kern w:val="22"/>
          <w:szCs w:val="22"/>
        </w:rPr>
        <w:t>By 26 March 2020</w:t>
      </w:r>
      <w:r w:rsidR="008375B2" w:rsidRPr="00F86C06">
        <w:rPr>
          <w:rFonts w:eastAsia="Malgun Gothic"/>
          <w:kern w:val="22"/>
          <w:szCs w:val="22"/>
        </w:rPr>
        <w:t>,</w:t>
      </w:r>
      <w:r w:rsidRPr="00F86C06">
        <w:rPr>
          <w:rFonts w:eastAsia="Malgun Gothic"/>
          <w:kern w:val="22"/>
          <w:szCs w:val="22"/>
        </w:rPr>
        <w:t xml:space="preserve"> 156 sixth national reports had been received</w:t>
      </w:r>
      <w:r w:rsidR="00373A22" w:rsidRPr="00F86C06">
        <w:rPr>
          <w:rFonts w:eastAsia="Malgun Gothic"/>
          <w:kern w:val="22"/>
          <w:szCs w:val="22"/>
        </w:rPr>
        <w:t>.</w:t>
      </w:r>
    </w:p>
    <w:p w14:paraId="1374AAE8" w14:textId="77777777" w:rsidR="00715FD9" w:rsidRPr="00F86C06" w:rsidRDefault="00715FD9" w:rsidP="00715FD9">
      <w:pPr>
        <w:pStyle w:val="Para1"/>
        <w:suppressLineNumbers/>
        <w:tabs>
          <w:tab w:val="clear" w:pos="360"/>
        </w:tabs>
        <w:suppressAutoHyphens/>
        <w:kinsoku w:val="0"/>
        <w:overflowPunct w:val="0"/>
        <w:autoSpaceDE w:val="0"/>
        <w:autoSpaceDN w:val="0"/>
        <w:spacing w:before="0"/>
        <w:rPr>
          <w:rFonts w:eastAsia="Malgun Gothic"/>
          <w:kern w:val="22"/>
          <w:szCs w:val="22"/>
        </w:rPr>
      </w:pPr>
      <w:r w:rsidRPr="00F86C06">
        <w:rPr>
          <w:rFonts w:eastAsia="Malgun Gothic"/>
          <w:kern w:val="22"/>
          <w:szCs w:val="22"/>
        </w:rPr>
        <w:t xml:space="preserve">In </w:t>
      </w:r>
      <w:hyperlink r:id="rId22" w:history="1">
        <w:r w:rsidRPr="00F86C06">
          <w:rPr>
            <w:rStyle w:val="Hyperlink"/>
            <w:rFonts w:eastAsia="Malgun Gothic"/>
            <w:kern w:val="22"/>
            <w:szCs w:val="22"/>
          </w:rPr>
          <w:t>decision 14/1</w:t>
        </w:r>
      </w:hyperlink>
      <w:r w:rsidRPr="00F86C06">
        <w:rPr>
          <w:rFonts w:eastAsia="Malgun Gothic"/>
          <w:kern w:val="22"/>
          <w:szCs w:val="22"/>
        </w:rPr>
        <w:t xml:space="preserve"> the Conference of the Parties also</w:t>
      </w:r>
      <w:r w:rsidRPr="00F86C06">
        <w:rPr>
          <w:kern w:val="22"/>
          <w:szCs w:val="22"/>
        </w:rPr>
        <w:t xml:space="preserve"> requested the Executive Secretary to continue to update the analysis of progress towards the implementation of the Strategic Plan for Biodiversity-2011-2020 on the basis of information contained in the sixth national reports, and to make the updated analysis available for consideration by the Subsidiary Body on Implementation at its third meeting</w:t>
      </w:r>
      <w:r w:rsidRPr="00F86C06">
        <w:rPr>
          <w:rFonts w:eastAsia="Malgun Gothic"/>
          <w:kern w:val="22"/>
          <w:szCs w:val="22"/>
        </w:rPr>
        <w:t>.</w:t>
      </w:r>
    </w:p>
    <w:p w14:paraId="7DCD39D4" w14:textId="062D756A" w:rsidR="00715FD9" w:rsidRPr="00F86C06" w:rsidRDefault="00715FD9" w:rsidP="00715FD9">
      <w:pPr>
        <w:pStyle w:val="Para1"/>
        <w:suppressLineNumbers/>
        <w:tabs>
          <w:tab w:val="clear" w:pos="360"/>
        </w:tabs>
        <w:suppressAutoHyphens/>
        <w:kinsoku w:val="0"/>
        <w:overflowPunct w:val="0"/>
        <w:autoSpaceDE w:val="0"/>
        <w:autoSpaceDN w:val="0"/>
        <w:spacing w:before="0"/>
        <w:rPr>
          <w:rFonts w:eastAsia="Malgun Gothic"/>
          <w:kern w:val="22"/>
          <w:szCs w:val="22"/>
        </w:rPr>
      </w:pPr>
      <w:r w:rsidRPr="00F86C06">
        <w:rPr>
          <w:rFonts w:eastAsia="Malgun Gothic"/>
          <w:kern w:val="22"/>
          <w:szCs w:val="22"/>
        </w:rPr>
        <w:t>In response to the decisions above, the Secretariat has, in the present document</w:t>
      </w:r>
      <w:r w:rsidR="008F7E2C" w:rsidRPr="00F86C06">
        <w:rPr>
          <w:rFonts w:eastAsia="Malgun Gothic"/>
          <w:kern w:val="22"/>
          <w:szCs w:val="22"/>
        </w:rPr>
        <w:t>,</w:t>
      </w:r>
      <w:r w:rsidRPr="00F86C06">
        <w:rPr>
          <w:rStyle w:val="FootnoteReference"/>
          <w:rFonts w:eastAsia="Malgun Gothic"/>
          <w:kern w:val="22"/>
          <w:sz w:val="22"/>
          <w:szCs w:val="22"/>
        </w:rPr>
        <w:footnoteReference w:id="2"/>
      </w:r>
      <w:r w:rsidRPr="00F86C06">
        <w:rPr>
          <w:rFonts w:eastAsia="Malgun Gothic"/>
          <w:kern w:val="22"/>
          <w:szCs w:val="22"/>
        </w:rPr>
        <w:t xml:space="preserve"> prepared an analysis of the national targets established by Parties in their national biodiversity strategies and action plans and undertaken an assessment of the progress towards the national targets and Aichi Biodiversity Targets that Parties have reported on through their sixth national reports</w:t>
      </w:r>
      <w:r w:rsidR="00373A22" w:rsidRPr="00F86C06">
        <w:rPr>
          <w:rFonts w:eastAsia="Malgun Gothic"/>
          <w:kern w:val="22"/>
          <w:szCs w:val="22"/>
        </w:rPr>
        <w:t>.</w:t>
      </w:r>
      <w:r w:rsidRPr="00F86C06">
        <w:rPr>
          <w:rStyle w:val="FootnoteReference"/>
          <w:kern w:val="22"/>
          <w:sz w:val="22"/>
          <w:szCs w:val="22"/>
        </w:rPr>
        <w:footnoteReference w:id="3"/>
      </w:r>
    </w:p>
    <w:p w14:paraId="45307905" w14:textId="18FE1E67" w:rsidR="00715FD9" w:rsidRPr="00F86C06" w:rsidRDefault="00715FD9" w:rsidP="003307EE">
      <w:pPr>
        <w:pStyle w:val="Heading1"/>
        <w:suppressLineNumbers/>
        <w:tabs>
          <w:tab w:val="clear" w:pos="720"/>
        </w:tabs>
        <w:suppressAutoHyphens/>
        <w:kinsoku w:val="0"/>
        <w:overflowPunct w:val="0"/>
        <w:autoSpaceDE w:val="0"/>
        <w:autoSpaceDN w:val="0"/>
        <w:adjustRightInd w:val="0"/>
        <w:snapToGrid w:val="0"/>
        <w:rPr>
          <w:snapToGrid w:val="0"/>
          <w:kern w:val="22"/>
          <w:szCs w:val="22"/>
        </w:rPr>
      </w:pPr>
      <w:r w:rsidRPr="00F86C06">
        <w:rPr>
          <w:snapToGrid w:val="0"/>
          <w:kern w:val="22"/>
          <w:szCs w:val="22"/>
        </w:rPr>
        <w:lastRenderedPageBreak/>
        <w:t>II.</w:t>
      </w:r>
      <w:r w:rsidRPr="00F86C06">
        <w:rPr>
          <w:snapToGrid w:val="0"/>
          <w:kern w:val="22"/>
          <w:szCs w:val="22"/>
        </w:rPr>
        <w:tab/>
      </w:r>
      <w:r w:rsidR="00C1035C" w:rsidRPr="00F86C06">
        <w:rPr>
          <w:snapToGrid w:val="0"/>
          <w:kern w:val="22"/>
          <w:szCs w:val="22"/>
        </w:rPr>
        <w:t>Methodology</w:t>
      </w:r>
    </w:p>
    <w:p w14:paraId="6F9F8A28" w14:textId="77777777" w:rsidR="00715FD9" w:rsidRPr="00F86C06" w:rsidRDefault="00715FD9" w:rsidP="00AC02B6">
      <w:pPr>
        <w:keepNext/>
        <w:suppressLineNumbers/>
        <w:suppressAutoHyphens/>
        <w:kinsoku w:val="0"/>
        <w:overflowPunct w:val="0"/>
        <w:autoSpaceDE w:val="0"/>
        <w:autoSpaceDN w:val="0"/>
        <w:spacing w:before="120" w:after="120"/>
        <w:jc w:val="center"/>
        <w:rPr>
          <w:b/>
          <w:bCs/>
          <w:snapToGrid w:val="0"/>
          <w:kern w:val="22"/>
          <w:szCs w:val="22"/>
        </w:rPr>
      </w:pPr>
      <w:r w:rsidRPr="00F86C06">
        <w:rPr>
          <w:b/>
          <w:bCs/>
          <w:snapToGrid w:val="0"/>
          <w:kern w:val="22"/>
          <w:szCs w:val="22"/>
        </w:rPr>
        <w:t>A.</w:t>
      </w:r>
      <w:r w:rsidRPr="00F86C06">
        <w:rPr>
          <w:b/>
          <w:bCs/>
          <w:snapToGrid w:val="0"/>
          <w:kern w:val="22"/>
          <w:szCs w:val="22"/>
        </w:rPr>
        <w:tab/>
        <w:t>National biodiversity strategies and action plans</w:t>
      </w:r>
    </w:p>
    <w:p w14:paraId="56841C76" w14:textId="438B97E9" w:rsidR="00715FD9" w:rsidRPr="00F86C06" w:rsidRDefault="00715FD9" w:rsidP="00715FD9">
      <w:pPr>
        <w:pStyle w:val="Para1"/>
        <w:tabs>
          <w:tab w:val="clear" w:pos="360"/>
        </w:tabs>
        <w:rPr>
          <w:rFonts w:eastAsia="Malgun Gothic"/>
          <w:kern w:val="22"/>
          <w:szCs w:val="22"/>
        </w:rPr>
      </w:pPr>
      <w:r w:rsidRPr="00F86C06">
        <w:rPr>
          <w:rFonts w:eastAsia="Malgun Gothic"/>
          <w:kern w:val="22"/>
          <w:szCs w:val="22"/>
        </w:rPr>
        <w:t>In total, 167 revised or updated NBSAPs were considered in this assessment.</w:t>
      </w:r>
      <w:r w:rsidRPr="00F86C06">
        <w:rPr>
          <w:rFonts w:eastAsia="Malgun Gothic"/>
          <w:kern w:val="22"/>
          <w:szCs w:val="22"/>
          <w:vertAlign w:val="superscript"/>
        </w:rPr>
        <w:footnoteReference w:id="4"/>
      </w:r>
      <w:r w:rsidRPr="00F86C06">
        <w:rPr>
          <w:rFonts w:eastAsia="Malgun Gothic"/>
          <w:kern w:val="22"/>
          <w:szCs w:val="22"/>
        </w:rPr>
        <w:t xml:space="preserve"> Each of the NBSAPs was reviewed and national targets or similar commitments were mapped to the Aichi Biodiversity Targets.</w:t>
      </w:r>
      <w:r w:rsidRPr="00F86C06">
        <w:rPr>
          <w:rStyle w:val="FootnoteReference"/>
          <w:rFonts w:eastAsia="Malgun Gothic"/>
          <w:kern w:val="22"/>
          <w:sz w:val="22"/>
          <w:szCs w:val="22"/>
        </w:rPr>
        <w:footnoteReference w:id="5"/>
      </w:r>
      <w:r w:rsidRPr="00F86C06">
        <w:rPr>
          <w:rFonts w:eastAsia="Malgun Gothic"/>
          <w:kern w:val="22"/>
          <w:szCs w:val="22"/>
        </w:rPr>
        <w:t xml:space="preserve"> About half of the Parties that had provided updated NBSAPs had mapped their national targets (or similar commitments) to the Aichi Biodiversity Targets either directly in their NBSAP or in their national reports. Where this mapping was done by Parties, it was used in this assessment. In those cases where this mapping was not done, the Secretariat classified each national target according to the Aichi Biodiversity Target to which it was most directly related. In situations where a national target was related to several Aichi Biodiversity Targets, this was also considered in the assessment by classifying the national target against multiple Aichi Biodiversity Targets. The national targets or similar commitments (such as national priorities, strategies, objectives or projects) were then assessed against the scope and level of ambition set out in the Aichi Biodiversity Targets. Further, any associated actions, sub-targets, </w:t>
      </w:r>
      <w:r w:rsidR="008F7922" w:rsidRPr="00F86C06">
        <w:rPr>
          <w:rFonts w:eastAsia="Malgun Gothic"/>
          <w:kern w:val="22"/>
          <w:szCs w:val="22"/>
        </w:rPr>
        <w:t xml:space="preserve">or </w:t>
      </w:r>
      <w:r w:rsidRPr="00F86C06">
        <w:rPr>
          <w:rFonts w:eastAsia="Malgun Gothic"/>
          <w:kern w:val="22"/>
          <w:szCs w:val="22"/>
        </w:rPr>
        <w:t>biome</w:t>
      </w:r>
      <w:r w:rsidR="008F7922" w:rsidRPr="00F86C06">
        <w:rPr>
          <w:rFonts w:eastAsia="Malgun Gothic"/>
          <w:kern w:val="22"/>
          <w:szCs w:val="22"/>
        </w:rPr>
        <w:t>-specific</w:t>
      </w:r>
      <w:r w:rsidRPr="00F86C06">
        <w:rPr>
          <w:rFonts w:eastAsia="Malgun Gothic"/>
          <w:kern w:val="22"/>
          <w:szCs w:val="22"/>
        </w:rPr>
        <w:t xml:space="preserve"> or ecosystem</w:t>
      </w:r>
      <w:r w:rsidR="008F7922" w:rsidRPr="00F86C06">
        <w:rPr>
          <w:rFonts w:eastAsia="Malgun Gothic"/>
          <w:kern w:val="22"/>
          <w:szCs w:val="22"/>
        </w:rPr>
        <w:t>-</w:t>
      </w:r>
      <w:r w:rsidRPr="00F86C06">
        <w:rPr>
          <w:rFonts w:eastAsia="Malgun Gothic"/>
          <w:kern w:val="22"/>
          <w:szCs w:val="22"/>
        </w:rPr>
        <w:t xml:space="preserve">specific targets related to the national target were also considered. The targets and similar commitments in each NBSAP were then classified into one of </w:t>
      </w:r>
      <w:r w:rsidR="00F81A72" w:rsidRPr="00F86C06">
        <w:rPr>
          <w:rFonts w:eastAsia="Malgun Gothic"/>
          <w:kern w:val="22"/>
          <w:szCs w:val="22"/>
        </w:rPr>
        <w:t>six</w:t>
      </w:r>
      <w:r w:rsidRPr="00F86C06">
        <w:rPr>
          <w:rFonts w:eastAsia="Malgun Gothic"/>
          <w:kern w:val="22"/>
          <w:szCs w:val="22"/>
        </w:rPr>
        <w:t xml:space="preserve"> categories:</w:t>
      </w:r>
      <w:r w:rsidR="00CC3DE2" w:rsidRPr="00F86C06">
        <w:rPr>
          <w:rStyle w:val="FootnoteReference"/>
          <w:rFonts w:eastAsia="Malgun Gothic"/>
          <w:kern w:val="22"/>
          <w:sz w:val="22"/>
          <w:szCs w:val="22"/>
        </w:rPr>
        <w:footnoteReference w:id="6"/>
      </w:r>
    </w:p>
    <w:p w14:paraId="2544C57E" w14:textId="1C631B20" w:rsidR="00715FD9" w:rsidRPr="00F86C06" w:rsidRDefault="00715FD9" w:rsidP="00715FD9">
      <w:pPr>
        <w:pStyle w:val="Para1"/>
        <w:numPr>
          <w:ilvl w:val="1"/>
          <w:numId w:val="2"/>
        </w:numPr>
        <w:suppressLineNumbers/>
        <w:suppressAutoHyphens/>
        <w:kinsoku w:val="0"/>
        <w:overflowPunct w:val="0"/>
        <w:autoSpaceDE w:val="0"/>
        <w:autoSpaceDN w:val="0"/>
        <w:spacing w:before="0" w:after="80"/>
        <w:rPr>
          <w:rFonts w:eastAsia="Malgun Gothic"/>
          <w:kern w:val="22"/>
          <w:szCs w:val="22"/>
        </w:rPr>
      </w:pPr>
      <w:r w:rsidRPr="00F86C06">
        <w:rPr>
          <w:i/>
          <w:iCs/>
          <w:kern w:val="22"/>
          <w:szCs w:val="22"/>
          <w:shd w:val="clear" w:color="auto" w:fill="FFFFFF"/>
        </w:rPr>
        <w:t xml:space="preserve">National target surpasses the scope </w:t>
      </w:r>
      <w:r w:rsidR="00CC3DE2" w:rsidRPr="00F86C06">
        <w:rPr>
          <w:i/>
          <w:iCs/>
          <w:kern w:val="22"/>
          <w:szCs w:val="22"/>
          <w:shd w:val="clear" w:color="auto" w:fill="FFFFFF"/>
        </w:rPr>
        <w:t>and/</w:t>
      </w:r>
      <w:r w:rsidRPr="00F86C06">
        <w:rPr>
          <w:i/>
          <w:iCs/>
          <w:kern w:val="22"/>
          <w:szCs w:val="22"/>
          <w:shd w:val="clear" w:color="auto" w:fill="FFFFFF"/>
        </w:rPr>
        <w:t>or level of ambition of the Aichi Target</w:t>
      </w:r>
      <w:r w:rsidRPr="00F86C06">
        <w:rPr>
          <w:kern w:val="22"/>
          <w:szCs w:val="22"/>
          <w:shd w:val="clear" w:color="auto" w:fill="FFFFFF"/>
        </w:rPr>
        <w:t xml:space="preserve"> – This category indicates that the national target or similar commitment is more ambitious than the Aichi Biodiversity Target. This could be because the target has higher quantitative thresholds or contains commitments which surpass those set out in the Aichi Target;</w:t>
      </w:r>
    </w:p>
    <w:p w14:paraId="5A593875" w14:textId="5D4F9298" w:rsidR="00715FD9" w:rsidRPr="00F86C06" w:rsidRDefault="00715FD9" w:rsidP="00715FD9">
      <w:pPr>
        <w:pStyle w:val="Para1"/>
        <w:numPr>
          <w:ilvl w:val="1"/>
          <w:numId w:val="2"/>
        </w:numPr>
        <w:suppressLineNumbers/>
        <w:suppressAutoHyphens/>
        <w:kinsoku w:val="0"/>
        <w:overflowPunct w:val="0"/>
        <w:autoSpaceDE w:val="0"/>
        <w:autoSpaceDN w:val="0"/>
        <w:spacing w:before="0" w:after="80"/>
        <w:rPr>
          <w:rFonts w:eastAsia="Malgun Gothic"/>
          <w:kern w:val="22"/>
          <w:szCs w:val="22"/>
        </w:rPr>
      </w:pPr>
      <w:r w:rsidRPr="00F86C06">
        <w:rPr>
          <w:i/>
          <w:iCs/>
          <w:kern w:val="22"/>
          <w:szCs w:val="22"/>
          <w:shd w:val="clear" w:color="auto" w:fill="FFFFFF"/>
        </w:rPr>
        <w:t>National target is commensurate with the Aichi Target</w:t>
      </w:r>
      <w:r w:rsidRPr="00F86C06">
        <w:rPr>
          <w:kern w:val="22"/>
          <w:szCs w:val="22"/>
          <w:shd w:val="clear" w:color="auto" w:fill="FFFFFF"/>
        </w:rPr>
        <w:t xml:space="preserve"> – This category indicates that the national target or similar commitment is broadly equivalent in scope and level of ambition </w:t>
      </w:r>
      <w:r w:rsidR="00F81A72" w:rsidRPr="00F86C06">
        <w:rPr>
          <w:kern w:val="22"/>
          <w:szCs w:val="22"/>
          <w:shd w:val="clear" w:color="auto" w:fill="FFFFFF"/>
        </w:rPr>
        <w:t>to</w:t>
      </w:r>
      <w:r w:rsidRPr="00F86C06">
        <w:rPr>
          <w:kern w:val="22"/>
          <w:szCs w:val="22"/>
          <w:shd w:val="clear" w:color="auto" w:fill="FFFFFF"/>
        </w:rPr>
        <w:t xml:space="preserve"> the Aichi Target;</w:t>
      </w:r>
    </w:p>
    <w:p w14:paraId="2BD7B77F" w14:textId="344C2C0A" w:rsidR="00715FD9" w:rsidRPr="00F86C06" w:rsidRDefault="00715FD9" w:rsidP="00715FD9">
      <w:pPr>
        <w:pStyle w:val="Para1"/>
        <w:numPr>
          <w:ilvl w:val="1"/>
          <w:numId w:val="2"/>
        </w:numPr>
        <w:suppressLineNumbers/>
        <w:suppressAutoHyphens/>
        <w:kinsoku w:val="0"/>
        <w:overflowPunct w:val="0"/>
        <w:autoSpaceDE w:val="0"/>
        <w:autoSpaceDN w:val="0"/>
        <w:spacing w:before="0" w:after="80"/>
        <w:rPr>
          <w:rFonts w:eastAsia="Malgun Gothic"/>
          <w:kern w:val="22"/>
          <w:szCs w:val="22"/>
        </w:rPr>
      </w:pPr>
      <w:r w:rsidRPr="00F86C06">
        <w:rPr>
          <w:i/>
          <w:iCs/>
          <w:kern w:val="22"/>
          <w:szCs w:val="22"/>
          <w:shd w:val="clear" w:color="auto" w:fill="FFFFFF"/>
        </w:rPr>
        <w:t>National target is less ambitious than the Aichi Target or does not address all of its elements</w:t>
      </w:r>
      <w:r w:rsidRPr="00F86C06">
        <w:rPr>
          <w:kern w:val="22"/>
          <w:szCs w:val="22"/>
          <w:shd w:val="clear" w:color="auto" w:fill="FFFFFF"/>
        </w:rPr>
        <w:t xml:space="preserve"> – This category indicates that the national target has a lower threshold for certain issues or does not clearly address all elements of the Aichi Target</w:t>
      </w:r>
      <w:r w:rsidR="00373A22" w:rsidRPr="00F86C06">
        <w:rPr>
          <w:kern w:val="22"/>
          <w:szCs w:val="22"/>
          <w:shd w:val="clear" w:color="auto" w:fill="FFFFFF"/>
        </w:rPr>
        <w:t>;</w:t>
      </w:r>
    </w:p>
    <w:p w14:paraId="0DA7588F" w14:textId="30EFB377" w:rsidR="00715FD9" w:rsidRPr="00F86C06" w:rsidRDefault="00715FD9" w:rsidP="00715FD9">
      <w:pPr>
        <w:pStyle w:val="Para1"/>
        <w:numPr>
          <w:ilvl w:val="1"/>
          <w:numId w:val="2"/>
        </w:numPr>
        <w:suppressLineNumbers/>
        <w:suppressAutoHyphens/>
        <w:kinsoku w:val="0"/>
        <w:overflowPunct w:val="0"/>
        <w:autoSpaceDE w:val="0"/>
        <w:autoSpaceDN w:val="0"/>
        <w:spacing w:before="0" w:after="80"/>
        <w:rPr>
          <w:rFonts w:eastAsia="Malgun Gothic"/>
          <w:kern w:val="22"/>
          <w:szCs w:val="22"/>
        </w:rPr>
      </w:pPr>
      <w:r w:rsidRPr="00F86C06">
        <w:rPr>
          <w:i/>
          <w:iCs/>
          <w:kern w:val="22"/>
          <w:szCs w:val="22"/>
          <w:shd w:val="clear" w:color="auto" w:fill="FFFFFF"/>
        </w:rPr>
        <w:t xml:space="preserve">National target is significantly less ambitious than the Aichi Target – </w:t>
      </w:r>
      <w:r w:rsidRPr="00F86C06">
        <w:rPr>
          <w:kern w:val="22"/>
          <w:szCs w:val="22"/>
          <w:shd w:val="clear" w:color="auto" w:fill="FFFFFF"/>
        </w:rPr>
        <w:t>This category indicates that the national target has a significant</w:t>
      </w:r>
      <w:r w:rsidR="00F81A72" w:rsidRPr="00F86C06">
        <w:rPr>
          <w:kern w:val="22"/>
          <w:szCs w:val="22"/>
          <w:shd w:val="clear" w:color="auto" w:fill="FFFFFF"/>
        </w:rPr>
        <w:t>ly</w:t>
      </w:r>
      <w:r w:rsidRPr="00F86C06">
        <w:rPr>
          <w:kern w:val="22"/>
          <w:szCs w:val="22"/>
          <w:shd w:val="clear" w:color="auto" w:fill="FFFFFF"/>
        </w:rPr>
        <w:t xml:space="preserve"> lower threshold for most issues addressed by the Aichi Biodiversity Target and/or is very general</w:t>
      </w:r>
      <w:r w:rsidR="00373A22" w:rsidRPr="00F86C06">
        <w:rPr>
          <w:kern w:val="22"/>
          <w:szCs w:val="22"/>
          <w:shd w:val="clear" w:color="auto" w:fill="FFFFFF"/>
        </w:rPr>
        <w:t>;</w:t>
      </w:r>
    </w:p>
    <w:p w14:paraId="67FD1C1F" w14:textId="73A940C9" w:rsidR="00715FD9" w:rsidRPr="00F86C06" w:rsidRDefault="00715FD9" w:rsidP="00715FD9">
      <w:pPr>
        <w:pStyle w:val="Para1"/>
        <w:numPr>
          <w:ilvl w:val="1"/>
          <w:numId w:val="2"/>
        </w:numPr>
        <w:suppressLineNumbers/>
        <w:suppressAutoHyphens/>
        <w:kinsoku w:val="0"/>
        <w:overflowPunct w:val="0"/>
        <w:autoSpaceDE w:val="0"/>
        <w:autoSpaceDN w:val="0"/>
        <w:spacing w:before="0" w:after="80"/>
        <w:rPr>
          <w:rFonts w:eastAsia="Malgun Gothic"/>
          <w:kern w:val="22"/>
          <w:szCs w:val="22"/>
        </w:rPr>
      </w:pPr>
      <w:r w:rsidRPr="00F86C06">
        <w:rPr>
          <w:i/>
          <w:iCs/>
          <w:kern w:val="22"/>
          <w:szCs w:val="22"/>
          <w:shd w:val="clear" w:color="auto" w:fill="FFFFFF"/>
        </w:rPr>
        <w:t>National target is not clearly linked to the</w:t>
      </w:r>
      <w:r w:rsidRPr="00F86C06">
        <w:rPr>
          <w:kern w:val="22"/>
          <w:szCs w:val="22"/>
          <w:shd w:val="clear" w:color="auto" w:fill="FFFFFF"/>
        </w:rPr>
        <w:t xml:space="preserve"> </w:t>
      </w:r>
      <w:r w:rsidRPr="00F86C06">
        <w:rPr>
          <w:i/>
          <w:iCs/>
          <w:kern w:val="22"/>
          <w:szCs w:val="22"/>
          <w:shd w:val="clear" w:color="auto" w:fill="FFFFFF"/>
        </w:rPr>
        <w:t>Aichi Target</w:t>
      </w:r>
      <w:r w:rsidRPr="00F86C06">
        <w:rPr>
          <w:kern w:val="22"/>
          <w:szCs w:val="22"/>
          <w:shd w:val="clear" w:color="auto" w:fill="FFFFFF"/>
        </w:rPr>
        <w:t>. Some national targets have been mapped to Aichi Biodiversity Targets through a Party’s NBSAP or national report. In cases where it is not clear how a national target is linked to Aichi Biodiversity Target this category is used</w:t>
      </w:r>
      <w:r w:rsidR="00373A22" w:rsidRPr="00F86C06">
        <w:rPr>
          <w:kern w:val="22"/>
          <w:szCs w:val="22"/>
          <w:shd w:val="clear" w:color="auto" w:fill="FFFFFF"/>
        </w:rPr>
        <w:t>;</w:t>
      </w:r>
    </w:p>
    <w:p w14:paraId="742CB79C" w14:textId="77777777" w:rsidR="00715FD9" w:rsidRPr="00F86C06" w:rsidRDefault="00715FD9" w:rsidP="00715FD9">
      <w:pPr>
        <w:pStyle w:val="Para1"/>
        <w:numPr>
          <w:ilvl w:val="1"/>
          <w:numId w:val="2"/>
        </w:numPr>
        <w:suppressLineNumbers/>
        <w:suppressAutoHyphens/>
        <w:kinsoku w:val="0"/>
        <w:overflowPunct w:val="0"/>
        <w:autoSpaceDE w:val="0"/>
        <w:autoSpaceDN w:val="0"/>
        <w:spacing w:before="0"/>
        <w:rPr>
          <w:rFonts w:eastAsia="Malgun Gothic"/>
          <w:kern w:val="22"/>
          <w:szCs w:val="22"/>
        </w:rPr>
      </w:pPr>
      <w:r w:rsidRPr="00F86C06">
        <w:rPr>
          <w:i/>
          <w:iCs/>
          <w:kern w:val="22"/>
          <w:szCs w:val="22"/>
          <w:shd w:val="clear" w:color="auto" w:fill="FFFFFF"/>
        </w:rPr>
        <w:t xml:space="preserve">No national target – </w:t>
      </w:r>
      <w:r w:rsidRPr="00F86C06">
        <w:rPr>
          <w:kern w:val="22"/>
          <w:szCs w:val="22"/>
          <w:shd w:val="clear" w:color="auto" w:fill="FFFFFF"/>
        </w:rPr>
        <w:t>The NBSAP did not contain a target or similar commitment related to the Aichi Biodiversity Target.</w:t>
      </w:r>
    </w:p>
    <w:p w14:paraId="218E2A1B" w14:textId="5161C279" w:rsidR="00715FD9" w:rsidRPr="00F86C06" w:rsidRDefault="00715FD9" w:rsidP="00715FD9">
      <w:pPr>
        <w:pStyle w:val="Para1"/>
        <w:suppressLineNumbers/>
        <w:tabs>
          <w:tab w:val="clear" w:pos="360"/>
        </w:tabs>
        <w:suppressAutoHyphens/>
        <w:kinsoku w:val="0"/>
        <w:overflowPunct w:val="0"/>
        <w:autoSpaceDE w:val="0"/>
        <w:autoSpaceDN w:val="0"/>
        <w:spacing w:before="0"/>
        <w:rPr>
          <w:rFonts w:eastAsia="Malgun Gothic"/>
          <w:kern w:val="22"/>
          <w:szCs w:val="22"/>
        </w:rPr>
      </w:pPr>
      <w:r w:rsidRPr="00F86C06">
        <w:rPr>
          <w:rFonts w:eastAsia="Malgun Gothic"/>
          <w:kern w:val="22"/>
          <w:szCs w:val="22"/>
        </w:rPr>
        <w:t xml:space="preserve">It is important to note that this assessment was conducted considering the scope and level of ambition of the national target against that of the Aichi Target. It did not consider the national circumstances of a country. Therefore, some targets which when compared to the Aichi Target are lower than the Aichi Target may nonetheless be ambitious in </w:t>
      </w:r>
      <w:r w:rsidR="00F86C06">
        <w:rPr>
          <w:rFonts w:eastAsia="Malgun Gothic"/>
          <w:kern w:val="22"/>
          <w:szCs w:val="22"/>
        </w:rPr>
        <w:t xml:space="preserve">the </w:t>
      </w:r>
      <w:r w:rsidRPr="00F86C06">
        <w:rPr>
          <w:rFonts w:eastAsia="Malgun Gothic"/>
          <w:kern w:val="22"/>
          <w:szCs w:val="22"/>
        </w:rPr>
        <w:t>light of a country’s starting point. For this reason, this assessment cannot be used to draw comparisons among countries but, rather, only to inform a discussion on global progress towards the Aichi Biodiversity Targets.</w:t>
      </w:r>
    </w:p>
    <w:p w14:paraId="65F214EA" w14:textId="77777777" w:rsidR="00715FD9" w:rsidRPr="00F86C06" w:rsidRDefault="00715FD9" w:rsidP="00AC02B6">
      <w:pPr>
        <w:keepNext/>
        <w:suppressLineNumbers/>
        <w:suppressAutoHyphens/>
        <w:kinsoku w:val="0"/>
        <w:overflowPunct w:val="0"/>
        <w:autoSpaceDE w:val="0"/>
        <w:autoSpaceDN w:val="0"/>
        <w:spacing w:before="120" w:after="120"/>
        <w:jc w:val="center"/>
        <w:rPr>
          <w:b/>
          <w:bCs/>
          <w:snapToGrid w:val="0"/>
          <w:kern w:val="22"/>
          <w:szCs w:val="22"/>
        </w:rPr>
      </w:pPr>
      <w:r w:rsidRPr="00F86C06">
        <w:rPr>
          <w:b/>
          <w:bCs/>
          <w:snapToGrid w:val="0"/>
          <w:kern w:val="22"/>
          <w:szCs w:val="22"/>
        </w:rPr>
        <w:lastRenderedPageBreak/>
        <w:t>B.</w:t>
      </w:r>
      <w:r w:rsidRPr="00F86C06">
        <w:rPr>
          <w:b/>
          <w:bCs/>
          <w:snapToGrid w:val="0"/>
          <w:kern w:val="22"/>
          <w:szCs w:val="22"/>
        </w:rPr>
        <w:tab/>
        <w:t>Sixth national reports</w:t>
      </w:r>
    </w:p>
    <w:p w14:paraId="13193D50" w14:textId="5E174B60" w:rsidR="00715FD9" w:rsidRPr="00F86C06" w:rsidRDefault="00C87F0D" w:rsidP="00715FD9">
      <w:pPr>
        <w:pStyle w:val="Para1"/>
        <w:suppressLineNumbers/>
        <w:tabs>
          <w:tab w:val="clear" w:pos="360"/>
        </w:tabs>
        <w:suppressAutoHyphens/>
        <w:kinsoku w:val="0"/>
        <w:overflowPunct w:val="0"/>
        <w:autoSpaceDE w:val="0"/>
        <w:autoSpaceDN w:val="0"/>
        <w:spacing w:before="0"/>
        <w:rPr>
          <w:rFonts w:eastAsia="Malgun Gothic"/>
          <w:kern w:val="22"/>
          <w:szCs w:val="22"/>
        </w:rPr>
      </w:pPr>
      <w:r w:rsidRPr="00F86C06">
        <w:rPr>
          <w:rFonts w:eastAsia="Malgun Gothic"/>
          <w:kern w:val="22"/>
          <w:szCs w:val="22"/>
        </w:rPr>
        <w:t>A total of</w:t>
      </w:r>
      <w:r w:rsidR="00715FD9" w:rsidRPr="00F86C06">
        <w:rPr>
          <w:rFonts w:eastAsia="Malgun Gothic"/>
          <w:kern w:val="22"/>
          <w:szCs w:val="22"/>
        </w:rPr>
        <w:t xml:space="preserve"> 156 sixth national reports were reviewed in this analysis</w:t>
      </w:r>
      <w:r w:rsidR="008F7E2C" w:rsidRPr="00F86C06">
        <w:rPr>
          <w:rFonts w:eastAsia="Malgun Gothic"/>
          <w:kern w:val="22"/>
          <w:szCs w:val="22"/>
        </w:rPr>
        <w:t>.</w:t>
      </w:r>
      <w:r w:rsidR="00715FD9" w:rsidRPr="00F86C06">
        <w:rPr>
          <w:rStyle w:val="FootnoteReference"/>
          <w:rFonts w:eastAsia="Malgun Gothic"/>
          <w:kern w:val="22"/>
          <w:sz w:val="22"/>
          <w:szCs w:val="22"/>
        </w:rPr>
        <w:footnoteReference w:id="7"/>
      </w:r>
      <w:r w:rsidR="00715FD9" w:rsidRPr="00F86C06">
        <w:rPr>
          <w:rFonts w:eastAsia="Malgun Gothic"/>
          <w:kern w:val="22"/>
          <w:szCs w:val="22"/>
          <w:vertAlign w:val="superscript"/>
        </w:rPr>
        <w:t xml:space="preserve"> </w:t>
      </w:r>
      <w:r w:rsidR="00715FD9" w:rsidRPr="00F86C06">
        <w:rPr>
          <w:rFonts w:eastAsia="Malgun Gothic"/>
          <w:kern w:val="22"/>
          <w:szCs w:val="22"/>
        </w:rPr>
        <w:t xml:space="preserve">The guidelines </w:t>
      </w:r>
      <w:r w:rsidR="00BB0B6B" w:rsidRPr="00F86C06">
        <w:rPr>
          <w:rFonts w:eastAsia="Malgun Gothic"/>
          <w:kern w:val="22"/>
          <w:szCs w:val="22"/>
        </w:rPr>
        <w:t>for</w:t>
      </w:r>
      <w:r w:rsidR="00715FD9" w:rsidRPr="00F86C06">
        <w:rPr>
          <w:rFonts w:eastAsia="Malgun Gothic"/>
          <w:kern w:val="22"/>
          <w:szCs w:val="22"/>
        </w:rPr>
        <w:t xml:space="preserve"> the sixth national reports requested Parties to assess progress towards the attainment of their national targets</w:t>
      </w:r>
      <w:r w:rsidR="00715FD9" w:rsidRPr="00F86C06">
        <w:rPr>
          <w:rStyle w:val="FootnoteReference"/>
          <w:rFonts w:eastAsia="Malgun Gothic"/>
          <w:kern w:val="22"/>
          <w:sz w:val="22"/>
          <w:szCs w:val="22"/>
        </w:rPr>
        <w:footnoteReference w:id="8"/>
      </w:r>
      <w:r w:rsidR="00715FD9" w:rsidRPr="00F86C06">
        <w:rPr>
          <w:rFonts w:eastAsia="Malgun Gothic"/>
          <w:kern w:val="22"/>
          <w:szCs w:val="22"/>
        </w:rPr>
        <w:t xml:space="preserve"> using the categories below. This information was then tabulated by the Secretariat to undertake the analysis </w:t>
      </w:r>
      <w:r w:rsidR="00CC3DE2" w:rsidRPr="00F86C06">
        <w:rPr>
          <w:rFonts w:eastAsia="Malgun Gothic"/>
          <w:kern w:val="22"/>
          <w:szCs w:val="22"/>
        </w:rPr>
        <w:t xml:space="preserve">presented </w:t>
      </w:r>
      <w:r w:rsidR="00715FD9" w:rsidRPr="00F86C06">
        <w:rPr>
          <w:rFonts w:eastAsia="Malgun Gothic"/>
          <w:kern w:val="22"/>
          <w:szCs w:val="22"/>
        </w:rPr>
        <w:t>in section II. If Parties submitted their national report using the online reporting tool for the sixth national reports the information was directly extracted from it. If Parties submitted their national reports as a document the information was extracted by the Secretariat.</w:t>
      </w:r>
    </w:p>
    <w:p w14:paraId="4A51D38B" w14:textId="68697EA2" w:rsidR="00715FD9" w:rsidRPr="00F86C06" w:rsidRDefault="00715FD9" w:rsidP="00715FD9">
      <w:pPr>
        <w:pStyle w:val="Para1"/>
        <w:suppressLineNumbers/>
        <w:tabs>
          <w:tab w:val="clear" w:pos="360"/>
        </w:tabs>
        <w:suppressAutoHyphens/>
        <w:kinsoku w:val="0"/>
        <w:overflowPunct w:val="0"/>
        <w:autoSpaceDE w:val="0"/>
        <w:autoSpaceDN w:val="0"/>
        <w:spacing w:before="0"/>
        <w:rPr>
          <w:rFonts w:eastAsia="Malgun Gothic"/>
          <w:kern w:val="22"/>
          <w:szCs w:val="22"/>
        </w:rPr>
      </w:pPr>
      <w:r w:rsidRPr="00F86C06">
        <w:rPr>
          <w:rFonts w:eastAsia="Malgun Gothic"/>
          <w:kern w:val="22"/>
          <w:szCs w:val="22"/>
        </w:rPr>
        <w:t>The format for the sixth national report requested Parties, for each of the national targets, to link it to one or several Aichi Biodiversity Targets</w:t>
      </w:r>
      <w:r w:rsidR="00584765" w:rsidRPr="00F86C06">
        <w:rPr>
          <w:rFonts w:eastAsia="Malgun Gothic"/>
          <w:kern w:val="22"/>
          <w:szCs w:val="22"/>
        </w:rPr>
        <w:t>.</w:t>
      </w:r>
      <w:r w:rsidRPr="00F86C06">
        <w:rPr>
          <w:rStyle w:val="FootnoteReference"/>
          <w:rFonts w:eastAsia="Malgun Gothic"/>
          <w:kern w:val="22"/>
          <w:sz w:val="22"/>
          <w:szCs w:val="22"/>
        </w:rPr>
        <w:footnoteReference w:id="9"/>
      </w:r>
      <w:r w:rsidRPr="00F86C06">
        <w:rPr>
          <w:rFonts w:eastAsia="Malgun Gothic"/>
          <w:kern w:val="22"/>
          <w:szCs w:val="22"/>
        </w:rPr>
        <w:t xml:space="preserve"> In this assessment, the national target was considered for all Aichi Biodiversity Targets to which it was linked. As a result, progress towards some national targets may be considered in this assessment more than once. The guidelines for the sixth national reports also allowed Parties to link multiple national targets to a single Aichi Target</w:t>
      </w:r>
      <w:r w:rsidR="00373A22" w:rsidRPr="00F86C06">
        <w:rPr>
          <w:rFonts w:eastAsia="Malgun Gothic"/>
          <w:kern w:val="22"/>
          <w:szCs w:val="22"/>
        </w:rPr>
        <w:t>.</w:t>
      </w:r>
      <w:r w:rsidRPr="00F86C06">
        <w:rPr>
          <w:rStyle w:val="FootnoteReference"/>
          <w:rFonts w:eastAsia="Malgun Gothic"/>
          <w:kern w:val="22"/>
          <w:sz w:val="22"/>
          <w:szCs w:val="22"/>
        </w:rPr>
        <w:footnoteReference w:id="10"/>
      </w:r>
      <w:r w:rsidRPr="00F86C06">
        <w:rPr>
          <w:rFonts w:eastAsia="Malgun Gothic"/>
          <w:kern w:val="22"/>
          <w:szCs w:val="22"/>
        </w:rPr>
        <w:t xml:space="preserve"> In these situations, the average of the reported progress was used, giving equal weight to all of the national targets</w:t>
      </w:r>
      <w:r w:rsidR="00373A22" w:rsidRPr="00F86C06">
        <w:rPr>
          <w:rFonts w:eastAsia="Malgun Gothic"/>
          <w:kern w:val="22"/>
          <w:szCs w:val="22"/>
        </w:rPr>
        <w:t>.</w:t>
      </w:r>
      <w:r w:rsidRPr="00F86C06">
        <w:rPr>
          <w:rStyle w:val="FootnoteReference"/>
          <w:rFonts w:eastAsia="Malgun Gothic"/>
          <w:kern w:val="22"/>
          <w:sz w:val="22"/>
          <w:szCs w:val="22"/>
        </w:rPr>
        <w:footnoteReference w:id="11"/>
      </w:r>
    </w:p>
    <w:p w14:paraId="402D5F27" w14:textId="1C6EF017" w:rsidR="00715FD9" w:rsidRPr="00F86C06" w:rsidRDefault="00715FD9" w:rsidP="00715FD9">
      <w:pPr>
        <w:pStyle w:val="Para1"/>
        <w:suppressLineNumbers/>
        <w:tabs>
          <w:tab w:val="clear" w:pos="360"/>
        </w:tabs>
        <w:suppressAutoHyphens/>
        <w:kinsoku w:val="0"/>
        <w:overflowPunct w:val="0"/>
        <w:autoSpaceDE w:val="0"/>
        <w:autoSpaceDN w:val="0"/>
        <w:spacing w:before="0"/>
        <w:rPr>
          <w:rFonts w:eastAsia="Malgun Gothic"/>
          <w:kern w:val="22"/>
          <w:szCs w:val="22"/>
        </w:rPr>
      </w:pPr>
      <w:r w:rsidRPr="00F86C06">
        <w:rPr>
          <w:rFonts w:eastAsia="Malgun Gothic"/>
          <w:kern w:val="22"/>
          <w:szCs w:val="22"/>
        </w:rPr>
        <w:t xml:space="preserve">The five categories used in this assessment, consistent with those used in the sixth national report guidelines, the fourth edition of the </w:t>
      </w:r>
      <w:r w:rsidRPr="00F86C06">
        <w:rPr>
          <w:rFonts w:eastAsia="Malgun Gothic"/>
          <w:i/>
          <w:iCs/>
          <w:kern w:val="22"/>
          <w:szCs w:val="22"/>
        </w:rPr>
        <w:t>Global Biodiversity Outlook</w:t>
      </w:r>
      <w:r w:rsidRPr="00F86C06">
        <w:rPr>
          <w:rStyle w:val="FootnoteReference"/>
          <w:rFonts w:eastAsia="Malgun Gothic"/>
          <w:kern w:val="22"/>
          <w:sz w:val="22"/>
          <w:szCs w:val="22"/>
        </w:rPr>
        <w:footnoteReference w:id="12"/>
      </w:r>
      <w:r w:rsidRPr="00F86C06">
        <w:rPr>
          <w:rFonts w:eastAsia="Malgun Gothic"/>
          <w:kern w:val="22"/>
          <w:szCs w:val="22"/>
        </w:rPr>
        <w:t xml:space="preserve"> and earlier assessments of the fifth national reports, are:</w:t>
      </w:r>
    </w:p>
    <w:p w14:paraId="27A824F9" w14:textId="77777777" w:rsidR="00715FD9" w:rsidRPr="00F86C06" w:rsidRDefault="00715FD9" w:rsidP="00715FD9">
      <w:pPr>
        <w:pStyle w:val="Para1"/>
        <w:numPr>
          <w:ilvl w:val="1"/>
          <w:numId w:val="2"/>
        </w:numPr>
        <w:suppressLineNumbers/>
        <w:suppressAutoHyphens/>
        <w:kinsoku w:val="0"/>
        <w:overflowPunct w:val="0"/>
        <w:autoSpaceDE w:val="0"/>
        <w:autoSpaceDN w:val="0"/>
        <w:spacing w:before="0" w:after="80"/>
        <w:rPr>
          <w:rFonts w:eastAsia="Malgun Gothic"/>
          <w:kern w:val="22"/>
          <w:szCs w:val="22"/>
        </w:rPr>
      </w:pPr>
      <w:r w:rsidRPr="00F86C06">
        <w:rPr>
          <w:i/>
          <w:iCs/>
          <w:kern w:val="22"/>
          <w:szCs w:val="22"/>
        </w:rPr>
        <w:t>On track to exceed target</w:t>
      </w:r>
      <w:r w:rsidRPr="00F86C06">
        <w:rPr>
          <w:kern w:val="22"/>
          <w:szCs w:val="22"/>
        </w:rPr>
        <w:t xml:space="preserve"> – A target with this assessment indicates that national actions taken will allow for the criteria/thresholds established by the Aichi Target to be exceeded. In the case of those targets with quantitative elements this would mean that the identified threshold will be surpassed. In the case of qualitative targets, this would mean the different actions or conditions to be met have been or are projected to be surpassed;</w:t>
      </w:r>
    </w:p>
    <w:p w14:paraId="789F3B12" w14:textId="77777777" w:rsidR="00715FD9" w:rsidRPr="00F86C06" w:rsidRDefault="00715FD9" w:rsidP="00715FD9">
      <w:pPr>
        <w:pStyle w:val="Para1"/>
        <w:numPr>
          <w:ilvl w:val="1"/>
          <w:numId w:val="2"/>
        </w:numPr>
        <w:suppressLineNumbers/>
        <w:suppressAutoHyphens/>
        <w:kinsoku w:val="0"/>
        <w:overflowPunct w:val="0"/>
        <w:autoSpaceDE w:val="0"/>
        <w:autoSpaceDN w:val="0"/>
        <w:spacing w:before="0" w:after="80"/>
        <w:rPr>
          <w:rFonts w:eastAsia="Malgun Gothic"/>
          <w:kern w:val="22"/>
          <w:szCs w:val="22"/>
        </w:rPr>
      </w:pPr>
      <w:r w:rsidRPr="00F86C06">
        <w:rPr>
          <w:i/>
          <w:iCs/>
          <w:kern w:val="22"/>
          <w:szCs w:val="22"/>
        </w:rPr>
        <w:t>On track to achieve target</w:t>
      </w:r>
      <w:r w:rsidRPr="00F86C06">
        <w:rPr>
          <w:kern w:val="22"/>
          <w:szCs w:val="22"/>
        </w:rPr>
        <w:t xml:space="preserve"> – This category indicates that the actions which have been taken and the current status of the issues addressed by the Aichi Target suggest that the target will be met by the target deadline;</w:t>
      </w:r>
    </w:p>
    <w:p w14:paraId="0FAA20D8" w14:textId="77777777" w:rsidR="00715FD9" w:rsidRPr="00F86C06" w:rsidRDefault="00715FD9" w:rsidP="00715FD9">
      <w:pPr>
        <w:pStyle w:val="Para1"/>
        <w:numPr>
          <w:ilvl w:val="1"/>
          <w:numId w:val="2"/>
        </w:numPr>
        <w:suppressLineNumbers/>
        <w:suppressAutoHyphens/>
        <w:kinsoku w:val="0"/>
        <w:overflowPunct w:val="0"/>
        <w:autoSpaceDE w:val="0"/>
        <w:autoSpaceDN w:val="0"/>
        <w:spacing w:before="0" w:after="80"/>
        <w:rPr>
          <w:rFonts w:eastAsia="Malgun Gothic"/>
          <w:kern w:val="22"/>
          <w:szCs w:val="22"/>
        </w:rPr>
      </w:pPr>
      <w:r w:rsidRPr="00F86C06">
        <w:rPr>
          <w:i/>
          <w:iCs/>
          <w:kern w:val="22"/>
          <w:szCs w:val="22"/>
        </w:rPr>
        <w:t>Progress towards target but at an insufficient rate</w:t>
      </w:r>
      <w:r w:rsidRPr="00F86C06">
        <w:rPr>
          <w:kern w:val="22"/>
          <w:szCs w:val="22"/>
        </w:rPr>
        <w:t xml:space="preserve"> – This category indicates that progress towards the attainment of the Aichi Target has been made since it was established. The progress could take the form of actions being taken or actual improvements in the status of the issues being addressed. However, while this category indicates an improving situation, the progress that has been made will be insufficient for the target to be met by the deadline;</w:t>
      </w:r>
    </w:p>
    <w:p w14:paraId="0CBAC953" w14:textId="77777777" w:rsidR="00715FD9" w:rsidRPr="00F86C06" w:rsidRDefault="00715FD9" w:rsidP="00715FD9">
      <w:pPr>
        <w:pStyle w:val="Para1"/>
        <w:numPr>
          <w:ilvl w:val="1"/>
          <w:numId w:val="2"/>
        </w:numPr>
        <w:suppressLineNumbers/>
        <w:suppressAutoHyphens/>
        <w:kinsoku w:val="0"/>
        <w:overflowPunct w:val="0"/>
        <w:autoSpaceDE w:val="0"/>
        <w:autoSpaceDN w:val="0"/>
        <w:spacing w:before="0" w:after="80"/>
        <w:rPr>
          <w:rFonts w:eastAsia="Malgun Gothic"/>
          <w:kern w:val="22"/>
          <w:szCs w:val="22"/>
        </w:rPr>
      </w:pPr>
      <w:r w:rsidRPr="00F86C06">
        <w:rPr>
          <w:i/>
          <w:iCs/>
          <w:kern w:val="22"/>
          <w:szCs w:val="22"/>
        </w:rPr>
        <w:t xml:space="preserve">No significant change – </w:t>
      </w:r>
      <w:r w:rsidRPr="00F86C06">
        <w:rPr>
          <w:kern w:val="22"/>
          <w:szCs w:val="22"/>
        </w:rPr>
        <w:t xml:space="preserve">This category indicates that since the Aichi Target was set there has been either no significant progress towards its attainment or no significant decline. Assessments with </w:t>
      </w:r>
      <w:r w:rsidRPr="00F86C06">
        <w:rPr>
          <w:kern w:val="22"/>
          <w:szCs w:val="22"/>
        </w:rPr>
        <w:lastRenderedPageBreak/>
        <w:t>this category imply that no significant actions to reach the target have been taken or are planned for the near future and that the overall status of the issues being addressed by the target have neither improved nor deteriorated;</w:t>
      </w:r>
    </w:p>
    <w:p w14:paraId="74CA3A3C" w14:textId="5A5F8B6A" w:rsidR="00715FD9" w:rsidRPr="00F86C06" w:rsidRDefault="00715FD9" w:rsidP="00715FD9">
      <w:pPr>
        <w:pStyle w:val="Para1"/>
        <w:numPr>
          <w:ilvl w:val="1"/>
          <w:numId w:val="2"/>
        </w:numPr>
        <w:suppressLineNumbers/>
        <w:suppressAutoHyphens/>
        <w:kinsoku w:val="0"/>
        <w:overflowPunct w:val="0"/>
        <w:autoSpaceDE w:val="0"/>
        <w:autoSpaceDN w:val="0"/>
        <w:spacing w:before="0" w:after="80"/>
        <w:rPr>
          <w:rFonts w:eastAsia="Malgun Gothic"/>
          <w:kern w:val="22"/>
          <w:szCs w:val="22"/>
        </w:rPr>
      </w:pPr>
      <w:r w:rsidRPr="00F86C06">
        <w:rPr>
          <w:i/>
          <w:iCs/>
          <w:kern w:val="22"/>
          <w:szCs w:val="22"/>
        </w:rPr>
        <w:t>Moving away from target</w:t>
      </w:r>
      <w:r w:rsidRPr="00F86C06">
        <w:rPr>
          <w:kern w:val="22"/>
          <w:szCs w:val="22"/>
        </w:rPr>
        <w:t xml:space="preserve"> – This category indicates </w:t>
      </w:r>
      <w:r w:rsidR="005573BF" w:rsidRPr="00F86C06">
        <w:rPr>
          <w:kern w:val="22"/>
          <w:szCs w:val="22"/>
        </w:rPr>
        <w:t xml:space="preserve">that </w:t>
      </w:r>
      <w:r w:rsidRPr="00F86C06">
        <w:rPr>
          <w:kern w:val="22"/>
          <w:szCs w:val="22"/>
        </w:rPr>
        <w:t xml:space="preserve">the issues the Aichi Target is seeking to address are deteriorating. This could be because no actions have been taken or the actions that have been taken have been ineffective. It could also be because pressures are increasing or </w:t>
      </w:r>
      <w:r w:rsidR="003E7334" w:rsidRPr="00F86C06">
        <w:rPr>
          <w:kern w:val="22"/>
          <w:szCs w:val="22"/>
        </w:rPr>
        <w:t xml:space="preserve">due to </w:t>
      </w:r>
      <w:r w:rsidRPr="00F86C06">
        <w:rPr>
          <w:kern w:val="22"/>
          <w:szCs w:val="22"/>
        </w:rPr>
        <w:t>other changes to national circumstance</w:t>
      </w:r>
      <w:r w:rsidR="00373A22" w:rsidRPr="00F86C06">
        <w:rPr>
          <w:kern w:val="22"/>
          <w:szCs w:val="22"/>
        </w:rPr>
        <w:t>.</w:t>
      </w:r>
    </w:p>
    <w:p w14:paraId="0D28FBC6" w14:textId="1FF93D0B" w:rsidR="00715FD9" w:rsidRPr="00F86C06" w:rsidRDefault="00715FD9" w:rsidP="00715FD9">
      <w:pPr>
        <w:pStyle w:val="Para1"/>
        <w:suppressLineNumbers/>
        <w:tabs>
          <w:tab w:val="clear" w:pos="360"/>
        </w:tabs>
        <w:suppressAutoHyphens/>
        <w:kinsoku w:val="0"/>
        <w:overflowPunct w:val="0"/>
        <w:autoSpaceDE w:val="0"/>
        <w:autoSpaceDN w:val="0"/>
        <w:spacing w:before="0"/>
        <w:rPr>
          <w:rFonts w:eastAsia="Malgun Gothic"/>
          <w:kern w:val="22"/>
          <w:szCs w:val="22"/>
        </w:rPr>
      </w:pPr>
      <w:r w:rsidRPr="00F86C06">
        <w:rPr>
          <w:rFonts w:eastAsia="Malgun Gothic"/>
          <w:kern w:val="22"/>
          <w:szCs w:val="22"/>
        </w:rPr>
        <w:t xml:space="preserve">The </w:t>
      </w:r>
      <w:r w:rsidR="003F4638" w:rsidRPr="00F86C06">
        <w:rPr>
          <w:rFonts w:eastAsia="Malgun Gothic"/>
          <w:kern w:val="22"/>
          <w:szCs w:val="22"/>
        </w:rPr>
        <w:t>range of</w:t>
      </w:r>
      <w:r w:rsidRPr="00F86C06">
        <w:rPr>
          <w:rFonts w:eastAsia="Malgun Gothic"/>
          <w:kern w:val="22"/>
          <w:szCs w:val="22"/>
        </w:rPr>
        <w:t xml:space="preserve"> approaches that Parties have taken in setting their national biodiversity targets and in reporting on </w:t>
      </w:r>
      <w:r w:rsidR="003F4638" w:rsidRPr="00F86C06">
        <w:rPr>
          <w:rFonts w:eastAsia="Malgun Gothic"/>
          <w:kern w:val="22"/>
          <w:szCs w:val="22"/>
        </w:rPr>
        <w:t xml:space="preserve">progress towards </w:t>
      </w:r>
      <w:r w:rsidRPr="00F86C06">
        <w:rPr>
          <w:rFonts w:eastAsia="Malgun Gothic"/>
          <w:kern w:val="22"/>
          <w:szCs w:val="22"/>
        </w:rPr>
        <w:t>them creates several challenges in undertaking an analysis of this information. Some Parties have set process</w:t>
      </w:r>
      <w:r w:rsidR="008A662E" w:rsidRPr="00F86C06">
        <w:rPr>
          <w:rFonts w:eastAsia="Malgun Gothic"/>
          <w:kern w:val="22"/>
          <w:szCs w:val="22"/>
        </w:rPr>
        <w:t>-</w:t>
      </w:r>
      <w:r w:rsidRPr="00F86C06">
        <w:rPr>
          <w:rFonts w:eastAsia="Malgun Gothic"/>
          <w:kern w:val="22"/>
          <w:szCs w:val="22"/>
        </w:rPr>
        <w:t xml:space="preserve">related targets, some have set outcome-oriented targets, and some have used a combination of the two. This has necessitated different approaches at the national level </w:t>
      </w:r>
      <w:r w:rsidR="003F4638" w:rsidRPr="00F86C06">
        <w:rPr>
          <w:rFonts w:eastAsia="Malgun Gothic"/>
          <w:kern w:val="22"/>
          <w:szCs w:val="22"/>
        </w:rPr>
        <w:t>in</w:t>
      </w:r>
      <w:r w:rsidRPr="00F86C06">
        <w:rPr>
          <w:rFonts w:eastAsia="Malgun Gothic"/>
          <w:kern w:val="22"/>
          <w:szCs w:val="22"/>
        </w:rPr>
        <w:t xml:space="preserve"> evaluating progress. These </w:t>
      </w:r>
      <w:r w:rsidR="003F4638" w:rsidRPr="00F86C06">
        <w:rPr>
          <w:rFonts w:eastAsia="Malgun Gothic"/>
          <w:kern w:val="22"/>
          <w:szCs w:val="22"/>
        </w:rPr>
        <w:t xml:space="preserve">varying </w:t>
      </w:r>
      <w:r w:rsidRPr="00F86C06">
        <w:rPr>
          <w:rFonts w:eastAsia="Malgun Gothic"/>
          <w:kern w:val="22"/>
          <w:szCs w:val="22"/>
        </w:rPr>
        <w:t>national approaches are not necessarily comparable. Further</w:t>
      </w:r>
      <w:r w:rsidR="003F4638" w:rsidRPr="00F86C06">
        <w:rPr>
          <w:rFonts w:eastAsia="Malgun Gothic"/>
          <w:kern w:val="22"/>
          <w:szCs w:val="22"/>
        </w:rPr>
        <w:t>,</w:t>
      </w:r>
      <w:r w:rsidRPr="00F86C06">
        <w:rPr>
          <w:rFonts w:eastAsia="Malgun Gothic"/>
          <w:kern w:val="22"/>
          <w:szCs w:val="22"/>
        </w:rPr>
        <w:t xml:space="preserve"> Parties have mapped their national targets to the Aichi Targets in different ways and based on different information. For example, some have established one national target for each of the Aichi Targets while others have set multiple national targets for one Aichi Target. Similarly, some countries have set national targets which relate to multiple Aichi Targets. An additional challenge is that some Parties have not include</w:t>
      </w:r>
      <w:r w:rsidR="003F4638" w:rsidRPr="00F86C06">
        <w:rPr>
          <w:rFonts w:eastAsia="Malgun Gothic"/>
          <w:kern w:val="22"/>
          <w:szCs w:val="22"/>
        </w:rPr>
        <w:t>d</w:t>
      </w:r>
      <w:r w:rsidRPr="00F86C06">
        <w:rPr>
          <w:rFonts w:eastAsia="Malgun Gothic"/>
          <w:kern w:val="22"/>
          <w:szCs w:val="22"/>
        </w:rPr>
        <w:t xml:space="preserve"> national targets in their NBSAPs but referenced them in their national reports</w:t>
      </w:r>
      <w:r w:rsidR="00B12C3B" w:rsidRPr="00F86C06">
        <w:rPr>
          <w:rFonts w:eastAsia="Malgun Gothic"/>
          <w:kern w:val="22"/>
          <w:szCs w:val="22"/>
        </w:rPr>
        <w:t>,</w:t>
      </w:r>
      <w:r w:rsidRPr="00F86C06">
        <w:rPr>
          <w:rFonts w:eastAsia="Malgun Gothic"/>
          <w:kern w:val="22"/>
          <w:szCs w:val="22"/>
        </w:rPr>
        <w:t xml:space="preserve"> while other Parties have </w:t>
      </w:r>
      <w:r w:rsidR="003F4638" w:rsidRPr="00F86C06">
        <w:rPr>
          <w:rFonts w:eastAsia="Malgun Gothic"/>
          <w:kern w:val="22"/>
          <w:szCs w:val="22"/>
        </w:rPr>
        <w:t xml:space="preserve">assessed progress </w:t>
      </w:r>
      <w:r w:rsidRPr="00F86C06">
        <w:rPr>
          <w:rFonts w:eastAsia="Malgun Gothic"/>
          <w:kern w:val="22"/>
          <w:szCs w:val="22"/>
        </w:rPr>
        <w:t xml:space="preserve">in their national reports </w:t>
      </w:r>
      <w:r w:rsidR="003F4638" w:rsidRPr="00F86C06">
        <w:rPr>
          <w:rFonts w:eastAsia="Malgun Gothic"/>
          <w:kern w:val="22"/>
          <w:szCs w:val="22"/>
        </w:rPr>
        <w:t xml:space="preserve">against national targets </w:t>
      </w:r>
      <w:r w:rsidRPr="00F86C06">
        <w:rPr>
          <w:rFonts w:eastAsia="Malgun Gothic"/>
          <w:kern w:val="22"/>
          <w:szCs w:val="22"/>
        </w:rPr>
        <w:t xml:space="preserve">which are different from </w:t>
      </w:r>
      <w:r w:rsidR="003F4638" w:rsidRPr="00F86C06">
        <w:rPr>
          <w:rFonts w:eastAsia="Malgun Gothic"/>
          <w:kern w:val="22"/>
          <w:szCs w:val="22"/>
        </w:rPr>
        <w:t>those</w:t>
      </w:r>
      <w:r w:rsidRPr="00F86C06">
        <w:rPr>
          <w:rFonts w:eastAsia="Malgun Gothic"/>
          <w:kern w:val="22"/>
          <w:szCs w:val="22"/>
        </w:rPr>
        <w:t xml:space="preserve"> in their national biodiversity strategies and action plans. Further, as noted </w:t>
      </w:r>
      <w:r w:rsidR="007018A5" w:rsidRPr="00F86C06">
        <w:rPr>
          <w:rFonts w:eastAsia="Malgun Gothic"/>
          <w:kern w:val="22"/>
          <w:szCs w:val="22"/>
        </w:rPr>
        <w:t>in footnote 9</w:t>
      </w:r>
      <w:r w:rsidRPr="00F86C06">
        <w:rPr>
          <w:rFonts w:eastAsia="Malgun Gothic"/>
          <w:kern w:val="22"/>
          <w:szCs w:val="22"/>
        </w:rPr>
        <w:t xml:space="preserve">, some Parties have chosen to report against the Aichi Targets rather than towards their national biodiversity targets </w:t>
      </w:r>
      <w:r w:rsidR="003F4638" w:rsidRPr="00F86C06">
        <w:rPr>
          <w:rFonts w:eastAsia="Malgun Gothic"/>
          <w:kern w:val="22"/>
          <w:szCs w:val="22"/>
        </w:rPr>
        <w:t>and some</w:t>
      </w:r>
      <w:r w:rsidRPr="00F86C06">
        <w:rPr>
          <w:rFonts w:eastAsia="Malgun Gothic"/>
          <w:kern w:val="22"/>
          <w:szCs w:val="22"/>
        </w:rPr>
        <w:t xml:space="preserve"> have reported against the Aichi Targets as they have not developed </w:t>
      </w:r>
      <w:r w:rsidR="003F4638" w:rsidRPr="00F86C06">
        <w:rPr>
          <w:rFonts w:eastAsia="Malgun Gothic"/>
          <w:kern w:val="22"/>
          <w:szCs w:val="22"/>
        </w:rPr>
        <w:t xml:space="preserve">distinct </w:t>
      </w:r>
      <w:r w:rsidRPr="00F86C06">
        <w:rPr>
          <w:rFonts w:eastAsia="Malgun Gothic"/>
          <w:kern w:val="22"/>
          <w:szCs w:val="22"/>
        </w:rPr>
        <w:t>national targets. Combining assessment of national targets and Aichi Targets may be problematic. However, the available information suggests that this is not likely to be a major limitation</w:t>
      </w:r>
      <w:r w:rsidR="00373A22" w:rsidRPr="00F86C06">
        <w:rPr>
          <w:rFonts w:eastAsia="Malgun Gothic"/>
          <w:kern w:val="22"/>
          <w:szCs w:val="22"/>
        </w:rPr>
        <w:t>.</w:t>
      </w:r>
      <w:r w:rsidRPr="00F86C06">
        <w:rPr>
          <w:rStyle w:val="FootnoteReference"/>
          <w:rFonts w:eastAsia="Malgun Gothic"/>
          <w:kern w:val="22"/>
          <w:sz w:val="22"/>
          <w:szCs w:val="22"/>
        </w:rPr>
        <w:footnoteReference w:id="13"/>
      </w:r>
    </w:p>
    <w:p w14:paraId="784F84A9" w14:textId="4561145B" w:rsidR="00715FD9" w:rsidRPr="00F86C06" w:rsidRDefault="00715FD9" w:rsidP="00715FD9">
      <w:pPr>
        <w:pStyle w:val="Para1"/>
        <w:suppressLineNumbers/>
        <w:tabs>
          <w:tab w:val="clear" w:pos="360"/>
        </w:tabs>
        <w:suppressAutoHyphens/>
        <w:kinsoku w:val="0"/>
        <w:overflowPunct w:val="0"/>
        <w:autoSpaceDE w:val="0"/>
        <w:autoSpaceDN w:val="0"/>
        <w:spacing w:before="0"/>
        <w:rPr>
          <w:rFonts w:eastAsia="Malgun Gothic"/>
          <w:kern w:val="22"/>
          <w:szCs w:val="22"/>
        </w:rPr>
      </w:pPr>
      <w:r w:rsidRPr="00F86C06">
        <w:rPr>
          <w:rFonts w:eastAsia="Malgun Gothic"/>
          <w:kern w:val="22"/>
          <w:szCs w:val="22"/>
        </w:rPr>
        <w:t>The different approaches in reporting and national target setting make the type of analysis presented here challenging to undertake in a systematic manner. Further</w:t>
      </w:r>
      <w:r w:rsidR="008375B2" w:rsidRPr="00F86C06">
        <w:rPr>
          <w:rFonts w:eastAsia="Malgun Gothic"/>
          <w:kern w:val="22"/>
          <w:szCs w:val="22"/>
        </w:rPr>
        <w:t>,</w:t>
      </w:r>
      <w:r w:rsidRPr="00F86C06">
        <w:rPr>
          <w:rFonts w:eastAsia="Malgun Gothic"/>
          <w:kern w:val="22"/>
          <w:szCs w:val="22"/>
        </w:rPr>
        <w:t xml:space="preserve"> it is important to note that this assessment did not consider the national circumstances of a country. Therefore, some targets which are not currently on track to be met may have nonetheless seen improvement given the starting point of the country. For these reasons the information presented in this analysis should not be used to draw comparisons among countries but, rather, only to inform a discussion on global progress towards the Aichi Biodiversity Targets.</w:t>
      </w:r>
    </w:p>
    <w:p w14:paraId="50445EBE" w14:textId="5147D65D" w:rsidR="00715FD9" w:rsidRPr="00F86C06" w:rsidRDefault="00715FD9" w:rsidP="00460413">
      <w:pPr>
        <w:pStyle w:val="Heading1"/>
        <w:suppressLineNumbers/>
        <w:tabs>
          <w:tab w:val="clear" w:pos="720"/>
          <w:tab w:val="left" w:pos="8910"/>
        </w:tabs>
        <w:suppressAutoHyphens/>
        <w:kinsoku w:val="0"/>
        <w:overflowPunct w:val="0"/>
        <w:autoSpaceDE w:val="0"/>
        <w:autoSpaceDN w:val="0"/>
        <w:adjustRightInd w:val="0"/>
        <w:snapToGrid w:val="0"/>
        <w:spacing w:before="120"/>
        <w:ind w:left="1134" w:hanging="567"/>
        <w:jc w:val="left"/>
        <w:rPr>
          <w:snapToGrid w:val="0"/>
          <w:kern w:val="22"/>
          <w:szCs w:val="22"/>
        </w:rPr>
      </w:pPr>
      <w:bookmarkStart w:id="2" w:name="_Hlk31147344"/>
      <w:r w:rsidRPr="00F86C06">
        <w:rPr>
          <w:snapToGrid w:val="0"/>
          <w:kern w:val="22"/>
          <w:szCs w:val="22"/>
        </w:rPr>
        <w:t xml:space="preserve">III. </w:t>
      </w:r>
      <w:r w:rsidRPr="00F86C06">
        <w:rPr>
          <w:snapToGrid w:val="0"/>
          <w:kern w:val="22"/>
          <w:szCs w:val="22"/>
        </w:rPr>
        <w:tab/>
      </w:r>
      <w:r w:rsidR="00CC3DE2" w:rsidRPr="00F86C06">
        <w:rPr>
          <w:snapToGrid w:val="0"/>
          <w:kern w:val="22"/>
          <w:szCs w:val="22"/>
        </w:rPr>
        <w:t xml:space="preserve">Analysis of </w:t>
      </w:r>
      <w:r w:rsidR="007F124B" w:rsidRPr="00F86C06">
        <w:rPr>
          <w:snapToGrid w:val="0"/>
          <w:kern w:val="22"/>
          <w:szCs w:val="22"/>
        </w:rPr>
        <w:t>n</w:t>
      </w:r>
      <w:r w:rsidR="00C1035C" w:rsidRPr="00F86C06">
        <w:rPr>
          <w:snapToGrid w:val="0"/>
          <w:kern w:val="22"/>
          <w:szCs w:val="22"/>
        </w:rPr>
        <w:t xml:space="preserve">ational targets and </w:t>
      </w:r>
      <w:r w:rsidR="00CC3DE2" w:rsidRPr="00F86C06">
        <w:rPr>
          <w:snapToGrid w:val="0"/>
          <w:kern w:val="22"/>
          <w:szCs w:val="22"/>
        </w:rPr>
        <w:t xml:space="preserve">of </w:t>
      </w:r>
      <w:r w:rsidR="00C1035C" w:rsidRPr="00F86C06">
        <w:rPr>
          <w:snapToGrid w:val="0"/>
          <w:kern w:val="22"/>
          <w:szCs w:val="22"/>
        </w:rPr>
        <w:t>progress towards the Aichi Biodiversity Targets</w:t>
      </w:r>
    </w:p>
    <w:p w14:paraId="69F38945" w14:textId="77777777" w:rsidR="00715FD9" w:rsidRPr="00F86C06" w:rsidRDefault="00715FD9" w:rsidP="00B07288">
      <w:pPr>
        <w:keepNext/>
        <w:suppressLineNumbers/>
        <w:suppressAutoHyphens/>
        <w:kinsoku w:val="0"/>
        <w:overflowPunct w:val="0"/>
        <w:autoSpaceDE w:val="0"/>
        <w:autoSpaceDN w:val="0"/>
        <w:spacing w:before="120" w:after="120"/>
        <w:rPr>
          <w:i/>
          <w:iCs/>
          <w:snapToGrid w:val="0"/>
          <w:color w:val="333333"/>
          <w:kern w:val="22"/>
          <w:szCs w:val="22"/>
          <w:shd w:val="clear" w:color="auto" w:fill="FFFFFF"/>
        </w:rPr>
      </w:pPr>
      <w:bookmarkStart w:id="3" w:name="_Hlk31117719"/>
      <w:r w:rsidRPr="00F86C06">
        <w:rPr>
          <w:i/>
          <w:iCs/>
          <w:snapToGrid w:val="0"/>
          <w:color w:val="333333"/>
          <w:kern w:val="22"/>
          <w:szCs w:val="22"/>
          <w:shd w:val="clear" w:color="auto" w:fill="FFFFFF"/>
        </w:rPr>
        <w:t>Target 1 – By 2020, at the latest, people are aware of the values of biodiversity and the steps they can take to conserve and use it sustainably</w:t>
      </w:r>
    </w:p>
    <w:p w14:paraId="3EE60BA3" w14:textId="4FAE9DDF" w:rsidR="00715FD9" w:rsidRPr="00F86C06" w:rsidRDefault="00C87F0D" w:rsidP="00715FD9">
      <w:pPr>
        <w:pStyle w:val="Para1"/>
        <w:suppressLineNumbers/>
        <w:tabs>
          <w:tab w:val="clear" w:pos="360"/>
        </w:tabs>
        <w:suppressAutoHyphens/>
        <w:kinsoku w:val="0"/>
        <w:overflowPunct w:val="0"/>
        <w:autoSpaceDE w:val="0"/>
        <w:autoSpaceDN w:val="0"/>
        <w:spacing w:before="0"/>
        <w:rPr>
          <w:rFonts w:eastAsia="Malgun Gothic"/>
          <w:kern w:val="22"/>
          <w:szCs w:val="22"/>
        </w:rPr>
      </w:pPr>
      <w:bookmarkStart w:id="4" w:name="_Hlk31109242"/>
      <w:r w:rsidRPr="00F86C06">
        <w:rPr>
          <w:rFonts w:eastAsia="Malgun Gothic"/>
          <w:kern w:val="22"/>
          <w:szCs w:val="22"/>
        </w:rPr>
        <w:t xml:space="preserve">A total of </w:t>
      </w:r>
      <w:r w:rsidR="00715FD9" w:rsidRPr="00F86C06">
        <w:rPr>
          <w:rFonts w:eastAsia="Malgun Gothic"/>
          <w:kern w:val="22"/>
          <w:szCs w:val="22"/>
        </w:rPr>
        <w:t xml:space="preserve">146 NBSAPs (87%) contain targets related to Aichi Biodiversity Target 1. Less than a third (32%) of these </w:t>
      </w:r>
      <w:r w:rsidR="00DC524B" w:rsidRPr="00F86C06">
        <w:rPr>
          <w:rFonts w:eastAsia="Malgun Gothic"/>
          <w:kern w:val="22"/>
          <w:szCs w:val="22"/>
        </w:rPr>
        <w:t xml:space="preserve">targets </w:t>
      </w:r>
      <w:r w:rsidR="00715FD9" w:rsidRPr="00F86C06">
        <w:rPr>
          <w:rFonts w:eastAsia="Malgun Gothic"/>
          <w:kern w:val="22"/>
          <w:szCs w:val="22"/>
        </w:rPr>
        <w:t>are equal to the scope and level of ambition set out in Aichi Target 1. Target 1 is among those showing the closest alignment to the national targets in the NBSAPs. However</w:t>
      </w:r>
      <w:r w:rsidR="009A62C0" w:rsidRPr="00F86C06">
        <w:rPr>
          <w:rFonts w:eastAsia="Malgun Gothic"/>
          <w:kern w:val="22"/>
          <w:szCs w:val="22"/>
        </w:rPr>
        <w:t>,</w:t>
      </w:r>
      <w:r w:rsidR="00715FD9" w:rsidRPr="00F86C06">
        <w:rPr>
          <w:rFonts w:eastAsia="Malgun Gothic"/>
          <w:kern w:val="22"/>
          <w:szCs w:val="22"/>
        </w:rPr>
        <w:t xml:space="preserve"> more than two thirds (68%) of Parties have set national targets which are lower in ambition than the Aichi Target or </w:t>
      </w:r>
      <w:r w:rsidR="00B70BF0" w:rsidRPr="00F86C06">
        <w:rPr>
          <w:rFonts w:eastAsia="Malgun Gothic"/>
          <w:kern w:val="22"/>
          <w:szCs w:val="22"/>
        </w:rPr>
        <w:t xml:space="preserve">which </w:t>
      </w:r>
      <w:r w:rsidR="00715FD9" w:rsidRPr="00F86C06">
        <w:rPr>
          <w:rFonts w:eastAsia="Malgun Gothic"/>
          <w:kern w:val="22"/>
          <w:szCs w:val="22"/>
        </w:rPr>
        <w:t>do not address all its elements. Most targets appear to focus on increasing awareness of biodiversity. There are comparatively fewer national targets which address making people aware of the actions they can take to conserve biodiversity.</w:t>
      </w:r>
    </w:p>
    <w:p w14:paraId="1A593174" w14:textId="77DCA16E" w:rsidR="00715FD9" w:rsidRPr="00F86C06" w:rsidRDefault="00C87F0D"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rsidRPr="00F86C06">
        <w:rPr>
          <w:rFonts w:eastAsia="Malgun Gothic"/>
          <w:kern w:val="22"/>
          <w:szCs w:val="22"/>
        </w:rPr>
        <w:t xml:space="preserve">A total of </w:t>
      </w:r>
      <w:r w:rsidR="00715FD9" w:rsidRPr="00F86C06">
        <w:rPr>
          <w:rFonts w:eastAsia="Malgun Gothic"/>
          <w:kern w:val="22"/>
          <w:szCs w:val="22"/>
        </w:rPr>
        <w:t xml:space="preserve">125 Parties have assessed progress towards their national targets related to Aichi Biodiversity Target 1 while 15 Parties </w:t>
      </w:r>
      <w:r w:rsidR="007F124B" w:rsidRPr="00F86C06">
        <w:rPr>
          <w:rFonts w:eastAsia="Malgun Gothic"/>
          <w:kern w:val="22"/>
          <w:szCs w:val="22"/>
        </w:rPr>
        <w:t>did not report on their progress</w:t>
      </w:r>
      <w:r w:rsidR="00715FD9" w:rsidRPr="00F86C06">
        <w:rPr>
          <w:rFonts w:eastAsia="Malgun Gothic"/>
          <w:kern w:val="22"/>
          <w:szCs w:val="22"/>
        </w:rPr>
        <w:t xml:space="preserve"> or indicate</w:t>
      </w:r>
      <w:r w:rsidR="007F124B" w:rsidRPr="00F86C06">
        <w:rPr>
          <w:rFonts w:eastAsia="Malgun Gothic"/>
          <w:kern w:val="22"/>
          <w:szCs w:val="22"/>
        </w:rPr>
        <w:t>d</w:t>
      </w:r>
      <w:r w:rsidR="00715FD9" w:rsidRPr="00F86C06">
        <w:rPr>
          <w:rFonts w:eastAsia="Malgun Gothic"/>
          <w:kern w:val="22"/>
          <w:szCs w:val="22"/>
        </w:rPr>
        <w:t xml:space="preserve"> that the</w:t>
      </w:r>
      <w:r w:rsidR="006166B5" w:rsidRPr="00F86C06">
        <w:rPr>
          <w:rFonts w:eastAsia="Malgun Gothic"/>
          <w:kern w:val="22"/>
          <w:szCs w:val="22"/>
        </w:rPr>
        <w:t>ir</w:t>
      </w:r>
      <w:r w:rsidR="00715FD9" w:rsidRPr="00F86C06">
        <w:rPr>
          <w:rFonts w:eastAsia="Malgun Gothic"/>
          <w:kern w:val="22"/>
          <w:szCs w:val="22"/>
        </w:rPr>
        <w:t xml:space="preserve"> level of progress is unknown. Of the Parties which have assessed progress</w:t>
      </w:r>
      <w:r w:rsidR="00107793" w:rsidRPr="00F86C06">
        <w:rPr>
          <w:rFonts w:eastAsia="Malgun Gothic"/>
          <w:kern w:val="22"/>
          <w:szCs w:val="22"/>
        </w:rPr>
        <w:t>,</w:t>
      </w:r>
      <w:r w:rsidR="00715FD9" w:rsidRPr="00F86C06">
        <w:rPr>
          <w:rFonts w:eastAsia="Malgun Gothic"/>
          <w:kern w:val="22"/>
          <w:szCs w:val="22"/>
        </w:rPr>
        <w:t xml:space="preserve"> half report that they are on track to reach (49%) or exceed (1%) their national targets. Less than half of Parties have made progress towards their targets but not at a rate that will allow them to meet the target (46%). Few Parties (4%) report that they are making no </w:t>
      </w:r>
      <w:r w:rsidR="00715FD9" w:rsidRPr="00F86C06">
        <w:rPr>
          <w:rFonts w:eastAsia="Malgun Gothic"/>
          <w:kern w:val="22"/>
          <w:szCs w:val="22"/>
        </w:rPr>
        <w:lastRenderedPageBreak/>
        <w:t>progress towards the target and none have reported they are moving away from reaching the target. Of the Parties which have assessed progress, less than a quarter (23%) have national targets similar to Aichi Biodiversity Target 1 which are on track to be met.</w:t>
      </w:r>
    </w:p>
    <w:p w14:paraId="037323F0" w14:textId="1D486FBB" w:rsidR="00715FD9" w:rsidRPr="00F86C06" w:rsidRDefault="00715FD9"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rsidRPr="00F86C06">
        <w:rPr>
          <w:rFonts w:eastAsia="Malgun Gothic"/>
          <w:snapToGrid w:val="0"/>
          <w:kern w:val="22"/>
          <w:szCs w:val="22"/>
        </w:rPr>
        <w:t>Commonly reported actions to achieve national targets related to Aichi Biodiversity Target 1 were the convening of workshops, stakeholder meetings, organi</w:t>
      </w:r>
      <w:r w:rsidR="009A62C0" w:rsidRPr="00F86C06">
        <w:rPr>
          <w:rFonts w:eastAsia="Malgun Gothic"/>
          <w:snapToGrid w:val="0"/>
          <w:kern w:val="22"/>
          <w:szCs w:val="22"/>
        </w:rPr>
        <w:t>z</w:t>
      </w:r>
      <w:r w:rsidRPr="00F86C06">
        <w:rPr>
          <w:rFonts w:eastAsia="Malgun Gothic"/>
          <w:snapToGrid w:val="0"/>
          <w:kern w:val="22"/>
          <w:szCs w:val="22"/>
        </w:rPr>
        <w:t>ing biodiversity exhibitions, organi</w:t>
      </w:r>
      <w:r w:rsidR="009A62C0" w:rsidRPr="00F86C06">
        <w:rPr>
          <w:rFonts w:eastAsia="Malgun Gothic"/>
          <w:snapToGrid w:val="0"/>
          <w:kern w:val="22"/>
          <w:szCs w:val="22"/>
        </w:rPr>
        <w:t>z</w:t>
      </w:r>
      <w:r w:rsidRPr="00F86C06">
        <w:rPr>
          <w:rFonts w:eastAsia="Malgun Gothic"/>
          <w:snapToGrid w:val="0"/>
          <w:kern w:val="22"/>
          <w:szCs w:val="22"/>
        </w:rPr>
        <w:t>ing field trips and site visits and other similar awareness</w:t>
      </w:r>
      <w:r w:rsidR="00636844" w:rsidRPr="00F86C06">
        <w:rPr>
          <w:rFonts w:eastAsia="Malgun Gothic"/>
          <w:snapToGrid w:val="0"/>
          <w:kern w:val="22"/>
          <w:szCs w:val="22"/>
        </w:rPr>
        <w:t>-</w:t>
      </w:r>
      <w:r w:rsidRPr="00F86C06">
        <w:rPr>
          <w:rFonts w:eastAsia="Malgun Gothic"/>
          <w:snapToGrid w:val="0"/>
          <w:kern w:val="22"/>
          <w:szCs w:val="22"/>
        </w:rPr>
        <w:t>raising activities. Some national reports also noted the inclusion of biodiversity, including information on its values and the actions needed to conserve it, in school curricula at the primary, secondary and tertiary levels</w:t>
      </w:r>
      <w:r w:rsidR="008F7E2C" w:rsidRPr="00F86C06">
        <w:rPr>
          <w:rFonts w:eastAsia="Malgun Gothic"/>
          <w:snapToGrid w:val="0"/>
          <w:kern w:val="22"/>
          <w:szCs w:val="22"/>
        </w:rPr>
        <w:t>.</w:t>
      </w:r>
      <w:r w:rsidRPr="00F86C06">
        <w:rPr>
          <w:rStyle w:val="FootnoteReference"/>
          <w:rFonts w:eastAsia="Malgun Gothic"/>
          <w:snapToGrid w:val="0"/>
          <w:kern w:val="22"/>
          <w:sz w:val="22"/>
          <w:szCs w:val="22"/>
        </w:rPr>
        <w:footnoteReference w:id="14"/>
      </w:r>
      <w:r w:rsidRPr="00F86C06">
        <w:rPr>
          <w:rFonts w:eastAsia="Malgun Gothic"/>
          <w:snapToGrid w:val="0"/>
          <w:kern w:val="22"/>
          <w:szCs w:val="22"/>
        </w:rPr>
        <w:t xml:space="preserve"> Other examples of actions taken include the use of media</w:t>
      </w:r>
      <w:r w:rsidRPr="00F86C06">
        <w:rPr>
          <w:rStyle w:val="FootnoteReference"/>
          <w:rFonts w:eastAsia="Malgun Gothic"/>
          <w:snapToGrid w:val="0"/>
          <w:kern w:val="22"/>
          <w:sz w:val="22"/>
          <w:szCs w:val="22"/>
        </w:rPr>
        <w:footnoteReference w:id="15"/>
      </w:r>
      <w:r w:rsidRPr="00F86C06">
        <w:rPr>
          <w:rFonts w:eastAsia="Malgun Gothic"/>
          <w:snapToGrid w:val="0"/>
          <w:kern w:val="22"/>
          <w:szCs w:val="22"/>
        </w:rPr>
        <w:t xml:space="preserve"> (such as radio, television, movies, social media platforms and print media) to raise awareness of biodiversity</w:t>
      </w:r>
      <w:r w:rsidR="003E7334" w:rsidRPr="00F86C06">
        <w:rPr>
          <w:rFonts w:eastAsia="Malgun Gothic"/>
          <w:snapToGrid w:val="0"/>
          <w:kern w:val="22"/>
          <w:szCs w:val="22"/>
        </w:rPr>
        <w:t>;</w:t>
      </w:r>
      <w:r w:rsidRPr="00F86C06">
        <w:rPr>
          <w:rFonts w:eastAsia="Malgun Gothic"/>
          <w:snapToGrid w:val="0"/>
          <w:kern w:val="22"/>
          <w:szCs w:val="22"/>
        </w:rPr>
        <w:t xml:space="preserve"> providing training on biodiversity to stakeholders, including farmers and fisher people and policymaker</w:t>
      </w:r>
      <w:r w:rsidR="003E7334" w:rsidRPr="00F86C06">
        <w:rPr>
          <w:rFonts w:eastAsia="Malgun Gothic"/>
          <w:snapToGrid w:val="0"/>
          <w:kern w:val="22"/>
          <w:szCs w:val="22"/>
        </w:rPr>
        <w:t>;</w:t>
      </w:r>
      <w:r w:rsidRPr="00F86C06">
        <w:rPr>
          <w:rFonts w:eastAsia="Malgun Gothic"/>
          <w:snapToGrid w:val="0"/>
          <w:kern w:val="22"/>
          <w:szCs w:val="22"/>
        </w:rPr>
        <w:t xml:space="preserve"> and the creation of biodiversity information centres. However, despite these actions many national reports still note a lack of biodiversity awareness. Some of the challenges noted in reaching national targets related to Aichi Biodiversity Target 1 were the difficulties in reaching all people, including those residing in remote or distant communities</w:t>
      </w:r>
      <w:r w:rsidR="003E7334" w:rsidRPr="00F86C06">
        <w:rPr>
          <w:rFonts w:eastAsia="Malgun Gothic"/>
          <w:snapToGrid w:val="0"/>
          <w:kern w:val="22"/>
          <w:szCs w:val="22"/>
        </w:rPr>
        <w:t>;</w:t>
      </w:r>
      <w:r w:rsidRPr="00F86C06">
        <w:rPr>
          <w:rFonts w:eastAsia="Malgun Gothic"/>
          <w:snapToGrid w:val="0"/>
          <w:kern w:val="22"/>
          <w:szCs w:val="22"/>
        </w:rPr>
        <w:t xml:space="preserve"> a general lack of knowledge of how to conserve biodiversity</w:t>
      </w:r>
      <w:r w:rsidR="003E7334" w:rsidRPr="00F86C06">
        <w:rPr>
          <w:rFonts w:eastAsia="Malgun Gothic"/>
          <w:snapToGrid w:val="0"/>
          <w:kern w:val="22"/>
          <w:szCs w:val="22"/>
        </w:rPr>
        <w:t>;</w:t>
      </w:r>
      <w:r w:rsidRPr="00F86C06">
        <w:rPr>
          <w:rFonts w:eastAsia="Malgun Gothic"/>
          <w:snapToGrid w:val="0"/>
          <w:kern w:val="22"/>
          <w:szCs w:val="22"/>
        </w:rPr>
        <w:t xml:space="preserve"> and a lack of understanding </w:t>
      </w:r>
      <w:r w:rsidR="003E7334" w:rsidRPr="00F86C06">
        <w:rPr>
          <w:rFonts w:eastAsia="Malgun Gothic"/>
          <w:snapToGrid w:val="0"/>
          <w:kern w:val="22"/>
          <w:szCs w:val="22"/>
        </w:rPr>
        <w:t xml:space="preserve">of the links </w:t>
      </w:r>
      <w:r w:rsidRPr="00F86C06">
        <w:rPr>
          <w:rFonts w:eastAsia="Malgun Gothic"/>
          <w:snapToGrid w:val="0"/>
          <w:kern w:val="22"/>
          <w:szCs w:val="22"/>
        </w:rPr>
        <w:t>between biodiversity and other societal challenges, including the need to address climate change</w:t>
      </w:r>
      <w:r w:rsidRPr="00F86C06">
        <w:rPr>
          <w:kern w:val="22"/>
          <w:szCs w:val="22"/>
        </w:rPr>
        <w:t>.</w:t>
      </w:r>
    </w:p>
    <w:bookmarkEnd w:id="4"/>
    <w:p w14:paraId="73366243" w14:textId="7EF3127A" w:rsidR="00715FD9" w:rsidRPr="00F86C06" w:rsidRDefault="00715FD9" w:rsidP="00B07288">
      <w:pPr>
        <w:keepNext/>
        <w:suppressLineNumbers/>
        <w:suppressAutoHyphens/>
        <w:kinsoku w:val="0"/>
        <w:overflowPunct w:val="0"/>
        <w:autoSpaceDE w:val="0"/>
        <w:autoSpaceDN w:val="0"/>
        <w:spacing w:before="120" w:after="120"/>
        <w:rPr>
          <w:i/>
          <w:iCs/>
          <w:kern w:val="22"/>
          <w:szCs w:val="22"/>
          <w:shd w:val="clear" w:color="auto" w:fill="FFFFFF"/>
        </w:rPr>
      </w:pPr>
      <w:r w:rsidRPr="00F86C06">
        <w:rPr>
          <w:i/>
          <w:iCs/>
          <w:kern w:val="22"/>
          <w:szCs w:val="22"/>
          <w:shd w:val="clear" w:color="auto" w:fill="FFFFFF"/>
        </w:rPr>
        <w:t>Target 2</w:t>
      </w:r>
      <w:r w:rsidRPr="00F86C06">
        <w:rPr>
          <w:i/>
          <w:iCs/>
          <w:kern w:val="22"/>
          <w:szCs w:val="22"/>
        </w:rPr>
        <w:t xml:space="preserve"> – </w:t>
      </w:r>
      <w:r w:rsidRPr="00F86C06">
        <w:rPr>
          <w:i/>
          <w:iCs/>
          <w:kern w:val="22"/>
          <w:szCs w:val="22"/>
          <w:shd w:val="clear" w:color="auto" w:fill="FFFFFF"/>
        </w:rPr>
        <w:t>By 2020, at the latest, biodiversity values have been integrated into national and local development and poverty reduction strategies and planning processes and are being incorporated into national accounting, as appropriate, and reporting systems</w:t>
      </w:r>
    </w:p>
    <w:p w14:paraId="08648766" w14:textId="4E18D658" w:rsidR="00715FD9" w:rsidRPr="00F86C06" w:rsidRDefault="00C87F0D" w:rsidP="00715FD9">
      <w:pPr>
        <w:pStyle w:val="Para1"/>
        <w:suppressLineNumbers/>
        <w:tabs>
          <w:tab w:val="clear" w:pos="360"/>
        </w:tabs>
        <w:suppressAutoHyphens/>
        <w:kinsoku w:val="0"/>
        <w:overflowPunct w:val="0"/>
        <w:autoSpaceDE w:val="0"/>
        <w:autoSpaceDN w:val="0"/>
        <w:spacing w:before="0"/>
        <w:rPr>
          <w:rFonts w:eastAsia="Malgun Gothic"/>
          <w:kern w:val="22"/>
          <w:szCs w:val="22"/>
        </w:rPr>
      </w:pPr>
      <w:r w:rsidRPr="00F86C06">
        <w:rPr>
          <w:rFonts w:eastAsia="Malgun Gothic"/>
          <w:kern w:val="22"/>
          <w:szCs w:val="22"/>
        </w:rPr>
        <w:t xml:space="preserve">A total of </w:t>
      </w:r>
      <w:r w:rsidR="00715FD9" w:rsidRPr="00F86C06">
        <w:rPr>
          <w:kern w:val="22"/>
          <w:szCs w:val="22"/>
          <w:shd w:val="clear" w:color="auto" w:fill="FFFFFF"/>
        </w:rPr>
        <w:t xml:space="preserve">141 NBSAPs (84%) </w:t>
      </w:r>
      <w:r w:rsidR="00715FD9" w:rsidRPr="00F86C06">
        <w:rPr>
          <w:rFonts w:eastAsia="Malgun Gothic"/>
          <w:kern w:val="22"/>
          <w:szCs w:val="22"/>
        </w:rPr>
        <w:t>contain targets related to Aichi Biodiversity Target 2. Of these</w:t>
      </w:r>
      <w:r w:rsidR="008C21C1" w:rsidRPr="00F86C06">
        <w:rPr>
          <w:rFonts w:eastAsia="Malgun Gothic"/>
          <w:kern w:val="22"/>
          <w:szCs w:val="22"/>
        </w:rPr>
        <w:t xml:space="preserve"> targets</w:t>
      </w:r>
      <w:r w:rsidR="00E44D7A" w:rsidRPr="00F86C06">
        <w:rPr>
          <w:rFonts w:eastAsia="Malgun Gothic"/>
          <w:kern w:val="22"/>
          <w:szCs w:val="22"/>
        </w:rPr>
        <w:t>,</w:t>
      </w:r>
      <w:r w:rsidR="003E7334" w:rsidRPr="00F86C06">
        <w:rPr>
          <w:rFonts w:eastAsia="Malgun Gothic"/>
          <w:kern w:val="22"/>
          <w:szCs w:val="22"/>
        </w:rPr>
        <w:t xml:space="preserve"> </w:t>
      </w:r>
      <w:r w:rsidR="00F81A72" w:rsidRPr="00F86C06">
        <w:rPr>
          <w:rFonts w:eastAsia="Malgun Gothic"/>
          <w:kern w:val="22"/>
          <w:szCs w:val="22"/>
        </w:rPr>
        <w:t xml:space="preserve"> </w:t>
      </w:r>
      <w:r w:rsidR="00715FD9" w:rsidRPr="00F86C06">
        <w:rPr>
          <w:kern w:val="22"/>
          <w:szCs w:val="22"/>
          <w:shd w:val="clear" w:color="auto" w:fill="FFFFFF"/>
        </w:rPr>
        <w:t xml:space="preserve">few (7%) </w:t>
      </w:r>
      <w:r w:rsidR="00715FD9" w:rsidRPr="00F86C06">
        <w:rPr>
          <w:rFonts w:eastAsia="Malgun Gothic"/>
          <w:kern w:val="22"/>
          <w:szCs w:val="22"/>
        </w:rPr>
        <w:t>match the scope and level of ambition set out in Aichi Target 2 or exceed it (1%). The large majority (92%) are lower than the Aichi Target or do not address all its elements. Of the targets set, relatively few address the integration of biodiversity values into national and local planning processes, national accounting or reporting processes. The national targets that have been established largely focus on the integration of biodiversity values into national development strategies and poverty reduction strategies. Further</w:t>
      </w:r>
      <w:r w:rsidR="008375B2" w:rsidRPr="00F86C06">
        <w:rPr>
          <w:rFonts w:eastAsia="Malgun Gothic"/>
          <w:kern w:val="22"/>
          <w:szCs w:val="22"/>
        </w:rPr>
        <w:t>,</w:t>
      </w:r>
      <w:r w:rsidR="00715FD9" w:rsidRPr="00F86C06">
        <w:rPr>
          <w:rFonts w:eastAsia="Malgun Gothic"/>
          <w:kern w:val="22"/>
          <w:szCs w:val="22"/>
        </w:rPr>
        <w:t xml:space="preserve"> many of the targets set relate to the issue of policy coherence and/or the integration of biodiversity into decision-making generally.</w:t>
      </w:r>
    </w:p>
    <w:p w14:paraId="13AB0CA1" w14:textId="1254D658" w:rsidR="00715FD9" w:rsidRPr="00F86C06" w:rsidRDefault="00C87F0D"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rsidRPr="00F86C06">
        <w:rPr>
          <w:rFonts w:eastAsia="Malgun Gothic"/>
          <w:kern w:val="22"/>
          <w:szCs w:val="22"/>
        </w:rPr>
        <w:t xml:space="preserve">A total of </w:t>
      </w:r>
      <w:r w:rsidR="00715FD9" w:rsidRPr="00F86C06">
        <w:rPr>
          <w:rFonts w:eastAsia="Malgun Gothic"/>
          <w:kern w:val="22"/>
          <w:szCs w:val="22"/>
        </w:rPr>
        <w:t xml:space="preserve">124 Parties have assessed progress towards their national targets related to Aichi Biodiversity Target 2 while 16 Parties </w:t>
      </w:r>
      <w:r w:rsidR="007F124B" w:rsidRPr="00F86C06">
        <w:rPr>
          <w:rFonts w:eastAsia="Malgun Gothic"/>
          <w:kern w:val="22"/>
          <w:szCs w:val="22"/>
        </w:rPr>
        <w:t xml:space="preserve">did not report on their progress </w:t>
      </w:r>
      <w:r w:rsidR="00715FD9" w:rsidRPr="00F86C06">
        <w:rPr>
          <w:rFonts w:eastAsia="Malgun Gothic"/>
          <w:kern w:val="22"/>
          <w:szCs w:val="22"/>
        </w:rPr>
        <w:t>or indicate</w:t>
      </w:r>
      <w:r w:rsidR="007F124B" w:rsidRPr="00F86C06">
        <w:rPr>
          <w:rFonts w:eastAsia="Malgun Gothic"/>
          <w:kern w:val="22"/>
          <w:szCs w:val="22"/>
        </w:rPr>
        <w:t>d</w:t>
      </w:r>
      <w:r w:rsidR="00715FD9" w:rsidRPr="00F86C06">
        <w:rPr>
          <w:rFonts w:eastAsia="Malgun Gothic"/>
          <w:kern w:val="22"/>
          <w:szCs w:val="22"/>
        </w:rPr>
        <w:t xml:space="preserve"> that </w:t>
      </w:r>
      <w:r w:rsidR="00F81A72" w:rsidRPr="00F86C06">
        <w:rPr>
          <w:rFonts w:eastAsia="Malgun Gothic"/>
          <w:kern w:val="22"/>
          <w:szCs w:val="22"/>
        </w:rPr>
        <w:t>the</w:t>
      </w:r>
      <w:r w:rsidR="000C5AA7" w:rsidRPr="00F86C06">
        <w:rPr>
          <w:rFonts w:eastAsia="Malgun Gothic"/>
          <w:kern w:val="22"/>
          <w:szCs w:val="22"/>
        </w:rPr>
        <w:t>ir</w:t>
      </w:r>
      <w:r w:rsidR="00F81A72" w:rsidRPr="00F86C06">
        <w:rPr>
          <w:rFonts w:eastAsia="Malgun Gothic"/>
          <w:kern w:val="22"/>
          <w:szCs w:val="22"/>
        </w:rPr>
        <w:t xml:space="preserve"> </w:t>
      </w:r>
      <w:r w:rsidR="00715FD9" w:rsidRPr="00F86C06">
        <w:rPr>
          <w:rFonts w:eastAsia="Malgun Gothic"/>
          <w:kern w:val="22"/>
          <w:szCs w:val="22"/>
        </w:rPr>
        <w:t xml:space="preserve">level of progress is unknown. Of the Parties that have assessed progress more than a third are on track to reach (35%) or exceed (2%) their national targets. More than half (55%) have made progress towards their targets but not at a rate that will allow them to meet the target. Few Parties report that they are making no progress (6%) towards the target or are moving away from reaching it (2%). Of the Parties which have assessed progress, few (6%) have national targets similar to Aichi Biodiversity Target 2 which are on track to be met. </w:t>
      </w:r>
    </w:p>
    <w:p w14:paraId="24103549" w14:textId="596DABBC" w:rsidR="00715FD9" w:rsidRPr="00F86C06" w:rsidRDefault="00715FD9" w:rsidP="00715FD9">
      <w:pPr>
        <w:pStyle w:val="Para1"/>
        <w:suppressLineNumbers/>
        <w:tabs>
          <w:tab w:val="clear" w:pos="360"/>
        </w:tabs>
        <w:suppressAutoHyphens/>
        <w:kinsoku w:val="0"/>
        <w:overflowPunct w:val="0"/>
        <w:autoSpaceDE w:val="0"/>
        <w:autoSpaceDN w:val="0"/>
        <w:spacing w:before="0"/>
        <w:rPr>
          <w:rFonts w:eastAsia="Malgun Gothic"/>
          <w:kern w:val="22"/>
          <w:szCs w:val="22"/>
        </w:rPr>
      </w:pPr>
      <w:r w:rsidRPr="00F86C06">
        <w:rPr>
          <w:rFonts w:eastAsia="Malgun Gothic"/>
          <w:kern w:val="22"/>
          <w:szCs w:val="22"/>
        </w:rPr>
        <w:t>Commonly reported actions to reach national targets associated with Aichi Biodiversity Target 2 were the modification or adoption of legislation and regulations, and efforts to incorporate biodiversity values and considerations in</w:t>
      </w:r>
      <w:r w:rsidR="00A77E9B" w:rsidRPr="00F86C06">
        <w:rPr>
          <w:rFonts w:eastAsia="Malgun Gothic"/>
          <w:kern w:val="22"/>
          <w:szCs w:val="22"/>
        </w:rPr>
        <w:t>to</w:t>
      </w:r>
      <w:r w:rsidRPr="00F86C06">
        <w:rPr>
          <w:rFonts w:eastAsia="Malgun Gothic"/>
          <w:kern w:val="22"/>
          <w:szCs w:val="22"/>
        </w:rPr>
        <w:t xml:space="preserve"> sectoral policies, including </w:t>
      </w:r>
      <w:r w:rsidR="00A77E9B" w:rsidRPr="00F86C06">
        <w:rPr>
          <w:rFonts w:eastAsia="Malgun Gothic"/>
          <w:kern w:val="22"/>
          <w:szCs w:val="22"/>
        </w:rPr>
        <w:t>policies</w:t>
      </w:r>
      <w:r w:rsidRPr="00F86C06">
        <w:rPr>
          <w:rFonts w:eastAsia="Malgun Gothic"/>
          <w:kern w:val="22"/>
          <w:szCs w:val="22"/>
        </w:rPr>
        <w:t xml:space="preserve"> related to development, forestry, agriculture, fisheries, and energy</w:t>
      </w:r>
      <w:r w:rsidR="008F7E2C" w:rsidRPr="00F86C06">
        <w:rPr>
          <w:rFonts w:eastAsia="Malgun Gothic"/>
          <w:kern w:val="22"/>
          <w:szCs w:val="22"/>
        </w:rPr>
        <w:t>.</w:t>
      </w:r>
      <w:r w:rsidRPr="00F86C06">
        <w:rPr>
          <w:rStyle w:val="FootnoteReference"/>
          <w:rFonts w:eastAsia="Malgun Gothic"/>
          <w:kern w:val="22"/>
          <w:sz w:val="22"/>
          <w:szCs w:val="22"/>
        </w:rPr>
        <w:footnoteReference w:id="16"/>
      </w:r>
      <w:r w:rsidRPr="00F86C06">
        <w:rPr>
          <w:rFonts w:eastAsia="Malgun Gothic"/>
          <w:kern w:val="22"/>
          <w:szCs w:val="22"/>
        </w:rPr>
        <w:t xml:space="preserve"> Some Parties also reported on the publication of studies on the status of biodiversity to help inform decision</w:t>
      </w:r>
      <w:r w:rsidR="008F7E2C" w:rsidRPr="00F86C06">
        <w:rPr>
          <w:rFonts w:eastAsia="Malgun Gothic"/>
          <w:kern w:val="22"/>
          <w:szCs w:val="22"/>
        </w:rPr>
        <w:t>-</w:t>
      </w:r>
      <w:r w:rsidRPr="00F86C06">
        <w:rPr>
          <w:rFonts w:eastAsia="Malgun Gothic"/>
          <w:kern w:val="22"/>
          <w:szCs w:val="22"/>
        </w:rPr>
        <w:t>making</w:t>
      </w:r>
      <w:r w:rsidR="00A77E9B" w:rsidRPr="00F86C06">
        <w:rPr>
          <w:rFonts w:eastAsia="Malgun Gothic"/>
          <w:kern w:val="22"/>
          <w:szCs w:val="22"/>
        </w:rPr>
        <w:t>;</w:t>
      </w:r>
      <w:r w:rsidRPr="00F86C06">
        <w:rPr>
          <w:rFonts w:eastAsia="Malgun Gothic"/>
          <w:kern w:val="22"/>
          <w:szCs w:val="22"/>
        </w:rPr>
        <w:t xml:space="preserve"> building capacity to undertake surveys and studies related to natural capital accounting</w:t>
      </w:r>
      <w:r w:rsidR="00A77E9B" w:rsidRPr="00F86C06">
        <w:rPr>
          <w:rFonts w:eastAsia="Malgun Gothic"/>
          <w:kern w:val="22"/>
          <w:szCs w:val="22"/>
        </w:rPr>
        <w:t>;</w:t>
      </w:r>
      <w:r w:rsidRPr="00F86C06">
        <w:rPr>
          <w:rFonts w:eastAsia="Malgun Gothic"/>
          <w:kern w:val="22"/>
          <w:szCs w:val="22"/>
        </w:rPr>
        <w:t xml:space="preserve"> creating investment funds which account for the value of natural resources</w:t>
      </w:r>
      <w:r w:rsidR="00A77E9B" w:rsidRPr="00F86C06">
        <w:rPr>
          <w:rFonts w:eastAsia="Malgun Gothic"/>
          <w:kern w:val="22"/>
          <w:szCs w:val="22"/>
        </w:rPr>
        <w:t>;</w:t>
      </w:r>
      <w:r w:rsidRPr="00F86C06">
        <w:rPr>
          <w:rFonts w:eastAsia="Malgun Gothic"/>
          <w:kern w:val="22"/>
          <w:szCs w:val="22"/>
        </w:rPr>
        <w:t xml:space="preserve"> the </w:t>
      </w:r>
      <w:r w:rsidRPr="00F86C06">
        <w:rPr>
          <w:rFonts w:eastAsia="Malgun Gothic"/>
          <w:kern w:val="22"/>
          <w:szCs w:val="22"/>
        </w:rPr>
        <w:lastRenderedPageBreak/>
        <w:t xml:space="preserve">development of tools, guidelines and methodologies </w:t>
      </w:r>
      <w:r w:rsidR="002E7456" w:rsidRPr="00F86C06">
        <w:rPr>
          <w:rFonts w:eastAsia="Malgun Gothic"/>
          <w:kern w:val="22"/>
          <w:szCs w:val="22"/>
        </w:rPr>
        <w:t>to support</w:t>
      </w:r>
      <w:r w:rsidRPr="00F86C06">
        <w:rPr>
          <w:rFonts w:eastAsia="Malgun Gothic"/>
          <w:kern w:val="22"/>
          <w:szCs w:val="22"/>
        </w:rPr>
        <w:t xml:space="preserve"> institutions </w:t>
      </w:r>
      <w:r w:rsidR="002E7456" w:rsidRPr="00F86C06">
        <w:rPr>
          <w:rFonts w:eastAsia="Malgun Gothic"/>
          <w:kern w:val="22"/>
          <w:szCs w:val="22"/>
        </w:rPr>
        <w:t xml:space="preserve">in </w:t>
      </w:r>
      <w:r w:rsidRPr="00F86C06">
        <w:rPr>
          <w:rFonts w:eastAsia="Malgun Gothic"/>
          <w:kern w:val="22"/>
          <w:szCs w:val="22"/>
        </w:rPr>
        <w:t>decision</w:t>
      </w:r>
      <w:r w:rsidR="008F7E2C" w:rsidRPr="00F86C06">
        <w:rPr>
          <w:rFonts w:eastAsia="Malgun Gothic"/>
          <w:kern w:val="22"/>
          <w:szCs w:val="22"/>
        </w:rPr>
        <w:t>-</w:t>
      </w:r>
      <w:r w:rsidRPr="00F86C06">
        <w:rPr>
          <w:rFonts w:eastAsia="Malgun Gothic"/>
          <w:kern w:val="22"/>
          <w:szCs w:val="22"/>
        </w:rPr>
        <w:t>making</w:t>
      </w:r>
      <w:r w:rsidR="002E7456" w:rsidRPr="00F86C06">
        <w:rPr>
          <w:rFonts w:eastAsia="Malgun Gothic"/>
          <w:kern w:val="22"/>
          <w:szCs w:val="22"/>
        </w:rPr>
        <w:t>;</w:t>
      </w:r>
      <w:r w:rsidRPr="00F86C06">
        <w:rPr>
          <w:rFonts w:eastAsia="Malgun Gothic"/>
          <w:kern w:val="22"/>
          <w:szCs w:val="22"/>
        </w:rPr>
        <w:t xml:space="preserve"> and improve</w:t>
      </w:r>
      <w:r w:rsidR="002E7456" w:rsidRPr="00F86C06">
        <w:rPr>
          <w:rFonts w:eastAsia="Malgun Gothic"/>
          <w:kern w:val="22"/>
          <w:szCs w:val="22"/>
        </w:rPr>
        <w:t>d</w:t>
      </w:r>
      <w:r w:rsidRPr="00F86C06">
        <w:rPr>
          <w:rFonts w:eastAsia="Malgun Gothic"/>
          <w:kern w:val="22"/>
          <w:szCs w:val="22"/>
        </w:rPr>
        <w:t xml:space="preserve"> enforcement of existing policies. Some of the reported challenges to reaching this target were the challenge of implementing regulatory frameworks and translating these to regional and local</w:t>
      </w:r>
      <w:r w:rsidR="002E7456" w:rsidRPr="00F86C06">
        <w:rPr>
          <w:rFonts w:eastAsia="Malgun Gothic"/>
          <w:kern w:val="22"/>
          <w:szCs w:val="22"/>
        </w:rPr>
        <w:t>-</w:t>
      </w:r>
      <w:r w:rsidRPr="00F86C06">
        <w:rPr>
          <w:rFonts w:eastAsia="Malgun Gothic"/>
          <w:kern w:val="22"/>
          <w:szCs w:val="22"/>
        </w:rPr>
        <w:t>level actions, the lack of mainstreaming</w:t>
      </w:r>
      <w:r w:rsidR="002E7456" w:rsidRPr="00F86C06">
        <w:rPr>
          <w:rFonts w:eastAsia="Malgun Gothic"/>
          <w:kern w:val="22"/>
          <w:szCs w:val="22"/>
        </w:rPr>
        <w:t>,</w:t>
      </w:r>
      <w:r w:rsidRPr="00F86C06">
        <w:rPr>
          <w:rFonts w:eastAsia="Malgun Gothic"/>
          <w:kern w:val="22"/>
          <w:szCs w:val="22"/>
        </w:rPr>
        <w:t xml:space="preserve"> and the difficult</w:t>
      </w:r>
      <w:r w:rsidR="00A77E9B" w:rsidRPr="00F86C06">
        <w:rPr>
          <w:rFonts w:eastAsia="Malgun Gothic"/>
          <w:kern w:val="22"/>
          <w:szCs w:val="22"/>
        </w:rPr>
        <w:t>y</w:t>
      </w:r>
      <w:r w:rsidRPr="00F86C06">
        <w:rPr>
          <w:rFonts w:eastAsia="Malgun Gothic"/>
          <w:kern w:val="22"/>
          <w:szCs w:val="22"/>
        </w:rPr>
        <w:t xml:space="preserve"> of incorporating estimates of the financial costs of biodiversity loss and environmental degradation into the financial plans of other sectors</w:t>
      </w:r>
      <w:r w:rsidR="00C87F0D" w:rsidRPr="00F86C06">
        <w:rPr>
          <w:rFonts w:eastAsia="Malgun Gothic"/>
          <w:kern w:val="22"/>
          <w:szCs w:val="22"/>
        </w:rPr>
        <w:t>.</w:t>
      </w:r>
    </w:p>
    <w:p w14:paraId="4BC3EF0B" w14:textId="77777777" w:rsidR="00715FD9" w:rsidRPr="00F86C06" w:rsidRDefault="00715FD9" w:rsidP="00715FD9">
      <w:pPr>
        <w:keepNext/>
        <w:suppressLineNumbers/>
        <w:suppressAutoHyphens/>
        <w:kinsoku w:val="0"/>
        <w:overflowPunct w:val="0"/>
        <w:autoSpaceDE w:val="0"/>
        <w:autoSpaceDN w:val="0"/>
        <w:spacing w:before="120" w:after="120"/>
        <w:rPr>
          <w:snapToGrid w:val="0"/>
          <w:kern w:val="22"/>
          <w:szCs w:val="22"/>
          <w:shd w:val="clear" w:color="auto" w:fill="FFFFFF"/>
        </w:rPr>
      </w:pPr>
      <w:r w:rsidRPr="00F86C06">
        <w:rPr>
          <w:i/>
          <w:iCs/>
          <w:snapToGrid w:val="0"/>
          <w:kern w:val="22"/>
          <w:szCs w:val="22"/>
          <w:shd w:val="clear" w:color="auto" w:fill="FFFFFF"/>
        </w:rPr>
        <w:t>Target 3</w:t>
      </w:r>
      <w:r w:rsidRPr="00F86C06">
        <w:rPr>
          <w:i/>
          <w:iCs/>
          <w:snapToGrid w:val="0"/>
          <w:kern w:val="22"/>
          <w:szCs w:val="22"/>
        </w:rPr>
        <w:t xml:space="preserve"> – </w:t>
      </w:r>
      <w:r w:rsidRPr="00F86C06">
        <w:rPr>
          <w:i/>
          <w:iCs/>
          <w:snapToGrid w:val="0"/>
          <w:kern w:val="22"/>
          <w:szCs w:val="22"/>
          <w:shd w:val="clear" w:color="auto" w:fill="FFFFFF"/>
        </w:rPr>
        <w:t>By 2020, at the latest, incentives, including subsidies, harmful to biodiversity are eliminated, phased out or reformed in order to minimize or avoid negative impacts, and positive incentives for the conservation and sustainable use of biodiversity are developed and applied, consistent and in harmony with the Convention and other relevant international obligations, taking into account national socioeconomic conditions</w:t>
      </w:r>
    </w:p>
    <w:p w14:paraId="36B661D2" w14:textId="7C08E2E1" w:rsidR="00715FD9" w:rsidRPr="00F86C06" w:rsidRDefault="00C87F0D" w:rsidP="00715FD9">
      <w:pPr>
        <w:pStyle w:val="Para1"/>
        <w:suppressLineNumbers/>
        <w:tabs>
          <w:tab w:val="clear" w:pos="360"/>
        </w:tabs>
        <w:suppressAutoHyphens/>
        <w:kinsoku w:val="0"/>
        <w:overflowPunct w:val="0"/>
        <w:autoSpaceDE w:val="0"/>
        <w:autoSpaceDN w:val="0"/>
        <w:spacing w:before="0"/>
        <w:rPr>
          <w:rFonts w:eastAsia="Malgun Gothic"/>
          <w:kern w:val="22"/>
          <w:szCs w:val="22"/>
        </w:rPr>
      </w:pPr>
      <w:r w:rsidRPr="00F86C06">
        <w:rPr>
          <w:rFonts w:eastAsia="Malgun Gothic"/>
          <w:kern w:val="22"/>
          <w:szCs w:val="22"/>
        </w:rPr>
        <w:t xml:space="preserve">A total of </w:t>
      </w:r>
      <w:r w:rsidR="00715FD9" w:rsidRPr="00F86C06">
        <w:rPr>
          <w:rFonts w:eastAsia="Malgun Gothic"/>
          <w:kern w:val="22"/>
          <w:szCs w:val="22"/>
        </w:rPr>
        <w:t xml:space="preserve">98 NBSAPs (59%) contain targets related to Aichi Biodiversity Target 3. About a fifth of these </w:t>
      </w:r>
      <w:r w:rsidR="00DC524B" w:rsidRPr="00F86C06">
        <w:rPr>
          <w:rFonts w:eastAsia="Malgun Gothic"/>
          <w:kern w:val="22"/>
          <w:szCs w:val="22"/>
        </w:rPr>
        <w:t xml:space="preserve">targets </w:t>
      </w:r>
      <w:r w:rsidR="00715FD9" w:rsidRPr="00F86C06">
        <w:rPr>
          <w:rFonts w:eastAsia="Malgun Gothic"/>
          <w:kern w:val="22"/>
          <w:szCs w:val="22"/>
        </w:rPr>
        <w:t xml:space="preserve">(20%) are similar in scope and level of ambition to Aichi Target 3 or surpass it (1%). The majority of targets (79%) have a lower level of ambition </w:t>
      </w:r>
      <w:r w:rsidR="00F50F67" w:rsidRPr="00F86C06">
        <w:rPr>
          <w:rFonts w:eastAsia="Malgun Gothic"/>
          <w:kern w:val="22"/>
          <w:szCs w:val="22"/>
        </w:rPr>
        <w:t xml:space="preserve">than the Aichi Target </w:t>
      </w:r>
      <w:r w:rsidR="00715FD9" w:rsidRPr="00F86C06">
        <w:rPr>
          <w:rFonts w:eastAsia="Malgun Gothic"/>
          <w:kern w:val="22"/>
          <w:szCs w:val="22"/>
        </w:rPr>
        <w:t xml:space="preserve">or do not address all of </w:t>
      </w:r>
      <w:r w:rsidR="00F50F67" w:rsidRPr="00F86C06">
        <w:rPr>
          <w:rFonts w:eastAsia="Malgun Gothic"/>
          <w:kern w:val="22"/>
          <w:szCs w:val="22"/>
        </w:rPr>
        <w:t>its</w:t>
      </w:r>
      <w:r w:rsidR="00715FD9" w:rsidRPr="00F86C06">
        <w:rPr>
          <w:rFonts w:eastAsia="Malgun Gothic"/>
          <w:kern w:val="22"/>
          <w:szCs w:val="22"/>
        </w:rPr>
        <w:t xml:space="preserve"> elements. Many of these targets </w:t>
      </w:r>
      <w:r w:rsidR="002D7271" w:rsidRPr="00F86C06">
        <w:rPr>
          <w:rFonts w:eastAsia="Malgun Gothic"/>
          <w:kern w:val="22"/>
          <w:szCs w:val="22"/>
        </w:rPr>
        <w:t>are</w:t>
      </w:r>
      <w:r w:rsidR="00715FD9" w:rsidRPr="00F86C06">
        <w:rPr>
          <w:rFonts w:eastAsia="Malgun Gothic"/>
          <w:kern w:val="22"/>
          <w:szCs w:val="22"/>
        </w:rPr>
        <w:t xml:space="preserve"> general in nature and refer to incentives and subsidies broadly without specifying the removal of harmful incentives or the development of positive ones. This Aichi Target is among those with the lowest level of alignment with national targets contained in the NBSAPs.</w:t>
      </w:r>
    </w:p>
    <w:p w14:paraId="0DD3938D" w14:textId="7804B4DE" w:rsidR="00715FD9" w:rsidRPr="00F86C06" w:rsidRDefault="00C87F0D"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rsidRPr="00F86C06">
        <w:rPr>
          <w:rFonts w:eastAsia="Malgun Gothic"/>
          <w:kern w:val="22"/>
          <w:szCs w:val="22"/>
        </w:rPr>
        <w:t xml:space="preserve">A total of </w:t>
      </w:r>
      <w:r w:rsidR="00715FD9" w:rsidRPr="00F86C06">
        <w:rPr>
          <w:rFonts w:eastAsia="Malgun Gothic"/>
          <w:kern w:val="22"/>
          <w:szCs w:val="22"/>
        </w:rPr>
        <w:t xml:space="preserve">108 Parties have assessed progress towards their national targets related to Aichi Biodiversity Target 3 while 32 Parties </w:t>
      </w:r>
      <w:r w:rsidR="007F124B" w:rsidRPr="00F86C06">
        <w:rPr>
          <w:rFonts w:eastAsia="Malgun Gothic"/>
          <w:kern w:val="22"/>
          <w:szCs w:val="22"/>
        </w:rPr>
        <w:t xml:space="preserve">did not report on their progress </w:t>
      </w:r>
      <w:r w:rsidR="00715FD9" w:rsidRPr="00F86C06">
        <w:rPr>
          <w:rFonts w:eastAsia="Malgun Gothic"/>
          <w:kern w:val="22"/>
          <w:szCs w:val="22"/>
        </w:rPr>
        <w:t>or indicate</w:t>
      </w:r>
      <w:r w:rsidR="007F124B" w:rsidRPr="00F86C06">
        <w:rPr>
          <w:rFonts w:eastAsia="Malgun Gothic"/>
          <w:kern w:val="22"/>
          <w:szCs w:val="22"/>
        </w:rPr>
        <w:t>d</w:t>
      </w:r>
      <w:r w:rsidR="00715FD9" w:rsidRPr="00F86C06">
        <w:rPr>
          <w:rFonts w:eastAsia="Malgun Gothic"/>
          <w:kern w:val="22"/>
          <w:szCs w:val="22"/>
        </w:rPr>
        <w:t xml:space="preserve"> that the</w:t>
      </w:r>
      <w:r w:rsidR="000C5AA7" w:rsidRPr="00F86C06">
        <w:rPr>
          <w:rFonts w:eastAsia="Malgun Gothic"/>
          <w:kern w:val="22"/>
          <w:szCs w:val="22"/>
        </w:rPr>
        <w:t>ir</w:t>
      </w:r>
      <w:r w:rsidR="00715FD9" w:rsidRPr="00F86C06">
        <w:rPr>
          <w:rFonts w:eastAsia="Malgun Gothic"/>
          <w:kern w:val="22"/>
          <w:szCs w:val="22"/>
        </w:rPr>
        <w:t xml:space="preserve"> level of progress is unknown. Of the Parties which have assessed progress, less than a third are on track to reach (31%) or exceed (1%) their national targets. More than half (54%) of Parties have made progress towards their targets but not at a rate that will allow them to meet the target. Several Parties (13%) report that they are making no progress towards the target and </w:t>
      </w:r>
      <w:r w:rsidR="00BD1E83" w:rsidRPr="00F86C06">
        <w:rPr>
          <w:rFonts w:eastAsia="Malgun Gothic"/>
          <w:kern w:val="22"/>
          <w:szCs w:val="22"/>
        </w:rPr>
        <w:t>a small number (</w:t>
      </w:r>
      <w:r w:rsidR="00715FD9" w:rsidRPr="00F86C06">
        <w:rPr>
          <w:rFonts w:eastAsia="Malgun Gothic"/>
          <w:kern w:val="22"/>
          <w:szCs w:val="22"/>
        </w:rPr>
        <w:t>1%</w:t>
      </w:r>
      <w:r w:rsidR="00BD1E83" w:rsidRPr="00F86C06">
        <w:rPr>
          <w:rFonts w:eastAsia="Malgun Gothic"/>
          <w:kern w:val="22"/>
          <w:szCs w:val="22"/>
        </w:rPr>
        <w:t>)</w:t>
      </w:r>
      <w:r w:rsidR="00715FD9" w:rsidRPr="00F86C06">
        <w:rPr>
          <w:rFonts w:eastAsia="Malgun Gothic"/>
          <w:kern w:val="22"/>
          <w:szCs w:val="22"/>
        </w:rPr>
        <w:t xml:space="preserve"> are moving away from reaching the target. Of the Parties which have assessed progress</w:t>
      </w:r>
      <w:r w:rsidR="00107793" w:rsidRPr="00F86C06">
        <w:rPr>
          <w:rFonts w:eastAsia="Malgun Gothic"/>
          <w:kern w:val="22"/>
          <w:szCs w:val="22"/>
        </w:rPr>
        <w:t>,</w:t>
      </w:r>
      <w:r w:rsidR="00715FD9" w:rsidRPr="00F86C06">
        <w:rPr>
          <w:rFonts w:eastAsia="Malgun Gothic"/>
          <w:kern w:val="22"/>
          <w:szCs w:val="22"/>
        </w:rPr>
        <w:t xml:space="preserve"> few (7%) have national targets similar to Aichi Biodiversity Target 3 which are on track to be met.</w:t>
      </w:r>
    </w:p>
    <w:p w14:paraId="08D04F09" w14:textId="13279F3B" w:rsidR="00715FD9" w:rsidRPr="00F86C06" w:rsidRDefault="00715FD9"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i/>
          <w:iCs/>
          <w:snapToGrid w:val="0"/>
          <w:kern w:val="22"/>
          <w:szCs w:val="22"/>
          <w:shd w:val="clear" w:color="auto" w:fill="FFFFFF"/>
        </w:rPr>
      </w:pPr>
      <w:r w:rsidRPr="00F86C06">
        <w:rPr>
          <w:rFonts w:eastAsia="Malgun Gothic"/>
          <w:kern w:val="22"/>
          <w:szCs w:val="22"/>
        </w:rPr>
        <w:t>With regard to the elimination or reform of harmful subsidies, Parties commonly reported on efforts to revise licensing processes, including for hunting, fishing and felling</w:t>
      </w:r>
      <w:r w:rsidR="0083050F" w:rsidRPr="00F86C06">
        <w:rPr>
          <w:rFonts w:eastAsia="Malgun Gothic"/>
          <w:kern w:val="22"/>
          <w:szCs w:val="22"/>
        </w:rPr>
        <w:t>;</w:t>
      </w:r>
      <w:r w:rsidRPr="00F86C06">
        <w:rPr>
          <w:rFonts w:eastAsia="Malgun Gothic"/>
          <w:kern w:val="22"/>
          <w:szCs w:val="22"/>
        </w:rPr>
        <w:t xml:space="preserve"> phasing out subsidies for pesticides and fossil fuels</w:t>
      </w:r>
      <w:r w:rsidR="0083050F" w:rsidRPr="00F86C06">
        <w:rPr>
          <w:rFonts w:eastAsia="Malgun Gothic"/>
          <w:kern w:val="22"/>
          <w:szCs w:val="22"/>
        </w:rPr>
        <w:t>;</w:t>
      </w:r>
      <w:r w:rsidRPr="00F86C06">
        <w:rPr>
          <w:rFonts w:eastAsia="Malgun Gothic"/>
          <w:kern w:val="22"/>
          <w:szCs w:val="22"/>
        </w:rPr>
        <w:t xml:space="preserve"> and efforts to identify potential harmful subsidies. With regard to the development of positive incentives, reported actions included reducing taxes on renewable energy, promoting payment for ecosystem services offset schemes, instating various certification and compensation schemes</w:t>
      </w:r>
      <w:r w:rsidRPr="00F86C06">
        <w:rPr>
          <w:rStyle w:val="FootnoteReference"/>
          <w:rFonts w:eastAsia="Malgun Gothic"/>
          <w:kern w:val="22"/>
          <w:sz w:val="22"/>
          <w:szCs w:val="22"/>
        </w:rPr>
        <w:footnoteReference w:id="17"/>
      </w:r>
      <w:r w:rsidRPr="00F86C06">
        <w:rPr>
          <w:rFonts w:eastAsia="Malgun Gothic"/>
          <w:kern w:val="22"/>
          <w:szCs w:val="22"/>
        </w:rPr>
        <w:t xml:space="preserve"> to incentivi</w:t>
      </w:r>
      <w:r w:rsidR="00C75ABD" w:rsidRPr="00F86C06">
        <w:rPr>
          <w:rFonts w:eastAsia="Malgun Gothic"/>
          <w:kern w:val="22"/>
          <w:szCs w:val="22"/>
        </w:rPr>
        <w:t>z</w:t>
      </w:r>
      <w:r w:rsidRPr="00F86C06">
        <w:rPr>
          <w:rFonts w:eastAsia="Malgun Gothic"/>
          <w:kern w:val="22"/>
          <w:szCs w:val="22"/>
        </w:rPr>
        <w:t>e things such as sustainable ecotourism, landscape conservation, and the adoption of more efficient technologies (some of these actions are also relevant to the attainment of Aichi Biodiversity Target 20). Some Parties also reported on efforts to encourage local land management</w:t>
      </w:r>
      <w:r w:rsidR="00185E57" w:rsidRPr="00F86C06">
        <w:rPr>
          <w:rFonts w:eastAsia="Malgun Gothic"/>
          <w:kern w:val="22"/>
          <w:szCs w:val="22"/>
        </w:rPr>
        <w:t>,</w:t>
      </w:r>
      <w:r w:rsidRPr="00F86C06">
        <w:rPr>
          <w:rFonts w:eastAsia="Malgun Gothic"/>
          <w:kern w:val="22"/>
          <w:szCs w:val="22"/>
        </w:rPr>
        <w:t xml:space="preserve"> </w:t>
      </w:r>
      <w:r w:rsidR="00185E57" w:rsidRPr="00F86C06">
        <w:rPr>
          <w:rFonts w:eastAsia="Malgun Gothic"/>
          <w:kern w:val="22"/>
          <w:szCs w:val="22"/>
        </w:rPr>
        <w:t xml:space="preserve">the provision of </w:t>
      </w:r>
      <w:r w:rsidRPr="00F86C06">
        <w:rPr>
          <w:rFonts w:eastAsia="Malgun Gothic"/>
          <w:kern w:val="22"/>
          <w:szCs w:val="22"/>
        </w:rPr>
        <w:t xml:space="preserve">compensation for the reduction of harmful activities, and actions to recognize indigenous and local land use rights. </w:t>
      </w:r>
      <w:bookmarkEnd w:id="3"/>
      <w:r w:rsidRPr="00F86C06">
        <w:rPr>
          <w:rFonts w:eastAsia="Malgun Gothic"/>
          <w:kern w:val="22"/>
          <w:szCs w:val="22"/>
        </w:rPr>
        <w:t>Some Parties also reported taking action to deny government support to certain types of detrimental behaviours or activities</w:t>
      </w:r>
      <w:r w:rsidR="00C87F0D" w:rsidRPr="00F86C06">
        <w:rPr>
          <w:rFonts w:eastAsia="Malgun Gothic"/>
          <w:kern w:val="22"/>
          <w:szCs w:val="22"/>
        </w:rPr>
        <w:t>.</w:t>
      </w:r>
      <w:r w:rsidRPr="00F86C06">
        <w:rPr>
          <w:rStyle w:val="FootnoteReference"/>
          <w:rFonts w:eastAsia="Malgun Gothic"/>
          <w:kern w:val="22"/>
          <w:sz w:val="22"/>
          <w:szCs w:val="22"/>
        </w:rPr>
        <w:footnoteReference w:id="18"/>
      </w:r>
      <w:r w:rsidRPr="00F86C06">
        <w:rPr>
          <w:rFonts w:eastAsia="Malgun Gothic"/>
          <w:kern w:val="22"/>
          <w:szCs w:val="22"/>
        </w:rPr>
        <w:t xml:space="preserve"> Reported challenges to reaching this target were limited capacity, funding and legislative action</w:t>
      </w:r>
      <w:r w:rsidR="00185E57" w:rsidRPr="00F86C06">
        <w:rPr>
          <w:rFonts w:eastAsia="Malgun Gothic"/>
          <w:kern w:val="22"/>
          <w:szCs w:val="22"/>
        </w:rPr>
        <w:t>;</w:t>
      </w:r>
      <w:r w:rsidRPr="00F86C06">
        <w:rPr>
          <w:rFonts w:eastAsia="Malgun Gothic"/>
          <w:kern w:val="22"/>
          <w:szCs w:val="22"/>
        </w:rPr>
        <w:t xml:space="preserve"> vested interests in maintaining current incentive schemes</w:t>
      </w:r>
      <w:r w:rsidR="00185E57" w:rsidRPr="00F86C06">
        <w:rPr>
          <w:rFonts w:eastAsia="Malgun Gothic"/>
          <w:kern w:val="22"/>
          <w:szCs w:val="22"/>
        </w:rPr>
        <w:t>;</w:t>
      </w:r>
      <w:r w:rsidRPr="00F86C06">
        <w:rPr>
          <w:rFonts w:eastAsia="Malgun Gothic"/>
          <w:kern w:val="22"/>
          <w:szCs w:val="22"/>
        </w:rPr>
        <w:t xml:space="preserve"> and difficulties in upscaling pilot projects.</w:t>
      </w:r>
    </w:p>
    <w:p w14:paraId="3A74B255" w14:textId="77777777" w:rsidR="00715FD9" w:rsidRPr="00F86C06" w:rsidRDefault="00715FD9" w:rsidP="00B07288">
      <w:pPr>
        <w:keepNext/>
        <w:suppressLineNumbers/>
        <w:suppressAutoHyphens/>
        <w:kinsoku w:val="0"/>
        <w:overflowPunct w:val="0"/>
        <w:autoSpaceDE w:val="0"/>
        <w:autoSpaceDN w:val="0"/>
        <w:spacing w:before="120" w:after="120"/>
        <w:rPr>
          <w:i/>
          <w:iCs/>
          <w:snapToGrid w:val="0"/>
          <w:kern w:val="22"/>
          <w:szCs w:val="22"/>
          <w:shd w:val="clear" w:color="auto" w:fill="FFFFFF"/>
        </w:rPr>
      </w:pPr>
      <w:r w:rsidRPr="00F86C06">
        <w:rPr>
          <w:i/>
          <w:iCs/>
          <w:snapToGrid w:val="0"/>
          <w:kern w:val="22"/>
          <w:szCs w:val="22"/>
          <w:shd w:val="clear" w:color="auto" w:fill="FFFFFF"/>
        </w:rPr>
        <w:t>Target 4</w:t>
      </w:r>
      <w:r w:rsidRPr="00F86C06">
        <w:rPr>
          <w:i/>
          <w:iCs/>
          <w:snapToGrid w:val="0"/>
          <w:kern w:val="22"/>
          <w:szCs w:val="22"/>
        </w:rPr>
        <w:t xml:space="preserve"> – </w:t>
      </w:r>
      <w:r w:rsidRPr="00F86C06">
        <w:rPr>
          <w:i/>
          <w:iCs/>
          <w:snapToGrid w:val="0"/>
          <w:kern w:val="22"/>
          <w:szCs w:val="22"/>
          <w:shd w:val="clear" w:color="auto" w:fill="FFFFFF"/>
        </w:rPr>
        <w:t>By 2020, at the latest, Governments, business and stakeholders at all levels have taken steps to achieve or have implemented plans for sustainable production and consumption and have kept the impacts of use of natural resources well within safe ecological limits</w:t>
      </w:r>
    </w:p>
    <w:p w14:paraId="29EA4B36" w14:textId="452355DE" w:rsidR="00715FD9" w:rsidRPr="00F86C06" w:rsidRDefault="00C87F0D" w:rsidP="00715FD9">
      <w:pPr>
        <w:pStyle w:val="Para1"/>
        <w:suppressLineNumbers/>
        <w:tabs>
          <w:tab w:val="clear" w:pos="360"/>
        </w:tabs>
        <w:suppressAutoHyphens/>
        <w:kinsoku w:val="0"/>
        <w:overflowPunct w:val="0"/>
        <w:autoSpaceDE w:val="0"/>
        <w:autoSpaceDN w:val="0"/>
        <w:spacing w:before="0"/>
        <w:rPr>
          <w:rFonts w:eastAsia="Malgun Gothic"/>
          <w:kern w:val="22"/>
          <w:szCs w:val="22"/>
        </w:rPr>
      </w:pPr>
      <w:r w:rsidRPr="00F86C06">
        <w:rPr>
          <w:rFonts w:eastAsia="Malgun Gothic"/>
          <w:kern w:val="22"/>
          <w:szCs w:val="22"/>
        </w:rPr>
        <w:t xml:space="preserve">A total of </w:t>
      </w:r>
      <w:r w:rsidR="00715FD9" w:rsidRPr="00F86C06">
        <w:rPr>
          <w:rFonts w:eastAsia="Malgun Gothic"/>
          <w:kern w:val="22"/>
          <w:szCs w:val="22"/>
        </w:rPr>
        <w:t xml:space="preserve">128 NBSAPs </w:t>
      </w:r>
      <w:r w:rsidR="00B47A9B" w:rsidRPr="00F86C06">
        <w:rPr>
          <w:rFonts w:eastAsia="Malgun Gothic"/>
          <w:kern w:val="22"/>
          <w:szCs w:val="22"/>
        </w:rPr>
        <w:t xml:space="preserve">(77%) </w:t>
      </w:r>
      <w:r w:rsidR="00715FD9" w:rsidRPr="00F86C06">
        <w:rPr>
          <w:rFonts w:eastAsia="Malgun Gothic"/>
          <w:kern w:val="22"/>
          <w:szCs w:val="22"/>
        </w:rPr>
        <w:t>contain targets related to Aichi Biodiversity Target 4. Less than a fifth (16%) </w:t>
      </w:r>
      <w:r w:rsidR="00AC4073" w:rsidRPr="00F86C06">
        <w:rPr>
          <w:rFonts w:eastAsia="Malgun Gothic"/>
          <w:kern w:val="22"/>
          <w:szCs w:val="22"/>
        </w:rPr>
        <w:t xml:space="preserve">of targets are </w:t>
      </w:r>
      <w:r w:rsidR="00715FD9" w:rsidRPr="00F86C06">
        <w:rPr>
          <w:rFonts w:eastAsia="Malgun Gothic"/>
          <w:kern w:val="22"/>
          <w:szCs w:val="22"/>
        </w:rPr>
        <w:t xml:space="preserve">similar </w:t>
      </w:r>
      <w:r w:rsidR="00AC4073" w:rsidRPr="00F86C06">
        <w:rPr>
          <w:rFonts w:eastAsia="Malgun Gothic"/>
          <w:kern w:val="22"/>
          <w:szCs w:val="22"/>
        </w:rPr>
        <w:t xml:space="preserve">in </w:t>
      </w:r>
      <w:r w:rsidR="00715FD9" w:rsidRPr="00F86C06">
        <w:rPr>
          <w:rFonts w:eastAsia="Malgun Gothic"/>
          <w:kern w:val="22"/>
          <w:szCs w:val="22"/>
        </w:rPr>
        <w:t xml:space="preserve">scope and ambition </w:t>
      </w:r>
      <w:r w:rsidR="00AC4073" w:rsidRPr="00F86C06">
        <w:rPr>
          <w:rFonts w:eastAsia="Malgun Gothic"/>
          <w:kern w:val="22"/>
          <w:szCs w:val="22"/>
        </w:rPr>
        <w:t>to</w:t>
      </w:r>
      <w:r w:rsidR="00715FD9" w:rsidRPr="00F86C06">
        <w:rPr>
          <w:rFonts w:eastAsia="Malgun Gothic"/>
          <w:kern w:val="22"/>
          <w:szCs w:val="22"/>
        </w:rPr>
        <w:t xml:space="preserve"> the Aichi Target. The majority of targets (84%) have a lower level of ambition </w:t>
      </w:r>
      <w:r w:rsidR="00F50F67" w:rsidRPr="00F86C06">
        <w:rPr>
          <w:rFonts w:eastAsia="Malgun Gothic"/>
          <w:kern w:val="22"/>
          <w:szCs w:val="22"/>
        </w:rPr>
        <w:t xml:space="preserve">than the Aichi Target </w:t>
      </w:r>
      <w:r w:rsidR="00715FD9" w:rsidRPr="00F86C06">
        <w:rPr>
          <w:rFonts w:eastAsia="Malgun Gothic"/>
          <w:kern w:val="22"/>
          <w:szCs w:val="22"/>
        </w:rPr>
        <w:t xml:space="preserve">or do not cover all </w:t>
      </w:r>
      <w:r w:rsidR="00F50F67" w:rsidRPr="00F86C06">
        <w:rPr>
          <w:rFonts w:eastAsia="Malgun Gothic"/>
          <w:kern w:val="22"/>
          <w:szCs w:val="22"/>
        </w:rPr>
        <w:t xml:space="preserve">of its </w:t>
      </w:r>
      <w:r w:rsidR="00715FD9" w:rsidRPr="00F86C06">
        <w:rPr>
          <w:rFonts w:eastAsia="Malgun Gothic"/>
          <w:kern w:val="22"/>
          <w:szCs w:val="22"/>
        </w:rPr>
        <w:t xml:space="preserve">elements. Of the targets that have been set, few refer to keeping the impact of the use of natural resources within safe ecological limits. </w:t>
      </w:r>
      <w:r w:rsidR="00715FD9" w:rsidRPr="00F86C06">
        <w:rPr>
          <w:rFonts w:eastAsia="Malgun Gothic"/>
          <w:kern w:val="22"/>
          <w:szCs w:val="22"/>
        </w:rPr>
        <w:lastRenderedPageBreak/>
        <w:t>Most of the targets set refer to sustainable use generally and do not specifically address sustainable production and consumption.</w:t>
      </w:r>
    </w:p>
    <w:p w14:paraId="1C54126A" w14:textId="1E06C23F" w:rsidR="00715FD9" w:rsidRPr="00F86C06" w:rsidRDefault="00C87F0D"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rsidRPr="00F86C06">
        <w:rPr>
          <w:rFonts w:eastAsia="Malgun Gothic"/>
          <w:kern w:val="22"/>
          <w:szCs w:val="22"/>
        </w:rPr>
        <w:t xml:space="preserve">A total of </w:t>
      </w:r>
      <w:r w:rsidR="00715FD9" w:rsidRPr="00F86C06">
        <w:rPr>
          <w:rFonts w:eastAsia="Malgun Gothic"/>
          <w:kern w:val="22"/>
          <w:szCs w:val="22"/>
        </w:rPr>
        <w:t xml:space="preserve">119 Parties have assessed progress towards their national targets related to Aichi Biodiversity Target 4 while 21 Parties </w:t>
      </w:r>
      <w:r w:rsidR="007F124B" w:rsidRPr="00F86C06">
        <w:rPr>
          <w:rFonts w:eastAsia="Malgun Gothic"/>
          <w:kern w:val="22"/>
          <w:szCs w:val="22"/>
        </w:rPr>
        <w:t xml:space="preserve">did not report on their progress </w:t>
      </w:r>
      <w:r w:rsidR="00715FD9" w:rsidRPr="00F86C06">
        <w:rPr>
          <w:rFonts w:eastAsia="Malgun Gothic"/>
          <w:kern w:val="22"/>
          <w:szCs w:val="22"/>
        </w:rPr>
        <w:t>or indicate</w:t>
      </w:r>
      <w:r w:rsidR="007F124B" w:rsidRPr="00F86C06">
        <w:rPr>
          <w:rFonts w:eastAsia="Malgun Gothic"/>
          <w:kern w:val="22"/>
          <w:szCs w:val="22"/>
        </w:rPr>
        <w:t>d</w:t>
      </w:r>
      <w:r w:rsidR="00715FD9" w:rsidRPr="00F86C06">
        <w:rPr>
          <w:rFonts w:eastAsia="Malgun Gothic"/>
          <w:kern w:val="22"/>
          <w:szCs w:val="22"/>
        </w:rPr>
        <w:t xml:space="preserve"> that the</w:t>
      </w:r>
      <w:r w:rsidR="000C5AA7" w:rsidRPr="00F86C06">
        <w:rPr>
          <w:rFonts w:eastAsia="Malgun Gothic"/>
          <w:kern w:val="22"/>
          <w:szCs w:val="22"/>
        </w:rPr>
        <w:t>ir</w:t>
      </w:r>
      <w:r w:rsidR="00715FD9" w:rsidRPr="00F86C06">
        <w:rPr>
          <w:rFonts w:eastAsia="Malgun Gothic"/>
          <w:kern w:val="22"/>
          <w:szCs w:val="22"/>
        </w:rPr>
        <w:t xml:space="preserve"> level of progress is unknown. Of the Parties assessing progress, more than a third of Parties are on track to reach (34%) or exceed (2%) their national targets. About half (51%) of Parties have made progress towards their targets but not at a rate that will allow them to be met. Several Parties (11%) report that they are making no progress towards their targets and a few (2%) are moving away from reaching them. Of the Parties which have assessed their progress, a tenth (10%) have national targets similar to Aichi Biodiversity Target 4 which are on track to be met.</w:t>
      </w:r>
    </w:p>
    <w:p w14:paraId="60531E09" w14:textId="0CE0469D" w:rsidR="00715FD9" w:rsidRPr="00F86C06" w:rsidRDefault="00715FD9"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rsidRPr="00F86C06">
        <w:rPr>
          <w:rFonts w:eastAsia="Malgun Gothic"/>
          <w:kern w:val="22"/>
          <w:szCs w:val="22"/>
        </w:rPr>
        <w:t>Parties commonly report efforts in relation to specific sectors, such as agriculture, forestry, fisheries, energy, and mining</w:t>
      </w:r>
      <w:r w:rsidR="008F7E2C" w:rsidRPr="00F86C06">
        <w:rPr>
          <w:rFonts w:eastAsia="Malgun Gothic"/>
          <w:kern w:val="22"/>
          <w:szCs w:val="22"/>
        </w:rPr>
        <w:t>.</w:t>
      </w:r>
      <w:r w:rsidRPr="00F86C06">
        <w:rPr>
          <w:rStyle w:val="FootnoteReference"/>
          <w:rFonts w:eastAsia="Malgun Gothic"/>
          <w:kern w:val="22"/>
          <w:sz w:val="22"/>
          <w:szCs w:val="22"/>
        </w:rPr>
        <w:footnoteReference w:id="19"/>
      </w:r>
      <w:r w:rsidRPr="00F86C06">
        <w:rPr>
          <w:rFonts w:eastAsia="Malgun Gothic"/>
          <w:kern w:val="22"/>
          <w:szCs w:val="22"/>
        </w:rPr>
        <w:t xml:space="preserve"> Actions that have been reported include developing sector</w:t>
      </w:r>
      <w:r w:rsidR="0083050F" w:rsidRPr="00F86C06">
        <w:rPr>
          <w:rFonts w:eastAsia="Malgun Gothic"/>
          <w:kern w:val="22"/>
          <w:szCs w:val="22"/>
        </w:rPr>
        <w:t>-</w:t>
      </w:r>
      <w:r w:rsidRPr="00F86C06">
        <w:rPr>
          <w:rFonts w:eastAsia="Malgun Gothic"/>
          <w:kern w:val="22"/>
          <w:szCs w:val="22"/>
        </w:rPr>
        <w:t>specific sustainability plans and regulatory measures, the promotion of green product labelling, corporate social responsibility practices and reporting, and promoting certification measures. Some Parties also referred to actions related to the expansion and support for organic farming practices, the development of biodiversity friendly criteria in public procurement and the promotion of strategies to address waste. Actions related to the development of capacity to assess ecological limits as a means of informing policy decisions as well providing support to small and medium enterprises for sustainable development were also noted. Commonly reported challenges to reaching this target were a lack of funding and capacity to upscale activities and the limited involvement of industries and non-environmental ministries and agencies in plans and projects.</w:t>
      </w:r>
    </w:p>
    <w:p w14:paraId="6FB41B94" w14:textId="77777777" w:rsidR="00715FD9" w:rsidRPr="00F86C06" w:rsidRDefault="00715FD9" w:rsidP="00715FD9">
      <w:pPr>
        <w:keepNext/>
        <w:suppressLineNumbers/>
        <w:suppressAutoHyphens/>
        <w:kinsoku w:val="0"/>
        <w:overflowPunct w:val="0"/>
        <w:autoSpaceDE w:val="0"/>
        <w:autoSpaceDN w:val="0"/>
        <w:spacing w:before="120" w:after="120"/>
        <w:rPr>
          <w:i/>
          <w:iCs/>
          <w:snapToGrid w:val="0"/>
          <w:kern w:val="22"/>
          <w:szCs w:val="22"/>
          <w:shd w:val="clear" w:color="auto" w:fill="FFFFFF"/>
        </w:rPr>
      </w:pPr>
      <w:r w:rsidRPr="00F86C06">
        <w:rPr>
          <w:i/>
          <w:iCs/>
          <w:snapToGrid w:val="0"/>
          <w:kern w:val="22"/>
          <w:szCs w:val="22"/>
          <w:shd w:val="clear" w:color="auto" w:fill="FFFFFF"/>
        </w:rPr>
        <w:t>Target 5</w:t>
      </w:r>
      <w:r w:rsidRPr="00F86C06">
        <w:rPr>
          <w:i/>
          <w:iCs/>
          <w:snapToGrid w:val="0"/>
          <w:kern w:val="22"/>
          <w:szCs w:val="22"/>
        </w:rPr>
        <w:t xml:space="preserve"> – </w:t>
      </w:r>
      <w:r w:rsidRPr="00F86C06">
        <w:rPr>
          <w:i/>
          <w:iCs/>
          <w:snapToGrid w:val="0"/>
          <w:kern w:val="22"/>
          <w:szCs w:val="22"/>
          <w:shd w:val="clear" w:color="auto" w:fill="FFFFFF"/>
        </w:rPr>
        <w:t>By 2020, the rate of loss of all natural habitats, including forests, is at least halved and where feasible brought close to zero, and degradation and fragmentation is significantly reduced</w:t>
      </w:r>
    </w:p>
    <w:p w14:paraId="6B92F493" w14:textId="13853F57" w:rsidR="00715FD9" w:rsidRPr="00F86C06" w:rsidRDefault="00C87F0D" w:rsidP="00715FD9">
      <w:pPr>
        <w:pStyle w:val="Para1"/>
        <w:suppressLineNumbers/>
        <w:tabs>
          <w:tab w:val="clear" w:pos="360"/>
        </w:tabs>
        <w:suppressAutoHyphens/>
        <w:kinsoku w:val="0"/>
        <w:overflowPunct w:val="0"/>
        <w:autoSpaceDE w:val="0"/>
        <w:autoSpaceDN w:val="0"/>
        <w:spacing w:before="0"/>
        <w:rPr>
          <w:rFonts w:eastAsia="Malgun Gothic"/>
          <w:kern w:val="22"/>
          <w:szCs w:val="22"/>
        </w:rPr>
      </w:pPr>
      <w:r w:rsidRPr="00F86C06">
        <w:rPr>
          <w:rFonts w:eastAsia="Malgun Gothic"/>
          <w:kern w:val="22"/>
          <w:szCs w:val="22"/>
        </w:rPr>
        <w:t xml:space="preserve">A total of </w:t>
      </w:r>
      <w:r w:rsidR="00715FD9" w:rsidRPr="00F86C06">
        <w:rPr>
          <w:rFonts w:eastAsia="Malgun Gothic"/>
          <w:kern w:val="22"/>
          <w:szCs w:val="22"/>
        </w:rPr>
        <w:t xml:space="preserve">132 (79%) NBSAPs contain targets related to Aichi Biodiversity Target 5. Of these targets, </w:t>
      </w:r>
      <w:r w:rsidR="0021234B" w:rsidRPr="00F86C06">
        <w:rPr>
          <w:rFonts w:eastAsia="Malgun Gothic"/>
          <w:kern w:val="22"/>
          <w:szCs w:val="22"/>
        </w:rPr>
        <w:t>less than a tenth (</w:t>
      </w:r>
      <w:r w:rsidR="00715FD9" w:rsidRPr="00F86C06">
        <w:rPr>
          <w:rFonts w:eastAsia="Malgun Gothic"/>
          <w:kern w:val="22"/>
          <w:szCs w:val="22"/>
        </w:rPr>
        <w:t>8%</w:t>
      </w:r>
      <w:r w:rsidR="0021234B" w:rsidRPr="00F86C06">
        <w:rPr>
          <w:rFonts w:eastAsia="Malgun Gothic"/>
          <w:kern w:val="22"/>
          <w:szCs w:val="22"/>
        </w:rPr>
        <w:t>)</w:t>
      </w:r>
      <w:r w:rsidR="00715FD9" w:rsidRPr="00F86C06">
        <w:rPr>
          <w:rFonts w:eastAsia="Malgun Gothic"/>
          <w:kern w:val="22"/>
          <w:szCs w:val="22"/>
        </w:rPr>
        <w:t xml:space="preserve"> have a similar scope and level of ambition to Aichi Target 5</w:t>
      </w:r>
      <w:r w:rsidR="0021234B" w:rsidRPr="00F86C06">
        <w:rPr>
          <w:rFonts w:eastAsia="Malgun Gothic"/>
          <w:kern w:val="22"/>
          <w:szCs w:val="22"/>
        </w:rPr>
        <w:t>;</w:t>
      </w:r>
      <w:r w:rsidR="00715FD9" w:rsidRPr="00F86C06">
        <w:rPr>
          <w:rFonts w:eastAsia="Malgun Gothic"/>
          <w:kern w:val="22"/>
          <w:szCs w:val="22"/>
        </w:rPr>
        <w:t xml:space="preserve"> </w:t>
      </w:r>
      <w:r w:rsidR="0021234B" w:rsidRPr="00F86C06">
        <w:rPr>
          <w:rFonts w:eastAsia="Malgun Gothic"/>
          <w:kern w:val="22"/>
          <w:szCs w:val="22"/>
        </w:rPr>
        <w:t>a few (</w:t>
      </w:r>
      <w:r w:rsidR="00715FD9" w:rsidRPr="00F86C06">
        <w:rPr>
          <w:rFonts w:eastAsia="Malgun Gothic"/>
          <w:kern w:val="22"/>
          <w:szCs w:val="22"/>
        </w:rPr>
        <w:t>1%</w:t>
      </w:r>
      <w:r w:rsidR="0021234B" w:rsidRPr="00F86C06">
        <w:rPr>
          <w:rFonts w:eastAsia="Malgun Gothic"/>
          <w:kern w:val="22"/>
          <w:szCs w:val="22"/>
        </w:rPr>
        <w:t>)</w:t>
      </w:r>
      <w:r w:rsidR="00715FD9" w:rsidRPr="00F86C06">
        <w:rPr>
          <w:rFonts w:eastAsia="Malgun Gothic"/>
          <w:kern w:val="22"/>
          <w:szCs w:val="22"/>
        </w:rPr>
        <w:t xml:space="preserve"> are more ambitious. The large majority of targets (91%) have a lower level of ambition </w:t>
      </w:r>
      <w:r w:rsidR="00F50F67" w:rsidRPr="00F86C06">
        <w:rPr>
          <w:rFonts w:eastAsia="Malgun Gothic"/>
          <w:kern w:val="22"/>
          <w:szCs w:val="22"/>
        </w:rPr>
        <w:t xml:space="preserve">than the Aichi Target </w:t>
      </w:r>
      <w:r w:rsidR="00715FD9" w:rsidRPr="00F86C06">
        <w:rPr>
          <w:rFonts w:eastAsia="Malgun Gothic"/>
          <w:kern w:val="22"/>
          <w:szCs w:val="22"/>
        </w:rPr>
        <w:t xml:space="preserve">or do not explicitly address all </w:t>
      </w:r>
      <w:r w:rsidR="00F50F67" w:rsidRPr="00F86C06">
        <w:rPr>
          <w:rFonts w:eastAsia="Malgun Gothic"/>
          <w:kern w:val="22"/>
          <w:szCs w:val="22"/>
        </w:rPr>
        <w:t xml:space="preserve">of its </w:t>
      </w:r>
      <w:r w:rsidR="00715FD9" w:rsidRPr="00F86C06">
        <w:rPr>
          <w:rFonts w:eastAsia="Malgun Gothic"/>
          <w:kern w:val="22"/>
          <w:szCs w:val="22"/>
        </w:rPr>
        <w:t>elements. Most of the targets refer to reducing habitat loss in natural environments generally. Most of the national targets that reference specific habitats refer to forests. Mangroves, coral reefs, rivers, rangeland and marine environments are also mentioned, but to a much lesser extent. Few national targets specify the extent by which the rate of habitat loss is to be reduced and few explicitly refer to habitat degradation or fragmentation.</w:t>
      </w:r>
    </w:p>
    <w:p w14:paraId="7FBD9652" w14:textId="3BA3D5B6" w:rsidR="00715FD9" w:rsidRPr="00F86C06" w:rsidRDefault="00C87F0D"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rsidRPr="00F86C06">
        <w:rPr>
          <w:rFonts w:eastAsia="Malgun Gothic"/>
          <w:kern w:val="22"/>
          <w:szCs w:val="22"/>
        </w:rPr>
        <w:t xml:space="preserve">A total of </w:t>
      </w:r>
      <w:r w:rsidR="00715FD9" w:rsidRPr="00F86C06">
        <w:rPr>
          <w:rFonts w:eastAsia="Malgun Gothic"/>
          <w:kern w:val="22"/>
          <w:szCs w:val="22"/>
        </w:rPr>
        <w:t xml:space="preserve">127 Parties have assessed progress towards their national targets related to Aichi Biodiversity Target 5 while 13 Parties </w:t>
      </w:r>
      <w:r w:rsidR="007F124B" w:rsidRPr="00F86C06">
        <w:rPr>
          <w:rFonts w:eastAsia="Malgun Gothic"/>
          <w:kern w:val="22"/>
          <w:szCs w:val="22"/>
        </w:rPr>
        <w:t xml:space="preserve">did not report on their progress </w:t>
      </w:r>
      <w:r w:rsidR="00715FD9" w:rsidRPr="00F86C06">
        <w:rPr>
          <w:rFonts w:eastAsia="Malgun Gothic"/>
          <w:kern w:val="22"/>
          <w:szCs w:val="22"/>
        </w:rPr>
        <w:t>or indicate</w:t>
      </w:r>
      <w:r w:rsidR="007F124B" w:rsidRPr="00F86C06">
        <w:rPr>
          <w:rFonts w:eastAsia="Malgun Gothic"/>
          <w:kern w:val="22"/>
          <w:szCs w:val="22"/>
        </w:rPr>
        <w:t>d</w:t>
      </w:r>
      <w:r w:rsidR="00715FD9" w:rsidRPr="00F86C06">
        <w:rPr>
          <w:rFonts w:eastAsia="Malgun Gothic"/>
          <w:kern w:val="22"/>
          <w:szCs w:val="22"/>
        </w:rPr>
        <w:t xml:space="preserve"> that their level of progress is unknown. Of the Parties which have assessed progress, more than a quarter of Parties are on track to reach (28%) or exceed (1%) their national targets. More than half (56%) of Parties have made progress towards their targets but not at a rate that will allow them to be met. Several Parties (13%) report that they are making no progress towards the target and few (2%) are moving away from it. Of the Parties which have assessed progress, few (4%) have national targets similar to Aichi Biodiversity Target 5 which are on track to be met.</w:t>
      </w:r>
    </w:p>
    <w:p w14:paraId="273CCFC9" w14:textId="09E89268" w:rsidR="00715FD9" w:rsidRPr="00F86C06" w:rsidRDefault="00715FD9"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rsidRPr="00F86C06">
        <w:rPr>
          <w:rFonts w:eastAsia="Malgun Gothic"/>
          <w:kern w:val="22"/>
          <w:szCs w:val="22"/>
        </w:rPr>
        <w:t xml:space="preserve">Parties reported taking various actions to reach their national targets associated with Aichi Biodiversity Target 5. These actions often reflect national priorities and circumstances. For example, some Parties had an emphasis on addressing desertification while others focused on issues related to forests, such as reforestation and restoration. Commonly reported actions to reduce habitat loss were the establishment of protected areas, </w:t>
      </w:r>
      <w:r w:rsidR="005F72CF" w:rsidRPr="00F86C06">
        <w:rPr>
          <w:rFonts w:eastAsia="Malgun Gothic"/>
          <w:kern w:val="22"/>
          <w:szCs w:val="22"/>
        </w:rPr>
        <w:t xml:space="preserve">the </w:t>
      </w:r>
      <w:r w:rsidRPr="00F86C06">
        <w:rPr>
          <w:rFonts w:eastAsia="Malgun Gothic"/>
          <w:kern w:val="22"/>
          <w:szCs w:val="22"/>
        </w:rPr>
        <w:t xml:space="preserve">planting </w:t>
      </w:r>
      <w:r w:rsidR="005F72CF" w:rsidRPr="00F86C06">
        <w:rPr>
          <w:rFonts w:eastAsia="Malgun Gothic"/>
          <w:kern w:val="22"/>
          <w:szCs w:val="22"/>
        </w:rPr>
        <w:t xml:space="preserve">of </w:t>
      </w:r>
      <w:r w:rsidRPr="00F86C06">
        <w:rPr>
          <w:rFonts w:eastAsia="Malgun Gothic"/>
          <w:kern w:val="22"/>
          <w:szCs w:val="22"/>
        </w:rPr>
        <w:t xml:space="preserve">trees and other vegetation, and the identification of priority areas for </w:t>
      </w:r>
      <w:r w:rsidRPr="00F86C06">
        <w:rPr>
          <w:rFonts w:eastAsia="Malgun Gothic"/>
          <w:kern w:val="22"/>
          <w:szCs w:val="22"/>
        </w:rPr>
        <w:lastRenderedPageBreak/>
        <w:t>conservation. Parties also referred to actions to promote sustainable resource and habitat management</w:t>
      </w:r>
      <w:r w:rsidR="00C75ABD" w:rsidRPr="00F86C06">
        <w:rPr>
          <w:rFonts w:eastAsia="Malgun Gothic"/>
          <w:kern w:val="22"/>
          <w:szCs w:val="22"/>
        </w:rPr>
        <w:t>,</w:t>
      </w:r>
      <w:r w:rsidRPr="00F86C06">
        <w:rPr>
          <w:rStyle w:val="FootnoteReference"/>
          <w:rFonts w:eastAsia="Malgun Gothic"/>
          <w:kern w:val="22"/>
          <w:sz w:val="22"/>
          <w:szCs w:val="22"/>
        </w:rPr>
        <w:footnoteReference w:id="20"/>
      </w:r>
      <w:r w:rsidRPr="00F86C06">
        <w:rPr>
          <w:rFonts w:eastAsia="Malgun Gothic"/>
          <w:kern w:val="22"/>
          <w:szCs w:val="22"/>
        </w:rPr>
        <w:t xml:space="preserve"> actions to better recogni</w:t>
      </w:r>
      <w:r w:rsidR="00C75ABD" w:rsidRPr="00F86C06">
        <w:rPr>
          <w:rFonts w:eastAsia="Malgun Gothic"/>
          <w:kern w:val="22"/>
          <w:szCs w:val="22"/>
        </w:rPr>
        <w:t>z</w:t>
      </w:r>
      <w:r w:rsidRPr="00F86C06">
        <w:rPr>
          <w:rFonts w:eastAsia="Malgun Gothic"/>
          <w:kern w:val="22"/>
          <w:szCs w:val="22"/>
        </w:rPr>
        <w:t>e land tenure and incentivi</w:t>
      </w:r>
      <w:r w:rsidR="00C75ABD" w:rsidRPr="00F86C06">
        <w:rPr>
          <w:rFonts w:eastAsia="Malgun Gothic"/>
          <w:kern w:val="22"/>
          <w:szCs w:val="22"/>
        </w:rPr>
        <w:t>z</w:t>
      </w:r>
      <w:r w:rsidRPr="00F86C06">
        <w:rPr>
          <w:rFonts w:eastAsia="Malgun Gothic"/>
          <w:kern w:val="22"/>
          <w:szCs w:val="22"/>
        </w:rPr>
        <w:t>e sustainable management, and efforts to increase the understanding of the value of ecosystems. Some Parties also referred to their use of integrated land use planning</w:t>
      </w:r>
      <w:r w:rsidR="005F72CF" w:rsidRPr="00F86C06">
        <w:rPr>
          <w:rFonts w:eastAsia="Malgun Gothic"/>
          <w:kern w:val="22"/>
          <w:szCs w:val="22"/>
        </w:rPr>
        <w:t>;</w:t>
      </w:r>
      <w:r w:rsidRPr="00F86C06">
        <w:rPr>
          <w:rFonts w:eastAsia="Malgun Gothic"/>
          <w:kern w:val="22"/>
          <w:szCs w:val="22"/>
        </w:rPr>
        <w:t xml:space="preserve"> the development of guidelines, for example on issues related to fire management strategies and restoration</w:t>
      </w:r>
      <w:r w:rsidR="005F72CF" w:rsidRPr="00F86C06">
        <w:rPr>
          <w:rFonts w:eastAsia="Malgun Gothic"/>
          <w:kern w:val="22"/>
          <w:szCs w:val="22"/>
        </w:rPr>
        <w:t>;</w:t>
      </w:r>
      <w:r w:rsidRPr="00F86C06">
        <w:rPr>
          <w:rFonts w:eastAsia="Malgun Gothic"/>
          <w:kern w:val="22"/>
          <w:szCs w:val="22"/>
        </w:rPr>
        <w:t xml:space="preserve"> the promotion of agri-environment</w:t>
      </w:r>
      <w:r w:rsidR="00656370" w:rsidRPr="00F86C06">
        <w:rPr>
          <w:rFonts w:eastAsia="Malgun Gothic"/>
          <w:kern w:val="22"/>
          <w:szCs w:val="22"/>
        </w:rPr>
        <w:t>al</w:t>
      </w:r>
      <w:r w:rsidRPr="00F86C06">
        <w:rPr>
          <w:rFonts w:eastAsia="Malgun Gothic"/>
          <w:kern w:val="22"/>
          <w:szCs w:val="22"/>
        </w:rPr>
        <w:t xml:space="preserve"> approaches to habitat management</w:t>
      </w:r>
      <w:r w:rsidR="005F72CF" w:rsidRPr="00F86C06">
        <w:rPr>
          <w:rFonts w:eastAsia="Malgun Gothic"/>
          <w:kern w:val="22"/>
          <w:szCs w:val="22"/>
        </w:rPr>
        <w:t>;</w:t>
      </w:r>
      <w:r w:rsidRPr="00F86C06">
        <w:rPr>
          <w:rFonts w:eastAsia="Malgun Gothic"/>
          <w:kern w:val="22"/>
          <w:szCs w:val="22"/>
        </w:rPr>
        <w:t xml:space="preserve"> and the promotion of interdepartmental and inter-institutional cooperation. Parties also reported on actions they are taking to address degradation and fragmentation, including establishing protected area buffer zones, undertaking restoration, develop</w:t>
      </w:r>
      <w:r w:rsidR="005F72CF" w:rsidRPr="00F86C06">
        <w:rPr>
          <w:rFonts w:eastAsia="Malgun Gothic"/>
          <w:kern w:val="22"/>
          <w:szCs w:val="22"/>
        </w:rPr>
        <w:t>ing</w:t>
      </w:r>
      <w:r w:rsidRPr="00F86C06">
        <w:rPr>
          <w:rFonts w:eastAsia="Malgun Gothic"/>
          <w:kern w:val="22"/>
          <w:szCs w:val="22"/>
        </w:rPr>
        <w:t xml:space="preserve"> green corridors</w:t>
      </w:r>
      <w:r w:rsidR="005F72CF" w:rsidRPr="00F86C06">
        <w:rPr>
          <w:rFonts w:eastAsia="Malgun Gothic"/>
          <w:kern w:val="22"/>
          <w:szCs w:val="22"/>
        </w:rPr>
        <w:t>,</w:t>
      </w:r>
      <w:r w:rsidRPr="00F86C06">
        <w:rPr>
          <w:rFonts w:eastAsia="Malgun Gothic"/>
          <w:kern w:val="22"/>
          <w:szCs w:val="22"/>
        </w:rPr>
        <w:t xml:space="preserve"> and promoting ecosystem connectivity.</w:t>
      </w:r>
    </w:p>
    <w:p w14:paraId="62FC1F92" w14:textId="16C996C6" w:rsidR="00715FD9" w:rsidRPr="00F86C06" w:rsidRDefault="00715FD9" w:rsidP="00715FD9">
      <w:pPr>
        <w:keepNext/>
        <w:suppressLineNumbers/>
        <w:suppressAutoHyphens/>
        <w:kinsoku w:val="0"/>
        <w:overflowPunct w:val="0"/>
        <w:autoSpaceDE w:val="0"/>
        <w:autoSpaceDN w:val="0"/>
        <w:spacing w:before="120" w:after="120"/>
        <w:rPr>
          <w:i/>
          <w:iCs/>
          <w:snapToGrid w:val="0"/>
          <w:kern w:val="22"/>
          <w:szCs w:val="22"/>
          <w:shd w:val="clear" w:color="auto" w:fill="FFFFFF"/>
        </w:rPr>
      </w:pPr>
      <w:r w:rsidRPr="00F86C06">
        <w:rPr>
          <w:i/>
          <w:iCs/>
          <w:snapToGrid w:val="0"/>
          <w:kern w:val="22"/>
          <w:szCs w:val="22"/>
          <w:shd w:val="clear" w:color="auto" w:fill="FFFFFF"/>
        </w:rPr>
        <w:t>Target 6</w:t>
      </w:r>
      <w:r w:rsidRPr="00F86C06">
        <w:rPr>
          <w:i/>
          <w:iCs/>
          <w:snapToGrid w:val="0"/>
          <w:kern w:val="22"/>
          <w:szCs w:val="22"/>
        </w:rPr>
        <w:t xml:space="preserve"> – </w:t>
      </w:r>
      <w:r w:rsidRPr="00F86C06">
        <w:rPr>
          <w:i/>
          <w:iCs/>
          <w:snapToGrid w:val="0"/>
          <w:kern w:val="22"/>
          <w:szCs w:val="22"/>
          <w:shd w:val="clear" w:color="auto" w:fill="FFFFFF"/>
        </w:rPr>
        <w:t>By 2020</w:t>
      </w:r>
      <w:r w:rsidR="00D51F7D" w:rsidRPr="00F86C06">
        <w:rPr>
          <w:i/>
          <w:iCs/>
          <w:snapToGrid w:val="0"/>
          <w:kern w:val="22"/>
          <w:szCs w:val="22"/>
          <w:shd w:val="clear" w:color="auto" w:fill="FFFFFF"/>
        </w:rPr>
        <w:t>,</w:t>
      </w:r>
      <w:r w:rsidRPr="00F86C06">
        <w:rPr>
          <w:i/>
          <w:iCs/>
          <w:snapToGrid w:val="0"/>
          <w:kern w:val="22"/>
          <w:szCs w:val="22"/>
          <w:shd w:val="clear" w:color="auto" w:fill="FFFFFF"/>
        </w:rPr>
        <w:t xml:space="preserve"> all fish and invertebrate stocks and aquatic plants are managed and harvested sustainably, legally and applying ecosystem based approaches, so that overfishing is avoided, recovery plans and measures are in place for all depleted species, fisheries have no significant adverse impacts on threatened species and vulnerable ecosystems and the impacts of fisheries on stocks, species and ecosystems are within safe ecological limits</w:t>
      </w:r>
    </w:p>
    <w:p w14:paraId="7D53FDCD" w14:textId="3FBBEA44" w:rsidR="00715FD9" w:rsidRPr="00F86C06" w:rsidRDefault="00C87F0D" w:rsidP="00715FD9">
      <w:pPr>
        <w:pStyle w:val="Para1"/>
        <w:suppressLineNumbers/>
        <w:tabs>
          <w:tab w:val="clear" w:pos="360"/>
        </w:tabs>
        <w:suppressAutoHyphens/>
        <w:kinsoku w:val="0"/>
        <w:overflowPunct w:val="0"/>
        <w:autoSpaceDE w:val="0"/>
        <w:autoSpaceDN w:val="0"/>
        <w:spacing w:before="0"/>
        <w:rPr>
          <w:rFonts w:eastAsia="Malgun Gothic"/>
          <w:kern w:val="22"/>
          <w:szCs w:val="22"/>
        </w:rPr>
      </w:pPr>
      <w:r w:rsidRPr="00F86C06">
        <w:rPr>
          <w:rFonts w:eastAsia="Malgun Gothic"/>
          <w:kern w:val="22"/>
          <w:szCs w:val="22"/>
        </w:rPr>
        <w:t xml:space="preserve">A total of </w:t>
      </w:r>
      <w:r w:rsidR="00715FD9" w:rsidRPr="00F86C06">
        <w:rPr>
          <w:rFonts w:eastAsia="Malgun Gothic"/>
          <w:kern w:val="22"/>
          <w:szCs w:val="22"/>
        </w:rPr>
        <w:t xml:space="preserve">106 NBSAPs (63%) contained targets related to Aichi Biodiversity Target 6. About a tenth (13%) of these targets are similar to the level of ambition and scope set out in the Aichi Target. The majority of targets (87%) are lower than the Aichi Target or </w:t>
      </w:r>
      <w:r w:rsidR="00F50F67" w:rsidRPr="00F86C06">
        <w:rPr>
          <w:rFonts w:eastAsia="Malgun Gothic"/>
          <w:kern w:val="22"/>
          <w:szCs w:val="22"/>
        </w:rPr>
        <w:t>do</w:t>
      </w:r>
      <w:r w:rsidR="00715FD9" w:rsidRPr="00F86C06">
        <w:rPr>
          <w:rFonts w:eastAsia="Malgun Gothic"/>
          <w:kern w:val="22"/>
          <w:szCs w:val="22"/>
        </w:rPr>
        <w:t xml:space="preserve"> not address all of </w:t>
      </w:r>
      <w:r w:rsidR="00F50F67" w:rsidRPr="00F86C06">
        <w:rPr>
          <w:rFonts w:eastAsia="Malgun Gothic"/>
          <w:kern w:val="22"/>
          <w:szCs w:val="22"/>
        </w:rPr>
        <w:t xml:space="preserve">its </w:t>
      </w:r>
      <w:r w:rsidR="00715FD9" w:rsidRPr="00F86C06">
        <w:rPr>
          <w:rFonts w:eastAsia="Malgun Gothic"/>
          <w:kern w:val="22"/>
          <w:szCs w:val="22"/>
        </w:rPr>
        <w:t xml:space="preserve">elements. This Aichi Target is one of the targets with the </w:t>
      </w:r>
      <w:r w:rsidR="005F72CF" w:rsidRPr="00F86C06">
        <w:rPr>
          <w:rFonts w:eastAsia="Malgun Gothic"/>
          <w:kern w:val="22"/>
          <w:szCs w:val="22"/>
        </w:rPr>
        <w:t>lowest</w:t>
      </w:r>
      <w:r w:rsidR="00715FD9" w:rsidRPr="00F86C06">
        <w:rPr>
          <w:rFonts w:eastAsia="Malgun Gothic"/>
          <w:kern w:val="22"/>
          <w:szCs w:val="22"/>
        </w:rPr>
        <w:t xml:space="preserve"> number of NBSAPs which contain comparable targets. In most cases, the target is applied to marine fisheries. However, some landlocked countries have also set targets related to Aichi Target 6</w:t>
      </w:r>
      <w:r w:rsidR="005F72CF" w:rsidRPr="00F86C06">
        <w:rPr>
          <w:rFonts w:eastAsia="Malgun Gothic"/>
          <w:kern w:val="22"/>
          <w:szCs w:val="22"/>
        </w:rPr>
        <w:t>,</w:t>
      </w:r>
      <w:r w:rsidR="00715FD9" w:rsidRPr="00F86C06">
        <w:rPr>
          <w:rFonts w:eastAsia="Malgun Gothic"/>
          <w:kern w:val="22"/>
          <w:szCs w:val="22"/>
        </w:rPr>
        <w:t xml:space="preserve"> suggesting that these national targets would apply to inland water</w:t>
      </w:r>
      <w:r w:rsidR="00185E57" w:rsidRPr="00F86C06">
        <w:rPr>
          <w:rFonts w:eastAsia="Malgun Gothic"/>
          <w:kern w:val="22"/>
          <w:szCs w:val="22"/>
        </w:rPr>
        <w:t>s</w:t>
      </w:r>
      <w:r w:rsidR="00715FD9" w:rsidRPr="00F86C06">
        <w:rPr>
          <w:rFonts w:eastAsia="Malgun Gothic"/>
          <w:kern w:val="22"/>
          <w:szCs w:val="22"/>
        </w:rPr>
        <w:t xml:space="preserve"> fish and invertebrate stocks and aquatic plants. Of the targets set, the majority focus on issues related to ensuring that fish stocks are managed and harvested sustainably. By comparison, relatively few targets address issues related to avoiding overfishing, developing recovery plans for depleted species, ensuring that fisheries have no significant adverse impacts on threatened or vulnerable ecosystems, and keeping the impacts of fisheries within safe ecological limits.</w:t>
      </w:r>
    </w:p>
    <w:p w14:paraId="1A3C928B" w14:textId="3B265836" w:rsidR="00715FD9" w:rsidRPr="00F86C06" w:rsidRDefault="00C87F0D"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rsidRPr="00F86C06">
        <w:rPr>
          <w:rFonts w:eastAsia="Malgun Gothic"/>
          <w:kern w:val="22"/>
          <w:szCs w:val="22"/>
        </w:rPr>
        <w:t xml:space="preserve">A total of </w:t>
      </w:r>
      <w:r w:rsidR="00715FD9" w:rsidRPr="00F86C06">
        <w:rPr>
          <w:rFonts w:eastAsia="Malgun Gothic"/>
          <w:kern w:val="22"/>
          <w:szCs w:val="22"/>
        </w:rPr>
        <w:t xml:space="preserve">113 Parties have assessed progress towards their national targets related to Aichi Biodiversity Target 6 while 27 Parties </w:t>
      </w:r>
      <w:r w:rsidR="007F124B" w:rsidRPr="00F86C06">
        <w:rPr>
          <w:rFonts w:eastAsia="Malgun Gothic"/>
          <w:kern w:val="22"/>
          <w:szCs w:val="22"/>
        </w:rPr>
        <w:t xml:space="preserve">did not report on their progress </w:t>
      </w:r>
      <w:r w:rsidR="00715FD9" w:rsidRPr="00F86C06">
        <w:rPr>
          <w:rFonts w:eastAsia="Malgun Gothic"/>
          <w:kern w:val="22"/>
          <w:szCs w:val="22"/>
        </w:rPr>
        <w:t>or indicate</w:t>
      </w:r>
      <w:r w:rsidR="007F124B" w:rsidRPr="00F86C06">
        <w:rPr>
          <w:rFonts w:eastAsia="Malgun Gothic"/>
          <w:kern w:val="22"/>
          <w:szCs w:val="22"/>
        </w:rPr>
        <w:t>d</w:t>
      </w:r>
      <w:r w:rsidR="00715FD9" w:rsidRPr="00F86C06">
        <w:rPr>
          <w:rFonts w:eastAsia="Malgun Gothic"/>
          <w:kern w:val="22"/>
          <w:szCs w:val="22"/>
        </w:rPr>
        <w:t xml:space="preserve"> that their </w:t>
      </w:r>
      <w:r w:rsidR="000C5AA7" w:rsidRPr="00F86C06">
        <w:rPr>
          <w:rFonts w:eastAsia="Malgun Gothic"/>
          <w:kern w:val="22"/>
          <w:szCs w:val="22"/>
        </w:rPr>
        <w:t xml:space="preserve">level of </w:t>
      </w:r>
      <w:r w:rsidR="00715FD9" w:rsidRPr="00F86C06">
        <w:rPr>
          <w:rFonts w:eastAsia="Malgun Gothic"/>
          <w:kern w:val="22"/>
          <w:szCs w:val="22"/>
        </w:rPr>
        <w:t>progress is unknown. Of the Parties which have assessed progress, more than a third are on track to reach (35%) or exceed (2%) them. Less than half (47%) of Parties have made progress towards their targets but not at a rate that will allow them to be met. Several Parties (15%) report that they are making no progress towards the target and few (2%) are moving away from reaching the target. Of the Parties which have assessed progress, few (7%) have national targets similar to Aichi Biodiversity Target 6 which are on track to be met.</w:t>
      </w:r>
    </w:p>
    <w:p w14:paraId="20CE95B8" w14:textId="04B8FDB8" w:rsidR="00715FD9" w:rsidRPr="00F86C06" w:rsidRDefault="00715FD9"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rsidRPr="00F86C06">
        <w:rPr>
          <w:rFonts w:eastAsia="Malgun Gothic"/>
          <w:kern w:val="22"/>
          <w:szCs w:val="22"/>
        </w:rPr>
        <w:t xml:space="preserve">Reported actions to reach this target generally focused on issues related </w:t>
      </w:r>
      <w:r w:rsidR="00656370" w:rsidRPr="00F86C06">
        <w:rPr>
          <w:rFonts w:eastAsia="Malgun Gothic"/>
          <w:kern w:val="22"/>
          <w:szCs w:val="22"/>
        </w:rPr>
        <w:t>to</w:t>
      </w:r>
      <w:r w:rsidRPr="00F86C06">
        <w:rPr>
          <w:rFonts w:eastAsia="Malgun Gothic"/>
          <w:kern w:val="22"/>
          <w:szCs w:val="22"/>
        </w:rPr>
        <w:t xml:space="preserve"> better assessment of fish stocks and the development of regulatory measures, including issues related to illegal, unreported and unregulated fishing, fishing practices and equipment, as well as better monitoring of fishing vessels and by</w:t>
      </w:r>
      <w:r w:rsidR="00584765" w:rsidRPr="00F86C06">
        <w:rPr>
          <w:rFonts w:eastAsia="Malgun Gothic"/>
          <w:kern w:val="22"/>
          <w:szCs w:val="22"/>
        </w:rPr>
        <w:t>-</w:t>
      </w:r>
      <w:r w:rsidRPr="00F86C06">
        <w:rPr>
          <w:rFonts w:eastAsia="Malgun Gothic"/>
          <w:kern w:val="22"/>
          <w:szCs w:val="22"/>
        </w:rPr>
        <w:t>catch</w:t>
      </w:r>
      <w:r w:rsidR="00C87F0D" w:rsidRPr="00F86C06">
        <w:rPr>
          <w:rFonts w:eastAsia="Malgun Gothic"/>
          <w:kern w:val="22"/>
          <w:szCs w:val="22"/>
        </w:rPr>
        <w:t>.</w:t>
      </w:r>
      <w:r w:rsidRPr="00F86C06">
        <w:rPr>
          <w:rStyle w:val="FootnoteReference"/>
          <w:rFonts w:eastAsia="Malgun Gothic"/>
          <w:kern w:val="22"/>
          <w:sz w:val="22"/>
          <w:szCs w:val="22"/>
        </w:rPr>
        <w:footnoteReference w:id="21"/>
      </w:r>
      <w:r w:rsidRPr="00F86C06">
        <w:rPr>
          <w:rFonts w:eastAsia="Malgun Gothic"/>
          <w:kern w:val="22"/>
          <w:szCs w:val="22"/>
        </w:rPr>
        <w:t xml:space="preserve"> Actions related to ensuring the health of fish stocks, including regulations on fish size, seasonal or periodic fishing bans, the establishment of marine protected areas and the restoration of fish habitat were also noted. Some national reports also refer to actions related to the promotion and support of community ownership and management of fisheries</w:t>
      </w:r>
      <w:r w:rsidR="00C87F0D" w:rsidRPr="00F86C06">
        <w:rPr>
          <w:rFonts w:eastAsia="Malgun Gothic"/>
          <w:kern w:val="22"/>
          <w:szCs w:val="22"/>
        </w:rPr>
        <w:t>.</w:t>
      </w:r>
      <w:r w:rsidRPr="00F86C06">
        <w:rPr>
          <w:rStyle w:val="FootnoteReference"/>
          <w:rFonts w:eastAsia="Malgun Gothic"/>
          <w:kern w:val="22"/>
          <w:sz w:val="22"/>
          <w:szCs w:val="22"/>
        </w:rPr>
        <w:footnoteReference w:id="22"/>
      </w:r>
    </w:p>
    <w:p w14:paraId="305288AA" w14:textId="4EA9D8E9" w:rsidR="00715FD9" w:rsidRPr="00F86C06" w:rsidRDefault="00715FD9" w:rsidP="00715FD9">
      <w:pPr>
        <w:keepNext/>
        <w:suppressLineNumbers/>
        <w:suppressAutoHyphens/>
        <w:kinsoku w:val="0"/>
        <w:overflowPunct w:val="0"/>
        <w:autoSpaceDE w:val="0"/>
        <w:autoSpaceDN w:val="0"/>
        <w:spacing w:before="120" w:after="120"/>
        <w:rPr>
          <w:i/>
          <w:iCs/>
          <w:snapToGrid w:val="0"/>
          <w:kern w:val="22"/>
          <w:szCs w:val="22"/>
          <w:shd w:val="clear" w:color="auto" w:fill="FFFFFF"/>
        </w:rPr>
      </w:pPr>
      <w:r w:rsidRPr="00F86C06">
        <w:rPr>
          <w:i/>
          <w:iCs/>
          <w:snapToGrid w:val="0"/>
          <w:kern w:val="22"/>
          <w:szCs w:val="22"/>
          <w:shd w:val="clear" w:color="auto" w:fill="FFFFFF"/>
        </w:rPr>
        <w:lastRenderedPageBreak/>
        <w:t>Target 7 – By 2020</w:t>
      </w:r>
      <w:r w:rsidR="00D51F7D" w:rsidRPr="00F86C06">
        <w:rPr>
          <w:i/>
          <w:iCs/>
          <w:snapToGrid w:val="0"/>
          <w:kern w:val="22"/>
          <w:szCs w:val="22"/>
          <w:shd w:val="clear" w:color="auto" w:fill="FFFFFF"/>
        </w:rPr>
        <w:t>,</w:t>
      </w:r>
      <w:r w:rsidRPr="00F86C06">
        <w:rPr>
          <w:i/>
          <w:iCs/>
          <w:snapToGrid w:val="0"/>
          <w:kern w:val="22"/>
          <w:szCs w:val="22"/>
          <w:shd w:val="clear" w:color="auto" w:fill="FFFFFF"/>
        </w:rPr>
        <w:t xml:space="preserve"> areas under agriculture, aquaculture and forestry are managed sustainably, ensuring conservation of biodiversity</w:t>
      </w:r>
    </w:p>
    <w:p w14:paraId="6951ACE9" w14:textId="0653EEC5" w:rsidR="00715FD9" w:rsidRPr="00F86C06" w:rsidRDefault="00C87F0D" w:rsidP="00715FD9">
      <w:pPr>
        <w:pStyle w:val="Para1"/>
        <w:suppressLineNumbers/>
        <w:tabs>
          <w:tab w:val="clear" w:pos="360"/>
        </w:tabs>
        <w:suppressAutoHyphens/>
        <w:kinsoku w:val="0"/>
        <w:overflowPunct w:val="0"/>
        <w:autoSpaceDE w:val="0"/>
        <w:autoSpaceDN w:val="0"/>
        <w:spacing w:before="0"/>
        <w:rPr>
          <w:rFonts w:eastAsia="Malgun Gothic"/>
          <w:kern w:val="22"/>
          <w:szCs w:val="22"/>
        </w:rPr>
      </w:pPr>
      <w:r w:rsidRPr="00F86C06">
        <w:rPr>
          <w:rFonts w:eastAsia="Malgun Gothic"/>
          <w:kern w:val="22"/>
          <w:szCs w:val="22"/>
        </w:rPr>
        <w:t xml:space="preserve">A total of </w:t>
      </w:r>
      <w:r w:rsidR="00715FD9" w:rsidRPr="00F86C06">
        <w:rPr>
          <w:rFonts w:eastAsia="Malgun Gothic"/>
          <w:kern w:val="22"/>
          <w:szCs w:val="22"/>
        </w:rPr>
        <w:t>136 NBSAPs (81%) contain targets related to Aichi Biodiversity Target 7. Of these targets</w:t>
      </w:r>
      <w:r w:rsidR="003E7334" w:rsidRPr="00F86C06">
        <w:rPr>
          <w:rFonts w:eastAsia="Malgun Gothic"/>
          <w:kern w:val="22"/>
          <w:szCs w:val="22"/>
        </w:rPr>
        <w:t>,</w:t>
      </w:r>
      <w:r w:rsidR="00715FD9" w:rsidRPr="00F86C06">
        <w:rPr>
          <w:rFonts w:eastAsia="Malgun Gothic"/>
          <w:kern w:val="22"/>
          <w:szCs w:val="22"/>
        </w:rPr>
        <w:t xml:space="preserve"> about a tenth (13%) are equal to the overall scope and level of ambition set out in the Aichi Target. The majority (88%) are lower than the Aichi Target or only address some of its elements. Comparatively few of the national targets related to this Aichi Target address issues associated with aquaculture. Further</w:t>
      </w:r>
      <w:r w:rsidR="008375B2" w:rsidRPr="00F86C06">
        <w:rPr>
          <w:rFonts w:eastAsia="Malgun Gothic"/>
          <w:kern w:val="22"/>
          <w:szCs w:val="22"/>
        </w:rPr>
        <w:t>,</w:t>
      </w:r>
      <w:r w:rsidR="00715FD9" w:rsidRPr="00F86C06">
        <w:rPr>
          <w:rFonts w:eastAsia="Malgun Gothic"/>
          <w:kern w:val="22"/>
          <w:szCs w:val="22"/>
        </w:rPr>
        <w:t xml:space="preserve"> many of the national targets are related to sustainable management generally and do not specify agriculture or forestry.</w:t>
      </w:r>
    </w:p>
    <w:p w14:paraId="7D634799" w14:textId="22277D28" w:rsidR="00715FD9" w:rsidRPr="00F86C06" w:rsidRDefault="00C87F0D"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rsidRPr="00F86C06">
        <w:rPr>
          <w:rFonts w:eastAsia="Malgun Gothic"/>
          <w:kern w:val="22"/>
          <w:szCs w:val="22"/>
        </w:rPr>
        <w:t xml:space="preserve">A total of </w:t>
      </w:r>
      <w:r w:rsidR="00715FD9" w:rsidRPr="00F86C06">
        <w:rPr>
          <w:rFonts w:eastAsia="Malgun Gothic"/>
          <w:kern w:val="22"/>
          <w:szCs w:val="22"/>
        </w:rPr>
        <w:t xml:space="preserve">125 Parties have assessed progress towards their national targets related to Aichi Biodiversity Target 7 while 15 Parties </w:t>
      </w:r>
      <w:r w:rsidR="007F124B" w:rsidRPr="00F86C06">
        <w:rPr>
          <w:rFonts w:eastAsia="Malgun Gothic"/>
          <w:kern w:val="22"/>
          <w:szCs w:val="22"/>
        </w:rPr>
        <w:t xml:space="preserve">did not report on their progress </w:t>
      </w:r>
      <w:r w:rsidR="00715FD9" w:rsidRPr="00F86C06">
        <w:rPr>
          <w:rFonts w:eastAsia="Malgun Gothic"/>
          <w:kern w:val="22"/>
          <w:szCs w:val="22"/>
        </w:rPr>
        <w:t>or indicate</w:t>
      </w:r>
      <w:r w:rsidR="007F124B" w:rsidRPr="00F86C06">
        <w:rPr>
          <w:rFonts w:eastAsia="Malgun Gothic"/>
          <w:kern w:val="22"/>
          <w:szCs w:val="22"/>
        </w:rPr>
        <w:t>d</w:t>
      </w:r>
      <w:r w:rsidR="00715FD9" w:rsidRPr="00F86C06">
        <w:rPr>
          <w:rFonts w:eastAsia="Malgun Gothic"/>
          <w:kern w:val="22"/>
          <w:szCs w:val="22"/>
        </w:rPr>
        <w:t xml:space="preserve"> that the</w:t>
      </w:r>
      <w:r w:rsidR="000C5AA7" w:rsidRPr="00F86C06">
        <w:rPr>
          <w:rFonts w:eastAsia="Malgun Gothic"/>
          <w:kern w:val="22"/>
          <w:szCs w:val="22"/>
        </w:rPr>
        <w:t>ir</w:t>
      </w:r>
      <w:r w:rsidR="00715FD9" w:rsidRPr="00F86C06">
        <w:rPr>
          <w:rFonts w:eastAsia="Malgun Gothic"/>
          <w:kern w:val="22"/>
          <w:szCs w:val="22"/>
        </w:rPr>
        <w:t xml:space="preserve"> level of progress is unknown. Of the Parties which have assessed progress, more than a third are on track to reach (36%) or exceed (1%) their national targets. More than half (55%) of Parties have made progress towards their targets but not at a rate that will allow them to be met. A few Parties (6%) report that they are making no progress towards the target and few (2%) are moving away from reaching the target. Of the Parties which have assessed progress</w:t>
      </w:r>
      <w:r w:rsidR="00107793" w:rsidRPr="00F86C06">
        <w:rPr>
          <w:rFonts w:eastAsia="Malgun Gothic"/>
          <w:kern w:val="22"/>
          <w:szCs w:val="22"/>
        </w:rPr>
        <w:t>,</w:t>
      </w:r>
      <w:r w:rsidR="00715FD9" w:rsidRPr="00F86C06">
        <w:rPr>
          <w:rFonts w:eastAsia="Malgun Gothic"/>
          <w:kern w:val="22"/>
          <w:szCs w:val="22"/>
        </w:rPr>
        <w:t xml:space="preserve"> few (8%) have national targets similar to Aichi Biodiversity Target 7 which are on track to be met.</w:t>
      </w:r>
    </w:p>
    <w:p w14:paraId="64BEBA6E" w14:textId="3553E94A" w:rsidR="00715FD9" w:rsidRPr="00F86C06" w:rsidRDefault="00715FD9"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rsidRPr="00F86C06">
        <w:rPr>
          <w:rFonts w:eastAsia="Malgun Gothic"/>
          <w:kern w:val="22"/>
          <w:szCs w:val="22"/>
        </w:rPr>
        <w:t>Parties have reported that they have taken various actions in relation to making agriculture more sustainable. These include promoting sustainable soil management, the rehabilitation and restoration of degraded habitats, promoting research on crop efficiency and resilience, support and promotion of organic agriculture and agroforestry, encouraging agricultural diversification</w:t>
      </w:r>
      <w:r w:rsidR="008822BD" w:rsidRPr="00F86C06">
        <w:rPr>
          <w:rFonts w:eastAsia="Malgun Gothic"/>
          <w:kern w:val="22"/>
          <w:szCs w:val="22"/>
        </w:rPr>
        <w:t>,</w:t>
      </w:r>
      <w:r w:rsidRPr="00F86C06">
        <w:rPr>
          <w:rFonts w:eastAsia="Malgun Gothic"/>
          <w:kern w:val="22"/>
          <w:szCs w:val="22"/>
        </w:rPr>
        <w:t xml:space="preserve"> and improved watershed management</w:t>
      </w:r>
      <w:r w:rsidR="00C87F0D" w:rsidRPr="00F86C06">
        <w:rPr>
          <w:rFonts w:eastAsia="Malgun Gothic"/>
          <w:kern w:val="22"/>
          <w:szCs w:val="22"/>
        </w:rPr>
        <w:t>.</w:t>
      </w:r>
      <w:r w:rsidRPr="00F86C06">
        <w:rPr>
          <w:rStyle w:val="FootnoteReference"/>
          <w:rFonts w:eastAsia="Malgun Gothic"/>
          <w:kern w:val="22"/>
          <w:sz w:val="22"/>
          <w:szCs w:val="22"/>
        </w:rPr>
        <w:footnoteReference w:id="23"/>
      </w:r>
      <w:r w:rsidRPr="00F86C06">
        <w:rPr>
          <w:rFonts w:eastAsia="Malgun Gothic"/>
          <w:kern w:val="22"/>
          <w:szCs w:val="22"/>
        </w:rPr>
        <w:t xml:space="preserve"> With regard to agricultural inputs, some national reports noted actions to promote and subsidize the use of climate</w:t>
      </w:r>
      <w:r w:rsidR="00D03A44" w:rsidRPr="00F86C06">
        <w:rPr>
          <w:rFonts w:eastAsia="Malgun Gothic"/>
          <w:kern w:val="22"/>
          <w:szCs w:val="22"/>
        </w:rPr>
        <w:t>-</w:t>
      </w:r>
      <w:r w:rsidRPr="00F86C06">
        <w:rPr>
          <w:rFonts w:eastAsia="Malgun Gothic"/>
          <w:kern w:val="22"/>
          <w:szCs w:val="22"/>
        </w:rPr>
        <w:t xml:space="preserve">resilient crops, incentives to incorporate modern agriculture practices into agricultural systems, the promotion of improved irrigation techniques, encouraging lower fertilizer use, and the improvement of </w:t>
      </w:r>
      <w:r w:rsidRPr="00F86C06">
        <w:rPr>
          <w:rFonts w:eastAsia="Malgun Gothic"/>
          <w:iCs/>
          <w:kern w:val="22"/>
          <w:szCs w:val="22"/>
        </w:rPr>
        <w:t>ex</w:t>
      </w:r>
      <w:r w:rsidR="003705B4" w:rsidRPr="00F86C06">
        <w:rPr>
          <w:rFonts w:eastAsia="Malgun Gothic"/>
          <w:iCs/>
          <w:kern w:val="22"/>
          <w:szCs w:val="22"/>
        </w:rPr>
        <w:t xml:space="preserve"> </w:t>
      </w:r>
      <w:r w:rsidRPr="00F86C06">
        <w:rPr>
          <w:rFonts w:eastAsia="Malgun Gothic"/>
          <w:iCs/>
          <w:kern w:val="22"/>
          <w:szCs w:val="22"/>
        </w:rPr>
        <w:t>situ</w:t>
      </w:r>
      <w:r w:rsidRPr="00F86C06">
        <w:rPr>
          <w:rFonts w:eastAsia="Malgun Gothic"/>
          <w:kern w:val="22"/>
          <w:szCs w:val="22"/>
        </w:rPr>
        <w:t xml:space="preserve"> conservation and see</w:t>
      </w:r>
      <w:r w:rsidR="00584765" w:rsidRPr="00F86C06">
        <w:rPr>
          <w:rFonts w:eastAsia="Malgun Gothic"/>
          <w:kern w:val="22"/>
          <w:szCs w:val="22"/>
        </w:rPr>
        <w:t>d</w:t>
      </w:r>
      <w:r w:rsidRPr="00F86C06">
        <w:rPr>
          <w:rFonts w:eastAsia="Malgun Gothic"/>
          <w:kern w:val="22"/>
          <w:szCs w:val="22"/>
        </w:rPr>
        <w:t xml:space="preserve"> banks.</w:t>
      </w:r>
    </w:p>
    <w:p w14:paraId="040305ED" w14:textId="4F0FE74E" w:rsidR="00715FD9" w:rsidRPr="00F86C06" w:rsidRDefault="00715FD9"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rsidRPr="00F86C06">
        <w:rPr>
          <w:rFonts w:eastAsia="Malgun Gothic"/>
          <w:kern w:val="22"/>
          <w:szCs w:val="22"/>
        </w:rPr>
        <w:t>With regard to the sustainable management of forests, noted actions included the decentralization of forest management</w:t>
      </w:r>
      <w:r w:rsidR="00584765" w:rsidRPr="00F86C06">
        <w:rPr>
          <w:rFonts w:eastAsia="Malgun Gothic"/>
          <w:kern w:val="22"/>
          <w:szCs w:val="22"/>
        </w:rPr>
        <w:t>,</w:t>
      </w:r>
      <w:r w:rsidRPr="00F86C06">
        <w:rPr>
          <w:rStyle w:val="FootnoteReference"/>
          <w:rFonts w:eastAsia="Malgun Gothic"/>
          <w:kern w:val="22"/>
          <w:sz w:val="22"/>
          <w:szCs w:val="22"/>
        </w:rPr>
        <w:footnoteReference w:id="24"/>
      </w:r>
      <w:r w:rsidRPr="00F86C06">
        <w:rPr>
          <w:rFonts w:eastAsia="Malgun Gothic"/>
          <w:kern w:val="22"/>
          <w:szCs w:val="22"/>
        </w:rPr>
        <w:t xml:space="preserve"> improving forest governance frameworks and capacity</w:t>
      </w:r>
      <w:r w:rsidR="00BE5960" w:rsidRPr="00F86C06">
        <w:rPr>
          <w:rFonts w:eastAsia="Malgun Gothic"/>
          <w:kern w:val="22"/>
          <w:szCs w:val="22"/>
        </w:rPr>
        <w:t>-</w:t>
      </w:r>
      <w:r w:rsidRPr="00F86C06">
        <w:rPr>
          <w:rFonts w:eastAsia="Malgun Gothic"/>
          <w:kern w:val="22"/>
          <w:szCs w:val="22"/>
        </w:rPr>
        <w:t>building, promoting restoration, encouraging forest certification, and updating and reviewing forestry licen</w:t>
      </w:r>
      <w:r w:rsidR="00BD1E83" w:rsidRPr="00F86C06">
        <w:rPr>
          <w:rFonts w:eastAsia="Malgun Gothic"/>
          <w:kern w:val="22"/>
          <w:szCs w:val="22"/>
        </w:rPr>
        <w:t>c</w:t>
      </w:r>
      <w:r w:rsidRPr="00F86C06">
        <w:rPr>
          <w:rFonts w:eastAsia="Malgun Gothic"/>
          <w:kern w:val="22"/>
          <w:szCs w:val="22"/>
        </w:rPr>
        <w:t>es. Some reports also noted actions related to compensating or incentivi</w:t>
      </w:r>
      <w:r w:rsidR="009A62C0" w:rsidRPr="00F86C06">
        <w:rPr>
          <w:rFonts w:eastAsia="Malgun Gothic"/>
          <w:kern w:val="22"/>
          <w:szCs w:val="22"/>
        </w:rPr>
        <w:t>z</w:t>
      </w:r>
      <w:r w:rsidRPr="00F86C06">
        <w:rPr>
          <w:rFonts w:eastAsia="Malgun Gothic"/>
          <w:kern w:val="22"/>
          <w:szCs w:val="22"/>
        </w:rPr>
        <w:t>ing landowners to not cut forests and to promote silvicultur</w:t>
      </w:r>
      <w:r w:rsidR="00D03A44" w:rsidRPr="00F86C06">
        <w:rPr>
          <w:rFonts w:eastAsia="Malgun Gothic"/>
          <w:kern w:val="22"/>
          <w:szCs w:val="22"/>
        </w:rPr>
        <w:t>al</w:t>
      </w:r>
      <w:r w:rsidRPr="00F86C06">
        <w:rPr>
          <w:rFonts w:eastAsia="Malgun Gothic"/>
          <w:kern w:val="22"/>
          <w:szCs w:val="22"/>
        </w:rPr>
        <w:t xml:space="preserve"> practices </w:t>
      </w:r>
      <w:r w:rsidR="00D03A44" w:rsidRPr="00F86C06">
        <w:rPr>
          <w:rFonts w:eastAsia="Malgun Gothic"/>
          <w:kern w:val="22"/>
          <w:szCs w:val="22"/>
        </w:rPr>
        <w:t>that</w:t>
      </w:r>
      <w:r w:rsidRPr="00F86C06">
        <w:rPr>
          <w:rFonts w:eastAsia="Malgun Gothic"/>
          <w:kern w:val="22"/>
          <w:szCs w:val="22"/>
        </w:rPr>
        <w:t xml:space="preserve"> also help with poverty alleviation.</w:t>
      </w:r>
    </w:p>
    <w:p w14:paraId="03070129" w14:textId="5BF2ADBA" w:rsidR="00715FD9" w:rsidRPr="00F86C06" w:rsidRDefault="00715FD9" w:rsidP="00B14703">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rsidRPr="00F86C06">
        <w:rPr>
          <w:rFonts w:eastAsia="Malgun Gothic"/>
          <w:kern w:val="22"/>
          <w:szCs w:val="22"/>
        </w:rPr>
        <w:t>In relation to aquaculture, some national reports noted actions to improve the management of aquaculture through technological innovations and modernization. Others noted the promotion of certification schemes and environmental standards</w:t>
      </w:r>
      <w:r w:rsidR="00C87F0D" w:rsidRPr="00F86C06">
        <w:rPr>
          <w:rFonts w:eastAsia="Malgun Gothic"/>
          <w:kern w:val="22"/>
          <w:szCs w:val="22"/>
        </w:rPr>
        <w:t>.</w:t>
      </w:r>
      <w:r w:rsidRPr="00F86C06">
        <w:rPr>
          <w:rStyle w:val="FootnoteReference"/>
          <w:rFonts w:eastAsia="Malgun Gothic"/>
          <w:kern w:val="22"/>
          <w:sz w:val="22"/>
          <w:szCs w:val="22"/>
        </w:rPr>
        <w:footnoteReference w:id="25"/>
      </w:r>
      <w:r w:rsidRPr="00F86C06">
        <w:rPr>
          <w:rFonts w:eastAsia="Malgun Gothic"/>
          <w:kern w:val="22"/>
          <w:szCs w:val="22"/>
        </w:rPr>
        <w:t xml:space="preserve"> General</w:t>
      </w:r>
      <w:r w:rsidR="009C2661" w:rsidRPr="00F86C06">
        <w:rPr>
          <w:rFonts w:eastAsia="Malgun Gothic"/>
          <w:kern w:val="22"/>
          <w:szCs w:val="22"/>
        </w:rPr>
        <w:t>l</w:t>
      </w:r>
      <w:r w:rsidRPr="00F86C06">
        <w:rPr>
          <w:rFonts w:eastAsia="Malgun Gothic"/>
          <w:kern w:val="22"/>
          <w:szCs w:val="22"/>
        </w:rPr>
        <w:t>y</w:t>
      </w:r>
      <w:r w:rsidR="004E6404">
        <w:rPr>
          <w:rFonts w:eastAsia="Malgun Gothic"/>
          <w:kern w:val="22"/>
          <w:szCs w:val="22"/>
        </w:rPr>
        <w:t>,</w:t>
      </w:r>
      <w:r w:rsidRPr="00F86C06">
        <w:rPr>
          <w:rFonts w:eastAsia="Malgun Gothic"/>
          <w:kern w:val="22"/>
          <w:szCs w:val="22"/>
        </w:rPr>
        <w:t xml:space="preserve"> much less attention was given to aquaculture than to issues associated with forestry and agriculture.</w:t>
      </w:r>
    </w:p>
    <w:p w14:paraId="3EC42DE1" w14:textId="77777777" w:rsidR="00715FD9" w:rsidRPr="00F86C06" w:rsidRDefault="00715FD9" w:rsidP="00B07288">
      <w:pPr>
        <w:keepNext/>
        <w:suppressLineNumbers/>
        <w:suppressAutoHyphens/>
        <w:kinsoku w:val="0"/>
        <w:overflowPunct w:val="0"/>
        <w:autoSpaceDE w:val="0"/>
        <w:autoSpaceDN w:val="0"/>
        <w:spacing w:before="120" w:after="120"/>
        <w:rPr>
          <w:snapToGrid w:val="0"/>
          <w:color w:val="333333"/>
          <w:kern w:val="22"/>
          <w:szCs w:val="22"/>
          <w:shd w:val="clear" w:color="auto" w:fill="FFFFFF"/>
        </w:rPr>
      </w:pPr>
      <w:r w:rsidRPr="00F86C06">
        <w:rPr>
          <w:i/>
          <w:iCs/>
          <w:snapToGrid w:val="0"/>
          <w:color w:val="333333"/>
          <w:kern w:val="22"/>
          <w:szCs w:val="22"/>
          <w:shd w:val="clear" w:color="auto" w:fill="FFFFFF"/>
        </w:rPr>
        <w:t>Target 8</w:t>
      </w:r>
      <w:r w:rsidRPr="00F86C06">
        <w:rPr>
          <w:i/>
          <w:iCs/>
          <w:snapToGrid w:val="0"/>
          <w:kern w:val="22"/>
          <w:szCs w:val="22"/>
        </w:rPr>
        <w:t xml:space="preserve"> – </w:t>
      </w:r>
      <w:r w:rsidRPr="00F86C06">
        <w:rPr>
          <w:i/>
          <w:iCs/>
          <w:snapToGrid w:val="0"/>
          <w:color w:val="333333"/>
          <w:kern w:val="22"/>
          <w:szCs w:val="22"/>
          <w:shd w:val="clear" w:color="auto" w:fill="FFFFFF"/>
        </w:rPr>
        <w:t>By 2020, pollution, including from excess nutrients, has been brought to levels that are not detrimental to ecosystem function and biodiversity</w:t>
      </w:r>
    </w:p>
    <w:p w14:paraId="0720DC1F" w14:textId="74A040CB" w:rsidR="00715FD9" w:rsidRPr="00F86C06" w:rsidRDefault="00C87F0D" w:rsidP="00715FD9">
      <w:pPr>
        <w:pStyle w:val="Para1"/>
        <w:suppressLineNumbers/>
        <w:tabs>
          <w:tab w:val="clear" w:pos="360"/>
        </w:tabs>
        <w:suppressAutoHyphens/>
        <w:kinsoku w:val="0"/>
        <w:overflowPunct w:val="0"/>
        <w:autoSpaceDE w:val="0"/>
        <w:autoSpaceDN w:val="0"/>
        <w:spacing w:before="0"/>
        <w:rPr>
          <w:rFonts w:eastAsia="Malgun Gothic"/>
          <w:kern w:val="22"/>
          <w:szCs w:val="22"/>
        </w:rPr>
      </w:pPr>
      <w:r w:rsidRPr="00F86C06">
        <w:rPr>
          <w:rFonts w:eastAsia="Malgun Gothic"/>
          <w:kern w:val="22"/>
          <w:szCs w:val="22"/>
        </w:rPr>
        <w:t xml:space="preserve">A total of </w:t>
      </w:r>
      <w:r w:rsidR="00715FD9" w:rsidRPr="00F86C06">
        <w:rPr>
          <w:rFonts w:eastAsia="Malgun Gothic"/>
          <w:kern w:val="22"/>
          <w:szCs w:val="22"/>
        </w:rPr>
        <w:t xml:space="preserve">116 NBSAPs </w:t>
      </w:r>
      <w:r w:rsidR="00B47A9B" w:rsidRPr="00F86C06">
        <w:rPr>
          <w:rFonts w:eastAsia="Malgun Gothic"/>
          <w:kern w:val="22"/>
          <w:szCs w:val="22"/>
        </w:rPr>
        <w:t xml:space="preserve">(69%) </w:t>
      </w:r>
      <w:r w:rsidR="00715FD9" w:rsidRPr="00F86C06">
        <w:rPr>
          <w:rFonts w:eastAsia="Malgun Gothic"/>
          <w:kern w:val="22"/>
          <w:szCs w:val="22"/>
        </w:rPr>
        <w:t>contained targets related to Aichi Biodiversity Target 8. Of these</w:t>
      </w:r>
      <w:r w:rsidR="00DC524B" w:rsidRPr="00F86C06">
        <w:rPr>
          <w:rFonts w:eastAsia="Malgun Gothic"/>
          <w:kern w:val="22"/>
          <w:szCs w:val="22"/>
        </w:rPr>
        <w:t xml:space="preserve"> targets</w:t>
      </w:r>
      <w:r w:rsidR="003E7334" w:rsidRPr="00F86C06">
        <w:rPr>
          <w:rFonts w:eastAsia="Malgun Gothic"/>
          <w:kern w:val="22"/>
          <w:szCs w:val="22"/>
        </w:rPr>
        <w:t xml:space="preserve">, </w:t>
      </w:r>
      <w:r w:rsidR="00715FD9" w:rsidRPr="00F86C06">
        <w:rPr>
          <w:rFonts w:eastAsia="Malgun Gothic"/>
          <w:kern w:val="22"/>
          <w:szCs w:val="22"/>
        </w:rPr>
        <w:t xml:space="preserve">about a fifth (19%) are similar to the scope and level of ambition of Aichi Target 8. However, the </w:t>
      </w:r>
      <w:r w:rsidR="00715FD9" w:rsidRPr="00F86C06">
        <w:rPr>
          <w:rFonts w:eastAsia="Malgun Gothic"/>
          <w:kern w:val="22"/>
          <w:szCs w:val="22"/>
        </w:rPr>
        <w:lastRenderedPageBreak/>
        <w:t>majority (81%) are lower than the Aichi Target or do not cover all of its elements. In the national targets there is generally a greater focus on reducing pollution than on reducing excess nutrients.</w:t>
      </w:r>
    </w:p>
    <w:p w14:paraId="12A95167" w14:textId="0C27E3D2" w:rsidR="00715FD9" w:rsidRPr="00F86C06" w:rsidRDefault="00C87F0D"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rsidRPr="00F86C06">
        <w:rPr>
          <w:rFonts w:eastAsia="Malgun Gothic"/>
          <w:kern w:val="22"/>
          <w:szCs w:val="22"/>
        </w:rPr>
        <w:t xml:space="preserve">A total of </w:t>
      </w:r>
      <w:r w:rsidR="00715FD9" w:rsidRPr="00F86C06">
        <w:rPr>
          <w:rFonts w:eastAsia="Malgun Gothic"/>
          <w:kern w:val="22"/>
          <w:szCs w:val="22"/>
        </w:rPr>
        <w:t xml:space="preserve">112 Parties have assessed progress towards their national targets related to Aichi Biodiversity Target 8 while 28 Parties </w:t>
      </w:r>
      <w:r w:rsidR="007F124B" w:rsidRPr="00F86C06">
        <w:rPr>
          <w:rFonts w:eastAsia="Malgun Gothic"/>
          <w:kern w:val="22"/>
          <w:szCs w:val="22"/>
        </w:rPr>
        <w:t xml:space="preserve">did not report on their progress </w:t>
      </w:r>
      <w:r w:rsidR="00715FD9" w:rsidRPr="00F86C06">
        <w:rPr>
          <w:rFonts w:eastAsia="Malgun Gothic"/>
          <w:kern w:val="22"/>
          <w:szCs w:val="22"/>
        </w:rPr>
        <w:t>or indicate</w:t>
      </w:r>
      <w:r w:rsidR="007F124B" w:rsidRPr="00F86C06">
        <w:rPr>
          <w:rFonts w:eastAsia="Malgun Gothic"/>
          <w:kern w:val="22"/>
          <w:szCs w:val="22"/>
        </w:rPr>
        <w:t>d</w:t>
      </w:r>
      <w:r w:rsidR="00715FD9" w:rsidRPr="00F86C06">
        <w:rPr>
          <w:rFonts w:eastAsia="Malgun Gothic"/>
          <w:kern w:val="22"/>
          <w:szCs w:val="22"/>
        </w:rPr>
        <w:t xml:space="preserve"> that their </w:t>
      </w:r>
      <w:r w:rsidR="000C5AA7" w:rsidRPr="00F86C06">
        <w:rPr>
          <w:rFonts w:eastAsia="Malgun Gothic"/>
          <w:kern w:val="22"/>
          <w:szCs w:val="22"/>
        </w:rPr>
        <w:t xml:space="preserve">level of </w:t>
      </w:r>
      <w:r w:rsidR="00715FD9" w:rsidRPr="00F86C06">
        <w:rPr>
          <w:rFonts w:eastAsia="Malgun Gothic"/>
          <w:kern w:val="22"/>
          <w:szCs w:val="22"/>
        </w:rPr>
        <w:t>progress is unknown. Of the Parties which have assessed progress, more than fifth are on track to reach (21%) or exceed (1%) their national targets. More than half (62%) of Parties have made progress towards their targets but not at a rate that will allow them to be met. Some Parties (14%) report that they are making no progress towards the target and few (3%) are moving away from reaching the target. Of the Parties which have assessed progress, few (3%) have national targets similar to Aichi Biodiversity Target 8 which are on track to be met.</w:t>
      </w:r>
    </w:p>
    <w:p w14:paraId="04A4A27B" w14:textId="5E13E545" w:rsidR="00715FD9" w:rsidRPr="00F86C06" w:rsidRDefault="00715FD9"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rsidRPr="00F86C06">
        <w:rPr>
          <w:rFonts w:eastAsia="Malgun Gothic"/>
          <w:kern w:val="22"/>
          <w:szCs w:val="22"/>
        </w:rPr>
        <w:t xml:space="preserve">Parties report in their sixth national reports that they are taking a range of actions to address issues related to pollution. These include </w:t>
      </w:r>
      <w:r w:rsidRPr="00F86C06">
        <w:rPr>
          <w:kern w:val="22"/>
          <w:szCs w:val="22"/>
        </w:rPr>
        <w:t>regulatory approaches, setting up monitoring systems and standards</w:t>
      </w:r>
      <w:r w:rsidR="00BE5960" w:rsidRPr="00F86C06">
        <w:rPr>
          <w:kern w:val="22"/>
          <w:szCs w:val="22"/>
        </w:rPr>
        <w:t>,</w:t>
      </w:r>
      <w:r w:rsidRPr="00F86C06">
        <w:rPr>
          <w:kern w:val="22"/>
          <w:szCs w:val="22"/>
        </w:rPr>
        <w:t xml:space="preserve"> and promoting the develop</w:t>
      </w:r>
      <w:r w:rsidR="00BE5960" w:rsidRPr="00F86C06">
        <w:rPr>
          <w:kern w:val="22"/>
          <w:szCs w:val="22"/>
        </w:rPr>
        <w:t>ment</w:t>
      </w:r>
      <w:r w:rsidRPr="00F86C06">
        <w:rPr>
          <w:kern w:val="22"/>
          <w:szCs w:val="22"/>
        </w:rPr>
        <w:t xml:space="preserve"> and improvement of infrastructure to improve waste management</w:t>
      </w:r>
      <w:r w:rsidR="008F7E2C" w:rsidRPr="00F86C06">
        <w:rPr>
          <w:kern w:val="22"/>
          <w:szCs w:val="22"/>
        </w:rPr>
        <w:t>.</w:t>
      </w:r>
      <w:r w:rsidRPr="00F86C06">
        <w:rPr>
          <w:rStyle w:val="FootnoteReference"/>
          <w:kern w:val="22"/>
          <w:sz w:val="22"/>
          <w:szCs w:val="22"/>
        </w:rPr>
        <w:footnoteReference w:id="26"/>
      </w:r>
      <w:r w:rsidRPr="00F86C06">
        <w:rPr>
          <w:kern w:val="22"/>
          <w:szCs w:val="22"/>
        </w:rPr>
        <w:t xml:space="preserve"> With regard to nutrients</w:t>
      </w:r>
      <w:r w:rsidR="00BE5960" w:rsidRPr="00F86C06">
        <w:rPr>
          <w:kern w:val="22"/>
          <w:szCs w:val="22"/>
        </w:rPr>
        <w:t>,</w:t>
      </w:r>
      <w:r w:rsidRPr="00F86C06">
        <w:rPr>
          <w:kern w:val="22"/>
          <w:szCs w:val="22"/>
        </w:rPr>
        <w:t xml:space="preserve"> commonly reported policies were the regulation of fertilizer use, monitoring agricultural runoff and placing caps on nitrogen use. With regard to plastic pollution</w:t>
      </w:r>
      <w:r w:rsidR="00F96ED3" w:rsidRPr="00F86C06">
        <w:rPr>
          <w:kern w:val="22"/>
          <w:szCs w:val="22"/>
        </w:rPr>
        <w:t>,</w:t>
      </w:r>
      <w:r w:rsidRPr="00F86C06">
        <w:rPr>
          <w:kern w:val="22"/>
          <w:szCs w:val="22"/>
        </w:rPr>
        <w:t xml:space="preserve"> commonly reported actions were bans on certain types of plastics (about 20% of national reports referred to this type of action), awareness campaigns and community clean</w:t>
      </w:r>
      <w:r w:rsidR="0083050F" w:rsidRPr="00F86C06">
        <w:rPr>
          <w:kern w:val="22"/>
          <w:szCs w:val="22"/>
        </w:rPr>
        <w:t>-</w:t>
      </w:r>
      <w:r w:rsidRPr="00F86C06">
        <w:rPr>
          <w:kern w:val="22"/>
          <w:szCs w:val="22"/>
        </w:rPr>
        <w:t>up events. Some reports also referred to increased efforts related to recycling.</w:t>
      </w:r>
    </w:p>
    <w:p w14:paraId="3AF9F5CB" w14:textId="77777777" w:rsidR="00715FD9" w:rsidRPr="00F86C06" w:rsidRDefault="00715FD9" w:rsidP="00715FD9">
      <w:pPr>
        <w:keepNext/>
        <w:suppressLineNumbers/>
        <w:suppressAutoHyphens/>
        <w:kinsoku w:val="0"/>
        <w:overflowPunct w:val="0"/>
        <w:autoSpaceDE w:val="0"/>
        <w:autoSpaceDN w:val="0"/>
        <w:spacing w:before="120" w:after="120"/>
        <w:rPr>
          <w:i/>
          <w:iCs/>
          <w:snapToGrid w:val="0"/>
          <w:color w:val="333333"/>
          <w:kern w:val="22"/>
          <w:szCs w:val="22"/>
          <w:shd w:val="clear" w:color="auto" w:fill="FFFFFF"/>
        </w:rPr>
      </w:pPr>
      <w:r w:rsidRPr="00F86C06">
        <w:rPr>
          <w:i/>
          <w:iCs/>
          <w:snapToGrid w:val="0"/>
          <w:color w:val="333333"/>
          <w:kern w:val="22"/>
          <w:szCs w:val="22"/>
          <w:shd w:val="clear" w:color="auto" w:fill="FFFFFF"/>
        </w:rPr>
        <w:t>Target 9</w:t>
      </w:r>
      <w:r w:rsidRPr="00F86C06">
        <w:rPr>
          <w:i/>
          <w:iCs/>
          <w:snapToGrid w:val="0"/>
          <w:kern w:val="22"/>
          <w:szCs w:val="22"/>
        </w:rPr>
        <w:t> – B</w:t>
      </w:r>
      <w:r w:rsidRPr="00F86C06">
        <w:rPr>
          <w:i/>
          <w:iCs/>
          <w:snapToGrid w:val="0"/>
          <w:color w:val="333333"/>
          <w:kern w:val="22"/>
          <w:szCs w:val="22"/>
          <w:shd w:val="clear" w:color="auto" w:fill="FFFFFF"/>
        </w:rPr>
        <w:t>y 2020, invasive alien species and pathways are identified and prioritized, priority species are controlled or eradicated, and measures are in place to manage pathways to prevent their introduction and establishment</w:t>
      </w:r>
    </w:p>
    <w:p w14:paraId="22572D90" w14:textId="776862B7" w:rsidR="00715FD9" w:rsidRPr="00F86C06" w:rsidRDefault="00C87F0D"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rsidRPr="00F86C06">
        <w:rPr>
          <w:rFonts w:eastAsia="Malgun Gothic"/>
          <w:kern w:val="22"/>
          <w:szCs w:val="22"/>
        </w:rPr>
        <w:t xml:space="preserve">A total of </w:t>
      </w:r>
      <w:r w:rsidR="00715FD9" w:rsidRPr="00F86C06">
        <w:rPr>
          <w:rFonts w:eastAsia="Malgun Gothic"/>
          <w:kern w:val="22"/>
          <w:szCs w:val="22"/>
        </w:rPr>
        <w:t xml:space="preserve">140 NBSAPs </w:t>
      </w:r>
      <w:r w:rsidR="00B47A9B" w:rsidRPr="00F86C06">
        <w:rPr>
          <w:rFonts w:eastAsia="Malgun Gothic"/>
          <w:kern w:val="22"/>
          <w:szCs w:val="22"/>
        </w:rPr>
        <w:t xml:space="preserve">(84%) </w:t>
      </w:r>
      <w:r w:rsidR="00715FD9" w:rsidRPr="00F86C06">
        <w:rPr>
          <w:rFonts w:eastAsia="Malgun Gothic"/>
          <w:kern w:val="22"/>
          <w:szCs w:val="22"/>
        </w:rPr>
        <w:t xml:space="preserve">contained targets related to Aichi Biodiversity 9. More than a quarter of these targets are similar </w:t>
      </w:r>
      <w:r w:rsidR="00BE5960" w:rsidRPr="00F86C06">
        <w:rPr>
          <w:rFonts w:eastAsia="Malgun Gothic"/>
          <w:kern w:val="22"/>
          <w:szCs w:val="22"/>
        </w:rPr>
        <w:t xml:space="preserve">to </w:t>
      </w:r>
      <w:r w:rsidR="00715FD9" w:rsidRPr="00F86C06">
        <w:rPr>
          <w:rFonts w:eastAsia="Malgun Gothic"/>
          <w:kern w:val="22"/>
          <w:szCs w:val="22"/>
        </w:rPr>
        <w:t xml:space="preserve">(26%) or exceed (1%) the level </w:t>
      </w:r>
      <w:r w:rsidR="00BE5960" w:rsidRPr="00F86C06">
        <w:rPr>
          <w:rFonts w:eastAsia="Malgun Gothic"/>
          <w:kern w:val="22"/>
          <w:szCs w:val="22"/>
        </w:rPr>
        <w:t xml:space="preserve">of </w:t>
      </w:r>
      <w:r w:rsidR="00715FD9" w:rsidRPr="00F86C06">
        <w:rPr>
          <w:rFonts w:eastAsia="Malgun Gothic"/>
          <w:kern w:val="22"/>
          <w:szCs w:val="22"/>
        </w:rPr>
        <w:t>ambition and scope set out in the Aichi Target. About three quarters (74%) of targets are lower</w:t>
      </w:r>
      <w:r w:rsidR="00BF6FA6" w:rsidRPr="00F86C06">
        <w:rPr>
          <w:rFonts w:eastAsia="Malgun Gothic"/>
          <w:kern w:val="22"/>
          <w:szCs w:val="22"/>
        </w:rPr>
        <w:t xml:space="preserve"> than</w:t>
      </w:r>
      <w:r w:rsidR="00715FD9" w:rsidRPr="00F86C06">
        <w:rPr>
          <w:rFonts w:eastAsia="Malgun Gothic"/>
          <w:kern w:val="22"/>
          <w:szCs w:val="22"/>
        </w:rPr>
        <w:t xml:space="preserve"> </w:t>
      </w:r>
      <w:r w:rsidR="00BF6FA6" w:rsidRPr="00F86C06">
        <w:rPr>
          <w:rFonts w:eastAsia="Malgun Gothic"/>
          <w:kern w:val="22"/>
          <w:szCs w:val="22"/>
        </w:rPr>
        <w:t xml:space="preserve">the Aichi Target </w:t>
      </w:r>
      <w:r w:rsidR="00715FD9" w:rsidRPr="00F86C06">
        <w:rPr>
          <w:rFonts w:eastAsia="Malgun Gothic"/>
          <w:kern w:val="22"/>
          <w:szCs w:val="22"/>
        </w:rPr>
        <w:t xml:space="preserve">or do not address all </w:t>
      </w:r>
      <w:r w:rsidR="00BF6FA6" w:rsidRPr="00F86C06">
        <w:rPr>
          <w:rFonts w:eastAsia="Malgun Gothic"/>
          <w:kern w:val="22"/>
          <w:szCs w:val="22"/>
        </w:rPr>
        <w:t xml:space="preserve">of its </w:t>
      </w:r>
      <w:r w:rsidR="00715FD9" w:rsidRPr="00F86C06">
        <w:rPr>
          <w:rFonts w:eastAsia="Malgun Gothic"/>
          <w:kern w:val="22"/>
          <w:szCs w:val="22"/>
        </w:rPr>
        <w:t>elements. Many of the targets set by Parties are broad and refer to the control of invasive alien species generally. This Aichi Target is among those with the highest level of alignment between the national targets and the Aichi Target. However, many of the national targets do not consider issues associated with the identification and prioritization of pathways for the introduction of invasive alien species.</w:t>
      </w:r>
    </w:p>
    <w:p w14:paraId="057BA55D" w14:textId="031C2212" w:rsidR="00715FD9" w:rsidRPr="002E5ACE" w:rsidRDefault="00C87F0D"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spacing w:val="-2"/>
          <w:kern w:val="22"/>
          <w:szCs w:val="22"/>
        </w:rPr>
      </w:pPr>
      <w:r w:rsidRPr="002E5ACE">
        <w:rPr>
          <w:rFonts w:eastAsia="Malgun Gothic"/>
          <w:spacing w:val="-2"/>
          <w:kern w:val="22"/>
          <w:szCs w:val="22"/>
        </w:rPr>
        <w:t xml:space="preserve">A total of </w:t>
      </w:r>
      <w:r w:rsidR="00715FD9" w:rsidRPr="002E5ACE">
        <w:rPr>
          <w:rFonts w:eastAsia="Malgun Gothic"/>
          <w:spacing w:val="-2"/>
          <w:kern w:val="22"/>
          <w:szCs w:val="22"/>
        </w:rPr>
        <w:t xml:space="preserve">128 Parties have assessed progress towards their national targets related to Aichi Biodiversity Target 9 while 12 Parties </w:t>
      </w:r>
      <w:r w:rsidR="007F124B" w:rsidRPr="002E5ACE">
        <w:rPr>
          <w:rFonts w:eastAsia="Malgun Gothic"/>
          <w:spacing w:val="-2"/>
          <w:kern w:val="22"/>
          <w:szCs w:val="22"/>
        </w:rPr>
        <w:t xml:space="preserve">did not report on their progress </w:t>
      </w:r>
      <w:r w:rsidR="00715FD9" w:rsidRPr="002E5ACE">
        <w:rPr>
          <w:rFonts w:eastAsia="Malgun Gothic"/>
          <w:spacing w:val="-2"/>
          <w:kern w:val="22"/>
          <w:szCs w:val="22"/>
        </w:rPr>
        <w:t>or indicate</w:t>
      </w:r>
      <w:r w:rsidR="007F124B" w:rsidRPr="002E5ACE">
        <w:rPr>
          <w:rFonts w:eastAsia="Malgun Gothic"/>
          <w:spacing w:val="-2"/>
          <w:kern w:val="22"/>
          <w:szCs w:val="22"/>
        </w:rPr>
        <w:t>d</w:t>
      </w:r>
      <w:r w:rsidR="00715FD9" w:rsidRPr="002E5ACE">
        <w:rPr>
          <w:rFonts w:eastAsia="Malgun Gothic"/>
          <w:spacing w:val="-2"/>
          <w:kern w:val="22"/>
          <w:szCs w:val="22"/>
        </w:rPr>
        <w:t xml:space="preserve"> that their </w:t>
      </w:r>
      <w:r w:rsidR="000C5AA7" w:rsidRPr="002E5ACE">
        <w:rPr>
          <w:rFonts w:eastAsia="Malgun Gothic"/>
          <w:spacing w:val="-2"/>
          <w:kern w:val="22"/>
          <w:szCs w:val="22"/>
        </w:rPr>
        <w:t xml:space="preserve">level of </w:t>
      </w:r>
      <w:r w:rsidR="00715FD9" w:rsidRPr="002E5ACE">
        <w:rPr>
          <w:rFonts w:eastAsia="Malgun Gothic"/>
          <w:spacing w:val="-2"/>
          <w:kern w:val="22"/>
          <w:szCs w:val="22"/>
        </w:rPr>
        <w:t>progress is unknown. Of the Parties assessing progress, more than a quarter are on track to reach (24%) or exceed (2%) their national targets. More than half (55%) of Parties have made progress towards their targets but not at a rate that will allow them to be met. Less than a fifth of Parties (18%) report that they are making no progress towards the target or are moving away from reaching it (1%). Of the Parties which have assessed progress, few (10%) have national targets similar to Aichi Biodiversity Target 9 which are on track to be met.</w:t>
      </w:r>
    </w:p>
    <w:p w14:paraId="191828CF" w14:textId="4CC213DE" w:rsidR="00715FD9" w:rsidRPr="00F86C06" w:rsidRDefault="00715FD9"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rsidRPr="00F86C06">
        <w:rPr>
          <w:rFonts w:eastAsia="Malgun Gothic"/>
          <w:kern w:val="22"/>
          <w:szCs w:val="22"/>
        </w:rPr>
        <w:t>Parties report that they have taken various actions to address Aichi Biodiversity 9. These include the creation and implementation of legal frameworks for monitoring, controlling, and eradicating invasive alien species, including rules and regulations related to import and export, measures to control and manage ballast water, establish</w:t>
      </w:r>
      <w:r w:rsidR="00F96ED3" w:rsidRPr="00F86C06">
        <w:rPr>
          <w:rFonts w:eastAsia="Malgun Gothic"/>
          <w:kern w:val="22"/>
          <w:szCs w:val="22"/>
        </w:rPr>
        <w:t>ment of</w:t>
      </w:r>
      <w:r w:rsidRPr="00F86C06">
        <w:rPr>
          <w:rFonts w:eastAsia="Malgun Gothic"/>
          <w:kern w:val="22"/>
          <w:szCs w:val="22"/>
        </w:rPr>
        <w:t xml:space="preserve"> national guidelines for management and control of invasive alien species</w:t>
      </w:r>
      <w:r w:rsidR="00BE5960" w:rsidRPr="00F86C06">
        <w:rPr>
          <w:rFonts w:eastAsia="Malgun Gothic"/>
          <w:kern w:val="22"/>
          <w:szCs w:val="22"/>
        </w:rPr>
        <w:t>,</w:t>
      </w:r>
      <w:r w:rsidRPr="00F86C06">
        <w:rPr>
          <w:rFonts w:eastAsia="Malgun Gothic"/>
          <w:kern w:val="22"/>
          <w:szCs w:val="22"/>
        </w:rPr>
        <w:t xml:space="preserve"> and the establishment of phyto</w:t>
      </w:r>
      <w:r w:rsidR="003705B4" w:rsidRPr="00F86C06">
        <w:rPr>
          <w:rFonts w:eastAsia="Malgun Gothic"/>
          <w:kern w:val="22"/>
          <w:szCs w:val="22"/>
        </w:rPr>
        <w:t>sanitary</w:t>
      </w:r>
      <w:r w:rsidRPr="00F86C06">
        <w:rPr>
          <w:rFonts w:eastAsia="Malgun Gothic"/>
          <w:kern w:val="22"/>
          <w:szCs w:val="22"/>
        </w:rPr>
        <w:t xml:space="preserve"> and zoosanitary checkpoints at national points of entry. Further</w:t>
      </w:r>
      <w:r w:rsidR="008375B2" w:rsidRPr="00F86C06">
        <w:rPr>
          <w:rFonts w:eastAsia="Malgun Gothic"/>
          <w:kern w:val="22"/>
          <w:szCs w:val="22"/>
        </w:rPr>
        <w:t>,</w:t>
      </w:r>
      <w:r w:rsidRPr="00F86C06">
        <w:rPr>
          <w:rFonts w:eastAsia="Malgun Gothic"/>
          <w:kern w:val="22"/>
          <w:szCs w:val="22"/>
        </w:rPr>
        <w:t xml:space="preserve"> Parties commonly reported on the development and implementation of strategies related to biosecurity (including quarantine facilities, border control and inspection, early warning systems and rapid response systems), awareness</w:t>
      </w:r>
      <w:r w:rsidR="00636844" w:rsidRPr="00F86C06">
        <w:rPr>
          <w:rFonts w:eastAsia="Malgun Gothic"/>
          <w:kern w:val="22"/>
          <w:szCs w:val="22"/>
        </w:rPr>
        <w:t>-</w:t>
      </w:r>
      <w:r w:rsidRPr="00F86C06">
        <w:rPr>
          <w:rFonts w:eastAsia="Malgun Gothic"/>
          <w:kern w:val="22"/>
          <w:szCs w:val="22"/>
        </w:rPr>
        <w:t>raising strategies (including the development of information portals and website</w:t>
      </w:r>
      <w:r w:rsidR="00BE5960" w:rsidRPr="00F86C06">
        <w:rPr>
          <w:rFonts w:eastAsia="Malgun Gothic"/>
          <w:kern w:val="22"/>
          <w:szCs w:val="22"/>
        </w:rPr>
        <w:t>s</w:t>
      </w:r>
      <w:r w:rsidRPr="00F86C06">
        <w:rPr>
          <w:rFonts w:eastAsia="Malgun Gothic"/>
          <w:kern w:val="22"/>
          <w:szCs w:val="22"/>
        </w:rPr>
        <w:t>, training programmes and community events) as well as strategies of interregional collaboration.</w:t>
      </w:r>
      <w:r w:rsidR="003F4638" w:rsidRPr="00F86C06">
        <w:rPr>
          <w:rFonts w:eastAsia="Malgun Gothic"/>
          <w:kern w:val="22"/>
          <w:szCs w:val="22"/>
        </w:rPr>
        <w:t xml:space="preserve"> </w:t>
      </w:r>
      <w:r w:rsidRPr="00F86C06">
        <w:rPr>
          <w:rFonts w:eastAsia="Malgun Gothic"/>
          <w:kern w:val="22"/>
          <w:szCs w:val="22"/>
        </w:rPr>
        <w:t>Further</w:t>
      </w:r>
      <w:r w:rsidR="008375B2" w:rsidRPr="00F86C06">
        <w:rPr>
          <w:rFonts w:eastAsia="Malgun Gothic"/>
          <w:kern w:val="22"/>
          <w:szCs w:val="22"/>
        </w:rPr>
        <w:t>,</w:t>
      </w:r>
      <w:r w:rsidRPr="00F86C06">
        <w:rPr>
          <w:rFonts w:eastAsia="Malgun Gothic"/>
          <w:kern w:val="22"/>
          <w:szCs w:val="22"/>
        </w:rPr>
        <w:t xml:space="preserve"> about a quarter of Parties report that they are taking actions to identify and prioritize introduction pathways. </w:t>
      </w:r>
      <w:r w:rsidRPr="00F86C06">
        <w:rPr>
          <w:rFonts w:eastAsia="Malgun Gothic"/>
          <w:kern w:val="22"/>
          <w:szCs w:val="22"/>
        </w:rPr>
        <w:lastRenderedPageBreak/>
        <w:t>Commonly reported on pathways were shipping, horticulture, trade, aquaculture, transportation, forestry, and urbanization. Some reports also refer to undertaking research related to invasive alien species, the creation and updating of inventories of invasive alien species, undertaking awareness</w:t>
      </w:r>
      <w:r w:rsidR="00636844" w:rsidRPr="00F86C06">
        <w:rPr>
          <w:rFonts w:eastAsia="Malgun Gothic"/>
          <w:kern w:val="22"/>
          <w:szCs w:val="22"/>
        </w:rPr>
        <w:t>-</w:t>
      </w:r>
      <w:r w:rsidRPr="00F86C06">
        <w:rPr>
          <w:rFonts w:eastAsia="Malgun Gothic"/>
          <w:kern w:val="22"/>
          <w:szCs w:val="22"/>
        </w:rPr>
        <w:t>raising activities, reflecting the eradication and control of invasive alien species in the management of protected areas, and the creation of specialist committees to assess and track progress in combating invasive alien species</w:t>
      </w:r>
      <w:r w:rsidR="009C2661" w:rsidRPr="00F86C06">
        <w:rPr>
          <w:rFonts w:eastAsia="Malgun Gothic"/>
          <w:kern w:val="22"/>
          <w:szCs w:val="22"/>
        </w:rPr>
        <w:t>.</w:t>
      </w:r>
      <w:r w:rsidRPr="00F86C06">
        <w:rPr>
          <w:rFonts w:eastAsia="Malgun Gothic"/>
          <w:kern w:val="22"/>
          <w:szCs w:val="22"/>
          <w:vertAlign w:val="superscript"/>
        </w:rPr>
        <w:footnoteReference w:id="27"/>
      </w:r>
      <w:r w:rsidRPr="00F86C06">
        <w:rPr>
          <w:rFonts w:eastAsia="Malgun Gothic"/>
          <w:kern w:val="22"/>
          <w:szCs w:val="22"/>
        </w:rPr>
        <w:t xml:space="preserve"> The national reports also identified a number of challenges related to this Aichi Target, including the limited amount of resources to implement measures, the lack of knowledge and information on invasive alien species, the lack of up</w:t>
      </w:r>
      <w:r w:rsidR="00636844" w:rsidRPr="00F86C06">
        <w:rPr>
          <w:rFonts w:eastAsia="Malgun Gothic"/>
          <w:kern w:val="22"/>
          <w:szCs w:val="22"/>
        </w:rPr>
        <w:t>-</w:t>
      </w:r>
      <w:r w:rsidRPr="00F86C06">
        <w:rPr>
          <w:rFonts w:eastAsia="Malgun Gothic"/>
          <w:kern w:val="22"/>
          <w:szCs w:val="22"/>
        </w:rPr>
        <w:t>to</w:t>
      </w:r>
      <w:r w:rsidR="00636844" w:rsidRPr="00F86C06">
        <w:rPr>
          <w:rFonts w:eastAsia="Malgun Gothic"/>
          <w:kern w:val="22"/>
          <w:szCs w:val="22"/>
        </w:rPr>
        <w:t>-</w:t>
      </w:r>
      <w:r w:rsidRPr="00F86C06">
        <w:rPr>
          <w:rFonts w:eastAsia="Malgun Gothic"/>
          <w:kern w:val="22"/>
          <w:szCs w:val="22"/>
        </w:rPr>
        <w:t>date invasive alien species inventories, the lack of necessary legal framework</w:t>
      </w:r>
      <w:r w:rsidR="00BE5960" w:rsidRPr="00F86C06">
        <w:rPr>
          <w:rFonts w:eastAsia="Malgun Gothic"/>
          <w:kern w:val="22"/>
          <w:szCs w:val="22"/>
        </w:rPr>
        <w:t>s</w:t>
      </w:r>
      <w:r w:rsidRPr="00F86C06">
        <w:rPr>
          <w:rFonts w:eastAsia="Malgun Gothic"/>
          <w:kern w:val="22"/>
          <w:szCs w:val="22"/>
        </w:rPr>
        <w:t xml:space="preserve"> and controls at points of entry and a lack of awareness among policymakers and the general public.</w:t>
      </w:r>
    </w:p>
    <w:p w14:paraId="4EE24C10" w14:textId="4C80FF91" w:rsidR="00715FD9" w:rsidRPr="00F86C06" w:rsidRDefault="00715FD9" w:rsidP="00715FD9">
      <w:pPr>
        <w:keepNext/>
        <w:suppressLineNumbers/>
        <w:suppressAutoHyphens/>
        <w:kinsoku w:val="0"/>
        <w:overflowPunct w:val="0"/>
        <w:autoSpaceDE w:val="0"/>
        <w:autoSpaceDN w:val="0"/>
        <w:spacing w:before="120" w:after="120"/>
        <w:rPr>
          <w:i/>
          <w:iCs/>
          <w:snapToGrid w:val="0"/>
          <w:kern w:val="22"/>
          <w:szCs w:val="22"/>
        </w:rPr>
      </w:pPr>
      <w:r w:rsidRPr="00F86C06">
        <w:rPr>
          <w:i/>
          <w:iCs/>
          <w:snapToGrid w:val="0"/>
          <w:kern w:val="22"/>
          <w:szCs w:val="22"/>
        </w:rPr>
        <w:t xml:space="preserve">Target 10 </w:t>
      </w:r>
      <w:r w:rsidR="00C027EE">
        <w:rPr>
          <w:i/>
          <w:iCs/>
          <w:snapToGrid w:val="0"/>
          <w:kern w:val="22"/>
          <w:szCs w:val="22"/>
        </w:rPr>
        <w:t>–</w:t>
      </w:r>
      <w:r w:rsidRPr="00F86C06">
        <w:rPr>
          <w:i/>
          <w:iCs/>
          <w:snapToGrid w:val="0"/>
          <w:kern w:val="22"/>
          <w:szCs w:val="22"/>
        </w:rPr>
        <w:t xml:space="preserve"> By 2015, the multiple anthropogenic pressures on coral reefs, and other vulnerable ecosystems impacted by climate change or ocean acidification are minimized, so as to maintain their integrity and functioning</w:t>
      </w:r>
    </w:p>
    <w:p w14:paraId="5A8CEADC" w14:textId="195C9E9A" w:rsidR="00715FD9" w:rsidRPr="00F86C06" w:rsidRDefault="00C87F0D" w:rsidP="00715FD9">
      <w:pPr>
        <w:pStyle w:val="Para1"/>
        <w:suppressLineNumbers/>
        <w:tabs>
          <w:tab w:val="clear" w:pos="360"/>
        </w:tabs>
        <w:suppressAutoHyphens/>
        <w:kinsoku w:val="0"/>
        <w:overflowPunct w:val="0"/>
        <w:autoSpaceDE w:val="0"/>
        <w:autoSpaceDN w:val="0"/>
        <w:spacing w:before="0"/>
        <w:rPr>
          <w:rFonts w:eastAsia="Malgun Gothic"/>
          <w:kern w:val="22"/>
          <w:szCs w:val="22"/>
        </w:rPr>
      </w:pPr>
      <w:r w:rsidRPr="00F86C06">
        <w:rPr>
          <w:rFonts w:eastAsia="Malgun Gothic"/>
          <w:kern w:val="22"/>
          <w:szCs w:val="22"/>
        </w:rPr>
        <w:t xml:space="preserve">A total of </w:t>
      </w:r>
      <w:r w:rsidR="00715FD9" w:rsidRPr="00F86C06">
        <w:rPr>
          <w:rFonts w:eastAsia="Malgun Gothic"/>
          <w:kern w:val="22"/>
          <w:szCs w:val="22"/>
        </w:rPr>
        <w:t xml:space="preserve">94 NBSAPs </w:t>
      </w:r>
      <w:r w:rsidR="00B47A9B" w:rsidRPr="00F86C06">
        <w:rPr>
          <w:rFonts w:eastAsia="Malgun Gothic"/>
          <w:kern w:val="22"/>
          <w:szCs w:val="22"/>
        </w:rPr>
        <w:t xml:space="preserve">(56%) </w:t>
      </w:r>
      <w:r w:rsidR="00715FD9" w:rsidRPr="00F86C06">
        <w:rPr>
          <w:rFonts w:eastAsia="Malgun Gothic"/>
          <w:kern w:val="22"/>
          <w:szCs w:val="22"/>
        </w:rPr>
        <w:t xml:space="preserve">contain targets related to Aichi Biodiversity Target 10. More than a quarter (26%) of these national targets are similar to the scope and level of ambition set out in </w:t>
      </w:r>
      <w:r w:rsidR="00BF6FA6" w:rsidRPr="00F86C06">
        <w:rPr>
          <w:rFonts w:eastAsia="Malgun Gothic"/>
          <w:kern w:val="22"/>
          <w:szCs w:val="22"/>
        </w:rPr>
        <w:t xml:space="preserve">the </w:t>
      </w:r>
      <w:r w:rsidR="00715FD9" w:rsidRPr="00F86C06">
        <w:rPr>
          <w:rFonts w:eastAsia="Malgun Gothic"/>
          <w:kern w:val="22"/>
          <w:szCs w:val="22"/>
        </w:rPr>
        <w:t xml:space="preserve">Aichi Target or exceed it (1%). About three quarters (74%) of targets have a lower level of ambition </w:t>
      </w:r>
      <w:r w:rsidR="006F7439" w:rsidRPr="00F86C06">
        <w:rPr>
          <w:rFonts w:eastAsia="Malgun Gothic"/>
          <w:kern w:val="22"/>
          <w:szCs w:val="22"/>
        </w:rPr>
        <w:t xml:space="preserve">than the Aichi Target </w:t>
      </w:r>
      <w:r w:rsidR="00715FD9" w:rsidRPr="00F86C06">
        <w:rPr>
          <w:rFonts w:eastAsia="Malgun Gothic"/>
          <w:kern w:val="22"/>
          <w:szCs w:val="22"/>
        </w:rPr>
        <w:t xml:space="preserve">or do not address all </w:t>
      </w:r>
      <w:r w:rsidR="006F7439" w:rsidRPr="00F86C06">
        <w:rPr>
          <w:rFonts w:eastAsia="Malgun Gothic"/>
          <w:kern w:val="22"/>
          <w:szCs w:val="22"/>
        </w:rPr>
        <w:t xml:space="preserve">of its </w:t>
      </w:r>
      <w:r w:rsidR="00715FD9" w:rsidRPr="00F86C06">
        <w:rPr>
          <w:rFonts w:eastAsia="Malgun Gothic"/>
          <w:kern w:val="22"/>
          <w:szCs w:val="22"/>
        </w:rPr>
        <w:t>elements. This Aichi Target is among those with the smallest number of NBS</w:t>
      </w:r>
      <w:r w:rsidR="00B47A9B" w:rsidRPr="00F86C06">
        <w:rPr>
          <w:rFonts w:eastAsia="Malgun Gothic"/>
          <w:kern w:val="22"/>
          <w:szCs w:val="22"/>
        </w:rPr>
        <w:t>A</w:t>
      </w:r>
      <w:r w:rsidR="00715FD9" w:rsidRPr="00F86C06">
        <w:rPr>
          <w:rFonts w:eastAsia="Malgun Gothic"/>
          <w:kern w:val="22"/>
          <w:szCs w:val="22"/>
        </w:rPr>
        <w:t>Ps containing comparable targets. The established national targets are, for the most part, general, and few explicitly refer to coral reefs or other specific ecosystems vulnerable to climate change.</w:t>
      </w:r>
    </w:p>
    <w:p w14:paraId="6B1AED16" w14:textId="736BD53F" w:rsidR="00715FD9" w:rsidRPr="00F86C06" w:rsidRDefault="00C87F0D"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rsidRPr="00F86C06">
        <w:rPr>
          <w:rFonts w:eastAsia="Malgun Gothic"/>
          <w:kern w:val="22"/>
          <w:szCs w:val="22"/>
        </w:rPr>
        <w:t xml:space="preserve">A total of </w:t>
      </w:r>
      <w:r w:rsidR="00715FD9" w:rsidRPr="00F86C06">
        <w:rPr>
          <w:rFonts w:eastAsia="Malgun Gothic"/>
          <w:kern w:val="22"/>
          <w:szCs w:val="22"/>
        </w:rPr>
        <w:t xml:space="preserve">100 Parties have assessed progress towards their national targets related to Aichi Biodiversity Target 10 while 40 Parties </w:t>
      </w:r>
      <w:r w:rsidR="006166B5" w:rsidRPr="00F86C06">
        <w:rPr>
          <w:rFonts w:eastAsia="Malgun Gothic"/>
          <w:kern w:val="22"/>
          <w:szCs w:val="22"/>
        </w:rPr>
        <w:t xml:space="preserve">did not report on their progress </w:t>
      </w:r>
      <w:r w:rsidR="00715FD9" w:rsidRPr="00F86C06">
        <w:rPr>
          <w:rFonts w:eastAsia="Malgun Gothic"/>
          <w:kern w:val="22"/>
          <w:szCs w:val="22"/>
        </w:rPr>
        <w:t>or indicate</w:t>
      </w:r>
      <w:r w:rsidR="006166B5" w:rsidRPr="00F86C06">
        <w:rPr>
          <w:rFonts w:eastAsia="Malgun Gothic"/>
          <w:kern w:val="22"/>
          <w:szCs w:val="22"/>
        </w:rPr>
        <w:t>d</w:t>
      </w:r>
      <w:r w:rsidR="00715FD9" w:rsidRPr="00F86C06">
        <w:rPr>
          <w:rFonts w:eastAsia="Malgun Gothic"/>
          <w:kern w:val="22"/>
          <w:szCs w:val="22"/>
        </w:rPr>
        <w:t xml:space="preserve"> that their level of progress is unknown. Of the Parties which have assessed progress, more than a quarter are on track to reach (26%) or exceed (3%) their national targets. More than half (56%) of Parties have made progress towards their targets but not at a rate that will allow them to be met. Some Parties (13%) report that they are making no progress towards the target and few (2%) are moving away from reaching the target. Of the Parties which have assessed progress, few (5%) have national targets similar to Aichi Biodiversity Target 10 which are on track to be met.</w:t>
      </w:r>
    </w:p>
    <w:p w14:paraId="030645CE" w14:textId="42AE0106" w:rsidR="00715FD9" w:rsidRPr="00F86C06" w:rsidRDefault="00715FD9"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rsidRPr="00F86C06">
        <w:rPr>
          <w:rFonts w:eastAsia="Malgun Gothic"/>
          <w:kern w:val="22"/>
          <w:szCs w:val="22"/>
        </w:rPr>
        <w:t xml:space="preserve">Among the actions reported by Parties to reach their national targets are the adoption of </w:t>
      </w:r>
      <w:r w:rsidRPr="00F86C06">
        <w:rPr>
          <w:kern w:val="22"/>
          <w:szCs w:val="22"/>
        </w:rPr>
        <w:t>national policy instruments focused on the health of coral reef systems and the sustainable use of the services they provide</w:t>
      </w:r>
      <w:r w:rsidR="00BE5960" w:rsidRPr="00F86C06">
        <w:rPr>
          <w:kern w:val="22"/>
          <w:szCs w:val="22"/>
        </w:rPr>
        <w:t>,</w:t>
      </w:r>
      <w:r w:rsidRPr="00F86C06">
        <w:rPr>
          <w:rStyle w:val="FootnoteReference"/>
          <w:kern w:val="22"/>
          <w:sz w:val="22"/>
          <w:szCs w:val="22"/>
        </w:rPr>
        <w:footnoteReference w:id="28"/>
      </w:r>
      <w:r w:rsidRPr="00F86C06">
        <w:rPr>
          <w:kern w:val="22"/>
          <w:szCs w:val="22"/>
        </w:rPr>
        <w:t xml:space="preserve"> actions to reduce pollution, including from plastics and excess nutrients, the promotion of restoration and conservation of vulnerable ecosystems in national policies and plans, and supporting research and capacity</w:t>
      </w:r>
      <w:r w:rsidR="00BE5960" w:rsidRPr="00F86C06">
        <w:rPr>
          <w:kern w:val="22"/>
          <w:szCs w:val="22"/>
        </w:rPr>
        <w:t>-</w:t>
      </w:r>
      <w:r w:rsidRPr="00F86C06">
        <w:rPr>
          <w:kern w:val="22"/>
          <w:szCs w:val="22"/>
        </w:rPr>
        <w:t>building. Commonly reported challenges to reaching this target were the lack of capacity and funding as well as the challenge of upscaling pilot projects to the national level.</w:t>
      </w:r>
    </w:p>
    <w:bookmarkEnd w:id="2"/>
    <w:p w14:paraId="22B09707" w14:textId="64A82361" w:rsidR="00715FD9" w:rsidRPr="00F86C06" w:rsidRDefault="00715FD9" w:rsidP="00B07288">
      <w:pPr>
        <w:keepNext/>
        <w:keepLines/>
        <w:suppressLineNumbers/>
        <w:suppressAutoHyphens/>
        <w:kinsoku w:val="0"/>
        <w:overflowPunct w:val="0"/>
        <w:autoSpaceDE w:val="0"/>
        <w:autoSpaceDN w:val="0"/>
        <w:spacing w:before="120" w:after="120"/>
        <w:rPr>
          <w:i/>
          <w:iCs/>
          <w:kern w:val="22"/>
          <w:szCs w:val="22"/>
          <w:shd w:val="clear" w:color="auto" w:fill="FFFFFF"/>
        </w:rPr>
      </w:pPr>
      <w:r w:rsidRPr="00F86C06">
        <w:rPr>
          <w:i/>
          <w:iCs/>
          <w:kern w:val="22"/>
          <w:szCs w:val="22"/>
          <w:shd w:val="clear" w:color="auto" w:fill="FFFFFF"/>
        </w:rPr>
        <w:t xml:space="preserve">Target 11 </w:t>
      </w:r>
      <w:r w:rsidR="00C027EE">
        <w:rPr>
          <w:i/>
          <w:iCs/>
          <w:kern w:val="22"/>
          <w:szCs w:val="22"/>
          <w:shd w:val="clear" w:color="auto" w:fill="FFFFFF"/>
        </w:rPr>
        <w:t>–</w:t>
      </w:r>
      <w:r w:rsidRPr="00F86C06">
        <w:rPr>
          <w:i/>
          <w:iCs/>
          <w:kern w:val="22"/>
          <w:szCs w:val="22"/>
          <w:shd w:val="clear" w:color="auto" w:fill="FFFFFF"/>
        </w:rPr>
        <w:t xml:space="preserve"> By 2020, at least 17 per cent of terrestrial and inland water</w:t>
      </w:r>
      <w:r w:rsidR="00B47A9B" w:rsidRPr="00F86C06">
        <w:rPr>
          <w:i/>
          <w:iCs/>
          <w:kern w:val="22"/>
          <w:szCs w:val="22"/>
          <w:shd w:val="clear" w:color="auto" w:fill="FFFFFF"/>
        </w:rPr>
        <w:t xml:space="preserve"> areas</w:t>
      </w:r>
      <w:r w:rsidRPr="00F86C06">
        <w:rPr>
          <w:i/>
          <w:iCs/>
          <w:kern w:val="22"/>
          <w:szCs w:val="22"/>
          <w:shd w:val="clear" w:color="auto" w:fill="FFFFFF"/>
        </w:rPr>
        <w:t>, and 10 per cent of coastal and marine areas, especially areas of particular importance for biodiversity and ecosystem services, are conserved through effectively and equitably managed, ecologically representative and well connected systems of protected areas and other effective area-based conservation measures, and integrated into the wider landscapes and seascapes</w:t>
      </w:r>
    </w:p>
    <w:p w14:paraId="6B9E9AF2" w14:textId="28A1B7F4" w:rsidR="00715FD9" w:rsidRPr="00F86C06" w:rsidRDefault="00C87F0D" w:rsidP="00715FD9">
      <w:pPr>
        <w:pStyle w:val="Para1"/>
        <w:suppressLineNumbers/>
        <w:tabs>
          <w:tab w:val="clear" w:pos="360"/>
        </w:tabs>
        <w:suppressAutoHyphens/>
        <w:kinsoku w:val="0"/>
        <w:overflowPunct w:val="0"/>
        <w:autoSpaceDE w:val="0"/>
        <w:autoSpaceDN w:val="0"/>
        <w:spacing w:before="0"/>
        <w:rPr>
          <w:rFonts w:eastAsia="Malgun Gothic"/>
          <w:kern w:val="22"/>
          <w:szCs w:val="22"/>
        </w:rPr>
      </w:pPr>
      <w:r w:rsidRPr="00F86C06">
        <w:rPr>
          <w:rFonts w:eastAsia="Malgun Gothic"/>
          <w:kern w:val="22"/>
          <w:szCs w:val="22"/>
        </w:rPr>
        <w:t xml:space="preserve">A total of </w:t>
      </w:r>
      <w:r w:rsidR="00715FD9" w:rsidRPr="00F86C06">
        <w:rPr>
          <w:rFonts w:eastAsia="Malgun Gothic"/>
          <w:kern w:val="22"/>
          <w:szCs w:val="22"/>
        </w:rPr>
        <w:t xml:space="preserve">150 NBSAPs </w:t>
      </w:r>
      <w:r w:rsidR="00B47A9B" w:rsidRPr="00F86C06">
        <w:rPr>
          <w:rFonts w:eastAsia="Malgun Gothic"/>
          <w:kern w:val="22"/>
          <w:szCs w:val="22"/>
        </w:rPr>
        <w:t xml:space="preserve">(90%) </w:t>
      </w:r>
      <w:r w:rsidR="00715FD9" w:rsidRPr="00F86C06">
        <w:rPr>
          <w:rFonts w:eastAsia="Malgun Gothic"/>
          <w:kern w:val="22"/>
          <w:szCs w:val="22"/>
        </w:rPr>
        <w:t>contain targets related to Aichi Biodiversity Target 11. Of these targets</w:t>
      </w:r>
      <w:r w:rsidR="00836DD0" w:rsidRPr="00F86C06">
        <w:rPr>
          <w:rFonts w:eastAsia="Malgun Gothic"/>
          <w:kern w:val="22"/>
          <w:szCs w:val="22"/>
        </w:rPr>
        <w:t>,</w:t>
      </w:r>
      <w:r w:rsidR="00715FD9" w:rsidRPr="00F86C06">
        <w:rPr>
          <w:rFonts w:eastAsia="Malgun Gothic"/>
          <w:kern w:val="22"/>
          <w:szCs w:val="22"/>
        </w:rPr>
        <w:t xml:space="preserve"> </w:t>
      </w:r>
      <w:r w:rsidR="00AA6B1E" w:rsidRPr="00F86C06">
        <w:rPr>
          <w:rFonts w:eastAsia="Malgun Gothic"/>
          <w:kern w:val="22"/>
          <w:szCs w:val="22"/>
        </w:rPr>
        <w:t>over a tenth (</w:t>
      </w:r>
      <w:r w:rsidR="00715FD9" w:rsidRPr="00F86C06">
        <w:rPr>
          <w:rFonts w:eastAsia="Malgun Gothic"/>
          <w:kern w:val="22"/>
          <w:szCs w:val="22"/>
        </w:rPr>
        <w:t>13%</w:t>
      </w:r>
      <w:r w:rsidR="00AA6B1E" w:rsidRPr="00F86C06">
        <w:rPr>
          <w:rFonts w:eastAsia="Malgun Gothic"/>
          <w:kern w:val="22"/>
          <w:szCs w:val="22"/>
        </w:rPr>
        <w:t>)</w:t>
      </w:r>
      <w:r w:rsidR="00715FD9" w:rsidRPr="00F86C06">
        <w:rPr>
          <w:rFonts w:eastAsia="Malgun Gothic"/>
          <w:kern w:val="22"/>
          <w:szCs w:val="22"/>
        </w:rPr>
        <w:t xml:space="preserve"> are similar to the scope and level of ambition set out in the Aichi Biodiversity Target and </w:t>
      </w:r>
      <w:r w:rsidR="00AA6B1E" w:rsidRPr="00F86C06">
        <w:rPr>
          <w:rFonts w:eastAsia="Malgun Gothic"/>
          <w:kern w:val="22"/>
          <w:szCs w:val="22"/>
        </w:rPr>
        <w:t>some (</w:t>
      </w:r>
      <w:r w:rsidR="00715FD9" w:rsidRPr="00F86C06">
        <w:rPr>
          <w:rFonts w:eastAsia="Malgun Gothic"/>
          <w:kern w:val="22"/>
          <w:szCs w:val="22"/>
        </w:rPr>
        <w:t>2%</w:t>
      </w:r>
      <w:r w:rsidR="00AA6B1E" w:rsidRPr="00F86C06">
        <w:rPr>
          <w:rFonts w:eastAsia="Malgun Gothic"/>
          <w:kern w:val="22"/>
          <w:szCs w:val="22"/>
        </w:rPr>
        <w:t>)</w:t>
      </w:r>
      <w:r w:rsidR="00715FD9" w:rsidRPr="00F86C06">
        <w:rPr>
          <w:rFonts w:eastAsia="Malgun Gothic"/>
          <w:kern w:val="22"/>
          <w:szCs w:val="22"/>
        </w:rPr>
        <w:t xml:space="preserve"> were more ambitious. More than four fifths (85%) of the targets are lower than the Aichi Target or do not address all of its elements. Many of the targets focus on the improvement of protected areas generally. The greatest emphasis is on expanding the size of the terrestrial protected areas estate. There </w:t>
      </w:r>
      <w:r w:rsidR="00715FD9" w:rsidRPr="00F86C06">
        <w:rPr>
          <w:rFonts w:eastAsia="Malgun Gothic"/>
          <w:kern w:val="22"/>
          <w:szCs w:val="22"/>
        </w:rPr>
        <w:lastRenderedPageBreak/>
        <w:t>was slightly less attention to the creation of marine protected areas. The more qualitative elements of the Aichi Target (ecological representativity, management effectiveness, protecting particularly important areas and interconnectedness) were also not as well covered by the national targets.</w:t>
      </w:r>
    </w:p>
    <w:p w14:paraId="3EAB179F" w14:textId="67830F46" w:rsidR="00715FD9" w:rsidRPr="00F86C06" w:rsidRDefault="00C87F0D"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rsidRPr="00F86C06">
        <w:rPr>
          <w:rFonts w:eastAsia="Malgun Gothic"/>
          <w:kern w:val="22"/>
          <w:szCs w:val="22"/>
        </w:rPr>
        <w:t xml:space="preserve">A total of </w:t>
      </w:r>
      <w:r w:rsidR="00715FD9" w:rsidRPr="00F86C06">
        <w:rPr>
          <w:rFonts w:eastAsia="Malgun Gothic"/>
          <w:kern w:val="22"/>
          <w:szCs w:val="22"/>
        </w:rPr>
        <w:t>134</w:t>
      </w:r>
      <w:r w:rsidRPr="00F86C06">
        <w:rPr>
          <w:rFonts w:eastAsia="Malgun Gothic"/>
          <w:kern w:val="22"/>
          <w:szCs w:val="22"/>
        </w:rPr>
        <w:t xml:space="preserve"> </w:t>
      </w:r>
      <w:r w:rsidR="00715FD9" w:rsidRPr="00F86C06">
        <w:rPr>
          <w:rFonts w:eastAsia="Malgun Gothic"/>
          <w:kern w:val="22"/>
          <w:szCs w:val="22"/>
        </w:rPr>
        <w:t xml:space="preserve">Parties have assessed progress towards their national targets related to Aichi Biodiversity Target 11 while 6 Parties did not report on their progress or indicated that their level of progress </w:t>
      </w:r>
      <w:r w:rsidR="006166B5" w:rsidRPr="00F86C06">
        <w:rPr>
          <w:rFonts w:eastAsia="Malgun Gothic"/>
          <w:kern w:val="22"/>
          <w:szCs w:val="22"/>
        </w:rPr>
        <w:t>is</w:t>
      </w:r>
      <w:r w:rsidR="00715FD9" w:rsidRPr="00F86C06">
        <w:rPr>
          <w:rFonts w:eastAsia="Malgun Gothic"/>
          <w:kern w:val="22"/>
          <w:szCs w:val="22"/>
        </w:rPr>
        <w:t xml:space="preserve"> unknown. Of the Parties which have assessed progress</w:t>
      </w:r>
      <w:r w:rsidR="00107793" w:rsidRPr="00F86C06">
        <w:rPr>
          <w:rFonts w:eastAsia="Malgun Gothic"/>
          <w:kern w:val="22"/>
          <w:szCs w:val="22"/>
        </w:rPr>
        <w:t>,</w:t>
      </w:r>
      <w:r w:rsidR="00715FD9" w:rsidRPr="00F86C06">
        <w:rPr>
          <w:rFonts w:eastAsia="Malgun Gothic"/>
          <w:kern w:val="22"/>
          <w:szCs w:val="22"/>
        </w:rPr>
        <w:t xml:space="preserve"> more than half are on track to reach (43%) or exceed (9%) their national targets. Less than half (41%) have made progress towards their targets but not at a rate that will allow them to be met. A few Parties (6%) report that they are making no progress towards the target or that they are moving away from reaching the target (1%). Of the Parties which have assessed progress, more than a tenth (12%) have national targets similar to Aichi Biodiversity Target 11 which are on track to be met.</w:t>
      </w:r>
    </w:p>
    <w:p w14:paraId="44B60335" w14:textId="2480B334" w:rsidR="00715FD9" w:rsidRPr="00F86C06" w:rsidRDefault="00715FD9"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rsidRPr="00F86C06">
        <w:rPr>
          <w:rFonts w:eastAsia="Malgun Gothic"/>
          <w:kern w:val="22"/>
          <w:szCs w:val="22"/>
        </w:rPr>
        <w:t>The information in the national reports suggests that most of the emphasis has been on increasing the size of the protected area estate. By comparison, there is less information provided on actions to address the qualitative elements of the Aichi Target. Commonly reported actions included the creation or expansion of protected areas, the development of buffer zones, converting private reserves into formal protected areas, providing support for community-based conservation areas and providing formal recognition of indigenous and community conserved areas. These actions were generally noted in relation to terrestrial protected areas. By comparison</w:t>
      </w:r>
      <w:r w:rsidR="00E320CF">
        <w:rPr>
          <w:rFonts w:eastAsia="Malgun Gothic"/>
          <w:kern w:val="22"/>
          <w:szCs w:val="22"/>
        </w:rPr>
        <w:t>,</w:t>
      </w:r>
      <w:r w:rsidRPr="00F86C06">
        <w:rPr>
          <w:rFonts w:eastAsia="Malgun Gothic"/>
          <w:kern w:val="22"/>
          <w:szCs w:val="22"/>
        </w:rPr>
        <w:t xml:space="preserve"> there was less emphasis on marine protected areas.</w:t>
      </w:r>
    </w:p>
    <w:p w14:paraId="15A5D6EE" w14:textId="678A48E0" w:rsidR="00715FD9" w:rsidRPr="00F86C06" w:rsidRDefault="00715FD9"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rsidRPr="00F86C06">
        <w:rPr>
          <w:rFonts w:eastAsia="Malgun Gothic"/>
          <w:kern w:val="22"/>
          <w:szCs w:val="22"/>
        </w:rPr>
        <w:t>Parties also reported on actions and measures to improve the representativeness of protected areas</w:t>
      </w:r>
      <w:r w:rsidR="008375B2" w:rsidRPr="00F86C06">
        <w:rPr>
          <w:rFonts w:eastAsia="Malgun Gothic"/>
          <w:kern w:val="22"/>
          <w:szCs w:val="22"/>
        </w:rPr>
        <w:t>,</w:t>
      </w:r>
      <w:r w:rsidRPr="00F86C06">
        <w:rPr>
          <w:rFonts w:eastAsia="Malgun Gothic"/>
          <w:kern w:val="22"/>
          <w:szCs w:val="22"/>
        </w:rPr>
        <w:t xml:space="preserve"> including identifying important areas for conservation, </w:t>
      </w:r>
      <w:r w:rsidR="00B47A9B" w:rsidRPr="00F86C06">
        <w:rPr>
          <w:rFonts w:eastAsia="Malgun Gothic"/>
          <w:kern w:val="22"/>
          <w:szCs w:val="22"/>
        </w:rPr>
        <w:t xml:space="preserve">and on </w:t>
      </w:r>
      <w:r w:rsidRPr="00F86C06">
        <w:rPr>
          <w:rFonts w:eastAsia="Malgun Gothic"/>
          <w:kern w:val="22"/>
          <w:szCs w:val="22"/>
        </w:rPr>
        <w:t>identifying areas of relevance to multiple processes, such as those of th</w:t>
      </w:r>
      <w:r w:rsidR="00C95FCE" w:rsidRPr="00F86C06">
        <w:rPr>
          <w:rFonts w:eastAsia="Malgun Gothic"/>
          <w:kern w:val="22"/>
          <w:szCs w:val="22"/>
        </w:rPr>
        <w:t>e</w:t>
      </w:r>
      <w:r w:rsidRPr="00F86C06">
        <w:rPr>
          <w:rFonts w:eastAsia="Malgun Gothic"/>
          <w:kern w:val="22"/>
          <w:szCs w:val="22"/>
        </w:rPr>
        <w:t xml:space="preserve"> </w:t>
      </w:r>
      <w:r w:rsidR="00B71E0B" w:rsidRPr="00F86C06">
        <w:rPr>
          <w:rFonts w:eastAsia="Malgun Gothic"/>
          <w:kern w:val="22"/>
          <w:szCs w:val="22"/>
        </w:rPr>
        <w:t>Ramsar</w:t>
      </w:r>
      <w:r w:rsidRPr="00F86C06">
        <w:rPr>
          <w:rFonts w:eastAsia="Malgun Gothic"/>
          <w:kern w:val="22"/>
          <w:szCs w:val="22"/>
        </w:rPr>
        <w:t xml:space="preserve"> Convention and</w:t>
      </w:r>
      <w:r w:rsidR="00F52F0C" w:rsidRPr="00F86C06">
        <w:rPr>
          <w:rFonts w:eastAsia="Malgun Gothic"/>
          <w:kern w:val="22"/>
          <w:szCs w:val="22"/>
        </w:rPr>
        <w:t xml:space="preserve"> of the</w:t>
      </w:r>
      <w:r w:rsidR="00F52F0C" w:rsidRPr="00F86C06">
        <w:rPr>
          <w:kern w:val="22"/>
          <w:szCs w:val="22"/>
        </w:rPr>
        <w:t xml:space="preserve"> United Nations Educational, Scientific and Cultural Organization</w:t>
      </w:r>
      <w:r w:rsidRPr="00F86C06">
        <w:rPr>
          <w:rFonts w:eastAsia="Malgun Gothic"/>
          <w:kern w:val="22"/>
          <w:szCs w:val="22"/>
        </w:rPr>
        <w:t xml:space="preserve"> </w:t>
      </w:r>
      <w:r w:rsidR="00F52F0C" w:rsidRPr="00F86C06">
        <w:rPr>
          <w:rFonts w:eastAsia="Malgun Gothic"/>
          <w:kern w:val="22"/>
          <w:szCs w:val="22"/>
        </w:rPr>
        <w:t>(</w:t>
      </w:r>
      <w:r w:rsidRPr="00F86C06">
        <w:rPr>
          <w:rFonts w:eastAsia="Malgun Gothic"/>
          <w:kern w:val="22"/>
          <w:szCs w:val="22"/>
        </w:rPr>
        <w:t>UNESCO</w:t>
      </w:r>
      <w:r w:rsidR="00F52F0C" w:rsidRPr="00F86C06">
        <w:rPr>
          <w:rFonts w:eastAsia="Malgun Gothic"/>
          <w:kern w:val="22"/>
          <w:szCs w:val="22"/>
        </w:rPr>
        <w:t>)</w:t>
      </w:r>
      <w:r w:rsidRPr="00F86C06">
        <w:rPr>
          <w:rFonts w:eastAsia="Malgun Gothic"/>
          <w:kern w:val="22"/>
          <w:szCs w:val="22"/>
        </w:rPr>
        <w:t>. Some Parties also reported on efforts to create protected areas in underrepresented habitats.</w:t>
      </w:r>
    </w:p>
    <w:p w14:paraId="163337AA" w14:textId="15DC47A8" w:rsidR="00715FD9" w:rsidRPr="00F86C06" w:rsidRDefault="00715FD9" w:rsidP="00715FD9">
      <w:pPr>
        <w:pStyle w:val="Para1"/>
        <w:suppressLineNumbers/>
        <w:tabs>
          <w:tab w:val="clear" w:pos="360"/>
        </w:tabs>
        <w:suppressAutoHyphens/>
        <w:kinsoku w:val="0"/>
        <w:overflowPunct w:val="0"/>
        <w:autoSpaceDE w:val="0"/>
        <w:autoSpaceDN w:val="0"/>
        <w:spacing w:before="0"/>
        <w:rPr>
          <w:rFonts w:eastAsia="Malgun Gothic"/>
          <w:kern w:val="22"/>
          <w:szCs w:val="22"/>
        </w:rPr>
      </w:pPr>
      <w:r w:rsidRPr="00F86C06">
        <w:rPr>
          <w:rFonts w:eastAsia="Malgun Gothic"/>
          <w:kern w:val="22"/>
          <w:szCs w:val="22"/>
        </w:rPr>
        <w:t>With regard to management effectiveness, commonly reported actions were increased surveillance efforts, the development and implement</w:t>
      </w:r>
      <w:r w:rsidR="00C66E9F" w:rsidRPr="00F86C06">
        <w:rPr>
          <w:rFonts w:eastAsia="Malgun Gothic"/>
          <w:kern w:val="22"/>
          <w:szCs w:val="22"/>
        </w:rPr>
        <w:t>ation</w:t>
      </w:r>
      <w:r w:rsidRPr="00F86C06">
        <w:rPr>
          <w:rFonts w:eastAsia="Malgun Gothic"/>
          <w:kern w:val="22"/>
          <w:szCs w:val="22"/>
        </w:rPr>
        <w:t xml:space="preserve"> of management plans, the decentrali</w:t>
      </w:r>
      <w:r w:rsidR="009A62C0" w:rsidRPr="00F86C06">
        <w:rPr>
          <w:rFonts w:eastAsia="Malgun Gothic"/>
          <w:kern w:val="22"/>
          <w:szCs w:val="22"/>
        </w:rPr>
        <w:t>z</w:t>
      </w:r>
      <w:r w:rsidRPr="00F86C06">
        <w:rPr>
          <w:rFonts w:eastAsia="Malgun Gothic"/>
          <w:kern w:val="22"/>
          <w:szCs w:val="22"/>
        </w:rPr>
        <w:t>ation of protected areas management</w:t>
      </w:r>
      <w:r w:rsidR="00B47A9B" w:rsidRPr="00F86C06">
        <w:rPr>
          <w:rFonts w:eastAsia="Malgun Gothic"/>
          <w:kern w:val="22"/>
          <w:szCs w:val="22"/>
        </w:rPr>
        <w:t>,</w:t>
      </w:r>
      <w:r w:rsidRPr="00F86C06">
        <w:rPr>
          <w:rFonts w:eastAsia="Malgun Gothic"/>
          <w:kern w:val="22"/>
          <w:szCs w:val="22"/>
        </w:rPr>
        <w:t xml:space="preserve"> and the use of the Management Effectiveness Tracking Tool (METT) and other emerging tools and indices. Parties also noted efforts to include national and local stakeholders in protected areas management, efforts to formally recognize indigenous and community conserved areas, develop</w:t>
      </w:r>
      <w:r w:rsidR="00B654D9" w:rsidRPr="00F86C06">
        <w:rPr>
          <w:rFonts w:eastAsia="Malgun Gothic"/>
          <w:kern w:val="22"/>
          <w:szCs w:val="22"/>
        </w:rPr>
        <w:t xml:space="preserve">ment of </w:t>
      </w:r>
      <w:r w:rsidRPr="00F86C06">
        <w:rPr>
          <w:rFonts w:eastAsia="Malgun Gothic"/>
          <w:kern w:val="22"/>
          <w:szCs w:val="22"/>
        </w:rPr>
        <w:t>legal frameworks for protected areas, developing and improving databases related to protected areas</w:t>
      </w:r>
      <w:r w:rsidR="00C66E9F" w:rsidRPr="00F86C06">
        <w:rPr>
          <w:rFonts w:eastAsia="Malgun Gothic"/>
          <w:kern w:val="22"/>
          <w:szCs w:val="22"/>
        </w:rPr>
        <w:t>,</w:t>
      </w:r>
      <w:r w:rsidRPr="00F86C06">
        <w:rPr>
          <w:rFonts w:eastAsia="Malgun Gothic"/>
          <w:kern w:val="22"/>
          <w:szCs w:val="22"/>
        </w:rPr>
        <w:t xml:space="preserve"> putting in place penalties for infringing on protected areas, reflecting protected areas in development policies, undertaking </w:t>
      </w:r>
      <w:r w:rsidR="00B654D9" w:rsidRPr="00F86C06">
        <w:rPr>
          <w:rFonts w:eastAsia="Malgun Gothic"/>
          <w:kern w:val="22"/>
          <w:szCs w:val="22"/>
        </w:rPr>
        <w:t xml:space="preserve">of </w:t>
      </w:r>
      <w:r w:rsidRPr="00F86C06">
        <w:rPr>
          <w:rFonts w:eastAsia="Malgun Gothic"/>
          <w:kern w:val="22"/>
          <w:szCs w:val="22"/>
        </w:rPr>
        <w:t>economic valuations, and increasing funding.</w:t>
      </w:r>
    </w:p>
    <w:p w14:paraId="45EB2802" w14:textId="1824780C" w:rsidR="00715FD9" w:rsidRPr="00F86C06" w:rsidRDefault="00715FD9" w:rsidP="00715FD9">
      <w:pPr>
        <w:pStyle w:val="Para1"/>
        <w:suppressLineNumbers/>
        <w:tabs>
          <w:tab w:val="clear" w:pos="360"/>
        </w:tabs>
        <w:suppressAutoHyphens/>
        <w:kinsoku w:val="0"/>
        <w:overflowPunct w:val="0"/>
        <w:autoSpaceDE w:val="0"/>
        <w:autoSpaceDN w:val="0"/>
        <w:spacing w:before="0"/>
        <w:rPr>
          <w:rFonts w:eastAsia="Malgun Gothic"/>
          <w:kern w:val="22"/>
          <w:szCs w:val="22"/>
        </w:rPr>
      </w:pPr>
      <w:r w:rsidRPr="00F86C06">
        <w:rPr>
          <w:rFonts w:eastAsia="Malgun Gothic"/>
          <w:kern w:val="22"/>
          <w:szCs w:val="22"/>
        </w:rPr>
        <w:t>With regard to the integration of protected areas into the wider landscape and seascape, reported actions included the creation of green and ecological corridors, creating protected areas in strategic locations, efforts to restore fragmented and degraded habitats that could serve as corridors, developing strategies to improve connectivity, efforts to improve the coordination and management of protected areas spanning several countries, the development of corridor management plans</w:t>
      </w:r>
      <w:r w:rsidR="008822BD" w:rsidRPr="00F86C06">
        <w:rPr>
          <w:rFonts w:eastAsia="Malgun Gothic"/>
          <w:kern w:val="22"/>
          <w:szCs w:val="22"/>
        </w:rPr>
        <w:t>,</w:t>
      </w:r>
      <w:r w:rsidRPr="00F86C06">
        <w:rPr>
          <w:rFonts w:eastAsia="Malgun Gothic"/>
          <w:kern w:val="22"/>
          <w:szCs w:val="22"/>
        </w:rPr>
        <w:t xml:space="preserve"> and creating urban green areas</w:t>
      </w:r>
      <w:r w:rsidR="00C95FCE" w:rsidRPr="00F86C06">
        <w:rPr>
          <w:rFonts w:eastAsia="Malgun Gothic"/>
          <w:kern w:val="22"/>
          <w:szCs w:val="22"/>
        </w:rPr>
        <w:t>.</w:t>
      </w:r>
      <w:r w:rsidRPr="00F86C06">
        <w:rPr>
          <w:rStyle w:val="FootnoteReference"/>
          <w:rFonts w:eastAsia="Malgun Gothic"/>
          <w:kern w:val="22"/>
          <w:sz w:val="22"/>
          <w:szCs w:val="22"/>
        </w:rPr>
        <w:footnoteReference w:id="29"/>
      </w:r>
    </w:p>
    <w:p w14:paraId="696AB7DB" w14:textId="4A1E2A0B" w:rsidR="00715FD9" w:rsidRPr="006C5FD1" w:rsidRDefault="00715FD9"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rsidRPr="006C5FD1">
        <w:rPr>
          <w:rFonts w:eastAsia="Malgun Gothic"/>
          <w:kern w:val="22"/>
          <w:szCs w:val="22"/>
        </w:rPr>
        <w:t>Parties also reported on a number of challenges to reaching this target</w:t>
      </w:r>
      <w:r w:rsidR="00C75ABD" w:rsidRPr="006C5FD1">
        <w:rPr>
          <w:rFonts w:eastAsia="Malgun Gothic"/>
          <w:kern w:val="22"/>
          <w:szCs w:val="22"/>
        </w:rPr>
        <w:t>,</w:t>
      </w:r>
      <w:r w:rsidRPr="006C5FD1">
        <w:rPr>
          <w:rFonts w:eastAsia="Malgun Gothic"/>
          <w:kern w:val="22"/>
          <w:szCs w:val="22"/>
        </w:rPr>
        <w:t xml:space="preserve"> including complex land tenure systems, land tenure uncertainties, a bias towards creating protected areas in remote areas rather than on representativity, a greater focus on terrestrial protected areas, a limited recognition of the ecosystem approach in protected areas management, the lack of management effectiveness assessment systems, limited coordination between national agencies, the lack of protected areas management and development plans, limited monitoring and surveillance systems, and a lack of financial and human resources. Additional information regarding Aichi Target 11 is provided in CBD/SBSTTA/24</w:t>
      </w:r>
      <w:r w:rsidRPr="006C5FD1">
        <w:rPr>
          <w:kern w:val="22"/>
          <w:szCs w:val="22"/>
        </w:rPr>
        <w:t>/</w:t>
      </w:r>
      <w:r w:rsidR="006C5FD1" w:rsidRPr="006C5FD1">
        <w:rPr>
          <w:kern w:val="22"/>
          <w:szCs w:val="22"/>
        </w:rPr>
        <w:t>6</w:t>
      </w:r>
      <w:r w:rsidRPr="006C5FD1">
        <w:rPr>
          <w:kern w:val="22"/>
          <w:szCs w:val="22"/>
        </w:rPr>
        <w:t>.</w:t>
      </w:r>
    </w:p>
    <w:p w14:paraId="3E1C3250" w14:textId="7D85E78C" w:rsidR="00715FD9" w:rsidRPr="00F86C06" w:rsidRDefault="00715FD9" w:rsidP="00715FD9">
      <w:pPr>
        <w:keepNext/>
        <w:suppressLineNumbers/>
        <w:suppressAutoHyphens/>
        <w:kinsoku w:val="0"/>
        <w:overflowPunct w:val="0"/>
        <w:autoSpaceDE w:val="0"/>
        <w:autoSpaceDN w:val="0"/>
        <w:spacing w:before="120" w:after="120"/>
        <w:rPr>
          <w:i/>
          <w:iCs/>
          <w:snapToGrid w:val="0"/>
          <w:kern w:val="22"/>
          <w:szCs w:val="22"/>
        </w:rPr>
      </w:pPr>
      <w:r w:rsidRPr="00F86C06">
        <w:rPr>
          <w:i/>
          <w:iCs/>
          <w:snapToGrid w:val="0"/>
          <w:kern w:val="22"/>
          <w:szCs w:val="22"/>
        </w:rPr>
        <w:lastRenderedPageBreak/>
        <w:t>Target 12 – By 2020</w:t>
      </w:r>
      <w:r w:rsidR="00ED6C78" w:rsidRPr="00F86C06">
        <w:rPr>
          <w:i/>
          <w:iCs/>
          <w:snapToGrid w:val="0"/>
          <w:kern w:val="22"/>
          <w:szCs w:val="22"/>
        </w:rPr>
        <w:t>,</w:t>
      </w:r>
      <w:r w:rsidRPr="00F86C06">
        <w:rPr>
          <w:i/>
          <w:iCs/>
          <w:snapToGrid w:val="0"/>
          <w:kern w:val="22"/>
          <w:szCs w:val="22"/>
        </w:rPr>
        <w:t xml:space="preserve"> the extinction of known threatened species has been prevented and their conservation status, particularly of those most in decline, has been improved and sustained</w:t>
      </w:r>
    </w:p>
    <w:p w14:paraId="5AC2F42A" w14:textId="5AB128AF" w:rsidR="00715FD9" w:rsidRPr="00F86C06" w:rsidRDefault="00C87F0D" w:rsidP="00715FD9">
      <w:pPr>
        <w:pStyle w:val="Para1"/>
        <w:suppressLineNumbers/>
        <w:tabs>
          <w:tab w:val="clear" w:pos="360"/>
        </w:tabs>
        <w:suppressAutoHyphens/>
        <w:kinsoku w:val="0"/>
        <w:overflowPunct w:val="0"/>
        <w:autoSpaceDE w:val="0"/>
        <w:autoSpaceDN w:val="0"/>
        <w:spacing w:before="0"/>
        <w:rPr>
          <w:rFonts w:eastAsia="Malgun Gothic"/>
          <w:kern w:val="22"/>
          <w:szCs w:val="22"/>
        </w:rPr>
      </w:pPr>
      <w:r w:rsidRPr="00F86C06">
        <w:rPr>
          <w:rFonts w:eastAsia="Malgun Gothic"/>
          <w:kern w:val="22"/>
          <w:szCs w:val="22"/>
        </w:rPr>
        <w:t xml:space="preserve">A total of </w:t>
      </w:r>
      <w:r w:rsidR="00715FD9" w:rsidRPr="00F86C06">
        <w:rPr>
          <w:rFonts w:eastAsia="Malgun Gothic"/>
          <w:kern w:val="22"/>
          <w:szCs w:val="22"/>
        </w:rPr>
        <w:t xml:space="preserve">143 NBSAPs </w:t>
      </w:r>
      <w:r w:rsidR="00B47A9B" w:rsidRPr="00F86C06">
        <w:rPr>
          <w:rFonts w:eastAsia="Malgun Gothic"/>
          <w:kern w:val="22"/>
          <w:szCs w:val="22"/>
        </w:rPr>
        <w:t xml:space="preserve">(86%) </w:t>
      </w:r>
      <w:r w:rsidR="00715FD9" w:rsidRPr="00F86C06">
        <w:rPr>
          <w:rFonts w:eastAsia="Malgun Gothic"/>
          <w:kern w:val="22"/>
          <w:szCs w:val="22"/>
        </w:rPr>
        <w:t xml:space="preserve">contain targets related to Aichi Biodiversity Target 12. About a fifth of these </w:t>
      </w:r>
      <w:r w:rsidR="00F13430" w:rsidRPr="00F86C06">
        <w:rPr>
          <w:rFonts w:eastAsia="Malgun Gothic"/>
          <w:kern w:val="22"/>
          <w:szCs w:val="22"/>
        </w:rPr>
        <w:t xml:space="preserve">targets </w:t>
      </w:r>
      <w:r w:rsidR="00715FD9" w:rsidRPr="00F86C06">
        <w:rPr>
          <w:rFonts w:eastAsia="Malgun Gothic"/>
          <w:kern w:val="22"/>
          <w:szCs w:val="22"/>
        </w:rPr>
        <w:t xml:space="preserve">(21%) have a similar scope and level of ambition to what is set out in Aichi Biodiversity Target 12. The majority of targets (79%) are either lower </w:t>
      </w:r>
      <w:r w:rsidR="00F50F67" w:rsidRPr="00F86C06">
        <w:rPr>
          <w:rFonts w:eastAsia="Malgun Gothic"/>
          <w:kern w:val="22"/>
          <w:szCs w:val="22"/>
        </w:rPr>
        <w:t xml:space="preserve">than the Aichi Target </w:t>
      </w:r>
      <w:r w:rsidR="00715FD9" w:rsidRPr="00F86C06">
        <w:rPr>
          <w:rFonts w:eastAsia="Malgun Gothic"/>
          <w:kern w:val="22"/>
          <w:szCs w:val="22"/>
        </w:rPr>
        <w:t xml:space="preserve">or do not cover all </w:t>
      </w:r>
      <w:r w:rsidR="00F50F67" w:rsidRPr="00F86C06">
        <w:rPr>
          <w:rFonts w:eastAsia="Malgun Gothic"/>
          <w:kern w:val="22"/>
          <w:szCs w:val="22"/>
        </w:rPr>
        <w:t xml:space="preserve">of its </w:t>
      </w:r>
      <w:r w:rsidR="00715FD9" w:rsidRPr="00F86C06">
        <w:rPr>
          <w:rFonts w:eastAsia="Malgun Gothic"/>
          <w:kern w:val="22"/>
          <w:szCs w:val="22"/>
        </w:rPr>
        <w:t>elements. The national targets that have been set focus equally on preventing extinctions and improving the conservation status of threatened species.</w:t>
      </w:r>
    </w:p>
    <w:p w14:paraId="041DC594" w14:textId="358AB92A" w:rsidR="00715FD9" w:rsidRPr="00F86C06" w:rsidRDefault="00C87F0D"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rsidRPr="00F86C06">
        <w:rPr>
          <w:rFonts w:eastAsia="Malgun Gothic"/>
          <w:kern w:val="22"/>
          <w:szCs w:val="22"/>
        </w:rPr>
        <w:t xml:space="preserve">A total of </w:t>
      </w:r>
      <w:r w:rsidR="00715FD9" w:rsidRPr="00F86C06">
        <w:rPr>
          <w:rFonts w:eastAsia="Malgun Gothic"/>
          <w:kern w:val="22"/>
          <w:szCs w:val="22"/>
        </w:rPr>
        <w:t xml:space="preserve">126 Parties have assessed progress towards their national targets related to Aichi Biodiversity Target 12 while 14 Parties </w:t>
      </w:r>
      <w:r w:rsidR="006166B5" w:rsidRPr="00F86C06">
        <w:rPr>
          <w:rFonts w:eastAsia="Malgun Gothic"/>
          <w:kern w:val="22"/>
          <w:szCs w:val="22"/>
        </w:rPr>
        <w:t xml:space="preserve">did not report on their progress </w:t>
      </w:r>
      <w:r w:rsidR="00715FD9" w:rsidRPr="00F86C06">
        <w:rPr>
          <w:rFonts w:eastAsia="Malgun Gothic"/>
          <w:kern w:val="22"/>
          <w:szCs w:val="22"/>
        </w:rPr>
        <w:t>or indicate</w:t>
      </w:r>
      <w:r w:rsidR="006166B5" w:rsidRPr="00F86C06">
        <w:rPr>
          <w:rFonts w:eastAsia="Malgun Gothic"/>
          <w:kern w:val="22"/>
          <w:szCs w:val="22"/>
        </w:rPr>
        <w:t>d</w:t>
      </w:r>
      <w:r w:rsidR="00715FD9" w:rsidRPr="00F86C06">
        <w:rPr>
          <w:rFonts w:eastAsia="Malgun Gothic"/>
          <w:kern w:val="22"/>
          <w:szCs w:val="22"/>
        </w:rPr>
        <w:t xml:space="preserve"> that their level of progress is unknown. Of the Parties which have assessed progress</w:t>
      </w:r>
      <w:r w:rsidR="00107793" w:rsidRPr="00F86C06">
        <w:rPr>
          <w:rFonts w:eastAsia="Malgun Gothic"/>
          <w:kern w:val="22"/>
          <w:szCs w:val="22"/>
        </w:rPr>
        <w:t>,</w:t>
      </w:r>
      <w:r w:rsidR="00715FD9" w:rsidRPr="00F86C06">
        <w:rPr>
          <w:rFonts w:eastAsia="Malgun Gothic"/>
          <w:kern w:val="22"/>
          <w:szCs w:val="22"/>
        </w:rPr>
        <w:t xml:space="preserve"> more than a third are on track to reach (36%) or exceed (2%) their national targets. More than half (52%) have made progress towards their targets but not at a rate that will allow them to be met. Several Parties (10%) report that they are making no progress towards the target and or that they are moving away from the target (1%). Of the reporting Parties, less than a tenth (7%) have national targets similar to Aichi Biodiversity Target 12 which are on track to be met.</w:t>
      </w:r>
    </w:p>
    <w:p w14:paraId="05317BD6" w14:textId="110516C6" w:rsidR="00715FD9" w:rsidRPr="00F86C06" w:rsidRDefault="00715FD9"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rsidRPr="00F86C06">
        <w:rPr>
          <w:rFonts w:eastAsia="Malgun Gothic"/>
          <w:kern w:val="22"/>
          <w:szCs w:val="22"/>
        </w:rPr>
        <w:t xml:space="preserve">Most Parties report that they have taken actions to document and monitor the status of threatened species as well as note efforts to further expand monitoring systems. Some Parties also note that </w:t>
      </w:r>
      <w:r w:rsidR="0079221A" w:rsidRPr="00F86C06">
        <w:rPr>
          <w:rFonts w:eastAsia="Malgun Gothic"/>
          <w:kern w:val="22"/>
          <w:szCs w:val="22"/>
        </w:rPr>
        <w:t xml:space="preserve">they are also taking action to reach this target </w:t>
      </w:r>
      <w:r w:rsidRPr="00F86C06">
        <w:rPr>
          <w:rFonts w:eastAsia="Malgun Gothic"/>
          <w:kern w:val="22"/>
          <w:szCs w:val="22"/>
        </w:rPr>
        <w:t xml:space="preserve">through their involvement with </w:t>
      </w:r>
      <w:r w:rsidR="005A475D" w:rsidRPr="00F86C06">
        <w:rPr>
          <w:rFonts w:eastAsia="Malgun Gothic"/>
          <w:kern w:val="22"/>
          <w:szCs w:val="22"/>
        </w:rPr>
        <w:t xml:space="preserve">the </w:t>
      </w:r>
      <w:r w:rsidR="005A475D" w:rsidRPr="00F86C06">
        <w:rPr>
          <w:rFonts w:eastAsia="Malgun Gothic"/>
          <w:kern w:val="22"/>
          <w:szCs w:val="22"/>
          <w:lang w:val="en-CA"/>
        </w:rPr>
        <w:t>Convention on International Trade in Endangered Species of Wild Fauna and Flora</w:t>
      </w:r>
      <w:r w:rsidR="005A475D" w:rsidRPr="00F86C06">
        <w:rPr>
          <w:rFonts w:eastAsia="Malgun Gothic"/>
          <w:kern w:val="22"/>
          <w:szCs w:val="22"/>
        </w:rPr>
        <w:t xml:space="preserve"> (</w:t>
      </w:r>
      <w:r w:rsidRPr="00F86C06">
        <w:rPr>
          <w:rFonts w:eastAsia="Malgun Gothic"/>
          <w:kern w:val="22"/>
          <w:szCs w:val="22"/>
        </w:rPr>
        <w:t>CITES</w:t>
      </w:r>
      <w:r w:rsidR="005A475D" w:rsidRPr="00F86C06">
        <w:rPr>
          <w:rFonts w:eastAsia="Malgun Gothic"/>
          <w:kern w:val="22"/>
          <w:szCs w:val="22"/>
        </w:rPr>
        <w:t>)</w:t>
      </w:r>
      <w:r w:rsidRPr="00F86C06">
        <w:rPr>
          <w:rFonts w:eastAsia="Malgun Gothic"/>
          <w:kern w:val="22"/>
          <w:szCs w:val="22"/>
        </w:rPr>
        <w:t>. Some Parties also refer to the development and implementation of species-specific recovery programmes</w:t>
      </w:r>
      <w:r w:rsidR="00091299" w:rsidRPr="00F86C06">
        <w:rPr>
          <w:rFonts w:eastAsia="Malgun Gothic"/>
          <w:kern w:val="22"/>
          <w:szCs w:val="22"/>
        </w:rPr>
        <w:t>.</w:t>
      </w:r>
      <w:r w:rsidRPr="00F86C06">
        <w:rPr>
          <w:rStyle w:val="FootnoteReference"/>
          <w:rFonts w:eastAsia="Malgun Gothic"/>
          <w:kern w:val="22"/>
          <w:sz w:val="22"/>
          <w:szCs w:val="22"/>
        </w:rPr>
        <w:footnoteReference w:id="30"/>
      </w:r>
      <w:r w:rsidRPr="00F86C06">
        <w:rPr>
          <w:rFonts w:eastAsia="Malgun Gothic"/>
          <w:kern w:val="22"/>
          <w:szCs w:val="22"/>
        </w:rPr>
        <w:t xml:space="preserve"> These tend to be in relation to keystone or culturally important species. Some Parties also referenced efforts related to ecosystem restoration, community-based conservation, and breeding programmes. Parties also noted several challenges related to the achievement of this target</w:t>
      </w:r>
      <w:r w:rsidR="00C75ABD" w:rsidRPr="00F86C06">
        <w:rPr>
          <w:rFonts w:eastAsia="Malgun Gothic"/>
          <w:kern w:val="22"/>
          <w:szCs w:val="22"/>
        </w:rPr>
        <w:t>,</w:t>
      </w:r>
      <w:r w:rsidRPr="00F86C06">
        <w:rPr>
          <w:rFonts w:eastAsia="Malgun Gothic"/>
          <w:kern w:val="22"/>
          <w:szCs w:val="22"/>
        </w:rPr>
        <w:t xml:space="preserve"> including the lack of funding, limited resources and capacity, and a lack of attention to aquatic species.</w:t>
      </w:r>
    </w:p>
    <w:p w14:paraId="566875A4" w14:textId="77777777" w:rsidR="00715FD9" w:rsidRPr="00F86C06" w:rsidRDefault="00715FD9" w:rsidP="00715FD9">
      <w:pPr>
        <w:keepNext/>
        <w:suppressLineNumbers/>
        <w:suppressAutoHyphens/>
        <w:kinsoku w:val="0"/>
        <w:overflowPunct w:val="0"/>
        <w:autoSpaceDE w:val="0"/>
        <w:autoSpaceDN w:val="0"/>
        <w:spacing w:before="120" w:after="120"/>
        <w:rPr>
          <w:i/>
          <w:iCs/>
          <w:snapToGrid w:val="0"/>
          <w:kern w:val="22"/>
          <w:szCs w:val="22"/>
        </w:rPr>
      </w:pPr>
      <w:r w:rsidRPr="00F86C06">
        <w:rPr>
          <w:i/>
          <w:iCs/>
          <w:snapToGrid w:val="0"/>
          <w:kern w:val="22"/>
          <w:szCs w:val="22"/>
        </w:rPr>
        <w:t>Target 13 — By 2020, the genetic diversity of cultivated plants and farmed and domesticated animals and of wild relatives, including other socioeconomically as well as culturally valuable species, is maintained, and strategies have been developed and implemented for minimizing genetic erosion and safeguarding their genetic diversity</w:t>
      </w:r>
    </w:p>
    <w:p w14:paraId="0075F790" w14:textId="3C4922C5" w:rsidR="00715FD9" w:rsidRPr="00F86C06" w:rsidRDefault="00C87F0D" w:rsidP="00715FD9">
      <w:pPr>
        <w:pStyle w:val="Para1"/>
        <w:suppressLineNumbers/>
        <w:tabs>
          <w:tab w:val="clear" w:pos="360"/>
        </w:tabs>
        <w:suppressAutoHyphens/>
        <w:kinsoku w:val="0"/>
        <w:overflowPunct w:val="0"/>
        <w:autoSpaceDE w:val="0"/>
        <w:autoSpaceDN w:val="0"/>
        <w:spacing w:before="0"/>
        <w:rPr>
          <w:rFonts w:eastAsia="Malgun Gothic"/>
          <w:kern w:val="22"/>
          <w:szCs w:val="22"/>
        </w:rPr>
      </w:pPr>
      <w:r w:rsidRPr="00F86C06">
        <w:rPr>
          <w:rFonts w:eastAsia="Malgun Gothic"/>
          <w:kern w:val="22"/>
          <w:szCs w:val="22"/>
        </w:rPr>
        <w:t xml:space="preserve">A total of </w:t>
      </w:r>
      <w:r w:rsidR="00715FD9" w:rsidRPr="00F86C06">
        <w:rPr>
          <w:rFonts w:eastAsia="Malgun Gothic"/>
          <w:kern w:val="22"/>
          <w:szCs w:val="22"/>
        </w:rPr>
        <w:t xml:space="preserve">124 NBSAPs </w:t>
      </w:r>
      <w:r w:rsidR="00B47A9B" w:rsidRPr="00F86C06">
        <w:rPr>
          <w:rFonts w:eastAsia="Malgun Gothic"/>
          <w:kern w:val="22"/>
          <w:szCs w:val="22"/>
        </w:rPr>
        <w:t xml:space="preserve">(74%) </w:t>
      </w:r>
      <w:r w:rsidR="00715FD9" w:rsidRPr="00F86C06">
        <w:rPr>
          <w:rFonts w:eastAsia="Malgun Gothic"/>
          <w:kern w:val="22"/>
          <w:szCs w:val="22"/>
        </w:rPr>
        <w:t>contain targets related to Aichi Biodiversity Target 13. Of these targets</w:t>
      </w:r>
      <w:r w:rsidR="00836DD0" w:rsidRPr="00F86C06">
        <w:rPr>
          <w:rFonts w:eastAsia="Malgun Gothic"/>
          <w:kern w:val="22"/>
          <w:szCs w:val="22"/>
        </w:rPr>
        <w:t>,</w:t>
      </w:r>
      <w:r w:rsidR="00715FD9" w:rsidRPr="00F86C06">
        <w:rPr>
          <w:rFonts w:eastAsia="Malgun Gothic"/>
          <w:kern w:val="22"/>
          <w:szCs w:val="22"/>
        </w:rPr>
        <w:t xml:space="preserve"> about a fifth had a scope and level of ambition similar to Aichi Target (18%) or were more ambitio</w:t>
      </w:r>
      <w:r w:rsidR="00CE7AD9" w:rsidRPr="00F86C06">
        <w:rPr>
          <w:rFonts w:eastAsia="Malgun Gothic"/>
          <w:kern w:val="22"/>
          <w:szCs w:val="22"/>
        </w:rPr>
        <w:t>u</w:t>
      </w:r>
      <w:r w:rsidR="00715FD9" w:rsidRPr="00F86C06">
        <w:rPr>
          <w:rFonts w:eastAsia="Malgun Gothic"/>
          <w:kern w:val="22"/>
          <w:szCs w:val="22"/>
        </w:rPr>
        <w:t xml:space="preserve">s (1%). The majority of targets (81%) are either lower </w:t>
      </w:r>
      <w:r w:rsidR="00F50F67" w:rsidRPr="00F86C06">
        <w:rPr>
          <w:rFonts w:eastAsia="Malgun Gothic"/>
          <w:kern w:val="22"/>
          <w:szCs w:val="22"/>
        </w:rPr>
        <w:t xml:space="preserve">than the Aichi Target </w:t>
      </w:r>
      <w:r w:rsidR="00715FD9" w:rsidRPr="00F86C06">
        <w:rPr>
          <w:rFonts w:eastAsia="Malgun Gothic"/>
          <w:kern w:val="22"/>
          <w:szCs w:val="22"/>
        </w:rPr>
        <w:t xml:space="preserve">or do not address all </w:t>
      </w:r>
      <w:r w:rsidR="00F50F67" w:rsidRPr="00F86C06">
        <w:rPr>
          <w:rFonts w:eastAsia="Malgun Gothic"/>
          <w:kern w:val="22"/>
          <w:szCs w:val="22"/>
        </w:rPr>
        <w:t xml:space="preserve">of its </w:t>
      </w:r>
      <w:r w:rsidR="00715FD9" w:rsidRPr="00F86C06">
        <w:rPr>
          <w:rFonts w:eastAsia="Malgun Gothic"/>
          <w:kern w:val="22"/>
          <w:szCs w:val="22"/>
        </w:rPr>
        <w:t>elements. Most of the national targets refer to the conservation of genetic diversity generally. Few of the targets refer to specific elements of the target. In particular, the issue</w:t>
      </w:r>
      <w:r w:rsidR="00AB3E1F" w:rsidRPr="00F86C06">
        <w:rPr>
          <w:rFonts w:eastAsia="Malgun Gothic"/>
          <w:kern w:val="22"/>
          <w:szCs w:val="22"/>
        </w:rPr>
        <w:t>s</w:t>
      </w:r>
      <w:r w:rsidR="00715FD9" w:rsidRPr="00F86C06">
        <w:rPr>
          <w:rFonts w:eastAsia="Malgun Gothic"/>
          <w:kern w:val="22"/>
          <w:szCs w:val="22"/>
        </w:rPr>
        <w:t xml:space="preserve"> of conserving the genetic diversity of wild relatives</w:t>
      </w:r>
      <w:r w:rsidR="00AB3E1F" w:rsidRPr="00F86C06">
        <w:rPr>
          <w:rFonts w:eastAsia="Malgun Gothic"/>
          <w:kern w:val="22"/>
          <w:szCs w:val="22"/>
        </w:rPr>
        <w:t xml:space="preserve"> and</w:t>
      </w:r>
      <w:r w:rsidR="00715FD9" w:rsidRPr="00F86C06">
        <w:rPr>
          <w:rFonts w:eastAsia="Malgun Gothic"/>
          <w:kern w:val="22"/>
          <w:szCs w:val="22"/>
        </w:rPr>
        <w:t xml:space="preserve"> socioeconomically and culturally valuable species</w:t>
      </w:r>
      <w:r w:rsidR="00AB3E1F" w:rsidRPr="00F86C06">
        <w:rPr>
          <w:rFonts w:eastAsia="Malgun Gothic"/>
          <w:kern w:val="22"/>
          <w:szCs w:val="22"/>
        </w:rPr>
        <w:t>,</w:t>
      </w:r>
      <w:r w:rsidR="00715FD9" w:rsidRPr="00F86C06">
        <w:rPr>
          <w:rFonts w:eastAsia="Malgun Gothic"/>
          <w:kern w:val="22"/>
          <w:szCs w:val="22"/>
        </w:rPr>
        <w:t xml:space="preserve"> and the development of strategies to minimize genetic erosion</w:t>
      </w:r>
      <w:r w:rsidR="00AB3E1F" w:rsidRPr="00F86C06">
        <w:rPr>
          <w:rFonts w:eastAsia="Malgun Gothic"/>
          <w:kern w:val="22"/>
          <w:szCs w:val="22"/>
        </w:rPr>
        <w:t>,</w:t>
      </w:r>
      <w:r w:rsidR="00715FD9" w:rsidRPr="00F86C06">
        <w:rPr>
          <w:rFonts w:eastAsia="Malgun Gothic"/>
          <w:kern w:val="22"/>
          <w:szCs w:val="22"/>
        </w:rPr>
        <w:t xml:space="preserve"> are not generally reflected in the targets set by Parties.</w:t>
      </w:r>
    </w:p>
    <w:p w14:paraId="48A700C4" w14:textId="5CC7AB3E" w:rsidR="00715FD9" w:rsidRPr="00F86C06" w:rsidRDefault="00C87F0D"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rsidRPr="00F86C06">
        <w:rPr>
          <w:rFonts w:eastAsia="Malgun Gothic"/>
          <w:kern w:val="22"/>
          <w:szCs w:val="22"/>
        </w:rPr>
        <w:t xml:space="preserve">A total of </w:t>
      </w:r>
      <w:r w:rsidR="00715FD9" w:rsidRPr="00F86C06">
        <w:rPr>
          <w:rFonts w:eastAsia="Malgun Gothic"/>
          <w:kern w:val="22"/>
          <w:szCs w:val="22"/>
        </w:rPr>
        <w:t xml:space="preserve">121 Parties have assessed progress towards their national targets related to Aichi Biodiversity Target 13 while 19 </w:t>
      </w:r>
      <w:r w:rsidR="006166B5" w:rsidRPr="00F86C06">
        <w:rPr>
          <w:rFonts w:eastAsia="Malgun Gothic"/>
          <w:kern w:val="22"/>
          <w:szCs w:val="22"/>
        </w:rPr>
        <w:t xml:space="preserve">did not report on their progress </w:t>
      </w:r>
      <w:r w:rsidR="00715FD9" w:rsidRPr="00F86C06">
        <w:rPr>
          <w:rFonts w:eastAsia="Malgun Gothic"/>
          <w:kern w:val="22"/>
          <w:szCs w:val="22"/>
        </w:rPr>
        <w:t>or indicate</w:t>
      </w:r>
      <w:r w:rsidR="006166B5" w:rsidRPr="00F86C06">
        <w:rPr>
          <w:rFonts w:eastAsia="Malgun Gothic"/>
          <w:kern w:val="22"/>
          <w:szCs w:val="22"/>
        </w:rPr>
        <w:t>d</w:t>
      </w:r>
      <w:r w:rsidR="00715FD9" w:rsidRPr="00F86C06">
        <w:rPr>
          <w:rFonts w:eastAsia="Malgun Gothic"/>
          <w:kern w:val="22"/>
          <w:szCs w:val="22"/>
        </w:rPr>
        <w:t xml:space="preserve"> that the</w:t>
      </w:r>
      <w:r w:rsidR="006166B5" w:rsidRPr="00F86C06">
        <w:rPr>
          <w:rFonts w:eastAsia="Malgun Gothic"/>
          <w:kern w:val="22"/>
          <w:szCs w:val="22"/>
        </w:rPr>
        <w:t>ir</w:t>
      </w:r>
      <w:r w:rsidR="00715FD9" w:rsidRPr="00F86C06">
        <w:rPr>
          <w:rFonts w:eastAsia="Malgun Gothic"/>
          <w:kern w:val="22"/>
          <w:szCs w:val="22"/>
        </w:rPr>
        <w:t xml:space="preserve"> level of progress is unknown. Of the Parties assessing progress</w:t>
      </w:r>
      <w:r w:rsidR="00BD1E83" w:rsidRPr="00F86C06">
        <w:rPr>
          <w:rFonts w:eastAsia="Malgun Gothic"/>
          <w:kern w:val="22"/>
          <w:szCs w:val="22"/>
        </w:rPr>
        <w:t>,</w:t>
      </w:r>
      <w:r w:rsidR="00715FD9" w:rsidRPr="00F86C06">
        <w:rPr>
          <w:rFonts w:eastAsia="Malgun Gothic"/>
          <w:kern w:val="22"/>
          <w:szCs w:val="22"/>
        </w:rPr>
        <w:t xml:space="preserve"> more than a third of the national targets are on track to be met (30%) or exceeded (5%). Less than half (49%) have made progress towards their targets but not at a rate that will allow them to be met. </w:t>
      </w:r>
      <w:r w:rsidR="00F47363" w:rsidRPr="00F86C06">
        <w:rPr>
          <w:rFonts w:eastAsia="Malgun Gothic"/>
          <w:kern w:val="22"/>
          <w:szCs w:val="22"/>
        </w:rPr>
        <w:t>Less than a fifth of Parties (</w:t>
      </w:r>
      <w:r w:rsidR="00715FD9" w:rsidRPr="00F86C06">
        <w:rPr>
          <w:rFonts w:eastAsia="Malgun Gothic"/>
          <w:kern w:val="22"/>
          <w:szCs w:val="22"/>
        </w:rPr>
        <w:t>17%</w:t>
      </w:r>
      <w:r w:rsidR="00F47363" w:rsidRPr="00F86C06">
        <w:rPr>
          <w:rFonts w:eastAsia="Malgun Gothic"/>
          <w:kern w:val="22"/>
          <w:szCs w:val="22"/>
        </w:rPr>
        <w:t>)</w:t>
      </w:r>
      <w:r w:rsidR="00715FD9" w:rsidRPr="00F86C06">
        <w:rPr>
          <w:rFonts w:eastAsia="Malgun Gothic"/>
          <w:kern w:val="22"/>
          <w:szCs w:val="22"/>
        </w:rPr>
        <w:t xml:space="preserve"> report that they are making no progress towards the target. Of the reporting Parties, few (8%) have national targets similar to Aichi Biodiversity Target 13 which are on track to be met.</w:t>
      </w:r>
    </w:p>
    <w:p w14:paraId="49D5348C" w14:textId="56B48606" w:rsidR="00715FD9" w:rsidRPr="00F86C06" w:rsidRDefault="00715FD9"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rsidRPr="00F86C06">
        <w:rPr>
          <w:rFonts w:eastAsia="Malgun Gothic"/>
          <w:kern w:val="22"/>
          <w:szCs w:val="22"/>
        </w:rPr>
        <w:t xml:space="preserve">Commonly reported actions in the national reports were the creation and further development of gene banks, botanical gardens, germplasm plots, breeding facilities and research universities. Some Parties </w:t>
      </w:r>
      <w:r w:rsidRPr="00F86C06">
        <w:rPr>
          <w:rFonts w:eastAsia="Malgun Gothic"/>
          <w:kern w:val="22"/>
          <w:szCs w:val="22"/>
        </w:rPr>
        <w:lastRenderedPageBreak/>
        <w:t>also reported on actions to preserve animal breeds through breeding facilities, protections associated with national heritage recognitions, and incentivi</w:t>
      </w:r>
      <w:r w:rsidR="009A62C0" w:rsidRPr="00F86C06">
        <w:rPr>
          <w:rFonts w:eastAsia="Malgun Gothic"/>
          <w:kern w:val="22"/>
          <w:szCs w:val="22"/>
        </w:rPr>
        <w:t>z</w:t>
      </w:r>
      <w:r w:rsidRPr="00F86C06">
        <w:rPr>
          <w:rFonts w:eastAsia="Malgun Gothic"/>
          <w:kern w:val="22"/>
          <w:szCs w:val="22"/>
        </w:rPr>
        <w:t>ing farmers to maintain local breeds</w:t>
      </w:r>
      <w:r w:rsidR="008F7E2C" w:rsidRPr="00F86C06">
        <w:rPr>
          <w:rFonts w:eastAsia="Malgun Gothic"/>
          <w:kern w:val="22"/>
          <w:szCs w:val="22"/>
        </w:rPr>
        <w:t>.</w:t>
      </w:r>
      <w:r w:rsidRPr="00F86C06">
        <w:rPr>
          <w:rStyle w:val="FootnoteReference"/>
          <w:rFonts w:eastAsia="Malgun Gothic"/>
          <w:kern w:val="22"/>
          <w:sz w:val="22"/>
          <w:szCs w:val="22"/>
        </w:rPr>
        <w:footnoteReference w:id="31"/>
      </w:r>
      <w:r w:rsidRPr="00F86C06">
        <w:rPr>
          <w:rFonts w:eastAsia="Malgun Gothic"/>
          <w:kern w:val="22"/>
          <w:szCs w:val="22"/>
        </w:rPr>
        <w:t xml:space="preserve"> Parties also indicate that they are taking actions to conserve valuable crop species, including those used in medicines</w:t>
      </w:r>
      <w:r w:rsidR="006C5B82" w:rsidRPr="00F86C06">
        <w:rPr>
          <w:rFonts w:eastAsia="Malgun Gothic"/>
          <w:kern w:val="22"/>
          <w:szCs w:val="22"/>
        </w:rPr>
        <w:t>;</w:t>
      </w:r>
      <w:r w:rsidRPr="00F86C06">
        <w:rPr>
          <w:rFonts w:eastAsia="Malgun Gothic"/>
          <w:kern w:val="22"/>
          <w:szCs w:val="22"/>
        </w:rPr>
        <w:t xml:space="preserve"> to reintroduce neglected crops</w:t>
      </w:r>
      <w:r w:rsidR="006C5B82" w:rsidRPr="00F86C06">
        <w:rPr>
          <w:rFonts w:eastAsia="Malgun Gothic"/>
          <w:kern w:val="22"/>
          <w:szCs w:val="22"/>
        </w:rPr>
        <w:t>;</w:t>
      </w:r>
      <w:r w:rsidRPr="00F86C06">
        <w:rPr>
          <w:rFonts w:eastAsia="Malgun Gothic"/>
          <w:kern w:val="22"/>
          <w:szCs w:val="22"/>
        </w:rPr>
        <w:t xml:space="preserve"> and </w:t>
      </w:r>
      <w:r w:rsidR="006C5B82" w:rsidRPr="00F86C06">
        <w:rPr>
          <w:rFonts w:eastAsia="Malgun Gothic"/>
          <w:kern w:val="22"/>
          <w:szCs w:val="22"/>
        </w:rPr>
        <w:t xml:space="preserve">to </w:t>
      </w:r>
      <w:r w:rsidRPr="00F86C06">
        <w:rPr>
          <w:rFonts w:eastAsia="Malgun Gothic"/>
          <w:kern w:val="22"/>
          <w:szCs w:val="22"/>
        </w:rPr>
        <w:t>provid</w:t>
      </w:r>
      <w:r w:rsidR="006C5B82" w:rsidRPr="00F86C06">
        <w:rPr>
          <w:rFonts w:eastAsia="Malgun Gothic"/>
          <w:kern w:val="22"/>
          <w:szCs w:val="22"/>
        </w:rPr>
        <w:t>e</w:t>
      </w:r>
      <w:r w:rsidRPr="00F86C06">
        <w:rPr>
          <w:rFonts w:eastAsia="Malgun Gothic"/>
          <w:kern w:val="22"/>
          <w:szCs w:val="22"/>
        </w:rPr>
        <w:t xml:space="preserve"> training to farmers on issues associated with commercialization, development, and food security. Some of the noted challenges to reaching this target were biases in what plant and crop species are the focus of conservation programmes, and a lack of financial and human resources to carry ou</w:t>
      </w:r>
      <w:r w:rsidR="00CE7AD9" w:rsidRPr="00F86C06">
        <w:rPr>
          <w:rFonts w:eastAsia="Malgun Gothic"/>
          <w:kern w:val="22"/>
          <w:szCs w:val="22"/>
        </w:rPr>
        <w:t>t</w:t>
      </w:r>
      <w:r w:rsidRPr="00F86C06">
        <w:rPr>
          <w:rFonts w:eastAsia="Malgun Gothic"/>
          <w:kern w:val="22"/>
          <w:szCs w:val="22"/>
        </w:rPr>
        <w:t xml:space="preserve"> conservation efforts.</w:t>
      </w:r>
    </w:p>
    <w:p w14:paraId="134DBFE5" w14:textId="77777777" w:rsidR="00715FD9" w:rsidRPr="00F86C06" w:rsidRDefault="00715FD9" w:rsidP="00715FD9">
      <w:pPr>
        <w:keepNext/>
        <w:suppressLineNumbers/>
        <w:suppressAutoHyphens/>
        <w:kinsoku w:val="0"/>
        <w:overflowPunct w:val="0"/>
        <w:autoSpaceDE w:val="0"/>
        <w:autoSpaceDN w:val="0"/>
        <w:spacing w:before="120" w:after="120"/>
        <w:rPr>
          <w:i/>
          <w:iCs/>
          <w:snapToGrid w:val="0"/>
          <w:kern w:val="22"/>
          <w:szCs w:val="22"/>
        </w:rPr>
      </w:pPr>
      <w:r w:rsidRPr="00F86C06">
        <w:rPr>
          <w:i/>
          <w:iCs/>
          <w:snapToGrid w:val="0"/>
          <w:kern w:val="22"/>
          <w:szCs w:val="22"/>
        </w:rPr>
        <w:t>Target 14 — By 2020, ecosystems that provide essential services, including services related to water, and contribute to health, livelihoods and well-being, are restored and safeguarded, taking into account the needs of women, indigenous and local communities, and the poor and vulnerable</w:t>
      </w:r>
    </w:p>
    <w:p w14:paraId="28C77049" w14:textId="5679A58B" w:rsidR="00715FD9" w:rsidRPr="00F86C06" w:rsidRDefault="00C87F0D" w:rsidP="00715FD9">
      <w:pPr>
        <w:pStyle w:val="Para1"/>
        <w:suppressLineNumbers/>
        <w:tabs>
          <w:tab w:val="clear" w:pos="360"/>
        </w:tabs>
        <w:suppressAutoHyphens/>
        <w:kinsoku w:val="0"/>
        <w:overflowPunct w:val="0"/>
        <w:autoSpaceDE w:val="0"/>
        <w:autoSpaceDN w:val="0"/>
        <w:spacing w:before="0"/>
        <w:rPr>
          <w:rFonts w:eastAsia="Malgun Gothic"/>
          <w:kern w:val="22"/>
          <w:szCs w:val="22"/>
        </w:rPr>
      </w:pPr>
      <w:r w:rsidRPr="00F86C06">
        <w:rPr>
          <w:rFonts w:eastAsia="Malgun Gothic"/>
          <w:kern w:val="22"/>
          <w:szCs w:val="22"/>
        </w:rPr>
        <w:t xml:space="preserve">A total of </w:t>
      </w:r>
      <w:r w:rsidR="00715FD9" w:rsidRPr="00F86C06">
        <w:rPr>
          <w:rFonts w:eastAsia="Malgun Gothic"/>
          <w:kern w:val="22"/>
          <w:szCs w:val="22"/>
        </w:rPr>
        <w:t>110 NBSAPs (66%) contain targets related to Aichi Biodiversity Target 14. Of the</w:t>
      </w:r>
      <w:r w:rsidR="00AF45A7" w:rsidRPr="00F86C06">
        <w:rPr>
          <w:rFonts w:eastAsia="Malgun Gothic"/>
          <w:kern w:val="22"/>
          <w:szCs w:val="22"/>
        </w:rPr>
        <w:t>se</w:t>
      </w:r>
      <w:r w:rsidR="00715FD9" w:rsidRPr="00F86C06">
        <w:rPr>
          <w:rFonts w:eastAsia="Malgun Gothic"/>
          <w:kern w:val="22"/>
          <w:szCs w:val="22"/>
        </w:rPr>
        <w:t xml:space="preserve"> targets</w:t>
      </w:r>
      <w:r w:rsidR="00AF45A7" w:rsidRPr="00F86C06">
        <w:rPr>
          <w:rFonts w:eastAsia="Malgun Gothic"/>
          <w:kern w:val="22"/>
          <w:szCs w:val="22"/>
        </w:rPr>
        <w:t>,</w:t>
      </w:r>
      <w:r w:rsidR="00715FD9" w:rsidRPr="00F86C06">
        <w:rPr>
          <w:rFonts w:eastAsia="Malgun Gothic"/>
          <w:kern w:val="22"/>
          <w:szCs w:val="22"/>
        </w:rPr>
        <w:t xml:space="preserve"> about a quarter (24%) were similar in scope and level of ambition </w:t>
      </w:r>
      <w:r w:rsidR="000120FC" w:rsidRPr="00F86C06">
        <w:rPr>
          <w:rFonts w:eastAsia="Malgun Gothic"/>
          <w:kern w:val="22"/>
          <w:szCs w:val="22"/>
        </w:rPr>
        <w:t>to</w:t>
      </w:r>
      <w:r w:rsidR="00715FD9" w:rsidRPr="00F86C06">
        <w:rPr>
          <w:rFonts w:eastAsia="Malgun Gothic"/>
          <w:kern w:val="22"/>
          <w:szCs w:val="22"/>
        </w:rPr>
        <w:t xml:space="preserve"> the Aichi Target. More than three quarters (76%) were lower </w:t>
      </w:r>
      <w:r w:rsidR="00BF6FA6" w:rsidRPr="00F86C06">
        <w:rPr>
          <w:rFonts w:eastAsia="Malgun Gothic"/>
          <w:kern w:val="22"/>
          <w:szCs w:val="22"/>
        </w:rPr>
        <w:t xml:space="preserve">than the Aichi Target </w:t>
      </w:r>
      <w:r w:rsidR="00715FD9" w:rsidRPr="00F86C06">
        <w:rPr>
          <w:rFonts w:eastAsia="Malgun Gothic"/>
          <w:kern w:val="22"/>
          <w:szCs w:val="22"/>
        </w:rPr>
        <w:t xml:space="preserve">or did not address all </w:t>
      </w:r>
      <w:r w:rsidR="00BF6FA6" w:rsidRPr="00F86C06">
        <w:rPr>
          <w:rFonts w:eastAsia="Malgun Gothic"/>
          <w:kern w:val="22"/>
          <w:szCs w:val="22"/>
        </w:rPr>
        <w:t xml:space="preserve">of its </w:t>
      </w:r>
      <w:r w:rsidR="00715FD9" w:rsidRPr="00F86C06">
        <w:rPr>
          <w:rFonts w:eastAsia="Malgun Gothic"/>
          <w:kern w:val="22"/>
          <w:szCs w:val="22"/>
        </w:rPr>
        <w:t>elements. Relatively few of the national targets explicitly referred to taking into account the needs of women, indigenous peoples and local communities and the poor and vulnerable. Target 14 is among the targets with the lowest number of NBSAPs with national targets having a similar level of scope and ambition.</w:t>
      </w:r>
    </w:p>
    <w:p w14:paraId="4B24C290" w14:textId="7AD89508" w:rsidR="00715FD9" w:rsidRPr="00F86C06" w:rsidRDefault="00C87F0D"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rsidRPr="00F86C06">
        <w:rPr>
          <w:rFonts w:eastAsia="Malgun Gothic"/>
          <w:kern w:val="22"/>
          <w:szCs w:val="22"/>
        </w:rPr>
        <w:t xml:space="preserve">A total of </w:t>
      </w:r>
      <w:r w:rsidR="00715FD9" w:rsidRPr="00F86C06">
        <w:rPr>
          <w:rFonts w:eastAsia="Malgun Gothic"/>
          <w:kern w:val="22"/>
          <w:szCs w:val="22"/>
        </w:rPr>
        <w:t xml:space="preserve">118 Parties have assessed progress towards their national targets related to Aichi Biodiversity Target 14 while 22 Parties </w:t>
      </w:r>
      <w:r w:rsidR="006166B5" w:rsidRPr="00F86C06">
        <w:rPr>
          <w:rFonts w:eastAsia="Malgun Gothic"/>
          <w:kern w:val="22"/>
          <w:szCs w:val="22"/>
        </w:rPr>
        <w:t xml:space="preserve">did not report on their progress </w:t>
      </w:r>
      <w:r w:rsidR="00715FD9" w:rsidRPr="00F86C06">
        <w:rPr>
          <w:rFonts w:eastAsia="Malgun Gothic"/>
          <w:kern w:val="22"/>
          <w:szCs w:val="22"/>
        </w:rPr>
        <w:t>or indicated that the</w:t>
      </w:r>
      <w:r w:rsidR="000C5AA7" w:rsidRPr="00F86C06">
        <w:rPr>
          <w:rFonts w:eastAsia="Malgun Gothic"/>
          <w:kern w:val="22"/>
          <w:szCs w:val="22"/>
        </w:rPr>
        <w:t>ir</w:t>
      </w:r>
      <w:r w:rsidR="00715FD9" w:rsidRPr="00F86C06">
        <w:rPr>
          <w:rFonts w:eastAsia="Malgun Gothic"/>
          <w:kern w:val="22"/>
          <w:szCs w:val="22"/>
        </w:rPr>
        <w:t xml:space="preserve"> level of progress </w:t>
      </w:r>
      <w:r w:rsidR="006166B5" w:rsidRPr="00F86C06">
        <w:rPr>
          <w:rFonts w:eastAsia="Malgun Gothic"/>
          <w:kern w:val="22"/>
          <w:szCs w:val="22"/>
        </w:rPr>
        <w:t>is</w:t>
      </w:r>
      <w:r w:rsidR="00715FD9" w:rsidRPr="00F86C06">
        <w:rPr>
          <w:rFonts w:eastAsia="Malgun Gothic"/>
          <w:kern w:val="22"/>
          <w:szCs w:val="22"/>
        </w:rPr>
        <w:t xml:space="preserve"> unknown. Of the Parties which have assessed progress</w:t>
      </w:r>
      <w:r w:rsidR="0065610E" w:rsidRPr="00F86C06">
        <w:rPr>
          <w:rFonts w:eastAsia="Malgun Gothic"/>
          <w:kern w:val="22"/>
          <w:szCs w:val="22"/>
        </w:rPr>
        <w:t>,</w:t>
      </w:r>
      <w:r w:rsidR="00715FD9" w:rsidRPr="00F86C06">
        <w:rPr>
          <w:rFonts w:eastAsia="Malgun Gothic"/>
          <w:kern w:val="22"/>
          <w:szCs w:val="22"/>
        </w:rPr>
        <w:t xml:space="preserve"> less than a third of national targets are on track to be met (27%) or exceeded (3%). More than half (61%) have made progress towards their targets but not at a rate that will allow them to be met. Few (7%) report that they are making no progress towards the target or are moving away from reaching the target (3%). Of the reporting Parties</w:t>
      </w:r>
      <w:r w:rsidR="006F0A6F">
        <w:rPr>
          <w:rFonts w:eastAsia="Malgun Gothic"/>
          <w:kern w:val="22"/>
          <w:szCs w:val="22"/>
        </w:rPr>
        <w:t>,</w:t>
      </w:r>
      <w:r w:rsidR="00715FD9" w:rsidRPr="00F86C06">
        <w:rPr>
          <w:rFonts w:eastAsia="Malgun Gothic"/>
          <w:kern w:val="22"/>
          <w:szCs w:val="22"/>
        </w:rPr>
        <w:t xml:space="preserve"> few (7%) have national targets similar to Aichi Biodiversity Target 14 which are on track to be met.</w:t>
      </w:r>
    </w:p>
    <w:p w14:paraId="5C48E142" w14:textId="4333FBEE" w:rsidR="00715FD9" w:rsidRPr="00F86C06" w:rsidRDefault="00715FD9"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rsidRPr="00F86C06">
        <w:rPr>
          <w:rFonts w:eastAsia="Malgun Gothic"/>
          <w:kern w:val="22"/>
          <w:szCs w:val="22"/>
        </w:rPr>
        <w:t>In the national reports many Parties refer to the development of broad strategies aimed at reducing human pressure on the environment, support for sustainable production and consumption</w:t>
      </w:r>
      <w:r w:rsidR="008F7E2C" w:rsidRPr="00F86C06">
        <w:rPr>
          <w:rFonts w:eastAsia="Malgun Gothic"/>
          <w:kern w:val="22"/>
          <w:szCs w:val="22"/>
        </w:rPr>
        <w:t>,</w:t>
      </w:r>
      <w:r w:rsidRPr="00F86C06">
        <w:rPr>
          <w:rStyle w:val="FootnoteReference"/>
          <w:rFonts w:eastAsia="Malgun Gothic"/>
          <w:kern w:val="22"/>
          <w:sz w:val="22"/>
          <w:szCs w:val="22"/>
        </w:rPr>
        <w:footnoteReference w:id="32"/>
      </w:r>
      <w:r w:rsidRPr="00F86C06">
        <w:rPr>
          <w:rFonts w:eastAsia="Malgun Gothic"/>
          <w:kern w:val="22"/>
          <w:szCs w:val="22"/>
        </w:rPr>
        <w:t xml:space="preserve"> mainstreaming, </w:t>
      </w:r>
      <w:r w:rsidRPr="00F86C06">
        <w:rPr>
          <w:kern w:val="22"/>
          <w:szCs w:val="22"/>
        </w:rPr>
        <w:t>the inclusion of a gender perspective in the development of biodiversity policies</w:t>
      </w:r>
      <w:r w:rsidR="006C5B82" w:rsidRPr="00F86C06">
        <w:rPr>
          <w:kern w:val="22"/>
          <w:szCs w:val="22"/>
        </w:rPr>
        <w:t>,</w:t>
      </w:r>
      <w:r w:rsidRPr="00F86C06">
        <w:rPr>
          <w:kern w:val="22"/>
          <w:szCs w:val="22"/>
        </w:rPr>
        <w:t xml:space="preserve"> </w:t>
      </w:r>
      <w:r w:rsidRPr="00F86C06">
        <w:rPr>
          <w:rFonts w:eastAsia="Malgun Gothic"/>
          <w:kern w:val="22"/>
          <w:szCs w:val="22"/>
        </w:rPr>
        <w:t>and raising awareness of the importance of ecosystem services as being relevant to the attainment of this target. Several national reports also refer to support for research projects related to this Aichi Target, including on issues related to economic valuation. Some also noted that they have convened capacity</w:t>
      </w:r>
      <w:r w:rsidR="00BE5960" w:rsidRPr="00F86C06">
        <w:rPr>
          <w:rFonts w:eastAsia="Malgun Gothic"/>
          <w:kern w:val="22"/>
          <w:szCs w:val="22"/>
        </w:rPr>
        <w:t>-</w:t>
      </w:r>
      <w:r w:rsidRPr="00F86C06">
        <w:rPr>
          <w:rFonts w:eastAsia="Malgun Gothic"/>
          <w:kern w:val="22"/>
          <w:szCs w:val="22"/>
        </w:rPr>
        <w:t>building workshops related to the issues addressed by Aichi Target 14. Reported challenges to reaching this target were a lack of funding for research, programmes and green infrastructure projects. Further information on gender</w:t>
      </w:r>
      <w:r w:rsidR="001529C2" w:rsidRPr="00F86C06">
        <w:rPr>
          <w:rFonts w:eastAsia="Malgun Gothic"/>
          <w:kern w:val="22"/>
          <w:szCs w:val="22"/>
        </w:rPr>
        <w:t>-</w:t>
      </w:r>
      <w:r w:rsidRPr="00F86C06">
        <w:rPr>
          <w:rFonts w:eastAsia="Malgun Gothic"/>
          <w:kern w:val="22"/>
          <w:szCs w:val="22"/>
        </w:rPr>
        <w:t xml:space="preserve">related issues are addressed in document </w:t>
      </w:r>
      <w:r w:rsidR="000120FC" w:rsidRPr="00F86C06">
        <w:rPr>
          <w:rFonts w:eastAsia="Malgun Gothic"/>
          <w:kern w:val="22"/>
          <w:szCs w:val="22"/>
        </w:rPr>
        <w:t>CBD/</w:t>
      </w:r>
      <w:r w:rsidRPr="00F86C06">
        <w:rPr>
          <w:rFonts w:eastAsia="Malgun Gothic"/>
          <w:kern w:val="22"/>
          <w:szCs w:val="22"/>
        </w:rPr>
        <w:t>SBI/3/2/Add.4</w:t>
      </w:r>
      <w:r w:rsidR="00C95FCE" w:rsidRPr="00F86C06">
        <w:rPr>
          <w:rFonts w:eastAsia="Malgun Gothic"/>
          <w:kern w:val="22"/>
          <w:szCs w:val="22"/>
        </w:rPr>
        <w:t>.</w:t>
      </w:r>
    </w:p>
    <w:p w14:paraId="72F67DBC" w14:textId="77777777" w:rsidR="00715FD9" w:rsidRPr="00F86C06" w:rsidRDefault="00715FD9" w:rsidP="00B07288">
      <w:pPr>
        <w:keepNext/>
        <w:keepLines/>
        <w:suppressLineNumbers/>
        <w:suppressAutoHyphens/>
        <w:kinsoku w:val="0"/>
        <w:overflowPunct w:val="0"/>
        <w:autoSpaceDE w:val="0"/>
        <w:autoSpaceDN w:val="0"/>
        <w:spacing w:before="120" w:after="120"/>
        <w:rPr>
          <w:i/>
          <w:iCs/>
          <w:snapToGrid w:val="0"/>
          <w:kern w:val="22"/>
          <w:szCs w:val="22"/>
        </w:rPr>
      </w:pPr>
      <w:r w:rsidRPr="00F86C06">
        <w:rPr>
          <w:i/>
          <w:iCs/>
          <w:snapToGrid w:val="0"/>
          <w:kern w:val="22"/>
          <w:szCs w:val="22"/>
        </w:rPr>
        <w:t>Target 15 — By 2020, ecosystem resilience and the contribution of biodiversity to carbon stocks have been enhanced, through conservation and restoration, including restoration of at least 15 per cent of degraded ecosystems, thereby contributing to climate change mitigation and adaptation and to combating desertification</w:t>
      </w:r>
    </w:p>
    <w:p w14:paraId="7542908D" w14:textId="6B337205" w:rsidR="00715FD9" w:rsidRPr="00F86C06" w:rsidRDefault="00C87F0D" w:rsidP="00715FD9">
      <w:pPr>
        <w:pStyle w:val="Para1"/>
        <w:suppressLineNumbers/>
        <w:tabs>
          <w:tab w:val="clear" w:pos="360"/>
        </w:tabs>
        <w:suppressAutoHyphens/>
        <w:kinsoku w:val="0"/>
        <w:overflowPunct w:val="0"/>
        <w:autoSpaceDE w:val="0"/>
        <w:autoSpaceDN w:val="0"/>
        <w:spacing w:before="0"/>
        <w:rPr>
          <w:rFonts w:eastAsia="Malgun Gothic"/>
          <w:kern w:val="22"/>
          <w:szCs w:val="22"/>
        </w:rPr>
      </w:pPr>
      <w:r w:rsidRPr="00F86C06">
        <w:rPr>
          <w:rFonts w:eastAsia="Malgun Gothic"/>
          <w:kern w:val="22"/>
          <w:szCs w:val="22"/>
        </w:rPr>
        <w:t xml:space="preserve">A total of </w:t>
      </w:r>
      <w:r w:rsidR="00715FD9" w:rsidRPr="00F86C06">
        <w:rPr>
          <w:rFonts w:eastAsia="Malgun Gothic"/>
          <w:kern w:val="22"/>
          <w:szCs w:val="22"/>
        </w:rPr>
        <w:t>116 NBSAPs (69%) contain targets related to Aichi Biodiversity Target 15. Of these targets</w:t>
      </w:r>
      <w:r w:rsidR="00836DD0" w:rsidRPr="00F86C06">
        <w:rPr>
          <w:rFonts w:eastAsia="Malgun Gothic"/>
          <w:kern w:val="22"/>
          <w:szCs w:val="22"/>
        </w:rPr>
        <w:t>,</w:t>
      </w:r>
      <w:r w:rsidR="00715FD9" w:rsidRPr="00F86C06">
        <w:rPr>
          <w:rFonts w:eastAsia="Malgun Gothic"/>
          <w:kern w:val="22"/>
          <w:szCs w:val="22"/>
        </w:rPr>
        <w:t xml:space="preserve"> about a fifth were similar in scope and level of ambition to the Aichi Target (18%) or exceeded it (3%). More than three quarters (78%) were lower or did not address all elements of the Aichi Target. The national targets that were set tended to have a greater focus on the restoration element of the target than on the element focusing on ecosystem resiliency and carbon stocks.</w:t>
      </w:r>
    </w:p>
    <w:p w14:paraId="15B069C9" w14:textId="2EED9E64" w:rsidR="00715FD9" w:rsidRPr="00F86C06" w:rsidRDefault="00C87F0D"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rsidRPr="00F86C06">
        <w:rPr>
          <w:rFonts w:eastAsia="Malgun Gothic"/>
          <w:kern w:val="22"/>
          <w:szCs w:val="22"/>
        </w:rPr>
        <w:lastRenderedPageBreak/>
        <w:t xml:space="preserve">A total of </w:t>
      </w:r>
      <w:r w:rsidR="00715FD9" w:rsidRPr="00F86C06">
        <w:rPr>
          <w:rFonts w:eastAsia="Malgun Gothic"/>
          <w:kern w:val="22"/>
          <w:szCs w:val="22"/>
        </w:rPr>
        <w:t xml:space="preserve">116 Parties have assessed progress towards their national targets related to Aichi Biodiversity 15 through their national reports while 24 Parties </w:t>
      </w:r>
      <w:r w:rsidR="006166B5" w:rsidRPr="00F86C06">
        <w:rPr>
          <w:rFonts w:eastAsia="Malgun Gothic"/>
          <w:kern w:val="22"/>
          <w:szCs w:val="22"/>
        </w:rPr>
        <w:t xml:space="preserve">did not report on their progress </w:t>
      </w:r>
      <w:r w:rsidR="00715FD9" w:rsidRPr="00F86C06">
        <w:rPr>
          <w:rFonts w:eastAsia="Malgun Gothic"/>
          <w:kern w:val="22"/>
          <w:szCs w:val="22"/>
        </w:rPr>
        <w:t>or indicate</w:t>
      </w:r>
      <w:r w:rsidR="006166B5" w:rsidRPr="00F86C06">
        <w:rPr>
          <w:rFonts w:eastAsia="Malgun Gothic"/>
          <w:kern w:val="22"/>
          <w:szCs w:val="22"/>
        </w:rPr>
        <w:t>d</w:t>
      </w:r>
      <w:r w:rsidR="00715FD9" w:rsidRPr="00F86C06">
        <w:rPr>
          <w:rFonts w:eastAsia="Malgun Gothic"/>
          <w:kern w:val="22"/>
          <w:szCs w:val="22"/>
        </w:rPr>
        <w:t xml:space="preserve"> that their level of progress is unknown. Of the Parties which have assessed progress</w:t>
      </w:r>
      <w:r w:rsidR="0065610E" w:rsidRPr="00F86C06">
        <w:rPr>
          <w:rFonts w:eastAsia="Malgun Gothic"/>
          <w:kern w:val="22"/>
          <w:szCs w:val="22"/>
        </w:rPr>
        <w:t>,</w:t>
      </w:r>
      <w:r w:rsidR="00715FD9" w:rsidRPr="00F86C06">
        <w:rPr>
          <w:rFonts w:eastAsia="Malgun Gothic"/>
          <w:kern w:val="22"/>
          <w:szCs w:val="22"/>
        </w:rPr>
        <w:t xml:space="preserve"> more than a third are on track to reach (33%) or exceed (3%) their national targets. More than half (55%) have made progress towards their targets but not at a rate that will allow them to be met. </w:t>
      </w:r>
      <w:r w:rsidR="007B6050" w:rsidRPr="00F86C06">
        <w:rPr>
          <w:rFonts w:eastAsia="Malgun Gothic"/>
          <w:kern w:val="22"/>
          <w:szCs w:val="22"/>
        </w:rPr>
        <w:t xml:space="preserve">Nearly </w:t>
      </w:r>
      <w:r w:rsidR="00F52F0C" w:rsidRPr="00F86C06">
        <w:rPr>
          <w:rFonts w:eastAsia="Malgun Gothic"/>
          <w:kern w:val="22"/>
          <w:szCs w:val="22"/>
        </w:rPr>
        <w:t>a tenth (</w:t>
      </w:r>
      <w:r w:rsidR="00715FD9" w:rsidRPr="00F86C06">
        <w:rPr>
          <w:rFonts w:eastAsia="Malgun Gothic"/>
          <w:kern w:val="22"/>
          <w:szCs w:val="22"/>
        </w:rPr>
        <w:t>9%</w:t>
      </w:r>
      <w:r w:rsidR="00F52F0C" w:rsidRPr="00F86C06">
        <w:rPr>
          <w:rFonts w:eastAsia="Malgun Gothic"/>
          <w:kern w:val="22"/>
          <w:szCs w:val="22"/>
        </w:rPr>
        <w:t>)</w:t>
      </w:r>
      <w:r w:rsidR="00715FD9" w:rsidRPr="00F86C06">
        <w:rPr>
          <w:rFonts w:eastAsia="Malgun Gothic"/>
          <w:kern w:val="22"/>
          <w:szCs w:val="22"/>
        </w:rPr>
        <w:t xml:space="preserve"> report that they are making no progress towards the target. Of the Parties which ha</w:t>
      </w:r>
      <w:r w:rsidR="00C95FCE" w:rsidRPr="00F86C06">
        <w:rPr>
          <w:rFonts w:eastAsia="Malgun Gothic"/>
          <w:kern w:val="22"/>
          <w:szCs w:val="22"/>
        </w:rPr>
        <w:t>ve</w:t>
      </w:r>
      <w:r w:rsidR="00715FD9" w:rsidRPr="00F86C06">
        <w:rPr>
          <w:rFonts w:eastAsia="Malgun Gothic"/>
          <w:kern w:val="22"/>
          <w:szCs w:val="22"/>
        </w:rPr>
        <w:t xml:space="preserve"> assessed progress, few (6%) have national targets similar to Aichi Biodiversity Target 15 which are on track to be met.</w:t>
      </w:r>
    </w:p>
    <w:p w14:paraId="2BD7018A" w14:textId="3351C897" w:rsidR="00715FD9" w:rsidRPr="00F86C06" w:rsidRDefault="00715FD9"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rsidRPr="00F86C06">
        <w:rPr>
          <w:rFonts w:eastAsia="Malgun Gothic"/>
          <w:kern w:val="22"/>
          <w:szCs w:val="22"/>
        </w:rPr>
        <w:t>Most of the reporting Parties reported on actions associated with restoration, including reforestation</w:t>
      </w:r>
      <w:r w:rsidR="009C2661" w:rsidRPr="00F86C06">
        <w:rPr>
          <w:rFonts w:eastAsia="Malgun Gothic"/>
          <w:kern w:val="22"/>
          <w:szCs w:val="22"/>
        </w:rPr>
        <w:t>,</w:t>
      </w:r>
      <w:r w:rsidRPr="00F86C06">
        <w:rPr>
          <w:rStyle w:val="FootnoteReference"/>
          <w:rFonts w:eastAsia="Malgun Gothic"/>
          <w:kern w:val="22"/>
          <w:sz w:val="22"/>
          <w:szCs w:val="22"/>
        </w:rPr>
        <w:footnoteReference w:id="33"/>
      </w:r>
      <w:r w:rsidRPr="00F86C06">
        <w:rPr>
          <w:rFonts w:eastAsia="Malgun Gothic"/>
          <w:kern w:val="22"/>
          <w:szCs w:val="22"/>
        </w:rPr>
        <w:t xml:space="preserve"> natural regeneration, the rehabilitation of heavily degraded sites, reflecting restoration in other strategies and plans, including national climate adaptation strategies, putting in place legal frameworks for restoration, and identifying and mapping priority areas for restoration. Parties also referenced actions aside from restoration, including the establishment of protected areas, the control of invasive alien species, increasing habitat connectivity, </w:t>
      </w:r>
      <w:r w:rsidRPr="00F86C06">
        <w:rPr>
          <w:rFonts w:eastAsia="Malgun Gothic"/>
          <w:iCs/>
          <w:kern w:val="22"/>
          <w:szCs w:val="22"/>
        </w:rPr>
        <w:t>ex</w:t>
      </w:r>
      <w:r w:rsidR="003705B4" w:rsidRPr="00F86C06">
        <w:rPr>
          <w:rFonts w:eastAsia="Malgun Gothic"/>
          <w:iCs/>
          <w:kern w:val="22"/>
          <w:szCs w:val="22"/>
        </w:rPr>
        <w:t xml:space="preserve"> </w:t>
      </w:r>
      <w:r w:rsidRPr="00F86C06">
        <w:rPr>
          <w:rFonts w:eastAsia="Malgun Gothic"/>
          <w:iCs/>
          <w:kern w:val="22"/>
          <w:szCs w:val="22"/>
        </w:rPr>
        <w:t>situ</w:t>
      </w:r>
      <w:r w:rsidRPr="00F86C06">
        <w:rPr>
          <w:rFonts w:eastAsia="Malgun Gothic"/>
          <w:kern w:val="22"/>
          <w:szCs w:val="22"/>
        </w:rPr>
        <w:t xml:space="preserve"> conservation and species reintroduction programmes, and payment</w:t>
      </w:r>
      <w:r w:rsidR="00CE4319" w:rsidRPr="00F86C06">
        <w:rPr>
          <w:rFonts w:eastAsia="Malgun Gothic"/>
          <w:kern w:val="22"/>
          <w:szCs w:val="22"/>
        </w:rPr>
        <w:t>s</w:t>
      </w:r>
      <w:r w:rsidRPr="00F86C06">
        <w:rPr>
          <w:rFonts w:eastAsia="Malgun Gothic"/>
          <w:kern w:val="22"/>
          <w:szCs w:val="22"/>
        </w:rPr>
        <w:t xml:space="preserve"> </w:t>
      </w:r>
      <w:r w:rsidR="00CE4319" w:rsidRPr="00F86C06">
        <w:rPr>
          <w:rFonts w:eastAsia="Malgun Gothic"/>
          <w:kern w:val="22"/>
          <w:szCs w:val="22"/>
        </w:rPr>
        <w:t>for</w:t>
      </w:r>
      <w:r w:rsidRPr="00F86C06">
        <w:rPr>
          <w:rFonts w:eastAsia="Malgun Gothic"/>
          <w:kern w:val="22"/>
          <w:szCs w:val="22"/>
        </w:rPr>
        <w:t xml:space="preserve"> ecosystem service</w:t>
      </w:r>
      <w:r w:rsidR="00CE4319" w:rsidRPr="00F86C06">
        <w:rPr>
          <w:rFonts w:eastAsia="Malgun Gothic"/>
          <w:kern w:val="22"/>
          <w:szCs w:val="22"/>
        </w:rPr>
        <w:t>s</w:t>
      </w:r>
      <w:r w:rsidRPr="00F86C06">
        <w:rPr>
          <w:rFonts w:eastAsia="Malgun Gothic"/>
          <w:kern w:val="22"/>
          <w:szCs w:val="22"/>
        </w:rPr>
        <w:t xml:space="preserve"> schemes. More generally the national reports also referred to promoting citizen engagement in restoration activities, promoting greater coordination in restoration activities, undertaking research, and promoting urban green infrastructure. By comparison</w:t>
      </w:r>
      <w:r w:rsidR="005E7750">
        <w:rPr>
          <w:rFonts w:eastAsia="Malgun Gothic"/>
          <w:kern w:val="22"/>
          <w:szCs w:val="22"/>
        </w:rPr>
        <w:t>,</w:t>
      </w:r>
      <w:r w:rsidRPr="00F86C06">
        <w:rPr>
          <w:rFonts w:eastAsia="Malgun Gothic"/>
          <w:kern w:val="22"/>
          <w:szCs w:val="22"/>
        </w:rPr>
        <w:t xml:space="preserve"> there was little information on issues related to resilience. Reported challenges to reaching this target include a lack of information and data on ecosystem health and quality and a lack of monitoring systems.</w:t>
      </w:r>
    </w:p>
    <w:p w14:paraId="7262C37A" w14:textId="77777777" w:rsidR="00715FD9" w:rsidRPr="00F86C06" w:rsidRDefault="00715FD9" w:rsidP="00715FD9">
      <w:pPr>
        <w:keepNext/>
        <w:suppressLineNumbers/>
        <w:suppressAutoHyphens/>
        <w:kinsoku w:val="0"/>
        <w:overflowPunct w:val="0"/>
        <w:autoSpaceDE w:val="0"/>
        <w:autoSpaceDN w:val="0"/>
        <w:spacing w:before="120" w:after="120"/>
        <w:rPr>
          <w:i/>
          <w:iCs/>
          <w:snapToGrid w:val="0"/>
          <w:kern w:val="22"/>
          <w:szCs w:val="22"/>
        </w:rPr>
      </w:pPr>
      <w:r w:rsidRPr="00F86C06">
        <w:rPr>
          <w:i/>
          <w:iCs/>
          <w:snapToGrid w:val="0"/>
          <w:kern w:val="22"/>
          <w:szCs w:val="22"/>
        </w:rPr>
        <w:t>Target 16 – By 2015, the Nagoya Protocol on Access to Genetic Resources and the Fair and Equitable Sharing of Benefits Arising from their Utilization is in force and operational, consistent with national legislation</w:t>
      </w:r>
    </w:p>
    <w:p w14:paraId="51F20FF0" w14:textId="1CF9AFE0" w:rsidR="00715FD9" w:rsidRPr="00F86C06" w:rsidRDefault="00C87F0D" w:rsidP="00715FD9">
      <w:pPr>
        <w:pStyle w:val="Para1"/>
        <w:suppressLineNumbers/>
        <w:tabs>
          <w:tab w:val="clear" w:pos="360"/>
        </w:tabs>
        <w:suppressAutoHyphens/>
        <w:kinsoku w:val="0"/>
        <w:overflowPunct w:val="0"/>
        <w:autoSpaceDE w:val="0"/>
        <w:autoSpaceDN w:val="0"/>
        <w:spacing w:before="0"/>
        <w:rPr>
          <w:rFonts w:eastAsia="Malgun Gothic"/>
          <w:kern w:val="22"/>
          <w:szCs w:val="22"/>
        </w:rPr>
      </w:pPr>
      <w:r w:rsidRPr="00F86C06">
        <w:rPr>
          <w:rFonts w:eastAsia="Malgun Gothic"/>
          <w:kern w:val="22"/>
          <w:szCs w:val="22"/>
        </w:rPr>
        <w:t xml:space="preserve">A total of </w:t>
      </w:r>
      <w:r w:rsidR="00715FD9" w:rsidRPr="00F86C06">
        <w:rPr>
          <w:rFonts w:eastAsia="Malgun Gothic"/>
          <w:kern w:val="22"/>
          <w:szCs w:val="22"/>
        </w:rPr>
        <w:t xml:space="preserve">116 NBSAPs </w:t>
      </w:r>
      <w:r w:rsidR="00B47A9B" w:rsidRPr="00F86C06">
        <w:rPr>
          <w:rFonts w:eastAsia="Malgun Gothic"/>
          <w:kern w:val="22"/>
          <w:szCs w:val="22"/>
        </w:rPr>
        <w:t xml:space="preserve">(69%) </w:t>
      </w:r>
      <w:r w:rsidR="00715FD9" w:rsidRPr="00F86C06">
        <w:rPr>
          <w:rFonts w:eastAsia="Malgun Gothic"/>
          <w:kern w:val="22"/>
          <w:szCs w:val="22"/>
        </w:rPr>
        <w:t>contain targets related to Aichi Biodiversity Target 16. About a quarter (28%) of these targets contained national target</w:t>
      </w:r>
      <w:r w:rsidR="00E92E3C" w:rsidRPr="00F86C06">
        <w:rPr>
          <w:rFonts w:eastAsia="Malgun Gothic"/>
          <w:kern w:val="22"/>
          <w:szCs w:val="22"/>
        </w:rPr>
        <w:t>s</w:t>
      </w:r>
      <w:r w:rsidR="00715FD9" w:rsidRPr="00F86C06">
        <w:rPr>
          <w:rFonts w:eastAsia="Malgun Gothic"/>
          <w:kern w:val="22"/>
          <w:szCs w:val="22"/>
        </w:rPr>
        <w:t xml:space="preserve"> </w:t>
      </w:r>
      <w:r w:rsidR="00E92E3C" w:rsidRPr="00F86C06">
        <w:rPr>
          <w:rFonts w:eastAsia="Malgun Gothic"/>
          <w:kern w:val="22"/>
          <w:szCs w:val="22"/>
        </w:rPr>
        <w:t xml:space="preserve">or </w:t>
      </w:r>
      <w:r w:rsidR="00715FD9" w:rsidRPr="00F86C06">
        <w:rPr>
          <w:rFonts w:eastAsia="Malgun Gothic"/>
          <w:kern w:val="22"/>
          <w:szCs w:val="22"/>
        </w:rPr>
        <w:t xml:space="preserve">other commitments which were similar to the overall scope and level of ambition set out in Aichi Biodiversity Target 16. Almost three quarters (72%) were either lower than the Aichi Target or did not address all of its elements. Many of the targets that were set were general and referred to access and benefit-sharing </w:t>
      </w:r>
      <w:r w:rsidR="003705B4" w:rsidRPr="00F86C06">
        <w:rPr>
          <w:rFonts w:eastAsia="Malgun Gothic"/>
          <w:kern w:val="22"/>
          <w:szCs w:val="22"/>
        </w:rPr>
        <w:t xml:space="preserve">(ABS) </w:t>
      </w:r>
      <w:r w:rsidR="00715FD9" w:rsidRPr="00F86C06">
        <w:rPr>
          <w:rFonts w:eastAsia="Malgun Gothic"/>
          <w:kern w:val="22"/>
          <w:szCs w:val="22"/>
        </w:rPr>
        <w:t>broadly and several did not make an explicit reference to the Nagoya Protocol. This Aichi Target is among those with the largest number of NBSAPs with associated national targets.</w:t>
      </w:r>
    </w:p>
    <w:p w14:paraId="4E5A4453" w14:textId="2E216F85" w:rsidR="00715FD9" w:rsidRPr="00F86C06" w:rsidRDefault="00C87F0D"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rsidRPr="00F86C06">
        <w:rPr>
          <w:rFonts w:eastAsia="Malgun Gothic"/>
          <w:kern w:val="22"/>
          <w:szCs w:val="22"/>
        </w:rPr>
        <w:t xml:space="preserve">A total of </w:t>
      </w:r>
      <w:r w:rsidR="00715FD9" w:rsidRPr="00F86C06">
        <w:rPr>
          <w:rFonts w:eastAsia="Malgun Gothic"/>
          <w:kern w:val="22"/>
          <w:szCs w:val="22"/>
        </w:rPr>
        <w:t xml:space="preserve">116 Parties have assessed progress towards their national targets related to Aichi Biodiversity 16 while 24 Parties did not assess progress or indicated that their </w:t>
      </w:r>
      <w:r w:rsidR="000C5AA7" w:rsidRPr="00F86C06">
        <w:rPr>
          <w:rFonts w:eastAsia="Malgun Gothic"/>
          <w:kern w:val="22"/>
          <w:szCs w:val="22"/>
        </w:rPr>
        <w:t xml:space="preserve">level of </w:t>
      </w:r>
      <w:r w:rsidR="00715FD9" w:rsidRPr="00F86C06">
        <w:rPr>
          <w:rFonts w:eastAsia="Malgun Gothic"/>
          <w:kern w:val="22"/>
          <w:szCs w:val="22"/>
        </w:rPr>
        <w:t xml:space="preserve">progress </w:t>
      </w:r>
      <w:r w:rsidR="000C5AA7" w:rsidRPr="00F86C06">
        <w:rPr>
          <w:rFonts w:eastAsia="Malgun Gothic"/>
          <w:kern w:val="22"/>
          <w:szCs w:val="22"/>
        </w:rPr>
        <w:t>is</w:t>
      </w:r>
      <w:r w:rsidR="00715FD9" w:rsidRPr="00F86C06">
        <w:rPr>
          <w:rFonts w:eastAsia="Malgun Gothic"/>
          <w:kern w:val="22"/>
          <w:szCs w:val="22"/>
        </w:rPr>
        <w:t xml:space="preserve"> unknown. Of the Parties which assessed their progress, more than a third are on track to reach (38%) their national targets while a few (8%) reported that they were on track to be exceed it. More than half (44%) of Parties have made progress towards their targets but not at a rate that will allow them to be met. A few Parties (9%) report that they are making no progress towards the target or are moving away it (1%). Of the reporting Parties, more than a tenth (15%) have national targets similar to Aichi Biodiversity Target 16 which are on track to be met. Additional information regarding Aichi Target 16 is provided through the </w:t>
      </w:r>
      <w:hyperlink r:id="rId23" w:history="1">
        <w:r w:rsidR="00715FD9" w:rsidRPr="00F86C06">
          <w:rPr>
            <w:rStyle w:val="Hyperlink"/>
            <w:rFonts w:eastAsia="Malgun Gothic"/>
            <w:kern w:val="22"/>
            <w:szCs w:val="22"/>
          </w:rPr>
          <w:t>ABS Clearing</w:t>
        </w:r>
        <w:r w:rsidR="009A62C0" w:rsidRPr="00F86C06">
          <w:rPr>
            <w:rStyle w:val="Hyperlink"/>
            <w:rFonts w:eastAsia="Malgun Gothic"/>
            <w:kern w:val="22"/>
            <w:szCs w:val="22"/>
          </w:rPr>
          <w:t>-</w:t>
        </w:r>
        <w:r w:rsidR="00715FD9" w:rsidRPr="00F86C06">
          <w:rPr>
            <w:rStyle w:val="Hyperlink"/>
            <w:rFonts w:eastAsia="Malgun Gothic"/>
            <w:kern w:val="22"/>
            <w:szCs w:val="22"/>
          </w:rPr>
          <w:t>Ho</w:t>
        </w:r>
        <w:r w:rsidR="009A62C0" w:rsidRPr="00F86C06">
          <w:rPr>
            <w:rStyle w:val="Hyperlink"/>
            <w:rFonts w:eastAsia="Malgun Gothic"/>
            <w:kern w:val="22"/>
            <w:szCs w:val="22"/>
          </w:rPr>
          <w:t>u</w:t>
        </w:r>
        <w:r w:rsidR="00715FD9" w:rsidRPr="00F86C06">
          <w:rPr>
            <w:rStyle w:val="Hyperlink"/>
            <w:rFonts w:eastAsia="Malgun Gothic"/>
            <w:kern w:val="22"/>
            <w:szCs w:val="22"/>
          </w:rPr>
          <w:t>se Mechanism</w:t>
        </w:r>
      </w:hyperlink>
      <w:r w:rsidR="00715FD9" w:rsidRPr="00F86C06">
        <w:rPr>
          <w:rFonts w:eastAsia="Malgun Gothic"/>
          <w:kern w:val="22"/>
          <w:szCs w:val="22"/>
        </w:rPr>
        <w:t>.</w:t>
      </w:r>
    </w:p>
    <w:p w14:paraId="77FC11B2" w14:textId="5B909710" w:rsidR="00715FD9" w:rsidRPr="00F86C06" w:rsidRDefault="00715FD9"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rsidRPr="00F86C06">
        <w:rPr>
          <w:rFonts w:eastAsia="Malgun Gothic"/>
          <w:kern w:val="22"/>
          <w:szCs w:val="22"/>
        </w:rPr>
        <w:t xml:space="preserve">The national reports commonly note that actions are ongoing to implement the Nagoya Protocol at </w:t>
      </w:r>
      <w:r w:rsidR="00201B40">
        <w:rPr>
          <w:rFonts w:eastAsia="Malgun Gothic"/>
          <w:kern w:val="22"/>
          <w:szCs w:val="22"/>
        </w:rPr>
        <w:t>the</w:t>
      </w:r>
      <w:r w:rsidRPr="00F86C06">
        <w:rPr>
          <w:rFonts w:eastAsia="Malgun Gothic"/>
          <w:kern w:val="22"/>
          <w:szCs w:val="22"/>
        </w:rPr>
        <w:t xml:space="preserve"> national level, including efforts to modify or develop relevant legislation. Many reports also refer to undertaking workshops to build capacity and awareness related to the Nagoya Protocol</w:t>
      </w:r>
      <w:r w:rsidR="00C95FCE" w:rsidRPr="00F86C06">
        <w:rPr>
          <w:rFonts w:eastAsia="Malgun Gothic"/>
          <w:kern w:val="22"/>
          <w:szCs w:val="22"/>
        </w:rPr>
        <w:t>.</w:t>
      </w:r>
      <w:r w:rsidRPr="00F86C06">
        <w:rPr>
          <w:rStyle w:val="FootnoteReference"/>
          <w:rFonts w:eastAsia="Malgun Gothic"/>
          <w:kern w:val="22"/>
          <w:sz w:val="22"/>
          <w:szCs w:val="22"/>
        </w:rPr>
        <w:footnoteReference w:id="34"/>
      </w:r>
      <w:r w:rsidRPr="00F86C06">
        <w:rPr>
          <w:rFonts w:eastAsia="Malgun Gothic"/>
          <w:kern w:val="22"/>
          <w:szCs w:val="22"/>
        </w:rPr>
        <w:t xml:space="preserve"> Some reported challenges include limited resources to operationalize the Protocol and a lack of necessary legislation.</w:t>
      </w:r>
    </w:p>
    <w:p w14:paraId="1C3FC8EF" w14:textId="77777777" w:rsidR="00715FD9" w:rsidRPr="00F86C06" w:rsidRDefault="00715FD9" w:rsidP="00715FD9">
      <w:pPr>
        <w:keepNext/>
        <w:suppressLineNumbers/>
        <w:suppressAutoHyphens/>
        <w:kinsoku w:val="0"/>
        <w:overflowPunct w:val="0"/>
        <w:autoSpaceDE w:val="0"/>
        <w:autoSpaceDN w:val="0"/>
        <w:spacing w:before="120" w:after="120"/>
        <w:rPr>
          <w:i/>
          <w:iCs/>
          <w:snapToGrid w:val="0"/>
          <w:kern w:val="22"/>
          <w:szCs w:val="22"/>
        </w:rPr>
      </w:pPr>
      <w:r w:rsidRPr="00F86C06">
        <w:rPr>
          <w:i/>
          <w:iCs/>
          <w:snapToGrid w:val="0"/>
          <w:kern w:val="22"/>
          <w:szCs w:val="22"/>
        </w:rPr>
        <w:t>Target 17 – By 2015 each Party has developed, adopted as a policy instrument, and has commenced implementing an effective, participatory and updated national biodiversity strategy and action plan</w:t>
      </w:r>
    </w:p>
    <w:p w14:paraId="560C489F" w14:textId="33E7B6F2" w:rsidR="00715FD9" w:rsidRPr="00F86C06" w:rsidRDefault="00C87F0D" w:rsidP="00715FD9">
      <w:pPr>
        <w:pStyle w:val="Para1"/>
        <w:suppressLineNumbers/>
        <w:tabs>
          <w:tab w:val="clear" w:pos="360"/>
        </w:tabs>
        <w:suppressAutoHyphens/>
        <w:kinsoku w:val="0"/>
        <w:overflowPunct w:val="0"/>
        <w:autoSpaceDE w:val="0"/>
        <w:autoSpaceDN w:val="0"/>
        <w:spacing w:before="0"/>
        <w:rPr>
          <w:rFonts w:eastAsia="Malgun Gothic"/>
          <w:kern w:val="22"/>
          <w:szCs w:val="22"/>
        </w:rPr>
      </w:pPr>
      <w:r w:rsidRPr="00F86C06">
        <w:rPr>
          <w:rFonts w:eastAsia="Malgun Gothic"/>
          <w:kern w:val="22"/>
          <w:szCs w:val="22"/>
        </w:rPr>
        <w:t xml:space="preserve">A total of </w:t>
      </w:r>
      <w:r w:rsidR="00715FD9" w:rsidRPr="00F86C06">
        <w:rPr>
          <w:rFonts w:eastAsia="Malgun Gothic"/>
          <w:kern w:val="22"/>
          <w:szCs w:val="22"/>
        </w:rPr>
        <w:t xml:space="preserve">90 NBSAPs (54%) contain targets related to Aichi Biodiversity Target 17. This Aichi Target is among those with the lowest number of NBSAPs with related national targets or other </w:t>
      </w:r>
      <w:r w:rsidR="00715FD9" w:rsidRPr="00F86C06">
        <w:rPr>
          <w:rFonts w:eastAsia="Malgun Gothic"/>
          <w:kern w:val="22"/>
          <w:szCs w:val="22"/>
        </w:rPr>
        <w:lastRenderedPageBreak/>
        <w:t>commitments. This could be explained by the fact that because countries have developed or updated their NBSAP, they did not feel the need to reflect this Aichi Target in their NBSAP. Of the targets set</w:t>
      </w:r>
      <w:r w:rsidR="00ED6C78" w:rsidRPr="00F86C06">
        <w:rPr>
          <w:rFonts w:eastAsia="Malgun Gothic"/>
          <w:kern w:val="22"/>
          <w:szCs w:val="22"/>
        </w:rPr>
        <w:t>,</w:t>
      </w:r>
      <w:r w:rsidR="00715FD9" w:rsidRPr="00F86C06">
        <w:rPr>
          <w:rFonts w:eastAsia="Malgun Gothic"/>
          <w:kern w:val="22"/>
          <w:szCs w:val="22"/>
        </w:rPr>
        <w:t xml:space="preserve"> about a third (36%) are similar to the scope and level of ambition set out in Aichi Target 17. Almost three quarters (64%) are lower </w:t>
      </w:r>
      <w:r w:rsidR="00C05848" w:rsidRPr="00F86C06">
        <w:rPr>
          <w:rFonts w:eastAsia="Malgun Gothic"/>
          <w:kern w:val="22"/>
          <w:szCs w:val="22"/>
        </w:rPr>
        <w:t xml:space="preserve">than the Aichi Target </w:t>
      </w:r>
      <w:r w:rsidR="00715FD9" w:rsidRPr="00F86C06">
        <w:rPr>
          <w:rFonts w:eastAsia="Malgun Gothic"/>
          <w:kern w:val="22"/>
          <w:szCs w:val="22"/>
        </w:rPr>
        <w:t xml:space="preserve">or do not cover all </w:t>
      </w:r>
      <w:r w:rsidR="00C05848" w:rsidRPr="00F86C06">
        <w:rPr>
          <w:rFonts w:eastAsia="Malgun Gothic"/>
          <w:kern w:val="22"/>
          <w:szCs w:val="22"/>
        </w:rPr>
        <w:t xml:space="preserve">of its </w:t>
      </w:r>
      <w:r w:rsidR="00715FD9" w:rsidRPr="00F86C06">
        <w:rPr>
          <w:rFonts w:eastAsia="Malgun Gothic"/>
          <w:kern w:val="22"/>
          <w:szCs w:val="22"/>
        </w:rPr>
        <w:t>elements.</w:t>
      </w:r>
    </w:p>
    <w:p w14:paraId="304AE6C3" w14:textId="63280672" w:rsidR="00715FD9" w:rsidRPr="00F86C06" w:rsidRDefault="00C87F0D"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rsidRPr="00F86C06">
        <w:rPr>
          <w:rFonts w:eastAsia="Malgun Gothic"/>
          <w:kern w:val="22"/>
          <w:szCs w:val="22"/>
        </w:rPr>
        <w:t xml:space="preserve">A total of </w:t>
      </w:r>
      <w:r w:rsidR="00715FD9" w:rsidRPr="00F86C06">
        <w:rPr>
          <w:rFonts w:eastAsia="Malgun Gothic"/>
          <w:kern w:val="22"/>
          <w:szCs w:val="22"/>
        </w:rPr>
        <w:t xml:space="preserve">96 Parties have assessed progress towards their national targets related to Aichi Biodiversity 17 while 44 Parties </w:t>
      </w:r>
      <w:r w:rsidR="006166B5" w:rsidRPr="00F86C06">
        <w:rPr>
          <w:rFonts w:eastAsia="Malgun Gothic"/>
          <w:kern w:val="22"/>
          <w:szCs w:val="22"/>
        </w:rPr>
        <w:t xml:space="preserve">did not report on their progress </w:t>
      </w:r>
      <w:r w:rsidR="00715FD9" w:rsidRPr="00F86C06">
        <w:rPr>
          <w:rFonts w:eastAsia="Malgun Gothic"/>
          <w:kern w:val="22"/>
          <w:szCs w:val="22"/>
        </w:rPr>
        <w:t>or indicate</w:t>
      </w:r>
      <w:r w:rsidR="006166B5" w:rsidRPr="00F86C06">
        <w:rPr>
          <w:rFonts w:eastAsia="Malgun Gothic"/>
          <w:kern w:val="22"/>
          <w:szCs w:val="22"/>
        </w:rPr>
        <w:t>d</w:t>
      </w:r>
      <w:r w:rsidR="00715FD9" w:rsidRPr="00F86C06">
        <w:rPr>
          <w:rFonts w:eastAsia="Malgun Gothic"/>
          <w:kern w:val="22"/>
          <w:szCs w:val="22"/>
        </w:rPr>
        <w:t xml:space="preserve"> that their </w:t>
      </w:r>
      <w:r w:rsidR="000C5AA7" w:rsidRPr="00F86C06">
        <w:rPr>
          <w:rFonts w:eastAsia="Malgun Gothic"/>
          <w:kern w:val="22"/>
          <w:szCs w:val="22"/>
        </w:rPr>
        <w:t xml:space="preserve">level of </w:t>
      </w:r>
      <w:r w:rsidR="00715FD9" w:rsidRPr="00F86C06">
        <w:rPr>
          <w:rFonts w:eastAsia="Malgun Gothic"/>
          <w:kern w:val="22"/>
          <w:szCs w:val="22"/>
        </w:rPr>
        <w:t>progress is unknown. Of the Parties which assessed their progress, more than half are on track to reach (42%) their national targets or exceed (13%) them. More than a third of Parties (36%) have made progress towards their targets but not at a rate that will allow them to be met. Few Parties (9%) report that they are making no progress towards the target. Of the Parties which have assessed progress, less than a third (28%) have national targets similar to Aichi Biodiversity Target 17 which are on track to be met. Additional information regarding Aichi Target 17 is provided in CBD/SBI/3</w:t>
      </w:r>
      <w:r w:rsidR="00715FD9" w:rsidRPr="00F86C06">
        <w:rPr>
          <w:kern w:val="22"/>
          <w:szCs w:val="22"/>
        </w:rPr>
        <w:t>/2/</w:t>
      </w:r>
      <w:r w:rsidR="00C95FCE" w:rsidRPr="00F86C06">
        <w:rPr>
          <w:kern w:val="22"/>
          <w:szCs w:val="22"/>
        </w:rPr>
        <w:t>A</w:t>
      </w:r>
      <w:r w:rsidR="00715FD9" w:rsidRPr="00F86C06">
        <w:rPr>
          <w:kern w:val="22"/>
          <w:szCs w:val="22"/>
        </w:rPr>
        <w:t>dd.1</w:t>
      </w:r>
      <w:r w:rsidR="00C95FCE" w:rsidRPr="00F86C06">
        <w:rPr>
          <w:kern w:val="22"/>
          <w:szCs w:val="22"/>
        </w:rPr>
        <w:t>.</w:t>
      </w:r>
    </w:p>
    <w:p w14:paraId="44838900" w14:textId="4F3575BC" w:rsidR="00715FD9" w:rsidRPr="00F86C06" w:rsidRDefault="00715FD9"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rsidRPr="00F86C06">
        <w:rPr>
          <w:kern w:val="22"/>
          <w:szCs w:val="22"/>
        </w:rPr>
        <w:t>Most Parties have developed, updated or revised their NBSAPs since the adoption of the Strategic Plan for Biodiversity 2011-2020 and the focus is currently on implementing actions. Few Parties report on actions to adopt their NBSAPs as whole of government instruments</w:t>
      </w:r>
      <w:r w:rsidR="008F7E2C" w:rsidRPr="00F86C06">
        <w:rPr>
          <w:kern w:val="22"/>
          <w:szCs w:val="22"/>
        </w:rPr>
        <w:t>.</w:t>
      </w:r>
      <w:r w:rsidRPr="00F86C06">
        <w:rPr>
          <w:rStyle w:val="FootnoteReference"/>
          <w:kern w:val="22"/>
          <w:sz w:val="22"/>
          <w:szCs w:val="22"/>
        </w:rPr>
        <w:footnoteReference w:id="35"/>
      </w:r>
      <w:r w:rsidRPr="00F86C06">
        <w:rPr>
          <w:kern w:val="22"/>
          <w:szCs w:val="22"/>
        </w:rPr>
        <w:t xml:space="preserve"> Several Parties have reported on mainstreaming activities to support their implementation, such as through workshops, inter</w:t>
      </w:r>
      <w:r w:rsidR="00B71E0B" w:rsidRPr="00F86C06">
        <w:rPr>
          <w:kern w:val="22"/>
          <w:szCs w:val="22"/>
        </w:rPr>
        <w:t>-</w:t>
      </w:r>
      <w:r w:rsidRPr="00F86C06">
        <w:rPr>
          <w:kern w:val="22"/>
          <w:szCs w:val="22"/>
        </w:rPr>
        <w:t xml:space="preserve">agency cooperation and aligning their work </w:t>
      </w:r>
      <w:r w:rsidR="008241A9" w:rsidRPr="00F86C06">
        <w:rPr>
          <w:kern w:val="22"/>
          <w:szCs w:val="22"/>
        </w:rPr>
        <w:t>with</w:t>
      </w:r>
      <w:r w:rsidRPr="00F86C06">
        <w:rPr>
          <w:kern w:val="22"/>
          <w:szCs w:val="22"/>
        </w:rPr>
        <w:t xml:space="preserve"> other sectoral strategies and action plans. Some Parties also refer to initiating regional and provincial</w:t>
      </w:r>
      <w:r w:rsidR="002E7456" w:rsidRPr="00F86C06">
        <w:rPr>
          <w:kern w:val="22"/>
          <w:szCs w:val="22"/>
        </w:rPr>
        <w:t>-</w:t>
      </w:r>
      <w:r w:rsidRPr="00F86C06">
        <w:rPr>
          <w:kern w:val="22"/>
          <w:szCs w:val="22"/>
        </w:rPr>
        <w:t>level biodiversity plans to more effectively translate the NBSAPs into local action. Commonly reported challenges to reaching this target were the lack of indicators to monitor the use of the NBSAP as a policy instrument, limited resources to implement NBSAPs and the fact that many NBSAPs were only recently adopted.</w:t>
      </w:r>
    </w:p>
    <w:p w14:paraId="052BADC1" w14:textId="50F29C57" w:rsidR="00715FD9" w:rsidRPr="00F86C06" w:rsidRDefault="00715FD9" w:rsidP="00715FD9">
      <w:pPr>
        <w:keepNext/>
        <w:suppressLineNumbers/>
        <w:suppressAutoHyphens/>
        <w:kinsoku w:val="0"/>
        <w:overflowPunct w:val="0"/>
        <w:autoSpaceDE w:val="0"/>
        <w:autoSpaceDN w:val="0"/>
        <w:spacing w:before="120" w:after="120"/>
        <w:rPr>
          <w:i/>
          <w:iCs/>
          <w:snapToGrid w:val="0"/>
          <w:kern w:val="22"/>
          <w:szCs w:val="22"/>
        </w:rPr>
      </w:pPr>
      <w:r w:rsidRPr="00F86C06">
        <w:rPr>
          <w:i/>
          <w:iCs/>
          <w:snapToGrid w:val="0"/>
          <w:kern w:val="22"/>
          <w:szCs w:val="22"/>
        </w:rPr>
        <w:t xml:space="preserve">Target 18 </w:t>
      </w:r>
      <w:r w:rsidR="00AD11F2">
        <w:rPr>
          <w:i/>
          <w:iCs/>
          <w:snapToGrid w:val="0"/>
          <w:kern w:val="22"/>
          <w:szCs w:val="22"/>
        </w:rPr>
        <w:t>–</w:t>
      </w:r>
      <w:r w:rsidRPr="00F86C06">
        <w:rPr>
          <w:i/>
          <w:iCs/>
          <w:snapToGrid w:val="0"/>
          <w:kern w:val="22"/>
          <w:szCs w:val="22"/>
        </w:rPr>
        <w:t> By 2020, the traditional knowledge, innovations and practices of indigenous and local communities relevant for the conservation and sustainable use of biodiversity, and their customary use of biological resources, are respected, subject to national legislation and relevant international obligations, and fully integrated and reflected in the implementation of the Convention with the full and effective participation of indigenous and local communities, at all relevant levels</w:t>
      </w:r>
    </w:p>
    <w:p w14:paraId="77B5760A" w14:textId="470BF79C" w:rsidR="00715FD9" w:rsidRPr="00F86C06" w:rsidRDefault="00C87F0D" w:rsidP="00715FD9">
      <w:pPr>
        <w:pStyle w:val="Para1"/>
        <w:suppressLineNumbers/>
        <w:tabs>
          <w:tab w:val="clear" w:pos="360"/>
        </w:tabs>
        <w:suppressAutoHyphens/>
        <w:kinsoku w:val="0"/>
        <w:overflowPunct w:val="0"/>
        <w:autoSpaceDE w:val="0"/>
        <w:autoSpaceDN w:val="0"/>
        <w:spacing w:before="0"/>
        <w:rPr>
          <w:rFonts w:eastAsia="Malgun Gothic"/>
          <w:kern w:val="22"/>
          <w:szCs w:val="22"/>
        </w:rPr>
      </w:pPr>
      <w:r w:rsidRPr="00F86C06">
        <w:rPr>
          <w:rFonts w:eastAsia="Malgun Gothic"/>
          <w:kern w:val="22"/>
          <w:szCs w:val="22"/>
        </w:rPr>
        <w:t xml:space="preserve">A total of </w:t>
      </w:r>
      <w:r w:rsidR="00715FD9" w:rsidRPr="00F86C06">
        <w:rPr>
          <w:rFonts w:eastAsia="Malgun Gothic"/>
          <w:kern w:val="22"/>
          <w:szCs w:val="22"/>
        </w:rPr>
        <w:t>112 NBSAPs (67%) contain national targets related to Aichi Biodiversity Target 18. Of these targets, about a fifth (21%) are similar to the scope and level of ambition set out in the Aichi Target. More than three quarters (79%) are lower than the Aichi Target or did not address all of its elements. Many of the targets that were set were general. The main focus of the national targets centred on respecting traditional knowledge, innovations and practices and the integration of these in the implementation of the Convention. By comparison, there was relatively less focus on ensuring the full and effective participation of indigenous peoples and local communities.</w:t>
      </w:r>
    </w:p>
    <w:p w14:paraId="077E4EEE" w14:textId="0FB2E0AB" w:rsidR="00715FD9" w:rsidRPr="00F86C06" w:rsidRDefault="00C87F0D"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rsidRPr="00F86C06">
        <w:rPr>
          <w:rFonts w:eastAsia="Malgun Gothic"/>
          <w:kern w:val="22"/>
          <w:szCs w:val="22"/>
        </w:rPr>
        <w:t xml:space="preserve">A total of </w:t>
      </w:r>
      <w:r w:rsidR="00715FD9" w:rsidRPr="00F86C06">
        <w:rPr>
          <w:rFonts w:eastAsia="Malgun Gothic"/>
          <w:kern w:val="22"/>
          <w:szCs w:val="22"/>
        </w:rPr>
        <w:t xml:space="preserve">105 Parties have assessed progress towards their national targets related to Aichi Biodiversity 18 while 35 Parties </w:t>
      </w:r>
      <w:r w:rsidR="006166B5" w:rsidRPr="00F86C06">
        <w:rPr>
          <w:rFonts w:eastAsia="Malgun Gothic"/>
          <w:kern w:val="22"/>
          <w:szCs w:val="22"/>
        </w:rPr>
        <w:t xml:space="preserve">did not report on their progress </w:t>
      </w:r>
      <w:r w:rsidR="00715FD9" w:rsidRPr="00F86C06">
        <w:rPr>
          <w:rFonts w:eastAsia="Malgun Gothic"/>
          <w:kern w:val="22"/>
          <w:szCs w:val="22"/>
        </w:rPr>
        <w:t>or indicate</w:t>
      </w:r>
      <w:r w:rsidR="006166B5" w:rsidRPr="00F86C06">
        <w:rPr>
          <w:rFonts w:eastAsia="Malgun Gothic"/>
          <w:kern w:val="22"/>
          <w:szCs w:val="22"/>
        </w:rPr>
        <w:t>d</w:t>
      </w:r>
      <w:r w:rsidR="00715FD9" w:rsidRPr="00F86C06">
        <w:rPr>
          <w:rFonts w:eastAsia="Malgun Gothic"/>
          <w:kern w:val="22"/>
          <w:szCs w:val="22"/>
        </w:rPr>
        <w:t xml:space="preserve"> that their </w:t>
      </w:r>
      <w:r w:rsidR="000C5AA7" w:rsidRPr="00F86C06">
        <w:rPr>
          <w:rFonts w:eastAsia="Malgun Gothic"/>
          <w:kern w:val="22"/>
          <w:szCs w:val="22"/>
        </w:rPr>
        <w:t xml:space="preserve">level of </w:t>
      </w:r>
      <w:r w:rsidR="00715FD9" w:rsidRPr="00F86C06">
        <w:rPr>
          <w:rFonts w:eastAsia="Malgun Gothic"/>
          <w:kern w:val="22"/>
          <w:szCs w:val="22"/>
        </w:rPr>
        <w:t>progress is unknown. Of the Parties which have assessed progress, more than a third are on track to reach (35%) their national targets or exceed (5%) them. More than half of Parties (52%) have made progress towards their targets but not at a rate that will allow them to be met. A few Parties (8%) report that they are making no progress towards the target. Of the reporting Parties, less than a tenth (9%) have national targets similar to Aichi Biodiversity Target 18 which are on track to be met.</w:t>
      </w:r>
    </w:p>
    <w:p w14:paraId="13A6A627" w14:textId="7C5D3983" w:rsidR="00715FD9" w:rsidRPr="00F86C06" w:rsidRDefault="00715FD9"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rsidRPr="00F86C06">
        <w:rPr>
          <w:rFonts w:eastAsia="Malgun Gothic"/>
          <w:kern w:val="22"/>
          <w:szCs w:val="22"/>
        </w:rPr>
        <w:t xml:space="preserve">Actions commonly reported by Parties were efforts to better document traditional knowledge. Many of the national reports noted links between this Aichi Biodiversity Target and the Nagoya Protocol and refer to efforts to protect traditional knowledge and to ensure that indigenous peoples and local communities are fairly compensated for the use of their knowledge. </w:t>
      </w:r>
      <w:r w:rsidR="00AB4F6E" w:rsidRPr="00F86C06">
        <w:rPr>
          <w:rFonts w:eastAsia="Malgun Gothic"/>
          <w:kern w:val="22"/>
          <w:szCs w:val="22"/>
        </w:rPr>
        <w:t>S</w:t>
      </w:r>
      <w:r w:rsidRPr="00F86C06">
        <w:rPr>
          <w:rFonts w:eastAsia="Malgun Gothic"/>
          <w:kern w:val="22"/>
          <w:szCs w:val="22"/>
        </w:rPr>
        <w:t xml:space="preserve">ome national reports also referred to </w:t>
      </w:r>
      <w:r w:rsidRPr="00F86C06">
        <w:rPr>
          <w:rFonts w:eastAsia="Malgun Gothic"/>
          <w:kern w:val="22"/>
          <w:szCs w:val="22"/>
        </w:rPr>
        <w:lastRenderedPageBreak/>
        <w:t>actions to improve the legal recognition of the rights of indigenous peoples and local communities</w:t>
      </w:r>
      <w:r w:rsidR="00C95FCE" w:rsidRPr="00F86C06">
        <w:rPr>
          <w:rFonts w:eastAsia="Malgun Gothic"/>
          <w:kern w:val="22"/>
          <w:szCs w:val="22"/>
        </w:rPr>
        <w:t>.</w:t>
      </w:r>
      <w:r w:rsidRPr="00F86C06">
        <w:rPr>
          <w:rStyle w:val="FootnoteReference"/>
          <w:rFonts w:eastAsia="Malgun Gothic"/>
          <w:kern w:val="22"/>
          <w:sz w:val="22"/>
          <w:szCs w:val="22"/>
        </w:rPr>
        <w:footnoteReference w:id="36"/>
      </w:r>
      <w:r w:rsidRPr="00F86C06">
        <w:rPr>
          <w:rFonts w:eastAsia="Malgun Gothic"/>
          <w:kern w:val="22"/>
          <w:szCs w:val="22"/>
        </w:rPr>
        <w:t xml:space="preserve"> </w:t>
      </w:r>
      <w:r w:rsidRPr="00F86C06">
        <w:rPr>
          <w:kern w:val="22"/>
          <w:szCs w:val="22"/>
        </w:rPr>
        <w:t xml:space="preserve">A general challenge noted was the lack of resources for incorporating and reflecting traditional knowledge in issues related to conservation. Further information related to Aichi Biodiversity Target 18 is contained in document </w:t>
      </w:r>
      <w:r w:rsidRPr="00F86C06">
        <w:rPr>
          <w:rFonts w:eastAsia="Malgun Gothic"/>
          <w:kern w:val="22"/>
          <w:szCs w:val="22"/>
        </w:rPr>
        <w:t>CBD/SBI/3</w:t>
      </w:r>
      <w:r w:rsidRPr="00F86C06">
        <w:rPr>
          <w:kern w:val="22"/>
          <w:szCs w:val="22"/>
        </w:rPr>
        <w:t>/2/</w:t>
      </w:r>
      <w:r w:rsidR="00C95FCE" w:rsidRPr="00F86C06">
        <w:rPr>
          <w:kern w:val="22"/>
          <w:szCs w:val="22"/>
        </w:rPr>
        <w:t>A</w:t>
      </w:r>
      <w:r w:rsidRPr="00F86C06">
        <w:rPr>
          <w:kern w:val="22"/>
          <w:szCs w:val="22"/>
        </w:rPr>
        <w:t>dd.3</w:t>
      </w:r>
      <w:r w:rsidR="00C95FCE" w:rsidRPr="00F86C06">
        <w:rPr>
          <w:kern w:val="22"/>
          <w:szCs w:val="22"/>
        </w:rPr>
        <w:t>.</w:t>
      </w:r>
    </w:p>
    <w:p w14:paraId="7B40E7A7" w14:textId="1F745239" w:rsidR="00715FD9" w:rsidRPr="00F86C06" w:rsidRDefault="00715FD9" w:rsidP="00B07288">
      <w:pPr>
        <w:keepNext/>
        <w:suppressLineNumbers/>
        <w:suppressAutoHyphens/>
        <w:kinsoku w:val="0"/>
        <w:overflowPunct w:val="0"/>
        <w:autoSpaceDE w:val="0"/>
        <w:autoSpaceDN w:val="0"/>
        <w:spacing w:before="120" w:after="120"/>
        <w:rPr>
          <w:i/>
          <w:iCs/>
          <w:color w:val="333333"/>
          <w:kern w:val="22"/>
          <w:szCs w:val="22"/>
          <w:shd w:val="clear" w:color="auto" w:fill="FFFFFF"/>
        </w:rPr>
      </w:pPr>
      <w:r w:rsidRPr="00F86C06">
        <w:rPr>
          <w:i/>
          <w:iCs/>
          <w:kern w:val="22"/>
          <w:szCs w:val="22"/>
        </w:rPr>
        <w:t xml:space="preserve">Target 19 </w:t>
      </w:r>
      <w:r w:rsidR="00231FA0">
        <w:rPr>
          <w:i/>
          <w:iCs/>
          <w:kern w:val="22"/>
          <w:szCs w:val="22"/>
        </w:rPr>
        <w:t>–</w:t>
      </w:r>
      <w:r w:rsidRPr="00F86C06">
        <w:rPr>
          <w:i/>
          <w:iCs/>
          <w:kern w:val="22"/>
          <w:szCs w:val="22"/>
        </w:rPr>
        <w:t xml:space="preserve"> By 2020, knowledge, the science base and technologies relating to biodiversity, its values, functioning, status and trends, and the consequences of its loss, are improved, widely shared and transferred, and applied</w:t>
      </w:r>
    </w:p>
    <w:p w14:paraId="0403E86F" w14:textId="5D062E76" w:rsidR="00715FD9" w:rsidRPr="00F86C06" w:rsidRDefault="00C87F0D" w:rsidP="00715FD9">
      <w:pPr>
        <w:pStyle w:val="Para1"/>
        <w:suppressLineNumbers/>
        <w:tabs>
          <w:tab w:val="clear" w:pos="360"/>
        </w:tabs>
        <w:suppressAutoHyphens/>
        <w:kinsoku w:val="0"/>
        <w:overflowPunct w:val="0"/>
        <w:autoSpaceDE w:val="0"/>
        <w:autoSpaceDN w:val="0"/>
        <w:spacing w:before="0"/>
        <w:rPr>
          <w:rFonts w:eastAsia="Malgun Gothic"/>
          <w:kern w:val="22"/>
          <w:szCs w:val="22"/>
        </w:rPr>
      </w:pPr>
      <w:r w:rsidRPr="00F86C06">
        <w:rPr>
          <w:rFonts w:eastAsia="Malgun Gothic"/>
          <w:kern w:val="22"/>
          <w:szCs w:val="22"/>
        </w:rPr>
        <w:t xml:space="preserve">A total of </w:t>
      </w:r>
      <w:r w:rsidR="00715FD9" w:rsidRPr="00F86C06">
        <w:rPr>
          <w:rFonts w:eastAsia="Malgun Gothic"/>
          <w:kern w:val="22"/>
          <w:szCs w:val="22"/>
        </w:rPr>
        <w:t xml:space="preserve">140 NBSAPS (84%) contain targets related to Aichi Biodiversity Target 19. Aichi Target 19 is among those targets that have the highest number of NBSAPs with associated targets. More than a quarter of these targets are similar </w:t>
      </w:r>
      <w:r w:rsidR="00E47F16" w:rsidRPr="00F86C06">
        <w:rPr>
          <w:rFonts w:eastAsia="Malgun Gothic"/>
          <w:kern w:val="22"/>
          <w:szCs w:val="22"/>
        </w:rPr>
        <w:t xml:space="preserve">in </w:t>
      </w:r>
      <w:r w:rsidR="00715FD9" w:rsidRPr="00F86C06">
        <w:rPr>
          <w:rFonts w:eastAsia="Malgun Gothic"/>
          <w:kern w:val="22"/>
          <w:szCs w:val="22"/>
        </w:rPr>
        <w:t xml:space="preserve">scope and level of ambition </w:t>
      </w:r>
      <w:r w:rsidR="00E47F16" w:rsidRPr="00F86C06">
        <w:rPr>
          <w:rFonts w:eastAsia="Malgun Gothic"/>
          <w:kern w:val="22"/>
          <w:szCs w:val="22"/>
        </w:rPr>
        <w:t xml:space="preserve">to </w:t>
      </w:r>
      <w:r w:rsidR="00715FD9" w:rsidRPr="00F86C06">
        <w:rPr>
          <w:rFonts w:eastAsia="Malgun Gothic"/>
          <w:kern w:val="22"/>
          <w:szCs w:val="22"/>
        </w:rPr>
        <w:t xml:space="preserve">the Aichi Target </w:t>
      </w:r>
      <w:r w:rsidR="00E47F16" w:rsidRPr="00F86C06">
        <w:rPr>
          <w:rFonts w:eastAsia="Malgun Gothic"/>
          <w:kern w:val="22"/>
          <w:szCs w:val="22"/>
        </w:rPr>
        <w:t xml:space="preserve">(28%) </w:t>
      </w:r>
      <w:r w:rsidR="00715FD9" w:rsidRPr="00F86C06">
        <w:rPr>
          <w:rFonts w:eastAsia="Malgun Gothic"/>
          <w:kern w:val="22"/>
          <w:szCs w:val="22"/>
        </w:rPr>
        <w:t xml:space="preserve">or surpass it (1%). About three quarters (71%) are lower than the Aichi Target or do not address all of </w:t>
      </w:r>
      <w:r w:rsidR="00C05848" w:rsidRPr="00F86C06">
        <w:rPr>
          <w:rFonts w:eastAsia="Malgun Gothic"/>
          <w:kern w:val="22"/>
          <w:szCs w:val="22"/>
        </w:rPr>
        <w:t>its</w:t>
      </w:r>
      <w:r w:rsidR="00715FD9" w:rsidRPr="00F86C06">
        <w:rPr>
          <w:rFonts w:eastAsia="Malgun Gothic"/>
          <w:kern w:val="22"/>
          <w:szCs w:val="22"/>
        </w:rPr>
        <w:t xml:space="preserve"> elements. There are fewer targets which address the sharing of biodiversity information and technology and even ever fewer which cover issues associated with the application of biodiversity information.</w:t>
      </w:r>
    </w:p>
    <w:p w14:paraId="24F89A0E" w14:textId="47C0F8AD" w:rsidR="00715FD9" w:rsidRPr="00F86C06" w:rsidRDefault="00C87F0D"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rsidRPr="00F86C06">
        <w:rPr>
          <w:rFonts w:eastAsia="Malgun Gothic"/>
          <w:kern w:val="22"/>
          <w:szCs w:val="22"/>
        </w:rPr>
        <w:t xml:space="preserve">A total of </w:t>
      </w:r>
      <w:r w:rsidR="00715FD9" w:rsidRPr="00F86C06">
        <w:rPr>
          <w:rFonts w:eastAsia="Malgun Gothic"/>
          <w:kern w:val="22"/>
          <w:szCs w:val="22"/>
        </w:rPr>
        <w:t xml:space="preserve">120 Parties have assessed progress towards their national targets related to Aichi Biodiversity 19 while 20 Parties </w:t>
      </w:r>
      <w:r w:rsidR="006166B5" w:rsidRPr="00F86C06">
        <w:rPr>
          <w:rFonts w:eastAsia="Malgun Gothic"/>
          <w:kern w:val="22"/>
          <w:szCs w:val="22"/>
        </w:rPr>
        <w:t xml:space="preserve">did not report on their progress </w:t>
      </w:r>
      <w:r w:rsidR="00715FD9" w:rsidRPr="00F86C06">
        <w:rPr>
          <w:rFonts w:eastAsia="Malgun Gothic"/>
          <w:kern w:val="22"/>
          <w:szCs w:val="22"/>
        </w:rPr>
        <w:t>or indicate</w:t>
      </w:r>
      <w:r w:rsidR="006166B5" w:rsidRPr="00F86C06">
        <w:rPr>
          <w:rFonts w:eastAsia="Malgun Gothic"/>
          <w:kern w:val="22"/>
          <w:szCs w:val="22"/>
        </w:rPr>
        <w:t>d</w:t>
      </w:r>
      <w:r w:rsidR="00715FD9" w:rsidRPr="00F86C06">
        <w:rPr>
          <w:rFonts w:eastAsia="Malgun Gothic"/>
          <w:kern w:val="22"/>
          <w:szCs w:val="22"/>
        </w:rPr>
        <w:t xml:space="preserve"> that their </w:t>
      </w:r>
      <w:r w:rsidR="000C5AA7" w:rsidRPr="00F86C06">
        <w:rPr>
          <w:rFonts w:eastAsia="Malgun Gothic"/>
          <w:kern w:val="22"/>
          <w:szCs w:val="22"/>
        </w:rPr>
        <w:t xml:space="preserve">level of </w:t>
      </w:r>
      <w:r w:rsidR="00715FD9" w:rsidRPr="00F86C06">
        <w:rPr>
          <w:rFonts w:eastAsia="Malgun Gothic"/>
          <w:kern w:val="22"/>
          <w:szCs w:val="22"/>
        </w:rPr>
        <w:t xml:space="preserve">progress is unknown. Of the Parties which have assessed progress, less than half (47%) are on track to reach their national targets or exceed (1%) them. </w:t>
      </w:r>
      <w:r w:rsidR="00240947" w:rsidRPr="00F86C06">
        <w:rPr>
          <w:rFonts w:eastAsia="Malgun Gothic"/>
          <w:kern w:val="22"/>
          <w:szCs w:val="22"/>
        </w:rPr>
        <w:t>L</w:t>
      </w:r>
      <w:r w:rsidR="00715FD9" w:rsidRPr="00F86C06">
        <w:rPr>
          <w:rFonts w:eastAsia="Malgun Gothic"/>
          <w:kern w:val="22"/>
          <w:szCs w:val="22"/>
        </w:rPr>
        <w:t>ess than half of Parties (46%) have made progress towards their targets but not at a rate that will allow them to be met. A few Parties (7%) report that they are making no progress towards the target. Of the reporting Parties, less than a fifth (15%) have national targets similar to Aichi Biodiversity Target 19 which are on track to be met.</w:t>
      </w:r>
    </w:p>
    <w:p w14:paraId="703AD99C" w14:textId="2ADD2CB5" w:rsidR="00715FD9" w:rsidRPr="00F86C06" w:rsidRDefault="00715FD9" w:rsidP="00715FD9">
      <w:pPr>
        <w:pStyle w:val="Para1"/>
        <w:suppressLineNumbers/>
        <w:tabs>
          <w:tab w:val="clear" w:pos="360"/>
        </w:tabs>
        <w:suppressAutoHyphens/>
        <w:kinsoku w:val="0"/>
        <w:overflowPunct w:val="0"/>
        <w:autoSpaceDE w:val="0"/>
        <w:autoSpaceDN w:val="0"/>
        <w:spacing w:before="0"/>
        <w:rPr>
          <w:rFonts w:eastAsia="Malgun Gothic"/>
          <w:kern w:val="22"/>
          <w:szCs w:val="22"/>
        </w:rPr>
      </w:pPr>
      <w:r w:rsidRPr="00F86C06">
        <w:rPr>
          <w:rFonts w:eastAsia="Malgun Gothic"/>
          <w:kern w:val="22"/>
          <w:szCs w:val="22"/>
        </w:rPr>
        <w:t>Many national reports referred to actions to promote education and training programmes on biodiversity, the development and promotion of scientific research programmes, undertaking species inventories, identifying key biodiversity areas and generally increasing the amount and quality of biodiversity information</w:t>
      </w:r>
      <w:r w:rsidR="00C95FCE" w:rsidRPr="00F86C06">
        <w:rPr>
          <w:rFonts w:eastAsia="Malgun Gothic"/>
          <w:kern w:val="22"/>
          <w:szCs w:val="22"/>
        </w:rPr>
        <w:t>.</w:t>
      </w:r>
      <w:r w:rsidRPr="00F86C06">
        <w:rPr>
          <w:rStyle w:val="FootnoteReference"/>
          <w:rFonts w:eastAsia="Malgun Gothic"/>
          <w:kern w:val="22"/>
          <w:sz w:val="22"/>
          <w:szCs w:val="22"/>
        </w:rPr>
        <w:footnoteReference w:id="37"/>
      </w:r>
      <w:r w:rsidRPr="00F86C06">
        <w:rPr>
          <w:rFonts w:eastAsia="Malgun Gothic"/>
          <w:kern w:val="22"/>
          <w:szCs w:val="22"/>
        </w:rPr>
        <w:t xml:space="preserve"> Some reports also refer to the development of national biodiversity databases and clearing</w:t>
      </w:r>
      <w:r w:rsidR="009A62C0" w:rsidRPr="00F86C06">
        <w:rPr>
          <w:rFonts w:eastAsia="Malgun Gothic"/>
          <w:kern w:val="22"/>
          <w:szCs w:val="22"/>
        </w:rPr>
        <w:t>-</w:t>
      </w:r>
      <w:r w:rsidRPr="00F86C06">
        <w:rPr>
          <w:rFonts w:eastAsia="Malgun Gothic"/>
          <w:kern w:val="22"/>
          <w:szCs w:val="22"/>
        </w:rPr>
        <w:t>house mechanisms. Some national reports also refer to the preparation of publications as a means of generating information on biodiversity and making it accessible. Overall</w:t>
      </w:r>
      <w:r w:rsidR="00831584">
        <w:rPr>
          <w:rFonts w:eastAsia="Malgun Gothic"/>
          <w:kern w:val="22"/>
          <w:szCs w:val="22"/>
        </w:rPr>
        <w:t>,</w:t>
      </w:r>
      <w:r w:rsidRPr="00F86C06">
        <w:rPr>
          <w:rFonts w:eastAsia="Malgun Gothic"/>
          <w:kern w:val="22"/>
          <w:szCs w:val="22"/>
        </w:rPr>
        <w:t xml:space="preserve"> the majority of actions appear to be related to the documentation and generation of knowledge on biodiversity, in particular in terrestrial ecosystems. By comparison</w:t>
      </w:r>
      <w:r w:rsidR="00831584">
        <w:rPr>
          <w:rFonts w:eastAsia="Malgun Gothic"/>
          <w:kern w:val="22"/>
          <w:szCs w:val="22"/>
        </w:rPr>
        <w:t>,</w:t>
      </w:r>
      <w:r w:rsidRPr="00F86C06">
        <w:rPr>
          <w:rFonts w:eastAsia="Malgun Gothic"/>
          <w:kern w:val="22"/>
          <w:szCs w:val="22"/>
        </w:rPr>
        <w:t xml:space="preserve"> there appear to be fewer actions related to the generation of biodiversity</w:t>
      </w:r>
      <w:r w:rsidR="008F57C8" w:rsidRPr="00F86C06">
        <w:rPr>
          <w:rFonts w:eastAsia="Malgun Gothic"/>
          <w:kern w:val="22"/>
          <w:szCs w:val="22"/>
        </w:rPr>
        <w:t>-</w:t>
      </w:r>
      <w:r w:rsidRPr="00F86C06">
        <w:rPr>
          <w:rFonts w:eastAsia="Malgun Gothic"/>
          <w:kern w:val="22"/>
          <w:szCs w:val="22"/>
        </w:rPr>
        <w:t>related information for aquatic environment</w:t>
      </w:r>
      <w:r w:rsidR="00C66E9F" w:rsidRPr="00F86C06">
        <w:rPr>
          <w:rFonts w:eastAsia="Malgun Gothic"/>
          <w:kern w:val="22"/>
          <w:szCs w:val="22"/>
        </w:rPr>
        <w:t>s</w:t>
      </w:r>
      <w:r w:rsidRPr="00F86C06">
        <w:rPr>
          <w:rFonts w:eastAsia="Malgun Gothic"/>
          <w:kern w:val="22"/>
          <w:szCs w:val="22"/>
        </w:rPr>
        <w:t xml:space="preserve"> and for sharing information and applying it in decision</w:t>
      </w:r>
      <w:r w:rsidR="008F7E2C" w:rsidRPr="00F86C06">
        <w:rPr>
          <w:rFonts w:eastAsia="Malgun Gothic"/>
          <w:kern w:val="22"/>
          <w:szCs w:val="22"/>
        </w:rPr>
        <w:t>-</w:t>
      </w:r>
      <w:r w:rsidRPr="00F86C06">
        <w:rPr>
          <w:rFonts w:eastAsia="Malgun Gothic"/>
          <w:kern w:val="22"/>
          <w:szCs w:val="22"/>
        </w:rPr>
        <w:t>making.</w:t>
      </w:r>
    </w:p>
    <w:p w14:paraId="1CBB1D4D" w14:textId="6DDBD75E" w:rsidR="00715FD9" w:rsidRPr="00F86C06" w:rsidRDefault="00715FD9" w:rsidP="00B07288">
      <w:pPr>
        <w:keepNext/>
        <w:keepLines/>
        <w:suppressLineNumbers/>
        <w:suppressAutoHyphens/>
        <w:kinsoku w:val="0"/>
        <w:overflowPunct w:val="0"/>
        <w:autoSpaceDE w:val="0"/>
        <w:autoSpaceDN w:val="0"/>
        <w:spacing w:before="120" w:after="120"/>
        <w:rPr>
          <w:rFonts w:eastAsia="Malgun Gothic"/>
          <w:snapToGrid w:val="0"/>
          <w:kern w:val="22"/>
          <w:szCs w:val="22"/>
        </w:rPr>
      </w:pPr>
      <w:r w:rsidRPr="00F86C06">
        <w:rPr>
          <w:i/>
          <w:iCs/>
          <w:snapToGrid w:val="0"/>
          <w:kern w:val="22"/>
          <w:szCs w:val="22"/>
        </w:rPr>
        <w:t>Target 20 – By 2020, at the latest, the mobilization of financial resources for effectively implementing the Strategic Plan for Biodiversity 2011-2020 from all sources, and in accordance with the consolidated and agreed process in the Strategy for Resource Mobilization, should increase substantially from the current levels. This target will be subject to changes contingent to resource needs assessments to be developed and reported by Parties</w:t>
      </w:r>
      <w:r w:rsidR="00A01B3B" w:rsidRPr="00F86C06">
        <w:rPr>
          <w:i/>
          <w:iCs/>
          <w:snapToGrid w:val="0"/>
          <w:kern w:val="22"/>
          <w:szCs w:val="22"/>
        </w:rPr>
        <w:t>.</w:t>
      </w:r>
    </w:p>
    <w:p w14:paraId="515FCE8A" w14:textId="21C1DC4A" w:rsidR="00715FD9" w:rsidRPr="00F86C06" w:rsidRDefault="00C87F0D" w:rsidP="00715FD9">
      <w:pPr>
        <w:pStyle w:val="Para1"/>
        <w:suppressLineNumbers/>
        <w:tabs>
          <w:tab w:val="clear" w:pos="360"/>
        </w:tabs>
        <w:suppressAutoHyphens/>
        <w:kinsoku w:val="0"/>
        <w:overflowPunct w:val="0"/>
        <w:autoSpaceDE w:val="0"/>
        <w:autoSpaceDN w:val="0"/>
        <w:spacing w:before="0"/>
        <w:rPr>
          <w:rFonts w:eastAsia="Malgun Gothic"/>
          <w:kern w:val="22"/>
          <w:szCs w:val="22"/>
        </w:rPr>
      </w:pPr>
      <w:r w:rsidRPr="00F86C06">
        <w:rPr>
          <w:rFonts w:eastAsia="Malgun Gothic"/>
          <w:kern w:val="22"/>
          <w:szCs w:val="22"/>
        </w:rPr>
        <w:t xml:space="preserve">A total of </w:t>
      </w:r>
      <w:r w:rsidR="00715FD9" w:rsidRPr="00F86C06">
        <w:rPr>
          <w:rFonts w:eastAsia="Malgun Gothic"/>
          <w:kern w:val="22"/>
          <w:szCs w:val="22"/>
        </w:rPr>
        <w:t xml:space="preserve">125 NBSAPs (75%) contain national targets related to Aichi Biodiversity Target 20. About a quarter of these targets (26%) are similar to the scope and </w:t>
      </w:r>
      <w:r w:rsidR="008D5601" w:rsidRPr="00F86C06">
        <w:rPr>
          <w:rFonts w:eastAsia="Malgun Gothic"/>
          <w:kern w:val="22"/>
          <w:szCs w:val="22"/>
        </w:rPr>
        <w:t xml:space="preserve">level of </w:t>
      </w:r>
      <w:r w:rsidR="00715FD9" w:rsidRPr="00F86C06">
        <w:rPr>
          <w:rFonts w:eastAsia="Malgun Gothic"/>
          <w:kern w:val="22"/>
          <w:szCs w:val="22"/>
        </w:rPr>
        <w:t xml:space="preserve">ambition set out in the Aichi Target, and one </w:t>
      </w:r>
      <w:r w:rsidR="00CE7AD9" w:rsidRPr="00F86C06">
        <w:rPr>
          <w:rFonts w:eastAsia="Malgun Gothic"/>
          <w:kern w:val="22"/>
          <w:szCs w:val="22"/>
        </w:rPr>
        <w:t>(</w:t>
      </w:r>
      <w:r w:rsidR="00715FD9" w:rsidRPr="00F86C06">
        <w:rPr>
          <w:rFonts w:eastAsia="Malgun Gothic"/>
          <w:kern w:val="22"/>
          <w:szCs w:val="22"/>
        </w:rPr>
        <w:t>1%</w:t>
      </w:r>
      <w:r w:rsidR="00CE7AD9" w:rsidRPr="00F86C06">
        <w:rPr>
          <w:rFonts w:eastAsia="Malgun Gothic"/>
          <w:kern w:val="22"/>
          <w:szCs w:val="22"/>
        </w:rPr>
        <w:t>)</w:t>
      </w:r>
      <w:r w:rsidR="00715FD9" w:rsidRPr="00F86C06">
        <w:rPr>
          <w:rFonts w:eastAsia="Malgun Gothic"/>
          <w:kern w:val="22"/>
          <w:szCs w:val="22"/>
        </w:rPr>
        <w:t xml:space="preserve"> exceed</w:t>
      </w:r>
      <w:r w:rsidR="00CE7AD9" w:rsidRPr="00F86C06">
        <w:rPr>
          <w:rFonts w:eastAsia="Malgun Gothic"/>
          <w:kern w:val="22"/>
          <w:szCs w:val="22"/>
        </w:rPr>
        <w:t>s</w:t>
      </w:r>
      <w:r w:rsidR="00715FD9" w:rsidRPr="00F86C06">
        <w:rPr>
          <w:rFonts w:eastAsia="Malgun Gothic"/>
          <w:kern w:val="22"/>
          <w:szCs w:val="22"/>
        </w:rPr>
        <w:t xml:space="preserve"> it. About three quarters (74%) are either lower than </w:t>
      </w:r>
      <w:r w:rsidR="00F50F67" w:rsidRPr="00F86C06">
        <w:rPr>
          <w:rFonts w:eastAsia="Malgun Gothic"/>
          <w:kern w:val="22"/>
          <w:szCs w:val="22"/>
        </w:rPr>
        <w:t xml:space="preserve">the </w:t>
      </w:r>
      <w:r w:rsidR="00715FD9" w:rsidRPr="00F86C06">
        <w:rPr>
          <w:rFonts w:eastAsia="Malgun Gothic"/>
          <w:kern w:val="22"/>
          <w:szCs w:val="22"/>
        </w:rPr>
        <w:t xml:space="preserve">Aichi Target or do not address all </w:t>
      </w:r>
      <w:r w:rsidR="00C05848" w:rsidRPr="00F86C06">
        <w:rPr>
          <w:rFonts w:eastAsia="Malgun Gothic"/>
          <w:kern w:val="22"/>
          <w:szCs w:val="22"/>
        </w:rPr>
        <w:t xml:space="preserve">of </w:t>
      </w:r>
      <w:r w:rsidR="00715FD9" w:rsidRPr="00F86C06">
        <w:rPr>
          <w:rFonts w:eastAsia="Malgun Gothic"/>
          <w:kern w:val="22"/>
          <w:szCs w:val="22"/>
        </w:rPr>
        <w:t>its elements. The targets that are set tend to be general</w:t>
      </w:r>
      <w:r w:rsidR="00C81D8F" w:rsidRPr="00F86C06">
        <w:rPr>
          <w:rFonts w:eastAsia="Malgun Gothic"/>
          <w:kern w:val="22"/>
          <w:szCs w:val="22"/>
        </w:rPr>
        <w:t>.</w:t>
      </w:r>
      <w:r w:rsidR="00715FD9" w:rsidRPr="00F86C06">
        <w:rPr>
          <w:rFonts w:eastAsia="Malgun Gothic"/>
          <w:kern w:val="22"/>
          <w:szCs w:val="22"/>
        </w:rPr>
        <w:t xml:space="preserve"> </w:t>
      </w:r>
      <w:r w:rsidR="00C81D8F" w:rsidRPr="00F86C06">
        <w:rPr>
          <w:rFonts w:eastAsia="Malgun Gothic"/>
          <w:kern w:val="22"/>
          <w:szCs w:val="22"/>
        </w:rPr>
        <w:t>M</w:t>
      </w:r>
      <w:r w:rsidR="00715FD9" w:rsidRPr="00F86C06">
        <w:rPr>
          <w:rFonts w:eastAsia="Malgun Gothic"/>
          <w:kern w:val="22"/>
          <w:szCs w:val="22"/>
        </w:rPr>
        <w:t>ost do not refer to increasing resources from all sources</w:t>
      </w:r>
      <w:r w:rsidR="00C81D8F" w:rsidRPr="00F86C06">
        <w:rPr>
          <w:rFonts w:eastAsia="Malgun Gothic"/>
          <w:kern w:val="22"/>
          <w:szCs w:val="22"/>
        </w:rPr>
        <w:t>, nor do they</w:t>
      </w:r>
      <w:r w:rsidR="00715FD9" w:rsidRPr="00F86C06">
        <w:rPr>
          <w:rFonts w:eastAsia="Malgun Gothic"/>
          <w:kern w:val="22"/>
          <w:szCs w:val="22"/>
        </w:rPr>
        <w:t xml:space="preserve"> specify that resources should be increased substantially. Further, many of the targets that have been set also refer to non-financial resources, such as human resources. </w:t>
      </w:r>
    </w:p>
    <w:p w14:paraId="63836D7B" w14:textId="425F166F" w:rsidR="00715FD9" w:rsidRPr="00F86C06" w:rsidRDefault="00C87F0D"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rsidRPr="00F86C06">
        <w:rPr>
          <w:rFonts w:eastAsia="Malgun Gothic"/>
          <w:kern w:val="22"/>
          <w:szCs w:val="22"/>
        </w:rPr>
        <w:lastRenderedPageBreak/>
        <w:t xml:space="preserve">A total of </w:t>
      </w:r>
      <w:r w:rsidR="00715FD9" w:rsidRPr="00F86C06">
        <w:rPr>
          <w:rFonts w:eastAsia="Malgun Gothic"/>
          <w:kern w:val="22"/>
          <w:szCs w:val="22"/>
        </w:rPr>
        <w:t xml:space="preserve">119 Parties have assessed progress towards their national targets related to Aichi Biodiversity 20 while 21 Parties </w:t>
      </w:r>
      <w:r w:rsidR="006166B5" w:rsidRPr="00F86C06">
        <w:rPr>
          <w:rFonts w:eastAsia="Malgun Gothic"/>
          <w:kern w:val="22"/>
          <w:szCs w:val="22"/>
        </w:rPr>
        <w:t xml:space="preserve">did not report on their progress </w:t>
      </w:r>
      <w:r w:rsidR="00715FD9" w:rsidRPr="00F86C06">
        <w:rPr>
          <w:rFonts w:eastAsia="Malgun Gothic"/>
          <w:kern w:val="22"/>
          <w:szCs w:val="22"/>
        </w:rPr>
        <w:t>or indicate</w:t>
      </w:r>
      <w:r w:rsidR="006166B5" w:rsidRPr="00F86C06">
        <w:rPr>
          <w:rFonts w:eastAsia="Malgun Gothic"/>
          <w:kern w:val="22"/>
          <w:szCs w:val="22"/>
        </w:rPr>
        <w:t>d</w:t>
      </w:r>
      <w:r w:rsidR="00715FD9" w:rsidRPr="00F86C06">
        <w:rPr>
          <w:rFonts w:eastAsia="Malgun Gothic"/>
          <w:kern w:val="22"/>
          <w:szCs w:val="22"/>
        </w:rPr>
        <w:t xml:space="preserve"> that their level of progress is unknown. Of the Parties which have assessed progress, a third are on track to reach their national targets (30%) or exceed (3%) them. Half of Parties (50%) have made progress towards their targets but not at a rate that will allow them to be met. Less than a fifth of Parties (17%) report that they are making no progress towards the target. Of the Parties which have assessed progress</w:t>
      </w:r>
      <w:r w:rsidR="0065610E" w:rsidRPr="00F86C06">
        <w:rPr>
          <w:rFonts w:eastAsia="Malgun Gothic"/>
          <w:kern w:val="22"/>
          <w:szCs w:val="22"/>
        </w:rPr>
        <w:t>,</w:t>
      </w:r>
      <w:r w:rsidR="00715FD9" w:rsidRPr="00F86C06">
        <w:rPr>
          <w:rFonts w:eastAsia="Malgun Gothic"/>
          <w:kern w:val="22"/>
          <w:szCs w:val="22"/>
        </w:rPr>
        <w:t xml:space="preserve"> few (7%) have national targets similar to Aichi Biodiversity Target 20 which are on track to be met.</w:t>
      </w:r>
    </w:p>
    <w:p w14:paraId="440BF05C" w14:textId="08E0C0A1" w:rsidR="00715FD9" w:rsidRPr="00094120" w:rsidRDefault="00715FD9" w:rsidP="00C75ABD">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rsidRPr="00094120">
        <w:rPr>
          <w:rFonts w:eastAsia="Malgun Gothic"/>
          <w:kern w:val="22"/>
          <w:szCs w:val="22"/>
        </w:rPr>
        <w:t>Many Parties refer to efforts to increase domestic biodiversity financing. Further</w:t>
      </w:r>
      <w:r w:rsidR="008375B2" w:rsidRPr="00094120">
        <w:rPr>
          <w:rFonts w:eastAsia="Malgun Gothic"/>
          <w:kern w:val="22"/>
          <w:szCs w:val="22"/>
        </w:rPr>
        <w:t>,</w:t>
      </w:r>
      <w:r w:rsidRPr="00094120">
        <w:rPr>
          <w:rFonts w:eastAsia="Malgun Gothic"/>
          <w:kern w:val="22"/>
          <w:szCs w:val="22"/>
        </w:rPr>
        <w:t xml:space="preserve"> many reports note the importance of partnerships and </w:t>
      </w:r>
      <w:r w:rsidRPr="00094120">
        <w:rPr>
          <w:kern w:val="22"/>
          <w:szCs w:val="22"/>
        </w:rPr>
        <w:t xml:space="preserve">programmes, including with </w:t>
      </w:r>
      <w:r w:rsidR="005A475D" w:rsidRPr="00094120">
        <w:rPr>
          <w:kern w:val="22"/>
          <w:szCs w:val="22"/>
        </w:rPr>
        <w:t>the Biodiversity Finance Initiative (</w:t>
      </w:r>
      <w:r w:rsidRPr="00094120">
        <w:rPr>
          <w:kern w:val="22"/>
          <w:szCs w:val="22"/>
        </w:rPr>
        <w:t>BIOFIN</w:t>
      </w:r>
      <w:r w:rsidR="005A475D" w:rsidRPr="00094120">
        <w:rPr>
          <w:kern w:val="22"/>
          <w:szCs w:val="22"/>
        </w:rPr>
        <w:t>)</w:t>
      </w:r>
      <w:r w:rsidRPr="00094120">
        <w:rPr>
          <w:kern w:val="22"/>
          <w:szCs w:val="22"/>
        </w:rPr>
        <w:t xml:space="preserve">. Some Parties refer to undertaking tax reforms and putting </w:t>
      </w:r>
      <w:r w:rsidR="00AB4F6E" w:rsidRPr="00094120">
        <w:rPr>
          <w:kern w:val="22"/>
          <w:szCs w:val="22"/>
        </w:rPr>
        <w:t xml:space="preserve">in </w:t>
      </w:r>
      <w:r w:rsidRPr="00094120">
        <w:rPr>
          <w:kern w:val="22"/>
          <w:szCs w:val="22"/>
        </w:rPr>
        <w:t xml:space="preserve">place incentives to provide funding to biodiversity projects, such </w:t>
      </w:r>
      <w:r w:rsidR="00AB4F6E" w:rsidRPr="00094120">
        <w:rPr>
          <w:kern w:val="22"/>
          <w:szCs w:val="22"/>
        </w:rPr>
        <w:t xml:space="preserve">as </w:t>
      </w:r>
      <w:r w:rsidRPr="00094120">
        <w:rPr>
          <w:kern w:val="22"/>
          <w:szCs w:val="22"/>
        </w:rPr>
        <w:t>putting in place a tourism tax to fund the operation of protected areas (some of these actions are also relevant to the attainment of Aichi Biodiversity Target 3). Funding from foreign sources is typically delivered on a project basis</w:t>
      </w:r>
      <w:r w:rsidR="009A62C0" w:rsidRPr="00094120">
        <w:rPr>
          <w:kern w:val="22"/>
          <w:szCs w:val="22"/>
        </w:rPr>
        <w:t>.</w:t>
      </w:r>
      <w:r w:rsidRPr="00094120">
        <w:rPr>
          <w:rStyle w:val="FootnoteReference"/>
          <w:kern w:val="22"/>
          <w:sz w:val="22"/>
          <w:szCs w:val="22"/>
        </w:rPr>
        <w:footnoteReference w:id="38"/>
      </w:r>
      <w:r w:rsidRPr="00094120">
        <w:rPr>
          <w:kern w:val="22"/>
          <w:szCs w:val="22"/>
        </w:rPr>
        <w:t xml:space="preserve"> However, some Parties have organized partnerships and funding mechanisms to provide more sustained funding. Despite the actions that have been taken, the availability of resources is frequently identified as a challenge to implementation. The fragmentation of funding </w:t>
      </w:r>
      <w:r w:rsidR="00AB4F6E" w:rsidRPr="00094120">
        <w:rPr>
          <w:kern w:val="22"/>
          <w:szCs w:val="22"/>
        </w:rPr>
        <w:t xml:space="preserve">and </w:t>
      </w:r>
      <w:r w:rsidRPr="00094120">
        <w:rPr>
          <w:kern w:val="22"/>
          <w:szCs w:val="22"/>
        </w:rPr>
        <w:t xml:space="preserve">the lack of holistic funding strategies </w:t>
      </w:r>
      <w:r w:rsidR="00AB4F6E" w:rsidRPr="00094120">
        <w:rPr>
          <w:kern w:val="22"/>
          <w:szCs w:val="22"/>
        </w:rPr>
        <w:t xml:space="preserve">have </w:t>
      </w:r>
      <w:r w:rsidRPr="00094120">
        <w:rPr>
          <w:kern w:val="22"/>
          <w:szCs w:val="22"/>
        </w:rPr>
        <w:t xml:space="preserve">also been noted as a challenge by some Parties. For example, some reviews done by Parties have found that allocated budgets for biodiversity have gone underspent. </w:t>
      </w:r>
      <w:r w:rsidRPr="00094120">
        <w:rPr>
          <w:rFonts w:eastAsia="Malgun Gothic"/>
          <w:kern w:val="22"/>
          <w:szCs w:val="22"/>
        </w:rPr>
        <w:t>Additional information regarding Aichi Target 20</w:t>
      </w:r>
      <w:r w:rsidR="00483D33" w:rsidRPr="00094120">
        <w:rPr>
          <w:rFonts w:eastAsia="Malgun Gothic"/>
          <w:kern w:val="22"/>
          <w:szCs w:val="22"/>
        </w:rPr>
        <w:t>, including information on the resource mobilization targets adopted through decision XII/3,</w:t>
      </w:r>
      <w:r w:rsidRPr="00094120">
        <w:rPr>
          <w:rFonts w:eastAsia="Malgun Gothic"/>
          <w:kern w:val="22"/>
          <w:szCs w:val="22"/>
        </w:rPr>
        <w:t xml:space="preserve"> is provided in </w:t>
      </w:r>
      <w:r w:rsidR="00BB114D" w:rsidRPr="00094120">
        <w:rPr>
          <w:snapToGrid w:val="0"/>
          <w:kern w:val="22"/>
          <w:szCs w:val="22"/>
        </w:rPr>
        <w:t>CBD/SBI/3/5/Add.2</w:t>
      </w:r>
    </w:p>
    <w:p w14:paraId="1910C9BF" w14:textId="5A466F5C" w:rsidR="00715FD9" w:rsidRPr="00F86C06" w:rsidRDefault="00C66E9F" w:rsidP="00094120">
      <w:pPr>
        <w:pStyle w:val="Heading1"/>
        <w:suppressLineNumbers/>
        <w:tabs>
          <w:tab w:val="clear" w:pos="720"/>
        </w:tabs>
        <w:suppressAutoHyphens/>
        <w:kinsoku w:val="0"/>
        <w:overflowPunct w:val="0"/>
        <w:autoSpaceDE w:val="0"/>
        <w:autoSpaceDN w:val="0"/>
        <w:adjustRightInd w:val="0"/>
        <w:snapToGrid w:val="0"/>
        <w:spacing w:before="120"/>
        <w:rPr>
          <w:snapToGrid w:val="0"/>
          <w:kern w:val="22"/>
          <w:szCs w:val="22"/>
        </w:rPr>
      </w:pPr>
      <w:r w:rsidRPr="00F86C06">
        <w:rPr>
          <w:snapToGrid w:val="0"/>
          <w:kern w:val="22"/>
          <w:szCs w:val="22"/>
        </w:rPr>
        <w:t>IV.</w:t>
      </w:r>
      <w:r w:rsidRPr="00F86C06">
        <w:rPr>
          <w:snapToGrid w:val="0"/>
          <w:kern w:val="22"/>
          <w:szCs w:val="22"/>
        </w:rPr>
        <w:tab/>
        <w:t>Conclusions</w:t>
      </w:r>
    </w:p>
    <w:p w14:paraId="34187370" w14:textId="0781409C" w:rsidR="00715FD9" w:rsidRPr="00F86C06" w:rsidRDefault="00715FD9" w:rsidP="003B01CF">
      <w:pPr>
        <w:pStyle w:val="Para1"/>
        <w:suppressLineNumbers/>
        <w:tabs>
          <w:tab w:val="clear" w:pos="360"/>
        </w:tabs>
        <w:suppressAutoHyphens/>
        <w:kinsoku w:val="0"/>
        <w:overflowPunct w:val="0"/>
        <w:autoSpaceDE w:val="0"/>
        <w:autoSpaceDN w:val="0"/>
        <w:spacing w:before="0"/>
        <w:rPr>
          <w:rFonts w:eastAsia="Malgun Gothic"/>
          <w:kern w:val="22"/>
          <w:szCs w:val="22"/>
        </w:rPr>
      </w:pPr>
      <w:r w:rsidRPr="00F86C06">
        <w:rPr>
          <w:rFonts w:eastAsia="Malgun Gothic"/>
          <w:kern w:val="22"/>
          <w:szCs w:val="22"/>
        </w:rPr>
        <w:t>The majority of NBSAPs considered in this assessment contain targets related to the Aichi Biodiversity Targets. However, for some Aichi Targets, such as Targets 3, 6, 10 and 14</w:t>
      </w:r>
      <w:r w:rsidR="00C66E9F" w:rsidRPr="00F86C06">
        <w:rPr>
          <w:rFonts w:eastAsia="Malgun Gothic"/>
          <w:kern w:val="22"/>
          <w:szCs w:val="22"/>
        </w:rPr>
        <w:t>,</w:t>
      </w:r>
      <w:r w:rsidRPr="00F86C06">
        <w:rPr>
          <w:rFonts w:eastAsia="Malgun Gothic"/>
          <w:kern w:val="22"/>
          <w:szCs w:val="22"/>
        </w:rPr>
        <w:t xml:space="preserve"> there were many NBSAPs without associated national targets</w:t>
      </w:r>
      <w:r w:rsidRPr="00F86C06">
        <w:rPr>
          <w:rStyle w:val="FootnoteReference"/>
          <w:rFonts w:eastAsia="Malgun Gothic"/>
          <w:kern w:val="22"/>
          <w:sz w:val="22"/>
          <w:szCs w:val="22"/>
        </w:rPr>
        <w:footnoteReference w:id="39"/>
      </w:r>
      <w:r w:rsidRPr="00F86C06">
        <w:rPr>
          <w:rFonts w:eastAsia="Malgun Gothic"/>
          <w:kern w:val="22"/>
          <w:szCs w:val="22"/>
        </w:rPr>
        <w:t xml:space="preserve"> or commitments. Aichi Biodiversity Targets 1, 9, 16, 17, 19 and 20 were the Aichi Targets with the greatest number of similar national targets</w:t>
      </w:r>
      <w:r w:rsidR="00BF2075" w:rsidRPr="00F86C06">
        <w:rPr>
          <w:rFonts w:eastAsia="Malgun Gothic"/>
          <w:kern w:val="22"/>
          <w:szCs w:val="22"/>
        </w:rPr>
        <w:t xml:space="preserve"> </w:t>
      </w:r>
      <w:r w:rsidR="00B36AF9" w:rsidRPr="00F86C06">
        <w:rPr>
          <w:rFonts w:eastAsia="Malgun Gothic"/>
          <w:kern w:val="22"/>
          <w:szCs w:val="22"/>
        </w:rPr>
        <w:t>(see figure 1)</w:t>
      </w:r>
      <w:r w:rsidRPr="00F86C06">
        <w:rPr>
          <w:rFonts w:eastAsia="Malgun Gothic"/>
          <w:kern w:val="22"/>
          <w:szCs w:val="22"/>
        </w:rPr>
        <w:t>. However, even in these cases, the number of NBSAPs with targets having</w:t>
      </w:r>
      <w:r w:rsidR="00784697" w:rsidRPr="00F86C06">
        <w:rPr>
          <w:rFonts w:eastAsia="Malgun Gothic"/>
          <w:kern w:val="22"/>
          <w:szCs w:val="22"/>
        </w:rPr>
        <w:t xml:space="preserve"> or exceeding the</w:t>
      </w:r>
      <w:r w:rsidRPr="00F86C06">
        <w:rPr>
          <w:rFonts w:eastAsia="Malgun Gothic"/>
          <w:kern w:val="22"/>
          <w:szCs w:val="22"/>
        </w:rPr>
        <w:t xml:space="preserve"> scope and level of ambition </w:t>
      </w:r>
      <w:r w:rsidR="00784697" w:rsidRPr="00F86C06">
        <w:rPr>
          <w:rFonts w:eastAsia="Malgun Gothic"/>
          <w:kern w:val="22"/>
          <w:szCs w:val="22"/>
        </w:rPr>
        <w:t xml:space="preserve">of an </w:t>
      </w:r>
      <w:r w:rsidRPr="00F86C06">
        <w:rPr>
          <w:rFonts w:eastAsia="Malgun Gothic"/>
          <w:kern w:val="22"/>
          <w:szCs w:val="22"/>
        </w:rPr>
        <w:t xml:space="preserve">Aichi Targets was on average </w:t>
      </w:r>
      <w:r w:rsidR="005C3359" w:rsidRPr="00F86C06">
        <w:rPr>
          <w:rFonts w:eastAsia="Malgun Gothic"/>
          <w:kern w:val="22"/>
          <w:szCs w:val="22"/>
        </w:rPr>
        <w:t>just over a fifth (</w:t>
      </w:r>
      <w:r w:rsidRPr="00F86C06">
        <w:rPr>
          <w:rFonts w:eastAsia="Malgun Gothic"/>
          <w:kern w:val="22"/>
          <w:szCs w:val="22"/>
        </w:rPr>
        <w:t>22%</w:t>
      </w:r>
      <w:r w:rsidR="005C3359" w:rsidRPr="00F86C06">
        <w:rPr>
          <w:rFonts w:eastAsia="Malgun Gothic"/>
          <w:kern w:val="22"/>
          <w:szCs w:val="22"/>
        </w:rPr>
        <w:t>)</w:t>
      </w:r>
      <w:r w:rsidRPr="00F86C06">
        <w:rPr>
          <w:rFonts w:eastAsia="Malgun Gothic"/>
          <w:kern w:val="22"/>
          <w:szCs w:val="22"/>
        </w:rPr>
        <w:t>. Overall, the majority of national targets and/or commitments contained in the NBSAPs were lower than the Aichi Targets or did not address all of the elements of the Aichi Target. Generally, the national targets that have been set to date are more general than the Aichi Targets. Many Parties have set targets which refer to multiple Aichi Targets. These conclusions are consistent with the analys</w:t>
      </w:r>
      <w:r w:rsidR="00AB4F6E" w:rsidRPr="00F86C06">
        <w:rPr>
          <w:rFonts w:eastAsia="Malgun Gothic"/>
          <w:kern w:val="22"/>
          <w:szCs w:val="22"/>
        </w:rPr>
        <w:t>e</w:t>
      </w:r>
      <w:r w:rsidRPr="00F86C06">
        <w:rPr>
          <w:rFonts w:eastAsia="Malgun Gothic"/>
          <w:kern w:val="22"/>
          <w:szCs w:val="22"/>
        </w:rPr>
        <w:t>s made available during the first and second meetings of the Subsidiary Body on Implementation</w:t>
      </w:r>
      <w:r w:rsidRPr="00F86C06">
        <w:rPr>
          <w:rStyle w:val="FootnoteReference"/>
          <w:rFonts w:eastAsia="Malgun Gothic"/>
          <w:kern w:val="22"/>
          <w:sz w:val="22"/>
          <w:szCs w:val="22"/>
        </w:rPr>
        <w:footnoteReference w:id="40"/>
      </w:r>
      <w:r w:rsidRPr="00F86C06">
        <w:rPr>
          <w:rFonts w:eastAsia="Malgun Gothic"/>
          <w:kern w:val="22"/>
          <w:szCs w:val="22"/>
        </w:rPr>
        <w:t xml:space="preserve"> and the thirteenth and fourteenth meetings of the Conference of the Parties to the Convention on Biological Diversity.</w:t>
      </w:r>
      <w:r w:rsidRPr="00F86C06">
        <w:rPr>
          <w:rStyle w:val="FootnoteReference"/>
          <w:rFonts w:eastAsia="Malgun Gothic"/>
          <w:kern w:val="22"/>
          <w:sz w:val="22"/>
          <w:szCs w:val="22"/>
        </w:rPr>
        <w:footnoteReference w:id="41"/>
      </w:r>
    </w:p>
    <w:p w14:paraId="19EAEA29" w14:textId="23DE7EA6" w:rsidR="00715FD9" w:rsidRPr="00F86C06" w:rsidRDefault="00715FD9"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rPr>
      </w:pPr>
      <w:r w:rsidRPr="00F86C06">
        <w:rPr>
          <w:rFonts w:eastAsia="Malgun Gothic"/>
          <w:kern w:val="22"/>
          <w:szCs w:val="22"/>
        </w:rPr>
        <w:t xml:space="preserve">The information in the national reports suggests that on average more than a third of </w:t>
      </w:r>
      <w:r w:rsidR="00AB4F6E" w:rsidRPr="00F86C06">
        <w:rPr>
          <w:rFonts w:eastAsia="Malgun Gothic"/>
          <w:kern w:val="22"/>
          <w:szCs w:val="22"/>
        </w:rPr>
        <w:t xml:space="preserve">all </w:t>
      </w:r>
      <w:r w:rsidRPr="00F86C06">
        <w:rPr>
          <w:rFonts w:eastAsia="Malgun Gothic"/>
          <w:kern w:val="22"/>
          <w:szCs w:val="22"/>
        </w:rPr>
        <w:t>national targets are on track to be met (34%)</w:t>
      </w:r>
      <w:r w:rsidR="00C75ABD" w:rsidRPr="00F86C06">
        <w:rPr>
          <w:rFonts w:eastAsia="Malgun Gothic"/>
          <w:kern w:val="22"/>
          <w:szCs w:val="22"/>
        </w:rPr>
        <w:t xml:space="preserve"> </w:t>
      </w:r>
      <w:r w:rsidRPr="00F86C06">
        <w:rPr>
          <w:rFonts w:eastAsia="Malgun Gothic"/>
          <w:kern w:val="22"/>
          <w:szCs w:val="22"/>
        </w:rPr>
        <w:t xml:space="preserve">(ranging </w:t>
      </w:r>
      <w:r w:rsidR="00C75ABD" w:rsidRPr="00F86C06">
        <w:rPr>
          <w:rFonts w:eastAsia="Malgun Gothic"/>
          <w:kern w:val="22"/>
          <w:szCs w:val="22"/>
        </w:rPr>
        <w:t xml:space="preserve">from </w:t>
      </w:r>
      <w:r w:rsidRPr="00F86C06">
        <w:rPr>
          <w:rFonts w:eastAsia="Malgun Gothic"/>
          <w:kern w:val="22"/>
          <w:szCs w:val="22"/>
        </w:rPr>
        <w:t xml:space="preserve">21% for Aichi Target 8 </w:t>
      </w:r>
      <w:r w:rsidR="00C75ABD" w:rsidRPr="00F86C06">
        <w:rPr>
          <w:rFonts w:eastAsia="Malgun Gothic"/>
          <w:kern w:val="22"/>
          <w:szCs w:val="22"/>
        </w:rPr>
        <w:t xml:space="preserve">to </w:t>
      </w:r>
      <w:r w:rsidRPr="00F86C06">
        <w:rPr>
          <w:rFonts w:eastAsia="Malgun Gothic"/>
          <w:kern w:val="22"/>
          <w:szCs w:val="22"/>
        </w:rPr>
        <w:t>49% for Aichi Target 1) or exceeded (3%)</w:t>
      </w:r>
      <w:r w:rsidR="00584765" w:rsidRPr="00F86C06">
        <w:rPr>
          <w:rFonts w:eastAsia="Malgun Gothic"/>
          <w:kern w:val="22"/>
          <w:szCs w:val="22"/>
        </w:rPr>
        <w:t xml:space="preserve"> </w:t>
      </w:r>
      <w:r w:rsidRPr="00F86C06">
        <w:rPr>
          <w:rFonts w:eastAsia="Malgun Gothic"/>
          <w:kern w:val="22"/>
          <w:szCs w:val="22"/>
        </w:rPr>
        <w:t xml:space="preserve">(ranging </w:t>
      </w:r>
      <w:r w:rsidR="00C75ABD" w:rsidRPr="00F86C06">
        <w:rPr>
          <w:rFonts w:eastAsia="Malgun Gothic"/>
          <w:kern w:val="22"/>
          <w:szCs w:val="22"/>
        </w:rPr>
        <w:t xml:space="preserve">from </w:t>
      </w:r>
      <w:r w:rsidRPr="00F86C06">
        <w:rPr>
          <w:rFonts w:eastAsia="Malgun Gothic"/>
          <w:kern w:val="22"/>
          <w:szCs w:val="22"/>
        </w:rPr>
        <w:t xml:space="preserve">1% for Aichi Targets 1, 3, 5, 7, 8, and 19 </w:t>
      </w:r>
      <w:r w:rsidR="00C75ABD" w:rsidRPr="00F86C06">
        <w:rPr>
          <w:rFonts w:eastAsia="Malgun Gothic"/>
          <w:kern w:val="22"/>
          <w:szCs w:val="22"/>
        </w:rPr>
        <w:t xml:space="preserve">to </w:t>
      </w:r>
      <w:r w:rsidRPr="00F86C06">
        <w:rPr>
          <w:rFonts w:eastAsia="Malgun Gothic"/>
          <w:kern w:val="22"/>
          <w:szCs w:val="22"/>
        </w:rPr>
        <w:t>12% for Aichi Biodiversity Target 17)</w:t>
      </w:r>
      <w:r w:rsidR="00C75ABD" w:rsidRPr="00F86C06">
        <w:rPr>
          <w:rFonts w:eastAsia="Malgun Gothic"/>
          <w:kern w:val="22"/>
          <w:szCs w:val="22"/>
        </w:rPr>
        <w:t xml:space="preserve"> </w:t>
      </w:r>
      <w:r w:rsidRPr="00F86C06">
        <w:rPr>
          <w:rFonts w:eastAsia="Malgun Gothic"/>
          <w:kern w:val="22"/>
          <w:szCs w:val="22"/>
        </w:rPr>
        <w:t xml:space="preserve">(see figure 2). However, of the reporting Parties, on average, </w:t>
      </w:r>
      <w:r w:rsidR="00AB4F6E" w:rsidRPr="00F86C06">
        <w:rPr>
          <w:rFonts w:eastAsia="Malgun Gothic"/>
          <w:kern w:val="22"/>
          <w:szCs w:val="22"/>
        </w:rPr>
        <w:t xml:space="preserve">only </w:t>
      </w:r>
      <w:r w:rsidRPr="00F86C06">
        <w:rPr>
          <w:rFonts w:eastAsia="Malgun Gothic"/>
          <w:kern w:val="22"/>
          <w:szCs w:val="22"/>
        </w:rPr>
        <w:t xml:space="preserve">a tenth (10%) of the national target </w:t>
      </w:r>
      <w:r w:rsidR="00D0540E" w:rsidRPr="00F86C06">
        <w:rPr>
          <w:rFonts w:eastAsia="Malgun Gothic"/>
          <w:kern w:val="22"/>
          <w:szCs w:val="22"/>
        </w:rPr>
        <w:t xml:space="preserve">that are </w:t>
      </w:r>
      <w:r w:rsidRPr="00F86C06">
        <w:rPr>
          <w:rFonts w:eastAsia="Malgun Gothic"/>
          <w:kern w:val="22"/>
          <w:szCs w:val="22"/>
        </w:rPr>
        <w:t>similar to an Aichi Biodiversity Target are on track to be met (ranging from 3% for Aichi Biodiversity Target 8 to 27% for Aichi Biodiversity Target 17). On average for about half of the national targets (51%)</w:t>
      </w:r>
      <w:r w:rsidR="00584765" w:rsidRPr="00F86C06">
        <w:rPr>
          <w:rFonts w:eastAsia="Malgun Gothic"/>
          <w:kern w:val="22"/>
          <w:szCs w:val="22"/>
        </w:rPr>
        <w:t xml:space="preserve"> </w:t>
      </w:r>
      <w:r w:rsidRPr="00F86C06">
        <w:rPr>
          <w:rFonts w:eastAsia="Malgun Gothic"/>
          <w:kern w:val="22"/>
          <w:szCs w:val="22"/>
        </w:rPr>
        <w:t xml:space="preserve">(ranging </w:t>
      </w:r>
      <w:r w:rsidR="00584765" w:rsidRPr="00F86C06">
        <w:rPr>
          <w:rFonts w:eastAsia="Malgun Gothic"/>
          <w:kern w:val="22"/>
          <w:szCs w:val="22"/>
        </w:rPr>
        <w:t xml:space="preserve">from </w:t>
      </w:r>
      <w:r w:rsidRPr="00F86C06">
        <w:rPr>
          <w:rFonts w:eastAsia="Malgun Gothic"/>
          <w:kern w:val="22"/>
          <w:szCs w:val="22"/>
        </w:rPr>
        <w:t xml:space="preserve">37% for Aichi Target 17 </w:t>
      </w:r>
      <w:r w:rsidR="00584765" w:rsidRPr="00F86C06">
        <w:rPr>
          <w:rFonts w:eastAsia="Malgun Gothic"/>
          <w:kern w:val="22"/>
          <w:szCs w:val="22"/>
        </w:rPr>
        <w:t>to</w:t>
      </w:r>
      <w:r w:rsidRPr="00F86C06">
        <w:rPr>
          <w:rFonts w:eastAsia="Malgun Gothic"/>
          <w:kern w:val="22"/>
          <w:szCs w:val="22"/>
        </w:rPr>
        <w:t xml:space="preserve"> 62% for Aichi Target 8) progress is being made but not at a rate that will allow them to be met. Further, on average, about a tenth of national targets have no significant progress (11%)</w:t>
      </w:r>
      <w:r w:rsidR="00584765" w:rsidRPr="00F86C06">
        <w:rPr>
          <w:rFonts w:eastAsia="Malgun Gothic"/>
          <w:kern w:val="22"/>
          <w:szCs w:val="22"/>
        </w:rPr>
        <w:t xml:space="preserve"> </w:t>
      </w:r>
      <w:r w:rsidRPr="00F86C06">
        <w:rPr>
          <w:rFonts w:eastAsia="Malgun Gothic"/>
          <w:kern w:val="22"/>
          <w:szCs w:val="22"/>
        </w:rPr>
        <w:t xml:space="preserve">(ranging </w:t>
      </w:r>
      <w:r w:rsidR="00584765" w:rsidRPr="00F86C06">
        <w:rPr>
          <w:rFonts w:eastAsia="Malgun Gothic"/>
          <w:kern w:val="22"/>
          <w:szCs w:val="22"/>
        </w:rPr>
        <w:t>from</w:t>
      </w:r>
      <w:r w:rsidRPr="00F86C06">
        <w:rPr>
          <w:rFonts w:eastAsia="Malgun Gothic"/>
          <w:kern w:val="22"/>
          <w:szCs w:val="22"/>
        </w:rPr>
        <w:t xml:space="preserve"> 4% for Aichi Target 1 </w:t>
      </w:r>
      <w:r w:rsidR="00584765" w:rsidRPr="00F86C06">
        <w:rPr>
          <w:rFonts w:eastAsia="Malgun Gothic"/>
          <w:kern w:val="22"/>
          <w:szCs w:val="22"/>
        </w:rPr>
        <w:t>to</w:t>
      </w:r>
      <w:r w:rsidRPr="00F86C06">
        <w:rPr>
          <w:rFonts w:eastAsia="Malgun Gothic"/>
          <w:kern w:val="22"/>
          <w:szCs w:val="22"/>
        </w:rPr>
        <w:t xml:space="preserve"> 18% for Aichi Target 9) or are moving in the wrong direction (1%)</w:t>
      </w:r>
      <w:r w:rsidR="00584765" w:rsidRPr="00F86C06">
        <w:rPr>
          <w:rFonts w:eastAsia="Malgun Gothic"/>
          <w:kern w:val="22"/>
          <w:szCs w:val="22"/>
        </w:rPr>
        <w:t xml:space="preserve"> </w:t>
      </w:r>
      <w:r w:rsidRPr="00F86C06">
        <w:rPr>
          <w:rFonts w:eastAsia="Malgun Gothic"/>
          <w:kern w:val="22"/>
          <w:szCs w:val="22"/>
        </w:rPr>
        <w:t xml:space="preserve">(ranging </w:t>
      </w:r>
      <w:r w:rsidR="00584765" w:rsidRPr="00F86C06">
        <w:rPr>
          <w:rFonts w:eastAsia="Malgun Gothic"/>
          <w:kern w:val="22"/>
          <w:szCs w:val="22"/>
        </w:rPr>
        <w:t xml:space="preserve">from </w:t>
      </w:r>
      <w:r w:rsidRPr="00F86C06">
        <w:rPr>
          <w:rFonts w:eastAsia="Malgun Gothic"/>
          <w:kern w:val="22"/>
          <w:szCs w:val="22"/>
        </w:rPr>
        <w:t xml:space="preserve">0% for Aichi Targets 1, 13, 15, 17, 18, 19 and 20 </w:t>
      </w:r>
      <w:r w:rsidR="00584765" w:rsidRPr="00F86C06">
        <w:rPr>
          <w:rFonts w:eastAsia="Malgun Gothic"/>
          <w:kern w:val="22"/>
          <w:szCs w:val="22"/>
        </w:rPr>
        <w:t xml:space="preserve">to </w:t>
      </w:r>
      <w:r w:rsidRPr="00F86C06">
        <w:rPr>
          <w:rFonts w:eastAsia="Malgun Gothic"/>
          <w:kern w:val="22"/>
          <w:szCs w:val="22"/>
        </w:rPr>
        <w:t xml:space="preserve">3% for Aichi Targets 8 and 14). Most progress appears to have been made towards the national targets related to Aichi </w:t>
      </w:r>
      <w:r w:rsidRPr="00F86C06">
        <w:rPr>
          <w:rFonts w:eastAsia="Malgun Gothic"/>
          <w:kern w:val="22"/>
          <w:szCs w:val="22"/>
        </w:rPr>
        <w:lastRenderedPageBreak/>
        <w:t>Biodiversity Target</w:t>
      </w:r>
      <w:r w:rsidR="00D0540E" w:rsidRPr="00F86C06">
        <w:rPr>
          <w:rFonts w:eastAsia="Malgun Gothic"/>
          <w:kern w:val="22"/>
          <w:szCs w:val="22"/>
        </w:rPr>
        <w:t>s</w:t>
      </w:r>
      <w:r w:rsidRPr="00F86C06">
        <w:rPr>
          <w:rFonts w:eastAsia="Malgun Gothic"/>
          <w:kern w:val="22"/>
          <w:szCs w:val="22"/>
        </w:rPr>
        <w:t xml:space="preserve"> 1, 11, 16, 17 and 19. By comparison</w:t>
      </w:r>
      <w:r w:rsidR="00E5131B">
        <w:rPr>
          <w:rFonts w:eastAsia="Malgun Gothic"/>
          <w:kern w:val="22"/>
          <w:szCs w:val="22"/>
        </w:rPr>
        <w:t>,</w:t>
      </w:r>
      <w:r w:rsidRPr="00F86C06">
        <w:rPr>
          <w:rFonts w:eastAsia="Malgun Gothic"/>
          <w:kern w:val="22"/>
          <w:szCs w:val="22"/>
        </w:rPr>
        <w:t xml:space="preserve"> much less progress appears to have been made towards the national targets related to Aichi Biodiversity Targets 5, 8, 9, 10, 13, 14 </w:t>
      </w:r>
      <w:r w:rsidR="003D0B48" w:rsidRPr="00F86C06">
        <w:rPr>
          <w:rFonts w:eastAsia="Malgun Gothic"/>
          <w:kern w:val="22"/>
          <w:szCs w:val="22"/>
        </w:rPr>
        <w:t>and</w:t>
      </w:r>
      <w:r w:rsidR="00214896" w:rsidRPr="00F86C06">
        <w:rPr>
          <w:rFonts w:eastAsia="Malgun Gothic"/>
          <w:kern w:val="22"/>
          <w:szCs w:val="22"/>
        </w:rPr>
        <w:t> </w:t>
      </w:r>
      <w:r w:rsidRPr="00F86C06">
        <w:rPr>
          <w:rFonts w:eastAsia="Malgun Gothic"/>
          <w:kern w:val="22"/>
          <w:szCs w:val="22"/>
        </w:rPr>
        <w:t>20.</w:t>
      </w:r>
    </w:p>
    <w:p w14:paraId="4E418F09" w14:textId="0D600E23" w:rsidR="005208E5" w:rsidRPr="00D01E4B" w:rsidRDefault="00715FD9" w:rsidP="00777723">
      <w:pPr>
        <w:pStyle w:val="ListParagraph"/>
        <w:numPr>
          <w:ilvl w:val="0"/>
          <w:numId w:val="2"/>
        </w:numPr>
        <w:suppressLineNumbers/>
        <w:tabs>
          <w:tab w:val="clear" w:pos="360"/>
        </w:tabs>
        <w:suppressAutoHyphens/>
        <w:kinsoku w:val="0"/>
        <w:overflowPunct w:val="0"/>
        <w:autoSpaceDE w:val="0"/>
        <w:autoSpaceDN w:val="0"/>
        <w:spacing w:after="120"/>
        <w:contextualSpacing w:val="0"/>
        <w:rPr>
          <w:snapToGrid w:val="0"/>
          <w:spacing w:val="-2"/>
          <w:kern w:val="22"/>
          <w:szCs w:val="22"/>
          <w:shd w:val="clear" w:color="auto" w:fill="FFFFFF"/>
        </w:rPr>
      </w:pPr>
      <w:r w:rsidRPr="00D01E4B">
        <w:rPr>
          <w:rFonts w:eastAsia="Malgun Gothic"/>
          <w:spacing w:val="-2"/>
          <w:kern w:val="22"/>
          <w:szCs w:val="22"/>
        </w:rPr>
        <w:t>As noted above in paragraphs 7, 11 and 12, the assessment undertaken in this document has several limitations stemming from the different approaches Parties have taken in setting national targets and in reporting against them. These limitations should be considered in the development of monitoring and reporting processes related to the post-2020 global biodiversity framework</w:t>
      </w:r>
      <w:r w:rsidR="00E15798" w:rsidRPr="00D01E4B">
        <w:rPr>
          <w:rFonts w:eastAsia="Malgun Gothic"/>
          <w:spacing w:val="-2"/>
          <w:kern w:val="22"/>
          <w:szCs w:val="22"/>
        </w:rPr>
        <w:t xml:space="preserve"> (see agenda item </w:t>
      </w:r>
      <w:r w:rsidR="00777723" w:rsidRPr="00D01E4B">
        <w:rPr>
          <w:rFonts w:eastAsia="Malgun Gothic"/>
          <w:spacing w:val="-2"/>
          <w:kern w:val="22"/>
          <w:szCs w:val="22"/>
        </w:rPr>
        <w:t>9</w:t>
      </w:r>
      <w:r w:rsidR="00E15798" w:rsidRPr="00D01E4B">
        <w:rPr>
          <w:rFonts w:eastAsia="Malgun Gothic"/>
          <w:spacing w:val="-2"/>
          <w:kern w:val="22"/>
          <w:szCs w:val="22"/>
        </w:rPr>
        <w:t xml:space="preserve"> of </w:t>
      </w:r>
      <w:r w:rsidR="00B871C3" w:rsidRPr="00D01E4B">
        <w:rPr>
          <w:rFonts w:eastAsia="Malgun Gothic"/>
          <w:spacing w:val="-2"/>
          <w:kern w:val="22"/>
          <w:szCs w:val="22"/>
        </w:rPr>
        <w:t>the present meeting</w:t>
      </w:r>
      <w:r w:rsidR="00E15798" w:rsidRPr="00D01E4B">
        <w:rPr>
          <w:rFonts w:eastAsia="Malgun Gothic"/>
          <w:spacing w:val="-2"/>
          <w:kern w:val="22"/>
          <w:szCs w:val="22"/>
        </w:rPr>
        <w:t>)</w:t>
      </w:r>
      <w:r w:rsidRPr="00D01E4B">
        <w:rPr>
          <w:rFonts w:eastAsia="Malgun Gothic"/>
          <w:spacing w:val="-2"/>
          <w:kern w:val="22"/>
          <w:szCs w:val="22"/>
        </w:rPr>
        <w:t>. Nevertheless</w:t>
      </w:r>
      <w:r w:rsidR="005D2C8E" w:rsidRPr="00D01E4B">
        <w:rPr>
          <w:rFonts w:eastAsia="Malgun Gothic"/>
          <w:spacing w:val="-2"/>
          <w:kern w:val="22"/>
          <w:szCs w:val="22"/>
        </w:rPr>
        <w:t>,</w:t>
      </w:r>
      <w:r w:rsidRPr="00D01E4B">
        <w:rPr>
          <w:rFonts w:eastAsia="Malgun Gothic"/>
          <w:spacing w:val="-2"/>
          <w:kern w:val="22"/>
          <w:szCs w:val="22"/>
        </w:rPr>
        <w:t xml:space="preserve"> the NBSAPs and the national reports, two complementary sources of information, indicate that efforts have been made to translate the Aichi Biodiversity Targets into national commitments, and national actions have been taken to reach the Aichi Target</w:t>
      </w:r>
      <w:r w:rsidR="00D0540E" w:rsidRPr="00D01E4B">
        <w:rPr>
          <w:rFonts w:eastAsia="Malgun Gothic"/>
          <w:spacing w:val="-2"/>
          <w:kern w:val="22"/>
          <w:szCs w:val="22"/>
        </w:rPr>
        <w:t>s,</w:t>
      </w:r>
      <w:r w:rsidRPr="00D01E4B">
        <w:rPr>
          <w:rFonts w:eastAsia="Malgun Gothic"/>
          <w:spacing w:val="-2"/>
          <w:kern w:val="22"/>
          <w:szCs w:val="22"/>
        </w:rPr>
        <w:t xml:space="preserve"> but that these commitments and efforts have been insufficient to reach the level of ambition set out in the Aichi Targets. </w:t>
      </w:r>
      <w:r w:rsidR="00D0540E" w:rsidRPr="00D01E4B">
        <w:rPr>
          <w:rFonts w:eastAsia="Malgun Gothic"/>
          <w:spacing w:val="-2"/>
          <w:kern w:val="22"/>
          <w:szCs w:val="22"/>
        </w:rPr>
        <w:t>Thus</w:t>
      </w:r>
      <w:r w:rsidR="00D01E4B">
        <w:rPr>
          <w:rFonts w:eastAsia="Malgun Gothic"/>
          <w:spacing w:val="-2"/>
          <w:kern w:val="22"/>
          <w:szCs w:val="22"/>
        </w:rPr>
        <w:t>,</w:t>
      </w:r>
      <w:bookmarkStart w:id="5" w:name="_GoBack"/>
      <w:bookmarkEnd w:id="5"/>
      <w:r w:rsidRPr="00D01E4B">
        <w:rPr>
          <w:rFonts w:eastAsia="Malgun Gothic"/>
          <w:spacing w:val="-2"/>
          <w:kern w:val="22"/>
          <w:szCs w:val="22"/>
        </w:rPr>
        <w:t xml:space="preserve"> </w:t>
      </w:r>
      <w:r w:rsidR="00D0540E" w:rsidRPr="00D01E4B">
        <w:rPr>
          <w:rFonts w:eastAsia="Malgun Gothic"/>
          <w:spacing w:val="-2"/>
          <w:kern w:val="22"/>
          <w:szCs w:val="22"/>
        </w:rPr>
        <w:t>the</w:t>
      </w:r>
      <w:r w:rsidRPr="00D01E4B">
        <w:rPr>
          <w:rFonts w:eastAsia="Malgun Gothic"/>
          <w:spacing w:val="-2"/>
          <w:kern w:val="22"/>
          <w:szCs w:val="22"/>
        </w:rPr>
        <w:t xml:space="preserve"> assessment suggests that</w:t>
      </w:r>
      <w:r w:rsidR="00D0540E" w:rsidRPr="00D01E4B">
        <w:rPr>
          <w:rFonts w:eastAsia="Malgun Gothic"/>
          <w:spacing w:val="-2"/>
          <w:kern w:val="22"/>
          <w:szCs w:val="22"/>
        </w:rPr>
        <w:t>,</w:t>
      </w:r>
      <w:r w:rsidRPr="00D01E4B">
        <w:rPr>
          <w:rFonts w:eastAsia="Malgun Gothic"/>
          <w:spacing w:val="-2"/>
          <w:kern w:val="22"/>
          <w:szCs w:val="22"/>
        </w:rPr>
        <w:t xml:space="preserve"> in the aggregate</w:t>
      </w:r>
      <w:r w:rsidR="00D0540E" w:rsidRPr="00D01E4B">
        <w:rPr>
          <w:rFonts w:eastAsia="Malgun Gothic"/>
          <w:spacing w:val="-2"/>
          <w:kern w:val="22"/>
          <w:szCs w:val="22"/>
        </w:rPr>
        <w:t>,</w:t>
      </w:r>
      <w:r w:rsidRPr="00D01E4B">
        <w:rPr>
          <w:rFonts w:eastAsia="Malgun Gothic"/>
          <w:spacing w:val="-2"/>
          <w:kern w:val="22"/>
          <w:szCs w:val="22"/>
        </w:rPr>
        <w:t xml:space="preserve"> gaps exist in relation to the level of ambition </w:t>
      </w:r>
      <w:r w:rsidR="00D0540E" w:rsidRPr="00D01E4B">
        <w:rPr>
          <w:rFonts w:eastAsia="Malgun Gothic"/>
          <w:spacing w:val="-2"/>
          <w:kern w:val="22"/>
          <w:szCs w:val="22"/>
        </w:rPr>
        <w:t>of</w:t>
      </w:r>
      <w:r w:rsidRPr="00D01E4B">
        <w:rPr>
          <w:rFonts w:eastAsia="Malgun Gothic"/>
          <w:spacing w:val="-2"/>
          <w:kern w:val="22"/>
          <w:szCs w:val="22"/>
        </w:rPr>
        <w:t xml:space="preserve"> the national targets set to reach the Aichi Biodiversity Targets</w:t>
      </w:r>
      <w:r w:rsidR="00D0540E" w:rsidRPr="00D01E4B">
        <w:rPr>
          <w:rFonts w:eastAsia="Malgun Gothic"/>
          <w:spacing w:val="-2"/>
          <w:kern w:val="22"/>
          <w:szCs w:val="22"/>
        </w:rPr>
        <w:t>,</w:t>
      </w:r>
      <w:r w:rsidRPr="00D01E4B">
        <w:rPr>
          <w:rFonts w:eastAsia="Malgun Gothic"/>
          <w:spacing w:val="-2"/>
          <w:kern w:val="22"/>
          <w:szCs w:val="22"/>
        </w:rPr>
        <w:t xml:space="preserve"> as well as in the efforts to reach these. The information from this analysis is broadly consistent with the information presented in the fourth edition of the </w:t>
      </w:r>
      <w:r w:rsidRPr="00D01E4B">
        <w:rPr>
          <w:rFonts w:eastAsia="Malgun Gothic"/>
          <w:i/>
          <w:iCs/>
          <w:spacing w:val="-2"/>
          <w:kern w:val="22"/>
          <w:szCs w:val="22"/>
        </w:rPr>
        <w:t>Global Biodiversity Outlook</w:t>
      </w:r>
      <w:r w:rsidRPr="00D01E4B">
        <w:rPr>
          <w:rFonts w:eastAsia="Malgun Gothic"/>
          <w:spacing w:val="-2"/>
          <w:kern w:val="22"/>
          <w:szCs w:val="22"/>
        </w:rPr>
        <w:t xml:space="preserve">, which concluded that, while progress is being made towards the achievement of all targets, progress is not sufficient to achieve the Aichi Biodiversity Targets. It is also consistent with the </w:t>
      </w:r>
      <w:r w:rsidRPr="00D01E4B">
        <w:rPr>
          <w:spacing w:val="-2"/>
          <w:kern w:val="22"/>
          <w:szCs w:val="22"/>
        </w:rPr>
        <w:t>global assessment report on biodiversity and ecosystem services of the Intergovernmental Science-Policy Platform on Biodiversity and Ecosystem Services</w:t>
      </w:r>
      <w:r w:rsidR="00BD559C" w:rsidRPr="00D01E4B">
        <w:rPr>
          <w:spacing w:val="-2"/>
          <w:kern w:val="22"/>
          <w:szCs w:val="22"/>
        </w:rPr>
        <w:t>,</w:t>
      </w:r>
      <w:r w:rsidRPr="00D01E4B">
        <w:rPr>
          <w:spacing w:val="-2"/>
          <w:kern w:val="22"/>
          <w:szCs w:val="22"/>
        </w:rPr>
        <w:t xml:space="preserve"> which observed that</w:t>
      </w:r>
      <w:r w:rsidRPr="00D01E4B">
        <w:rPr>
          <w:rFonts w:eastAsia="Malgun Gothic"/>
          <w:spacing w:val="-2"/>
          <w:kern w:val="22"/>
          <w:szCs w:val="22"/>
        </w:rPr>
        <w:t xml:space="preserve"> </w:t>
      </w:r>
      <w:r w:rsidRPr="00D01E4B">
        <w:rPr>
          <w:spacing w:val="-2"/>
          <w:kern w:val="22"/>
          <w:szCs w:val="22"/>
        </w:rPr>
        <w:t>“the implementation of policy responses and actions to conserve nature and manage it more sustainably has progressed, yielding positive outcomes relative to scenarios of no intervention, but progress is not sufficient to stem the direct and indirect drivers of nature deterioration. It is therefore likely that most of the Aichi Biodiversity Targets for 2020 will be missed.”</w:t>
      </w:r>
    </w:p>
    <w:p w14:paraId="1CE38CEB" w14:textId="1CF24592" w:rsidR="00715FD9" w:rsidRPr="00F86C06" w:rsidRDefault="00715FD9" w:rsidP="005208E5">
      <w:pPr>
        <w:pStyle w:val="ListParagraph"/>
        <w:suppressLineNumbers/>
        <w:suppressAutoHyphens/>
        <w:kinsoku w:val="0"/>
        <w:overflowPunct w:val="0"/>
        <w:autoSpaceDE w:val="0"/>
        <w:autoSpaceDN w:val="0"/>
        <w:ind w:left="0"/>
        <w:contextualSpacing w:val="0"/>
        <w:rPr>
          <w:snapToGrid w:val="0"/>
          <w:kern w:val="22"/>
          <w:szCs w:val="22"/>
          <w:shd w:val="clear" w:color="auto" w:fill="FFFFFF"/>
        </w:rPr>
      </w:pPr>
    </w:p>
    <w:p w14:paraId="60A1C62C" w14:textId="1563A957" w:rsidR="00715FD9" w:rsidRPr="00F86C06" w:rsidRDefault="00715FD9" w:rsidP="00B93F10">
      <w:pPr>
        <w:keepNext/>
        <w:suppressLineNumbers/>
        <w:suppressAutoHyphens/>
        <w:kinsoku w:val="0"/>
        <w:overflowPunct w:val="0"/>
        <w:autoSpaceDE w:val="0"/>
        <w:autoSpaceDN w:val="0"/>
        <w:spacing w:before="120" w:after="120"/>
        <w:ind w:left="851" w:hanging="851"/>
        <w:jc w:val="left"/>
        <w:rPr>
          <w:b/>
          <w:bCs/>
          <w:snapToGrid w:val="0"/>
          <w:kern w:val="22"/>
          <w:szCs w:val="22"/>
          <w:shd w:val="clear" w:color="auto" w:fill="FFFFFF"/>
        </w:rPr>
      </w:pPr>
      <w:r w:rsidRPr="00F86C06">
        <w:rPr>
          <w:snapToGrid w:val="0"/>
          <w:kern w:val="22"/>
          <w:szCs w:val="22"/>
          <w:shd w:val="clear" w:color="auto" w:fill="FFFFFF"/>
        </w:rPr>
        <w:lastRenderedPageBreak/>
        <w:t>Figure 1.</w:t>
      </w:r>
      <w:r w:rsidR="00B93F10">
        <w:rPr>
          <w:snapToGrid w:val="0"/>
          <w:kern w:val="22"/>
          <w:szCs w:val="22"/>
          <w:shd w:val="clear" w:color="auto" w:fill="FFFFFF"/>
        </w:rPr>
        <w:tab/>
      </w:r>
      <w:r w:rsidRPr="00F86C06">
        <w:rPr>
          <w:b/>
          <w:bCs/>
          <w:snapToGrid w:val="0"/>
          <w:kern w:val="22"/>
          <w:szCs w:val="22"/>
          <w:shd w:val="clear" w:color="auto" w:fill="FFFFFF"/>
        </w:rPr>
        <w:t xml:space="preserve">Assessment of the alignment of the national targets and other commitments contained in the revised and updated NBSAPs to the Aichi </w:t>
      </w:r>
      <w:r w:rsidR="0008275D" w:rsidRPr="00F86C06">
        <w:rPr>
          <w:b/>
          <w:bCs/>
          <w:snapToGrid w:val="0"/>
          <w:kern w:val="22"/>
          <w:szCs w:val="22"/>
          <w:shd w:val="clear" w:color="auto" w:fill="FFFFFF"/>
        </w:rPr>
        <w:t xml:space="preserve">Biodiversity </w:t>
      </w:r>
      <w:r w:rsidRPr="00F86C06">
        <w:rPr>
          <w:b/>
          <w:bCs/>
          <w:snapToGrid w:val="0"/>
          <w:kern w:val="22"/>
          <w:szCs w:val="22"/>
          <w:shd w:val="clear" w:color="auto" w:fill="FFFFFF"/>
        </w:rPr>
        <w:t>Targets</w:t>
      </w:r>
    </w:p>
    <w:p w14:paraId="0FDBD404" w14:textId="77777777" w:rsidR="00715FD9" w:rsidRPr="00F86C06" w:rsidRDefault="00715FD9" w:rsidP="00715FD9">
      <w:pPr>
        <w:suppressLineNumbers/>
        <w:suppressAutoHyphens/>
        <w:kinsoku w:val="0"/>
        <w:overflowPunct w:val="0"/>
        <w:autoSpaceDE w:val="0"/>
        <w:autoSpaceDN w:val="0"/>
        <w:spacing w:before="120" w:after="120"/>
        <w:jc w:val="left"/>
        <w:rPr>
          <w:i/>
          <w:iCs/>
          <w:snapToGrid w:val="0"/>
          <w:kern w:val="22"/>
          <w:szCs w:val="22"/>
          <w:shd w:val="clear" w:color="auto" w:fill="FFFFFF"/>
        </w:rPr>
      </w:pPr>
      <w:r w:rsidRPr="00F86C06">
        <w:rPr>
          <w:noProof/>
          <w:kern w:val="22"/>
          <w:szCs w:val="22"/>
          <w:lang w:val="en-US"/>
        </w:rPr>
        <w:drawing>
          <wp:inline distT="0" distB="0" distL="0" distR="0" wp14:anchorId="093E8989" wp14:editId="416097AC">
            <wp:extent cx="5295014" cy="6655982"/>
            <wp:effectExtent l="0" t="0" r="20320" b="12065"/>
            <wp:docPr id="5" name="Chart 5">
              <a:extLst xmlns:a="http://schemas.openxmlformats.org/drawingml/2006/main">
                <a:ext uri="{FF2B5EF4-FFF2-40B4-BE49-F238E27FC236}">
                  <a16:creationId xmlns:a16="http://schemas.microsoft.com/office/drawing/2014/main" id="{95112F79-27E4-4CBF-8022-EA4AAEDE85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F616289" w14:textId="6BBFBA03" w:rsidR="00715FD9" w:rsidRPr="00F86C06" w:rsidRDefault="00715FD9" w:rsidP="00B71E0B">
      <w:pPr>
        <w:suppressLineNumbers/>
        <w:suppressAutoHyphens/>
        <w:kinsoku w:val="0"/>
        <w:overflowPunct w:val="0"/>
        <w:autoSpaceDE w:val="0"/>
        <w:autoSpaceDN w:val="0"/>
        <w:spacing w:before="120" w:after="120"/>
        <w:rPr>
          <w:snapToGrid w:val="0"/>
          <w:kern w:val="22"/>
          <w:szCs w:val="22"/>
          <w:shd w:val="clear" w:color="auto" w:fill="FFFFFF"/>
        </w:rPr>
      </w:pPr>
      <w:r w:rsidRPr="00F86C06">
        <w:rPr>
          <w:i/>
          <w:iCs/>
          <w:snapToGrid w:val="0"/>
          <w:kern w:val="22"/>
          <w:szCs w:val="22"/>
          <w:shd w:val="clear" w:color="auto" w:fill="FFFFFF"/>
        </w:rPr>
        <w:t>Note</w:t>
      </w:r>
      <w:r w:rsidRPr="00F86C06">
        <w:rPr>
          <w:snapToGrid w:val="0"/>
          <w:kern w:val="22"/>
          <w:szCs w:val="22"/>
          <w:shd w:val="clear" w:color="auto" w:fill="FFFFFF"/>
        </w:rPr>
        <w:t>: The shaded bars indicate the proportion of NBSAPs</w:t>
      </w:r>
      <w:r w:rsidR="00B36AF9" w:rsidRPr="00F86C06">
        <w:rPr>
          <w:snapToGrid w:val="0"/>
          <w:kern w:val="22"/>
          <w:szCs w:val="22"/>
          <w:shd w:val="clear" w:color="auto" w:fill="FFFFFF"/>
        </w:rPr>
        <w:t xml:space="preserve"> containing national targets or com</w:t>
      </w:r>
      <w:r w:rsidR="00E71442" w:rsidRPr="00F86C06">
        <w:rPr>
          <w:snapToGrid w:val="0"/>
          <w:kern w:val="22"/>
          <w:szCs w:val="22"/>
          <w:shd w:val="clear" w:color="auto" w:fill="FFFFFF"/>
        </w:rPr>
        <w:t>m</w:t>
      </w:r>
      <w:r w:rsidR="00B36AF9" w:rsidRPr="00F86C06">
        <w:rPr>
          <w:snapToGrid w:val="0"/>
          <w:kern w:val="22"/>
          <w:szCs w:val="22"/>
          <w:shd w:val="clear" w:color="auto" w:fill="FFFFFF"/>
        </w:rPr>
        <w:t>itments</w:t>
      </w:r>
      <w:r w:rsidRPr="00F86C06">
        <w:rPr>
          <w:snapToGrid w:val="0"/>
          <w:kern w:val="22"/>
          <w:szCs w:val="22"/>
          <w:shd w:val="clear" w:color="auto" w:fill="FFFFFF"/>
        </w:rPr>
        <w:t xml:space="preserve"> in each category. The darker the shade</w:t>
      </w:r>
      <w:r w:rsidR="00E77A22">
        <w:rPr>
          <w:snapToGrid w:val="0"/>
          <w:kern w:val="22"/>
          <w:szCs w:val="22"/>
          <w:shd w:val="clear" w:color="auto" w:fill="FFFFFF"/>
        </w:rPr>
        <w:t>,</w:t>
      </w:r>
      <w:r w:rsidRPr="00F86C06">
        <w:rPr>
          <w:snapToGrid w:val="0"/>
          <w:kern w:val="22"/>
          <w:szCs w:val="22"/>
          <w:shd w:val="clear" w:color="auto" w:fill="FFFFFF"/>
        </w:rPr>
        <w:t xml:space="preserve"> the more closely aligned the national targets are to the Aichi Target. </w:t>
      </w:r>
      <w:r w:rsidR="009933CB" w:rsidRPr="00F86C06">
        <w:rPr>
          <w:snapToGrid w:val="0"/>
          <w:kern w:val="22"/>
          <w:szCs w:val="22"/>
          <w:shd w:val="clear" w:color="auto" w:fill="FFFFFF"/>
        </w:rPr>
        <w:t xml:space="preserve">All </w:t>
      </w:r>
      <w:r w:rsidRPr="00F86C06">
        <w:rPr>
          <w:snapToGrid w:val="0"/>
          <w:kern w:val="22"/>
          <w:szCs w:val="22"/>
          <w:shd w:val="clear" w:color="auto" w:fill="FFFFFF"/>
        </w:rPr>
        <w:t>196 Parties are represented in each row.</w:t>
      </w:r>
    </w:p>
    <w:p w14:paraId="560E0DBD" w14:textId="12852240" w:rsidR="00715FD9" w:rsidRPr="00106645" w:rsidRDefault="00715FD9" w:rsidP="00106645">
      <w:pPr>
        <w:keepNext/>
        <w:suppressLineNumbers/>
        <w:suppressAutoHyphens/>
        <w:kinsoku w:val="0"/>
        <w:overflowPunct w:val="0"/>
        <w:autoSpaceDE w:val="0"/>
        <w:autoSpaceDN w:val="0"/>
        <w:spacing w:before="120" w:after="120"/>
        <w:ind w:left="851" w:hanging="851"/>
        <w:jc w:val="left"/>
        <w:rPr>
          <w:snapToGrid w:val="0"/>
          <w:kern w:val="22"/>
          <w:szCs w:val="22"/>
          <w:shd w:val="clear" w:color="auto" w:fill="FFFFFF"/>
        </w:rPr>
      </w:pPr>
      <w:r w:rsidRPr="00F86C06">
        <w:rPr>
          <w:snapToGrid w:val="0"/>
          <w:kern w:val="22"/>
          <w:szCs w:val="22"/>
          <w:shd w:val="clear" w:color="auto" w:fill="FFFFFF"/>
        </w:rPr>
        <w:lastRenderedPageBreak/>
        <w:t>Figure 2.</w:t>
      </w:r>
      <w:r w:rsidR="00106645">
        <w:rPr>
          <w:snapToGrid w:val="0"/>
          <w:kern w:val="22"/>
          <w:szCs w:val="22"/>
          <w:shd w:val="clear" w:color="auto" w:fill="FFFFFF"/>
        </w:rPr>
        <w:tab/>
      </w:r>
      <w:r w:rsidRPr="00106645">
        <w:rPr>
          <w:b/>
          <w:bCs/>
          <w:snapToGrid w:val="0"/>
          <w:kern w:val="22"/>
          <w:szCs w:val="22"/>
          <w:shd w:val="clear" w:color="auto" w:fill="FFFFFF"/>
        </w:rPr>
        <w:t>Assessment of progress towards each of the Aichi Biodiversity Targets based on progress towards associated national targets as reported in the sixth national reports</w:t>
      </w:r>
    </w:p>
    <w:p w14:paraId="7432021E" w14:textId="77777777" w:rsidR="00715FD9" w:rsidRPr="00F86C06" w:rsidRDefault="00715FD9" w:rsidP="00715FD9">
      <w:pPr>
        <w:keepNext/>
        <w:suppressLineNumbers/>
        <w:suppressAutoHyphens/>
        <w:kinsoku w:val="0"/>
        <w:overflowPunct w:val="0"/>
        <w:autoSpaceDE w:val="0"/>
        <w:autoSpaceDN w:val="0"/>
        <w:spacing w:before="120"/>
        <w:ind w:left="900" w:hanging="900"/>
        <w:jc w:val="left"/>
        <w:rPr>
          <w:noProof/>
          <w:kern w:val="22"/>
          <w:szCs w:val="22"/>
        </w:rPr>
      </w:pPr>
      <w:r w:rsidRPr="00F86C06">
        <w:rPr>
          <w:noProof/>
          <w:kern w:val="22"/>
          <w:szCs w:val="22"/>
          <w:lang w:val="en-US"/>
        </w:rPr>
        <w:drawing>
          <wp:inline distT="0" distB="0" distL="0" distR="0" wp14:anchorId="09404187" wp14:editId="4C77B1DB">
            <wp:extent cx="5943600" cy="7539567"/>
            <wp:effectExtent l="0" t="0" r="0" b="4445"/>
            <wp:docPr id="7" name="Chart 7">
              <a:extLst xmlns:a="http://schemas.openxmlformats.org/drawingml/2006/main">
                <a:ext uri="{FF2B5EF4-FFF2-40B4-BE49-F238E27FC236}">
                  <a16:creationId xmlns:a16="http://schemas.microsoft.com/office/drawing/2014/main" id="{586450FE-68F2-48D3-8FB3-EB82D3FB16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F03409C" w14:textId="187F9F2F" w:rsidR="00715FD9" w:rsidRPr="00F86C06" w:rsidRDefault="00715FD9" w:rsidP="00715FD9">
      <w:pPr>
        <w:suppressLineNumbers/>
        <w:suppressAutoHyphens/>
        <w:kinsoku w:val="0"/>
        <w:overflowPunct w:val="0"/>
        <w:autoSpaceDE w:val="0"/>
        <w:autoSpaceDN w:val="0"/>
        <w:spacing w:before="120"/>
        <w:rPr>
          <w:snapToGrid w:val="0"/>
          <w:kern w:val="22"/>
          <w:szCs w:val="22"/>
          <w:shd w:val="clear" w:color="auto" w:fill="FFFFFF"/>
        </w:rPr>
      </w:pPr>
      <w:r w:rsidRPr="00F86C06">
        <w:rPr>
          <w:i/>
          <w:iCs/>
          <w:snapToGrid w:val="0"/>
          <w:kern w:val="22"/>
          <w:szCs w:val="22"/>
          <w:shd w:val="clear" w:color="auto" w:fill="FFFFFF"/>
        </w:rPr>
        <w:t>Note</w:t>
      </w:r>
      <w:r w:rsidRPr="00F86C06">
        <w:rPr>
          <w:snapToGrid w:val="0"/>
          <w:kern w:val="22"/>
          <w:szCs w:val="22"/>
          <w:shd w:val="clear" w:color="auto" w:fill="FFFFFF"/>
        </w:rPr>
        <w:t xml:space="preserve">: The coloured bars indicate the proportion of targets assessed </w:t>
      </w:r>
      <w:r w:rsidR="009933CB" w:rsidRPr="00F86C06">
        <w:rPr>
          <w:snapToGrid w:val="0"/>
          <w:kern w:val="22"/>
          <w:szCs w:val="22"/>
          <w:shd w:val="clear" w:color="auto" w:fill="FFFFFF"/>
        </w:rPr>
        <w:t xml:space="preserve">as being </w:t>
      </w:r>
      <w:r w:rsidRPr="00F86C06">
        <w:rPr>
          <w:snapToGrid w:val="0"/>
          <w:kern w:val="22"/>
          <w:szCs w:val="22"/>
          <w:shd w:val="clear" w:color="auto" w:fill="FFFFFF"/>
        </w:rPr>
        <w:t xml:space="preserve">in each category. </w:t>
      </w:r>
      <w:r w:rsidR="009933CB" w:rsidRPr="00F86C06">
        <w:rPr>
          <w:snapToGrid w:val="0"/>
          <w:kern w:val="22"/>
          <w:szCs w:val="22"/>
          <w:shd w:val="clear" w:color="auto" w:fill="FFFFFF"/>
        </w:rPr>
        <w:t xml:space="preserve">All </w:t>
      </w:r>
      <w:r w:rsidRPr="00F86C06">
        <w:rPr>
          <w:snapToGrid w:val="0"/>
          <w:kern w:val="22"/>
          <w:szCs w:val="22"/>
          <w:shd w:val="clear" w:color="auto" w:fill="FFFFFF"/>
        </w:rPr>
        <w:t>196 Parties are represented in each row.</w:t>
      </w:r>
    </w:p>
    <w:p w14:paraId="7DE26AA2" w14:textId="4022F281" w:rsidR="00715FD9" w:rsidRPr="00F86C06" w:rsidRDefault="00715FD9" w:rsidP="00F94922">
      <w:pPr>
        <w:jc w:val="center"/>
        <w:rPr>
          <w:kern w:val="22"/>
          <w:szCs w:val="22"/>
        </w:rPr>
      </w:pPr>
      <w:r w:rsidRPr="00F86C06">
        <w:rPr>
          <w:kern w:val="22"/>
          <w:szCs w:val="22"/>
        </w:rPr>
        <w:t>__________</w:t>
      </w:r>
    </w:p>
    <w:sectPr w:rsidR="00715FD9" w:rsidRPr="00F86C06" w:rsidSect="00CA1572">
      <w:headerReference w:type="even" r:id="rId26"/>
      <w:headerReference w:type="default" r:id="rId27"/>
      <w:footerReference w:type="even" r:id="rId28"/>
      <w:footerReference w:type="default" r:id="rId29"/>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A369D" w14:textId="77777777" w:rsidR="003B64CF" w:rsidRDefault="003B64CF">
      <w:r>
        <w:separator/>
      </w:r>
    </w:p>
  </w:endnote>
  <w:endnote w:type="continuationSeparator" w:id="0">
    <w:p w14:paraId="2905F399" w14:textId="77777777" w:rsidR="003B64CF" w:rsidRDefault="003B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 Pro">
    <w:altName w:val="Cambria"/>
    <w:panose1 w:val="00000000000000000000"/>
    <w:charset w:val="00"/>
    <w:family w:val="roman"/>
    <w:notTrueType/>
    <w:pitch w:val="variable"/>
    <w:sig w:usb0="E00002AF" w:usb1="5000E07B" w:usb2="00000000" w:usb3="00000000" w:csb0="0000019F" w:csb1="00000000"/>
  </w:font>
  <w:font w:name="Myriad Roman">
    <w:altName w:val="Myriad Roman"/>
    <w:panose1 w:val="00000000000000000000"/>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2F031" w14:textId="77777777" w:rsidR="00E47F16" w:rsidRDefault="00E47F16" w:rsidP="00B012FB">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F40D4" w14:textId="77777777" w:rsidR="00E47F16" w:rsidRDefault="00E47F16" w:rsidP="00B012FB">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77EF4" w14:textId="77777777" w:rsidR="003B64CF" w:rsidRDefault="003B64CF">
      <w:r>
        <w:separator/>
      </w:r>
    </w:p>
  </w:footnote>
  <w:footnote w:type="continuationSeparator" w:id="0">
    <w:p w14:paraId="3C8F4FF8" w14:textId="77777777" w:rsidR="003B64CF" w:rsidRDefault="003B64CF">
      <w:r>
        <w:continuationSeparator/>
      </w:r>
    </w:p>
  </w:footnote>
  <w:footnote w:id="1">
    <w:p w14:paraId="05B65AC1" w14:textId="7BE998A9" w:rsidR="00E47F16" w:rsidRPr="003D0B48" w:rsidRDefault="00E47F16" w:rsidP="00831379">
      <w:pPr>
        <w:pStyle w:val="FootnoteText"/>
        <w:suppressLineNumbers/>
        <w:suppressAutoHyphens/>
        <w:ind w:firstLine="0"/>
        <w:jc w:val="left"/>
        <w:rPr>
          <w:szCs w:val="18"/>
          <w:lang w:val="en-CA"/>
        </w:rPr>
      </w:pPr>
      <w:r w:rsidRPr="003D0B48">
        <w:rPr>
          <w:rStyle w:val="FootnoteReference"/>
          <w:szCs w:val="18"/>
          <w:vertAlign w:val="baseline"/>
        </w:rPr>
        <w:t>*</w:t>
      </w:r>
      <w:r w:rsidRPr="003D0B48">
        <w:rPr>
          <w:szCs w:val="18"/>
        </w:rPr>
        <w:t xml:space="preserve"> CBD/SBI/3/1.</w:t>
      </w:r>
    </w:p>
  </w:footnote>
  <w:footnote w:id="2">
    <w:p w14:paraId="6CDFB11C" w14:textId="2462ADF5" w:rsidR="00E47F16" w:rsidRPr="00715FD9" w:rsidRDefault="00E47F16" w:rsidP="00831379">
      <w:pPr>
        <w:pStyle w:val="FootnoteText"/>
        <w:suppressLineNumbers/>
        <w:suppressAutoHyphens/>
        <w:ind w:firstLine="0"/>
        <w:jc w:val="left"/>
        <w:rPr>
          <w:sz w:val="20"/>
          <w:szCs w:val="20"/>
          <w:lang w:val="en-CA"/>
        </w:rPr>
      </w:pPr>
      <w:r w:rsidRPr="003D0B48">
        <w:rPr>
          <w:rStyle w:val="FootnoteReference"/>
          <w:szCs w:val="18"/>
        </w:rPr>
        <w:footnoteRef/>
      </w:r>
      <w:r w:rsidRPr="003D0B48">
        <w:rPr>
          <w:szCs w:val="18"/>
        </w:rPr>
        <w:t xml:space="preserve"> A draft of this document was made available for peer review. The document has been revised considering the comments received as well as the additional national reports received.</w:t>
      </w:r>
      <w:r w:rsidRPr="00715FD9">
        <w:rPr>
          <w:sz w:val="20"/>
          <w:szCs w:val="20"/>
        </w:rPr>
        <w:t xml:space="preserve"> </w:t>
      </w:r>
    </w:p>
  </w:footnote>
  <w:footnote w:id="3">
    <w:p w14:paraId="5C9A5EDB" w14:textId="49CF707A" w:rsidR="00E47F16" w:rsidRPr="00CC3DE2" w:rsidRDefault="00E47F16" w:rsidP="00831379">
      <w:pPr>
        <w:pStyle w:val="FootnoteText"/>
        <w:suppressLineNumbers/>
        <w:suppressAutoHyphens/>
        <w:kinsoku w:val="0"/>
        <w:overflowPunct w:val="0"/>
        <w:autoSpaceDE w:val="0"/>
        <w:autoSpaceDN w:val="0"/>
        <w:ind w:firstLine="0"/>
        <w:jc w:val="left"/>
        <w:rPr>
          <w:snapToGrid w:val="0"/>
          <w:kern w:val="18"/>
          <w:szCs w:val="18"/>
        </w:rPr>
      </w:pPr>
      <w:r w:rsidRPr="003D0B48">
        <w:rPr>
          <w:rStyle w:val="FootnoteReference"/>
          <w:snapToGrid w:val="0"/>
          <w:kern w:val="18"/>
          <w:szCs w:val="18"/>
        </w:rPr>
        <w:footnoteRef/>
      </w:r>
      <w:r w:rsidRPr="003D0B48">
        <w:rPr>
          <w:snapToGrid w:val="0"/>
          <w:kern w:val="18"/>
          <w:szCs w:val="18"/>
        </w:rPr>
        <w:t xml:space="preserve"> </w:t>
      </w:r>
      <w:r w:rsidRPr="00CC3DE2">
        <w:rPr>
          <w:snapToGrid w:val="0"/>
          <w:kern w:val="18"/>
          <w:szCs w:val="18"/>
        </w:rPr>
        <w:t xml:space="preserve">This analysis </w:t>
      </w:r>
      <w:r>
        <w:rPr>
          <w:snapToGrid w:val="0"/>
          <w:kern w:val="18"/>
          <w:szCs w:val="18"/>
        </w:rPr>
        <w:t xml:space="preserve">builds on </w:t>
      </w:r>
      <w:r w:rsidRPr="00CC3DE2">
        <w:rPr>
          <w:snapToGrid w:val="0"/>
          <w:kern w:val="18"/>
          <w:szCs w:val="18"/>
        </w:rPr>
        <w:t xml:space="preserve">earlier analyses contained in </w:t>
      </w:r>
      <w:hyperlink r:id="rId1" w:history="1">
        <w:r w:rsidRPr="00CC3DE2">
          <w:rPr>
            <w:rStyle w:val="Hyperlink"/>
            <w:snapToGrid w:val="0"/>
            <w:kern w:val="18"/>
            <w:szCs w:val="18"/>
          </w:rPr>
          <w:t>UNEP/CBD/COP/13/8/Add.2/Rev.1</w:t>
        </w:r>
      </w:hyperlink>
      <w:r w:rsidRPr="00CC3DE2">
        <w:rPr>
          <w:snapToGrid w:val="0"/>
          <w:kern w:val="18"/>
          <w:szCs w:val="18"/>
        </w:rPr>
        <w:t>,</w:t>
      </w:r>
      <w:r w:rsidRPr="00CC3DE2">
        <w:rPr>
          <w:szCs w:val="18"/>
        </w:rPr>
        <w:t xml:space="preserve"> </w:t>
      </w:r>
      <w:hyperlink r:id="rId2" w:history="1">
        <w:r w:rsidRPr="00CC3DE2">
          <w:rPr>
            <w:rStyle w:val="Hyperlink"/>
            <w:snapToGrid w:val="0"/>
            <w:kern w:val="18"/>
            <w:szCs w:val="18"/>
          </w:rPr>
          <w:t>CBD/SBI/2/2/Add.2</w:t>
        </w:r>
      </w:hyperlink>
      <w:r w:rsidRPr="00CC3DE2">
        <w:rPr>
          <w:snapToGrid w:val="0"/>
          <w:kern w:val="18"/>
          <w:szCs w:val="18"/>
        </w:rPr>
        <w:t xml:space="preserve"> and </w:t>
      </w:r>
      <w:hyperlink r:id="rId3" w:history="1">
        <w:r w:rsidRPr="00CC3DE2">
          <w:rPr>
            <w:rStyle w:val="Hyperlink"/>
            <w:snapToGrid w:val="0"/>
            <w:kern w:val="18"/>
            <w:szCs w:val="18"/>
          </w:rPr>
          <w:t>CBD/COP/14/5/Add.2</w:t>
        </w:r>
      </w:hyperlink>
      <w:r w:rsidRPr="00CC3DE2">
        <w:rPr>
          <w:kern w:val="18"/>
          <w:shd w:val="clear" w:color="auto" w:fill="FFFFFF"/>
        </w:rPr>
        <w:t xml:space="preserve">, </w:t>
      </w:r>
      <w:r w:rsidRPr="00CC3DE2">
        <w:rPr>
          <w:szCs w:val="18"/>
        </w:rPr>
        <w:t xml:space="preserve">which were prepared on the basis of information provided through the fifth national reports. </w:t>
      </w:r>
    </w:p>
  </w:footnote>
  <w:footnote w:id="4">
    <w:p w14:paraId="2935CFC0" w14:textId="77777777" w:rsidR="00E47F16" w:rsidRPr="00CC3DE2" w:rsidRDefault="00E47F16" w:rsidP="00831379">
      <w:pPr>
        <w:keepLines/>
        <w:suppressLineNumbers/>
        <w:suppressAutoHyphens/>
        <w:kinsoku w:val="0"/>
        <w:overflowPunct w:val="0"/>
        <w:autoSpaceDE w:val="0"/>
        <w:autoSpaceDN w:val="0"/>
        <w:spacing w:after="60"/>
        <w:jc w:val="left"/>
        <w:rPr>
          <w:snapToGrid w:val="0"/>
          <w:kern w:val="18"/>
          <w:sz w:val="18"/>
          <w:szCs w:val="18"/>
        </w:rPr>
      </w:pPr>
      <w:r w:rsidRPr="00CC3DE2">
        <w:rPr>
          <w:rStyle w:val="FootnoteReference"/>
          <w:snapToGrid w:val="0"/>
          <w:kern w:val="18"/>
          <w:szCs w:val="18"/>
        </w:rPr>
        <w:footnoteRef/>
      </w:r>
      <w:r w:rsidRPr="00CC3DE2">
        <w:rPr>
          <w:snapToGrid w:val="0"/>
          <w:kern w:val="18"/>
          <w:sz w:val="18"/>
          <w:szCs w:val="18"/>
          <w:shd w:val="clear" w:color="auto" w:fill="FFFFFF"/>
        </w:rPr>
        <w:t xml:space="preserve"> The NBSAPs considered in this assessment are accessible from </w:t>
      </w:r>
      <w:hyperlink r:id="rId4" w:history="1">
        <w:r w:rsidRPr="00CC3DE2">
          <w:rPr>
            <w:rStyle w:val="Hyperlink"/>
            <w:sz w:val="18"/>
            <w:szCs w:val="18"/>
          </w:rPr>
          <w:t>https://www.cbd.int/nbsap/</w:t>
        </w:r>
      </w:hyperlink>
      <w:r w:rsidRPr="00CC3DE2">
        <w:rPr>
          <w:sz w:val="18"/>
          <w:szCs w:val="18"/>
        </w:rPr>
        <w:t xml:space="preserve">. </w:t>
      </w:r>
      <w:r w:rsidRPr="00CC3DE2">
        <w:rPr>
          <w:snapToGrid w:val="0"/>
          <w:kern w:val="18"/>
          <w:sz w:val="18"/>
          <w:szCs w:val="18"/>
          <w:shd w:val="clear" w:color="auto" w:fill="FFFFFF"/>
        </w:rPr>
        <w:t>Two NBSAPs (Latvia and Portugal) were not analysed as they were not available in an official language of the United Nations.</w:t>
      </w:r>
    </w:p>
  </w:footnote>
  <w:footnote w:id="5">
    <w:p w14:paraId="106FCA93" w14:textId="361AD0E3" w:rsidR="00E47F16" w:rsidRPr="00715FD9" w:rsidRDefault="00E47F16" w:rsidP="00831379">
      <w:pPr>
        <w:pStyle w:val="Para1"/>
        <w:keepLines/>
        <w:numPr>
          <w:ilvl w:val="0"/>
          <w:numId w:val="0"/>
        </w:numPr>
        <w:suppressLineNumbers/>
        <w:suppressAutoHyphens/>
        <w:kinsoku w:val="0"/>
        <w:overflowPunct w:val="0"/>
        <w:autoSpaceDE w:val="0"/>
        <w:autoSpaceDN w:val="0"/>
        <w:spacing w:before="0" w:after="60"/>
        <w:jc w:val="left"/>
        <w:rPr>
          <w:kern w:val="18"/>
          <w:sz w:val="20"/>
          <w:szCs w:val="20"/>
          <w:shd w:val="clear" w:color="auto" w:fill="FFFFFF"/>
        </w:rPr>
      </w:pPr>
      <w:r w:rsidRPr="00CC3DE2">
        <w:rPr>
          <w:rStyle w:val="FootnoteReference"/>
          <w:kern w:val="18"/>
        </w:rPr>
        <w:footnoteRef/>
      </w:r>
      <w:r w:rsidRPr="00CC3DE2">
        <w:rPr>
          <w:kern w:val="18"/>
          <w:sz w:val="18"/>
          <w:shd w:val="clear" w:color="auto" w:fill="FFFFFF"/>
        </w:rPr>
        <w:t xml:space="preserve"> A comprehensive list of national targets, including targets</w:t>
      </w:r>
      <w:r w:rsidRPr="003D0B48">
        <w:rPr>
          <w:kern w:val="18"/>
          <w:sz w:val="18"/>
          <w:shd w:val="clear" w:color="auto" w:fill="FFFFFF"/>
        </w:rPr>
        <w:t xml:space="preserve"> contained in earlier NBSAPs as well as those reported in the fifth national reports, is available at </w:t>
      </w:r>
      <w:hyperlink r:id="rId5" w:history="1">
        <w:r w:rsidRPr="003D0B48">
          <w:rPr>
            <w:rStyle w:val="Hyperlink"/>
            <w:sz w:val="18"/>
          </w:rPr>
          <w:t>https://www.cbd.int/nbsap/targets/default.shtml</w:t>
        </w:r>
      </w:hyperlink>
      <w:r w:rsidRPr="003D0B48">
        <w:rPr>
          <w:color w:val="333333"/>
          <w:kern w:val="18"/>
          <w:sz w:val="18"/>
          <w:shd w:val="clear" w:color="auto" w:fill="FFFFFF"/>
        </w:rPr>
        <w:t xml:space="preserve">. </w:t>
      </w:r>
      <w:r w:rsidRPr="003D0B48">
        <w:rPr>
          <w:kern w:val="18"/>
          <w:sz w:val="18"/>
          <w:shd w:val="clear" w:color="auto" w:fill="FFFFFF"/>
        </w:rPr>
        <w:t xml:space="preserve">Further information underpinning the analysis presented in the present document is accessible from </w:t>
      </w:r>
      <w:hyperlink r:id="rId6" w:history="1">
        <w:r w:rsidRPr="003D0B48">
          <w:rPr>
            <w:rStyle w:val="Hyperlink"/>
            <w:kern w:val="18"/>
            <w:sz w:val="18"/>
            <w:shd w:val="clear" w:color="auto" w:fill="FFFFFF"/>
          </w:rPr>
          <w:t>https://www.cbd.int/doc/nr/assessment-table-2018-09-21-en.pdf</w:t>
        </w:r>
      </w:hyperlink>
      <w:r w:rsidRPr="003D0B48">
        <w:rPr>
          <w:kern w:val="18"/>
          <w:sz w:val="18"/>
          <w:shd w:val="clear" w:color="auto" w:fill="FFFFFF"/>
        </w:rPr>
        <w:t>.</w:t>
      </w:r>
    </w:p>
  </w:footnote>
  <w:footnote w:id="6">
    <w:p w14:paraId="1219B5F9" w14:textId="449D0AF4" w:rsidR="00E47F16" w:rsidRPr="00CC3DE2" w:rsidRDefault="00E47F16" w:rsidP="00831379">
      <w:pPr>
        <w:pStyle w:val="Para1"/>
        <w:keepLines/>
        <w:numPr>
          <w:ilvl w:val="0"/>
          <w:numId w:val="0"/>
        </w:numPr>
        <w:suppressLineNumbers/>
        <w:suppressAutoHyphens/>
        <w:kinsoku w:val="0"/>
        <w:overflowPunct w:val="0"/>
        <w:autoSpaceDE w:val="0"/>
        <w:autoSpaceDN w:val="0"/>
        <w:spacing w:before="0" w:after="60"/>
        <w:jc w:val="left"/>
        <w:rPr>
          <w:rFonts w:eastAsia="Malgun Gothic"/>
          <w:kern w:val="22"/>
          <w:szCs w:val="22"/>
        </w:rPr>
      </w:pPr>
      <w:r>
        <w:rPr>
          <w:rStyle w:val="FootnoteReference"/>
        </w:rPr>
        <w:footnoteRef/>
      </w:r>
      <w:r>
        <w:t xml:space="preserve"> </w:t>
      </w:r>
      <w:r w:rsidRPr="00CC3DE2">
        <w:rPr>
          <w:kern w:val="18"/>
          <w:sz w:val="18"/>
          <w:shd w:val="clear" w:color="auto" w:fill="FFFFFF"/>
        </w:rPr>
        <w:t xml:space="preserve">In this assessment, for ease of </w:t>
      </w:r>
      <w:r w:rsidRPr="00123FDF">
        <w:rPr>
          <w:kern w:val="18"/>
          <w:sz w:val="18"/>
          <w:shd w:val="clear" w:color="auto" w:fill="FFFFFF"/>
        </w:rPr>
        <w:t>readability, the categories in paragraphs 6(c), (d) and (e) have been combined. However, in figure</w:t>
      </w:r>
      <w:r w:rsidR="002A4773">
        <w:rPr>
          <w:kern w:val="18"/>
          <w:sz w:val="18"/>
          <w:shd w:val="clear" w:color="auto" w:fill="FFFFFF"/>
        </w:rPr>
        <w:t> </w:t>
      </w:r>
      <w:r w:rsidRPr="00123FDF">
        <w:rPr>
          <w:kern w:val="18"/>
          <w:sz w:val="18"/>
          <w:shd w:val="clear" w:color="auto" w:fill="FFFFFF"/>
        </w:rPr>
        <w:t>1, all categories are shown.</w:t>
      </w:r>
    </w:p>
  </w:footnote>
  <w:footnote w:id="7">
    <w:p w14:paraId="2BBB2A5E" w14:textId="6E1F1B9F" w:rsidR="00E47F16" w:rsidRPr="003D0B48" w:rsidRDefault="00E47F16" w:rsidP="00831379">
      <w:pPr>
        <w:pStyle w:val="FootnoteText"/>
        <w:suppressLineNumbers/>
        <w:suppressAutoHyphens/>
        <w:ind w:firstLine="0"/>
        <w:jc w:val="left"/>
        <w:rPr>
          <w:szCs w:val="18"/>
          <w:lang w:val="en-CA"/>
        </w:rPr>
      </w:pPr>
      <w:r w:rsidRPr="003D0B48">
        <w:rPr>
          <w:rStyle w:val="FootnoteReference"/>
          <w:szCs w:val="18"/>
        </w:rPr>
        <w:footnoteRef/>
      </w:r>
      <w:r w:rsidRPr="003D0B48">
        <w:rPr>
          <w:szCs w:val="18"/>
        </w:rPr>
        <w:t xml:space="preserve"> </w:t>
      </w:r>
      <w:r w:rsidR="00AF695F">
        <w:rPr>
          <w:szCs w:val="18"/>
        </w:rPr>
        <w:t>A total of 16</w:t>
      </w:r>
      <w:r w:rsidR="00AF695F" w:rsidRPr="003D0B48">
        <w:rPr>
          <w:szCs w:val="18"/>
        </w:rPr>
        <w:t xml:space="preserve"> </w:t>
      </w:r>
      <w:r w:rsidRPr="003D0B48">
        <w:rPr>
          <w:szCs w:val="18"/>
        </w:rPr>
        <w:t>Parties did not provided assessments of progress towards their national targets or to the Aichi Targets as set out in the guidelines for the sixth national reports. As such these reports could not be considered in this assessment. On average</w:t>
      </w:r>
      <w:r w:rsidR="00897A71">
        <w:rPr>
          <w:szCs w:val="18"/>
        </w:rPr>
        <w:t>,</w:t>
      </w:r>
      <w:r w:rsidRPr="003D0B48">
        <w:rPr>
          <w:szCs w:val="18"/>
        </w:rPr>
        <w:t xml:space="preserve"> 123 Parties (ranging </w:t>
      </w:r>
      <w:r w:rsidRPr="00EA3AB3">
        <w:rPr>
          <w:szCs w:val="18"/>
        </w:rPr>
        <w:t>between 102 and 137) provided</w:t>
      </w:r>
      <w:r w:rsidRPr="003D0B48">
        <w:rPr>
          <w:szCs w:val="18"/>
        </w:rPr>
        <w:t xml:space="preserve"> assessments related to each Aichi Biodiversity Target.</w:t>
      </w:r>
    </w:p>
  </w:footnote>
  <w:footnote w:id="8">
    <w:p w14:paraId="46551E22" w14:textId="7F550837" w:rsidR="00E47F16" w:rsidRPr="003D0B48" w:rsidRDefault="00E47F16" w:rsidP="00831379">
      <w:pPr>
        <w:pStyle w:val="FootnoteText"/>
        <w:suppressLineNumbers/>
        <w:suppressAutoHyphens/>
        <w:ind w:firstLine="0"/>
        <w:jc w:val="left"/>
        <w:rPr>
          <w:szCs w:val="18"/>
          <w:lang w:val="en-CA"/>
        </w:rPr>
      </w:pPr>
      <w:r w:rsidRPr="003D0B48">
        <w:rPr>
          <w:rStyle w:val="FootnoteReference"/>
          <w:szCs w:val="18"/>
        </w:rPr>
        <w:footnoteRef/>
      </w:r>
      <w:r w:rsidRPr="003D0B48">
        <w:rPr>
          <w:szCs w:val="18"/>
        </w:rPr>
        <w:t xml:space="preserve"> The sixth national report format also allowed Parties to report against the Aichi Biodiversity Targets instead of national targets. Generally, Parties that had not yet adopted national target</w:t>
      </w:r>
      <w:r>
        <w:rPr>
          <w:szCs w:val="18"/>
        </w:rPr>
        <w:t>s</w:t>
      </w:r>
      <w:r w:rsidRPr="003D0B48">
        <w:rPr>
          <w:szCs w:val="18"/>
        </w:rPr>
        <w:t xml:space="preserve"> took this approach. However, 17 Parties with national targets also chose instead to report against the Aichi Targets. Further</w:t>
      </w:r>
      <w:r>
        <w:rPr>
          <w:szCs w:val="18"/>
        </w:rPr>
        <w:t>,</w:t>
      </w:r>
      <w:r w:rsidRPr="003D0B48">
        <w:rPr>
          <w:szCs w:val="18"/>
        </w:rPr>
        <w:t xml:space="preserve"> some countries indicated in their NBSAPs that they had adopted the Aichi Biodiversity Targets as national targets.</w:t>
      </w:r>
    </w:p>
  </w:footnote>
  <w:footnote w:id="9">
    <w:p w14:paraId="0A7FF87F" w14:textId="7F5145B8" w:rsidR="00E47F16" w:rsidRPr="003D0B48" w:rsidRDefault="00E47F16" w:rsidP="00831379">
      <w:pPr>
        <w:pStyle w:val="FootnoteText"/>
        <w:suppressLineNumbers/>
        <w:suppressAutoHyphens/>
        <w:ind w:firstLine="0"/>
        <w:jc w:val="left"/>
        <w:rPr>
          <w:szCs w:val="18"/>
          <w:lang w:val="en-CA"/>
        </w:rPr>
      </w:pPr>
      <w:r w:rsidRPr="003D0B48">
        <w:rPr>
          <w:rStyle w:val="FootnoteReference"/>
          <w:szCs w:val="18"/>
        </w:rPr>
        <w:footnoteRef/>
      </w:r>
      <w:r w:rsidRPr="003D0B48">
        <w:rPr>
          <w:szCs w:val="18"/>
        </w:rPr>
        <w:t xml:space="preserve"> The format of the sixth national reports allowed Parties to indicate for each national target the “Main related Aichi Biodiversity Targets” and the “Other related Aichi Biodiversity Targets”. In this assessment only the “</w:t>
      </w:r>
      <w:r>
        <w:rPr>
          <w:szCs w:val="18"/>
        </w:rPr>
        <w:t>M</w:t>
      </w:r>
      <w:r w:rsidRPr="003D0B48">
        <w:rPr>
          <w:szCs w:val="18"/>
        </w:rPr>
        <w:t>ain related Aichi Biodiversity Target” was considered. Similarly, Parties could link their national target to an entire Aichi Biodiversity Target or to one or several components of it. In this assessment if a national target was linked to one or several components of an Aichi Biodiversity Target it was considered as being relevant to the entire Aichi Biodiversity Target and reflected in the analysis in section II.</w:t>
      </w:r>
    </w:p>
  </w:footnote>
  <w:footnote w:id="10">
    <w:p w14:paraId="6A6CD7CE" w14:textId="6E55E996" w:rsidR="00E47F16" w:rsidRPr="00B12C3B" w:rsidRDefault="00E47F16" w:rsidP="00831379">
      <w:pPr>
        <w:pStyle w:val="FootnoteText"/>
        <w:suppressLineNumbers/>
        <w:suppressAutoHyphens/>
        <w:ind w:firstLine="0"/>
        <w:jc w:val="left"/>
        <w:rPr>
          <w:szCs w:val="18"/>
          <w:lang w:val="en-CA"/>
        </w:rPr>
      </w:pPr>
      <w:r w:rsidRPr="003D0B48">
        <w:rPr>
          <w:rStyle w:val="FootnoteReference"/>
          <w:szCs w:val="18"/>
        </w:rPr>
        <w:footnoteRef/>
      </w:r>
      <w:r w:rsidRPr="003D0B48">
        <w:rPr>
          <w:szCs w:val="18"/>
        </w:rPr>
        <w:t xml:space="preserve"> </w:t>
      </w:r>
      <w:r w:rsidR="00AF695F">
        <w:rPr>
          <w:szCs w:val="18"/>
        </w:rPr>
        <w:t>A total of 17</w:t>
      </w:r>
      <w:r w:rsidR="00AF695F" w:rsidRPr="003D0B48">
        <w:rPr>
          <w:szCs w:val="18"/>
        </w:rPr>
        <w:t xml:space="preserve"> </w:t>
      </w:r>
      <w:r w:rsidRPr="003D0B48">
        <w:rPr>
          <w:szCs w:val="18"/>
        </w:rPr>
        <w:t>Parties reported progress towards the Aichi Biodiversity Targets directly. For the purpose of this assessment</w:t>
      </w:r>
      <w:r w:rsidR="00460413">
        <w:rPr>
          <w:szCs w:val="18"/>
        </w:rPr>
        <w:t>,</w:t>
      </w:r>
      <w:r w:rsidRPr="003D0B48">
        <w:rPr>
          <w:szCs w:val="18"/>
        </w:rPr>
        <w:t xml:space="preserve"> these assessments were considered in the same way as assessments towards national targets. As a result, for some Aichi Targets there are more assessments then there are NBSAPs with associated national targets. </w:t>
      </w:r>
      <w:r w:rsidRPr="00B12C3B">
        <w:rPr>
          <w:szCs w:val="18"/>
        </w:rPr>
        <w:t>For example, 98 NBSAPs contain targets related to Aichi Biodiversity Target 3 but because some Parties without national targets have assessed progress towards the Aichi Biodiversity Targets there are 108 assessments of progress related to this Aichi Biodiversity Target.</w:t>
      </w:r>
    </w:p>
  </w:footnote>
  <w:footnote w:id="11">
    <w:p w14:paraId="6C9FF876" w14:textId="5F30B4F2" w:rsidR="00E47F16" w:rsidRPr="003D0B48" w:rsidRDefault="00E47F16" w:rsidP="00831379">
      <w:pPr>
        <w:pStyle w:val="FootnoteText"/>
        <w:suppressLineNumbers/>
        <w:suppressAutoHyphens/>
        <w:ind w:firstLine="0"/>
        <w:jc w:val="left"/>
        <w:rPr>
          <w:szCs w:val="18"/>
          <w:lang w:val="en-CA"/>
        </w:rPr>
      </w:pPr>
      <w:r w:rsidRPr="00B12C3B">
        <w:rPr>
          <w:rStyle w:val="FootnoteReference"/>
          <w:szCs w:val="18"/>
        </w:rPr>
        <w:footnoteRef/>
      </w:r>
      <w:r w:rsidRPr="00B12C3B">
        <w:rPr>
          <w:szCs w:val="18"/>
        </w:rPr>
        <w:t xml:space="preserve"> To do this, the assessment categories used in the sixth national reports were assigned to a 1</w:t>
      </w:r>
      <w:r w:rsidR="00897A71">
        <w:rPr>
          <w:szCs w:val="18"/>
        </w:rPr>
        <w:t>-</w:t>
      </w:r>
      <w:r w:rsidRPr="00B12C3B">
        <w:rPr>
          <w:szCs w:val="18"/>
        </w:rPr>
        <w:t>to</w:t>
      </w:r>
      <w:r w:rsidR="00897A71">
        <w:rPr>
          <w:szCs w:val="18"/>
        </w:rPr>
        <w:t>-</w:t>
      </w:r>
      <w:r w:rsidRPr="00B12C3B">
        <w:rPr>
          <w:szCs w:val="18"/>
        </w:rPr>
        <w:t>5 scale</w:t>
      </w:r>
      <w:r w:rsidRPr="003D0B48">
        <w:rPr>
          <w:szCs w:val="18"/>
        </w:rPr>
        <w:t>. The average of the assessments was then taken and rounded to the closest whole number.</w:t>
      </w:r>
    </w:p>
  </w:footnote>
  <w:footnote w:id="12">
    <w:p w14:paraId="500BC605" w14:textId="37F53B2B" w:rsidR="00E47F16" w:rsidRPr="00715FD9" w:rsidRDefault="00E47F16" w:rsidP="00831379">
      <w:pPr>
        <w:pStyle w:val="FootnoteText"/>
        <w:suppressLineNumbers/>
        <w:suppressAutoHyphens/>
        <w:ind w:firstLine="0"/>
        <w:jc w:val="left"/>
        <w:rPr>
          <w:sz w:val="20"/>
          <w:szCs w:val="20"/>
          <w:lang w:val="en-CA"/>
        </w:rPr>
      </w:pPr>
      <w:r w:rsidRPr="003D0B48">
        <w:rPr>
          <w:rStyle w:val="FootnoteReference"/>
          <w:szCs w:val="18"/>
        </w:rPr>
        <w:footnoteRef/>
      </w:r>
      <w:r w:rsidRPr="003D0B48">
        <w:rPr>
          <w:szCs w:val="18"/>
        </w:rPr>
        <w:t xml:space="preserve"> See figure 21.2 in the </w:t>
      </w:r>
      <w:hyperlink r:id="rId7" w:history="1">
        <w:r w:rsidRPr="003D0B48">
          <w:rPr>
            <w:rStyle w:val="Hyperlink"/>
            <w:szCs w:val="18"/>
          </w:rPr>
          <w:t xml:space="preserve">fourth edition of the </w:t>
        </w:r>
        <w:r w:rsidRPr="00460413">
          <w:rPr>
            <w:rStyle w:val="Hyperlink"/>
            <w:i/>
            <w:iCs/>
            <w:szCs w:val="18"/>
          </w:rPr>
          <w:t>Global Biodiversity Outlook</w:t>
        </w:r>
      </w:hyperlink>
      <w:r w:rsidRPr="003D0B48">
        <w:rPr>
          <w:szCs w:val="18"/>
        </w:rPr>
        <w:t>.</w:t>
      </w:r>
    </w:p>
  </w:footnote>
  <w:footnote w:id="13">
    <w:p w14:paraId="6EB89118" w14:textId="6360FE18" w:rsidR="00E47F16" w:rsidRPr="00715FD9" w:rsidRDefault="00E47F16" w:rsidP="00831379">
      <w:pPr>
        <w:pStyle w:val="FootnoteText"/>
        <w:suppressLineNumbers/>
        <w:suppressAutoHyphens/>
        <w:ind w:firstLine="0"/>
        <w:jc w:val="left"/>
        <w:rPr>
          <w:sz w:val="20"/>
          <w:szCs w:val="20"/>
          <w:lang w:val="en-CA"/>
        </w:rPr>
      </w:pPr>
      <w:r w:rsidRPr="003D0B48">
        <w:rPr>
          <w:rStyle w:val="FootnoteReference"/>
          <w:szCs w:val="20"/>
        </w:rPr>
        <w:footnoteRef/>
      </w:r>
      <w:r w:rsidRPr="003D0B48">
        <w:rPr>
          <w:szCs w:val="20"/>
        </w:rPr>
        <w:t xml:space="preserve"> When the information </w:t>
      </w:r>
      <w:r w:rsidRPr="003307EE">
        <w:rPr>
          <w:szCs w:val="20"/>
        </w:rPr>
        <w:t>from the 17 Parties reporting directly against the Aichi Biodiversity Targets is excluded from the analysis the results do not change very much, with the percentage points varying by up to only 1% in most cases, and 2% in only 12 of the 100 combinations of targets and assessment categories. Further, there is no change in the proportion of those Parties which have national targets similar to (or better than) the Aichi</w:t>
      </w:r>
      <w:r w:rsidRPr="003D0B48">
        <w:rPr>
          <w:szCs w:val="20"/>
        </w:rPr>
        <w:t xml:space="preserve"> Biodiversity Targets and which are on track to meet or exceeded.</w:t>
      </w:r>
      <w:r w:rsidRPr="003D0B48">
        <w:rPr>
          <w:rFonts w:eastAsia="Malgun Gothic"/>
          <w:kern w:val="22"/>
          <w:szCs w:val="20"/>
        </w:rPr>
        <w:t xml:space="preserve"> </w:t>
      </w:r>
    </w:p>
  </w:footnote>
  <w:footnote w:id="14">
    <w:p w14:paraId="39A33969" w14:textId="10BAD233" w:rsidR="00E47F16" w:rsidRPr="003D0B48" w:rsidRDefault="00E47F16" w:rsidP="00831379">
      <w:pPr>
        <w:keepLines/>
        <w:suppressLineNumbers/>
        <w:suppressAutoHyphens/>
        <w:spacing w:after="60"/>
        <w:jc w:val="left"/>
        <w:rPr>
          <w:sz w:val="18"/>
          <w:szCs w:val="20"/>
        </w:rPr>
      </w:pPr>
      <w:r w:rsidRPr="003D0B48">
        <w:rPr>
          <w:rStyle w:val="FootnoteReference"/>
          <w:szCs w:val="20"/>
        </w:rPr>
        <w:footnoteRef/>
      </w:r>
      <w:r w:rsidRPr="003D0B48">
        <w:rPr>
          <w:sz w:val="18"/>
          <w:szCs w:val="20"/>
        </w:rPr>
        <w:t xml:space="preserve"> For example, the United Arab Emirates created a “sustainable universities” initiative to seek the views of students on sustainability issues and to raise awareness.</w:t>
      </w:r>
    </w:p>
  </w:footnote>
  <w:footnote w:id="15">
    <w:p w14:paraId="45DE3601" w14:textId="2A74F57A" w:rsidR="00E47F16" w:rsidRPr="00715FD9" w:rsidRDefault="00E47F16" w:rsidP="00831379">
      <w:pPr>
        <w:pStyle w:val="FootnoteText"/>
        <w:suppressLineNumbers/>
        <w:suppressAutoHyphens/>
        <w:ind w:firstLine="0"/>
        <w:jc w:val="left"/>
        <w:rPr>
          <w:sz w:val="20"/>
          <w:szCs w:val="20"/>
          <w:lang w:val="en-CA"/>
        </w:rPr>
      </w:pPr>
      <w:r w:rsidRPr="003D0B48">
        <w:rPr>
          <w:rStyle w:val="FootnoteReference"/>
          <w:szCs w:val="20"/>
        </w:rPr>
        <w:footnoteRef/>
      </w:r>
      <w:r w:rsidRPr="003D0B48">
        <w:rPr>
          <w:szCs w:val="20"/>
        </w:rPr>
        <w:t xml:space="preserve"> For example, Belize reported on the creation of a radio drama series on marine protected areas and sustainable fishing. A </w:t>
      </w:r>
      <w:r w:rsidRPr="000B62A7">
        <w:rPr>
          <w:szCs w:val="20"/>
        </w:rPr>
        <w:t>survey of listeners found that many reported learning about fisheries regulations, responsible fishing, marine protected areas and no take</w:t>
      </w:r>
      <w:r w:rsidRPr="003D0B48">
        <w:rPr>
          <w:szCs w:val="20"/>
        </w:rPr>
        <w:t xml:space="preserve"> zones from the programme. Denmark reported on the development of applications to involve the public in the collection of species survey data. Similarly, Mexico reported on the use of applications to promote knowledge of biodiversity through citizen science. The project was designed to both gather biodiversity information </w:t>
      </w:r>
      <w:r>
        <w:rPr>
          <w:szCs w:val="20"/>
        </w:rPr>
        <w:t xml:space="preserve">and </w:t>
      </w:r>
      <w:r w:rsidRPr="003D0B48">
        <w:rPr>
          <w:szCs w:val="20"/>
        </w:rPr>
        <w:t>raise awareness.</w:t>
      </w:r>
    </w:p>
  </w:footnote>
  <w:footnote w:id="16">
    <w:p w14:paraId="78CA9B6D" w14:textId="26399A91" w:rsidR="00E47F16" w:rsidRPr="003D0B48" w:rsidRDefault="00E47F16" w:rsidP="00831379">
      <w:pPr>
        <w:keepLines/>
        <w:suppressLineNumbers/>
        <w:suppressAutoHyphens/>
        <w:spacing w:after="60"/>
        <w:jc w:val="left"/>
        <w:rPr>
          <w:sz w:val="18"/>
          <w:szCs w:val="20"/>
        </w:rPr>
      </w:pPr>
      <w:r w:rsidRPr="003D0B48">
        <w:rPr>
          <w:rStyle w:val="FootnoteReference"/>
          <w:szCs w:val="20"/>
        </w:rPr>
        <w:footnoteRef/>
      </w:r>
      <w:r w:rsidRPr="003D0B48">
        <w:rPr>
          <w:sz w:val="18"/>
          <w:szCs w:val="20"/>
        </w:rPr>
        <w:t xml:space="preserve"> For example, Namibia </w:t>
      </w:r>
      <w:r>
        <w:rPr>
          <w:sz w:val="18"/>
          <w:szCs w:val="20"/>
        </w:rPr>
        <w:t xml:space="preserve">has </w:t>
      </w:r>
      <w:r w:rsidRPr="003D0B48">
        <w:rPr>
          <w:sz w:val="18"/>
          <w:szCs w:val="20"/>
        </w:rPr>
        <w:t xml:space="preserve">applied </w:t>
      </w:r>
      <w:r w:rsidRPr="003307EE">
        <w:rPr>
          <w:sz w:val="18"/>
          <w:szCs w:val="20"/>
        </w:rPr>
        <w:t>integrated land</w:t>
      </w:r>
      <w:r w:rsidR="00F328E8">
        <w:rPr>
          <w:sz w:val="18"/>
          <w:szCs w:val="20"/>
        </w:rPr>
        <w:t xml:space="preserve"> </w:t>
      </w:r>
      <w:r w:rsidRPr="003307EE">
        <w:rPr>
          <w:sz w:val="18"/>
          <w:szCs w:val="20"/>
        </w:rPr>
        <w:t>use planning at the regional</w:t>
      </w:r>
      <w:r w:rsidRPr="003D0B48">
        <w:rPr>
          <w:sz w:val="18"/>
          <w:szCs w:val="20"/>
        </w:rPr>
        <w:t xml:space="preserve"> level as a cross-sectoral and integrative decision-making process to facilitate the allocation of land to uses that provide the greatest sustainable benefit. In Finland, since 2018, the Ministry of Finance requires that each ministry’s budget proposal reflects considerations related to sustainable development.</w:t>
      </w:r>
    </w:p>
  </w:footnote>
  <w:footnote w:id="17">
    <w:p w14:paraId="0FB9A75A" w14:textId="395BAE6F" w:rsidR="00E47F16" w:rsidRPr="003D0B48" w:rsidRDefault="00E47F16" w:rsidP="00831379">
      <w:pPr>
        <w:pStyle w:val="FootnoteText"/>
        <w:suppressLineNumbers/>
        <w:suppressAutoHyphens/>
        <w:ind w:firstLine="0"/>
        <w:jc w:val="left"/>
        <w:rPr>
          <w:szCs w:val="20"/>
          <w:lang w:val="en-CA"/>
        </w:rPr>
      </w:pPr>
      <w:r w:rsidRPr="003D0B48">
        <w:rPr>
          <w:rStyle w:val="FootnoteReference"/>
          <w:szCs w:val="20"/>
        </w:rPr>
        <w:footnoteRef/>
      </w:r>
      <w:r w:rsidRPr="003D0B48">
        <w:rPr>
          <w:szCs w:val="20"/>
        </w:rPr>
        <w:t xml:space="preserve"> </w:t>
      </w:r>
      <w:r w:rsidRPr="00610133">
        <w:rPr>
          <w:szCs w:val="20"/>
        </w:rPr>
        <w:t xml:space="preserve">For example, Guatemala’s </w:t>
      </w:r>
      <w:r>
        <w:rPr>
          <w:szCs w:val="20"/>
        </w:rPr>
        <w:t>f</w:t>
      </w:r>
      <w:r w:rsidRPr="00610133">
        <w:rPr>
          <w:szCs w:val="20"/>
        </w:rPr>
        <w:t xml:space="preserve">orestry </w:t>
      </w:r>
      <w:r>
        <w:rPr>
          <w:szCs w:val="20"/>
        </w:rPr>
        <w:t>i</w:t>
      </w:r>
      <w:r w:rsidRPr="00610133">
        <w:rPr>
          <w:szCs w:val="20"/>
        </w:rPr>
        <w:t xml:space="preserve">ncentive </w:t>
      </w:r>
      <w:r>
        <w:rPr>
          <w:szCs w:val="20"/>
        </w:rPr>
        <w:t>p</w:t>
      </w:r>
      <w:r w:rsidRPr="00610133">
        <w:rPr>
          <w:szCs w:val="20"/>
        </w:rPr>
        <w:t>rogramme provides grants to beneficiaries who participate</w:t>
      </w:r>
      <w:r>
        <w:rPr>
          <w:szCs w:val="20"/>
        </w:rPr>
        <w:t xml:space="preserve"> in</w:t>
      </w:r>
      <w:r w:rsidRPr="003D0B48">
        <w:rPr>
          <w:szCs w:val="20"/>
        </w:rPr>
        <w:t xml:space="preserve"> projects </w:t>
      </w:r>
      <w:r>
        <w:rPr>
          <w:szCs w:val="20"/>
        </w:rPr>
        <w:t>addressing</w:t>
      </w:r>
      <w:r w:rsidRPr="003D0B48">
        <w:rPr>
          <w:szCs w:val="20"/>
        </w:rPr>
        <w:t xml:space="preserve"> reforestation and natural forest management activities.</w:t>
      </w:r>
    </w:p>
  </w:footnote>
  <w:footnote w:id="18">
    <w:p w14:paraId="6055D9D2" w14:textId="5D7ADFC2" w:rsidR="00E47F16" w:rsidRPr="00715FD9" w:rsidRDefault="00E47F16" w:rsidP="00831379">
      <w:pPr>
        <w:pStyle w:val="FootnoteText"/>
        <w:suppressLineNumbers/>
        <w:suppressAutoHyphens/>
        <w:ind w:firstLine="0"/>
        <w:jc w:val="left"/>
        <w:rPr>
          <w:sz w:val="20"/>
          <w:szCs w:val="20"/>
          <w:lang w:val="en-CA"/>
        </w:rPr>
      </w:pPr>
      <w:r w:rsidRPr="003D0B48">
        <w:rPr>
          <w:rStyle w:val="FootnoteReference"/>
          <w:szCs w:val="20"/>
        </w:rPr>
        <w:footnoteRef/>
      </w:r>
      <w:r w:rsidRPr="003D0B48">
        <w:rPr>
          <w:szCs w:val="20"/>
        </w:rPr>
        <w:t xml:space="preserve"> For example, in Mexico an </w:t>
      </w:r>
      <w:r w:rsidRPr="003D0B48">
        <w:rPr>
          <w:noProof/>
          <w:szCs w:val="20"/>
        </w:rPr>
        <w:t>interministerial</w:t>
      </w:r>
      <w:r w:rsidRPr="003D0B48">
        <w:rPr>
          <w:szCs w:val="20"/>
        </w:rPr>
        <w:t xml:space="preserve"> coordination platform was developed, using spatial data, to identify areas that cannot receive government support as it may result in losses in forest cover.</w:t>
      </w:r>
    </w:p>
  </w:footnote>
  <w:footnote w:id="19">
    <w:p w14:paraId="7CEDAC63" w14:textId="4FF1A2ED" w:rsidR="00E47F16" w:rsidRPr="00715FD9" w:rsidRDefault="00E47F16" w:rsidP="00831379">
      <w:pPr>
        <w:keepLines/>
        <w:suppressLineNumbers/>
        <w:suppressAutoHyphens/>
        <w:spacing w:after="60"/>
        <w:jc w:val="left"/>
        <w:rPr>
          <w:sz w:val="20"/>
          <w:szCs w:val="20"/>
          <w:lang w:val="en-CA"/>
        </w:rPr>
      </w:pPr>
      <w:r w:rsidRPr="003D0B48">
        <w:rPr>
          <w:rStyle w:val="FootnoteReference"/>
          <w:szCs w:val="20"/>
        </w:rPr>
        <w:footnoteRef/>
      </w:r>
      <w:r w:rsidRPr="003D0B48">
        <w:rPr>
          <w:sz w:val="18"/>
          <w:szCs w:val="20"/>
        </w:rPr>
        <w:t xml:space="preserve"> For example, different government ministries in the Republic of Korea host and operate the BNBP, a group with 30 domestic companies to identify best practices, establish guidelines for companies and provide training on implementing multilateral environmental agreements.</w:t>
      </w:r>
    </w:p>
  </w:footnote>
  <w:footnote w:id="20">
    <w:p w14:paraId="44FB3FCF" w14:textId="32FE5F7E" w:rsidR="00E47F16" w:rsidRPr="003D0B48" w:rsidRDefault="00E47F16" w:rsidP="00831379">
      <w:pPr>
        <w:keepLines/>
        <w:suppressLineNumbers/>
        <w:suppressAutoHyphens/>
        <w:spacing w:after="60"/>
        <w:jc w:val="left"/>
        <w:rPr>
          <w:sz w:val="18"/>
          <w:szCs w:val="20"/>
        </w:rPr>
      </w:pPr>
      <w:r w:rsidRPr="003D0B48">
        <w:rPr>
          <w:rStyle w:val="FootnoteReference"/>
          <w:szCs w:val="20"/>
        </w:rPr>
        <w:footnoteRef/>
      </w:r>
      <w:r w:rsidRPr="003D0B48">
        <w:rPr>
          <w:sz w:val="18"/>
          <w:szCs w:val="20"/>
        </w:rPr>
        <w:t xml:space="preserve"> For example, in Thailand authorities are working with communities in forested areas to alleviate poverty, improve well-being, and provide alternative means of income in an attempt to reduce deforestation. In Ireland, the Aran LIFE project aims to assist farmers to reverse negative habitat trends and improve the conservation status of 35% of priority habitats. The Solomon Islands have </w:t>
      </w:r>
      <w:r w:rsidRPr="002A7408">
        <w:rPr>
          <w:sz w:val="18"/>
          <w:szCs w:val="20"/>
        </w:rPr>
        <w:t>institutionalized Community Based Resource Management under the</w:t>
      </w:r>
      <w:r w:rsidRPr="003D0B48">
        <w:rPr>
          <w:sz w:val="18"/>
          <w:szCs w:val="20"/>
        </w:rPr>
        <w:t xml:space="preserve"> Fisheries Management Act in 2015 to render coastal fisheries more sustainable. This approach recognizes the role of land and sea owners to develop management rules and enforce them.</w:t>
      </w:r>
    </w:p>
  </w:footnote>
  <w:footnote w:id="21">
    <w:p w14:paraId="75CBCD20" w14:textId="5E048FD9" w:rsidR="00E47F16" w:rsidRPr="00715FD9" w:rsidRDefault="00E47F16" w:rsidP="00831379">
      <w:pPr>
        <w:pStyle w:val="FootnoteText"/>
        <w:suppressLineNumbers/>
        <w:suppressAutoHyphens/>
        <w:ind w:firstLine="0"/>
        <w:jc w:val="left"/>
        <w:rPr>
          <w:sz w:val="20"/>
          <w:szCs w:val="20"/>
        </w:rPr>
      </w:pPr>
      <w:r w:rsidRPr="003D0B48">
        <w:rPr>
          <w:rStyle w:val="FootnoteReference"/>
          <w:szCs w:val="20"/>
        </w:rPr>
        <w:footnoteRef/>
      </w:r>
      <w:r w:rsidRPr="003D0B48">
        <w:rPr>
          <w:szCs w:val="20"/>
        </w:rPr>
        <w:t xml:space="preserve"> For example, the European Union adopted landing obligations, which as of January </w:t>
      </w:r>
      <w:r w:rsidRPr="003705B4">
        <w:rPr>
          <w:szCs w:val="20"/>
        </w:rPr>
        <w:t>2019 prevent certain fish from</w:t>
      </w:r>
      <w:r w:rsidRPr="003D0B48">
        <w:rPr>
          <w:szCs w:val="20"/>
        </w:rPr>
        <w:t xml:space="preserve"> being discarded at sea.</w:t>
      </w:r>
    </w:p>
  </w:footnote>
  <w:footnote w:id="22">
    <w:p w14:paraId="2689382B" w14:textId="1B630F9E" w:rsidR="00E47F16" w:rsidRPr="003D0B48" w:rsidRDefault="00E47F16" w:rsidP="00831379">
      <w:pPr>
        <w:keepLines/>
        <w:suppressLineNumbers/>
        <w:suppressAutoHyphens/>
        <w:spacing w:after="60"/>
        <w:jc w:val="left"/>
        <w:rPr>
          <w:sz w:val="18"/>
          <w:szCs w:val="20"/>
        </w:rPr>
      </w:pPr>
      <w:r w:rsidRPr="003D0B48">
        <w:rPr>
          <w:rStyle w:val="FootnoteReference"/>
          <w:szCs w:val="20"/>
        </w:rPr>
        <w:footnoteRef/>
      </w:r>
      <w:r w:rsidRPr="003D0B48">
        <w:rPr>
          <w:sz w:val="18"/>
          <w:szCs w:val="20"/>
        </w:rPr>
        <w:t xml:space="preserve"> </w:t>
      </w:r>
      <w:r w:rsidRPr="003D0B48">
        <w:rPr>
          <w:sz w:val="18"/>
          <w:szCs w:val="20"/>
          <w:lang w:val="en-CA"/>
        </w:rPr>
        <w:t xml:space="preserve">For example, Cambodia </w:t>
      </w:r>
      <w:r w:rsidRPr="003D0B48">
        <w:rPr>
          <w:sz w:val="18"/>
          <w:szCs w:val="20"/>
        </w:rPr>
        <w:t xml:space="preserve">has promoted the establishment of </w:t>
      </w:r>
      <w:r>
        <w:rPr>
          <w:sz w:val="18"/>
          <w:szCs w:val="20"/>
        </w:rPr>
        <w:t>c</w:t>
      </w:r>
      <w:r w:rsidRPr="003D0B48">
        <w:rPr>
          <w:sz w:val="18"/>
          <w:szCs w:val="20"/>
        </w:rPr>
        <w:t xml:space="preserve">ommunity fisheries to improve sustainable management. </w:t>
      </w:r>
      <w:r>
        <w:rPr>
          <w:sz w:val="18"/>
          <w:szCs w:val="20"/>
        </w:rPr>
        <w:t xml:space="preserve">A total of </w:t>
      </w:r>
      <w:r w:rsidRPr="003D0B48">
        <w:rPr>
          <w:sz w:val="18"/>
          <w:szCs w:val="20"/>
        </w:rPr>
        <w:t xml:space="preserve">516 </w:t>
      </w:r>
      <w:r>
        <w:rPr>
          <w:sz w:val="18"/>
          <w:szCs w:val="20"/>
        </w:rPr>
        <w:t>c</w:t>
      </w:r>
      <w:r w:rsidRPr="003D0B48">
        <w:rPr>
          <w:sz w:val="18"/>
          <w:szCs w:val="20"/>
        </w:rPr>
        <w:t xml:space="preserve">ommunity fisheries have been created with a total of 332,168 members (35% of which are women) from 475 households. </w:t>
      </w:r>
    </w:p>
  </w:footnote>
  <w:footnote w:id="23">
    <w:p w14:paraId="793C80B1" w14:textId="2A4E7AE3" w:rsidR="00E47F16" w:rsidRPr="00726E9A" w:rsidRDefault="00E47F16" w:rsidP="00831379">
      <w:pPr>
        <w:keepLines/>
        <w:suppressLineNumbers/>
        <w:suppressAutoHyphens/>
        <w:spacing w:after="60"/>
        <w:jc w:val="left"/>
        <w:rPr>
          <w:sz w:val="18"/>
          <w:szCs w:val="20"/>
        </w:rPr>
      </w:pPr>
      <w:r w:rsidRPr="003D0B48">
        <w:rPr>
          <w:rStyle w:val="FootnoteReference"/>
          <w:szCs w:val="20"/>
        </w:rPr>
        <w:footnoteRef/>
      </w:r>
      <w:r w:rsidRPr="003D0B48">
        <w:rPr>
          <w:sz w:val="18"/>
          <w:szCs w:val="20"/>
        </w:rPr>
        <w:t xml:space="preserve"> For </w:t>
      </w:r>
      <w:r w:rsidRPr="00726E9A">
        <w:rPr>
          <w:sz w:val="18"/>
          <w:szCs w:val="20"/>
        </w:rPr>
        <w:t>example, Chile’s Wine, Climate Change, and Biodiversity Program (</w:t>
      </w:r>
      <w:r w:rsidRPr="00BE6D90">
        <w:rPr>
          <w:sz w:val="18"/>
          <w:szCs w:val="20"/>
          <w:lang w:val="es-ES"/>
        </w:rPr>
        <w:t>Programa Vino, Cambio Climático y Biodiversidad</w:t>
      </w:r>
      <w:r w:rsidRPr="00726E9A">
        <w:rPr>
          <w:sz w:val="18"/>
          <w:szCs w:val="20"/>
        </w:rPr>
        <w:t>) is an initiative to integrate biodiversity conservation criteria in wine growing. In 2018, there were 20 vineyards (100,000 hectares) managed under biodiversity-friendly standards. As part of the programme, every vineyard protects 4.6 hectares of native vegetation for every hectare of grapes planted. The total area protected under the initiative is 26,499 hectares, representing 11.4% of the sclerophyll forest in the country’s Mediterranean region.</w:t>
      </w:r>
    </w:p>
  </w:footnote>
  <w:footnote w:id="24">
    <w:p w14:paraId="2E891568" w14:textId="5F8FA68F" w:rsidR="00E47F16" w:rsidRPr="00726E9A" w:rsidRDefault="00E47F16" w:rsidP="00831379">
      <w:pPr>
        <w:keepLines/>
        <w:suppressLineNumbers/>
        <w:suppressAutoHyphens/>
        <w:spacing w:after="60"/>
        <w:jc w:val="left"/>
        <w:rPr>
          <w:sz w:val="18"/>
          <w:szCs w:val="20"/>
          <w:lang w:val="en-CA"/>
        </w:rPr>
      </w:pPr>
      <w:r w:rsidRPr="00726E9A">
        <w:rPr>
          <w:rStyle w:val="FootnoteReference"/>
          <w:szCs w:val="20"/>
        </w:rPr>
        <w:footnoteRef/>
      </w:r>
      <w:r w:rsidRPr="00726E9A">
        <w:rPr>
          <w:sz w:val="18"/>
          <w:szCs w:val="20"/>
        </w:rPr>
        <w:t xml:space="preserve"> For example, Cuba’s integrated tree farms programme (</w:t>
      </w:r>
      <w:r w:rsidRPr="00BE6D90">
        <w:rPr>
          <w:sz w:val="18"/>
          <w:szCs w:val="20"/>
          <w:lang w:val="es-ES"/>
        </w:rPr>
        <w:t>Programa de Fincas Forestales Integrales</w:t>
      </w:r>
      <w:r w:rsidRPr="00726E9A">
        <w:rPr>
          <w:sz w:val="18"/>
          <w:szCs w:val="20"/>
        </w:rPr>
        <w:t>) was developed with 1,342 tree farms. This programme has resulted in increased forest cover and thus contributed to the conservation of watersheds, has increased productivity by integrating agroforestry and agropastoral activities, and has provided employment to rural people.</w:t>
      </w:r>
    </w:p>
  </w:footnote>
  <w:footnote w:id="25">
    <w:p w14:paraId="5C06FE90" w14:textId="24F59B56" w:rsidR="00E47F16" w:rsidRPr="003D0B48" w:rsidRDefault="00E47F16" w:rsidP="00831379">
      <w:pPr>
        <w:keepLines/>
        <w:suppressLineNumbers/>
        <w:suppressAutoHyphens/>
        <w:spacing w:after="60"/>
        <w:jc w:val="left"/>
        <w:rPr>
          <w:sz w:val="18"/>
          <w:szCs w:val="20"/>
        </w:rPr>
      </w:pPr>
      <w:r w:rsidRPr="00726E9A">
        <w:rPr>
          <w:rStyle w:val="FootnoteReference"/>
          <w:szCs w:val="20"/>
        </w:rPr>
        <w:footnoteRef/>
      </w:r>
      <w:r w:rsidRPr="00726E9A">
        <w:rPr>
          <w:sz w:val="18"/>
          <w:szCs w:val="20"/>
        </w:rPr>
        <w:t xml:space="preserve"> For example, Guyana is working</w:t>
      </w:r>
      <w:r w:rsidRPr="003D0B48">
        <w:rPr>
          <w:sz w:val="18"/>
          <w:szCs w:val="20"/>
        </w:rPr>
        <w:t xml:space="preserve"> on a number of sustainable measures in aquaculture, including promoting the use of local fish species for aquaculture to reduce risk of </w:t>
      </w:r>
      <w:r w:rsidRPr="00A621D0">
        <w:rPr>
          <w:sz w:val="18"/>
          <w:szCs w:val="20"/>
        </w:rPr>
        <w:t xml:space="preserve">introducing invasive alien species, and promoting the conversion of seafood processing by-products, such as heads, organs and trimmings, </w:t>
      </w:r>
      <w:r>
        <w:rPr>
          <w:sz w:val="18"/>
          <w:szCs w:val="20"/>
        </w:rPr>
        <w:t xml:space="preserve">for use </w:t>
      </w:r>
      <w:r w:rsidRPr="00A621D0">
        <w:rPr>
          <w:sz w:val="18"/>
          <w:szCs w:val="20"/>
        </w:rPr>
        <w:t>as feed for aquaculture.</w:t>
      </w:r>
    </w:p>
  </w:footnote>
  <w:footnote w:id="26">
    <w:p w14:paraId="1360B49B" w14:textId="2377A0A8" w:rsidR="00E47F16" w:rsidRPr="003D0B48" w:rsidRDefault="00E47F16" w:rsidP="00831379">
      <w:pPr>
        <w:keepLines/>
        <w:suppressLineNumbers/>
        <w:suppressAutoHyphens/>
        <w:spacing w:after="60"/>
        <w:jc w:val="left"/>
        <w:rPr>
          <w:sz w:val="18"/>
          <w:szCs w:val="18"/>
        </w:rPr>
      </w:pPr>
      <w:r w:rsidRPr="002F2A36">
        <w:rPr>
          <w:rStyle w:val="FootnoteReference"/>
          <w:szCs w:val="18"/>
        </w:rPr>
        <w:footnoteRef/>
      </w:r>
      <w:r w:rsidRPr="002F2A36">
        <w:rPr>
          <w:sz w:val="18"/>
          <w:szCs w:val="18"/>
        </w:rPr>
        <w:t xml:space="preserve"> For example, </w:t>
      </w:r>
      <w:r w:rsidR="00BC0519">
        <w:rPr>
          <w:sz w:val="18"/>
          <w:szCs w:val="18"/>
        </w:rPr>
        <w:t>the</w:t>
      </w:r>
      <w:r w:rsidR="00BC0519" w:rsidRPr="002F2A36">
        <w:rPr>
          <w:sz w:val="18"/>
          <w:szCs w:val="18"/>
        </w:rPr>
        <w:t xml:space="preserve"> </w:t>
      </w:r>
      <w:r w:rsidRPr="002F2A36">
        <w:rPr>
          <w:sz w:val="18"/>
          <w:szCs w:val="18"/>
        </w:rPr>
        <w:t>toxic substance elimination programme</w:t>
      </w:r>
      <w:r w:rsidR="00BC0519">
        <w:rPr>
          <w:sz w:val="18"/>
          <w:szCs w:val="18"/>
        </w:rPr>
        <w:t xml:space="preserve"> of Panama</w:t>
      </w:r>
      <w:r w:rsidRPr="002F2A36">
        <w:rPr>
          <w:sz w:val="18"/>
          <w:szCs w:val="18"/>
        </w:rPr>
        <w:t>, led by the Ministry of Health, has removed more than 325 tons of obsolete pesticides and contaminated soil from circulation. In China, several compensation agreements between provincial governments along river systems allow jurisdictions downstream to receive compensation for substandard surface water quality, which in turn incentivizes upstream jurisdictions to improve surface water quality.</w:t>
      </w:r>
    </w:p>
  </w:footnote>
  <w:footnote w:id="27">
    <w:p w14:paraId="7FFD4D0F" w14:textId="4E9DCF1E" w:rsidR="00E47F16" w:rsidRPr="003D0B48" w:rsidRDefault="00E47F16" w:rsidP="00831379">
      <w:pPr>
        <w:pStyle w:val="FootnoteText"/>
        <w:suppressLineNumbers/>
        <w:suppressAutoHyphens/>
        <w:ind w:firstLine="0"/>
        <w:jc w:val="left"/>
        <w:rPr>
          <w:szCs w:val="20"/>
        </w:rPr>
      </w:pPr>
      <w:r w:rsidRPr="003D0B48">
        <w:rPr>
          <w:rStyle w:val="FootnoteReference"/>
          <w:szCs w:val="20"/>
        </w:rPr>
        <w:footnoteRef/>
      </w:r>
      <w:r w:rsidRPr="003D0B48">
        <w:rPr>
          <w:szCs w:val="20"/>
        </w:rPr>
        <w:t xml:space="preserve"> For example, Malaysia has taken several actions related to invasive alien species</w:t>
      </w:r>
      <w:r>
        <w:rPr>
          <w:szCs w:val="20"/>
        </w:rPr>
        <w:t>,</w:t>
      </w:r>
      <w:r w:rsidRPr="003D0B48">
        <w:rPr>
          <w:szCs w:val="20"/>
        </w:rPr>
        <w:t xml:space="preserve"> including compiling a list of invasive alien species, undertaking baseline studies to enhance monitoring, putting in </w:t>
      </w:r>
      <w:r w:rsidRPr="00DE378A">
        <w:rPr>
          <w:szCs w:val="20"/>
        </w:rPr>
        <w:t xml:space="preserve">place a biosecurity plan for the </w:t>
      </w:r>
      <w:r>
        <w:rPr>
          <w:szCs w:val="20"/>
        </w:rPr>
        <w:t>p</w:t>
      </w:r>
      <w:r w:rsidRPr="00DE378A">
        <w:rPr>
          <w:szCs w:val="20"/>
        </w:rPr>
        <w:t xml:space="preserve">alm </w:t>
      </w:r>
      <w:r>
        <w:rPr>
          <w:szCs w:val="20"/>
        </w:rPr>
        <w:t>o</w:t>
      </w:r>
      <w:r w:rsidRPr="00DE378A">
        <w:rPr>
          <w:szCs w:val="20"/>
        </w:rPr>
        <w:t xml:space="preserve">il </w:t>
      </w:r>
      <w:r>
        <w:rPr>
          <w:szCs w:val="20"/>
        </w:rPr>
        <w:t>i</w:t>
      </w:r>
      <w:r w:rsidRPr="00DE378A">
        <w:rPr>
          <w:szCs w:val="20"/>
        </w:rPr>
        <w:t>ndustry in 2018</w:t>
      </w:r>
      <w:r>
        <w:rPr>
          <w:szCs w:val="20"/>
        </w:rPr>
        <w:t>,</w:t>
      </w:r>
      <w:r w:rsidRPr="003D0B48">
        <w:rPr>
          <w:szCs w:val="20"/>
        </w:rPr>
        <w:t xml:space="preserve"> and </w:t>
      </w:r>
      <w:r w:rsidRPr="00752CD1">
        <w:rPr>
          <w:szCs w:val="20"/>
        </w:rPr>
        <w:t>enacting the Malaysian Quarantine and Inspection Services Act to enforce quarantine</w:t>
      </w:r>
      <w:r w:rsidRPr="003D0B48">
        <w:rPr>
          <w:szCs w:val="20"/>
        </w:rPr>
        <w:t xml:space="preserve"> regulations at entry points.</w:t>
      </w:r>
    </w:p>
  </w:footnote>
  <w:footnote w:id="28">
    <w:p w14:paraId="338245D7" w14:textId="171F805A" w:rsidR="00E47F16" w:rsidRPr="00715FD9" w:rsidRDefault="00E47F16" w:rsidP="00831379">
      <w:pPr>
        <w:keepLines/>
        <w:suppressLineNumbers/>
        <w:suppressAutoHyphens/>
        <w:spacing w:after="60"/>
        <w:jc w:val="left"/>
        <w:rPr>
          <w:sz w:val="20"/>
          <w:szCs w:val="20"/>
          <w:lang w:val="en-CA"/>
        </w:rPr>
      </w:pPr>
      <w:r w:rsidRPr="003D0B48">
        <w:rPr>
          <w:rStyle w:val="FootnoteReference"/>
          <w:szCs w:val="20"/>
        </w:rPr>
        <w:footnoteRef/>
      </w:r>
      <w:r w:rsidRPr="003D0B48">
        <w:rPr>
          <w:sz w:val="18"/>
          <w:szCs w:val="20"/>
        </w:rPr>
        <w:t xml:space="preserve"> For example, the Maldives has established 61 marine protected areas to protect coral reefs, sensitive and biological</w:t>
      </w:r>
      <w:r>
        <w:rPr>
          <w:sz w:val="18"/>
          <w:szCs w:val="20"/>
        </w:rPr>
        <w:t>ly</w:t>
      </w:r>
      <w:r w:rsidRPr="003D0B48">
        <w:rPr>
          <w:sz w:val="18"/>
          <w:szCs w:val="20"/>
        </w:rPr>
        <w:t xml:space="preserve"> and ecological</w:t>
      </w:r>
      <w:r>
        <w:rPr>
          <w:sz w:val="18"/>
          <w:szCs w:val="20"/>
        </w:rPr>
        <w:t>ly</w:t>
      </w:r>
      <w:r w:rsidRPr="003D0B48">
        <w:rPr>
          <w:sz w:val="18"/>
          <w:szCs w:val="20"/>
        </w:rPr>
        <w:t xml:space="preserve"> significant area</w:t>
      </w:r>
      <w:r>
        <w:rPr>
          <w:sz w:val="18"/>
          <w:szCs w:val="20"/>
        </w:rPr>
        <w:t>s</w:t>
      </w:r>
      <w:r w:rsidRPr="003D0B48">
        <w:rPr>
          <w:sz w:val="18"/>
          <w:szCs w:val="20"/>
        </w:rPr>
        <w:t xml:space="preserve"> have been identifi</w:t>
      </w:r>
      <w:r w:rsidRPr="00B654D9">
        <w:rPr>
          <w:sz w:val="18"/>
          <w:szCs w:val="20"/>
        </w:rPr>
        <w:t>ed, a cora</w:t>
      </w:r>
      <w:r w:rsidRPr="003D0B48">
        <w:rPr>
          <w:sz w:val="18"/>
          <w:szCs w:val="20"/>
        </w:rPr>
        <w:t xml:space="preserve">l reef monitoring framework </w:t>
      </w:r>
      <w:r>
        <w:rPr>
          <w:sz w:val="18"/>
          <w:szCs w:val="20"/>
        </w:rPr>
        <w:t xml:space="preserve">has been established, </w:t>
      </w:r>
      <w:r w:rsidRPr="003D0B48">
        <w:rPr>
          <w:sz w:val="18"/>
          <w:szCs w:val="20"/>
        </w:rPr>
        <w:t>and waste management plans are being developed for all islands to address unregulated dumping on beaches. In Ghana</w:t>
      </w:r>
      <w:r w:rsidR="000A7CD3">
        <w:rPr>
          <w:sz w:val="18"/>
          <w:szCs w:val="20"/>
        </w:rPr>
        <w:t>,</w:t>
      </w:r>
      <w:r w:rsidRPr="003D0B48">
        <w:rPr>
          <w:sz w:val="18"/>
          <w:szCs w:val="20"/>
        </w:rPr>
        <w:t xml:space="preserve"> the Coastal Sustainable Landscapes Project is addressing deforestation in coastal zones, including by restoring mangroves and coastal forests, and encouraging agroforestry practices, in order to mitigate the impacts of climate change on these habitats.</w:t>
      </w:r>
    </w:p>
  </w:footnote>
  <w:footnote w:id="29">
    <w:p w14:paraId="42EAFF9F" w14:textId="40F7EDE3" w:rsidR="00E47F16" w:rsidRPr="00715FD9" w:rsidRDefault="00E47F16" w:rsidP="00831379">
      <w:pPr>
        <w:keepLines/>
        <w:suppressLineNumbers/>
        <w:suppressAutoHyphens/>
        <w:spacing w:after="60"/>
        <w:jc w:val="left"/>
        <w:rPr>
          <w:sz w:val="20"/>
          <w:szCs w:val="20"/>
          <w:lang w:val="en-CA"/>
        </w:rPr>
      </w:pPr>
      <w:r w:rsidRPr="003D0B48">
        <w:rPr>
          <w:rStyle w:val="FootnoteReference"/>
          <w:szCs w:val="20"/>
        </w:rPr>
        <w:footnoteRef/>
      </w:r>
      <w:r w:rsidRPr="003D0B48">
        <w:rPr>
          <w:sz w:val="18"/>
          <w:szCs w:val="20"/>
        </w:rPr>
        <w:t xml:space="preserve"> For example, in Japan</w:t>
      </w:r>
      <w:r w:rsidR="007B27E5">
        <w:rPr>
          <w:sz w:val="18"/>
          <w:szCs w:val="20"/>
        </w:rPr>
        <w:t>,</w:t>
      </w:r>
      <w:r w:rsidRPr="003D0B48">
        <w:rPr>
          <w:sz w:val="18"/>
          <w:szCs w:val="20"/>
        </w:rPr>
        <w:t xml:space="preserve"> the creation of special green conservation areas was promoted on </w:t>
      </w:r>
      <w:r w:rsidR="007B27E5">
        <w:rPr>
          <w:sz w:val="18"/>
          <w:szCs w:val="20"/>
        </w:rPr>
        <w:t xml:space="preserve">the basis of </w:t>
      </w:r>
      <w:r w:rsidRPr="003D0B48">
        <w:rPr>
          <w:sz w:val="18"/>
          <w:szCs w:val="20"/>
        </w:rPr>
        <w:t xml:space="preserve">the Urban Green Space Conservation Act, and on the Act for the Conservation of Suburban Green Zones in the National Capital Region. </w:t>
      </w:r>
    </w:p>
  </w:footnote>
  <w:footnote w:id="30">
    <w:p w14:paraId="4C5D5C70" w14:textId="0A7608E5" w:rsidR="00E47F16" w:rsidRPr="00715FD9" w:rsidRDefault="00E47F16" w:rsidP="00831379">
      <w:pPr>
        <w:pStyle w:val="FootnoteText"/>
        <w:suppressLineNumbers/>
        <w:suppressAutoHyphens/>
        <w:ind w:firstLine="0"/>
        <w:jc w:val="left"/>
        <w:rPr>
          <w:sz w:val="20"/>
          <w:szCs w:val="20"/>
        </w:rPr>
      </w:pPr>
      <w:r w:rsidRPr="003D0B48">
        <w:rPr>
          <w:rStyle w:val="FootnoteReference"/>
          <w:szCs w:val="20"/>
        </w:rPr>
        <w:footnoteRef/>
      </w:r>
      <w:r w:rsidRPr="003D0B48">
        <w:rPr>
          <w:szCs w:val="20"/>
        </w:rPr>
        <w:t xml:space="preserve"> For example, in Antigua and Barbuda the population of the Antigua Racer, a critically endangered endemic snake, was increased after the removal of rats, </w:t>
      </w:r>
      <w:r w:rsidRPr="00752CD1">
        <w:rPr>
          <w:szCs w:val="20"/>
        </w:rPr>
        <w:t xml:space="preserve">and </w:t>
      </w:r>
      <w:r>
        <w:rPr>
          <w:szCs w:val="20"/>
        </w:rPr>
        <w:t xml:space="preserve">populations of </w:t>
      </w:r>
      <w:r w:rsidRPr="00752CD1">
        <w:rPr>
          <w:szCs w:val="20"/>
        </w:rPr>
        <w:t>the Golden Talinum - once thought to be extinct - increased after habitat restoration activities. In El Salvador</w:t>
      </w:r>
      <w:r w:rsidR="006F0A6F">
        <w:rPr>
          <w:szCs w:val="20"/>
        </w:rPr>
        <w:t>,</w:t>
      </w:r>
      <w:r w:rsidRPr="00752CD1">
        <w:rPr>
          <w:szCs w:val="20"/>
        </w:rPr>
        <w:t xml:space="preserve"> the Sea Turtle Conservation Plan was implemented to allow</w:t>
      </w:r>
      <w:r w:rsidRPr="003D0B48">
        <w:rPr>
          <w:szCs w:val="20"/>
        </w:rPr>
        <w:t xml:space="preserve"> community projects to establish hatcheries and release hatchlings. Similarly, in Mexico, population recovery programmes for species at risk such as </w:t>
      </w:r>
      <w:r>
        <w:rPr>
          <w:szCs w:val="20"/>
        </w:rPr>
        <w:t xml:space="preserve">the </w:t>
      </w:r>
      <w:r w:rsidRPr="003D0B48">
        <w:rPr>
          <w:szCs w:val="20"/>
        </w:rPr>
        <w:t>Mexican wolf (</w:t>
      </w:r>
      <w:r w:rsidRPr="001B059E">
        <w:rPr>
          <w:szCs w:val="20"/>
          <w:lang w:val="la-Latn"/>
        </w:rPr>
        <w:t>C</w:t>
      </w:r>
      <w:r w:rsidRPr="001B059E">
        <w:rPr>
          <w:i/>
          <w:szCs w:val="20"/>
          <w:lang w:val="la-Latn"/>
        </w:rPr>
        <w:t>anis lupus baileyi</w:t>
      </w:r>
      <w:r w:rsidRPr="003D0B48">
        <w:rPr>
          <w:i/>
          <w:szCs w:val="20"/>
        </w:rPr>
        <w:t>),</w:t>
      </w:r>
      <w:r w:rsidRPr="003D0B48">
        <w:rPr>
          <w:szCs w:val="20"/>
        </w:rPr>
        <w:t xml:space="preserve"> the California condor (</w:t>
      </w:r>
      <w:r w:rsidRPr="001B059E">
        <w:rPr>
          <w:i/>
          <w:szCs w:val="20"/>
          <w:lang w:val="la-Latn"/>
        </w:rPr>
        <w:t>Gymnogyps californianus</w:t>
      </w:r>
      <w:r w:rsidRPr="003D0B48">
        <w:rPr>
          <w:szCs w:val="20"/>
        </w:rPr>
        <w:t>), the Sonora pronghorn (</w:t>
      </w:r>
      <w:r w:rsidRPr="001B059E">
        <w:rPr>
          <w:i/>
          <w:noProof/>
          <w:szCs w:val="20"/>
          <w:lang w:val="la-Latn"/>
        </w:rPr>
        <w:t>Antilocarpa americana</w:t>
      </w:r>
      <w:r w:rsidRPr="003D0B48">
        <w:rPr>
          <w:szCs w:val="20"/>
        </w:rPr>
        <w:t>), the Bighorn Sheep (</w:t>
      </w:r>
      <w:r w:rsidRPr="001B059E">
        <w:rPr>
          <w:i/>
          <w:szCs w:val="20"/>
          <w:lang w:val="la-Latn"/>
        </w:rPr>
        <w:t>Ovis canadensis mexicana</w:t>
      </w:r>
      <w:r w:rsidRPr="003D0B48">
        <w:rPr>
          <w:szCs w:val="20"/>
        </w:rPr>
        <w:t>) and nine species of sea turtles have been put in place and are showing success.</w:t>
      </w:r>
    </w:p>
  </w:footnote>
  <w:footnote w:id="31">
    <w:p w14:paraId="34B0212F" w14:textId="48C8E965" w:rsidR="00E47F16" w:rsidRPr="003D0B48" w:rsidRDefault="00E47F16" w:rsidP="00831379">
      <w:pPr>
        <w:pStyle w:val="FootnoteText"/>
        <w:suppressLineNumbers/>
        <w:suppressAutoHyphens/>
        <w:ind w:firstLine="0"/>
        <w:jc w:val="left"/>
        <w:rPr>
          <w:szCs w:val="18"/>
        </w:rPr>
      </w:pPr>
      <w:r w:rsidRPr="003D0B48">
        <w:rPr>
          <w:rStyle w:val="FootnoteReference"/>
          <w:szCs w:val="18"/>
        </w:rPr>
        <w:footnoteRef/>
      </w:r>
      <w:r w:rsidRPr="003D0B48">
        <w:rPr>
          <w:szCs w:val="18"/>
        </w:rPr>
        <w:t xml:space="preserve"> For example, in Bosnia and Herzegovin</w:t>
      </w:r>
      <w:r>
        <w:rPr>
          <w:szCs w:val="18"/>
        </w:rPr>
        <w:t>a</w:t>
      </w:r>
      <w:r w:rsidRPr="003D0B48">
        <w:rPr>
          <w:szCs w:val="18"/>
        </w:rPr>
        <w:t xml:space="preserve"> various actions were taken to protect the genetic diversity of cattle breeds</w:t>
      </w:r>
      <w:r>
        <w:rPr>
          <w:szCs w:val="18"/>
        </w:rPr>
        <w:t>,</w:t>
      </w:r>
      <w:r w:rsidRPr="003D0B48">
        <w:rPr>
          <w:szCs w:val="18"/>
        </w:rPr>
        <w:t xml:space="preserve"> including the adoption of a law on livestock breeding which recognized several indigenous species, breeds and </w:t>
      </w:r>
      <w:r w:rsidRPr="007922F2">
        <w:rPr>
          <w:szCs w:val="18"/>
        </w:rPr>
        <w:t>varieties. Further</w:t>
      </w:r>
      <w:r>
        <w:rPr>
          <w:szCs w:val="18"/>
        </w:rPr>
        <w:t>,</w:t>
      </w:r>
      <w:r w:rsidRPr="007922F2">
        <w:rPr>
          <w:szCs w:val="18"/>
        </w:rPr>
        <w:t xml:space="preserve"> horse breeders who breed Bosnian Mountain</w:t>
      </w:r>
      <w:r w:rsidRPr="003D0B48">
        <w:rPr>
          <w:szCs w:val="18"/>
        </w:rPr>
        <w:t xml:space="preserve"> Horses and </w:t>
      </w:r>
      <w:r w:rsidRPr="008D223C">
        <w:rPr>
          <w:szCs w:val="18"/>
        </w:rPr>
        <w:t>Lipizzaners, among others, are</w:t>
      </w:r>
      <w:r w:rsidRPr="003D0B48">
        <w:rPr>
          <w:szCs w:val="18"/>
        </w:rPr>
        <w:t xml:space="preserve"> entitled to incentives.</w:t>
      </w:r>
    </w:p>
  </w:footnote>
  <w:footnote w:id="32">
    <w:p w14:paraId="63F5E283" w14:textId="58268635" w:rsidR="00E47F16" w:rsidRPr="00715FD9" w:rsidRDefault="00E47F16" w:rsidP="00831379">
      <w:pPr>
        <w:keepLines/>
        <w:suppressLineNumbers/>
        <w:suppressAutoHyphens/>
        <w:spacing w:after="60"/>
        <w:jc w:val="left"/>
        <w:rPr>
          <w:sz w:val="20"/>
          <w:szCs w:val="20"/>
          <w:lang w:val="en-CA"/>
        </w:rPr>
      </w:pPr>
      <w:r w:rsidRPr="003D0B48">
        <w:rPr>
          <w:rStyle w:val="FootnoteReference"/>
          <w:szCs w:val="18"/>
        </w:rPr>
        <w:footnoteRef/>
      </w:r>
      <w:r w:rsidRPr="003D0B48">
        <w:rPr>
          <w:sz w:val="18"/>
          <w:szCs w:val="18"/>
        </w:rPr>
        <w:t xml:space="preserve"> For example, in Pakistan the Billion Trees Afforestation Project in Khyber Pakhtunkhwa has contributed to the rehabilitation of degraded natural forests. In turn</w:t>
      </w:r>
      <w:r w:rsidR="00954C2B">
        <w:rPr>
          <w:sz w:val="18"/>
          <w:szCs w:val="18"/>
        </w:rPr>
        <w:t>,</w:t>
      </w:r>
      <w:r w:rsidRPr="003D0B48">
        <w:rPr>
          <w:sz w:val="18"/>
          <w:szCs w:val="18"/>
        </w:rPr>
        <w:t xml:space="preserve"> this has helped recharge springs and increased the availability of drinking water for local communities. The project has also created thousands of green jobs for the rural poor </w:t>
      </w:r>
      <w:r>
        <w:rPr>
          <w:sz w:val="18"/>
          <w:szCs w:val="18"/>
        </w:rPr>
        <w:t xml:space="preserve">and has </w:t>
      </w:r>
      <w:r w:rsidRPr="003D0B48">
        <w:rPr>
          <w:sz w:val="18"/>
          <w:szCs w:val="18"/>
        </w:rPr>
        <w:t xml:space="preserve">increased the availability of fuelwood. The project will have a positive impact on women, who are responsible for collecting forage, fuelwood and </w:t>
      </w:r>
      <w:r>
        <w:rPr>
          <w:sz w:val="18"/>
          <w:szCs w:val="18"/>
        </w:rPr>
        <w:t xml:space="preserve">who </w:t>
      </w:r>
      <w:r w:rsidRPr="003D0B48">
        <w:rPr>
          <w:sz w:val="18"/>
          <w:szCs w:val="18"/>
        </w:rPr>
        <w:t>bring water from springs and wells.</w:t>
      </w:r>
    </w:p>
  </w:footnote>
  <w:footnote w:id="33">
    <w:p w14:paraId="6AFF9EA5" w14:textId="4F04B94C" w:rsidR="00E47F16" w:rsidRPr="00715FD9" w:rsidRDefault="00E47F16" w:rsidP="00831379">
      <w:pPr>
        <w:keepLines/>
        <w:suppressLineNumbers/>
        <w:suppressAutoHyphens/>
        <w:spacing w:after="60"/>
        <w:jc w:val="left"/>
        <w:rPr>
          <w:sz w:val="20"/>
          <w:szCs w:val="20"/>
        </w:rPr>
      </w:pPr>
      <w:r w:rsidRPr="003D0B48">
        <w:rPr>
          <w:rStyle w:val="FootnoteReference"/>
          <w:szCs w:val="20"/>
        </w:rPr>
        <w:footnoteRef/>
      </w:r>
      <w:r w:rsidRPr="003D0B48">
        <w:rPr>
          <w:sz w:val="18"/>
          <w:szCs w:val="20"/>
        </w:rPr>
        <w:t xml:space="preserve"> </w:t>
      </w:r>
      <w:r w:rsidRPr="00327265">
        <w:rPr>
          <w:sz w:val="18"/>
          <w:szCs w:val="20"/>
        </w:rPr>
        <w:t>For example, Nigeria, Chad, Mauritania and Senegal reported on the Great Green Wall, an African-led movement with the aim of growing an 8,000 km long forested area.</w:t>
      </w:r>
    </w:p>
  </w:footnote>
  <w:footnote w:id="34">
    <w:p w14:paraId="6B75FEB9" w14:textId="03456BB5" w:rsidR="00E47F16" w:rsidRPr="00201B40" w:rsidRDefault="00E47F16" w:rsidP="00831379">
      <w:pPr>
        <w:pStyle w:val="FootnoteText"/>
        <w:suppressLineNumbers/>
        <w:suppressAutoHyphens/>
        <w:ind w:firstLine="0"/>
        <w:jc w:val="left"/>
        <w:rPr>
          <w:spacing w:val="-4"/>
          <w:kern w:val="18"/>
          <w:szCs w:val="20"/>
        </w:rPr>
      </w:pPr>
      <w:r w:rsidRPr="00201B40">
        <w:rPr>
          <w:rStyle w:val="FootnoteReference"/>
          <w:spacing w:val="-4"/>
          <w:kern w:val="18"/>
          <w:szCs w:val="20"/>
        </w:rPr>
        <w:footnoteRef/>
      </w:r>
      <w:r w:rsidRPr="00201B40">
        <w:rPr>
          <w:spacing w:val="-4"/>
          <w:kern w:val="18"/>
          <w:szCs w:val="20"/>
        </w:rPr>
        <w:t xml:space="preserve"> For example, Jamaica has undertaken a review of ABS agreements to examine ecological, social and economic impacts of different products and is currently collaborating with academic institutions to undertake studies related to the impacts of ABS agreements.</w:t>
      </w:r>
    </w:p>
  </w:footnote>
  <w:footnote w:id="35">
    <w:p w14:paraId="01407FA3" w14:textId="246FEB1E" w:rsidR="00E47F16" w:rsidRPr="00715FD9" w:rsidRDefault="00E47F16" w:rsidP="00831379">
      <w:pPr>
        <w:pStyle w:val="FootnoteText"/>
        <w:suppressLineNumbers/>
        <w:suppressAutoHyphens/>
        <w:ind w:firstLine="0"/>
        <w:jc w:val="left"/>
        <w:rPr>
          <w:sz w:val="20"/>
          <w:szCs w:val="20"/>
        </w:rPr>
      </w:pPr>
      <w:r w:rsidRPr="003D0B48">
        <w:rPr>
          <w:rStyle w:val="FootnoteReference"/>
          <w:szCs w:val="20"/>
        </w:rPr>
        <w:footnoteRef/>
      </w:r>
      <w:r w:rsidRPr="003D0B48">
        <w:rPr>
          <w:szCs w:val="20"/>
        </w:rPr>
        <w:t xml:space="preserve"> For example, Mozambique aligned its NBSAP with its national five-year plan and its economic and social plan.</w:t>
      </w:r>
    </w:p>
  </w:footnote>
  <w:footnote w:id="36">
    <w:p w14:paraId="226D53A7" w14:textId="2C5AD453" w:rsidR="00E47F16" w:rsidRPr="00091299" w:rsidRDefault="00E47F16" w:rsidP="00831379">
      <w:pPr>
        <w:pStyle w:val="FootnoteText"/>
        <w:suppressLineNumbers/>
        <w:suppressAutoHyphens/>
        <w:ind w:firstLine="0"/>
        <w:jc w:val="left"/>
        <w:rPr>
          <w:szCs w:val="20"/>
          <w:lang w:val="en-CA"/>
        </w:rPr>
      </w:pPr>
      <w:r w:rsidRPr="00091299">
        <w:rPr>
          <w:rStyle w:val="FootnoteReference"/>
          <w:szCs w:val="20"/>
        </w:rPr>
        <w:footnoteRef/>
      </w:r>
      <w:r w:rsidRPr="00091299">
        <w:rPr>
          <w:szCs w:val="20"/>
        </w:rPr>
        <w:t xml:space="preserve"> For </w:t>
      </w:r>
      <w:r w:rsidRPr="00BD1E83">
        <w:rPr>
          <w:szCs w:val="20"/>
        </w:rPr>
        <w:t>example, in Zimbabwe</w:t>
      </w:r>
      <w:r w:rsidR="00831584">
        <w:rPr>
          <w:szCs w:val="20"/>
        </w:rPr>
        <w:t>,</w:t>
      </w:r>
      <w:r w:rsidRPr="00BD1E83">
        <w:rPr>
          <w:szCs w:val="20"/>
        </w:rPr>
        <w:t xml:space="preserve"> the CAMPFIRE </w:t>
      </w:r>
      <w:r>
        <w:rPr>
          <w:szCs w:val="20"/>
        </w:rPr>
        <w:t xml:space="preserve">project </w:t>
      </w:r>
      <w:r w:rsidRPr="00BD1E83">
        <w:rPr>
          <w:szCs w:val="20"/>
        </w:rPr>
        <w:t>aims to give indigenous communities co-ownership of local natural resources, particularly wildlife, so that they can</w:t>
      </w:r>
      <w:r w:rsidRPr="00091299">
        <w:rPr>
          <w:szCs w:val="20"/>
        </w:rPr>
        <w:t xml:space="preserve"> generate income by leasing trophy hunting concessions, harvesting resources, and tourism activities. Costa Rica has created a general mechanism for consultations </w:t>
      </w:r>
      <w:r w:rsidRPr="008375B2">
        <w:rPr>
          <w:szCs w:val="20"/>
        </w:rPr>
        <w:t xml:space="preserve">with </w:t>
      </w:r>
      <w:r>
        <w:rPr>
          <w:szCs w:val="20"/>
        </w:rPr>
        <w:t>i</w:t>
      </w:r>
      <w:r w:rsidRPr="008375B2">
        <w:rPr>
          <w:szCs w:val="20"/>
        </w:rPr>
        <w:t xml:space="preserve">ndigenous </w:t>
      </w:r>
      <w:r>
        <w:rPr>
          <w:szCs w:val="20"/>
        </w:rPr>
        <w:t>p</w:t>
      </w:r>
      <w:r w:rsidRPr="008375B2">
        <w:rPr>
          <w:szCs w:val="20"/>
        </w:rPr>
        <w:t>eoples (</w:t>
      </w:r>
      <w:r w:rsidRPr="00831584">
        <w:rPr>
          <w:szCs w:val="20"/>
          <w:lang w:val="es-ES"/>
        </w:rPr>
        <w:t>Mecanismo General de Consulta a Pueblos Indígenas</w:t>
      </w:r>
      <w:r w:rsidRPr="00091299">
        <w:rPr>
          <w:szCs w:val="20"/>
        </w:rPr>
        <w:t>).</w:t>
      </w:r>
    </w:p>
  </w:footnote>
  <w:footnote w:id="37">
    <w:p w14:paraId="572EF36D" w14:textId="0E3D3939" w:rsidR="00E47F16" w:rsidRPr="00715FD9" w:rsidRDefault="00E47F16" w:rsidP="00831379">
      <w:pPr>
        <w:pStyle w:val="FootnoteText"/>
        <w:suppressLineNumbers/>
        <w:suppressAutoHyphens/>
        <w:ind w:firstLine="0"/>
        <w:jc w:val="left"/>
        <w:rPr>
          <w:sz w:val="20"/>
          <w:szCs w:val="20"/>
          <w:lang w:val="en-CA"/>
        </w:rPr>
      </w:pPr>
      <w:r w:rsidRPr="00091299">
        <w:rPr>
          <w:rStyle w:val="FootnoteReference"/>
          <w:szCs w:val="20"/>
        </w:rPr>
        <w:footnoteRef/>
      </w:r>
      <w:r w:rsidRPr="00091299">
        <w:rPr>
          <w:szCs w:val="20"/>
        </w:rPr>
        <w:t xml:space="preserve"> For </w:t>
      </w:r>
      <w:r w:rsidRPr="0004321D">
        <w:rPr>
          <w:szCs w:val="20"/>
        </w:rPr>
        <w:t>example, the United Kingdom of Great Britain and Northern Ireland established the Valuing Nature Programme, a five-year programme to build an interdisciplinary research community capable of working across the natural, biological and social sciences and the arts and humanities, and is also developing an environmental application as part of the European Union’s Copernicus Programme, for open access imagery data gathered by the Sentinel satellites.</w:t>
      </w:r>
      <w:r w:rsidRPr="00F3621D">
        <w:rPr>
          <w:szCs w:val="20"/>
        </w:rPr>
        <w:t xml:space="preserve"> South Sudan has initiated development of a National Biodiversity Database System (NBDS).</w:t>
      </w:r>
    </w:p>
  </w:footnote>
  <w:footnote w:id="38">
    <w:p w14:paraId="3F3D860F" w14:textId="5DC90B75" w:rsidR="00E47F16" w:rsidRPr="00091299" w:rsidRDefault="00E47F16" w:rsidP="00831379">
      <w:pPr>
        <w:pStyle w:val="FootnoteText"/>
        <w:suppressLineNumbers/>
        <w:suppressAutoHyphens/>
        <w:ind w:firstLine="0"/>
        <w:jc w:val="left"/>
        <w:rPr>
          <w:szCs w:val="20"/>
        </w:rPr>
      </w:pPr>
      <w:r w:rsidRPr="00091299">
        <w:rPr>
          <w:rStyle w:val="FootnoteReference"/>
          <w:szCs w:val="20"/>
        </w:rPr>
        <w:footnoteRef/>
      </w:r>
      <w:r w:rsidRPr="00091299">
        <w:rPr>
          <w:szCs w:val="20"/>
        </w:rPr>
        <w:t xml:space="preserve"> For example, South </w:t>
      </w:r>
      <w:r w:rsidRPr="0052798C">
        <w:rPr>
          <w:szCs w:val="20"/>
        </w:rPr>
        <w:t>Africa has established a Green Fund to support green initiatives to put the country on a low carbon, resource efficient, and climate</w:t>
      </w:r>
      <w:r>
        <w:rPr>
          <w:szCs w:val="20"/>
        </w:rPr>
        <w:t>-</w:t>
      </w:r>
      <w:r w:rsidRPr="0052798C">
        <w:rPr>
          <w:szCs w:val="20"/>
        </w:rPr>
        <w:t>resilient path and in 2017 the city of Cape Town auctioned its inaugural R1 billion green bond to fund projects regarding adaptation</w:t>
      </w:r>
      <w:r w:rsidRPr="00091299">
        <w:rPr>
          <w:szCs w:val="20"/>
        </w:rPr>
        <w:t xml:space="preserve"> and mitigation.</w:t>
      </w:r>
    </w:p>
  </w:footnote>
  <w:footnote w:id="39">
    <w:p w14:paraId="364CCD5C" w14:textId="04C979D9" w:rsidR="00E47F16" w:rsidRPr="00091299" w:rsidRDefault="00E47F16" w:rsidP="00831379">
      <w:pPr>
        <w:pStyle w:val="FootnoteText"/>
        <w:suppressLineNumbers/>
        <w:suppressAutoHyphens/>
        <w:ind w:firstLine="0"/>
        <w:jc w:val="left"/>
        <w:rPr>
          <w:szCs w:val="20"/>
          <w:lang w:val="en-CA"/>
        </w:rPr>
      </w:pPr>
      <w:r w:rsidRPr="00091299">
        <w:rPr>
          <w:rStyle w:val="FootnoteReference"/>
          <w:snapToGrid w:val="0"/>
          <w:kern w:val="18"/>
          <w:szCs w:val="20"/>
        </w:rPr>
        <w:footnoteRef/>
      </w:r>
      <w:r w:rsidRPr="00091299">
        <w:rPr>
          <w:rStyle w:val="FootnoteReference"/>
          <w:snapToGrid w:val="0"/>
          <w:kern w:val="18"/>
          <w:szCs w:val="20"/>
        </w:rPr>
        <w:t xml:space="preserve"> </w:t>
      </w:r>
      <w:r w:rsidRPr="00091299">
        <w:rPr>
          <w:szCs w:val="20"/>
        </w:rPr>
        <w:t>As noted above</w:t>
      </w:r>
      <w:r>
        <w:rPr>
          <w:szCs w:val="20"/>
        </w:rPr>
        <w:t>,</w:t>
      </w:r>
      <w:r w:rsidRPr="00091299">
        <w:rPr>
          <w:szCs w:val="20"/>
        </w:rPr>
        <w:t xml:space="preserve"> there were relatively few national targets related to Aichi Biodiversity Target 17 as well. However</w:t>
      </w:r>
      <w:r>
        <w:rPr>
          <w:szCs w:val="20"/>
        </w:rPr>
        <w:t>,</w:t>
      </w:r>
      <w:r w:rsidRPr="00091299">
        <w:rPr>
          <w:szCs w:val="20"/>
        </w:rPr>
        <w:t xml:space="preserve"> this is likely because the preparation of an NBSAP reduced the need to have a national target on this issue.</w:t>
      </w:r>
    </w:p>
  </w:footnote>
  <w:footnote w:id="40">
    <w:p w14:paraId="3B6F0914" w14:textId="7883379B" w:rsidR="00E47F16" w:rsidRPr="00091299" w:rsidRDefault="00E47F16" w:rsidP="00831379">
      <w:pPr>
        <w:pStyle w:val="FootnoteText"/>
        <w:suppressLineNumbers/>
        <w:suppressAutoHyphens/>
        <w:kinsoku w:val="0"/>
        <w:overflowPunct w:val="0"/>
        <w:autoSpaceDE w:val="0"/>
        <w:autoSpaceDN w:val="0"/>
        <w:ind w:firstLine="0"/>
        <w:jc w:val="left"/>
        <w:rPr>
          <w:snapToGrid w:val="0"/>
          <w:kern w:val="18"/>
          <w:szCs w:val="20"/>
          <w:lang w:val="en-CA"/>
        </w:rPr>
      </w:pPr>
      <w:r w:rsidRPr="00091299">
        <w:rPr>
          <w:rStyle w:val="FootnoteReference"/>
          <w:snapToGrid w:val="0"/>
          <w:kern w:val="18"/>
          <w:szCs w:val="20"/>
        </w:rPr>
        <w:footnoteRef/>
      </w:r>
      <w:r w:rsidRPr="00091299">
        <w:rPr>
          <w:snapToGrid w:val="0"/>
          <w:kern w:val="18"/>
          <w:szCs w:val="20"/>
          <w:lang w:val="en-CA"/>
        </w:rPr>
        <w:t xml:space="preserve"> </w:t>
      </w:r>
      <w:hyperlink r:id="rId8" w:history="1">
        <w:r w:rsidRPr="00091299">
          <w:rPr>
            <w:rStyle w:val="Hyperlink"/>
            <w:snapToGrid w:val="0"/>
            <w:kern w:val="18"/>
            <w:szCs w:val="20"/>
            <w:lang w:val="en-CA"/>
          </w:rPr>
          <w:t>UNEP/CBD/SBI/1/2/Add.2</w:t>
        </w:r>
      </w:hyperlink>
      <w:r w:rsidRPr="00091299">
        <w:rPr>
          <w:snapToGrid w:val="0"/>
          <w:kern w:val="18"/>
          <w:szCs w:val="20"/>
          <w:lang w:val="en-CA"/>
        </w:rPr>
        <w:t xml:space="preserve"> and </w:t>
      </w:r>
      <w:hyperlink r:id="rId9" w:history="1">
        <w:r w:rsidRPr="00091299">
          <w:rPr>
            <w:rStyle w:val="Hyperlink"/>
            <w:snapToGrid w:val="0"/>
            <w:kern w:val="18"/>
            <w:szCs w:val="20"/>
            <w:lang w:val="en-CA"/>
          </w:rPr>
          <w:t>UNEP/CBD/SBI/2/2/Add.2</w:t>
        </w:r>
      </w:hyperlink>
      <w:r w:rsidRPr="00091299">
        <w:rPr>
          <w:szCs w:val="20"/>
        </w:rPr>
        <w:t>.</w:t>
      </w:r>
    </w:p>
  </w:footnote>
  <w:footnote w:id="41">
    <w:p w14:paraId="2DBC291F" w14:textId="79693536" w:rsidR="00E47F16" w:rsidRPr="00715FD9" w:rsidRDefault="00E47F16" w:rsidP="00831379">
      <w:pPr>
        <w:pStyle w:val="FootnoteText"/>
        <w:suppressLineNumbers/>
        <w:suppressAutoHyphens/>
        <w:kinsoku w:val="0"/>
        <w:overflowPunct w:val="0"/>
        <w:autoSpaceDE w:val="0"/>
        <w:autoSpaceDN w:val="0"/>
        <w:ind w:firstLine="0"/>
        <w:jc w:val="left"/>
        <w:rPr>
          <w:snapToGrid w:val="0"/>
          <w:kern w:val="18"/>
          <w:sz w:val="20"/>
          <w:szCs w:val="20"/>
        </w:rPr>
      </w:pPr>
      <w:r w:rsidRPr="00091299">
        <w:rPr>
          <w:rStyle w:val="FootnoteReference"/>
          <w:snapToGrid w:val="0"/>
          <w:kern w:val="18"/>
          <w:szCs w:val="20"/>
        </w:rPr>
        <w:footnoteRef/>
      </w:r>
      <w:r w:rsidRPr="00091299">
        <w:rPr>
          <w:snapToGrid w:val="0"/>
          <w:kern w:val="18"/>
          <w:szCs w:val="20"/>
        </w:rPr>
        <w:t xml:space="preserve"> </w:t>
      </w:r>
      <w:hyperlink r:id="rId10" w:history="1">
        <w:r w:rsidRPr="00091299">
          <w:rPr>
            <w:rStyle w:val="Hyperlink"/>
            <w:snapToGrid w:val="0"/>
            <w:kern w:val="18"/>
            <w:szCs w:val="20"/>
          </w:rPr>
          <w:t>UNEP/CBD/COP/13/8/Add.2/Rev.1</w:t>
        </w:r>
      </w:hyperlink>
      <w:r w:rsidRPr="00091299">
        <w:rPr>
          <w:snapToGrid w:val="0"/>
          <w:kern w:val="18"/>
          <w:szCs w:val="20"/>
        </w:rPr>
        <w:t xml:space="preserve"> and </w:t>
      </w:r>
      <w:hyperlink r:id="rId11" w:history="1">
        <w:r w:rsidRPr="00091299">
          <w:rPr>
            <w:rStyle w:val="Hyperlink"/>
            <w:snapToGrid w:val="0"/>
            <w:kern w:val="18"/>
            <w:szCs w:val="20"/>
          </w:rPr>
          <w:t>CBD/COP/14/5/Add.2</w:t>
        </w:r>
      </w:hyperlink>
      <w:r w:rsidRPr="00091299">
        <w:rPr>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1446970978"/>
      <w:placeholder>
        <w:docPart w:val="FD4762B88EE244ADAE850F251F2C6BB3"/>
      </w:placeholder>
      <w:dataBinding w:prefixMappings="xmlns:ns0='http://purl.org/dc/elements/1.1/' xmlns:ns1='http://schemas.openxmlformats.org/package/2006/metadata/core-properties' " w:xpath="/ns1:coreProperties[1]/ns0:subject[1]" w:storeItemID="{6C3C8BC8-F283-45AE-878A-BAB7291924A1}"/>
      <w:text/>
    </w:sdtPr>
    <w:sdtEndPr/>
    <w:sdtContent>
      <w:p w14:paraId="5B1E55DE" w14:textId="50AEFFA0" w:rsidR="00E47F16" w:rsidRPr="00BE6050" w:rsidRDefault="00E47F16" w:rsidP="00326711">
        <w:pPr>
          <w:pStyle w:val="Header"/>
          <w:rPr>
            <w:lang w:val="en-US"/>
          </w:rPr>
        </w:pPr>
        <w:r>
          <w:rPr>
            <w:lang w:val="en-US"/>
          </w:rPr>
          <w:t>CBD/SBI/3/2/Add.2</w:t>
        </w:r>
      </w:p>
    </w:sdtContent>
  </w:sdt>
  <w:p w14:paraId="6DE60332" w14:textId="77777777" w:rsidR="00E47F16" w:rsidRPr="00B012FB" w:rsidRDefault="00E47F16" w:rsidP="00B012FB">
    <w:pPr>
      <w:pStyle w:val="Header"/>
      <w:tabs>
        <w:tab w:val="clear" w:pos="4320"/>
        <w:tab w:val="clear" w:pos="8640"/>
      </w:tabs>
      <w:kinsoku w:val="0"/>
      <w:overflowPunct w:val="0"/>
      <w:autoSpaceDE w:val="0"/>
      <w:autoSpaceDN w:val="0"/>
      <w:jc w:val="lef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sidR="008C21C1">
      <w:rPr>
        <w:noProof/>
        <w:kern w:val="22"/>
      </w:rPr>
      <w:t>16</w:t>
    </w:r>
    <w:r w:rsidRPr="00B012FB">
      <w:rPr>
        <w:noProof/>
        <w:kern w:val="22"/>
      </w:rPr>
      <w:fldChar w:fldCharType="end"/>
    </w:r>
  </w:p>
  <w:p w14:paraId="2C157752" w14:textId="77777777" w:rsidR="00E47F16" w:rsidRPr="00B012FB" w:rsidRDefault="00E47F16" w:rsidP="00B012FB">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1850634586"/>
      <w:placeholder>
        <w:docPart w:val="0D6B742FF4594CF0BCBCEC97721A7ECD"/>
      </w:placeholder>
      <w:dataBinding w:prefixMappings="xmlns:ns0='http://purl.org/dc/elements/1.1/' xmlns:ns1='http://schemas.openxmlformats.org/package/2006/metadata/core-properties' " w:xpath="/ns1:coreProperties[1]/ns0:subject[1]" w:storeItemID="{6C3C8BC8-F283-45AE-878A-BAB7291924A1}"/>
      <w:text/>
    </w:sdtPr>
    <w:sdtEndPr/>
    <w:sdtContent>
      <w:p w14:paraId="70566122" w14:textId="77777777" w:rsidR="00E47F16" w:rsidRPr="00B07288" w:rsidRDefault="00E47F16" w:rsidP="00F473BE">
        <w:pPr>
          <w:pStyle w:val="Header"/>
          <w:jc w:val="right"/>
          <w:rPr>
            <w:lang w:val="en-US"/>
          </w:rPr>
        </w:pPr>
        <w:r w:rsidRPr="00B07288">
          <w:rPr>
            <w:lang w:val="en-US"/>
          </w:rPr>
          <w:t>CBD/SBI/3/2/Add.2</w:t>
        </w:r>
      </w:p>
    </w:sdtContent>
  </w:sdt>
  <w:p w14:paraId="45C7C8E8" w14:textId="544FCE9A" w:rsidR="00E47F16" w:rsidRPr="00B07288" w:rsidRDefault="00E47F16" w:rsidP="00B012FB">
    <w:pPr>
      <w:pStyle w:val="Header"/>
      <w:tabs>
        <w:tab w:val="clear" w:pos="4320"/>
        <w:tab w:val="clear" w:pos="8640"/>
      </w:tabs>
      <w:kinsoku w:val="0"/>
      <w:overflowPunct w:val="0"/>
      <w:autoSpaceDE w:val="0"/>
      <w:autoSpaceDN w:val="0"/>
      <w:jc w:val="right"/>
      <w:rPr>
        <w:noProof/>
        <w:kern w:val="22"/>
      </w:rPr>
    </w:pPr>
    <w:r w:rsidRPr="00B07288" w:rsidDel="00F473BE">
      <w:rPr>
        <w:noProof/>
        <w:kern w:val="22"/>
        <w:lang w:val="en-US"/>
      </w:rPr>
      <w:t xml:space="preserve"> </w:t>
    </w:r>
    <w:r w:rsidRPr="00B07288">
      <w:rPr>
        <w:noProof/>
        <w:kern w:val="22"/>
      </w:rPr>
      <w:t xml:space="preserve">Page </w:t>
    </w:r>
    <w:r w:rsidRPr="00B07288">
      <w:rPr>
        <w:noProof/>
        <w:kern w:val="22"/>
      </w:rPr>
      <w:fldChar w:fldCharType="begin"/>
    </w:r>
    <w:r w:rsidRPr="00B07288">
      <w:rPr>
        <w:noProof/>
        <w:kern w:val="22"/>
      </w:rPr>
      <w:instrText xml:space="preserve"> PAGE   \* MERGEFORMAT </w:instrText>
    </w:r>
    <w:r w:rsidRPr="00B07288">
      <w:rPr>
        <w:noProof/>
        <w:kern w:val="22"/>
      </w:rPr>
      <w:fldChar w:fldCharType="separate"/>
    </w:r>
    <w:r w:rsidR="008C21C1">
      <w:rPr>
        <w:noProof/>
        <w:kern w:val="22"/>
      </w:rPr>
      <w:t>15</w:t>
    </w:r>
    <w:r w:rsidRPr="00B07288">
      <w:rPr>
        <w:noProof/>
        <w:kern w:val="22"/>
      </w:rPr>
      <w:fldChar w:fldCharType="end"/>
    </w:r>
  </w:p>
  <w:p w14:paraId="1C7357F5" w14:textId="77777777" w:rsidR="00E47F16" w:rsidRPr="00B012FB" w:rsidRDefault="00E47F16" w:rsidP="00B012FB">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78BB"/>
    <w:multiLevelType w:val="hybridMultilevel"/>
    <w:tmpl w:val="06A669F6"/>
    <w:lvl w:ilvl="0" w:tplc="04090001">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105AB"/>
    <w:multiLevelType w:val="hybridMultilevel"/>
    <w:tmpl w:val="D8E42BC4"/>
    <w:lvl w:ilvl="0" w:tplc="C2D4ED1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143EE"/>
    <w:multiLevelType w:val="hybridMultilevel"/>
    <w:tmpl w:val="6F742FC8"/>
    <w:lvl w:ilvl="0" w:tplc="5B16B29C">
      <w:start w:val="1"/>
      <w:numFmt w:val="lowerLetter"/>
      <w:lvlText w:val="(%1)"/>
      <w:lvlJc w:val="left"/>
      <w:pPr>
        <w:tabs>
          <w:tab w:val="num" w:pos="1440"/>
        </w:tabs>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02457"/>
    <w:multiLevelType w:val="hybridMultilevel"/>
    <w:tmpl w:val="370AE236"/>
    <w:lvl w:ilvl="0" w:tplc="005C40B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0CED17E3"/>
    <w:multiLevelType w:val="multilevel"/>
    <w:tmpl w:val="0602C7BC"/>
    <w:lvl w:ilvl="0">
      <w:start w:val="1"/>
      <w:numFmt w:val="lowerLetter"/>
      <w:lvlText w:val="(%1)"/>
      <w:lvlJc w:val="left"/>
      <w:pPr>
        <w:tabs>
          <w:tab w:val="num" w:pos="1080"/>
        </w:tabs>
        <w:ind w:left="720" w:firstLine="0"/>
      </w:pPr>
      <w:rPr>
        <w:rFonts w:ascii="Times New Roman" w:eastAsia="Times New Roman" w:hAnsi="Times New Roman" w:cs="Times New Roman"/>
        <w:b w:val="0"/>
        <w:i w:val="0"/>
        <w:color w:val="auto"/>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 w15:restartNumberingAfterBreak="0">
    <w:nsid w:val="0FB7202A"/>
    <w:multiLevelType w:val="hybridMultilevel"/>
    <w:tmpl w:val="D74E82E2"/>
    <w:lvl w:ilvl="0" w:tplc="04090001">
      <w:start w:val="1"/>
      <w:numFmt w:val="bullet"/>
      <w:lvlText w:val=""/>
      <w:lvlJc w:val="left"/>
      <w:pPr>
        <w:ind w:left="720" w:hanging="360"/>
      </w:pPr>
      <w:rPr>
        <w:rFonts w:ascii="Symbol" w:hAnsi="Symbol" w:hint="default"/>
      </w:rPr>
    </w:lvl>
    <w:lvl w:ilvl="1" w:tplc="88CC7F1E">
      <w:start w:val="2"/>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53D6E"/>
    <w:multiLevelType w:val="hybridMultilevel"/>
    <w:tmpl w:val="E1A03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20908EC"/>
    <w:multiLevelType w:val="hybridMultilevel"/>
    <w:tmpl w:val="85EE68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F57821"/>
    <w:multiLevelType w:val="multilevel"/>
    <w:tmpl w:val="45E4BE68"/>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15:restartNumberingAfterBreak="0">
    <w:nsid w:val="190933A6"/>
    <w:multiLevelType w:val="hybridMultilevel"/>
    <w:tmpl w:val="A322F03E"/>
    <w:lvl w:ilvl="0" w:tplc="FE7206EC">
      <w:numFmt w:val="bullet"/>
      <w:lvlText w:val="•"/>
      <w:lvlJc w:val="left"/>
      <w:pPr>
        <w:ind w:left="720" w:hanging="360"/>
      </w:pPr>
      <w:rPr>
        <w:rFonts w:ascii="Calibri" w:eastAsiaTheme="minorHAnsi"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9CA203F"/>
    <w:multiLevelType w:val="hybridMultilevel"/>
    <w:tmpl w:val="DAD0F770"/>
    <w:lvl w:ilvl="0" w:tplc="4E1ABB98">
      <w:start w:val="1"/>
      <w:numFmt w:val="lowerLetter"/>
      <w:pStyle w:val="TOC9"/>
      <w:lvlText w:val="(%1)"/>
      <w:lvlJc w:val="left"/>
      <w:pPr>
        <w:ind w:left="1350" w:hanging="360"/>
      </w:pPr>
      <w:rPr>
        <w:rFonts w:ascii="Times New Roman" w:eastAsia="Times New Roman" w:hAnsi="Times New Roman" w:cs="Times New Roman"/>
      </w:rPr>
    </w:lvl>
    <w:lvl w:ilvl="1" w:tplc="0C0A0019" w:tentative="1">
      <w:start w:val="1"/>
      <w:numFmt w:val="lowerLetter"/>
      <w:lvlText w:val="%2."/>
      <w:lvlJc w:val="left"/>
      <w:pPr>
        <w:ind w:left="2070" w:hanging="360"/>
      </w:pPr>
    </w:lvl>
    <w:lvl w:ilvl="2" w:tplc="0C0A001B" w:tentative="1">
      <w:start w:val="1"/>
      <w:numFmt w:val="lowerRoman"/>
      <w:lvlText w:val="%3."/>
      <w:lvlJc w:val="right"/>
      <w:pPr>
        <w:ind w:left="2790" w:hanging="180"/>
      </w:pPr>
    </w:lvl>
    <w:lvl w:ilvl="3" w:tplc="0C0A000F" w:tentative="1">
      <w:start w:val="1"/>
      <w:numFmt w:val="decimal"/>
      <w:lvlText w:val="%4."/>
      <w:lvlJc w:val="left"/>
      <w:pPr>
        <w:ind w:left="3510" w:hanging="360"/>
      </w:pPr>
    </w:lvl>
    <w:lvl w:ilvl="4" w:tplc="0C0A0019" w:tentative="1">
      <w:start w:val="1"/>
      <w:numFmt w:val="lowerLetter"/>
      <w:lvlText w:val="%5."/>
      <w:lvlJc w:val="left"/>
      <w:pPr>
        <w:ind w:left="4230" w:hanging="360"/>
      </w:pPr>
    </w:lvl>
    <w:lvl w:ilvl="5" w:tplc="0C0A001B" w:tentative="1">
      <w:start w:val="1"/>
      <w:numFmt w:val="lowerRoman"/>
      <w:lvlText w:val="%6."/>
      <w:lvlJc w:val="right"/>
      <w:pPr>
        <w:ind w:left="4950" w:hanging="180"/>
      </w:pPr>
    </w:lvl>
    <w:lvl w:ilvl="6" w:tplc="0C0A000F" w:tentative="1">
      <w:start w:val="1"/>
      <w:numFmt w:val="decimal"/>
      <w:lvlText w:val="%7."/>
      <w:lvlJc w:val="left"/>
      <w:pPr>
        <w:ind w:left="5670" w:hanging="360"/>
      </w:pPr>
    </w:lvl>
    <w:lvl w:ilvl="7" w:tplc="0C0A0019" w:tentative="1">
      <w:start w:val="1"/>
      <w:numFmt w:val="lowerLetter"/>
      <w:lvlText w:val="%8."/>
      <w:lvlJc w:val="left"/>
      <w:pPr>
        <w:ind w:left="6390" w:hanging="360"/>
      </w:pPr>
    </w:lvl>
    <w:lvl w:ilvl="8" w:tplc="0C0A001B" w:tentative="1">
      <w:start w:val="1"/>
      <w:numFmt w:val="lowerRoman"/>
      <w:lvlText w:val="%9."/>
      <w:lvlJc w:val="right"/>
      <w:pPr>
        <w:ind w:left="7110" w:hanging="180"/>
      </w:pPr>
    </w:lvl>
  </w:abstractNum>
  <w:abstractNum w:abstractNumId="12" w15:restartNumberingAfterBreak="0">
    <w:nsid w:val="1C147299"/>
    <w:multiLevelType w:val="hybridMultilevel"/>
    <w:tmpl w:val="603C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4342DF"/>
    <w:multiLevelType w:val="hybridMultilevel"/>
    <w:tmpl w:val="4CCA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6D4F83"/>
    <w:multiLevelType w:val="hybridMultilevel"/>
    <w:tmpl w:val="21AAC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4DB2974"/>
    <w:multiLevelType w:val="hybridMultilevel"/>
    <w:tmpl w:val="F1F2804A"/>
    <w:lvl w:ilvl="0" w:tplc="04090001">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14A2EA3"/>
    <w:multiLevelType w:val="hybridMultilevel"/>
    <w:tmpl w:val="ADA4F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45F561F"/>
    <w:multiLevelType w:val="hybridMultilevel"/>
    <w:tmpl w:val="FEC0D0BC"/>
    <w:lvl w:ilvl="0" w:tplc="FE7206EC">
      <w:numFmt w:val="bullet"/>
      <w:lvlText w:val="•"/>
      <w:lvlJc w:val="left"/>
      <w:pPr>
        <w:ind w:left="720" w:hanging="360"/>
      </w:pPr>
      <w:rPr>
        <w:rFonts w:ascii="Calibri" w:eastAsiaTheme="minorHAnsi"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2B1A7E"/>
    <w:multiLevelType w:val="hybridMultilevel"/>
    <w:tmpl w:val="38C69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5AE55B3"/>
    <w:multiLevelType w:val="hybridMultilevel"/>
    <w:tmpl w:val="05307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875EE7"/>
    <w:multiLevelType w:val="hybridMultilevel"/>
    <w:tmpl w:val="0D8E5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4A3598"/>
    <w:multiLevelType w:val="hybridMultilevel"/>
    <w:tmpl w:val="8FC2ADF4"/>
    <w:lvl w:ilvl="0" w:tplc="3188AFB8">
      <w:start w:val="10"/>
      <w:numFmt w:val="decimal"/>
      <w:lvlText w:val="%1."/>
      <w:lvlJc w:val="left"/>
      <w:pPr>
        <w:ind w:left="720" w:hanging="360"/>
      </w:pPr>
      <w:rPr>
        <w:b w:val="0"/>
      </w:rPr>
    </w:lvl>
    <w:lvl w:ilvl="1" w:tplc="E6DAE756">
      <w:start w:val="1"/>
      <w:numFmt w:val="lowerLetter"/>
      <w:lvlText w:val="(%2)"/>
      <w:lvlJc w:val="left"/>
      <w:pPr>
        <w:ind w:left="1890" w:hanging="360"/>
      </w:pPr>
      <w:rPr>
        <w:rFonts w:ascii="Times New Roman" w:eastAsia="Times New Roman" w:hAnsi="Times New Roman" w:cs="Times New Roman" w:hint="default"/>
      </w:rPr>
    </w:lvl>
    <w:lvl w:ilvl="2" w:tplc="4BE29E5A">
      <w:start w:val="1"/>
      <w:numFmt w:val="lowerLetter"/>
      <w:lvlText w:val="(%3)"/>
      <w:lvlJc w:val="right"/>
      <w:pPr>
        <w:ind w:left="2160" w:hanging="180"/>
      </w:pPr>
      <w:rPr>
        <w:rFonts w:ascii="Times New Roman" w:eastAsia="Times New Roman" w:hAnsi="Times New Roman" w:cs="Times New Roman"/>
      </w:rPr>
    </w:lvl>
    <w:lvl w:ilvl="3" w:tplc="5B16B29C">
      <w:start w:val="1"/>
      <w:numFmt w:val="lowerLetter"/>
      <w:lvlText w:val="(%4)"/>
      <w:lvlJc w:val="left"/>
      <w:pPr>
        <w:ind w:left="2880" w:hanging="360"/>
      </w:pPr>
      <w:rPr>
        <w:rFonts w:hint="default"/>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BA14CF"/>
    <w:multiLevelType w:val="hybridMultilevel"/>
    <w:tmpl w:val="0BD420FC"/>
    <w:lvl w:ilvl="0" w:tplc="3188AFB8">
      <w:start w:val="10"/>
      <w:numFmt w:val="decimal"/>
      <w:lvlText w:val="%1."/>
      <w:lvlJc w:val="left"/>
      <w:pPr>
        <w:ind w:left="720" w:hanging="360"/>
      </w:pPr>
      <w:rPr>
        <w:b w:val="0"/>
      </w:rPr>
    </w:lvl>
    <w:lvl w:ilvl="1" w:tplc="E6DAE756">
      <w:start w:val="1"/>
      <w:numFmt w:val="lowerLetter"/>
      <w:lvlText w:val="(%2)"/>
      <w:lvlJc w:val="left"/>
      <w:pPr>
        <w:ind w:left="1440" w:hanging="360"/>
      </w:pPr>
      <w:rPr>
        <w:rFonts w:ascii="Times New Roman" w:eastAsia="Times New Roman" w:hAnsi="Times New Roman" w:cs="Times New Roman" w:hint="default"/>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E8754CB"/>
    <w:multiLevelType w:val="hybridMultilevel"/>
    <w:tmpl w:val="8E7007CC"/>
    <w:lvl w:ilvl="0" w:tplc="FE7206EC">
      <w:numFmt w:val="bullet"/>
      <w:lvlText w:val="•"/>
      <w:lvlJc w:val="left"/>
      <w:pPr>
        <w:ind w:left="720" w:hanging="360"/>
      </w:pPr>
      <w:rPr>
        <w:rFonts w:ascii="Calibri" w:eastAsiaTheme="minorHAnsi"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97346CF"/>
    <w:multiLevelType w:val="hybridMultilevel"/>
    <w:tmpl w:val="6AB64D24"/>
    <w:lvl w:ilvl="0" w:tplc="3188AFB8">
      <w:start w:val="10"/>
      <w:numFmt w:val="decimal"/>
      <w:lvlText w:val="%1."/>
      <w:lvlJc w:val="left"/>
      <w:pPr>
        <w:ind w:left="720" w:hanging="360"/>
      </w:pPr>
      <w:rPr>
        <w:b w:val="0"/>
      </w:rPr>
    </w:lvl>
    <w:lvl w:ilvl="1" w:tplc="E6DAE756">
      <w:start w:val="1"/>
      <w:numFmt w:val="lowerLetter"/>
      <w:lvlText w:val="(%2)"/>
      <w:lvlJc w:val="left"/>
      <w:pPr>
        <w:ind w:left="1890" w:hanging="360"/>
      </w:pPr>
      <w:rPr>
        <w:rFonts w:ascii="Times New Roman" w:eastAsia="Times New Roman" w:hAnsi="Times New Roman" w:cs="Times New Roman" w:hint="default"/>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734707"/>
    <w:multiLevelType w:val="hybridMultilevel"/>
    <w:tmpl w:val="45763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AA829D6"/>
    <w:multiLevelType w:val="hybridMultilevel"/>
    <w:tmpl w:val="873A5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AE26CA0"/>
    <w:multiLevelType w:val="hybridMultilevel"/>
    <w:tmpl w:val="4022EA08"/>
    <w:lvl w:ilvl="0" w:tplc="72D86ABE">
      <w:start w:val="8"/>
      <w:numFmt w:val="bullet"/>
      <w:lvlText w:val="•"/>
      <w:lvlJc w:val="left"/>
      <w:pPr>
        <w:ind w:left="870" w:hanging="51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022AA6"/>
    <w:multiLevelType w:val="hybridMultilevel"/>
    <w:tmpl w:val="4204DF28"/>
    <w:lvl w:ilvl="0" w:tplc="3188AFB8">
      <w:start w:val="10"/>
      <w:numFmt w:val="decimal"/>
      <w:lvlText w:val="%1."/>
      <w:lvlJc w:val="left"/>
      <w:pPr>
        <w:ind w:left="720" w:hanging="360"/>
      </w:pPr>
      <w:rPr>
        <w:b w:val="0"/>
      </w:rPr>
    </w:lvl>
    <w:lvl w:ilvl="1" w:tplc="E6DAE756">
      <w:start w:val="1"/>
      <w:numFmt w:val="lowerLetter"/>
      <w:lvlText w:val="(%2)"/>
      <w:lvlJc w:val="left"/>
      <w:pPr>
        <w:ind w:left="1890" w:hanging="360"/>
      </w:pPr>
      <w:rPr>
        <w:rFonts w:ascii="Times New Roman" w:eastAsia="Times New Roman" w:hAnsi="Times New Roman" w:cs="Times New Roman" w:hint="default"/>
      </w:rPr>
    </w:lvl>
    <w:lvl w:ilvl="2" w:tplc="4BE29E5A">
      <w:start w:val="1"/>
      <w:numFmt w:val="lowerLetter"/>
      <w:lvlText w:val="(%3)"/>
      <w:lvlJc w:val="right"/>
      <w:pPr>
        <w:ind w:left="2160" w:hanging="180"/>
      </w:pPr>
      <w:rPr>
        <w:rFonts w:ascii="Times New Roman" w:eastAsia="Times New Roman" w:hAnsi="Times New Roman" w:cs="Times New Roman"/>
      </w:rPr>
    </w:lvl>
    <w:lvl w:ilvl="3" w:tplc="C50837C2">
      <w:start w:val="10"/>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425A74"/>
    <w:multiLevelType w:val="hybridMultilevel"/>
    <w:tmpl w:val="235A821E"/>
    <w:lvl w:ilvl="0" w:tplc="0C0C0015">
      <w:start w:val="1"/>
      <w:numFmt w:val="upperLetter"/>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630C1533"/>
    <w:multiLevelType w:val="hybridMultilevel"/>
    <w:tmpl w:val="FF66A0EA"/>
    <w:lvl w:ilvl="0" w:tplc="7B82C9EA">
      <w:start w:val="1"/>
      <w:numFmt w:val="lowerLetter"/>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8" w15:restartNumberingAfterBreak="0">
    <w:nsid w:val="69DD2293"/>
    <w:multiLevelType w:val="hybridMultilevel"/>
    <w:tmpl w:val="2062CDA0"/>
    <w:lvl w:ilvl="0" w:tplc="7B82C9EA">
      <w:start w:val="1"/>
      <w:numFmt w:val="lowerLetter"/>
      <w:lvlText w:val="(%1)"/>
      <w:lvlJc w:val="left"/>
      <w:pPr>
        <w:tabs>
          <w:tab w:val="num" w:pos="540"/>
        </w:tabs>
        <w:ind w:left="540" w:hanging="360"/>
      </w:pPr>
      <w:rPr>
        <w:rFonts w:ascii="Times New Roman" w:eastAsia="Times New Roman" w:hAnsi="Times New Roman" w:cs="Times New Roman" w:hint="default"/>
        <w:b w:val="0"/>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6D1F1302"/>
    <w:multiLevelType w:val="hybridMultilevel"/>
    <w:tmpl w:val="B1DCCDE4"/>
    <w:lvl w:ilvl="0" w:tplc="72D86ABE">
      <w:start w:val="8"/>
      <w:numFmt w:val="bullet"/>
      <w:lvlText w:val="•"/>
      <w:lvlJc w:val="left"/>
      <w:pPr>
        <w:ind w:left="870" w:hanging="51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FB725F"/>
    <w:multiLevelType w:val="hybridMultilevel"/>
    <w:tmpl w:val="A1CA703E"/>
    <w:lvl w:ilvl="0" w:tplc="7112260A">
      <w:start w:val="1"/>
      <w:numFmt w:val="decimal"/>
      <w:lvlText w:val="%1."/>
      <w:lvlJc w:val="left"/>
      <w:pPr>
        <w:tabs>
          <w:tab w:val="num" w:pos="540"/>
        </w:tabs>
        <w:ind w:left="540" w:hanging="360"/>
      </w:pPr>
      <w:rPr>
        <w:rFonts w:ascii="Times New Roman" w:hAnsi="Times New Roman" w:cs="Times New Roman" w:hint="default"/>
        <w:b w:val="0"/>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15:restartNumberingAfterBreak="0">
    <w:nsid w:val="6F304E5C"/>
    <w:multiLevelType w:val="multilevel"/>
    <w:tmpl w:val="45E4BE68"/>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2" w15:restartNumberingAfterBreak="0">
    <w:nsid w:val="6F45775C"/>
    <w:multiLevelType w:val="hybridMultilevel"/>
    <w:tmpl w:val="B798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D33E2F"/>
    <w:multiLevelType w:val="hybridMultilevel"/>
    <w:tmpl w:val="A2148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110FF"/>
    <w:multiLevelType w:val="hybridMultilevel"/>
    <w:tmpl w:val="94DA0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7623113"/>
    <w:multiLevelType w:val="hybridMultilevel"/>
    <w:tmpl w:val="A306C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8D4362A"/>
    <w:multiLevelType w:val="hybridMultilevel"/>
    <w:tmpl w:val="724E8402"/>
    <w:lvl w:ilvl="0" w:tplc="A08A5AE0">
      <w:start w:val="1"/>
      <w:numFmt w:val="decimal"/>
      <w:lvlText w:val="%1."/>
      <w:lvlJc w:val="left"/>
      <w:pPr>
        <w:tabs>
          <w:tab w:val="num" w:pos="540"/>
        </w:tabs>
        <w:ind w:left="540" w:hanging="360"/>
      </w:pPr>
      <w:rPr>
        <w:rFonts w:ascii="Times New Roman" w:hAnsi="Times New Roman" w:cs="Times New Roman" w:hint="default"/>
        <w:b w:val="0"/>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7" w15:restartNumberingAfterBreak="0">
    <w:nsid w:val="79365F83"/>
    <w:multiLevelType w:val="hybridMultilevel"/>
    <w:tmpl w:val="68FE6316"/>
    <w:lvl w:ilvl="0" w:tplc="3188AFB8">
      <w:start w:val="10"/>
      <w:numFmt w:val="decimal"/>
      <w:lvlText w:val="%1."/>
      <w:lvlJc w:val="left"/>
      <w:pPr>
        <w:ind w:left="720" w:hanging="360"/>
      </w:pPr>
      <w:rPr>
        <w:b w:val="0"/>
      </w:rPr>
    </w:lvl>
    <w:lvl w:ilvl="1" w:tplc="CADAA784">
      <w:start w:val="1"/>
      <w:numFmt w:val="lowerLetter"/>
      <w:lvlText w:val="(%2)"/>
      <w:lvlJc w:val="left"/>
      <w:pPr>
        <w:ind w:left="1440" w:hanging="360"/>
      </w:pPr>
      <w:rPr>
        <w:rFonts w:ascii="Times New Roman" w:eastAsia="Times New Roman" w:hAnsi="Times New Roman" w:cs="Times New Roman" w:hint="default"/>
        <w:i w:val="0"/>
        <w:iCs w:val="0"/>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B65F56"/>
    <w:multiLevelType w:val="hybridMultilevel"/>
    <w:tmpl w:val="6458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8627E3"/>
    <w:multiLevelType w:val="hybridMultilevel"/>
    <w:tmpl w:val="95D47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F6E6162"/>
    <w:multiLevelType w:val="hybridMultilevel"/>
    <w:tmpl w:val="6F742FC8"/>
    <w:lvl w:ilvl="0" w:tplc="5B16B29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7"/>
  </w:num>
  <w:num w:numId="3">
    <w:abstractNumId w:val="21"/>
  </w:num>
  <w:num w:numId="4">
    <w:abstractNumId w:val="27"/>
  </w:num>
  <w:num w:numId="5">
    <w:abstractNumId w:val="24"/>
  </w:num>
  <w:num w:numId="6">
    <w:abstractNumId w:val="46"/>
  </w:num>
  <w:num w:numId="7">
    <w:abstractNumId w:val="9"/>
  </w:num>
  <w:num w:numId="8">
    <w:abstractNumId w:val="5"/>
  </w:num>
  <w:num w:numId="9">
    <w:abstractNumId w:val="41"/>
  </w:num>
  <w:num w:numId="10">
    <w:abstractNumId w:val="26"/>
  </w:num>
  <w:num w:numId="11">
    <w:abstractNumId w:val="47"/>
  </w:num>
  <w:num w:numId="12">
    <w:abstractNumId w:val="25"/>
  </w:num>
  <w:num w:numId="13">
    <w:abstractNumId w:val="30"/>
  </w:num>
  <w:num w:numId="14">
    <w:abstractNumId w:val="34"/>
  </w:num>
  <w:num w:numId="15">
    <w:abstractNumId w:val="36"/>
  </w:num>
  <w:num w:numId="16">
    <w:abstractNumId w:val="38"/>
  </w:num>
  <w:num w:numId="17">
    <w:abstractNumId w:val="11"/>
  </w:num>
  <w:num w:numId="18">
    <w:abstractNumId w:val="40"/>
  </w:num>
  <w:num w:numId="19">
    <w:abstractNumId w:val="50"/>
  </w:num>
  <w:num w:numId="20">
    <w:abstractNumId w:val="2"/>
  </w:num>
  <w:num w:numId="21">
    <w:abstractNumId w:val="27"/>
  </w:num>
  <w:num w:numId="22">
    <w:abstractNumId w:val="27"/>
  </w:num>
  <w:num w:numId="23">
    <w:abstractNumId w:val="27"/>
  </w:num>
  <w:num w:numId="24">
    <w:abstractNumId w:val="27"/>
  </w:num>
  <w:num w:numId="25">
    <w:abstractNumId w:val="27"/>
  </w:num>
  <w:num w:numId="26">
    <w:abstractNumId w:val="27"/>
  </w:num>
  <w:num w:numId="27">
    <w:abstractNumId w:val="27"/>
  </w:num>
  <w:num w:numId="28">
    <w:abstractNumId w:val="27"/>
  </w:num>
  <w:num w:numId="29">
    <w:abstractNumId w:val="27"/>
  </w:num>
  <w:num w:numId="30">
    <w:abstractNumId w:val="27"/>
  </w:num>
  <w:num w:numId="31">
    <w:abstractNumId w:val="27"/>
  </w:num>
  <w:num w:numId="32">
    <w:abstractNumId w:val="27"/>
  </w:num>
  <w:num w:numId="33">
    <w:abstractNumId w:val="27"/>
  </w:num>
  <w:num w:numId="34">
    <w:abstractNumId w:val="35"/>
  </w:num>
  <w:num w:numId="35">
    <w:abstractNumId w:val="27"/>
  </w:num>
  <w:num w:numId="36">
    <w:abstractNumId w:val="37"/>
  </w:num>
  <w:num w:numId="37">
    <w:abstractNumId w:val="16"/>
  </w:num>
  <w:num w:numId="38">
    <w:abstractNumId w:val="4"/>
  </w:num>
  <w:num w:numId="39">
    <w:abstractNumId w:val="29"/>
  </w:num>
  <w:num w:numId="40">
    <w:abstractNumId w:val="1"/>
  </w:num>
  <w:num w:numId="41">
    <w:abstractNumId w:val="23"/>
  </w:num>
  <w:num w:numId="42">
    <w:abstractNumId w:val="7"/>
  </w:num>
  <w:num w:numId="43">
    <w:abstractNumId w:val="45"/>
  </w:num>
  <w:num w:numId="44">
    <w:abstractNumId w:val="44"/>
  </w:num>
  <w:num w:numId="45">
    <w:abstractNumId w:val="18"/>
  </w:num>
  <w:num w:numId="46">
    <w:abstractNumId w:val="32"/>
  </w:num>
  <w:num w:numId="47">
    <w:abstractNumId w:val="31"/>
  </w:num>
  <w:num w:numId="48">
    <w:abstractNumId w:val="3"/>
  </w:num>
  <w:num w:numId="49">
    <w:abstractNumId w:val="20"/>
  </w:num>
  <w:num w:numId="50">
    <w:abstractNumId w:val="14"/>
  </w:num>
  <w:num w:numId="51">
    <w:abstractNumId w:val="10"/>
  </w:num>
  <w:num w:numId="52">
    <w:abstractNumId w:val="43"/>
  </w:num>
  <w:num w:numId="53">
    <w:abstractNumId w:val="22"/>
  </w:num>
  <w:num w:numId="54">
    <w:abstractNumId w:val="42"/>
  </w:num>
  <w:num w:numId="55">
    <w:abstractNumId w:val="12"/>
  </w:num>
  <w:num w:numId="56">
    <w:abstractNumId w:val="13"/>
  </w:num>
  <w:num w:numId="57">
    <w:abstractNumId w:val="48"/>
  </w:num>
  <w:num w:numId="58">
    <w:abstractNumId w:val="6"/>
  </w:num>
  <w:num w:numId="59">
    <w:abstractNumId w:val="0"/>
  </w:num>
  <w:num w:numId="60">
    <w:abstractNumId w:val="15"/>
  </w:num>
  <w:num w:numId="61">
    <w:abstractNumId w:val="39"/>
  </w:num>
  <w:num w:numId="62">
    <w:abstractNumId w:val="28"/>
  </w:num>
  <w:num w:numId="63">
    <w:abstractNumId w:val="19"/>
  </w:num>
  <w:num w:numId="64">
    <w:abstractNumId w:val="33"/>
  </w:num>
  <w:num w:numId="65">
    <w:abstractNumId w:val="49"/>
  </w:num>
  <w:num w:numId="66">
    <w:abstractNumId w:val="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0304"/>
    <w:rsid w:val="000030BF"/>
    <w:rsid w:val="000064E9"/>
    <w:rsid w:val="00010828"/>
    <w:rsid w:val="00010EF7"/>
    <w:rsid w:val="000120FC"/>
    <w:rsid w:val="00014202"/>
    <w:rsid w:val="000146A2"/>
    <w:rsid w:val="00016251"/>
    <w:rsid w:val="00020295"/>
    <w:rsid w:val="000219AC"/>
    <w:rsid w:val="00022961"/>
    <w:rsid w:val="0002340E"/>
    <w:rsid w:val="00025AC1"/>
    <w:rsid w:val="00025D8F"/>
    <w:rsid w:val="00030C79"/>
    <w:rsid w:val="00031D24"/>
    <w:rsid w:val="00031F26"/>
    <w:rsid w:val="00032509"/>
    <w:rsid w:val="00033843"/>
    <w:rsid w:val="00035653"/>
    <w:rsid w:val="00037873"/>
    <w:rsid w:val="00041CDE"/>
    <w:rsid w:val="000428F5"/>
    <w:rsid w:val="00042EB6"/>
    <w:rsid w:val="0004321D"/>
    <w:rsid w:val="00050572"/>
    <w:rsid w:val="00051B64"/>
    <w:rsid w:val="0005237E"/>
    <w:rsid w:val="00053C45"/>
    <w:rsid w:val="00054381"/>
    <w:rsid w:val="00054C36"/>
    <w:rsid w:val="00054E0D"/>
    <w:rsid w:val="00062695"/>
    <w:rsid w:val="00063E89"/>
    <w:rsid w:val="000649DC"/>
    <w:rsid w:val="00065E6A"/>
    <w:rsid w:val="000660D4"/>
    <w:rsid w:val="000711E1"/>
    <w:rsid w:val="000732E1"/>
    <w:rsid w:val="00073708"/>
    <w:rsid w:val="0007615F"/>
    <w:rsid w:val="00076D94"/>
    <w:rsid w:val="00077304"/>
    <w:rsid w:val="0007764D"/>
    <w:rsid w:val="0008061C"/>
    <w:rsid w:val="00081664"/>
    <w:rsid w:val="0008275D"/>
    <w:rsid w:val="000850AA"/>
    <w:rsid w:val="0008539E"/>
    <w:rsid w:val="00086D99"/>
    <w:rsid w:val="00090732"/>
    <w:rsid w:val="00091299"/>
    <w:rsid w:val="00091967"/>
    <w:rsid w:val="00094120"/>
    <w:rsid w:val="00094463"/>
    <w:rsid w:val="0009465E"/>
    <w:rsid w:val="0009484C"/>
    <w:rsid w:val="000950A0"/>
    <w:rsid w:val="000960BA"/>
    <w:rsid w:val="000974B3"/>
    <w:rsid w:val="000A5E07"/>
    <w:rsid w:val="000A64F4"/>
    <w:rsid w:val="000A78C6"/>
    <w:rsid w:val="000A7CD3"/>
    <w:rsid w:val="000A7FD3"/>
    <w:rsid w:val="000B0649"/>
    <w:rsid w:val="000B1578"/>
    <w:rsid w:val="000B2BD3"/>
    <w:rsid w:val="000B4374"/>
    <w:rsid w:val="000B47EA"/>
    <w:rsid w:val="000B62A7"/>
    <w:rsid w:val="000C4344"/>
    <w:rsid w:val="000C48B4"/>
    <w:rsid w:val="000C5AA7"/>
    <w:rsid w:val="000C5BB9"/>
    <w:rsid w:val="000C71E8"/>
    <w:rsid w:val="000C74D9"/>
    <w:rsid w:val="000C7B9E"/>
    <w:rsid w:val="000D055C"/>
    <w:rsid w:val="000D0BBE"/>
    <w:rsid w:val="000D1131"/>
    <w:rsid w:val="000D17ED"/>
    <w:rsid w:val="000D2448"/>
    <w:rsid w:val="000D49B4"/>
    <w:rsid w:val="000D50A1"/>
    <w:rsid w:val="000D7455"/>
    <w:rsid w:val="000E27CF"/>
    <w:rsid w:val="000E637D"/>
    <w:rsid w:val="000E6B6E"/>
    <w:rsid w:val="000E748B"/>
    <w:rsid w:val="000E7762"/>
    <w:rsid w:val="000E7E6A"/>
    <w:rsid w:val="000F057E"/>
    <w:rsid w:val="000F0AEB"/>
    <w:rsid w:val="000F17D5"/>
    <w:rsid w:val="000F1F1B"/>
    <w:rsid w:val="000F31EA"/>
    <w:rsid w:val="000F3F42"/>
    <w:rsid w:val="000F46CB"/>
    <w:rsid w:val="000F5A71"/>
    <w:rsid w:val="000F6031"/>
    <w:rsid w:val="000F6210"/>
    <w:rsid w:val="000F63AB"/>
    <w:rsid w:val="000F6492"/>
    <w:rsid w:val="000F6CDF"/>
    <w:rsid w:val="00101900"/>
    <w:rsid w:val="00102DD2"/>
    <w:rsid w:val="00106645"/>
    <w:rsid w:val="001073FE"/>
    <w:rsid w:val="00107743"/>
    <w:rsid w:val="00107793"/>
    <w:rsid w:val="00107FC6"/>
    <w:rsid w:val="00110661"/>
    <w:rsid w:val="00110853"/>
    <w:rsid w:val="00112647"/>
    <w:rsid w:val="00117B7E"/>
    <w:rsid w:val="0012214B"/>
    <w:rsid w:val="00123FDF"/>
    <w:rsid w:val="00124D75"/>
    <w:rsid w:val="001307A2"/>
    <w:rsid w:val="00131C85"/>
    <w:rsid w:val="001340BA"/>
    <w:rsid w:val="00136AFB"/>
    <w:rsid w:val="00140716"/>
    <w:rsid w:val="001410F4"/>
    <w:rsid w:val="001413E6"/>
    <w:rsid w:val="0014291F"/>
    <w:rsid w:val="00143A8A"/>
    <w:rsid w:val="00144261"/>
    <w:rsid w:val="001471D6"/>
    <w:rsid w:val="001476F6"/>
    <w:rsid w:val="00150836"/>
    <w:rsid w:val="001522D0"/>
    <w:rsid w:val="001529C2"/>
    <w:rsid w:val="001540A5"/>
    <w:rsid w:val="00154339"/>
    <w:rsid w:val="00155DC1"/>
    <w:rsid w:val="00155EFD"/>
    <w:rsid w:val="00157BB6"/>
    <w:rsid w:val="001608FA"/>
    <w:rsid w:val="001643E8"/>
    <w:rsid w:val="00166367"/>
    <w:rsid w:val="00171BDC"/>
    <w:rsid w:val="00173A32"/>
    <w:rsid w:val="0017442E"/>
    <w:rsid w:val="0017587D"/>
    <w:rsid w:val="001770D3"/>
    <w:rsid w:val="001772B8"/>
    <w:rsid w:val="00185E57"/>
    <w:rsid w:val="00185F08"/>
    <w:rsid w:val="001917E0"/>
    <w:rsid w:val="00192E06"/>
    <w:rsid w:val="00194DF4"/>
    <w:rsid w:val="001951F4"/>
    <w:rsid w:val="001A1CF3"/>
    <w:rsid w:val="001A4BB1"/>
    <w:rsid w:val="001A5072"/>
    <w:rsid w:val="001A5DAA"/>
    <w:rsid w:val="001A6F1F"/>
    <w:rsid w:val="001A7941"/>
    <w:rsid w:val="001B059E"/>
    <w:rsid w:val="001B1630"/>
    <w:rsid w:val="001B27C1"/>
    <w:rsid w:val="001B5801"/>
    <w:rsid w:val="001B7ACD"/>
    <w:rsid w:val="001C2CBA"/>
    <w:rsid w:val="001C3007"/>
    <w:rsid w:val="001C354E"/>
    <w:rsid w:val="001C36B1"/>
    <w:rsid w:val="001C406B"/>
    <w:rsid w:val="001C5594"/>
    <w:rsid w:val="001C7AED"/>
    <w:rsid w:val="001D0007"/>
    <w:rsid w:val="001D30AF"/>
    <w:rsid w:val="001D42A9"/>
    <w:rsid w:val="001D4636"/>
    <w:rsid w:val="001D4B85"/>
    <w:rsid w:val="001D58A8"/>
    <w:rsid w:val="001D6ABC"/>
    <w:rsid w:val="001D7797"/>
    <w:rsid w:val="001D7B50"/>
    <w:rsid w:val="001E1730"/>
    <w:rsid w:val="001E2453"/>
    <w:rsid w:val="001E3C2A"/>
    <w:rsid w:val="001E4FE5"/>
    <w:rsid w:val="001E647C"/>
    <w:rsid w:val="001E71D8"/>
    <w:rsid w:val="001F1AD6"/>
    <w:rsid w:val="001F4992"/>
    <w:rsid w:val="001F5E96"/>
    <w:rsid w:val="001F6379"/>
    <w:rsid w:val="00201B40"/>
    <w:rsid w:val="00204415"/>
    <w:rsid w:val="00207A6E"/>
    <w:rsid w:val="00207E52"/>
    <w:rsid w:val="0021234B"/>
    <w:rsid w:val="00213F39"/>
    <w:rsid w:val="00213FF5"/>
    <w:rsid w:val="0021439F"/>
    <w:rsid w:val="00214497"/>
    <w:rsid w:val="00214896"/>
    <w:rsid w:val="00216091"/>
    <w:rsid w:val="00224B92"/>
    <w:rsid w:val="002315B3"/>
    <w:rsid w:val="00231FA0"/>
    <w:rsid w:val="002321F3"/>
    <w:rsid w:val="00232464"/>
    <w:rsid w:val="00232B53"/>
    <w:rsid w:val="002357E1"/>
    <w:rsid w:val="00240947"/>
    <w:rsid w:val="00240F94"/>
    <w:rsid w:val="00243471"/>
    <w:rsid w:val="0024600F"/>
    <w:rsid w:val="002464B1"/>
    <w:rsid w:val="00247865"/>
    <w:rsid w:val="00250D5A"/>
    <w:rsid w:val="0025104E"/>
    <w:rsid w:val="00252624"/>
    <w:rsid w:val="00252897"/>
    <w:rsid w:val="00252F67"/>
    <w:rsid w:val="00260C41"/>
    <w:rsid w:val="00261973"/>
    <w:rsid w:val="00261F25"/>
    <w:rsid w:val="002629F8"/>
    <w:rsid w:val="00263F0C"/>
    <w:rsid w:val="00263FCC"/>
    <w:rsid w:val="0026412A"/>
    <w:rsid w:val="00264932"/>
    <w:rsid w:val="0026538E"/>
    <w:rsid w:val="002735DA"/>
    <w:rsid w:val="00276392"/>
    <w:rsid w:val="0027680D"/>
    <w:rsid w:val="00281F17"/>
    <w:rsid w:val="00283D97"/>
    <w:rsid w:val="002851E0"/>
    <w:rsid w:val="00285ECF"/>
    <w:rsid w:val="0029039D"/>
    <w:rsid w:val="00292B66"/>
    <w:rsid w:val="00292F67"/>
    <w:rsid w:val="00293213"/>
    <w:rsid w:val="0029684E"/>
    <w:rsid w:val="002A1E84"/>
    <w:rsid w:val="002A4773"/>
    <w:rsid w:val="002A5522"/>
    <w:rsid w:val="002A7408"/>
    <w:rsid w:val="002A749E"/>
    <w:rsid w:val="002B0942"/>
    <w:rsid w:val="002B2F2F"/>
    <w:rsid w:val="002B4D59"/>
    <w:rsid w:val="002C2D11"/>
    <w:rsid w:val="002C2D3D"/>
    <w:rsid w:val="002C4126"/>
    <w:rsid w:val="002C48A7"/>
    <w:rsid w:val="002C4BDB"/>
    <w:rsid w:val="002C5242"/>
    <w:rsid w:val="002C537E"/>
    <w:rsid w:val="002C6891"/>
    <w:rsid w:val="002C72D5"/>
    <w:rsid w:val="002D17FC"/>
    <w:rsid w:val="002D1A4D"/>
    <w:rsid w:val="002D2129"/>
    <w:rsid w:val="002D355B"/>
    <w:rsid w:val="002D7271"/>
    <w:rsid w:val="002E0627"/>
    <w:rsid w:val="002E1D3A"/>
    <w:rsid w:val="002E3198"/>
    <w:rsid w:val="002E4427"/>
    <w:rsid w:val="002E5ACE"/>
    <w:rsid w:val="002E62B3"/>
    <w:rsid w:val="002E7402"/>
    <w:rsid w:val="002E7456"/>
    <w:rsid w:val="002F2A36"/>
    <w:rsid w:val="002F2EF7"/>
    <w:rsid w:val="002F4654"/>
    <w:rsid w:val="0030089E"/>
    <w:rsid w:val="00301AE3"/>
    <w:rsid w:val="00302889"/>
    <w:rsid w:val="00306DC5"/>
    <w:rsid w:val="003102CD"/>
    <w:rsid w:val="0031060D"/>
    <w:rsid w:val="00310FA1"/>
    <w:rsid w:val="0031106B"/>
    <w:rsid w:val="00311F35"/>
    <w:rsid w:val="0031622D"/>
    <w:rsid w:val="003165A6"/>
    <w:rsid w:val="0031674C"/>
    <w:rsid w:val="003210FF"/>
    <w:rsid w:val="003213DC"/>
    <w:rsid w:val="0032355B"/>
    <w:rsid w:val="00324E55"/>
    <w:rsid w:val="00324EB3"/>
    <w:rsid w:val="00325A4F"/>
    <w:rsid w:val="00325DE3"/>
    <w:rsid w:val="00326711"/>
    <w:rsid w:val="00327265"/>
    <w:rsid w:val="003275EB"/>
    <w:rsid w:val="00330120"/>
    <w:rsid w:val="0033045A"/>
    <w:rsid w:val="003307EE"/>
    <w:rsid w:val="00330D2D"/>
    <w:rsid w:val="003329FB"/>
    <w:rsid w:val="00334530"/>
    <w:rsid w:val="0033518C"/>
    <w:rsid w:val="003359B7"/>
    <w:rsid w:val="00336766"/>
    <w:rsid w:val="003400BF"/>
    <w:rsid w:val="00341981"/>
    <w:rsid w:val="00344D0C"/>
    <w:rsid w:val="0035167A"/>
    <w:rsid w:val="00353C6D"/>
    <w:rsid w:val="00354F1B"/>
    <w:rsid w:val="003551B4"/>
    <w:rsid w:val="0035527A"/>
    <w:rsid w:val="00361B87"/>
    <w:rsid w:val="00361D6F"/>
    <w:rsid w:val="00365BC5"/>
    <w:rsid w:val="003661D4"/>
    <w:rsid w:val="003705B4"/>
    <w:rsid w:val="00370FC0"/>
    <w:rsid w:val="00372D81"/>
    <w:rsid w:val="003733B2"/>
    <w:rsid w:val="00373A22"/>
    <w:rsid w:val="0037784A"/>
    <w:rsid w:val="00381B6F"/>
    <w:rsid w:val="003822C0"/>
    <w:rsid w:val="00384170"/>
    <w:rsid w:val="00390B4E"/>
    <w:rsid w:val="003913CE"/>
    <w:rsid w:val="003A1097"/>
    <w:rsid w:val="003A3225"/>
    <w:rsid w:val="003A5815"/>
    <w:rsid w:val="003A6352"/>
    <w:rsid w:val="003A6936"/>
    <w:rsid w:val="003A6A32"/>
    <w:rsid w:val="003A7790"/>
    <w:rsid w:val="003B01CF"/>
    <w:rsid w:val="003B0946"/>
    <w:rsid w:val="003B10B9"/>
    <w:rsid w:val="003B2485"/>
    <w:rsid w:val="003B2FAB"/>
    <w:rsid w:val="003B3970"/>
    <w:rsid w:val="003B4AD9"/>
    <w:rsid w:val="003B505D"/>
    <w:rsid w:val="003B53D4"/>
    <w:rsid w:val="003B64CF"/>
    <w:rsid w:val="003B743A"/>
    <w:rsid w:val="003C113F"/>
    <w:rsid w:val="003C23BC"/>
    <w:rsid w:val="003C3919"/>
    <w:rsid w:val="003C4C3B"/>
    <w:rsid w:val="003C5785"/>
    <w:rsid w:val="003C76DE"/>
    <w:rsid w:val="003C79D4"/>
    <w:rsid w:val="003D0B48"/>
    <w:rsid w:val="003D6245"/>
    <w:rsid w:val="003D7A41"/>
    <w:rsid w:val="003E23DB"/>
    <w:rsid w:val="003E2DAE"/>
    <w:rsid w:val="003E2FA9"/>
    <w:rsid w:val="003E45A9"/>
    <w:rsid w:val="003E47EF"/>
    <w:rsid w:val="003E7334"/>
    <w:rsid w:val="003F0B83"/>
    <w:rsid w:val="003F0FE0"/>
    <w:rsid w:val="003F26C3"/>
    <w:rsid w:val="003F4638"/>
    <w:rsid w:val="003F4BD5"/>
    <w:rsid w:val="003F6E44"/>
    <w:rsid w:val="003F7AE4"/>
    <w:rsid w:val="00400E62"/>
    <w:rsid w:val="00401D7D"/>
    <w:rsid w:val="00403EA3"/>
    <w:rsid w:val="004040CD"/>
    <w:rsid w:val="0040583C"/>
    <w:rsid w:val="0040653C"/>
    <w:rsid w:val="00406BC6"/>
    <w:rsid w:val="0041170B"/>
    <w:rsid w:val="0041172D"/>
    <w:rsid w:val="00412F15"/>
    <w:rsid w:val="004140D7"/>
    <w:rsid w:val="004144CF"/>
    <w:rsid w:val="004149D3"/>
    <w:rsid w:val="00414D32"/>
    <w:rsid w:val="004155DA"/>
    <w:rsid w:val="00415FA6"/>
    <w:rsid w:val="004167D8"/>
    <w:rsid w:val="004250D3"/>
    <w:rsid w:val="004266CC"/>
    <w:rsid w:val="004312EA"/>
    <w:rsid w:val="00436224"/>
    <w:rsid w:val="00436625"/>
    <w:rsid w:val="00436A35"/>
    <w:rsid w:val="00437636"/>
    <w:rsid w:val="00437C6E"/>
    <w:rsid w:val="00440B66"/>
    <w:rsid w:val="00441481"/>
    <w:rsid w:val="0044190C"/>
    <w:rsid w:val="004422F8"/>
    <w:rsid w:val="00443843"/>
    <w:rsid w:val="00443E38"/>
    <w:rsid w:val="0044424E"/>
    <w:rsid w:val="00444A98"/>
    <w:rsid w:val="0045536D"/>
    <w:rsid w:val="00455906"/>
    <w:rsid w:val="00460413"/>
    <w:rsid w:val="004615CA"/>
    <w:rsid w:val="00466C1E"/>
    <w:rsid w:val="00467A12"/>
    <w:rsid w:val="004733E8"/>
    <w:rsid w:val="0047567E"/>
    <w:rsid w:val="004763E0"/>
    <w:rsid w:val="00477CD9"/>
    <w:rsid w:val="00480F82"/>
    <w:rsid w:val="00482CAA"/>
    <w:rsid w:val="00483D33"/>
    <w:rsid w:val="00490254"/>
    <w:rsid w:val="00490CE3"/>
    <w:rsid w:val="00492E7F"/>
    <w:rsid w:val="00494094"/>
    <w:rsid w:val="004972EB"/>
    <w:rsid w:val="004A0D65"/>
    <w:rsid w:val="004A137E"/>
    <w:rsid w:val="004A1F23"/>
    <w:rsid w:val="004A60FF"/>
    <w:rsid w:val="004A686C"/>
    <w:rsid w:val="004A6972"/>
    <w:rsid w:val="004A7BEF"/>
    <w:rsid w:val="004B2DB1"/>
    <w:rsid w:val="004B4C93"/>
    <w:rsid w:val="004B4D2B"/>
    <w:rsid w:val="004B597A"/>
    <w:rsid w:val="004B6E33"/>
    <w:rsid w:val="004B7665"/>
    <w:rsid w:val="004B78B3"/>
    <w:rsid w:val="004C0A6F"/>
    <w:rsid w:val="004C0EE3"/>
    <w:rsid w:val="004C25E6"/>
    <w:rsid w:val="004C6760"/>
    <w:rsid w:val="004D02B8"/>
    <w:rsid w:val="004D4329"/>
    <w:rsid w:val="004D4AB1"/>
    <w:rsid w:val="004D6352"/>
    <w:rsid w:val="004D6F63"/>
    <w:rsid w:val="004D7D1B"/>
    <w:rsid w:val="004E0538"/>
    <w:rsid w:val="004E19A0"/>
    <w:rsid w:val="004E25DE"/>
    <w:rsid w:val="004E6404"/>
    <w:rsid w:val="004F07E0"/>
    <w:rsid w:val="004F1116"/>
    <w:rsid w:val="004F11E4"/>
    <w:rsid w:val="004F1CC2"/>
    <w:rsid w:val="004F201C"/>
    <w:rsid w:val="004F34B4"/>
    <w:rsid w:val="004F3BF9"/>
    <w:rsid w:val="004F6044"/>
    <w:rsid w:val="00500530"/>
    <w:rsid w:val="0050082D"/>
    <w:rsid w:val="00502085"/>
    <w:rsid w:val="005032C9"/>
    <w:rsid w:val="0050470A"/>
    <w:rsid w:val="00505B62"/>
    <w:rsid w:val="00505CD5"/>
    <w:rsid w:val="00507550"/>
    <w:rsid w:val="00507717"/>
    <w:rsid w:val="0051231F"/>
    <w:rsid w:val="00512666"/>
    <w:rsid w:val="00516C26"/>
    <w:rsid w:val="00517F0B"/>
    <w:rsid w:val="005208E5"/>
    <w:rsid w:val="00521EFF"/>
    <w:rsid w:val="00522164"/>
    <w:rsid w:val="00522E0C"/>
    <w:rsid w:val="005230BE"/>
    <w:rsid w:val="00524664"/>
    <w:rsid w:val="0052489E"/>
    <w:rsid w:val="00525B31"/>
    <w:rsid w:val="00526C68"/>
    <w:rsid w:val="0052798C"/>
    <w:rsid w:val="0053128C"/>
    <w:rsid w:val="005323A2"/>
    <w:rsid w:val="0053628E"/>
    <w:rsid w:val="00542250"/>
    <w:rsid w:val="00543C96"/>
    <w:rsid w:val="005440A6"/>
    <w:rsid w:val="005459BE"/>
    <w:rsid w:val="00546CDA"/>
    <w:rsid w:val="00551055"/>
    <w:rsid w:val="005513BF"/>
    <w:rsid w:val="00553105"/>
    <w:rsid w:val="0055392F"/>
    <w:rsid w:val="005573BF"/>
    <w:rsid w:val="00557BE0"/>
    <w:rsid w:val="00560288"/>
    <w:rsid w:val="00565F8D"/>
    <w:rsid w:val="005732ED"/>
    <w:rsid w:val="0057390C"/>
    <w:rsid w:val="00581449"/>
    <w:rsid w:val="00581D77"/>
    <w:rsid w:val="0058223D"/>
    <w:rsid w:val="00583471"/>
    <w:rsid w:val="00584765"/>
    <w:rsid w:val="00585ED7"/>
    <w:rsid w:val="00586D3B"/>
    <w:rsid w:val="005870BE"/>
    <w:rsid w:val="00587375"/>
    <w:rsid w:val="005943DA"/>
    <w:rsid w:val="00594D7D"/>
    <w:rsid w:val="005955D2"/>
    <w:rsid w:val="005A0B53"/>
    <w:rsid w:val="005A4284"/>
    <w:rsid w:val="005A475D"/>
    <w:rsid w:val="005A4A26"/>
    <w:rsid w:val="005A4E74"/>
    <w:rsid w:val="005A53D5"/>
    <w:rsid w:val="005A5951"/>
    <w:rsid w:val="005A647D"/>
    <w:rsid w:val="005A66AA"/>
    <w:rsid w:val="005A6C54"/>
    <w:rsid w:val="005B78E8"/>
    <w:rsid w:val="005C2DB3"/>
    <w:rsid w:val="005C3359"/>
    <w:rsid w:val="005C3EEF"/>
    <w:rsid w:val="005C430F"/>
    <w:rsid w:val="005C4CA4"/>
    <w:rsid w:val="005C55C7"/>
    <w:rsid w:val="005C5A15"/>
    <w:rsid w:val="005C5B5F"/>
    <w:rsid w:val="005C67AD"/>
    <w:rsid w:val="005C7AA2"/>
    <w:rsid w:val="005C7AD3"/>
    <w:rsid w:val="005D11DB"/>
    <w:rsid w:val="005D139C"/>
    <w:rsid w:val="005D2C8E"/>
    <w:rsid w:val="005D2FE4"/>
    <w:rsid w:val="005D55D0"/>
    <w:rsid w:val="005D608A"/>
    <w:rsid w:val="005D7BB5"/>
    <w:rsid w:val="005E02EC"/>
    <w:rsid w:val="005E0855"/>
    <w:rsid w:val="005E115D"/>
    <w:rsid w:val="005E21F8"/>
    <w:rsid w:val="005E6FE0"/>
    <w:rsid w:val="005E7750"/>
    <w:rsid w:val="005F2B3B"/>
    <w:rsid w:val="005F431B"/>
    <w:rsid w:val="005F4C74"/>
    <w:rsid w:val="005F5ACA"/>
    <w:rsid w:val="005F72CF"/>
    <w:rsid w:val="006001AB"/>
    <w:rsid w:val="00600544"/>
    <w:rsid w:val="006006B8"/>
    <w:rsid w:val="00602776"/>
    <w:rsid w:val="00602AEB"/>
    <w:rsid w:val="00602C63"/>
    <w:rsid w:val="0060449C"/>
    <w:rsid w:val="00605B42"/>
    <w:rsid w:val="00606DF6"/>
    <w:rsid w:val="00610133"/>
    <w:rsid w:val="00612D1E"/>
    <w:rsid w:val="00614001"/>
    <w:rsid w:val="006149DD"/>
    <w:rsid w:val="006166B5"/>
    <w:rsid w:val="00616E03"/>
    <w:rsid w:val="0062084E"/>
    <w:rsid w:val="00620876"/>
    <w:rsid w:val="006211B1"/>
    <w:rsid w:val="00625173"/>
    <w:rsid w:val="00625B5C"/>
    <w:rsid w:val="006260D5"/>
    <w:rsid w:val="0062747F"/>
    <w:rsid w:val="006278C5"/>
    <w:rsid w:val="00630166"/>
    <w:rsid w:val="00630483"/>
    <w:rsid w:val="00630F9C"/>
    <w:rsid w:val="00632B34"/>
    <w:rsid w:val="00633492"/>
    <w:rsid w:val="00634FFD"/>
    <w:rsid w:val="00636844"/>
    <w:rsid w:val="00643DEC"/>
    <w:rsid w:val="00645A13"/>
    <w:rsid w:val="0064760B"/>
    <w:rsid w:val="006477BC"/>
    <w:rsid w:val="006507F2"/>
    <w:rsid w:val="006532D4"/>
    <w:rsid w:val="006539F2"/>
    <w:rsid w:val="0065610E"/>
    <w:rsid w:val="00656370"/>
    <w:rsid w:val="00656C99"/>
    <w:rsid w:val="00657576"/>
    <w:rsid w:val="00660DDD"/>
    <w:rsid w:val="00663C74"/>
    <w:rsid w:val="006706AC"/>
    <w:rsid w:val="00670B15"/>
    <w:rsid w:val="006721C7"/>
    <w:rsid w:val="0067529A"/>
    <w:rsid w:val="00675686"/>
    <w:rsid w:val="006762DF"/>
    <w:rsid w:val="00676F82"/>
    <w:rsid w:val="006770BD"/>
    <w:rsid w:val="00682306"/>
    <w:rsid w:val="00684040"/>
    <w:rsid w:val="00685B4B"/>
    <w:rsid w:val="00685C40"/>
    <w:rsid w:val="00690847"/>
    <w:rsid w:val="006914E7"/>
    <w:rsid w:val="0069320E"/>
    <w:rsid w:val="00695607"/>
    <w:rsid w:val="006A29C4"/>
    <w:rsid w:val="006A2E53"/>
    <w:rsid w:val="006A651C"/>
    <w:rsid w:val="006A7B96"/>
    <w:rsid w:val="006B074E"/>
    <w:rsid w:val="006B242F"/>
    <w:rsid w:val="006B2BD5"/>
    <w:rsid w:val="006B55F8"/>
    <w:rsid w:val="006B5AA4"/>
    <w:rsid w:val="006B6C47"/>
    <w:rsid w:val="006B7615"/>
    <w:rsid w:val="006C3199"/>
    <w:rsid w:val="006C3841"/>
    <w:rsid w:val="006C5B82"/>
    <w:rsid w:val="006C5FD1"/>
    <w:rsid w:val="006D0E3D"/>
    <w:rsid w:val="006D158D"/>
    <w:rsid w:val="006D1D1A"/>
    <w:rsid w:val="006D1F15"/>
    <w:rsid w:val="006D4A4E"/>
    <w:rsid w:val="006D5658"/>
    <w:rsid w:val="006E123A"/>
    <w:rsid w:val="006E12BE"/>
    <w:rsid w:val="006E1741"/>
    <w:rsid w:val="006E2B04"/>
    <w:rsid w:val="006E4E17"/>
    <w:rsid w:val="006E7B11"/>
    <w:rsid w:val="006E7B3F"/>
    <w:rsid w:val="006F0A6F"/>
    <w:rsid w:val="006F284C"/>
    <w:rsid w:val="006F2A87"/>
    <w:rsid w:val="006F3EA2"/>
    <w:rsid w:val="006F7076"/>
    <w:rsid w:val="006F7227"/>
    <w:rsid w:val="006F7439"/>
    <w:rsid w:val="006F744E"/>
    <w:rsid w:val="006F7B38"/>
    <w:rsid w:val="0070136C"/>
    <w:rsid w:val="007018A5"/>
    <w:rsid w:val="00702366"/>
    <w:rsid w:val="007062D8"/>
    <w:rsid w:val="00707E0F"/>
    <w:rsid w:val="0071135E"/>
    <w:rsid w:val="00713ABA"/>
    <w:rsid w:val="00715FD9"/>
    <w:rsid w:val="007163BC"/>
    <w:rsid w:val="00716751"/>
    <w:rsid w:val="007215A1"/>
    <w:rsid w:val="00724352"/>
    <w:rsid w:val="00726E9A"/>
    <w:rsid w:val="00727BA5"/>
    <w:rsid w:val="00730AE3"/>
    <w:rsid w:val="00732620"/>
    <w:rsid w:val="00732EE6"/>
    <w:rsid w:val="00734E1E"/>
    <w:rsid w:val="00735081"/>
    <w:rsid w:val="007369AD"/>
    <w:rsid w:val="00736BC2"/>
    <w:rsid w:val="00740287"/>
    <w:rsid w:val="00743B91"/>
    <w:rsid w:val="00743D6A"/>
    <w:rsid w:val="007446D8"/>
    <w:rsid w:val="007457D5"/>
    <w:rsid w:val="00746010"/>
    <w:rsid w:val="0075009E"/>
    <w:rsid w:val="007508D3"/>
    <w:rsid w:val="007510B8"/>
    <w:rsid w:val="00752CD1"/>
    <w:rsid w:val="007552D1"/>
    <w:rsid w:val="00756901"/>
    <w:rsid w:val="0075740B"/>
    <w:rsid w:val="00762593"/>
    <w:rsid w:val="0076476C"/>
    <w:rsid w:val="00764F50"/>
    <w:rsid w:val="00766641"/>
    <w:rsid w:val="0076710D"/>
    <w:rsid w:val="0076749D"/>
    <w:rsid w:val="00767B17"/>
    <w:rsid w:val="007718A2"/>
    <w:rsid w:val="00774AFA"/>
    <w:rsid w:val="0077503A"/>
    <w:rsid w:val="00775238"/>
    <w:rsid w:val="00776C32"/>
    <w:rsid w:val="00777569"/>
    <w:rsid w:val="00777723"/>
    <w:rsid w:val="00777F35"/>
    <w:rsid w:val="00780411"/>
    <w:rsid w:val="007808DA"/>
    <w:rsid w:val="00782CCA"/>
    <w:rsid w:val="00783473"/>
    <w:rsid w:val="00784697"/>
    <w:rsid w:val="00786EA3"/>
    <w:rsid w:val="0079221A"/>
    <w:rsid w:val="007922F2"/>
    <w:rsid w:val="00792370"/>
    <w:rsid w:val="0079325E"/>
    <w:rsid w:val="00794DA7"/>
    <w:rsid w:val="00795B86"/>
    <w:rsid w:val="007964CF"/>
    <w:rsid w:val="00796B78"/>
    <w:rsid w:val="00796E97"/>
    <w:rsid w:val="007A3801"/>
    <w:rsid w:val="007A769A"/>
    <w:rsid w:val="007B1587"/>
    <w:rsid w:val="007B194C"/>
    <w:rsid w:val="007B27E5"/>
    <w:rsid w:val="007B312A"/>
    <w:rsid w:val="007B39CD"/>
    <w:rsid w:val="007B3EFB"/>
    <w:rsid w:val="007B45A8"/>
    <w:rsid w:val="007B6050"/>
    <w:rsid w:val="007C054B"/>
    <w:rsid w:val="007C3ECE"/>
    <w:rsid w:val="007C4523"/>
    <w:rsid w:val="007C4914"/>
    <w:rsid w:val="007C5285"/>
    <w:rsid w:val="007C633B"/>
    <w:rsid w:val="007D1323"/>
    <w:rsid w:val="007D3182"/>
    <w:rsid w:val="007D6775"/>
    <w:rsid w:val="007D724C"/>
    <w:rsid w:val="007D7D03"/>
    <w:rsid w:val="007E2755"/>
    <w:rsid w:val="007E405C"/>
    <w:rsid w:val="007E41A8"/>
    <w:rsid w:val="007E6E18"/>
    <w:rsid w:val="007F0383"/>
    <w:rsid w:val="007F0586"/>
    <w:rsid w:val="007F124B"/>
    <w:rsid w:val="007F4464"/>
    <w:rsid w:val="007F4D27"/>
    <w:rsid w:val="007F6045"/>
    <w:rsid w:val="007F7479"/>
    <w:rsid w:val="00800553"/>
    <w:rsid w:val="0080165E"/>
    <w:rsid w:val="008026F3"/>
    <w:rsid w:val="00802D99"/>
    <w:rsid w:val="00805D3F"/>
    <w:rsid w:val="008118F0"/>
    <w:rsid w:val="00815A08"/>
    <w:rsid w:val="00816881"/>
    <w:rsid w:val="00821B0B"/>
    <w:rsid w:val="00821B70"/>
    <w:rsid w:val="008241A9"/>
    <w:rsid w:val="00825524"/>
    <w:rsid w:val="00826607"/>
    <w:rsid w:val="0083050F"/>
    <w:rsid w:val="00831379"/>
    <w:rsid w:val="00831584"/>
    <w:rsid w:val="0083211E"/>
    <w:rsid w:val="00833ABF"/>
    <w:rsid w:val="00835650"/>
    <w:rsid w:val="00836177"/>
    <w:rsid w:val="00836DD0"/>
    <w:rsid w:val="008375B2"/>
    <w:rsid w:val="00841A8A"/>
    <w:rsid w:val="00841DB0"/>
    <w:rsid w:val="0084334C"/>
    <w:rsid w:val="00843FF1"/>
    <w:rsid w:val="0084449A"/>
    <w:rsid w:val="00845882"/>
    <w:rsid w:val="00845E61"/>
    <w:rsid w:val="008471C3"/>
    <w:rsid w:val="0085384F"/>
    <w:rsid w:val="008538DC"/>
    <w:rsid w:val="00855AC8"/>
    <w:rsid w:val="008600F0"/>
    <w:rsid w:val="00860EA9"/>
    <w:rsid w:val="008638EE"/>
    <w:rsid w:val="00864704"/>
    <w:rsid w:val="00866C93"/>
    <w:rsid w:val="00867D78"/>
    <w:rsid w:val="00867EA5"/>
    <w:rsid w:val="00870D40"/>
    <w:rsid w:val="00871642"/>
    <w:rsid w:val="0087252E"/>
    <w:rsid w:val="008738FE"/>
    <w:rsid w:val="00874448"/>
    <w:rsid w:val="008748D3"/>
    <w:rsid w:val="008753DE"/>
    <w:rsid w:val="00875709"/>
    <w:rsid w:val="00876BEC"/>
    <w:rsid w:val="00877B6B"/>
    <w:rsid w:val="00880ACF"/>
    <w:rsid w:val="0088176F"/>
    <w:rsid w:val="0088188A"/>
    <w:rsid w:val="008822BD"/>
    <w:rsid w:val="00882B53"/>
    <w:rsid w:val="00886E20"/>
    <w:rsid w:val="00890B2A"/>
    <w:rsid w:val="008920A1"/>
    <w:rsid w:val="00894CD3"/>
    <w:rsid w:val="00895D13"/>
    <w:rsid w:val="00897A71"/>
    <w:rsid w:val="008A0782"/>
    <w:rsid w:val="008A5E58"/>
    <w:rsid w:val="008A6092"/>
    <w:rsid w:val="008A662E"/>
    <w:rsid w:val="008A7CB2"/>
    <w:rsid w:val="008B004B"/>
    <w:rsid w:val="008B0055"/>
    <w:rsid w:val="008B3AA8"/>
    <w:rsid w:val="008B4028"/>
    <w:rsid w:val="008B77E0"/>
    <w:rsid w:val="008C013C"/>
    <w:rsid w:val="008C1E35"/>
    <w:rsid w:val="008C21C1"/>
    <w:rsid w:val="008C5226"/>
    <w:rsid w:val="008C56CB"/>
    <w:rsid w:val="008C7E34"/>
    <w:rsid w:val="008D1F86"/>
    <w:rsid w:val="008D223C"/>
    <w:rsid w:val="008D5601"/>
    <w:rsid w:val="008D5AA2"/>
    <w:rsid w:val="008E0FCD"/>
    <w:rsid w:val="008E1946"/>
    <w:rsid w:val="008E2FD6"/>
    <w:rsid w:val="008E36F2"/>
    <w:rsid w:val="008E5C0A"/>
    <w:rsid w:val="008E5F84"/>
    <w:rsid w:val="008E6DBE"/>
    <w:rsid w:val="008E6DD3"/>
    <w:rsid w:val="008E7500"/>
    <w:rsid w:val="008E7917"/>
    <w:rsid w:val="008E7FE7"/>
    <w:rsid w:val="008F19B0"/>
    <w:rsid w:val="008F1B72"/>
    <w:rsid w:val="008F1D54"/>
    <w:rsid w:val="008F3E7F"/>
    <w:rsid w:val="008F57C8"/>
    <w:rsid w:val="008F5803"/>
    <w:rsid w:val="008F7922"/>
    <w:rsid w:val="008F7D2A"/>
    <w:rsid w:val="008F7E2C"/>
    <w:rsid w:val="00903BFE"/>
    <w:rsid w:val="00905542"/>
    <w:rsid w:val="009067F8"/>
    <w:rsid w:val="00906820"/>
    <w:rsid w:val="00910438"/>
    <w:rsid w:val="00912FF5"/>
    <w:rsid w:val="00920683"/>
    <w:rsid w:val="009219D3"/>
    <w:rsid w:val="00922EAD"/>
    <w:rsid w:val="00923862"/>
    <w:rsid w:val="00924E0D"/>
    <w:rsid w:val="0092794B"/>
    <w:rsid w:val="00932882"/>
    <w:rsid w:val="0093440C"/>
    <w:rsid w:val="009368B4"/>
    <w:rsid w:val="00936F3E"/>
    <w:rsid w:val="009439CA"/>
    <w:rsid w:val="00943F5D"/>
    <w:rsid w:val="0094438C"/>
    <w:rsid w:val="00944A97"/>
    <w:rsid w:val="00945241"/>
    <w:rsid w:val="00945384"/>
    <w:rsid w:val="00951C41"/>
    <w:rsid w:val="00952C36"/>
    <w:rsid w:val="00953856"/>
    <w:rsid w:val="00954C2B"/>
    <w:rsid w:val="009554D5"/>
    <w:rsid w:val="0095705C"/>
    <w:rsid w:val="00964D94"/>
    <w:rsid w:val="00965223"/>
    <w:rsid w:val="00965C4E"/>
    <w:rsid w:val="0096664B"/>
    <w:rsid w:val="009714C3"/>
    <w:rsid w:val="00972A75"/>
    <w:rsid w:val="00973AF7"/>
    <w:rsid w:val="009742E9"/>
    <w:rsid w:val="00974E46"/>
    <w:rsid w:val="00977C14"/>
    <w:rsid w:val="009822CF"/>
    <w:rsid w:val="00985679"/>
    <w:rsid w:val="00986575"/>
    <w:rsid w:val="0098791B"/>
    <w:rsid w:val="009913E0"/>
    <w:rsid w:val="009933CB"/>
    <w:rsid w:val="009938AE"/>
    <w:rsid w:val="0099553F"/>
    <w:rsid w:val="009A0F57"/>
    <w:rsid w:val="009A1D25"/>
    <w:rsid w:val="009A30D0"/>
    <w:rsid w:val="009A3742"/>
    <w:rsid w:val="009A5B4C"/>
    <w:rsid w:val="009A62C0"/>
    <w:rsid w:val="009B00E8"/>
    <w:rsid w:val="009B2356"/>
    <w:rsid w:val="009B41D2"/>
    <w:rsid w:val="009B5E1D"/>
    <w:rsid w:val="009B73E3"/>
    <w:rsid w:val="009C0D84"/>
    <w:rsid w:val="009C2661"/>
    <w:rsid w:val="009C286E"/>
    <w:rsid w:val="009C3281"/>
    <w:rsid w:val="009C50D2"/>
    <w:rsid w:val="009C7E98"/>
    <w:rsid w:val="009D0A5A"/>
    <w:rsid w:val="009D2F92"/>
    <w:rsid w:val="009D3CA9"/>
    <w:rsid w:val="009D5DD3"/>
    <w:rsid w:val="009D6172"/>
    <w:rsid w:val="009E00FA"/>
    <w:rsid w:val="009E2775"/>
    <w:rsid w:val="009E2B79"/>
    <w:rsid w:val="009E4222"/>
    <w:rsid w:val="009E45E4"/>
    <w:rsid w:val="009E5338"/>
    <w:rsid w:val="009E6FF7"/>
    <w:rsid w:val="009E72F4"/>
    <w:rsid w:val="009F4C03"/>
    <w:rsid w:val="00A01207"/>
    <w:rsid w:val="00A01AC6"/>
    <w:rsid w:val="00A01B3B"/>
    <w:rsid w:val="00A04749"/>
    <w:rsid w:val="00A04796"/>
    <w:rsid w:val="00A05589"/>
    <w:rsid w:val="00A06FB3"/>
    <w:rsid w:val="00A10051"/>
    <w:rsid w:val="00A157F4"/>
    <w:rsid w:val="00A170D2"/>
    <w:rsid w:val="00A20F36"/>
    <w:rsid w:val="00A2246F"/>
    <w:rsid w:val="00A24351"/>
    <w:rsid w:val="00A255D3"/>
    <w:rsid w:val="00A26B9C"/>
    <w:rsid w:val="00A27693"/>
    <w:rsid w:val="00A27834"/>
    <w:rsid w:val="00A30470"/>
    <w:rsid w:val="00A30DAD"/>
    <w:rsid w:val="00A31D73"/>
    <w:rsid w:val="00A36774"/>
    <w:rsid w:val="00A40BE1"/>
    <w:rsid w:val="00A4147C"/>
    <w:rsid w:val="00A41FED"/>
    <w:rsid w:val="00A42049"/>
    <w:rsid w:val="00A42ADA"/>
    <w:rsid w:val="00A46A19"/>
    <w:rsid w:val="00A5092C"/>
    <w:rsid w:val="00A50B2D"/>
    <w:rsid w:val="00A5112A"/>
    <w:rsid w:val="00A541AA"/>
    <w:rsid w:val="00A61072"/>
    <w:rsid w:val="00A621D0"/>
    <w:rsid w:val="00A66002"/>
    <w:rsid w:val="00A67A2F"/>
    <w:rsid w:val="00A723CC"/>
    <w:rsid w:val="00A735EF"/>
    <w:rsid w:val="00A7507E"/>
    <w:rsid w:val="00A76DFC"/>
    <w:rsid w:val="00A77E9B"/>
    <w:rsid w:val="00A82D02"/>
    <w:rsid w:val="00A86BF2"/>
    <w:rsid w:val="00A87268"/>
    <w:rsid w:val="00A915F1"/>
    <w:rsid w:val="00A93C63"/>
    <w:rsid w:val="00A93F05"/>
    <w:rsid w:val="00A94E43"/>
    <w:rsid w:val="00A96E3E"/>
    <w:rsid w:val="00AA014E"/>
    <w:rsid w:val="00AA0DB3"/>
    <w:rsid w:val="00AA31FD"/>
    <w:rsid w:val="00AA6B1E"/>
    <w:rsid w:val="00AB01D8"/>
    <w:rsid w:val="00AB3E1F"/>
    <w:rsid w:val="00AB4908"/>
    <w:rsid w:val="00AB4F6E"/>
    <w:rsid w:val="00AB74AA"/>
    <w:rsid w:val="00AC02B6"/>
    <w:rsid w:val="00AC1A07"/>
    <w:rsid w:val="00AC1E69"/>
    <w:rsid w:val="00AC3379"/>
    <w:rsid w:val="00AC4073"/>
    <w:rsid w:val="00AC5285"/>
    <w:rsid w:val="00AC6563"/>
    <w:rsid w:val="00AC7334"/>
    <w:rsid w:val="00AC7CD0"/>
    <w:rsid w:val="00AD11F2"/>
    <w:rsid w:val="00AD3B1D"/>
    <w:rsid w:val="00AD7C0C"/>
    <w:rsid w:val="00AE11C0"/>
    <w:rsid w:val="00AE2424"/>
    <w:rsid w:val="00AE32A0"/>
    <w:rsid w:val="00AE51FF"/>
    <w:rsid w:val="00AE5324"/>
    <w:rsid w:val="00AE5553"/>
    <w:rsid w:val="00AE579A"/>
    <w:rsid w:val="00AE70A2"/>
    <w:rsid w:val="00AE7E41"/>
    <w:rsid w:val="00AF148E"/>
    <w:rsid w:val="00AF1493"/>
    <w:rsid w:val="00AF17E8"/>
    <w:rsid w:val="00AF22F7"/>
    <w:rsid w:val="00AF45A7"/>
    <w:rsid w:val="00AF5A6C"/>
    <w:rsid w:val="00AF695F"/>
    <w:rsid w:val="00AF6B2E"/>
    <w:rsid w:val="00AF705A"/>
    <w:rsid w:val="00AF7BFC"/>
    <w:rsid w:val="00B012FB"/>
    <w:rsid w:val="00B0213C"/>
    <w:rsid w:val="00B04F43"/>
    <w:rsid w:val="00B05100"/>
    <w:rsid w:val="00B05125"/>
    <w:rsid w:val="00B07288"/>
    <w:rsid w:val="00B10031"/>
    <w:rsid w:val="00B12C3B"/>
    <w:rsid w:val="00B14153"/>
    <w:rsid w:val="00B14703"/>
    <w:rsid w:val="00B14DB1"/>
    <w:rsid w:val="00B15530"/>
    <w:rsid w:val="00B1592B"/>
    <w:rsid w:val="00B218DD"/>
    <w:rsid w:val="00B21C8F"/>
    <w:rsid w:val="00B231AA"/>
    <w:rsid w:val="00B23242"/>
    <w:rsid w:val="00B23B11"/>
    <w:rsid w:val="00B23FE8"/>
    <w:rsid w:val="00B24422"/>
    <w:rsid w:val="00B245B2"/>
    <w:rsid w:val="00B25047"/>
    <w:rsid w:val="00B271A0"/>
    <w:rsid w:val="00B3299A"/>
    <w:rsid w:val="00B33331"/>
    <w:rsid w:val="00B36AF9"/>
    <w:rsid w:val="00B3761B"/>
    <w:rsid w:val="00B379FE"/>
    <w:rsid w:val="00B402C2"/>
    <w:rsid w:val="00B441D2"/>
    <w:rsid w:val="00B44FF7"/>
    <w:rsid w:val="00B463EC"/>
    <w:rsid w:val="00B47A9B"/>
    <w:rsid w:val="00B52192"/>
    <w:rsid w:val="00B568C9"/>
    <w:rsid w:val="00B56B11"/>
    <w:rsid w:val="00B61F46"/>
    <w:rsid w:val="00B6345C"/>
    <w:rsid w:val="00B64512"/>
    <w:rsid w:val="00B654D9"/>
    <w:rsid w:val="00B65A1D"/>
    <w:rsid w:val="00B65E84"/>
    <w:rsid w:val="00B665F8"/>
    <w:rsid w:val="00B667D0"/>
    <w:rsid w:val="00B675E8"/>
    <w:rsid w:val="00B70768"/>
    <w:rsid w:val="00B70BF0"/>
    <w:rsid w:val="00B71E0B"/>
    <w:rsid w:val="00B72A58"/>
    <w:rsid w:val="00B73731"/>
    <w:rsid w:val="00B74FFB"/>
    <w:rsid w:val="00B752BD"/>
    <w:rsid w:val="00B75D8C"/>
    <w:rsid w:val="00B772FD"/>
    <w:rsid w:val="00B8380F"/>
    <w:rsid w:val="00B83CB4"/>
    <w:rsid w:val="00B85F9B"/>
    <w:rsid w:val="00B871C3"/>
    <w:rsid w:val="00B91A9E"/>
    <w:rsid w:val="00B92424"/>
    <w:rsid w:val="00B93F10"/>
    <w:rsid w:val="00B94950"/>
    <w:rsid w:val="00B97F3D"/>
    <w:rsid w:val="00BA0853"/>
    <w:rsid w:val="00BA1498"/>
    <w:rsid w:val="00BA24B3"/>
    <w:rsid w:val="00BA3233"/>
    <w:rsid w:val="00BA486E"/>
    <w:rsid w:val="00BB03D2"/>
    <w:rsid w:val="00BB0B6B"/>
    <w:rsid w:val="00BB114D"/>
    <w:rsid w:val="00BB17D9"/>
    <w:rsid w:val="00BB26DD"/>
    <w:rsid w:val="00BB3EFD"/>
    <w:rsid w:val="00BB5C19"/>
    <w:rsid w:val="00BB5F37"/>
    <w:rsid w:val="00BB760C"/>
    <w:rsid w:val="00BB77A0"/>
    <w:rsid w:val="00BC0519"/>
    <w:rsid w:val="00BC210C"/>
    <w:rsid w:val="00BC579F"/>
    <w:rsid w:val="00BC6371"/>
    <w:rsid w:val="00BC6C75"/>
    <w:rsid w:val="00BD1995"/>
    <w:rsid w:val="00BD1E83"/>
    <w:rsid w:val="00BD559C"/>
    <w:rsid w:val="00BE2E99"/>
    <w:rsid w:val="00BE37A4"/>
    <w:rsid w:val="00BE45DE"/>
    <w:rsid w:val="00BE5960"/>
    <w:rsid w:val="00BE6D90"/>
    <w:rsid w:val="00BE6FF2"/>
    <w:rsid w:val="00BF0AFF"/>
    <w:rsid w:val="00BF0D8E"/>
    <w:rsid w:val="00BF11D8"/>
    <w:rsid w:val="00BF2075"/>
    <w:rsid w:val="00BF6FA6"/>
    <w:rsid w:val="00BF74C3"/>
    <w:rsid w:val="00C0083C"/>
    <w:rsid w:val="00C0174F"/>
    <w:rsid w:val="00C027EE"/>
    <w:rsid w:val="00C027F9"/>
    <w:rsid w:val="00C05456"/>
    <w:rsid w:val="00C05848"/>
    <w:rsid w:val="00C05B59"/>
    <w:rsid w:val="00C076A9"/>
    <w:rsid w:val="00C0798E"/>
    <w:rsid w:val="00C1035C"/>
    <w:rsid w:val="00C11242"/>
    <w:rsid w:val="00C11753"/>
    <w:rsid w:val="00C121DA"/>
    <w:rsid w:val="00C1268E"/>
    <w:rsid w:val="00C15A80"/>
    <w:rsid w:val="00C15BBB"/>
    <w:rsid w:val="00C16015"/>
    <w:rsid w:val="00C16311"/>
    <w:rsid w:val="00C209B5"/>
    <w:rsid w:val="00C2121B"/>
    <w:rsid w:val="00C2245C"/>
    <w:rsid w:val="00C22BF7"/>
    <w:rsid w:val="00C23379"/>
    <w:rsid w:val="00C23782"/>
    <w:rsid w:val="00C272A7"/>
    <w:rsid w:val="00C31152"/>
    <w:rsid w:val="00C31FC0"/>
    <w:rsid w:val="00C32A9C"/>
    <w:rsid w:val="00C32C74"/>
    <w:rsid w:val="00C37BF7"/>
    <w:rsid w:val="00C37FF1"/>
    <w:rsid w:val="00C40B44"/>
    <w:rsid w:val="00C42C01"/>
    <w:rsid w:val="00C4595C"/>
    <w:rsid w:val="00C45EA1"/>
    <w:rsid w:val="00C50483"/>
    <w:rsid w:val="00C507CD"/>
    <w:rsid w:val="00C50AA6"/>
    <w:rsid w:val="00C51CC0"/>
    <w:rsid w:val="00C55EC6"/>
    <w:rsid w:val="00C5739B"/>
    <w:rsid w:val="00C63506"/>
    <w:rsid w:val="00C64D92"/>
    <w:rsid w:val="00C66E9F"/>
    <w:rsid w:val="00C67612"/>
    <w:rsid w:val="00C67D12"/>
    <w:rsid w:val="00C7246E"/>
    <w:rsid w:val="00C73AD8"/>
    <w:rsid w:val="00C75434"/>
    <w:rsid w:val="00C754D3"/>
    <w:rsid w:val="00C75700"/>
    <w:rsid w:val="00C75ABD"/>
    <w:rsid w:val="00C81D8F"/>
    <w:rsid w:val="00C82F7B"/>
    <w:rsid w:val="00C85EA4"/>
    <w:rsid w:val="00C86982"/>
    <w:rsid w:val="00C87F0D"/>
    <w:rsid w:val="00C912FE"/>
    <w:rsid w:val="00C9162B"/>
    <w:rsid w:val="00C91B3B"/>
    <w:rsid w:val="00C9201F"/>
    <w:rsid w:val="00C92B1C"/>
    <w:rsid w:val="00C93ABD"/>
    <w:rsid w:val="00C94BCB"/>
    <w:rsid w:val="00C9507A"/>
    <w:rsid w:val="00C95FCE"/>
    <w:rsid w:val="00C96015"/>
    <w:rsid w:val="00CA1572"/>
    <w:rsid w:val="00CA1FBA"/>
    <w:rsid w:val="00CA57DD"/>
    <w:rsid w:val="00CA5DEB"/>
    <w:rsid w:val="00CA5E92"/>
    <w:rsid w:val="00CA643A"/>
    <w:rsid w:val="00CA6B87"/>
    <w:rsid w:val="00CB32D6"/>
    <w:rsid w:val="00CB4B9A"/>
    <w:rsid w:val="00CB4C3E"/>
    <w:rsid w:val="00CB6092"/>
    <w:rsid w:val="00CB6589"/>
    <w:rsid w:val="00CB65FD"/>
    <w:rsid w:val="00CB660D"/>
    <w:rsid w:val="00CC144E"/>
    <w:rsid w:val="00CC17DD"/>
    <w:rsid w:val="00CC2031"/>
    <w:rsid w:val="00CC3308"/>
    <w:rsid w:val="00CC3DE2"/>
    <w:rsid w:val="00CC41AC"/>
    <w:rsid w:val="00CC6B91"/>
    <w:rsid w:val="00CD1799"/>
    <w:rsid w:val="00CD2395"/>
    <w:rsid w:val="00CD51DB"/>
    <w:rsid w:val="00CE0912"/>
    <w:rsid w:val="00CE4319"/>
    <w:rsid w:val="00CE51C3"/>
    <w:rsid w:val="00CE79C9"/>
    <w:rsid w:val="00CE7AD9"/>
    <w:rsid w:val="00CF1AF1"/>
    <w:rsid w:val="00CF2F38"/>
    <w:rsid w:val="00CF3399"/>
    <w:rsid w:val="00CF3CE4"/>
    <w:rsid w:val="00CF4F69"/>
    <w:rsid w:val="00CF7370"/>
    <w:rsid w:val="00D007D1"/>
    <w:rsid w:val="00D01193"/>
    <w:rsid w:val="00D0136E"/>
    <w:rsid w:val="00D01E4B"/>
    <w:rsid w:val="00D02FEC"/>
    <w:rsid w:val="00D03708"/>
    <w:rsid w:val="00D03A44"/>
    <w:rsid w:val="00D0448A"/>
    <w:rsid w:val="00D0540E"/>
    <w:rsid w:val="00D05849"/>
    <w:rsid w:val="00D110A9"/>
    <w:rsid w:val="00D1467F"/>
    <w:rsid w:val="00D15589"/>
    <w:rsid w:val="00D17FB4"/>
    <w:rsid w:val="00D20D8B"/>
    <w:rsid w:val="00D22383"/>
    <w:rsid w:val="00D22AE8"/>
    <w:rsid w:val="00D2368C"/>
    <w:rsid w:val="00D244AA"/>
    <w:rsid w:val="00D25B07"/>
    <w:rsid w:val="00D344BE"/>
    <w:rsid w:val="00D346B2"/>
    <w:rsid w:val="00D37BBE"/>
    <w:rsid w:val="00D432AD"/>
    <w:rsid w:val="00D442E0"/>
    <w:rsid w:val="00D44548"/>
    <w:rsid w:val="00D51069"/>
    <w:rsid w:val="00D51EF2"/>
    <w:rsid w:val="00D51F7D"/>
    <w:rsid w:val="00D552A2"/>
    <w:rsid w:val="00D56456"/>
    <w:rsid w:val="00D56CCE"/>
    <w:rsid w:val="00D57383"/>
    <w:rsid w:val="00D573FA"/>
    <w:rsid w:val="00D60AE9"/>
    <w:rsid w:val="00D6123A"/>
    <w:rsid w:val="00D61CF3"/>
    <w:rsid w:val="00D6582A"/>
    <w:rsid w:val="00D65BE1"/>
    <w:rsid w:val="00D66362"/>
    <w:rsid w:val="00D67097"/>
    <w:rsid w:val="00D72497"/>
    <w:rsid w:val="00D73786"/>
    <w:rsid w:val="00D75C9D"/>
    <w:rsid w:val="00D823A0"/>
    <w:rsid w:val="00D8426D"/>
    <w:rsid w:val="00D851B3"/>
    <w:rsid w:val="00D85D5B"/>
    <w:rsid w:val="00D86370"/>
    <w:rsid w:val="00D93FB5"/>
    <w:rsid w:val="00D9537D"/>
    <w:rsid w:val="00D9689B"/>
    <w:rsid w:val="00DA071E"/>
    <w:rsid w:val="00DA249F"/>
    <w:rsid w:val="00DA284A"/>
    <w:rsid w:val="00DA41C8"/>
    <w:rsid w:val="00DA4EF8"/>
    <w:rsid w:val="00DA57CB"/>
    <w:rsid w:val="00DA5CFB"/>
    <w:rsid w:val="00DA64F5"/>
    <w:rsid w:val="00DB0938"/>
    <w:rsid w:val="00DB1387"/>
    <w:rsid w:val="00DB1760"/>
    <w:rsid w:val="00DB5174"/>
    <w:rsid w:val="00DB6254"/>
    <w:rsid w:val="00DB6D3B"/>
    <w:rsid w:val="00DB7897"/>
    <w:rsid w:val="00DC0277"/>
    <w:rsid w:val="00DC3545"/>
    <w:rsid w:val="00DC524B"/>
    <w:rsid w:val="00DC6799"/>
    <w:rsid w:val="00DD52CC"/>
    <w:rsid w:val="00DD6D04"/>
    <w:rsid w:val="00DE11EF"/>
    <w:rsid w:val="00DE308B"/>
    <w:rsid w:val="00DE378A"/>
    <w:rsid w:val="00DF0002"/>
    <w:rsid w:val="00DF50C1"/>
    <w:rsid w:val="00DF7A28"/>
    <w:rsid w:val="00E01939"/>
    <w:rsid w:val="00E0287A"/>
    <w:rsid w:val="00E065CA"/>
    <w:rsid w:val="00E12769"/>
    <w:rsid w:val="00E13969"/>
    <w:rsid w:val="00E13D01"/>
    <w:rsid w:val="00E1465E"/>
    <w:rsid w:val="00E15798"/>
    <w:rsid w:val="00E16B89"/>
    <w:rsid w:val="00E16C4E"/>
    <w:rsid w:val="00E16C5B"/>
    <w:rsid w:val="00E17339"/>
    <w:rsid w:val="00E2068F"/>
    <w:rsid w:val="00E215CA"/>
    <w:rsid w:val="00E21B7C"/>
    <w:rsid w:val="00E22131"/>
    <w:rsid w:val="00E23C11"/>
    <w:rsid w:val="00E24C28"/>
    <w:rsid w:val="00E3167B"/>
    <w:rsid w:val="00E320CF"/>
    <w:rsid w:val="00E34763"/>
    <w:rsid w:val="00E34B58"/>
    <w:rsid w:val="00E35F5B"/>
    <w:rsid w:val="00E3621A"/>
    <w:rsid w:val="00E37A7A"/>
    <w:rsid w:val="00E435A9"/>
    <w:rsid w:val="00E4491B"/>
    <w:rsid w:val="00E44D7A"/>
    <w:rsid w:val="00E47630"/>
    <w:rsid w:val="00E47F16"/>
    <w:rsid w:val="00E5131B"/>
    <w:rsid w:val="00E55B3B"/>
    <w:rsid w:val="00E55E91"/>
    <w:rsid w:val="00E5618B"/>
    <w:rsid w:val="00E5683C"/>
    <w:rsid w:val="00E57A10"/>
    <w:rsid w:val="00E57E5D"/>
    <w:rsid w:val="00E602EC"/>
    <w:rsid w:val="00E60404"/>
    <w:rsid w:val="00E66E46"/>
    <w:rsid w:val="00E71442"/>
    <w:rsid w:val="00E72C52"/>
    <w:rsid w:val="00E738EC"/>
    <w:rsid w:val="00E77A22"/>
    <w:rsid w:val="00E825AB"/>
    <w:rsid w:val="00E832A8"/>
    <w:rsid w:val="00E8567C"/>
    <w:rsid w:val="00E8577E"/>
    <w:rsid w:val="00E92E3C"/>
    <w:rsid w:val="00E934FE"/>
    <w:rsid w:val="00E9356C"/>
    <w:rsid w:val="00E94157"/>
    <w:rsid w:val="00E950F5"/>
    <w:rsid w:val="00E95E7A"/>
    <w:rsid w:val="00E96C60"/>
    <w:rsid w:val="00EA1BB9"/>
    <w:rsid w:val="00EA3AB3"/>
    <w:rsid w:val="00EA505C"/>
    <w:rsid w:val="00EA7525"/>
    <w:rsid w:val="00EB01B1"/>
    <w:rsid w:val="00EB14DD"/>
    <w:rsid w:val="00EB2FEF"/>
    <w:rsid w:val="00EB34E9"/>
    <w:rsid w:val="00EB4A66"/>
    <w:rsid w:val="00EB4EC1"/>
    <w:rsid w:val="00EB539E"/>
    <w:rsid w:val="00EC0262"/>
    <w:rsid w:val="00EC0891"/>
    <w:rsid w:val="00EC0B3A"/>
    <w:rsid w:val="00EC0C89"/>
    <w:rsid w:val="00EC117D"/>
    <w:rsid w:val="00EC1942"/>
    <w:rsid w:val="00EC4697"/>
    <w:rsid w:val="00EC5831"/>
    <w:rsid w:val="00EC63A1"/>
    <w:rsid w:val="00EC7177"/>
    <w:rsid w:val="00ED107A"/>
    <w:rsid w:val="00ED2820"/>
    <w:rsid w:val="00ED38F0"/>
    <w:rsid w:val="00ED51FE"/>
    <w:rsid w:val="00ED6C78"/>
    <w:rsid w:val="00EE31AE"/>
    <w:rsid w:val="00EE4C33"/>
    <w:rsid w:val="00EE51DB"/>
    <w:rsid w:val="00EF2F2A"/>
    <w:rsid w:val="00EF3433"/>
    <w:rsid w:val="00EF3E39"/>
    <w:rsid w:val="00F014B3"/>
    <w:rsid w:val="00F050E9"/>
    <w:rsid w:val="00F054FC"/>
    <w:rsid w:val="00F062F4"/>
    <w:rsid w:val="00F06337"/>
    <w:rsid w:val="00F06501"/>
    <w:rsid w:val="00F0655E"/>
    <w:rsid w:val="00F079F3"/>
    <w:rsid w:val="00F11DD7"/>
    <w:rsid w:val="00F12038"/>
    <w:rsid w:val="00F12E6A"/>
    <w:rsid w:val="00F13430"/>
    <w:rsid w:val="00F13DC0"/>
    <w:rsid w:val="00F14485"/>
    <w:rsid w:val="00F16F02"/>
    <w:rsid w:val="00F2008D"/>
    <w:rsid w:val="00F208A6"/>
    <w:rsid w:val="00F21489"/>
    <w:rsid w:val="00F2233B"/>
    <w:rsid w:val="00F23535"/>
    <w:rsid w:val="00F25BEC"/>
    <w:rsid w:val="00F265A4"/>
    <w:rsid w:val="00F26A60"/>
    <w:rsid w:val="00F27045"/>
    <w:rsid w:val="00F2786C"/>
    <w:rsid w:val="00F31EE2"/>
    <w:rsid w:val="00F328E8"/>
    <w:rsid w:val="00F358E8"/>
    <w:rsid w:val="00F3621D"/>
    <w:rsid w:val="00F36803"/>
    <w:rsid w:val="00F37E2A"/>
    <w:rsid w:val="00F418A8"/>
    <w:rsid w:val="00F41DC8"/>
    <w:rsid w:val="00F42051"/>
    <w:rsid w:val="00F4225F"/>
    <w:rsid w:val="00F458E9"/>
    <w:rsid w:val="00F465B6"/>
    <w:rsid w:val="00F46B45"/>
    <w:rsid w:val="00F47199"/>
    <w:rsid w:val="00F47363"/>
    <w:rsid w:val="00F473BE"/>
    <w:rsid w:val="00F50542"/>
    <w:rsid w:val="00F50F67"/>
    <w:rsid w:val="00F52F0C"/>
    <w:rsid w:val="00F621D8"/>
    <w:rsid w:val="00F64842"/>
    <w:rsid w:val="00F64925"/>
    <w:rsid w:val="00F64B10"/>
    <w:rsid w:val="00F64CB9"/>
    <w:rsid w:val="00F65B2C"/>
    <w:rsid w:val="00F66F09"/>
    <w:rsid w:val="00F67181"/>
    <w:rsid w:val="00F671BC"/>
    <w:rsid w:val="00F700C3"/>
    <w:rsid w:val="00F732A2"/>
    <w:rsid w:val="00F7372F"/>
    <w:rsid w:val="00F7500A"/>
    <w:rsid w:val="00F77628"/>
    <w:rsid w:val="00F77779"/>
    <w:rsid w:val="00F81A72"/>
    <w:rsid w:val="00F838DD"/>
    <w:rsid w:val="00F843AF"/>
    <w:rsid w:val="00F85FB5"/>
    <w:rsid w:val="00F86833"/>
    <w:rsid w:val="00F86C06"/>
    <w:rsid w:val="00F87E69"/>
    <w:rsid w:val="00F90774"/>
    <w:rsid w:val="00F93C2C"/>
    <w:rsid w:val="00F93FE6"/>
    <w:rsid w:val="00F943E6"/>
    <w:rsid w:val="00F94922"/>
    <w:rsid w:val="00F95C0A"/>
    <w:rsid w:val="00F96ED3"/>
    <w:rsid w:val="00FA03C0"/>
    <w:rsid w:val="00FA201A"/>
    <w:rsid w:val="00FA3124"/>
    <w:rsid w:val="00FA6863"/>
    <w:rsid w:val="00FB06F3"/>
    <w:rsid w:val="00FB1341"/>
    <w:rsid w:val="00FB23EA"/>
    <w:rsid w:val="00FB25B5"/>
    <w:rsid w:val="00FB3B70"/>
    <w:rsid w:val="00FC00B7"/>
    <w:rsid w:val="00FC24FB"/>
    <w:rsid w:val="00FC3108"/>
    <w:rsid w:val="00FC4FF5"/>
    <w:rsid w:val="00FC5B16"/>
    <w:rsid w:val="00FC6159"/>
    <w:rsid w:val="00FC7D8A"/>
    <w:rsid w:val="00FC7E57"/>
    <w:rsid w:val="00FC7E7F"/>
    <w:rsid w:val="00FD061C"/>
    <w:rsid w:val="00FD164D"/>
    <w:rsid w:val="00FD2325"/>
    <w:rsid w:val="00FD6188"/>
    <w:rsid w:val="00FD6D1A"/>
    <w:rsid w:val="00FD7207"/>
    <w:rsid w:val="00FD7D3F"/>
    <w:rsid w:val="00FE512E"/>
    <w:rsid w:val="00FE560B"/>
    <w:rsid w:val="00FE635C"/>
    <w:rsid w:val="00FE6A68"/>
    <w:rsid w:val="00FE760E"/>
    <w:rsid w:val="00FE7621"/>
    <w:rsid w:val="00FE774C"/>
    <w:rsid w:val="00FE7920"/>
    <w:rsid w:val="00FF3096"/>
    <w:rsid w:val="00FF43D0"/>
    <w:rsid w:val="00FF4DB2"/>
    <w:rsid w:val="00FF573F"/>
    <w:rsid w:val="00FF6750"/>
    <w:rsid w:val="00FF6C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55B03"/>
  <w15:docId w15:val="{5DF0B562-0860-4304-AE54-214C9FAE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3BF"/>
    <w:pPr>
      <w:tabs>
        <w:tab w:val="center" w:pos="4320"/>
        <w:tab w:val="right" w:pos="8640"/>
      </w:tabs>
    </w:pPr>
  </w:style>
  <w:style w:type="paragraph" w:styleId="Footer">
    <w:name w:val="footer"/>
    <w:basedOn w:val="Normal"/>
    <w:link w:val="FooterChar"/>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5513BF"/>
    <w:pPr>
      <w:keepLines/>
      <w:spacing w:after="60"/>
      <w:ind w:firstLine="720"/>
    </w:pPr>
    <w:rPr>
      <w:sz w:val="18"/>
    </w:rPr>
  </w:style>
  <w:style w:type="paragraph" w:styleId="BodyText">
    <w:name w:val="Body Text"/>
    <w:basedOn w:val="Normal"/>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rsid w:val="005513BF"/>
    <w:rPr>
      <w:sz w:val="16"/>
    </w:rPr>
  </w:style>
  <w:style w:type="paragraph" w:styleId="CommentText">
    <w:name w:val="annotation text"/>
    <w:basedOn w:val="Normal"/>
    <w:link w:val="CommentTextChar"/>
    <w:uiPriority w:val="99"/>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9C2661"/>
    <w:rPr>
      <w:color w:val="auto"/>
      <w:sz w:val="18"/>
      <w:u w:val="none"/>
      <w:vertAlign w:val="superscript"/>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264932"/>
    <w:pPr>
      <w:numPr>
        <w:numId w:val="17"/>
      </w:numPr>
      <w:suppressLineNumbers/>
      <w:tabs>
        <w:tab w:val="left" w:pos="1440"/>
      </w:tabs>
      <w:suppressAutoHyphens/>
      <w:kinsoku w:val="0"/>
      <w:overflowPunct w:val="0"/>
      <w:autoSpaceDE w:val="0"/>
      <w:autoSpaceDN w:val="0"/>
      <w:adjustRightInd w:val="0"/>
      <w:snapToGrid w:val="0"/>
      <w:spacing w:before="120" w:after="120"/>
      <w:ind w:left="0" w:firstLine="900"/>
    </w:pPr>
    <w:rPr>
      <w:snapToGrid w:val="0"/>
    </w:r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nhideWhenUsed/>
    <w:rsid w:val="00406BC6"/>
    <w:rPr>
      <w:color w:val="0000FF"/>
      <w:u w:val="single"/>
    </w:rPr>
  </w:style>
  <w:style w:type="character" w:styleId="EndnoteReference">
    <w:name w:val="endnote reference"/>
    <w:uiPriority w:val="99"/>
    <w:semiHidden/>
    <w:rsid w:val="005513BF"/>
    <w:rPr>
      <w:vertAlign w:val="superscript"/>
    </w:rPr>
  </w:style>
  <w:style w:type="paragraph" w:styleId="EndnoteText">
    <w:name w:val="endnote text"/>
    <w:basedOn w:val="Normal"/>
    <w:link w:val="EndnoteTextChar"/>
    <w:uiPriority w:val="99"/>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link w:val="Heading1longmultilineChar"/>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semiHidden/>
    <w:unhideWhenUsed/>
    <w:rsid w:val="00406BC6"/>
    <w:rPr>
      <w:rFonts w:ascii="Tahoma" w:hAnsi="Tahoma" w:cs="Tahoma"/>
      <w:sz w:val="16"/>
      <w:szCs w:val="16"/>
    </w:rPr>
  </w:style>
  <w:style w:type="character" w:customStyle="1" w:styleId="BalloonTextChar">
    <w:name w:val="Balloon Text Char"/>
    <w:link w:val="BalloonText"/>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nhideWhenUsed/>
    <w:rsid w:val="00D9537D"/>
    <w:pPr>
      <w:spacing w:after="0" w:line="240" w:lineRule="auto"/>
    </w:pPr>
    <w:rPr>
      <w:b/>
      <w:bCs/>
      <w:sz w:val="20"/>
      <w:szCs w:val="20"/>
    </w:rPr>
  </w:style>
  <w:style w:type="character" w:customStyle="1" w:styleId="CommentTextChar">
    <w:name w:val="Comment Text Char"/>
    <w:link w:val="CommentText"/>
    <w:uiPriority w:val="99"/>
    <w:rsid w:val="00D9537D"/>
    <w:rPr>
      <w:sz w:val="22"/>
      <w:szCs w:val="24"/>
      <w:lang w:val="en-GB"/>
    </w:rPr>
  </w:style>
  <w:style w:type="character" w:customStyle="1" w:styleId="CommentSubjectChar">
    <w:name w:val="Comment Subject Char"/>
    <w:link w:val="CommentSubject"/>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eaderChar">
    <w:name w:val="Header Char"/>
    <w:basedOn w:val="DefaultParagraphFont"/>
    <w:link w:val="Header"/>
    <w:rsid w:val="00261973"/>
    <w:rPr>
      <w:sz w:val="22"/>
      <w:szCs w:val="24"/>
      <w:lang w:val="en-GB"/>
    </w:rPr>
  </w:style>
  <w:style w:type="paragraph" w:customStyle="1" w:styleId="Default">
    <w:name w:val="Default"/>
    <w:rsid w:val="0007615F"/>
    <w:pPr>
      <w:autoSpaceDE w:val="0"/>
      <w:autoSpaceDN w:val="0"/>
      <w:adjustRightInd w:val="0"/>
    </w:pPr>
    <w:rPr>
      <w:color w:val="000000"/>
      <w:sz w:val="24"/>
      <w:szCs w:val="24"/>
      <w:lang w:val="fr-CA"/>
    </w:rPr>
  </w:style>
  <w:style w:type="character" w:styleId="Emphasis">
    <w:name w:val="Emphasis"/>
    <w:basedOn w:val="DefaultParagraphFont"/>
    <w:qFormat/>
    <w:rsid w:val="004C25E6"/>
    <w:rPr>
      <w:i/>
      <w:iCs/>
    </w:rPr>
  </w:style>
  <w:style w:type="paragraph" w:customStyle="1" w:styleId="Style2">
    <w:name w:val="Style2"/>
    <w:basedOn w:val="Normal"/>
    <w:autoRedefine/>
    <w:rsid w:val="00715FD9"/>
    <w:rPr>
      <w:rFonts w:ascii="Lucida Sans Unicode" w:hAnsi="Lucida Sans Unicode" w:cs="Angsana New"/>
      <w:noProof/>
      <w:color w:val="0000FF"/>
      <w:lang w:val="en-US"/>
    </w:rPr>
  </w:style>
  <w:style w:type="paragraph" w:customStyle="1" w:styleId="bodytextnoindent">
    <w:name w:val="body text (no indent)"/>
    <w:basedOn w:val="Normal"/>
    <w:rsid w:val="00715FD9"/>
    <w:pPr>
      <w:widowControl w:val="0"/>
      <w:overflowPunct w:val="0"/>
      <w:autoSpaceDE w:val="0"/>
      <w:autoSpaceDN w:val="0"/>
      <w:adjustRightInd w:val="0"/>
      <w:spacing w:before="120" w:after="120"/>
      <w:textAlignment w:val="baseline"/>
    </w:pPr>
    <w:rPr>
      <w:rFonts w:cs="Angsana New"/>
      <w:szCs w:val="20"/>
      <w:lang w:eastAsia="de-DE"/>
    </w:rPr>
  </w:style>
  <w:style w:type="paragraph" w:styleId="BodyText2">
    <w:name w:val="Body Text 2"/>
    <w:basedOn w:val="Normal"/>
    <w:link w:val="BodyText2Char"/>
    <w:rsid w:val="00715FD9"/>
    <w:rPr>
      <w:rFonts w:cs="Angsana New"/>
      <w:i/>
      <w:iCs/>
    </w:rPr>
  </w:style>
  <w:style w:type="character" w:customStyle="1" w:styleId="BodyText2Char">
    <w:name w:val="Body Text 2 Char"/>
    <w:basedOn w:val="DefaultParagraphFont"/>
    <w:link w:val="BodyText2"/>
    <w:rsid w:val="00715FD9"/>
    <w:rPr>
      <w:rFonts w:cs="Angsana New"/>
      <w:i/>
      <w:iCs/>
      <w:sz w:val="22"/>
      <w:szCs w:val="24"/>
      <w:lang w:val="en-GB"/>
    </w:rPr>
  </w:style>
  <w:style w:type="paragraph" w:styleId="BodyText3">
    <w:name w:val="Body Text 3"/>
    <w:basedOn w:val="Normal"/>
    <w:link w:val="BodyText3Char"/>
    <w:rsid w:val="00715FD9"/>
    <w:pPr>
      <w:jc w:val="center"/>
    </w:pPr>
    <w:rPr>
      <w:rFonts w:cs="Angsana New"/>
      <w:sz w:val="28"/>
    </w:rPr>
  </w:style>
  <w:style w:type="character" w:customStyle="1" w:styleId="BodyText3Char">
    <w:name w:val="Body Text 3 Char"/>
    <w:basedOn w:val="DefaultParagraphFont"/>
    <w:link w:val="BodyText3"/>
    <w:rsid w:val="00715FD9"/>
    <w:rPr>
      <w:rFonts w:cs="Angsana New"/>
      <w:sz w:val="28"/>
      <w:szCs w:val="24"/>
      <w:lang w:val="en-GB"/>
    </w:rPr>
  </w:style>
  <w:style w:type="character" w:customStyle="1" w:styleId="BodyTextChar">
    <w:name w:val="Body Text Char"/>
    <w:rsid w:val="00715FD9"/>
    <w:rPr>
      <w:iCs/>
      <w:sz w:val="22"/>
      <w:szCs w:val="24"/>
      <w:lang w:val="en-GB" w:eastAsia="en-US" w:bidi="ar-SA"/>
    </w:rPr>
  </w:style>
  <w:style w:type="paragraph" w:styleId="BodyTextIndent2">
    <w:name w:val="Body Text Indent 2"/>
    <w:basedOn w:val="Normal"/>
    <w:link w:val="BodyTextIndent2Char"/>
    <w:rsid w:val="00715FD9"/>
    <w:pPr>
      <w:ind w:firstLine="720"/>
    </w:pPr>
    <w:rPr>
      <w:rFonts w:cs="Angsana New"/>
    </w:rPr>
  </w:style>
  <w:style w:type="character" w:customStyle="1" w:styleId="BodyTextIndent2Char">
    <w:name w:val="Body Text Indent 2 Char"/>
    <w:basedOn w:val="DefaultParagraphFont"/>
    <w:link w:val="BodyTextIndent2"/>
    <w:rsid w:val="00715FD9"/>
    <w:rPr>
      <w:rFonts w:cs="Angsana New"/>
      <w:sz w:val="22"/>
      <w:szCs w:val="24"/>
      <w:lang w:val="en-GB"/>
    </w:rPr>
  </w:style>
  <w:style w:type="paragraph" w:customStyle="1" w:styleId="Bodytextitalic">
    <w:name w:val="Body text italic"/>
    <w:basedOn w:val="BodyText"/>
    <w:rsid w:val="00715FD9"/>
    <w:rPr>
      <w:rFonts w:cs="Angsana New"/>
      <w:i/>
      <w:iCs w:val="0"/>
    </w:rPr>
  </w:style>
  <w:style w:type="paragraph" w:customStyle="1" w:styleId="boxbody">
    <w:name w:val="boxbody"/>
    <w:basedOn w:val="Normal"/>
    <w:rsid w:val="00715FD9"/>
    <w:pPr>
      <w:spacing w:before="100" w:beforeAutospacing="1" w:after="100" w:afterAutospacing="1"/>
      <w:ind w:left="612" w:right="612"/>
    </w:pPr>
    <w:rPr>
      <w:rFonts w:ascii="Helvetica" w:eastAsia="Arial Unicode MS" w:hAnsi="Helvetica" w:cs="Arial Unicode MS"/>
      <w:sz w:val="18"/>
      <w:szCs w:val="18"/>
    </w:rPr>
  </w:style>
  <w:style w:type="paragraph" w:customStyle="1" w:styleId="Heading-plain">
    <w:name w:val="Heading - plain"/>
    <w:basedOn w:val="Heading2"/>
    <w:next w:val="BodyText"/>
    <w:rsid w:val="00715FD9"/>
    <w:pPr>
      <w:tabs>
        <w:tab w:val="clear" w:pos="720"/>
        <w:tab w:val="left" w:pos="900"/>
      </w:tabs>
    </w:pPr>
    <w:rPr>
      <w:rFonts w:eastAsia="Batang"/>
      <w:b w:val="0"/>
      <w:bCs w:val="0"/>
      <w:szCs w:val="20"/>
    </w:rPr>
  </w:style>
  <w:style w:type="paragraph" w:customStyle="1" w:styleId="Heading2noletter">
    <w:name w:val="Heading 2 (no letter)"/>
    <w:basedOn w:val="Heading2"/>
    <w:rsid w:val="00715FD9"/>
    <w:pPr>
      <w:tabs>
        <w:tab w:val="clear" w:pos="720"/>
      </w:tabs>
    </w:pPr>
  </w:style>
  <w:style w:type="character" w:customStyle="1" w:styleId="Heading2CharChar">
    <w:name w:val="Heading 2 Char Char"/>
    <w:rsid w:val="00715FD9"/>
    <w:rPr>
      <w:rFonts w:ascii="Arial" w:hAnsi="Arial" w:cs="Arial"/>
      <w:b/>
      <w:bCs/>
      <w:i/>
      <w:iCs/>
      <w:noProof w:val="0"/>
      <w:sz w:val="28"/>
      <w:szCs w:val="28"/>
      <w:lang w:val="en-US" w:eastAsia="en-US" w:bidi="ar-SA"/>
    </w:rPr>
  </w:style>
  <w:style w:type="paragraph" w:customStyle="1" w:styleId="Heading-plain0">
    <w:name w:val="Heading-plain"/>
    <w:basedOn w:val="Normal"/>
    <w:rsid w:val="00715FD9"/>
    <w:pPr>
      <w:spacing w:before="120" w:after="120"/>
      <w:jc w:val="center"/>
      <w:outlineLvl w:val="0"/>
    </w:pPr>
    <w:rPr>
      <w:rFonts w:cs="Angsana New"/>
      <w:i/>
      <w:szCs w:val="20"/>
    </w:rPr>
  </w:style>
  <w:style w:type="paragraph" w:customStyle="1" w:styleId="Heading-plainbold">
    <w:name w:val="Heading-plain bold"/>
    <w:basedOn w:val="BodyText"/>
    <w:rsid w:val="00715FD9"/>
    <w:pPr>
      <w:ind w:firstLine="0"/>
      <w:jc w:val="center"/>
    </w:pPr>
    <w:rPr>
      <w:rFonts w:cs="Angsana New"/>
      <w:b/>
      <w:bCs/>
      <w:i/>
      <w:iCs w:val="0"/>
    </w:rPr>
  </w:style>
  <w:style w:type="paragraph" w:customStyle="1" w:styleId="Heading-plainitalic">
    <w:name w:val="Heading-plain italic"/>
    <w:basedOn w:val="Heading-plainbold"/>
    <w:rsid w:val="00715FD9"/>
    <w:rPr>
      <w:b w:val="0"/>
      <w:bCs w:val="0"/>
    </w:rPr>
  </w:style>
  <w:style w:type="paragraph" w:styleId="NormalWeb">
    <w:name w:val="Normal (Web)"/>
    <w:basedOn w:val="Normal"/>
    <w:uiPriority w:val="99"/>
    <w:rsid w:val="00715FD9"/>
    <w:pPr>
      <w:spacing w:before="100" w:beforeAutospacing="1" w:after="100" w:afterAutospacing="1"/>
      <w:jc w:val="left"/>
    </w:pPr>
    <w:rPr>
      <w:rFonts w:ascii="Verdana" w:hAnsi="Verdana" w:cs="Angsana New"/>
      <w:color w:val="000000"/>
      <w:sz w:val="18"/>
      <w:szCs w:val="18"/>
      <w:lang w:val="en-US"/>
    </w:rPr>
  </w:style>
  <w:style w:type="paragraph" w:customStyle="1" w:styleId="Para10">
    <w:name w:val="Para 1"/>
    <w:basedOn w:val="BodyText"/>
    <w:rsid w:val="00715FD9"/>
    <w:pPr>
      <w:ind w:firstLine="0"/>
    </w:pPr>
    <w:rPr>
      <w:rFonts w:eastAsia="MS Mincho" w:cs="Angsana New"/>
      <w:bCs/>
      <w:iCs w:val="0"/>
      <w:szCs w:val="22"/>
    </w:rPr>
  </w:style>
  <w:style w:type="character" w:customStyle="1" w:styleId="Para1Char0">
    <w:name w:val="Para 1 Char"/>
    <w:rsid w:val="00715FD9"/>
    <w:rPr>
      <w:rFonts w:eastAsia="MS Mincho"/>
      <w:bCs/>
      <w:iCs/>
      <w:sz w:val="22"/>
      <w:szCs w:val="22"/>
      <w:lang w:val="en-GB" w:eastAsia="en-US" w:bidi="ar-SA"/>
    </w:rPr>
  </w:style>
  <w:style w:type="character" w:customStyle="1" w:styleId="FootnoteCharacters">
    <w:name w:val="Footnote Characters"/>
    <w:rsid w:val="00715FD9"/>
    <w:rPr>
      <w:position w:val="0"/>
      <w:sz w:val="18"/>
      <w:u w:val="single"/>
      <w:vertAlign w:val="baseline"/>
    </w:rPr>
  </w:style>
  <w:style w:type="paragraph" w:customStyle="1" w:styleId="Paraofficial">
    <w:name w:val="Para official"/>
    <w:basedOn w:val="Normal"/>
    <w:rsid w:val="00715FD9"/>
    <w:pPr>
      <w:framePr w:hSpace="187" w:vSpace="187" w:wrap="notBeside" w:vAnchor="text" w:hAnchor="text" w:y="1"/>
      <w:numPr>
        <w:numId w:val="36"/>
      </w:numPr>
      <w:spacing w:before="240" w:after="240"/>
      <w:jc w:val="left"/>
    </w:pPr>
    <w:rPr>
      <w:rFonts w:cs="Angsana New"/>
      <w:szCs w:val="20"/>
    </w:rPr>
  </w:style>
  <w:style w:type="paragraph" w:customStyle="1" w:styleId="Para1-Annex">
    <w:name w:val="Para1-Annex"/>
    <w:basedOn w:val="Normal"/>
    <w:rsid w:val="00715FD9"/>
    <w:pPr>
      <w:tabs>
        <w:tab w:val="num" w:pos="360"/>
      </w:tabs>
      <w:spacing w:after="120"/>
    </w:pPr>
    <w:rPr>
      <w:szCs w:val="22"/>
      <w:lang w:val="en-US"/>
    </w:rPr>
  </w:style>
  <w:style w:type="paragraph" w:customStyle="1" w:styleId="para20">
    <w:name w:val="para2"/>
    <w:basedOn w:val="para2a"/>
    <w:rsid w:val="00715FD9"/>
  </w:style>
  <w:style w:type="paragraph" w:customStyle="1" w:styleId="Para40">
    <w:name w:val="Para4"/>
    <w:basedOn w:val="Para3"/>
    <w:rsid w:val="00715FD9"/>
    <w:pPr>
      <w:numPr>
        <w:ilvl w:val="0"/>
        <w:numId w:val="0"/>
      </w:numPr>
      <w:tabs>
        <w:tab w:val="clear" w:pos="1980"/>
        <w:tab w:val="left" w:pos="2552"/>
        <w:tab w:val="num" w:pos="3540"/>
      </w:tabs>
      <w:ind w:left="2552" w:hanging="567"/>
    </w:pPr>
    <w:rPr>
      <w:rFonts w:cs="Angsana New"/>
      <w:lang w:val="en-US"/>
    </w:rPr>
  </w:style>
  <w:style w:type="paragraph" w:customStyle="1" w:styleId="Paranum">
    <w:name w:val="Paranum"/>
    <w:basedOn w:val="Normal"/>
    <w:rsid w:val="00715FD9"/>
    <w:pPr>
      <w:tabs>
        <w:tab w:val="num" w:pos="360"/>
      </w:tabs>
      <w:spacing w:after="120" w:line="240" w:lineRule="exact"/>
    </w:pPr>
    <w:rPr>
      <w:rFonts w:cs="Angsana New"/>
      <w:szCs w:val="20"/>
      <w:lang w:val="en-US"/>
    </w:rPr>
  </w:style>
  <w:style w:type="character" w:styleId="Strong">
    <w:name w:val="Strong"/>
    <w:qFormat/>
    <w:rsid w:val="00715FD9"/>
    <w:rPr>
      <w:b/>
      <w:bCs/>
    </w:rPr>
  </w:style>
  <w:style w:type="paragraph" w:customStyle="1" w:styleId="StyleBodyTextTimesNewRoman11ptCharChar">
    <w:name w:val="Style Body Text + Times New Roman 11 pt Char Char"/>
    <w:basedOn w:val="BodyText"/>
    <w:rsid w:val="00715FD9"/>
    <w:rPr>
      <w:rFonts w:cs="Angsana New"/>
      <w:iCs w:val="0"/>
      <w:snapToGrid w:val="0"/>
      <w:color w:val="000000"/>
      <w:szCs w:val="22"/>
      <w:lang w:val="en-US"/>
    </w:rPr>
  </w:style>
  <w:style w:type="character" w:customStyle="1" w:styleId="StyleBodyTextTimesNewRoman11ptCharCharChar">
    <w:name w:val="Style Body Text + Times New Roman 11 pt Char Char Char"/>
    <w:rsid w:val="00715FD9"/>
    <w:rPr>
      <w:rFonts w:cs="Angsana New"/>
      <w:iCs/>
      <w:snapToGrid w:val="0"/>
      <w:color w:val="000000"/>
      <w:sz w:val="22"/>
      <w:szCs w:val="22"/>
      <w:lang w:val="en-US" w:eastAsia="en-US" w:bidi="ar-SA"/>
    </w:rPr>
  </w:style>
  <w:style w:type="paragraph" w:customStyle="1" w:styleId="StylePara1Firstline127cm">
    <w:name w:val="Style Para1 + First line:  1.27 cm"/>
    <w:basedOn w:val="Normal"/>
    <w:rsid w:val="00715FD9"/>
    <w:pPr>
      <w:tabs>
        <w:tab w:val="num" w:pos="360"/>
      </w:tabs>
      <w:spacing w:after="120"/>
    </w:pPr>
    <w:rPr>
      <w:rFonts w:cs="Angsana New"/>
      <w:snapToGrid w:val="0"/>
      <w:szCs w:val="20"/>
    </w:rPr>
  </w:style>
  <w:style w:type="paragraph" w:customStyle="1" w:styleId="StylePara1Italic">
    <w:name w:val="Style Para1 + Italic"/>
    <w:basedOn w:val="Normal"/>
    <w:rsid w:val="00715FD9"/>
    <w:pPr>
      <w:spacing w:before="120" w:after="120"/>
    </w:pPr>
    <w:rPr>
      <w:i/>
      <w:iCs/>
      <w:snapToGrid w:val="0"/>
      <w:szCs w:val="18"/>
    </w:rPr>
  </w:style>
  <w:style w:type="paragraph" w:styleId="Title">
    <w:name w:val="Title"/>
    <w:basedOn w:val="Normal"/>
    <w:link w:val="TitleChar"/>
    <w:qFormat/>
    <w:rsid w:val="00715FD9"/>
    <w:pPr>
      <w:jc w:val="center"/>
    </w:pPr>
    <w:rPr>
      <w:rFonts w:cs="Angsana New"/>
      <w:i/>
      <w:iCs/>
    </w:rPr>
  </w:style>
  <w:style w:type="character" w:customStyle="1" w:styleId="TitleChar">
    <w:name w:val="Title Char"/>
    <w:basedOn w:val="DefaultParagraphFont"/>
    <w:link w:val="Title"/>
    <w:rsid w:val="00715FD9"/>
    <w:rPr>
      <w:rFonts w:cs="Angsana New"/>
      <w:i/>
      <w:iCs/>
      <w:sz w:val="22"/>
      <w:szCs w:val="24"/>
      <w:lang w:val="en-GB"/>
    </w:rPr>
  </w:style>
  <w:style w:type="paragraph" w:customStyle="1" w:styleId="para2a">
    <w:name w:val="para 2 (a)"/>
    <w:basedOn w:val="Normal"/>
    <w:qFormat/>
    <w:rsid w:val="00715FD9"/>
    <w:pPr>
      <w:spacing w:after="120"/>
      <w:ind w:firstLine="763"/>
    </w:pPr>
    <w:rPr>
      <w:rFonts w:eastAsia="MS Mincho" w:cs="Angsana New"/>
      <w:snapToGrid w:val="0"/>
      <w:szCs w:val="18"/>
    </w:rPr>
  </w:style>
  <w:style w:type="paragraph" w:customStyle="1" w:styleId="Pa6">
    <w:name w:val="Pa6"/>
    <w:basedOn w:val="Default"/>
    <w:next w:val="Default"/>
    <w:uiPriority w:val="99"/>
    <w:rsid w:val="00715FD9"/>
    <w:pPr>
      <w:spacing w:line="201" w:lineRule="atLeast"/>
    </w:pPr>
    <w:rPr>
      <w:rFonts w:ascii="Minion Pro" w:hAnsi="Minion Pro"/>
      <w:color w:val="auto"/>
      <w:lang w:val="en-US"/>
    </w:rPr>
  </w:style>
  <w:style w:type="character" w:customStyle="1" w:styleId="A6">
    <w:name w:val="A6"/>
    <w:uiPriority w:val="99"/>
    <w:rsid w:val="00715FD9"/>
    <w:rPr>
      <w:rFonts w:cs="Minion Pro"/>
      <w:color w:val="000000"/>
      <w:sz w:val="12"/>
      <w:szCs w:val="12"/>
    </w:rPr>
  </w:style>
  <w:style w:type="paragraph" w:customStyle="1" w:styleId="Pa45">
    <w:name w:val="Pa45"/>
    <w:basedOn w:val="Default"/>
    <w:next w:val="Default"/>
    <w:uiPriority w:val="99"/>
    <w:rsid w:val="00715FD9"/>
    <w:pPr>
      <w:spacing w:line="191" w:lineRule="atLeast"/>
    </w:pPr>
    <w:rPr>
      <w:rFonts w:ascii="Myriad Roman" w:hAnsi="Myriad Roman"/>
      <w:color w:val="auto"/>
      <w:lang w:val="en-US"/>
    </w:rPr>
  </w:style>
  <w:style w:type="character" w:customStyle="1" w:styleId="A13">
    <w:name w:val="A13"/>
    <w:uiPriority w:val="99"/>
    <w:rsid w:val="00715FD9"/>
    <w:rPr>
      <w:rFonts w:cs="Myriad Roman"/>
      <w:color w:val="000000"/>
      <w:sz w:val="18"/>
      <w:szCs w:val="18"/>
    </w:rPr>
  </w:style>
  <w:style w:type="paragraph" w:customStyle="1" w:styleId="MediumGrid1-Accent21">
    <w:name w:val="Medium Grid 1 - Accent 21"/>
    <w:basedOn w:val="Normal"/>
    <w:rsid w:val="00715FD9"/>
    <w:pPr>
      <w:ind w:left="720"/>
      <w:contextualSpacing/>
      <w:jc w:val="left"/>
    </w:pPr>
    <w:rPr>
      <w:rFonts w:ascii="Cambria" w:eastAsia="MS ??" w:hAnsi="Cambria"/>
      <w:sz w:val="24"/>
      <w:lang w:val="en-US" w:eastAsia="ja-JP"/>
    </w:rPr>
  </w:style>
  <w:style w:type="paragraph" w:customStyle="1" w:styleId="ta-response-item-content">
    <w:name w:val="ta-response-item-content"/>
    <w:basedOn w:val="Normal"/>
    <w:rsid w:val="00715FD9"/>
    <w:pPr>
      <w:spacing w:before="100" w:beforeAutospacing="1" w:after="100" w:afterAutospacing="1"/>
      <w:jc w:val="left"/>
    </w:pPr>
    <w:rPr>
      <w:sz w:val="24"/>
      <w:lang w:val="en-US"/>
    </w:rPr>
  </w:style>
  <w:style w:type="paragraph" w:styleId="Caption">
    <w:name w:val="caption"/>
    <w:basedOn w:val="Normal"/>
    <w:next w:val="Normal"/>
    <w:qFormat/>
    <w:rsid w:val="00715FD9"/>
    <w:pPr>
      <w:widowControl w:val="0"/>
    </w:pPr>
    <w:rPr>
      <w:rFonts w:ascii="Courier New" w:eastAsia="MS Mincho" w:hAnsi="Courier New" w:cs="Angsana New"/>
    </w:rPr>
  </w:style>
  <w:style w:type="paragraph" w:styleId="BodyTextIndent3">
    <w:name w:val="Body Text Indent 3"/>
    <w:basedOn w:val="Normal"/>
    <w:link w:val="BodyTextIndent3Char"/>
    <w:rsid w:val="00715FD9"/>
    <w:pPr>
      <w:ind w:left="1080" w:hanging="360"/>
    </w:pPr>
    <w:rPr>
      <w:rFonts w:ascii="Courier" w:eastAsia="MS Mincho" w:hAnsi="Courier" w:cs="Angsana New"/>
      <w:sz w:val="20"/>
    </w:rPr>
  </w:style>
  <w:style w:type="character" w:customStyle="1" w:styleId="BodyTextIndent3Char">
    <w:name w:val="Body Text Indent 3 Char"/>
    <w:basedOn w:val="DefaultParagraphFont"/>
    <w:link w:val="BodyTextIndent3"/>
    <w:rsid w:val="00715FD9"/>
    <w:rPr>
      <w:rFonts w:ascii="Courier" w:eastAsia="MS Mincho" w:hAnsi="Courier" w:cs="Angsana New"/>
      <w:szCs w:val="24"/>
      <w:lang w:val="en-GB"/>
    </w:rPr>
  </w:style>
  <w:style w:type="paragraph" w:customStyle="1" w:styleId="BodyText21">
    <w:name w:val="Body Text 21"/>
    <w:basedOn w:val="Normal"/>
    <w:rsid w:val="00715FD9"/>
    <w:rPr>
      <w:rFonts w:eastAsia="MS Mincho" w:cs="Angsana New"/>
    </w:rPr>
  </w:style>
  <w:style w:type="paragraph" w:styleId="BlockText">
    <w:name w:val="Block Text"/>
    <w:basedOn w:val="Normal"/>
    <w:rsid w:val="00715FD9"/>
    <w:pPr>
      <w:tabs>
        <w:tab w:val="left" w:leader="dot" w:pos="8100"/>
        <w:tab w:val="left" w:pos="8370"/>
      </w:tabs>
      <w:suppressAutoHyphens/>
      <w:ind w:left="720" w:right="1440" w:hanging="720"/>
    </w:pPr>
    <w:rPr>
      <w:rFonts w:ascii="Courier New" w:eastAsia="MS Mincho" w:hAnsi="Courier New" w:cs="Angsana New"/>
      <w:sz w:val="20"/>
    </w:rPr>
  </w:style>
  <w:style w:type="paragraph" w:customStyle="1" w:styleId="Para">
    <w:name w:val="Para"/>
    <w:basedOn w:val="Normal"/>
    <w:rsid w:val="00715FD9"/>
    <w:pPr>
      <w:numPr>
        <w:numId w:val="37"/>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MS Mincho" w:cs="Angsana New"/>
    </w:rPr>
  </w:style>
  <w:style w:type="paragraph" w:styleId="DocumentMap">
    <w:name w:val="Document Map"/>
    <w:basedOn w:val="Normal"/>
    <w:link w:val="DocumentMapChar"/>
    <w:semiHidden/>
    <w:rsid w:val="00715FD9"/>
    <w:pPr>
      <w:shd w:val="clear" w:color="auto" w:fill="000080"/>
    </w:pPr>
    <w:rPr>
      <w:rFonts w:ascii="Tahoma" w:eastAsia="MS Mincho" w:hAnsi="Tahoma" w:cs="Angsana New"/>
    </w:rPr>
  </w:style>
  <w:style w:type="character" w:customStyle="1" w:styleId="DocumentMapChar">
    <w:name w:val="Document Map Char"/>
    <w:basedOn w:val="DefaultParagraphFont"/>
    <w:link w:val="DocumentMap"/>
    <w:semiHidden/>
    <w:rsid w:val="00715FD9"/>
    <w:rPr>
      <w:rFonts w:ascii="Tahoma" w:eastAsia="MS Mincho" w:hAnsi="Tahoma" w:cs="Angsana New"/>
      <w:sz w:val="22"/>
      <w:szCs w:val="24"/>
      <w:shd w:val="clear" w:color="auto" w:fill="000080"/>
      <w:lang w:val="en-GB"/>
    </w:rPr>
  </w:style>
  <w:style w:type="paragraph" w:customStyle="1" w:styleId="Heading2-center">
    <w:name w:val="Heading 2-center"/>
    <w:basedOn w:val="Heading2"/>
    <w:rsid w:val="00715FD9"/>
    <w:rPr>
      <w:rFonts w:eastAsia="MS Mincho" w:cs="Angsana New"/>
      <w:i/>
    </w:rPr>
  </w:style>
  <w:style w:type="paragraph" w:styleId="PlainText">
    <w:name w:val="Plain Text"/>
    <w:basedOn w:val="Normal"/>
    <w:link w:val="PlainTextChar"/>
    <w:uiPriority w:val="99"/>
    <w:rsid w:val="00715FD9"/>
    <w:rPr>
      <w:rFonts w:ascii="Courier New" w:eastAsia="MS Mincho" w:hAnsi="Courier New"/>
      <w:sz w:val="20"/>
      <w:lang w:val="x-none"/>
    </w:rPr>
  </w:style>
  <w:style w:type="character" w:customStyle="1" w:styleId="PlainTextChar">
    <w:name w:val="Plain Text Char"/>
    <w:basedOn w:val="DefaultParagraphFont"/>
    <w:link w:val="PlainText"/>
    <w:uiPriority w:val="99"/>
    <w:rsid w:val="00715FD9"/>
    <w:rPr>
      <w:rFonts w:ascii="Courier New" w:eastAsia="MS Mincho" w:hAnsi="Courier New"/>
      <w:szCs w:val="24"/>
      <w:lang w:val="x-none"/>
    </w:rPr>
  </w:style>
  <w:style w:type="paragraph" w:customStyle="1" w:styleId="xl24">
    <w:name w:val="xl24"/>
    <w:basedOn w:val="Normal"/>
    <w:rsid w:val="00715FD9"/>
    <w:pPr>
      <w:spacing w:before="100" w:beforeAutospacing="1" w:after="100" w:afterAutospacing="1"/>
    </w:pPr>
    <w:rPr>
      <w:rFonts w:eastAsia="Arial Unicode MS" w:cs="Angsana New"/>
      <w:b/>
      <w:bCs/>
      <w:szCs w:val="22"/>
    </w:rPr>
  </w:style>
  <w:style w:type="paragraph" w:customStyle="1" w:styleId="xl25">
    <w:name w:val="xl25"/>
    <w:basedOn w:val="Normal"/>
    <w:rsid w:val="00715FD9"/>
    <w:pPr>
      <w:spacing w:before="100" w:beforeAutospacing="1" w:after="100" w:afterAutospacing="1"/>
    </w:pPr>
    <w:rPr>
      <w:rFonts w:eastAsia="Arial Unicode MS" w:cs="Angsana New"/>
      <w:b/>
      <w:bCs/>
      <w:szCs w:val="22"/>
    </w:rPr>
  </w:style>
  <w:style w:type="paragraph" w:customStyle="1" w:styleId="xl26">
    <w:name w:val="xl26"/>
    <w:basedOn w:val="Normal"/>
    <w:rsid w:val="00715FD9"/>
    <w:pPr>
      <w:spacing w:before="100" w:beforeAutospacing="1" w:after="100" w:afterAutospacing="1"/>
      <w:jc w:val="center"/>
    </w:pPr>
    <w:rPr>
      <w:rFonts w:eastAsia="Arial Unicode MS" w:cs="Angsana New"/>
      <w:b/>
      <w:bCs/>
      <w:szCs w:val="22"/>
    </w:rPr>
  </w:style>
  <w:style w:type="paragraph" w:customStyle="1" w:styleId="xl27">
    <w:name w:val="xl27"/>
    <w:basedOn w:val="Normal"/>
    <w:rsid w:val="00715FD9"/>
    <w:pPr>
      <w:pBdr>
        <w:left w:val="single" w:sz="8" w:space="0" w:color="auto"/>
      </w:pBdr>
      <w:spacing w:before="100" w:beforeAutospacing="1" w:after="100" w:afterAutospacing="1"/>
    </w:pPr>
    <w:rPr>
      <w:rFonts w:eastAsia="Arial Unicode MS" w:cs="Angsana New"/>
      <w:b/>
      <w:bCs/>
      <w:szCs w:val="22"/>
    </w:rPr>
  </w:style>
  <w:style w:type="paragraph" w:customStyle="1" w:styleId="xl28">
    <w:name w:val="xl28"/>
    <w:basedOn w:val="Normal"/>
    <w:rsid w:val="00715FD9"/>
    <w:pPr>
      <w:pBdr>
        <w:left w:val="single" w:sz="8" w:space="0" w:color="auto"/>
        <w:right w:val="single" w:sz="8" w:space="0" w:color="auto"/>
      </w:pBdr>
      <w:spacing w:before="100" w:beforeAutospacing="1" w:after="100" w:afterAutospacing="1"/>
      <w:jc w:val="center"/>
    </w:pPr>
    <w:rPr>
      <w:rFonts w:eastAsia="Arial Unicode MS" w:cs="Angsana New"/>
      <w:b/>
      <w:bCs/>
      <w:szCs w:val="22"/>
    </w:rPr>
  </w:style>
  <w:style w:type="paragraph" w:customStyle="1" w:styleId="xl29">
    <w:name w:val="xl29"/>
    <w:basedOn w:val="Normal"/>
    <w:rsid w:val="00715FD9"/>
    <w:pPr>
      <w:pBdr>
        <w:left w:val="single" w:sz="8" w:space="0" w:color="auto"/>
      </w:pBdr>
      <w:spacing w:before="100" w:beforeAutospacing="1" w:after="100" w:afterAutospacing="1"/>
    </w:pPr>
    <w:rPr>
      <w:rFonts w:eastAsia="Arial Unicode MS" w:cs="Angsana New"/>
      <w:szCs w:val="22"/>
    </w:rPr>
  </w:style>
  <w:style w:type="paragraph" w:customStyle="1" w:styleId="xl30">
    <w:name w:val="xl30"/>
    <w:basedOn w:val="Normal"/>
    <w:rsid w:val="00715FD9"/>
    <w:pPr>
      <w:pBdr>
        <w:left w:val="single" w:sz="4" w:space="0" w:color="auto"/>
        <w:right w:val="single" w:sz="4" w:space="0" w:color="auto"/>
      </w:pBdr>
      <w:spacing w:before="100" w:beforeAutospacing="1" w:after="100" w:afterAutospacing="1"/>
      <w:jc w:val="center"/>
    </w:pPr>
    <w:rPr>
      <w:rFonts w:eastAsia="Arial Unicode MS" w:cs="Angsana New"/>
      <w:szCs w:val="22"/>
    </w:rPr>
  </w:style>
  <w:style w:type="paragraph" w:customStyle="1" w:styleId="xl31">
    <w:name w:val="xl31"/>
    <w:basedOn w:val="Normal"/>
    <w:rsid w:val="00715FD9"/>
    <w:pPr>
      <w:pBdr>
        <w:left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32">
    <w:name w:val="xl32"/>
    <w:basedOn w:val="Normal"/>
    <w:rsid w:val="00715FD9"/>
    <w:pPr>
      <w:pBdr>
        <w:left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33">
    <w:name w:val="xl33"/>
    <w:basedOn w:val="Normal"/>
    <w:rsid w:val="00715FD9"/>
    <w:pPr>
      <w:pBdr>
        <w:right w:val="single" w:sz="8" w:space="0" w:color="auto"/>
      </w:pBdr>
      <w:spacing w:before="100" w:beforeAutospacing="1" w:after="100" w:afterAutospacing="1"/>
    </w:pPr>
    <w:rPr>
      <w:rFonts w:eastAsia="Arial Unicode MS" w:cs="Angsana New"/>
      <w:szCs w:val="22"/>
    </w:rPr>
  </w:style>
  <w:style w:type="paragraph" w:customStyle="1" w:styleId="xl34">
    <w:name w:val="xl34"/>
    <w:basedOn w:val="Normal"/>
    <w:rsid w:val="00715FD9"/>
    <w:pPr>
      <w:pBdr>
        <w:left w:val="single" w:sz="8" w:space="0" w:color="auto"/>
      </w:pBdr>
      <w:spacing w:before="100" w:beforeAutospacing="1" w:after="100" w:afterAutospacing="1"/>
      <w:textAlignment w:val="top"/>
    </w:pPr>
    <w:rPr>
      <w:rFonts w:eastAsia="Arial Unicode MS" w:cs="Angsana New"/>
      <w:szCs w:val="22"/>
    </w:rPr>
  </w:style>
  <w:style w:type="paragraph" w:customStyle="1" w:styleId="xl35">
    <w:name w:val="xl35"/>
    <w:basedOn w:val="Normal"/>
    <w:rsid w:val="00715FD9"/>
    <w:pPr>
      <w:pBdr>
        <w:left w:val="single" w:sz="4" w:space="0" w:color="auto"/>
        <w:right w:val="single" w:sz="4" w:space="0" w:color="auto"/>
      </w:pBdr>
      <w:spacing w:before="100" w:beforeAutospacing="1" w:after="100" w:afterAutospacing="1"/>
      <w:jc w:val="center"/>
      <w:textAlignment w:val="top"/>
    </w:pPr>
    <w:rPr>
      <w:rFonts w:eastAsia="Arial Unicode MS" w:cs="Angsana New"/>
      <w:szCs w:val="22"/>
    </w:rPr>
  </w:style>
  <w:style w:type="paragraph" w:customStyle="1" w:styleId="xl36">
    <w:name w:val="xl36"/>
    <w:basedOn w:val="Normal"/>
    <w:rsid w:val="00715FD9"/>
    <w:pPr>
      <w:pBdr>
        <w:left w:val="single" w:sz="4" w:space="0" w:color="auto"/>
        <w:right w:val="single" w:sz="8" w:space="0" w:color="auto"/>
      </w:pBdr>
      <w:spacing w:before="100" w:beforeAutospacing="1" w:after="100" w:afterAutospacing="1"/>
      <w:textAlignment w:val="top"/>
    </w:pPr>
    <w:rPr>
      <w:rFonts w:eastAsia="Arial Unicode MS" w:cs="Angsana New"/>
      <w:szCs w:val="22"/>
    </w:rPr>
  </w:style>
  <w:style w:type="paragraph" w:customStyle="1" w:styleId="xl37">
    <w:name w:val="xl37"/>
    <w:basedOn w:val="Normal"/>
    <w:rsid w:val="00715FD9"/>
    <w:pPr>
      <w:pBdr>
        <w:left w:val="single" w:sz="8" w:space="0" w:color="auto"/>
        <w:bottom w:val="single" w:sz="4" w:space="0" w:color="auto"/>
      </w:pBdr>
      <w:spacing w:before="100" w:beforeAutospacing="1" w:after="100" w:afterAutospacing="1"/>
      <w:textAlignment w:val="top"/>
    </w:pPr>
    <w:rPr>
      <w:rFonts w:eastAsia="Arial Unicode MS" w:cs="Angsana New"/>
      <w:szCs w:val="22"/>
    </w:rPr>
  </w:style>
  <w:style w:type="paragraph" w:customStyle="1" w:styleId="xl38">
    <w:name w:val="xl38"/>
    <w:basedOn w:val="Normal"/>
    <w:rsid w:val="00715FD9"/>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ngsana New"/>
      <w:szCs w:val="22"/>
    </w:rPr>
  </w:style>
  <w:style w:type="paragraph" w:customStyle="1" w:styleId="xl39">
    <w:name w:val="xl39"/>
    <w:basedOn w:val="Normal"/>
    <w:rsid w:val="00715FD9"/>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cs="Angsana New"/>
      <w:szCs w:val="22"/>
    </w:rPr>
  </w:style>
  <w:style w:type="paragraph" w:customStyle="1" w:styleId="xl40">
    <w:name w:val="xl40"/>
    <w:basedOn w:val="Normal"/>
    <w:rsid w:val="00715FD9"/>
    <w:pPr>
      <w:spacing w:before="100" w:beforeAutospacing="1" w:after="100" w:afterAutospacing="1"/>
      <w:jc w:val="center"/>
      <w:textAlignment w:val="top"/>
    </w:pPr>
    <w:rPr>
      <w:rFonts w:eastAsia="Arial Unicode MS" w:cs="Angsana New"/>
      <w:szCs w:val="22"/>
    </w:rPr>
  </w:style>
  <w:style w:type="paragraph" w:customStyle="1" w:styleId="xl41">
    <w:name w:val="xl41"/>
    <w:basedOn w:val="Normal"/>
    <w:rsid w:val="00715FD9"/>
    <w:pPr>
      <w:spacing w:before="100" w:beforeAutospacing="1" w:after="100" w:afterAutospacing="1"/>
      <w:textAlignment w:val="top"/>
    </w:pPr>
    <w:rPr>
      <w:rFonts w:eastAsia="Arial Unicode MS" w:cs="Angsana New"/>
      <w:szCs w:val="22"/>
    </w:rPr>
  </w:style>
  <w:style w:type="paragraph" w:customStyle="1" w:styleId="xl42">
    <w:name w:val="xl42"/>
    <w:basedOn w:val="Normal"/>
    <w:rsid w:val="00715FD9"/>
    <w:pPr>
      <w:spacing w:before="100" w:beforeAutospacing="1" w:after="100" w:afterAutospacing="1"/>
      <w:jc w:val="center"/>
    </w:pPr>
    <w:rPr>
      <w:rFonts w:eastAsia="Arial Unicode MS" w:cs="Angsana New"/>
      <w:szCs w:val="22"/>
    </w:rPr>
  </w:style>
  <w:style w:type="paragraph" w:customStyle="1" w:styleId="xl43">
    <w:name w:val="xl43"/>
    <w:basedOn w:val="Normal"/>
    <w:rsid w:val="00715FD9"/>
    <w:pPr>
      <w:pBdr>
        <w:top w:val="single" w:sz="8" w:space="0" w:color="auto"/>
        <w:left w:val="single" w:sz="8" w:space="0" w:color="auto"/>
        <w:bottom w:val="single" w:sz="8" w:space="0" w:color="auto"/>
      </w:pBdr>
      <w:spacing w:before="100" w:beforeAutospacing="1" w:after="100" w:afterAutospacing="1"/>
    </w:pPr>
    <w:rPr>
      <w:rFonts w:eastAsia="Arial Unicode MS" w:cs="Angsana New"/>
      <w:b/>
      <w:bCs/>
      <w:szCs w:val="22"/>
    </w:rPr>
  </w:style>
  <w:style w:type="paragraph" w:customStyle="1" w:styleId="xl44">
    <w:name w:val="xl44"/>
    <w:basedOn w:val="Normal"/>
    <w:rsid w:val="00715FD9"/>
    <w:pPr>
      <w:pBdr>
        <w:top w:val="single" w:sz="8" w:space="0" w:color="auto"/>
        <w:bottom w:val="single" w:sz="8" w:space="0" w:color="auto"/>
      </w:pBdr>
      <w:spacing w:before="100" w:beforeAutospacing="1" w:after="100" w:afterAutospacing="1"/>
      <w:jc w:val="center"/>
    </w:pPr>
    <w:rPr>
      <w:rFonts w:eastAsia="Arial Unicode MS" w:cs="Angsana New"/>
      <w:b/>
      <w:bCs/>
      <w:szCs w:val="22"/>
    </w:rPr>
  </w:style>
  <w:style w:type="paragraph" w:customStyle="1" w:styleId="xl45">
    <w:name w:val="xl45"/>
    <w:basedOn w:val="Normal"/>
    <w:rsid w:val="00715FD9"/>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cs="Angsana New"/>
      <w:b/>
      <w:bCs/>
      <w:szCs w:val="22"/>
    </w:rPr>
  </w:style>
  <w:style w:type="paragraph" w:customStyle="1" w:styleId="xl46">
    <w:name w:val="xl46"/>
    <w:basedOn w:val="Normal"/>
    <w:rsid w:val="00715FD9"/>
    <w:pPr>
      <w:pBdr>
        <w:left w:val="single" w:sz="4" w:space="0" w:color="auto"/>
      </w:pBdr>
      <w:spacing w:before="100" w:beforeAutospacing="1" w:after="100" w:afterAutospacing="1"/>
    </w:pPr>
    <w:rPr>
      <w:rFonts w:eastAsia="Arial Unicode MS" w:cs="Angsana New"/>
      <w:szCs w:val="22"/>
    </w:rPr>
  </w:style>
  <w:style w:type="paragraph" w:customStyle="1" w:styleId="xl47">
    <w:name w:val="xl47"/>
    <w:basedOn w:val="Normal"/>
    <w:rsid w:val="00715FD9"/>
    <w:pPr>
      <w:pBdr>
        <w:left w:val="single" w:sz="8" w:space="0" w:color="auto"/>
        <w:bottom w:val="single" w:sz="8" w:space="0" w:color="auto"/>
      </w:pBdr>
      <w:spacing w:before="100" w:beforeAutospacing="1" w:after="100" w:afterAutospacing="1"/>
    </w:pPr>
    <w:rPr>
      <w:rFonts w:eastAsia="Arial Unicode MS" w:cs="Angsana New"/>
      <w:szCs w:val="22"/>
    </w:rPr>
  </w:style>
  <w:style w:type="paragraph" w:customStyle="1" w:styleId="xl48">
    <w:name w:val="xl48"/>
    <w:basedOn w:val="Normal"/>
    <w:rsid w:val="00715FD9"/>
    <w:pPr>
      <w:pBdr>
        <w:bottom w:val="single" w:sz="8" w:space="0" w:color="auto"/>
      </w:pBdr>
      <w:spacing w:before="100" w:beforeAutospacing="1" w:after="100" w:afterAutospacing="1"/>
      <w:jc w:val="center"/>
    </w:pPr>
    <w:rPr>
      <w:rFonts w:eastAsia="Arial Unicode MS" w:cs="Angsana New"/>
      <w:szCs w:val="22"/>
    </w:rPr>
  </w:style>
  <w:style w:type="paragraph" w:customStyle="1" w:styleId="xl49">
    <w:name w:val="xl49"/>
    <w:basedOn w:val="Normal"/>
    <w:rsid w:val="00715FD9"/>
    <w:pPr>
      <w:pBdr>
        <w:left w:val="single" w:sz="4" w:space="0" w:color="auto"/>
        <w:bottom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50">
    <w:name w:val="xl50"/>
    <w:basedOn w:val="Normal"/>
    <w:rsid w:val="00715FD9"/>
    <w:pPr>
      <w:pBdr>
        <w:left w:val="single" w:sz="8" w:space="0" w:color="auto"/>
        <w:right w:val="single" w:sz="8" w:space="0" w:color="auto"/>
      </w:pBdr>
      <w:spacing w:before="100" w:beforeAutospacing="1" w:after="100" w:afterAutospacing="1"/>
    </w:pPr>
    <w:rPr>
      <w:rFonts w:eastAsia="Arial Unicode MS" w:cs="Angsana New"/>
      <w:b/>
      <w:bCs/>
      <w:szCs w:val="22"/>
    </w:rPr>
  </w:style>
  <w:style w:type="paragraph" w:customStyle="1" w:styleId="xl51">
    <w:name w:val="xl51"/>
    <w:basedOn w:val="Normal"/>
    <w:rsid w:val="00715FD9"/>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52">
    <w:name w:val="xl52"/>
    <w:basedOn w:val="Normal"/>
    <w:rsid w:val="00715FD9"/>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53">
    <w:name w:val="xl53"/>
    <w:basedOn w:val="Normal"/>
    <w:rsid w:val="00715FD9"/>
    <w:pPr>
      <w:pBdr>
        <w:left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54">
    <w:name w:val="xl54"/>
    <w:basedOn w:val="Normal"/>
    <w:rsid w:val="00715FD9"/>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55">
    <w:name w:val="xl55"/>
    <w:basedOn w:val="Normal"/>
    <w:rsid w:val="00715FD9"/>
    <w:pPr>
      <w:pBdr>
        <w:top w:val="single" w:sz="8" w:space="0" w:color="auto"/>
      </w:pBdr>
      <w:spacing w:before="100" w:beforeAutospacing="1" w:after="100" w:afterAutospacing="1"/>
    </w:pPr>
    <w:rPr>
      <w:rFonts w:eastAsia="Arial Unicode MS" w:cs="Angsana New"/>
      <w:szCs w:val="22"/>
    </w:rPr>
  </w:style>
  <w:style w:type="paragraph" w:customStyle="1" w:styleId="xl56">
    <w:name w:val="xl56"/>
    <w:basedOn w:val="Normal"/>
    <w:rsid w:val="00715FD9"/>
    <w:pPr>
      <w:spacing w:before="100" w:beforeAutospacing="1" w:after="100" w:afterAutospacing="1"/>
    </w:pPr>
    <w:rPr>
      <w:rFonts w:eastAsia="Arial Unicode MS" w:cs="Angsana New"/>
      <w:szCs w:val="22"/>
    </w:rPr>
  </w:style>
  <w:style w:type="paragraph" w:customStyle="1" w:styleId="xl57">
    <w:name w:val="xl57"/>
    <w:basedOn w:val="Normal"/>
    <w:rsid w:val="00715FD9"/>
    <w:pPr>
      <w:pBdr>
        <w:bottom w:val="single" w:sz="8" w:space="0" w:color="auto"/>
      </w:pBdr>
      <w:spacing w:before="100" w:beforeAutospacing="1" w:after="100" w:afterAutospacing="1"/>
    </w:pPr>
    <w:rPr>
      <w:rFonts w:eastAsia="Arial Unicode MS" w:cs="Angsana New"/>
      <w:szCs w:val="22"/>
    </w:rPr>
  </w:style>
  <w:style w:type="paragraph" w:customStyle="1" w:styleId="xl58">
    <w:name w:val="xl58"/>
    <w:basedOn w:val="Normal"/>
    <w:rsid w:val="00715FD9"/>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cs="Angsana New"/>
      <w:b/>
      <w:bCs/>
      <w:szCs w:val="22"/>
    </w:rPr>
  </w:style>
  <w:style w:type="paragraph" w:customStyle="1" w:styleId="xl59">
    <w:name w:val="xl59"/>
    <w:basedOn w:val="Normal"/>
    <w:rsid w:val="00715FD9"/>
    <w:pPr>
      <w:pBdr>
        <w:left w:val="single" w:sz="8"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60">
    <w:name w:val="xl60"/>
    <w:basedOn w:val="Normal"/>
    <w:rsid w:val="00715FD9"/>
    <w:pPr>
      <w:pBdr>
        <w:left w:val="single" w:sz="8" w:space="0" w:color="auto"/>
        <w:bottom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61">
    <w:name w:val="xl61"/>
    <w:basedOn w:val="Normal"/>
    <w:rsid w:val="00715FD9"/>
    <w:pPr>
      <w:pBdr>
        <w:left w:val="single" w:sz="8" w:space="0" w:color="auto"/>
        <w:bottom w:val="single" w:sz="4" w:space="0" w:color="auto"/>
      </w:pBdr>
      <w:spacing w:before="100" w:beforeAutospacing="1" w:after="100" w:afterAutospacing="1"/>
    </w:pPr>
    <w:rPr>
      <w:rFonts w:eastAsia="Arial Unicode MS" w:cs="Angsana New"/>
      <w:szCs w:val="22"/>
    </w:rPr>
  </w:style>
  <w:style w:type="paragraph" w:customStyle="1" w:styleId="xl62">
    <w:name w:val="xl62"/>
    <w:basedOn w:val="Normal"/>
    <w:rsid w:val="00715FD9"/>
    <w:pPr>
      <w:pBdr>
        <w:left w:val="single" w:sz="4" w:space="0" w:color="auto"/>
        <w:bottom w:val="single" w:sz="4" w:space="0" w:color="auto"/>
        <w:right w:val="single" w:sz="4" w:space="0" w:color="auto"/>
      </w:pBdr>
      <w:spacing w:before="100" w:beforeAutospacing="1" w:after="100" w:afterAutospacing="1"/>
      <w:jc w:val="center"/>
    </w:pPr>
    <w:rPr>
      <w:rFonts w:eastAsia="Arial Unicode MS" w:cs="Angsana New"/>
      <w:szCs w:val="22"/>
    </w:rPr>
  </w:style>
  <w:style w:type="paragraph" w:customStyle="1" w:styleId="xl63">
    <w:name w:val="xl63"/>
    <w:basedOn w:val="Normal"/>
    <w:rsid w:val="00715FD9"/>
    <w:pPr>
      <w:pBdr>
        <w:left w:val="single" w:sz="4"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64">
    <w:name w:val="xl64"/>
    <w:basedOn w:val="Normal"/>
    <w:rsid w:val="00715FD9"/>
    <w:pPr>
      <w:pBdr>
        <w:left w:val="single" w:sz="4" w:space="0" w:color="auto"/>
      </w:pBdr>
      <w:spacing w:before="100" w:beforeAutospacing="1" w:after="100" w:afterAutospacing="1"/>
    </w:pPr>
    <w:rPr>
      <w:rFonts w:eastAsia="Arial Unicode MS" w:cs="Angsana New"/>
      <w:szCs w:val="22"/>
    </w:rPr>
  </w:style>
  <w:style w:type="paragraph" w:customStyle="1" w:styleId="xl65">
    <w:name w:val="xl65"/>
    <w:basedOn w:val="Normal"/>
    <w:rsid w:val="00715FD9"/>
    <w:pPr>
      <w:pBdr>
        <w:top w:val="single" w:sz="4" w:space="0" w:color="auto"/>
        <w:left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66">
    <w:name w:val="xl66"/>
    <w:basedOn w:val="Normal"/>
    <w:rsid w:val="00715FD9"/>
    <w:pPr>
      <w:pBdr>
        <w:left w:val="single" w:sz="4" w:space="0" w:color="auto"/>
        <w:bottom w:val="single" w:sz="8" w:space="0" w:color="auto"/>
        <w:right w:val="single" w:sz="4" w:space="0" w:color="auto"/>
      </w:pBdr>
      <w:spacing w:before="100" w:beforeAutospacing="1" w:after="100" w:afterAutospacing="1"/>
      <w:jc w:val="center"/>
    </w:pPr>
    <w:rPr>
      <w:rFonts w:eastAsia="Arial Unicode MS" w:cs="Angsana New"/>
      <w:szCs w:val="22"/>
    </w:rPr>
  </w:style>
  <w:style w:type="paragraph" w:customStyle="1" w:styleId="xl67">
    <w:name w:val="xl67"/>
    <w:basedOn w:val="Normal"/>
    <w:rsid w:val="00715FD9"/>
    <w:pPr>
      <w:pBdr>
        <w:left w:val="single" w:sz="4" w:space="0" w:color="auto"/>
        <w:bottom w:val="single" w:sz="8" w:space="0" w:color="auto"/>
      </w:pBdr>
      <w:spacing w:before="100" w:beforeAutospacing="1" w:after="100" w:afterAutospacing="1"/>
    </w:pPr>
    <w:rPr>
      <w:rFonts w:eastAsia="Arial Unicode MS" w:cs="Angsana New"/>
      <w:szCs w:val="22"/>
    </w:rPr>
  </w:style>
  <w:style w:type="paragraph" w:customStyle="1" w:styleId="xl68">
    <w:name w:val="xl68"/>
    <w:basedOn w:val="Normal"/>
    <w:rsid w:val="00715FD9"/>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cs="Angsana New"/>
      <w:b/>
      <w:bCs/>
      <w:szCs w:val="22"/>
    </w:rPr>
  </w:style>
  <w:style w:type="paragraph" w:customStyle="1" w:styleId="Texte">
    <w:name w:val="Texte"/>
    <w:basedOn w:val="Normal"/>
    <w:rsid w:val="00715FD9"/>
    <w:pPr>
      <w:widowControl w:val="0"/>
      <w:tabs>
        <w:tab w:val="left" w:pos="720"/>
      </w:tabs>
      <w:spacing w:before="120" w:after="120"/>
    </w:pPr>
    <w:rPr>
      <w:rFonts w:eastAsia="MS Mincho" w:cs="Angsana New"/>
    </w:rPr>
  </w:style>
  <w:style w:type="paragraph" w:customStyle="1" w:styleId="xl22">
    <w:name w:val="xl22"/>
    <w:basedOn w:val="Normal"/>
    <w:rsid w:val="00715F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rsid w:val="00715FD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rsid w:val="00715FD9"/>
    <w:pPr>
      <w:spacing w:before="100" w:beforeAutospacing="1" w:after="100" w:afterAutospacing="1" w:line="260" w:lineRule="atLeast"/>
    </w:pPr>
    <w:rPr>
      <w:rFonts w:ascii="Arial Unicode MS" w:eastAsia="Arial Unicode MS" w:hAnsi="Arial Unicode MS" w:cs="Arial Unicode MS"/>
      <w:sz w:val="18"/>
      <w:szCs w:val="18"/>
    </w:rPr>
  </w:style>
  <w:style w:type="paragraph" w:styleId="Subtitle">
    <w:name w:val="Subtitle"/>
    <w:basedOn w:val="Normal"/>
    <w:link w:val="SubtitleChar"/>
    <w:qFormat/>
    <w:rsid w:val="00715FD9"/>
    <w:rPr>
      <w:rFonts w:eastAsia="MS Mincho" w:cs="Angsana New"/>
      <w:b/>
      <w:bCs/>
    </w:rPr>
  </w:style>
  <w:style w:type="character" w:customStyle="1" w:styleId="SubtitleChar">
    <w:name w:val="Subtitle Char"/>
    <w:basedOn w:val="DefaultParagraphFont"/>
    <w:link w:val="Subtitle"/>
    <w:rsid w:val="00715FD9"/>
    <w:rPr>
      <w:rFonts w:eastAsia="MS Mincho" w:cs="Angsana New"/>
      <w:b/>
      <w:bCs/>
      <w:sz w:val="22"/>
      <w:szCs w:val="24"/>
      <w:lang w:val="en-GB"/>
    </w:rPr>
  </w:style>
  <w:style w:type="paragraph" w:customStyle="1" w:styleId="aident">
    <w:name w:val="(a) ident"/>
    <w:basedOn w:val="Normal"/>
    <w:rsid w:val="00715FD9"/>
    <w:pPr>
      <w:tabs>
        <w:tab w:val="num" w:pos="1077"/>
      </w:tabs>
      <w:autoSpaceDE w:val="0"/>
      <w:autoSpaceDN w:val="0"/>
      <w:spacing w:before="120" w:after="120"/>
      <w:ind w:left="1077" w:hanging="357"/>
    </w:pPr>
    <w:rPr>
      <w:rFonts w:eastAsia="MS Mincho" w:cs="Angsana New"/>
      <w:snapToGrid w:val="0"/>
      <w:szCs w:val="18"/>
    </w:rPr>
  </w:style>
  <w:style w:type="paragraph" w:customStyle="1" w:styleId="Document1">
    <w:name w:val="Document 1"/>
    <w:basedOn w:val="Normal"/>
    <w:next w:val="Normal"/>
    <w:rsid w:val="00715FD9"/>
    <w:pPr>
      <w:suppressAutoHyphens/>
      <w:overflowPunct w:val="0"/>
      <w:autoSpaceDE w:val="0"/>
      <w:autoSpaceDN w:val="0"/>
      <w:adjustRightInd w:val="0"/>
      <w:spacing w:after="120" w:line="240" w:lineRule="exact"/>
      <w:textAlignment w:val="baseline"/>
    </w:pPr>
    <w:rPr>
      <w:rFonts w:ascii="Courier" w:eastAsia="MS Mincho" w:hAnsi="Courier" w:cs="Angsana New"/>
      <w:sz w:val="20"/>
    </w:rPr>
  </w:style>
  <w:style w:type="paragraph" w:customStyle="1" w:styleId="Head2">
    <w:name w:val="Head2"/>
    <w:basedOn w:val="Normal"/>
    <w:rsid w:val="00715FD9"/>
    <w:pPr>
      <w:keepNext/>
      <w:overflowPunct w:val="0"/>
      <w:autoSpaceDE w:val="0"/>
      <w:autoSpaceDN w:val="0"/>
      <w:adjustRightInd w:val="0"/>
      <w:spacing w:line="240" w:lineRule="exact"/>
      <w:jc w:val="center"/>
      <w:textAlignment w:val="baseline"/>
    </w:pPr>
    <w:rPr>
      <w:rFonts w:ascii="Courier" w:eastAsia="MS Mincho" w:hAnsi="Courier" w:cs="Angsana New"/>
      <w:sz w:val="20"/>
    </w:rPr>
  </w:style>
  <w:style w:type="paragraph" w:customStyle="1" w:styleId="Masthead">
    <w:name w:val="Masthead"/>
    <w:basedOn w:val="Normal"/>
    <w:next w:val="Normal"/>
    <w:rsid w:val="00715FD9"/>
    <w:pPr>
      <w:overflowPunct w:val="0"/>
      <w:autoSpaceDE w:val="0"/>
      <w:autoSpaceDN w:val="0"/>
      <w:adjustRightInd w:val="0"/>
      <w:textAlignment w:val="baseline"/>
    </w:pPr>
    <w:rPr>
      <w:rFonts w:ascii="Courier" w:eastAsia="MS Mincho" w:hAnsi="Courier" w:cs="Angsana New"/>
      <w:sz w:val="20"/>
    </w:rPr>
  </w:style>
  <w:style w:type="paragraph" w:customStyle="1" w:styleId="para1indent">
    <w:name w:val="para1indent"/>
    <w:basedOn w:val="Para1"/>
    <w:rsid w:val="00715FD9"/>
    <w:pPr>
      <w:tabs>
        <w:tab w:val="left" w:pos="360"/>
      </w:tabs>
      <w:overflowPunct w:val="0"/>
      <w:autoSpaceDE w:val="0"/>
      <w:autoSpaceDN w:val="0"/>
      <w:adjustRightInd w:val="0"/>
      <w:spacing w:before="0"/>
      <w:textAlignment w:val="baseline"/>
    </w:pPr>
    <w:rPr>
      <w:rFonts w:ascii="Courier" w:eastAsia="MS Mincho" w:hAnsi="Courier" w:cs="Angsana New"/>
      <w:sz w:val="20"/>
      <w:szCs w:val="20"/>
      <w:lang w:val="en-US"/>
    </w:rPr>
  </w:style>
  <w:style w:type="paragraph" w:customStyle="1" w:styleId="Paranumbered">
    <w:name w:val="Paranumbered"/>
    <w:basedOn w:val="Normal"/>
    <w:rsid w:val="00715FD9"/>
    <w:pPr>
      <w:tabs>
        <w:tab w:val="left" w:pos="720"/>
      </w:tabs>
      <w:overflowPunct w:val="0"/>
      <w:autoSpaceDE w:val="0"/>
      <w:autoSpaceDN w:val="0"/>
      <w:adjustRightInd w:val="0"/>
      <w:spacing w:before="120" w:after="120" w:line="240" w:lineRule="exact"/>
      <w:textAlignment w:val="baseline"/>
    </w:pPr>
    <w:rPr>
      <w:rFonts w:ascii="Courier" w:eastAsia="MS Mincho" w:hAnsi="Courier" w:cs="Angsana New"/>
      <w:sz w:val="20"/>
    </w:rPr>
  </w:style>
  <w:style w:type="paragraph" w:customStyle="1" w:styleId="p3">
    <w:name w:val="p3"/>
    <w:basedOn w:val="Normal"/>
    <w:rsid w:val="00715FD9"/>
    <w:pPr>
      <w:widowControl w:val="0"/>
      <w:tabs>
        <w:tab w:val="left" w:pos="204"/>
      </w:tabs>
      <w:autoSpaceDE w:val="0"/>
      <w:autoSpaceDN w:val="0"/>
      <w:adjustRightInd w:val="0"/>
      <w:spacing w:line="260" w:lineRule="atLeast"/>
    </w:pPr>
    <w:rPr>
      <w:rFonts w:eastAsia="MS Mincho" w:cs="Angsana New"/>
      <w:sz w:val="20"/>
    </w:rPr>
  </w:style>
  <w:style w:type="paragraph" w:styleId="HTMLPreformatted">
    <w:name w:val="HTML Preformatted"/>
    <w:basedOn w:val="Normal"/>
    <w:link w:val="HTMLPreformattedChar"/>
    <w:rsid w:val="00715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rPr>
  </w:style>
  <w:style w:type="character" w:customStyle="1" w:styleId="HTMLPreformattedChar">
    <w:name w:val="HTML Preformatted Char"/>
    <w:basedOn w:val="DefaultParagraphFont"/>
    <w:link w:val="HTMLPreformatted"/>
    <w:rsid w:val="00715FD9"/>
    <w:rPr>
      <w:rFonts w:ascii="Courier New" w:eastAsia="MS Mincho" w:hAnsi="Courier New" w:cs="Courier New"/>
      <w:szCs w:val="24"/>
      <w:lang w:val="en-GB"/>
    </w:rPr>
  </w:style>
  <w:style w:type="paragraph" w:customStyle="1" w:styleId="Para1alternative">
    <w:name w:val="Para1 (alternative)"/>
    <w:basedOn w:val="Normal"/>
    <w:rsid w:val="00715FD9"/>
    <w:pPr>
      <w:numPr>
        <w:numId w:val="38"/>
      </w:numPr>
      <w:spacing w:before="120" w:after="120"/>
    </w:pPr>
    <w:rPr>
      <w:rFonts w:eastAsia="MS Mincho" w:cs="Angsana New"/>
      <w:snapToGrid w:val="0"/>
      <w:szCs w:val="18"/>
    </w:rPr>
  </w:style>
  <w:style w:type="paragraph" w:customStyle="1" w:styleId="MainParanoChapter">
    <w:name w:val="Main Para no Chapter #"/>
    <w:basedOn w:val="Normal"/>
    <w:rsid w:val="00715FD9"/>
    <w:pPr>
      <w:tabs>
        <w:tab w:val="left" w:pos="810"/>
      </w:tabs>
      <w:overflowPunct w:val="0"/>
      <w:autoSpaceDE w:val="0"/>
      <w:autoSpaceDN w:val="0"/>
      <w:adjustRightInd w:val="0"/>
      <w:spacing w:after="240"/>
      <w:textAlignment w:val="baseline"/>
    </w:pPr>
    <w:rPr>
      <w:rFonts w:eastAsia="MS Mincho" w:cs="Angsana New"/>
    </w:rPr>
  </w:style>
  <w:style w:type="character" w:customStyle="1" w:styleId="content1">
    <w:name w:val="content1"/>
    <w:rsid w:val="00715FD9"/>
    <w:rPr>
      <w:rFonts w:ascii="Arial" w:hAnsi="Arial" w:cs="Arial" w:hint="default"/>
      <w:b w:val="0"/>
      <w:bCs w:val="0"/>
      <w:color w:val="000000"/>
      <w:sz w:val="24"/>
      <w:szCs w:val="24"/>
    </w:rPr>
  </w:style>
  <w:style w:type="character" w:customStyle="1" w:styleId="BodyText2CharCharChar">
    <w:name w:val="Body Text 2 Char Char Char"/>
    <w:rsid w:val="00715FD9"/>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715FD9"/>
    <w:rPr>
      <w:sz w:val="22"/>
      <w:lang w:val="en-US" w:eastAsia="en-US" w:bidi="ar-SA"/>
    </w:rPr>
  </w:style>
  <w:style w:type="character" w:customStyle="1" w:styleId="Heading2Char">
    <w:name w:val="Heading 2 Char"/>
    <w:rsid w:val="00715FD9"/>
    <w:rPr>
      <w:b/>
      <w:bCs/>
      <w:i/>
      <w:iCs/>
      <w:sz w:val="22"/>
      <w:szCs w:val="24"/>
      <w:lang w:val="en-GB" w:eastAsia="en-US" w:bidi="ar-SA"/>
    </w:rPr>
  </w:style>
  <w:style w:type="paragraph" w:customStyle="1" w:styleId="subhead">
    <w:name w:val="subhead"/>
    <w:basedOn w:val="Normal"/>
    <w:next w:val="Para1"/>
    <w:rsid w:val="00715FD9"/>
    <w:pPr>
      <w:spacing w:before="120" w:after="120"/>
      <w:jc w:val="center"/>
    </w:pPr>
    <w:rPr>
      <w:rFonts w:eastAsia="MS Mincho" w:cs="Angsana New"/>
      <w:i/>
    </w:rPr>
  </w:style>
  <w:style w:type="character" w:customStyle="1" w:styleId="BlockTextChar">
    <w:name w:val="Block Text Char"/>
    <w:rsid w:val="00715FD9"/>
    <w:rPr>
      <w:sz w:val="24"/>
      <w:szCs w:val="24"/>
      <w:lang w:val="en-US" w:eastAsia="en-US" w:bidi="ar-SA"/>
    </w:rPr>
  </w:style>
  <w:style w:type="paragraph" w:customStyle="1" w:styleId="bodytext210">
    <w:name w:val="bodytext21"/>
    <w:basedOn w:val="Normal"/>
    <w:rsid w:val="00715FD9"/>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715FD9"/>
    <w:rPr>
      <w:sz w:val="22"/>
      <w:lang w:val="en-US" w:eastAsia="en-US" w:bidi="ar-SA"/>
    </w:rPr>
  </w:style>
  <w:style w:type="character" w:customStyle="1" w:styleId="MathieuRgnier">
    <w:name w:val="Mathieu Régnier"/>
    <w:semiHidden/>
    <w:rsid w:val="00715FD9"/>
    <w:rPr>
      <w:rFonts w:ascii="Arial" w:hAnsi="Arial" w:cs="Arial"/>
      <w:color w:val="auto"/>
      <w:sz w:val="20"/>
      <w:szCs w:val="20"/>
    </w:rPr>
  </w:style>
  <w:style w:type="paragraph" w:customStyle="1" w:styleId="Para2rev">
    <w:name w:val="Para 2 (rev)"/>
    <w:basedOn w:val="Normal"/>
    <w:rsid w:val="00715FD9"/>
    <w:pPr>
      <w:tabs>
        <w:tab w:val="num" w:pos="720"/>
      </w:tabs>
      <w:spacing w:after="120"/>
      <w:ind w:left="720" w:hanging="360"/>
    </w:pPr>
    <w:rPr>
      <w:rFonts w:eastAsia="MS Mincho" w:cs="Angsana New"/>
    </w:rPr>
  </w:style>
  <w:style w:type="numbering" w:styleId="111111">
    <w:name w:val="Outline List 2"/>
    <w:basedOn w:val="NoList"/>
    <w:rsid w:val="00715FD9"/>
    <w:pPr>
      <w:numPr>
        <w:numId w:val="39"/>
      </w:numPr>
    </w:pPr>
  </w:style>
  <w:style w:type="character" w:customStyle="1" w:styleId="Heading1longmultilineChar">
    <w:name w:val="Heading 1 (long multiline) Char"/>
    <w:basedOn w:val="Heading1Char"/>
    <w:link w:val="Heading1longmultiline"/>
    <w:rsid w:val="00715FD9"/>
    <w:rPr>
      <w:b/>
      <w:caps/>
      <w:sz w:val="22"/>
      <w:szCs w:val="24"/>
      <w:lang w:val="en-GB"/>
    </w:rPr>
  </w:style>
  <w:style w:type="paragraph" w:customStyle="1" w:styleId="ColorfulList-Accent11">
    <w:name w:val="Colorful List - Accent 11"/>
    <w:basedOn w:val="Normal"/>
    <w:uiPriority w:val="34"/>
    <w:qFormat/>
    <w:rsid w:val="00715FD9"/>
    <w:pPr>
      <w:ind w:left="720"/>
    </w:pPr>
    <w:rPr>
      <w:rFonts w:eastAsia="MS Mincho" w:cs="Angsana New"/>
    </w:rPr>
  </w:style>
  <w:style w:type="character" w:customStyle="1" w:styleId="apple-style-span">
    <w:name w:val="apple-style-span"/>
    <w:rsid w:val="00715FD9"/>
  </w:style>
  <w:style w:type="character" w:customStyle="1" w:styleId="FooterChar">
    <w:name w:val="Footer Char"/>
    <w:link w:val="Footer"/>
    <w:rsid w:val="00715FD9"/>
    <w:rPr>
      <w:sz w:val="22"/>
      <w:szCs w:val="24"/>
      <w:lang w:val="en-GB"/>
    </w:rPr>
  </w:style>
  <w:style w:type="paragraph" w:customStyle="1" w:styleId="PlainTable31">
    <w:name w:val="Plain Table 31"/>
    <w:basedOn w:val="Normal"/>
    <w:uiPriority w:val="34"/>
    <w:qFormat/>
    <w:rsid w:val="00715FD9"/>
    <w:pPr>
      <w:ind w:left="720"/>
    </w:pPr>
    <w:rPr>
      <w:rFonts w:eastAsia="MS Mincho" w:cs="Angsana New"/>
    </w:rPr>
  </w:style>
  <w:style w:type="paragraph" w:customStyle="1" w:styleId="StyleHeading3TimesNewRomanBoldBoldNotItalicAllcaps">
    <w:name w:val="Style Heading 3 + Times New Roman Bold Bold Not Italic All caps"/>
    <w:basedOn w:val="Heading3"/>
    <w:next w:val="Heading2"/>
    <w:rsid w:val="00715FD9"/>
    <w:rPr>
      <w:rFonts w:ascii="Times New Roman Bold" w:eastAsia="MS Mincho" w:hAnsi="Times New Roman Bold" w:cs="Angsana New"/>
      <w:b/>
      <w:bCs/>
      <w:i w:val="0"/>
      <w:iCs w:val="0"/>
      <w:caps/>
    </w:rPr>
  </w:style>
  <w:style w:type="paragraph" w:customStyle="1" w:styleId="Bibliography1">
    <w:name w:val="Bibliography1"/>
    <w:uiPriority w:val="1"/>
    <w:qFormat/>
    <w:rsid w:val="00715FD9"/>
    <w:rPr>
      <w:rFonts w:ascii="Calibri" w:eastAsia="MS Mincho" w:hAnsi="Calibri"/>
      <w:sz w:val="22"/>
      <w:szCs w:val="22"/>
      <w:lang w:val="en-US"/>
    </w:rPr>
  </w:style>
  <w:style w:type="paragraph" w:customStyle="1" w:styleId="Paraa">
    <w:name w:val="Para (a)"/>
    <w:basedOn w:val="Normal"/>
    <w:rsid w:val="00715F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Cs w:val="20"/>
      <w:lang w:eastAsia="zh-CN"/>
    </w:rPr>
  </w:style>
  <w:style w:type="character" w:customStyle="1" w:styleId="StyleFootnoteReferenceNounderlineSuperscriptKernat10pt">
    <w:name w:val="Style Footnote Reference + No underline Superscript Kern at 10 pt"/>
    <w:rsid w:val="00715FD9"/>
    <w:rPr>
      <w:kern w:val="20"/>
      <w:sz w:val="22"/>
      <w:u w:val="none"/>
      <w:vertAlign w:val="superscript"/>
    </w:rPr>
  </w:style>
  <w:style w:type="character" w:customStyle="1" w:styleId="s13">
    <w:name w:val="s13"/>
    <w:rsid w:val="00715FD9"/>
  </w:style>
  <w:style w:type="paragraph" w:customStyle="1" w:styleId="PlainTable21">
    <w:name w:val="Plain Table 21"/>
    <w:hidden/>
    <w:uiPriority w:val="99"/>
    <w:semiHidden/>
    <w:rsid w:val="00715FD9"/>
    <w:rPr>
      <w:rFonts w:eastAsia="MS Mincho" w:cs="Angsana New"/>
      <w:sz w:val="22"/>
      <w:szCs w:val="24"/>
      <w:lang w:val="en-GB"/>
    </w:rPr>
  </w:style>
  <w:style w:type="paragraph" w:customStyle="1" w:styleId="PlainTable22">
    <w:name w:val="Plain Table 22"/>
    <w:hidden/>
    <w:uiPriority w:val="99"/>
    <w:semiHidden/>
    <w:rsid w:val="00715FD9"/>
    <w:rPr>
      <w:rFonts w:eastAsia="MS Mincho" w:cs="Angsana New"/>
      <w:sz w:val="22"/>
      <w:szCs w:val="24"/>
      <w:lang w:val="en-GB"/>
    </w:rPr>
  </w:style>
  <w:style w:type="paragraph" w:customStyle="1" w:styleId="PlainTable32">
    <w:name w:val="Plain Table 32"/>
    <w:basedOn w:val="Normal"/>
    <w:uiPriority w:val="34"/>
    <w:qFormat/>
    <w:rsid w:val="00715FD9"/>
    <w:pPr>
      <w:ind w:left="720"/>
    </w:pPr>
    <w:rPr>
      <w:rFonts w:eastAsia="MS Mincho" w:cs="Angsana New"/>
    </w:rPr>
  </w:style>
  <w:style w:type="character" w:customStyle="1" w:styleId="EndnoteTextChar">
    <w:name w:val="Endnote Text Char"/>
    <w:link w:val="EndnoteText"/>
    <w:uiPriority w:val="99"/>
    <w:rsid w:val="00715FD9"/>
    <w:rPr>
      <w:rFonts w:ascii="Courier New" w:hAnsi="Courier New"/>
      <w:sz w:val="22"/>
      <w:szCs w:val="24"/>
      <w:lang w:val="en-GB"/>
    </w:rPr>
  </w:style>
  <w:style w:type="character" w:customStyle="1" w:styleId="UnresolvedMention2">
    <w:name w:val="Unresolved Mention2"/>
    <w:basedOn w:val="DefaultParagraphFont"/>
    <w:uiPriority w:val="99"/>
    <w:semiHidden/>
    <w:unhideWhenUsed/>
    <w:rsid w:val="00715FD9"/>
    <w:rPr>
      <w:color w:val="808080"/>
      <w:shd w:val="clear" w:color="auto" w:fill="E6E6E6"/>
    </w:rPr>
  </w:style>
  <w:style w:type="character" w:customStyle="1" w:styleId="UnresolvedMention3">
    <w:name w:val="Unresolved Mention3"/>
    <w:basedOn w:val="DefaultParagraphFont"/>
    <w:uiPriority w:val="99"/>
    <w:semiHidden/>
    <w:unhideWhenUsed/>
    <w:rsid w:val="00715FD9"/>
    <w:rPr>
      <w:color w:val="605E5C"/>
      <w:shd w:val="clear" w:color="auto" w:fill="E1DFDD"/>
    </w:rPr>
  </w:style>
  <w:style w:type="character" w:styleId="LineNumber">
    <w:name w:val="line number"/>
    <w:basedOn w:val="DefaultParagraphFont"/>
    <w:uiPriority w:val="99"/>
    <w:semiHidden/>
    <w:unhideWhenUsed/>
    <w:rsid w:val="00715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806898345">
      <w:bodyDiv w:val="1"/>
      <w:marLeft w:val="0"/>
      <w:marRight w:val="0"/>
      <w:marTop w:val="0"/>
      <w:marBottom w:val="0"/>
      <w:divBdr>
        <w:top w:val="none" w:sz="0" w:space="0" w:color="auto"/>
        <w:left w:val="none" w:sz="0" w:space="0" w:color="auto"/>
        <w:bottom w:val="none" w:sz="0" w:space="0" w:color="auto"/>
        <w:right w:val="none" w:sz="0" w:space="0" w:color="auto"/>
      </w:divBdr>
    </w:div>
    <w:div w:id="1012416239">
      <w:bodyDiv w:val="1"/>
      <w:marLeft w:val="0"/>
      <w:marRight w:val="0"/>
      <w:marTop w:val="0"/>
      <w:marBottom w:val="0"/>
      <w:divBdr>
        <w:top w:val="none" w:sz="0" w:space="0" w:color="auto"/>
        <w:left w:val="none" w:sz="0" w:space="0" w:color="auto"/>
        <w:bottom w:val="none" w:sz="0" w:space="0" w:color="auto"/>
        <w:right w:val="none" w:sz="0" w:space="0" w:color="auto"/>
      </w:divBdr>
    </w:div>
    <w:div w:id="1080370959">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105195260">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428164290">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175658640">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210194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496334777">
      <w:bodyDiv w:val="1"/>
      <w:marLeft w:val="0"/>
      <w:marRight w:val="0"/>
      <w:marTop w:val="0"/>
      <w:marBottom w:val="0"/>
      <w:divBdr>
        <w:top w:val="none" w:sz="0" w:space="0" w:color="auto"/>
        <w:left w:val="none" w:sz="0" w:space="0" w:color="auto"/>
        <w:bottom w:val="none" w:sz="0" w:space="0" w:color="auto"/>
        <w:right w:val="none" w:sz="0" w:space="0" w:color="auto"/>
      </w:divBdr>
    </w:div>
    <w:div w:id="1512914902">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139427004">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2135444582">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 w:id="2128767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op-10/cop-10-dec-02-en.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cbd.int/doc/recommendations/sbstta-23/sbstta-23-rec-01-en.pdf"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1/cop-11-dec-02-en.pdf" TargetMode="External"/><Relationship Id="rId25"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hyperlink" Target="https://www.cbd.int/doc/decisions/cop-13/cop-13-dec-01-en.pdf" TargetMode="External"/><Relationship Id="rId20" Type="http://schemas.openxmlformats.org/officeDocument/2006/relationships/hyperlink" Target="https://www.cbd.int/doc/decisions/cop-14/cop-14-dec-01-en.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bd.int/doc/decisions/cop-09/cop-09-dec-09-en.pdf" TargetMode="External"/><Relationship Id="rId23" Type="http://schemas.openxmlformats.org/officeDocument/2006/relationships/hyperlink" Target="https://absch.cbd.int"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cbd.int/doc/decisions/cop-13/cop-13-dec-27-en.pdf"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https://www.cbd.int/doc/decisions/cop-14/cop-14-dec-01-en.pdf" TargetMode="External"/><Relationship Id="rId27" Type="http://schemas.openxmlformats.org/officeDocument/2006/relationships/header" Target="head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meetings/sbi/sbi-01/official/sbi-01-02-add2-en.pdf" TargetMode="External"/><Relationship Id="rId3" Type="http://schemas.openxmlformats.org/officeDocument/2006/relationships/hyperlink" Target="https://www.cbd.int/doc/c/7c28/274f/338c8e84ad6f03bf9636dcbf/cop-14-05-add2-en.pdf" TargetMode="External"/><Relationship Id="rId7" Type="http://schemas.openxmlformats.org/officeDocument/2006/relationships/hyperlink" Target="https://www.cbd.int/gbo/gbo4/publication/gbo4-en.pdf" TargetMode="External"/><Relationship Id="rId2" Type="http://schemas.openxmlformats.org/officeDocument/2006/relationships/hyperlink" Target="https://www.cbd.int/doc/c/e24a/347c/a8b84521f326b90a198b1601/sbi-02-02-add2-en.pdf" TargetMode="External"/><Relationship Id="rId1" Type="http://schemas.openxmlformats.org/officeDocument/2006/relationships/hyperlink" Target="https://www.cbd.int/doc/meetings/cop/cop-13/official/cop-13-08-add2-rev1-en.pdf" TargetMode="External"/><Relationship Id="rId6" Type="http://schemas.openxmlformats.org/officeDocument/2006/relationships/hyperlink" Target="https://www.cbd.int/doc/nr/assessment-table-2018-09-21-en.pdf" TargetMode="External"/><Relationship Id="rId11" Type="http://schemas.openxmlformats.org/officeDocument/2006/relationships/hyperlink" Target="https://www.cbd.int/doc/c/7c28/274f/338c8e84ad6f03bf9636dcbf/cop-14-05-add2-en.pdf" TargetMode="External"/><Relationship Id="rId5" Type="http://schemas.openxmlformats.org/officeDocument/2006/relationships/hyperlink" Target="https://www.cbd.int/nbsap/targets/default.shtml" TargetMode="External"/><Relationship Id="rId10" Type="http://schemas.openxmlformats.org/officeDocument/2006/relationships/hyperlink" Target="https://www.cbd.int/doc/meetings/cop/cop-13/official/cop-13-08-add2-rev1-en.pdf" TargetMode="External"/><Relationship Id="rId4" Type="http://schemas.openxmlformats.org/officeDocument/2006/relationships/hyperlink" Target="https://www.cbd.int/nbsap/" TargetMode="External"/><Relationship Id="rId9" Type="http://schemas.openxmlformats.org/officeDocument/2006/relationships/hyperlink" Target="https://www.cbd.int/doc/c/e24a/347c/a8b84521f326b90a198b1601/sbi-02-02-add2-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ooney\Desktop\GBO-5%20Assessment%20-Master%20-%20Modified-17032020%20(version%202).xls"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mooney\Desktop\GBO-5%20Assessment%20-Master%20-%20Modified-17032020%20(version%202).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243534164970948E-2"/>
          <c:y val="4.9873095759937223E-2"/>
          <c:w val="0.90190853952244732"/>
          <c:h val="0.74919392807857776"/>
        </c:manualLayout>
      </c:layout>
      <c:barChart>
        <c:barDir val="bar"/>
        <c:grouping val="percentStacked"/>
        <c:varyColors val="0"/>
        <c:ser>
          <c:idx val="6"/>
          <c:order val="0"/>
          <c:tx>
            <c:strRef>
              <c:f>Overview!$K$3</c:f>
              <c:strCache>
                <c:ptCount val="1"/>
                <c:pt idx="0">
                  <c:v>No  revised or updated NBSAP received</c:v>
                </c:pt>
              </c:strCache>
            </c:strRef>
          </c:tx>
          <c:spPr>
            <a:pattFill prst="lgGrid">
              <a:fgClr>
                <a:schemeClr val="tx1">
                  <a:lumMod val="65000"/>
                  <a:lumOff val="35000"/>
                </a:schemeClr>
              </a:fgClr>
              <a:bgClr>
                <a:schemeClr val="bg1"/>
              </a:bgClr>
            </a:pattFill>
            <a:ln>
              <a:solidFill>
                <a:schemeClr val="bg2">
                  <a:lumMod val="10000"/>
                </a:schemeClr>
              </a:solidFill>
            </a:ln>
          </c:spPr>
          <c:invertIfNegative val="0"/>
          <c:val>
            <c:numRef>
              <c:f>Overview!$K$4:$K$23</c:f>
              <c:numCache>
                <c:formatCode>General</c:formatCode>
                <c:ptCount val="20"/>
                <c:pt idx="0">
                  <c:v>29</c:v>
                </c:pt>
                <c:pt idx="1">
                  <c:v>29</c:v>
                </c:pt>
                <c:pt idx="2">
                  <c:v>29</c:v>
                </c:pt>
                <c:pt idx="3">
                  <c:v>29</c:v>
                </c:pt>
                <c:pt idx="4">
                  <c:v>29</c:v>
                </c:pt>
                <c:pt idx="5">
                  <c:v>29</c:v>
                </c:pt>
                <c:pt idx="6">
                  <c:v>29</c:v>
                </c:pt>
                <c:pt idx="7">
                  <c:v>29</c:v>
                </c:pt>
                <c:pt idx="8">
                  <c:v>29</c:v>
                </c:pt>
                <c:pt idx="9">
                  <c:v>29</c:v>
                </c:pt>
                <c:pt idx="10">
                  <c:v>29</c:v>
                </c:pt>
                <c:pt idx="11">
                  <c:v>29</c:v>
                </c:pt>
                <c:pt idx="12">
                  <c:v>29</c:v>
                </c:pt>
                <c:pt idx="13">
                  <c:v>29</c:v>
                </c:pt>
                <c:pt idx="14">
                  <c:v>29</c:v>
                </c:pt>
                <c:pt idx="15">
                  <c:v>29</c:v>
                </c:pt>
                <c:pt idx="16">
                  <c:v>29</c:v>
                </c:pt>
                <c:pt idx="17">
                  <c:v>29</c:v>
                </c:pt>
                <c:pt idx="18">
                  <c:v>29</c:v>
                </c:pt>
                <c:pt idx="19">
                  <c:v>29</c:v>
                </c:pt>
              </c:numCache>
            </c:numRef>
          </c:val>
          <c:extLst>
            <c:ext xmlns:c16="http://schemas.microsoft.com/office/drawing/2014/chart" uri="{C3380CC4-5D6E-409C-BE32-E72D297353CC}">
              <c16:uniqueId val="{00000000-4299-4101-86BE-C3D341F031DE}"/>
            </c:ext>
          </c:extLst>
        </c:ser>
        <c:ser>
          <c:idx val="5"/>
          <c:order val="1"/>
          <c:tx>
            <c:strRef>
              <c:f>Overview!$J$3</c:f>
              <c:strCache>
                <c:ptCount val="1"/>
                <c:pt idx="0">
                  <c:v>No national target</c:v>
                </c:pt>
              </c:strCache>
            </c:strRef>
          </c:tx>
          <c:spPr>
            <a:solidFill>
              <a:schemeClr val="bg1"/>
            </a:solidFill>
            <a:ln w="9525">
              <a:solidFill>
                <a:schemeClr val="bg2">
                  <a:lumMod val="10000"/>
                </a:schemeClr>
              </a:solidFill>
            </a:ln>
          </c:spPr>
          <c:invertIfNegative val="0"/>
          <c:cat>
            <c:strRef>
              <c:f>Overview!$B$4:$B$23</c:f>
              <c:strCache>
                <c:ptCount val="20"/>
                <c:pt idx="0">
                  <c:v>Target 1</c:v>
                </c:pt>
                <c:pt idx="1">
                  <c:v>Target 2</c:v>
                </c:pt>
                <c:pt idx="2">
                  <c:v>Target 3</c:v>
                </c:pt>
                <c:pt idx="3">
                  <c:v>Target 4</c:v>
                </c:pt>
                <c:pt idx="4">
                  <c:v>Target 5</c:v>
                </c:pt>
                <c:pt idx="5">
                  <c:v>Target 6</c:v>
                </c:pt>
                <c:pt idx="6">
                  <c:v>Target 7</c:v>
                </c:pt>
                <c:pt idx="7">
                  <c:v>Target 8</c:v>
                </c:pt>
                <c:pt idx="8">
                  <c:v>Target 9</c:v>
                </c:pt>
                <c:pt idx="9">
                  <c:v>Target 10</c:v>
                </c:pt>
                <c:pt idx="10">
                  <c:v>Target 11</c:v>
                </c:pt>
                <c:pt idx="11">
                  <c:v>Target 12</c:v>
                </c:pt>
                <c:pt idx="12">
                  <c:v>Target 13</c:v>
                </c:pt>
                <c:pt idx="13">
                  <c:v>Target 14</c:v>
                </c:pt>
                <c:pt idx="14">
                  <c:v>Target 15</c:v>
                </c:pt>
                <c:pt idx="15">
                  <c:v>Target 16</c:v>
                </c:pt>
                <c:pt idx="16">
                  <c:v>Target 17</c:v>
                </c:pt>
                <c:pt idx="17">
                  <c:v>Target 18</c:v>
                </c:pt>
                <c:pt idx="18">
                  <c:v>Target 19</c:v>
                </c:pt>
                <c:pt idx="19">
                  <c:v>Target 20</c:v>
                </c:pt>
              </c:strCache>
            </c:strRef>
          </c:cat>
          <c:val>
            <c:numRef>
              <c:f>Overview!$J$4:$J$23</c:f>
              <c:numCache>
                <c:formatCode>General</c:formatCode>
                <c:ptCount val="20"/>
                <c:pt idx="0">
                  <c:v>11</c:v>
                </c:pt>
                <c:pt idx="1">
                  <c:v>12</c:v>
                </c:pt>
                <c:pt idx="2">
                  <c:v>44</c:v>
                </c:pt>
                <c:pt idx="3">
                  <c:v>23</c:v>
                </c:pt>
                <c:pt idx="4">
                  <c:v>17</c:v>
                </c:pt>
                <c:pt idx="5">
                  <c:v>36</c:v>
                </c:pt>
                <c:pt idx="6">
                  <c:v>16</c:v>
                </c:pt>
                <c:pt idx="7">
                  <c:v>33</c:v>
                </c:pt>
                <c:pt idx="8">
                  <c:v>12</c:v>
                </c:pt>
                <c:pt idx="9">
                  <c:v>48</c:v>
                </c:pt>
                <c:pt idx="10">
                  <c:v>7</c:v>
                </c:pt>
                <c:pt idx="11">
                  <c:v>14</c:v>
                </c:pt>
                <c:pt idx="12">
                  <c:v>26</c:v>
                </c:pt>
                <c:pt idx="13">
                  <c:v>29</c:v>
                </c:pt>
                <c:pt idx="14">
                  <c:v>29</c:v>
                </c:pt>
                <c:pt idx="15">
                  <c:v>29</c:v>
                </c:pt>
                <c:pt idx="16">
                  <c:v>53</c:v>
                </c:pt>
                <c:pt idx="17">
                  <c:v>37</c:v>
                </c:pt>
                <c:pt idx="18">
                  <c:v>20</c:v>
                </c:pt>
                <c:pt idx="19">
                  <c:v>25</c:v>
                </c:pt>
              </c:numCache>
            </c:numRef>
          </c:val>
          <c:extLst>
            <c:ext xmlns:c16="http://schemas.microsoft.com/office/drawing/2014/chart" uri="{C3380CC4-5D6E-409C-BE32-E72D297353CC}">
              <c16:uniqueId val="{00000001-4299-4101-86BE-C3D341F031DE}"/>
            </c:ext>
          </c:extLst>
        </c:ser>
        <c:ser>
          <c:idx val="0"/>
          <c:order val="2"/>
          <c:tx>
            <c:strRef>
              <c:f>Overview!$D$3</c:f>
              <c:strCache>
                <c:ptCount val="1"/>
                <c:pt idx="0">
                  <c:v>The national target has little relevance to the Aichi Target</c:v>
                </c:pt>
              </c:strCache>
            </c:strRef>
          </c:tx>
          <c:spPr>
            <a:solidFill>
              <a:schemeClr val="bg1">
                <a:lumMod val="75000"/>
              </a:schemeClr>
            </a:solidFill>
            <a:ln w="9525">
              <a:solidFill>
                <a:schemeClr val="bg2">
                  <a:lumMod val="10000"/>
                </a:schemeClr>
              </a:solidFill>
            </a:ln>
          </c:spPr>
          <c:invertIfNegative val="0"/>
          <c:cat>
            <c:strRef>
              <c:f>Overview!$B$4:$B$23</c:f>
              <c:strCache>
                <c:ptCount val="20"/>
                <c:pt idx="0">
                  <c:v>Target 1</c:v>
                </c:pt>
                <c:pt idx="1">
                  <c:v>Target 2</c:v>
                </c:pt>
                <c:pt idx="2">
                  <c:v>Target 3</c:v>
                </c:pt>
                <c:pt idx="3">
                  <c:v>Target 4</c:v>
                </c:pt>
                <c:pt idx="4">
                  <c:v>Target 5</c:v>
                </c:pt>
                <c:pt idx="5">
                  <c:v>Target 6</c:v>
                </c:pt>
                <c:pt idx="6">
                  <c:v>Target 7</c:v>
                </c:pt>
                <c:pt idx="7">
                  <c:v>Target 8</c:v>
                </c:pt>
                <c:pt idx="8">
                  <c:v>Target 9</c:v>
                </c:pt>
                <c:pt idx="9">
                  <c:v>Target 10</c:v>
                </c:pt>
                <c:pt idx="10">
                  <c:v>Target 11</c:v>
                </c:pt>
                <c:pt idx="11">
                  <c:v>Target 12</c:v>
                </c:pt>
                <c:pt idx="12">
                  <c:v>Target 13</c:v>
                </c:pt>
                <c:pt idx="13">
                  <c:v>Target 14</c:v>
                </c:pt>
                <c:pt idx="14">
                  <c:v>Target 15</c:v>
                </c:pt>
                <c:pt idx="15">
                  <c:v>Target 16</c:v>
                </c:pt>
                <c:pt idx="16">
                  <c:v>Target 17</c:v>
                </c:pt>
                <c:pt idx="17">
                  <c:v>Target 18</c:v>
                </c:pt>
                <c:pt idx="18">
                  <c:v>Target 19</c:v>
                </c:pt>
                <c:pt idx="19">
                  <c:v>Target 20</c:v>
                </c:pt>
              </c:strCache>
            </c:strRef>
          </c:cat>
          <c:val>
            <c:numRef>
              <c:f>Overview!$D$4:$D$23</c:f>
              <c:numCache>
                <c:formatCode>General</c:formatCode>
                <c:ptCount val="20"/>
                <c:pt idx="0">
                  <c:v>8</c:v>
                </c:pt>
                <c:pt idx="1">
                  <c:v>21</c:v>
                </c:pt>
                <c:pt idx="2">
                  <c:v>36</c:v>
                </c:pt>
                <c:pt idx="3">
                  <c:v>34</c:v>
                </c:pt>
                <c:pt idx="4">
                  <c:v>22</c:v>
                </c:pt>
                <c:pt idx="5">
                  <c:v>28</c:v>
                </c:pt>
                <c:pt idx="6">
                  <c:v>26</c:v>
                </c:pt>
                <c:pt idx="7">
                  <c:v>27</c:v>
                </c:pt>
                <c:pt idx="8">
                  <c:v>15</c:v>
                </c:pt>
                <c:pt idx="9">
                  <c:v>38</c:v>
                </c:pt>
                <c:pt idx="10">
                  <c:v>19</c:v>
                </c:pt>
                <c:pt idx="11">
                  <c:v>13</c:v>
                </c:pt>
                <c:pt idx="12">
                  <c:v>23</c:v>
                </c:pt>
                <c:pt idx="13">
                  <c:v>35</c:v>
                </c:pt>
                <c:pt idx="14">
                  <c:v>24</c:v>
                </c:pt>
                <c:pt idx="15">
                  <c:v>23</c:v>
                </c:pt>
                <c:pt idx="16">
                  <c:v>21</c:v>
                </c:pt>
                <c:pt idx="17">
                  <c:v>26</c:v>
                </c:pt>
                <c:pt idx="18">
                  <c:v>8</c:v>
                </c:pt>
                <c:pt idx="19">
                  <c:v>17</c:v>
                </c:pt>
              </c:numCache>
            </c:numRef>
          </c:val>
          <c:extLst>
            <c:ext xmlns:c16="http://schemas.microsoft.com/office/drawing/2014/chart" uri="{C3380CC4-5D6E-409C-BE32-E72D297353CC}">
              <c16:uniqueId val="{00000002-4299-4101-86BE-C3D341F031DE}"/>
            </c:ext>
          </c:extLst>
        </c:ser>
        <c:ser>
          <c:idx val="1"/>
          <c:order val="3"/>
          <c:tx>
            <c:strRef>
              <c:f>Overview!$E$3</c:f>
              <c:strCache>
                <c:ptCount val="1"/>
                <c:pt idx="0">
                  <c:v>The national target is significantly lower than the Aichi Target</c:v>
                </c:pt>
              </c:strCache>
            </c:strRef>
          </c:tx>
          <c:spPr>
            <a:solidFill>
              <a:schemeClr val="bg1">
                <a:lumMod val="65000"/>
              </a:schemeClr>
            </a:solidFill>
            <a:ln w="9525">
              <a:solidFill>
                <a:schemeClr val="bg2">
                  <a:lumMod val="10000"/>
                </a:schemeClr>
              </a:solidFill>
            </a:ln>
          </c:spPr>
          <c:invertIfNegative val="0"/>
          <c:cat>
            <c:strRef>
              <c:f>Overview!$B$4:$B$23</c:f>
              <c:strCache>
                <c:ptCount val="20"/>
                <c:pt idx="0">
                  <c:v>Target 1</c:v>
                </c:pt>
                <c:pt idx="1">
                  <c:v>Target 2</c:v>
                </c:pt>
                <c:pt idx="2">
                  <c:v>Target 3</c:v>
                </c:pt>
                <c:pt idx="3">
                  <c:v>Target 4</c:v>
                </c:pt>
                <c:pt idx="4">
                  <c:v>Target 5</c:v>
                </c:pt>
                <c:pt idx="5">
                  <c:v>Target 6</c:v>
                </c:pt>
                <c:pt idx="6">
                  <c:v>Target 7</c:v>
                </c:pt>
                <c:pt idx="7">
                  <c:v>Target 8</c:v>
                </c:pt>
                <c:pt idx="8">
                  <c:v>Target 9</c:v>
                </c:pt>
                <c:pt idx="9">
                  <c:v>Target 10</c:v>
                </c:pt>
                <c:pt idx="10">
                  <c:v>Target 11</c:v>
                </c:pt>
                <c:pt idx="11">
                  <c:v>Target 12</c:v>
                </c:pt>
                <c:pt idx="12">
                  <c:v>Target 13</c:v>
                </c:pt>
                <c:pt idx="13">
                  <c:v>Target 14</c:v>
                </c:pt>
                <c:pt idx="14">
                  <c:v>Target 15</c:v>
                </c:pt>
                <c:pt idx="15">
                  <c:v>Target 16</c:v>
                </c:pt>
                <c:pt idx="16">
                  <c:v>Target 17</c:v>
                </c:pt>
                <c:pt idx="17">
                  <c:v>Target 18</c:v>
                </c:pt>
                <c:pt idx="18">
                  <c:v>Target 19</c:v>
                </c:pt>
                <c:pt idx="19">
                  <c:v>Target 20</c:v>
                </c:pt>
              </c:strCache>
            </c:strRef>
          </c:cat>
          <c:val>
            <c:numRef>
              <c:f>Overview!$E$4:$E$23</c:f>
              <c:numCache>
                <c:formatCode>General</c:formatCode>
                <c:ptCount val="20"/>
                <c:pt idx="0">
                  <c:v>20</c:v>
                </c:pt>
                <c:pt idx="1">
                  <c:v>59</c:v>
                </c:pt>
                <c:pt idx="2">
                  <c:v>23</c:v>
                </c:pt>
                <c:pt idx="3">
                  <c:v>45</c:v>
                </c:pt>
                <c:pt idx="4">
                  <c:v>66</c:v>
                </c:pt>
                <c:pt idx="5">
                  <c:v>58</c:v>
                </c:pt>
                <c:pt idx="6">
                  <c:v>69</c:v>
                </c:pt>
                <c:pt idx="7">
                  <c:v>39</c:v>
                </c:pt>
                <c:pt idx="8">
                  <c:v>55</c:v>
                </c:pt>
                <c:pt idx="9">
                  <c:v>25</c:v>
                </c:pt>
                <c:pt idx="10">
                  <c:v>66</c:v>
                </c:pt>
                <c:pt idx="11">
                  <c:v>65</c:v>
                </c:pt>
                <c:pt idx="12">
                  <c:v>57</c:v>
                </c:pt>
                <c:pt idx="13">
                  <c:v>38</c:v>
                </c:pt>
                <c:pt idx="14">
                  <c:v>38</c:v>
                </c:pt>
                <c:pt idx="15">
                  <c:v>25</c:v>
                </c:pt>
                <c:pt idx="16">
                  <c:v>19</c:v>
                </c:pt>
                <c:pt idx="17">
                  <c:v>35</c:v>
                </c:pt>
                <c:pt idx="18">
                  <c:v>26</c:v>
                </c:pt>
                <c:pt idx="19">
                  <c:v>30</c:v>
                </c:pt>
              </c:numCache>
            </c:numRef>
          </c:val>
          <c:extLst>
            <c:ext xmlns:c16="http://schemas.microsoft.com/office/drawing/2014/chart" uri="{C3380CC4-5D6E-409C-BE32-E72D297353CC}">
              <c16:uniqueId val="{00000003-4299-4101-86BE-C3D341F031DE}"/>
            </c:ext>
          </c:extLst>
        </c:ser>
        <c:ser>
          <c:idx val="2"/>
          <c:order val="4"/>
          <c:tx>
            <c:strRef>
              <c:f>Overview!$F$3</c:f>
              <c:strCache>
                <c:ptCount val="1"/>
                <c:pt idx="0">
                  <c:v> National target is less ambitious than the Aichi Target or does not address all of its elements </c:v>
                </c:pt>
              </c:strCache>
            </c:strRef>
          </c:tx>
          <c:spPr>
            <a:solidFill>
              <a:schemeClr val="tx1">
                <a:lumMod val="50000"/>
                <a:lumOff val="50000"/>
              </a:schemeClr>
            </a:solidFill>
            <a:ln w="9525">
              <a:solidFill>
                <a:schemeClr val="bg2">
                  <a:lumMod val="10000"/>
                </a:schemeClr>
              </a:solidFill>
            </a:ln>
          </c:spPr>
          <c:invertIfNegative val="0"/>
          <c:cat>
            <c:strRef>
              <c:f>Overview!$B$4:$B$23</c:f>
              <c:strCache>
                <c:ptCount val="20"/>
                <c:pt idx="0">
                  <c:v>Target 1</c:v>
                </c:pt>
                <c:pt idx="1">
                  <c:v>Target 2</c:v>
                </c:pt>
                <c:pt idx="2">
                  <c:v>Target 3</c:v>
                </c:pt>
                <c:pt idx="3">
                  <c:v>Target 4</c:v>
                </c:pt>
                <c:pt idx="4">
                  <c:v>Target 5</c:v>
                </c:pt>
                <c:pt idx="5">
                  <c:v>Target 6</c:v>
                </c:pt>
                <c:pt idx="6">
                  <c:v>Target 7</c:v>
                </c:pt>
                <c:pt idx="7">
                  <c:v>Target 8</c:v>
                </c:pt>
                <c:pt idx="8">
                  <c:v>Target 9</c:v>
                </c:pt>
                <c:pt idx="9">
                  <c:v>Target 10</c:v>
                </c:pt>
                <c:pt idx="10">
                  <c:v>Target 11</c:v>
                </c:pt>
                <c:pt idx="11">
                  <c:v>Target 12</c:v>
                </c:pt>
                <c:pt idx="12">
                  <c:v>Target 13</c:v>
                </c:pt>
                <c:pt idx="13">
                  <c:v>Target 14</c:v>
                </c:pt>
                <c:pt idx="14">
                  <c:v>Target 15</c:v>
                </c:pt>
                <c:pt idx="15">
                  <c:v>Target 16</c:v>
                </c:pt>
                <c:pt idx="16">
                  <c:v>Target 17</c:v>
                </c:pt>
                <c:pt idx="17">
                  <c:v>Target 18</c:v>
                </c:pt>
                <c:pt idx="18">
                  <c:v>Target 19</c:v>
                </c:pt>
                <c:pt idx="19">
                  <c:v>Target 20</c:v>
                </c:pt>
              </c:strCache>
            </c:strRef>
          </c:cat>
          <c:val>
            <c:numRef>
              <c:f>Overview!$F$4:$F$23</c:f>
              <c:numCache>
                <c:formatCode>General</c:formatCode>
                <c:ptCount val="20"/>
                <c:pt idx="0">
                  <c:v>76</c:v>
                </c:pt>
                <c:pt idx="1">
                  <c:v>59</c:v>
                </c:pt>
                <c:pt idx="2">
                  <c:v>35</c:v>
                </c:pt>
                <c:pt idx="3">
                  <c:v>40</c:v>
                </c:pt>
                <c:pt idx="4">
                  <c:v>42</c:v>
                </c:pt>
                <c:pt idx="5">
                  <c:v>22</c:v>
                </c:pt>
                <c:pt idx="6">
                  <c:v>35</c:v>
                </c:pt>
                <c:pt idx="7">
                  <c:v>41</c:v>
                </c:pt>
                <c:pt idx="8">
                  <c:v>40</c:v>
                </c:pt>
                <c:pt idx="9">
                  <c:v>31</c:v>
                </c:pt>
                <c:pt idx="10">
                  <c:v>49</c:v>
                </c:pt>
                <c:pt idx="11">
                  <c:v>42</c:v>
                </c:pt>
                <c:pt idx="12">
                  <c:v>32</c:v>
                </c:pt>
                <c:pt idx="13">
                  <c:v>29</c:v>
                </c:pt>
                <c:pt idx="14">
                  <c:v>44</c:v>
                </c:pt>
                <c:pt idx="15">
                  <c:v>52</c:v>
                </c:pt>
                <c:pt idx="16">
                  <c:v>27</c:v>
                </c:pt>
                <c:pt idx="17">
                  <c:v>37</c:v>
                </c:pt>
                <c:pt idx="18">
                  <c:v>67</c:v>
                </c:pt>
                <c:pt idx="19">
                  <c:v>56</c:v>
                </c:pt>
              </c:numCache>
            </c:numRef>
          </c:val>
          <c:extLst>
            <c:ext xmlns:c16="http://schemas.microsoft.com/office/drawing/2014/chart" uri="{C3380CC4-5D6E-409C-BE32-E72D297353CC}">
              <c16:uniqueId val="{00000004-4299-4101-86BE-C3D341F031DE}"/>
            </c:ext>
          </c:extLst>
        </c:ser>
        <c:ser>
          <c:idx val="3"/>
          <c:order val="5"/>
          <c:tx>
            <c:strRef>
              <c:f>Overview!$G$3</c:f>
              <c:strCache>
                <c:ptCount val="1"/>
                <c:pt idx="0">
                  <c:v>National target is commensurate with the Aichi Target </c:v>
                </c:pt>
              </c:strCache>
            </c:strRef>
          </c:tx>
          <c:spPr>
            <a:solidFill>
              <a:schemeClr val="tx1">
                <a:lumMod val="65000"/>
                <a:lumOff val="35000"/>
              </a:schemeClr>
            </a:solidFill>
            <a:ln w="9525">
              <a:solidFill>
                <a:schemeClr val="bg2">
                  <a:lumMod val="10000"/>
                </a:schemeClr>
              </a:solidFill>
            </a:ln>
          </c:spPr>
          <c:invertIfNegative val="0"/>
          <c:cat>
            <c:strRef>
              <c:f>Overview!$B$4:$B$23</c:f>
              <c:strCache>
                <c:ptCount val="20"/>
                <c:pt idx="0">
                  <c:v>Target 1</c:v>
                </c:pt>
                <c:pt idx="1">
                  <c:v>Target 2</c:v>
                </c:pt>
                <c:pt idx="2">
                  <c:v>Target 3</c:v>
                </c:pt>
                <c:pt idx="3">
                  <c:v>Target 4</c:v>
                </c:pt>
                <c:pt idx="4">
                  <c:v>Target 5</c:v>
                </c:pt>
                <c:pt idx="5">
                  <c:v>Target 6</c:v>
                </c:pt>
                <c:pt idx="6">
                  <c:v>Target 7</c:v>
                </c:pt>
                <c:pt idx="7">
                  <c:v>Target 8</c:v>
                </c:pt>
                <c:pt idx="8">
                  <c:v>Target 9</c:v>
                </c:pt>
                <c:pt idx="9">
                  <c:v>Target 10</c:v>
                </c:pt>
                <c:pt idx="10">
                  <c:v>Target 11</c:v>
                </c:pt>
                <c:pt idx="11">
                  <c:v>Target 12</c:v>
                </c:pt>
                <c:pt idx="12">
                  <c:v>Target 13</c:v>
                </c:pt>
                <c:pt idx="13">
                  <c:v>Target 14</c:v>
                </c:pt>
                <c:pt idx="14">
                  <c:v>Target 15</c:v>
                </c:pt>
                <c:pt idx="15">
                  <c:v>Target 16</c:v>
                </c:pt>
                <c:pt idx="16">
                  <c:v>Target 17</c:v>
                </c:pt>
                <c:pt idx="17">
                  <c:v>Target 18</c:v>
                </c:pt>
                <c:pt idx="18">
                  <c:v>Target 19</c:v>
                </c:pt>
                <c:pt idx="19">
                  <c:v>Target 20</c:v>
                </c:pt>
              </c:strCache>
            </c:strRef>
          </c:cat>
          <c:val>
            <c:numRef>
              <c:f>Overview!$G$4:$G$23</c:f>
              <c:numCache>
                <c:formatCode>General</c:formatCode>
                <c:ptCount val="20"/>
                <c:pt idx="0">
                  <c:v>52</c:v>
                </c:pt>
                <c:pt idx="1">
                  <c:v>15</c:v>
                </c:pt>
                <c:pt idx="2">
                  <c:v>28</c:v>
                </c:pt>
                <c:pt idx="3">
                  <c:v>25</c:v>
                </c:pt>
                <c:pt idx="4">
                  <c:v>18</c:v>
                </c:pt>
                <c:pt idx="5">
                  <c:v>21</c:v>
                </c:pt>
                <c:pt idx="6">
                  <c:v>21</c:v>
                </c:pt>
                <c:pt idx="7">
                  <c:v>27</c:v>
                </c:pt>
                <c:pt idx="8">
                  <c:v>43</c:v>
                </c:pt>
                <c:pt idx="9">
                  <c:v>22</c:v>
                </c:pt>
                <c:pt idx="10">
                  <c:v>22</c:v>
                </c:pt>
                <c:pt idx="11">
                  <c:v>33</c:v>
                </c:pt>
                <c:pt idx="12">
                  <c:v>27</c:v>
                </c:pt>
                <c:pt idx="13">
                  <c:v>35</c:v>
                </c:pt>
                <c:pt idx="14">
                  <c:v>28</c:v>
                </c:pt>
                <c:pt idx="15">
                  <c:v>36</c:v>
                </c:pt>
                <c:pt idx="16">
                  <c:v>43</c:v>
                </c:pt>
                <c:pt idx="17">
                  <c:v>28</c:v>
                </c:pt>
                <c:pt idx="18">
                  <c:v>44</c:v>
                </c:pt>
                <c:pt idx="19">
                  <c:v>36</c:v>
                </c:pt>
              </c:numCache>
            </c:numRef>
          </c:val>
          <c:extLst>
            <c:ext xmlns:c16="http://schemas.microsoft.com/office/drawing/2014/chart" uri="{C3380CC4-5D6E-409C-BE32-E72D297353CC}">
              <c16:uniqueId val="{00000005-4299-4101-86BE-C3D341F031DE}"/>
            </c:ext>
          </c:extLst>
        </c:ser>
        <c:ser>
          <c:idx val="4"/>
          <c:order val="6"/>
          <c:tx>
            <c:strRef>
              <c:f>Overview!$H$3</c:f>
              <c:strCache>
                <c:ptCount val="1"/>
                <c:pt idx="0">
                  <c:v>National target surpasses the scope and/or level of ambition of the Aichi Target </c:v>
                </c:pt>
              </c:strCache>
            </c:strRef>
          </c:tx>
          <c:spPr>
            <a:solidFill>
              <a:schemeClr val="tx1"/>
            </a:solidFill>
            <a:ln w="9525">
              <a:solidFill>
                <a:schemeClr val="bg2">
                  <a:lumMod val="10000"/>
                </a:schemeClr>
              </a:solidFill>
            </a:ln>
          </c:spPr>
          <c:invertIfNegative val="0"/>
          <c:cat>
            <c:strRef>
              <c:f>Overview!$B$4:$B$23</c:f>
              <c:strCache>
                <c:ptCount val="20"/>
                <c:pt idx="0">
                  <c:v>Target 1</c:v>
                </c:pt>
                <c:pt idx="1">
                  <c:v>Target 2</c:v>
                </c:pt>
                <c:pt idx="2">
                  <c:v>Target 3</c:v>
                </c:pt>
                <c:pt idx="3">
                  <c:v>Target 4</c:v>
                </c:pt>
                <c:pt idx="4">
                  <c:v>Target 5</c:v>
                </c:pt>
                <c:pt idx="5">
                  <c:v>Target 6</c:v>
                </c:pt>
                <c:pt idx="6">
                  <c:v>Target 7</c:v>
                </c:pt>
                <c:pt idx="7">
                  <c:v>Target 8</c:v>
                </c:pt>
                <c:pt idx="8">
                  <c:v>Target 9</c:v>
                </c:pt>
                <c:pt idx="9">
                  <c:v>Target 10</c:v>
                </c:pt>
                <c:pt idx="10">
                  <c:v>Target 11</c:v>
                </c:pt>
                <c:pt idx="11">
                  <c:v>Target 12</c:v>
                </c:pt>
                <c:pt idx="12">
                  <c:v>Target 13</c:v>
                </c:pt>
                <c:pt idx="13">
                  <c:v>Target 14</c:v>
                </c:pt>
                <c:pt idx="14">
                  <c:v>Target 15</c:v>
                </c:pt>
                <c:pt idx="15">
                  <c:v>Target 16</c:v>
                </c:pt>
                <c:pt idx="16">
                  <c:v>Target 17</c:v>
                </c:pt>
                <c:pt idx="17">
                  <c:v>Target 18</c:v>
                </c:pt>
                <c:pt idx="18">
                  <c:v>Target 19</c:v>
                </c:pt>
                <c:pt idx="19">
                  <c:v>Target 20</c:v>
                </c:pt>
              </c:strCache>
            </c:strRef>
          </c:cat>
          <c:val>
            <c:numRef>
              <c:f>Overview!$H$4:$H$23</c:f>
              <c:numCache>
                <c:formatCode>General</c:formatCode>
                <c:ptCount val="20"/>
                <c:pt idx="0">
                  <c:v>0</c:v>
                </c:pt>
                <c:pt idx="1">
                  <c:v>1</c:v>
                </c:pt>
                <c:pt idx="2">
                  <c:v>1</c:v>
                </c:pt>
                <c:pt idx="3">
                  <c:v>0</c:v>
                </c:pt>
                <c:pt idx="4">
                  <c:v>2</c:v>
                </c:pt>
                <c:pt idx="5">
                  <c:v>0</c:v>
                </c:pt>
                <c:pt idx="6">
                  <c:v>0</c:v>
                </c:pt>
                <c:pt idx="7">
                  <c:v>0</c:v>
                </c:pt>
                <c:pt idx="8">
                  <c:v>1</c:v>
                </c:pt>
                <c:pt idx="9">
                  <c:v>0</c:v>
                </c:pt>
                <c:pt idx="10">
                  <c:v>3</c:v>
                </c:pt>
                <c:pt idx="11">
                  <c:v>0</c:v>
                </c:pt>
                <c:pt idx="12">
                  <c:v>2</c:v>
                </c:pt>
                <c:pt idx="13">
                  <c:v>1</c:v>
                </c:pt>
                <c:pt idx="14">
                  <c:v>4</c:v>
                </c:pt>
                <c:pt idx="15">
                  <c:v>1</c:v>
                </c:pt>
                <c:pt idx="16">
                  <c:v>1</c:v>
                </c:pt>
                <c:pt idx="17">
                  <c:v>1</c:v>
                </c:pt>
                <c:pt idx="18">
                  <c:v>1</c:v>
                </c:pt>
                <c:pt idx="19">
                  <c:v>1</c:v>
                </c:pt>
              </c:numCache>
            </c:numRef>
          </c:val>
          <c:extLst>
            <c:ext xmlns:c16="http://schemas.microsoft.com/office/drawing/2014/chart" uri="{C3380CC4-5D6E-409C-BE32-E72D297353CC}">
              <c16:uniqueId val="{00000006-4299-4101-86BE-C3D341F031DE}"/>
            </c:ext>
          </c:extLst>
        </c:ser>
        <c:dLbls>
          <c:showLegendKey val="0"/>
          <c:showVal val="0"/>
          <c:showCatName val="0"/>
          <c:showSerName val="0"/>
          <c:showPercent val="0"/>
          <c:showBubbleSize val="0"/>
        </c:dLbls>
        <c:gapWidth val="55"/>
        <c:overlap val="100"/>
        <c:axId val="80786176"/>
        <c:axId val="80787712"/>
      </c:barChart>
      <c:catAx>
        <c:axId val="80786176"/>
        <c:scaling>
          <c:orientation val="minMax"/>
        </c:scaling>
        <c:delete val="0"/>
        <c:axPos val="l"/>
        <c:numFmt formatCode="General" sourceLinked="1"/>
        <c:majorTickMark val="none"/>
        <c:minorTickMark val="none"/>
        <c:tickLblPos val="nextTo"/>
        <c:spPr>
          <a:ln w="3175">
            <a:solidFill>
              <a:srgbClr val="80808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en-US"/>
          </a:p>
        </c:txPr>
        <c:crossAx val="80787712"/>
        <c:crosses val="autoZero"/>
        <c:auto val="1"/>
        <c:lblAlgn val="ctr"/>
        <c:lblOffset val="100"/>
        <c:noMultiLvlLbl val="0"/>
      </c:catAx>
      <c:valAx>
        <c:axId val="80787712"/>
        <c:scaling>
          <c:orientation val="minMax"/>
        </c:scaling>
        <c:delete val="0"/>
        <c:axPos val="b"/>
        <c:majorGridlines>
          <c:spPr>
            <a:ln w="3175">
              <a:solidFill>
                <a:srgbClr val="808080"/>
              </a:solidFill>
              <a:prstDash val="solid"/>
            </a:ln>
          </c:spPr>
        </c:majorGridlines>
        <c:numFmt formatCode="0%" sourceLinked="1"/>
        <c:majorTickMark val="none"/>
        <c:minorTickMark val="none"/>
        <c:tickLblPos val="low"/>
        <c:spPr>
          <a:ln w="3175">
            <a:solidFill>
              <a:srgbClr val="80808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80786176"/>
        <c:crosses val="autoZero"/>
        <c:crossBetween val="between"/>
      </c:valAx>
      <c:spPr>
        <a:solidFill>
          <a:srgbClr val="FFFFFF"/>
        </a:solidFill>
        <a:ln w="25400">
          <a:noFill/>
        </a:ln>
      </c:spPr>
    </c:plotArea>
    <c:legend>
      <c:legendPos val="r"/>
      <c:legendEntry>
        <c:idx val="6"/>
        <c:txPr>
          <a:bodyPr/>
          <a:lstStyle/>
          <a:p>
            <a:pPr>
              <a:defRPr sz="1050" b="0" i="0" u="none" strike="noStrike" baseline="0">
                <a:solidFill>
                  <a:srgbClr val="000000"/>
                </a:solidFill>
                <a:latin typeface="Times New Roman" panose="02020603050405020304" pitchFamily="18" charset="0"/>
                <a:ea typeface="Times New Roman"/>
                <a:cs typeface="Times New Roman" panose="02020603050405020304" pitchFamily="18" charset="0"/>
              </a:defRPr>
            </a:pPr>
            <a:endParaRPr lang="en-US"/>
          </a:p>
        </c:txPr>
      </c:legendEntry>
      <c:layout>
        <c:manualLayout>
          <c:xMode val="edge"/>
          <c:yMode val="edge"/>
          <c:x val="1.5120549325273734E-2"/>
          <c:y val="0.84974723877536662"/>
          <c:w val="0.96771558100691968"/>
          <c:h val="0.13908638081821811"/>
        </c:manualLayout>
      </c:layout>
      <c:overlay val="0"/>
      <c:spPr>
        <a:noFill/>
        <a:ln w="25400">
          <a:noFill/>
        </a:ln>
      </c:spPr>
      <c:txPr>
        <a:bodyPr/>
        <a:lstStyle/>
        <a:p>
          <a:pPr>
            <a:defRPr sz="105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en-US"/>
        </a:p>
      </c:txPr>
    </c:legend>
    <c:plotVisOnly val="1"/>
    <c:dispBlanksAs val="gap"/>
    <c:showDLblsOverMax val="0"/>
  </c:chart>
  <c:spPr>
    <a:solidFill>
      <a:srgbClr val="FFFFFF"/>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Analysis!$F$37</c:f>
              <c:strCache>
                <c:ptCount val="1"/>
                <c:pt idx="0">
                  <c:v>No report</c:v>
                </c:pt>
              </c:strCache>
            </c:strRef>
          </c:tx>
          <c:spPr>
            <a:pattFill prst="lgGrid">
              <a:fgClr>
                <a:sysClr val="windowText" lastClr="000000"/>
              </a:fgClr>
              <a:bgClr>
                <a:schemeClr val="bg1"/>
              </a:bgClr>
            </a:pattFill>
            <a:ln>
              <a:solidFill>
                <a:schemeClr val="tx1"/>
              </a:solidFill>
            </a:ln>
            <a:effectLst/>
          </c:spPr>
          <c:invertIfNegative val="0"/>
          <c:cat>
            <c:strRef>
              <c:f>Analysis!$E$38:$E$57</c:f>
              <c:strCache>
                <c:ptCount val="20"/>
                <c:pt idx="0">
                  <c:v>Aichi Target 1</c:v>
                </c:pt>
                <c:pt idx="1">
                  <c:v>Aichi Target 2</c:v>
                </c:pt>
                <c:pt idx="2">
                  <c:v>Aichi Target 3</c:v>
                </c:pt>
                <c:pt idx="3">
                  <c:v> Aichi Target 4</c:v>
                </c:pt>
                <c:pt idx="4">
                  <c:v>Aichi Target 5</c:v>
                </c:pt>
                <c:pt idx="5">
                  <c:v>Aichi Target 6</c:v>
                </c:pt>
                <c:pt idx="6">
                  <c:v>Aichi Target 7</c:v>
                </c:pt>
                <c:pt idx="7">
                  <c:v>Aichi Target 8</c:v>
                </c:pt>
                <c:pt idx="8">
                  <c:v>Aichi Target 9</c:v>
                </c:pt>
                <c:pt idx="9">
                  <c:v>Aichi Target 10</c:v>
                </c:pt>
                <c:pt idx="10">
                  <c:v>Aichi Target 11</c:v>
                </c:pt>
                <c:pt idx="11">
                  <c:v>Aichi Target 12</c:v>
                </c:pt>
                <c:pt idx="12">
                  <c:v>Aichi Target 13</c:v>
                </c:pt>
                <c:pt idx="13">
                  <c:v>Aichi Target 14</c:v>
                </c:pt>
                <c:pt idx="14">
                  <c:v>Aichi Target 15</c:v>
                </c:pt>
                <c:pt idx="15">
                  <c:v>Aichi Target 16</c:v>
                </c:pt>
                <c:pt idx="16">
                  <c:v>Aichi Target 17</c:v>
                </c:pt>
                <c:pt idx="17">
                  <c:v>Aichi Target 18</c:v>
                </c:pt>
                <c:pt idx="18">
                  <c:v>Aichi Target 19</c:v>
                </c:pt>
                <c:pt idx="19">
                  <c:v>Aichi Target 20</c:v>
                </c:pt>
              </c:strCache>
            </c:strRef>
          </c:cat>
          <c:val>
            <c:numRef>
              <c:f>Analysis!$F$38:$F$57</c:f>
              <c:numCache>
                <c:formatCode>General</c:formatCode>
                <c:ptCount val="20"/>
                <c:pt idx="0">
                  <c:v>56</c:v>
                </c:pt>
                <c:pt idx="1">
                  <c:v>56</c:v>
                </c:pt>
                <c:pt idx="2">
                  <c:v>56</c:v>
                </c:pt>
                <c:pt idx="3">
                  <c:v>56</c:v>
                </c:pt>
                <c:pt idx="4">
                  <c:v>56</c:v>
                </c:pt>
                <c:pt idx="5">
                  <c:v>56</c:v>
                </c:pt>
                <c:pt idx="6">
                  <c:v>56</c:v>
                </c:pt>
                <c:pt idx="7">
                  <c:v>56</c:v>
                </c:pt>
                <c:pt idx="8">
                  <c:v>56</c:v>
                </c:pt>
                <c:pt idx="9">
                  <c:v>56</c:v>
                </c:pt>
                <c:pt idx="10">
                  <c:v>56</c:v>
                </c:pt>
                <c:pt idx="11">
                  <c:v>56</c:v>
                </c:pt>
                <c:pt idx="12">
                  <c:v>56</c:v>
                </c:pt>
                <c:pt idx="13">
                  <c:v>56</c:v>
                </c:pt>
                <c:pt idx="14">
                  <c:v>56</c:v>
                </c:pt>
                <c:pt idx="15">
                  <c:v>56</c:v>
                </c:pt>
                <c:pt idx="16">
                  <c:v>56</c:v>
                </c:pt>
                <c:pt idx="17">
                  <c:v>56</c:v>
                </c:pt>
                <c:pt idx="18">
                  <c:v>56</c:v>
                </c:pt>
                <c:pt idx="19">
                  <c:v>56</c:v>
                </c:pt>
              </c:numCache>
            </c:numRef>
          </c:val>
          <c:extLst>
            <c:ext xmlns:c16="http://schemas.microsoft.com/office/drawing/2014/chart" uri="{C3380CC4-5D6E-409C-BE32-E72D297353CC}">
              <c16:uniqueId val="{00000000-0140-4E89-8B9F-6F9640E0B68B}"/>
            </c:ext>
          </c:extLst>
        </c:ser>
        <c:ser>
          <c:idx val="1"/>
          <c:order val="1"/>
          <c:tx>
            <c:strRef>
              <c:f>Analysis!$G$37</c:f>
              <c:strCache>
                <c:ptCount val="1"/>
                <c:pt idx="0">
                  <c:v>No assessment/unknown</c:v>
                </c:pt>
              </c:strCache>
            </c:strRef>
          </c:tx>
          <c:spPr>
            <a:pattFill prst="openDmnd">
              <a:fgClr>
                <a:sysClr val="windowText" lastClr="000000"/>
              </a:fgClr>
              <a:bgClr>
                <a:schemeClr val="bg1"/>
              </a:bgClr>
            </a:pattFill>
            <a:ln>
              <a:solidFill>
                <a:schemeClr val="tx1"/>
              </a:solidFill>
            </a:ln>
            <a:effectLst/>
          </c:spPr>
          <c:invertIfNegative val="0"/>
          <c:cat>
            <c:strRef>
              <c:f>Analysis!$E$38:$E$57</c:f>
              <c:strCache>
                <c:ptCount val="20"/>
                <c:pt idx="0">
                  <c:v>Aichi Target 1</c:v>
                </c:pt>
                <c:pt idx="1">
                  <c:v>Aichi Target 2</c:v>
                </c:pt>
                <c:pt idx="2">
                  <c:v>Aichi Target 3</c:v>
                </c:pt>
                <c:pt idx="3">
                  <c:v> Aichi Target 4</c:v>
                </c:pt>
                <c:pt idx="4">
                  <c:v>Aichi Target 5</c:v>
                </c:pt>
                <c:pt idx="5">
                  <c:v>Aichi Target 6</c:v>
                </c:pt>
                <c:pt idx="6">
                  <c:v>Aichi Target 7</c:v>
                </c:pt>
                <c:pt idx="7">
                  <c:v>Aichi Target 8</c:v>
                </c:pt>
                <c:pt idx="8">
                  <c:v>Aichi Target 9</c:v>
                </c:pt>
                <c:pt idx="9">
                  <c:v>Aichi Target 10</c:v>
                </c:pt>
                <c:pt idx="10">
                  <c:v>Aichi Target 11</c:v>
                </c:pt>
                <c:pt idx="11">
                  <c:v>Aichi Target 12</c:v>
                </c:pt>
                <c:pt idx="12">
                  <c:v>Aichi Target 13</c:v>
                </c:pt>
                <c:pt idx="13">
                  <c:v>Aichi Target 14</c:v>
                </c:pt>
                <c:pt idx="14">
                  <c:v>Aichi Target 15</c:v>
                </c:pt>
                <c:pt idx="15">
                  <c:v>Aichi Target 16</c:v>
                </c:pt>
                <c:pt idx="16">
                  <c:v>Aichi Target 17</c:v>
                </c:pt>
                <c:pt idx="17">
                  <c:v>Aichi Target 18</c:v>
                </c:pt>
                <c:pt idx="18">
                  <c:v>Aichi Target 19</c:v>
                </c:pt>
                <c:pt idx="19">
                  <c:v>Aichi Target 20</c:v>
                </c:pt>
              </c:strCache>
            </c:strRef>
          </c:cat>
          <c:val>
            <c:numRef>
              <c:f>Analysis!$G$38:$G$57</c:f>
              <c:numCache>
                <c:formatCode>General</c:formatCode>
                <c:ptCount val="20"/>
                <c:pt idx="0">
                  <c:v>15</c:v>
                </c:pt>
                <c:pt idx="1">
                  <c:v>16</c:v>
                </c:pt>
                <c:pt idx="2">
                  <c:v>32</c:v>
                </c:pt>
                <c:pt idx="3">
                  <c:v>21</c:v>
                </c:pt>
                <c:pt idx="4">
                  <c:v>13</c:v>
                </c:pt>
                <c:pt idx="5">
                  <c:v>27</c:v>
                </c:pt>
                <c:pt idx="6">
                  <c:v>15</c:v>
                </c:pt>
                <c:pt idx="7">
                  <c:v>28</c:v>
                </c:pt>
                <c:pt idx="8">
                  <c:v>12</c:v>
                </c:pt>
                <c:pt idx="9">
                  <c:v>40</c:v>
                </c:pt>
                <c:pt idx="10">
                  <c:v>6</c:v>
                </c:pt>
                <c:pt idx="11">
                  <c:v>14</c:v>
                </c:pt>
                <c:pt idx="12">
                  <c:v>19</c:v>
                </c:pt>
                <c:pt idx="13">
                  <c:v>22</c:v>
                </c:pt>
                <c:pt idx="14">
                  <c:v>24</c:v>
                </c:pt>
                <c:pt idx="15">
                  <c:v>23</c:v>
                </c:pt>
                <c:pt idx="16">
                  <c:v>44</c:v>
                </c:pt>
                <c:pt idx="17">
                  <c:v>35</c:v>
                </c:pt>
                <c:pt idx="18">
                  <c:v>20</c:v>
                </c:pt>
                <c:pt idx="19">
                  <c:v>21</c:v>
                </c:pt>
              </c:numCache>
            </c:numRef>
          </c:val>
          <c:extLst>
            <c:ext xmlns:c16="http://schemas.microsoft.com/office/drawing/2014/chart" uri="{C3380CC4-5D6E-409C-BE32-E72D297353CC}">
              <c16:uniqueId val="{00000001-0140-4E89-8B9F-6F9640E0B68B}"/>
            </c:ext>
          </c:extLst>
        </c:ser>
        <c:ser>
          <c:idx val="2"/>
          <c:order val="2"/>
          <c:tx>
            <c:strRef>
              <c:f>Analysis!$H$37</c:f>
              <c:strCache>
                <c:ptCount val="1"/>
                <c:pt idx="0">
                  <c:v>Moving away</c:v>
                </c:pt>
              </c:strCache>
            </c:strRef>
          </c:tx>
          <c:spPr>
            <a:solidFill>
              <a:srgbClr val="6C1C67"/>
            </a:solidFill>
            <a:ln>
              <a:solidFill>
                <a:schemeClr val="tx1"/>
              </a:solidFill>
            </a:ln>
            <a:effectLst/>
          </c:spPr>
          <c:invertIfNegative val="0"/>
          <c:cat>
            <c:strRef>
              <c:f>Analysis!$E$38:$E$57</c:f>
              <c:strCache>
                <c:ptCount val="20"/>
                <c:pt idx="0">
                  <c:v>Aichi Target 1</c:v>
                </c:pt>
                <c:pt idx="1">
                  <c:v>Aichi Target 2</c:v>
                </c:pt>
                <c:pt idx="2">
                  <c:v>Aichi Target 3</c:v>
                </c:pt>
                <c:pt idx="3">
                  <c:v> Aichi Target 4</c:v>
                </c:pt>
                <c:pt idx="4">
                  <c:v>Aichi Target 5</c:v>
                </c:pt>
                <c:pt idx="5">
                  <c:v>Aichi Target 6</c:v>
                </c:pt>
                <c:pt idx="6">
                  <c:v>Aichi Target 7</c:v>
                </c:pt>
                <c:pt idx="7">
                  <c:v>Aichi Target 8</c:v>
                </c:pt>
                <c:pt idx="8">
                  <c:v>Aichi Target 9</c:v>
                </c:pt>
                <c:pt idx="9">
                  <c:v>Aichi Target 10</c:v>
                </c:pt>
                <c:pt idx="10">
                  <c:v>Aichi Target 11</c:v>
                </c:pt>
                <c:pt idx="11">
                  <c:v>Aichi Target 12</c:v>
                </c:pt>
                <c:pt idx="12">
                  <c:v>Aichi Target 13</c:v>
                </c:pt>
                <c:pt idx="13">
                  <c:v>Aichi Target 14</c:v>
                </c:pt>
                <c:pt idx="14">
                  <c:v>Aichi Target 15</c:v>
                </c:pt>
                <c:pt idx="15">
                  <c:v>Aichi Target 16</c:v>
                </c:pt>
                <c:pt idx="16">
                  <c:v>Aichi Target 17</c:v>
                </c:pt>
                <c:pt idx="17">
                  <c:v>Aichi Target 18</c:v>
                </c:pt>
                <c:pt idx="18">
                  <c:v>Aichi Target 19</c:v>
                </c:pt>
                <c:pt idx="19">
                  <c:v>Aichi Target 20</c:v>
                </c:pt>
              </c:strCache>
            </c:strRef>
          </c:cat>
          <c:val>
            <c:numRef>
              <c:f>Analysis!$H$38:$H$57</c:f>
              <c:numCache>
                <c:formatCode>General</c:formatCode>
                <c:ptCount val="20"/>
                <c:pt idx="0">
                  <c:v>0</c:v>
                </c:pt>
                <c:pt idx="1">
                  <c:v>2</c:v>
                </c:pt>
                <c:pt idx="2">
                  <c:v>1</c:v>
                </c:pt>
                <c:pt idx="3">
                  <c:v>2</c:v>
                </c:pt>
                <c:pt idx="4">
                  <c:v>3</c:v>
                </c:pt>
                <c:pt idx="5">
                  <c:v>2</c:v>
                </c:pt>
                <c:pt idx="6">
                  <c:v>2</c:v>
                </c:pt>
                <c:pt idx="7">
                  <c:v>3</c:v>
                </c:pt>
                <c:pt idx="8">
                  <c:v>1</c:v>
                </c:pt>
                <c:pt idx="9">
                  <c:v>2</c:v>
                </c:pt>
                <c:pt idx="10">
                  <c:v>2</c:v>
                </c:pt>
                <c:pt idx="11">
                  <c:v>1</c:v>
                </c:pt>
                <c:pt idx="12">
                  <c:v>0</c:v>
                </c:pt>
                <c:pt idx="13">
                  <c:v>3</c:v>
                </c:pt>
                <c:pt idx="14">
                  <c:v>0</c:v>
                </c:pt>
                <c:pt idx="15">
                  <c:v>1</c:v>
                </c:pt>
                <c:pt idx="16">
                  <c:v>0</c:v>
                </c:pt>
                <c:pt idx="17">
                  <c:v>0</c:v>
                </c:pt>
                <c:pt idx="18">
                  <c:v>0</c:v>
                </c:pt>
                <c:pt idx="19">
                  <c:v>0</c:v>
                </c:pt>
              </c:numCache>
            </c:numRef>
          </c:val>
          <c:extLst>
            <c:ext xmlns:c16="http://schemas.microsoft.com/office/drawing/2014/chart" uri="{C3380CC4-5D6E-409C-BE32-E72D297353CC}">
              <c16:uniqueId val="{00000002-0140-4E89-8B9F-6F9640E0B68B}"/>
            </c:ext>
          </c:extLst>
        </c:ser>
        <c:ser>
          <c:idx val="3"/>
          <c:order val="3"/>
          <c:tx>
            <c:strRef>
              <c:f>Analysis!$I$37</c:f>
              <c:strCache>
                <c:ptCount val="1"/>
                <c:pt idx="0">
                  <c:v>No change</c:v>
                </c:pt>
              </c:strCache>
            </c:strRef>
          </c:tx>
          <c:spPr>
            <a:solidFill>
              <a:srgbClr val="EE1D23"/>
            </a:solidFill>
            <a:ln>
              <a:solidFill>
                <a:schemeClr val="tx1"/>
              </a:solidFill>
            </a:ln>
            <a:effectLst/>
          </c:spPr>
          <c:invertIfNegative val="0"/>
          <c:cat>
            <c:strRef>
              <c:f>Analysis!$E$38:$E$57</c:f>
              <c:strCache>
                <c:ptCount val="20"/>
                <c:pt idx="0">
                  <c:v>Aichi Target 1</c:v>
                </c:pt>
                <c:pt idx="1">
                  <c:v>Aichi Target 2</c:v>
                </c:pt>
                <c:pt idx="2">
                  <c:v>Aichi Target 3</c:v>
                </c:pt>
                <c:pt idx="3">
                  <c:v> Aichi Target 4</c:v>
                </c:pt>
                <c:pt idx="4">
                  <c:v>Aichi Target 5</c:v>
                </c:pt>
                <c:pt idx="5">
                  <c:v>Aichi Target 6</c:v>
                </c:pt>
                <c:pt idx="6">
                  <c:v>Aichi Target 7</c:v>
                </c:pt>
                <c:pt idx="7">
                  <c:v>Aichi Target 8</c:v>
                </c:pt>
                <c:pt idx="8">
                  <c:v>Aichi Target 9</c:v>
                </c:pt>
                <c:pt idx="9">
                  <c:v>Aichi Target 10</c:v>
                </c:pt>
                <c:pt idx="10">
                  <c:v>Aichi Target 11</c:v>
                </c:pt>
                <c:pt idx="11">
                  <c:v>Aichi Target 12</c:v>
                </c:pt>
                <c:pt idx="12">
                  <c:v>Aichi Target 13</c:v>
                </c:pt>
                <c:pt idx="13">
                  <c:v>Aichi Target 14</c:v>
                </c:pt>
                <c:pt idx="14">
                  <c:v>Aichi Target 15</c:v>
                </c:pt>
                <c:pt idx="15">
                  <c:v>Aichi Target 16</c:v>
                </c:pt>
                <c:pt idx="16">
                  <c:v>Aichi Target 17</c:v>
                </c:pt>
                <c:pt idx="17">
                  <c:v>Aichi Target 18</c:v>
                </c:pt>
                <c:pt idx="18">
                  <c:v>Aichi Target 19</c:v>
                </c:pt>
                <c:pt idx="19">
                  <c:v>Aichi Target 20</c:v>
                </c:pt>
              </c:strCache>
            </c:strRef>
          </c:cat>
          <c:val>
            <c:numRef>
              <c:f>Analysis!$I$38:$I$57</c:f>
              <c:numCache>
                <c:formatCode>General</c:formatCode>
                <c:ptCount val="20"/>
                <c:pt idx="0">
                  <c:v>5</c:v>
                </c:pt>
                <c:pt idx="1">
                  <c:v>8</c:v>
                </c:pt>
                <c:pt idx="2">
                  <c:v>14</c:v>
                </c:pt>
                <c:pt idx="3">
                  <c:v>13</c:v>
                </c:pt>
                <c:pt idx="4">
                  <c:v>16</c:v>
                </c:pt>
                <c:pt idx="5">
                  <c:v>17</c:v>
                </c:pt>
                <c:pt idx="6">
                  <c:v>8</c:v>
                </c:pt>
                <c:pt idx="7">
                  <c:v>16</c:v>
                </c:pt>
                <c:pt idx="8">
                  <c:v>23</c:v>
                </c:pt>
                <c:pt idx="9">
                  <c:v>13</c:v>
                </c:pt>
                <c:pt idx="10">
                  <c:v>8</c:v>
                </c:pt>
                <c:pt idx="11">
                  <c:v>12</c:v>
                </c:pt>
                <c:pt idx="12">
                  <c:v>20</c:v>
                </c:pt>
                <c:pt idx="13">
                  <c:v>8</c:v>
                </c:pt>
                <c:pt idx="14">
                  <c:v>11</c:v>
                </c:pt>
                <c:pt idx="15">
                  <c:v>11</c:v>
                </c:pt>
                <c:pt idx="16">
                  <c:v>9</c:v>
                </c:pt>
                <c:pt idx="17">
                  <c:v>8</c:v>
                </c:pt>
                <c:pt idx="18">
                  <c:v>8</c:v>
                </c:pt>
                <c:pt idx="19">
                  <c:v>20</c:v>
                </c:pt>
              </c:numCache>
            </c:numRef>
          </c:val>
          <c:extLst>
            <c:ext xmlns:c16="http://schemas.microsoft.com/office/drawing/2014/chart" uri="{C3380CC4-5D6E-409C-BE32-E72D297353CC}">
              <c16:uniqueId val="{00000003-0140-4E89-8B9F-6F9640E0B68B}"/>
            </c:ext>
          </c:extLst>
        </c:ser>
        <c:ser>
          <c:idx val="4"/>
          <c:order val="4"/>
          <c:tx>
            <c:strRef>
              <c:f>Analysis!$J$37</c:f>
              <c:strCache>
                <c:ptCount val="1"/>
                <c:pt idx="0">
                  <c:v>Some progress</c:v>
                </c:pt>
              </c:strCache>
            </c:strRef>
          </c:tx>
          <c:spPr>
            <a:solidFill>
              <a:srgbClr val="FEC210"/>
            </a:solidFill>
            <a:ln>
              <a:solidFill>
                <a:schemeClr val="tx1"/>
              </a:solidFill>
            </a:ln>
            <a:effectLst/>
          </c:spPr>
          <c:invertIfNegative val="0"/>
          <c:cat>
            <c:strRef>
              <c:f>Analysis!$E$38:$E$57</c:f>
              <c:strCache>
                <c:ptCount val="20"/>
                <c:pt idx="0">
                  <c:v>Aichi Target 1</c:v>
                </c:pt>
                <c:pt idx="1">
                  <c:v>Aichi Target 2</c:v>
                </c:pt>
                <c:pt idx="2">
                  <c:v>Aichi Target 3</c:v>
                </c:pt>
                <c:pt idx="3">
                  <c:v> Aichi Target 4</c:v>
                </c:pt>
                <c:pt idx="4">
                  <c:v>Aichi Target 5</c:v>
                </c:pt>
                <c:pt idx="5">
                  <c:v>Aichi Target 6</c:v>
                </c:pt>
                <c:pt idx="6">
                  <c:v>Aichi Target 7</c:v>
                </c:pt>
                <c:pt idx="7">
                  <c:v>Aichi Target 8</c:v>
                </c:pt>
                <c:pt idx="8">
                  <c:v>Aichi Target 9</c:v>
                </c:pt>
                <c:pt idx="9">
                  <c:v>Aichi Target 10</c:v>
                </c:pt>
                <c:pt idx="10">
                  <c:v>Aichi Target 11</c:v>
                </c:pt>
                <c:pt idx="11">
                  <c:v>Aichi Target 12</c:v>
                </c:pt>
                <c:pt idx="12">
                  <c:v>Aichi Target 13</c:v>
                </c:pt>
                <c:pt idx="13">
                  <c:v>Aichi Target 14</c:v>
                </c:pt>
                <c:pt idx="14">
                  <c:v>Aichi Target 15</c:v>
                </c:pt>
                <c:pt idx="15">
                  <c:v>Aichi Target 16</c:v>
                </c:pt>
                <c:pt idx="16">
                  <c:v>Aichi Target 17</c:v>
                </c:pt>
                <c:pt idx="17">
                  <c:v>Aichi Target 18</c:v>
                </c:pt>
                <c:pt idx="18">
                  <c:v>Aichi Target 19</c:v>
                </c:pt>
                <c:pt idx="19">
                  <c:v>Aichi Target 20</c:v>
                </c:pt>
              </c:strCache>
            </c:strRef>
          </c:cat>
          <c:val>
            <c:numRef>
              <c:f>Analysis!$J$38:$J$57</c:f>
              <c:numCache>
                <c:formatCode>General</c:formatCode>
                <c:ptCount val="20"/>
                <c:pt idx="0">
                  <c:v>58</c:v>
                </c:pt>
                <c:pt idx="1">
                  <c:v>68</c:v>
                </c:pt>
                <c:pt idx="2">
                  <c:v>58</c:v>
                </c:pt>
                <c:pt idx="3">
                  <c:v>61</c:v>
                </c:pt>
                <c:pt idx="4">
                  <c:v>71</c:v>
                </c:pt>
                <c:pt idx="5">
                  <c:v>53</c:v>
                </c:pt>
                <c:pt idx="6">
                  <c:v>69</c:v>
                </c:pt>
                <c:pt idx="7">
                  <c:v>69</c:v>
                </c:pt>
                <c:pt idx="8">
                  <c:v>70</c:v>
                </c:pt>
                <c:pt idx="9">
                  <c:v>56</c:v>
                </c:pt>
                <c:pt idx="10">
                  <c:v>55</c:v>
                </c:pt>
                <c:pt idx="11">
                  <c:v>66</c:v>
                </c:pt>
                <c:pt idx="12">
                  <c:v>59</c:v>
                </c:pt>
                <c:pt idx="13">
                  <c:v>72</c:v>
                </c:pt>
                <c:pt idx="14">
                  <c:v>64</c:v>
                </c:pt>
                <c:pt idx="15">
                  <c:v>52</c:v>
                </c:pt>
                <c:pt idx="16">
                  <c:v>35</c:v>
                </c:pt>
                <c:pt idx="17">
                  <c:v>55</c:v>
                </c:pt>
                <c:pt idx="18">
                  <c:v>55</c:v>
                </c:pt>
                <c:pt idx="19">
                  <c:v>60</c:v>
                </c:pt>
              </c:numCache>
            </c:numRef>
          </c:val>
          <c:extLst>
            <c:ext xmlns:c16="http://schemas.microsoft.com/office/drawing/2014/chart" uri="{C3380CC4-5D6E-409C-BE32-E72D297353CC}">
              <c16:uniqueId val="{00000004-0140-4E89-8B9F-6F9640E0B68B}"/>
            </c:ext>
          </c:extLst>
        </c:ser>
        <c:ser>
          <c:idx val="5"/>
          <c:order val="5"/>
          <c:tx>
            <c:strRef>
              <c:f>Analysis!$K$37</c:f>
              <c:strCache>
                <c:ptCount val="1"/>
                <c:pt idx="0">
                  <c:v>On track</c:v>
                </c:pt>
              </c:strCache>
            </c:strRef>
          </c:tx>
          <c:spPr>
            <a:solidFill>
              <a:srgbClr val="109E49"/>
            </a:solidFill>
            <a:ln>
              <a:solidFill>
                <a:schemeClr val="tx1"/>
              </a:solidFill>
            </a:ln>
            <a:effectLst/>
          </c:spPr>
          <c:invertIfNegative val="0"/>
          <c:cat>
            <c:strRef>
              <c:f>Analysis!$E$38:$E$57</c:f>
              <c:strCache>
                <c:ptCount val="20"/>
                <c:pt idx="0">
                  <c:v>Aichi Target 1</c:v>
                </c:pt>
                <c:pt idx="1">
                  <c:v>Aichi Target 2</c:v>
                </c:pt>
                <c:pt idx="2">
                  <c:v>Aichi Target 3</c:v>
                </c:pt>
                <c:pt idx="3">
                  <c:v> Aichi Target 4</c:v>
                </c:pt>
                <c:pt idx="4">
                  <c:v>Aichi Target 5</c:v>
                </c:pt>
                <c:pt idx="5">
                  <c:v>Aichi Target 6</c:v>
                </c:pt>
                <c:pt idx="6">
                  <c:v>Aichi Target 7</c:v>
                </c:pt>
                <c:pt idx="7">
                  <c:v>Aichi Target 8</c:v>
                </c:pt>
                <c:pt idx="8">
                  <c:v>Aichi Target 9</c:v>
                </c:pt>
                <c:pt idx="9">
                  <c:v>Aichi Target 10</c:v>
                </c:pt>
                <c:pt idx="10">
                  <c:v>Aichi Target 11</c:v>
                </c:pt>
                <c:pt idx="11">
                  <c:v>Aichi Target 12</c:v>
                </c:pt>
                <c:pt idx="12">
                  <c:v>Aichi Target 13</c:v>
                </c:pt>
                <c:pt idx="13">
                  <c:v>Aichi Target 14</c:v>
                </c:pt>
                <c:pt idx="14">
                  <c:v>Aichi Target 15</c:v>
                </c:pt>
                <c:pt idx="15">
                  <c:v>Aichi Target 16</c:v>
                </c:pt>
                <c:pt idx="16">
                  <c:v>Aichi Target 17</c:v>
                </c:pt>
                <c:pt idx="17">
                  <c:v>Aichi Target 18</c:v>
                </c:pt>
                <c:pt idx="18">
                  <c:v>Aichi Target 19</c:v>
                </c:pt>
                <c:pt idx="19">
                  <c:v>Aichi Target 20</c:v>
                </c:pt>
              </c:strCache>
            </c:strRef>
          </c:cat>
          <c:val>
            <c:numRef>
              <c:f>Analysis!$K$38:$K$57</c:f>
              <c:numCache>
                <c:formatCode>General</c:formatCode>
                <c:ptCount val="20"/>
                <c:pt idx="0">
                  <c:v>61</c:v>
                </c:pt>
                <c:pt idx="1">
                  <c:v>44</c:v>
                </c:pt>
                <c:pt idx="2">
                  <c:v>34</c:v>
                </c:pt>
                <c:pt idx="3">
                  <c:v>41</c:v>
                </c:pt>
                <c:pt idx="4">
                  <c:v>36</c:v>
                </c:pt>
                <c:pt idx="5">
                  <c:v>39</c:v>
                </c:pt>
                <c:pt idx="6">
                  <c:v>45</c:v>
                </c:pt>
                <c:pt idx="7">
                  <c:v>23</c:v>
                </c:pt>
                <c:pt idx="8">
                  <c:v>31</c:v>
                </c:pt>
                <c:pt idx="9">
                  <c:v>26</c:v>
                </c:pt>
                <c:pt idx="10">
                  <c:v>57</c:v>
                </c:pt>
                <c:pt idx="11">
                  <c:v>45</c:v>
                </c:pt>
                <c:pt idx="12">
                  <c:v>36</c:v>
                </c:pt>
                <c:pt idx="13">
                  <c:v>32</c:v>
                </c:pt>
                <c:pt idx="14">
                  <c:v>38</c:v>
                </c:pt>
                <c:pt idx="15">
                  <c:v>44</c:v>
                </c:pt>
                <c:pt idx="16">
                  <c:v>40</c:v>
                </c:pt>
                <c:pt idx="17">
                  <c:v>37</c:v>
                </c:pt>
                <c:pt idx="18">
                  <c:v>56</c:v>
                </c:pt>
                <c:pt idx="19">
                  <c:v>36</c:v>
                </c:pt>
              </c:numCache>
            </c:numRef>
          </c:val>
          <c:extLst>
            <c:ext xmlns:c16="http://schemas.microsoft.com/office/drawing/2014/chart" uri="{C3380CC4-5D6E-409C-BE32-E72D297353CC}">
              <c16:uniqueId val="{00000005-0140-4E89-8B9F-6F9640E0B68B}"/>
            </c:ext>
          </c:extLst>
        </c:ser>
        <c:ser>
          <c:idx val="6"/>
          <c:order val="6"/>
          <c:tx>
            <c:strRef>
              <c:f>Analysis!$L$37</c:f>
              <c:strCache>
                <c:ptCount val="1"/>
                <c:pt idx="0">
                  <c:v>Exceed</c:v>
                </c:pt>
              </c:strCache>
            </c:strRef>
          </c:tx>
          <c:spPr>
            <a:solidFill>
              <a:srgbClr val="1074BC"/>
            </a:solidFill>
            <a:ln>
              <a:solidFill>
                <a:schemeClr val="tx1"/>
              </a:solidFill>
            </a:ln>
            <a:effectLst/>
          </c:spPr>
          <c:invertIfNegative val="0"/>
          <c:cat>
            <c:strRef>
              <c:f>Analysis!$E$38:$E$57</c:f>
              <c:strCache>
                <c:ptCount val="20"/>
                <c:pt idx="0">
                  <c:v>Aichi Target 1</c:v>
                </c:pt>
                <c:pt idx="1">
                  <c:v>Aichi Target 2</c:v>
                </c:pt>
                <c:pt idx="2">
                  <c:v>Aichi Target 3</c:v>
                </c:pt>
                <c:pt idx="3">
                  <c:v> Aichi Target 4</c:v>
                </c:pt>
                <c:pt idx="4">
                  <c:v>Aichi Target 5</c:v>
                </c:pt>
                <c:pt idx="5">
                  <c:v>Aichi Target 6</c:v>
                </c:pt>
                <c:pt idx="6">
                  <c:v>Aichi Target 7</c:v>
                </c:pt>
                <c:pt idx="7">
                  <c:v>Aichi Target 8</c:v>
                </c:pt>
                <c:pt idx="8">
                  <c:v>Aichi Target 9</c:v>
                </c:pt>
                <c:pt idx="9">
                  <c:v>Aichi Target 10</c:v>
                </c:pt>
                <c:pt idx="10">
                  <c:v>Aichi Target 11</c:v>
                </c:pt>
                <c:pt idx="11">
                  <c:v>Aichi Target 12</c:v>
                </c:pt>
                <c:pt idx="12">
                  <c:v>Aichi Target 13</c:v>
                </c:pt>
                <c:pt idx="13">
                  <c:v>Aichi Target 14</c:v>
                </c:pt>
                <c:pt idx="14">
                  <c:v>Aichi Target 15</c:v>
                </c:pt>
                <c:pt idx="15">
                  <c:v>Aichi Target 16</c:v>
                </c:pt>
                <c:pt idx="16">
                  <c:v>Aichi Target 17</c:v>
                </c:pt>
                <c:pt idx="17">
                  <c:v>Aichi Target 18</c:v>
                </c:pt>
                <c:pt idx="18">
                  <c:v>Aichi Target 19</c:v>
                </c:pt>
                <c:pt idx="19">
                  <c:v>Aichi Target 20</c:v>
                </c:pt>
              </c:strCache>
            </c:strRef>
          </c:cat>
          <c:val>
            <c:numRef>
              <c:f>Analysis!$L$38:$L$57</c:f>
              <c:numCache>
                <c:formatCode>General</c:formatCode>
                <c:ptCount val="20"/>
                <c:pt idx="0">
                  <c:v>1</c:v>
                </c:pt>
                <c:pt idx="1">
                  <c:v>2</c:v>
                </c:pt>
                <c:pt idx="2">
                  <c:v>1</c:v>
                </c:pt>
                <c:pt idx="3">
                  <c:v>2</c:v>
                </c:pt>
                <c:pt idx="4">
                  <c:v>1</c:v>
                </c:pt>
                <c:pt idx="5">
                  <c:v>2</c:v>
                </c:pt>
                <c:pt idx="6">
                  <c:v>1</c:v>
                </c:pt>
                <c:pt idx="7">
                  <c:v>1</c:v>
                </c:pt>
                <c:pt idx="8">
                  <c:v>3</c:v>
                </c:pt>
                <c:pt idx="9">
                  <c:v>3</c:v>
                </c:pt>
                <c:pt idx="10">
                  <c:v>12</c:v>
                </c:pt>
                <c:pt idx="11">
                  <c:v>2</c:v>
                </c:pt>
                <c:pt idx="12">
                  <c:v>6</c:v>
                </c:pt>
                <c:pt idx="13">
                  <c:v>3</c:v>
                </c:pt>
                <c:pt idx="14">
                  <c:v>3</c:v>
                </c:pt>
                <c:pt idx="15">
                  <c:v>9</c:v>
                </c:pt>
                <c:pt idx="16">
                  <c:v>12</c:v>
                </c:pt>
                <c:pt idx="17">
                  <c:v>5</c:v>
                </c:pt>
                <c:pt idx="18">
                  <c:v>1</c:v>
                </c:pt>
                <c:pt idx="19">
                  <c:v>3</c:v>
                </c:pt>
              </c:numCache>
            </c:numRef>
          </c:val>
          <c:extLst>
            <c:ext xmlns:c16="http://schemas.microsoft.com/office/drawing/2014/chart" uri="{C3380CC4-5D6E-409C-BE32-E72D297353CC}">
              <c16:uniqueId val="{00000006-0140-4E89-8B9F-6F9640E0B68B}"/>
            </c:ext>
          </c:extLst>
        </c:ser>
        <c:dLbls>
          <c:showLegendKey val="0"/>
          <c:showVal val="0"/>
          <c:showCatName val="0"/>
          <c:showSerName val="0"/>
          <c:showPercent val="0"/>
          <c:showBubbleSize val="0"/>
        </c:dLbls>
        <c:gapWidth val="55"/>
        <c:overlap val="100"/>
        <c:axId val="96098560"/>
        <c:axId val="96104448"/>
      </c:barChart>
      <c:catAx>
        <c:axId val="960985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6104448"/>
        <c:crosses val="autoZero"/>
        <c:auto val="1"/>
        <c:lblAlgn val="ctr"/>
        <c:lblOffset val="100"/>
        <c:noMultiLvlLbl val="0"/>
      </c:catAx>
      <c:valAx>
        <c:axId val="961044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6098560"/>
        <c:crosses val="autoZero"/>
        <c:crossBetween val="between"/>
      </c:valAx>
      <c:spPr>
        <a:noFill/>
        <a:ln>
          <a:noFill/>
        </a:ln>
        <a:effectLst/>
      </c:spPr>
    </c:plotArea>
    <c:legend>
      <c:legendPos val="b"/>
      <c:legendEntry>
        <c:idx val="6"/>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9CE14685D641BDA55CAF0423F6EBD9"/>
        <w:category>
          <w:name w:val="General"/>
          <w:gallery w:val="placeholder"/>
        </w:category>
        <w:types>
          <w:type w:val="bbPlcHdr"/>
        </w:types>
        <w:behaviors>
          <w:behavior w:val="content"/>
        </w:behaviors>
        <w:guid w:val="{8C9CD1ED-D97D-418C-9B74-04373EF90DF8}"/>
      </w:docPartPr>
      <w:docPartBody>
        <w:p w:rsidR="006C1DDC" w:rsidRDefault="00F339E6" w:rsidP="00F339E6">
          <w:pPr>
            <w:pStyle w:val="509CE14685D641BDA55CAF0423F6EBD9"/>
          </w:pPr>
          <w:r w:rsidRPr="007E02EB">
            <w:rPr>
              <w:rStyle w:val="PlaceholderText"/>
            </w:rPr>
            <w:t>[Title]</w:t>
          </w:r>
        </w:p>
      </w:docPartBody>
    </w:docPart>
    <w:docPart>
      <w:docPartPr>
        <w:name w:val="C9FF0856983041DDA33E7025FB6B1DCB"/>
        <w:category>
          <w:name w:val="General"/>
          <w:gallery w:val="placeholder"/>
        </w:category>
        <w:types>
          <w:type w:val="bbPlcHdr"/>
        </w:types>
        <w:behaviors>
          <w:behavior w:val="content"/>
        </w:behaviors>
        <w:guid w:val="{FE3144BD-123B-4D79-A403-857A849ED154}"/>
      </w:docPartPr>
      <w:docPartBody>
        <w:p w:rsidR="006C1DDC" w:rsidRDefault="00F339E6" w:rsidP="00F339E6">
          <w:pPr>
            <w:pStyle w:val="C9FF0856983041DDA33E7025FB6B1DCB"/>
          </w:pPr>
          <w:r w:rsidRPr="007E02EB">
            <w:rPr>
              <w:rStyle w:val="PlaceholderText"/>
            </w:rPr>
            <w:t>[Status]</w:t>
          </w:r>
        </w:p>
      </w:docPartBody>
    </w:docPart>
    <w:docPart>
      <w:docPartPr>
        <w:name w:val="B18F895961B54E9E9C0A7C5926E54D41"/>
        <w:category>
          <w:name w:val="General"/>
          <w:gallery w:val="placeholder"/>
        </w:category>
        <w:types>
          <w:type w:val="bbPlcHdr"/>
        </w:types>
        <w:behaviors>
          <w:behavior w:val="content"/>
        </w:behaviors>
        <w:guid w:val="{E6AE3F23-9807-4431-854E-4D7F8C234075}"/>
      </w:docPartPr>
      <w:docPartBody>
        <w:p w:rsidR="006C1DDC" w:rsidRDefault="00F339E6" w:rsidP="00F339E6">
          <w:pPr>
            <w:pStyle w:val="B18F895961B54E9E9C0A7C5926E54D41"/>
          </w:pPr>
          <w:r w:rsidRPr="007E02EB">
            <w:rPr>
              <w:rStyle w:val="PlaceholderText"/>
            </w:rPr>
            <w:t>[Subject]</w:t>
          </w:r>
        </w:p>
      </w:docPartBody>
    </w:docPart>
    <w:docPart>
      <w:docPartPr>
        <w:name w:val="920688B3489040AA994D00EE52C31A22"/>
        <w:category>
          <w:name w:val="General"/>
          <w:gallery w:val="placeholder"/>
        </w:category>
        <w:types>
          <w:type w:val="bbPlcHdr"/>
        </w:types>
        <w:behaviors>
          <w:behavior w:val="content"/>
        </w:behaviors>
        <w:guid w:val="{74D32AC6-C5C3-4922-9D8B-F4F74870E7C7}"/>
      </w:docPartPr>
      <w:docPartBody>
        <w:p w:rsidR="006C1DDC" w:rsidRDefault="00F339E6" w:rsidP="00F339E6">
          <w:pPr>
            <w:pStyle w:val="920688B3489040AA994D00EE52C31A22"/>
          </w:pPr>
          <w:r w:rsidRPr="007E02EB">
            <w:rPr>
              <w:rStyle w:val="PlaceholderText"/>
            </w:rPr>
            <w:t>[Publish Date]</w:t>
          </w:r>
        </w:p>
      </w:docPartBody>
    </w:docPart>
    <w:docPart>
      <w:docPartPr>
        <w:name w:val="FD4762B88EE244ADAE850F251F2C6BB3"/>
        <w:category>
          <w:name w:val="General"/>
          <w:gallery w:val="placeholder"/>
        </w:category>
        <w:types>
          <w:type w:val="bbPlcHdr"/>
        </w:types>
        <w:behaviors>
          <w:behavior w:val="content"/>
        </w:behaviors>
        <w:guid w:val="{1C42F227-67E1-469C-8D5E-840F2C032F23}"/>
      </w:docPartPr>
      <w:docPartBody>
        <w:p w:rsidR="006C1DDC" w:rsidRDefault="00F339E6" w:rsidP="00F339E6">
          <w:pPr>
            <w:pStyle w:val="FD4762B88EE244ADAE850F251F2C6BB3"/>
          </w:pPr>
          <w:r w:rsidRPr="006D0F48">
            <w:rPr>
              <w:rStyle w:val="PlaceholderText"/>
            </w:rPr>
            <w:t>[Subject]</w:t>
          </w:r>
        </w:p>
      </w:docPartBody>
    </w:docPart>
    <w:docPart>
      <w:docPartPr>
        <w:name w:val="0D6B742FF4594CF0BCBCEC97721A7ECD"/>
        <w:category>
          <w:name w:val="General"/>
          <w:gallery w:val="placeholder"/>
        </w:category>
        <w:types>
          <w:type w:val="bbPlcHdr"/>
        </w:types>
        <w:behaviors>
          <w:behavior w:val="content"/>
        </w:behaviors>
        <w:guid w:val="{2E87CFA3-A07C-46D0-BA20-E2622BE2807E}"/>
      </w:docPartPr>
      <w:docPartBody>
        <w:p w:rsidR="00D25366" w:rsidRDefault="006C1DDC" w:rsidP="006C1DDC">
          <w:pPr>
            <w:pStyle w:val="0D6B742FF4594CF0BCBCEC97721A7ECD"/>
          </w:pPr>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 Pro">
    <w:altName w:val="Cambria"/>
    <w:panose1 w:val="00000000000000000000"/>
    <w:charset w:val="00"/>
    <w:family w:val="roman"/>
    <w:notTrueType/>
    <w:pitch w:val="variable"/>
    <w:sig w:usb0="E00002AF" w:usb1="5000E07B" w:usb2="00000000" w:usb3="00000000" w:csb0="0000019F" w:csb1="00000000"/>
  </w:font>
  <w:font w:name="Myriad Roman">
    <w:altName w:val="Myriad Roman"/>
    <w:panose1 w:val="00000000000000000000"/>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9E6"/>
    <w:rsid w:val="005C1018"/>
    <w:rsid w:val="00693AD6"/>
    <w:rsid w:val="006C1DDC"/>
    <w:rsid w:val="00BF0871"/>
    <w:rsid w:val="00C530B8"/>
    <w:rsid w:val="00D108CB"/>
    <w:rsid w:val="00D25366"/>
    <w:rsid w:val="00DE7057"/>
    <w:rsid w:val="00F33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6C1DDC"/>
    <w:rPr>
      <w:color w:val="808080"/>
    </w:rPr>
  </w:style>
  <w:style w:type="paragraph" w:customStyle="1" w:styleId="E44C603CE68E4A63B2A24C89D05513CD">
    <w:name w:val="E44C603CE68E4A63B2A24C89D05513CD"/>
    <w:rsid w:val="00F339E6"/>
  </w:style>
  <w:style w:type="paragraph" w:customStyle="1" w:styleId="509CE14685D641BDA55CAF0423F6EBD9">
    <w:name w:val="509CE14685D641BDA55CAF0423F6EBD9"/>
    <w:rsid w:val="00F339E6"/>
  </w:style>
  <w:style w:type="paragraph" w:customStyle="1" w:styleId="8CE61545637A4ABC8BA31DDFE88DB1B9">
    <w:name w:val="8CE61545637A4ABC8BA31DDFE88DB1B9"/>
    <w:rsid w:val="00F339E6"/>
  </w:style>
  <w:style w:type="paragraph" w:customStyle="1" w:styleId="D2E96B57E8DB4124A2E348746BE8DD4F">
    <w:name w:val="D2E96B57E8DB4124A2E348746BE8DD4F"/>
    <w:rsid w:val="00F339E6"/>
  </w:style>
  <w:style w:type="paragraph" w:customStyle="1" w:styleId="1B6DE0BFD351407DBB874621D47A72D8">
    <w:name w:val="1B6DE0BFD351407DBB874621D47A72D8"/>
    <w:rsid w:val="00F339E6"/>
  </w:style>
  <w:style w:type="paragraph" w:customStyle="1" w:styleId="1319DA764D184C3A954315A4421147F8">
    <w:name w:val="1319DA764D184C3A954315A4421147F8"/>
    <w:rsid w:val="00F339E6"/>
  </w:style>
  <w:style w:type="paragraph" w:customStyle="1" w:styleId="3832A91C461E410FACA22304EC2F00B5">
    <w:name w:val="3832A91C461E410FACA22304EC2F00B5"/>
    <w:rsid w:val="00F339E6"/>
  </w:style>
  <w:style w:type="paragraph" w:customStyle="1" w:styleId="68E64DD986754E5F82A27742B6E867E4">
    <w:name w:val="68E64DD986754E5F82A27742B6E867E4"/>
    <w:rsid w:val="00F339E6"/>
  </w:style>
  <w:style w:type="paragraph" w:customStyle="1" w:styleId="29AD029F5E9D435E90F2C6DB54C1B8AE">
    <w:name w:val="29AD029F5E9D435E90F2C6DB54C1B8AE"/>
    <w:rsid w:val="00F339E6"/>
  </w:style>
  <w:style w:type="paragraph" w:customStyle="1" w:styleId="565AB4AAD4344E5CB25ADE8B8610484D">
    <w:name w:val="565AB4AAD4344E5CB25ADE8B8610484D"/>
    <w:rsid w:val="00F339E6"/>
  </w:style>
  <w:style w:type="paragraph" w:customStyle="1" w:styleId="E0489A63E28E42759ECD4772959634D7">
    <w:name w:val="E0489A63E28E42759ECD4772959634D7"/>
    <w:rsid w:val="00F339E6"/>
  </w:style>
  <w:style w:type="paragraph" w:customStyle="1" w:styleId="3C7EF9DFC4D04BC6BE76470AF014F890">
    <w:name w:val="3C7EF9DFC4D04BC6BE76470AF014F890"/>
    <w:rsid w:val="00F339E6"/>
  </w:style>
  <w:style w:type="paragraph" w:customStyle="1" w:styleId="9AD0CE4E79A7478F9557F1E2BDBCC9A3">
    <w:name w:val="9AD0CE4E79A7478F9557F1E2BDBCC9A3"/>
    <w:rsid w:val="00F339E6"/>
  </w:style>
  <w:style w:type="paragraph" w:customStyle="1" w:styleId="FBD43422EB7C458F95612622AADCF15C">
    <w:name w:val="FBD43422EB7C458F95612622AADCF15C"/>
    <w:rsid w:val="00F339E6"/>
  </w:style>
  <w:style w:type="paragraph" w:customStyle="1" w:styleId="75E092146B1E435986888DD16BE05071">
    <w:name w:val="75E092146B1E435986888DD16BE05071"/>
    <w:rsid w:val="00F339E6"/>
  </w:style>
  <w:style w:type="paragraph" w:customStyle="1" w:styleId="3D4C84892DA8404D84826F35CBAE6DAD">
    <w:name w:val="3D4C84892DA8404D84826F35CBAE6DAD"/>
    <w:rsid w:val="00F339E6"/>
  </w:style>
  <w:style w:type="paragraph" w:customStyle="1" w:styleId="C9FF0856983041DDA33E7025FB6B1DCB">
    <w:name w:val="C9FF0856983041DDA33E7025FB6B1DCB"/>
    <w:rsid w:val="00F339E6"/>
  </w:style>
  <w:style w:type="paragraph" w:customStyle="1" w:styleId="B18F895961B54E9E9C0A7C5926E54D41">
    <w:name w:val="B18F895961B54E9E9C0A7C5926E54D41"/>
    <w:rsid w:val="00F339E6"/>
  </w:style>
  <w:style w:type="paragraph" w:customStyle="1" w:styleId="920688B3489040AA994D00EE52C31A22">
    <w:name w:val="920688B3489040AA994D00EE52C31A22"/>
    <w:rsid w:val="00F339E6"/>
  </w:style>
  <w:style w:type="paragraph" w:customStyle="1" w:styleId="FD4762B88EE244ADAE850F251F2C6BB3">
    <w:name w:val="FD4762B88EE244ADAE850F251F2C6BB3"/>
    <w:rsid w:val="00F339E6"/>
  </w:style>
  <w:style w:type="paragraph" w:customStyle="1" w:styleId="B4027F72C9A3485E92156008D6EDCE12">
    <w:name w:val="B4027F72C9A3485E92156008D6EDCE12"/>
    <w:rsid w:val="00F339E6"/>
  </w:style>
  <w:style w:type="paragraph" w:customStyle="1" w:styleId="A1BBDAEF3EFB4090BFB88ECE48E3CDA5">
    <w:name w:val="A1BBDAEF3EFB4090BFB88ECE48E3CDA5"/>
    <w:rsid w:val="00F339E6"/>
  </w:style>
  <w:style w:type="paragraph" w:customStyle="1" w:styleId="0D6B742FF4594CF0BCBCEC97721A7ECD">
    <w:name w:val="0D6B742FF4594CF0BCBCEC97721A7ECD"/>
    <w:rsid w:val="006C1D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2020-03-16T00:00:00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E5DC97-60F9-4452-816C-B74DEB041FCA}">
  <ds:schemaRefs>
    <ds:schemaRef ds:uri="http://schemas.microsoft.com/sharepoint/v3/contenttype/forms"/>
  </ds:schemaRefs>
</ds:datastoreItem>
</file>

<file path=customXml/itemProps3.xml><?xml version="1.0" encoding="utf-8"?>
<ds:datastoreItem xmlns:ds="http://schemas.openxmlformats.org/officeDocument/2006/customXml" ds:itemID="{14D43B16-2DA2-444D-811E-A57C80AD1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5AA64F-1BD8-4201-A726-667AE48FBFA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B352DDE-2471-451A-AAC9-09D18EEE0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328</TotalTime>
  <Pages>21</Pages>
  <Words>11094</Words>
  <Characters>63241</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Analysis of the contribution of targets established by Parties and progress towards the Aichi Biodiversity Targets</vt:lpstr>
    </vt:vector>
  </TitlesOfParts>
  <Company>SCBD</Company>
  <LinksUpToDate>false</LinksUpToDate>
  <CharactersWithSpaces>74187</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contribution of targets established by Parties and progress towards the Aichi Biodiversity Targets</dc:title>
  <dc:subject>CBD/SBI/3/2/Add.2</dc:subject>
  <dc:creator>SCBD</dc:creator>
  <cp:keywords>Subsidiary Body on Implementation, third meeting, Montreal, Canada, 24-29 August 2020, Convention on Biological Diversity</cp:keywords>
  <cp:lastModifiedBy>Orestes Plasencia</cp:lastModifiedBy>
  <cp:revision>50</cp:revision>
  <cp:lastPrinted>2020-04-08T14:16:00Z</cp:lastPrinted>
  <dcterms:created xsi:type="dcterms:W3CDTF">2020-04-08T19:41:00Z</dcterms:created>
  <dcterms:modified xsi:type="dcterms:W3CDTF">2020-05-22T02:45:00Z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y fmtid="{D5CDD505-2E9C-101B-9397-08002B2CF9AE}" pid="4" name="ContentTypeId">
    <vt:lpwstr>0x01010069BFACF6D92CD24AA50050CE23F68F74</vt:lpwstr>
  </property>
</Properties>
</file>