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482" w:type="dxa"/>
        <w:tblInd w:w="-283" w:type="dxa"/>
        <w:tblLayout w:type="fixed"/>
        <w:tblLook w:val="0000" w:firstRow="0" w:lastRow="0" w:firstColumn="0" w:lastColumn="0" w:noHBand="0" w:noVBand="0"/>
      </w:tblPr>
      <w:tblGrid>
        <w:gridCol w:w="975"/>
        <w:gridCol w:w="1434"/>
        <w:gridCol w:w="8073"/>
      </w:tblGrid>
      <w:tr w:rsidR="008A1499" w:rsidRPr="003F1A75" w14:paraId="0A7037F8" w14:textId="77777777" w:rsidTr="008A1499">
        <w:trPr>
          <w:trHeight w:val="850"/>
        </w:trPr>
        <w:tc>
          <w:tcPr>
            <w:tcW w:w="975" w:type="dxa"/>
            <w:vAlign w:val="bottom"/>
          </w:tcPr>
          <w:p w14:paraId="4E3CCB56" w14:textId="77777777" w:rsidR="008A1499" w:rsidRPr="003F1A75" w:rsidRDefault="008A1499" w:rsidP="008A1499">
            <w:pPr>
              <w:pStyle w:val="AASmallLogo"/>
            </w:pPr>
            <w:r>
              <w:rPr>
                <w:noProof/>
                <w:lang w:val="ru"/>
              </w:rPr>
              <w:drawing>
                <wp:inline distT="0" distB="0" distL="0" distR="0" wp14:anchorId="1DDAC40C" wp14:editId="6C9FC969">
                  <wp:extent cx="474727" cy="402337"/>
                  <wp:effectExtent l="0" t="0" r="1905" b="0"/>
                  <wp:docPr id="1244614358" name="Picture 1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44614358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4727" cy="4023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lang w:val="ru"/>
              </w:rPr>
              <w:t xml:space="preserve"> </w:t>
            </w:r>
          </w:p>
          <w:p w14:paraId="0D518573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1434" w:type="dxa"/>
            <w:noWrap/>
            <w:vAlign w:val="bottom"/>
          </w:tcPr>
          <w:p w14:paraId="0B795323" w14:textId="35E210EF" w:rsidR="008A1499" w:rsidRPr="003F1A75" w:rsidRDefault="00B41D13" w:rsidP="008A1499">
            <w:pPr>
              <w:pStyle w:val="AASmallLogo"/>
            </w:pPr>
            <w:r w:rsidRPr="00360A23">
              <w:rPr>
                <w:noProof/>
                <w:lang w:eastAsia="ru-RU"/>
              </w:rPr>
              <w:drawing>
                <wp:inline distT="0" distB="0" distL="0" distR="0" wp14:anchorId="3CB06742" wp14:editId="56761EED">
                  <wp:extent cx="825600" cy="386344"/>
                  <wp:effectExtent l="0" t="0" r="0" b="0"/>
                  <wp:docPr id="899098129" name="Picture 899098129" descr="unep-2017-ru-blk-sm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unep-2017-ru-blk-sm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3" cstate="print"/>
                          <a:srcRect b="41057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6488" cy="396119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rPr>
                <w:lang w:val="ru"/>
              </w:rPr>
              <w:t xml:space="preserve"> </w:t>
            </w:r>
          </w:p>
          <w:p w14:paraId="48772EB2" w14:textId="77777777" w:rsidR="008A1499" w:rsidRPr="003F1A75" w:rsidRDefault="008A1499" w:rsidP="008A1499">
            <w:pPr>
              <w:pStyle w:val="AASmallLogo"/>
            </w:pPr>
          </w:p>
        </w:tc>
        <w:tc>
          <w:tcPr>
            <w:tcW w:w="8073" w:type="dxa"/>
            <w:vAlign w:val="bottom"/>
          </w:tcPr>
          <w:p w14:paraId="1F47395C" w14:textId="6707FDB6" w:rsidR="008A1499" w:rsidRPr="003F1A75" w:rsidRDefault="00F1274E" w:rsidP="002537BE">
            <w:pPr>
              <w:pStyle w:val="ABSymbol"/>
              <w:tabs>
                <w:tab w:val="clear" w:pos="567"/>
                <w:tab w:val="clear" w:pos="1871"/>
              </w:tabs>
              <w:ind w:left="0"/>
            </w:pPr>
            <w:r w:rsidRPr="00B41D13">
              <w:rPr>
                <w:sz w:val="40"/>
                <w:szCs w:val="40"/>
              </w:rPr>
              <w:t>CBD</w:t>
            </w:r>
            <w:r w:rsidRPr="00B41D13">
              <w:t>/COP/17/4/Add.5-</w:t>
            </w:r>
            <w:r w:rsidRPr="00B41D13">
              <w:rPr>
                <w:sz w:val="40"/>
                <w:szCs w:val="40"/>
              </w:rPr>
              <w:t>CBD</w:t>
            </w:r>
            <w:r w:rsidRPr="00B41D13">
              <w:t>/CP/MOP/12/5/Add.2-</w:t>
            </w:r>
            <w:r w:rsidRPr="00B41D13">
              <w:rPr>
                <w:sz w:val="40"/>
                <w:szCs w:val="40"/>
              </w:rPr>
              <w:t>CBD</w:t>
            </w:r>
            <w:r w:rsidRPr="00B41D13">
              <w:t>/NP/MOP/6/5/Add.2</w:t>
            </w:r>
          </w:p>
        </w:tc>
      </w:tr>
    </w:tbl>
    <w:p w14:paraId="0E1FEBC1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Borders>
          <w:top w:val="single" w:sz="8" w:space="0" w:color="auto"/>
          <w:bottom w:val="single" w:sz="12" w:space="0" w:color="auto"/>
        </w:tblBorders>
        <w:tblLayout w:type="fixed"/>
        <w:tblLook w:val="0000" w:firstRow="0" w:lastRow="0" w:firstColumn="0" w:lastColumn="0" w:noHBand="0" w:noVBand="0"/>
      </w:tblPr>
      <w:tblGrid>
        <w:gridCol w:w="7370"/>
        <w:gridCol w:w="3112"/>
      </w:tblGrid>
      <w:tr w:rsidR="008A1499" w:rsidRPr="003F1A75" w14:paraId="17AFC338" w14:textId="77777777" w:rsidTr="008A1499">
        <w:trPr>
          <w:trHeight w:val="1814"/>
        </w:trPr>
        <w:tc>
          <w:tcPr>
            <w:tcW w:w="7370" w:type="dxa"/>
          </w:tcPr>
          <w:p w14:paraId="79A4099A" w14:textId="2C0A01FB" w:rsidR="008A1499" w:rsidRPr="003F1A75" w:rsidRDefault="00B41D13" w:rsidP="008A1499">
            <w:pPr>
              <w:pStyle w:val="ACLargeLogo"/>
            </w:pPr>
            <w:r w:rsidRPr="001E2C8A">
              <w:rPr>
                <w:noProof/>
                <w:snapToGrid w:val="0"/>
                <w:kern w:val="22"/>
                <w:lang w:eastAsia="ru-RU"/>
              </w:rPr>
              <w:drawing>
                <wp:inline distT="0" distB="0" distL="0" distR="0" wp14:anchorId="16FAC723" wp14:editId="2DB65219">
                  <wp:extent cx="2623185" cy="1077595"/>
                  <wp:effectExtent l="19050" t="0" r="5715" b="0"/>
                  <wp:docPr id="6" name="Рисунок 1" descr="CBD_logo_ru-CMYK-black [Converted]"/>
                  <wp:cNvGraphicFramePr/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BD_logo_ru-CMYK-black [Converted]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4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3185" cy="107759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="008A1499">
              <w:rPr>
                <w:lang w:val="ru"/>
              </w:rPr>
              <w:t xml:space="preserve"> </w:t>
            </w:r>
          </w:p>
          <w:p w14:paraId="25114585" w14:textId="77777777" w:rsidR="008A1499" w:rsidRPr="003F1A75" w:rsidRDefault="008A1499" w:rsidP="008A1499">
            <w:pPr>
              <w:pStyle w:val="ACLargeLogo"/>
            </w:pPr>
          </w:p>
        </w:tc>
        <w:tc>
          <w:tcPr>
            <w:tcW w:w="3112" w:type="dxa"/>
          </w:tcPr>
          <w:p w14:paraId="3FCE096B" w14:textId="77777777" w:rsidR="00B41D13" w:rsidRPr="003F1A75" w:rsidRDefault="00B41D13" w:rsidP="00B41D13">
            <w:pPr>
              <w:pStyle w:val="AEDistrNormal"/>
            </w:pPr>
            <w:r w:rsidRPr="00A87BF8">
              <w:rPr>
                <w:lang w:val="en-US"/>
              </w:rPr>
              <w:t xml:space="preserve">Distr.: General </w:t>
            </w:r>
          </w:p>
          <w:p w14:paraId="60CC463F" w14:textId="154DD87E" w:rsidR="008A1499" w:rsidRPr="003F1A75" w:rsidRDefault="00B41D13" w:rsidP="00B41D13">
            <w:pPr>
              <w:pStyle w:val="AEDistrNormal"/>
            </w:pPr>
            <w:r w:rsidRPr="00B41D13">
              <w:rPr>
                <w:lang w:val="en-US"/>
              </w:rPr>
              <w:t>2 October 2026</w:t>
            </w:r>
            <w:r>
              <w:rPr>
                <w:lang w:val="en-US"/>
              </w:rPr>
              <w:br/>
            </w:r>
            <w:r w:rsidRPr="00A87BF8">
              <w:rPr>
                <w:lang w:val="en-US"/>
              </w:rPr>
              <w:t>R</w:t>
            </w:r>
            <w:r>
              <w:rPr>
                <w:lang w:val="en-US"/>
              </w:rPr>
              <w:t>ussian</w:t>
            </w:r>
            <w:r>
              <w:rPr>
                <w:lang w:val="en-US"/>
              </w:rPr>
              <w:br/>
            </w:r>
            <w:r w:rsidRPr="00A87BF8">
              <w:rPr>
                <w:lang w:val="en-US"/>
              </w:rPr>
              <w:t xml:space="preserve">Original: English </w:t>
            </w:r>
          </w:p>
        </w:tc>
      </w:tr>
    </w:tbl>
    <w:p w14:paraId="4CE0F723" w14:textId="77777777" w:rsidR="008A1499" w:rsidRPr="003F1A75" w:rsidRDefault="008A1499" w:rsidP="008A1499">
      <w:pPr>
        <w:pStyle w:val="AISpacer"/>
      </w:pPr>
    </w:p>
    <w:tbl>
      <w:tblPr>
        <w:tblW w:w="10482" w:type="dxa"/>
        <w:tblInd w:w="-283" w:type="dxa"/>
        <w:tblLayout w:type="fixed"/>
        <w:tblCellMar>
          <w:left w:w="283" w:type="dxa"/>
        </w:tblCellMar>
        <w:tblLook w:val="0000" w:firstRow="0" w:lastRow="0" w:firstColumn="0" w:lastColumn="0" w:noHBand="0" w:noVBand="0"/>
      </w:tblPr>
      <w:tblGrid>
        <w:gridCol w:w="6094"/>
        <w:gridCol w:w="4388"/>
      </w:tblGrid>
      <w:tr w:rsidR="008A1499" w:rsidRPr="00B7171E" w14:paraId="28E28D19" w14:textId="77777777" w:rsidTr="008A1499">
        <w:trPr>
          <w:trHeight w:val="57"/>
        </w:trPr>
        <w:tc>
          <w:tcPr>
            <w:tcW w:w="6094" w:type="dxa"/>
          </w:tcPr>
          <w:tbl>
            <w:tblPr>
              <w:tblW w:w="5387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5387"/>
            </w:tblGrid>
            <w:tr w:rsidR="000D5E82" w:rsidRPr="00B7171E" w14:paraId="6AB72F91" w14:textId="77777777" w:rsidTr="000D5E82">
              <w:trPr>
                <w:trHeight w:val="2445"/>
              </w:trPr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  <w:hideMark/>
                </w:tcPr>
                <w:p w14:paraId="0CCF2F5C" w14:textId="70622CF5" w:rsidR="000D5E82" w:rsidRPr="00431B15" w:rsidRDefault="000D5E82" w:rsidP="000D5E82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lang w:val="ru"/>
                    </w:rPr>
                    <w:t>Конференция Сторон</w:t>
                  </w:r>
                  <w:r>
                    <w:rPr>
                      <w:rFonts w:eastAsia="Times New Roman"/>
                      <w:sz w:val="24"/>
                      <w:szCs w:val="24"/>
                      <w:lang w:val="ru"/>
                    </w:rPr>
                    <w:br/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lang w:val="ru"/>
                    </w:rPr>
                    <w:t>Конвенции о биологическом разнообразии</w:t>
                  </w:r>
                </w:p>
                <w:p w14:paraId="03589CB7" w14:textId="65AB8EEE" w:rsidR="000D5E82" w:rsidRPr="00431B15" w:rsidRDefault="000D5E82" w:rsidP="000D5E82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lang w:val="ru"/>
                    </w:rPr>
                    <w:t>Семнадцатое совещание</w:t>
                  </w:r>
                </w:p>
                <w:p w14:paraId="7980C61C" w14:textId="77777777" w:rsidR="000D5E82" w:rsidRPr="00B41D13" w:rsidRDefault="000D5E82" w:rsidP="000D5E82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lang w:val="ru"/>
                    </w:rPr>
                    <w:t>Ереван, 19–30 октября 2026 года </w:t>
                  </w:r>
                </w:p>
                <w:p w14:paraId="5C3D11C3" w14:textId="75410C78" w:rsidR="000D5E82" w:rsidRPr="00B41D13" w:rsidRDefault="000D5E82" w:rsidP="000D5E82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lang w:val="ru"/>
                    </w:rPr>
                    <w:t>Пункт 7 предварительной повестки дня</w:t>
                  </w:r>
                  <w:r>
                    <w:rPr>
                      <w:rStyle w:val="FootnoteReference"/>
                      <w:rFonts w:eastAsia="Times New Roman"/>
                      <w:lang w:val="ru"/>
                    </w:rPr>
                    <w:footnoteReference w:customMarkFollows="1" w:id="1"/>
                    <w:t>*</w:t>
                  </w:r>
                  <w:r>
                    <w:rPr>
                      <w:rFonts w:eastAsia="Times New Roman"/>
                      <w:lang w:val="ru"/>
                    </w:rPr>
                    <w:t>  </w:t>
                  </w:r>
                </w:p>
                <w:p w14:paraId="2DDF4DC4" w14:textId="77777777" w:rsidR="000D5E82" w:rsidRPr="00B41D13" w:rsidRDefault="000D5E82" w:rsidP="000D5E82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lang w:val="ru"/>
                    </w:rPr>
                    <w:t>Административное обеспечение Конвенции о биологическом разнообразии, бюджет целевых фондов и функциональный обзор секретариата </w:t>
                  </w:r>
                </w:p>
              </w:tc>
            </w:tr>
            <w:tr w:rsidR="0025455D" w:rsidRPr="00B7171E" w14:paraId="15FA3B61" w14:textId="77777777" w:rsidTr="000D5E82">
              <w:trPr>
                <w:trHeight w:val="2445"/>
              </w:trPr>
              <w:tc>
                <w:tcPr>
                  <w:tcW w:w="5387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52FCC1AB" w14:textId="4F9248CB" w:rsidR="0025455D" w:rsidRPr="00B41D13" w:rsidRDefault="0025455D" w:rsidP="0025455D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lang w:val="ru"/>
                    </w:rPr>
                    <w:t xml:space="preserve">Конференция Сторон Конвенции о биологическом разнообразии, выступающая в качестве совещания </w:t>
                  </w:r>
                  <w:r>
                    <w:rPr>
                      <w:rFonts w:eastAsia="Times New Roman"/>
                      <w:sz w:val="24"/>
                      <w:szCs w:val="24"/>
                      <w:lang w:val="ru"/>
                    </w:rPr>
                    <w:br/>
                  </w: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lang w:val="ru"/>
                    </w:rPr>
                    <w:t>Сторон Нагойского протокола регулирования доступа к генетическим ресурсам и совместного использования на справедливой и равной основе выгод от их применения</w:t>
                  </w:r>
                </w:p>
                <w:p w14:paraId="459EAAF7" w14:textId="17F65B57" w:rsidR="0025455D" w:rsidRPr="00B41D13" w:rsidRDefault="0025455D" w:rsidP="0025455D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b/>
                      <w:bCs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lang w:val="ru"/>
                    </w:rPr>
                    <w:t>Шестое совещание</w:t>
                  </w:r>
                </w:p>
                <w:p w14:paraId="7311AA82" w14:textId="77777777" w:rsidR="0025455D" w:rsidRPr="00B41D13" w:rsidRDefault="0025455D" w:rsidP="0025455D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lang w:val="ru"/>
                    </w:rPr>
                    <w:t>Ереван, 19–30 октября 2026 года </w:t>
                  </w:r>
                </w:p>
                <w:p w14:paraId="07C722D5" w14:textId="44CD3E3A" w:rsidR="0025455D" w:rsidRPr="00B41D13" w:rsidRDefault="0025455D" w:rsidP="0025455D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ascii="Segoe UI" w:eastAsia="Times New Roman" w:hAnsi="Segoe UI" w:cs="Segoe UI"/>
                      <w:sz w:val="18"/>
                      <w:szCs w:val="18"/>
                      <w:lang w:val="ru-RU"/>
                    </w:rPr>
                  </w:pPr>
                  <w:r>
                    <w:rPr>
                      <w:rFonts w:eastAsia="Times New Roman"/>
                      <w:lang w:val="ru"/>
                    </w:rPr>
                    <w:t>Пункт 6 предварительной повестки дня</w:t>
                  </w:r>
                  <w:r>
                    <w:rPr>
                      <w:rStyle w:val="FootnoteReference"/>
                      <w:rFonts w:eastAsia="Times New Roman"/>
                      <w:lang w:val="ru"/>
                    </w:rPr>
                    <w:footnoteReference w:customMarkFollows="1" w:id="2"/>
                    <w:t>***</w:t>
                  </w:r>
                </w:p>
                <w:p w14:paraId="7898B8E6" w14:textId="07EF699F" w:rsidR="0025455D" w:rsidRPr="00B41D13" w:rsidRDefault="0025455D" w:rsidP="0025455D">
                  <w:pPr>
                    <w:tabs>
                      <w:tab w:val="clear" w:pos="567"/>
                      <w:tab w:val="clear" w:pos="1134"/>
                      <w:tab w:val="clear" w:pos="1701"/>
                      <w:tab w:val="clear" w:pos="2268"/>
                    </w:tabs>
                    <w:jc w:val="left"/>
                    <w:textAlignment w:val="baseline"/>
                    <w:rPr>
                      <w:rFonts w:eastAsia="Times New Roman"/>
                      <w:b/>
                      <w:bCs/>
                      <w:sz w:val="24"/>
                      <w:szCs w:val="24"/>
                      <w:lang w:val="ru-RU"/>
                    </w:rPr>
                  </w:pPr>
                  <w:r>
                    <w:rPr>
                      <w:rFonts w:eastAsia="Times New Roman"/>
                      <w:b/>
                      <w:bCs/>
                      <w:sz w:val="24"/>
                      <w:szCs w:val="24"/>
                      <w:lang w:val="ru"/>
                    </w:rPr>
                    <w:t>Административное обеспечение Нагойского протокола и бюджет целевых фондов </w:t>
                  </w:r>
                </w:p>
              </w:tc>
            </w:tr>
          </w:tbl>
          <w:p w14:paraId="420E4809" w14:textId="0DB250B7" w:rsidR="008A1499" w:rsidRPr="00B41D13" w:rsidRDefault="008A1499" w:rsidP="008A1499">
            <w:pPr>
              <w:pStyle w:val="AFCorNBold"/>
              <w:rPr>
                <w:lang w:val="ru-RU"/>
              </w:rPr>
            </w:pPr>
          </w:p>
        </w:tc>
        <w:tc>
          <w:tcPr>
            <w:tcW w:w="4388" w:type="dxa"/>
          </w:tcPr>
          <w:p w14:paraId="3E1779C7" w14:textId="77777777" w:rsidR="000D5E82" w:rsidRPr="00B41D13" w:rsidRDefault="000D5E82" w:rsidP="002537BE">
            <w:pPr>
              <w:pStyle w:val="CBDNormal"/>
              <w:ind w:left="-139"/>
              <w:jc w:val="left"/>
              <w:rPr>
                <w:b/>
                <w:bCs/>
                <w:lang w:val="ru-RU"/>
              </w:rPr>
            </w:pPr>
            <w:r>
              <w:rPr>
                <w:b/>
                <w:bCs/>
                <w:lang w:val="ru"/>
              </w:rPr>
              <w:t>Конференция Сторон Конвенции о биологическом разнообразии, выступающая в качестве совещания Сторон Картахенского протокола по биобезопасности </w:t>
            </w:r>
          </w:p>
          <w:p w14:paraId="25A7AC99" w14:textId="77777777" w:rsidR="000D5E82" w:rsidRPr="00B41D13" w:rsidRDefault="000D5E82" w:rsidP="002537BE">
            <w:pPr>
              <w:pStyle w:val="CBDNormal"/>
              <w:ind w:left="-139"/>
              <w:rPr>
                <w:b/>
                <w:bCs/>
                <w:lang w:val="ru-RU"/>
              </w:rPr>
            </w:pPr>
            <w:r>
              <w:rPr>
                <w:b/>
                <w:bCs/>
                <w:lang w:val="ru"/>
              </w:rPr>
              <w:t>Двенадцатое совещание  </w:t>
            </w:r>
          </w:p>
          <w:p w14:paraId="2C95333D" w14:textId="77777777" w:rsidR="000D5E82" w:rsidRPr="00B41D13" w:rsidRDefault="000D5E82" w:rsidP="002537BE">
            <w:pPr>
              <w:pStyle w:val="CBDNormal"/>
              <w:ind w:left="-139"/>
              <w:rPr>
                <w:lang w:val="ru-RU"/>
              </w:rPr>
            </w:pPr>
            <w:r>
              <w:rPr>
                <w:lang w:val="ru"/>
              </w:rPr>
              <w:t>Ереван, 19–30 октября 2026 года </w:t>
            </w:r>
          </w:p>
          <w:p w14:paraId="72DB73D6" w14:textId="6B713D13" w:rsidR="000D5E82" w:rsidRPr="00B41D13" w:rsidRDefault="000D5E82" w:rsidP="002537BE">
            <w:pPr>
              <w:pStyle w:val="CBDNormal"/>
              <w:ind w:left="-139"/>
              <w:rPr>
                <w:lang w:val="ru-RU"/>
              </w:rPr>
            </w:pPr>
            <w:r>
              <w:rPr>
                <w:lang w:val="ru"/>
              </w:rPr>
              <w:t>Пункт 6 предварительной повестки дня</w:t>
            </w:r>
            <w:r>
              <w:rPr>
                <w:rStyle w:val="FootnoteReference"/>
                <w:lang w:val="ru"/>
              </w:rPr>
              <w:footnoteReference w:customMarkFollows="1" w:id="3"/>
              <w:t>**</w:t>
            </w:r>
          </w:p>
          <w:p w14:paraId="38EE4BE6" w14:textId="611AC556" w:rsidR="008A1499" w:rsidRPr="00B41D13" w:rsidRDefault="000D5E82" w:rsidP="002537BE">
            <w:pPr>
              <w:pStyle w:val="CBDNormal"/>
              <w:ind w:left="-139"/>
              <w:jc w:val="left"/>
              <w:rPr>
                <w:lang w:val="ru-RU"/>
              </w:rPr>
            </w:pPr>
            <w:r>
              <w:rPr>
                <w:b/>
                <w:bCs/>
                <w:lang w:val="ru"/>
              </w:rPr>
              <w:t>Административное обеспечение Картахенского протокола и бюджет целевых фондов</w:t>
            </w:r>
            <w:r>
              <w:rPr>
                <w:lang w:val="ru"/>
              </w:rPr>
              <w:t> </w:t>
            </w:r>
          </w:p>
        </w:tc>
      </w:tr>
    </w:tbl>
    <w:p w14:paraId="164BCA0E" w14:textId="3CFBEC56" w:rsidR="00C9161D" w:rsidRPr="00B41D13" w:rsidRDefault="00000000" w:rsidP="00A111D1">
      <w:pPr>
        <w:pStyle w:val="CBDTitle"/>
        <w:rPr>
          <w:caps/>
          <w:lang w:val="ru-RU"/>
        </w:rPr>
      </w:pPr>
      <w:sdt>
        <w:sdtPr>
          <w:rPr>
            <w:rFonts w:eastAsia="Arial Unicode MS"/>
            <w:bCs/>
            <w:color w:val="000000"/>
            <w:szCs w:val="28"/>
            <w:u w:color="000000"/>
          </w:rPr>
          <w:alias w:val="Title"/>
          <w:tag w:val=""/>
          <w:id w:val="772832786"/>
          <w:placeholder>
            <w:docPart w:val="B7FA492F99F54ECBA1ED962313BE189B"/>
          </w:placeholder>
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<w:text/>
        </w:sdtPr>
        <w:sdtContent>
          <w:r w:rsidR="00B41D13">
            <w:rPr>
              <w:rFonts w:eastAsia="Arial Unicode MS"/>
              <w:bCs/>
              <w:color w:val="000000"/>
              <w:szCs w:val="28"/>
              <w:u w:color="000000"/>
              <w:lang w:val="ru-RU"/>
            </w:rPr>
            <w:t>Дополнительная информация по административным и бюджетным вопросам</w:t>
          </w:r>
        </w:sdtContent>
      </w:sdt>
      <w:r w:rsidR="00D14A00" w:rsidRPr="00B41D13">
        <w:rPr>
          <w:rStyle w:val="FootnoteReference"/>
          <w:rFonts w:eastAsia="Arial Unicode MS"/>
          <w:bCs/>
          <w:color w:val="000000"/>
          <w:szCs w:val="28"/>
          <w:u w:color="000000"/>
          <w:lang w:val="ru-RU"/>
        </w:rPr>
        <w:footnoteReference w:customMarkFollows="1" w:id="4"/>
        <w:t xml:space="preserve"> </w:t>
      </w:r>
      <w:r w:rsidR="00D14A00">
        <w:rPr>
          <w:rStyle w:val="FootnoteReference"/>
          <w:rFonts w:eastAsia="Arial Unicode MS"/>
          <w:b w:val="0"/>
          <w:color w:val="000000"/>
          <w:szCs w:val="28"/>
          <w:u w:color="000000"/>
          <w:vertAlign w:val="baseline"/>
          <w:lang w:val="ru"/>
        </w:rPr>
        <w:sym w:font="Symbol" w:char="F02A"/>
      </w:r>
      <w:r w:rsidR="00D14A00">
        <w:rPr>
          <w:rStyle w:val="FootnoteReference"/>
          <w:rFonts w:eastAsia="Arial Unicode MS"/>
          <w:b w:val="0"/>
          <w:color w:val="000000"/>
          <w:szCs w:val="28"/>
          <w:u w:color="000000"/>
          <w:vertAlign w:val="baseline"/>
          <w:lang w:val="ru"/>
        </w:rPr>
        <w:sym w:font="Symbol" w:char="F02A"/>
      </w:r>
      <w:r w:rsidR="00D14A00">
        <w:rPr>
          <w:rStyle w:val="FootnoteReference"/>
          <w:rFonts w:eastAsia="Arial Unicode MS"/>
          <w:b w:val="0"/>
          <w:color w:val="000000"/>
          <w:szCs w:val="28"/>
          <w:u w:color="000000"/>
          <w:vertAlign w:val="baseline"/>
          <w:lang w:val="ru"/>
        </w:rPr>
        <w:sym w:font="Symbol" w:char="F02A"/>
      </w:r>
      <w:r w:rsidR="00D14A00">
        <w:rPr>
          <w:rStyle w:val="FootnoteReference"/>
          <w:rFonts w:eastAsia="Arial Unicode MS"/>
          <w:b w:val="0"/>
          <w:color w:val="000000"/>
          <w:szCs w:val="28"/>
          <w:u w:color="000000"/>
          <w:vertAlign w:val="baseline"/>
          <w:lang w:val="ru"/>
        </w:rPr>
        <w:sym w:font="Symbol" w:char="F02A"/>
      </w:r>
    </w:p>
    <w:p w14:paraId="749349FC" w14:textId="77777777" w:rsidR="00F6586C" w:rsidRPr="00B41D13" w:rsidRDefault="0030169D" w:rsidP="00A111D1">
      <w:pPr>
        <w:pStyle w:val="CBDSubTitle"/>
        <w:rPr>
          <w:lang w:val="ru-RU"/>
        </w:rPr>
      </w:pPr>
      <w:r>
        <w:rPr>
          <w:bCs/>
          <w:lang w:val="ru"/>
        </w:rPr>
        <w:t>Записка секретариата</w:t>
      </w:r>
    </w:p>
    <w:p w14:paraId="518A2CA6" w14:textId="6A7BFA94" w:rsidR="00C9161D" w:rsidRPr="00B41D13" w:rsidRDefault="00A111D1" w:rsidP="00A111D1">
      <w:pPr>
        <w:pStyle w:val="CBDH1"/>
        <w:rPr>
          <w:lang w:val="ru-RU"/>
        </w:rPr>
      </w:pPr>
      <w:r>
        <w:rPr>
          <w:bCs/>
          <w:lang w:val="ru"/>
        </w:rPr>
        <w:t>I.</w:t>
      </w:r>
      <w:r>
        <w:rPr>
          <w:bCs/>
          <w:lang w:val="ru"/>
        </w:rPr>
        <w:tab/>
        <w:t>Введение</w:t>
      </w:r>
    </w:p>
    <w:p w14:paraId="1C7074C9" w14:textId="362E1328" w:rsidR="008B78C3" w:rsidRPr="00B41D13" w:rsidRDefault="000C7DCF" w:rsidP="000C7DCF">
      <w:pPr>
        <w:pStyle w:val="CBDNormalNumber"/>
        <w:rPr>
          <w:lang w:val="ru"/>
        </w:rPr>
      </w:pPr>
      <w:r>
        <w:rPr>
          <w:lang w:val="ru"/>
        </w:rPr>
        <w:t>Предлагаемый бюджет программ работы Конвенции и протоколов к ней на двухлетний период 2027–2028 годов был представлен 7-му совещанию Вспомогательного органа по осуществлению для ознакомления в соответствии с пунктом 14 повестки дня. По итогам его первого чтения Председатель созвал неофициальное консультативное заседание. В настоящем документе приводятся дополнительные разъяснения</w:t>
      </w:r>
      <w:r w:rsidR="00431B15">
        <w:rPr>
          <w:lang w:val="ru"/>
        </w:rPr>
        <w:t xml:space="preserve"> и уточнения</w:t>
      </w:r>
      <w:r>
        <w:rPr>
          <w:lang w:val="ru"/>
        </w:rPr>
        <w:t xml:space="preserve"> в отношении административных и бюджетных аспектов в </w:t>
      </w:r>
      <w:r w:rsidR="00431B15">
        <w:rPr>
          <w:lang w:val="ru"/>
        </w:rPr>
        <w:t xml:space="preserve">качестве </w:t>
      </w:r>
      <w:r>
        <w:rPr>
          <w:lang w:val="ru"/>
        </w:rPr>
        <w:t>ответ</w:t>
      </w:r>
      <w:r w:rsidR="00431B15">
        <w:rPr>
          <w:lang w:val="ru"/>
        </w:rPr>
        <w:t>а</w:t>
      </w:r>
      <w:r>
        <w:rPr>
          <w:lang w:val="ru"/>
        </w:rPr>
        <w:t xml:space="preserve"> на вопросы, поднятые в ходе дискуссий во Вспомогательном органе. </w:t>
      </w:r>
      <w:r w:rsidR="00431B15">
        <w:rPr>
          <w:lang w:val="ru"/>
        </w:rPr>
        <w:t>Этот документ</w:t>
      </w:r>
      <w:r>
        <w:rPr>
          <w:lang w:val="ru"/>
        </w:rPr>
        <w:t xml:space="preserve"> выпускается в дополнение к </w:t>
      </w:r>
      <w:r>
        <w:rPr>
          <w:lang w:val="ru"/>
        </w:rPr>
        <w:lastRenderedPageBreak/>
        <w:t xml:space="preserve">документам </w:t>
      </w:r>
      <w:hyperlink r:id="rId15" w:history="1">
        <w:r>
          <w:rPr>
            <w:rStyle w:val="Hyperlink"/>
            <w:lang w:val="ru"/>
          </w:rPr>
          <w:t>CBD/COP/17/3</w:t>
        </w:r>
      </w:hyperlink>
      <w:r>
        <w:rPr>
          <w:lang w:val="ru"/>
        </w:rPr>
        <w:t>-</w:t>
      </w:r>
      <w:hyperlink r:id="rId16" w:history="1">
        <w:r>
          <w:rPr>
            <w:rStyle w:val="Hyperlink"/>
            <w:lang w:val="ru"/>
          </w:rPr>
          <w:t>CBD/CP/MOP/12/4</w:t>
        </w:r>
      </w:hyperlink>
      <w:r>
        <w:rPr>
          <w:lang w:val="ru"/>
        </w:rPr>
        <w:t>-</w:t>
      </w:r>
      <w:hyperlink r:id="rId17" w:history="1">
        <w:r>
          <w:rPr>
            <w:rStyle w:val="Hyperlink"/>
            <w:lang w:val="ru"/>
          </w:rPr>
          <w:t>CBD/NP/MOP/6/4</w:t>
        </w:r>
      </w:hyperlink>
      <w:r>
        <w:rPr>
          <w:lang w:val="ru"/>
        </w:rPr>
        <w:t xml:space="preserve"> и </w:t>
      </w:r>
      <w:hyperlink r:id="rId18" w:history="1">
        <w:r>
          <w:rPr>
            <w:rStyle w:val="Hyperlink"/>
            <w:lang w:val="ru"/>
          </w:rPr>
          <w:t>CBD/COP/17/4</w:t>
        </w:r>
      </w:hyperlink>
      <w:r>
        <w:rPr>
          <w:lang w:val="ru"/>
        </w:rPr>
        <w:t>-</w:t>
      </w:r>
      <w:hyperlink r:id="rId19" w:history="1">
        <w:r>
          <w:rPr>
            <w:rStyle w:val="Hyperlink"/>
            <w:lang w:val="ru"/>
          </w:rPr>
          <w:t>CBD/CP/MOP/12/5</w:t>
        </w:r>
      </w:hyperlink>
      <w:r>
        <w:rPr>
          <w:lang w:val="ru"/>
        </w:rPr>
        <w:t>-</w:t>
      </w:r>
      <w:hyperlink r:id="rId20" w:history="1">
        <w:r>
          <w:rPr>
            <w:rStyle w:val="Hyperlink"/>
            <w:lang w:val="ru"/>
          </w:rPr>
          <w:t>CBD/NP/MOP/6/5</w:t>
        </w:r>
      </w:hyperlink>
      <w:r>
        <w:rPr>
          <w:lang w:val="ru"/>
        </w:rPr>
        <w:t xml:space="preserve">. </w:t>
      </w:r>
    </w:p>
    <w:p w14:paraId="09FF4B77" w14:textId="1A1A9B0D" w:rsidR="008B78C3" w:rsidRPr="00B41D13" w:rsidRDefault="008B78C3" w:rsidP="002537BE">
      <w:pPr>
        <w:pStyle w:val="CBDNormalNumber"/>
        <w:keepNext/>
        <w:rPr>
          <w:lang w:val="ru-RU"/>
        </w:rPr>
      </w:pPr>
      <w:r>
        <w:rPr>
          <w:lang w:val="ru"/>
        </w:rPr>
        <w:t>Настоящий документ содержит три основных компонента:</w:t>
      </w:r>
    </w:p>
    <w:p w14:paraId="0228521F" w14:textId="5D6A01BE" w:rsidR="008B78C3" w:rsidRPr="00B41D13" w:rsidRDefault="008B78C3" w:rsidP="002537BE">
      <w:pPr>
        <w:pStyle w:val="CBDNormalNumber"/>
        <w:numPr>
          <w:ilvl w:val="1"/>
          <w:numId w:val="12"/>
        </w:numPr>
        <w:rPr>
          <w:lang w:val="ru-RU"/>
        </w:rPr>
      </w:pPr>
      <w:r>
        <w:rPr>
          <w:lang w:val="ru"/>
        </w:rPr>
        <w:t>обзор административных и бюджетных вопросов;</w:t>
      </w:r>
    </w:p>
    <w:p w14:paraId="0A1E715B" w14:textId="49EEA15A" w:rsidR="008B78C3" w:rsidRPr="00B41D13" w:rsidRDefault="008B78C3" w:rsidP="002537BE">
      <w:pPr>
        <w:pStyle w:val="CBDNormalNumber"/>
        <w:numPr>
          <w:ilvl w:val="1"/>
          <w:numId w:val="12"/>
        </w:numPr>
        <w:rPr>
          <w:lang w:val="ru-RU"/>
        </w:rPr>
      </w:pPr>
      <w:r>
        <w:rPr>
          <w:lang w:val="ru"/>
        </w:rPr>
        <w:t>дополнительные административные и бюджетные вопросы, касающиеся работы секретариата;</w:t>
      </w:r>
    </w:p>
    <w:p w14:paraId="796CA7C9" w14:textId="24FFA359" w:rsidR="008B78C3" w:rsidRPr="00B41D13" w:rsidRDefault="008B78C3" w:rsidP="002537BE">
      <w:pPr>
        <w:pStyle w:val="CBDNormalNumber"/>
        <w:numPr>
          <w:ilvl w:val="1"/>
          <w:numId w:val="12"/>
        </w:numPr>
        <w:rPr>
          <w:lang w:val="ru-RU"/>
        </w:rPr>
      </w:pPr>
      <w:r>
        <w:rPr>
          <w:lang w:val="ru"/>
        </w:rPr>
        <w:t>дополнительные административные и бюджетные вопросы, касающиеся организации межправительственных совещаний и содействия участию в них.</w:t>
      </w:r>
    </w:p>
    <w:p w14:paraId="45EA0674" w14:textId="73339CCE" w:rsidR="007C4951" w:rsidRPr="003F1A75" w:rsidRDefault="00A111D1" w:rsidP="00A111D1">
      <w:pPr>
        <w:pStyle w:val="CBDH1"/>
      </w:pPr>
      <w:r>
        <w:rPr>
          <w:bCs/>
          <w:lang w:val="ru"/>
        </w:rPr>
        <w:t>II.</w:t>
      </w:r>
      <w:r>
        <w:rPr>
          <w:bCs/>
          <w:lang w:val="ru"/>
        </w:rPr>
        <w:tab/>
        <w:t>Обзор</w:t>
      </w:r>
    </w:p>
    <w:p w14:paraId="25D4D905" w14:textId="235CD670" w:rsidR="008B78C3" w:rsidRPr="00B41D13" w:rsidRDefault="008B78C3" w:rsidP="008B78C3">
      <w:pPr>
        <w:pStyle w:val="CBDNormalNumber"/>
        <w:numPr>
          <w:ilvl w:val="0"/>
          <w:numId w:val="7"/>
        </w:numPr>
        <w:rPr>
          <w:lang w:val="ru-RU"/>
        </w:rPr>
      </w:pPr>
      <w:r>
        <w:rPr>
          <w:lang w:val="ru"/>
        </w:rPr>
        <w:t xml:space="preserve">Предлагаемый бюджет программ работы Конвенции и протоколов к ней на двухлетний период 2027–2028 годов содержится в документе </w:t>
      </w:r>
      <w:hyperlink r:id="rId21" w:history="1">
        <w:r>
          <w:rPr>
            <w:rStyle w:val="Hyperlink"/>
            <w:lang w:val="ru"/>
          </w:rPr>
          <w:t>CBD/COP/17/4</w:t>
        </w:r>
      </w:hyperlink>
      <w:r>
        <w:rPr>
          <w:lang w:val="ru"/>
        </w:rPr>
        <w:t>-</w:t>
      </w:r>
      <w:hyperlink r:id="rId22" w:history="1">
        <w:r>
          <w:rPr>
            <w:rStyle w:val="Hyperlink"/>
            <w:lang w:val="ru"/>
          </w:rPr>
          <w:t>CBD/CP/MOP/12/5</w:t>
        </w:r>
      </w:hyperlink>
      <w:r>
        <w:rPr>
          <w:lang w:val="ru"/>
        </w:rPr>
        <w:t>-</w:t>
      </w:r>
      <w:hyperlink r:id="rId23" w:history="1">
        <w:r>
          <w:rPr>
            <w:rStyle w:val="Hyperlink"/>
            <w:lang w:val="ru"/>
          </w:rPr>
          <w:t>CBD/NP/MOP/6/5</w:t>
        </w:r>
      </w:hyperlink>
      <w:r>
        <w:rPr>
          <w:lang w:val="ru"/>
        </w:rPr>
        <w:t>. В этом документе представлены две категории бюджета: основной бюджет и добровольные взносы (опис</w:t>
      </w:r>
      <w:r w:rsidR="00183A3B">
        <w:rPr>
          <w:lang w:val="ru"/>
        </w:rPr>
        <w:t>ание приводится</w:t>
      </w:r>
      <w:r>
        <w:rPr>
          <w:lang w:val="ru"/>
        </w:rPr>
        <w:t xml:space="preserve"> в разделе «Внебюджетные ресурсы» документа </w:t>
      </w:r>
      <w:hyperlink r:id="rId24" w:history="1">
        <w:r>
          <w:rPr>
            <w:rStyle w:val="Hyperlink"/>
            <w:lang w:val="ru"/>
          </w:rPr>
          <w:t>CBD/COP/17/4</w:t>
        </w:r>
      </w:hyperlink>
      <w:r>
        <w:rPr>
          <w:lang w:val="ru"/>
        </w:rPr>
        <w:t>-</w:t>
      </w:r>
      <w:hyperlink r:id="rId25" w:history="1">
        <w:r>
          <w:rPr>
            <w:rStyle w:val="Hyperlink"/>
            <w:lang w:val="ru"/>
          </w:rPr>
          <w:t>CBD/CP/MOP/12/5</w:t>
        </w:r>
      </w:hyperlink>
      <w:r>
        <w:rPr>
          <w:lang w:val="ru"/>
        </w:rPr>
        <w:t>-</w:t>
      </w:r>
      <w:hyperlink r:id="rId26" w:history="1">
        <w:r>
          <w:rPr>
            <w:rStyle w:val="Hyperlink"/>
            <w:lang w:val="ru"/>
          </w:rPr>
          <w:t>CBD/NP/MOP/6/5</w:t>
        </w:r>
      </w:hyperlink>
      <w:r>
        <w:rPr>
          <w:lang w:val="ru"/>
        </w:rPr>
        <w:t xml:space="preserve">). Все целевые фонды секретариата относятся либо к основному бюджету, либо к внебюджетным ресурсам, за исключением целевого фонда для накладных расходов. Целевой фонд для накладных расходов формируется за счет расходов на </w:t>
      </w:r>
      <w:r w:rsidR="003B5F36">
        <w:rPr>
          <w:lang w:val="ru"/>
        </w:rPr>
        <w:t xml:space="preserve">поддержку </w:t>
      </w:r>
      <w:r>
        <w:rPr>
          <w:lang w:val="ru"/>
        </w:rPr>
        <w:t xml:space="preserve">программ, которые представляют собой процентные отчисления со всех основных и внебюджетных ресурсов (стандартная ставка расходов на </w:t>
      </w:r>
      <w:r w:rsidR="003B5F36">
        <w:rPr>
          <w:lang w:val="ru"/>
        </w:rPr>
        <w:t xml:space="preserve">поддержку </w:t>
      </w:r>
      <w:r>
        <w:rPr>
          <w:lang w:val="ru"/>
        </w:rPr>
        <w:t>программ составляет 13%, если не действует специальный механизм финансирования, в случае чего ставка обычно составляет 7%).</w:t>
      </w:r>
    </w:p>
    <w:p w14:paraId="3DC363A0" w14:textId="2E15A0CE" w:rsidR="008B78C3" w:rsidRPr="00B41D13" w:rsidRDefault="008B78C3" w:rsidP="008B78C3">
      <w:pPr>
        <w:pStyle w:val="CBDNormalNumber"/>
        <w:numPr>
          <w:ilvl w:val="0"/>
          <w:numId w:val="7"/>
        </w:numPr>
        <w:rPr>
          <w:lang w:val="ru-RU"/>
        </w:rPr>
      </w:pPr>
      <w:r>
        <w:rPr>
          <w:lang w:val="ru"/>
        </w:rPr>
        <w:t>Виды деятельности, которые могут финансироваться из различных бюджетов, а также способы управления резервами отличаются в зависимости от категории бюджета. Так, к видам деятельности, входящим в каждую из категорий, относятся</w:t>
      </w:r>
      <w:r>
        <w:rPr>
          <w:rStyle w:val="FootnoteReference"/>
          <w:lang w:val="ru"/>
        </w:rPr>
        <w:footnoteReference w:id="5"/>
      </w:r>
      <w:r>
        <w:rPr>
          <w:lang w:val="ru"/>
        </w:rPr>
        <w:t>:</w:t>
      </w:r>
    </w:p>
    <w:p w14:paraId="34B6352F" w14:textId="4268837B" w:rsidR="008B78C3" w:rsidRPr="00B41D13" w:rsidRDefault="008B78C3" w:rsidP="008B78C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 xml:space="preserve">основной бюджет: к основному бюджету относятся расходы на персонал, расходы на проведение совещаний, за исключением участия в официальных совещаниях, и оперативные расходы, за исключением взноса принимающей страны на покрытие оперативных расходов. Существуют три целевых фонда для основного бюджета (один для Конвенции и по одному для каждого из протоколов к ней): BB — </w:t>
      </w:r>
      <w:r w:rsidR="006C2C16">
        <w:rPr>
          <w:lang w:val="ru"/>
        </w:rPr>
        <w:t>О</w:t>
      </w:r>
      <w:r>
        <w:rPr>
          <w:lang w:val="ru"/>
        </w:rPr>
        <w:t xml:space="preserve">бщий целевой фонд для основного бюджета по программе Нагойского протокола регулирования доступа к генетическим ресурсам и совместного использования выгод; BG — </w:t>
      </w:r>
      <w:r w:rsidR="006C2C16">
        <w:rPr>
          <w:lang w:val="ru"/>
        </w:rPr>
        <w:t>О</w:t>
      </w:r>
      <w:r>
        <w:rPr>
          <w:lang w:val="ru"/>
        </w:rPr>
        <w:t xml:space="preserve">бщий целевой фонд для основного бюджета по программе Протокола по биобезопасности; и BY — </w:t>
      </w:r>
      <w:r w:rsidR="006C2C16">
        <w:rPr>
          <w:lang w:val="ru"/>
        </w:rPr>
        <w:t>Об</w:t>
      </w:r>
      <w:r>
        <w:rPr>
          <w:lang w:val="ru"/>
        </w:rPr>
        <w:t xml:space="preserve">щий целевой фонд Конвенции о биологическом разнообразии. В соответствии с правилами Организации Объединенных Наций сумма расходов на поддержку программ взимается в момент расходования из этих целевых фондов. Кроме того, согласно правилам Организации Объединенных Наций, при разработке основного бюджета следует предусмотреть резерв оборотных средств в размере 15% от основного бюджета. При наличии неизрасходованных средств они могут накапливаться и отражаются в бюджетном документе </w:t>
      </w:r>
      <w:r w:rsidR="006C2C16">
        <w:rPr>
          <w:lang w:val="ru"/>
        </w:rPr>
        <w:t>в виде</w:t>
      </w:r>
      <w:r>
        <w:rPr>
          <w:lang w:val="ru"/>
        </w:rPr>
        <w:t xml:space="preserve"> совокупно</w:t>
      </w:r>
      <w:r w:rsidR="006C2C16">
        <w:rPr>
          <w:lang w:val="ru"/>
        </w:rPr>
        <w:t>го</w:t>
      </w:r>
      <w:r>
        <w:rPr>
          <w:lang w:val="ru"/>
        </w:rPr>
        <w:t xml:space="preserve"> положительно</w:t>
      </w:r>
      <w:r w:rsidR="006C2C16">
        <w:rPr>
          <w:lang w:val="ru"/>
        </w:rPr>
        <w:t>го</w:t>
      </w:r>
      <w:r>
        <w:rPr>
          <w:lang w:val="ru"/>
        </w:rPr>
        <w:t xml:space="preserve"> сальдо (которое при необходимости может использоваться в качестве чрезвычайного резерва фонда);</w:t>
      </w:r>
    </w:p>
    <w:p w14:paraId="7A80EEDA" w14:textId="52CFD142" w:rsidR="008B78C3" w:rsidRPr="00B41D13" w:rsidRDefault="008B78C3" w:rsidP="008B78C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добровольные взносы: эта категория включает финансирование дополнительных утвержденных мероприятий</w:t>
      </w:r>
      <w:r>
        <w:rPr>
          <w:rStyle w:val="FootnoteReference"/>
          <w:lang w:val="ru"/>
        </w:rPr>
        <w:footnoteReference w:id="6"/>
      </w:r>
      <w:r>
        <w:rPr>
          <w:lang w:val="ru"/>
        </w:rPr>
        <w:t xml:space="preserve">, финансирование в целях содействия участию в совещаниях и взнос принимающей страны (то есть на </w:t>
      </w:r>
      <w:r w:rsidR="006C2C16">
        <w:rPr>
          <w:lang w:val="ru"/>
        </w:rPr>
        <w:t xml:space="preserve">оплату </w:t>
      </w:r>
      <w:r>
        <w:rPr>
          <w:lang w:val="ru"/>
        </w:rPr>
        <w:t>аренд</w:t>
      </w:r>
      <w:r w:rsidR="006C2C16">
        <w:rPr>
          <w:lang w:val="ru"/>
        </w:rPr>
        <w:t xml:space="preserve">ы </w:t>
      </w:r>
      <w:r>
        <w:rPr>
          <w:lang w:val="ru"/>
        </w:rPr>
        <w:t xml:space="preserve">и сопутствующие расходы). Целевые </w:t>
      </w:r>
      <w:r>
        <w:rPr>
          <w:lang w:val="ru"/>
        </w:rPr>
        <w:lastRenderedPageBreak/>
        <w:t xml:space="preserve">фонды для внебюджетных ресурсов включают: BE </w:t>
      </w:r>
      <w:r w:rsidR="009F4897">
        <w:rPr>
          <w:lang w:val="ru"/>
        </w:rPr>
        <w:t>—</w:t>
      </w:r>
      <w:r>
        <w:rPr>
          <w:lang w:val="ru"/>
        </w:rPr>
        <w:t xml:space="preserve"> Общий целевой фонд дополнительных добровольных взносов в поддержку утвержденных мероприятий в рамках Конвенции о биологическом разнообразии и протоколов к ней; BZ </w:t>
      </w:r>
      <w:r w:rsidR="009F4897">
        <w:rPr>
          <w:lang w:val="ru"/>
        </w:rPr>
        <w:t>—</w:t>
      </w:r>
      <w:r>
        <w:rPr>
          <w:lang w:val="ru"/>
        </w:rPr>
        <w:t xml:space="preserve"> Общий целевой фонд добровольных взносов для содействия участию сторон в процессе осуществления Конвенции о биологическом разнообразии; VB </w:t>
      </w:r>
      <w:r w:rsidR="009F4897">
        <w:rPr>
          <w:lang w:val="ru"/>
        </w:rPr>
        <w:t>—</w:t>
      </w:r>
      <w:r>
        <w:rPr>
          <w:lang w:val="ru"/>
        </w:rPr>
        <w:t xml:space="preserve"> Общий целевой фонд добровольных взносов для содействия участию коренного населения и местных общин в деятельности Конвенции о биологическом разнообразии. В соответствии с правилами Организации Объединенных Наций сумма расходов на поддержку программ взимается в момент расходования из этих целевых фондов. Кроме того, согласно правилам Организации Объединенных Наций, при добровольном характере финансирования в стать</w:t>
      </w:r>
      <w:r w:rsidR="00F652CA">
        <w:rPr>
          <w:lang w:val="ru"/>
        </w:rPr>
        <w:t>и</w:t>
      </w:r>
      <w:r>
        <w:rPr>
          <w:lang w:val="ru"/>
        </w:rPr>
        <w:t xml:space="preserve">, учитывающие внебюджетные ресурсы, не </w:t>
      </w:r>
      <w:r w:rsidR="00F652CA">
        <w:rPr>
          <w:lang w:val="ru"/>
        </w:rPr>
        <w:t xml:space="preserve">включается </w:t>
      </w:r>
      <w:r>
        <w:rPr>
          <w:lang w:val="ru"/>
        </w:rPr>
        <w:t>резер</w:t>
      </w:r>
      <w:r w:rsidR="009F5662">
        <w:rPr>
          <w:lang w:val="ru"/>
        </w:rPr>
        <w:t xml:space="preserve">в на основе </w:t>
      </w:r>
      <w:r>
        <w:rPr>
          <w:lang w:val="ru"/>
        </w:rPr>
        <w:t>внебюджетных ресурсов. Полученные средства расходуются на мероприятия, относящиеся к соответствующему фонду, и чрезвычайный резерв не формируется. Неизрасходованные средства на утвержденные мероприятия либо возвращаются донору, либо перенаправляются на другие мероприятия по согласованию с донором. Неизрасходованные средства на участие используются для финансирования участия в предстоящем официальном совещании;</w:t>
      </w:r>
    </w:p>
    <w:p w14:paraId="45812F03" w14:textId="643EB485" w:rsidR="008B78C3" w:rsidRPr="00B41D13" w:rsidRDefault="008B78C3" w:rsidP="008B78C3">
      <w:pPr>
        <w:pStyle w:val="CBDNormalNumber"/>
        <w:numPr>
          <w:ilvl w:val="1"/>
          <w:numId w:val="7"/>
        </w:numPr>
        <w:rPr>
          <w:lang w:val="ru-RU"/>
        </w:rPr>
      </w:pPr>
      <w:r>
        <w:rPr>
          <w:lang w:val="ru"/>
        </w:rPr>
        <w:t>Целевой фонд для накладных расходов: включает расходы на поддержку программ и используется для покрытия косвенных административных и оперативных расходов, связанных с управлением целевыми фондами. Управление целевым фондом</w:t>
      </w:r>
      <w:r w:rsidR="00290EB2">
        <w:rPr>
          <w:lang w:val="ru"/>
        </w:rPr>
        <w:t xml:space="preserve"> для</w:t>
      </w:r>
      <w:r>
        <w:rPr>
          <w:lang w:val="ru"/>
        </w:rPr>
        <w:t xml:space="preserve"> накладных расходов осуществляется Программой Организации Объединенных Наций по окружающей среде (ЮНЕП) в Найроби, однако 33% средств, находящихся в ведении ЮНЕП, используются для финансирования должностей секретариата с целью содействовать работе, связанной с косвенными административными и оперативными расходами на управление целевыми фондами. Целевой фонд </w:t>
      </w:r>
      <w:r w:rsidR="003B5F36">
        <w:rPr>
          <w:lang w:val="ru"/>
        </w:rPr>
        <w:t xml:space="preserve">для </w:t>
      </w:r>
      <w:r>
        <w:rPr>
          <w:lang w:val="ru"/>
        </w:rPr>
        <w:t xml:space="preserve">накладных расходов освобождается от отчислений на поддержку программ. В </w:t>
      </w:r>
      <w:r w:rsidR="00290EB2">
        <w:rPr>
          <w:lang w:val="ru"/>
        </w:rPr>
        <w:t xml:space="preserve">соответствии с </w:t>
      </w:r>
      <w:r>
        <w:rPr>
          <w:lang w:val="ru"/>
        </w:rPr>
        <w:t>руководящи</w:t>
      </w:r>
      <w:r w:rsidR="00290EB2">
        <w:rPr>
          <w:lang w:val="ru"/>
        </w:rPr>
        <w:t>ми</w:t>
      </w:r>
      <w:r>
        <w:rPr>
          <w:lang w:val="ru"/>
        </w:rPr>
        <w:t xml:space="preserve"> указания</w:t>
      </w:r>
      <w:r w:rsidR="00290EB2">
        <w:rPr>
          <w:lang w:val="ru"/>
        </w:rPr>
        <w:t>ми</w:t>
      </w:r>
      <w:r>
        <w:rPr>
          <w:lang w:val="ru"/>
        </w:rPr>
        <w:t xml:space="preserve"> </w:t>
      </w:r>
      <w:r>
        <w:rPr>
          <w:bdr w:val="nil"/>
          <w:lang w:val="ru"/>
        </w:rPr>
        <w:t>Организации Объединенных Наций по управлению расходами на поддержку программ рекомендуется формировать чрезвычайный резерв в размере 12 месяцев от расчетного общего объема годовых расходов. Поскольку эти средства используются для покрытия расходов на персонал, такой подход обеспечивает стабильность и помогает снизить риски, обусловленные непредвиденными обстоятельствами.</w:t>
      </w:r>
    </w:p>
    <w:p w14:paraId="6F21CCFE" w14:textId="5539BBB4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>В бюджетном документе (</w:t>
      </w:r>
      <w:hyperlink r:id="rId27" w:history="1">
        <w:r>
          <w:rPr>
            <w:rStyle w:val="Hyperlink"/>
            <w:lang w:val="ru"/>
          </w:rPr>
          <w:t>CBD/COP/17/4</w:t>
        </w:r>
      </w:hyperlink>
      <w:r>
        <w:rPr>
          <w:lang w:val="ru"/>
        </w:rPr>
        <w:t>-</w:t>
      </w:r>
      <w:hyperlink r:id="rId28" w:history="1">
        <w:r>
          <w:rPr>
            <w:rStyle w:val="Hyperlink"/>
            <w:lang w:val="ru"/>
          </w:rPr>
          <w:t>CBD/CP/MOP/12/5</w:t>
        </w:r>
      </w:hyperlink>
      <w:r>
        <w:rPr>
          <w:lang w:val="ru"/>
        </w:rPr>
        <w:t>-</w:t>
      </w:r>
      <w:hyperlink r:id="rId29" w:history="1">
        <w:r>
          <w:rPr>
            <w:rStyle w:val="Hyperlink"/>
            <w:lang w:val="ru"/>
          </w:rPr>
          <w:t>CBD/NP/MOP/6/5</w:t>
        </w:r>
      </w:hyperlink>
      <w:r>
        <w:rPr>
          <w:lang w:val="ru"/>
        </w:rPr>
        <w:t>) представлены различные сценарии бюджета на 2027–2028 годы. В нем содержится</w:t>
      </w:r>
      <w:r w:rsidR="002E1FF3">
        <w:rPr>
          <w:lang w:val="ru"/>
        </w:rPr>
        <w:t xml:space="preserve"> также</w:t>
      </w:r>
      <w:r>
        <w:rPr>
          <w:lang w:val="ru"/>
        </w:rPr>
        <w:t xml:space="preserve"> смета финансирования, необходимого для участия в совещаниях вспомогательных органов и Конференции Сторон в 2027 и 2028 годах. Со всей финансовой отчетностью целевых фондов, находящихся в ведении секретариата, можно ознакомиться </w:t>
      </w:r>
      <w:r w:rsidR="002E1FF3">
        <w:rPr>
          <w:lang w:val="ru"/>
        </w:rPr>
        <w:t>на нашем веб-сайте</w:t>
      </w:r>
      <w:r>
        <w:rPr>
          <w:rStyle w:val="FootnoteReference"/>
          <w:lang w:val="ru"/>
        </w:rPr>
        <w:footnoteReference w:id="7"/>
      </w:r>
      <w:r w:rsidR="002E1FF3">
        <w:rPr>
          <w:lang w:val="ru"/>
        </w:rPr>
        <w:t>.</w:t>
      </w:r>
      <w:r>
        <w:rPr>
          <w:lang w:val="ru"/>
        </w:rPr>
        <w:t xml:space="preserve"> В финансовой отчетности </w:t>
      </w:r>
      <w:r>
        <w:rPr>
          <w:kern w:val="2"/>
          <w:lang w:val="ru"/>
          <w14:ligatures w14:val="standardContextual"/>
        </w:rPr>
        <w:t>отмечалось постепенное увеличение совокупного положительного сальдо целевых фондов основного бюджета. Это совокупное положительное сальдо инвестируется</w:t>
      </w:r>
      <w:r>
        <w:rPr>
          <w:lang w:val="ru"/>
        </w:rPr>
        <w:t xml:space="preserve"> по усмотрению Организации Объединенных Наций. Любой доход, полученный от этих инвестиций, зачисляется в соответствующий целевой фонд в соответствии с применимыми финансовыми положениями, правилами, политикой и процедурами Организации Объединенных Наций. Процент</w:t>
      </w:r>
      <w:r w:rsidR="002E1FF3">
        <w:rPr>
          <w:lang w:val="ru"/>
        </w:rPr>
        <w:t xml:space="preserve">ный доход учитывается </w:t>
      </w:r>
      <w:r>
        <w:rPr>
          <w:lang w:val="ru"/>
        </w:rPr>
        <w:t>в финансов</w:t>
      </w:r>
      <w:r w:rsidR="002E1FF3">
        <w:rPr>
          <w:lang w:val="ru"/>
        </w:rPr>
        <w:t>ой</w:t>
      </w:r>
      <w:r>
        <w:rPr>
          <w:lang w:val="ru"/>
        </w:rPr>
        <w:t xml:space="preserve"> отчетност</w:t>
      </w:r>
      <w:r w:rsidR="002E1FF3">
        <w:rPr>
          <w:lang w:val="ru"/>
        </w:rPr>
        <w:t>и</w:t>
      </w:r>
      <w:r>
        <w:rPr>
          <w:lang w:val="ru"/>
        </w:rPr>
        <w:t>, размещенн</w:t>
      </w:r>
      <w:r w:rsidR="002E1FF3">
        <w:rPr>
          <w:lang w:val="ru"/>
        </w:rPr>
        <w:t>ой</w:t>
      </w:r>
      <w:r>
        <w:rPr>
          <w:lang w:val="ru"/>
        </w:rPr>
        <w:t xml:space="preserve"> в интернете. Таким образом, совокупное положительное сальдо включает накоплен</w:t>
      </w:r>
      <w:r w:rsidR="00367567">
        <w:rPr>
          <w:lang w:val="ru"/>
        </w:rPr>
        <w:t xml:space="preserve">ные </w:t>
      </w:r>
      <w:r>
        <w:rPr>
          <w:lang w:val="ru"/>
        </w:rPr>
        <w:t>неизрасходованны</w:t>
      </w:r>
      <w:r w:rsidR="00367567">
        <w:rPr>
          <w:lang w:val="ru"/>
        </w:rPr>
        <w:t>е</w:t>
      </w:r>
      <w:r>
        <w:rPr>
          <w:lang w:val="ru"/>
        </w:rPr>
        <w:t xml:space="preserve"> средств</w:t>
      </w:r>
      <w:r w:rsidR="00367567">
        <w:rPr>
          <w:lang w:val="ru"/>
        </w:rPr>
        <w:t>а</w:t>
      </w:r>
      <w:r>
        <w:rPr>
          <w:lang w:val="ru"/>
        </w:rPr>
        <w:t xml:space="preserve"> и </w:t>
      </w:r>
      <w:r w:rsidR="00367567">
        <w:rPr>
          <w:lang w:val="ru"/>
        </w:rPr>
        <w:t>доходы</w:t>
      </w:r>
      <w:r>
        <w:rPr>
          <w:lang w:val="ru"/>
        </w:rPr>
        <w:t>, полученн</w:t>
      </w:r>
      <w:r w:rsidR="00367567">
        <w:rPr>
          <w:lang w:val="ru"/>
        </w:rPr>
        <w:t>ые</w:t>
      </w:r>
      <w:r>
        <w:rPr>
          <w:lang w:val="ru"/>
        </w:rPr>
        <w:t xml:space="preserve"> от инвестирования соответствующих средств </w:t>
      </w:r>
      <w:r w:rsidR="00367567">
        <w:rPr>
          <w:lang w:val="ru"/>
        </w:rPr>
        <w:t xml:space="preserve">в течение </w:t>
      </w:r>
      <w:r>
        <w:rPr>
          <w:lang w:val="ru"/>
        </w:rPr>
        <w:t>определенно</w:t>
      </w:r>
      <w:r w:rsidR="00367567">
        <w:rPr>
          <w:lang w:val="ru"/>
        </w:rPr>
        <w:t>го</w:t>
      </w:r>
      <w:r>
        <w:rPr>
          <w:lang w:val="ru"/>
        </w:rPr>
        <w:t xml:space="preserve"> </w:t>
      </w:r>
      <w:r w:rsidR="00367567">
        <w:rPr>
          <w:lang w:val="ru"/>
        </w:rPr>
        <w:t>периода</w:t>
      </w:r>
      <w:r>
        <w:rPr>
          <w:lang w:val="ru"/>
        </w:rPr>
        <w:t>.</w:t>
      </w:r>
    </w:p>
    <w:p w14:paraId="03F4446F" w14:textId="629EC938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 xml:space="preserve">Как указано в документе </w:t>
      </w:r>
      <w:hyperlink r:id="rId30" w:history="1">
        <w:r>
          <w:rPr>
            <w:rStyle w:val="Hyperlink"/>
            <w:lang w:val="ru"/>
          </w:rPr>
          <w:t>CBD/COP/17/3</w:t>
        </w:r>
      </w:hyperlink>
      <w:r>
        <w:rPr>
          <w:lang w:val="ru"/>
        </w:rPr>
        <w:t>-</w:t>
      </w:r>
      <w:hyperlink r:id="rId31" w:history="1">
        <w:r>
          <w:rPr>
            <w:rStyle w:val="Hyperlink"/>
            <w:lang w:val="ru"/>
          </w:rPr>
          <w:t>CBD/CP/MOP/12/4</w:t>
        </w:r>
      </w:hyperlink>
      <w:r>
        <w:rPr>
          <w:lang w:val="ru"/>
        </w:rPr>
        <w:t>-</w:t>
      </w:r>
      <w:hyperlink r:id="rId32" w:history="1">
        <w:r>
          <w:rPr>
            <w:rStyle w:val="Hyperlink"/>
            <w:lang w:val="ru"/>
          </w:rPr>
          <w:t>CBD/NP/MOP/6/4</w:t>
        </w:r>
      </w:hyperlink>
      <w:r>
        <w:rPr>
          <w:lang w:val="ru"/>
        </w:rPr>
        <w:t xml:space="preserve">, текущее совокупное положительное сальдо Конвенции составляет 11 млн долл. США, Картахенского протокола — 4,9 млн долл. США и Нагойского протокола — 2,3 млн долл. США, то есть в общей сложности 18,2 млн долл. США. Нынешний уровень совокупного положительного </w:t>
      </w:r>
      <w:r>
        <w:rPr>
          <w:lang w:val="ru"/>
        </w:rPr>
        <w:lastRenderedPageBreak/>
        <w:t xml:space="preserve">сальдо приблизительно соответствует общему бюджету за примерно 10 месяцев 2025–2026 годов. </w:t>
      </w:r>
    </w:p>
    <w:p w14:paraId="410BD77D" w14:textId="60D74549" w:rsidR="008B78C3" w:rsidRPr="00B41D13" w:rsidRDefault="008B78C3" w:rsidP="002537BE">
      <w:pPr>
        <w:pStyle w:val="CBDH1"/>
        <w:rPr>
          <w:lang w:val="ru-RU"/>
        </w:rPr>
      </w:pPr>
      <w:r>
        <w:rPr>
          <w:bCs/>
          <w:lang w:val="ru"/>
        </w:rPr>
        <w:t>III.</w:t>
      </w:r>
      <w:r>
        <w:rPr>
          <w:bCs/>
          <w:lang w:val="ru"/>
        </w:rPr>
        <w:tab/>
        <w:t>Дополнительные административные и бюджетные вопросы, касающиеся работы секретариата</w:t>
      </w:r>
    </w:p>
    <w:p w14:paraId="7E56AAC7" w14:textId="3FB72BE5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 xml:space="preserve">Источником мандата секретариата являются решения Конференции Сторон. Секретариат имеет возможность выполнять этот мандат благодаря работе </w:t>
      </w:r>
      <w:r w:rsidR="00367567">
        <w:rPr>
          <w:lang w:val="ru"/>
        </w:rPr>
        <w:t>его сотрудников</w:t>
      </w:r>
      <w:r>
        <w:rPr>
          <w:lang w:val="ru"/>
        </w:rPr>
        <w:t xml:space="preserve"> и ресурсам основного бюджета, а также привлечению дополнительных средств для содействия осуществлению утвержденных мероприятий. Секретариат принял меры для обеспечения упорядоченных механизмов представления отчетности, оптимальной функциональности и эффективности с учетом выводов функционального обзора (см. описание в документе </w:t>
      </w:r>
      <w:hyperlink r:id="rId33" w:history="1">
        <w:r>
          <w:rPr>
            <w:rStyle w:val="Hyperlink"/>
            <w:lang w:val="ru"/>
          </w:rPr>
          <w:t>CBD/COP/17/4/Add.1</w:t>
        </w:r>
      </w:hyperlink>
      <w:r>
        <w:rPr>
          <w:lang w:val="ru"/>
        </w:rPr>
        <w:t>). В настоящем документе представлена информация о том, как секретариат использует внебюджетные ресурсы для обеспечения выполнения стоящих перед ним задач, и о шагах, предпринятых секретариатом для повышения эффективности.</w:t>
      </w:r>
    </w:p>
    <w:p w14:paraId="08C30B71" w14:textId="103934A3" w:rsidR="008B78C3" w:rsidRPr="00B41D13" w:rsidRDefault="008B78C3" w:rsidP="008B78C3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>
        <w:rPr>
          <w:i/>
          <w:iCs/>
          <w:lang w:val="ru"/>
        </w:rPr>
        <w:t>Основной бюджет и внебюджетные ресурсы для поддержки работы секретариата</w:t>
      </w:r>
    </w:p>
    <w:p w14:paraId="2527F536" w14:textId="4291ECFD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>Потребности в персонале описаны в бюджетном документе, упомянутом в пункте 5 выше, а дальнейшие пояснения содержатся в добавлении 1 к настоящему документу</w:t>
      </w:r>
      <w:r>
        <w:rPr>
          <w:rStyle w:val="FootnoteReference"/>
          <w:lang w:val="ru"/>
        </w:rPr>
        <w:footnoteReference w:id="8"/>
      </w:r>
      <w:r w:rsidR="00367567">
        <w:rPr>
          <w:lang w:val="ru"/>
        </w:rPr>
        <w:t>.</w:t>
      </w:r>
      <w:r>
        <w:rPr>
          <w:lang w:val="ru"/>
        </w:rPr>
        <w:t xml:space="preserve"> Секретариат обеспечивает поддержку всех мероприятий, порученных Конференцией Сторон, за счет имеющихся в его распоряжении ресурсов. Логическая структура этой работы предусмотрена в ориентированном на результаты бюджете секретариата. Структура секретариата была разработана таким образом, чтобы обеспечить непрерывную поддержку </w:t>
      </w:r>
      <w:r w:rsidR="00367567">
        <w:rPr>
          <w:lang w:val="ru"/>
        </w:rPr>
        <w:t xml:space="preserve">секретариатом </w:t>
      </w:r>
      <w:r>
        <w:rPr>
          <w:lang w:val="ru"/>
        </w:rPr>
        <w:t>работы Конвенции, уделяя особое внимание наличию персонала и систем для содействия достижению основных результатов, описанных в бюджете, ориентированном на достижение результатов, в число которых входит работа по обеспечению основных совещаний и документов; осуществление на национальном уровне; повышение осведомленности; мониторинг, обзор и оценку; а также руководство и поддержка программ. Вместе с тем в решениях Конференции Сторон содержатся конкретные поручения Исполнительному секретарю, для выполнения которых необходимы узкоспециализированные навыки, дополнительные людские или финансовые ресурсы (например, на организацию поездок), которые не предусмотрены в основном бюджете.</w:t>
      </w:r>
    </w:p>
    <w:p w14:paraId="1DC10513" w14:textId="0CF697B8" w:rsidR="008B78C3" w:rsidRPr="00B41D13" w:rsidRDefault="008743E9" w:rsidP="008B78C3">
      <w:pPr>
        <w:pStyle w:val="CBDNormalNumber"/>
        <w:rPr>
          <w:lang w:val="ru-RU"/>
        </w:rPr>
      </w:pPr>
      <w:r>
        <w:rPr>
          <w:lang w:val="ru"/>
        </w:rPr>
        <w:t xml:space="preserve">Расчет расходов на дополнительные мероприятия был включен в предсессионный документ по каждому пункту повестки дня 28-го совещания Вспомогательного органа по научным, техническим и технологическим консультациям и 7-го совещания Вспомогательного органа по осуществлению. В преддверии 17-го совещания Конференции Сторон расчеты затрат были пересмотрены с учетом принятых рекомендаций. </w:t>
      </w:r>
      <w:r w:rsidR="00824D38">
        <w:rPr>
          <w:lang w:val="ru"/>
        </w:rPr>
        <w:t>Сметный р</w:t>
      </w:r>
      <w:r>
        <w:rPr>
          <w:lang w:val="ru"/>
        </w:rPr>
        <w:t xml:space="preserve">асчет бюджета, необходимого для осуществления утвержденных мероприятий на 2027–2028 годы, представлен в документе </w:t>
      </w:r>
      <w:hyperlink r:id="rId34" w:history="1">
        <w:r>
          <w:rPr>
            <w:rStyle w:val="Hyperlink"/>
            <w:lang w:val="ru"/>
          </w:rPr>
          <w:t>CBD/COP/17/4/Add.2</w:t>
        </w:r>
      </w:hyperlink>
      <w:r>
        <w:rPr>
          <w:lang w:val="ru"/>
        </w:rPr>
        <w:t>-</w:t>
      </w:r>
      <w:hyperlink r:id="rId35" w:history="1">
        <w:r>
          <w:rPr>
            <w:rStyle w:val="Hyperlink"/>
            <w:lang w:val="ru"/>
          </w:rPr>
          <w:t>CBD/CP/MOP/12/5/Add.1</w:t>
        </w:r>
      </w:hyperlink>
      <w:r>
        <w:rPr>
          <w:lang w:val="ru"/>
        </w:rPr>
        <w:t>-</w:t>
      </w:r>
      <w:hyperlink r:id="rId36" w:history="1">
        <w:r>
          <w:rPr>
            <w:rStyle w:val="Hyperlink"/>
            <w:lang w:val="ru"/>
          </w:rPr>
          <w:t>CBD/NP/MOP/6/5/Add.1</w:t>
        </w:r>
      </w:hyperlink>
      <w:r>
        <w:rPr>
          <w:lang w:val="ru"/>
        </w:rPr>
        <w:t>. В этом документе содержатся соответствующие поручения Исполнительному секретарю, в связи с которыми возникает потребность в проведении того или иного мероприятия (следует отметить,</w:t>
      </w:r>
      <w:r w:rsidR="00824D38">
        <w:rPr>
          <w:lang w:val="ru"/>
        </w:rPr>
        <w:t xml:space="preserve"> что</w:t>
      </w:r>
      <w:r>
        <w:rPr>
          <w:lang w:val="ru"/>
        </w:rPr>
        <w:t xml:space="preserve"> во многих </w:t>
      </w:r>
      <w:r w:rsidR="00A8496F">
        <w:rPr>
          <w:lang w:val="ru"/>
        </w:rPr>
        <w:t xml:space="preserve">из этих поручений </w:t>
      </w:r>
      <w:r>
        <w:rPr>
          <w:lang w:val="ru"/>
        </w:rPr>
        <w:t>есть текст в квадратных скобках, поскольку они основаны на проектах решений), а также подготовки бюджетной сметы.</w:t>
      </w:r>
    </w:p>
    <w:p w14:paraId="3BB45FDA" w14:textId="41BFA430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 xml:space="preserve">Мобилизация добровольного финансирования и управление им требуют значительных временных затрат и усилий со стороны персонала. После привлечения средств мероприятия, финансируемые за счет добровольных взносов, в большинстве случаев управляются, контролируются и частично осуществляются основными сотрудниками секретариата. Мероприятия, финансируемые за счет добровольных взносов, закрепляются за конкретными подразделениями секретариата, которые отвечают за планирование, координацию, надзор, </w:t>
      </w:r>
      <w:r>
        <w:rPr>
          <w:lang w:val="ru"/>
        </w:rPr>
        <w:lastRenderedPageBreak/>
        <w:t>осуществление, мониторинг в отношении этих мероприятий и в соответствующих случаях за отчетность перед донорами. В связи с этим указанные мероприятия включаются в планы работы соответствующих подразделений. Сотрудники секретариата обеспечивают поддержку всех мероприятий, и, следовательно, любо</w:t>
      </w:r>
      <w:r w:rsidR="00A8496F">
        <w:rPr>
          <w:lang w:val="ru"/>
        </w:rPr>
        <w:t>е</w:t>
      </w:r>
      <w:r>
        <w:rPr>
          <w:lang w:val="ru"/>
        </w:rPr>
        <w:t xml:space="preserve"> поручени</w:t>
      </w:r>
      <w:r w:rsidR="00A8496F">
        <w:rPr>
          <w:lang w:val="ru"/>
        </w:rPr>
        <w:t>е</w:t>
      </w:r>
      <w:r>
        <w:rPr>
          <w:lang w:val="ru"/>
        </w:rPr>
        <w:t xml:space="preserve"> Исполнительному секретарю осуществляется при поддержке сотрудников, работа которых финансируется из основного бюджета.</w:t>
      </w:r>
    </w:p>
    <w:p w14:paraId="11CE08A3" w14:textId="3E72EC34" w:rsidR="008B78C3" w:rsidRPr="00B41D13" w:rsidRDefault="008B78C3" w:rsidP="008B78C3">
      <w:pPr>
        <w:pStyle w:val="CBDNormalNumber"/>
        <w:rPr>
          <w:lang w:val="ru-RU"/>
        </w:rPr>
      </w:pPr>
      <w:r>
        <w:rPr>
          <w:lang w:val="ru"/>
        </w:rPr>
        <w:t xml:space="preserve">Актуальные сметные расчеты, приведенные в документе </w:t>
      </w:r>
      <w:hyperlink r:id="rId37" w:history="1">
        <w:r>
          <w:rPr>
            <w:rStyle w:val="Hyperlink"/>
            <w:lang w:val="ru"/>
          </w:rPr>
          <w:t>CBD/COP/17/4/Add.2</w:t>
        </w:r>
      </w:hyperlink>
      <w:r>
        <w:rPr>
          <w:lang w:val="ru"/>
        </w:rPr>
        <w:t>-</w:t>
      </w:r>
      <w:hyperlink r:id="rId38" w:history="1">
        <w:r>
          <w:rPr>
            <w:rStyle w:val="Hyperlink"/>
            <w:lang w:val="ru"/>
          </w:rPr>
          <w:t>CBD/CP/MOP/12/5/Add.1</w:t>
        </w:r>
      </w:hyperlink>
      <w:r>
        <w:rPr>
          <w:lang w:val="ru"/>
        </w:rPr>
        <w:t>-</w:t>
      </w:r>
      <w:hyperlink r:id="rId39" w:history="1">
        <w:r>
          <w:rPr>
            <w:rStyle w:val="Hyperlink"/>
            <w:lang w:val="ru"/>
          </w:rPr>
          <w:t>CBD/NP/MOP/6/5/Add.1</w:t>
        </w:r>
      </w:hyperlink>
      <w:r>
        <w:rPr>
          <w:lang w:val="ru"/>
        </w:rPr>
        <w:t xml:space="preserve">, были разработаны с учетом того, что для общей координации работы будет задействован персонал, финансируемый из основного бюджета. </w:t>
      </w:r>
    </w:p>
    <w:p w14:paraId="40A2BF51" w14:textId="67C91AEF" w:rsidR="008B78C3" w:rsidRPr="00B41D13" w:rsidRDefault="008B78C3" w:rsidP="008B78C3">
      <w:pPr>
        <w:pStyle w:val="CBDNormalNumber"/>
        <w:numPr>
          <w:ilvl w:val="0"/>
          <w:numId w:val="0"/>
        </w:numPr>
        <w:ind w:left="567"/>
        <w:rPr>
          <w:lang w:val="ru-RU"/>
        </w:rPr>
      </w:pPr>
      <w:r>
        <w:rPr>
          <w:i/>
          <w:iCs/>
          <w:lang w:val="ru"/>
        </w:rPr>
        <w:t>Повышение эффективности посредством функционального обзора секретариата и общей деятельности</w:t>
      </w:r>
    </w:p>
    <w:p w14:paraId="7143E046" w14:textId="58877C3B" w:rsidR="008B78C3" w:rsidRPr="00B41D13" w:rsidRDefault="008B78C3" w:rsidP="008B78C3">
      <w:pPr>
        <w:pStyle w:val="CBDNormalNumber"/>
        <w:rPr>
          <w:rFonts w:eastAsiaTheme="minorEastAsia"/>
          <w:kern w:val="2"/>
          <w:lang w:val="ru-RU"/>
          <w14:ligatures w14:val="standardContextual"/>
        </w:rPr>
      </w:pPr>
      <w:r>
        <w:rPr>
          <w:lang w:val="ru"/>
        </w:rPr>
        <w:t xml:space="preserve">Секретариату было поручено предоставить информацию, касающуюся повышения эффективности, в том числе экономии средств за счет проведения функционального обзора или в рамках общей деятельности секретариата. Хотя внешний углубленный функциональный обзор секретариата проводился главным образом с целью </w:t>
      </w:r>
      <w:r>
        <w:rPr>
          <w:kern w:val="2"/>
          <w:lang w:val="ru"/>
          <w14:ligatures w14:val="standardContextual"/>
        </w:rPr>
        <w:t>оценить, имеет ли секретариат надлежащую структуру и достаточные ресурсы для эффективного выполнения своих функций, а не</w:t>
      </w:r>
      <w:r>
        <w:rPr>
          <w:lang w:val="ru"/>
        </w:rPr>
        <w:t xml:space="preserve"> в качестве меры сокращения расходов, он также помог секретариату предпринять шаги в целях повышения эффективности и результативности работы секретариата по различным направлениям.</w:t>
      </w:r>
    </w:p>
    <w:p w14:paraId="78CCBAE2" w14:textId="60B5C297" w:rsidR="008B78C3" w:rsidRPr="00B41D13" w:rsidRDefault="008B78C3" w:rsidP="008B78C3">
      <w:pPr>
        <w:pStyle w:val="CBDNormalNumber"/>
        <w:rPr>
          <w:rFonts w:eastAsiaTheme="minorEastAsia"/>
          <w:kern w:val="2"/>
          <w:lang w:val="ru-RU"/>
          <w14:ligatures w14:val="standardContextual"/>
        </w:rPr>
      </w:pPr>
      <w:r>
        <w:rPr>
          <w:lang w:val="ru"/>
        </w:rPr>
        <w:t>Что касается секретариата Конвенции о биологическом разнообразии, то эффективность можно оценивать по соотношению между общим объемом использованных ресурсов и затраченного времени и объемом, качеством и своевременностью услуг, оказываемых во исполнение решений Конференции Сторон. Как показано в приведенной ниже таблице, осуществление рекомендаций функционального обзора позволило создать более благоприятные условия для эффективного выполнения задач посредством более четкой функциональной согласованности, включая объединение ряда функций и перераспределение определенных должностей без последствий для бюджета.</w:t>
      </w:r>
    </w:p>
    <w:p w14:paraId="2883F437" w14:textId="77777777" w:rsidR="00BB4E5D" w:rsidRPr="00B41D13" w:rsidRDefault="00BB4E5D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rFonts w:eastAsiaTheme="minorEastAsia"/>
          <w:kern w:val="2"/>
          <w:lang w:val="ru-RU"/>
          <w14:ligatures w14:val="standardContextual"/>
        </w:rPr>
      </w:pPr>
      <w:r>
        <w:rPr>
          <w:rFonts w:eastAsiaTheme="minorEastAsia"/>
          <w:kern w:val="2"/>
          <w:lang w:val="ru"/>
          <w14:ligatures w14:val="standardContextual"/>
        </w:rPr>
        <w:br w:type="page"/>
      </w:r>
    </w:p>
    <w:p w14:paraId="6484A25D" w14:textId="32E7485B" w:rsidR="00DF3626" w:rsidRPr="00B41D13" w:rsidRDefault="008B78C3" w:rsidP="005543C1">
      <w:pPr>
        <w:spacing w:line="276" w:lineRule="auto"/>
        <w:jc w:val="left"/>
        <w:rPr>
          <w:rFonts w:eastAsiaTheme="minorEastAsia"/>
          <w:kern w:val="2"/>
          <w:lang w:val="ru-RU"/>
          <w14:ligatures w14:val="standardContextual"/>
        </w:rPr>
      </w:pPr>
      <w:r>
        <w:rPr>
          <w:rFonts w:eastAsiaTheme="minorEastAsia"/>
          <w:kern w:val="2"/>
          <w:lang w:val="ru"/>
          <w14:ligatures w14:val="standardContextual"/>
        </w:rPr>
        <w:lastRenderedPageBreak/>
        <w:t xml:space="preserve">Таблица 1 </w:t>
      </w:r>
      <w:r>
        <w:rPr>
          <w:rFonts w:eastAsiaTheme="minorEastAsia"/>
          <w:kern w:val="2"/>
          <w:lang w:val="ru"/>
          <w14:ligatures w14:val="standardContextual"/>
        </w:rPr>
        <w:br/>
      </w:r>
      <w:r>
        <w:rPr>
          <w:rFonts w:eastAsiaTheme="minorEastAsia"/>
          <w:b/>
          <w:bCs/>
          <w:kern w:val="2"/>
          <w:lang w:val="ru"/>
          <w14:ligatures w14:val="standardContextual"/>
        </w:rPr>
        <w:t>Условия, созданные благодаря функциональному обзору для эффективного выполнения задач</w:t>
      </w:r>
    </w:p>
    <w:tbl>
      <w:tblPr>
        <w:tblW w:w="9356" w:type="dxa"/>
        <w:jc w:val="center"/>
        <w:tbl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single" w:sz="8" w:space="0" w:color="000000" w:themeColor="text1"/>
          <w:insideV w:val="single" w:sz="8" w:space="0" w:color="000000" w:themeColor="text1"/>
        </w:tblBorders>
        <w:tblLayout w:type="fixed"/>
        <w:tblLook w:val="04A0" w:firstRow="1" w:lastRow="0" w:firstColumn="1" w:lastColumn="0" w:noHBand="0" w:noVBand="1"/>
      </w:tblPr>
      <w:tblGrid>
        <w:gridCol w:w="1975"/>
        <w:gridCol w:w="7381"/>
      </w:tblGrid>
      <w:tr w:rsidR="008B78C3" w:rsidRPr="006E600A" w14:paraId="3876B5AA" w14:textId="77777777" w:rsidTr="00033F97">
        <w:trPr>
          <w:cantSplit/>
          <w:tblHeader/>
          <w:jc w:val="center"/>
        </w:trPr>
        <w:tc>
          <w:tcPr>
            <w:tcW w:w="19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20AF35C" w14:textId="77777777" w:rsidR="008B78C3" w:rsidRPr="002537BE" w:rsidRDefault="008B78C3" w:rsidP="002537BE">
            <w:pPr>
              <w:jc w:val="left"/>
              <w:rPr>
                <w:i/>
                <w:color w:val="000000" w:themeColor="text1"/>
                <w:sz w:val="20"/>
                <w:szCs w:val="20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ru"/>
              </w:rPr>
              <w:t>Направления деятельности</w:t>
            </w:r>
          </w:p>
        </w:tc>
        <w:tc>
          <w:tcPr>
            <w:tcW w:w="7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092701A4" w14:textId="77777777" w:rsidR="008B78C3" w:rsidRPr="00B41D13" w:rsidRDefault="008B78C3" w:rsidP="002537BE">
            <w:pPr>
              <w:spacing w:before="40" w:after="40"/>
              <w:jc w:val="left"/>
              <w:rPr>
                <w:i/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i/>
                <w:iCs/>
                <w:color w:val="000000" w:themeColor="text1"/>
                <w:sz w:val="20"/>
                <w:szCs w:val="20"/>
                <w:lang w:val="ru"/>
              </w:rPr>
              <w:t>Повышение эффективности, в том числе меры по экономии средств</w:t>
            </w:r>
          </w:p>
        </w:tc>
      </w:tr>
      <w:tr w:rsidR="008B78C3" w:rsidRPr="00B7171E" w14:paraId="0740FF87" w14:textId="77777777" w:rsidTr="00033F97">
        <w:trPr>
          <w:cantSplit/>
          <w:jc w:val="center"/>
        </w:trPr>
        <w:tc>
          <w:tcPr>
            <w:tcW w:w="1975" w:type="dxa"/>
            <w:tcBorders>
              <w:bottom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3D24005E" w14:textId="77777777" w:rsidR="008B78C3" w:rsidRPr="006E7187" w:rsidRDefault="008B78C3" w:rsidP="002537BE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Функциональная консолидация</w:t>
            </w:r>
          </w:p>
        </w:tc>
        <w:tc>
          <w:tcPr>
            <w:tcW w:w="7381" w:type="dxa"/>
            <w:tcBorders>
              <w:bottom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3CD5E51" w14:textId="2F815A0D" w:rsidR="008B78C3" w:rsidRPr="00B41D13" w:rsidRDefault="00093A9A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Учреждение Управления науки, мониторинга и развития потенциала и Управления экономических и общественных преобразований, вновь сформированных на основе результатов функционального обзора, позволило сгруппировать смежные функции. Такая реорганизация позволит уменьшить фрагментарность координации и четко распределить функциональные обязанности. В частности, это изменение способствует созданию более благоприятных условий для эффективного выполнения задач, к числу которых относится: </w:t>
            </w:r>
          </w:p>
          <w:p w14:paraId="1D539B27" w14:textId="46020E52" w:rsidR="002E27FF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(a) осуществление мероприятий по развитию потенциала путем тесной увязки тематических программных мероприятий по наращиванию потенциала и региональных и субрегиональных центров поддержки научно-технического сотрудничества;</w:t>
            </w:r>
          </w:p>
          <w:p w14:paraId="54008A6A" w14:textId="342963CD" w:rsidR="00BF7DC5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(b) увязка различных информационных продуктов, создаваемых в рамках тематических программ работы, с управлением знаниями на уровне всего секретариата; </w:t>
            </w:r>
          </w:p>
          <w:p w14:paraId="74A88D7B" w14:textId="61BA44BE" w:rsidR="00BF7DC5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(c) увязка научной работы, ориентированной на определенные биомы, с усилиями в области планирования, мониторинга, отчетности и обзора; </w:t>
            </w:r>
          </w:p>
          <w:p w14:paraId="2FBF8A06" w14:textId="1576E3D0" w:rsidR="008C185F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(d) установление более тесной взаимосвязи между мобилизацией ресурсов и механизмом финансирования; </w:t>
            </w:r>
          </w:p>
          <w:p w14:paraId="28077913" w14:textId="2E97C3B6" w:rsidR="009212E0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(e) укрепление стратегических связей в рамках взаимодействия с коренными народами и местными общинами и различными группами заинтересованных сторон; </w:t>
            </w:r>
          </w:p>
          <w:p w14:paraId="2BEE6803" w14:textId="24AB1B9E" w:rsidR="00CD08BD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(f) увязка взаимодействия с заинтересованными сторонами и учета проблематики биоразнообразия с функциями в области коммуникаций, просвещения и информирования общественности;</w:t>
            </w:r>
          </w:p>
          <w:p w14:paraId="7BE8EB36" w14:textId="534F4514" w:rsidR="00AD18CC" w:rsidRPr="00B41D13" w:rsidRDefault="00D244F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 w:rsidRPr="00D244F3">
              <w:rPr>
                <w:color w:val="000000" w:themeColor="text1"/>
                <w:sz w:val="20"/>
                <w:szCs w:val="20"/>
                <w:lang w:val="ru-RU"/>
              </w:rPr>
              <w:t>(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>g) объединение функций коммуникации, просвещения и информирования общественности для Конвенции и двух протоколов к ней, что позволяет эффективно распределять рабочее время сотрудников без каких-либо барьеров между подразделениями.</w:t>
            </w:r>
          </w:p>
          <w:p w14:paraId="6DFF9F92" w14:textId="62C7A678" w:rsidR="00924B72" w:rsidRPr="00B41D13" w:rsidRDefault="008B78C3" w:rsidP="005D0A05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В таблице 1 документа </w:t>
            </w:r>
            <w:hyperlink r:id="rId40" w:history="1">
              <w:r>
                <w:rPr>
                  <w:rStyle w:val="Hyperlink"/>
                  <w:sz w:val="20"/>
                  <w:szCs w:val="20"/>
                  <w:lang w:val="ru"/>
                </w:rPr>
                <w:t>CBD/SBI/7/15/Add.1</w:t>
              </w:r>
            </w:hyperlink>
            <w:r>
              <w:rPr>
                <w:color w:val="000000" w:themeColor="text1"/>
                <w:sz w:val="20"/>
                <w:szCs w:val="20"/>
                <w:lang w:val="ru"/>
              </w:rPr>
              <w:t>–</w:t>
            </w:r>
            <w:hyperlink r:id="rId41" w:history="1">
              <w:r>
                <w:rPr>
                  <w:rStyle w:val="Hyperlink"/>
                  <w:sz w:val="20"/>
                  <w:szCs w:val="20"/>
                  <w:lang w:val="ru"/>
                </w:rPr>
                <w:t>CBD/COP/17/4/Add.4</w:t>
              </w:r>
            </w:hyperlink>
            <w:r>
              <w:rPr>
                <w:color w:val="000000" w:themeColor="text1"/>
                <w:sz w:val="20"/>
                <w:szCs w:val="20"/>
                <w:lang w:val="ru"/>
              </w:rPr>
              <w:t xml:space="preserve"> показано, что в рамках этого процесса без дополнительной нагрузки на бюджет был создан Отдел по анализу движущих факторов и межсекторальной работе с целью последовательной активизации усилий по устранению движущих факторов утраты биоразнообразия.</w:t>
            </w:r>
          </w:p>
          <w:p w14:paraId="292EE62C" w14:textId="7FE686EE" w:rsidR="008B78C3" w:rsidRPr="00B41D1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Должность уровня С-3, ранее относившаяся к Отделу информационных технологий, была перераспределена в Отдел по анализу движущих факторов и межсекторальной работе, а </w:t>
            </w:r>
            <w:r w:rsidR="006E19CE">
              <w:rPr>
                <w:color w:val="000000" w:themeColor="text1"/>
                <w:sz w:val="20"/>
                <w:szCs w:val="20"/>
                <w:lang w:val="ru"/>
              </w:rPr>
              <w:t xml:space="preserve">для восполнения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пробел</w:t>
            </w:r>
            <w:r w:rsidR="006E19CE">
              <w:rPr>
                <w:color w:val="000000" w:themeColor="text1"/>
                <w:sz w:val="20"/>
                <w:szCs w:val="20"/>
                <w:lang w:val="ru"/>
              </w:rPr>
              <w:t>а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в Отделе информационных технологий был </w:t>
            </w:r>
            <w:r w:rsidR="006E19CE">
              <w:rPr>
                <w:color w:val="000000" w:themeColor="text1"/>
                <w:sz w:val="20"/>
                <w:szCs w:val="20"/>
                <w:lang w:val="ru"/>
              </w:rPr>
              <w:t xml:space="preserve">отправлен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запрос на должность уровня С-2 (взамен должности уровня С-3), что обеспечит общую экономию средств. Для восполнения пробела в экспертных знаниях и обеспечения полноценной работы Отдела были запрошены две дополнительные должности уровня С-3, однако </w:t>
            </w:r>
            <w:r w:rsidR="006E19CE">
              <w:rPr>
                <w:color w:val="000000" w:themeColor="text1"/>
                <w:sz w:val="20"/>
                <w:szCs w:val="20"/>
                <w:lang w:val="ru"/>
              </w:rPr>
              <w:t xml:space="preserve">в интересах экономии средств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повышение уровня должности руководителя дополнительного Отдела не запрашивалось.</w:t>
            </w:r>
          </w:p>
        </w:tc>
      </w:tr>
      <w:tr w:rsidR="008B78C3" w:rsidRPr="00B7171E" w14:paraId="7406D1E8" w14:textId="77777777" w:rsidTr="00033F97">
        <w:trPr>
          <w:cantSplit/>
          <w:jc w:val="center"/>
        </w:trPr>
        <w:tc>
          <w:tcPr>
            <w:tcW w:w="19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39793D7" w14:textId="55612CB5" w:rsidR="008B78C3" w:rsidRPr="00326D4D" w:rsidRDefault="008B78C3" w:rsidP="002537BE">
            <w:pPr>
              <w:jc w:val="left"/>
              <w:rPr>
                <w:color w:val="000000" w:themeColor="text1"/>
                <w:sz w:val="20"/>
                <w:szCs w:val="20"/>
                <w:highlight w:val="yellow"/>
                <w:lang w:val="ru-RU"/>
              </w:rPr>
            </w:pPr>
            <w:r w:rsidRPr="00033F97">
              <w:rPr>
                <w:color w:val="000000" w:themeColor="text1"/>
                <w:sz w:val="20"/>
                <w:szCs w:val="20"/>
                <w:lang w:val="ru"/>
              </w:rPr>
              <w:lastRenderedPageBreak/>
              <w:t xml:space="preserve">Комплексное и </w:t>
            </w:r>
            <w:r w:rsidR="00033F97" w:rsidRPr="00033F97">
              <w:rPr>
                <w:color w:val="000000" w:themeColor="text1"/>
                <w:sz w:val="20"/>
                <w:szCs w:val="20"/>
                <w:lang w:val="ru"/>
              </w:rPr>
              <w:t>усовершенствованное</w:t>
            </w:r>
            <w:r w:rsidR="00033F97" w:rsidRPr="00033F97">
              <w:rPr>
                <w:color w:val="000000" w:themeColor="text1"/>
                <w:sz w:val="20"/>
                <w:szCs w:val="20"/>
                <w:lang w:val="ru-RU"/>
              </w:rPr>
              <w:t xml:space="preserve"> </w:t>
            </w:r>
            <w:r w:rsidRPr="00033F97">
              <w:rPr>
                <w:color w:val="000000" w:themeColor="text1"/>
                <w:sz w:val="20"/>
                <w:szCs w:val="20"/>
                <w:lang w:val="ru"/>
              </w:rPr>
              <w:t xml:space="preserve"> конференционное обслуживание</w:t>
            </w:r>
          </w:p>
        </w:tc>
        <w:tc>
          <w:tcPr>
            <w:tcW w:w="7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0F88FB" w14:textId="30A3E813" w:rsidR="008B78C3" w:rsidRPr="00B41D13" w:rsidRDefault="00832A29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-RU"/>
              </w:rPr>
              <w:t xml:space="preserve">Пересмотренная 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>структур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а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предусм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атривает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создание самостоятельной Секции конференционного обслуживания,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совмещающей 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функции планирования и оперативного обеспечения совещаний, которые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прежде 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были распределены между различными отделами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в 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>отсутстви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е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уверенного руководства высокого уровня и строгой подотчетности. Освободившаяся после выхода на пенсию сотрудника должность уровня С-5, которая ранее относилась к Отделу по взаимодействию и сотрудничеству с заинтересованными сторонами, была перераспределена для организации руководства вновь созданной Секцией конференционного обслуживания, что позволило избежать необходимости учреждения дополнительной должности уровня С-5. Прежняя должность старшего руководителя уровня С-5 по вопросам сотрудничества была объединена с существовавшей ранее должностью уровня С-5 по вопросам коренных народов и местных общин и традиционных знаний, что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на практике 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>позволило снизить затраты на старший руководящий персонал.</w:t>
            </w:r>
          </w:p>
        </w:tc>
      </w:tr>
      <w:tr w:rsidR="008B78C3" w:rsidRPr="00B7171E" w14:paraId="5156531A" w14:textId="77777777" w:rsidTr="00033F97">
        <w:trPr>
          <w:cantSplit/>
          <w:jc w:val="center"/>
        </w:trPr>
        <w:tc>
          <w:tcPr>
            <w:tcW w:w="1975" w:type="dxa"/>
            <w:tcBorders>
              <w:bottom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4AFB17C" w14:textId="77777777" w:rsidR="008B78C3" w:rsidRPr="00B41D13" w:rsidRDefault="008B78C3" w:rsidP="002537BE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Комплексные услуги в области информационных технологий и поддержка цифровой трансформации</w:t>
            </w:r>
          </w:p>
        </w:tc>
        <w:tc>
          <w:tcPr>
            <w:tcW w:w="7381" w:type="dxa"/>
            <w:tcBorders>
              <w:bottom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2338B3CC" w14:textId="0B17075C" w:rsidR="008B78C3" w:rsidRPr="00B41D1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Пересмотренная структура предусматривает объединение Отдела информационных технологий и цифровой трансформации и функций управленческих услуг и соблюдения требований, которые ранее были распределены между двумя отделами. Эта комплексная система позволяет повысить эффективность поддержки общих систем управления информационными технологиями, контроля рисков и цифровой трансформации в интересах обеспечения эффективности межправительственных процессов в рамках Конвенции и протоколов к ней, включая совещания, механизмы посредничества и ответственное использование технологий искусственного интеллекта. В качестве меры по экономии средств группа информационных технологий после выхода сотрудника на пенсию отказалась от одной должности уровня С-3, которая была перераспределена в Отдел по анализу движущих факторов и межсекторальной работе. Для восполнения нехватки специалистов в области поддержки цифровой трансформации был направлен запрос на учреждение новой должности уровня С-2 и проведено перераспределение функций среди действующего персонала, что обеспечит общую экономию средств.</w:t>
            </w:r>
          </w:p>
        </w:tc>
      </w:tr>
      <w:tr w:rsidR="008B78C3" w:rsidRPr="00B7171E" w14:paraId="1F432C2C" w14:textId="77777777" w:rsidTr="00033F97">
        <w:trPr>
          <w:cantSplit/>
          <w:jc w:val="center"/>
        </w:trPr>
        <w:tc>
          <w:tcPr>
            <w:tcW w:w="19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7BEFCE9" w14:textId="77777777" w:rsidR="008B78C3" w:rsidRPr="00B41D13" w:rsidRDefault="008B78C3" w:rsidP="002537BE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Перераспределение должностей без последствий для бюджета с целью содействия усилиям по управлению процессом преобразований и обеспечению административной эффективности</w:t>
            </w:r>
          </w:p>
        </w:tc>
        <w:tc>
          <w:tcPr>
            <w:tcW w:w="7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96922" w14:textId="1ABAF52F" w:rsidR="008B78C3" w:rsidRPr="00B41D1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После выхода одного из сотрудников на пенсию и закрытия Бюро по связям в Нью-Йорке (совместно с секретариатом Конвенции Организации Объединенных Наций по борьбе с опустыниванием) 50% ставки должности уровня С-4, которая финансировалась за счет расходов на поддержку (целевой счет накладных расходов) и изначально относилась к этому бюро, были перераспределены в целях содействия работе Секции административной и оперативной поддержки посредством создания </w:t>
            </w:r>
            <w:r>
              <w:rPr>
                <w:rFonts w:asciiTheme="majorBidi" w:hAnsiTheme="majorBidi"/>
                <w:sz w:val="20"/>
                <w:szCs w:val="20"/>
                <w:lang w:val="ru"/>
              </w:rPr>
              <w:t>Отдела управленческих услуг и соблюдения требований,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в частности по вопросам управления изменениями и повышения административной и оперативной эффективности. Таким образом в секретариате появится специализированный отдел для разработки и применения стандартного подхода к осуществлению мер повышения эффективности и экономии средств.</w:t>
            </w:r>
          </w:p>
        </w:tc>
      </w:tr>
      <w:tr w:rsidR="008B78C3" w:rsidRPr="00B7171E" w14:paraId="4FBC1A5F" w14:textId="77777777" w:rsidTr="00033F97">
        <w:trPr>
          <w:cantSplit/>
          <w:jc w:val="center"/>
        </w:trPr>
        <w:tc>
          <w:tcPr>
            <w:tcW w:w="19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026055" w14:textId="77777777" w:rsidR="008B78C3" w:rsidRPr="00B41D13" w:rsidRDefault="008B78C3" w:rsidP="002537BE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lastRenderedPageBreak/>
              <w:t>В рамках запроса дополнительных должностей было предложено отказаться от повышения уровней существующих должностей и учредить должности минимально возможного уровня</w:t>
            </w:r>
          </w:p>
        </w:tc>
        <w:tc>
          <w:tcPr>
            <w:tcW w:w="7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4936A09A" w14:textId="16AEF7AC" w:rsidR="008B78C3" w:rsidRPr="00B41D1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При выполнении рекомендаций функционального обзора, включая разработку пересмотренной организационной структуры, повышение уровней существующих должностей не предлагалось. Несмотря на то что к существующим должностям добавился ряд обязанностей, этот подход гарантирует, что любое увеличение бюджета, связанного с персоналом, обусловлено исключительно созданием новых предлагаемых должностей и не является следствием реклассификации существующих должностей в сторону повышения.</w:t>
            </w:r>
          </w:p>
        </w:tc>
      </w:tr>
      <w:tr w:rsidR="008B78C3" w:rsidRPr="00B7171E" w14:paraId="77D657D7" w14:textId="77777777" w:rsidTr="00033F97">
        <w:trPr>
          <w:cantSplit/>
          <w:jc w:val="center"/>
        </w:trPr>
        <w:tc>
          <w:tcPr>
            <w:tcW w:w="1975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E4C93F6" w14:textId="77777777" w:rsidR="008B78C3" w:rsidRPr="00680BBA" w:rsidRDefault="008B78C3" w:rsidP="002537BE">
            <w:pPr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Меры экономии</w:t>
            </w:r>
          </w:p>
        </w:tc>
        <w:tc>
          <w:tcPr>
            <w:tcW w:w="7381" w:type="dxa"/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5AD54252" w14:textId="0D8214A4" w:rsidR="008B78C3" w:rsidRPr="00B41D1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Независимо от результатов функционального обзора секретариат прилагал усилия, чтобы избежать расходов в том числе в следующих областях:</w:t>
            </w:r>
          </w:p>
          <w:p w14:paraId="425E2AAA" w14:textId="525E7E3E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предотвращение расходов, связанных с поездками для участия в очных совещаниях, при наличии возможности участвовать, выступать и делать презентации в режиме онлайн;</w:t>
            </w:r>
          </w:p>
          <w:p w14:paraId="3197A4A9" w14:textId="7AB1B8DC" w:rsidR="008B78C3" w:rsidRPr="00B41D13" w:rsidRDefault="003A4A42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предотвращение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расходов, связанных с организацией очных совещаний, при наличии возможности проведения онлайнов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ых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совещани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й</w:t>
            </w:r>
            <w:r w:rsidR="008B78C3">
              <w:rPr>
                <w:color w:val="000000" w:themeColor="text1"/>
                <w:sz w:val="20"/>
                <w:szCs w:val="20"/>
                <w:lang w:val="ru"/>
              </w:rPr>
              <w:t xml:space="preserve"> с соблюдением принципа справедливого участия представителей различных регионов и групп заинтересованных сторон;</w:t>
            </w:r>
          </w:p>
          <w:p w14:paraId="431DD3DD" w14:textId="60952552" w:rsidR="00CB5AE0" w:rsidRPr="00B41D13" w:rsidRDefault="00CB5AE0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сокращение числа вспомогательных сотрудников, сопровождающих руководителей высшего звена;</w:t>
            </w:r>
          </w:p>
          <w:p w14:paraId="2194A643" w14:textId="2B225590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добровольное понижение класса авиабилетов, если такое понижение не приводит к неблагоприятным последствиям для здоровья и самочувствия сотрудников, совершающих поездки для обслуживания совещаний или участия в обсуждениях;</w:t>
            </w:r>
          </w:p>
          <w:p w14:paraId="5EBB1B06" w14:textId="77FA9E41" w:rsidR="008B78C3" w:rsidRPr="00B41D13" w:rsidRDefault="0005759A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предоставление персоналу четких указаний относительно 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>уменьшения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, насколько это возможно, 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 xml:space="preserve">размера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документов совещаний, в целях сокращения расходов на редактирование и письменный перевод;</w:t>
            </w:r>
          </w:p>
          <w:p w14:paraId="4B08A858" w14:textId="6A2265B4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усиление надзора со стороны руководителей высокого уровня за эффективностью, своевременностью выполнения задач и реализацией мер экономии;</w:t>
            </w:r>
          </w:p>
          <w:p w14:paraId="262F18C7" w14:textId="267F5676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административная группа взяла на себя дополнительную рабочую нагрузку при сохранении существующей численности штата и контроле административны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>х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расход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>ов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, несмотря на проведение в 2026 году дополнительных совещаний, 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 xml:space="preserve">что привело к </w:t>
            </w:r>
            <w:r>
              <w:rPr>
                <w:color w:val="000000" w:themeColor="text1"/>
                <w:sz w:val="20"/>
                <w:szCs w:val="20"/>
                <w:lang w:val="ru"/>
              </w:rPr>
              <w:t>увеличени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>ю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объема работы по организации поездок, материально-техническому обеспечению и заключению контрактов для </w:t>
            </w:r>
            <w:r w:rsidR="003A4A42">
              <w:rPr>
                <w:color w:val="000000" w:themeColor="text1"/>
                <w:sz w:val="20"/>
                <w:szCs w:val="20"/>
                <w:lang w:val="ru"/>
              </w:rPr>
              <w:t>поддержки</w:t>
            </w:r>
            <w:r>
              <w:rPr>
                <w:color w:val="000000" w:themeColor="text1"/>
                <w:sz w:val="20"/>
                <w:szCs w:val="20"/>
                <w:lang w:val="ru"/>
              </w:rPr>
              <w:t xml:space="preserve"> этих совещаний.</w:t>
            </w:r>
          </w:p>
        </w:tc>
      </w:tr>
      <w:tr w:rsidR="008B78C3" w:rsidRPr="00B7171E" w14:paraId="5F1BC830" w14:textId="77777777" w:rsidTr="00033F97">
        <w:trPr>
          <w:cantSplit/>
          <w:jc w:val="center"/>
        </w:trPr>
        <w:tc>
          <w:tcPr>
            <w:tcW w:w="1975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74F4D33B" w14:textId="77777777" w:rsidR="008B78C3" w:rsidRPr="00B41D13" w:rsidRDefault="008B78C3" w:rsidP="002537BE">
            <w:pPr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 xml:space="preserve">Обучение сотрудников и содействие их профессиональному росту </w:t>
            </w:r>
          </w:p>
        </w:tc>
        <w:tc>
          <w:tcPr>
            <w:tcW w:w="7381" w:type="dxa"/>
            <w:tcBorders>
              <w:top w:val="single" w:sz="8" w:space="0" w:color="000000" w:themeColor="text1"/>
              <w:left w:val="single" w:sz="8" w:space="0" w:color="000000" w:themeColor="text1"/>
              <w:bottom w:val="single" w:sz="8" w:space="0" w:color="000000" w:themeColor="text1"/>
              <w:right w:val="single" w:sz="8" w:space="0" w:color="000000" w:themeColor="text1"/>
            </w:tcBorders>
            <w:tcMar>
              <w:top w:w="90" w:type="dxa"/>
              <w:left w:w="90" w:type="dxa"/>
              <w:bottom w:w="90" w:type="dxa"/>
              <w:right w:w="90" w:type="dxa"/>
            </w:tcMar>
            <w:vAlign w:val="center"/>
          </w:tcPr>
          <w:p w14:paraId="6F586FA6" w14:textId="3E820546" w:rsidR="008B78C3" w:rsidRDefault="008B78C3" w:rsidP="002537BE">
            <w:pPr>
              <w:spacing w:before="40" w:after="40"/>
              <w:jc w:val="left"/>
              <w:rPr>
                <w:color w:val="000000" w:themeColor="text1"/>
                <w:sz w:val="20"/>
                <w:szCs w:val="20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Функциональный обзор был направлен на создание рабочих групп, способных действовать более эффективно. Кроме того, секретариат ведет работу по повышению эффективности посредством:</w:t>
            </w:r>
          </w:p>
          <w:p w14:paraId="2EC01ED4" w14:textId="1D11111E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организации профессиональной подготовки и предоставления персоналу руководящих указаний относительно использования инструментов искусственного интеллекта;</w:t>
            </w:r>
          </w:p>
          <w:p w14:paraId="1B6B77AB" w14:textId="40536B5D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пересмотра и оптимизации «круга ведения» каждого сотрудника для обеспечения ясности и четких результатов;</w:t>
            </w:r>
          </w:p>
          <w:p w14:paraId="04DAADFF" w14:textId="2995F0F5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более активного использования инструментов Организации Объединенных Наций для управления служебной деятельностью;</w:t>
            </w:r>
          </w:p>
          <w:p w14:paraId="5451BF11" w14:textId="1C854BD6" w:rsidR="008B78C3" w:rsidRPr="00B41D13" w:rsidRDefault="008B78C3" w:rsidP="002537BE">
            <w:pPr>
              <w:pStyle w:val="ListParagraph"/>
              <w:numPr>
                <w:ilvl w:val="0"/>
                <w:numId w:val="20"/>
              </w:numPr>
              <w:pBdr>
                <w:top w:val="nil"/>
                <w:left w:val="nil"/>
                <w:bottom w:val="nil"/>
                <w:right w:val="nil"/>
                <w:between w:val="nil"/>
                <w:bar w:val="nil"/>
              </w:pBdr>
              <w:tabs>
                <w:tab w:val="clear" w:pos="567"/>
                <w:tab w:val="clear" w:pos="1134"/>
                <w:tab w:val="clear" w:pos="1701"/>
                <w:tab w:val="clear" w:pos="2268"/>
              </w:tabs>
              <w:spacing w:before="40" w:after="40"/>
              <w:jc w:val="left"/>
              <w:rPr>
                <w:color w:val="000000" w:themeColor="text1"/>
                <w:sz w:val="20"/>
                <w:szCs w:val="20"/>
                <w:lang w:val="ru-RU"/>
              </w:rPr>
            </w:pPr>
            <w:r>
              <w:rPr>
                <w:color w:val="000000" w:themeColor="text1"/>
                <w:sz w:val="20"/>
                <w:szCs w:val="20"/>
                <w:lang w:val="ru"/>
              </w:rPr>
              <w:t>создания условий для сотрудничества между всеми отделами секретариата (например, практически все сотрудники профильных отделов внесли определенный вклад в подготовку глобального доклада о коллективном прогрессе в осуществлении Рамочной программы).</w:t>
            </w:r>
          </w:p>
        </w:tc>
      </w:tr>
    </w:tbl>
    <w:p w14:paraId="53FFD311" w14:textId="4D249761" w:rsidR="008B78C3" w:rsidRPr="00B41D13" w:rsidRDefault="008B78C3" w:rsidP="00BB4E5D">
      <w:pPr>
        <w:pStyle w:val="CBDNormalNumber"/>
        <w:rPr>
          <w:rFonts w:eastAsiaTheme="minorEastAsia"/>
          <w:kern w:val="2"/>
          <w:lang w:val="ru-RU"/>
          <w14:ligatures w14:val="standardContextual"/>
        </w:rPr>
      </w:pPr>
      <w:r>
        <w:rPr>
          <w:u w:color="000000"/>
          <w:lang w:val="ru"/>
        </w:rPr>
        <w:lastRenderedPageBreak/>
        <w:t>К числу примеров повышения эффективности, достигнутого благодаря структурной реорганизации секретариата в рамках выполнения рекомендаций функционального обзора секретариата,</w:t>
      </w:r>
      <w:r>
        <w:rPr>
          <w:lang w:val="ru"/>
        </w:rPr>
        <w:t xml:space="preserve"> относятся выгоды, полученные в связи с оптимизацией процессов и более эффективной координацией внутри секретариата. Этот процесс предусматривает в том числе расширение </w:t>
      </w:r>
      <w:r w:rsidR="0062200B">
        <w:rPr>
          <w:lang w:val="ru"/>
        </w:rPr>
        <w:t xml:space="preserve">круга </w:t>
      </w:r>
      <w:r>
        <w:rPr>
          <w:lang w:val="ru"/>
        </w:rPr>
        <w:t xml:space="preserve">полномочий, передаваемых руководителям </w:t>
      </w:r>
      <w:r w:rsidR="0062200B">
        <w:rPr>
          <w:lang w:val="ru-RU"/>
        </w:rPr>
        <w:t>управлений</w:t>
      </w:r>
      <w:r>
        <w:rPr>
          <w:lang w:val="ru"/>
        </w:rPr>
        <w:t xml:space="preserve"> и отделов, в целях повышения управленческого потенциала, укрепления руководящей роли и ответственности, дополнительно</w:t>
      </w:r>
      <w:r w:rsidR="0062200B">
        <w:rPr>
          <w:lang w:val="ru"/>
        </w:rPr>
        <w:t>го</w:t>
      </w:r>
      <w:r>
        <w:rPr>
          <w:lang w:val="ru"/>
        </w:rPr>
        <w:t xml:space="preserve"> содействи</w:t>
      </w:r>
      <w:r w:rsidR="0062200B">
        <w:rPr>
          <w:lang w:val="ru"/>
        </w:rPr>
        <w:t>я своевременному</w:t>
      </w:r>
      <w:r>
        <w:rPr>
          <w:lang w:val="ru"/>
        </w:rPr>
        <w:t xml:space="preserve"> принятию решений, поощрения инициативы на уровне руководства среднего звена и </w:t>
      </w:r>
      <w:r w:rsidR="0062200B">
        <w:rPr>
          <w:lang w:val="ru"/>
        </w:rPr>
        <w:t xml:space="preserve">укрепления способности </w:t>
      </w:r>
      <w:r>
        <w:rPr>
          <w:lang w:val="ru"/>
        </w:rPr>
        <w:t>секретариата</w:t>
      </w:r>
      <w:r w:rsidR="0062200B">
        <w:rPr>
          <w:lang w:val="ru"/>
        </w:rPr>
        <w:t xml:space="preserve"> проявлять гибкость и оперативно реагировать</w:t>
      </w:r>
      <w:r>
        <w:rPr>
          <w:lang w:val="ru"/>
        </w:rPr>
        <w:t xml:space="preserve">. Операционная эффективность </w:t>
      </w:r>
      <w:r w:rsidR="0062200B">
        <w:rPr>
          <w:lang w:val="ru"/>
        </w:rPr>
        <w:t xml:space="preserve">проявилась в способности перераспределить описанные </w:t>
      </w:r>
      <w:r>
        <w:rPr>
          <w:lang w:val="ru"/>
        </w:rPr>
        <w:t>выше должност</w:t>
      </w:r>
      <w:r w:rsidR="0062200B">
        <w:rPr>
          <w:lang w:val="ru"/>
        </w:rPr>
        <w:t>и</w:t>
      </w:r>
      <w:r>
        <w:rPr>
          <w:lang w:val="ru"/>
        </w:rPr>
        <w:t xml:space="preserve"> таким образом, чтобы свести к минимуму последствия для работы секретариата.</w:t>
      </w:r>
    </w:p>
    <w:p w14:paraId="7296CDF2" w14:textId="77F1F0AE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Помимо принимаемых секретариатом мер, существует ряд инициатив ЮНЕП, направленных на повышение эффективности. Отдел внутриорганизационного обслуживания ЮНЕП предоставляет площадку для взаимодействия многосторонних природоохранных соглашений, находящихся в административном ведении ЮНЕП. Данный Отдел содействует проведению регулярных совещаний административного персонала многосторонних природоохранных соглашений, в которых активно участвуют административные сотрудники Конвенции о биологическом разнообразии, в целях обмена знаниями, примерами передовой практики и укрепления сотрудничества между секретариатами многосторонних природоохранных соглашений. Секретариатам многосторонних природоохранных соглашений, находящихся в административном ведении ЮНЕП, рекомендуется работать сообща, совместно разрабатывать инициативы и создавать сообщества специалистов-практиков для повышения эффективности, внедрения инноваций и достижения синергетического эффекта в оперативной деятельности.</w:t>
      </w:r>
    </w:p>
    <w:p w14:paraId="1E67B4E0" w14:textId="6B6A4BA4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Любой сравнительный анализ</w:t>
      </w:r>
      <w:r w:rsidR="00A55A31">
        <w:rPr>
          <w:lang w:val="ru"/>
        </w:rPr>
        <w:t xml:space="preserve"> находящихся в ведении ЮНЕП</w:t>
      </w:r>
      <w:r>
        <w:rPr>
          <w:lang w:val="ru"/>
        </w:rPr>
        <w:t xml:space="preserve"> многосторонних природоохранных соглашений, </w:t>
      </w:r>
      <w:r w:rsidR="00A55A31">
        <w:rPr>
          <w:lang w:val="ru"/>
        </w:rPr>
        <w:t xml:space="preserve">который проводится в целях </w:t>
      </w:r>
      <w:r>
        <w:rPr>
          <w:lang w:val="ru"/>
        </w:rPr>
        <w:t xml:space="preserve">совершенствования существующих моделей совместного обслуживания и ускорения внедрения общих цифровых инструментов для укрепления взаимодействия по административным вопросам, должен проводиться при содействии ЮНЕП по запросу государств-членов. Такой подход дает возможность </w:t>
      </w:r>
      <w:r w:rsidR="00A55A31">
        <w:rPr>
          <w:lang w:val="ru"/>
        </w:rPr>
        <w:t xml:space="preserve">консолидировать </w:t>
      </w:r>
      <w:r>
        <w:rPr>
          <w:lang w:val="ru"/>
        </w:rPr>
        <w:t>существующ</w:t>
      </w:r>
      <w:r w:rsidR="00A55A31">
        <w:rPr>
          <w:lang w:val="ru"/>
        </w:rPr>
        <w:t xml:space="preserve">ую практику, </w:t>
      </w:r>
      <w:r>
        <w:rPr>
          <w:lang w:val="ru"/>
        </w:rPr>
        <w:t>расшир</w:t>
      </w:r>
      <w:r w:rsidR="00A55A31">
        <w:rPr>
          <w:lang w:val="ru"/>
        </w:rPr>
        <w:t>ить</w:t>
      </w:r>
      <w:r>
        <w:rPr>
          <w:lang w:val="ru"/>
        </w:rPr>
        <w:t xml:space="preserve"> сотрудничеств</w:t>
      </w:r>
      <w:r w:rsidR="00A55A31">
        <w:rPr>
          <w:lang w:val="ru"/>
        </w:rPr>
        <w:t>о</w:t>
      </w:r>
      <w:r>
        <w:rPr>
          <w:lang w:val="ru"/>
        </w:rPr>
        <w:t xml:space="preserve"> и повы</w:t>
      </w:r>
      <w:r w:rsidR="00A55A31">
        <w:rPr>
          <w:lang w:val="ru"/>
        </w:rPr>
        <w:t xml:space="preserve">сить </w:t>
      </w:r>
      <w:r>
        <w:rPr>
          <w:lang w:val="ru"/>
        </w:rPr>
        <w:t>эффективност</w:t>
      </w:r>
      <w:r w:rsidR="00A55A31">
        <w:rPr>
          <w:lang w:val="ru"/>
        </w:rPr>
        <w:t>ь</w:t>
      </w:r>
      <w:r>
        <w:rPr>
          <w:lang w:val="ru"/>
        </w:rPr>
        <w:t xml:space="preserve"> </w:t>
      </w:r>
      <w:r w:rsidR="00A55A31">
        <w:rPr>
          <w:lang w:val="ru"/>
        </w:rPr>
        <w:t xml:space="preserve">в рамках </w:t>
      </w:r>
      <w:r>
        <w:rPr>
          <w:lang w:val="ru"/>
        </w:rPr>
        <w:t>все</w:t>
      </w:r>
      <w:r w:rsidR="00A55A31">
        <w:rPr>
          <w:lang w:val="ru"/>
        </w:rPr>
        <w:t xml:space="preserve">х </w:t>
      </w:r>
      <w:r>
        <w:rPr>
          <w:lang w:val="ru"/>
        </w:rPr>
        <w:t>многосторонних природоохранных соглашений.</w:t>
      </w:r>
    </w:p>
    <w:p w14:paraId="0B92C7E0" w14:textId="0128B483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В целях повышения эффективности операционной деятельности ЮНЕП осуществляет проект по упрощению проце</w:t>
      </w:r>
      <w:r w:rsidR="00A55A31">
        <w:rPr>
          <w:lang w:val="ru"/>
        </w:rPr>
        <w:t>дур</w:t>
      </w:r>
      <w:r>
        <w:rPr>
          <w:lang w:val="ru"/>
        </w:rPr>
        <w:t xml:space="preserve"> для пересмотра и оптимизации основных административных и операционных процессов в контексте инициативы «ООН-80». Первые два этапа проекта завершились в течение отчетного периода формированием перечня конкретных мер в различных функциональных областях. Они направлены на: </w:t>
      </w:r>
      <w:r w:rsidR="00AD027E" w:rsidRPr="00AD027E">
        <w:rPr>
          <w:lang w:val="ru-RU"/>
        </w:rPr>
        <w:t>(</w:t>
      </w:r>
      <w:r>
        <w:rPr>
          <w:lang w:val="ru"/>
        </w:rPr>
        <w:t xml:space="preserve">a) сокращение дублирующих и менее эффективных этапов процессов; </w:t>
      </w:r>
      <w:r w:rsidR="00AD027E" w:rsidRPr="00AD027E">
        <w:rPr>
          <w:lang w:val="ru-RU"/>
        </w:rPr>
        <w:t>(</w:t>
      </w:r>
      <w:r>
        <w:rPr>
          <w:lang w:val="ru"/>
        </w:rPr>
        <w:t xml:space="preserve">b) более четкое распределение ролей и обязанностей; </w:t>
      </w:r>
      <w:r w:rsidR="00AD027E" w:rsidRPr="00D754D2">
        <w:rPr>
          <w:lang w:val="ru-RU"/>
        </w:rPr>
        <w:t>(</w:t>
      </w:r>
      <w:r>
        <w:rPr>
          <w:lang w:val="ru"/>
        </w:rPr>
        <w:t>c) оптимизацию системы делегирования полномочий и сокращение дистанции между принятием административных решений и реализацией программ. Отдел внутриорганизационного обслуживания ЮНЕП содействует внедрению всех соответствующих мер по упрощени</w:t>
      </w:r>
      <w:r w:rsidR="00AA3B25">
        <w:rPr>
          <w:lang w:val="ru"/>
        </w:rPr>
        <w:t>ю процедур</w:t>
      </w:r>
      <w:r>
        <w:rPr>
          <w:lang w:val="ru"/>
        </w:rPr>
        <w:t xml:space="preserve"> в работу секретариат</w:t>
      </w:r>
      <w:r w:rsidR="00AA3B25">
        <w:rPr>
          <w:lang w:val="ru"/>
        </w:rPr>
        <w:t>а</w:t>
      </w:r>
      <w:r>
        <w:rPr>
          <w:lang w:val="ru"/>
        </w:rPr>
        <w:t xml:space="preserve"> Конвенции о биологическом разнообразии. </w:t>
      </w:r>
    </w:p>
    <w:p w14:paraId="28D6404C" w14:textId="134B6567" w:rsidR="008B78C3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В ходе третьего этапа проекта будут определены дополнительные внутренние процессы, которые могут быть стандартизированы и применяться более последовательно, а также будет разработана соответствующая целевому назначению модель административной и оперативной поддержки для ЮНЕП и секретариатов многосторонних природоохранных соглашений. Помимо того, эта работа согласуется с целями инициативы «ООН-80», направленной на повышение эффективности, упрощение, согласование и оптимальное использование ресурсов в рамках всей системы Организации Объединенных Наций. Отдел внутриорганизационного обслуживания ЮНЕП продолжит оказывать секретариату Конвенции поддержку в области внедрения упрощенных процессов, выработанных на </w:t>
      </w:r>
      <w:r>
        <w:rPr>
          <w:lang w:val="ru"/>
        </w:rPr>
        <w:lastRenderedPageBreak/>
        <w:t>третьем этапе. Обновленная информация по пакету работ 27 Плана действий по реализации инициативы «ООН-80» будет предоставляться по мере ее поступления.</w:t>
      </w:r>
    </w:p>
    <w:p w14:paraId="0672C8D8" w14:textId="4E7DC9ED" w:rsidR="008B78C3" w:rsidRPr="00B41D13" w:rsidRDefault="008B78C3" w:rsidP="002537BE">
      <w:pPr>
        <w:pStyle w:val="CBDH1"/>
        <w:rPr>
          <w:lang w:val="ru-RU"/>
        </w:rPr>
      </w:pPr>
      <w:r>
        <w:rPr>
          <w:bCs/>
          <w:lang w:val="ru"/>
        </w:rPr>
        <w:t>IV.</w:t>
      </w:r>
      <w:r>
        <w:rPr>
          <w:bCs/>
          <w:lang w:val="ru"/>
        </w:rPr>
        <w:tab/>
        <w:t xml:space="preserve">Дополнительные административные и бюджетные вопросы, касающиеся организации межправительственных совещаний и содействия участию в них </w:t>
      </w:r>
    </w:p>
    <w:p w14:paraId="4E77BD15" w14:textId="46CE9514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В бюджетах межправительственных совещаний предусмотрены расходы на проведение </w:t>
      </w:r>
      <w:r w:rsidR="00D754D2">
        <w:rPr>
          <w:lang w:val="ru"/>
        </w:rPr>
        <w:t xml:space="preserve">мероприятий </w:t>
      </w:r>
      <w:r>
        <w:rPr>
          <w:lang w:val="ru"/>
        </w:rPr>
        <w:t>и поддержку совещаний со стороны секретариата. Расходы, связанные с проведением мероприяти</w:t>
      </w:r>
      <w:r w:rsidR="00AD027E">
        <w:rPr>
          <w:lang w:val="ru"/>
        </w:rPr>
        <w:t>й</w:t>
      </w:r>
      <w:r>
        <w:rPr>
          <w:lang w:val="ru"/>
        </w:rPr>
        <w:t xml:space="preserve"> и поддержкой секретариата, относятся к основному бюджету. Поддержка участия в совещаниях осуществляется за счет средств двух целевых фондов: BZ и VB.</w:t>
      </w:r>
    </w:p>
    <w:p w14:paraId="629D9CED" w14:textId="129E103A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В документе </w:t>
      </w:r>
      <w:hyperlink r:id="rId42" w:history="1">
        <w:r>
          <w:rPr>
            <w:rStyle w:val="Hyperlink"/>
            <w:lang w:val="ru"/>
          </w:rPr>
          <w:t>CBD/COP/17/3</w:t>
        </w:r>
      </w:hyperlink>
      <w:r>
        <w:rPr>
          <w:lang w:val="ru"/>
        </w:rPr>
        <w:t>-</w:t>
      </w:r>
      <w:hyperlink r:id="rId43" w:history="1">
        <w:r>
          <w:rPr>
            <w:rStyle w:val="Hyperlink"/>
            <w:lang w:val="ru"/>
          </w:rPr>
          <w:t>CBD/CP/MOP/12/4</w:t>
        </w:r>
      </w:hyperlink>
      <w:r>
        <w:rPr>
          <w:lang w:val="ru"/>
        </w:rPr>
        <w:t>-</w:t>
      </w:r>
      <w:hyperlink r:id="rId44" w:history="1">
        <w:r>
          <w:rPr>
            <w:rStyle w:val="Hyperlink"/>
            <w:lang w:val="ru"/>
          </w:rPr>
          <w:t>CBD/NP/MOP/6/4</w:t>
        </w:r>
      </w:hyperlink>
      <w:r>
        <w:rPr>
          <w:lang w:val="ru"/>
        </w:rPr>
        <w:t xml:space="preserve"> приведены сметы расходов на проведение совещаний, а также расходов, связанных с участием в них, </w:t>
      </w:r>
      <w:r w:rsidR="00D754D2">
        <w:rPr>
          <w:lang w:val="ru"/>
        </w:rPr>
        <w:t>в</w:t>
      </w:r>
      <w:r>
        <w:rPr>
          <w:lang w:val="ru"/>
        </w:rPr>
        <w:t xml:space="preserve"> период 2025–2026 годов. Подробные таблицы, касающиеся финансирования участия </w:t>
      </w:r>
      <w:r w:rsidR="00D754D2">
        <w:rPr>
          <w:lang w:val="ru"/>
        </w:rPr>
        <w:t>в</w:t>
      </w:r>
      <w:r>
        <w:rPr>
          <w:lang w:val="ru"/>
        </w:rPr>
        <w:t xml:space="preserve"> период 2025–2026 годов, включая финансирование наименее развитых стран и малых островных развивающихся государств, а также размера и состава делегаций Сторон, будут представлены в информационном документе.</w:t>
      </w:r>
    </w:p>
    <w:p w14:paraId="539A292E" w14:textId="77777777" w:rsidR="00DF3626" w:rsidRPr="00B41D13" w:rsidRDefault="00DF3626" w:rsidP="00DF3626">
      <w:pPr>
        <w:pStyle w:val="CBDNormalNumber"/>
        <w:numPr>
          <w:ilvl w:val="0"/>
          <w:numId w:val="0"/>
        </w:numPr>
        <w:ind w:left="567"/>
        <w:rPr>
          <w:i/>
          <w:iCs/>
          <w:lang w:val="ru-RU"/>
        </w:rPr>
      </w:pPr>
      <w:r>
        <w:rPr>
          <w:i/>
          <w:iCs/>
          <w:lang w:val="ru"/>
        </w:rPr>
        <w:t>Бюджет расходов на проведение совещаний: расходы на место проведения и поддержку совещаний со стороны секретариата</w:t>
      </w:r>
    </w:p>
    <w:p w14:paraId="6DDF06B7" w14:textId="0A33610F" w:rsidR="00DF3626" w:rsidRDefault="00DF3626" w:rsidP="00DF3626">
      <w:pPr>
        <w:pStyle w:val="CBDNormalNumber"/>
      </w:pPr>
      <w:r>
        <w:rPr>
          <w:lang w:val="ru"/>
        </w:rPr>
        <w:t xml:space="preserve">В </w:t>
      </w:r>
      <w:r w:rsidR="003C0CE7">
        <w:rPr>
          <w:lang w:val="ru"/>
        </w:rPr>
        <w:t>период</w:t>
      </w:r>
      <w:r>
        <w:rPr>
          <w:lang w:val="ru"/>
        </w:rPr>
        <w:t xml:space="preserve"> 2025–2026 годов фактические расходы из основного бюджета превысили сумму, предусмотренную в первоначально утвержденном бюджете. Перерасход средств был обусловлен проведением двух дополнительных совещаний в межсессионный период, а именно возобновленного 16-го совещания Конференции Сторон, 11-го совещания Конференции Сторон, выступающей в качестве Совещания Сторон Картахенского протокола, и 5-го совещания Конференции Сторон, выступающей в качестве совещания Сторон Нагойского протокола, а также дополнительного совещания Вспомогательного органа по осуществлению. Эти совещания не были предусмотрены в утвержденном бюджете. Расходы на их проведение составили 1,1 млн долл. США. Секретариату удалось сократить расходы на проведение других совещаний, однако ожидается, что расходы по статье бюджета на проведение мероприятий в период 2025–2026 годов превысят предусмотренную сумму приблизительно на 880 000 долл. США. </w:t>
      </w:r>
    </w:p>
    <w:p w14:paraId="201191D8" w14:textId="701F347E" w:rsidR="00DF3626" w:rsidRPr="00B41D13" w:rsidRDefault="00E802FA" w:rsidP="00DF3626">
      <w:pPr>
        <w:pStyle w:val="CBDNormalNumber"/>
        <w:rPr>
          <w:lang w:val="ru-RU"/>
        </w:rPr>
      </w:pPr>
      <w:r>
        <w:rPr>
          <w:lang w:val="ru"/>
        </w:rPr>
        <w:t xml:space="preserve">Согласно решениям </w:t>
      </w:r>
      <w:hyperlink r:id="rId45" w:history="1">
        <w:r>
          <w:rPr>
            <w:rStyle w:val="Hyperlink"/>
            <w:lang w:val="ru"/>
          </w:rPr>
          <w:t>16/29</w:t>
        </w:r>
      </w:hyperlink>
      <w:r>
        <w:rPr>
          <w:lang w:val="ru"/>
        </w:rPr>
        <w:t xml:space="preserve">, </w:t>
      </w:r>
      <w:hyperlink r:id="rId46" w:history="1">
        <w:r>
          <w:rPr>
            <w:rStyle w:val="Hyperlink"/>
            <w:lang w:val="ru"/>
          </w:rPr>
          <w:t>CP-11/12</w:t>
        </w:r>
      </w:hyperlink>
      <w:r>
        <w:rPr>
          <w:lang w:val="ru"/>
        </w:rPr>
        <w:t xml:space="preserve"> и </w:t>
      </w:r>
      <w:hyperlink r:id="rId47" w:history="1">
        <w:r>
          <w:rPr>
            <w:rStyle w:val="Hyperlink"/>
            <w:lang w:val="ru"/>
          </w:rPr>
          <w:t>NP-5/13</w:t>
        </w:r>
      </w:hyperlink>
      <w:r>
        <w:rPr>
          <w:lang w:val="ru"/>
        </w:rPr>
        <w:t>, Исполнительный секретарь уполномочен использовать сумму, не превышающую 400 000 долл. США, из неизрасходованного остатка средств общих целевых фондов Конвенции и протоколов к ней для покрытия дополнительных расходов, связанных с проведением очных возобновленных сессий.</w:t>
      </w:r>
    </w:p>
    <w:p w14:paraId="5D14CC94" w14:textId="2C8D01B5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Перерасход средств на организацию совещаний, который не может быть покрыт за счет экономии по бюджетной статье расходов на персонал, образовавшейся в результате вакансий в двух</w:t>
      </w:r>
      <w:r w:rsidR="00431B15">
        <w:rPr>
          <w:lang w:val="ru"/>
        </w:rPr>
        <w:t>летний</w:t>
      </w:r>
      <w:r>
        <w:rPr>
          <w:lang w:val="ru"/>
        </w:rPr>
        <w:t xml:space="preserve"> период 2025–2026 годов, покрывается в соответствии с положениями, предусмотренными в решении </w:t>
      </w:r>
      <w:hyperlink r:id="rId48" w:tgtFrame="_blank" w:history="1">
        <w:r>
          <w:rPr>
            <w:rStyle w:val="Hyperlink"/>
            <w:lang w:val="ru"/>
          </w:rPr>
          <w:t>16/29</w:t>
        </w:r>
      </w:hyperlink>
      <w:r>
        <w:rPr>
          <w:lang w:val="ru"/>
        </w:rPr>
        <w:t>.</w:t>
      </w:r>
    </w:p>
    <w:p w14:paraId="01F9440D" w14:textId="301AA534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В соответствии с утвержденными бюджетными положениями Исполнительный секретарь уполномочен перераспределять средства между основными разделами бюджетных ассигнований на сумму, не превышающую в совокупности 15% от общего бюджета по программам, при условии, что в отношении каждого такого раздела бюджетных ассигнований действует максимальное ограничение в 25%</w:t>
      </w:r>
      <w:r w:rsidR="003C0CE7">
        <w:rPr>
          <w:lang w:val="ru"/>
        </w:rPr>
        <w:t>.</w:t>
      </w:r>
      <w:r>
        <w:rPr>
          <w:lang w:val="ru"/>
        </w:rPr>
        <w:t xml:space="preserve"> Перерасход по статье бюджета на совещания составил 18% от объема этой статьи ассигнований и значительно меньше 15% от общего объема бюджета. В связи с этим перераспредел</w:t>
      </w:r>
      <w:r w:rsidR="003C0CE7">
        <w:rPr>
          <w:lang w:val="ru"/>
        </w:rPr>
        <w:t xml:space="preserve">ение </w:t>
      </w:r>
      <w:r>
        <w:rPr>
          <w:lang w:val="ru"/>
        </w:rPr>
        <w:t xml:space="preserve">средств входило в компетенцию Исполнительного секретаря. Кроме того, недоосвоение средств по статье бюджета на персонал составило 886 000 долл. США, и поэтому перерасход средств на проведение </w:t>
      </w:r>
      <w:r>
        <w:rPr>
          <w:lang w:val="ru"/>
        </w:rPr>
        <w:lastRenderedPageBreak/>
        <w:t>совещаний будет компенсирован за счет недоосвоенных средств по статье бюджета на персонал.</w:t>
      </w:r>
    </w:p>
    <w:p w14:paraId="52B46AFB" w14:textId="77777777" w:rsidR="00DF3626" w:rsidRPr="00DF3626" w:rsidRDefault="00DF3626" w:rsidP="00DF3626">
      <w:pPr>
        <w:pStyle w:val="CBDNormalNumber"/>
        <w:numPr>
          <w:ilvl w:val="0"/>
          <w:numId w:val="0"/>
        </w:numPr>
        <w:ind w:left="567"/>
        <w:rPr>
          <w:i/>
          <w:iCs/>
        </w:rPr>
      </w:pPr>
      <w:r>
        <w:rPr>
          <w:i/>
          <w:iCs/>
          <w:lang w:val="ru"/>
        </w:rPr>
        <w:t>Содействие участию Сторон</w:t>
      </w:r>
    </w:p>
    <w:p w14:paraId="6E790B3B" w14:textId="60B9B543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В решении </w:t>
      </w:r>
      <w:hyperlink r:id="rId49" w:tgtFrame="_blank" w:history="1">
        <w:r>
          <w:rPr>
            <w:rStyle w:val="Hyperlink"/>
            <w:lang w:val="ru"/>
          </w:rPr>
          <w:t>14/37</w:t>
        </w:r>
      </w:hyperlink>
      <w:r>
        <w:rPr>
          <w:lang w:val="ru"/>
        </w:rPr>
        <w:t xml:space="preserve"> Конференция Сторон поручила Исполнительному секретарю представить предложения о пересмотре структуры и правил Специального добровольного целевого фонда для содействия участию Сторон в процессе осуществления Конвенции (Целевой фонд BZ), c целью решения многолетней проблемы отсутствия предсказуемого и устойчивого финансирования и обеспечения того, чтобы фонд оказывал поддержку наиболее нуждающимся Сторонам. </w:t>
      </w:r>
    </w:p>
    <w:p w14:paraId="446631BA" w14:textId="5932A724" w:rsidR="00DF3626" w:rsidRPr="00B41D13" w:rsidRDefault="00C56E79" w:rsidP="00DF3626">
      <w:pPr>
        <w:pStyle w:val="CBDNormalNumber"/>
        <w:rPr>
          <w:lang w:val="ru-RU"/>
        </w:rPr>
      </w:pPr>
      <w:r>
        <w:rPr>
          <w:lang w:val="ru"/>
        </w:rPr>
        <w:t xml:space="preserve">В решениях </w:t>
      </w:r>
      <w:hyperlink r:id="rId50" w:tgtFrame="_blank" w:history="1">
        <w:r>
          <w:rPr>
            <w:rStyle w:val="Hyperlink"/>
            <w:lang w:val="ru"/>
          </w:rPr>
          <w:t>16/25</w:t>
        </w:r>
      </w:hyperlink>
      <w:r>
        <w:rPr>
          <w:lang w:val="ru"/>
        </w:rPr>
        <w:t xml:space="preserve"> и </w:t>
      </w:r>
      <w:hyperlink r:id="rId51" w:tgtFrame="_blank" w:history="1">
        <w:r>
          <w:rPr>
            <w:rStyle w:val="Hyperlink"/>
            <w:lang w:val="ru"/>
          </w:rPr>
          <w:t>16/28</w:t>
        </w:r>
      </w:hyperlink>
      <w:r>
        <w:rPr>
          <w:lang w:val="ru"/>
        </w:rPr>
        <w:t xml:space="preserve"> Конференция Сторон подчеркнула важность участия Сторон из числа развивающихся стран, в частности наименее развитых стран и малых островных развивающихся государств, а также Сторон с переходной экономикой. </w:t>
      </w:r>
    </w:p>
    <w:p w14:paraId="1F8E921A" w14:textId="5C793F57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Секретариат провел опрос среди секретариатов глобальных многосторонних природоохранных соглашений с целью сбора информации о механизмах поддержки участия в рамках других многосторонних природоохранных соглашений</w:t>
      </w:r>
      <w:r>
        <w:rPr>
          <w:rStyle w:val="FootnoteReference"/>
          <w:lang w:val="ru"/>
        </w:rPr>
        <w:footnoteReference w:id="9"/>
      </w:r>
      <w:r w:rsidR="00D244F3">
        <w:rPr>
          <w:lang w:val="ru"/>
        </w:rPr>
        <w:t>.</w:t>
      </w:r>
    </w:p>
    <w:p w14:paraId="3B87A7A4" w14:textId="4E96D48D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>Исполнительный секретарь периодически отправлял всем Сторонам письма с предложением внести добровольные взносы. В тех же обращениях Сторонам, имеющим право на получение финансирования, предлагалось изучить альтернативные источники финансирования. Кроме того, Исполнительный секретарь неоднократно подчеркивал важность поддержки участия в ходе двусторонних встреч со Сторонами и с негосударственными субъектами в целях привлечения финансирования из альтернативных источников.</w:t>
      </w:r>
    </w:p>
    <w:p w14:paraId="7C8FA88F" w14:textId="600F1141" w:rsidR="008B78C3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Динамика поступления взносов в оба целевых фонда, представленная на рисунках I и II ниже, свидетельствует о тенденции к снижению общего уровня финансирования мер по поддержке участия Сторон, имеющих право на получение </w:t>
      </w:r>
      <w:r w:rsidR="00C4504A">
        <w:rPr>
          <w:lang w:val="ru"/>
        </w:rPr>
        <w:t>финансирования</w:t>
      </w:r>
      <w:r>
        <w:rPr>
          <w:lang w:val="ru"/>
        </w:rPr>
        <w:t>, а также коренных народов и местных общин.</w:t>
      </w:r>
    </w:p>
    <w:p w14:paraId="1442A011" w14:textId="30EAC485" w:rsidR="0025364B" w:rsidRPr="00B41D13" w:rsidRDefault="006E483F" w:rsidP="002537BE">
      <w:pPr>
        <w:tabs>
          <w:tab w:val="clear" w:pos="567"/>
          <w:tab w:val="clear" w:pos="1134"/>
          <w:tab w:val="clear" w:pos="1701"/>
          <w:tab w:val="clear" w:pos="2268"/>
        </w:tabs>
        <w:ind w:left="567"/>
        <w:jc w:val="left"/>
        <w:rPr>
          <w:lang w:val="ru-RU"/>
        </w:rPr>
      </w:pPr>
      <w:r>
        <w:rPr>
          <w:lang w:val="ru"/>
        </w:rPr>
        <w:br w:type="page"/>
      </w:r>
      <w:r>
        <w:rPr>
          <w:lang w:val="ru"/>
        </w:rPr>
        <w:lastRenderedPageBreak/>
        <w:t>Рисунок I</w:t>
      </w:r>
    </w:p>
    <w:p w14:paraId="5F61D3D4" w14:textId="000CE9F9" w:rsidR="00DF3626" w:rsidRPr="00B41D13" w:rsidRDefault="00DF3626" w:rsidP="002537BE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b/>
          <w:bCs/>
          <w:lang w:val="ru-RU"/>
        </w:rPr>
      </w:pPr>
      <w:r>
        <w:rPr>
          <w:b/>
          <w:bCs/>
          <w:lang w:val="ru"/>
        </w:rPr>
        <w:t>Специальный добровольный целевой фонд BZ для содействия участию имеющих на это право Сторон: динамика поступления взносов в период 2017–2026 годов</w:t>
      </w:r>
    </w:p>
    <w:p w14:paraId="52AE07E4" w14:textId="42CC907F" w:rsidR="0025364B" w:rsidRDefault="00DF3626" w:rsidP="00DF3626">
      <w:pPr>
        <w:pStyle w:val="CBDNormalNumber"/>
        <w:numPr>
          <w:ilvl w:val="0"/>
          <w:numId w:val="0"/>
        </w:numPr>
        <w:ind w:left="567"/>
      </w:pPr>
      <w:r>
        <w:rPr>
          <w:rFonts w:eastAsia="Calibri"/>
          <w:noProof/>
          <w:lang w:val="ru"/>
        </w:rPr>
        <w:drawing>
          <wp:inline distT="0" distB="0" distL="0" distR="0" wp14:anchorId="3B22B0B2" wp14:editId="5031AECC">
            <wp:extent cx="5613400" cy="2076450"/>
            <wp:effectExtent l="0" t="0" r="0" b="0"/>
            <wp:docPr id="1073741828" name="officeArt object" descr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8" name="Picture 1" descr="Picture 1"/>
                    <pic:cNvPicPr>
                      <a:picLocks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>
                    <a:xfrm>
                      <a:off x="0" y="0"/>
                      <a:ext cx="5613760" cy="207658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3A0C3F3D" w14:textId="193F9F53" w:rsidR="0025364B" w:rsidRPr="00B41D13" w:rsidRDefault="00DF3626" w:rsidP="002537BE">
      <w:pPr>
        <w:pStyle w:val="CBDNormalNumber"/>
        <w:numPr>
          <w:ilvl w:val="0"/>
          <w:numId w:val="0"/>
        </w:numPr>
        <w:spacing w:after="0"/>
        <w:ind w:left="567"/>
        <w:rPr>
          <w:lang w:val="ru-RU"/>
        </w:rPr>
      </w:pPr>
      <w:r>
        <w:rPr>
          <w:lang w:val="ru"/>
        </w:rPr>
        <w:t>Рисунок II</w:t>
      </w:r>
    </w:p>
    <w:p w14:paraId="73279847" w14:textId="3EE8C1C2" w:rsidR="00DF3626" w:rsidRPr="00B41D13" w:rsidRDefault="00DF3626" w:rsidP="002537BE">
      <w:pPr>
        <w:pStyle w:val="CBDNormalNumber"/>
        <w:numPr>
          <w:ilvl w:val="0"/>
          <w:numId w:val="0"/>
        </w:numPr>
        <w:spacing w:before="0"/>
        <w:ind w:left="567"/>
        <w:jc w:val="left"/>
        <w:rPr>
          <w:b/>
          <w:bCs/>
          <w:lang w:val="ru-RU"/>
        </w:rPr>
      </w:pPr>
      <w:r>
        <w:rPr>
          <w:b/>
          <w:bCs/>
          <w:lang w:val="ru"/>
        </w:rPr>
        <w:t>Специальный добровольный целевой фонд VB для содействия участию коренных народов и местных общин: динамика поступления взносов в период 2017–2026 годов</w:t>
      </w:r>
    </w:p>
    <w:p w14:paraId="1DC06FFA" w14:textId="2BE4FCFC" w:rsidR="00DF3626" w:rsidRDefault="00DF3626" w:rsidP="00DF3626">
      <w:pPr>
        <w:pStyle w:val="CBDNormalNumber"/>
        <w:numPr>
          <w:ilvl w:val="0"/>
          <w:numId w:val="0"/>
        </w:numPr>
        <w:ind w:left="567"/>
      </w:pPr>
      <w:r>
        <w:rPr>
          <w:rFonts w:eastAsia="Calibri"/>
          <w:noProof/>
          <w:lang w:val="ru"/>
        </w:rPr>
        <w:drawing>
          <wp:inline distT="0" distB="0" distL="0" distR="0" wp14:anchorId="0ACA2558" wp14:editId="3C913B20">
            <wp:extent cx="5556250" cy="2336800"/>
            <wp:effectExtent l="0" t="0" r="0" b="0"/>
            <wp:docPr id="1073741829" name="officeArt object" descr="Изображение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3741829" name="Picture 1" descr="Picture 1"/>
                    <pic:cNvPicPr>
                      <a:picLocks noChangeAspect="1"/>
                    </pic:cNvPicPr>
                  </pic:nvPicPr>
                  <pic:blipFill>
                    <a:blip r:embed="rId53"/>
                    <a:stretch>
                      <a:fillRect/>
                    </a:stretch>
                  </pic:blipFill>
                  <pic:spPr>
                    <a:xfrm>
                      <a:off x="0" y="0"/>
                      <a:ext cx="5557993" cy="2337533"/>
                    </a:xfrm>
                    <a:prstGeom prst="rect">
                      <a:avLst/>
                    </a:prstGeom>
                    <a:ln w="12700" cap="flat">
                      <a:noFill/>
                      <a:miter lim="400000"/>
                    </a:ln>
                    <a:effectLst/>
                  </pic:spPr>
                </pic:pic>
              </a:graphicData>
            </a:graphic>
          </wp:inline>
        </w:drawing>
      </w:r>
    </w:p>
    <w:p w14:paraId="0DB5E70F" w14:textId="121C9CD2" w:rsidR="00DF3626" w:rsidRPr="00B41D13" w:rsidRDefault="00DF3626" w:rsidP="00DF3626">
      <w:pPr>
        <w:pStyle w:val="CBDNormalNumber"/>
        <w:rPr>
          <w:lang w:val="ru-RU"/>
        </w:rPr>
      </w:pPr>
      <w:r>
        <w:rPr>
          <w:lang w:val="ru"/>
        </w:rPr>
        <w:t xml:space="preserve">В предлагаемом бюджете на двухлетний период 2027–2028 годов, представленном в документе </w:t>
      </w:r>
      <w:hyperlink r:id="rId54" w:history="1">
        <w:r>
          <w:rPr>
            <w:rStyle w:val="Hyperlink"/>
            <w:lang w:val="ru"/>
          </w:rPr>
          <w:t>CBD/COP/17/4</w:t>
        </w:r>
      </w:hyperlink>
      <w:r>
        <w:rPr>
          <w:lang w:val="ru"/>
        </w:rPr>
        <w:t>-</w:t>
      </w:r>
      <w:hyperlink r:id="rId55" w:history="1">
        <w:r>
          <w:rPr>
            <w:rStyle w:val="Hyperlink"/>
            <w:lang w:val="ru"/>
          </w:rPr>
          <w:t>CBD/CP/MOP/12/5</w:t>
        </w:r>
      </w:hyperlink>
      <w:r>
        <w:rPr>
          <w:lang w:val="ru"/>
        </w:rPr>
        <w:t>-</w:t>
      </w:r>
      <w:hyperlink r:id="rId56" w:history="1">
        <w:r>
          <w:rPr>
            <w:rStyle w:val="Hyperlink"/>
            <w:lang w:val="ru"/>
          </w:rPr>
          <w:t>CBD/NP/MOP/6/5</w:t>
        </w:r>
      </w:hyperlink>
      <w:r>
        <w:rPr>
          <w:lang w:val="ru"/>
        </w:rPr>
        <w:t>, предусмотрено по одному заседанию каждого вспомогательного органа. Дополнительные сметные расчеты расходов на проведение совещаний на основе различных вариантов и сценариев представлены в таблице 2 ниже. Хотя существующие критерии, в рамках которых приоритет отдается наименее развитым странам и малым островным развивающимся государствам, по-прежнему могут применяться при распределении финансирования в целях содействия участию, большое значение имеет увеличение числа Сторон и других субъектов, вносящих взносы в эти целевые фонды.</w:t>
      </w:r>
    </w:p>
    <w:p w14:paraId="7472E93A" w14:textId="77777777" w:rsidR="006E483F" w:rsidRPr="00B41D13" w:rsidRDefault="006E483F">
      <w:pPr>
        <w:tabs>
          <w:tab w:val="clear" w:pos="567"/>
          <w:tab w:val="clear" w:pos="1134"/>
          <w:tab w:val="clear" w:pos="1701"/>
          <w:tab w:val="clear" w:pos="2268"/>
        </w:tabs>
        <w:jc w:val="left"/>
        <w:rPr>
          <w:lang w:val="ru-RU"/>
        </w:rPr>
      </w:pPr>
      <w:r>
        <w:rPr>
          <w:lang w:val="ru"/>
        </w:rPr>
        <w:br w:type="page"/>
      </w:r>
    </w:p>
    <w:p w14:paraId="7864A76C" w14:textId="2BA4F711" w:rsidR="00DF3626" w:rsidRDefault="00DF3626" w:rsidP="0025364B">
      <w:pPr>
        <w:pStyle w:val="CBDNormalNumber"/>
        <w:numPr>
          <w:ilvl w:val="0"/>
          <w:numId w:val="0"/>
        </w:numPr>
        <w:ind w:left="567"/>
        <w:jc w:val="left"/>
        <w:rPr>
          <w:lang w:val="ru"/>
        </w:rPr>
      </w:pPr>
      <w:r>
        <w:rPr>
          <w:lang w:val="ru"/>
        </w:rPr>
        <w:lastRenderedPageBreak/>
        <w:t>Таблица 2</w:t>
      </w:r>
      <w:r>
        <w:rPr>
          <w:lang w:val="ru"/>
        </w:rPr>
        <w:br/>
      </w:r>
      <w:r>
        <w:rPr>
          <w:b/>
          <w:bCs/>
          <w:lang w:val="ru"/>
        </w:rPr>
        <w:t>Расходы на проведение совещаний с учетом различных вариантов и сценариев</w:t>
      </w:r>
      <w:r>
        <w:rPr>
          <w:lang w:val="ru"/>
        </w:rPr>
        <w:br/>
        <w:t>(в долл. США)</w:t>
      </w:r>
    </w:p>
    <w:p w14:paraId="1074A004" w14:textId="1947B9E7" w:rsidR="0054063E" w:rsidRPr="0054063E" w:rsidRDefault="00382B3A" w:rsidP="0025364B">
      <w:pPr>
        <w:pStyle w:val="CBDNormalNumber"/>
        <w:numPr>
          <w:ilvl w:val="0"/>
          <w:numId w:val="0"/>
        </w:numPr>
        <w:ind w:left="567"/>
        <w:jc w:val="left"/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6FB37FB9" wp14:editId="2167C166">
            <wp:extent cx="5943600" cy="3203575"/>
            <wp:effectExtent l="0" t="0" r="0" b="0"/>
            <wp:docPr id="645785209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45785209" name="Image 645785209"/>
                    <pic:cNvPicPr/>
                  </pic:nvPicPr>
                  <pic:blipFill>
                    <a:blip r:embed="rId5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203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2C9492" w14:textId="44020DF3" w:rsidR="00A00894" w:rsidRPr="00B41D13" w:rsidRDefault="00A00894" w:rsidP="00DF3626">
      <w:pPr>
        <w:pStyle w:val="CBDNormalNumber"/>
        <w:numPr>
          <w:ilvl w:val="0"/>
          <w:numId w:val="0"/>
        </w:numPr>
        <w:ind w:left="567"/>
        <w:rPr>
          <w:i/>
          <w:sz w:val="18"/>
          <w:szCs w:val="18"/>
          <w:lang w:val="ru-RU"/>
        </w:rPr>
      </w:pPr>
      <w:r>
        <w:rPr>
          <w:sz w:val="18"/>
          <w:szCs w:val="18"/>
          <w:lang w:val="ru"/>
        </w:rPr>
        <w:t xml:space="preserve">Сокращения: КС — Конференция Сторон; сут. — суточные; ИК — индивидуальные консультанты; НРС — наименее развитая страна; РПП — </w:t>
      </w:r>
      <w:r w:rsidR="00C4504A">
        <w:rPr>
          <w:sz w:val="18"/>
          <w:szCs w:val="18"/>
          <w:lang w:val="ru"/>
        </w:rPr>
        <w:t>р</w:t>
      </w:r>
      <w:r>
        <w:rPr>
          <w:sz w:val="18"/>
          <w:szCs w:val="18"/>
          <w:lang w:val="ru"/>
        </w:rPr>
        <w:t xml:space="preserve">асходы на поддержку программ; ВО8j — Вспомогательный орган по осуществлению статьи 8 j) и других положений Конвенции о биологическом разнообразии, касающихся коренных народов и местных общин; ВОО — Вспомогательный орган по осуществлению; ВОНТТК — Вспомогательный орган по научным, техническим и технологическим консультациям; МОСРГ — </w:t>
      </w:r>
      <w:r>
        <w:rPr>
          <w:lang w:val="ru"/>
        </w:rPr>
        <w:t xml:space="preserve"> </w:t>
      </w:r>
      <w:r>
        <w:rPr>
          <w:sz w:val="18"/>
          <w:szCs w:val="18"/>
          <w:lang w:val="ru"/>
        </w:rPr>
        <w:t>малое островное развивающееся государство.</w:t>
      </w:r>
    </w:p>
    <w:p w14:paraId="4940C07A" w14:textId="77777777" w:rsidR="00EF4371" w:rsidRDefault="00F06BEC" w:rsidP="00F06BEC">
      <w:pPr>
        <w:pStyle w:val="CBDNormalNumber"/>
        <w:numPr>
          <w:ilvl w:val="0"/>
          <w:numId w:val="0"/>
        </w:numPr>
        <w:ind w:left="567"/>
        <w:jc w:val="left"/>
      </w:pPr>
      <w:r>
        <w:rPr>
          <w:lang w:val="ru"/>
        </w:rPr>
        <w:t>Сценарий 1:</w:t>
      </w:r>
    </w:p>
    <w:p w14:paraId="709C8506" w14:textId="4FB81FE8" w:rsidR="001D48D9" w:rsidRPr="00B41D13" w:rsidRDefault="00A04872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18-е совещание Конференции Сторон, 11-е совещание Конференции Сторон, выступающей в качестве Совещания Сторон Картахенского протокола и 7-е совещание Конференции Сторон, выступающей в качестве совещания Сторон Нагойского протокола: 14 дней</w:t>
      </w:r>
    </w:p>
    <w:p w14:paraId="3FF78C04" w14:textId="15F9BBAB" w:rsidR="00053374" w:rsidRPr="00B41D13" w:rsidRDefault="00C4504A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29-е</w:t>
      </w:r>
      <w:r w:rsidR="000F4FB7">
        <w:rPr>
          <w:lang w:val="ru"/>
        </w:rPr>
        <w:t xml:space="preserve"> </w:t>
      </w:r>
      <w:r w:rsidR="00445100">
        <w:rPr>
          <w:lang w:val="ru"/>
        </w:rPr>
        <w:t>совещание Вспомогательного органа по научным, техническим и технологическим консультациям: 12 дней</w:t>
      </w:r>
    </w:p>
    <w:p w14:paraId="73080F98" w14:textId="13A8149B" w:rsidR="0021480E" w:rsidRPr="00B41D13" w:rsidRDefault="00EB6414" w:rsidP="006870CF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8-е</w:t>
      </w:r>
      <w:r w:rsidR="00DA6907">
        <w:rPr>
          <w:lang w:val="ru"/>
        </w:rPr>
        <w:t xml:space="preserve"> совещание Вспомогательного органа по осуществлению: 12 дней</w:t>
      </w:r>
    </w:p>
    <w:p w14:paraId="56B7EF24" w14:textId="47CBF066" w:rsidR="00EF4371" w:rsidRPr="00B41D13" w:rsidRDefault="00EB6414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2-е</w:t>
      </w:r>
      <w:r w:rsidR="00293CB8">
        <w:rPr>
          <w:lang w:val="ru"/>
        </w:rPr>
        <w:t xml:space="preserve"> совещание Вспомогательного органа по осуществлению статьи 8 j) и других положений Конвенции о биологическом разнообразии, касающихся коренных народов и местных общин: 5 дней</w:t>
      </w:r>
    </w:p>
    <w:p w14:paraId="0E82E62D" w14:textId="50E6E8CA" w:rsidR="00315353" w:rsidRPr="00B41D13" w:rsidRDefault="00D4303A" w:rsidP="002537BE">
      <w:pPr>
        <w:pStyle w:val="CBDNormalNumber"/>
        <w:numPr>
          <w:ilvl w:val="0"/>
          <w:numId w:val="0"/>
        </w:numPr>
        <w:ind w:left="567"/>
        <w:jc w:val="left"/>
        <w:rPr>
          <w:lang w:val="ru-RU"/>
        </w:rPr>
      </w:pPr>
      <w:r>
        <w:rPr>
          <w:lang w:val="ru"/>
        </w:rPr>
        <w:t>Сценарий 2 (сокращенные совещания Вспомогательных органов):</w:t>
      </w:r>
    </w:p>
    <w:p w14:paraId="3B105834" w14:textId="75D244F4" w:rsidR="00515A2B" w:rsidRPr="00B41D13" w:rsidRDefault="00515A2B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18-е совещание Конференции Сторон, 11-е совещание Конференции Сторон, выступающей в качестве Совещания Сторон Картахенского протокола и 7-е совещание Конференции Сторон, выступающей в качестве совещания Сторон Нагойского протокола: 14 дней</w:t>
      </w:r>
    </w:p>
    <w:p w14:paraId="7D1493BC" w14:textId="484C4269" w:rsidR="00515A2B" w:rsidRPr="00B41D13" w:rsidRDefault="00EB6414" w:rsidP="006870CF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29-е</w:t>
      </w:r>
      <w:r w:rsidR="00515A2B">
        <w:rPr>
          <w:lang w:val="ru"/>
        </w:rPr>
        <w:t xml:space="preserve"> совещание Вспомогательного органа по научным, техническим и технологическим консультациям: 10 дней</w:t>
      </w:r>
    </w:p>
    <w:p w14:paraId="19749321" w14:textId="41ED3612" w:rsidR="00515A2B" w:rsidRPr="00B41D13" w:rsidRDefault="00EB6414" w:rsidP="006870CF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-RU"/>
        </w:rPr>
        <w:t>8-е</w:t>
      </w:r>
      <w:r w:rsidR="00515A2B">
        <w:rPr>
          <w:lang w:val="ru"/>
        </w:rPr>
        <w:t xml:space="preserve"> совещание Вспомогательного органа по осуществлению: 10 дней</w:t>
      </w:r>
    </w:p>
    <w:p w14:paraId="283D07F8" w14:textId="34EA0F54" w:rsidR="00515A2B" w:rsidRPr="00B41D13" w:rsidRDefault="00EB6414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-RU"/>
        </w:rPr>
        <w:lastRenderedPageBreak/>
        <w:t>2-е</w:t>
      </w:r>
      <w:r w:rsidR="00515A2B">
        <w:rPr>
          <w:lang w:val="ru"/>
        </w:rPr>
        <w:t xml:space="preserve"> совещание Вспомогательного органа по осуществлению статьи 8 j) и других положений Конвенции о биологическом разнообразии, касающихся коренных народов и местных общин: 5 дней</w:t>
      </w:r>
    </w:p>
    <w:p w14:paraId="39C8716D" w14:textId="69D4FD18" w:rsidR="00515A2B" w:rsidRPr="00285FD7" w:rsidRDefault="00326F7B" w:rsidP="002537BE">
      <w:pPr>
        <w:pStyle w:val="CBDNormalNumber"/>
        <w:numPr>
          <w:ilvl w:val="0"/>
          <w:numId w:val="0"/>
        </w:numPr>
        <w:ind w:left="567"/>
        <w:jc w:val="left"/>
      </w:pPr>
      <w:r>
        <w:rPr>
          <w:lang w:val="ru"/>
        </w:rPr>
        <w:t>Сценарий 3 (объединение совещаний):</w:t>
      </w:r>
    </w:p>
    <w:p w14:paraId="582F3867" w14:textId="388C20EF" w:rsidR="00326F7B" w:rsidRPr="00B41D13" w:rsidRDefault="00326F7B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18-е совещание Конференции Сторон, 11-е совещание Конференции Сторон, выступающей в качестве Совещания Сторон Картахенского протокола и 7-е совещание Конференции Сторон, выступающей в качестве совещания Сторон Нагойского протокола: 14 дней</w:t>
      </w:r>
    </w:p>
    <w:p w14:paraId="09DA646D" w14:textId="22FC74CD" w:rsidR="00326F7B" w:rsidRPr="00B41D13" w:rsidRDefault="00EB6414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"/>
        </w:rPr>
        <w:t>29-е</w:t>
      </w:r>
      <w:r w:rsidR="00326F7B">
        <w:rPr>
          <w:lang w:val="ru"/>
        </w:rPr>
        <w:t xml:space="preserve"> совещание Вспомогательного органа по научным, техническим и технологическим консультациям и восьмое совещание Вспомогательного органа по осуществлению: 20 дней</w:t>
      </w:r>
    </w:p>
    <w:p w14:paraId="1A4B63AB" w14:textId="1B2D0C5C" w:rsidR="00326F7B" w:rsidRPr="00B41D13" w:rsidRDefault="00EB6414" w:rsidP="002537BE">
      <w:pPr>
        <w:pStyle w:val="CBDNormalNumber"/>
        <w:numPr>
          <w:ilvl w:val="1"/>
          <w:numId w:val="24"/>
        </w:numPr>
        <w:tabs>
          <w:tab w:val="clear" w:pos="1701"/>
        </w:tabs>
        <w:spacing w:before="60" w:after="60"/>
        <w:ind w:left="1135" w:hanging="284"/>
        <w:rPr>
          <w:lang w:val="ru-RU"/>
        </w:rPr>
      </w:pPr>
      <w:r>
        <w:rPr>
          <w:lang w:val="ru-RU"/>
        </w:rPr>
        <w:t>2-е</w:t>
      </w:r>
      <w:r w:rsidR="00326F7B">
        <w:rPr>
          <w:lang w:val="ru"/>
        </w:rPr>
        <w:t xml:space="preserve"> совещание Вспомогательного органа по осуществлению статьи 8 j) и других положений Конвенции о биологическом разнообразии, касающихся коренных народов и местных общин: 5 дней</w:t>
      </w:r>
    </w:p>
    <w:p w14:paraId="71314D57" w14:textId="77777777" w:rsidR="00326F7B" w:rsidRPr="00B41D13" w:rsidRDefault="00326F7B" w:rsidP="002537BE">
      <w:pPr>
        <w:pStyle w:val="CBDNormalNumber"/>
        <w:numPr>
          <w:ilvl w:val="0"/>
          <w:numId w:val="0"/>
        </w:numPr>
        <w:ind w:left="567"/>
        <w:jc w:val="left"/>
        <w:rPr>
          <w:lang w:val="ru-RU"/>
        </w:rPr>
      </w:pPr>
    </w:p>
    <w:p w14:paraId="4FF93F49" w14:textId="77777777" w:rsidR="00A111D1" w:rsidRPr="003F1A75" w:rsidRDefault="00A111D1" w:rsidP="006E7BE2">
      <w:pPr>
        <w:pStyle w:val="Para1"/>
        <w:numPr>
          <w:ilvl w:val="0"/>
          <w:numId w:val="0"/>
        </w:numPr>
        <w:ind w:left="567"/>
        <w:jc w:val="center"/>
      </w:pPr>
      <w:r>
        <w:rPr>
          <w:lang w:val="ru"/>
        </w:rPr>
        <w:t>__________</w:t>
      </w:r>
    </w:p>
    <w:sectPr w:rsidR="00A111D1" w:rsidRPr="003F1A75" w:rsidSect="006E600A">
      <w:headerReference w:type="even" r:id="rId58"/>
      <w:headerReference w:type="default" r:id="rId59"/>
      <w:footerReference w:type="even" r:id="rId60"/>
      <w:footerReference w:type="default" r:id="rId61"/>
      <w:pgSz w:w="12240" w:h="15840"/>
      <w:pgMar w:top="1134" w:right="1440" w:bottom="1134" w:left="1440" w:header="705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683FB5" w14:textId="77777777" w:rsidR="00FA5492" w:rsidRPr="003F1A75" w:rsidRDefault="00FA5492" w:rsidP="00CF1848">
      <w:r>
        <w:separator/>
      </w:r>
    </w:p>
  </w:endnote>
  <w:endnote w:type="continuationSeparator" w:id="0">
    <w:p w14:paraId="00E533F8" w14:textId="77777777" w:rsidR="00FA5492" w:rsidRPr="003F1A75" w:rsidRDefault="00FA5492" w:rsidP="00CF184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Helvetica Neue">
    <w:altName w:val="Sylfae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221828911"/>
      <w:docPartObj>
        <w:docPartGallery w:val="Page Numbers (Bottom of Page)"/>
        <w:docPartUnique/>
      </w:docPartObj>
    </w:sdtPr>
    <w:sdtContent>
      <w:sdt>
        <w:sdtPr>
          <w:id w:val="-1705238520"/>
          <w:docPartObj>
            <w:docPartGallery w:val="Page Numbers (Top of Page)"/>
            <w:docPartUnique/>
          </w:docPartObj>
        </w:sdtPr>
        <w:sdtContent>
          <w:p w14:paraId="59470A3F" w14:textId="77777777" w:rsidR="00D75CA6" w:rsidRPr="003F1A75" w:rsidRDefault="00D75CA6" w:rsidP="00D75CA6">
            <w:pPr>
              <w:pStyle w:val="Footer"/>
              <w:jc w:val="left"/>
            </w:pPr>
            <w:r>
              <w:rPr>
                <w:szCs w:val="20"/>
                <w:lang w:val="ru"/>
              </w:rPr>
              <w:fldChar w:fldCharType="begin"/>
            </w:r>
            <w:r>
              <w:rPr>
                <w:szCs w:val="20"/>
                <w:lang w:val="ru"/>
              </w:rPr>
              <w:instrText xml:space="preserve"> PAGE </w:instrText>
            </w:r>
            <w:r>
              <w:rPr>
                <w:szCs w:val="20"/>
                <w:lang w:val="ru"/>
              </w:rPr>
              <w:fldChar w:fldCharType="separate"/>
            </w:r>
            <w:r>
              <w:rPr>
                <w:b/>
                <w:bCs/>
                <w:noProof/>
                <w:szCs w:val="20"/>
                <w:lang w:val="ru"/>
              </w:rPr>
              <w:t>2</w:t>
            </w:r>
            <w:r>
              <w:rPr>
                <w:szCs w:val="20"/>
                <w:lang w:val="ru"/>
              </w:rPr>
              <w:fldChar w:fldCharType="end"/>
            </w:r>
            <w:r>
              <w:rPr>
                <w:szCs w:val="20"/>
                <w:lang w:val="ru"/>
              </w:rPr>
              <w:t>/</w:t>
            </w:r>
            <w:r>
              <w:rPr>
                <w:szCs w:val="20"/>
                <w:lang w:val="ru"/>
              </w:rPr>
              <w:fldChar w:fldCharType="begin"/>
            </w:r>
            <w:r>
              <w:rPr>
                <w:szCs w:val="20"/>
                <w:lang w:val="ru"/>
              </w:rPr>
              <w:instrText xml:space="preserve"> NUMPAGES  </w:instrText>
            </w:r>
            <w:r>
              <w:rPr>
                <w:szCs w:val="20"/>
                <w:lang w:val="ru"/>
              </w:rPr>
              <w:fldChar w:fldCharType="separate"/>
            </w:r>
            <w:r>
              <w:rPr>
                <w:b/>
                <w:bCs/>
                <w:noProof/>
                <w:szCs w:val="20"/>
                <w:lang w:val="ru"/>
              </w:rPr>
              <w:t>2</w:t>
            </w:r>
            <w:r>
              <w:rPr>
                <w:szCs w:val="20"/>
                <w:lang w:val="ru"/>
              </w:rPr>
              <w:fldChar w:fldCharType="end"/>
            </w:r>
          </w:p>
        </w:sdtContent>
      </w:sdt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29102902"/>
      <w:docPartObj>
        <w:docPartGallery w:val="Page Numbers (Top of Page)"/>
        <w:docPartUnique/>
      </w:docPartObj>
    </w:sdtPr>
    <w:sdtContent>
      <w:p w14:paraId="5ED81303" w14:textId="77777777" w:rsidR="00D75CA6" w:rsidRPr="009E66EC" w:rsidRDefault="00D75CA6" w:rsidP="006E600A">
        <w:pPr>
          <w:pStyle w:val="Footer"/>
          <w:jc w:val="right"/>
        </w:pP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PAGE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2</w:t>
        </w:r>
        <w:r>
          <w:rPr>
            <w:szCs w:val="20"/>
            <w:lang w:val="ru"/>
          </w:rPr>
          <w:fldChar w:fldCharType="end"/>
        </w:r>
        <w:r>
          <w:rPr>
            <w:szCs w:val="20"/>
            <w:lang w:val="ru"/>
          </w:rPr>
          <w:t>/</w:t>
        </w:r>
        <w:r>
          <w:rPr>
            <w:szCs w:val="20"/>
            <w:lang w:val="ru"/>
          </w:rPr>
          <w:fldChar w:fldCharType="begin"/>
        </w:r>
        <w:r>
          <w:rPr>
            <w:szCs w:val="20"/>
            <w:lang w:val="ru"/>
          </w:rPr>
          <w:instrText xml:space="preserve"> NUMPAGES  </w:instrText>
        </w:r>
        <w:r>
          <w:rPr>
            <w:szCs w:val="20"/>
            <w:lang w:val="ru"/>
          </w:rPr>
          <w:fldChar w:fldCharType="separate"/>
        </w:r>
        <w:r>
          <w:rPr>
            <w:szCs w:val="20"/>
            <w:lang w:val="ru"/>
          </w:rPr>
          <w:t>3</w:t>
        </w:r>
        <w:r>
          <w:rPr>
            <w:szCs w:val="20"/>
            <w:lang w:val="ru"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E3E1A80" w14:textId="77777777" w:rsidR="00FA5492" w:rsidRPr="003F1A75" w:rsidRDefault="00FA5492" w:rsidP="00CF1848">
      <w:r>
        <w:separator/>
      </w:r>
    </w:p>
  </w:footnote>
  <w:footnote w:type="continuationSeparator" w:id="0">
    <w:p w14:paraId="30076526" w14:textId="77777777" w:rsidR="00FA5492" w:rsidRPr="003F1A75" w:rsidRDefault="00FA5492" w:rsidP="00CF1848">
      <w:r>
        <w:continuationSeparator/>
      </w:r>
    </w:p>
  </w:footnote>
  <w:footnote w:id="1">
    <w:p w14:paraId="5B884B5B" w14:textId="49446855" w:rsidR="0025455D" w:rsidRPr="0025455D" w:rsidRDefault="0025455D">
      <w:pPr>
        <w:pStyle w:val="FootnoteText"/>
      </w:pPr>
      <w:r>
        <w:rPr>
          <w:rStyle w:val="FootnoteReference"/>
          <w:lang w:val="ru"/>
        </w:rPr>
        <w:t>*</w:t>
      </w:r>
      <w:r>
        <w:rPr>
          <w:lang w:val="ru"/>
        </w:rPr>
        <w:t xml:space="preserve"> </w:t>
      </w:r>
      <w:hyperlink r:id="rId1" w:history="1">
        <w:r>
          <w:rPr>
            <w:rStyle w:val="Hyperlink"/>
            <w:lang w:val="ru"/>
          </w:rPr>
          <w:t>CBD/COP/17/1/Rev.1.</w:t>
        </w:r>
      </w:hyperlink>
    </w:p>
  </w:footnote>
  <w:footnote w:id="2">
    <w:p w14:paraId="10D921EC" w14:textId="5CF445F5" w:rsidR="0025455D" w:rsidRPr="0025455D" w:rsidRDefault="0025455D">
      <w:pPr>
        <w:pStyle w:val="FootnoteText"/>
      </w:pPr>
      <w:r>
        <w:rPr>
          <w:rStyle w:val="FootnoteReference"/>
          <w:lang w:val="ru"/>
        </w:rPr>
        <w:t>**</w:t>
      </w:r>
      <w:r>
        <w:rPr>
          <w:lang w:val="ru"/>
        </w:rPr>
        <w:t xml:space="preserve"> </w:t>
      </w:r>
      <w:hyperlink r:id="rId2" w:history="1">
        <w:r>
          <w:rPr>
            <w:rStyle w:val="Hyperlink"/>
            <w:lang w:val="ru"/>
          </w:rPr>
          <w:t>CBD/CP/MOP/12/1.</w:t>
        </w:r>
      </w:hyperlink>
    </w:p>
  </w:footnote>
  <w:footnote w:id="3">
    <w:p w14:paraId="7240F643" w14:textId="5CF6685B" w:rsidR="0025455D" w:rsidRPr="00B41D13" w:rsidRDefault="0025455D">
      <w:pPr>
        <w:pStyle w:val="FootnoteText"/>
        <w:rPr>
          <w:lang w:val="ru-RU"/>
        </w:rPr>
      </w:pPr>
      <w:r>
        <w:rPr>
          <w:rStyle w:val="FootnoteReference"/>
          <w:lang w:val="ru"/>
        </w:rPr>
        <w:t>***</w:t>
      </w:r>
      <w:r>
        <w:rPr>
          <w:lang w:val="ru"/>
        </w:rPr>
        <w:t xml:space="preserve"> </w:t>
      </w:r>
      <w:hyperlink r:id="rId3" w:history="1">
        <w:r>
          <w:rPr>
            <w:rStyle w:val="Hyperlink"/>
            <w:lang w:val="ru"/>
          </w:rPr>
          <w:t>CBD/NP/MOP/6/1.</w:t>
        </w:r>
      </w:hyperlink>
    </w:p>
  </w:footnote>
  <w:footnote w:id="4">
    <w:p w14:paraId="5E10FABB" w14:textId="79FE55EB" w:rsidR="00DB1DFB" w:rsidRPr="00B41D13" w:rsidRDefault="00DB1DFB">
      <w:pPr>
        <w:pStyle w:val="FootnoteText"/>
        <w:rPr>
          <w:lang w:val="ru-RU"/>
        </w:rPr>
      </w:pPr>
      <w:r>
        <w:rPr>
          <w:rStyle w:val="FootnoteReference"/>
          <w:vertAlign w:val="baseline"/>
          <w:lang w:val="ru"/>
        </w:rPr>
        <w:sym w:font="Symbol" w:char="F02A"/>
      </w:r>
      <w:r>
        <w:rPr>
          <w:rStyle w:val="FootnoteReference"/>
          <w:vertAlign w:val="baseline"/>
          <w:lang w:val="ru"/>
        </w:rPr>
        <w:sym w:font="Symbol" w:char="F02A"/>
      </w:r>
      <w:r>
        <w:rPr>
          <w:rStyle w:val="FootnoteReference"/>
          <w:vertAlign w:val="baseline"/>
          <w:lang w:val="ru"/>
        </w:rPr>
        <w:sym w:font="Symbol" w:char="F02A"/>
      </w:r>
      <w:r>
        <w:rPr>
          <w:rStyle w:val="FootnoteReference"/>
          <w:vertAlign w:val="baseline"/>
          <w:lang w:val="ru"/>
        </w:rPr>
        <w:sym w:font="Symbol" w:char="F02A"/>
      </w:r>
      <w:r>
        <w:rPr>
          <w:lang w:val="ru"/>
        </w:rPr>
        <w:t xml:space="preserve"> </w:t>
      </w:r>
      <w:r>
        <w:rPr>
          <w:lang w:val="ru"/>
        </w:rPr>
        <w:t>Настоящий документ публикуется без официального редактирования.</w:t>
      </w:r>
    </w:p>
  </w:footnote>
  <w:footnote w:id="5">
    <w:p w14:paraId="411AD8EB" w14:textId="2C41EB94" w:rsidR="008B78C3" w:rsidRPr="00431B15" w:rsidRDefault="008B78C3" w:rsidP="008B78C3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r>
        <w:rPr>
          <w:szCs w:val="18"/>
          <w:lang w:val="ru"/>
        </w:rPr>
        <w:t xml:space="preserve">Следует </w:t>
      </w:r>
      <w:r>
        <w:rPr>
          <w:szCs w:val="18"/>
          <w:lang w:val="ru"/>
        </w:rPr>
        <w:t>отметить, что взнос принимающей страны выплачивается путем зачета бюджетных расходов и поэтому исключен из описания ниже.</w:t>
      </w:r>
    </w:p>
  </w:footnote>
  <w:footnote w:id="6">
    <w:p w14:paraId="3E0079ED" w14:textId="31F864CB" w:rsidR="008B78C3" w:rsidRPr="00B41D13" w:rsidRDefault="008B78C3" w:rsidP="008B78C3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r>
        <w:rPr>
          <w:lang w:val="ru"/>
        </w:rPr>
        <w:t xml:space="preserve">Потребности </w:t>
      </w:r>
      <w:r>
        <w:rPr>
          <w:lang w:val="ru"/>
        </w:rPr>
        <w:t>целево</w:t>
      </w:r>
      <w:r w:rsidR="006C2C16">
        <w:rPr>
          <w:lang w:val="ru"/>
        </w:rPr>
        <w:t>го</w:t>
      </w:r>
      <w:r>
        <w:rPr>
          <w:lang w:val="ru"/>
        </w:rPr>
        <w:t xml:space="preserve"> фонд</w:t>
      </w:r>
      <w:r w:rsidR="006C2C16">
        <w:rPr>
          <w:lang w:val="ru"/>
        </w:rPr>
        <w:t>а</w:t>
      </w:r>
      <w:r>
        <w:rPr>
          <w:lang w:val="ru"/>
        </w:rPr>
        <w:t xml:space="preserve"> для дополнительных добровольных взносов в поддержку утвержденных мероприятий на 2027–2028 годы представлены в документе </w:t>
      </w:r>
      <w:hyperlink r:id="rId4" w:history="1">
        <w:r>
          <w:rPr>
            <w:rStyle w:val="Hyperlink"/>
            <w:lang w:val="ru"/>
          </w:rPr>
          <w:t>CBD/COP/17/4/Add.2</w:t>
        </w:r>
      </w:hyperlink>
      <w:r>
        <w:rPr>
          <w:lang w:val="ru"/>
        </w:rPr>
        <w:t>-</w:t>
      </w:r>
      <w:hyperlink r:id="rId5" w:history="1">
        <w:r>
          <w:rPr>
            <w:rStyle w:val="Hyperlink"/>
            <w:lang w:val="ru"/>
          </w:rPr>
          <w:t>CBD/CP/MOP/12/5/Add.1</w:t>
        </w:r>
      </w:hyperlink>
      <w:r>
        <w:rPr>
          <w:lang w:val="ru"/>
        </w:rPr>
        <w:t>-</w:t>
      </w:r>
      <w:hyperlink r:id="rId6" w:history="1">
        <w:r>
          <w:rPr>
            <w:rStyle w:val="Hyperlink"/>
            <w:lang w:val="ru"/>
          </w:rPr>
          <w:t>CBD/NP/MOP/6/5/Add.1</w:t>
        </w:r>
      </w:hyperlink>
      <w:r>
        <w:rPr>
          <w:lang w:val="ru"/>
        </w:rPr>
        <w:t>. Следует отметить, что в число дополнительных мероприятий входят мероприятия, порученные Исполнительному секретарю с оговоркой «при условии наличия ресурсов».</w:t>
      </w:r>
    </w:p>
  </w:footnote>
  <w:footnote w:id="7">
    <w:p w14:paraId="2A89D7BA" w14:textId="3F3E529A" w:rsidR="002A6971" w:rsidRPr="00B41D13" w:rsidRDefault="002A6971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hyperlink r:id="rId7" w:history="1">
        <w:r>
          <w:rPr>
            <w:rStyle w:val="Hyperlink"/>
            <w:lang w:val="ru"/>
          </w:rPr>
          <w:t>www.cbd.int/information/adm-fin</w:t>
        </w:r>
      </w:hyperlink>
      <w:r>
        <w:rPr>
          <w:lang w:val="ru"/>
        </w:rPr>
        <w:t>.</w:t>
      </w:r>
    </w:p>
  </w:footnote>
  <w:footnote w:id="8">
    <w:p w14:paraId="4FA15006" w14:textId="16075EC6" w:rsidR="009E1823" w:rsidRPr="00B41D13" w:rsidRDefault="009E1823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hyperlink r:id="rId8" w:history="1">
        <w:r>
          <w:rPr>
            <w:rStyle w:val="Hyperlink"/>
            <w:lang w:val="ru"/>
          </w:rPr>
          <w:t>CBD/COP/17/4/Add.1</w:t>
        </w:r>
      </w:hyperlink>
      <w:r>
        <w:rPr>
          <w:lang w:val="ru"/>
        </w:rPr>
        <w:t>.</w:t>
      </w:r>
    </w:p>
  </w:footnote>
  <w:footnote w:id="9">
    <w:p w14:paraId="41322D51" w14:textId="4E847EEF" w:rsidR="00036E7C" w:rsidRPr="00B41D13" w:rsidRDefault="00036E7C" w:rsidP="00036E7C">
      <w:pPr>
        <w:pStyle w:val="FootnoteText"/>
        <w:rPr>
          <w:lang w:val="ru-RU"/>
        </w:rPr>
      </w:pPr>
      <w:r>
        <w:rPr>
          <w:rStyle w:val="FootnoteReference"/>
          <w:lang w:val="ru"/>
        </w:rPr>
        <w:footnoteRef/>
      </w:r>
      <w:r>
        <w:rPr>
          <w:lang w:val="ru"/>
        </w:rPr>
        <w:t xml:space="preserve"> </w:t>
      </w:r>
      <w:r>
        <w:rPr>
          <w:lang w:val="ru"/>
        </w:rPr>
        <w:t xml:space="preserve">См. </w:t>
      </w:r>
      <w:hyperlink r:id="rId9" w:history="1">
        <w:r>
          <w:rPr>
            <w:rStyle w:val="Hyperlink"/>
            <w:lang w:val="ru"/>
          </w:rPr>
          <w:t>CBD/SBI/6/INF/9</w:t>
        </w:r>
      </w:hyperlink>
      <w:r>
        <w:rPr>
          <w:lang w:val="ru"/>
        </w:rPr>
        <w:t xml:space="preserve">. В документе содержится обзор механизмов поддержки участия в рамках других многосторонних природоохранных соглашений, включая РКИКООН, СИТЕС, КМВ, Базельскую, Роттердамскую, Стокгольмскую, Минаматскую, Венскую конвенции и Монреальский протокол, а также Рамсарскую конвенцию. В нем признается, что все подобные соглашения опираются на средства добровольных целевых фондов. РКИКООН и СИТЕС имеют отдельные критерии распределения средств для поддержки участия. Вместе с тем во всех этих соглашениях должное внимание уделяется наименее развитым странам и малым островным развивающимся государствам. К дополнительным факторам, которые следует принять во внимание и которые были выявлены в ходе опроса, относятся погашение задолженности и небольшая численность делегаций на предыдущем совещании Конференции Сторон. Что касается процессов в рамках Конвенции, то распределение средств фонда BZ регулируется решением </w:t>
      </w:r>
      <w:hyperlink r:id="rId10" w:history="1">
        <w:r>
          <w:rPr>
            <w:rStyle w:val="Hyperlink"/>
            <w:lang w:val="ru"/>
          </w:rPr>
          <w:t>9/34</w:t>
        </w:r>
      </w:hyperlink>
      <w:r>
        <w:rPr>
          <w:lang w:val="ru"/>
        </w:rPr>
        <w:t xml:space="preserve"> (приложение: Процедура выделения средств из специального добровольного целевого фонда (BZ) для содействия участию Сторон в процессе Конвенции), включая следующее: </w:t>
      </w:r>
      <w:r w:rsidR="00C4504A">
        <w:rPr>
          <w:lang w:val="ru"/>
        </w:rPr>
        <w:t>(</w:t>
      </w:r>
      <w:r>
        <w:rPr>
          <w:lang w:val="ru"/>
        </w:rPr>
        <w:t xml:space="preserve">i) приоритетное внимание уделяется наименее развитым странам и малым островным развивающимся государствам; </w:t>
      </w:r>
      <w:r w:rsidR="00C4504A">
        <w:rPr>
          <w:lang w:val="ru"/>
        </w:rPr>
        <w:t>(</w:t>
      </w:r>
      <w:r>
        <w:rPr>
          <w:lang w:val="ru"/>
        </w:rPr>
        <w:t xml:space="preserve">ii) обеспечение адекватного географического представительства всех стран, являющихся Сторонами и удовлетворяющих необходимым критериям; </w:t>
      </w:r>
      <w:r w:rsidR="00C4504A">
        <w:rPr>
          <w:lang w:val="ru"/>
        </w:rPr>
        <w:t>(</w:t>
      </w:r>
      <w:r>
        <w:rPr>
          <w:lang w:val="ru"/>
        </w:rPr>
        <w:t xml:space="preserve">iii) своевременная подача заявки на предоставление финансирования; </w:t>
      </w:r>
      <w:r w:rsidR="00C4504A">
        <w:rPr>
          <w:lang w:val="ru"/>
        </w:rPr>
        <w:t>(</w:t>
      </w:r>
      <w:r>
        <w:rPr>
          <w:lang w:val="ru"/>
        </w:rPr>
        <w:t>iv) учет гендерных аспектов.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A5BDD5" w14:textId="77777777" w:rsidR="00212513" w:rsidRDefault="00212513" w:rsidP="00212513">
    <w:pPr>
      <w:pStyle w:val="Header"/>
    </w:pPr>
    <w:r w:rsidRPr="006E483F">
      <w:t>CBD/COP/17/</w:t>
    </w:r>
    <w:r>
      <w:t>4/Add.5</w:t>
    </w:r>
    <w:r w:rsidRPr="006E483F">
      <w:t>-CBD/CP/MOP/12/</w:t>
    </w:r>
    <w:r>
      <w:t>5/Add.2</w:t>
    </w:r>
    <w:r w:rsidRPr="006E483F">
      <w:t>-CBD/NP/MOP/6/</w:t>
    </w:r>
    <w:r>
      <w:t>5/Add.2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4E112C" w14:textId="77777777" w:rsidR="00B7171E" w:rsidRDefault="00B7171E" w:rsidP="00B7171E">
    <w:pPr>
      <w:pStyle w:val="Header"/>
      <w:jc w:val="right"/>
    </w:pPr>
    <w:r w:rsidRPr="006E483F">
      <w:t>CBD/COP/17/</w:t>
    </w:r>
    <w:r>
      <w:t>4/Add.5</w:t>
    </w:r>
    <w:r w:rsidRPr="006E483F">
      <w:t>-CBD/CP/MOP/12/</w:t>
    </w:r>
    <w:r>
      <w:t>5/Add.2</w:t>
    </w:r>
    <w:r w:rsidRPr="006E483F">
      <w:t>-CBD/NP/MOP/6/</w:t>
    </w:r>
    <w:r>
      <w:t>5/Add.2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EE50E73"/>
    <w:multiLevelType w:val="hybridMultilevel"/>
    <w:tmpl w:val="B3485216"/>
    <w:numStyleLink w:val="ImportedStyle2"/>
  </w:abstractNum>
  <w:abstractNum w:abstractNumId="1" w15:restartNumberingAfterBreak="0">
    <w:nsid w:val="1E9D2729"/>
    <w:multiLevelType w:val="multilevel"/>
    <w:tmpl w:val="AF48CA4A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2"/>
      <w:numFmt w:val="bullet"/>
      <w:lvlText w:val="-"/>
      <w:lvlJc w:val="left"/>
      <w:pPr>
        <w:ind w:left="1494" w:hanging="360"/>
      </w:pPr>
      <w:rPr>
        <w:rFonts w:ascii="Aptos" w:eastAsiaTheme="minorEastAsia" w:hAnsi="Aptos" w:cstheme="minorBidi" w:hint="default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2" w15:restartNumberingAfterBreak="0">
    <w:nsid w:val="26ED7D72"/>
    <w:multiLevelType w:val="hybridMultilevel"/>
    <w:tmpl w:val="7EF62A04"/>
    <w:styleLink w:val="ImportedStyle5"/>
    <w:lvl w:ilvl="0" w:tplc="614C0176">
      <w:start w:val="1"/>
      <w:numFmt w:val="decimal"/>
      <w:lvlText w:val="%1."/>
      <w:lvlJc w:val="left"/>
      <w:pPr>
        <w:tabs>
          <w:tab w:val="left" w:pos="567"/>
          <w:tab w:val="left" w:pos="1134"/>
          <w:tab w:val="left" w:pos="1440"/>
          <w:tab w:val="left" w:pos="1701"/>
          <w:tab w:val="left" w:pos="2268"/>
        </w:tabs>
        <w:ind w:left="360" w:hanging="360"/>
      </w:pPr>
      <w:rPr>
        <w:rFonts w:ascii="Times New Roman" w:eastAsia="Times New Roman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7EB8E350">
      <w:start w:val="1"/>
      <w:numFmt w:val="upperLetter"/>
      <w:lvlText w:val="%2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10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1D44066E">
      <w:start w:val="1"/>
      <w:numFmt w:val="upperLetter"/>
      <w:lvlText w:val="%3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1287" w:hanging="327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1AC20BE6">
      <w:start w:val="1"/>
      <w:numFmt w:val="upperLetter"/>
      <w:lvlText w:val="%4."/>
      <w:lvlJc w:val="left"/>
      <w:pPr>
        <w:tabs>
          <w:tab w:val="left" w:pos="360"/>
          <w:tab w:val="left" w:pos="567"/>
          <w:tab w:val="left" w:pos="1134"/>
          <w:tab w:val="left" w:pos="1701"/>
          <w:tab w:val="left" w:pos="2268"/>
        </w:tabs>
        <w:ind w:left="1494" w:hanging="294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C0449062">
      <w:start w:val="1"/>
      <w:numFmt w:val="lowerLetter"/>
      <w:suff w:val="nothing"/>
      <w:lvlText w:val="(%5)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1701" w:hanging="261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94CA9F3A">
      <w:start w:val="1"/>
      <w:numFmt w:val="lowerRoman"/>
      <w:lvlText w:val="(%6)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216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346D7F8">
      <w:start w:val="1"/>
      <w:numFmt w:val="decimal"/>
      <w:lvlText w:val="%7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252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D49E6DAC">
      <w:start w:val="1"/>
      <w:numFmt w:val="lowerLetter"/>
      <w:lvlText w:val="%8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288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D5651C4">
      <w:start w:val="1"/>
      <w:numFmt w:val="lowerRoman"/>
      <w:lvlText w:val="%9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</w:tabs>
        <w:ind w:left="3240" w:hanging="360"/>
      </w:pPr>
      <w:rPr>
        <w:rFonts w:ascii="Arial" w:eastAsia="Arial" w:hAnsi="Arial" w:cs="Arial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3" w15:restartNumberingAfterBreak="0">
    <w:nsid w:val="33895DC2"/>
    <w:multiLevelType w:val="hybridMultilevel"/>
    <w:tmpl w:val="D2FE0FBE"/>
    <w:numStyleLink w:val="ImportedStyle6"/>
  </w:abstractNum>
  <w:abstractNum w:abstractNumId="4" w15:restartNumberingAfterBreak="0">
    <w:nsid w:val="479A31FC"/>
    <w:multiLevelType w:val="hybridMultilevel"/>
    <w:tmpl w:val="B3485216"/>
    <w:styleLink w:val="ImportedStyle2"/>
    <w:lvl w:ilvl="0" w:tplc="8F0A140A">
      <w:start w:val="1"/>
      <w:numFmt w:val="decimal"/>
      <w:lvlText w:val="%1."/>
      <w:lvlJc w:val="left"/>
      <w:pPr>
        <w:ind w:left="360" w:hanging="360"/>
      </w:pPr>
      <w:rPr>
        <w:rFonts w:ascii="Times New Roman" w:eastAsia="Arial Unicode MS" w:hAnsi="Times New Roman" w:cs="Times New Roman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04DE10A2">
      <w:start w:val="1"/>
      <w:numFmt w:val="lowerRoman"/>
      <w:lvlText w:val="(%2)"/>
      <w:lvlJc w:val="left"/>
      <w:pPr>
        <w:tabs>
          <w:tab w:val="left" w:pos="360"/>
          <w:tab w:val="left" w:pos="567"/>
          <w:tab w:val="num" w:pos="1134"/>
          <w:tab w:val="left" w:pos="1440"/>
          <w:tab w:val="left" w:pos="1701"/>
          <w:tab w:val="left" w:pos="2268"/>
        </w:tabs>
        <w:ind w:left="526" w:firstLine="8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9E0E29EC">
      <w:start w:val="1"/>
      <w:numFmt w:val="lowerRoman"/>
      <w:lvlText w:val="(%3)"/>
      <w:lvlJc w:val="left"/>
      <w:pPr>
        <w:tabs>
          <w:tab w:val="left" w:pos="360"/>
          <w:tab w:val="left" w:pos="567"/>
          <w:tab w:val="left" w:pos="1134"/>
          <w:tab w:val="num" w:pos="1526"/>
          <w:tab w:val="left" w:pos="1701"/>
          <w:tab w:val="left" w:pos="2268"/>
        </w:tabs>
        <w:ind w:left="917" w:firstLine="171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706D466">
      <w:start w:val="1"/>
      <w:numFmt w:val="lowerRoman"/>
      <w:lvlText w:val="(%4)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num" w:pos="1918"/>
          <w:tab w:val="left" w:pos="2268"/>
        </w:tabs>
        <w:ind w:left="1309" w:firstLine="259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E4BCA4F4">
      <w:start w:val="1"/>
      <w:numFmt w:val="lowerLetter"/>
      <w:lvlText w:val="(%5)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  <w:tab w:val="num" w:pos="2309"/>
        </w:tabs>
        <w:ind w:left="1701" w:firstLine="347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ACC6A786">
      <w:start w:val="1"/>
      <w:numFmt w:val="lowerRoman"/>
      <w:lvlText w:val="(%6)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  <w:tab w:val="num" w:pos="2768"/>
        </w:tabs>
        <w:ind w:left="2160" w:firstLine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5658E764">
      <w:start w:val="1"/>
      <w:numFmt w:val="decimal"/>
      <w:lvlText w:val="%7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  <w:tab w:val="num" w:pos="3128"/>
        </w:tabs>
        <w:ind w:left="2520" w:firstLine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A73AF104">
      <w:start w:val="1"/>
      <w:numFmt w:val="lowerLetter"/>
      <w:lvlText w:val="%8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  <w:tab w:val="num" w:pos="3488"/>
        </w:tabs>
        <w:ind w:left="2880" w:firstLine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B2CA8C44">
      <w:start w:val="1"/>
      <w:numFmt w:val="lowerRoman"/>
      <w:lvlText w:val="%9."/>
      <w:lvlJc w:val="left"/>
      <w:pPr>
        <w:tabs>
          <w:tab w:val="left" w:pos="360"/>
          <w:tab w:val="left" w:pos="567"/>
          <w:tab w:val="left" w:pos="1134"/>
          <w:tab w:val="left" w:pos="1440"/>
          <w:tab w:val="left" w:pos="1701"/>
          <w:tab w:val="left" w:pos="2268"/>
          <w:tab w:val="num" w:pos="3848"/>
        </w:tabs>
        <w:ind w:left="3240" w:firstLine="248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5" w15:restartNumberingAfterBreak="0">
    <w:nsid w:val="48E4287B"/>
    <w:multiLevelType w:val="multilevel"/>
    <w:tmpl w:val="2E6A1D38"/>
    <w:lvl w:ilvl="0">
      <w:start w:val="1"/>
      <w:numFmt w:val="decimal"/>
      <w:lvlText w:val="%1."/>
      <w:lvlJc w:val="left"/>
      <w:pPr>
        <w:tabs>
          <w:tab w:val="num" w:pos="360"/>
        </w:tabs>
        <w:ind w:left="0" w:firstLine="0"/>
      </w:p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</w:lvl>
    <w:lvl w:ilvl="3">
      <w:start w:val="1"/>
      <w:numFmt w:val="bullet"/>
      <w:pStyle w:val="Para3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6" w15:restartNumberingAfterBreak="0">
    <w:nsid w:val="499D5F66"/>
    <w:multiLevelType w:val="multilevel"/>
    <w:tmpl w:val="222A08B4"/>
    <w:styleLink w:val="ListCBD"/>
    <w:lvl w:ilvl="0">
      <w:start w:val="1"/>
      <w:numFmt w:val="decimal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7" w15:restartNumberingAfterBreak="0">
    <w:nsid w:val="4E0442B4"/>
    <w:multiLevelType w:val="multilevel"/>
    <w:tmpl w:val="1CC4E3A4"/>
    <w:lvl w:ilvl="0">
      <w:start w:val="1"/>
      <w:numFmt w:val="decimal"/>
      <w:pStyle w:val="Para1"/>
      <w:lvlText w:val="%1."/>
      <w:lvlJc w:val="left"/>
      <w:pPr>
        <w:tabs>
          <w:tab w:val="num" w:pos="360"/>
        </w:tabs>
        <w:ind w:left="0" w:firstLine="0"/>
      </w:pPr>
      <w:rPr>
        <w:rFonts w:ascii="Times New Roman" w:hAnsi="Times New Roman" w:hint="default"/>
        <w:b w:val="0"/>
        <w:i w:val="0"/>
        <w:sz w:val="22"/>
      </w:rPr>
    </w:lvl>
    <w:lvl w:ilvl="1">
      <w:start w:val="1"/>
      <w:numFmt w:val="lowerLetter"/>
      <w:lvlText w:val="(%2)"/>
      <w:lvlJc w:val="left"/>
      <w:pPr>
        <w:tabs>
          <w:tab w:val="num" w:pos="1440"/>
        </w:tabs>
        <w:ind w:left="0" w:firstLine="720"/>
      </w:pPr>
      <w:rPr>
        <w:rFonts w:hint="default"/>
        <w:b w:val="0"/>
        <w:i w:val="0"/>
      </w:rPr>
    </w:lvl>
    <w:lvl w:ilvl="2">
      <w:start w:val="1"/>
      <w:numFmt w:val="lowerRoman"/>
      <w:lvlText w:val="(%3)"/>
      <w:lvlJc w:val="right"/>
      <w:pPr>
        <w:tabs>
          <w:tab w:val="num" w:pos="1440"/>
        </w:tabs>
        <w:ind w:left="1440" w:hanging="360"/>
      </w:pPr>
      <w:rPr>
        <w:rFonts w:hint="default"/>
      </w:rPr>
    </w:lvl>
    <w:lvl w:ilvl="3">
      <w:start w:val="1"/>
      <w:numFmt w:val="bullet"/>
      <w:lvlText w:val=""/>
      <w:lvlJc w:val="left"/>
      <w:pPr>
        <w:tabs>
          <w:tab w:val="num" w:pos="2160"/>
        </w:tabs>
        <w:ind w:left="2160" w:hanging="720"/>
      </w:pPr>
      <w:rPr>
        <w:rFonts w:ascii="Symbol" w:hAnsi="Symbol" w:hint="default"/>
        <w:color w:val="auto"/>
        <w:sz w:val="28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hint="default"/>
      </w:rPr>
    </w:lvl>
  </w:abstractNum>
  <w:abstractNum w:abstractNumId="8" w15:restartNumberingAfterBreak="0">
    <w:nsid w:val="4E09698C"/>
    <w:multiLevelType w:val="hybridMultilevel"/>
    <w:tmpl w:val="D2FE0FBE"/>
    <w:styleLink w:val="ImportedStyle6"/>
    <w:lvl w:ilvl="0" w:tplc="675C9CAC">
      <w:start w:val="1"/>
      <w:numFmt w:val="lowerRoman"/>
      <w:suff w:val="nothing"/>
      <w:lvlText w:val="(%1)"/>
      <w:lvlJc w:val="left"/>
      <w:pPr>
        <w:ind w:left="720" w:hanging="360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E8F6BB6A">
      <w:start w:val="1"/>
      <w:numFmt w:val="lowerLetter"/>
      <w:lvlText w:val="%2."/>
      <w:lvlJc w:val="left"/>
      <w:pPr>
        <w:tabs>
          <w:tab w:val="num" w:pos="1440"/>
        </w:tabs>
        <w:ind w:left="159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5E2644FA">
      <w:start w:val="1"/>
      <w:numFmt w:val="lowerRoman"/>
      <w:lvlText w:val="%3."/>
      <w:lvlJc w:val="left"/>
      <w:pPr>
        <w:tabs>
          <w:tab w:val="num" w:pos="2160"/>
        </w:tabs>
        <w:ind w:left="2313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AF76E5AC">
      <w:start w:val="1"/>
      <w:numFmt w:val="decimal"/>
      <w:lvlText w:val="%4."/>
      <w:lvlJc w:val="left"/>
      <w:pPr>
        <w:tabs>
          <w:tab w:val="num" w:pos="2880"/>
        </w:tabs>
        <w:ind w:left="303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778A8A7A">
      <w:start w:val="1"/>
      <w:numFmt w:val="lowerLetter"/>
      <w:lvlText w:val="%5."/>
      <w:lvlJc w:val="left"/>
      <w:pPr>
        <w:tabs>
          <w:tab w:val="num" w:pos="3600"/>
        </w:tabs>
        <w:ind w:left="375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E7AEBC42">
      <w:start w:val="1"/>
      <w:numFmt w:val="lowerRoman"/>
      <w:lvlText w:val="%6."/>
      <w:lvlJc w:val="left"/>
      <w:pPr>
        <w:tabs>
          <w:tab w:val="num" w:pos="4320"/>
        </w:tabs>
        <w:ind w:left="4473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A94EAFA6">
      <w:start w:val="1"/>
      <w:numFmt w:val="decimal"/>
      <w:lvlText w:val="%7."/>
      <w:lvlJc w:val="left"/>
      <w:pPr>
        <w:tabs>
          <w:tab w:val="num" w:pos="5040"/>
        </w:tabs>
        <w:ind w:left="519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EFE48544">
      <w:start w:val="1"/>
      <w:numFmt w:val="lowerLetter"/>
      <w:lvlText w:val="%8."/>
      <w:lvlJc w:val="left"/>
      <w:pPr>
        <w:tabs>
          <w:tab w:val="num" w:pos="5760"/>
        </w:tabs>
        <w:ind w:left="5913" w:hanging="513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1FA0C4EE">
      <w:start w:val="1"/>
      <w:numFmt w:val="lowerRoman"/>
      <w:lvlText w:val="%9."/>
      <w:lvlJc w:val="left"/>
      <w:pPr>
        <w:tabs>
          <w:tab w:val="num" w:pos="6480"/>
        </w:tabs>
        <w:ind w:left="6633" w:hanging="445"/>
      </w:pPr>
      <w:rPr>
        <w:rFonts w:hAnsi="Arial Unicode MS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9" w15:restartNumberingAfterBreak="0">
    <w:nsid w:val="5D943BEE"/>
    <w:multiLevelType w:val="multilevel"/>
    <w:tmpl w:val="331041F0"/>
    <w:lvl w:ilvl="0">
      <w:start w:val="1"/>
      <w:numFmt w:val="decimal"/>
      <w:pStyle w:val="CBDNormalNumber"/>
      <w:lvlText w:val="%1."/>
      <w:lvlJc w:val="left"/>
      <w:pPr>
        <w:ind w:left="567" w:firstLine="0"/>
      </w:pPr>
      <w:rPr>
        <w:rFonts w:ascii="Times New Roman" w:hAnsi="Times New Roman" w:cs="Times New Roman" w:hint="default"/>
        <w:b w:val="0"/>
        <w:bCs w:val="0"/>
        <w:i w:val="0"/>
        <w:iCs w:val="0"/>
        <w:color w:val="auto"/>
        <w:sz w:val="22"/>
      </w:rPr>
    </w:lvl>
    <w:lvl w:ilvl="1">
      <w:start w:val="1"/>
      <w:numFmt w:val="lowerLetter"/>
      <w:lvlText w:val="(%2)"/>
      <w:lvlJc w:val="left"/>
      <w:pPr>
        <w:ind w:left="567" w:firstLine="567"/>
      </w:pPr>
      <w:rPr>
        <w:rFonts w:ascii="Times New Roman" w:hAnsi="Times New Roman" w:hint="default"/>
        <w:b w:val="0"/>
        <w:i w:val="0"/>
        <w:sz w:val="22"/>
      </w:rPr>
    </w:lvl>
    <w:lvl w:ilvl="2">
      <w:start w:val="1"/>
      <w:numFmt w:val="lowerRoman"/>
      <w:lvlText w:val="(%3)"/>
      <w:lvlJc w:val="left"/>
      <w:pPr>
        <w:ind w:left="2268" w:hanging="567"/>
      </w:pPr>
      <w:rPr>
        <w:rFonts w:ascii="Times New Roman" w:hAnsi="Times New Roman" w:hint="default"/>
        <w:sz w:val="22"/>
      </w:rPr>
    </w:lvl>
    <w:lvl w:ilvl="3">
      <w:start w:val="1"/>
      <w:numFmt w:val="decimal"/>
      <w:lvlText w:val="(%4)"/>
      <w:lvlJc w:val="left"/>
      <w:pPr>
        <w:ind w:left="2835" w:hanging="567"/>
      </w:pPr>
      <w:rPr>
        <w:rFonts w:ascii="Times New Roman" w:hAnsi="Times New Roman" w:hint="default"/>
        <w:sz w:val="22"/>
      </w:rPr>
    </w:lvl>
    <w:lvl w:ilvl="4">
      <w:start w:val="1"/>
      <w:numFmt w:val="lowerLetter"/>
      <w:lvlText w:val="(%5)"/>
      <w:lvlJc w:val="left"/>
      <w:pPr>
        <w:ind w:left="3402" w:hanging="567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826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3186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3546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906" w:hanging="360"/>
      </w:pPr>
      <w:rPr>
        <w:rFonts w:hint="default"/>
      </w:rPr>
    </w:lvl>
  </w:abstractNum>
  <w:abstractNum w:abstractNumId="10" w15:restartNumberingAfterBreak="0">
    <w:nsid w:val="6D191DF4"/>
    <w:multiLevelType w:val="multilevel"/>
    <w:tmpl w:val="07D269C8"/>
    <w:styleLink w:val="CBDHeadings"/>
    <w:lvl w:ilvl="0">
      <w:start w:val="1"/>
      <w:numFmt w:val="upperRoman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sz w:val="28"/>
      </w:rPr>
    </w:lvl>
    <w:lvl w:ilvl="1">
      <w:start w:val="1"/>
      <w:numFmt w:val="upperLetter"/>
      <w:pStyle w:val="Heading2"/>
      <w:lvlText w:val="%2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pStyle w:val="Heading3"/>
      <w:lvlText w:val="%3.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3">
      <w:start w:val="1"/>
      <w:numFmt w:val="lowerLetter"/>
      <w:pStyle w:val="Heading4"/>
      <w:lvlText w:val="(%4)"/>
      <w:lvlJc w:val="left"/>
      <w:pPr>
        <w:tabs>
          <w:tab w:val="num" w:pos="567"/>
        </w:tabs>
        <w:ind w:left="567" w:hanging="567"/>
      </w:pPr>
      <w:rPr>
        <w:rFonts w:ascii="Times New Roman Bold" w:hAnsi="Times New Roman Bold" w:hint="default"/>
        <w:b/>
        <w:i w:val="0"/>
        <w:sz w:val="22"/>
      </w:rPr>
    </w:lvl>
    <w:lvl w:ilvl="4">
      <w:start w:val="1"/>
      <w:numFmt w:val="lowerRoman"/>
      <w:pStyle w:val="Heading5"/>
      <w:lvlText w:val="(%5)"/>
      <w:lvlJc w:val="left"/>
      <w:pPr>
        <w:tabs>
          <w:tab w:val="num" w:pos="567"/>
        </w:tabs>
        <w:ind w:left="567" w:hanging="567"/>
      </w:pPr>
      <w:rPr>
        <w:rFonts w:ascii="Times New Roman" w:hAnsi="Times New Roman" w:hint="default"/>
        <w:b w:val="0"/>
        <w:i/>
        <w:sz w:val="22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1" w15:restartNumberingAfterBreak="0">
    <w:nsid w:val="6ED82968"/>
    <w:multiLevelType w:val="hybridMultilevel"/>
    <w:tmpl w:val="FE162F2C"/>
    <w:lvl w:ilvl="0" w:tplc="2004B57A">
      <w:start w:val="1"/>
      <w:numFmt w:val="bullet"/>
      <w:pStyle w:val="CBD-Doc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</w:rPr>
    </w:lvl>
    <w:lvl w:ilvl="1" w:tplc="E3FE1308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12162B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19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1B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19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1B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FF7321D"/>
    <w:multiLevelType w:val="multilevel"/>
    <w:tmpl w:val="035AFA5E"/>
    <w:lvl w:ilvl="0">
      <w:start w:val="1"/>
      <w:numFmt w:val="upperRoman"/>
      <w:lvlText w:val="%1.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1">
      <w:start w:val="1"/>
      <w:numFmt w:val="decimalZero"/>
      <w:isLgl/>
      <w:lvlText w:val="Section %1.%2"/>
      <w:lvlJc w:val="left"/>
      <w:pPr>
        <w:ind w:left="0" w:firstLine="0"/>
      </w:pPr>
      <w:rPr>
        <w:rFonts w:hint="default"/>
      </w:rPr>
    </w:lvl>
    <w:lvl w:ilvl="2">
      <w:start w:val="1"/>
      <w:numFmt w:val="lowerLetter"/>
      <w:lvlText w:val="(%3)"/>
      <w:lvlJc w:val="left"/>
      <w:pPr>
        <w:ind w:left="720" w:hanging="432"/>
      </w:pPr>
      <w:rPr>
        <w:rFonts w:hint="default"/>
      </w:rPr>
    </w:lvl>
    <w:lvl w:ilvl="3">
      <w:start w:val="1"/>
      <w:numFmt w:val="lowerLetter"/>
      <w:lvlText w:val="(%4)"/>
      <w:lvlJc w:val="right"/>
      <w:pPr>
        <w:tabs>
          <w:tab w:val="num" w:pos="1247"/>
        </w:tabs>
        <w:ind w:left="1247" w:hanging="396"/>
      </w:pPr>
      <w:rPr>
        <w:rFonts w:hint="default"/>
      </w:rPr>
    </w:lvl>
    <w:lvl w:ilvl="4">
      <w:start w:val="1"/>
      <w:numFmt w:val="decimal"/>
      <w:lvlText w:val="%5)"/>
      <w:lvlJc w:val="left"/>
      <w:pPr>
        <w:ind w:left="1008" w:hanging="432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ind w:left="1152" w:hanging="432"/>
      </w:pPr>
      <w:rPr>
        <w:rFonts w:hint="default"/>
      </w:rPr>
    </w:lvl>
    <w:lvl w:ilvl="6">
      <w:start w:val="1"/>
      <w:numFmt w:val="lowerRoman"/>
      <w:pStyle w:val="Heading7"/>
      <w:lvlText w:val="%7)"/>
      <w:lvlJc w:val="right"/>
      <w:pPr>
        <w:ind w:left="1296" w:hanging="288"/>
      </w:pPr>
      <w:rPr>
        <w:rFonts w:hint="default"/>
      </w:rPr>
    </w:lvl>
    <w:lvl w:ilvl="7">
      <w:start w:val="1"/>
      <w:numFmt w:val="lowerLetter"/>
      <w:pStyle w:val="Heading8"/>
      <w:lvlText w:val="%8."/>
      <w:lvlJc w:val="left"/>
      <w:pPr>
        <w:ind w:left="1440" w:hanging="432"/>
      </w:pPr>
      <w:rPr>
        <w:rFonts w:hint="default"/>
      </w:rPr>
    </w:lvl>
    <w:lvl w:ilvl="8">
      <w:start w:val="1"/>
      <w:numFmt w:val="lowerRoman"/>
      <w:pStyle w:val="Heading9"/>
      <w:lvlText w:val="%9."/>
      <w:lvlJc w:val="right"/>
      <w:pPr>
        <w:ind w:left="1584" w:hanging="144"/>
      </w:pPr>
      <w:rPr>
        <w:rFonts w:hint="default"/>
      </w:rPr>
    </w:lvl>
  </w:abstractNum>
  <w:abstractNum w:abstractNumId="13" w15:restartNumberingAfterBreak="0">
    <w:nsid w:val="7DC718A5"/>
    <w:multiLevelType w:val="hybridMultilevel"/>
    <w:tmpl w:val="5CA48BA0"/>
    <w:lvl w:ilvl="0" w:tplc="5B508F20">
      <w:start w:val="2"/>
      <w:numFmt w:val="bullet"/>
      <w:lvlText w:val="-"/>
      <w:lvlJc w:val="left"/>
      <w:pPr>
        <w:ind w:left="720" w:hanging="360"/>
      </w:pPr>
      <w:rPr>
        <w:rFonts w:ascii="Times New Roman" w:eastAsia="Arial Unicode MS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830828777">
    <w:abstractNumId w:val="7"/>
  </w:num>
  <w:num w:numId="2" w16cid:durableId="1858829">
    <w:abstractNumId w:val="5"/>
  </w:num>
  <w:num w:numId="3" w16cid:durableId="1333221471">
    <w:abstractNumId w:val="11"/>
  </w:num>
  <w:num w:numId="4" w16cid:durableId="1072390599">
    <w:abstractNumId w:val="12"/>
  </w:num>
  <w:num w:numId="5" w16cid:durableId="960385107">
    <w:abstractNumId w:val="6"/>
  </w:num>
  <w:num w:numId="6" w16cid:durableId="893932166">
    <w:abstractNumId w:val="10"/>
  </w:num>
  <w:num w:numId="7" w16cid:durableId="323945383">
    <w:abstractNumId w:val="9"/>
  </w:num>
  <w:num w:numId="8" w16cid:durableId="1819227894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 w16cid:durableId="1785533580">
    <w:abstractNumId w:val="4"/>
  </w:num>
  <w:num w:numId="10" w16cid:durableId="1591816919">
    <w:abstractNumId w:val="0"/>
  </w:num>
  <w:num w:numId="11" w16cid:durableId="238372124">
    <w:abstractNumId w:val="9"/>
  </w:num>
  <w:num w:numId="12" w16cid:durableId="1945069781">
    <w:abstractNumId w:val="9"/>
  </w:num>
  <w:num w:numId="13" w16cid:durableId="1393457382">
    <w:abstractNumId w:val="9"/>
    <w:lvlOverride w:ilvl="0">
      <w:startOverride w:val="2"/>
    </w:lvlOverride>
    <w:lvlOverride w:ilvl="1">
      <w:startOverride w:val="9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 w16cid:durableId="1983659273">
    <w:abstractNumId w:val="9"/>
    <w:lvlOverride w:ilvl="0">
      <w:startOverride w:val="2"/>
    </w:lvlOverride>
    <w:lvlOverride w:ilvl="1">
      <w:startOverride w:val="6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 w16cid:durableId="1045175726">
    <w:abstractNumId w:val="9"/>
    <w:lvlOverride w:ilvl="0">
      <w:startOverride w:val="2"/>
    </w:lvlOverride>
    <w:lvlOverride w:ilvl="1">
      <w:startOverride w:val="3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 w16cid:durableId="2123113590">
    <w:abstractNumId w:val="2"/>
  </w:num>
  <w:num w:numId="17" w16cid:durableId="292684619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 w16cid:durableId="539128888">
    <w:abstractNumId w:val="8"/>
  </w:num>
  <w:num w:numId="19" w16cid:durableId="1907758823">
    <w:abstractNumId w:val="3"/>
    <w:lvlOverride w:ilvl="0">
      <w:startOverride w:val="2"/>
    </w:lvlOverride>
  </w:num>
  <w:num w:numId="20" w16cid:durableId="2078279013">
    <w:abstractNumId w:val="13"/>
  </w:num>
  <w:num w:numId="21" w16cid:durableId="1500926122">
    <w:abstractNumId w:val="9"/>
  </w:num>
  <w:num w:numId="22" w16cid:durableId="208952877">
    <w:abstractNumId w:val="9"/>
  </w:num>
  <w:num w:numId="23" w16cid:durableId="186851734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 w16cid:durableId="259721291">
    <w:abstractNumId w:val="1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evenAndOddHeaders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B78C3"/>
    <w:rsid w:val="00000101"/>
    <w:rsid w:val="0000081A"/>
    <w:rsid w:val="000029C3"/>
    <w:rsid w:val="00006385"/>
    <w:rsid w:val="00006AA5"/>
    <w:rsid w:val="000125DA"/>
    <w:rsid w:val="00013D10"/>
    <w:rsid w:val="000140C4"/>
    <w:rsid w:val="00015192"/>
    <w:rsid w:val="000165AA"/>
    <w:rsid w:val="00022191"/>
    <w:rsid w:val="00023550"/>
    <w:rsid w:val="0002459E"/>
    <w:rsid w:val="00025FB9"/>
    <w:rsid w:val="0002730A"/>
    <w:rsid w:val="00033F97"/>
    <w:rsid w:val="0003598A"/>
    <w:rsid w:val="00036E7C"/>
    <w:rsid w:val="0003749E"/>
    <w:rsid w:val="00041DAA"/>
    <w:rsid w:val="00043BE4"/>
    <w:rsid w:val="00044133"/>
    <w:rsid w:val="0004547C"/>
    <w:rsid w:val="00046CCC"/>
    <w:rsid w:val="00046FEC"/>
    <w:rsid w:val="0005091C"/>
    <w:rsid w:val="00051835"/>
    <w:rsid w:val="00053374"/>
    <w:rsid w:val="00053EB2"/>
    <w:rsid w:val="0005759A"/>
    <w:rsid w:val="00057EB2"/>
    <w:rsid w:val="00060B2D"/>
    <w:rsid w:val="000646CA"/>
    <w:rsid w:val="0007171B"/>
    <w:rsid w:val="0007306D"/>
    <w:rsid w:val="00074C4C"/>
    <w:rsid w:val="000757D8"/>
    <w:rsid w:val="000844BD"/>
    <w:rsid w:val="00093A9A"/>
    <w:rsid w:val="00093B01"/>
    <w:rsid w:val="000A0399"/>
    <w:rsid w:val="000A0D57"/>
    <w:rsid w:val="000A0E8B"/>
    <w:rsid w:val="000A1C22"/>
    <w:rsid w:val="000A2992"/>
    <w:rsid w:val="000A3BFD"/>
    <w:rsid w:val="000B24AD"/>
    <w:rsid w:val="000B2860"/>
    <w:rsid w:val="000B3EB6"/>
    <w:rsid w:val="000B48DF"/>
    <w:rsid w:val="000C26C0"/>
    <w:rsid w:val="000C6BBF"/>
    <w:rsid w:val="000C6BD6"/>
    <w:rsid w:val="000C7DCF"/>
    <w:rsid w:val="000D033A"/>
    <w:rsid w:val="000D0F68"/>
    <w:rsid w:val="000D24D6"/>
    <w:rsid w:val="000D3243"/>
    <w:rsid w:val="000D4DA0"/>
    <w:rsid w:val="000D5E82"/>
    <w:rsid w:val="000E102A"/>
    <w:rsid w:val="000E40B2"/>
    <w:rsid w:val="000E673A"/>
    <w:rsid w:val="000F199E"/>
    <w:rsid w:val="000F3809"/>
    <w:rsid w:val="000F4FB7"/>
    <w:rsid w:val="000F6945"/>
    <w:rsid w:val="000F74F5"/>
    <w:rsid w:val="000F78FC"/>
    <w:rsid w:val="0010187D"/>
    <w:rsid w:val="00102F2A"/>
    <w:rsid w:val="001031DF"/>
    <w:rsid w:val="00104F10"/>
    <w:rsid w:val="00105372"/>
    <w:rsid w:val="001054A6"/>
    <w:rsid w:val="00106D50"/>
    <w:rsid w:val="00107206"/>
    <w:rsid w:val="001078A1"/>
    <w:rsid w:val="00110389"/>
    <w:rsid w:val="001117FF"/>
    <w:rsid w:val="00113857"/>
    <w:rsid w:val="001170EE"/>
    <w:rsid w:val="0011727E"/>
    <w:rsid w:val="00125B12"/>
    <w:rsid w:val="00127D1D"/>
    <w:rsid w:val="00127F8E"/>
    <w:rsid w:val="001301E0"/>
    <w:rsid w:val="001312AD"/>
    <w:rsid w:val="00131E7A"/>
    <w:rsid w:val="00134846"/>
    <w:rsid w:val="00142329"/>
    <w:rsid w:val="00145984"/>
    <w:rsid w:val="00146DD3"/>
    <w:rsid w:val="00151FE7"/>
    <w:rsid w:val="001526C8"/>
    <w:rsid w:val="00152EC2"/>
    <w:rsid w:val="00152F3D"/>
    <w:rsid w:val="001537A1"/>
    <w:rsid w:val="00164C0B"/>
    <w:rsid w:val="00164F30"/>
    <w:rsid w:val="00166E42"/>
    <w:rsid w:val="00167967"/>
    <w:rsid w:val="00172AF6"/>
    <w:rsid w:val="00172C3C"/>
    <w:rsid w:val="00173EFB"/>
    <w:rsid w:val="00176CEE"/>
    <w:rsid w:val="00176DC8"/>
    <w:rsid w:val="00177364"/>
    <w:rsid w:val="001825EA"/>
    <w:rsid w:val="001830F2"/>
    <w:rsid w:val="00183A3B"/>
    <w:rsid w:val="001866C2"/>
    <w:rsid w:val="00186DD8"/>
    <w:rsid w:val="00196B61"/>
    <w:rsid w:val="00197734"/>
    <w:rsid w:val="00197D5A"/>
    <w:rsid w:val="001A1193"/>
    <w:rsid w:val="001A26EE"/>
    <w:rsid w:val="001A2973"/>
    <w:rsid w:val="001A35EC"/>
    <w:rsid w:val="001A5641"/>
    <w:rsid w:val="001A6934"/>
    <w:rsid w:val="001A6DD2"/>
    <w:rsid w:val="001B13FE"/>
    <w:rsid w:val="001B4894"/>
    <w:rsid w:val="001C1332"/>
    <w:rsid w:val="001C5378"/>
    <w:rsid w:val="001C5566"/>
    <w:rsid w:val="001D48D9"/>
    <w:rsid w:val="001D50D5"/>
    <w:rsid w:val="001D5EBF"/>
    <w:rsid w:val="001D604E"/>
    <w:rsid w:val="001D64DC"/>
    <w:rsid w:val="001E3632"/>
    <w:rsid w:val="001E618F"/>
    <w:rsid w:val="001E6655"/>
    <w:rsid w:val="001F3738"/>
    <w:rsid w:val="001F6307"/>
    <w:rsid w:val="001F64FF"/>
    <w:rsid w:val="001F7919"/>
    <w:rsid w:val="00204630"/>
    <w:rsid w:val="00205971"/>
    <w:rsid w:val="00212288"/>
    <w:rsid w:val="00212513"/>
    <w:rsid w:val="002130F4"/>
    <w:rsid w:val="0021480E"/>
    <w:rsid w:val="0022437C"/>
    <w:rsid w:val="0022697B"/>
    <w:rsid w:val="00226E8C"/>
    <w:rsid w:val="00227D0F"/>
    <w:rsid w:val="00230A05"/>
    <w:rsid w:val="00233C84"/>
    <w:rsid w:val="00234019"/>
    <w:rsid w:val="00237E49"/>
    <w:rsid w:val="002408DA"/>
    <w:rsid w:val="00240EE6"/>
    <w:rsid w:val="002412C8"/>
    <w:rsid w:val="0024682C"/>
    <w:rsid w:val="00251D48"/>
    <w:rsid w:val="0025364B"/>
    <w:rsid w:val="002537BE"/>
    <w:rsid w:val="00253C30"/>
    <w:rsid w:val="00253CF8"/>
    <w:rsid w:val="0025410C"/>
    <w:rsid w:val="0025455D"/>
    <w:rsid w:val="00256CB7"/>
    <w:rsid w:val="002573CA"/>
    <w:rsid w:val="00263353"/>
    <w:rsid w:val="00273FD0"/>
    <w:rsid w:val="00275D9F"/>
    <w:rsid w:val="00280F62"/>
    <w:rsid w:val="00283084"/>
    <w:rsid w:val="00285FD7"/>
    <w:rsid w:val="00290EB2"/>
    <w:rsid w:val="00291303"/>
    <w:rsid w:val="00292149"/>
    <w:rsid w:val="00292914"/>
    <w:rsid w:val="00293210"/>
    <w:rsid w:val="00293CB8"/>
    <w:rsid w:val="00293CF1"/>
    <w:rsid w:val="00294F3D"/>
    <w:rsid w:val="002A36E3"/>
    <w:rsid w:val="002A5D3D"/>
    <w:rsid w:val="002A6971"/>
    <w:rsid w:val="002B358C"/>
    <w:rsid w:val="002B442E"/>
    <w:rsid w:val="002B4B02"/>
    <w:rsid w:val="002B535F"/>
    <w:rsid w:val="002B69C2"/>
    <w:rsid w:val="002C044E"/>
    <w:rsid w:val="002C04C0"/>
    <w:rsid w:val="002C057C"/>
    <w:rsid w:val="002C1AAD"/>
    <w:rsid w:val="002C2313"/>
    <w:rsid w:val="002C3517"/>
    <w:rsid w:val="002C42C1"/>
    <w:rsid w:val="002C45CE"/>
    <w:rsid w:val="002C621A"/>
    <w:rsid w:val="002C6A9D"/>
    <w:rsid w:val="002D186E"/>
    <w:rsid w:val="002D5244"/>
    <w:rsid w:val="002E1FF3"/>
    <w:rsid w:val="002E27FF"/>
    <w:rsid w:val="002E4091"/>
    <w:rsid w:val="002E62C9"/>
    <w:rsid w:val="002F0E53"/>
    <w:rsid w:val="002F1EF1"/>
    <w:rsid w:val="002F289D"/>
    <w:rsid w:val="002F358F"/>
    <w:rsid w:val="002F5550"/>
    <w:rsid w:val="002F6E18"/>
    <w:rsid w:val="002F73DB"/>
    <w:rsid w:val="003008FE"/>
    <w:rsid w:val="0030161A"/>
    <w:rsid w:val="0030169D"/>
    <w:rsid w:val="00302C7B"/>
    <w:rsid w:val="00303060"/>
    <w:rsid w:val="003037A8"/>
    <w:rsid w:val="00303BDA"/>
    <w:rsid w:val="003042DB"/>
    <w:rsid w:val="00305DB9"/>
    <w:rsid w:val="003060EB"/>
    <w:rsid w:val="00306A02"/>
    <w:rsid w:val="003117FB"/>
    <w:rsid w:val="00314C4C"/>
    <w:rsid w:val="00315353"/>
    <w:rsid w:val="003153EB"/>
    <w:rsid w:val="00316B41"/>
    <w:rsid w:val="00321083"/>
    <w:rsid w:val="0032136E"/>
    <w:rsid w:val="00321859"/>
    <w:rsid w:val="00321985"/>
    <w:rsid w:val="00322784"/>
    <w:rsid w:val="00326D4D"/>
    <w:rsid w:val="00326F7B"/>
    <w:rsid w:val="00344923"/>
    <w:rsid w:val="003473DA"/>
    <w:rsid w:val="003506B7"/>
    <w:rsid w:val="00351205"/>
    <w:rsid w:val="003554CA"/>
    <w:rsid w:val="00355546"/>
    <w:rsid w:val="003558E5"/>
    <w:rsid w:val="00355CC2"/>
    <w:rsid w:val="00355F61"/>
    <w:rsid w:val="00361E9B"/>
    <w:rsid w:val="00362457"/>
    <w:rsid w:val="00367567"/>
    <w:rsid w:val="00367F65"/>
    <w:rsid w:val="00372F74"/>
    <w:rsid w:val="00375429"/>
    <w:rsid w:val="0037579C"/>
    <w:rsid w:val="003801F7"/>
    <w:rsid w:val="00382B3A"/>
    <w:rsid w:val="00385CCB"/>
    <w:rsid w:val="00386939"/>
    <w:rsid w:val="003878A7"/>
    <w:rsid w:val="00392DEB"/>
    <w:rsid w:val="0039345E"/>
    <w:rsid w:val="003A0CEC"/>
    <w:rsid w:val="003A4A42"/>
    <w:rsid w:val="003A4C30"/>
    <w:rsid w:val="003A56E1"/>
    <w:rsid w:val="003A5CD3"/>
    <w:rsid w:val="003B0105"/>
    <w:rsid w:val="003B43CB"/>
    <w:rsid w:val="003B52C0"/>
    <w:rsid w:val="003B5F36"/>
    <w:rsid w:val="003C0CE7"/>
    <w:rsid w:val="003C3D31"/>
    <w:rsid w:val="003C3DD0"/>
    <w:rsid w:val="003C425C"/>
    <w:rsid w:val="003D38E7"/>
    <w:rsid w:val="003D40E3"/>
    <w:rsid w:val="003D6834"/>
    <w:rsid w:val="003D6DA9"/>
    <w:rsid w:val="003E037C"/>
    <w:rsid w:val="003E2EED"/>
    <w:rsid w:val="003E714F"/>
    <w:rsid w:val="003F025A"/>
    <w:rsid w:val="003F1063"/>
    <w:rsid w:val="003F1493"/>
    <w:rsid w:val="003F189E"/>
    <w:rsid w:val="003F1A75"/>
    <w:rsid w:val="003F2055"/>
    <w:rsid w:val="003F504F"/>
    <w:rsid w:val="003F7224"/>
    <w:rsid w:val="00400E46"/>
    <w:rsid w:val="0040368D"/>
    <w:rsid w:val="004041B2"/>
    <w:rsid w:val="004051C4"/>
    <w:rsid w:val="004069D2"/>
    <w:rsid w:val="00412A7D"/>
    <w:rsid w:val="00417439"/>
    <w:rsid w:val="00421F4D"/>
    <w:rsid w:val="00427D21"/>
    <w:rsid w:val="00431B15"/>
    <w:rsid w:val="0043366E"/>
    <w:rsid w:val="004350D5"/>
    <w:rsid w:val="00437AEC"/>
    <w:rsid w:val="00445100"/>
    <w:rsid w:val="004475D6"/>
    <w:rsid w:val="00447926"/>
    <w:rsid w:val="00447F4A"/>
    <w:rsid w:val="004525AD"/>
    <w:rsid w:val="00452DE3"/>
    <w:rsid w:val="00453F02"/>
    <w:rsid w:val="004556EB"/>
    <w:rsid w:val="00456F67"/>
    <w:rsid w:val="00457730"/>
    <w:rsid w:val="00461B11"/>
    <w:rsid w:val="00463157"/>
    <w:rsid w:val="004644C2"/>
    <w:rsid w:val="00464E6A"/>
    <w:rsid w:val="00466362"/>
    <w:rsid w:val="00467F9C"/>
    <w:rsid w:val="00470C84"/>
    <w:rsid w:val="004713BF"/>
    <w:rsid w:val="004736AB"/>
    <w:rsid w:val="004745F3"/>
    <w:rsid w:val="00475158"/>
    <w:rsid w:val="00475833"/>
    <w:rsid w:val="0048088F"/>
    <w:rsid w:val="00486540"/>
    <w:rsid w:val="004922D0"/>
    <w:rsid w:val="0049632E"/>
    <w:rsid w:val="004A0164"/>
    <w:rsid w:val="004A311E"/>
    <w:rsid w:val="004A44F8"/>
    <w:rsid w:val="004A52FB"/>
    <w:rsid w:val="004B2235"/>
    <w:rsid w:val="004B2F33"/>
    <w:rsid w:val="004B3801"/>
    <w:rsid w:val="004B596F"/>
    <w:rsid w:val="004C0BFD"/>
    <w:rsid w:val="004C1D07"/>
    <w:rsid w:val="004D3086"/>
    <w:rsid w:val="004D34BA"/>
    <w:rsid w:val="004E01A9"/>
    <w:rsid w:val="004E1305"/>
    <w:rsid w:val="004E5826"/>
    <w:rsid w:val="004E7194"/>
    <w:rsid w:val="004F70C8"/>
    <w:rsid w:val="004F774A"/>
    <w:rsid w:val="0050055A"/>
    <w:rsid w:val="00503FF0"/>
    <w:rsid w:val="00504E2F"/>
    <w:rsid w:val="00506C02"/>
    <w:rsid w:val="0051006C"/>
    <w:rsid w:val="00512B9C"/>
    <w:rsid w:val="00515730"/>
    <w:rsid w:val="00515A2B"/>
    <w:rsid w:val="0051671D"/>
    <w:rsid w:val="00522FB7"/>
    <w:rsid w:val="00531525"/>
    <w:rsid w:val="00532CC0"/>
    <w:rsid w:val="00534681"/>
    <w:rsid w:val="0054063E"/>
    <w:rsid w:val="00540C45"/>
    <w:rsid w:val="00542174"/>
    <w:rsid w:val="005433FE"/>
    <w:rsid w:val="00543B3F"/>
    <w:rsid w:val="00550122"/>
    <w:rsid w:val="0055296B"/>
    <w:rsid w:val="005543C1"/>
    <w:rsid w:val="0055456E"/>
    <w:rsid w:val="0056068E"/>
    <w:rsid w:val="00562DB1"/>
    <w:rsid w:val="00563442"/>
    <w:rsid w:val="0056348E"/>
    <w:rsid w:val="00565B42"/>
    <w:rsid w:val="00571BD8"/>
    <w:rsid w:val="00572290"/>
    <w:rsid w:val="00572D7F"/>
    <w:rsid w:val="00581467"/>
    <w:rsid w:val="00585784"/>
    <w:rsid w:val="0058663E"/>
    <w:rsid w:val="005877E6"/>
    <w:rsid w:val="005A3576"/>
    <w:rsid w:val="005B068A"/>
    <w:rsid w:val="005B0E1C"/>
    <w:rsid w:val="005B2525"/>
    <w:rsid w:val="005B3524"/>
    <w:rsid w:val="005B35E2"/>
    <w:rsid w:val="005B785E"/>
    <w:rsid w:val="005C1556"/>
    <w:rsid w:val="005C4CE6"/>
    <w:rsid w:val="005C7539"/>
    <w:rsid w:val="005D077E"/>
    <w:rsid w:val="005D0A05"/>
    <w:rsid w:val="005D4AC8"/>
    <w:rsid w:val="005D6392"/>
    <w:rsid w:val="005D71D2"/>
    <w:rsid w:val="005D79D4"/>
    <w:rsid w:val="005E0D1A"/>
    <w:rsid w:val="005E4B4B"/>
    <w:rsid w:val="005F0132"/>
    <w:rsid w:val="005F0437"/>
    <w:rsid w:val="005F0F68"/>
    <w:rsid w:val="005F2F46"/>
    <w:rsid w:val="005F3D87"/>
    <w:rsid w:val="005F4740"/>
    <w:rsid w:val="005F653D"/>
    <w:rsid w:val="00601870"/>
    <w:rsid w:val="006025B6"/>
    <w:rsid w:val="006052E6"/>
    <w:rsid w:val="00605918"/>
    <w:rsid w:val="00611560"/>
    <w:rsid w:val="00611795"/>
    <w:rsid w:val="006122BA"/>
    <w:rsid w:val="006159E3"/>
    <w:rsid w:val="006208C9"/>
    <w:rsid w:val="0062200B"/>
    <w:rsid w:val="0062209A"/>
    <w:rsid w:val="00622278"/>
    <w:rsid w:val="006223BB"/>
    <w:rsid w:val="00622D35"/>
    <w:rsid w:val="00625944"/>
    <w:rsid w:val="00625A2A"/>
    <w:rsid w:val="00625F1B"/>
    <w:rsid w:val="00627BC1"/>
    <w:rsid w:val="00631311"/>
    <w:rsid w:val="006374AB"/>
    <w:rsid w:val="006378E7"/>
    <w:rsid w:val="006416BC"/>
    <w:rsid w:val="00646E8A"/>
    <w:rsid w:val="006478BF"/>
    <w:rsid w:val="00672392"/>
    <w:rsid w:val="00674588"/>
    <w:rsid w:val="00675121"/>
    <w:rsid w:val="006769C1"/>
    <w:rsid w:val="00677452"/>
    <w:rsid w:val="006814E8"/>
    <w:rsid w:val="00682AE2"/>
    <w:rsid w:val="00682BA9"/>
    <w:rsid w:val="006870CF"/>
    <w:rsid w:val="00687524"/>
    <w:rsid w:val="00690BB9"/>
    <w:rsid w:val="00692148"/>
    <w:rsid w:val="0069310E"/>
    <w:rsid w:val="00695308"/>
    <w:rsid w:val="00697BF9"/>
    <w:rsid w:val="006A73C1"/>
    <w:rsid w:val="006A7E18"/>
    <w:rsid w:val="006B0450"/>
    <w:rsid w:val="006B1592"/>
    <w:rsid w:val="006B2290"/>
    <w:rsid w:val="006B2F7C"/>
    <w:rsid w:val="006B3BC2"/>
    <w:rsid w:val="006B65D0"/>
    <w:rsid w:val="006B71D9"/>
    <w:rsid w:val="006C0D4A"/>
    <w:rsid w:val="006C2C16"/>
    <w:rsid w:val="006C3EC8"/>
    <w:rsid w:val="006C7F3A"/>
    <w:rsid w:val="006D05AB"/>
    <w:rsid w:val="006D0E41"/>
    <w:rsid w:val="006D6527"/>
    <w:rsid w:val="006E0FEF"/>
    <w:rsid w:val="006E12C3"/>
    <w:rsid w:val="006E19CE"/>
    <w:rsid w:val="006E483F"/>
    <w:rsid w:val="006E600A"/>
    <w:rsid w:val="006E7BE2"/>
    <w:rsid w:val="006F1995"/>
    <w:rsid w:val="006F509A"/>
    <w:rsid w:val="00701475"/>
    <w:rsid w:val="007041D3"/>
    <w:rsid w:val="007060DC"/>
    <w:rsid w:val="00706744"/>
    <w:rsid w:val="00710198"/>
    <w:rsid w:val="00715C83"/>
    <w:rsid w:val="00716CEF"/>
    <w:rsid w:val="00717D88"/>
    <w:rsid w:val="00717FD0"/>
    <w:rsid w:val="007208D0"/>
    <w:rsid w:val="007227C4"/>
    <w:rsid w:val="00725145"/>
    <w:rsid w:val="00726A43"/>
    <w:rsid w:val="0073077B"/>
    <w:rsid w:val="007318B1"/>
    <w:rsid w:val="007329F5"/>
    <w:rsid w:val="00732C0F"/>
    <w:rsid w:val="0073546F"/>
    <w:rsid w:val="00736952"/>
    <w:rsid w:val="00740FDB"/>
    <w:rsid w:val="007447F4"/>
    <w:rsid w:val="00746021"/>
    <w:rsid w:val="0074766D"/>
    <w:rsid w:val="00750B6E"/>
    <w:rsid w:val="00755275"/>
    <w:rsid w:val="007564C8"/>
    <w:rsid w:val="007569E6"/>
    <w:rsid w:val="00760086"/>
    <w:rsid w:val="0076013E"/>
    <w:rsid w:val="007621B0"/>
    <w:rsid w:val="007679A1"/>
    <w:rsid w:val="00770F4B"/>
    <w:rsid w:val="0077131B"/>
    <w:rsid w:val="00775235"/>
    <w:rsid w:val="00780A64"/>
    <w:rsid w:val="007819F8"/>
    <w:rsid w:val="00785061"/>
    <w:rsid w:val="00786056"/>
    <w:rsid w:val="00791256"/>
    <w:rsid w:val="00791C06"/>
    <w:rsid w:val="007942D3"/>
    <w:rsid w:val="007952BC"/>
    <w:rsid w:val="0079531A"/>
    <w:rsid w:val="00796360"/>
    <w:rsid w:val="00797B32"/>
    <w:rsid w:val="007A0F49"/>
    <w:rsid w:val="007B2099"/>
    <w:rsid w:val="007B2B0B"/>
    <w:rsid w:val="007B2B53"/>
    <w:rsid w:val="007B6C09"/>
    <w:rsid w:val="007B7741"/>
    <w:rsid w:val="007C0D50"/>
    <w:rsid w:val="007C2D08"/>
    <w:rsid w:val="007C3549"/>
    <w:rsid w:val="007C4951"/>
    <w:rsid w:val="007C517F"/>
    <w:rsid w:val="007C57EA"/>
    <w:rsid w:val="007D22FA"/>
    <w:rsid w:val="007D40D8"/>
    <w:rsid w:val="007D7977"/>
    <w:rsid w:val="007E09DA"/>
    <w:rsid w:val="007E0F8A"/>
    <w:rsid w:val="007E1795"/>
    <w:rsid w:val="007E32C4"/>
    <w:rsid w:val="007E6750"/>
    <w:rsid w:val="007F45B5"/>
    <w:rsid w:val="007F5D6D"/>
    <w:rsid w:val="007F718D"/>
    <w:rsid w:val="00801100"/>
    <w:rsid w:val="00801451"/>
    <w:rsid w:val="00801FAD"/>
    <w:rsid w:val="00805263"/>
    <w:rsid w:val="00805CB0"/>
    <w:rsid w:val="00811812"/>
    <w:rsid w:val="00813143"/>
    <w:rsid w:val="00814FA9"/>
    <w:rsid w:val="00815908"/>
    <w:rsid w:val="00816CA3"/>
    <w:rsid w:val="008178B6"/>
    <w:rsid w:val="00817AD8"/>
    <w:rsid w:val="00820C21"/>
    <w:rsid w:val="008212A6"/>
    <w:rsid w:val="00821BDE"/>
    <w:rsid w:val="0082259B"/>
    <w:rsid w:val="00824D38"/>
    <w:rsid w:val="00832A29"/>
    <w:rsid w:val="008342D2"/>
    <w:rsid w:val="00834D7B"/>
    <w:rsid w:val="00835055"/>
    <w:rsid w:val="00842151"/>
    <w:rsid w:val="00843A28"/>
    <w:rsid w:val="00845560"/>
    <w:rsid w:val="00847513"/>
    <w:rsid w:val="008568AB"/>
    <w:rsid w:val="00856D55"/>
    <w:rsid w:val="00857BF8"/>
    <w:rsid w:val="00857C2F"/>
    <w:rsid w:val="00860777"/>
    <w:rsid w:val="00860902"/>
    <w:rsid w:val="008618B0"/>
    <w:rsid w:val="00861DB9"/>
    <w:rsid w:val="00862B8C"/>
    <w:rsid w:val="008630E9"/>
    <w:rsid w:val="00864B3A"/>
    <w:rsid w:val="0086585E"/>
    <w:rsid w:val="00865B74"/>
    <w:rsid w:val="00866063"/>
    <w:rsid w:val="0086614D"/>
    <w:rsid w:val="008705AD"/>
    <w:rsid w:val="00872A22"/>
    <w:rsid w:val="00872B9C"/>
    <w:rsid w:val="008739B7"/>
    <w:rsid w:val="008743E9"/>
    <w:rsid w:val="0087464B"/>
    <w:rsid w:val="00875278"/>
    <w:rsid w:val="00876C1E"/>
    <w:rsid w:val="008815C9"/>
    <w:rsid w:val="0088326D"/>
    <w:rsid w:val="008905B7"/>
    <w:rsid w:val="008974F0"/>
    <w:rsid w:val="008A1079"/>
    <w:rsid w:val="008A1499"/>
    <w:rsid w:val="008A17BF"/>
    <w:rsid w:val="008A3284"/>
    <w:rsid w:val="008A463B"/>
    <w:rsid w:val="008A787A"/>
    <w:rsid w:val="008A79E5"/>
    <w:rsid w:val="008B012A"/>
    <w:rsid w:val="008B22ED"/>
    <w:rsid w:val="008B45A8"/>
    <w:rsid w:val="008B78C3"/>
    <w:rsid w:val="008C0495"/>
    <w:rsid w:val="008C185F"/>
    <w:rsid w:val="008C3DFE"/>
    <w:rsid w:val="008C3FB1"/>
    <w:rsid w:val="008C479E"/>
    <w:rsid w:val="008C5102"/>
    <w:rsid w:val="008C5157"/>
    <w:rsid w:val="008D3A54"/>
    <w:rsid w:val="008D4552"/>
    <w:rsid w:val="008D577E"/>
    <w:rsid w:val="008E3FF2"/>
    <w:rsid w:val="008E61FA"/>
    <w:rsid w:val="008E6A66"/>
    <w:rsid w:val="008F21E3"/>
    <w:rsid w:val="008F62B9"/>
    <w:rsid w:val="00905211"/>
    <w:rsid w:val="00906E17"/>
    <w:rsid w:val="009141AE"/>
    <w:rsid w:val="009167CB"/>
    <w:rsid w:val="00916C04"/>
    <w:rsid w:val="00917056"/>
    <w:rsid w:val="009212E0"/>
    <w:rsid w:val="00921A6E"/>
    <w:rsid w:val="00924B72"/>
    <w:rsid w:val="00924CDB"/>
    <w:rsid w:val="00925333"/>
    <w:rsid w:val="00930BA1"/>
    <w:rsid w:val="0093169E"/>
    <w:rsid w:val="009332E5"/>
    <w:rsid w:val="009335A5"/>
    <w:rsid w:val="009340BC"/>
    <w:rsid w:val="00942E8C"/>
    <w:rsid w:val="009443DC"/>
    <w:rsid w:val="00947781"/>
    <w:rsid w:val="009504D3"/>
    <w:rsid w:val="009505C9"/>
    <w:rsid w:val="00950752"/>
    <w:rsid w:val="0096447F"/>
    <w:rsid w:val="00964A31"/>
    <w:rsid w:val="00964CF9"/>
    <w:rsid w:val="00965282"/>
    <w:rsid w:val="009659ED"/>
    <w:rsid w:val="00965FB4"/>
    <w:rsid w:val="00966424"/>
    <w:rsid w:val="00967E64"/>
    <w:rsid w:val="009802AF"/>
    <w:rsid w:val="00980AD2"/>
    <w:rsid w:val="00982D85"/>
    <w:rsid w:val="009857E2"/>
    <w:rsid w:val="00992B4D"/>
    <w:rsid w:val="009934F0"/>
    <w:rsid w:val="00993943"/>
    <w:rsid w:val="00993C53"/>
    <w:rsid w:val="00996FB9"/>
    <w:rsid w:val="009977D2"/>
    <w:rsid w:val="009A08BA"/>
    <w:rsid w:val="009A4040"/>
    <w:rsid w:val="009A4539"/>
    <w:rsid w:val="009A619C"/>
    <w:rsid w:val="009A660C"/>
    <w:rsid w:val="009B1B17"/>
    <w:rsid w:val="009B5582"/>
    <w:rsid w:val="009B745C"/>
    <w:rsid w:val="009B7EBB"/>
    <w:rsid w:val="009C1750"/>
    <w:rsid w:val="009C2DE6"/>
    <w:rsid w:val="009C709C"/>
    <w:rsid w:val="009D32A2"/>
    <w:rsid w:val="009D3C9E"/>
    <w:rsid w:val="009E1823"/>
    <w:rsid w:val="009E1A01"/>
    <w:rsid w:val="009E62DA"/>
    <w:rsid w:val="009E66EC"/>
    <w:rsid w:val="009F37F3"/>
    <w:rsid w:val="009F4897"/>
    <w:rsid w:val="009F5662"/>
    <w:rsid w:val="009F5D47"/>
    <w:rsid w:val="00A00894"/>
    <w:rsid w:val="00A0239C"/>
    <w:rsid w:val="00A04872"/>
    <w:rsid w:val="00A0551E"/>
    <w:rsid w:val="00A066A2"/>
    <w:rsid w:val="00A06D62"/>
    <w:rsid w:val="00A100A3"/>
    <w:rsid w:val="00A111D1"/>
    <w:rsid w:val="00A16DBA"/>
    <w:rsid w:val="00A24908"/>
    <w:rsid w:val="00A26505"/>
    <w:rsid w:val="00A300E9"/>
    <w:rsid w:val="00A30C8F"/>
    <w:rsid w:val="00A31809"/>
    <w:rsid w:val="00A333C3"/>
    <w:rsid w:val="00A42078"/>
    <w:rsid w:val="00A45FDF"/>
    <w:rsid w:val="00A4667E"/>
    <w:rsid w:val="00A46C70"/>
    <w:rsid w:val="00A542A3"/>
    <w:rsid w:val="00A55A31"/>
    <w:rsid w:val="00A570DD"/>
    <w:rsid w:val="00A608D2"/>
    <w:rsid w:val="00A62D77"/>
    <w:rsid w:val="00A64AFB"/>
    <w:rsid w:val="00A65569"/>
    <w:rsid w:val="00A721E8"/>
    <w:rsid w:val="00A84714"/>
    <w:rsid w:val="00A8496F"/>
    <w:rsid w:val="00A84FB3"/>
    <w:rsid w:val="00A85239"/>
    <w:rsid w:val="00A86541"/>
    <w:rsid w:val="00A86542"/>
    <w:rsid w:val="00A86B71"/>
    <w:rsid w:val="00A93302"/>
    <w:rsid w:val="00A95855"/>
    <w:rsid w:val="00A95BFE"/>
    <w:rsid w:val="00A975D1"/>
    <w:rsid w:val="00AA1DE9"/>
    <w:rsid w:val="00AA1F44"/>
    <w:rsid w:val="00AA23F2"/>
    <w:rsid w:val="00AA2B64"/>
    <w:rsid w:val="00AA3B25"/>
    <w:rsid w:val="00AA3C6E"/>
    <w:rsid w:val="00AA4471"/>
    <w:rsid w:val="00AA62F1"/>
    <w:rsid w:val="00AA6F92"/>
    <w:rsid w:val="00AA7220"/>
    <w:rsid w:val="00AB356E"/>
    <w:rsid w:val="00AB38D8"/>
    <w:rsid w:val="00AB4584"/>
    <w:rsid w:val="00AB58F9"/>
    <w:rsid w:val="00AB6934"/>
    <w:rsid w:val="00AB6D25"/>
    <w:rsid w:val="00AC2323"/>
    <w:rsid w:val="00AC55AF"/>
    <w:rsid w:val="00AC593D"/>
    <w:rsid w:val="00AC5A5F"/>
    <w:rsid w:val="00AC5BE4"/>
    <w:rsid w:val="00AC5FA9"/>
    <w:rsid w:val="00AC5FD0"/>
    <w:rsid w:val="00AD027E"/>
    <w:rsid w:val="00AD18CC"/>
    <w:rsid w:val="00AD2926"/>
    <w:rsid w:val="00AE3848"/>
    <w:rsid w:val="00AE65CD"/>
    <w:rsid w:val="00AF42DE"/>
    <w:rsid w:val="00AF4C3B"/>
    <w:rsid w:val="00AF5D24"/>
    <w:rsid w:val="00AF5E8E"/>
    <w:rsid w:val="00B05D9F"/>
    <w:rsid w:val="00B07390"/>
    <w:rsid w:val="00B07D94"/>
    <w:rsid w:val="00B07F34"/>
    <w:rsid w:val="00B1544D"/>
    <w:rsid w:val="00B17429"/>
    <w:rsid w:val="00B27379"/>
    <w:rsid w:val="00B301E6"/>
    <w:rsid w:val="00B3369F"/>
    <w:rsid w:val="00B34EE3"/>
    <w:rsid w:val="00B36288"/>
    <w:rsid w:val="00B40E35"/>
    <w:rsid w:val="00B41D13"/>
    <w:rsid w:val="00B421A2"/>
    <w:rsid w:val="00B4527D"/>
    <w:rsid w:val="00B468D1"/>
    <w:rsid w:val="00B47D1B"/>
    <w:rsid w:val="00B51428"/>
    <w:rsid w:val="00B51FC6"/>
    <w:rsid w:val="00B53DFE"/>
    <w:rsid w:val="00B57729"/>
    <w:rsid w:val="00B60F70"/>
    <w:rsid w:val="00B62F4E"/>
    <w:rsid w:val="00B663C3"/>
    <w:rsid w:val="00B67055"/>
    <w:rsid w:val="00B71606"/>
    <w:rsid w:val="00B7171E"/>
    <w:rsid w:val="00B71B47"/>
    <w:rsid w:val="00B727BD"/>
    <w:rsid w:val="00B74D4C"/>
    <w:rsid w:val="00B74E77"/>
    <w:rsid w:val="00B7532B"/>
    <w:rsid w:val="00B75457"/>
    <w:rsid w:val="00B763C1"/>
    <w:rsid w:val="00B76EAC"/>
    <w:rsid w:val="00B77557"/>
    <w:rsid w:val="00B8484E"/>
    <w:rsid w:val="00B85654"/>
    <w:rsid w:val="00B86A6B"/>
    <w:rsid w:val="00B8753C"/>
    <w:rsid w:val="00B9053E"/>
    <w:rsid w:val="00B92A9A"/>
    <w:rsid w:val="00B94AAB"/>
    <w:rsid w:val="00B94E6C"/>
    <w:rsid w:val="00B97522"/>
    <w:rsid w:val="00BA3BAD"/>
    <w:rsid w:val="00BA4B02"/>
    <w:rsid w:val="00BA6185"/>
    <w:rsid w:val="00BA691D"/>
    <w:rsid w:val="00BB4606"/>
    <w:rsid w:val="00BB4CA5"/>
    <w:rsid w:val="00BB4E5D"/>
    <w:rsid w:val="00BB71F0"/>
    <w:rsid w:val="00BC4A38"/>
    <w:rsid w:val="00BC63F3"/>
    <w:rsid w:val="00BD1F09"/>
    <w:rsid w:val="00BD385B"/>
    <w:rsid w:val="00BD4857"/>
    <w:rsid w:val="00BE0740"/>
    <w:rsid w:val="00BE16E4"/>
    <w:rsid w:val="00BE6717"/>
    <w:rsid w:val="00BF0466"/>
    <w:rsid w:val="00BF6533"/>
    <w:rsid w:val="00BF7DC5"/>
    <w:rsid w:val="00C008B8"/>
    <w:rsid w:val="00C02468"/>
    <w:rsid w:val="00C05229"/>
    <w:rsid w:val="00C11EE6"/>
    <w:rsid w:val="00C137CA"/>
    <w:rsid w:val="00C16D8B"/>
    <w:rsid w:val="00C21C42"/>
    <w:rsid w:val="00C227C2"/>
    <w:rsid w:val="00C23D2F"/>
    <w:rsid w:val="00C27E3F"/>
    <w:rsid w:val="00C30FEA"/>
    <w:rsid w:val="00C3453B"/>
    <w:rsid w:val="00C35F08"/>
    <w:rsid w:val="00C36C14"/>
    <w:rsid w:val="00C41EE4"/>
    <w:rsid w:val="00C436D3"/>
    <w:rsid w:val="00C43D9C"/>
    <w:rsid w:val="00C443BD"/>
    <w:rsid w:val="00C4504A"/>
    <w:rsid w:val="00C451C5"/>
    <w:rsid w:val="00C45AA6"/>
    <w:rsid w:val="00C50799"/>
    <w:rsid w:val="00C523DE"/>
    <w:rsid w:val="00C55C66"/>
    <w:rsid w:val="00C56C3E"/>
    <w:rsid w:val="00C56E79"/>
    <w:rsid w:val="00C5709E"/>
    <w:rsid w:val="00C57198"/>
    <w:rsid w:val="00C57556"/>
    <w:rsid w:val="00C57887"/>
    <w:rsid w:val="00C60B9B"/>
    <w:rsid w:val="00C638A5"/>
    <w:rsid w:val="00C65EC3"/>
    <w:rsid w:val="00C669FE"/>
    <w:rsid w:val="00C66DD0"/>
    <w:rsid w:val="00C70759"/>
    <w:rsid w:val="00C71A45"/>
    <w:rsid w:val="00C73037"/>
    <w:rsid w:val="00C865C3"/>
    <w:rsid w:val="00C90B4D"/>
    <w:rsid w:val="00C9161D"/>
    <w:rsid w:val="00C94DB1"/>
    <w:rsid w:val="00C97F73"/>
    <w:rsid w:val="00CA0C1D"/>
    <w:rsid w:val="00CA1349"/>
    <w:rsid w:val="00CA3340"/>
    <w:rsid w:val="00CA3AFE"/>
    <w:rsid w:val="00CA3E8C"/>
    <w:rsid w:val="00CA405C"/>
    <w:rsid w:val="00CA4726"/>
    <w:rsid w:val="00CA5450"/>
    <w:rsid w:val="00CA6ED0"/>
    <w:rsid w:val="00CB048A"/>
    <w:rsid w:val="00CB5AE0"/>
    <w:rsid w:val="00CB68AD"/>
    <w:rsid w:val="00CC57B2"/>
    <w:rsid w:val="00CD08BD"/>
    <w:rsid w:val="00CD3A70"/>
    <w:rsid w:val="00CE2AA1"/>
    <w:rsid w:val="00CE42E5"/>
    <w:rsid w:val="00CF036B"/>
    <w:rsid w:val="00CF1111"/>
    <w:rsid w:val="00CF1848"/>
    <w:rsid w:val="00CF48A9"/>
    <w:rsid w:val="00CF524B"/>
    <w:rsid w:val="00D0538B"/>
    <w:rsid w:val="00D07B9B"/>
    <w:rsid w:val="00D12044"/>
    <w:rsid w:val="00D14A00"/>
    <w:rsid w:val="00D14B9A"/>
    <w:rsid w:val="00D166C5"/>
    <w:rsid w:val="00D16EC0"/>
    <w:rsid w:val="00D170D9"/>
    <w:rsid w:val="00D17AF9"/>
    <w:rsid w:val="00D244F3"/>
    <w:rsid w:val="00D25D03"/>
    <w:rsid w:val="00D30C10"/>
    <w:rsid w:val="00D33B75"/>
    <w:rsid w:val="00D33B86"/>
    <w:rsid w:val="00D33EFC"/>
    <w:rsid w:val="00D3576C"/>
    <w:rsid w:val="00D404CD"/>
    <w:rsid w:val="00D4093E"/>
    <w:rsid w:val="00D40D5A"/>
    <w:rsid w:val="00D40DBC"/>
    <w:rsid w:val="00D4303A"/>
    <w:rsid w:val="00D44D00"/>
    <w:rsid w:val="00D47925"/>
    <w:rsid w:val="00D55FC2"/>
    <w:rsid w:val="00D56018"/>
    <w:rsid w:val="00D57932"/>
    <w:rsid w:val="00D602A5"/>
    <w:rsid w:val="00D61C85"/>
    <w:rsid w:val="00D65447"/>
    <w:rsid w:val="00D656EA"/>
    <w:rsid w:val="00D754D2"/>
    <w:rsid w:val="00D75833"/>
    <w:rsid w:val="00D75CA6"/>
    <w:rsid w:val="00D76574"/>
    <w:rsid w:val="00D76A18"/>
    <w:rsid w:val="00D80849"/>
    <w:rsid w:val="00D8200E"/>
    <w:rsid w:val="00D824BE"/>
    <w:rsid w:val="00D82E8F"/>
    <w:rsid w:val="00D83147"/>
    <w:rsid w:val="00D90218"/>
    <w:rsid w:val="00D95507"/>
    <w:rsid w:val="00DA5124"/>
    <w:rsid w:val="00DA57A1"/>
    <w:rsid w:val="00DA6907"/>
    <w:rsid w:val="00DA7C0A"/>
    <w:rsid w:val="00DB1DFB"/>
    <w:rsid w:val="00DB1E5D"/>
    <w:rsid w:val="00DB5E0F"/>
    <w:rsid w:val="00DB75AC"/>
    <w:rsid w:val="00DB7941"/>
    <w:rsid w:val="00DC746C"/>
    <w:rsid w:val="00DD118C"/>
    <w:rsid w:val="00DD3AE0"/>
    <w:rsid w:val="00DD61C6"/>
    <w:rsid w:val="00DE0891"/>
    <w:rsid w:val="00DE2627"/>
    <w:rsid w:val="00DE6D8F"/>
    <w:rsid w:val="00DE765C"/>
    <w:rsid w:val="00DE79D4"/>
    <w:rsid w:val="00DF09EF"/>
    <w:rsid w:val="00DF3626"/>
    <w:rsid w:val="00DF497F"/>
    <w:rsid w:val="00DF5649"/>
    <w:rsid w:val="00DF70E0"/>
    <w:rsid w:val="00E00FC2"/>
    <w:rsid w:val="00E0221D"/>
    <w:rsid w:val="00E10836"/>
    <w:rsid w:val="00E11698"/>
    <w:rsid w:val="00E12A58"/>
    <w:rsid w:val="00E1324D"/>
    <w:rsid w:val="00E14A1A"/>
    <w:rsid w:val="00E150A9"/>
    <w:rsid w:val="00E157AA"/>
    <w:rsid w:val="00E20DC2"/>
    <w:rsid w:val="00E224A6"/>
    <w:rsid w:val="00E30548"/>
    <w:rsid w:val="00E33CE4"/>
    <w:rsid w:val="00E3400C"/>
    <w:rsid w:val="00E51F96"/>
    <w:rsid w:val="00E537CA"/>
    <w:rsid w:val="00E57814"/>
    <w:rsid w:val="00E64FC2"/>
    <w:rsid w:val="00E66235"/>
    <w:rsid w:val="00E6623C"/>
    <w:rsid w:val="00E67264"/>
    <w:rsid w:val="00E70341"/>
    <w:rsid w:val="00E71F11"/>
    <w:rsid w:val="00E76E11"/>
    <w:rsid w:val="00E802FA"/>
    <w:rsid w:val="00E80C00"/>
    <w:rsid w:val="00E8142B"/>
    <w:rsid w:val="00E82E24"/>
    <w:rsid w:val="00E83471"/>
    <w:rsid w:val="00E83C24"/>
    <w:rsid w:val="00E9318D"/>
    <w:rsid w:val="00E93F3E"/>
    <w:rsid w:val="00E95C7E"/>
    <w:rsid w:val="00E971DF"/>
    <w:rsid w:val="00E97241"/>
    <w:rsid w:val="00EA127E"/>
    <w:rsid w:val="00EA74AC"/>
    <w:rsid w:val="00EA7732"/>
    <w:rsid w:val="00EB0B75"/>
    <w:rsid w:val="00EB1CB4"/>
    <w:rsid w:val="00EB2197"/>
    <w:rsid w:val="00EB62BD"/>
    <w:rsid w:val="00EB6414"/>
    <w:rsid w:val="00EC6582"/>
    <w:rsid w:val="00EC731D"/>
    <w:rsid w:val="00EE3D00"/>
    <w:rsid w:val="00EE705A"/>
    <w:rsid w:val="00EE7B18"/>
    <w:rsid w:val="00EF138E"/>
    <w:rsid w:val="00EF2077"/>
    <w:rsid w:val="00EF33A6"/>
    <w:rsid w:val="00EF33B9"/>
    <w:rsid w:val="00EF4371"/>
    <w:rsid w:val="00EF70A0"/>
    <w:rsid w:val="00F029AB"/>
    <w:rsid w:val="00F063C2"/>
    <w:rsid w:val="00F06BEC"/>
    <w:rsid w:val="00F1274E"/>
    <w:rsid w:val="00F12C45"/>
    <w:rsid w:val="00F14C56"/>
    <w:rsid w:val="00F23359"/>
    <w:rsid w:val="00F264EE"/>
    <w:rsid w:val="00F27202"/>
    <w:rsid w:val="00F32633"/>
    <w:rsid w:val="00F3289C"/>
    <w:rsid w:val="00F35BF2"/>
    <w:rsid w:val="00F40A88"/>
    <w:rsid w:val="00F45245"/>
    <w:rsid w:val="00F5289C"/>
    <w:rsid w:val="00F53193"/>
    <w:rsid w:val="00F53267"/>
    <w:rsid w:val="00F5357E"/>
    <w:rsid w:val="00F6251D"/>
    <w:rsid w:val="00F635E7"/>
    <w:rsid w:val="00F63BCC"/>
    <w:rsid w:val="00F6412D"/>
    <w:rsid w:val="00F652CA"/>
    <w:rsid w:val="00F6586C"/>
    <w:rsid w:val="00F67924"/>
    <w:rsid w:val="00F74583"/>
    <w:rsid w:val="00F76B18"/>
    <w:rsid w:val="00F82083"/>
    <w:rsid w:val="00F822AA"/>
    <w:rsid w:val="00F822F7"/>
    <w:rsid w:val="00F82C33"/>
    <w:rsid w:val="00F83015"/>
    <w:rsid w:val="00F83EE9"/>
    <w:rsid w:val="00F872CB"/>
    <w:rsid w:val="00F87A86"/>
    <w:rsid w:val="00F9038B"/>
    <w:rsid w:val="00F904DF"/>
    <w:rsid w:val="00F90690"/>
    <w:rsid w:val="00F94774"/>
    <w:rsid w:val="00F95847"/>
    <w:rsid w:val="00F95DC7"/>
    <w:rsid w:val="00F964CE"/>
    <w:rsid w:val="00FA1D6E"/>
    <w:rsid w:val="00FA1E48"/>
    <w:rsid w:val="00FA45FC"/>
    <w:rsid w:val="00FA536E"/>
    <w:rsid w:val="00FA5492"/>
    <w:rsid w:val="00FA663B"/>
    <w:rsid w:val="00FA6B87"/>
    <w:rsid w:val="00FB1FD2"/>
    <w:rsid w:val="00FB3B1C"/>
    <w:rsid w:val="00FB3B53"/>
    <w:rsid w:val="00FB4386"/>
    <w:rsid w:val="00FB4FB2"/>
    <w:rsid w:val="00FB5F12"/>
    <w:rsid w:val="00FB63FF"/>
    <w:rsid w:val="00FB7835"/>
    <w:rsid w:val="00FC2BC0"/>
    <w:rsid w:val="00FC32FE"/>
    <w:rsid w:val="00FC53DB"/>
    <w:rsid w:val="00FC7712"/>
    <w:rsid w:val="00FD0F79"/>
    <w:rsid w:val="00FD2D51"/>
    <w:rsid w:val="00FD43F1"/>
    <w:rsid w:val="00FD6DDC"/>
    <w:rsid w:val="00FD75CB"/>
    <w:rsid w:val="00FE06F3"/>
    <w:rsid w:val="00FE6678"/>
    <w:rsid w:val="00FE6FE2"/>
    <w:rsid w:val="00FF1B8E"/>
    <w:rsid w:val="00FF2126"/>
    <w:rsid w:val="00FF3988"/>
    <w:rsid w:val="00FF4E42"/>
    <w:rsid w:val="00FF52F2"/>
    <w:rsid w:val="00FF6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CA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5F8514A6"/>
  <w15:docId w15:val="{466C6D5F-10D5-4BFA-A8F1-84336E7206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fr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iPriority="0" w:unhideWhenUsed="1"/>
    <w:lsdException w:name="table of authorities" w:semiHidden="1" w:unhideWhenUsed="1"/>
    <w:lsdException w:name="macro" w:semiHidden="1" w:unhideWhenUsed="1"/>
    <w:lsdException w:name="toa heading" w:semiHidden="1" w:uiPriority="0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0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iPriority="0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F1A75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Heading1">
    <w:name w:val="heading 1"/>
    <w:basedOn w:val="Normal"/>
    <w:next w:val="Heading2"/>
    <w:link w:val="Heading1Char"/>
    <w:uiPriority w:val="9"/>
    <w:qFormat/>
    <w:rsid w:val="003F1A75"/>
    <w:pPr>
      <w:keepNext/>
      <w:keepLines/>
      <w:numPr>
        <w:numId w:val="6"/>
      </w:numPr>
      <w:spacing w:before="240" w:after="120"/>
      <w:jc w:val="left"/>
      <w:outlineLvl w:val="0"/>
    </w:pPr>
    <w:rPr>
      <w:rFonts w:eastAsiaTheme="majorEastAsia" w:cstheme="majorBidi"/>
      <w:b/>
      <w:bCs/>
      <w:kern w:val="2"/>
      <w:sz w:val="28"/>
      <w:szCs w:val="32"/>
      <w14:ligatures w14:val="standardContextual"/>
    </w:rPr>
  </w:style>
  <w:style w:type="paragraph" w:styleId="Heading2">
    <w:name w:val="heading 2"/>
    <w:basedOn w:val="Normal"/>
    <w:next w:val="CBDNormalNumber"/>
    <w:link w:val="Heading2Char"/>
    <w:uiPriority w:val="9"/>
    <w:qFormat/>
    <w:rsid w:val="003F1A75"/>
    <w:pPr>
      <w:keepNext/>
      <w:keepLines/>
      <w:numPr>
        <w:ilvl w:val="1"/>
        <w:numId w:val="6"/>
      </w:numPr>
      <w:spacing w:before="120" w:after="120"/>
      <w:jc w:val="left"/>
      <w:outlineLvl w:val="1"/>
    </w:pPr>
    <w:rPr>
      <w:rFonts w:ascii="Times New Roman Bold" w:eastAsiaTheme="majorEastAsia" w:hAnsi="Times New Roman Bold" w:cstheme="majorBidi"/>
      <w:b/>
      <w:sz w:val="24"/>
      <w:szCs w:val="26"/>
    </w:rPr>
  </w:style>
  <w:style w:type="paragraph" w:styleId="Heading3">
    <w:name w:val="heading 3"/>
    <w:basedOn w:val="Normal"/>
    <w:next w:val="CBDNormalNumber"/>
    <w:link w:val="Heading3Char"/>
    <w:uiPriority w:val="9"/>
    <w:qFormat/>
    <w:rsid w:val="003F1A75"/>
    <w:pPr>
      <w:keepNext/>
      <w:keepLines/>
      <w:numPr>
        <w:ilvl w:val="2"/>
        <w:numId w:val="6"/>
      </w:numPr>
      <w:spacing w:before="120" w:after="120"/>
      <w:jc w:val="left"/>
      <w:outlineLvl w:val="2"/>
    </w:pPr>
    <w:rPr>
      <w:rFonts w:eastAsiaTheme="majorEastAsia"/>
      <w:b/>
      <w:bCs/>
    </w:rPr>
  </w:style>
  <w:style w:type="paragraph" w:styleId="Heading4">
    <w:name w:val="heading 4"/>
    <w:basedOn w:val="Normal"/>
    <w:next w:val="CBDNormalNumber"/>
    <w:link w:val="Heading4Char"/>
    <w:uiPriority w:val="9"/>
    <w:qFormat/>
    <w:rsid w:val="003F1A75"/>
    <w:pPr>
      <w:keepNext/>
      <w:numPr>
        <w:ilvl w:val="3"/>
        <w:numId w:val="6"/>
      </w:numPr>
      <w:spacing w:before="120" w:after="120"/>
      <w:jc w:val="left"/>
      <w:outlineLvl w:val="3"/>
    </w:pPr>
    <w:rPr>
      <w:rFonts w:eastAsiaTheme="majorEastAsia"/>
      <w:b/>
      <w:bCs/>
    </w:rPr>
  </w:style>
  <w:style w:type="paragraph" w:styleId="Heading5">
    <w:name w:val="heading 5"/>
    <w:basedOn w:val="Normal"/>
    <w:next w:val="Normal"/>
    <w:link w:val="Heading5Char"/>
    <w:uiPriority w:val="9"/>
    <w:qFormat/>
    <w:rsid w:val="003F1A75"/>
    <w:pPr>
      <w:keepNext/>
      <w:numPr>
        <w:ilvl w:val="4"/>
        <w:numId w:val="6"/>
      </w:numPr>
      <w:spacing w:before="120" w:after="120"/>
      <w:jc w:val="left"/>
      <w:outlineLvl w:val="4"/>
    </w:pPr>
    <w:rPr>
      <w:rFonts w:eastAsiaTheme="majorEastAsia"/>
      <w:i/>
      <w:iCs/>
    </w:rPr>
  </w:style>
  <w:style w:type="paragraph" w:styleId="Heading6">
    <w:name w:val="heading 6"/>
    <w:basedOn w:val="Normal"/>
    <w:next w:val="Normal"/>
    <w:link w:val="Heading6Char"/>
    <w:rsid w:val="003F1A75"/>
    <w:pPr>
      <w:keepNext/>
      <w:keepLines/>
      <w:numPr>
        <w:ilvl w:val="5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5"/>
    </w:pPr>
    <w:rPr>
      <w:bCs/>
      <w:sz w:val="24"/>
    </w:rPr>
  </w:style>
  <w:style w:type="paragraph" w:styleId="Heading7">
    <w:name w:val="heading 7"/>
    <w:basedOn w:val="Normal"/>
    <w:next w:val="Normal"/>
    <w:link w:val="Heading7Char"/>
    <w:rsid w:val="003F1A75"/>
    <w:pPr>
      <w:keepNext/>
      <w:keepLines/>
      <w:widowControl w:val="0"/>
      <w:numPr>
        <w:ilvl w:val="6"/>
        <w:numId w:val="4"/>
      </w:numPr>
      <w:tabs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6"/>
    </w:pPr>
    <w:rPr>
      <w:b/>
      <w:snapToGrid w:val="0"/>
      <w:u w:val="single"/>
    </w:rPr>
  </w:style>
  <w:style w:type="paragraph" w:styleId="Heading8">
    <w:name w:val="heading 8"/>
    <w:basedOn w:val="Normal"/>
    <w:next w:val="Normal"/>
    <w:link w:val="Heading8Char"/>
    <w:rsid w:val="003F1A75"/>
    <w:pPr>
      <w:keepNext/>
      <w:keepLines/>
      <w:widowControl w:val="0"/>
      <w:numPr>
        <w:ilvl w:val="7"/>
        <w:numId w:val="4"/>
      </w:numPr>
      <w:tabs>
        <w:tab w:val="left" w:pos="-1440"/>
        <w:tab w:val="left" w:pos="-720"/>
        <w:tab w:val="right" w:pos="851"/>
        <w:tab w:val="left" w:pos="1871"/>
        <w:tab w:val="left" w:pos="2495"/>
        <w:tab w:val="left" w:pos="3119"/>
        <w:tab w:val="left" w:pos="3742"/>
        <w:tab w:val="left" w:pos="4082"/>
        <w:tab w:val="left" w:pos="4366"/>
      </w:tabs>
      <w:suppressAutoHyphens/>
      <w:spacing w:after="120"/>
      <w:ind w:right="624"/>
      <w:jc w:val="left"/>
      <w:outlineLvl w:val="7"/>
    </w:pPr>
    <w:rPr>
      <w:b/>
      <w:snapToGrid w:val="0"/>
      <w:u w:val="single"/>
    </w:rPr>
  </w:style>
  <w:style w:type="paragraph" w:styleId="Heading9">
    <w:name w:val="heading 9"/>
    <w:basedOn w:val="Normal"/>
    <w:next w:val="Normal"/>
    <w:link w:val="Heading9Char"/>
    <w:rsid w:val="003F1A75"/>
    <w:pPr>
      <w:keepNext/>
      <w:widowControl w:val="0"/>
      <w:numPr>
        <w:ilvl w:val="8"/>
        <w:numId w:val="4"/>
      </w:numPr>
      <w:suppressAutoHyphens/>
      <w:jc w:val="left"/>
      <w:outlineLvl w:val="8"/>
    </w:pPr>
    <w:rPr>
      <w:snapToGrid w:val="0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C9161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C9161D"/>
    <w:rPr>
      <w:rFonts w:ascii="Lucida Grande" w:hAnsi="Lucida Grande" w:cs="Lucida Grande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9161D"/>
    <w:rPr>
      <w:rFonts w:ascii="Lucida Grande" w:eastAsia="SimSun" w:hAnsi="Lucida Grande" w:cs="Lucida Grande"/>
      <w:sz w:val="18"/>
      <w:szCs w:val="18"/>
      <w:lang w:val="en-GB"/>
    </w:rPr>
  </w:style>
  <w:style w:type="character" w:styleId="PlaceholderText">
    <w:name w:val="Placeholder Text"/>
    <w:basedOn w:val="DefaultParagraphFont"/>
    <w:uiPriority w:val="99"/>
    <w:semiHidden/>
    <w:rsid w:val="00105372"/>
    <w:rPr>
      <w:color w:val="808080"/>
      <w:lang w:val="en-GB"/>
    </w:rPr>
  </w:style>
  <w:style w:type="paragraph" w:styleId="Header">
    <w:name w:val="header"/>
    <w:basedOn w:val="Normal"/>
    <w:link w:val="HeaderChar"/>
    <w:rsid w:val="003F1A75"/>
    <w:pPr>
      <w:pBdr>
        <w:bottom w:val="single" w:sz="4" w:space="1" w:color="auto"/>
      </w:pBdr>
      <w:tabs>
        <w:tab w:val="center" w:pos="4680"/>
        <w:tab w:val="right" w:pos="9360"/>
      </w:tabs>
      <w:jc w:val="left"/>
    </w:pPr>
    <w:rPr>
      <w:sz w:val="20"/>
    </w:rPr>
  </w:style>
  <w:style w:type="character" w:customStyle="1" w:styleId="HeaderChar">
    <w:name w:val="Header Char"/>
    <w:basedOn w:val="DefaultParagraphFont"/>
    <w:link w:val="Header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styleId="Footer">
    <w:name w:val="footer"/>
    <w:basedOn w:val="Normal"/>
    <w:link w:val="FooterChar"/>
    <w:uiPriority w:val="99"/>
    <w:rsid w:val="003F1A75"/>
    <w:pPr>
      <w:tabs>
        <w:tab w:val="center" w:pos="4680"/>
        <w:tab w:val="right" w:pos="9360"/>
      </w:tabs>
    </w:pPr>
    <w:rPr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3F1A75"/>
    <w:rPr>
      <w:rFonts w:ascii="Times New Roman" w:eastAsia="SimSun" w:hAnsi="Times New Roman" w:cs="Times New Roman"/>
      <w:sz w:val="20"/>
      <w:szCs w:val="22"/>
      <w:lang w:val="en-GB"/>
    </w:rPr>
  </w:style>
  <w:style w:type="paragraph" w:customStyle="1" w:styleId="meetingname">
    <w:name w:val="meeting name"/>
    <w:basedOn w:val="Normal"/>
    <w:qFormat/>
    <w:rsid w:val="00534681"/>
    <w:pPr>
      <w:ind w:left="142" w:right="4218" w:hanging="142"/>
    </w:pPr>
    <w:rPr>
      <w:caps/>
    </w:rPr>
  </w:style>
  <w:style w:type="paragraph" w:styleId="Title">
    <w:name w:val="Title"/>
    <w:basedOn w:val="Normal"/>
    <w:next w:val="Normal"/>
    <w:link w:val="TitleChar"/>
    <w:uiPriority w:val="10"/>
    <w:qFormat/>
    <w:rsid w:val="007E09DA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7E09DA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val="en-GB"/>
    </w:rPr>
  </w:style>
  <w:style w:type="paragraph" w:styleId="Subtitle">
    <w:name w:val="Subtitle"/>
    <w:basedOn w:val="Normal"/>
    <w:next w:val="Normal"/>
    <w:link w:val="SubtitleChar"/>
    <w:uiPriority w:val="11"/>
    <w:qFormat/>
    <w:rsid w:val="007E09DA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</w:rPr>
  </w:style>
  <w:style w:type="character" w:customStyle="1" w:styleId="SubtitleChar">
    <w:name w:val="Subtitle Char"/>
    <w:basedOn w:val="DefaultParagraphFont"/>
    <w:link w:val="Subtitle"/>
    <w:uiPriority w:val="11"/>
    <w:rsid w:val="007E09DA"/>
    <w:rPr>
      <w:rFonts w:asciiTheme="majorHAnsi" w:eastAsiaTheme="majorEastAsia" w:hAnsiTheme="majorHAnsi" w:cstheme="majorBidi"/>
      <w:i/>
      <w:iCs/>
      <w:color w:val="4F81BD" w:themeColor="accent1"/>
      <w:spacing w:val="15"/>
      <w:szCs w:val="22"/>
      <w:lang w:val="en-GB"/>
    </w:rPr>
  </w:style>
  <w:style w:type="character" w:customStyle="1" w:styleId="Heading1Char">
    <w:name w:val="Heading 1 Char"/>
    <w:basedOn w:val="DefaultParagraphFont"/>
    <w:link w:val="Heading1"/>
    <w:uiPriority w:val="9"/>
    <w:rsid w:val="003F1A75"/>
    <w:rPr>
      <w:rFonts w:ascii="Times New Roman" w:eastAsiaTheme="majorEastAsia" w:hAnsi="Times New Roman" w:cstheme="majorBidi"/>
      <w:b/>
      <w:bCs/>
      <w:kern w:val="2"/>
      <w:sz w:val="28"/>
      <w:szCs w:val="32"/>
      <w:lang w:val="en-GB"/>
      <w14:ligatures w14:val="standardContextual"/>
    </w:rPr>
  </w:style>
  <w:style w:type="paragraph" w:styleId="BodyText">
    <w:name w:val="Body Text"/>
    <w:basedOn w:val="Normal"/>
    <w:link w:val="BodyTextChar"/>
    <w:uiPriority w:val="99"/>
    <w:unhideWhenUsed/>
    <w:rsid w:val="003F1A75"/>
    <w:pPr>
      <w:spacing w:after="120" w:line="259" w:lineRule="auto"/>
      <w:jc w:val="left"/>
    </w:pPr>
    <w:rPr>
      <w:rFonts w:asciiTheme="minorHAnsi" w:eastAsiaTheme="minorHAnsi" w:hAnsiTheme="minorHAnsi" w:cstheme="minorBidi"/>
      <w:kern w:val="2"/>
      <w14:ligatures w14:val="standardContextual"/>
    </w:rPr>
  </w:style>
  <w:style w:type="character" w:customStyle="1" w:styleId="BodyTextChar">
    <w:name w:val="Body Text Char"/>
    <w:basedOn w:val="DefaultParagraphFont"/>
    <w:link w:val="BodyText"/>
    <w:uiPriority w:val="99"/>
    <w:rsid w:val="003F1A75"/>
    <w:rPr>
      <w:rFonts w:eastAsiaTheme="minorHAnsi"/>
      <w:kern w:val="2"/>
      <w:sz w:val="22"/>
      <w:szCs w:val="22"/>
      <w:lang w:val="en-GB"/>
      <w14:ligatures w14:val="standardContextual"/>
    </w:rPr>
  </w:style>
  <w:style w:type="paragraph" w:styleId="BodyTextIndent">
    <w:name w:val="Body Text Indent"/>
    <w:basedOn w:val="Normal"/>
    <w:link w:val="BodyTextIndentChar"/>
    <w:rsid w:val="007E09DA"/>
    <w:pPr>
      <w:spacing w:before="120" w:after="120"/>
      <w:ind w:left="1440" w:hanging="720"/>
      <w:jc w:val="left"/>
    </w:pPr>
  </w:style>
  <w:style w:type="character" w:customStyle="1" w:styleId="BodyTextIndentChar">
    <w:name w:val="Body Text Indent Char"/>
    <w:basedOn w:val="DefaultParagraphFont"/>
    <w:link w:val="BodyTextIndent"/>
    <w:rsid w:val="007E09DA"/>
    <w:rPr>
      <w:rFonts w:ascii="Times New Roman" w:eastAsia="SimSun" w:hAnsi="Times New Roman" w:cs="Times New Roman"/>
      <w:sz w:val="22"/>
      <w:szCs w:val="22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3F1A75"/>
    <w:rPr>
      <w:sz w:val="16"/>
      <w:szCs w:val="16"/>
      <w:lang w:val="en-GB"/>
    </w:rPr>
  </w:style>
  <w:style w:type="paragraph" w:styleId="CommentText">
    <w:name w:val="annotation text"/>
    <w:basedOn w:val="Normal"/>
    <w:link w:val="CommentTextChar"/>
    <w:uiPriority w:val="99"/>
    <w:rsid w:val="003F1A75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3F1A75"/>
    <w:rPr>
      <w:rFonts w:ascii="Times New Roman" w:eastAsia="SimSun" w:hAnsi="Times New Roman" w:cs="Times New Roman"/>
      <w:sz w:val="20"/>
      <w:szCs w:val="20"/>
      <w:lang w:val="en-GB"/>
    </w:rPr>
  </w:style>
  <w:style w:type="paragraph" w:customStyle="1" w:styleId="Cornernotation">
    <w:name w:val="Corner notation"/>
    <w:basedOn w:val="Normal"/>
    <w:rsid w:val="007E09DA"/>
    <w:pPr>
      <w:ind w:left="170" w:right="3119" w:hanging="170"/>
      <w:jc w:val="left"/>
    </w:pPr>
  </w:style>
  <w:style w:type="character" w:styleId="EndnoteReference">
    <w:name w:val="endnote reference"/>
    <w:semiHidden/>
    <w:rsid w:val="007E09DA"/>
    <w:rPr>
      <w:vertAlign w:val="superscript"/>
      <w:lang w:val="en-GB"/>
    </w:rPr>
  </w:style>
  <w:style w:type="paragraph" w:styleId="EndnoteText">
    <w:name w:val="endnote text"/>
    <w:basedOn w:val="Normal"/>
    <w:link w:val="EndnoteTextChar"/>
    <w:semiHidden/>
    <w:rsid w:val="007E09DA"/>
    <w:pPr>
      <w:widowControl w:val="0"/>
      <w:tabs>
        <w:tab w:val="left" w:pos="-720"/>
      </w:tabs>
      <w:suppressAutoHyphens/>
    </w:pPr>
    <w:rPr>
      <w:rFonts w:ascii="Courier New" w:hAnsi="Courier New"/>
    </w:rPr>
  </w:style>
  <w:style w:type="character" w:customStyle="1" w:styleId="EndnoteTextChar">
    <w:name w:val="Endnote Text Char"/>
    <w:basedOn w:val="DefaultParagraphFont"/>
    <w:link w:val="EndnoteText"/>
    <w:semiHidden/>
    <w:rsid w:val="007E09DA"/>
    <w:rPr>
      <w:rFonts w:ascii="Courier New" w:eastAsia="SimSun" w:hAnsi="Courier New" w:cs="Times New Roman"/>
      <w:sz w:val="22"/>
      <w:szCs w:val="22"/>
      <w:lang w:val="en-GB"/>
    </w:rPr>
  </w:style>
  <w:style w:type="character" w:styleId="FollowedHyperlink">
    <w:name w:val="FollowedHyperlink"/>
    <w:rsid w:val="007E09DA"/>
    <w:rPr>
      <w:color w:val="800080"/>
      <w:u w:val="single"/>
      <w:lang w:val="en-GB"/>
    </w:rPr>
  </w:style>
  <w:style w:type="character" w:styleId="FootnoteReference">
    <w:name w:val="footnote reference"/>
    <w:basedOn w:val="DefaultParagraphFont"/>
    <w:uiPriority w:val="99"/>
    <w:semiHidden/>
    <w:unhideWhenUsed/>
    <w:rsid w:val="003F1A75"/>
    <w:rPr>
      <w:vertAlign w:val="superscript"/>
      <w:lang w:val="en-GB"/>
    </w:rPr>
  </w:style>
  <w:style w:type="paragraph" w:styleId="FootnoteText">
    <w:name w:val="footnote text"/>
    <w:basedOn w:val="Normal"/>
    <w:link w:val="FootnoteTextChar"/>
    <w:uiPriority w:val="99"/>
    <w:unhideWhenUsed/>
    <w:rsid w:val="003F1A75"/>
    <w:pPr>
      <w:jc w:val="left"/>
    </w:pPr>
    <w:rPr>
      <w:sz w:val="18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3F1A75"/>
    <w:rPr>
      <w:rFonts w:ascii="Times New Roman" w:eastAsia="SimSun" w:hAnsi="Times New Roman" w:cs="Times New Roman"/>
      <w:sz w:val="18"/>
      <w:szCs w:val="20"/>
      <w:lang w:val="en-GB"/>
    </w:rPr>
  </w:style>
  <w:style w:type="paragraph" w:customStyle="1" w:styleId="HEADING">
    <w:name w:val="HEADING"/>
    <w:basedOn w:val="Normal"/>
    <w:rsid w:val="007E09DA"/>
    <w:pPr>
      <w:keepNext/>
      <w:spacing w:before="240" w:after="120"/>
      <w:jc w:val="center"/>
    </w:pPr>
    <w:rPr>
      <w:b/>
      <w:bCs/>
      <w:caps/>
    </w:rPr>
  </w:style>
  <w:style w:type="character" w:customStyle="1" w:styleId="Heading2Char">
    <w:name w:val="Heading 2 Char"/>
    <w:basedOn w:val="DefaultParagraphFont"/>
    <w:link w:val="Heading2"/>
    <w:uiPriority w:val="9"/>
    <w:rsid w:val="003F1A75"/>
    <w:rPr>
      <w:rFonts w:ascii="Times New Roman Bold" w:eastAsiaTheme="majorEastAsia" w:hAnsi="Times New Roman Bold" w:cstheme="majorBidi"/>
      <w:b/>
      <w:szCs w:val="26"/>
      <w:lang w:val="en-GB"/>
    </w:rPr>
  </w:style>
  <w:style w:type="paragraph" w:customStyle="1" w:styleId="HEADINGNOTFORTOC">
    <w:name w:val="HEADING (NOT FOR TOC)"/>
    <w:basedOn w:val="Heading1"/>
    <w:next w:val="Heading2"/>
    <w:rsid w:val="007E09DA"/>
  </w:style>
  <w:style w:type="paragraph" w:customStyle="1" w:styleId="Heading1longmultiline">
    <w:name w:val="Heading 1 (long multiline)"/>
    <w:basedOn w:val="Heading1"/>
    <w:rsid w:val="007E09DA"/>
    <w:pPr>
      <w:ind w:left="1843" w:hanging="1134"/>
    </w:pPr>
  </w:style>
  <w:style w:type="paragraph" w:customStyle="1" w:styleId="Heading1multiline">
    <w:name w:val="Heading 1 (multiline)"/>
    <w:basedOn w:val="Heading1"/>
    <w:rsid w:val="007E09DA"/>
    <w:pPr>
      <w:ind w:left="1843" w:right="996"/>
    </w:pPr>
  </w:style>
  <w:style w:type="paragraph" w:customStyle="1" w:styleId="Heading2multiline">
    <w:name w:val="Heading 2 (multiline)"/>
    <w:basedOn w:val="Heading1"/>
    <w:next w:val="Normal"/>
    <w:rsid w:val="007E09DA"/>
    <w:pPr>
      <w:spacing w:before="120"/>
      <w:ind w:left="1843" w:right="998"/>
    </w:pPr>
    <w:rPr>
      <w:i/>
      <w:iCs/>
      <w:caps/>
    </w:rPr>
  </w:style>
  <w:style w:type="paragraph" w:customStyle="1" w:styleId="Heading2longmultiline">
    <w:name w:val="Heading 2 (long multiline)"/>
    <w:basedOn w:val="Heading2multiline"/>
    <w:rsid w:val="007E09DA"/>
    <w:pPr>
      <w:ind w:left="2127" w:hanging="1276"/>
    </w:pPr>
  </w:style>
  <w:style w:type="character" w:customStyle="1" w:styleId="Heading3Char">
    <w:name w:val="Heading 3 Char"/>
    <w:basedOn w:val="DefaultParagraphFont"/>
    <w:link w:val="Heading3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2notforTOC">
    <w:name w:val="heading 2 not for TOC"/>
    <w:basedOn w:val="Heading3"/>
    <w:rsid w:val="007E09DA"/>
  </w:style>
  <w:style w:type="paragraph" w:customStyle="1" w:styleId="Heading3multiline">
    <w:name w:val="Heading 3 (multiline)"/>
    <w:basedOn w:val="Heading3"/>
    <w:next w:val="Normal"/>
    <w:rsid w:val="007E09DA"/>
    <w:pPr>
      <w:ind w:left="1418" w:hanging="425"/>
    </w:pPr>
  </w:style>
  <w:style w:type="character" w:customStyle="1" w:styleId="Heading4Char">
    <w:name w:val="Heading 4 Char"/>
    <w:basedOn w:val="DefaultParagraphFont"/>
    <w:link w:val="Heading4"/>
    <w:uiPriority w:val="9"/>
    <w:rsid w:val="003F1A75"/>
    <w:rPr>
      <w:rFonts w:ascii="Times New Roman" w:eastAsiaTheme="majorEastAsia" w:hAnsi="Times New Roman" w:cs="Times New Roman"/>
      <w:b/>
      <w:bCs/>
      <w:sz w:val="22"/>
      <w:szCs w:val="22"/>
      <w:lang w:val="en-GB"/>
    </w:rPr>
  </w:style>
  <w:style w:type="paragraph" w:customStyle="1" w:styleId="Heading4indent">
    <w:name w:val="Heading 4 indent"/>
    <w:basedOn w:val="Heading4"/>
    <w:rsid w:val="007E09DA"/>
    <w:pPr>
      <w:ind w:left="720"/>
      <w:outlineLvl w:val="9"/>
    </w:pPr>
  </w:style>
  <w:style w:type="character" w:customStyle="1" w:styleId="Heading5Char">
    <w:name w:val="Heading 5 Char"/>
    <w:basedOn w:val="DefaultParagraphFont"/>
    <w:link w:val="Heading5"/>
    <w:uiPriority w:val="9"/>
    <w:rsid w:val="003F1A75"/>
    <w:rPr>
      <w:rFonts w:ascii="Times New Roman" w:eastAsiaTheme="majorEastAsia" w:hAnsi="Times New Roman" w:cs="Times New Roman"/>
      <w:i/>
      <w:iCs/>
      <w:sz w:val="22"/>
      <w:szCs w:val="22"/>
      <w:lang w:val="en-GB"/>
    </w:rPr>
  </w:style>
  <w:style w:type="character" w:customStyle="1" w:styleId="Heading6Char">
    <w:name w:val="Heading 6 Char"/>
    <w:basedOn w:val="DefaultParagraphFont"/>
    <w:link w:val="Heading6"/>
    <w:rsid w:val="003F1A75"/>
    <w:rPr>
      <w:rFonts w:ascii="Times New Roman" w:eastAsia="SimSun" w:hAnsi="Times New Roman" w:cs="Times New Roman"/>
      <w:bCs/>
      <w:szCs w:val="22"/>
      <w:lang w:val="en-GB"/>
    </w:rPr>
  </w:style>
  <w:style w:type="character" w:customStyle="1" w:styleId="Heading7Char">
    <w:name w:val="Heading 7 Char"/>
    <w:basedOn w:val="DefaultParagraphFont"/>
    <w:link w:val="Heading7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8Char">
    <w:name w:val="Heading 8 Char"/>
    <w:basedOn w:val="DefaultParagraphFont"/>
    <w:link w:val="Heading8"/>
    <w:rsid w:val="003F1A75"/>
    <w:rPr>
      <w:rFonts w:ascii="Times New Roman" w:eastAsia="SimSun" w:hAnsi="Times New Roman" w:cs="Times New Roman"/>
      <w:b/>
      <w:snapToGrid w:val="0"/>
      <w:sz w:val="22"/>
      <w:szCs w:val="22"/>
      <w:u w:val="single"/>
      <w:lang w:val="en-GB"/>
    </w:rPr>
  </w:style>
  <w:style w:type="character" w:customStyle="1" w:styleId="Heading9Char">
    <w:name w:val="Heading 9 Char"/>
    <w:basedOn w:val="DefaultParagraphFont"/>
    <w:link w:val="Heading9"/>
    <w:rsid w:val="003F1A75"/>
    <w:rPr>
      <w:rFonts w:ascii="Times New Roman" w:eastAsia="SimSun" w:hAnsi="Times New Roman" w:cs="Times New Roman"/>
      <w:snapToGrid w:val="0"/>
      <w:sz w:val="22"/>
      <w:szCs w:val="22"/>
      <w:u w:val="single"/>
      <w:lang w:val="en-GB"/>
    </w:rPr>
  </w:style>
  <w:style w:type="character" w:styleId="PageNumber">
    <w:name w:val="page number"/>
    <w:rsid w:val="007E09DA"/>
    <w:rPr>
      <w:rFonts w:ascii="Times New Roman" w:hAnsi="Times New Roman"/>
      <w:sz w:val="22"/>
      <w:lang w:val="en-GB"/>
    </w:rPr>
  </w:style>
  <w:style w:type="paragraph" w:customStyle="1" w:styleId="Para1">
    <w:name w:val="Para1"/>
    <w:basedOn w:val="Normal"/>
    <w:link w:val="Para1Char"/>
    <w:rsid w:val="005B35E2"/>
    <w:pPr>
      <w:numPr>
        <w:numId w:val="1"/>
      </w:numPr>
      <w:tabs>
        <w:tab w:val="clear" w:pos="360"/>
      </w:tabs>
      <w:spacing w:before="120" w:after="120"/>
      <w:ind w:left="567"/>
    </w:pPr>
    <w:rPr>
      <w:snapToGrid w:val="0"/>
      <w:szCs w:val="18"/>
    </w:rPr>
  </w:style>
  <w:style w:type="paragraph" w:customStyle="1" w:styleId="Para2">
    <w:name w:val="Para2"/>
    <w:basedOn w:val="Para1"/>
    <w:rsid w:val="007E09DA"/>
    <w:pPr>
      <w:numPr>
        <w:numId w:val="0"/>
      </w:numPr>
      <w:autoSpaceDE w:val="0"/>
      <w:autoSpaceDN w:val="0"/>
    </w:pPr>
  </w:style>
  <w:style w:type="paragraph" w:customStyle="1" w:styleId="Para3">
    <w:name w:val="Para3"/>
    <w:basedOn w:val="Normal"/>
    <w:rsid w:val="007E09DA"/>
    <w:pPr>
      <w:numPr>
        <w:ilvl w:val="3"/>
        <w:numId w:val="2"/>
      </w:numPr>
      <w:tabs>
        <w:tab w:val="left" w:pos="1980"/>
      </w:tabs>
      <w:spacing w:before="80" w:after="80"/>
    </w:pPr>
    <w:rPr>
      <w:szCs w:val="20"/>
    </w:rPr>
  </w:style>
  <w:style w:type="paragraph" w:customStyle="1" w:styleId="para4">
    <w:name w:val="para4"/>
    <w:basedOn w:val="Normal"/>
    <w:rsid w:val="007E09DA"/>
    <w:pPr>
      <w:overflowPunct w:val="0"/>
      <w:autoSpaceDE w:val="0"/>
      <w:autoSpaceDN w:val="0"/>
      <w:adjustRightInd w:val="0"/>
      <w:spacing w:after="120" w:line="240" w:lineRule="atLeast"/>
      <w:textAlignment w:val="baseline"/>
    </w:pPr>
    <w:rPr>
      <w:rFonts w:ascii="Courier" w:hAnsi="Courier"/>
      <w:color w:val="000000"/>
      <w:sz w:val="20"/>
      <w:szCs w:val="20"/>
    </w:rPr>
  </w:style>
  <w:style w:type="paragraph" w:customStyle="1" w:styleId="Para-decision">
    <w:name w:val="Para-decision"/>
    <w:basedOn w:val="Normal"/>
    <w:rsid w:val="007E09DA"/>
    <w:pPr>
      <w:tabs>
        <w:tab w:val="left" w:pos="-1440"/>
        <w:tab w:val="left" w:pos="-720"/>
        <w:tab w:val="left" w:pos="0"/>
        <w:tab w:val="left" w:pos="720"/>
        <w:tab w:val="left" w:pos="1440"/>
      </w:tabs>
      <w:suppressAutoHyphens/>
      <w:overflowPunct w:val="0"/>
      <w:autoSpaceDE w:val="0"/>
      <w:autoSpaceDN w:val="0"/>
      <w:adjustRightInd w:val="0"/>
      <w:spacing w:before="120" w:after="120"/>
      <w:ind w:firstLine="720"/>
      <w:jc w:val="left"/>
      <w:textAlignment w:val="baseline"/>
    </w:pPr>
    <w:rPr>
      <w:color w:val="000000"/>
    </w:rPr>
  </w:style>
  <w:style w:type="paragraph" w:customStyle="1" w:styleId="Quotationtextindented">
    <w:name w:val="Quotation text (indented)"/>
    <w:basedOn w:val="Normal"/>
    <w:qFormat/>
    <w:rsid w:val="007E09DA"/>
    <w:pPr>
      <w:spacing w:before="120" w:after="120"/>
      <w:ind w:left="720" w:right="720"/>
    </w:pPr>
    <w:rPr>
      <w:bCs/>
    </w:rPr>
  </w:style>
  <w:style w:type="paragraph" w:customStyle="1" w:styleId="recommendationheader">
    <w:name w:val="recommendation header"/>
    <w:basedOn w:val="Heading2"/>
    <w:qFormat/>
    <w:rsid w:val="007E09DA"/>
  </w:style>
  <w:style w:type="paragraph" w:customStyle="1" w:styleId="recommendationheaderlong">
    <w:name w:val="recommendation header long"/>
    <w:basedOn w:val="Heading2longmultiline"/>
    <w:qFormat/>
    <w:rsid w:val="007E09DA"/>
  </w:style>
  <w:style w:type="paragraph" w:customStyle="1" w:styleId="reference">
    <w:name w:val="reference"/>
    <w:basedOn w:val="Heading9"/>
    <w:qFormat/>
    <w:rsid w:val="007E09DA"/>
    <w:rPr>
      <w:i/>
      <w:sz w:val="18"/>
    </w:rPr>
  </w:style>
  <w:style w:type="character" w:customStyle="1" w:styleId="StyleFootnoteReferenceNounderline">
    <w:name w:val="Style Footnote Reference + No underline"/>
    <w:rsid w:val="007E09DA"/>
    <w:rPr>
      <w:sz w:val="18"/>
      <w:u w:val="none"/>
      <w:vertAlign w:val="baseline"/>
      <w:lang w:val="en-GB"/>
    </w:rPr>
  </w:style>
  <w:style w:type="paragraph" w:customStyle="1" w:styleId="tabletitle">
    <w:name w:val="table title"/>
    <w:basedOn w:val="Heading2"/>
    <w:qFormat/>
    <w:rsid w:val="0093169E"/>
    <w:pPr>
      <w:outlineLvl w:val="9"/>
    </w:pPr>
    <w:rPr>
      <w:i/>
    </w:rPr>
  </w:style>
  <w:style w:type="paragraph" w:styleId="TOAHeading">
    <w:name w:val="toa heading"/>
    <w:basedOn w:val="Normal"/>
    <w:next w:val="Normal"/>
    <w:semiHidden/>
    <w:rsid w:val="007E09DA"/>
    <w:pPr>
      <w:spacing w:before="120"/>
    </w:pPr>
    <w:rPr>
      <w:rFonts w:cs="Arial"/>
      <w:b/>
      <w:bCs/>
      <w:sz w:val="24"/>
    </w:rPr>
  </w:style>
  <w:style w:type="paragraph" w:styleId="TOC1">
    <w:name w:val="toc 1"/>
    <w:basedOn w:val="CBDNormal"/>
    <w:next w:val="Normal"/>
    <w:autoRedefine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right" w:leader="dot" w:pos="9486"/>
      </w:tabs>
      <w:adjustRightInd w:val="0"/>
      <w:snapToGrid w:val="0"/>
      <w:spacing w:before="240"/>
      <w:ind w:left="1984" w:hanging="737"/>
      <w:jc w:val="left"/>
    </w:pPr>
    <w:rPr>
      <w:rFonts w:eastAsia="Times New Roman"/>
      <w:bCs/>
      <w:szCs w:val="20"/>
    </w:rPr>
  </w:style>
  <w:style w:type="paragraph" w:styleId="TOC2">
    <w:name w:val="toc 2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right" w:leader="dot" w:pos="9486"/>
      </w:tabs>
      <w:adjustRightInd w:val="0"/>
      <w:snapToGrid w:val="0"/>
      <w:spacing w:before="60"/>
      <w:ind w:left="2608" w:hanging="737"/>
      <w:jc w:val="left"/>
    </w:pPr>
    <w:rPr>
      <w:rFonts w:eastAsia="Times New Roman"/>
      <w:szCs w:val="20"/>
    </w:rPr>
  </w:style>
  <w:style w:type="paragraph" w:styleId="TOC3">
    <w:name w:val="toc 3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right" w:leader="dot" w:pos="9486"/>
      </w:tabs>
      <w:adjustRightInd w:val="0"/>
      <w:snapToGrid w:val="0"/>
      <w:ind w:left="3232" w:hanging="737"/>
      <w:jc w:val="left"/>
    </w:pPr>
    <w:rPr>
      <w:rFonts w:eastAsia="Times New Roman"/>
      <w:iCs/>
      <w:szCs w:val="20"/>
    </w:rPr>
  </w:style>
  <w:style w:type="paragraph" w:styleId="TOC4">
    <w:name w:val="toc 4"/>
    <w:basedOn w:val="CBDNormal"/>
    <w:next w:val="Normal"/>
    <w:uiPriority w:val="39"/>
    <w:unhideWhenUsed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000"/>
        <w:tab w:val="left" w:pos="1247"/>
        <w:tab w:val="left" w:pos="1871"/>
        <w:tab w:val="left" w:pos="2495"/>
        <w:tab w:val="left" w:pos="3119"/>
        <w:tab w:val="left" w:pos="3742"/>
        <w:tab w:val="right" w:leader="dot" w:pos="9486"/>
      </w:tabs>
      <w:adjustRightInd w:val="0"/>
      <w:snapToGrid w:val="0"/>
      <w:ind w:left="3856" w:hanging="737"/>
      <w:jc w:val="left"/>
    </w:pPr>
    <w:rPr>
      <w:rFonts w:eastAsia="Times New Roman"/>
      <w:szCs w:val="18"/>
    </w:rPr>
  </w:style>
  <w:style w:type="paragraph" w:styleId="TOC5">
    <w:name w:val="toc 5"/>
    <w:basedOn w:val="CBDNormal"/>
    <w:next w:val="Normal"/>
    <w:uiPriority w:val="39"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  <w:tab w:val="right" w:leader="dot" w:pos="9486"/>
      </w:tabs>
      <w:adjustRightInd w:val="0"/>
      <w:snapToGrid w:val="0"/>
      <w:ind w:left="4479" w:hanging="737"/>
      <w:jc w:val="left"/>
    </w:pPr>
    <w:rPr>
      <w:rFonts w:eastAsia="Times New Roman"/>
      <w:szCs w:val="18"/>
    </w:rPr>
  </w:style>
  <w:style w:type="paragraph" w:styleId="TOC6">
    <w:name w:val="toc 6"/>
    <w:basedOn w:val="Normal"/>
    <w:next w:val="Normal"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000"/>
      <w:jc w:val="left"/>
    </w:pPr>
    <w:rPr>
      <w:rFonts w:eastAsia="Times New Roman"/>
      <w:sz w:val="18"/>
      <w:szCs w:val="18"/>
    </w:rPr>
  </w:style>
  <w:style w:type="paragraph" w:styleId="TOC7">
    <w:name w:val="toc 7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200"/>
      <w:jc w:val="left"/>
    </w:pPr>
    <w:rPr>
      <w:rFonts w:eastAsia="Times New Roman"/>
      <w:sz w:val="18"/>
      <w:szCs w:val="18"/>
    </w:rPr>
  </w:style>
  <w:style w:type="paragraph" w:styleId="TOC8">
    <w:name w:val="toc 8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400"/>
      <w:jc w:val="left"/>
    </w:pPr>
    <w:rPr>
      <w:rFonts w:eastAsia="Times New Roman"/>
      <w:sz w:val="18"/>
      <w:szCs w:val="18"/>
    </w:rPr>
  </w:style>
  <w:style w:type="paragraph" w:styleId="TOC9">
    <w:name w:val="toc 9"/>
    <w:basedOn w:val="Normal"/>
    <w:next w:val="Normal"/>
    <w:autoRedefine/>
    <w:semiHidden/>
    <w:rsid w:val="003F1A75"/>
    <w:pPr>
      <w:tabs>
        <w:tab w:val="clear" w:pos="567"/>
        <w:tab w:val="clear" w:pos="1134"/>
        <w:tab w:val="clear" w:pos="1701"/>
        <w:tab w:val="clear" w:pos="2268"/>
        <w:tab w:val="left" w:pos="624"/>
        <w:tab w:val="left" w:pos="1247"/>
        <w:tab w:val="left" w:pos="1871"/>
        <w:tab w:val="left" w:pos="2495"/>
        <w:tab w:val="left" w:pos="3119"/>
        <w:tab w:val="left" w:pos="3742"/>
        <w:tab w:val="left" w:pos="4366"/>
      </w:tabs>
      <w:adjustRightInd w:val="0"/>
      <w:snapToGrid w:val="0"/>
      <w:ind w:left="1600"/>
      <w:jc w:val="left"/>
    </w:pPr>
    <w:rPr>
      <w:rFonts w:eastAsia="Times New Roman"/>
      <w:sz w:val="18"/>
      <w:szCs w:val="18"/>
    </w:rPr>
  </w:style>
  <w:style w:type="character" w:styleId="Hyperlink">
    <w:name w:val="Hyperlink"/>
    <w:basedOn w:val="DefaultParagraphFont"/>
    <w:unhideWhenUsed/>
    <w:rsid w:val="003F1A75"/>
    <w:rPr>
      <w:rFonts w:ascii="Times New Roman" w:hAnsi="Times New Roman"/>
      <w:color w:val="0000FF" w:themeColor="hyperlink"/>
      <w:u w:val="single"/>
      <w:lang w:val="en-GB"/>
    </w:rPr>
  </w:style>
  <w:style w:type="character" w:customStyle="1" w:styleId="Para1Char">
    <w:name w:val="Para1 Char"/>
    <w:link w:val="Para1"/>
    <w:locked/>
    <w:rsid w:val="005B35E2"/>
    <w:rPr>
      <w:rFonts w:ascii="Times New Roman" w:eastAsia="SimSun" w:hAnsi="Times New Roman" w:cs="Times New Roman"/>
      <w:snapToGrid w:val="0"/>
      <w:sz w:val="22"/>
      <w:szCs w:val="18"/>
      <w:lang w:val="en-GB"/>
    </w:rPr>
  </w:style>
  <w:style w:type="paragraph" w:customStyle="1" w:styleId="CBD-Doc-Type">
    <w:name w:val="CBD-Doc-Type"/>
    <w:basedOn w:val="Normal"/>
    <w:rsid w:val="00172AF6"/>
    <w:pPr>
      <w:keepLines/>
      <w:spacing w:before="240" w:after="120"/>
    </w:pPr>
    <w:rPr>
      <w:rFonts w:cs="Angsana New"/>
      <w:b/>
      <w:i/>
      <w:sz w:val="24"/>
    </w:rPr>
  </w:style>
  <w:style w:type="paragraph" w:customStyle="1" w:styleId="CBD-Doc">
    <w:name w:val="CBD-Doc"/>
    <w:basedOn w:val="Normal"/>
    <w:rsid w:val="00172AF6"/>
    <w:pPr>
      <w:keepLines/>
      <w:numPr>
        <w:numId w:val="3"/>
      </w:numPr>
      <w:spacing w:after="120"/>
    </w:pPr>
    <w:rPr>
      <w:rFonts w:cs="Angsana New"/>
    </w:rPr>
  </w:style>
  <w:style w:type="paragraph" w:styleId="ListParagraph">
    <w:name w:val="List Paragraph"/>
    <w:basedOn w:val="Normal"/>
    <w:uiPriority w:val="34"/>
    <w:qFormat/>
    <w:rsid w:val="003F1A75"/>
    <w:pPr>
      <w:ind w:left="720"/>
      <w:contextualSpacing/>
    </w:pPr>
  </w:style>
  <w:style w:type="paragraph" w:styleId="Caption">
    <w:name w:val="caption"/>
    <w:basedOn w:val="Normal"/>
    <w:next w:val="Normal"/>
    <w:uiPriority w:val="35"/>
    <w:unhideWhenUsed/>
    <w:qFormat/>
    <w:rsid w:val="00D12044"/>
    <w:pPr>
      <w:keepNext/>
      <w:keepLines/>
      <w:spacing w:after="200"/>
    </w:pPr>
    <w:rPr>
      <w:b/>
      <w:iCs/>
      <w:szCs w:val="18"/>
    </w:rPr>
  </w:style>
  <w:style w:type="paragraph" w:customStyle="1" w:styleId="Style1">
    <w:name w:val="Style1"/>
    <w:basedOn w:val="Heading2"/>
    <w:qFormat/>
    <w:rsid w:val="00F6586C"/>
    <w:rPr>
      <w:i/>
    </w:rPr>
  </w:style>
  <w:style w:type="table" w:customStyle="1" w:styleId="TableGrid1">
    <w:name w:val="Table Grid1"/>
    <w:basedOn w:val="TableNormal"/>
    <w:next w:val="TableGrid"/>
    <w:uiPriority w:val="59"/>
    <w:rsid w:val="00726A43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evision">
    <w:name w:val="Revision"/>
    <w:hidden/>
    <w:uiPriority w:val="99"/>
    <w:semiHidden/>
    <w:rsid w:val="003F1A75"/>
    <w:rPr>
      <w:rFonts w:ascii="Simplified Arabic" w:eastAsia="Times New Roman" w:hAnsi="Simplified Arabic" w:cs="Simplified Arabic"/>
      <w:noProof/>
      <w:lang w:val="en-US"/>
    </w:rPr>
  </w:style>
  <w:style w:type="paragraph" w:customStyle="1" w:styleId="DarkList-Accent31">
    <w:name w:val="Dark List - Accent 31"/>
    <w:hidden/>
    <w:uiPriority w:val="99"/>
    <w:semiHidden/>
    <w:rsid w:val="003F1A75"/>
    <w:rPr>
      <w:rFonts w:ascii="Times New Roman" w:eastAsia="SimSun" w:hAnsi="Times New Roman" w:cs="Times New Roman"/>
      <w:sz w:val="22"/>
      <w:szCs w:val="22"/>
      <w:lang w:val="en-GB" w:eastAsia="en-GB"/>
    </w:rPr>
  </w:style>
  <w:style w:type="paragraph" w:customStyle="1" w:styleId="CBDNormalNoNumber">
    <w:name w:val="CBD_Normal_NoNumber"/>
    <w:basedOn w:val="CBDNormal"/>
    <w:qFormat/>
    <w:rsid w:val="003F1A75"/>
    <w:pPr>
      <w:spacing w:after="120"/>
      <w:ind w:left="567"/>
    </w:pPr>
  </w:style>
  <w:style w:type="paragraph" w:customStyle="1" w:styleId="Footnote">
    <w:name w:val="Footnote"/>
    <w:basedOn w:val="FootnoteText"/>
    <w:semiHidden/>
    <w:qFormat/>
    <w:rsid w:val="003F1A75"/>
    <w:rPr>
      <w:szCs w:val="18"/>
    </w:rPr>
  </w:style>
  <w:style w:type="paragraph" w:customStyle="1" w:styleId="Annex">
    <w:name w:val="Annex"/>
    <w:basedOn w:val="Normal"/>
    <w:semiHidden/>
    <w:qFormat/>
    <w:rsid w:val="003F1A75"/>
    <w:pPr>
      <w:spacing w:after="240"/>
    </w:pPr>
    <w:rPr>
      <w:b/>
      <w:sz w:val="28"/>
    </w:rPr>
  </w:style>
  <w:style w:type="paragraph" w:customStyle="1" w:styleId="ABSymbol">
    <w:name w:val="AB_Symbol"/>
    <w:basedOn w:val="Normal"/>
    <w:qFormat/>
    <w:rsid w:val="003F1A75"/>
    <w:pPr>
      <w:tabs>
        <w:tab w:val="left" w:pos="1871"/>
        <w:tab w:val="left" w:pos="2495"/>
        <w:tab w:val="right" w:pos="2920"/>
        <w:tab w:val="left" w:pos="3119"/>
        <w:tab w:val="left" w:pos="3742"/>
        <w:tab w:val="left" w:pos="4366"/>
        <w:tab w:val="left" w:pos="4990"/>
      </w:tabs>
      <w:spacing w:after="120"/>
      <w:ind w:left="2019"/>
      <w:jc w:val="right"/>
    </w:pPr>
    <w:rPr>
      <w:sz w:val="20"/>
      <w:szCs w:val="20"/>
    </w:rPr>
  </w:style>
  <w:style w:type="paragraph" w:customStyle="1" w:styleId="CBDNormalNumber">
    <w:name w:val="CBD_Normal_Number"/>
    <w:basedOn w:val="CBDNormal"/>
    <w:qFormat/>
    <w:rsid w:val="003F1A75"/>
    <w:pPr>
      <w:numPr>
        <w:numId w:val="12"/>
      </w:numPr>
      <w:tabs>
        <w:tab w:val="left" w:pos="3969"/>
      </w:tabs>
      <w:spacing w:before="120" w:after="120"/>
    </w:pPr>
  </w:style>
  <w:style w:type="paragraph" w:customStyle="1" w:styleId="AFCorNNormal">
    <w:name w:val="AF_CorNNormal"/>
    <w:basedOn w:val="Normal"/>
    <w:unhideWhenUsed/>
    <w:rsid w:val="003F1A75"/>
    <w:pPr>
      <w:jc w:val="left"/>
    </w:pPr>
  </w:style>
  <w:style w:type="paragraph" w:customStyle="1" w:styleId="AEDistrNormal">
    <w:name w:val="AE_DistrNormal"/>
    <w:basedOn w:val="Normal"/>
    <w:unhideWhenUsed/>
    <w:rsid w:val="003F1A75"/>
    <w:pPr>
      <w:jc w:val="left"/>
    </w:pPr>
  </w:style>
  <w:style w:type="paragraph" w:customStyle="1" w:styleId="AASmallLogo">
    <w:name w:val="AA_SmallLogo"/>
    <w:basedOn w:val="AEDistrNormal"/>
    <w:unhideWhenUsed/>
    <w:rsid w:val="003F1A75"/>
    <w:pPr>
      <w:spacing w:before="40"/>
    </w:pPr>
    <w:rPr>
      <w:sz w:val="4"/>
    </w:rPr>
  </w:style>
  <w:style w:type="paragraph" w:customStyle="1" w:styleId="ACLargeLogo">
    <w:name w:val="AC_LargeLogo"/>
    <w:basedOn w:val="AFCorNNormal"/>
    <w:next w:val="AISpacer"/>
    <w:unhideWhenUsed/>
    <w:rsid w:val="003F1A75"/>
    <w:pPr>
      <w:spacing w:before="120"/>
      <w:contextualSpacing/>
    </w:pPr>
    <w:rPr>
      <w:sz w:val="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F1A7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F1A75"/>
    <w:rPr>
      <w:rFonts w:ascii="Times New Roman" w:eastAsia="SimSun" w:hAnsi="Times New Roman" w:cs="Times New Roman"/>
      <w:b/>
      <w:bCs/>
      <w:sz w:val="20"/>
      <w:szCs w:val="20"/>
      <w:lang w:val="en-GB"/>
    </w:rPr>
  </w:style>
  <w:style w:type="paragraph" w:customStyle="1" w:styleId="Item">
    <w:name w:val="Item"/>
    <w:basedOn w:val="Normal"/>
    <w:semiHidden/>
    <w:qFormat/>
    <w:rsid w:val="003F1A75"/>
    <w:pPr>
      <w:suppressLineNumbers/>
      <w:suppressAutoHyphens/>
      <w:spacing w:before="240" w:after="120"/>
      <w:jc w:val="left"/>
    </w:pPr>
    <w:rPr>
      <w:rFonts w:eastAsia="Times New Roman"/>
      <w:b/>
      <w:iCs/>
      <w:snapToGrid w:val="0"/>
      <w:kern w:val="22"/>
      <w:sz w:val="24"/>
    </w:rPr>
  </w:style>
  <w:style w:type="paragraph" w:customStyle="1" w:styleId="CBDNormal">
    <w:name w:val="CBD_Normal"/>
    <w:unhideWhenUsed/>
    <w:qFormat/>
    <w:rsid w:val="003F1A75"/>
    <w:pPr>
      <w:tabs>
        <w:tab w:val="left" w:pos="567"/>
        <w:tab w:val="left" w:pos="1134"/>
        <w:tab w:val="left" w:pos="1701"/>
        <w:tab w:val="left" w:pos="2268"/>
        <w:tab w:val="left" w:pos="2835"/>
        <w:tab w:val="left" w:pos="3402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List">
    <w:name w:val="List"/>
    <w:basedOn w:val="Normal"/>
    <w:semiHidden/>
    <w:rsid w:val="003F1A75"/>
    <w:pPr>
      <w:contextualSpacing/>
    </w:pPr>
  </w:style>
  <w:style w:type="numbering" w:customStyle="1" w:styleId="ListCBD">
    <w:name w:val="ListCBD"/>
    <w:basedOn w:val="NoList"/>
    <w:uiPriority w:val="99"/>
    <w:rsid w:val="003F1A75"/>
    <w:pPr>
      <w:numPr>
        <w:numId w:val="5"/>
      </w:numPr>
    </w:pPr>
  </w:style>
  <w:style w:type="numbering" w:customStyle="1" w:styleId="CBDHeadings">
    <w:name w:val="CBD_Headings"/>
    <w:basedOn w:val="ListCBD"/>
    <w:uiPriority w:val="99"/>
    <w:rsid w:val="003F1A75"/>
    <w:pPr>
      <w:numPr>
        <w:numId w:val="6"/>
      </w:numPr>
    </w:pPr>
  </w:style>
  <w:style w:type="paragraph" w:customStyle="1" w:styleId="AISpacer">
    <w:name w:val="AI_Spacer"/>
    <w:next w:val="Normal"/>
    <w:unhideWhenUsed/>
    <w:qFormat/>
    <w:rsid w:val="003F1A75"/>
    <w:rPr>
      <w:rFonts w:ascii="Times New Roman" w:eastAsia="SimSun" w:hAnsi="Times New Roman" w:cs="Times New Roman"/>
      <w:sz w:val="2"/>
      <w:szCs w:val="22"/>
      <w:lang w:val="en-GB"/>
    </w:rPr>
  </w:style>
  <w:style w:type="paragraph" w:customStyle="1" w:styleId="AEDistrNormal6pt">
    <w:name w:val="AE_DistrNormal6pt"/>
    <w:basedOn w:val="AEDistrNormal"/>
    <w:next w:val="AFCorNNormal"/>
    <w:unhideWhenUsed/>
    <w:qFormat/>
    <w:rsid w:val="003F1A75"/>
    <w:pPr>
      <w:spacing w:before="120"/>
    </w:pPr>
  </w:style>
  <w:style w:type="paragraph" w:customStyle="1" w:styleId="AFCorNBold">
    <w:name w:val="AF_CorNBold"/>
    <w:basedOn w:val="AFCorNNormal"/>
    <w:next w:val="AFCorNNormal"/>
    <w:unhideWhenUsed/>
    <w:qFormat/>
    <w:rsid w:val="003F1A75"/>
    <w:rPr>
      <w:b/>
    </w:rPr>
  </w:style>
  <w:style w:type="paragraph" w:customStyle="1" w:styleId="AFCorN12Bold">
    <w:name w:val="AF_CorN12Bold"/>
    <w:basedOn w:val="AFCorNNormal"/>
    <w:next w:val="AFCorNNormal"/>
    <w:unhideWhenUsed/>
    <w:qFormat/>
    <w:rsid w:val="003F1A75"/>
    <w:rPr>
      <w:b/>
      <w:sz w:val="24"/>
    </w:rPr>
  </w:style>
  <w:style w:type="paragraph" w:customStyle="1" w:styleId="CBDAgendaItem">
    <w:name w:val="CBD_AgendaItem"/>
    <w:basedOn w:val="Normal"/>
    <w:qFormat/>
    <w:rsid w:val="003F1A75"/>
    <w:pPr>
      <w:keepNext/>
      <w:spacing w:before="240" w:after="120"/>
      <w:jc w:val="left"/>
    </w:pPr>
    <w:rPr>
      <w:rFonts w:ascii="Times New Roman Bold" w:hAnsi="Times New Roman Bold" w:cs="Times New Roman Bold"/>
      <w:b/>
      <w:sz w:val="24"/>
      <w:szCs w:val="24"/>
    </w:rPr>
  </w:style>
  <w:style w:type="paragraph" w:customStyle="1" w:styleId="CBDDesicionText">
    <w:name w:val="CBD_DesicionText"/>
    <w:basedOn w:val="CBDNormal"/>
    <w:qFormat/>
    <w:rsid w:val="003F1A75"/>
    <w:pPr>
      <w:spacing w:after="120"/>
      <w:ind w:left="1134" w:firstLine="567"/>
    </w:pPr>
  </w:style>
  <w:style w:type="paragraph" w:customStyle="1" w:styleId="CBDDesicionAnnex">
    <w:name w:val="CBD_DesicionAnnex"/>
    <w:basedOn w:val="CBDNormal"/>
    <w:next w:val="CBDDesicionText"/>
    <w:qFormat/>
    <w:rsid w:val="003F1A75"/>
    <w:pPr>
      <w:keepNext/>
      <w:keepLines/>
      <w:tabs>
        <w:tab w:val="clear" w:pos="567"/>
        <w:tab w:val="clear" w:pos="1134"/>
        <w:tab w:val="clear" w:pos="1701"/>
        <w:tab w:val="clear" w:pos="2268"/>
      </w:tabs>
      <w:spacing w:before="240" w:after="120"/>
      <w:ind w:left="567"/>
      <w:jc w:val="left"/>
    </w:pPr>
    <w:rPr>
      <w:rFonts w:cs="Times New Roman Bold"/>
      <w:b/>
      <w:bCs/>
      <w:sz w:val="24"/>
    </w:rPr>
  </w:style>
  <w:style w:type="paragraph" w:customStyle="1" w:styleId="CBDAnnex">
    <w:name w:val="CBD_Annex"/>
    <w:basedOn w:val="CBDNormal"/>
    <w:next w:val="CBDTitle"/>
    <w:qFormat/>
    <w:rsid w:val="003F1A75"/>
    <w:pPr>
      <w:keepNext/>
      <w:keepLines/>
      <w:spacing w:after="240"/>
      <w:jc w:val="left"/>
    </w:pPr>
    <w:rPr>
      <w:b/>
      <w:sz w:val="28"/>
      <w:lang w:bidi="ar-SY"/>
    </w:rPr>
  </w:style>
  <w:style w:type="paragraph" w:customStyle="1" w:styleId="CBDSubTitle">
    <w:name w:val="CBD_SubTitle"/>
    <w:basedOn w:val="CBDNormal"/>
    <w:qFormat/>
    <w:rsid w:val="003F1A75"/>
    <w:pPr>
      <w:keepNext/>
      <w:keepLines/>
      <w:spacing w:before="240" w:after="240"/>
      <w:ind w:left="567"/>
      <w:jc w:val="left"/>
    </w:pPr>
    <w:rPr>
      <w:b/>
    </w:rPr>
  </w:style>
  <w:style w:type="paragraph" w:customStyle="1" w:styleId="CBDTitle">
    <w:name w:val="CBD_Title"/>
    <w:basedOn w:val="CBDNormal"/>
    <w:next w:val="CBDSubTitle"/>
    <w:qFormat/>
    <w:rsid w:val="003F1A75"/>
    <w:pPr>
      <w:keepNext/>
      <w:keepLines/>
      <w:spacing w:before="240" w:after="240"/>
      <w:ind w:left="567"/>
      <w:jc w:val="left"/>
    </w:pPr>
    <w:rPr>
      <w:b/>
      <w:sz w:val="28"/>
    </w:rPr>
  </w:style>
  <w:style w:type="paragraph" w:customStyle="1" w:styleId="AENormal">
    <w:name w:val="AE_Normal"/>
    <w:basedOn w:val="Normal"/>
    <w:rsid w:val="003F1A75"/>
  </w:style>
  <w:style w:type="paragraph" w:customStyle="1" w:styleId="CBDH1">
    <w:name w:val="CBD_H1"/>
    <w:basedOn w:val="CBDNormal"/>
    <w:qFormat/>
    <w:rsid w:val="003F1A75"/>
    <w:pPr>
      <w:keepNext/>
      <w:keepLines/>
      <w:spacing w:before="240" w:after="120"/>
      <w:ind w:left="567" w:hanging="567"/>
      <w:jc w:val="left"/>
      <w:outlineLvl w:val="0"/>
    </w:pPr>
    <w:rPr>
      <w:b/>
      <w:sz w:val="28"/>
    </w:rPr>
  </w:style>
  <w:style w:type="paragraph" w:customStyle="1" w:styleId="CBDH2">
    <w:name w:val="CBD_H2"/>
    <w:basedOn w:val="CBDNormal"/>
    <w:qFormat/>
    <w:rsid w:val="003F1A75"/>
    <w:pPr>
      <w:keepNext/>
      <w:keepLines/>
      <w:ind w:left="567" w:hanging="567"/>
    </w:pPr>
    <w:rPr>
      <w:b/>
      <w:sz w:val="24"/>
    </w:rPr>
  </w:style>
  <w:style w:type="paragraph" w:customStyle="1" w:styleId="CBDFootnoteText">
    <w:name w:val="CBD_Footnote_Text"/>
    <w:basedOn w:val="CBDNormal"/>
    <w:qFormat/>
    <w:rsid w:val="003F1A75"/>
    <w:pPr>
      <w:jc w:val="left"/>
    </w:pPr>
    <w:rPr>
      <w:sz w:val="18"/>
    </w:rPr>
  </w:style>
  <w:style w:type="paragraph" w:customStyle="1" w:styleId="CBDFooter">
    <w:name w:val="CBD_Footer"/>
    <w:basedOn w:val="CBDNormal"/>
    <w:qFormat/>
    <w:rsid w:val="003F1A75"/>
    <w:rPr>
      <w:sz w:val="20"/>
    </w:rPr>
  </w:style>
  <w:style w:type="paragraph" w:customStyle="1" w:styleId="CBDHeader">
    <w:name w:val="CBD_Header"/>
    <w:basedOn w:val="CBDNormal"/>
    <w:next w:val="CBDFooter"/>
    <w:qFormat/>
    <w:rsid w:val="003F1A75"/>
    <w:pPr>
      <w:pBdr>
        <w:bottom w:val="single" w:sz="4" w:space="1" w:color="auto"/>
      </w:pBdr>
      <w:tabs>
        <w:tab w:val="center" w:pos="4678"/>
        <w:tab w:val="right" w:pos="9361"/>
      </w:tabs>
      <w:jc w:val="left"/>
    </w:pPr>
    <w:rPr>
      <w:sz w:val="20"/>
      <w:szCs w:val="20"/>
    </w:rPr>
  </w:style>
  <w:style w:type="paragraph" w:customStyle="1" w:styleId="CBDH3">
    <w:name w:val="CBD_H3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4">
    <w:name w:val="CBD_H4"/>
    <w:basedOn w:val="CBDNormal"/>
    <w:rsid w:val="003F1A75"/>
    <w:pPr>
      <w:keepNext/>
      <w:keepLines/>
      <w:spacing w:before="120" w:after="120"/>
      <w:ind w:left="567" w:hanging="567"/>
      <w:jc w:val="left"/>
    </w:pPr>
    <w:rPr>
      <w:b/>
    </w:rPr>
  </w:style>
  <w:style w:type="paragraph" w:customStyle="1" w:styleId="CBDH5">
    <w:name w:val="CBD_H5"/>
    <w:basedOn w:val="CBDNormal"/>
    <w:qFormat/>
    <w:rsid w:val="003F1A75"/>
    <w:pPr>
      <w:keepNext/>
      <w:keepLines/>
      <w:spacing w:before="120" w:after="120"/>
      <w:ind w:left="567" w:hanging="567"/>
      <w:jc w:val="left"/>
    </w:pPr>
    <w:rPr>
      <w:i/>
    </w:rPr>
  </w:style>
  <w:style w:type="paragraph" w:customStyle="1" w:styleId="CBDTableNormal">
    <w:name w:val="CBD_TableNormal"/>
    <w:basedOn w:val="CBDNormal"/>
    <w:qFormat/>
    <w:rsid w:val="003F1A75"/>
    <w:pPr>
      <w:spacing w:before="40" w:after="80"/>
      <w:jc w:val="left"/>
    </w:pPr>
    <w:rPr>
      <w:sz w:val="20"/>
    </w:rPr>
  </w:style>
  <w:style w:type="paragraph" w:customStyle="1" w:styleId="CBDTableTitle">
    <w:name w:val="CBD_TableTitle"/>
    <w:basedOn w:val="CBDNormal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customStyle="1" w:styleId="CBDFigureTitle">
    <w:name w:val="CBD_FigureTitle"/>
    <w:basedOn w:val="CBDNormal"/>
    <w:next w:val="CBDNormalNoNumber"/>
    <w:qFormat/>
    <w:rsid w:val="003F1A75"/>
    <w:pPr>
      <w:keepNext/>
      <w:keepLines/>
      <w:spacing w:before="120" w:after="60"/>
      <w:ind w:left="567"/>
      <w:jc w:val="left"/>
    </w:pPr>
    <w:rPr>
      <w:b/>
    </w:rPr>
  </w:style>
  <w:style w:type="paragraph" w:styleId="Bibliography">
    <w:name w:val="Bibliography"/>
    <w:basedOn w:val="Normal"/>
    <w:next w:val="Normal"/>
    <w:uiPriority w:val="37"/>
    <w:semiHidden/>
    <w:unhideWhenUsed/>
    <w:rsid w:val="00A111D1"/>
  </w:style>
  <w:style w:type="paragraph" w:styleId="BlockText">
    <w:name w:val="Block Text"/>
    <w:basedOn w:val="Normal"/>
    <w:uiPriority w:val="99"/>
    <w:semiHidden/>
    <w:unhideWhenUsed/>
    <w:rsid w:val="00A111D1"/>
    <w:pPr>
      <w:pBdr>
        <w:top w:val="single" w:sz="2" w:space="10" w:color="4F81BD" w:themeColor="accent1"/>
        <w:left w:val="single" w:sz="2" w:space="10" w:color="4F81BD" w:themeColor="accent1"/>
        <w:bottom w:val="single" w:sz="2" w:space="10" w:color="4F81BD" w:themeColor="accent1"/>
        <w:right w:val="single" w:sz="2" w:space="10" w:color="4F81BD" w:themeColor="accent1"/>
      </w:pBdr>
      <w:ind w:left="1152" w:right="1152"/>
    </w:pPr>
    <w:rPr>
      <w:rFonts w:asciiTheme="minorHAnsi" w:eastAsiaTheme="minorEastAsia" w:hAnsiTheme="minorHAnsi" w:cstheme="minorBidi"/>
      <w:i/>
      <w:iCs/>
      <w:color w:val="4F81BD" w:themeColor="accent1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A111D1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3">
    <w:name w:val="Body Text 3"/>
    <w:basedOn w:val="Normal"/>
    <w:link w:val="BodyText3Char"/>
    <w:uiPriority w:val="99"/>
    <w:semiHidden/>
    <w:unhideWhenUsed/>
    <w:rsid w:val="00A111D1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paragraph" w:styleId="BodyTextFirstIndent">
    <w:name w:val="Body Text First Indent"/>
    <w:basedOn w:val="BodyText"/>
    <w:link w:val="BodyTextFirstIndentChar"/>
    <w:uiPriority w:val="99"/>
    <w:semiHidden/>
    <w:unhideWhenUsed/>
    <w:rsid w:val="00A111D1"/>
    <w:pPr>
      <w:spacing w:after="0" w:line="240" w:lineRule="auto"/>
      <w:ind w:firstLine="360"/>
      <w:jc w:val="both"/>
    </w:pPr>
    <w:rPr>
      <w:rFonts w:ascii="Times New Roman" w:eastAsia="SimSun" w:hAnsi="Times New Roman" w:cs="Times New Roman"/>
      <w:kern w:val="0"/>
      <w14:ligatures w14:val="none"/>
    </w:rPr>
  </w:style>
  <w:style w:type="character" w:customStyle="1" w:styleId="BodyTextFirstIndentChar">
    <w:name w:val="Body Text First Indent Char"/>
    <w:basedOn w:val="BodyTextChar"/>
    <w:link w:val="BodyTextFirstIndent"/>
    <w:uiPriority w:val="99"/>
    <w:semiHidden/>
    <w:rsid w:val="00A111D1"/>
    <w:rPr>
      <w:rFonts w:ascii="Times New Roman" w:eastAsia="SimSun" w:hAnsi="Times New Roman" w:cs="Times New Roman"/>
      <w:kern w:val="2"/>
      <w:sz w:val="22"/>
      <w:szCs w:val="22"/>
      <w:lang w:val="en-GB"/>
      <w14:ligatures w14:val="standardContextual"/>
    </w:rPr>
  </w:style>
  <w:style w:type="paragraph" w:styleId="BodyTextFirstIndent2">
    <w:name w:val="Body Text First Indent 2"/>
    <w:basedOn w:val="BodyTextIndent"/>
    <w:link w:val="BodyTextFirstIndent2Char"/>
    <w:uiPriority w:val="99"/>
    <w:semiHidden/>
    <w:unhideWhenUsed/>
    <w:rsid w:val="00A111D1"/>
    <w:pPr>
      <w:spacing w:before="0" w:after="0"/>
      <w:ind w:left="360" w:firstLine="360"/>
      <w:jc w:val="both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2">
    <w:name w:val="Body Text Indent 2"/>
    <w:basedOn w:val="Normal"/>
    <w:link w:val="BodyTextIndent2Char"/>
    <w:uiPriority w:val="99"/>
    <w:semiHidden/>
    <w:unhideWhenUsed/>
    <w:rsid w:val="00A111D1"/>
    <w:pPr>
      <w:spacing w:after="120" w:line="480" w:lineRule="auto"/>
      <w:ind w:left="283"/>
    </w:pPr>
  </w:style>
  <w:style w:type="character" w:customStyle="1" w:styleId="BodyTextIndent2Char">
    <w:name w:val="Body Text Indent 2 Char"/>
    <w:basedOn w:val="DefaultParagraphFont"/>
    <w:link w:val="BodyTextIndent2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A111D1"/>
    <w:pPr>
      <w:spacing w:after="120"/>
      <w:ind w:left="283"/>
    </w:pPr>
    <w:rPr>
      <w:sz w:val="16"/>
      <w:szCs w:val="16"/>
    </w:rPr>
  </w:style>
  <w:style w:type="character" w:customStyle="1" w:styleId="BodyTextIndent3Char">
    <w:name w:val="Body Text Indent 3 Char"/>
    <w:basedOn w:val="DefaultParagraphFont"/>
    <w:link w:val="BodyTextIndent3"/>
    <w:uiPriority w:val="99"/>
    <w:semiHidden/>
    <w:rsid w:val="00A111D1"/>
    <w:rPr>
      <w:rFonts w:ascii="Times New Roman" w:eastAsia="SimSun" w:hAnsi="Times New Roman" w:cs="Times New Roman"/>
      <w:sz w:val="16"/>
      <w:szCs w:val="16"/>
      <w:lang w:val="en-GB"/>
    </w:rPr>
  </w:style>
  <w:style w:type="character" w:styleId="BookTitle">
    <w:name w:val="Book Title"/>
    <w:basedOn w:val="DefaultParagraphFont"/>
    <w:uiPriority w:val="33"/>
    <w:qFormat/>
    <w:rsid w:val="00A111D1"/>
    <w:rPr>
      <w:b/>
      <w:bCs/>
      <w:i/>
      <w:iCs/>
      <w:spacing w:val="5"/>
      <w:lang w:val="en-GB"/>
    </w:rPr>
  </w:style>
  <w:style w:type="paragraph" w:styleId="Closing">
    <w:name w:val="Closing"/>
    <w:basedOn w:val="Normal"/>
    <w:link w:val="ClosingChar"/>
    <w:uiPriority w:val="99"/>
    <w:semiHidden/>
    <w:unhideWhenUsed/>
    <w:rsid w:val="00A111D1"/>
    <w:pPr>
      <w:ind w:left="4252"/>
    </w:pPr>
  </w:style>
  <w:style w:type="character" w:customStyle="1" w:styleId="ClosingChar">
    <w:name w:val="Closing Char"/>
    <w:basedOn w:val="DefaultParagraphFont"/>
    <w:link w:val="Clos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ColorfulGrid">
    <w:name w:val="Colorful Grid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ColorfulList">
    <w:name w:val="Colorful List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semiHidden/>
    <w:unhideWhenUsed/>
    <w:rsid w:val="00A111D1"/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Shading">
    <w:name w:val="Colorful Shading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DarkList">
    <w:name w:val="Dark List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semiHidden/>
    <w:unhideWhenUsed/>
    <w:rsid w:val="00A111D1"/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paragraph" w:styleId="Date">
    <w:name w:val="Date"/>
    <w:basedOn w:val="Normal"/>
    <w:next w:val="Normal"/>
    <w:link w:val="DateChar"/>
    <w:uiPriority w:val="99"/>
    <w:semiHidden/>
    <w:unhideWhenUsed/>
    <w:rsid w:val="00A111D1"/>
  </w:style>
  <w:style w:type="character" w:customStyle="1" w:styleId="DateChar">
    <w:name w:val="Date Char"/>
    <w:basedOn w:val="DefaultParagraphFont"/>
    <w:link w:val="Dat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DocumentMap">
    <w:name w:val="Document Map"/>
    <w:basedOn w:val="Normal"/>
    <w:link w:val="DocumentMapChar"/>
    <w:uiPriority w:val="99"/>
    <w:semiHidden/>
    <w:unhideWhenUsed/>
    <w:rsid w:val="00A111D1"/>
    <w:rPr>
      <w:rFonts w:ascii="Segoe UI" w:hAnsi="Segoe UI" w:cs="Segoe UI"/>
      <w:sz w:val="16"/>
      <w:szCs w:val="16"/>
    </w:rPr>
  </w:style>
  <w:style w:type="character" w:customStyle="1" w:styleId="DocumentMapChar">
    <w:name w:val="Document Map Char"/>
    <w:basedOn w:val="DefaultParagraphFont"/>
    <w:link w:val="DocumentMap"/>
    <w:uiPriority w:val="99"/>
    <w:semiHidden/>
    <w:rsid w:val="00A111D1"/>
    <w:rPr>
      <w:rFonts w:ascii="Segoe UI" w:eastAsia="SimSun" w:hAnsi="Segoe UI" w:cs="Segoe UI"/>
      <w:sz w:val="16"/>
      <w:szCs w:val="16"/>
      <w:lang w:val="en-GB"/>
    </w:rPr>
  </w:style>
  <w:style w:type="paragraph" w:styleId="E-mailSignature">
    <w:name w:val="E-mail Signature"/>
    <w:basedOn w:val="Normal"/>
    <w:link w:val="E-mailSignatureChar"/>
    <w:uiPriority w:val="99"/>
    <w:semiHidden/>
    <w:unhideWhenUsed/>
    <w:rsid w:val="00A111D1"/>
  </w:style>
  <w:style w:type="character" w:customStyle="1" w:styleId="E-mailSignatureChar">
    <w:name w:val="E-mail Signature Char"/>
    <w:basedOn w:val="DefaultParagraphFont"/>
    <w:link w:val="E-mail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Emphasis">
    <w:name w:val="Emphasis"/>
    <w:basedOn w:val="DefaultParagraphFont"/>
    <w:uiPriority w:val="20"/>
    <w:qFormat/>
    <w:rsid w:val="00A111D1"/>
    <w:rPr>
      <w:i/>
      <w:iCs/>
      <w:lang w:val="en-GB"/>
    </w:rPr>
  </w:style>
  <w:style w:type="paragraph" w:styleId="EnvelopeAddress">
    <w:name w:val="envelope address"/>
    <w:basedOn w:val="Normal"/>
    <w:uiPriority w:val="99"/>
    <w:semiHidden/>
    <w:unhideWhenUsed/>
    <w:rsid w:val="00A111D1"/>
    <w:pPr>
      <w:framePr w:w="7920" w:h="1980" w:hRule="exact" w:hSpace="180" w:wrap="auto" w:hAnchor="page" w:xAlign="center" w:yAlign="bottom"/>
      <w:ind w:left="2880"/>
    </w:pPr>
    <w:rPr>
      <w:rFonts w:asciiTheme="majorHAnsi" w:eastAsiaTheme="majorEastAsia" w:hAnsiTheme="majorHAnsi" w:cstheme="majorBidi"/>
      <w:sz w:val="24"/>
      <w:szCs w:val="24"/>
    </w:rPr>
  </w:style>
  <w:style w:type="paragraph" w:styleId="EnvelopeReturn">
    <w:name w:val="envelope return"/>
    <w:basedOn w:val="Normal"/>
    <w:uiPriority w:val="99"/>
    <w:semiHidden/>
    <w:unhideWhenUsed/>
    <w:rsid w:val="00A111D1"/>
    <w:rPr>
      <w:rFonts w:asciiTheme="majorHAnsi" w:eastAsiaTheme="majorEastAsia" w:hAnsiTheme="majorHAnsi" w:cstheme="majorBidi"/>
      <w:sz w:val="20"/>
      <w:szCs w:val="20"/>
    </w:rPr>
  </w:style>
  <w:style w:type="table" w:styleId="GridTable1Light">
    <w:name w:val="Grid Table 1 Light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1">
    <w:name w:val="Grid Table 1 Light Accent 1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2">
    <w:name w:val="Grid Table 1 Light Accent 2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E5B8B7" w:themeColor="accent2" w:themeTint="66"/>
        <w:left w:val="single" w:sz="4" w:space="0" w:color="E5B8B7" w:themeColor="accent2" w:themeTint="66"/>
        <w:bottom w:val="single" w:sz="4" w:space="0" w:color="E5B8B7" w:themeColor="accent2" w:themeTint="66"/>
        <w:right w:val="single" w:sz="4" w:space="0" w:color="E5B8B7" w:themeColor="accent2" w:themeTint="66"/>
        <w:insideH w:val="single" w:sz="4" w:space="0" w:color="E5B8B7" w:themeColor="accent2" w:themeTint="66"/>
        <w:insideV w:val="single" w:sz="4" w:space="0" w:color="E5B8B7" w:themeColor="accent2" w:themeTint="66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3">
    <w:name w:val="Grid Table 1 Light Accent 3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D6E3BC" w:themeColor="accent3" w:themeTint="66"/>
        <w:left w:val="single" w:sz="4" w:space="0" w:color="D6E3BC" w:themeColor="accent3" w:themeTint="66"/>
        <w:bottom w:val="single" w:sz="4" w:space="0" w:color="D6E3BC" w:themeColor="accent3" w:themeTint="66"/>
        <w:right w:val="single" w:sz="4" w:space="0" w:color="D6E3BC" w:themeColor="accent3" w:themeTint="66"/>
        <w:insideH w:val="single" w:sz="4" w:space="0" w:color="D6E3BC" w:themeColor="accent3" w:themeTint="66"/>
        <w:insideV w:val="single" w:sz="4" w:space="0" w:color="D6E3BC" w:themeColor="accent3" w:themeTint="66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4">
    <w:name w:val="Grid Table 1 Light Accent 4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CCC0D9" w:themeColor="accent4" w:themeTint="66"/>
        <w:left w:val="single" w:sz="4" w:space="0" w:color="CCC0D9" w:themeColor="accent4" w:themeTint="66"/>
        <w:bottom w:val="single" w:sz="4" w:space="0" w:color="CCC0D9" w:themeColor="accent4" w:themeTint="66"/>
        <w:right w:val="single" w:sz="4" w:space="0" w:color="CCC0D9" w:themeColor="accent4" w:themeTint="66"/>
        <w:insideH w:val="single" w:sz="4" w:space="0" w:color="CCC0D9" w:themeColor="accent4" w:themeTint="66"/>
        <w:insideV w:val="single" w:sz="4" w:space="0" w:color="CCC0D9" w:themeColor="accent4" w:themeTint="66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5">
    <w:name w:val="Grid Table 1 Light Accent 5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B6DDE8" w:themeColor="accent5" w:themeTint="66"/>
        <w:left w:val="single" w:sz="4" w:space="0" w:color="B6DDE8" w:themeColor="accent5" w:themeTint="66"/>
        <w:bottom w:val="single" w:sz="4" w:space="0" w:color="B6DDE8" w:themeColor="accent5" w:themeTint="66"/>
        <w:right w:val="single" w:sz="4" w:space="0" w:color="B6DDE8" w:themeColor="accent5" w:themeTint="66"/>
        <w:insideH w:val="single" w:sz="4" w:space="0" w:color="B6DDE8" w:themeColor="accent5" w:themeTint="66"/>
        <w:insideV w:val="single" w:sz="4" w:space="0" w:color="B6DDE8" w:themeColor="accent5" w:themeTint="66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1Light-Accent6">
    <w:name w:val="Grid Table 1 Light Accent 6"/>
    <w:basedOn w:val="TableNormal"/>
    <w:uiPriority w:val="46"/>
    <w:rsid w:val="00A111D1"/>
    <w:tblPr>
      <w:tblStyleRowBandSize w:val="1"/>
      <w:tblStyleColBandSize w:val="1"/>
      <w:tblBorders>
        <w:top w:val="single" w:sz="4" w:space="0" w:color="FBD4B4" w:themeColor="accent6" w:themeTint="66"/>
        <w:left w:val="single" w:sz="4" w:space="0" w:color="FBD4B4" w:themeColor="accent6" w:themeTint="66"/>
        <w:bottom w:val="single" w:sz="4" w:space="0" w:color="FBD4B4" w:themeColor="accent6" w:themeTint="66"/>
        <w:right w:val="single" w:sz="4" w:space="0" w:color="FBD4B4" w:themeColor="accent6" w:themeTint="66"/>
        <w:insideH w:val="single" w:sz="4" w:space="0" w:color="FBD4B4" w:themeColor="accent6" w:themeTint="66"/>
        <w:insideV w:val="single" w:sz="4" w:space="0" w:color="FBD4B4" w:themeColor="accent6" w:themeTint="66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GridTable2">
    <w:name w:val="Grid Table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666666" w:themeColor="text1" w:themeTint="99"/>
        <w:bottom w:val="single" w:sz="2" w:space="0" w:color="666666" w:themeColor="text1" w:themeTint="99"/>
        <w:insideH w:val="single" w:sz="2" w:space="0" w:color="666666" w:themeColor="text1" w:themeTint="99"/>
        <w:insideV w:val="single" w:sz="2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666666" w:themeColor="tex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2-Accent1">
    <w:name w:val="Grid Table 2 Accent 1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5B3D7" w:themeColor="accent1" w:themeTint="99"/>
        <w:bottom w:val="single" w:sz="2" w:space="0" w:color="95B3D7" w:themeColor="accent1" w:themeTint="99"/>
        <w:insideH w:val="single" w:sz="2" w:space="0" w:color="95B3D7" w:themeColor="accent1" w:themeTint="99"/>
        <w:insideV w:val="single" w:sz="2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5B3D7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2-Accent2">
    <w:name w:val="Grid Table 2 Accent 2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D99594" w:themeColor="accent2" w:themeTint="99"/>
        <w:bottom w:val="single" w:sz="2" w:space="0" w:color="D99594" w:themeColor="accent2" w:themeTint="99"/>
        <w:insideH w:val="single" w:sz="2" w:space="0" w:color="D99594" w:themeColor="accent2" w:themeTint="99"/>
        <w:insideV w:val="single" w:sz="2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D99594" w:themeColor="accent2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D99594" w:themeColor="accent2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2-Accent3">
    <w:name w:val="Grid Table 2 Accent 3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C2D69B" w:themeColor="accent3" w:themeTint="99"/>
        <w:bottom w:val="single" w:sz="2" w:space="0" w:color="C2D69B" w:themeColor="accent3" w:themeTint="99"/>
        <w:insideH w:val="single" w:sz="2" w:space="0" w:color="C2D69B" w:themeColor="accent3" w:themeTint="99"/>
        <w:insideV w:val="single" w:sz="2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C2D69B" w:themeColor="accent3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C2D69B" w:themeColor="accent3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2-Accent4">
    <w:name w:val="Grid Table 2 Accent 4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B2A1C7" w:themeColor="accent4" w:themeTint="99"/>
        <w:bottom w:val="single" w:sz="2" w:space="0" w:color="B2A1C7" w:themeColor="accent4" w:themeTint="99"/>
        <w:insideH w:val="single" w:sz="2" w:space="0" w:color="B2A1C7" w:themeColor="accent4" w:themeTint="99"/>
        <w:insideV w:val="single" w:sz="2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2A1C7" w:themeColor="accent4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2A1C7" w:themeColor="accent4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2-Accent5">
    <w:name w:val="Grid Table 2 Accent 5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92CDDC" w:themeColor="accent5" w:themeTint="99"/>
        <w:bottom w:val="single" w:sz="2" w:space="0" w:color="92CDDC" w:themeColor="accent5" w:themeTint="99"/>
        <w:insideH w:val="single" w:sz="2" w:space="0" w:color="92CDDC" w:themeColor="accent5" w:themeTint="99"/>
        <w:insideV w:val="single" w:sz="2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92CD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92CD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2-Accent6">
    <w:name w:val="Grid Table 2 Accent 6"/>
    <w:basedOn w:val="TableNormal"/>
    <w:uiPriority w:val="47"/>
    <w:rsid w:val="00A111D1"/>
    <w:tblPr>
      <w:tblStyleRowBandSize w:val="1"/>
      <w:tblStyleColBandSize w:val="1"/>
      <w:tblBorders>
        <w:top w:val="single" w:sz="2" w:space="0" w:color="FABF8F" w:themeColor="accent6" w:themeTint="99"/>
        <w:bottom w:val="single" w:sz="2" w:space="0" w:color="FABF8F" w:themeColor="accent6" w:themeTint="99"/>
        <w:insideH w:val="single" w:sz="2" w:space="0" w:color="FABF8F" w:themeColor="accent6" w:themeTint="99"/>
        <w:insideV w:val="single" w:sz="2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FABF8F" w:themeColor="accent6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FABF8F" w:themeColor="accent6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3">
    <w:name w:val="Grid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3-Accent1">
    <w:name w:val="Grid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3-Accent2">
    <w:name w:val="Grid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3-Accent3">
    <w:name w:val="Grid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3-Accent4">
    <w:name w:val="Grid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3-Accent5">
    <w:name w:val="Grid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3-Accent6">
    <w:name w:val="Grid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table" w:styleId="GridTable4">
    <w:name w:val="Grid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4-Accent1">
    <w:name w:val="Grid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4-Accent2">
    <w:name w:val="Grid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4-Accent3">
    <w:name w:val="Grid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4-Accent4">
    <w:name w:val="Grid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4-Accent5">
    <w:name w:val="Grid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4-Accent6">
    <w:name w:val="Grid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5Dark">
    <w:name w:val="Grid Table 5 Dark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000000" w:themeFill="text1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999999" w:themeFill="text1" w:themeFillTint="66"/>
      </w:tcPr>
    </w:tblStylePr>
  </w:style>
  <w:style w:type="table" w:styleId="GridTable5Dark-Accent1">
    <w:name w:val="Grid Table 5 Dark Accent 1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F81BD" w:themeFill="accent1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B8CCE4" w:themeFill="accent1" w:themeFillTint="66"/>
      </w:tcPr>
    </w:tblStylePr>
  </w:style>
  <w:style w:type="table" w:styleId="GridTable5Dark-Accent2">
    <w:name w:val="Grid Table 5 Dark Accent 2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C0504D" w:themeFill="accent2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E5B8B7" w:themeFill="accent2" w:themeFillTint="66"/>
      </w:tcPr>
    </w:tblStylePr>
  </w:style>
  <w:style w:type="table" w:styleId="GridTable5Dark-Accent3">
    <w:name w:val="Grid Table 5 Dark Accent 3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9BBB59" w:themeFill="accent3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D6E3BC" w:themeFill="accent3" w:themeFillTint="66"/>
      </w:tcPr>
    </w:tblStylePr>
  </w:style>
  <w:style w:type="table" w:styleId="GridTable5Dark-Accent4">
    <w:name w:val="Grid Table 5 Dark Accent 4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8064A2" w:themeFill="accent4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CCC0D9" w:themeFill="accent4" w:themeFillTint="66"/>
      </w:tcPr>
    </w:tblStylePr>
  </w:style>
  <w:style w:type="table" w:styleId="GridTable5Dark-Accent5">
    <w:name w:val="Grid Table 5 Dark Accent 5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4BACC6" w:themeFill="accent5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B6DDE8" w:themeFill="accent5" w:themeFillTint="66"/>
      </w:tcPr>
    </w:tblStylePr>
  </w:style>
  <w:style w:type="table" w:styleId="GridTable5Dark-Accent6">
    <w:name w:val="Grid Table 5 Dark Accent 6"/>
    <w:basedOn w:val="TableNormal"/>
    <w:uiPriority w:val="50"/>
    <w:rsid w:val="00A111D1"/>
    <w:tblPr>
      <w:tblStyleRowBandSize w:val="1"/>
      <w:tblStyleColBandSize w:val="1"/>
      <w:tblBorders>
        <w:top w:val="single" w:sz="4" w:space="0" w:color="FFFFFF" w:themeColor="background1"/>
        <w:left w:val="single" w:sz="4" w:space="0" w:color="FFFFFF" w:themeColor="background1"/>
        <w:bottom w:val="single" w:sz="4" w:space="0" w:color="FFFFFF" w:themeColor="background1"/>
        <w:right w:val="single" w:sz="4" w:space="0" w:color="FFFFFF" w:themeColor="background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  <w:color w:val="FFFFFF" w:themeColor="background1"/>
      </w:rPr>
      <w:tblPr/>
      <w:tcPr>
        <w:tcBorders>
          <w:left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fir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left w:val="single" w:sz="4" w:space="0" w:color="FFFFFF" w:themeColor="background1"/>
          <w:bottom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top w:val="single" w:sz="4" w:space="0" w:color="FFFFFF" w:themeColor="background1"/>
          <w:bottom w:val="single" w:sz="4" w:space="0" w:color="FFFFFF" w:themeColor="background1"/>
          <w:right w:val="single" w:sz="4" w:space="0" w:color="FFFFFF" w:themeColor="background1"/>
          <w:insideV w:val="nil"/>
        </w:tcBorders>
        <w:shd w:val="clear" w:color="auto" w:fill="F79646" w:themeFill="accent6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D4B4" w:themeFill="accent6" w:themeFillTint="66"/>
      </w:tcPr>
    </w:tblStylePr>
  </w:style>
  <w:style w:type="table" w:styleId="GridTable6Colorful">
    <w:name w:val="Grid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GridTable6Colorful-Accent1">
    <w:name w:val="Grid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GridTable6Colorful-Accent2">
    <w:name w:val="Grid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bottom w:val="single" w:sz="12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GridTable6Colorful-Accent3">
    <w:name w:val="Grid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bottom w:val="single" w:sz="12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GridTable6Colorful-Accent4">
    <w:name w:val="Grid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bottom w:val="single" w:sz="12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GridTable6Colorful-Accent5">
    <w:name w:val="Grid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bottom w:val="single" w:sz="12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GridTable6Colorful-Accent6">
    <w:name w:val="Grid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bottom w:val="single" w:sz="12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GridTable7Colorful">
    <w:name w:val="Grid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  <w:insideV w:val="single" w:sz="4" w:space="0" w:color="666666" w:themeColor="tex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bottom w:val="single" w:sz="4" w:space="0" w:color="666666" w:themeColor="text1" w:themeTint="99"/>
        </w:tcBorders>
      </w:tcPr>
    </w:tblStylePr>
    <w:tblStylePr w:type="nwCell">
      <w:tblPr/>
      <w:tcPr>
        <w:tcBorders>
          <w:bottom w:val="single" w:sz="4" w:space="0" w:color="666666" w:themeColor="text1" w:themeTint="99"/>
        </w:tcBorders>
      </w:tcPr>
    </w:tblStylePr>
    <w:tblStylePr w:type="seCell">
      <w:tblPr/>
      <w:tcPr>
        <w:tcBorders>
          <w:top w:val="single" w:sz="4" w:space="0" w:color="666666" w:themeColor="text1" w:themeTint="99"/>
        </w:tcBorders>
      </w:tcPr>
    </w:tblStylePr>
    <w:tblStylePr w:type="swCell">
      <w:tblPr/>
      <w:tcPr>
        <w:tcBorders>
          <w:top w:val="single" w:sz="4" w:space="0" w:color="666666" w:themeColor="text1" w:themeTint="99"/>
        </w:tcBorders>
      </w:tcPr>
    </w:tblStylePr>
  </w:style>
  <w:style w:type="table" w:styleId="GridTable7Colorful-Accent1">
    <w:name w:val="Grid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  <w:insideV w:val="single" w:sz="4" w:space="0" w:color="95B3D7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bottom w:val="single" w:sz="4" w:space="0" w:color="95B3D7" w:themeColor="accent1" w:themeTint="99"/>
        </w:tcBorders>
      </w:tcPr>
    </w:tblStylePr>
    <w:tblStylePr w:type="nwCell">
      <w:tblPr/>
      <w:tcPr>
        <w:tcBorders>
          <w:bottom w:val="single" w:sz="4" w:space="0" w:color="95B3D7" w:themeColor="accent1" w:themeTint="99"/>
        </w:tcBorders>
      </w:tcPr>
    </w:tblStylePr>
    <w:tblStylePr w:type="seCell">
      <w:tblPr/>
      <w:tcPr>
        <w:tcBorders>
          <w:top w:val="single" w:sz="4" w:space="0" w:color="95B3D7" w:themeColor="accent1" w:themeTint="99"/>
        </w:tcBorders>
      </w:tcPr>
    </w:tblStylePr>
    <w:tblStylePr w:type="swCell">
      <w:tblPr/>
      <w:tcPr>
        <w:tcBorders>
          <w:top w:val="single" w:sz="4" w:space="0" w:color="95B3D7" w:themeColor="accent1" w:themeTint="99"/>
        </w:tcBorders>
      </w:tcPr>
    </w:tblStylePr>
  </w:style>
  <w:style w:type="table" w:styleId="GridTable7Colorful-Accent2">
    <w:name w:val="Grid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  <w:insideV w:val="single" w:sz="4" w:space="0" w:color="D99594" w:themeColor="accent2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bottom w:val="single" w:sz="4" w:space="0" w:color="D99594" w:themeColor="accent2" w:themeTint="99"/>
        </w:tcBorders>
      </w:tcPr>
    </w:tblStylePr>
    <w:tblStylePr w:type="nwCell">
      <w:tblPr/>
      <w:tcPr>
        <w:tcBorders>
          <w:bottom w:val="single" w:sz="4" w:space="0" w:color="D99594" w:themeColor="accent2" w:themeTint="99"/>
        </w:tcBorders>
      </w:tcPr>
    </w:tblStylePr>
    <w:tblStylePr w:type="seCell">
      <w:tblPr/>
      <w:tcPr>
        <w:tcBorders>
          <w:top w:val="single" w:sz="4" w:space="0" w:color="D99594" w:themeColor="accent2" w:themeTint="99"/>
        </w:tcBorders>
      </w:tcPr>
    </w:tblStylePr>
    <w:tblStylePr w:type="swCell">
      <w:tblPr/>
      <w:tcPr>
        <w:tcBorders>
          <w:top w:val="single" w:sz="4" w:space="0" w:color="D99594" w:themeColor="accent2" w:themeTint="99"/>
        </w:tcBorders>
      </w:tcPr>
    </w:tblStylePr>
  </w:style>
  <w:style w:type="table" w:styleId="GridTable7Colorful-Accent3">
    <w:name w:val="Grid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  <w:insideV w:val="single" w:sz="4" w:space="0" w:color="C2D69B" w:themeColor="accent3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bottom w:val="single" w:sz="4" w:space="0" w:color="C2D69B" w:themeColor="accent3" w:themeTint="99"/>
        </w:tcBorders>
      </w:tcPr>
    </w:tblStylePr>
    <w:tblStylePr w:type="nwCell">
      <w:tblPr/>
      <w:tcPr>
        <w:tcBorders>
          <w:bottom w:val="single" w:sz="4" w:space="0" w:color="C2D69B" w:themeColor="accent3" w:themeTint="99"/>
        </w:tcBorders>
      </w:tcPr>
    </w:tblStylePr>
    <w:tblStylePr w:type="seCell">
      <w:tblPr/>
      <w:tcPr>
        <w:tcBorders>
          <w:top w:val="single" w:sz="4" w:space="0" w:color="C2D69B" w:themeColor="accent3" w:themeTint="99"/>
        </w:tcBorders>
      </w:tcPr>
    </w:tblStylePr>
    <w:tblStylePr w:type="swCell">
      <w:tblPr/>
      <w:tcPr>
        <w:tcBorders>
          <w:top w:val="single" w:sz="4" w:space="0" w:color="C2D69B" w:themeColor="accent3" w:themeTint="99"/>
        </w:tcBorders>
      </w:tcPr>
    </w:tblStylePr>
  </w:style>
  <w:style w:type="table" w:styleId="GridTable7Colorful-Accent4">
    <w:name w:val="Grid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bottom w:val="single" w:sz="4" w:space="0" w:color="B2A1C7" w:themeColor="accent4" w:themeTint="99"/>
        </w:tcBorders>
      </w:tcPr>
    </w:tblStylePr>
    <w:tblStylePr w:type="nwCell">
      <w:tblPr/>
      <w:tcPr>
        <w:tcBorders>
          <w:bottom w:val="single" w:sz="4" w:space="0" w:color="B2A1C7" w:themeColor="accent4" w:themeTint="99"/>
        </w:tcBorders>
      </w:tcPr>
    </w:tblStylePr>
    <w:tblStylePr w:type="seCell">
      <w:tblPr/>
      <w:tcPr>
        <w:tcBorders>
          <w:top w:val="single" w:sz="4" w:space="0" w:color="B2A1C7" w:themeColor="accent4" w:themeTint="99"/>
        </w:tcBorders>
      </w:tcPr>
    </w:tblStylePr>
    <w:tblStylePr w:type="swCell">
      <w:tblPr/>
      <w:tcPr>
        <w:tcBorders>
          <w:top w:val="single" w:sz="4" w:space="0" w:color="B2A1C7" w:themeColor="accent4" w:themeTint="99"/>
        </w:tcBorders>
      </w:tcPr>
    </w:tblStylePr>
  </w:style>
  <w:style w:type="table" w:styleId="GridTable7Colorful-Accent5">
    <w:name w:val="Grid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  <w:insideV w:val="single" w:sz="4" w:space="0" w:color="92CD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bottom w:val="single" w:sz="4" w:space="0" w:color="92CDDC" w:themeColor="accent5" w:themeTint="99"/>
        </w:tcBorders>
      </w:tcPr>
    </w:tblStylePr>
    <w:tblStylePr w:type="nwCell">
      <w:tblPr/>
      <w:tcPr>
        <w:tcBorders>
          <w:bottom w:val="single" w:sz="4" w:space="0" w:color="92CDDC" w:themeColor="accent5" w:themeTint="99"/>
        </w:tcBorders>
      </w:tcPr>
    </w:tblStylePr>
    <w:tblStylePr w:type="seCell">
      <w:tblPr/>
      <w:tcPr>
        <w:tcBorders>
          <w:top w:val="single" w:sz="4" w:space="0" w:color="92CDDC" w:themeColor="accent5" w:themeTint="99"/>
        </w:tcBorders>
      </w:tcPr>
    </w:tblStylePr>
    <w:tblStylePr w:type="swCell">
      <w:tblPr/>
      <w:tcPr>
        <w:tcBorders>
          <w:top w:val="single" w:sz="4" w:space="0" w:color="92CDDC" w:themeColor="accent5" w:themeTint="99"/>
        </w:tcBorders>
      </w:tcPr>
    </w:tblStylePr>
  </w:style>
  <w:style w:type="table" w:styleId="GridTable7Colorful-Accent6">
    <w:name w:val="Grid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bottom w:val="single" w:sz="4" w:space="0" w:color="FABF8F" w:themeColor="accent6" w:themeTint="99"/>
        </w:tcBorders>
      </w:tcPr>
    </w:tblStylePr>
    <w:tblStylePr w:type="nwCell">
      <w:tblPr/>
      <w:tcPr>
        <w:tcBorders>
          <w:bottom w:val="single" w:sz="4" w:space="0" w:color="FABF8F" w:themeColor="accent6" w:themeTint="99"/>
        </w:tcBorders>
      </w:tcPr>
    </w:tblStylePr>
    <w:tblStylePr w:type="seCell">
      <w:tblPr/>
      <w:tcPr>
        <w:tcBorders>
          <w:top w:val="single" w:sz="4" w:space="0" w:color="FABF8F" w:themeColor="accent6" w:themeTint="99"/>
        </w:tcBorders>
      </w:tcPr>
    </w:tblStylePr>
    <w:tblStylePr w:type="swCell">
      <w:tblPr/>
      <w:tcPr>
        <w:tcBorders>
          <w:top w:val="single" w:sz="4" w:space="0" w:color="FABF8F" w:themeColor="accent6" w:themeTint="99"/>
        </w:tcBorders>
      </w:tcPr>
    </w:tblStylePr>
  </w:style>
  <w:style w:type="character" w:styleId="Hashtag">
    <w:name w:val="Hashtag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character" w:styleId="HTMLAcronym">
    <w:name w:val="HTML Acronym"/>
    <w:basedOn w:val="DefaultParagraphFont"/>
    <w:uiPriority w:val="99"/>
    <w:semiHidden/>
    <w:unhideWhenUsed/>
    <w:rsid w:val="00A111D1"/>
    <w:rPr>
      <w:lang w:val="en-GB"/>
    </w:rPr>
  </w:style>
  <w:style w:type="paragraph" w:styleId="HTMLAddress">
    <w:name w:val="HTML Address"/>
    <w:basedOn w:val="Normal"/>
    <w:link w:val="HTMLAddressChar"/>
    <w:uiPriority w:val="99"/>
    <w:semiHidden/>
    <w:unhideWhenUsed/>
    <w:rsid w:val="00A111D1"/>
    <w:rPr>
      <w:i/>
      <w:iCs/>
    </w:rPr>
  </w:style>
  <w:style w:type="character" w:customStyle="1" w:styleId="HTMLAddressChar">
    <w:name w:val="HTML Address Char"/>
    <w:basedOn w:val="DefaultParagraphFont"/>
    <w:link w:val="HTMLAddress"/>
    <w:uiPriority w:val="99"/>
    <w:semiHidden/>
    <w:rsid w:val="00A111D1"/>
    <w:rPr>
      <w:rFonts w:ascii="Times New Roman" w:eastAsia="SimSun" w:hAnsi="Times New Roman" w:cs="Times New Roman"/>
      <w:i/>
      <w:iCs/>
      <w:sz w:val="22"/>
      <w:szCs w:val="22"/>
      <w:lang w:val="en-GB"/>
    </w:rPr>
  </w:style>
  <w:style w:type="character" w:styleId="HTMLCite">
    <w:name w:val="HTML Cite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Code">
    <w:name w:val="HTML Code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Definition">
    <w:name w:val="HTML Definition"/>
    <w:basedOn w:val="DefaultParagraphFont"/>
    <w:uiPriority w:val="99"/>
    <w:semiHidden/>
    <w:unhideWhenUsed/>
    <w:rsid w:val="00A111D1"/>
    <w:rPr>
      <w:i/>
      <w:iCs/>
      <w:lang w:val="en-GB"/>
    </w:rPr>
  </w:style>
  <w:style w:type="character" w:styleId="HTMLKeyboard">
    <w:name w:val="HTML Keyboard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A111D1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character" w:styleId="HTMLSample">
    <w:name w:val="HTML Sample"/>
    <w:basedOn w:val="DefaultParagraphFont"/>
    <w:uiPriority w:val="99"/>
    <w:semiHidden/>
    <w:unhideWhenUsed/>
    <w:rsid w:val="00A111D1"/>
    <w:rPr>
      <w:rFonts w:ascii="Consolas" w:hAnsi="Consolas"/>
      <w:sz w:val="24"/>
      <w:szCs w:val="24"/>
      <w:lang w:val="en-GB"/>
    </w:rPr>
  </w:style>
  <w:style w:type="character" w:styleId="HTMLTypewriter">
    <w:name w:val="HTML Typewriter"/>
    <w:basedOn w:val="DefaultParagraphFont"/>
    <w:uiPriority w:val="99"/>
    <w:semiHidden/>
    <w:unhideWhenUsed/>
    <w:rsid w:val="00A111D1"/>
    <w:rPr>
      <w:rFonts w:ascii="Consolas" w:hAnsi="Consolas"/>
      <w:sz w:val="20"/>
      <w:szCs w:val="20"/>
      <w:lang w:val="en-GB"/>
    </w:rPr>
  </w:style>
  <w:style w:type="character" w:styleId="HTMLVariable">
    <w:name w:val="HTML Variable"/>
    <w:basedOn w:val="DefaultParagraphFont"/>
    <w:uiPriority w:val="99"/>
    <w:semiHidden/>
    <w:unhideWhenUsed/>
    <w:rsid w:val="00A111D1"/>
    <w:rPr>
      <w:i/>
      <w:iCs/>
      <w:lang w:val="en-GB"/>
    </w:rPr>
  </w:style>
  <w:style w:type="paragraph" w:styleId="Index1">
    <w:name w:val="index 1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Index2">
    <w:name w:val="index 2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440" w:hanging="220"/>
    </w:pPr>
  </w:style>
  <w:style w:type="paragraph" w:styleId="Index3">
    <w:name w:val="index 3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660" w:hanging="220"/>
    </w:pPr>
  </w:style>
  <w:style w:type="paragraph" w:styleId="Index4">
    <w:name w:val="index 4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880" w:hanging="220"/>
    </w:pPr>
  </w:style>
  <w:style w:type="paragraph" w:styleId="Index5">
    <w:name w:val="index 5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100" w:hanging="220"/>
    </w:pPr>
  </w:style>
  <w:style w:type="paragraph" w:styleId="Index6">
    <w:name w:val="index 6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320" w:hanging="220"/>
    </w:pPr>
  </w:style>
  <w:style w:type="paragraph" w:styleId="Index7">
    <w:name w:val="index 7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540" w:hanging="220"/>
    </w:pPr>
  </w:style>
  <w:style w:type="paragraph" w:styleId="Index8">
    <w:name w:val="index 8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760" w:hanging="220"/>
    </w:pPr>
  </w:style>
  <w:style w:type="paragraph" w:styleId="Index9">
    <w:name w:val="index 9"/>
    <w:basedOn w:val="Normal"/>
    <w:next w:val="Normal"/>
    <w:autoRedefine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1980" w:hanging="220"/>
    </w:pPr>
  </w:style>
  <w:style w:type="paragraph" w:styleId="IndexHeading">
    <w:name w:val="index heading"/>
    <w:basedOn w:val="Normal"/>
    <w:next w:val="Index1"/>
    <w:uiPriority w:val="99"/>
    <w:semiHidden/>
    <w:unhideWhenUsed/>
    <w:rsid w:val="00A111D1"/>
    <w:rPr>
      <w:rFonts w:asciiTheme="majorHAnsi" w:eastAsiaTheme="majorEastAsia" w:hAnsiTheme="majorHAnsi" w:cstheme="majorBidi"/>
      <w:b/>
      <w:bCs/>
    </w:rPr>
  </w:style>
  <w:style w:type="character" w:styleId="IntenseEmphasis">
    <w:name w:val="Intense Emphasis"/>
    <w:basedOn w:val="DefaultParagraphFont"/>
    <w:uiPriority w:val="21"/>
    <w:qFormat/>
    <w:rsid w:val="00A111D1"/>
    <w:rPr>
      <w:i/>
      <w:iCs/>
      <w:color w:val="4F81BD" w:themeColor="accent1"/>
      <w:lang w:val="en-GB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111D1"/>
    <w:pPr>
      <w:pBdr>
        <w:top w:val="single" w:sz="4" w:space="10" w:color="4F81BD" w:themeColor="accent1"/>
        <w:bottom w:val="single" w:sz="4" w:space="10" w:color="4F81BD" w:themeColor="accent1"/>
      </w:pBdr>
      <w:spacing w:before="360" w:after="360"/>
      <w:ind w:left="864" w:right="864"/>
      <w:jc w:val="center"/>
    </w:pPr>
    <w:rPr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111D1"/>
    <w:rPr>
      <w:rFonts w:ascii="Times New Roman" w:eastAsia="SimSun" w:hAnsi="Times New Roman" w:cs="Times New Roman"/>
      <w:i/>
      <w:iCs/>
      <w:color w:val="4F81BD" w:themeColor="accent1"/>
      <w:sz w:val="22"/>
      <w:szCs w:val="22"/>
      <w:lang w:val="en-GB"/>
    </w:rPr>
  </w:style>
  <w:style w:type="character" w:styleId="IntenseReference">
    <w:name w:val="Intense Reference"/>
    <w:basedOn w:val="DefaultParagraphFont"/>
    <w:uiPriority w:val="32"/>
    <w:qFormat/>
    <w:rsid w:val="00A111D1"/>
    <w:rPr>
      <w:b/>
      <w:bCs/>
      <w:smallCaps/>
      <w:color w:val="4F81BD" w:themeColor="accent1"/>
      <w:spacing w:val="5"/>
      <w:lang w:val="en-GB"/>
    </w:rPr>
  </w:style>
  <w:style w:type="table" w:styleId="LightGrid">
    <w:name w:val="Light Grid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LightList">
    <w:name w:val="Light List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semiHidden/>
    <w:unhideWhenUsed/>
    <w:rsid w:val="00A111D1"/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Shading">
    <w:name w:val="Light Shading"/>
    <w:basedOn w:val="TableNormal"/>
    <w:uiPriority w:val="60"/>
    <w:semiHidden/>
    <w:unhideWhenUsed/>
    <w:rsid w:val="00A111D1"/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semiHidden/>
    <w:unhideWhenUsed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semiHidden/>
    <w:unhideWhenUsed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semiHidden/>
    <w:unhideWhenUsed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semiHidden/>
    <w:unhideWhenUsed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semiHidden/>
    <w:unhideWhenUsed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semiHidden/>
    <w:unhideWhenUsed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character" w:styleId="LineNumber">
    <w:name w:val="line number"/>
    <w:basedOn w:val="DefaultParagraphFont"/>
    <w:uiPriority w:val="99"/>
    <w:semiHidden/>
    <w:unhideWhenUsed/>
    <w:rsid w:val="00A111D1"/>
    <w:rPr>
      <w:lang w:val="en-GB"/>
    </w:rPr>
  </w:style>
  <w:style w:type="paragraph" w:styleId="List2">
    <w:name w:val="List 2"/>
    <w:basedOn w:val="Normal"/>
    <w:uiPriority w:val="99"/>
    <w:semiHidden/>
    <w:unhideWhenUsed/>
    <w:rsid w:val="00A111D1"/>
    <w:pPr>
      <w:ind w:left="566" w:hanging="283"/>
      <w:contextualSpacing/>
    </w:pPr>
  </w:style>
  <w:style w:type="paragraph" w:styleId="List3">
    <w:name w:val="List 3"/>
    <w:basedOn w:val="Normal"/>
    <w:uiPriority w:val="99"/>
    <w:semiHidden/>
    <w:unhideWhenUsed/>
    <w:rsid w:val="00A111D1"/>
    <w:pPr>
      <w:ind w:left="849" w:hanging="283"/>
      <w:contextualSpacing/>
    </w:pPr>
  </w:style>
  <w:style w:type="paragraph" w:styleId="List4">
    <w:name w:val="List 4"/>
    <w:basedOn w:val="Normal"/>
    <w:uiPriority w:val="99"/>
    <w:semiHidden/>
    <w:unhideWhenUsed/>
    <w:rsid w:val="00A111D1"/>
    <w:pPr>
      <w:ind w:left="1132" w:hanging="283"/>
      <w:contextualSpacing/>
    </w:pPr>
  </w:style>
  <w:style w:type="paragraph" w:styleId="List5">
    <w:name w:val="List 5"/>
    <w:basedOn w:val="Normal"/>
    <w:uiPriority w:val="99"/>
    <w:semiHidden/>
    <w:unhideWhenUsed/>
    <w:rsid w:val="00A111D1"/>
    <w:pPr>
      <w:ind w:left="1415" w:hanging="283"/>
      <w:contextualSpacing/>
    </w:pPr>
  </w:style>
  <w:style w:type="paragraph" w:styleId="ListBullet">
    <w:name w:val="List Bullet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Bullet2">
    <w:name w:val="List Bullet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Bullet3">
    <w:name w:val="List Bullet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Bullet4">
    <w:name w:val="List Bullet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Bullet5">
    <w:name w:val="List Bullet 5"/>
    <w:basedOn w:val="Normal"/>
    <w:uiPriority w:val="99"/>
    <w:semiHidden/>
    <w:unhideWhenUsed/>
    <w:rsid w:val="00A111D1"/>
    <w:pPr>
      <w:tabs>
        <w:tab w:val="num" w:pos="1492"/>
      </w:tabs>
      <w:ind w:left="1492" w:hanging="360"/>
      <w:contextualSpacing/>
    </w:pPr>
  </w:style>
  <w:style w:type="paragraph" w:styleId="ListContinue">
    <w:name w:val="List Continue"/>
    <w:basedOn w:val="Normal"/>
    <w:uiPriority w:val="99"/>
    <w:semiHidden/>
    <w:unhideWhenUsed/>
    <w:rsid w:val="00A111D1"/>
    <w:pPr>
      <w:spacing w:after="120"/>
      <w:ind w:left="283"/>
      <w:contextualSpacing/>
    </w:pPr>
  </w:style>
  <w:style w:type="paragraph" w:styleId="ListContinue2">
    <w:name w:val="List Continue 2"/>
    <w:basedOn w:val="Normal"/>
    <w:uiPriority w:val="99"/>
    <w:semiHidden/>
    <w:unhideWhenUsed/>
    <w:rsid w:val="00A111D1"/>
    <w:pPr>
      <w:spacing w:after="120"/>
      <w:ind w:left="566"/>
      <w:contextualSpacing/>
    </w:pPr>
  </w:style>
  <w:style w:type="paragraph" w:styleId="ListContinue3">
    <w:name w:val="List Continue 3"/>
    <w:basedOn w:val="Normal"/>
    <w:uiPriority w:val="99"/>
    <w:semiHidden/>
    <w:unhideWhenUsed/>
    <w:rsid w:val="00A111D1"/>
    <w:pPr>
      <w:spacing w:after="120"/>
      <w:ind w:left="849"/>
      <w:contextualSpacing/>
    </w:pPr>
  </w:style>
  <w:style w:type="paragraph" w:styleId="ListContinue4">
    <w:name w:val="List Continue 4"/>
    <w:basedOn w:val="Normal"/>
    <w:uiPriority w:val="99"/>
    <w:semiHidden/>
    <w:unhideWhenUsed/>
    <w:rsid w:val="00A111D1"/>
    <w:pPr>
      <w:spacing w:after="120"/>
      <w:ind w:left="1132"/>
      <w:contextualSpacing/>
    </w:pPr>
  </w:style>
  <w:style w:type="paragraph" w:styleId="ListContinue5">
    <w:name w:val="List Continue 5"/>
    <w:basedOn w:val="Normal"/>
    <w:uiPriority w:val="99"/>
    <w:semiHidden/>
    <w:unhideWhenUsed/>
    <w:rsid w:val="00A111D1"/>
    <w:pPr>
      <w:spacing w:after="120"/>
      <w:ind w:left="1415"/>
      <w:contextualSpacing/>
    </w:pPr>
  </w:style>
  <w:style w:type="paragraph" w:styleId="ListNumber">
    <w:name w:val="List Number"/>
    <w:basedOn w:val="Normal"/>
    <w:uiPriority w:val="99"/>
    <w:semiHidden/>
    <w:unhideWhenUsed/>
    <w:rsid w:val="00A111D1"/>
    <w:pPr>
      <w:tabs>
        <w:tab w:val="num" w:pos="360"/>
      </w:tabs>
      <w:ind w:left="360" w:hanging="360"/>
      <w:contextualSpacing/>
    </w:pPr>
  </w:style>
  <w:style w:type="paragraph" w:styleId="ListNumber2">
    <w:name w:val="List Number 2"/>
    <w:basedOn w:val="Normal"/>
    <w:uiPriority w:val="99"/>
    <w:semiHidden/>
    <w:unhideWhenUsed/>
    <w:rsid w:val="00A111D1"/>
    <w:pPr>
      <w:tabs>
        <w:tab w:val="num" w:pos="643"/>
      </w:tabs>
      <w:ind w:left="643" w:hanging="360"/>
      <w:contextualSpacing/>
    </w:pPr>
  </w:style>
  <w:style w:type="paragraph" w:styleId="ListNumber3">
    <w:name w:val="List Number 3"/>
    <w:basedOn w:val="Normal"/>
    <w:uiPriority w:val="99"/>
    <w:semiHidden/>
    <w:unhideWhenUsed/>
    <w:rsid w:val="00A111D1"/>
    <w:pPr>
      <w:tabs>
        <w:tab w:val="num" w:pos="926"/>
      </w:tabs>
      <w:ind w:left="926" w:hanging="360"/>
      <w:contextualSpacing/>
    </w:pPr>
  </w:style>
  <w:style w:type="paragraph" w:styleId="ListNumber4">
    <w:name w:val="List Number 4"/>
    <w:basedOn w:val="Normal"/>
    <w:uiPriority w:val="99"/>
    <w:semiHidden/>
    <w:unhideWhenUsed/>
    <w:rsid w:val="00A111D1"/>
    <w:pPr>
      <w:tabs>
        <w:tab w:val="num" w:pos="1209"/>
      </w:tabs>
      <w:ind w:left="1209" w:hanging="360"/>
      <w:contextualSpacing/>
    </w:pPr>
  </w:style>
  <w:style w:type="paragraph" w:styleId="ListNumber5">
    <w:name w:val="List Number 5"/>
    <w:basedOn w:val="Normal"/>
    <w:uiPriority w:val="99"/>
    <w:semiHidden/>
    <w:unhideWhenUsed/>
    <w:rsid w:val="00A111D1"/>
    <w:pPr>
      <w:tabs>
        <w:tab w:val="num" w:pos="1800"/>
      </w:tabs>
      <w:ind w:left="1800" w:hanging="360"/>
      <w:contextualSpacing/>
    </w:pPr>
  </w:style>
  <w:style w:type="table" w:styleId="ListTable1Light">
    <w:name w:val="List Table 1 Light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1Light-Accent1">
    <w:name w:val="List Table 1 Light Accent 1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1Light-Accent2">
    <w:name w:val="List Table 1 Light Accent 2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D99594" w:themeColor="accent2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1Light-Accent3">
    <w:name w:val="List Table 1 Light Accent 3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C2D69B" w:themeColor="accent3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1Light-Accent4">
    <w:name w:val="List Table 1 Light Accent 4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B2A1C7" w:themeColor="accent4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1Light-Accent5">
    <w:name w:val="List Table 1 Light Accent 5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92CDDC" w:themeColor="accent5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1Light-Accent6">
    <w:name w:val="List Table 1 Light Accent 6"/>
    <w:basedOn w:val="TableNormal"/>
    <w:uiPriority w:val="46"/>
    <w:rsid w:val="00A111D1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FABF8F" w:themeColor="accent6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2">
    <w:name w:val="List Table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666666" w:themeColor="text1" w:themeTint="99"/>
        <w:bottom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2-Accent1">
    <w:name w:val="List Table 2 Accent 1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5B3D7" w:themeColor="accent1" w:themeTint="99"/>
        <w:bottom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2-Accent2">
    <w:name w:val="List Table 2 Accent 2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D99594" w:themeColor="accent2" w:themeTint="99"/>
        <w:bottom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2-Accent3">
    <w:name w:val="List Table 2 Accent 3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C2D69B" w:themeColor="accent3" w:themeTint="99"/>
        <w:bottom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2-Accent4">
    <w:name w:val="List Table 2 Accent 4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B2A1C7" w:themeColor="accent4" w:themeTint="99"/>
        <w:bottom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2-Accent5">
    <w:name w:val="List Table 2 Accent 5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92CDDC" w:themeColor="accent5" w:themeTint="99"/>
        <w:bottom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2-Accent6">
    <w:name w:val="List Table 2 Accent 6"/>
    <w:basedOn w:val="TableNormal"/>
    <w:uiPriority w:val="47"/>
    <w:rsid w:val="00A111D1"/>
    <w:tblPr>
      <w:tblStyleRowBandSize w:val="1"/>
      <w:tblStyleColBandSize w:val="1"/>
      <w:tblBorders>
        <w:top w:val="single" w:sz="4" w:space="0" w:color="FABF8F" w:themeColor="accent6" w:themeTint="99"/>
        <w:bottom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3">
    <w:name w:val="List Table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000000" w:themeColor="text1"/>
          <w:left w:val="nil"/>
        </w:tcBorders>
      </w:tcPr>
    </w:tblStylePr>
    <w:tblStylePr w:type="swCell">
      <w:tblPr/>
      <w:tcPr>
        <w:tcBorders>
          <w:top w:val="double" w:sz="4" w:space="0" w:color="000000" w:themeColor="text1"/>
          <w:right w:val="nil"/>
        </w:tcBorders>
      </w:tcPr>
    </w:tblStylePr>
  </w:style>
  <w:style w:type="table" w:styleId="ListTable3-Accent1">
    <w:name w:val="List Table 3 Accent 1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tblPr/>
      <w:tcPr>
        <w:tcBorders>
          <w:top w:val="single" w:sz="4" w:space="0" w:color="4F81BD" w:themeColor="accent1"/>
          <w:bottom w:val="single" w:sz="4" w:space="0" w:color="4F81BD" w:themeColor="accent1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F81BD" w:themeColor="accent1"/>
          <w:left w:val="nil"/>
        </w:tcBorders>
      </w:tcPr>
    </w:tblStylePr>
    <w:tblStylePr w:type="swCell">
      <w:tblPr/>
      <w:tcPr>
        <w:tcBorders>
          <w:top w:val="double" w:sz="4" w:space="0" w:color="4F81BD" w:themeColor="accent1"/>
          <w:right w:val="nil"/>
        </w:tcBorders>
      </w:tcPr>
    </w:tblStylePr>
  </w:style>
  <w:style w:type="table" w:styleId="ListTable3-Accent2">
    <w:name w:val="List Table 3 Accent 2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C0504D" w:themeColor="accent2"/>
          <w:right w:val="single" w:sz="4" w:space="0" w:color="C0504D" w:themeColor="accent2"/>
        </w:tcBorders>
      </w:tcPr>
    </w:tblStylePr>
    <w:tblStylePr w:type="band1Horz">
      <w:tblPr/>
      <w:tcPr>
        <w:tcBorders>
          <w:top w:val="single" w:sz="4" w:space="0" w:color="C0504D" w:themeColor="accent2"/>
          <w:bottom w:val="single" w:sz="4" w:space="0" w:color="C0504D" w:themeColor="accent2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C0504D" w:themeColor="accent2"/>
          <w:left w:val="nil"/>
        </w:tcBorders>
      </w:tcPr>
    </w:tblStylePr>
    <w:tblStylePr w:type="swCell">
      <w:tblPr/>
      <w:tcPr>
        <w:tcBorders>
          <w:top w:val="double" w:sz="4" w:space="0" w:color="C0504D" w:themeColor="accent2"/>
          <w:right w:val="nil"/>
        </w:tcBorders>
      </w:tcPr>
    </w:tblStylePr>
  </w:style>
  <w:style w:type="table" w:styleId="ListTable3-Accent3">
    <w:name w:val="List Table 3 Accent 3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9BBB59" w:themeColor="accent3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9BBB59" w:themeColor="accent3"/>
          <w:right w:val="single" w:sz="4" w:space="0" w:color="9BBB59" w:themeColor="accent3"/>
        </w:tcBorders>
      </w:tcPr>
    </w:tblStylePr>
    <w:tblStylePr w:type="band1Horz">
      <w:tblPr/>
      <w:tcPr>
        <w:tcBorders>
          <w:top w:val="single" w:sz="4" w:space="0" w:color="9BBB59" w:themeColor="accent3"/>
          <w:bottom w:val="single" w:sz="4" w:space="0" w:color="9BBB59" w:themeColor="accent3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9BBB59" w:themeColor="accent3"/>
          <w:left w:val="nil"/>
        </w:tcBorders>
      </w:tcPr>
    </w:tblStylePr>
    <w:tblStylePr w:type="swCell">
      <w:tblPr/>
      <w:tcPr>
        <w:tcBorders>
          <w:top w:val="double" w:sz="4" w:space="0" w:color="9BBB59" w:themeColor="accent3"/>
          <w:right w:val="nil"/>
        </w:tcBorders>
      </w:tcPr>
    </w:tblStylePr>
  </w:style>
  <w:style w:type="table" w:styleId="ListTable3-Accent4">
    <w:name w:val="List Table 3 Accent 4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8064A2" w:themeColor="accent4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8064A2" w:themeColor="accent4"/>
          <w:right w:val="single" w:sz="4" w:space="0" w:color="8064A2" w:themeColor="accent4"/>
        </w:tcBorders>
      </w:tcPr>
    </w:tblStylePr>
    <w:tblStylePr w:type="band1Horz">
      <w:tblPr/>
      <w:tcPr>
        <w:tcBorders>
          <w:top w:val="single" w:sz="4" w:space="0" w:color="8064A2" w:themeColor="accent4"/>
          <w:bottom w:val="single" w:sz="4" w:space="0" w:color="8064A2" w:themeColor="accent4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8064A2" w:themeColor="accent4"/>
          <w:left w:val="nil"/>
        </w:tcBorders>
      </w:tcPr>
    </w:tblStylePr>
    <w:tblStylePr w:type="swCell">
      <w:tblPr/>
      <w:tcPr>
        <w:tcBorders>
          <w:top w:val="double" w:sz="4" w:space="0" w:color="8064A2" w:themeColor="accent4"/>
          <w:right w:val="nil"/>
        </w:tcBorders>
      </w:tcPr>
    </w:tblStylePr>
  </w:style>
  <w:style w:type="table" w:styleId="ListTable3-Accent5">
    <w:name w:val="List Table 3 Accent 5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4BACC6" w:themeColor="accent5"/>
          <w:right w:val="single" w:sz="4" w:space="0" w:color="4BACC6" w:themeColor="accent5"/>
        </w:tcBorders>
      </w:tcPr>
    </w:tblStylePr>
    <w:tblStylePr w:type="band1Horz">
      <w:tblPr/>
      <w:tcPr>
        <w:tcBorders>
          <w:top w:val="single" w:sz="4" w:space="0" w:color="4BACC6" w:themeColor="accent5"/>
          <w:bottom w:val="single" w:sz="4" w:space="0" w:color="4BACC6" w:themeColor="accent5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4BACC6" w:themeColor="accent5"/>
          <w:left w:val="nil"/>
        </w:tcBorders>
      </w:tcPr>
    </w:tblStylePr>
    <w:tblStylePr w:type="swCell">
      <w:tblPr/>
      <w:tcPr>
        <w:tcBorders>
          <w:top w:val="double" w:sz="4" w:space="0" w:color="4BACC6" w:themeColor="accent5"/>
          <w:right w:val="nil"/>
        </w:tcBorders>
      </w:tcPr>
    </w:tblStylePr>
  </w:style>
  <w:style w:type="table" w:styleId="ListTable3-Accent6">
    <w:name w:val="List Table 3 Accent 6"/>
    <w:basedOn w:val="TableNormal"/>
    <w:uiPriority w:val="48"/>
    <w:rsid w:val="00A111D1"/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</w:tblBorders>
    </w:tblPr>
    <w:tblStylePr w:type="firstRow"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  <w:shd w:val="clear" w:color="auto" w:fill="FFFFFF" w:themeFill="background1"/>
      </w:tcPr>
    </w:tblStylePr>
    <w:tblStylePr w:type="firstCol">
      <w:rPr>
        <w:b/>
        <w:bCs/>
      </w:rPr>
      <w:tblPr/>
      <w:tcPr>
        <w:tcBorders>
          <w:right w:val="nil"/>
        </w:tcBorders>
        <w:shd w:val="clear" w:color="auto" w:fill="FFFFFF" w:themeFill="background1"/>
      </w:tcPr>
    </w:tblStylePr>
    <w:tblStylePr w:type="lastCol">
      <w:rPr>
        <w:b/>
        <w:bCs/>
      </w:rPr>
      <w:tblPr/>
      <w:tcPr>
        <w:tcBorders>
          <w:left w:val="nil"/>
        </w:tcBorders>
        <w:shd w:val="clear" w:color="auto" w:fill="FFFFFF" w:themeFill="background1"/>
      </w:tcPr>
    </w:tblStylePr>
    <w:tblStylePr w:type="band1Vert">
      <w:tblPr/>
      <w:tcPr>
        <w:tcBorders>
          <w:left w:val="single" w:sz="4" w:space="0" w:color="F79646" w:themeColor="accent6"/>
          <w:right w:val="single" w:sz="4" w:space="0" w:color="F79646" w:themeColor="accent6"/>
        </w:tcBorders>
      </w:tcPr>
    </w:tblStylePr>
    <w:tblStylePr w:type="band1Horz">
      <w:tblPr/>
      <w:tcPr>
        <w:tcBorders>
          <w:top w:val="single" w:sz="4" w:space="0" w:color="F79646" w:themeColor="accent6"/>
          <w:bottom w:val="single" w:sz="4" w:space="0" w:color="F79646" w:themeColor="accent6"/>
          <w:insideH w:val="nil"/>
        </w:tcBorders>
      </w:tcPr>
    </w:tblStylePr>
    <w:tblStylePr w:type="neCell">
      <w:tblPr/>
      <w:tcPr>
        <w:tcBorders>
          <w:left w:val="nil"/>
          <w:bottom w:val="nil"/>
        </w:tcBorders>
      </w:tcPr>
    </w:tblStylePr>
    <w:tblStylePr w:type="nwCell">
      <w:tblPr/>
      <w:tcPr>
        <w:tcBorders>
          <w:bottom w:val="nil"/>
          <w:right w:val="nil"/>
        </w:tcBorders>
      </w:tcPr>
    </w:tblStylePr>
    <w:tblStylePr w:type="seCell">
      <w:tblPr/>
      <w:tcPr>
        <w:tcBorders>
          <w:top w:val="double" w:sz="4" w:space="0" w:color="F79646" w:themeColor="accent6"/>
          <w:left w:val="nil"/>
        </w:tcBorders>
      </w:tcPr>
    </w:tblStylePr>
    <w:tblStylePr w:type="swCell">
      <w:tblPr/>
      <w:tcPr>
        <w:tcBorders>
          <w:top w:val="double" w:sz="4" w:space="0" w:color="F79646" w:themeColor="accent6"/>
          <w:right w:val="nil"/>
        </w:tcBorders>
      </w:tcPr>
    </w:tblStylePr>
  </w:style>
  <w:style w:type="table" w:styleId="ListTable4">
    <w:name w:val="List Table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666666" w:themeColor="text1" w:themeTint="99"/>
        <w:left w:val="single" w:sz="4" w:space="0" w:color="666666" w:themeColor="text1" w:themeTint="99"/>
        <w:bottom w:val="single" w:sz="4" w:space="0" w:color="666666" w:themeColor="text1" w:themeTint="99"/>
        <w:right w:val="single" w:sz="4" w:space="0" w:color="666666" w:themeColor="text1" w:themeTint="99"/>
        <w:insideH w:val="single" w:sz="4" w:space="0" w:color="666666" w:themeColor="tex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  <w:insideH w:val="nil"/>
        </w:tcBorders>
        <w:shd w:val="clear" w:color="auto" w:fill="000000" w:themeFill="text1"/>
      </w:tcPr>
    </w:tblStylePr>
    <w:tblStylePr w:type="lastRow">
      <w:rPr>
        <w:b/>
        <w:bCs/>
      </w:rPr>
      <w:tblPr/>
      <w:tcPr>
        <w:tcBorders>
          <w:top w:val="doub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4-Accent1">
    <w:name w:val="List Table 4 Accent 1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5B3D7" w:themeColor="accent1" w:themeTint="99"/>
        <w:left w:val="single" w:sz="4" w:space="0" w:color="95B3D7" w:themeColor="accent1" w:themeTint="99"/>
        <w:bottom w:val="single" w:sz="4" w:space="0" w:color="95B3D7" w:themeColor="accent1" w:themeTint="99"/>
        <w:right w:val="single" w:sz="4" w:space="0" w:color="95B3D7" w:themeColor="accent1" w:themeTint="99"/>
        <w:insideH w:val="single" w:sz="4" w:space="0" w:color="95B3D7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F81BD" w:themeColor="accent1"/>
          <w:left w:val="single" w:sz="4" w:space="0" w:color="4F81BD" w:themeColor="accent1"/>
          <w:bottom w:val="single" w:sz="4" w:space="0" w:color="4F81BD" w:themeColor="accent1"/>
          <w:right w:val="single" w:sz="4" w:space="0" w:color="4F81BD" w:themeColor="accent1"/>
          <w:insideH w:val="nil"/>
        </w:tcBorders>
        <w:shd w:val="clear" w:color="auto" w:fill="4F81BD" w:themeFill="accent1"/>
      </w:tcPr>
    </w:tblStylePr>
    <w:tblStylePr w:type="lastRow">
      <w:rPr>
        <w:b/>
        <w:bCs/>
      </w:rPr>
      <w:tblPr/>
      <w:tcPr>
        <w:tcBorders>
          <w:top w:val="double" w:sz="4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4-Accent2">
    <w:name w:val="List Table 4 Accent 2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D99594" w:themeColor="accent2" w:themeTint="99"/>
        <w:left w:val="single" w:sz="4" w:space="0" w:color="D99594" w:themeColor="accent2" w:themeTint="99"/>
        <w:bottom w:val="single" w:sz="4" w:space="0" w:color="D99594" w:themeColor="accent2" w:themeTint="99"/>
        <w:right w:val="single" w:sz="4" w:space="0" w:color="D99594" w:themeColor="accent2" w:themeTint="99"/>
        <w:insideH w:val="single" w:sz="4" w:space="0" w:color="D99594" w:themeColor="accent2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C0504D" w:themeColor="accent2"/>
          <w:left w:val="single" w:sz="4" w:space="0" w:color="C0504D" w:themeColor="accent2"/>
          <w:bottom w:val="single" w:sz="4" w:space="0" w:color="C0504D" w:themeColor="accent2"/>
          <w:right w:val="single" w:sz="4" w:space="0" w:color="C0504D" w:themeColor="accent2"/>
          <w:insideH w:val="nil"/>
        </w:tcBorders>
        <w:shd w:val="clear" w:color="auto" w:fill="C0504D" w:themeFill="accent2"/>
      </w:tcPr>
    </w:tblStylePr>
    <w:tblStylePr w:type="lastRow">
      <w:rPr>
        <w:b/>
        <w:bCs/>
      </w:rPr>
      <w:tblPr/>
      <w:tcPr>
        <w:tcBorders>
          <w:top w:val="double" w:sz="4" w:space="0" w:color="D99594" w:themeColor="accent2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4-Accent3">
    <w:name w:val="List Table 4 Accent 3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C2D69B" w:themeColor="accent3" w:themeTint="99"/>
        <w:left w:val="single" w:sz="4" w:space="0" w:color="C2D69B" w:themeColor="accent3" w:themeTint="99"/>
        <w:bottom w:val="single" w:sz="4" w:space="0" w:color="C2D69B" w:themeColor="accent3" w:themeTint="99"/>
        <w:right w:val="single" w:sz="4" w:space="0" w:color="C2D69B" w:themeColor="accent3" w:themeTint="99"/>
        <w:insideH w:val="single" w:sz="4" w:space="0" w:color="C2D69B" w:themeColor="accent3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9BBB59" w:themeColor="accent3"/>
          <w:left w:val="single" w:sz="4" w:space="0" w:color="9BBB59" w:themeColor="accent3"/>
          <w:bottom w:val="single" w:sz="4" w:space="0" w:color="9BBB59" w:themeColor="accent3"/>
          <w:right w:val="single" w:sz="4" w:space="0" w:color="9BBB59" w:themeColor="accent3"/>
          <w:insideH w:val="nil"/>
        </w:tcBorders>
        <w:shd w:val="clear" w:color="auto" w:fill="9BBB59" w:themeFill="accent3"/>
      </w:tcPr>
    </w:tblStylePr>
    <w:tblStylePr w:type="lastRow">
      <w:rPr>
        <w:b/>
        <w:bCs/>
      </w:rPr>
      <w:tblPr/>
      <w:tcPr>
        <w:tcBorders>
          <w:top w:val="double" w:sz="4" w:space="0" w:color="C2D69B" w:themeColor="accent3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4-Accent4">
    <w:name w:val="List Table 4 Accent 4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B2A1C7" w:themeColor="accent4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4-Accent5">
    <w:name w:val="List Table 4 Accent 5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92CDDC" w:themeColor="accent5" w:themeTint="99"/>
        <w:left w:val="single" w:sz="4" w:space="0" w:color="92CDDC" w:themeColor="accent5" w:themeTint="99"/>
        <w:bottom w:val="single" w:sz="4" w:space="0" w:color="92CDDC" w:themeColor="accent5" w:themeTint="99"/>
        <w:right w:val="single" w:sz="4" w:space="0" w:color="92CDDC" w:themeColor="accent5" w:themeTint="99"/>
        <w:insideH w:val="single" w:sz="4" w:space="0" w:color="92CDDC" w:themeColor="accent5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  <w:insideH w:val="nil"/>
        </w:tcBorders>
        <w:shd w:val="clear" w:color="auto" w:fill="4BACC6" w:themeFill="accent5"/>
      </w:tcPr>
    </w:tblStylePr>
    <w:tblStylePr w:type="lastRow">
      <w:rPr>
        <w:b/>
        <w:bCs/>
      </w:rPr>
      <w:tblPr/>
      <w:tcPr>
        <w:tcBorders>
          <w:top w:val="double" w:sz="4" w:space="0" w:color="92CDDC" w:themeColor="accent5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4-Accent6">
    <w:name w:val="List Table 4 Accent 6"/>
    <w:basedOn w:val="TableNormal"/>
    <w:uiPriority w:val="49"/>
    <w:rsid w:val="00A111D1"/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ABF8F" w:themeColor="accent6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5Dark">
    <w:name w:val="List Table 5 Dark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000000" w:themeColor="text1"/>
        <w:left w:val="single" w:sz="24" w:space="0" w:color="000000" w:themeColor="text1"/>
        <w:bottom w:val="single" w:sz="24" w:space="0" w:color="000000" w:themeColor="text1"/>
        <w:right w:val="single" w:sz="24" w:space="0" w:color="000000" w:themeColor="text1"/>
      </w:tblBorders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1">
    <w:name w:val="List Table 5 Dark Accent 1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tblBorders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2">
    <w:name w:val="List Table 5 Dark Accent 2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C0504D" w:themeColor="accent2"/>
        <w:left w:val="single" w:sz="24" w:space="0" w:color="C0504D" w:themeColor="accent2"/>
        <w:bottom w:val="single" w:sz="24" w:space="0" w:color="C0504D" w:themeColor="accent2"/>
        <w:right w:val="single" w:sz="24" w:space="0" w:color="C0504D" w:themeColor="accent2"/>
      </w:tblBorders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3">
    <w:name w:val="List Table 5 Dark Accent 3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9BBB59" w:themeColor="accent3"/>
        <w:left w:val="single" w:sz="24" w:space="0" w:color="9BBB59" w:themeColor="accent3"/>
        <w:bottom w:val="single" w:sz="24" w:space="0" w:color="9BBB59" w:themeColor="accent3"/>
        <w:right w:val="single" w:sz="24" w:space="0" w:color="9BBB59" w:themeColor="accent3"/>
      </w:tblBorders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4">
    <w:name w:val="List Table 5 Dark Accent 4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8064A2" w:themeColor="accent4"/>
        <w:left w:val="single" w:sz="24" w:space="0" w:color="8064A2" w:themeColor="accent4"/>
        <w:bottom w:val="single" w:sz="24" w:space="0" w:color="8064A2" w:themeColor="accent4"/>
        <w:right w:val="single" w:sz="24" w:space="0" w:color="8064A2" w:themeColor="accent4"/>
      </w:tblBorders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5">
    <w:name w:val="List Table 5 Dark Accent 5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4BACC6" w:themeColor="accent5"/>
        <w:left w:val="single" w:sz="24" w:space="0" w:color="4BACC6" w:themeColor="accent5"/>
        <w:bottom w:val="single" w:sz="24" w:space="0" w:color="4BACC6" w:themeColor="accent5"/>
        <w:right w:val="single" w:sz="24" w:space="0" w:color="4BACC6" w:themeColor="accent5"/>
      </w:tblBorders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5Dark-Accent6">
    <w:name w:val="List Table 5 Dark Accent 6"/>
    <w:basedOn w:val="TableNormal"/>
    <w:uiPriority w:val="50"/>
    <w:rsid w:val="00A111D1"/>
    <w:rPr>
      <w:color w:val="FFFFFF" w:themeColor="background1"/>
    </w:rPr>
    <w:tblPr>
      <w:tblStyleRowBandSize w:val="1"/>
      <w:tblStyleColBandSize w:val="1"/>
      <w:tblBorders>
        <w:top w:val="single" w:sz="24" w:space="0" w:color="F79646" w:themeColor="accent6"/>
        <w:left w:val="single" w:sz="24" w:space="0" w:color="F79646" w:themeColor="accent6"/>
        <w:bottom w:val="single" w:sz="24" w:space="0" w:color="F79646" w:themeColor="accent6"/>
        <w:right w:val="single" w:sz="24" w:space="0" w:color="F79646" w:themeColor="accent6"/>
      </w:tblBorders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bottom w:val="single" w:sz="18" w:space="0" w:color="FFFFFF" w:themeColor="background1"/>
        </w:tcBorders>
      </w:tcPr>
    </w:tblStylePr>
    <w:tblStylePr w:type="lastRow">
      <w:rPr>
        <w:b/>
        <w:bCs/>
      </w:rPr>
      <w:tblPr/>
      <w:tcPr>
        <w:tcBorders>
          <w:top w:val="single" w:sz="4" w:space="0" w:color="FFFFFF" w:themeColor="background1"/>
        </w:tcBorders>
      </w:tcPr>
    </w:tblStylePr>
    <w:tblStylePr w:type="firstCol">
      <w:rPr>
        <w:b/>
        <w:bCs/>
      </w:rPr>
      <w:tblPr/>
      <w:tcPr>
        <w:tcBorders>
          <w:right w:val="single" w:sz="4" w:space="0" w:color="FFFFFF" w:themeColor="background1"/>
        </w:tcBorders>
      </w:tcPr>
    </w:tblStylePr>
    <w:tblStylePr w:type="lastCol">
      <w:rPr>
        <w:b/>
        <w:bCs/>
      </w:rPr>
      <w:tblPr/>
      <w:tcPr>
        <w:tcBorders>
          <w:left w:val="single" w:sz="4" w:space="0" w:color="FFFFFF" w:themeColor="background1"/>
        </w:tcBorders>
      </w:tcPr>
    </w:tblStylePr>
    <w:tblStylePr w:type="band1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2Vert">
      <w:tblPr/>
      <w:tcPr>
        <w:tcBorders>
          <w:left w:val="single" w:sz="4" w:space="0" w:color="FFFFFF" w:themeColor="background1"/>
          <w:right w:val="single" w:sz="4" w:space="0" w:color="FFFFFF" w:themeColor="background1"/>
        </w:tcBorders>
      </w:tcPr>
    </w:tblStylePr>
    <w:tblStylePr w:type="band1Horz">
      <w:tblPr/>
      <w:tcPr>
        <w:tcBorders>
          <w:top w:val="single" w:sz="4" w:space="0" w:color="FFFFFF" w:themeColor="background1"/>
          <w:bottom w:val="single" w:sz="4" w:space="0" w:color="FFFFFF" w:themeColor="background1"/>
        </w:tcBorders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top w:val="nil"/>
          <w:left w:val="nil"/>
        </w:tcBorders>
      </w:tcPr>
    </w:tblStylePr>
    <w:tblStylePr w:type="swCell">
      <w:tblPr/>
      <w:tcPr>
        <w:tcBorders>
          <w:top w:val="nil"/>
          <w:right w:val="nil"/>
        </w:tcBorders>
      </w:tcPr>
    </w:tblStylePr>
  </w:style>
  <w:style w:type="table" w:styleId="ListTable6Colorful">
    <w:name w:val="List Table 6 Colorful"/>
    <w:basedOn w:val="TableNormal"/>
    <w:uiPriority w:val="51"/>
    <w:rsid w:val="00A111D1"/>
    <w:rPr>
      <w:color w:val="000000" w:themeColor="text1"/>
    </w:rPr>
    <w:tblPr>
      <w:tblStyleRowBandSize w:val="1"/>
      <w:tblStyleColBandSize w:val="1"/>
      <w:tblBorders>
        <w:top w:val="single" w:sz="4" w:space="0" w:color="000000" w:themeColor="text1"/>
        <w:bottom w:val="single" w:sz="4" w:space="0" w:color="000000" w:themeColor="text1"/>
      </w:tblBorders>
    </w:tblPr>
    <w:tblStylePr w:type="firstRow">
      <w:rPr>
        <w:b/>
        <w:bCs/>
      </w:rPr>
      <w:tblPr/>
      <w:tcPr>
        <w:tcBorders>
          <w:bottom w:val="single" w:sz="4" w:space="0" w:color="000000" w:themeColor="text1"/>
        </w:tcBorders>
      </w:tcPr>
    </w:tblStylePr>
    <w:tblStylePr w:type="lastRow">
      <w:rPr>
        <w:b/>
        <w:bCs/>
      </w:rPr>
      <w:tblPr/>
      <w:tcPr>
        <w:tcBorders>
          <w:top w:val="double" w:sz="4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ListTable6Colorful-Accent1">
    <w:name w:val="List Table 6 Colorful Accent 1"/>
    <w:basedOn w:val="TableNormal"/>
    <w:uiPriority w:val="51"/>
    <w:rsid w:val="00A111D1"/>
    <w:rPr>
      <w:color w:val="365F91" w:themeColor="accent1" w:themeShade="BF"/>
    </w:r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bCs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bCs/>
      </w:rPr>
      <w:tblPr/>
      <w:tcPr>
        <w:tcBorders>
          <w:top w:val="double" w:sz="4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ListTable6Colorful-Accent2">
    <w:name w:val="List Table 6 Colorful Accent 2"/>
    <w:basedOn w:val="TableNormal"/>
    <w:uiPriority w:val="51"/>
    <w:rsid w:val="00A111D1"/>
    <w:rPr>
      <w:color w:val="943634" w:themeColor="accent2" w:themeShade="BF"/>
    </w:rPr>
    <w:tblPr>
      <w:tblStyleRowBandSize w:val="1"/>
      <w:tblStyleColBandSize w:val="1"/>
      <w:tblBorders>
        <w:top w:val="single" w:sz="4" w:space="0" w:color="C0504D" w:themeColor="accent2"/>
        <w:bottom w:val="single" w:sz="4" w:space="0" w:color="C0504D" w:themeColor="accent2"/>
      </w:tblBorders>
    </w:tblPr>
    <w:tblStylePr w:type="firstRow">
      <w:rPr>
        <w:b/>
        <w:bCs/>
      </w:rPr>
      <w:tblPr/>
      <w:tcPr>
        <w:tcBorders>
          <w:bottom w:val="single" w:sz="4" w:space="0" w:color="C0504D" w:themeColor="accent2"/>
        </w:tcBorders>
      </w:tcPr>
    </w:tblStylePr>
    <w:tblStylePr w:type="lastRow">
      <w:rPr>
        <w:b/>
        <w:bCs/>
      </w:rPr>
      <w:tblPr/>
      <w:tcPr>
        <w:tcBorders>
          <w:top w:val="double" w:sz="4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ListTable6Colorful-Accent3">
    <w:name w:val="List Table 6 Colorful Accent 3"/>
    <w:basedOn w:val="TableNormal"/>
    <w:uiPriority w:val="51"/>
    <w:rsid w:val="00A111D1"/>
    <w:rPr>
      <w:color w:val="76923C" w:themeColor="accent3" w:themeShade="BF"/>
    </w:rPr>
    <w:tblPr>
      <w:tblStyleRowBandSize w:val="1"/>
      <w:tblStyleColBandSize w:val="1"/>
      <w:tblBorders>
        <w:top w:val="single" w:sz="4" w:space="0" w:color="9BBB59" w:themeColor="accent3"/>
        <w:bottom w:val="single" w:sz="4" w:space="0" w:color="9BBB59" w:themeColor="accent3"/>
      </w:tblBorders>
    </w:tblPr>
    <w:tblStylePr w:type="firstRow">
      <w:rPr>
        <w:b/>
        <w:bCs/>
      </w:rPr>
      <w:tblPr/>
      <w:tcPr>
        <w:tcBorders>
          <w:bottom w:val="single" w:sz="4" w:space="0" w:color="9BBB59" w:themeColor="accent3"/>
        </w:tcBorders>
      </w:tcPr>
    </w:tblStylePr>
    <w:tblStylePr w:type="lastRow">
      <w:rPr>
        <w:b/>
        <w:bCs/>
      </w:rPr>
      <w:tblPr/>
      <w:tcPr>
        <w:tcBorders>
          <w:top w:val="double" w:sz="4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ListTable6Colorful-Accent4">
    <w:name w:val="List Table 6 Colorful Accent 4"/>
    <w:basedOn w:val="TableNormal"/>
    <w:uiPriority w:val="51"/>
    <w:rsid w:val="00A111D1"/>
    <w:rPr>
      <w:color w:val="5F497A" w:themeColor="accent4" w:themeShade="BF"/>
    </w:rPr>
    <w:tblPr>
      <w:tblStyleRowBandSize w:val="1"/>
      <w:tblStyleColBandSize w:val="1"/>
      <w:tblBorders>
        <w:top w:val="single" w:sz="4" w:space="0" w:color="8064A2" w:themeColor="accent4"/>
        <w:bottom w:val="single" w:sz="4" w:space="0" w:color="8064A2" w:themeColor="accent4"/>
      </w:tblBorders>
    </w:tblPr>
    <w:tblStylePr w:type="firstRow">
      <w:rPr>
        <w:b/>
        <w:bCs/>
      </w:rPr>
      <w:tblPr/>
      <w:tcPr>
        <w:tcBorders>
          <w:bottom w:val="single" w:sz="4" w:space="0" w:color="8064A2" w:themeColor="accent4"/>
        </w:tcBorders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ListTable6Colorful-Accent5">
    <w:name w:val="List Table 6 Colorful Accent 5"/>
    <w:basedOn w:val="TableNormal"/>
    <w:uiPriority w:val="51"/>
    <w:rsid w:val="00A111D1"/>
    <w:rPr>
      <w:color w:val="31849B" w:themeColor="accent5" w:themeShade="BF"/>
    </w:rPr>
    <w:tblPr>
      <w:tblStyleRowBandSize w:val="1"/>
      <w:tblStyleColBandSize w:val="1"/>
      <w:tblBorders>
        <w:top w:val="single" w:sz="4" w:space="0" w:color="4BACC6" w:themeColor="accent5"/>
        <w:bottom w:val="single" w:sz="4" w:space="0" w:color="4BACC6" w:themeColor="accent5"/>
      </w:tblBorders>
    </w:tblPr>
    <w:tblStylePr w:type="firstRow">
      <w:rPr>
        <w:b/>
        <w:bCs/>
      </w:rPr>
      <w:tblPr/>
      <w:tcPr>
        <w:tcBorders>
          <w:bottom w:val="single" w:sz="4" w:space="0" w:color="4BACC6" w:themeColor="accent5"/>
        </w:tcBorders>
      </w:tcPr>
    </w:tblStylePr>
    <w:tblStylePr w:type="lastRow">
      <w:rPr>
        <w:b/>
        <w:bCs/>
      </w:rPr>
      <w:tblPr/>
      <w:tcPr>
        <w:tcBorders>
          <w:top w:val="double" w:sz="4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ListTable6Colorful-Accent6">
    <w:name w:val="List Table 6 Colorful Accent 6"/>
    <w:basedOn w:val="TableNormal"/>
    <w:uiPriority w:val="51"/>
    <w:rsid w:val="00A111D1"/>
    <w:rPr>
      <w:color w:val="E36C0A" w:themeColor="accent6" w:themeShade="BF"/>
    </w:rPr>
    <w:tblPr>
      <w:tblStyleRowBandSize w:val="1"/>
      <w:tblStyleColBandSize w:val="1"/>
      <w:tblBorders>
        <w:top w:val="single" w:sz="4" w:space="0" w:color="F79646" w:themeColor="accent6"/>
        <w:bottom w:val="single" w:sz="4" w:space="0" w:color="F79646" w:themeColor="accent6"/>
      </w:tblBorders>
    </w:tblPr>
    <w:tblStylePr w:type="firstRow">
      <w:rPr>
        <w:b/>
        <w:bCs/>
      </w:rPr>
      <w:tblPr/>
      <w:tcPr>
        <w:tcBorders>
          <w:bottom w:val="single" w:sz="4" w:space="0" w:color="F79646" w:themeColor="accent6"/>
        </w:tcBorders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ListTable7Colorful">
    <w:name w:val="List Table 7 Colorful"/>
    <w:basedOn w:val="TableNormal"/>
    <w:uiPriority w:val="52"/>
    <w:rsid w:val="00A111D1"/>
    <w:rPr>
      <w:color w:val="000000" w:themeColor="text1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000000" w:themeColor="tex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000000" w:themeColor="tex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000000" w:themeColor="tex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000000" w:themeColor="text1"/>
        </w:tcBorders>
        <w:shd w:val="clear" w:color="auto" w:fill="FFFFFF" w:themeFill="background1"/>
      </w:tc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1">
    <w:name w:val="List Table 7 Colorful Accent 1"/>
    <w:basedOn w:val="TableNormal"/>
    <w:uiPriority w:val="52"/>
    <w:rsid w:val="00A111D1"/>
    <w:rPr>
      <w:color w:val="365F91" w:themeColor="accent1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F81BD" w:themeColor="accent1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F81BD" w:themeColor="accent1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F81BD" w:themeColor="accent1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F81BD" w:themeColor="accent1"/>
        </w:tcBorders>
        <w:shd w:val="clear" w:color="auto" w:fill="FFFFFF" w:themeFill="background1"/>
      </w:tcPr>
    </w:tblStylePr>
    <w:tblStylePr w:type="band1Vert">
      <w:tblPr/>
      <w:tcPr>
        <w:shd w:val="clear" w:color="auto" w:fill="DBE5F1" w:themeFill="accent1" w:themeFillTint="33"/>
      </w:tcPr>
    </w:tblStylePr>
    <w:tblStylePr w:type="band1Horz">
      <w:tblPr/>
      <w:tcPr>
        <w:shd w:val="clear" w:color="auto" w:fill="DBE5F1" w:themeFill="accent1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2">
    <w:name w:val="List Table 7 Colorful Accent 2"/>
    <w:basedOn w:val="TableNormal"/>
    <w:uiPriority w:val="52"/>
    <w:rsid w:val="00A111D1"/>
    <w:rPr>
      <w:color w:val="943634" w:themeColor="accent2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C0504D" w:themeColor="accent2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C0504D" w:themeColor="accent2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C0504D" w:themeColor="accent2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C0504D" w:themeColor="accent2"/>
        </w:tcBorders>
        <w:shd w:val="clear" w:color="auto" w:fill="FFFFFF" w:themeFill="background1"/>
      </w:tcPr>
    </w:tblStylePr>
    <w:tblStylePr w:type="band1Vert">
      <w:tblPr/>
      <w:tcPr>
        <w:shd w:val="clear" w:color="auto" w:fill="F2DBDB" w:themeFill="accent2" w:themeFillTint="33"/>
      </w:tcPr>
    </w:tblStylePr>
    <w:tblStylePr w:type="band1Horz">
      <w:tblPr/>
      <w:tcPr>
        <w:shd w:val="clear" w:color="auto" w:fill="F2DBDB" w:themeFill="accent2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3">
    <w:name w:val="List Table 7 Colorful Accent 3"/>
    <w:basedOn w:val="TableNormal"/>
    <w:uiPriority w:val="52"/>
    <w:rsid w:val="00A111D1"/>
    <w:rPr>
      <w:color w:val="76923C" w:themeColor="accent3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9BBB59" w:themeColor="accent3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9BBB59" w:themeColor="accent3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9BBB59" w:themeColor="accent3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9BBB59" w:themeColor="accent3"/>
        </w:tcBorders>
        <w:shd w:val="clear" w:color="auto" w:fill="FFFFFF" w:themeFill="background1"/>
      </w:tcPr>
    </w:tblStylePr>
    <w:tblStylePr w:type="band1Vert">
      <w:tblPr/>
      <w:tcPr>
        <w:shd w:val="clear" w:color="auto" w:fill="EAF1DD" w:themeFill="accent3" w:themeFillTint="33"/>
      </w:tcPr>
    </w:tblStylePr>
    <w:tblStylePr w:type="band1Horz">
      <w:tblPr/>
      <w:tcPr>
        <w:shd w:val="clear" w:color="auto" w:fill="EAF1DD" w:themeFill="accent3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4">
    <w:name w:val="List Table 7 Colorful Accent 4"/>
    <w:basedOn w:val="TableNormal"/>
    <w:uiPriority w:val="52"/>
    <w:rsid w:val="00A111D1"/>
    <w:rPr>
      <w:color w:val="5F497A" w:themeColor="accent4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8064A2" w:themeColor="accent4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8064A2" w:themeColor="accent4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8064A2" w:themeColor="accent4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8064A2" w:themeColor="accent4"/>
        </w:tcBorders>
        <w:shd w:val="clear" w:color="auto" w:fill="FFFFFF" w:themeFill="background1"/>
      </w:tc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5">
    <w:name w:val="List Table 7 Colorful Accent 5"/>
    <w:basedOn w:val="TableNormal"/>
    <w:uiPriority w:val="52"/>
    <w:rsid w:val="00A111D1"/>
    <w:rPr>
      <w:color w:val="31849B" w:themeColor="accent5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4BACC6" w:themeColor="accent5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4BACC6" w:themeColor="accent5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4BACC6" w:themeColor="accent5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4BACC6" w:themeColor="accent5"/>
        </w:tcBorders>
        <w:shd w:val="clear" w:color="auto" w:fill="FFFFFF" w:themeFill="background1"/>
      </w:tcPr>
    </w:tblStylePr>
    <w:tblStylePr w:type="band1Vert">
      <w:tblPr/>
      <w:tcPr>
        <w:shd w:val="clear" w:color="auto" w:fill="DAEEF3" w:themeFill="accent5" w:themeFillTint="33"/>
      </w:tcPr>
    </w:tblStylePr>
    <w:tblStylePr w:type="band1Horz">
      <w:tblPr/>
      <w:tcPr>
        <w:shd w:val="clear" w:color="auto" w:fill="DAEEF3" w:themeFill="accent5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table" w:styleId="ListTable7Colorful-Accent6">
    <w:name w:val="List Table 7 Colorful Accent 6"/>
    <w:basedOn w:val="TableNormal"/>
    <w:uiPriority w:val="52"/>
    <w:rsid w:val="00A111D1"/>
    <w:rPr>
      <w:color w:val="E36C0A" w:themeColor="accent6" w:themeShade="BF"/>
    </w:rPr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F79646" w:themeColor="accent6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F79646" w:themeColor="accent6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F79646" w:themeColor="accent6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F79646" w:themeColor="accent6"/>
        </w:tcBorders>
        <w:shd w:val="clear" w:color="auto" w:fill="FFFFFF" w:themeFill="background1"/>
      </w:tc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MacroText">
    <w:name w:val="macro"/>
    <w:link w:val="MacroTextChar"/>
    <w:uiPriority w:val="99"/>
    <w:semiHidden/>
    <w:unhideWhenUsed/>
    <w:rsid w:val="00A111D1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  <w:jc w:val="both"/>
    </w:pPr>
    <w:rPr>
      <w:rFonts w:ascii="Consolas" w:eastAsia="SimSun" w:hAnsi="Consolas" w:cs="Times New Roman"/>
      <w:sz w:val="20"/>
      <w:szCs w:val="20"/>
      <w:lang w:val="en-GB"/>
    </w:rPr>
  </w:style>
  <w:style w:type="character" w:customStyle="1" w:styleId="MacroTextChar">
    <w:name w:val="Macro Text Char"/>
    <w:basedOn w:val="DefaultParagraphFont"/>
    <w:link w:val="MacroText"/>
    <w:uiPriority w:val="99"/>
    <w:semiHidden/>
    <w:rsid w:val="00A111D1"/>
    <w:rPr>
      <w:rFonts w:ascii="Consolas" w:eastAsia="SimSun" w:hAnsi="Consolas" w:cs="Times New Roman"/>
      <w:sz w:val="20"/>
      <w:szCs w:val="20"/>
      <w:lang w:val="en-GB"/>
    </w:rPr>
  </w:style>
  <w:style w:type="table" w:styleId="MediumGrid1">
    <w:name w:val="Medium Grid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semiHidden/>
    <w:unhideWhenUsed/>
    <w:rsid w:val="00A111D1"/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MediumList1">
    <w:name w:val="Medium Lis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semiHidden/>
    <w:unhideWhenUsed/>
    <w:rsid w:val="00A111D1"/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semiHidden/>
    <w:unhideWhenUsed/>
    <w:rsid w:val="00A111D1"/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hading1">
    <w:name w:val="Medium Shading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semiHidden/>
    <w:unhideWhenUsed/>
    <w:rsid w:val="00A111D1"/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semiHidden/>
    <w:unhideWhenUsed/>
    <w:rsid w:val="00A111D1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character" w:styleId="Mention">
    <w:name w:val="Mention"/>
    <w:basedOn w:val="DefaultParagraphFont"/>
    <w:uiPriority w:val="99"/>
    <w:semiHidden/>
    <w:unhideWhenUsed/>
    <w:rsid w:val="00A111D1"/>
    <w:rPr>
      <w:color w:val="2B579A"/>
      <w:shd w:val="clear" w:color="auto" w:fill="E1DFDD"/>
      <w:lang w:val="en-GB"/>
    </w:rPr>
  </w:style>
  <w:style w:type="paragraph" w:styleId="MessageHeader">
    <w:name w:val="Message Header"/>
    <w:basedOn w:val="Normal"/>
    <w:link w:val="MessageHeaderChar"/>
    <w:uiPriority w:val="99"/>
    <w:semiHidden/>
    <w:unhideWhenUsed/>
    <w:rsid w:val="00A111D1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MessageHeaderChar">
    <w:name w:val="Message Header Char"/>
    <w:basedOn w:val="DefaultParagraphFont"/>
    <w:link w:val="MessageHeader"/>
    <w:uiPriority w:val="99"/>
    <w:semiHidden/>
    <w:rsid w:val="00A111D1"/>
    <w:rPr>
      <w:rFonts w:asciiTheme="majorHAnsi" w:eastAsiaTheme="majorEastAsia" w:hAnsiTheme="majorHAnsi" w:cstheme="majorBidi"/>
      <w:shd w:val="pct20" w:color="auto" w:fill="auto"/>
      <w:lang w:val="en-GB"/>
    </w:rPr>
  </w:style>
  <w:style w:type="paragraph" w:styleId="NoSpacing">
    <w:name w:val="No Spacing"/>
    <w:uiPriority w:val="1"/>
    <w:qFormat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rFonts w:ascii="Times New Roman" w:eastAsia="SimSun" w:hAnsi="Times New Roman" w:cs="Times New Roman"/>
      <w:sz w:val="22"/>
      <w:szCs w:val="22"/>
      <w:lang w:val="en-GB"/>
    </w:rPr>
  </w:style>
  <w:style w:type="paragraph" w:styleId="NormalWeb">
    <w:name w:val="Normal (Web)"/>
    <w:basedOn w:val="Normal"/>
    <w:uiPriority w:val="99"/>
    <w:semiHidden/>
    <w:unhideWhenUsed/>
    <w:rsid w:val="00A111D1"/>
    <w:rPr>
      <w:sz w:val="24"/>
      <w:szCs w:val="24"/>
    </w:rPr>
  </w:style>
  <w:style w:type="paragraph" w:styleId="NormalIndent">
    <w:name w:val="Normal Indent"/>
    <w:basedOn w:val="Normal"/>
    <w:uiPriority w:val="99"/>
    <w:semiHidden/>
    <w:unhideWhenUsed/>
    <w:rsid w:val="00A111D1"/>
    <w:pPr>
      <w:ind w:left="720"/>
    </w:pPr>
  </w:style>
  <w:style w:type="paragraph" w:styleId="NoteHeading">
    <w:name w:val="Note Heading"/>
    <w:basedOn w:val="Normal"/>
    <w:next w:val="Normal"/>
    <w:link w:val="NoteHeadingChar"/>
    <w:uiPriority w:val="99"/>
    <w:semiHidden/>
    <w:unhideWhenUsed/>
    <w:rsid w:val="00A111D1"/>
  </w:style>
  <w:style w:type="character" w:customStyle="1" w:styleId="NoteHeadingChar">
    <w:name w:val="Note Heading Char"/>
    <w:basedOn w:val="DefaultParagraphFont"/>
    <w:link w:val="NoteHeading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table" w:styleId="PlainTable1">
    <w:name w:val="Plain Table 1"/>
    <w:basedOn w:val="TableNormal"/>
    <w:uiPriority w:val="41"/>
    <w:rsid w:val="00A111D1"/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2">
    <w:name w:val="Plain Table 2"/>
    <w:basedOn w:val="TableNormal"/>
    <w:uiPriority w:val="42"/>
    <w:rsid w:val="00A111D1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PlainTable3">
    <w:name w:val="Plain Table 3"/>
    <w:basedOn w:val="TableNormal"/>
    <w:uiPriority w:val="43"/>
    <w:rsid w:val="00A111D1"/>
    <w:tblPr>
      <w:tblStyleRowBandSize w:val="1"/>
      <w:tblStyleColBandSize w:val="1"/>
    </w:tblPr>
    <w:tblStylePr w:type="firstRow">
      <w:rPr>
        <w:b/>
        <w:bCs/>
        <w:cap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  <w:caps/>
      </w:rPr>
      <w:tblPr/>
      <w:tcPr>
        <w:tcBorders>
          <w:top w:val="nil"/>
        </w:tcBorders>
      </w:tcPr>
    </w:tblStylePr>
    <w:tblStylePr w:type="firstCol">
      <w:rPr>
        <w:b/>
        <w:bCs/>
        <w:caps/>
      </w:rPr>
      <w:tblPr/>
      <w:tcPr>
        <w:tcBorders>
          <w:right w:val="single" w:sz="4" w:space="0" w:color="7F7F7F" w:themeColor="text1" w:themeTint="80"/>
        </w:tcBorders>
      </w:tcPr>
    </w:tblStylePr>
    <w:tblStylePr w:type="lastCol">
      <w:rPr>
        <w:b/>
        <w:bCs/>
        <w:caps/>
      </w:rPr>
      <w:tblPr/>
      <w:tcPr>
        <w:tcBorders>
          <w:left w:val="nil"/>
        </w:tcBorders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</w:style>
  <w:style w:type="table" w:styleId="PlainTable4">
    <w:name w:val="Plain Table 4"/>
    <w:basedOn w:val="TableNormal"/>
    <w:uiPriority w:val="44"/>
    <w:rsid w:val="00A111D1"/>
    <w:tblPr>
      <w:tblStyleRowBandSize w:val="1"/>
      <w:tblStyleColBandSize w:val="1"/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PlainTable5">
    <w:name w:val="Plain Table 5"/>
    <w:basedOn w:val="TableNormal"/>
    <w:uiPriority w:val="45"/>
    <w:rsid w:val="00A111D1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styleId="PlainText">
    <w:name w:val="Plain Text"/>
    <w:basedOn w:val="Normal"/>
    <w:link w:val="PlainTextChar"/>
    <w:uiPriority w:val="99"/>
    <w:semiHidden/>
    <w:unhideWhenUsed/>
    <w:rsid w:val="00A111D1"/>
    <w:rPr>
      <w:rFonts w:ascii="Consolas" w:hAnsi="Consolas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semiHidden/>
    <w:rsid w:val="00A111D1"/>
    <w:rPr>
      <w:rFonts w:ascii="Consolas" w:eastAsia="SimSun" w:hAnsi="Consolas" w:cs="Times New Roman"/>
      <w:sz w:val="21"/>
      <w:szCs w:val="21"/>
      <w:lang w:val="en-GB"/>
    </w:rPr>
  </w:style>
  <w:style w:type="paragraph" w:styleId="Quote">
    <w:name w:val="Quote"/>
    <w:basedOn w:val="Normal"/>
    <w:next w:val="Normal"/>
    <w:link w:val="QuoteChar"/>
    <w:uiPriority w:val="29"/>
    <w:qFormat/>
    <w:rsid w:val="00A111D1"/>
    <w:pPr>
      <w:spacing w:before="200" w:after="160"/>
      <w:ind w:left="864" w:right="864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111D1"/>
    <w:rPr>
      <w:rFonts w:ascii="Times New Roman" w:eastAsia="SimSun" w:hAnsi="Times New Roman" w:cs="Times New Roman"/>
      <w:i/>
      <w:iCs/>
      <w:color w:val="404040" w:themeColor="text1" w:themeTint="BF"/>
      <w:sz w:val="22"/>
      <w:szCs w:val="22"/>
      <w:lang w:val="en-GB"/>
    </w:rPr>
  </w:style>
  <w:style w:type="paragraph" w:styleId="Salutation">
    <w:name w:val="Salutation"/>
    <w:basedOn w:val="Normal"/>
    <w:next w:val="Normal"/>
    <w:link w:val="SalutationChar"/>
    <w:uiPriority w:val="99"/>
    <w:semiHidden/>
    <w:unhideWhenUsed/>
    <w:rsid w:val="00A111D1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paragraph" w:styleId="Signature">
    <w:name w:val="Signature"/>
    <w:basedOn w:val="Normal"/>
    <w:link w:val="SignatureChar"/>
    <w:uiPriority w:val="99"/>
    <w:semiHidden/>
    <w:unhideWhenUsed/>
    <w:rsid w:val="00A111D1"/>
    <w:pPr>
      <w:ind w:left="4252"/>
    </w:pPr>
  </w:style>
  <w:style w:type="character" w:customStyle="1" w:styleId="SignatureChar">
    <w:name w:val="Signature Char"/>
    <w:basedOn w:val="DefaultParagraphFont"/>
    <w:link w:val="Signature"/>
    <w:uiPriority w:val="99"/>
    <w:semiHidden/>
    <w:rsid w:val="00A111D1"/>
    <w:rPr>
      <w:rFonts w:ascii="Times New Roman" w:eastAsia="SimSun" w:hAnsi="Times New Roman" w:cs="Times New Roman"/>
      <w:sz w:val="22"/>
      <w:szCs w:val="22"/>
      <w:lang w:val="en-GB"/>
    </w:rPr>
  </w:style>
  <w:style w:type="character" w:styleId="SmartHyperlink">
    <w:name w:val="Smart Hyperlink"/>
    <w:basedOn w:val="DefaultParagraphFont"/>
    <w:uiPriority w:val="99"/>
    <w:semiHidden/>
    <w:unhideWhenUsed/>
    <w:rsid w:val="00A111D1"/>
    <w:rPr>
      <w:u w:val="dotted"/>
      <w:lang w:val="en-GB"/>
    </w:rPr>
  </w:style>
  <w:style w:type="character" w:styleId="SmartLink">
    <w:name w:val="Smart Link"/>
    <w:basedOn w:val="DefaultParagraphFont"/>
    <w:uiPriority w:val="99"/>
    <w:semiHidden/>
    <w:unhideWhenUsed/>
    <w:rsid w:val="00A111D1"/>
    <w:rPr>
      <w:color w:val="0000FF"/>
      <w:u w:val="single"/>
      <w:shd w:val="clear" w:color="auto" w:fill="F3F2F1"/>
      <w:lang w:val="en-GB"/>
    </w:rPr>
  </w:style>
  <w:style w:type="character" w:styleId="Strong">
    <w:name w:val="Strong"/>
    <w:basedOn w:val="DefaultParagraphFont"/>
    <w:uiPriority w:val="22"/>
    <w:qFormat/>
    <w:rsid w:val="00A111D1"/>
    <w:rPr>
      <w:b/>
      <w:bCs/>
      <w:lang w:val="en-GB"/>
    </w:rPr>
  </w:style>
  <w:style w:type="character" w:styleId="SubtleEmphasis">
    <w:name w:val="Subtle Emphasis"/>
    <w:basedOn w:val="DefaultParagraphFont"/>
    <w:uiPriority w:val="19"/>
    <w:qFormat/>
    <w:rsid w:val="00A111D1"/>
    <w:rPr>
      <w:i/>
      <w:iCs/>
      <w:color w:val="404040" w:themeColor="text1" w:themeTint="BF"/>
      <w:lang w:val="en-GB"/>
    </w:rPr>
  </w:style>
  <w:style w:type="character" w:styleId="SubtleReference">
    <w:name w:val="Subtle Reference"/>
    <w:basedOn w:val="DefaultParagraphFont"/>
    <w:uiPriority w:val="31"/>
    <w:qFormat/>
    <w:rsid w:val="00A111D1"/>
    <w:rPr>
      <w:smallCaps/>
      <w:color w:val="5A5A5A" w:themeColor="text1" w:themeTint="A5"/>
      <w:lang w:val="en-GB"/>
    </w:rPr>
  </w:style>
  <w:style w:type="table" w:styleId="Table3Deffects1">
    <w:name w:val="Table 3D effect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3Deffects2">
    <w:name w:val="Table 3D effect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3Deffects3">
    <w:name w:val="Table 3D effect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1">
    <w:name w:val="Table Classic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2">
    <w:name w:val="Table Classic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3">
    <w:name w:val="Table Classic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lassic4">
    <w:name w:val="Table Classic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1">
    <w:name w:val="Table Colorful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2">
    <w:name w:val="Table Colorful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orful3">
    <w:name w:val="Table Colorful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Columns1">
    <w:name w:val="Table Columns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2">
    <w:name w:val="Table Columns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3">
    <w:name w:val="Table Columns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Columns4">
    <w:name w:val="Table Columns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leColumns5">
    <w:name w:val="Table Columns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leContemporary">
    <w:name w:val="Table Contemporary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leElegant">
    <w:name w:val="Table Elegant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10">
    <w:name w:val="Table Grid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2">
    <w:name w:val="Table Grid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3">
    <w:name w:val="Table Grid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4">
    <w:name w:val="Table Grid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5">
    <w:name w:val="Table Grid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6">
    <w:name w:val="Table Grid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7">
    <w:name w:val="Table Grid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leGrid8">
    <w:name w:val="Table Grid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Light">
    <w:name w:val="Grid Table Light"/>
    <w:basedOn w:val="TableNormal"/>
    <w:uiPriority w:val="40"/>
    <w:rsid w:val="00A111D1"/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table" w:styleId="TableList1">
    <w:name w:val="Table List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2">
    <w:name w:val="Table List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3">
    <w:name w:val="Table List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4">
    <w:name w:val="Table List 4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leList5">
    <w:name w:val="Table List 5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List6">
    <w:name w:val="Table List 6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leList7">
    <w:name w:val="Table List 7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leList8">
    <w:name w:val="Table List 8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TableofAuthorities">
    <w:name w:val="table of authoriti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  <w:ind w:left="220" w:hanging="220"/>
    </w:pPr>
  </w:style>
  <w:style w:type="paragraph" w:styleId="TableofFigures">
    <w:name w:val="table of figures"/>
    <w:basedOn w:val="Normal"/>
    <w:next w:val="Normal"/>
    <w:uiPriority w:val="99"/>
    <w:semiHidden/>
    <w:unhideWhenUsed/>
    <w:rsid w:val="00A111D1"/>
    <w:pPr>
      <w:tabs>
        <w:tab w:val="clear" w:pos="567"/>
        <w:tab w:val="clear" w:pos="1134"/>
        <w:tab w:val="clear" w:pos="1701"/>
        <w:tab w:val="clear" w:pos="2268"/>
      </w:tabs>
    </w:pPr>
  </w:style>
  <w:style w:type="table" w:styleId="TableProfessional">
    <w:name w:val="Table Professional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imple1">
    <w:name w:val="Table Simp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leSimple2">
    <w:name w:val="Table Simp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leSimple3">
    <w:name w:val="Table Simple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leSubtle1">
    <w:name w:val="Table Subtle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Subtle2">
    <w:name w:val="Table Subtle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Theme">
    <w:name w:val="Table Theme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Web1">
    <w:name w:val="Table Web 1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2">
    <w:name w:val="Table Web 2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Web3">
    <w:name w:val="Table Web 3"/>
    <w:basedOn w:val="TableNormal"/>
    <w:uiPriority w:val="99"/>
    <w:semiHidden/>
    <w:unhideWhenUsed/>
    <w:rsid w:val="00A111D1"/>
    <w:pPr>
      <w:tabs>
        <w:tab w:val="left" w:pos="567"/>
        <w:tab w:val="left" w:pos="1134"/>
        <w:tab w:val="left" w:pos="1701"/>
        <w:tab w:val="left" w:pos="2268"/>
      </w:tabs>
      <w:jc w:val="both"/>
    </w:pPr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A111D1"/>
    <w:pPr>
      <w:numPr>
        <w:numId w:val="0"/>
      </w:numPr>
      <w:tabs>
        <w:tab w:val="left" w:pos="567"/>
      </w:tabs>
      <w:spacing w:after="0"/>
      <w:jc w:val="both"/>
      <w:outlineLvl w:val="9"/>
    </w:pPr>
    <w:rPr>
      <w:rFonts w:asciiTheme="majorHAnsi" w:hAnsiTheme="majorHAnsi"/>
      <w:b w:val="0"/>
      <w:bCs w:val="0"/>
      <w:color w:val="365F91" w:themeColor="accent1" w:themeShade="BF"/>
      <w:kern w:val="0"/>
      <w:sz w:val="32"/>
      <w14:ligatures w14:val="none"/>
    </w:rPr>
  </w:style>
  <w:style w:type="character" w:styleId="UnresolvedMention">
    <w:name w:val="Unresolved Mention"/>
    <w:basedOn w:val="DefaultParagraphFont"/>
    <w:uiPriority w:val="99"/>
    <w:semiHidden/>
    <w:unhideWhenUsed/>
    <w:rsid w:val="00A111D1"/>
    <w:rPr>
      <w:color w:val="605E5C"/>
      <w:shd w:val="clear" w:color="auto" w:fill="E1DFDD"/>
      <w:lang w:val="en-GB"/>
    </w:rPr>
  </w:style>
  <w:style w:type="paragraph" w:customStyle="1" w:styleId="CBDAgendaItemReport">
    <w:name w:val="CBD_AgendaItem_Report"/>
    <w:basedOn w:val="Normal"/>
    <w:qFormat/>
    <w:rsid w:val="003F1A75"/>
    <w:pPr>
      <w:keepNext/>
      <w:keepLines/>
      <w:spacing w:before="240" w:after="120"/>
      <w:jc w:val="left"/>
    </w:pPr>
    <w:rPr>
      <w:b/>
      <w:sz w:val="24"/>
    </w:rPr>
  </w:style>
  <w:style w:type="paragraph" w:customStyle="1" w:styleId="CBDagendaItem0">
    <w:name w:val="CBD_agenda_Item"/>
    <w:basedOn w:val="CBDNormalNumber"/>
    <w:qFormat/>
    <w:rsid w:val="003F1A75"/>
  </w:style>
  <w:style w:type="paragraph" w:customStyle="1" w:styleId="CBDpara-item">
    <w:name w:val="CBD_para-item"/>
    <w:basedOn w:val="Normal"/>
    <w:qFormat/>
    <w:rsid w:val="003F1A75"/>
    <w:pPr>
      <w:tabs>
        <w:tab w:val="clear" w:pos="567"/>
      </w:tabs>
      <w:spacing w:before="120" w:after="120"/>
      <w:ind w:left="1134" w:hanging="567"/>
      <w:jc w:val="left"/>
    </w:pPr>
  </w:style>
  <w:style w:type="paragraph" w:customStyle="1" w:styleId="CBDsubpara-item">
    <w:name w:val="CBD_subpara-item"/>
    <w:basedOn w:val="CBDpara-item"/>
    <w:qFormat/>
    <w:rsid w:val="003F1A75"/>
    <w:pPr>
      <w:tabs>
        <w:tab w:val="clear" w:pos="1134"/>
      </w:tabs>
      <w:ind w:left="1701"/>
    </w:pPr>
  </w:style>
  <w:style w:type="paragraph" w:customStyle="1" w:styleId="CBDRecommendText">
    <w:name w:val="CBD_RecommendText"/>
    <w:basedOn w:val="Normal"/>
    <w:qFormat/>
    <w:rsid w:val="003F1A75"/>
    <w:pPr>
      <w:spacing w:after="120"/>
      <w:ind w:left="567"/>
    </w:pPr>
  </w:style>
  <w:style w:type="numbering" w:customStyle="1" w:styleId="ImportedStyle2">
    <w:name w:val="Imported Style 2"/>
    <w:rsid w:val="008B78C3"/>
    <w:pPr>
      <w:numPr>
        <w:numId w:val="9"/>
      </w:numPr>
    </w:pPr>
  </w:style>
  <w:style w:type="numbering" w:customStyle="1" w:styleId="ImportedStyle5">
    <w:name w:val="Imported Style 5"/>
    <w:rsid w:val="008B78C3"/>
    <w:pPr>
      <w:numPr>
        <w:numId w:val="16"/>
      </w:numPr>
    </w:pPr>
  </w:style>
  <w:style w:type="numbering" w:customStyle="1" w:styleId="ImportedStyle6">
    <w:name w:val="Imported Style 6"/>
    <w:rsid w:val="008B78C3"/>
    <w:pPr>
      <w:numPr>
        <w:numId w:val="18"/>
      </w:numPr>
    </w:pPr>
  </w:style>
  <w:style w:type="paragraph" w:customStyle="1" w:styleId="Default">
    <w:name w:val="Default"/>
    <w:rsid w:val="008B78C3"/>
    <w:pPr>
      <w:pBdr>
        <w:top w:val="nil"/>
        <w:left w:val="nil"/>
        <w:bottom w:val="nil"/>
        <w:right w:val="nil"/>
        <w:between w:val="nil"/>
        <w:bar w:val="nil"/>
      </w:pBdr>
      <w:spacing w:before="160" w:line="288" w:lineRule="auto"/>
    </w:pPr>
    <w:rPr>
      <w:rFonts w:ascii="Helvetica Neue" w:eastAsia="Helvetica Neue" w:hAnsi="Helvetica Neue" w:cs="Helvetica Neue"/>
      <w:color w:val="000000"/>
      <w:bdr w:val="nil"/>
      <w:lang w:val="en-CA" w:eastAsia="ko-KR"/>
      <w14:textOutline w14:w="0" w14:cap="flat" w14:cmpd="sng" w14:algn="ctr">
        <w14:noFill/>
        <w14:prstDash w14:val="solid"/>
        <w14:bevel/>
      </w14:textOutline>
    </w:rPr>
  </w:style>
  <w:style w:type="paragraph" w:customStyle="1" w:styleId="paragraph">
    <w:name w:val="paragraph"/>
    <w:basedOn w:val="Normal"/>
    <w:rsid w:val="000D5E82"/>
    <w:pPr>
      <w:tabs>
        <w:tab w:val="clear" w:pos="567"/>
        <w:tab w:val="clear" w:pos="1134"/>
        <w:tab w:val="clear" w:pos="1701"/>
        <w:tab w:val="clear" w:pos="2268"/>
      </w:tabs>
      <w:spacing w:before="100" w:beforeAutospacing="1" w:after="100" w:afterAutospacing="1"/>
      <w:jc w:val="left"/>
    </w:pPr>
    <w:rPr>
      <w:rFonts w:eastAsia="Times New Roman"/>
      <w:sz w:val="24"/>
      <w:szCs w:val="24"/>
      <w:lang w:val="en-CA" w:eastAsia="en-CA"/>
    </w:rPr>
  </w:style>
  <w:style w:type="character" w:customStyle="1" w:styleId="normaltextrun">
    <w:name w:val="normaltextrun"/>
    <w:basedOn w:val="DefaultParagraphFont"/>
    <w:rsid w:val="000D5E82"/>
  </w:style>
  <w:style w:type="character" w:customStyle="1" w:styleId="scxw17032077">
    <w:name w:val="scxw17032077"/>
    <w:basedOn w:val="DefaultParagraphFont"/>
    <w:rsid w:val="000D5E82"/>
  </w:style>
  <w:style w:type="character" w:customStyle="1" w:styleId="eop">
    <w:name w:val="eop"/>
    <w:basedOn w:val="DefaultParagraphFont"/>
    <w:rsid w:val="000D5E82"/>
  </w:style>
  <w:style w:type="character" w:customStyle="1" w:styleId="superscript">
    <w:name w:val="superscript"/>
    <w:basedOn w:val="DefaultParagraphFont"/>
    <w:rsid w:val="000D5E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2.png"/><Relationship Id="rId18" Type="http://schemas.openxmlformats.org/officeDocument/2006/relationships/hyperlink" Target="https://www.cbd.int/doc/c/cb11/125c/d021fa2f5d352ce75df85b30/sbi-07-15-ru.pdf" TargetMode="External"/><Relationship Id="rId26" Type="http://schemas.openxmlformats.org/officeDocument/2006/relationships/hyperlink" Target="https://www.cbd.int/doc/c/cb11/125c/d021fa2f5d352ce75df85b30/sbi-07-15-ru.pdf" TargetMode="External"/><Relationship Id="rId39" Type="http://schemas.openxmlformats.org/officeDocument/2006/relationships/hyperlink" Target="https://www.cbd.int/documents/CBD/NP/MOP/6/5/ADD1" TargetMode="External"/><Relationship Id="rId21" Type="http://schemas.openxmlformats.org/officeDocument/2006/relationships/hyperlink" Target="https://www.cbd.int/doc/c/cb11/125c/d021fa2f5d352ce75df85b30/sbi-07-15-ru.pdf" TargetMode="External"/><Relationship Id="rId34" Type="http://schemas.openxmlformats.org/officeDocument/2006/relationships/hyperlink" Target="https://www.cbd.int/documents/CBD/COP/17/4/ADD2" TargetMode="External"/><Relationship Id="rId42" Type="http://schemas.openxmlformats.org/officeDocument/2006/relationships/hyperlink" Target="https://www.cbd.int/doc/c/2c7b/c884/575aecc0fcf36cde1a3295ca/sbi-07-14-ru.pdf" TargetMode="External"/><Relationship Id="rId47" Type="http://schemas.openxmlformats.org/officeDocument/2006/relationships/hyperlink" Target="https://www.cbd.int/doc/decisions/np-mop-05/np-mop-05-dec-13-ru.pdf" TargetMode="External"/><Relationship Id="rId50" Type="http://schemas.openxmlformats.org/officeDocument/2006/relationships/hyperlink" Target="https://www.cbd.int/doc/decisions/cop-16/cop-16-dec-25-ru.pdf" TargetMode="External"/><Relationship Id="rId55" Type="http://schemas.openxmlformats.org/officeDocument/2006/relationships/hyperlink" Target="https://www.cbd.int/doc/c/cb11/125c/d021fa2f5d352ce75df85b30/sbi-07-15-ru.pdf" TargetMode="External"/><Relationship Id="rId63" Type="http://schemas.openxmlformats.org/officeDocument/2006/relationships/glossaryDocument" Target="glossary/document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6" Type="http://schemas.openxmlformats.org/officeDocument/2006/relationships/hyperlink" Target="https://www.cbd.int/doc/c/2c7b/c884/575aecc0fcf36cde1a3295ca/sbi-07-14-ru.pdf" TargetMode="External"/><Relationship Id="rId29" Type="http://schemas.openxmlformats.org/officeDocument/2006/relationships/hyperlink" Target="https://www.cbd.int/doc/c/cb11/125c/d021fa2f5d352ce75df85b30/sbi-07-15-ru.pdf" TargetMode="External"/><Relationship Id="rId11" Type="http://schemas.openxmlformats.org/officeDocument/2006/relationships/endnotes" Target="endnotes.xml"/><Relationship Id="rId24" Type="http://schemas.openxmlformats.org/officeDocument/2006/relationships/hyperlink" Target="https://www.cbd.int/doc/c/cb11/125c/d021fa2f5d352ce75df85b30/sbi-07-15-ru.pdf" TargetMode="External"/><Relationship Id="rId32" Type="http://schemas.openxmlformats.org/officeDocument/2006/relationships/hyperlink" Target="https://www.cbd.int/doc/c/2c7b/c884/575aecc0fcf36cde1a3295ca/sbi-07-14-ru.pdf" TargetMode="External"/><Relationship Id="rId37" Type="http://schemas.openxmlformats.org/officeDocument/2006/relationships/hyperlink" Target="https://www.cbd.int/documents/CBD/COP/17/4/ADD2" TargetMode="External"/><Relationship Id="rId40" Type="http://schemas.openxmlformats.org/officeDocument/2006/relationships/hyperlink" Target="https://www.cbd.int/documents/CBD/SBI/7/15/ADD1" TargetMode="External"/><Relationship Id="rId45" Type="http://schemas.openxmlformats.org/officeDocument/2006/relationships/hyperlink" Target="https://www.cbd.int/doc/decisions/cop-16/cop-16-dec-29-ru.pdf" TargetMode="External"/><Relationship Id="rId53" Type="http://schemas.openxmlformats.org/officeDocument/2006/relationships/image" Target="media/image5.png"/><Relationship Id="rId58" Type="http://schemas.openxmlformats.org/officeDocument/2006/relationships/header" Target="header1.xml"/><Relationship Id="rId5" Type="http://schemas.openxmlformats.org/officeDocument/2006/relationships/customXml" Target="../customXml/item5.xml"/><Relationship Id="rId61" Type="http://schemas.openxmlformats.org/officeDocument/2006/relationships/footer" Target="footer2.xml"/><Relationship Id="rId19" Type="http://schemas.openxmlformats.org/officeDocument/2006/relationships/hyperlink" Target="https://www.cbd.int/doc/c/cb11/125c/d021fa2f5d352ce75df85b30/sbi-07-15-ru.pdf" TargetMode="External"/><Relationship Id="rId14" Type="http://schemas.openxmlformats.org/officeDocument/2006/relationships/image" Target="media/image3.png"/><Relationship Id="rId22" Type="http://schemas.openxmlformats.org/officeDocument/2006/relationships/hyperlink" Target="https://www.cbd.int/doc/c/cb11/125c/d021fa2f5d352ce75df85b30/sbi-07-15-ru.pdf" TargetMode="External"/><Relationship Id="rId27" Type="http://schemas.openxmlformats.org/officeDocument/2006/relationships/hyperlink" Target="https://www.cbd.int/doc/c/cb11/125c/d021fa2f5d352ce75df85b30/sbi-07-15-ru.pdf" TargetMode="External"/><Relationship Id="rId30" Type="http://schemas.openxmlformats.org/officeDocument/2006/relationships/hyperlink" Target="https://www.cbd.int/doc/c/2c7b/c884/575aecc0fcf36cde1a3295ca/sbi-07-14-ru.pdf" TargetMode="External"/><Relationship Id="rId35" Type="http://schemas.openxmlformats.org/officeDocument/2006/relationships/hyperlink" Target="https://www.cbd.int/documents/CBD/CP/MOP/12/5/ADD1" TargetMode="External"/><Relationship Id="rId43" Type="http://schemas.openxmlformats.org/officeDocument/2006/relationships/hyperlink" Target="https://www.cbd.int/doc/c/2c7b/c884/575aecc0fcf36cde1a3295ca/sbi-07-14-ru.pdf" TargetMode="External"/><Relationship Id="rId48" Type="http://schemas.openxmlformats.org/officeDocument/2006/relationships/hyperlink" Target="https://www.cbd.int/doc/decisions/cop-16/cop-16-dec-29-ru.pdf" TargetMode="External"/><Relationship Id="rId56" Type="http://schemas.openxmlformats.org/officeDocument/2006/relationships/hyperlink" Target="https://www.cbd.int/doc/c/cb11/125c/d021fa2f5d352ce75df85b30/sbi-07-15-ru.pdf" TargetMode="External"/><Relationship Id="rId64" Type="http://schemas.openxmlformats.org/officeDocument/2006/relationships/theme" Target="theme/theme1.xml"/><Relationship Id="rId8" Type="http://schemas.openxmlformats.org/officeDocument/2006/relationships/settings" Target="settings.xml"/><Relationship Id="rId51" Type="http://schemas.openxmlformats.org/officeDocument/2006/relationships/hyperlink" Target="https://www.cbd.int/doc/decisions/cop-16/cop-16-dec-28-ru.pdf" TargetMode="External"/><Relationship Id="rId3" Type="http://schemas.openxmlformats.org/officeDocument/2006/relationships/customXml" Target="../customXml/item3.xml"/><Relationship Id="rId12" Type="http://schemas.openxmlformats.org/officeDocument/2006/relationships/image" Target="media/image1.png"/><Relationship Id="rId17" Type="http://schemas.openxmlformats.org/officeDocument/2006/relationships/hyperlink" Target="https://www.cbd.int/doc/c/2c7b/c884/575aecc0fcf36cde1a3295ca/sbi-07-14-ru.pdf" TargetMode="External"/><Relationship Id="rId25" Type="http://schemas.openxmlformats.org/officeDocument/2006/relationships/hyperlink" Target="https://www.cbd.int/doc/c/cb11/125c/d021fa2f5d352ce75df85b30/sbi-07-15-ru.pdf" TargetMode="External"/><Relationship Id="rId33" Type="http://schemas.openxmlformats.org/officeDocument/2006/relationships/hyperlink" Target="https://www.cbd.int/doc/c/739e/c602/b52f57147993720fa59ce89f/cop-17-04-add1-ru.pdf" TargetMode="External"/><Relationship Id="rId38" Type="http://schemas.openxmlformats.org/officeDocument/2006/relationships/hyperlink" Target="https://www.cbd.int/documents/CBD/CP/MOP/12/5/ADD1" TargetMode="External"/><Relationship Id="rId46" Type="http://schemas.openxmlformats.org/officeDocument/2006/relationships/hyperlink" Target="https://www.cbd.int/doc/decisions/cp-mop-11/cp-mop-11-dec-12-ru.pdf" TargetMode="External"/><Relationship Id="rId59" Type="http://schemas.openxmlformats.org/officeDocument/2006/relationships/header" Target="header2.xml"/><Relationship Id="rId20" Type="http://schemas.openxmlformats.org/officeDocument/2006/relationships/hyperlink" Target="https://www.cbd.int/doc/c/cb11/125c/d021fa2f5d352ce75df85b30/sbi-07-15-ru.pdf" TargetMode="External"/><Relationship Id="rId41" Type="http://schemas.openxmlformats.org/officeDocument/2006/relationships/hyperlink" Target="https://www.cbd.int/doc/c/0cc8/d73b/62b9b9b01cd3169ef10060f7/sbi-07-15-add1-ru.pdf" TargetMode="External"/><Relationship Id="rId54" Type="http://schemas.openxmlformats.org/officeDocument/2006/relationships/hyperlink" Target="https://www.cbd.int/doc/c/cb11/125c/d021fa2f5d352ce75df85b30/sbi-07-15-ru.pdf" TargetMode="External"/><Relationship Id="rId62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5" Type="http://schemas.openxmlformats.org/officeDocument/2006/relationships/hyperlink" Target="https://www.cbd.int/doc/c/2c7b/c884/575aecc0fcf36cde1a3295ca/sbi-07-14-ru.pdf" TargetMode="External"/><Relationship Id="rId23" Type="http://schemas.openxmlformats.org/officeDocument/2006/relationships/hyperlink" Target="https://www.cbd.int/doc/c/cb11/125c/d021fa2f5d352ce75df85b30/sbi-07-15-ru.pdf" TargetMode="External"/><Relationship Id="rId28" Type="http://schemas.openxmlformats.org/officeDocument/2006/relationships/hyperlink" Target="https://www.cbd.int/doc/c/cb11/125c/d021fa2f5d352ce75df85b30/sbi-07-15-ru.pdf" TargetMode="External"/><Relationship Id="rId36" Type="http://schemas.openxmlformats.org/officeDocument/2006/relationships/hyperlink" Target="https://www.cbd.int/documents/CBD/NP/MOP/6/5/ADD1" TargetMode="External"/><Relationship Id="rId49" Type="http://schemas.openxmlformats.org/officeDocument/2006/relationships/hyperlink" Target="https://www.cbd.int/doc/decisions/cop-14/cop-14-dec-37-ru.pdf" TargetMode="External"/><Relationship Id="rId57" Type="http://schemas.openxmlformats.org/officeDocument/2006/relationships/image" Target="media/image6.png"/><Relationship Id="rId10" Type="http://schemas.openxmlformats.org/officeDocument/2006/relationships/footnotes" Target="footnotes.xml"/><Relationship Id="rId31" Type="http://schemas.openxmlformats.org/officeDocument/2006/relationships/hyperlink" Target="https://www.cbd.int/doc/c/2c7b/c884/575aecc0fcf36cde1a3295ca/sbi-07-14-ru.pdf" TargetMode="External"/><Relationship Id="rId44" Type="http://schemas.openxmlformats.org/officeDocument/2006/relationships/hyperlink" Target="https://www.cbd.int/doc/c/2c7b/c884/575aecc0fcf36cde1a3295ca/sbi-07-14-ru.pdf" TargetMode="External"/><Relationship Id="rId52" Type="http://schemas.openxmlformats.org/officeDocument/2006/relationships/image" Target="media/image4.png"/><Relationship Id="rId60" Type="http://schemas.openxmlformats.org/officeDocument/2006/relationships/footer" Target="footer1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_rels/footnotes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bd.int/doc/c/739e/c602/b52f57147993720fa59ce89f/cop-17-04-add1-ru.pdf" TargetMode="External"/><Relationship Id="rId3" Type="http://schemas.openxmlformats.org/officeDocument/2006/relationships/hyperlink" Target="https://www.cbd.int/doc/c/404b/1d27/1f7db32f5c7c8f9e4fcf06ef/np-mop-06-01-ru.pdf" TargetMode="External"/><Relationship Id="rId7" Type="http://schemas.openxmlformats.org/officeDocument/2006/relationships/hyperlink" Target="https://www.cbd.int/information/adm-fin" TargetMode="External"/><Relationship Id="rId2" Type="http://schemas.openxmlformats.org/officeDocument/2006/relationships/hyperlink" Target="https://www.cbd.int/doc/c/4196/38de/49fa974e03a44a7835b747dd/cp-mop-12-01-ru.pdf" TargetMode="External"/><Relationship Id="rId1" Type="http://schemas.openxmlformats.org/officeDocument/2006/relationships/hyperlink" Target="https://www.cbd.int/doc/c/eed5/bb17/c83733c6642e39413bf23885/cop-17-01-rev1-ru.pdf" TargetMode="External"/><Relationship Id="rId6" Type="http://schemas.openxmlformats.org/officeDocument/2006/relationships/hyperlink" Target="https://www.cbd.int/documents/CBD/NP/MOP/6/5/ADD1" TargetMode="External"/><Relationship Id="rId5" Type="http://schemas.openxmlformats.org/officeDocument/2006/relationships/hyperlink" Target="https://www.cbd.int/documents/CBD/CP/MOP/12/5/ADD1" TargetMode="External"/><Relationship Id="rId10" Type="http://schemas.openxmlformats.org/officeDocument/2006/relationships/hyperlink" Target="https://www.cbd.int/doc/decisions/cop-09/cop-09-dec-34-ru.pdf" TargetMode="External"/><Relationship Id="rId4" Type="http://schemas.openxmlformats.org/officeDocument/2006/relationships/hyperlink" Target="https://www.cbd.int/documents/CBD/COP/17/4/ADD2" TargetMode="External"/><Relationship Id="rId9" Type="http://schemas.openxmlformats.org/officeDocument/2006/relationships/hyperlink" Target="https://www.cbd.int/documents/CBD/SBI/6/INF/9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ALDRIDGEV\Downloads\cop-17-template-en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7FA492F99F54ECBA1ED962313BE189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E71F536-9A8C-4F1E-9FBD-AAF849065228}"/>
      </w:docPartPr>
      <w:docPartBody>
        <w:p w:rsidR="00BE6BAE" w:rsidRDefault="00073DD6">
          <w:pPr>
            <w:pStyle w:val="B7FA492F99F54ECBA1ED962313BE189B"/>
          </w:pPr>
          <w:r w:rsidRPr="007E02EB">
            <w:rPr>
              <w:rStyle w:val="PlaceholderText"/>
            </w:rPr>
            <w:t>[Title]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Segoe UI"/>
    <w:charset w:val="00"/>
    <w:family w:val="swiss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3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Simplified Arabic">
    <w:charset w:val="B2"/>
    <w:family w:val="roman"/>
    <w:pitch w:val="variable"/>
    <w:sig w:usb0="00002003" w:usb1="80000000" w:usb2="00000008" w:usb3="00000000" w:csb0="0000004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onsolas">
    <w:panose1 w:val="020B0609020204030204"/>
    <w:charset w:val="00"/>
    <w:family w:val="modern"/>
    <w:pitch w:val="fixed"/>
    <w:sig w:usb0="E10006FF" w:usb1="4000FCFF" w:usb2="00000009" w:usb3="00000000" w:csb0="0000019F" w:csb1="00000000"/>
  </w:font>
  <w:font w:name="Helvetica Neue">
    <w:altName w:val="Sylfaen"/>
    <w:panose1 w:val="00000000000000000000"/>
    <w:charset w:val="00"/>
    <w:family w:val="auto"/>
    <w:notTrueType/>
    <w:pitch w:val="variable"/>
    <w:sig w:usb0="E50002FF" w:usb1="500079DB" w:usb2="00000010" w:usb3="00000000" w:csb0="00000001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7067"/>
    <w:rsid w:val="00073DD6"/>
    <w:rsid w:val="001301E0"/>
    <w:rsid w:val="0013523E"/>
    <w:rsid w:val="00164E74"/>
    <w:rsid w:val="001B4894"/>
    <w:rsid w:val="003A36DB"/>
    <w:rsid w:val="00446439"/>
    <w:rsid w:val="00450229"/>
    <w:rsid w:val="005E4B4B"/>
    <w:rsid w:val="005F2F46"/>
    <w:rsid w:val="00613490"/>
    <w:rsid w:val="00671BAF"/>
    <w:rsid w:val="00671FA2"/>
    <w:rsid w:val="00682BA9"/>
    <w:rsid w:val="0073077B"/>
    <w:rsid w:val="00750B6E"/>
    <w:rsid w:val="00801971"/>
    <w:rsid w:val="009461EC"/>
    <w:rsid w:val="00A27067"/>
    <w:rsid w:val="00A92913"/>
    <w:rsid w:val="00AF4C3B"/>
    <w:rsid w:val="00B86A6B"/>
    <w:rsid w:val="00BA1B51"/>
    <w:rsid w:val="00BB71F0"/>
    <w:rsid w:val="00BE6BAE"/>
    <w:rsid w:val="00D16D5C"/>
    <w:rsid w:val="00D24F77"/>
    <w:rsid w:val="00D25489"/>
    <w:rsid w:val="00D63D86"/>
    <w:rsid w:val="00D76574"/>
    <w:rsid w:val="00E1324D"/>
    <w:rsid w:val="00E157AA"/>
    <w:rsid w:val="00E9337A"/>
    <w:rsid w:val="00FB5F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ko-K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CA" w:eastAsia="en-CA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B7FA492F99F54ECBA1ED962313BE189B">
    <w:name w:val="B7FA492F99F54ECBA1ED962313BE189B"/>
    <w:rPr>
      <w:lang w:val="en-US" w:eastAsia="en-US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CoverPageProperties xmlns="http://schemas.microsoft.com/office/2006/coverPageProps">
  <PublishDate>date xx 2019</PublishDate>
  <Abstract/>
  <CompanyAddress/>
  <CompanyPhone/>
  <CompanyFax/>
  <CompanyEmail/>
</CoverPage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A328EB00E67F346B6174BE96D327B2B" ma:contentTypeVersion="11" ma:contentTypeDescription="Create a new document." ma:contentTypeScope="" ma:versionID="b1769ac123458866e93c1e1a8f5d7264">
  <xsd:schema xmlns:xsd="http://www.w3.org/2001/XMLSchema" xmlns:xs="http://www.w3.org/2001/XMLSchema" xmlns:p="http://schemas.microsoft.com/office/2006/metadata/properties" xmlns:ns2="292e8265-61e8-4476-9c6d-719af089d244" xmlns:ns3="c89cf9d1-532e-4c94-875d-12e9041bbcb0" targetNamespace="http://schemas.microsoft.com/office/2006/metadata/properties" ma:root="true" ma:fieldsID="cef69a2368db5a80933a10034f3f94d7" ns2:_="" ns3:_="">
    <xsd:import namespace="292e8265-61e8-4476-9c6d-719af089d244"/>
    <xsd:import namespace="c89cf9d1-532e-4c94-875d-12e9041bbcb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2e8265-61e8-4476-9c6d-719af089d24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Image Tags" ma:readOnly="false" ma:fieldId="{5cf76f15-5ced-4ddc-b409-7134ff3c332f}" ma:taxonomyMulti="true" ma:sspId="78175662-8596-484a-92c7-351d01561e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89cf9d1-532e-4c94-875d-12e9041bbcb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3ffcbcd2-b711-4b56-9cc9-ef645dd2f1b1}" ma:internalName="TaxCatchAll" ma:showField="CatchAllData" ma:web="c89cf9d1-532e-4c94-875d-12e9041bbcb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89cf9d1-532e-4c94-875d-12e9041bbcb0" xsi:nil="true"/>
    <lcf76f155ced4ddcb4097134ff3c332f xmlns="292e8265-61e8-4476-9c6d-719af089d244">
      <Terms xmlns="http://schemas.microsoft.com/office/infopath/2007/PartnerControls"/>
    </lcf76f155ced4ddcb4097134ff3c332f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88590722-8F3F-4C0B-917F-EC512B5A3F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2e8265-61e8-4476-9c6d-719af089d244"/>
    <ds:schemaRef ds:uri="c89cf9d1-532e-4c94-875d-12e9041bbcb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2BAD42C-1DC6-49A0-8A77-BC87126E0AAE}">
  <ds:schemaRefs>
    <ds:schemaRef ds:uri="http://schemas.microsoft.com/office/2006/metadata/properties"/>
    <ds:schemaRef ds:uri="http://schemas.microsoft.com/office/infopath/2007/PartnerControls"/>
    <ds:schemaRef ds:uri="c89cf9d1-532e-4c94-875d-12e9041bbcb0"/>
    <ds:schemaRef ds:uri="292e8265-61e8-4476-9c6d-719af089d244"/>
  </ds:schemaRefs>
</ds:datastoreItem>
</file>

<file path=customXml/itemProps4.xml><?xml version="1.0" encoding="utf-8"?>
<ds:datastoreItem xmlns:ds="http://schemas.openxmlformats.org/officeDocument/2006/customXml" ds:itemID="{892A0005-6FD8-455B-8E42-C9C8F0DF202C}">
  <ds:schemaRefs>
    <ds:schemaRef ds:uri="http://schemas.openxmlformats.org/officeDocument/2006/bibliography"/>
  </ds:schemaRefs>
</ds:datastoreItem>
</file>

<file path=customXml/itemProps5.xml><?xml version="1.0" encoding="utf-8"?>
<ds:datastoreItem xmlns:ds="http://schemas.openxmlformats.org/officeDocument/2006/customXml" ds:itemID="{157C228B-262D-4418-9EAD-4DA8699E5020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606bed3f-efae-4d70-a15b-866bb27c918d}" enabled="1" method="Privileged" siteId="{0f9e35db-544f-4f60-bdcc-5ea416e6dc70}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cop-17-template-en.dotm</Template>
  <TotalTime>1</TotalTime>
  <Pages>14</Pages>
  <Words>5844</Words>
  <Characters>33312</Characters>
  <Application>Microsoft Office Word</Application>
  <DocSecurity>0</DocSecurity>
  <Lines>277</Lines>
  <Paragraphs>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Additional information on Administrative and Budgetary Matters</vt:lpstr>
    </vt:vector>
  </TitlesOfParts>
  <Company>SCBD</Company>
  <LinksUpToDate>false</LinksUpToDate>
  <CharactersWithSpaces>39078</CharactersWithSpaces>
  <SharedDoc>false</SharedDoc>
  <HLinks>
    <vt:vector size="300" baseType="variant">
      <vt:variant>
        <vt:i4>4325380</vt:i4>
      </vt:variant>
      <vt:variant>
        <vt:i4>147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144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141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7209057</vt:i4>
      </vt:variant>
      <vt:variant>
        <vt:i4>132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7209057</vt:i4>
      </vt:variant>
      <vt:variant>
        <vt:i4>129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3539055</vt:i4>
      </vt:variant>
      <vt:variant>
        <vt:i4>126</vt:i4>
      </vt:variant>
      <vt:variant>
        <vt:i4>0</vt:i4>
      </vt:variant>
      <vt:variant>
        <vt:i4>5</vt:i4>
      </vt:variant>
      <vt:variant>
        <vt:lpwstr>https://www.cbd.int/decisions/?id=13708</vt:lpwstr>
      </vt:variant>
      <vt:variant>
        <vt:lpwstr/>
      </vt:variant>
      <vt:variant>
        <vt:i4>7209057</vt:i4>
      </vt:variant>
      <vt:variant>
        <vt:i4>123</vt:i4>
      </vt:variant>
      <vt:variant>
        <vt:i4>0</vt:i4>
      </vt:variant>
      <vt:variant>
        <vt:i4>5</vt:i4>
      </vt:variant>
      <vt:variant>
        <vt:lpwstr>https://www.cbd.int/decisions/cop/?m=cop-16</vt:lpwstr>
      </vt:variant>
      <vt:variant>
        <vt:lpwstr/>
      </vt:variant>
      <vt:variant>
        <vt:i4>5570625</vt:i4>
      </vt:variant>
      <vt:variant>
        <vt:i4>120</vt:i4>
      </vt:variant>
      <vt:variant>
        <vt:i4>0</vt:i4>
      </vt:variant>
      <vt:variant>
        <vt:i4>5</vt:i4>
      </vt:variant>
      <vt:variant>
        <vt:lpwstr>https://www.cbd.int/decisions/np-mop?m=np-mop-05</vt:lpwstr>
      </vt:variant>
      <vt:variant>
        <vt:lpwstr/>
      </vt:variant>
      <vt:variant>
        <vt:i4>5242958</vt:i4>
      </vt:variant>
      <vt:variant>
        <vt:i4>117</vt:i4>
      </vt:variant>
      <vt:variant>
        <vt:i4>0</vt:i4>
      </vt:variant>
      <vt:variant>
        <vt:i4>5</vt:i4>
      </vt:variant>
      <vt:variant>
        <vt:lpwstr>https://www.cbd.int/decisions/mop?m=cp-mop-11</vt:lpwstr>
      </vt:variant>
      <vt:variant>
        <vt:lpwstr/>
      </vt:variant>
      <vt:variant>
        <vt:i4>7864430</vt:i4>
      </vt:variant>
      <vt:variant>
        <vt:i4>114</vt:i4>
      </vt:variant>
      <vt:variant>
        <vt:i4>0</vt:i4>
      </vt:variant>
      <vt:variant>
        <vt:i4>5</vt:i4>
      </vt:variant>
      <vt:variant>
        <vt:lpwstr>https://www.cbd.int/decisions/cop?m=cop-16</vt:lpwstr>
      </vt:variant>
      <vt:variant>
        <vt:lpwstr/>
      </vt:variant>
      <vt:variant>
        <vt:i4>4390916</vt:i4>
      </vt:variant>
      <vt:variant>
        <vt:i4>111</vt:i4>
      </vt:variant>
      <vt:variant>
        <vt:i4>0</vt:i4>
      </vt:variant>
      <vt:variant>
        <vt:i4>5</vt:i4>
      </vt:variant>
      <vt:variant>
        <vt:lpwstr>https://www.cbd.int/documents/CBD/NP/MOP/6/4</vt:lpwstr>
      </vt:variant>
      <vt:variant>
        <vt:lpwstr/>
      </vt:variant>
      <vt:variant>
        <vt:i4>6225940</vt:i4>
      </vt:variant>
      <vt:variant>
        <vt:i4>108</vt:i4>
      </vt:variant>
      <vt:variant>
        <vt:i4>0</vt:i4>
      </vt:variant>
      <vt:variant>
        <vt:i4>5</vt:i4>
      </vt:variant>
      <vt:variant>
        <vt:lpwstr>https://www.cbd.int/documents/CBD/CP/MOP/12/4</vt:lpwstr>
      </vt:variant>
      <vt:variant>
        <vt:lpwstr/>
      </vt:variant>
      <vt:variant>
        <vt:i4>6815783</vt:i4>
      </vt:variant>
      <vt:variant>
        <vt:i4>105</vt:i4>
      </vt:variant>
      <vt:variant>
        <vt:i4>0</vt:i4>
      </vt:variant>
      <vt:variant>
        <vt:i4>5</vt:i4>
      </vt:variant>
      <vt:variant>
        <vt:lpwstr>https://www.cbd.int/documents/CBD/COP/17/3</vt:lpwstr>
      </vt:variant>
      <vt:variant>
        <vt:lpwstr/>
      </vt:variant>
      <vt:variant>
        <vt:i4>6946924</vt:i4>
      </vt:variant>
      <vt:variant>
        <vt:i4>99</vt:i4>
      </vt:variant>
      <vt:variant>
        <vt:i4>0</vt:i4>
      </vt:variant>
      <vt:variant>
        <vt:i4>5</vt:i4>
      </vt:variant>
      <vt:variant>
        <vt:lpwstr>https://www.cbd.int/documents/CBD/COP/17/4/ADD4</vt:lpwstr>
      </vt:variant>
      <vt:variant>
        <vt:lpwstr/>
      </vt:variant>
      <vt:variant>
        <vt:i4>8257661</vt:i4>
      </vt:variant>
      <vt:variant>
        <vt:i4>96</vt:i4>
      </vt:variant>
      <vt:variant>
        <vt:i4>0</vt:i4>
      </vt:variant>
      <vt:variant>
        <vt:i4>5</vt:i4>
      </vt:variant>
      <vt:variant>
        <vt:lpwstr>https://www.cbd.int/documents/CBD/SBI/7/15/ADD1</vt:lpwstr>
      </vt:variant>
      <vt:variant>
        <vt:lpwstr/>
      </vt:variant>
      <vt:variant>
        <vt:i4>4653135</vt:i4>
      </vt:variant>
      <vt:variant>
        <vt:i4>93</vt:i4>
      </vt:variant>
      <vt:variant>
        <vt:i4>0</vt:i4>
      </vt:variant>
      <vt:variant>
        <vt:i4>5</vt:i4>
      </vt:variant>
      <vt:variant>
        <vt:lpwstr>https://www.cbd.int/documents/CBD/NP/MOP/6/5/ADD1</vt:lpwstr>
      </vt:variant>
      <vt:variant>
        <vt:lpwstr/>
      </vt:variant>
      <vt:variant>
        <vt:i4>2424868</vt:i4>
      </vt:variant>
      <vt:variant>
        <vt:i4>90</vt:i4>
      </vt:variant>
      <vt:variant>
        <vt:i4>0</vt:i4>
      </vt:variant>
      <vt:variant>
        <vt:i4>5</vt:i4>
      </vt:variant>
      <vt:variant>
        <vt:lpwstr>https://www.cbd.int/documents/CBD/CP/MOP/12/5/ADD1</vt:lpwstr>
      </vt:variant>
      <vt:variant>
        <vt:lpwstr/>
      </vt:variant>
      <vt:variant>
        <vt:i4>6946924</vt:i4>
      </vt:variant>
      <vt:variant>
        <vt:i4>87</vt:i4>
      </vt:variant>
      <vt:variant>
        <vt:i4>0</vt:i4>
      </vt:variant>
      <vt:variant>
        <vt:i4>5</vt:i4>
      </vt:variant>
      <vt:variant>
        <vt:lpwstr>https://www.cbd.int/documents/CBD/COP/17/4/ADD2</vt:lpwstr>
      </vt:variant>
      <vt:variant>
        <vt:lpwstr/>
      </vt:variant>
      <vt:variant>
        <vt:i4>4653135</vt:i4>
      </vt:variant>
      <vt:variant>
        <vt:i4>84</vt:i4>
      </vt:variant>
      <vt:variant>
        <vt:i4>0</vt:i4>
      </vt:variant>
      <vt:variant>
        <vt:i4>5</vt:i4>
      </vt:variant>
      <vt:variant>
        <vt:lpwstr>https://www.cbd.int/documents/CBD/NP/MOP/6/5/ADD1</vt:lpwstr>
      </vt:variant>
      <vt:variant>
        <vt:lpwstr/>
      </vt:variant>
      <vt:variant>
        <vt:i4>2424868</vt:i4>
      </vt:variant>
      <vt:variant>
        <vt:i4>81</vt:i4>
      </vt:variant>
      <vt:variant>
        <vt:i4>0</vt:i4>
      </vt:variant>
      <vt:variant>
        <vt:i4>5</vt:i4>
      </vt:variant>
      <vt:variant>
        <vt:lpwstr>https://www.cbd.int/documents/CBD/CP/MOP/12/5/ADD1</vt:lpwstr>
      </vt:variant>
      <vt:variant>
        <vt:lpwstr/>
      </vt:variant>
      <vt:variant>
        <vt:i4>6946924</vt:i4>
      </vt:variant>
      <vt:variant>
        <vt:i4>78</vt:i4>
      </vt:variant>
      <vt:variant>
        <vt:i4>0</vt:i4>
      </vt:variant>
      <vt:variant>
        <vt:i4>5</vt:i4>
      </vt:variant>
      <vt:variant>
        <vt:lpwstr>https://www.cbd.int/documents/CBD/COP/17/4/ADD2</vt:lpwstr>
      </vt:variant>
      <vt:variant>
        <vt:lpwstr/>
      </vt:variant>
      <vt:variant>
        <vt:i4>6946924</vt:i4>
      </vt:variant>
      <vt:variant>
        <vt:i4>75</vt:i4>
      </vt:variant>
      <vt:variant>
        <vt:i4>0</vt:i4>
      </vt:variant>
      <vt:variant>
        <vt:i4>5</vt:i4>
      </vt:variant>
      <vt:variant>
        <vt:lpwstr>https://www.cbd.int/documents/CBD/COP/17/4/ADD1</vt:lpwstr>
      </vt:variant>
      <vt:variant>
        <vt:lpwstr/>
      </vt:variant>
      <vt:variant>
        <vt:i4>4325380</vt:i4>
      </vt:variant>
      <vt:variant>
        <vt:i4>72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69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66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4325380</vt:i4>
      </vt:variant>
      <vt:variant>
        <vt:i4>57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54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51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4325380</vt:i4>
      </vt:variant>
      <vt:variant>
        <vt:i4>45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42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39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4325380</vt:i4>
      </vt:variant>
      <vt:variant>
        <vt:i4>33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30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4325380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https://www.cbd.int/documents/CBD/NP/MOP/6/5</vt:lpwstr>
      </vt:variant>
      <vt:variant>
        <vt:lpwstr/>
      </vt:variant>
      <vt:variant>
        <vt:i4>6225940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https://www.cbd.int/documents/CBD/CP/MOP/12/5</vt:lpwstr>
      </vt:variant>
      <vt:variant>
        <vt:lpwstr/>
      </vt:variant>
      <vt:variant>
        <vt:i4>7274535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https://www.cbd.int/documents/CBD/COP/17/4</vt:lpwstr>
      </vt:variant>
      <vt:variant>
        <vt:lpwstr/>
      </vt:variant>
      <vt:variant>
        <vt:i4>4390916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https://www.cbd.int/documents/CBD/NP/MOP/6/4</vt:lpwstr>
      </vt:variant>
      <vt:variant>
        <vt:lpwstr/>
      </vt:variant>
      <vt:variant>
        <vt:i4>6225940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https://www.cbd.int/documents/CBD/CP/MOP/12/4</vt:lpwstr>
      </vt:variant>
      <vt:variant>
        <vt:lpwstr/>
      </vt:variant>
      <vt:variant>
        <vt:i4>6815783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https://www.cbd.int/documents/CBD/COP/17/3</vt:lpwstr>
      </vt:variant>
      <vt:variant>
        <vt:lpwstr/>
      </vt:variant>
      <vt:variant>
        <vt:i4>3342446</vt:i4>
      </vt:variant>
      <vt:variant>
        <vt:i4>27</vt:i4>
      </vt:variant>
      <vt:variant>
        <vt:i4>0</vt:i4>
      </vt:variant>
      <vt:variant>
        <vt:i4>5</vt:i4>
      </vt:variant>
      <vt:variant>
        <vt:lpwstr>https://www.cbd.int/decisions/?id=11677</vt:lpwstr>
      </vt:variant>
      <vt:variant>
        <vt:lpwstr/>
      </vt:variant>
      <vt:variant>
        <vt:i4>983049</vt:i4>
      </vt:variant>
      <vt:variant>
        <vt:i4>24</vt:i4>
      </vt:variant>
      <vt:variant>
        <vt:i4>0</vt:i4>
      </vt:variant>
      <vt:variant>
        <vt:i4>5</vt:i4>
      </vt:variant>
      <vt:variant>
        <vt:lpwstr>https://www.cbd.int/documents/CBD/SBI/6/INF/9</vt:lpwstr>
      </vt:variant>
      <vt:variant>
        <vt:lpwstr/>
      </vt:variant>
      <vt:variant>
        <vt:i4>6946924</vt:i4>
      </vt:variant>
      <vt:variant>
        <vt:i4>21</vt:i4>
      </vt:variant>
      <vt:variant>
        <vt:i4>0</vt:i4>
      </vt:variant>
      <vt:variant>
        <vt:i4>5</vt:i4>
      </vt:variant>
      <vt:variant>
        <vt:lpwstr>https://www.cbd.int/documents/CBD/COP/17/4/ADD1</vt:lpwstr>
      </vt:variant>
      <vt:variant>
        <vt:lpwstr/>
      </vt:variant>
      <vt:variant>
        <vt:i4>3997739</vt:i4>
      </vt:variant>
      <vt:variant>
        <vt:i4>18</vt:i4>
      </vt:variant>
      <vt:variant>
        <vt:i4>0</vt:i4>
      </vt:variant>
      <vt:variant>
        <vt:i4>5</vt:i4>
      </vt:variant>
      <vt:variant>
        <vt:lpwstr>https://www.cbd.int/information/adm-fin</vt:lpwstr>
      </vt:variant>
      <vt:variant>
        <vt:lpwstr/>
      </vt:variant>
      <vt:variant>
        <vt:i4>4653135</vt:i4>
      </vt:variant>
      <vt:variant>
        <vt:i4>15</vt:i4>
      </vt:variant>
      <vt:variant>
        <vt:i4>0</vt:i4>
      </vt:variant>
      <vt:variant>
        <vt:i4>5</vt:i4>
      </vt:variant>
      <vt:variant>
        <vt:lpwstr>https://www.cbd.int/documents/CBD/NP/MOP/6/5/ADD1</vt:lpwstr>
      </vt:variant>
      <vt:variant>
        <vt:lpwstr/>
      </vt:variant>
      <vt:variant>
        <vt:i4>2424868</vt:i4>
      </vt:variant>
      <vt:variant>
        <vt:i4>12</vt:i4>
      </vt:variant>
      <vt:variant>
        <vt:i4>0</vt:i4>
      </vt:variant>
      <vt:variant>
        <vt:i4>5</vt:i4>
      </vt:variant>
      <vt:variant>
        <vt:lpwstr>https://www.cbd.int/documents/CBD/CP/MOP/12/5/ADD1</vt:lpwstr>
      </vt:variant>
      <vt:variant>
        <vt:lpwstr/>
      </vt:variant>
      <vt:variant>
        <vt:i4>6946924</vt:i4>
      </vt:variant>
      <vt:variant>
        <vt:i4>9</vt:i4>
      </vt:variant>
      <vt:variant>
        <vt:i4>0</vt:i4>
      </vt:variant>
      <vt:variant>
        <vt:i4>5</vt:i4>
      </vt:variant>
      <vt:variant>
        <vt:lpwstr>https://www.cbd.int/documents/CBD/COP/17/4/ADD2</vt:lpwstr>
      </vt:variant>
      <vt:variant>
        <vt:lpwstr/>
      </vt:variant>
      <vt:variant>
        <vt:i4>4587524</vt:i4>
      </vt:variant>
      <vt:variant>
        <vt:i4>6</vt:i4>
      </vt:variant>
      <vt:variant>
        <vt:i4>0</vt:i4>
      </vt:variant>
      <vt:variant>
        <vt:i4>5</vt:i4>
      </vt:variant>
      <vt:variant>
        <vt:lpwstr>https://www.cbd.int/documents/CBD/NP/MOP/6/1</vt:lpwstr>
      </vt:variant>
      <vt:variant>
        <vt:lpwstr/>
      </vt:variant>
      <vt:variant>
        <vt:i4>6225940</vt:i4>
      </vt:variant>
      <vt:variant>
        <vt:i4>3</vt:i4>
      </vt:variant>
      <vt:variant>
        <vt:i4>0</vt:i4>
      </vt:variant>
      <vt:variant>
        <vt:i4>5</vt:i4>
      </vt:variant>
      <vt:variant>
        <vt:lpwstr>https://www.cbd.int/documents/CBD/CP/MOP/12/1</vt:lpwstr>
      </vt:variant>
      <vt:variant>
        <vt:lpwstr/>
      </vt:variant>
      <vt:variant>
        <vt:i4>7209069</vt:i4>
      </vt:variant>
      <vt:variant>
        <vt:i4>0</vt:i4>
      </vt:variant>
      <vt:variant>
        <vt:i4>0</vt:i4>
      </vt:variant>
      <vt:variant>
        <vt:i4>5</vt:i4>
      </vt:variant>
      <vt:variant>
        <vt:lpwstr>https://www.cbd.int/documents/CBD/COP/17/1/REV1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Дополнительная информация по административным и бюджетным вопросам</dc:title>
  <dc:subject>CBD/COP/17/4/Add.5-CBD/CP/MOP/12/5/Add.1-CBD/NP/MOP/6/5/Add.1</dc:subject>
  <dc:creator>Karci Aldridge Vegi</dc:creator>
  <cp:keywords>Convention on Biological Diversity</cp:keywords>
  <cp:lastModifiedBy>Mariko Nishi</cp:lastModifiedBy>
  <cp:revision>7</cp:revision>
  <cp:lastPrinted>2026-10-01T19:01:00Z</cp:lastPrinted>
  <dcterms:created xsi:type="dcterms:W3CDTF">2026-10-13T08:36:00Z</dcterms:created>
  <dcterms:modified xsi:type="dcterms:W3CDTF">2026-10-13T19:22:00Z</dcterms:modified>
  <cp:contentStatus>GENERAL</cp:contentStatus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0x0101007A328EB00E67F346B6174BE96D327B2B</vt:lpwstr>
  </property>
  <property fmtid="{D5CDD505-2E9C-101B-9397-08002B2CF9AE}" pid="3" name="CBD-Category">
    <vt:lpwstr>CBD</vt:lpwstr>
  </property>
  <property fmtid="{D5CDD505-2E9C-101B-9397-08002B2CF9AE}" pid="4" name="CBD-Language">
    <vt:lpwstr>EN</vt:lpwstr>
  </property>
  <property fmtid="{D5CDD505-2E9C-101B-9397-08002B2CF9AE}" pid="5" name="CBD-Generator">
    <vt:lpwstr>0</vt:lpwstr>
  </property>
  <property fmtid="{D5CDD505-2E9C-101B-9397-08002B2CF9AE}" pid="6" name="CBD-NoSymbol">
    <vt:lpwstr>1</vt:lpwstr>
  </property>
  <property fmtid="{D5CDD505-2E9C-101B-9397-08002B2CF9AE}" pid="7" name="CBD-LangDistr">
    <vt:lpwstr/>
  </property>
  <property fmtid="{D5CDD505-2E9C-101B-9397-08002B2CF9AE}" pid="8" name="CBD-Distr">
    <vt:lpwstr>Distr</vt:lpwstr>
  </property>
  <property fmtid="{D5CDD505-2E9C-101B-9397-08002B2CF9AE}" pid="9" name="MediaServiceImageTags">
    <vt:lpwstr/>
  </property>
  <property fmtid="{D5CDD505-2E9C-101B-9397-08002B2CF9AE}" pid="10" name="xd_ProgID">
    <vt:lpwstr/>
  </property>
  <property fmtid="{D5CDD505-2E9C-101B-9397-08002B2CF9AE}" pid="11" name="ComplianceAssetId">
    <vt:lpwstr/>
  </property>
  <property fmtid="{D5CDD505-2E9C-101B-9397-08002B2CF9AE}" pid="12" name="TemplateUrl">
    <vt:lpwstr/>
  </property>
  <property fmtid="{D5CDD505-2E9C-101B-9397-08002B2CF9AE}" pid="13" name="_ExtendedDescription">
    <vt:lpwstr/>
  </property>
  <property fmtid="{D5CDD505-2E9C-101B-9397-08002B2CF9AE}" pid="14" name="TriggerFlowInfo">
    <vt:lpwstr/>
  </property>
  <property fmtid="{D5CDD505-2E9C-101B-9397-08002B2CF9AE}" pid="15" name="xd_Signature">
    <vt:bool>false</vt:bool>
  </property>
</Properties>
</file>