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4A0" w:firstRow="1" w:lastRow="0" w:firstColumn="1" w:lastColumn="0" w:noHBand="0" w:noVBand="1"/>
      </w:tblPr>
      <w:tblGrid>
        <w:gridCol w:w="975"/>
        <w:gridCol w:w="1434"/>
        <w:gridCol w:w="8073"/>
      </w:tblGrid>
      <w:tr w:rsidR="00A47CC6" w14:paraId="114198A1" w14:textId="77777777">
        <w:trPr>
          <w:trHeight w:val="850"/>
        </w:trPr>
        <w:tc>
          <w:tcPr>
            <w:tcW w:w="975" w:type="dxa"/>
            <w:vAlign w:val="bottom"/>
          </w:tcPr>
          <w:p w14:paraId="5A8208E4" w14:textId="77777777" w:rsidR="00A47CC6" w:rsidRDefault="001643AF">
            <w:pPr>
              <w:pStyle w:val="AASmallLogo"/>
            </w:pPr>
            <w:r>
              <w:rPr>
                <w:noProof/>
                <w:lang w:val="ru"/>
              </w:rPr>
              <w:drawing>
                <wp:inline distT="0" distB="0" distL="0" distR="0" wp14:anchorId="517BCF76" wp14:editId="15D2C29A">
                  <wp:extent cx="474345" cy="401955"/>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Picture 1"/>
                          <pic:cNvPicPr/>
                        </pic:nvPicPr>
                        <pic:blipFill>
                          <a:blip r:embed="rId12"/>
                          <a:stretch>
                            <a:fillRect/>
                          </a:stretch>
                        </pic:blipFill>
                        <pic:spPr>
                          <a:xfrm>
                            <a:off x="0" y="0"/>
                            <a:ext cx="474727" cy="402337"/>
                          </a:xfrm>
                          <a:prstGeom prst="rect">
                            <a:avLst/>
                          </a:prstGeom>
                        </pic:spPr>
                      </pic:pic>
                    </a:graphicData>
                  </a:graphic>
                </wp:inline>
              </w:drawing>
            </w:r>
            <w:r>
              <w:rPr>
                <w:lang w:val="ru"/>
              </w:rPr>
              <w:t xml:space="preserve"> </w:t>
            </w:r>
          </w:p>
          <w:p w14:paraId="499BFE80" w14:textId="77777777" w:rsidR="00A47CC6" w:rsidRDefault="00A47CC6">
            <w:pPr>
              <w:pStyle w:val="AASmallLogo"/>
            </w:pPr>
          </w:p>
        </w:tc>
        <w:tc>
          <w:tcPr>
            <w:tcW w:w="1434" w:type="dxa"/>
            <w:noWrap/>
            <w:vAlign w:val="bottom"/>
          </w:tcPr>
          <w:p w14:paraId="007F4F05" w14:textId="30D0A80A" w:rsidR="00A47CC6" w:rsidRDefault="00E42671">
            <w:pPr>
              <w:pStyle w:val="AASmallLogo"/>
            </w:pPr>
            <w:r w:rsidRPr="00360A23">
              <w:rPr>
                <w:noProof/>
                <w:lang w:eastAsia="ru-RU"/>
              </w:rPr>
              <w:drawing>
                <wp:inline distT="0" distB="0" distL="0" distR="0" wp14:anchorId="4FCB4BAB" wp14:editId="4522B643">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1643AF">
              <w:rPr>
                <w:lang w:val="ru"/>
              </w:rPr>
              <w:t xml:space="preserve"> </w:t>
            </w:r>
          </w:p>
          <w:p w14:paraId="2F07101D" w14:textId="77777777" w:rsidR="00A47CC6" w:rsidRDefault="00A47CC6">
            <w:pPr>
              <w:pStyle w:val="AASmallLogo"/>
            </w:pPr>
          </w:p>
        </w:tc>
        <w:tc>
          <w:tcPr>
            <w:tcW w:w="8073" w:type="dxa"/>
            <w:vAlign w:val="bottom"/>
          </w:tcPr>
          <w:p w14:paraId="3D020333" w14:textId="40F3F629" w:rsidR="00A47CC6" w:rsidRDefault="001643AF">
            <w:pPr>
              <w:pStyle w:val="ABSymbol"/>
            </w:pPr>
            <w:r>
              <w:rPr>
                <w:sz w:val="40"/>
                <w:lang w:val="ru"/>
              </w:rPr>
              <w:t>CBD</w:t>
            </w:r>
            <w:r>
              <w:rPr>
                <w:lang w:val="ru"/>
              </w:rPr>
              <w:t>/CP/MOP/12/3</w:t>
            </w:r>
          </w:p>
        </w:tc>
      </w:tr>
    </w:tbl>
    <w:p w14:paraId="1C89133C" w14:textId="77777777" w:rsidR="00A47CC6" w:rsidRDefault="00A47CC6">
      <w:pPr>
        <w:pStyle w:val="AISpacer"/>
      </w:pPr>
    </w:p>
    <w:tbl>
      <w:tblPr>
        <w:tblW w:w="10482" w:type="dxa"/>
        <w:tblInd w:w="-283" w:type="dxa"/>
        <w:tblBorders>
          <w:top w:val="single" w:sz="8" w:space="0" w:color="auto"/>
          <w:bottom w:val="single" w:sz="12" w:space="0" w:color="auto"/>
        </w:tblBorders>
        <w:tblLayout w:type="fixed"/>
        <w:tblLook w:val="04A0" w:firstRow="1" w:lastRow="0" w:firstColumn="1" w:lastColumn="0" w:noHBand="0" w:noVBand="1"/>
      </w:tblPr>
      <w:tblGrid>
        <w:gridCol w:w="7370"/>
        <w:gridCol w:w="3112"/>
      </w:tblGrid>
      <w:tr w:rsidR="00A47CC6" w14:paraId="7A9C3768" w14:textId="77777777">
        <w:trPr>
          <w:trHeight w:val="1814"/>
        </w:trPr>
        <w:tc>
          <w:tcPr>
            <w:tcW w:w="7370" w:type="dxa"/>
          </w:tcPr>
          <w:p w14:paraId="51B3A7DB" w14:textId="0F3DB549" w:rsidR="00A47CC6" w:rsidRDefault="00E42671">
            <w:pPr>
              <w:pStyle w:val="ACLargeLogo"/>
            </w:pPr>
            <w:r w:rsidRPr="001E2C8A">
              <w:rPr>
                <w:noProof/>
                <w:snapToGrid w:val="0"/>
                <w:kern w:val="22"/>
                <w:lang w:eastAsia="ru-RU"/>
              </w:rPr>
              <w:drawing>
                <wp:inline distT="0" distB="0" distL="0" distR="0" wp14:anchorId="4D607182" wp14:editId="07EF66B7">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001643AF">
              <w:rPr>
                <w:lang w:val="ru"/>
              </w:rPr>
              <w:t xml:space="preserve"> </w:t>
            </w:r>
          </w:p>
          <w:p w14:paraId="743B6C33" w14:textId="77777777" w:rsidR="00A47CC6" w:rsidRDefault="00A47CC6">
            <w:pPr>
              <w:pStyle w:val="ACLargeLogo"/>
            </w:pPr>
          </w:p>
        </w:tc>
        <w:tc>
          <w:tcPr>
            <w:tcW w:w="3112" w:type="dxa"/>
          </w:tcPr>
          <w:p w14:paraId="26B2D318" w14:textId="77777777" w:rsidR="00A47CC6" w:rsidRDefault="001643AF">
            <w:pPr>
              <w:pStyle w:val="AEDistrNormal"/>
            </w:pPr>
            <w:r>
              <w:rPr>
                <w:lang w:val="ru"/>
              </w:rPr>
              <w:t xml:space="preserve">Distr.: General </w:t>
            </w:r>
          </w:p>
          <w:p w14:paraId="35590F38" w14:textId="77777777" w:rsidR="00A47CC6" w:rsidRDefault="001643AF">
            <w:pPr>
              <w:pStyle w:val="AEDistrNormal"/>
              <w:rPr>
                <w:lang w:val="ru"/>
              </w:rPr>
            </w:pPr>
            <w:r>
              <w:rPr>
                <w:lang w:val="ru"/>
              </w:rPr>
              <w:t xml:space="preserve">12 </w:t>
            </w:r>
            <w:proofErr w:type="spellStart"/>
            <w:r>
              <w:rPr>
                <w:lang w:val="ru"/>
              </w:rPr>
              <w:t>June</w:t>
            </w:r>
            <w:proofErr w:type="spellEnd"/>
            <w:r>
              <w:rPr>
                <w:lang w:val="ru"/>
              </w:rPr>
              <w:t xml:space="preserve"> 2026</w:t>
            </w:r>
          </w:p>
          <w:p w14:paraId="34A9A678" w14:textId="287E4662" w:rsidR="00A47CC6" w:rsidRDefault="00E42671" w:rsidP="00E42671">
            <w:pPr>
              <w:pStyle w:val="AEDistrNormal"/>
            </w:pPr>
            <w:r>
              <w:rPr>
                <w:lang w:val="fr-FR"/>
              </w:rPr>
              <w:t>Russian</w:t>
            </w:r>
            <w:r>
              <w:rPr>
                <w:lang w:val="fr-FR"/>
              </w:rPr>
              <w:br/>
            </w:r>
            <w:proofErr w:type="spellStart"/>
            <w:r w:rsidR="001643AF">
              <w:rPr>
                <w:lang w:val="ru"/>
              </w:rPr>
              <w:t>Original</w:t>
            </w:r>
            <w:proofErr w:type="spellEnd"/>
            <w:r w:rsidR="001643AF">
              <w:rPr>
                <w:lang w:val="ru"/>
              </w:rPr>
              <w:t xml:space="preserve">: English </w:t>
            </w:r>
          </w:p>
          <w:p w14:paraId="6B641C3D" w14:textId="77777777" w:rsidR="00A47CC6" w:rsidRDefault="00A47CC6">
            <w:pPr>
              <w:pStyle w:val="AEDistrNormal6pt"/>
            </w:pPr>
          </w:p>
        </w:tc>
      </w:tr>
    </w:tbl>
    <w:p w14:paraId="56069CAC" w14:textId="77777777" w:rsidR="00A47CC6" w:rsidRDefault="00A47CC6">
      <w:pPr>
        <w:pStyle w:val="AISpacer"/>
      </w:pPr>
    </w:p>
    <w:tbl>
      <w:tblPr>
        <w:tblW w:w="10482" w:type="dxa"/>
        <w:tblInd w:w="-283" w:type="dxa"/>
        <w:tblLayout w:type="fixed"/>
        <w:tblCellMar>
          <w:left w:w="283" w:type="dxa"/>
        </w:tblCellMar>
        <w:tblLook w:val="04A0" w:firstRow="1" w:lastRow="0" w:firstColumn="1" w:lastColumn="0" w:noHBand="0" w:noVBand="1"/>
      </w:tblPr>
      <w:tblGrid>
        <w:gridCol w:w="6094"/>
        <w:gridCol w:w="4388"/>
      </w:tblGrid>
      <w:tr w:rsidR="00A47CC6" w14:paraId="01D9F63E" w14:textId="77777777">
        <w:trPr>
          <w:trHeight w:val="57"/>
        </w:trPr>
        <w:tc>
          <w:tcPr>
            <w:tcW w:w="6094" w:type="dxa"/>
          </w:tcPr>
          <w:p w14:paraId="6DA4E941" w14:textId="77777777" w:rsidR="00A47CC6" w:rsidRPr="00E42671" w:rsidRDefault="001643AF">
            <w:pPr>
              <w:pStyle w:val="AFCorN12Bold"/>
              <w:rPr>
                <w:bCs/>
                <w:lang w:val="ru-RU"/>
              </w:rPr>
            </w:pPr>
            <w:r>
              <w:rPr>
                <w:bCs/>
                <w:lang w:val="ru"/>
              </w:rPr>
              <w:t xml:space="preserve">Конференция Сторон Конвенции о биологическом разнообразии, выступающая в качестве совещания Сторон </w:t>
            </w:r>
            <w:proofErr w:type="spellStart"/>
            <w:r>
              <w:rPr>
                <w:bCs/>
                <w:lang w:val="ru"/>
              </w:rPr>
              <w:t>Картахенского</w:t>
            </w:r>
            <w:proofErr w:type="spellEnd"/>
            <w:r>
              <w:rPr>
                <w:bCs/>
                <w:lang w:val="ru"/>
              </w:rPr>
              <w:t xml:space="preserve"> протокола по биобезопасности</w:t>
            </w:r>
          </w:p>
          <w:p w14:paraId="3C463023" w14:textId="77777777" w:rsidR="00A47CC6" w:rsidRPr="00E42671" w:rsidRDefault="001643AF">
            <w:pPr>
              <w:pStyle w:val="Venuedate"/>
              <w:ind w:right="2280"/>
              <w:rPr>
                <w:b/>
                <w:bCs w:val="0"/>
                <w:sz w:val="24"/>
                <w:lang w:val="ru-RU"/>
              </w:rPr>
            </w:pPr>
            <w:r>
              <w:rPr>
                <w:b/>
                <w:sz w:val="24"/>
                <w:lang w:val="ru"/>
              </w:rPr>
              <w:t>Двенадцатое совещание</w:t>
            </w:r>
          </w:p>
          <w:p w14:paraId="0A8F23C7" w14:textId="08D6D3A9" w:rsidR="00A47CC6" w:rsidRPr="00E42671" w:rsidRDefault="001643AF">
            <w:pPr>
              <w:pStyle w:val="Venuedate"/>
              <w:ind w:right="2280"/>
              <w:rPr>
                <w:lang w:val="ru-RU"/>
              </w:rPr>
            </w:pPr>
            <w:r>
              <w:rPr>
                <w:bCs w:val="0"/>
                <w:lang w:val="ru"/>
              </w:rPr>
              <w:t>Ереван, 19-30 октября 2026 года</w:t>
            </w:r>
          </w:p>
          <w:p w14:paraId="553D1824" w14:textId="4802A383" w:rsidR="00A47CC6" w:rsidRPr="00E42671" w:rsidRDefault="001643AF">
            <w:pPr>
              <w:pStyle w:val="AFCorNNormal"/>
              <w:rPr>
                <w:lang w:val="ru-RU"/>
              </w:rPr>
            </w:pPr>
            <w:r>
              <w:rPr>
                <w:lang w:val="ru"/>
              </w:rPr>
              <w:t>Пункт 5 предварительной повестки</w:t>
            </w:r>
            <w:r>
              <w:rPr>
                <w:rStyle w:val="FootnoteReference"/>
                <w:lang w:val="ru"/>
              </w:rPr>
              <w:footnoteReference w:customMarkFollows="1" w:id="1"/>
              <w:t>*</w:t>
            </w:r>
          </w:p>
          <w:p w14:paraId="0022DB14" w14:textId="34D42F4F" w:rsidR="00A47CC6" w:rsidRDefault="001643AF">
            <w:pPr>
              <w:pStyle w:val="AFCorNBold"/>
            </w:pPr>
            <w:r>
              <w:rPr>
                <w:bCs/>
                <w:lang w:val="ru"/>
              </w:rPr>
              <w:t>Доклад Комитета по соблюдению</w:t>
            </w:r>
          </w:p>
        </w:tc>
        <w:tc>
          <w:tcPr>
            <w:tcW w:w="4388" w:type="dxa"/>
          </w:tcPr>
          <w:p w14:paraId="543B4BDB" w14:textId="77777777" w:rsidR="00A47CC6" w:rsidRDefault="00A47CC6">
            <w:pPr>
              <w:pStyle w:val="CBDNormal"/>
              <w:jc w:val="left"/>
            </w:pPr>
          </w:p>
        </w:tc>
      </w:tr>
    </w:tbl>
    <w:p w14:paraId="21C856AE" w14:textId="51951006" w:rsidR="00A47CC6" w:rsidRPr="00E42671" w:rsidRDefault="00E42671">
      <w:pPr>
        <w:pStyle w:val="CBDTitle"/>
        <w:rPr>
          <w:caps/>
          <w:lang w:val="ru-RU"/>
        </w:rPr>
      </w:pPr>
      <w:sdt>
        <w:sdtPr>
          <w:rPr>
            <w:lang w:val="ru-RU"/>
          </w:rPr>
          <w:alias w:val="Title"/>
          <w:id w:val="772832786"/>
          <w:placeholder>
            <w:docPart w:val="50D39685AEA345639560464042483489"/>
          </w:placeholder>
          <w:dataBinding w:prefixMappings="xmlns:ns0='http://purl.org/dc/elements/1.1/' xmlns:ns1='http://schemas.openxmlformats.org/package/2006/metadata/core-properties' " w:xpath="/ns1:coreProperties[1]/ns0:title[1]" w:storeItemID="{6C3C8BC8-F283-45AE-878A-BAB7291924A1}"/>
          <w:text/>
        </w:sdtPr>
        <w:sdtContent>
          <w:r w:rsidRPr="00E42671">
            <w:rPr>
              <w:lang w:val="ru-RU"/>
            </w:rPr>
            <w:t xml:space="preserve">Доклад Комитета по соблюдению в рамках </w:t>
          </w:r>
          <w:proofErr w:type="spellStart"/>
          <w:r w:rsidRPr="00E42671">
            <w:rPr>
              <w:lang w:val="ru-RU"/>
            </w:rPr>
            <w:t>Картахенского</w:t>
          </w:r>
          <w:proofErr w:type="spellEnd"/>
          <w:r w:rsidRPr="00E42671">
            <w:rPr>
              <w:lang w:val="ru-RU"/>
            </w:rPr>
            <w:t xml:space="preserve"> протокола по биобезопасности о работе его 20-го и 21-го совещаний</w:t>
          </w:r>
        </w:sdtContent>
      </w:sdt>
      <w:r w:rsidR="00404BF4" w:rsidRPr="00E42671">
        <w:rPr>
          <w:bCs/>
          <w:caps/>
          <w:lang w:val="ru-RU"/>
        </w:rPr>
        <w:t xml:space="preserve"> </w:t>
      </w:r>
    </w:p>
    <w:p w14:paraId="031E9888" w14:textId="181BAC2C" w:rsidR="00950471" w:rsidRDefault="00950471" w:rsidP="00F95C52">
      <w:pPr>
        <w:pStyle w:val="CBDH1"/>
        <w:numPr>
          <w:ilvl w:val="0"/>
          <w:numId w:val="12"/>
        </w:numPr>
      </w:pPr>
      <w:r>
        <w:rPr>
          <w:bCs/>
          <w:lang w:val="ru"/>
        </w:rPr>
        <w:t>Введение</w:t>
      </w:r>
    </w:p>
    <w:p w14:paraId="6D357177" w14:textId="6E6BD478" w:rsidR="00A47CC6" w:rsidRDefault="001643AF">
      <w:pPr>
        <w:pStyle w:val="CBDNormalNumber"/>
        <w:numPr>
          <w:ilvl w:val="0"/>
          <w:numId w:val="6"/>
        </w:numPr>
        <w:tabs>
          <w:tab w:val="clear" w:pos="567"/>
          <w:tab w:val="clear" w:pos="1134"/>
          <w:tab w:val="left" w:pos="1350"/>
          <w:tab w:val="left" w:pos="1620"/>
        </w:tabs>
        <w:ind w:left="630" w:firstLine="0"/>
      </w:pPr>
      <w:r>
        <w:rPr>
          <w:lang w:val="ru"/>
        </w:rPr>
        <w:t>В межсессионный период после окончания 11-го совещания Конференции Сторон Конвенции о биологическом разнообразии, выступающей в качестве совещания Сторон Картахенского протокола по биобезопасности, Комитет по соблюдению в рамках Картахенского протокола провел два совещания: 20-е совещание в период с 27 по 29 мая 2025 года и 21-е совещание в период с 10 по 12 июня 2026 года. Оба совещания проходили в помещениях секретариата в Монреале, Канада.</w:t>
      </w:r>
    </w:p>
    <w:p w14:paraId="67454875" w14:textId="052FAE8B" w:rsidR="00A47CC6" w:rsidRPr="00E42671" w:rsidRDefault="001643AF">
      <w:pPr>
        <w:pStyle w:val="CBDNormalNumber"/>
        <w:numPr>
          <w:ilvl w:val="0"/>
          <w:numId w:val="6"/>
        </w:numPr>
        <w:tabs>
          <w:tab w:val="clear" w:pos="567"/>
          <w:tab w:val="clear" w:pos="1134"/>
          <w:tab w:val="left" w:pos="1350"/>
          <w:tab w:val="left" w:pos="1620"/>
        </w:tabs>
        <w:ind w:left="630" w:firstLine="0"/>
        <w:rPr>
          <w:lang w:val="ru-RU"/>
        </w:rPr>
      </w:pPr>
      <w:r>
        <w:rPr>
          <w:lang w:val="ru"/>
        </w:rPr>
        <w:t xml:space="preserve">В настоящем документе содержится сводный обзор дискуссий и итогов этих двух совещаний. Рекомендации Комитета для Конференции Сторон, выступающей в качестве совещания Сторон Протокола, приводятся в приложении I к настоящему докладу. </w:t>
      </w:r>
    </w:p>
    <w:p w14:paraId="008E49D1" w14:textId="39C300FF" w:rsidR="004A3499" w:rsidRPr="00E42671" w:rsidRDefault="004A3499" w:rsidP="004A3499">
      <w:pPr>
        <w:pStyle w:val="CBDNormalNumber"/>
        <w:numPr>
          <w:ilvl w:val="0"/>
          <w:numId w:val="6"/>
        </w:numPr>
        <w:tabs>
          <w:tab w:val="clear" w:pos="567"/>
          <w:tab w:val="clear" w:pos="1134"/>
          <w:tab w:val="left" w:pos="1350"/>
          <w:tab w:val="left" w:pos="1620"/>
        </w:tabs>
        <w:ind w:left="630" w:firstLine="0"/>
        <w:rPr>
          <w:lang w:val="ru-RU"/>
        </w:rPr>
      </w:pPr>
      <w:r>
        <w:rPr>
          <w:lang w:val="ru"/>
        </w:rPr>
        <w:t>Полные тексты докладов Комитета о работе его 20-го и 21-го совещаний</w:t>
      </w:r>
      <w:r w:rsidR="00E42671">
        <w:rPr>
          <w:rStyle w:val="FootnoteReference"/>
          <w:lang w:val="ru"/>
        </w:rPr>
        <w:footnoteReference w:id="2"/>
      </w:r>
      <w:r>
        <w:rPr>
          <w:lang w:val="ru"/>
        </w:rPr>
        <w:t xml:space="preserve">, а также рабочие документы для каждого совещания доступны на </w:t>
      </w:r>
      <w:hyperlink r:id="rId15" w:history="1">
        <w:r>
          <w:rPr>
            <w:rStyle w:val="Hyperlink"/>
            <w:color w:val="auto"/>
            <w:u w:val="none"/>
            <w:lang w:val="ru"/>
          </w:rPr>
          <w:t>веб-сайте</w:t>
        </w:r>
      </w:hyperlink>
      <w:r>
        <w:rPr>
          <w:rStyle w:val="Hyperlink"/>
          <w:color w:val="auto"/>
          <w:u w:val="none"/>
          <w:lang w:val="ru"/>
        </w:rPr>
        <w:t xml:space="preserve"> </w:t>
      </w:r>
      <w:r>
        <w:rPr>
          <w:lang w:val="ru"/>
        </w:rPr>
        <w:t>секретариата.</w:t>
      </w:r>
    </w:p>
    <w:p w14:paraId="426F756F" w14:textId="01A2F91E" w:rsidR="00F15B15" w:rsidRPr="008431C9" w:rsidRDefault="00C81C90" w:rsidP="00F95C52">
      <w:pPr>
        <w:pStyle w:val="CBDH1"/>
        <w:numPr>
          <w:ilvl w:val="0"/>
          <w:numId w:val="12"/>
        </w:numPr>
        <w:rPr>
          <w:rFonts w:asciiTheme="majorBidi" w:eastAsia="Times New Roman" w:hAnsiTheme="majorBidi" w:cstheme="majorBidi"/>
          <w:sz w:val="24"/>
          <w:szCs w:val="24"/>
          <w:lang w:val="ru-RU"/>
        </w:rPr>
      </w:pPr>
      <w:r>
        <w:rPr>
          <w:rFonts w:asciiTheme="majorBidi" w:hAnsiTheme="majorBidi" w:cstheme="majorBidi"/>
          <w:bCs/>
          <w:lang w:val="ru"/>
        </w:rPr>
        <w:t>Сводный обзор дискуссий и итогов</w:t>
      </w:r>
    </w:p>
    <w:p w14:paraId="699216FA" w14:textId="37DA2554" w:rsidR="00A47CC6" w:rsidRPr="00E42671" w:rsidRDefault="001643AF">
      <w:pPr>
        <w:pStyle w:val="CBDNormalNumber"/>
        <w:numPr>
          <w:ilvl w:val="0"/>
          <w:numId w:val="6"/>
        </w:numPr>
        <w:tabs>
          <w:tab w:val="clear" w:pos="567"/>
          <w:tab w:val="clear" w:pos="1134"/>
          <w:tab w:val="left" w:pos="1350"/>
          <w:tab w:val="left" w:pos="1620"/>
        </w:tabs>
        <w:ind w:left="630" w:firstLine="0"/>
        <w:rPr>
          <w:rFonts w:asciiTheme="majorBidi" w:eastAsia="Times New Roman" w:hAnsiTheme="majorBidi" w:cstheme="majorBidi"/>
          <w:sz w:val="24"/>
          <w:szCs w:val="24"/>
          <w:lang w:val="ru-RU"/>
        </w:rPr>
      </w:pPr>
      <w:r>
        <w:rPr>
          <w:lang w:val="ru"/>
        </w:rPr>
        <w:t xml:space="preserve">На 12-м совещании Комитет избрал г-жу Янь Лю Председателем и Каспера Линнестада заместителем Председателя в соответствии с правилом 12.1 правил процедуры совещаний </w:t>
      </w:r>
      <w:r>
        <w:rPr>
          <w:rFonts w:asciiTheme="majorBidi" w:hAnsiTheme="majorBidi"/>
          <w:lang w:val="ru"/>
        </w:rPr>
        <w:t>Комитета</w:t>
      </w:r>
      <w:r>
        <w:rPr>
          <w:lang w:val="ru"/>
        </w:rPr>
        <w:t xml:space="preserve"> по соблюдению.</w:t>
      </w:r>
    </w:p>
    <w:p w14:paraId="30F649E4" w14:textId="08703DD3" w:rsidR="00A47CC6" w:rsidRPr="00E42671" w:rsidRDefault="001643AF">
      <w:pPr>
        <w:pStyle w:val="CBDNormalNumber"/>
        <w:numPr>
          <w:ilvl w:val="0"/>
          <w:numId w:val="6"/>
        </w:numPr>
        <w:tabs>
          <w:tab w:val="clear" w:pos="567"/>
          <w:tab w:val="clear" w:pos="1134"/>
          <w:tab w:val="left" w:pos="1350"/>
          <w:tab w:val="left" w:pos="1620"/>
        </w:tabs>
        <w:ind w:left="630" w:firstLine="0"/>
        <w:rPr>
          <w:rFonts w:asciiTheme="majorBidi" w:hAnsiTheme="majorBidi" w:cstheme="majorBidi"/>
          <w:lang w:val="ru-RU"/>
        </w:rPr>
      </w:pPr>
      <w:r>
        <w:rPr>
          <w:rFonts w:asciiTheme="majorBidi" w:hAnsiTheme="majorBidi" w:cstheme="majorBidi"/>
          <w:lang w:val="ru"/>
        </w:rPr>
        <w:t xml:space="preserve">На том же совещании Комитет рассмотрел итоги 11-го совещания </w:t>
      </w:r>
      <w:bookmarkStart w:id="0" w:name="_Hlk166443072"/>
      <w:r>
        <w:rPr>
          <w:rFonts w:asciiTheme="majorBidi" w:hAnsiTheme="majorBidi" w:cstheme="majorBidi"/>
          <w:lang w:val="ru"/>
        </w:rPr>
        <w:t>Конференции Сторон, выступающей в качестве совещания Сторон Протокола</w:t>
      </w:r>
      <w:bookmarkEnd w:id="0"/>
      <w:r>
        <w:rPr>
          <w:rFonts w:asciiTheme="majorBidi" w:hAnsiTheme="majorBidi" w:cstheme="majorBidi"/>
          <w:lang w:val="ru"/>
        </w:rPr>
        <w:t xml:space="preserve">, в отношении пунктов, касающихся соблюдения, и приветствовал </w:t>
      </w:r>
      <w:r>
        <w:rPr>
          <w:rFonts w:asciiTheme="majorBidi" w:hAnsiTheme="majorBidi" w:cstheme="majorBidi"/>
          <w:shd w:val="clear" w:color="auto" w:fill="FFFFFF"/>
          <w:lang w:val="ru"/>
        </w:rPr>
        <w:t>положительные итоги рассмотрения Конференцией Сторон, выступающей в качестве совещания Сторон Протокола, подготовленных им рекомендаций, а также небольшое число внесенных правок. В ходе обсуждения решения </w:t>
      </w:r>
      <w:hyperlink r:id="rId16" w:history="1">
        <w:r>
          <w:rPr>
            <w:rStyle w:val="Hyperlink"/>
            <w:lang w:val="ru"/>
          </w:rPr>
          <w:t>CP-11</w:t>
        </w:r>
        <w:r>
          <w:rPr>
            <w:rStyle w:val="Hyperlink"/>
            <w:lang w:val="ru"/>
          </w:rPr>
          <w:t>/</w:t>
        </w:r>
        <w:r>
          <w:rPr>
            <w:rStyle w:val="Hyperlink"/>
            <w:lang w:val="ru"/>
          </w:rPr>
          <w:t>1 B</w:t>
        </w:r>
      </w:hyperlink>
      <w:r>
        <w:rPr>
          <w:rFonts w:asciiTheme="majorBidi" w:hAnsiTheme="majorBidi" w:cstheme="majorBidi"/>
          <w:shd w:val="clear" w:color="auto" w:fill="FFFFFF"/>
          <w:lang w:val="ru"/>
        </w:rPr>
        <w:t xml:space="preserve"> Комитет отметил, что его рекомендация вынести предупреждение семи Сторонам, по всей вероятности, способствовала представлению </w:t>
      </w:r>
      <w:r>
        <w:rPr>
          <w:rFonts w:asciiTheme="majorBidi" w:hAnsiTheme="majorBidi" w:cstheme="majorBidi"/>
          <w:shd w:val="clear" w:color="auto" w:fill="FFFFFF"/>
          <w:lang w:val="ru"/>
        </w:rPr>
        <w:lastRenderedPageBreak/>
        <w:t>четырьмя из этих Сторон четырех национальных докладов до начала 11-го совещания Конференции Сторон, выступающей в качестве совещания Сторон Протокола.</w:t>
      </w:r>
    </w:p>
    <w:p w14:paraId="24217D37" w14:textId="4B03C3BF" w:rsidR="00A47CC6" w:rsidRPr="00E42671" w:rsidRDefault="001643AF">
      <w:pPr>
        <w:pStyle w:val="CBDNormalNumber"/>
        <w:numPr>
          <w:ilvl w:val="0"/>
          <w:numId w:val="6"/>
        </w:numPr>
        <w:tabs>
          <w:tab w:val="clear" w:pos="567"/>
          <w:tab w:val="clear" w:pos="1134"/>
          <w:tab w:val="left" w:pos="1350"/>
          <w:tab w:val="left" w:pos="1620"/>
        </w:tabs>
        <w:ind w:left="630" w:firstLine="0"/>
        <w:rPr>
          <w:lang w:val="ru-RU"/>
        </w:rPr>
      </w:pPr>
      <w:r>
        <w:rPr>
          <w:rFonts w:asciiTheme="majorBidi" w:hAnsiTheme="majorBidi" w:cstheme="majorBidi"/>
          <w:shd w:val="clear" w:color="auto" w:fill="FFFFFF"/>
          <w:lang w:val="ru"/>
        </w:rPr>
        <w:t xml:space="preserve">Комитет с удовлетворением отметил дискуссии, проведенные по его рекомендации </w:t>
      </w:r>
      <w:r>
        <w:rPr>
          <w:rFonts w:asciiTheme="majorBidi" w:hAnsiTheme="majorBidi" w:cstheme="majorBidi"/>
          <w:lang w:val="ru"/>
        </w:rPr>
        <w:t>Конференцией Сторон, выступающей в качестве совещания Сторон Протокола</w:t>
      </w:r>
      <w:r>
        <w:rPr>
          <w:rFonts w:asciiTheme="majorBidi" w:hAnsiTheme="majorBidi" w:cstheme="majorBidi"/>
          <w:shd w:val="clear" w:color="auto" w:fill="FFFFFF"/>
          <w:lang w:val="ru"/>
        </w:rPr>
        <w:t>, по вопросу о последствиях расхождений в толковании понятия «живой измененный организм» и различий в подходах на законодательном уровне, и последовавшее за ними принятие решения </w:t>
      </w:r>
      <w:hyperlink r:id="rId17" w:history="1">
        <w:r>
          <w:rPr>
            <w:rStyle w:val="Hyperlink"/>
            <w:rFonts w:asciiTheme="majorBidi" w:hAnsiTheme="majorBidi" w:cstheme="majorBidi"/>
            <w:shd w:val="clear" w:color="auto" w:fill="FFFFFF"/>
            <w:lang w:val="ru"/>
          </w:rPr>
          <w:t>C</w:t>
        </w:r>
        <w:r>
          <w:rPr>
            <w:rStyle w:val="Hyperlink"/>
            <w:rFonts w:asciiTheme="majorBidi" w:hAnsiTheme="majorBidi" w:cstheme="majorBidi"/>
            <w:shd w:val="clear" w:color="auto" w:fill="FFFFFF"/>
            <w:lang w:val="ru"/>
          </w:rPr>
          <w:t>P</w:t>
        </w:r>
        <w:r>
          <w:rPr>
            <w:rStyle w:val="Hyperlink"/>
            <w:rFonts w:asciiTheme="majorBidi" w:hAnsiTheme="majorBidi" w:cstheme="majorBidi"/>
            <w:shd w:val="clear" w:color="auto" w:fill="FFFFFF"/>
            <w:lang w:val="ru"/>
          </w:rPr>
          <w:t>-11/1</w:t>
        </w:r>
        <w:r>
          <w:rPr>
            <w:rStyle w:val="Hyperlink"/>
            <w:lang w:val="ru"/>
          </w:rPr>
          <w:t> C</w:t>
        </w:r>
      </w:hyperlink>
      <w:r>
        <w:rPr>
          <w:rFonts w:asciiTheme="majorBidi" w:hAnsiTheme="majorBidi" w:cstheme="majorBidi"/>
          <w:shd w:val="clear" w:color="auto" w:fill="FFFFFF"/>
          <w:lang w:val="ru"/>
        </w:rPr>
        <w:t xml:space="preserve">. </w:t>
      </w:r>
    </w:p>
    <w:p w14:paraId="38333D2B" w14:textId="11A0E480" w:rsidR="00A47CC6" w:rsidRPr="00E42671" w:rsidRDefault="00C81C90">
      <w:pPr>
        <w:pStyle w:val="CBDNormalNumber"/>
        <w:numPr>
          <w:ilvl w:val="0"/>
          <w:numId w:val="6"/>
        </w:numPr>
        <w:tabs>
          <w:tab w:val="clear" w:pos="567"/>
          <w:tab w:val="clear" w:pos="1134"/>
          <w:tab w:val="left" w:pos="1350"/>
          <w:tab w:val="left" w:pos="1620"/>
        </w:tabs>
        <w:ind w:left="630" w:firstLine="0"/>
        <w:rPr>
          <w:lang w:val="ru-RU"/>
        </w:rPr>
      </w:pPr>
      <w:r>
        <w:rPr>
          <w:rFonts w:asciiTheme="majorBidi" w:hAnsiTheme="majorBidi"/>
          <w:shd w:val="clear" w:color="auto" w:fill="FFFFFF"/>
          <w:lang w:val="ru"/>
        </w:rPr>
        <w:t xml:space="preserve">Также на своем 20-м совещании Комитет провел обзор соблюдения Сторонами обязательств, опираясь на содержащуюся в Механизме посредничества по биобезопасности информацию. Он приветствовал постоянные усилия Сторон по поддержанию точности и полноты информации в Механизме посредничества по биобезопасности и поручил Исполнительному секретарю продолжать работу со Сторонами и взаимодействовать с ними по этому вопросу. Кроме того, он представил в этой связи ряд рекомендаций для рассмотрения </w:t>
      </w:r>
      <w:r>
        <w:rPr>
          <w:lang w:val="ru"/>
        </w:rPr>
        <w:t>Конференцией Сторон, выступающей в качестве совещания Сторон Протокола</w:t>
      </w:r>
      <w:r>
        <w:rPr>
          <w:rFonts w:asciiTheme="majorBidi" w:hAnsiTheme="majorBidi"/>
          <w:shd w:val="clear" w:color="auto" w:fill="FFFFFF"/>
          <w:lang w:val="ru"/>
        </w:rPr>
        <w:t>, на ее 12-м совещании, как указано в приложении I ниже.</w:t>
      </w:r>
    </w:p>
    <w:p w14:paraId="496012D5" w14:textId="6F049045" w:rsidR="00A47CC6" w:rsidRPr="00E42671" w:rsidRDefault="001643AF">
      <w:pPr>
        <w:pStyle w:val="CBDNormalNumber"/>
        <w:numPr>
          <w:ilvl w:val="0"/>
          <w:numId w:val="6"/>
        </w:numPr>
        <w:tabs>
          <w:tab w:val="clear" w:pos="567"/>
          <w:tab w:val="clear" w:pos="1134"/>
          <w:tab w:val="left" w:pos="1350"/>
          <w:tab w:val="left" w:pos="1620"/>
        </w:tabs>
        <w:ind w:left="630" w:firstLine="0"/>
        <w:rPr>
          <w:lang w:val="ru-RU"/>
        </w:rPr>
      </w:pPr>
      <w:r>
        <w:rPr>
          <w:rFonts w:asciiTheme="majorBidi" w:hAnsiTheme="majorBidi"/>
          <w:shd w:val="clear" w:color="auto" w:fill="FFFFFF"/>
          <w:lang w:val="ru"/>
        </w:rPr>
        <w:t>На том же совещании Комитет рассмотрел общие вопросы соблюдения</w:t>
      </w:r>
      <w:r>
        <w:rPr>
          <w:lang w:val="ru"/>
        </w:rPr>
        <w:t xml:space="preserve"> и постановил принять ряд последующих мер, касающихся соблюдения обязательств Сторонами, уделив особое внимание обязательству принимать необходимые меры с целью осуществления Протокола и обязательству представлять национальные доклады. </w:t>
      </w:r>
    </w:p>
    <w:p w14:paraId="477CC874" w14:textId="375F3CBB" w:rsidR="00A47CC6" w:rsidRPr="00E42671" w:rsidRDefault="000F51E6">
      <w:pPr>
        <w:pStyle w:val="CBDNormalNumber"/>
        <w:numPr>
          <w:ilvl w:val="0"/>
          <w:numId w:val="6"/>
        </w:numPr>
        <w:tabs>
          <w:tab w:val="clear" w:pos="567"/>
          <w:tab w:val="clear" w:pos="1134"/>
          <w:tab w:val="left" w:pos="1350"/>
          <w:tab w:val="left" w:pos="1620"/>
        </w:tabs>
        <w:ind w:left="630" w:firstLine="0"/>
        <w:rPr>
          <w:lang w:val="ru-RU"/>
        </w:rPr>
      </w:pPr>
      <w:r>
        <w:rPr>
          <w:lang w:val="ru"/>
        </w:rPr>
        <w:t xml:space="preserve">Также на своем 12-м совещании Комитет приветствовал четвертые национальные доклады, которые были опубликованы с момента проведения его 19-го совещания. В то же время он выразил обеспокоенность тем, что 12 Сторон до сих пор не представили четвертый национальный доклад, и согласился рассмотреть эти случаи на своем 21-м совещании в рамках проводимого им обзора соблюдения обязательства по представлению пятых национальных докладов. </w:t>
      </w:r>
    </w:p>
    <w:p w14:paraId="08F2F287" w14:textId="642B6D70" w:rsidR="00A47CC6" w:rsidRPr="00E42671" w:rsidRDefault="00E565CE">
      <w:pPr>
        <w:pStyle w:val="CBDNormalNumber"/>
        <w:numPr>
          <w:ilvl w:val="0"/>
          <w:numId w:val="6"/>
        </w:numPr>
        <w:tabs>
          <w:tab w:val="clear" w:pos="567"/>
          <w:tab w:val="clear" w:pos="1134"/>
          <w:tab w:val="left" w:pos="1350"/>
          <w:tab w:val="left" w:pos="1620"/>
        </w:tabs>
        <w:ind w:left="630" w:firstLine="0"/>
        <w:rPr>
          <w:lang w:val="ru-RU"/>
        </w:rPr>
      </w:pPr>
      <w:r>
        <w:rPr>
          <w:lang w:val="ru"/>
        </w:rPr>
        <w:t xml:space="preserve">Принимая во внимание, что в рамках пятой оценки и обзора результативности Протокола и среднесрочной оценки плана осуществления Протокола будут рассматриваться только пятые национальные доклады, представленные Сторонами, которые опубликовали свои четвертые национальные доклады с помощью Механизма посредничества по биобезопасности, Комитет принял решение направить свои дополнительные усилия на работу с восьмью Сторонами, представившими свои четвертые национальные доклады только в офлайновом режиме. Комитет поручил Исполнительному секретарю направить национальным координационным центрам соответствующих Сторон письма с просьбой опубликовать их национальные доклады в Механизме посредничества по биобезопасности. </w:t>
      </w:r>
    </w:p>
    <w:p w14:paraId="58CFEDC0" w14:textId="05F2E4FE" w:rsidR="005B0A55" w:rsidRPr="00E42671" w:rsidRDefault="005B0A55" w:rsidP="00F95C52">
      <w:pPr>
        <w:pStyle w:val="CBDNormalNumber"/>
        <w:numPr>
          <w:ilvl w:val="0"/>
          <w:numId w:val="6"/>
        </w:numPr>
        <w:tabs>
          <w:tab w:val="clear" w:pos="567"/>
          <w:tab w:val="clear" w:pos="1134"/>
          <w:tab w:val="left" w:pos="1350"/>
          <w:tab w:val="left" w:pos="1620"/>
        </w:tabs>
        <w:ind w:left="630" w:firstLine="0"/>
        <w:rPr>
          <w:u w:color="000000"/>
          <w:lang w:val="ru-RU"/>
        </w:rPr>
      </w:pPr>
      <w:r>
        <w:rPr>
          <w:lang w:val="ru"/>
        </w:rPr>
        <w:t xml:space="preserve">В ходе рассмотрения общих вопросов соблюдения на 20-м и 21-м совещаниях Комитет рассмотрел итоги контактов между секретариатом и Сторонами, которые </w:t>
      </w:r>
      <w:r>
        <w:rPr>
          <w:u w:color="000000"/>
          <w:lang w:val="ru"/>
        </w:rPr>
        <w:t xml:space="preserve">сообщили о полной или частичной готовности национальных мер, но при этом либо не опубликовали какую-либо информацию о таких мерах в Механизме посредничества, либо опубликовали информацию только о национальных </w:t>
      </w:r>
      <w:r>
        <w:rPr>
          <w:lang w:val="ru"/>
        </w:rPr>
        <w:t>механизмах</w:t>
      </w:r>
      <w:r>
        <w:rPr>
          <w:u w:color="000000"/>
          <w:lang w:val="ru"/>
        </w:rPr>
        <w:t xml:space="preserve"> обеспечения биобезопасности, которые были созданы в рамках предложенного Программой Организации Объединенных Наций по окружающей среде проекта по разработке национальных механизмов обеспечения биобезопасности при финансовой поддержке Глобального экологического фонда. </w:t>
      </w:r>
      <w:r>
        <w:rPr>
          <w:lang w:val="ru"/>
        </w:rPr>
        <w:t xml:space="preserve">Он приветствовал публикацию таких мер в Механизме посредничества рядом соответствующих Сторон. На своем 21-м совещании Комитет поручил секретариату продолжать дальнейшее взаимодействие с остальными Сторонами </w:t>
      </w:r>
      <w:r>
        <w:rPr>
          <w:u w:color="000000"/>
          <w:lang w:val="ru"/>
        </w:rPr>
        <w:t>и обратиться к ним с настоятельной просьбой безотлагательно загрузить информацию о соответствующих мерах.</w:t>
      </w:r>
    </w:p>
    <w:p w14:paraId="086D49C8" w14:textId="178139CC" w:rsidR="00A47CC6" w:rsidRPr="00E42671" w:rsidRDefault="00197341">
      <w:pPr>
        <w:pStyle w:val="CBDNormalNumber"/>
        <w:numPr>
          <w:ilvl w:val="0"/>
          <w:numId w:val="6"/>
        </w:numPr>
        <w:tabs>
          <w:tab w:val="clear" w:pos="567"/>
          <w:tab w:val="clear" w:pos="1134"/>
          <w:tab w:val="left" w:pos="1350"/>
          <w:tab w:val="left" w:pos="1620"/>
        </w:tabs>
        <w:ind w:left="630" w:firstLine="0"/>
        <w:rPr>
          <w:lang w:val="ru-RU"/>
        </w:rPr>
      </w:pPr>
      <w:r>
        <w:rPr>
          <w:lang w:val="ru"/>
        </w:rPr>
        <w:t xml:space="preserve">В ходе рассмотрения общих вопросов соблюдения на своем 21-м совещании Комитет рассмотрел обновленную информацию о ходе назначения координационных центров и представления четвертых и пятых национальных докладов. </w:t>
      </w:r>
    </w:p>
    <w:p w14:paraId="2DCB1F43" w14:textId="102C7364" w:rsidR="00A47CC6" w:rsidRDefault="001643AF">
      <w:pPr>
        <w:pStyle w:val="CBDNormalNumber"/>
        <w:numPr>
          <w:ilvl w:val="0"/>
          <w:numId w:val="6"/>
        </w:numPr>
        <w:tabs>
          <w:tab w:val="clear" w:pos="567"/>
          <w:tab w:val="clear" w:pos="1134"/>
          <w:tab w:val="left" w:pos="1350"/>
          <w:tab w:val="left" w:pos="1620"/>
        </w:tabs>
        <w:ind w:left="630" w:firstLine="0"/>
      </w:pPr>
      <w:r>
        <w:rPr>
          <w:lang w:val="ru"/>
        </w:rPr>
        <w:lastRenderedPageBreak/>
        <w:t xml:space="preserve">Комитет с удовлетворением отметил, что все Стороны, имевшие такую возможность, назначили свои национальные координационные центры Механизма посредничества по биобезопасности, однако выразил обеспокоенность тем, что одна Сторона до сих пор не назначила национальный координационный центр по Протоколу. Кроме того, он выразил обеспокоенность тем, что многие Стороны до сих пор не предоставили информацию о своих компетентных национальных органах или контактных органах, которая необходима в соответствии со статьей 17 для публикации в Механизме посредничества по биобезопасности. Комитет поручил Исполнительному секретарю продолжать работу с соответствующими Сторонами. </w:t>
      </w:r>
    </w:p>
    <w:p w14:paraId="6CB34324" w14:textId="37ED9E4F" w:rsidR="00A47CC6" w:rsidRPr="00E42671" w:rsidRDefault="001643AF">
      <w:pPr>
        <w:pStyle w:val="CBDNormalNumber"/>
        <w:numPr>
          <w:ilvl w:val="0"/>
          <w:numId w:val="6"/>
        </w:numPr>
        <w:tabs>
          <w:tab w:val="clear" w:pos="567"/>
          <w:tab w:val="clear" w:pos="1134"/>
          <w:tab w:val="left" w:pos="1350"/>
          <w:tab w:val="left" w:pos="1620"/>
        </w:tabs>
        <w:ind w:left="630" w:firstLine="0"/>
        <w:rPr>
          <w:lang w:val="ru-RU"/>
        </w:rPr>
      </w:pPr>
      <w:r>
        <w:rPr>
          <w:lang w:val="ru"/>
        </w:rPr>
        <w:t xml:space="preserve">На том же совещании Комитет с удовлетворением отметил, что на момент истечения установленного срока представления национальных докладов 28 февраля 2026 года 119 Сторон представили свои пятые национальные доклады. Он приветствовал усилия секретариата, Программы Организации Объединенных Наций по окружающей среде и Глобального экологического фонда по оказанию Сторонам технической и финансовой поддержки в подготовке и публикации их национальных докладов. </w:t>
      </w:r>
    </w:p>
    <w:p w14:paraId="2974B91D" w14:textId="3458E703" w:rsidR="00A47CC6" w:rsidRPr="00E42671" w:rsidRDefault="001643AF">
      <w:pPr>
        <w:pStyle w:val="CBDNormalNumber"/>
        <w:numPr>
          <w:ilvl w:val="0"/>
          <w:numId w:val="6"/>
        </w:numPr>
        <w:tabs>
          <w:tab w:val="clear" w:pos="567"/>
          <w:tab w:val="clear" w:pos="1134"/>
          <w:tab w:val="left" w:pos="1350"/>
          <w:tab w:val="left" w:pos="1620"/>
        </w:tabs>
        <w:ind w:left="630" w:firstLine="0"/>
        <w:rPr>
          <w:lang w:val="ru-RU"/>
        </w:rPr>
      </w:pPr>
      <w:r>
        <w:rPr>
          <w:lang w:val="ru"/>
        </w:rPr>
        <w:t xml:space="preserve">Комитет обсудил опыт, полученный во время подготовки пятого национального доклада. Он признал преимущества синхронизации циклов представления отчетности для обмена информацией в рамках Конвенции и протоколов к ней, признавая при этом, что представление различных докладов в один и тот же день создало трудности для многих Сторон, особенно для Сторон с ограниченным кадровым потенциалом. </w:t>
      </w:r>
    </w:p>
    <w:p w14:paraId="73FE0218" w14:textId="77777777" w:rsidR="00A47CC6" w:rsidRPr="00E42671" w:rsidRDefault="001643AF">
      <w:pPr>
        <w:pStyle w:val="CBDNormalNumber"/>
        <w:numPr>
          <w:ilvl w:val="0"/>
          <w:numId w:val="6"/>
        </w:numPr>
        <w:tabs>
          <w:tab w:val="clear" w:pos="567"/>
          <w:tab w:val="clear" w:pos="1134"/>
          <w:tab w:val="left" w:pos="1350"/>
          <w:tab w:val="left" w:pos="1620"/>
        </w:tabs>
        <w:ind w:left="630" w:firstLine="0"/>
        <w:rPr>
          <w:lang w:val="ru-RU"/>
        </w:rPr>
      </w:pPr>
      <w:r>
        <w:rPr>
          <w:lang w:val="ru"/>
        </w:rPr>
        <w:t>Комитет рассмотрел возможные пути наращивания поддержки в будущие периоды представления отчетности, в том числе за счет предоставления поддержки до истечения срока, установленного для представления национальных докладов.</w:t>
      </w:r>
    </w:p>
    <w:p w14:paraId="3F03CDFA" w14:textId="77777777" w:rsidR="00A47CC6" w:rsidRPr="00E42671" w:rsidRDefault="001643AF">
      <w:pPr>
        <w:pStyle w:val="CBDNormalNumber"/>
        <w:numPr>
          <w:ilvl w:val="0"/>
          <w:numId w:val="6"/>
        </w:numPr>
        <w:tabs>
          <w:tab w:val="clear" w:pos="567"/>
          <w:tab w:val="clear" w:pos="1134"/>
          <w:tab w:val="left" w:pos="1350"/>
          <w:tab w:val="left" w:pos="1620"/>
        </w:tabs>
        <w:ind w:left="630" w:firstLine="0"/>
        <w:rPr>
          <w:lang w:val="ru-RU"/>
        </w:rPr>
      </w:pPr>
      <w:r>
        <w:rPr>
          <w:lang w:val="ru"/>
        </w:rPr>
        <w:t xml:space="preserve">Комитет согласовал последующие меры со Сторонами, которые не представили пятый национальный доклад. </w:t>
      </w:r>
    </w:p>
    <w:p w14:paraId="1A23AF8E" w14:textId="51A336A8" w:rsidR="00A47CC6" w:rsidRPr="00E42671" w:rsidRDefault="001643AF">
      <w:pPr>
        <w:pStyle w:val="CBDNormalNumber"/>
        <w:numPr>
          <w:ilvl w:val="0"/>
          <w:numId w:val="6"/>
        </w:numPr>
        <w:tabs>
          <w:tab w:val="clear" w:pos="567"/>
          <w:tab w:val="clear" w:pos="1134"/>
          <w:tab w:val="left" w:pos="1350"/>
          <w:tab w:val="left" w:pos="1620"/>
        </w:tabs>
        <w:ind w:left="630" w:firstLine="0"/>
        <w:rPr>
          <w:lang w:val="ru-RU"/>
        </w:rPr>
      </w:pPr>
      <w:r>
        <w:rPr>
          <w:lang w:val="ru"/>
        </w:rPr>
        <w:t>Комитет приветствовал дополнительные четвертые национальные доклады, представленные и опубликованные с помощью Механизма посредничества по биобезопасности с момента проведения его 20-го совещания, включая ряд докладов, которые ранее были представлены только в режиме офлайн, однако выразил обеспокоенность в связи с тем, что пять Сторон до сих пор не представили четвертые и пятые национальные доклады. Он постановил продолжать работу с соответствующими Сторонами и согласился рассмотреть этот вопрос на своем 22-м совещании в рамках отдельных случаев несоблюдения.</w:t>
      </w:r>
    </w:p>
    <w:p w14:paraId="60671DD2" w14:textId="7185F2E0" w:rsidR="00A47CC6" w:rsidRPr="00E42671" w:rsidRDefault="00AB6CD2">
      <w:pPr>
        <w:pStyle w:val="CBDNormalNumber"/>
        <w:numPr>
          <w:ilvl w:val="0"/>
          <w:numId w:val="6"/>
        </w:numPr>
        <w:tabs>
          <w:tab w:val="clear" w:pos="567"/>
          <w:tab w:val="clear" w:pos="1134"/>
          <w:tab w:val="left" w:pos="1350"/>
          <w:tab w:val="left" w:pos="1620"/>
        </w:tabs>
        <w:ind w:left="630" w:firstLine="0"/>
        <w:rPr>
          <w:lang w:val="ru-RU"/>
        </w:rPr>
      </w:pPr>
      <w:r>
        <w:rPr>
          <w:lang w:val="ru"/>
        </w:rPr>
        <w:t xml:space="preserve">На своих 20-м и 21-м совещаниях в рамках обзора отдельных случаев несоблюдения Комитет продолжил рассмотрение случаев несоблюдения отдельными Сторонами обязательства по представлению отчетности (статья 33) и обязательства принимать необходимые и целесообразные правовые, административные и другие меры для осуществления предусмотренных Протоколом обязательств (пункт 1 статьи 2). </w:t>
      </w:r>
    </w:p>
    <w:p w14:paraId="2350530A" w14:textId="2DCB623C" w:rsidR="00A47CC6" w:rsidRPr="00E42671" w:rsidRDefault="001643AF" w:rsidP="001A17CC">
      <w:pPr>
        <w:pStyle w:val="CBDNormalNumber"/>
        <w:numPr>
          <w:ilvl w:val="0"/>
          <w:numId w:val="6"/>
        </w:numPr>
        <w:tabs>
          <w:tab w:val="clear" w:pos="567"/>
          <w:tab w:val="clear" w:pos="1134"/>
          <w:tab w:val="left" w:pos="1350"/>
          <w:tab w:val="left" w:pos="1620"/>
        </w:tabs>
        <w:ind w:left="630" w:firstLine="0"/>
        <w:rPr>
          <w:lang w:val="ru-RU"/>
        </w:rPr>
      </w:pPr>
      <w:r>
        <w:rPr>
          <w:lang w:val="ru"/>
        </w:rPr>
        <w:t xml:space="preserve">Во исполнение решения </w:t>
      </w:r>
      <w:hyperlink r:id="rId18" w:history="1">
        <w:r>
          <w:rPr>
            <w:rStyle w:val="Hyperlink"/>
            <w:lang w:val="ru"/>
          </w:rPr>
          <w:t>CP-11</w:t>
        </w:r>
        <w:r>
          <w:rPr>
            <w:rStyle w:val="Hyperlink"/>
            <w:lang w:val="ru"/>
          </w:rPr>
          <w:t>/</w:t>
        </w:r>
        <w:r>
          <w:rPr>
            <w:rStyle w:val="Hyperlink"/>
            <w:lang w:val="ru"/>
          </w:rPr>
          <w:t>1 B</w:t>
        </w:r>
      </w:hyperlink>
      <w:r>
        <w:rPr>
          <w:lang w:val="ru"/>
        </w:rPr>
        <w:t xml:space="preserve">, в котором трем Сторонам было вынесено предупреждение за непредставление их третьих или четвертых национальных докладов и содержится просьба о представлении в срочном порядке четвертых национальных докладов, Комитет продолжил свои усилия по оказанию поддержки этим трем Сторонам. На своем 20-м совещании Комитет выразил признательность Глобальному экологическому фонду за дополнительную поддержку, предложенную этим трем Сторонам для содействия подготовке их четвертых национальных докладов. На своем 21-м совещании Комитет приветствовал публикацию в Механизме посредничества по биобезопасности четвертого и пятого национальных докладов двумя из этих трех Сторон. Он приветствовал также тот факт, что для подготовки докладов эти две Стороны воспользовались финансовой поддержкой, предложенной Глобальным экологическим фондом. В этой связи Комитет выдал ряд </w:t>
      </w:r>
      <w:r>
        <w:rPr>
          <w:lang w:val="ru"/>
        </w:rPr>
        <w:lastRenderedPageBreak/>
        <w:t xml:space="preserve">рекомендаций для рассмотрения Конференцией Сторон, выступающей в качестве совещания Сторон Протокола, на ее </w:t>
      </w:r>
      <w:r>
        <w:rPr>
          <w:rFonts w:asciiTheme="majorBidi" w:hAnsiTheme="majorBidi"/>
          <w:shd w:val="clear" w:color="auto" w:fill="FFFFFF"/>
          <w:lang w:val="ru"/>
        </w:rPr>
        <w:t>12-м совещании.</w:t>
      </w:r>
    </w:p>
    <w:p w14:paraId="64BF775F" w14:textId="41B3651C" w:rsidR="00A47CC6" w:rsidRPr="00E42671" w:rsidRDefault="00AF4C8E">
      <w:pPr>
        <w:pStyle w:val="CBDNormalNumber"/>
        <w:numPr>
          <w:ilvl w:val="0"/>
          <w:numId w:val="6"/>
        </w:numPr>
        <w:tabs>
          <w:tab w:val="clear" w:pos="567"/>
          <w:tab w:val="clear" w:pos="1134"/>
          <w:tab w:val="left" w:pos="1350"/>
          <w:tab w:val="left" w:pos="1620"/>
        </w:tabs>
        <w:ind w:left="630" w:firstLine="0"/>
        <w:rPr>
          <w:lang w:val="ru-RU"/>
        </w:rPr>
      </w:pPr>
      <w:r>
        <w:rPr>
          <w:lang w:val="ru"/>
        </w:rPr>
        <w:t xml:space="preserve">На том же совещании Комитет с удовлетворением отметил недавние контакты между Секретариатом и последней из Сторон, которым в тексте решения </w:t>
      </w:r>
      <w:hyperlink r:id="rId19" w:history="1">
        <w:r>
          <w:rPr>
            <w:rStyle w:val="Hyperlink"/>
            <w:lang w:val="ru"/>
          </w:rPr>
          <w:t>CP-11</w:t>
        </w:r>
        <w:r>
          <w:rPr>
            <w:rStyle w:val="Hyperlink"/>
            <w:lang w:val="ru"/>
          </w:rPr>
          <w:t>/</w:t>
        </w:r>
        <w:r>
          <w:rPr>
            <w:rStyle w:val="Hyperlink"/>
            <w:lang w:val="ru"/>
          </w:rPr>
          <w:t>1 B</w:t>
        </w:r>
      </w:hyperlink>
      <w:r>
        <w:rPr>
          <w:lang w:val="ru"/>
        </w:rPr>
        <w:t xml:space="preserve"> было вынесено предупреждение. Им были согласованы рекомендации на случай, если эта Сторона не представит свой пятый национальный доклад до начала 12-го совещания Конференции Сторон, выступающей в качестве совещания Сторон Протокола. </w:t>
      </w:r>
    </w:p>
    <w:p w14:paraId="750C0DAA" w14:textId="3A4C0E5C" w:rsidR="00A47CC6" w:rsidRPr="00E42671" w:rsidRDefault="00AA3C61">
      <w:pPr>
        <w:pStyle w:val="CBDNormalNumber"/>
        <w:numPr>
          <w:ilvl w:val="0"/>
          <w:numId w:val="6"/>
        </w:numPr>
        <w:tabs>
          <w:tab w:val="clear" w:pos="567"/>
          <w:tab w:val="clear" w:pos="1134"/>
          <w:tab w:val="left" w:pos="1350"/>
          <w:tab w:val="left" w:pos="1620"/>
        </w:tabs>
        <w:ind w:left="630" w:firstLine="0"/>
        <w:rPr>
          <w:lang w:val="ru-RU"/>
        </w:rPr>
      </w:pPr>
      <w:r>
        <w:rPr>
          <w:lang w:val="ru"/>
        </w:rPr>
        <w:t>В ходе своего 20-го и 21-го совещаний Комитет рассмотрел 7 новых планов действий по обеспечению соблюдения, доведя общее число планов, находящихся на его активном рассмотрении, до 18. Комитет обсудил ход осуществления каждого плана и определил последующие меры для каждого отдельного случая.</w:t>
      </w:r>
    </w:p>
    <w:p w14:paraId="5C5642BE" w14:textId="0434E5B6" w:rsidR="00A47CC6" w:rsidRPr="00E42671" w:rsidRDefault="001643AF">
      <w:pPr>
        <w:pStyle w:val="CBDNormalNumber"/>
        <w:numPr>
          <w:ilvl w:val="0"/>
          <w:numId w:val="6"/>
        </w:numPr>
        <w:tabs>
          <w:tab w:val="clear" w:pos="567"/>
          <w:tab w:val="clear" w:pos="1134"/>
          <w:tab w:val="left" w:pos="1350"/>
          <w:tab w:val="left" w:pos="1620"/>
        </w:tabs>
        <w:ind w:left="630" w:firstLine="0"/>
        <w:rPr>
          <w:i/>
          <w:iCs/>
          <w:lang w:val="ru-RU"/>
        </w:rPr>
      </w:pPr>
      <w:r>
        <w:rPr>
          <w:lang w:val="ru"/>
        </w:rPr>
        <w:t>На своем 21-м совещании Комитет провел в онлайновом режиме неофициальный обмен мнениями с тремя Сторонами, планы действий которых по обеспечению соблюдения находятся на этапе активного рассмотрения, с тем чтобы обсудить достигнутый прогресс и любые трудности, возникающие в связи с осуществлением их планов. Комитет выразил мнение, что этот обмен был полезен в качестве дополнения к регулярным последующим мерам, принимаемым от имени Комитета, и стал эффективным и действенным средством связи со Сторонами по вопросам достигнутого прогресса и возникающих в этой связи трудностей.</w:t>
      </w:r>
    </w:p>
    <w:p w14:paraId="002FB1C7" w14:textId="1CC5EE1F" w:rsidR="00A47CC6" w:rsidRPr="00E42671" w:rsidRDefault="001643AF">
      <w:pPr>
        <w:pStyle w:val="CBDNormalNumber"/>
        <w:numPr>
          <w:ilvl w:val="0"/>
          <w:numId w:val="6"/>
        </w:numPr>
        <w:tabs>
          <w:tab w:val="clear" w:pos="567"/>
          <w:tab w:val="clear" w:pos="1134"/>
          <w:tab w:val="left" w:pos="1350"/>
          <w:tab w:val="left" w:pos="1620"/>
        </w:tabs>
        <w:ind w:left="630" w:firstLine="0"/>
        <w:rPr>
          <w:lang w:val="ru-RU"/>
        </w:rPr>
      </w:pPr>
      <w:r>
        <w:rPr>
          <w:lang w:val="ru"/>
        </w:rPr>
        <w:t xml:space="preserve">Комитет с сожалением отметил, что три другие Стороны не ответили на приглашение Председателя Комитета принять участие в неофициальном обмене мнениями на его 21-м совещании, и постановил предложить этим Сторонам провести в онлайновом режиме обмен мнениями с Комитетом после 12-го совещания Конференции Сторон, выступающей в качестве совещания Сторон Протокола. </w:t>
      </w:r>
    </w:p>
    <w:p w14:paraId="5FBA4DC1" w14:textId="02DB0DC4" w:rsidR="00A47CC6" w:rsidRPr="00E42671" w:rsidRDefault="007C56FC">
      <w:pPr>
        <w:pStyle w:val="CBDNormalNumber"/>
        <w:numPr>
          <w:ilvl w:val="0"/>
          <w:numId w:val="6"/>
        </w:numPr>
        <w:tabs>
          <w:tab w:val="clear" w:pos="567"/>
          <w:tab w:val="clear" w:pos="1134"/>
          <w:tab w:val="left" w:pos="1350"/>
          <w:tab w:val="left" w:pos="1620"/>
        </w:tabs>
        <w:ind w:left="630" w:firstLine="0"/>
        <w:rPr>
          <w:lang w:val="ru-RU"/>
        </w:rPr>
      </w:pPr>
      <w:r>
        <w:rPr>
          <w:lang w:val="ru"/>
        </w:rPr>
        <w:t>На том же совещании Комитет выразил обеспокоенность тем, что шесть Сторон несколько раз оставляли без ответа запросы Комитета о подготовке планов действий по обеспечению соблюдения. Комитет постановил пригласить национальные координационные центры этих Сторон для обмена мнениями в онлайновом режиме в рамках своего 22-го совещания в качестве альтернативного способа побудить их подготовить свои планы действий по обеспечению соблюдения.</w:t>
      </w:r>
    </w:p>
    <w:p w14:paraId="23B7667E" w14:textId="75415026" w:rsidR="00A47CC6" w:rsidRPr="00E42671" w:rsidRDefault="007C56FC">
      <w:pPr>
        <w:pStyle w:val="CBDNormalNumber"/>
        <w:numPr>
          <w:ilvl w:val="0"/>
          <w:numId w:val="6"/>
        </w:numPr>
        <w:tabs>
          <w:tab w:val="clear" w:pos="567"/>
          <w:tab w:val="clear" w:pos="1134"/>
          <w:tab w:val="left" w:pos="1350"/>
          <w:tab w:val="left" w:pos="1620"/>
        </w:tabs>
        <w:ind w:left="630" w:firstLine="0"/>
        <w:rPr>
          <w:lang w:val="ru-RU"/>
        </w:rPr>
      </w:pPr>
      <w:r>
        <w:rPr>
          <w:lang w:val="ru"/>
        </w:rPr>
        <w:t xml:space="preserve">Кроме того, на 21-м совещании Комитет </w:t>
      </w:r>
      <w:r>
        <w:rPr>
          <w:kern w:val="22"/>
          <w:lang w:val="ru"/>
        </w:rPr>
        <w:t xml:space="preserve">внес вклад в проведение пятой оценки и обзора Протокола и среднесрочной оценки плана осуществления и плана действий по созданию потенциала для Картахенского протокола. </w:t>
      </w:r>
      <w:r>
        <w:rPr>
          <w:lang w:val="ru"/>
        </w:rPr>
        <w:t>Комитет рассмотрел цель A.4, а также информацию, представленную в рамках связанных с ней целей, уделив особое внимание вопросам соблюдения и своей работе в этой области.</w:t>
      </w:r>
    </w:p>
    <w:p w14:paraId="5E033D50" w14:textId="11E2E594" w:rsidR="00A47CC6" w:rsidRPr="00E42671" w:rsidRDefault="001643AF">
      <w:pPr>
        <w:pStyle w:val="CBDNormalNumber"/>
        <w:numPr>
          <w:ilvl w:val="0"/>
          <w:numId w:val="6"/>
        </w:numPr>
        <w:tabs>
          <w:tab w:val="clear" w:pos="567"/>
          <w:tab w:val="clear" w:pos="1134"/>
          <w:tab w:val="left" w:pos="1350"/>
          <w:tab w:val="left" w:pos="1620"/>
        </w:tabs>
        <w:ind w:left="630" w:firstLine="0"/>
        <w:rPr>
          <w:lang w:val="ru-RU"/>
        </w:rPr>
      </w:pPr>
      <w:r>
        <w:rPr>
          <w:lang w:val="ru"/>
        </w:rPr>
        <w:t>Комитет согласовал свой вклад в проведение пятой оценки и обзора Протокола и среднесрочной оценки плана осуществления и плана действий по созданию потенциала для Протокола, как указано в приложении II.</w:t>
      </w:r>
    </w:p>
    <w:p w14:paraId="44AA14D7" w14:textId="77777777" w:rsidR="00A47CC6" w:rsidRPr="00E42671" w:rsidRDefault="00A47CC6">
      <w:pPr>
        <w:tabs>
          <w:tab w:val="clear" w:pos="567"/>
          <w:tab w:val="clear" w:pos="1134"/>
          <w:tab w:val="clear" w:pos="1701"/>
          <w:tab w:val="clear" w:pos="2268"/>
        </w:tabs>
        <w:ind w:left="540"/>
        <w:jc w:val="left"/>
        <w:rPr>
          <w:snapToGrid w:val="0"/>
          <w:szCs w:val="18"/>
          <w:lang w:val="ru-RU"/>
        </w:rPr>
      </w:pPr>
    </w:p>
    <w:p w14:paraId="656ADBEC" w14:textId="77777777" w:rsidR="00A47CC6" w:rsidRPr="00E42671" w:rsidRDefault="00A47CC6">
      <w:pPr>
        <w:tabs>
          <w:tab w:val="clear" w:pos="567"/>
          <w:tab w:val="clear" w:pos="1134"/>
          <w:tab w:val="clear" w:pos="1701"/>
          <w:tab w:val="clear" w:pos="2268"/>
        </w:tabs>
        <w:jc w:val="left"/>
        <w:rPr>
          <w:snapToGrid w:val="0"/>
          <w:szCs w:val="18"/>
          <w:lang w:val="ru-RU"/>
        </w:rPr>
        <w:sectPr w:rsidR="00A47CC6" w:rsidRPr="00E42671">
          <w:headerReference w:type="even" r:id="rId20"/>
          <w:headerReference w:type="default" r:id="rId21"/>
          <w:footerReference w:type="even" r:id="rId22"/>
          <w:footerReference w:type="default" r:id="rId23"/>
          <w:headerReference w:type="first" r:id="rId24"/>
          <w:pgSz w:w="12240" w:h="15840"/>
          <w:pgMar w:top="567" w:right="1440" w:bottom="1134" w:left="1440" w:header="709" w:footer="709" w:gutter="0"/>
          <w:cols w:space="708"/>
          <w:titlePg/>
          <w:docGrid w:linePitch="360"/>
        </w:sectPr>
      </w:pPr>
    </w:p>
    <w:p w14:paraId="1FC03438" w14:textId="77777777" w:rsidR="00A47CC6" w:rsidRPr="00E42671" w:rsidRDefault="001643AF" w:rsidP="00E76CF9">
      <w:pPr>
        <w:pStyle w:val="CBDAnnex"/>
        <w:rPr>
          <w:lang w:val="ru-RU"/>
        </w:rPr>
      </w:pPr>
      <w:r>
        <w:rPr>
          <w:bCs/>
          <w:lang w:val="ru"/>
        </w:rPr>
        <w:lastRenderedPageBreak/>
        <w:t>Приложение I</w:t>
      </w:r>
    </w:p>
    <w:p w14:paraId="26172907" w14:textId="4738FF91" w:rsidR="00A47CC6" w:rsidRPr="00E42671" w:rsidRDefault="001643AF">
      <w:pPr>
        <w:pStyle w:val="CBDTitle"/>
        <w:rPr>
          <w:lang w:val="ru-RU"/>
        </w:rPr>
      </w:pPr>
      <w:r>
        <w:rPr>
          <w:bCs/>
          <w:lang w:val="ru"/>
        </w:rPr>
        <w:t>Рекомендации Комитета по соблюдению в рамках Картахенского протокола по биобезопасности при Конференции Сторон, выступающей в качестве совещания Сторон Картахенского протокола, на ее 12-м совещании</w:t>
      </w:r>
      <w:r>
        <w:rPr>
          <w:rStyle w:val="FootnoteReference"/>
          <w:bCs/>
          <w:lang w:val="ru"/>
        </w:rPr>
        <w:footnoteReference w:customMarkFollows="1" w:id="3"/>
        <w:t xml:space="preserve"> </w:t>
      </w:r>
      <w:r>
        <w:rPr>
          <w:rStyle w:val="FootnoteReference"/>
          <w:b w:val="0"/>
          <w:vertAlign w:val="baseline"/>
          <w:lang w:val="ru"/>
        </w:rPr>
        <w:sym w:font="Symbol" w:char="F02A"/>
      </w:r>
    </w:p>
    <w:p w14:paraId="6924EA4E" w14:textId="77777777" w:rsidR="00A47CC6" w:rsidRPr="00E42671" w:rsidRDefault="001643AF">
      <w:pPr>
        <w:pStyle w:val="CBDH1"/>
        <w:rPr>
          <w:lang w:val="ru-RU"/>
        </w:rPr>
      </w:pPr>
      <w:r>
        <w:rPr>
          <w:bCs/>
          <w:lang w:val="ru"/>
        </w:rPr>
        <w:t>I.</w:t>
      </w:r>
      <w:r>
        <w:rPr>
          <w:bCs/>
          <w:lang w:val="ru"/>
        </w:rPr>
        <w:tab/>
        <w:t>Соблюдение</w:t>
      </w:r>
    </w:p>
    <w:p w14:paraId="252D855E" w14:textId="70B13E7B" w:rsidR="00A47CC6" w:rsidRPr="00E42671" w:rsidRDefault="001643AF">
      <w:pPr>
        <w:pStyle w:val="CBDRecommendText"/>
        <w:tabs>
          <w:tab w:val="clear" w:pos="567"/>
        </w:tabs>
        <w:rPr>
          <w:lang w:val="ru-RU"/>
        </w:rPr>
      </w:pPr>
      <w:r>
        <w:rPr>
          <w:lang w:val="ru"/>
        </w:rPr>
        <w:t>1.</w:t>
      </w:r>
      <w:r>
        <w:rPr>
          <w:lang w:val="ru"/>
        </w:rPr>
        <w:tab/>
        <w:t>Комитет по соблюдению в рамках Картахенского протокола по биобезопасности рекомендует Конференции Сторон, выступающей в качестве совещания Сторон Протокола, принять на ее 12-м совещании решение следующего содержания:</w:t>
      </w:r>
    </w:p>
    <w:p w14:paraId="4F9C000B" w14:textId="5AB6E899" w:rsidR="00A47CC6" w:rsidRPr="00E42671" w:rsidRDefault="001643AF">
      <w:pPr>
        <w:pStyle w:val="CBDRecommendText"/>
        <w:ind w:left="576" w:firstLine="603"/>
        <w:rPr>
          <w:i/>
          <w:iCs/>
          <w:lang w:val="ru-RU"/>
        </w:rPr>
      </w:pPr>
      <w:r>
        <w:rPr>
          <w:i/>
          <w:iCs/>
          <w:lang w:val="ru"/>
        </w:rPr>
        <w:t xml:space="preserve">Конференция Сторон, выступающая в качестве совещания Сторон </w:t>
      </w:r>
      <w:proofErr w:type="spellStart"/>
      <w:r>
        <w:rPr>
          <w:i/>
          <w:iCs/>
          <w:lang w:val="ru"/>
        </w:rPr>
        <w:t>Картахенского</w:t>
      </w:r>
      <w:proofErr w:type="spellEnd"/>
      <w:r>
        <w:rPr>
          <w:i/>
          <w:iCs/>
          <w:lang w:val="ru"/>
        </w:rPr>
        <w:t xml:space="preserve"> протокола,</w:t>
      </w:r>
    </w:p>
    <w:p w14:paraId="6CA2AE0B" w14:textId="665BE8B5" w:rsidR="00A47CC6" w:rsidRPr="00E42671" w:rsidRDefault="001643AF">
      <w:pPr>
        <w:pStyle w:val="CBDDesicionText"/>
        <w:numPr>
          <w:ilvl w:val="0"/>
          <w:numId w:val="7"/>
        </w:numPr>
        <w:tabs>
          <w:tab w:val="clear" w:pos="567"/>
          <w:tab w:val="clear" w:pos="1701"/>
          <w:tab w:val="clear" w:pos="2268"/>
          <w:tab w:val="left" w:pos="630"/>
          <w:tab w:val="left" w:pos="1800"/>
        </w:tabs>
        <w:ind w:left="630" w:firstLine="540"/>
        <w:rPr>
          <w:lang w:val="ru-RU"/>
        </w:rPr>
      </w:pPr>
      <w:r>
        <w:rPr>
          <w:i/>
          <w:iCs/>
          <w:lang w:val="ru"/>
        </w:rPr>
        <w:t>отмечает</w:t>
      </w:r>
      <w:r>
        <w:rPr>
          <w:lang w:val="ru"/>
        </w:rPr>
        <w:t>, что ряд Сторон не назначили национальные координационные центры, компетентные национальные органы или лиц для поддержания контактов, требуемых в соответствии с Картахенским протоколом по биобезопасности</w:t>
      </w:r>
      <w:r>
        <w:rPr>
          <w:rStyle w:val="FootnoteReference"/>
          <w:lang w:val="ru"/>
        </w:rPr>
        <w:footnoteReference w:id="4"/>
      </w:r>
      <w:r>
        <w:rPr>
          <w:lang w:val="ru"/>
        </w:rPr>
        <w:t xml:space="preserve">; </w:t>
      </w:r>
    </w:p>
    <w:p w14:paraId="16FF899D" w14:textId="3BB38BFD" w:rsidR="00A47CC6" w:rsidRPr="00E42671" w:rsidRDefault="001643AF">
      <w:pPr>
        <w:pStyle w:val="CBDDesicionText"/>
        <w:numPr>
          <w:ilvl w:val="0"/>
          <w:numId w:val="7"/>
        </w:numPr>
        <w:tabs>
          <w:tab w:val="clear" w:pos="567"/>
          <w:tab w:val="clear" w:pos="1701"/>
          <w:tab w:val="clear" w:pos="2268"/>
          <w:tab w:val="left" w:pos="630"/>
          <w:tab w:val="left" w:pos="1800"/>
        </w:tabs>
        <w:ind w:left="630" w:firstLine="540"/>
        <w:rPr>
          <w:lang w:val="ru-RU"/>
        </w:rPr>
      </w:pPr>
      <w:r>
        <w:rPr>
          <w:i/>
          <w:iCs/>
          <w:lang w:val="ru"/>
        </w:rPr>
        <w:t>напоминает</w:t>
      </w:r>
      <w:r>
        <w:rPr>
          <w:lang w:val="ru"/>
        </w:rPr>
        <w:t xml:space="preserve"> Сторонам об их обязательстве назначить свои национальные координационные центры в соответствии с Картахенским протоколом во исполнение статьи 19 Протокола, а также о необходимости назначения национальных координационных центров Механизма посредничества по биобезопасности в соответствии с условиями функционирования Механизма посредничества по биобезопасности и поддержания этой информации в актуальном состоянии</w:t>
      </w:r>
      <w:r>
        <w:rPr>
          <w:rStyle w:val="FootnoteReference"/>
          <w:lang w:val="ru"/>
        </w:rPr>
        <w:footnoteReference w:id="5"/>
      </w:r>
      <w:r>
        <w:rPr>
          <w:lang w:val="ru"/>
        </w:rPr>
        <w:t xml:space="preserve">; </w:t>
      </w:r>
    </w:p>
    <w:p w14:paraId="3EF63EE1" w14:textId="29378502" w:rsidR="00A47CC6" w:rsidRPr="00E42671" w:rsidRDefault="00364B95">
      <w:pPr>
        <w:pStyle w:val="CBDDesicionText"/>
        <w:numPr>
          <w:ilvl w:val="0"/>
          <w:numId w:val="7"/>
        </w:numPr>
        <w:tabs>
          <w:tab w:val="clear" w:pos="567"/>
          <w:tab w:val="clear" w:pos="1701"/>
          <w:tab w:val="clear" w:pos="2268"/>
          <w:tab w:val="left" w:pos="630"/>
          <w:tab w:val="left" w:pos="1800"/>
        </w:tabs>
        <w:ind w:left="630" w:firstLine="540"/>
        <w:rPr>
          <w:lang w:val="ru-RU"/>
        </w:rPr>
      </w:pPr>
      <w:r>
        <w:rPr>
          <w:i/>
          <w:iCs/>
          <w:lang w:val="ru"/>
        </w:rPr>
        <w:t>также напоминает</w:t>
      </w:r>
      <w:r>
        <w:rPr>
          <w:lang w:val="ru"/>
        </w:rPr>
        <w:t xml:space="preserve"> Сторонам об их обязательстве предоставлять с помощью Механизма посредничества по биобезопасности контактные данные одного или нескольких </w:t>
      </w:r>
      <w:bookmarkStart w:id="1" w:name="_Hlk200722925"/>
      <w:r>
        <w:rPr>
          <w:lang w:val="ru"/>
        </w:rPr>
        <w:t>компетентных национальных органов</w:t>
      </w:r>
      <w:bookmarkEnd w:id="1"/>
      <w:r>
        <w:rPr>
          <w:lang w:val="ru"/>
        </w:rPr>
        <w:t xml:space="preserve"> в соответствии со статьей 19 Картахенского протокола и настоятельно призывает те Стороны, которые еще не сделали этого, предоставить эту информацию в приоритетном порядке;</w:t>
      </w:r>
    </w:p>
    <w:p w14:paraId="3956D214" w14:textId="51F66B47" w:rsidR="00A47CC6" w:rsidRPr="00E42671" w:rsidRDefault="00364B95">
      <w:pPr>
        <w:pStyle w:val="CBDDesicionText"/>
        <w:numPr>
          <w:ilvl w:val="0"/>
          <w:numId w:val="7"/>
        </w:numPr>
        <w:tabs>
          <w:tab w:val="clear" w:pos="567"/>
          <w:tab w:val="clear" w:pos="1701"/>
          <w:tab w:val="clear" w:pos="2268"/>
          <w:tab w:val="left" w:pos="630"/>
          <w:tab w:val="left" w:pos="1800"/>
        </w:tabs>
        <w:ind w:left="630" w:firstLine="540"/>
        <w:rPr>
          <w:lang w:val="ru-RU"/>
        </w:rPr>
      </w:pPr>
      <w:r>
        <w:rPr>
          <w:i/>
          <w:iCs/>
          <w:lang w:val="ru"/>
        </w:rPr>
        <w:t>далее напоминает</w:t>
      </w:r>
      <w:r>
        <w:rPr>
          <w:lang w:val="ru"/>
        </w:rPr>
        <w:t xml:space="preserve"> Сторонам об их обязательстве назначить контактный пункт для целей получения уведомлений в соответствии со статьей 17 Картахенского протокола и настоятельно призывает те Стороны, которые еще не сделали этого, произвести такие назначения в кратчайшие возможные сроки;</w:t>
      </w:r>
    </w:p>
    <w:p w14:paraId="7E454D5B" w14:textId="60A8AF7A" w:rsidR="00FA3684" w:rsidRPr="00E42671" w:rsidRDefault="001643AF" w:rsidP="00FA3684">
      <w:pPr>
        <w:pStyle w:val="CBDDesicionText"/>
        <w:numPr>
          <w:ilvl w:val="0"/>
          <w:numId w:val="7"/>
        </w:numPr>
        <w:tabs>
          <w:tab w:val="clear" w:pos="567"/>
          <w:tab w:val="clear" w:pos="1701"/>
          <w:tab w:val="clear" w:pos="2268"/>
          <w:tab w:val="left" w:pos="630"/>
          <w:tab w:val="left" w:pos="1800"/>
        </w:tabs>
        <w:ind w:left="630" w:firstLine="540"/>
        <w:rPr>
          <w:lang w:val="ru-RU"/>
        </w:rPr>
      </w:pPr>
      <w:r>
        <w:rPr>
          <w:i/>
          <w:iCs/>
          <w:lang w:val="ru"/>
        </w:rPr>
        <w:t>настоятельно призывает</w:t>
      </w:r>
      <w:r>
        <w:rPr>
          <w:lang w:val="ru"/>
        </w:rPr>
        <w:t xml:space="preserve"> Стороны, разрабатывающие собственную нормативно-правовую базу в области биобезопасности, ускорить работу, признавая, что в соответствии с Картахенским протоколом Стороны должны принимать меры по его осуществлению и такие меры будут способствовать выполнению задачи 17 Куньминско-Монреальской глобальной рамочной программы в области биоразнообразия</w:t>
      </w:r>
      <w:r>
        <w:rPr>
          <w:rStyle w:val="FootnoteReference"/>
          <w:lang w:val="ru"/>
        </w:rPr>
        <w:footnoteReference w:id="6"/>
      </w:r>
      <w:r>
        <w:rPr>
          <w:lang w:val="ru"/>
        </w:rPr>
        <w:t>, и приветствует поддержку, оказанную в этой связи ряду Сторон Программой Организации Объединенных Наций по окружающей среде в рамках ее Платформы по оказанию помощи в области права и окружающей среды, а также Японией по линии Японского фонда биоразнообразия;</w:t>
      </w:r>
    </w:p>
    <w:p w14:paraId="262D310B" w14:textId="50C6D8A4" w:rsidR="003B3F32" w:rsidRPr="006B2178" w:rsidRDefault="00FA3684" w:rsidP="007F4686">
      <w:pPr>
        <w:pStyle w:val="CBDDesicionText"/>
        <w:numPr>
          <w:ilvl w:val="0"/>
          <w:numId w:val="7"/>
        </w:numPr>
        <w:tabs>
          <w:tab w:val="clear" w:pos="567"/>
          <w:tab w:val="clear" w:pos="1701"/>
          <w:tab w:val="clear" w:pos="2268"/>
          <w:tab w:val="left" w:pos="630"/>
          <w:tab w:val="left" w:pos="1800"/>
        </w:tabs>
        <w:ind w:left="630" w:firstLine="540"/>
      </w:pPr>
      <w:r>
        <w:rPr>
          <w:i/>
          <w:iCs/>
          <w:lang w:val="ru"/>
        </w:rPr>
        <w:lastRenderedPageBreak/>
        <w:t>напоминает</w:t>
      </w:r>
      <w:r>
        <w:rPr>
          <w:lang w:val="ru"/>
        </w:rPr>
        <w:t xml:space="preserve"> Сторонам об их обязательстве публиковать информацию о принятых ими правовых мерах по осуществлению Картахенского протокола в Механизме посредничества по биобезопасности;</w:t>
      </w:r>
    </w:p>
    <w:p w14:paraId="63A1525D" w14:textId="64D22840" w:rsidR="00A47CC6" w:rsidRPr="00E42671" w:rsidRDefault="001643AF">
      <w:pPr>
        <w:pStyle w:val="CBDDesicionText"/>
        <w:numPr>
          <w:ilvl w:val="0"/>
          <w:numId w:val="7"/>
        </w:numPr>
        <w:tabs>
          <w:tab w:val="clear" w:pos="567"/>
          <w:tab w:val="clear" w:pos="1134"/>
          <w:tab w:val="clear" w:pos="1701"/>
          <w:tab w:val="clear" w:pos="2268"/>
          <w:tab w:val="left" w:pos="630"/>
          <w:tab w:val="left" w:pos="1800"/>
        </w:tabs>
        <w:ind w:left="630" w:firstLine="540"/>
        <w:rPr>
          <w:lang w:val="ru-RU"/>
        </w:rPr>
      </w:pPr>
      <w:r>
        <w:rPr>
          <w:i/>
          <w:iCs/>
          <w:lang w:val="ru"/>
        </w:rPr>
        <w:t xml:space="preserve">ссылается </w:t>
      </w:r>
      <w:r>
        <w:rPr>
          <w:lang w:val="ru"/>
        </w:rPr>
        <w:t xml:space="preserve">на предупреждение, содержащееся в решении </w:t>
      </w:r>
      <w:hyperlink r:id="rId25" w:history="1">
        <w:r>
          <w:rPr>
            <w:rStyle w:val="Hyperlink"/>
            <w:lang w:val="ru"/>
          </w:rPr>
          <w:t>CP-11/</w:t>
        </w:r>
        <w:r>
          <w:rPr>
            <w:rStyle w:val="Hyperlink"/>
            <w:lang w:val="ru"/>
          </w:rPr>
          <w:t>1</w:t>
        </w:r>
        <w:r>
          <w:rPr>
            <w:rStyle w:val="Hyperlink"/>
            <w:lang w:val="ru"/>
          </w:rPr>
          <w:t> B</w:t>
        </w:r>
      </w:hyperlink>
      <w:r>
        <w:rPr>
          <w:lang w:val="ru"/>
        </w:rPr>
        <w:t xml:space="preserve"> от 30 октября 2024 года, и приветствует финансирование, предоставленное получившим предупреждение Сторонам Глобальным экологическим фондом для подготовки их четвертых и пятых национальных докладов;</w:t>
      </w:r>
    </w:p>
    <w:p w14:paraId="3EE19499" w14:textId="77777777" w:rsidR="00A47CC6" w:rsidRPr="00E42671" w:rsidRDefault="001643AF">
      <w:pPr>
        <w:pStyle w:val="CBDDesicionText"/>
        <w:numPr>
          <w:ilvl w:val="0"/>
          <w:numId w:val="7"/>
        </w:numPr>
        <w:tabs>
          <w:tab w:val="clear" w:pos="567"/>
          <w:tab w:val="clear" w:pos="1134"/>
          <w:tab w:val="clear" w:pos="1701"/>
          <w:tab w:val="clear" w:pos="2268"/>
          <w:tab w:val="left" w:pos="630"/>
          <w:tab w:val="left" w:pos="1800"/>
        </w:tabs>
        <w:ind w:left="630" w:firstLine="540"/>
        <w:rPr>
          <w:lang w:val="ru-RU"/>
        </w:rPr>
      </w:pPr>
      <w:r>
        <w:rPr>
          <w:i/>
          <w:iCs/>
          <w:lang w:val="ru"/>
        </w:rPr>
        <w:t xml:space="preserve">приветствует </w:t>
      </w:r>
      <w:r>
        <w:rPr>
          <w:lang w:val="ru"/>
        </w:rPr>
        <w:t>представление Белизом и Ливией четвертых и пятых национальных докладов, что свидетельствует об устранении факта несоблюдения ими обязательства по представлению отчетности;</w:t>
      </w:r>
    </w:p>
    <w:p w14:paraId="6F0E911D" w14:textId="25B590AA" w:rsidR="00A47CC6" w:rsidRPr="00E42671" w:rsidRDefault="001643AF">
      <w:pPr>
        <w:pStyle w:val="CBDDesicionText"/>
        <w:numPr>
          <w:ilvl w:val="0"/>
          <w:numId w:val="7"/>
        </w:numPr>
        <w:tabs>
          <w:tab w:val="clear" w:pos="567"/>
          <w:tab w:val="clear" w:pos="1134"/>
          <w:tab w:val="clear" w:pos="1701"/>
          <w:tab w:val="clear" w:pos="2268"/>
          <w:tab w:val="left" w:pos="630"/>
          <w:tab w:val="left" w:pos="1800"/>
        </w:tabs>
        <w:ind w:left="630" w:firstLine="540"/>
        <w:rPr>
          <w:lang w:val="ru-RU"/>
        </w:rPr>
      </w:pPr>
      <w:r>
        <w:rPr>
          <w:i/>
          <w:iCs/>
          <w:lang w:val="ru"/>
        </w:rPr>
        <w:t>выражает глубокую обеспокоенность</w:t>
      </w:r>
      <w:r>
        <w:rPr>
          <w:lang w:val="ru"/>
        </w:rPr>
        <w:t xml:space="preserve"> в связи с тем, что Папуа — Новая Гвинея не представила свой третий, четвертый или пятый национальный доклад;</w:t>
      </w:r>
    </w:p>
    <w:p w14:paraId="05FFD0CF" w14:textId="417BA03A" w:rsidR="00A47CC6" w:rsidRPr="00E42671" w:rsidRDefault="001643AF" w:rsidP="00F95C52">
      <w:pPr>
        <w:pStyle w:val="CBDDesicionText"/>
        <w:numPr>
          <w:ilvl w:val="0"/>
          <w:numId w:val="7"/>
        </w:numPr>
        <w:tabs>
          <w:tab w:val="clear" w:pos="567"/>
          <w:tab w:val="clear" w:pos="1134"/>
          <w:tab w:val="clear" w:pos="1701"/>
          <w:tab w:val="clear" w:pos="2268"/>
          <w:tab w:val="left" w:pos="630"/>
          <w:tab w:val="left" w:pos="1800"/>
        </w:tabs>
        <w:ind w:left="630" w:firstLine="324"/>
        <w:rPr>
          <w:lang w:val="ru-RU"/>
        </w:rPr>
      </w:pPr>
      <w:r>
        <w:rPr>
          <w:i/>
          <w:iCs/>
          <w:lang w:val="ru"/>
        </w:rPr>
        <w:t xml:space="preserve">поручает </w:t>
      </w:r>
      <w:r>
        <w:rPr>
          <w:lang w:val="ru"/>
        </w:rPr>
        <w:t>Комитету рассмотреть варианты мер, которые могут быть приняты для исключения неоднократно возникавших ранее случаев несоблюдения Папуа – Новой Гвинеей взятого на себя обязательства по представлению докладов, и в этой связи выдать Конференции Сторон, выступающей в качестве Совещания Сторон Картахенского протокола, рекомендацию для рассмотрения на ее 13-м совещании;</w:t>
      </w:r>
    </w:p>
    <w:p w14:paraId="5973F7E8" w14:textId="7DC436D9" w:rsidR="007F4686" w:rsidRPr="00E42671" w:rsidRDefault="007F4686" w:rsidP="00F95C52">
      <w:pPr>
        <w:pStyle w:val="CBDDesicionText"/>
        <w:numPr>
          <w:ilvl w:val="0"/>
          <w:numId w:val="7"/>
        </w:numPr>
        <w:tabs>
          <w:tab w:val="clear" w:pos="567"/>
          <w:tab w:val="clear" w:pos="1134"/>
          <w:tab w:val="clear" w:pos="1701"/>
          <w:tab w:val="clear" w:pos="2268"/>
          <w:tab w:val="left" w:pos="630"/>
          <w:tab w:val="left" w:pos="1800"/>
        </w:tabs>
        <w:ind w:left="810" w:firstLine="324"/>
        <w:rPr>
          <w:lang w:val="ru-RU"/>
        </w:rPr>
      </w:pPr>
      <w:r>
        <w:rPr>
          <w:i/>
          <w:iCs/>
          <w:lang w:val="ru"/>
        </w:rPr>
        <w:t>призывает</w:t>
      </w:r>
      <w:r>
        <w:rPr>
          <w:lang w:val="ru"/>
        </w:rPr>
        <w:t xml:space="preserve"> Стороны, для которых соблюдение одного или нескольких предусмотренных Картахенским протоколом обязательств представляет трудности, обращаться за помощью в Комитет по соблюдению в рамках Протокола или в секретариат Конвенции о биологическом разнообразии</w:t>
      </w:r>
      <w:r>
        <w:rPr>
          <w:rStyle w:val="FootnoteReference"/>
          <w:lang w:val="ru"/>
        </w:rPr>
        <w:footnoteReference w:id="7"/>
      </w:r>
      <w:r>
        <w:rPr>
          <w:lang w:val="ru"/>
        </w:rPr>
        <w:t>.</w:t>
      </w:r>
      <w:r>
        <w:rPr>
          <w:i/>
          <w:iCs/>
          <w:lang w:val="ru"/>
        </w:rPr>
        <w:t xml:space="preserve"> </w:t>
      </w:r>
    </w:p>
    <w:p w14:paraId="5FD98802" w14:textId="77777777" w:rsidR="00A47CC6" w:rsidRPr="00E42671" w:rsidRDefault="001643AF">
      <w:pPr>
        <w:pStyle w:val="CBDH1"/>
        <w:rPr>
          <w:lang w:val="ru-RU"/>
        </w:rPr>
      </w:pPr>
      <w:r>
        <w:rPr>
          <w:bCs/>
          <w:lang w:val="ru"/>
        </w:rPr>
        <w:t>II.</w:t>
      </w:r>
      <w:r>
        <w:rPr>
          <w:bCs/>
          <w:lang w:val="ru"/>
        </w:rPr>
        <w:tab/>
        <w:t>Функционирование и деятельность Механизма посредничества по биобезопасности</w:t>
      </w:r>
    </w:p>
    <w:p w14:paraId="37B1880F" w14:textId="15B1D5EF" w:rsidR="00A47CC6" w:rsidRPr="00E42671" w:rsidRDefault="001643AF">
      <w:pPr>
        <w:pStyle w:val="CBDRecommendText"/>
        <w:tabs>
          <w:tab w:val="clear" w:pos="567"/>
        </w:tabs>
        <w:rPr>
          <w:lang w:val="ru-RU"/>
        </w:rPr>
      </w:pPr>
      <w:r>
        <w:rPr>
          <w:lang w:val="ru"/>
        </w:rPr>
        <w:t>2.</w:t>
      </w:r>
      <w:r>
        <w:rPr>
          <w:lang w:val="ru"/>
        </w:rPr>
        <w:tab/>
        <w:t>Комитет по соблюдению рекомендует Конференции Сторон, выступающей в качестве совещания Сторон Протокола, принять на ее 12-м совещании решение, включающее следующие элементы:</w:t>
      </w:r>
    </w:p>
    <w:p w14:paraId="785AAD2F" w14:textId="3EBE9C13" w:rsidR="00A47CC6" w:rsidRPr="00E42671" w:rsidRDefault="001643AF">
      <w:pPr>
        <w:pStyle w:val="CBDRecommendText"/>
        <w:ind w:left="576" w:firstLine="603"/>
        <w:rPr>
          <w:i/>
          <w:iCs/>
          <w:lang w:val="ru-RU"/>
        </w:rPr>
      </w:pPr>
      <w:r>
        <w:rPr>
          <w:i/>
          <w:iCs/>
          <w:lang w:val="ru"/>
        </w:rPr>
        <w:t xml:space="preserve">Конференция Сторон, выступающая в качестве совещания Сторон </w:t>
      </w:r>
      <w:proofErr w:type="spellStart"/>
      <w:r>
        <w:rPr>
          <w:i/>
          <w:iCs/>
          <w:lang w:val="ru"/>
        </w:rPr>
        <w:t>Картахенского</w:t>
      </w:r>
      <w:proofErr w:type="spellEnd"/>
      <w:r>
        <w:rPr>
          <w:i/>
          <w:iCs/>
          <w:lang w:val="ru"/>
        </w:rPr>
        <w:t xml:space="preserve"> протокола,</w:t>
      </w:r>
    </w:p>
    <w:p w14:paraId="63B09FF9" w14:textId="77777777" w:rsidR="00A47CC6" w:rsidRPr="00E42671" w:rsidRDefault="001643AF">
      <w:pPr>
        <w:pStyle w:val="CBDDesicionText"/>
        <w:numPr>
          <w:ilvl w:val="0"/>
          <w:numId w:val="8"/>
        </w:numPr>
        <w:tabs>
          <w:tab w:val="clear" w:pos="567"/>
          <w:tab w:val="clear" w:pos="1134"/>
          <w:tab w:val="clear" w:pos="1701"/>
          <w:tab w:val="clear" w:pos="2268"/>
          <w:tab w:val="left" w:pos="630"/>
          <w:tab w:val="left" w:pos="1800"/>
        </w:tabs>
        <w:ind w:left="567" w:firstLine="567"/>
        <w:rPr>
          <w:i/>
          <w:iCs/>
          <w:lang w:val="ru-RU"/>
        </w:rPr>
      </w:pPr>
      <w:r>
        <w:rPr>
          <w:i/>
          <w:iCs/>
          <w:lang w:val="ru"/>
        </w:rPr>
        <w:t>приветствует</w:t>
      </w:r>
      <w:r>
        <w:rPr>
          <w:lang w:val="ru"/>
        </w:rPr>
        <w:t xml:space="preserve"> постоянные усилия Сторон по поддержанию точности и полноты информации в Механизме посредничества по биобезопасности;</w:t>
      </w:r>
    </w:p>
    <w:p w14:paraId="49ED899A" w14:textId="317657ED" w:rsidR="00A47CC6" w:rsidRPr="00E42671" w:rsidRDefault="001643AF">
      <w:pPr>
        <w:pStyle w:val="CBDDesicionText"/>
        <w:numPr>
          <w:ilvl w:val="0"/>
          <w:numId w:val="8"/>
        </w:numPr>
        <w:tabs>
          <w:tab w:val="clear" w:pos="567"/>
          <w:tab w:val="clear" w:pos="1134"/>
          <w:tab w:val="clear" w:pos="1701"/>
          <w:tab w:val="clear" w:pos="2268"/>
          <w:tab w:val="left" w:pos="630"/>
          <w:tab w:val="left" w:pos="1800"/>
        </w:tabs>
        <w:ind w:left="567" w:firstLine="567"/>
        <w:rPr>
          <w:i/>
          <w:iCs/>
          <w:lang w:val="ru-RU"/>
        </w:rPr>
      </w:pPr>
      <w:r>
        <w:rPr>
          <w:i/>
          <w:iCs/>
          <w:lang w:val="ru"/>
        </w:rPr>
        <w:t xml:space="preserve">напоминает </w:t>
      </w:r>
      <w:r>
        <w:rPr>
          <w:lang w:val="ru"/>
        </w:rPr>
        <w:t xml:space="preserve">Сторонам об их обязательстве публиковать в Механизме посредничества по биобезопасности окончательные решения об импорте или высвобождении живых измененных организмов и соответствующие резюме итогов оценки рисков во исполнение статьи 20 </w:t>
      </w:r>
      <w:proofErr w:type="spellStart"/>
      <w:r>
        <w:rPr>
          <w:lang w:val="ru"/>
        </w:rPr>
        <w:t>Картахенского</w:t>
      </w:r>
      <w:proofErr w:type="spellEnd"/>
      <w:r>
        <w:rPr>
          <w:lang w:val="ru"/>
        </w:rPr>
        <w:t xml:space="preserve"> протокола по биобезопасности</w:t>
      </w:r>
      <w:r>
        <w:rPr>
          <w:rStyle w:val="FootnoteReference"/>
          <w:lang w:val="ru"/>
        </w:rPr>
        <w:footnoteReference w:id="8"/>
      </w:r>
      <w:r>
        <w:rPr>
          <w:lang w:val="ru"/>
        </w:rPr>
        <w:t>.</w:t>
      </w:r>
    </w:p>
    <w:p w14:paraId="51ADF07A" w14:textId="2417DC77" w:rsidR="00A47CC6" w:rsidRPr="00E42671" w:rsidRDefault="001643AF">
      <w:pPr>
        <w:pStyle w:val="CBDH1"/>
        <w:rPr>
          <w:lang w:val="ru-RU"/>
        </w:rPr>
      </w:pPr>
      <w:r>
        <w:rPr>
          <w:bCs/>
          <w:lang w:val="ru"/>
        </w:rPr>
        <w:t>III.</w:t>
      </w:r>
      <w:r>
        <w:rPr>
          <w:bCs/>
          <w:lang w:val="ru"/>
        </w:rPr>
        <w:tab/>
        <w:t>Мониторинг и отчетность</w:t>
      </w:r>
    </w:p>
    <w:p w14:paraId="2B82D345" w14:textId="701B787D" w:rsidR="00A47CC6" w:rsidRPr="00E42671" w:rsidRDefault="001643AF" w:rsidP="004658AA">
      <w:pPr>
        <w:pStyle w:val="CBDRecommendText"/>
        <w:tabs>
          <w:tab w:val="clear" w:pos="567"/>
        </w:tabs>
        <w:ind w:left="540"/>
        <w:rPr>
          <w:lang w:val="ru-RU"/>
        </w:rPr>
      </w:pPr>
      <w:r>
        <w:rPr>
          <w:lang w:val="ru"/>
        </w:rPr>
        <w:t>3.</w:t>
      </w:r>
      <w:r>
        <w:rPr>
          <w:lang w:val="ru"/>
        </w:rPr>
        <w:tab/>
        <w:t>Комитет по соблюдению рекомендует Конференции Сторон, выступающей в качестве совещания Сторон Протокола, принять на ее двенадцатом совещании решение, включающее следующие элементы:</w:t>
      </w:r>
    </w:p>
    <w:p w14:paraId="31D2DC9E" w14:textId="42719201" w:rsidR="00A47CC6" w:rsidRPr="00E42671" w:rsidRDefault="001C5EF9">
      <w:pPr>
        <w:pStyle w:val="CBDRecommendText"/>
        <w:rPr>
          <w:bCs/>
          <w:i/>
          <w:iCs/>
          <w:lang w:val="ru-RU"/>
        </w:rPr>
      </w:pPr>
      <w:r>
        <w:rPr>
          <w:lang w:val="ru"/>
        </w:rPr>
        <w:tab/>
      </w:r>
      <w:r>
        <w:rPr>
          <w:i/>
          <w:iCs/>
          <w:lang w:val="ru"/>
        </w:rPr>
        <w:t xml:space="preserve">Конференция Сторон, выступающая в качестве совещания Сторон </w:t>
      </w:r>
      <w:proofErr w:type="spellStart"/>
      <w:r>
        <w:rPr>
          <w:i/>
          <w:iCs/>
          <w:lang w:val="ru"/>
        </w:rPr>
        <w:t>Картахенского</w:t>
      </w:r>
      <w:proofErr w:type="spellEnd"/>
      <w:r>
        <w:rPr>
          <w:i/>
          <w:iCs/>
          <w:lang w:val="ru"/>
        </w:rPr>
        <w:t xml:space="preserve"> протокола,</w:t>
      </w:r>
    </w:p>
    <w:p w14:paraId="6C1A8C25" w14:textId="19FB02DD" w:rsidR="00FB72A2" w:rsidRPr="00E42671" w:rsidRDefault="001643AF" w:rsidP="00FB72A2">
      <w:pPr>
        <w:pStyle w:val="CBDDesicionText"/>
        <w:numPr>
          <w:ilvl w:val="0"/>
          <w:numId w:val="9"/>
        </w:numPr>
        <w:tabs>
          <w:tab w:val="clear" w:pos="567"/>
          <w:tab w:val="clear" w:pos="1134"/>
          <w:tab w:val="clear" w:pos="1701"/>
          <w:tab w:val="clear" w:pos="2268"/>
          <w:tab w:val="left" w:pos="630"/>
          <w:tab w:val="left" w:pos="1800"/>
        </w:tabs>
        <w:ind w:left="540" w:firstLine="630"/>
        <w:rPr>
          <w:lang w:val="ru-RU"/>
        </w:rPr>
      </w:pPr>
      <w:r>
        <w:rPr>
          <w:i/>
          <w:iCs/>
          <w:lang w:val="ru"/>
        </w:rPr>
        <w:lastRenderedPageBreak/>
        <w:t>приветствует</w:t>
      </w:r>
      <w:r>
        <w:rPr>
          <w:lang w:val="ru"/>
        </w:rPr>
        <w:t xml:space="preserve"> тот факт, что более двух третей Сторон представили свои пятые национальные доклады об осуществлении Картахенского протокола по биобезопасности</w:t>
      </w:r>
      <w:r>
        <w:rPr>
          <w:rStyle w:val="FootnoteReference"/>
          <w:lang w:val="ru"/>
        </w:rPr>
        <w:footnoteReference w:id="9"/>
      </w:r>
      <w:r>
        <w:rPr>
          <w:lang w:val="ru"/>
        </w:rPr>
        <w:t xml:space="preserve"> в установленный для представления докладов срок; </w:t>
      </w:r>
    </w:p>
    <w:p w14:paraId="0FBA3959" w14:textId="1CE57675" w:rsidR="0078325F" w:rsidRPr="00E42671" w:rsidRDefault="0078325F" w:rsidP="00FB72A2">
      <w:pPr>
        <w:pStyle w:val="CBDDesicionText"/>
        <w:numPr>
          <w:ilvl w:val="0"/>
          <w:numId w:val="9"/>
        </w:numPr>
        <w:tabs>
          <w:tab w:val="clear" w:pos="567"/>
          <w:tab w:val="clear" w:pos="1134"/>
          <w:tab w:val="clear" w:pos="1701"/>
          <w:tab w:val="clear" w:pos="2268"/>
          <w:tab w:val="left" w:pos="630"/>
          <w:tab w:val="left" w:pos="1800"/>
        </w:tabs>
        <w:ind w:left="540" w:firstLine="630"/>
        <w:rPr>
          <w:lang w:val="ru-RU"/>
        </w:rPr>
      </w:pPr>
      <w:r>
        <w:rPr>
          <w:i/>
          <w:iCs/>
          <w:u w:color="000000"/>
          <w:lang w:val="ru"/>
        </w:rPr>
        <w:t>напоминает</w:t>
      </w:r>
      <w:r>
        <w:rPr>
          <w:u w:color="000000"/>
          <w:lang w:val="ru"/>
        </w:rPr>
        <w:t xml:space="preserve"> Сторонам, которые еще не представили свои пятые национальные доклады, о необходимости сделать это как можно скорее, воспользовавшись Механизмом посредничества по биобезопасности;</w:t>
      </w:r>
    </w:p>
    <w:p w14:paraId="3E240B15" w14:textId="7C4F6A6A" w:rsidR="00A47CC6" w:rsidRPr="00E42671" w:rsidRDefault="001643AF" w:rsidP="004658AA">
      <w:pPr>
        <w:pStyle w:val="CBDDesicionText"/>
        <w:numPr>
          <w:ilvl w:val="0"/>
          <w:numId w:val="9"/>
        </w:numPr>
        <w:tabs>
          <w:tab w:val="clear" w:pos="567"/>
          <w:tab w:val="clear" w:pos="1134"/>
          <w:tab w:val="clear" w:pos="1701"/>
          <w:tab w:val="clear" w:pos="2268"/>
          <w:tab w:val="left" w:pos="630"/>
          <w:tab w:val="left" w:pos="1800"/>
        </w:tabs>
        <w:ind w:left="540" w:firstLine="630"/>
        <w:rPr>
          <w:lang w:val="ru-RU"/>
        </w:rPr>
      </w:pPr>
      <w:r>
        <w:rPr>
          <w:i/>
          <w:iCs/>
          <w:lang w:val="ru"/>
        </w:rPr>
        <w:t xml:space="preserve">выражает </w:t>
      </w:r>
      <w:r>
        <w:rPr>
          <w:lang w:val="ru"/>
        </w:rPr>
        <w:t>признательность Глобальному экологическому фонду и Программе Организации Объединенных Наций по окружающей среде за поддержку, оказанную имеющим на это право Сторонам в целях подготовки и представления ими пятых национальных докладов.</w:t>
      </w:r>
    </w:p>
    <w:p w14:paraId="674DAEAB" w14:textId="77777777" w:rsidR="00A47CC6" w:rsidRPr="00E42671" w:rsidRDefault="001643AF">
      <w:pPr>
        <w:pStyle w:val="CBDH1"/>
        <w:rPr>
          <w:lang w:val="ru-RU"/>
        </w:rPr>
      </w:pPr>
      <w:r>
        <w:rPr>
          <w:bCs/>
          <w:lang w:val="ru"/>
        </w:rPr>
        <w:t>IV.</w:t>
      </w:r>
      <w:r>
        <w:rPr>
          <w:bCs/>
          <w:lang w:val="ru"/>
        </w:rPr>
        <w:tab/>
        <w:t>Вопросы, связанные с механизмом финансирования и финансовыми ресурсами</w:t>
      </w:r>
    </w:p>
    <w:p w14:paraId="7B0F635D" w14:textId="64EBDFD1" w:rsidR="00A47CC6" w:rsidRPr="00E42671" w:rsidRDefault="001643AF" w:rsidP="00F95C52">
      <w:pPr>
        <w:pStyle w:val="CBDRecommendText"/>
        <w:keepNext/>
        <w:tabs>
          <w:tab w:val="clear" w:pos="567"/>
        </w:tabs>
        <w:rPr>
          <w:lang w:val="ru-RU"/>
        </w:rPr>
      </w:pPr>
      <w:r>
        <w:rPr>
          <w:lang w:val="ru"/>
        </w:rPr>
        <w:t>4.</w:t>
      </w:r>
      <w:r>
        <w:rPr>
          <w:lang w:val="ru"/>
        </w:rPr>
        <w:tab/>
        <w:t>Комитет по соблюдению рекомендует Конференции Сторон, выступающей в качестве совещания Сторон Протокола, принять на ее 12-м совещании решение, включающее следующие элементы:</w:t>
      </w:r>
    </w:p>
    <w:p w14:paraId="5F2F52CF" w14:textId="327ABA0E" w:rsidR="004D6DF2" w:rsidRPr="00E42671" w:rsidRDefault="001C5EF9" w:rsidP="00F95C52">
      <w:pPr>
        <w:pStyle w:val="CBDRecommendText"/>
        <w:rPr>
          <w:bCs/>
          <w:i/>
          <w:iCs/>
          <w:lang w:val="ru-RU"/>
        </w:rPr>
      </w:pPr>
      <w:r>
        <w:rPr>
          <w:lang w:val="ru"/>
        </w:rPr>
        <w:tab/>
      </w:r>
      <w:r>
        <w:rPr>
          <w:i/>
          <w:iCs/>
          <w:lang w:val="ru"/>
        </w:rPr>
        <w:t xml:space="preserve">Конференция Сторон, выступающая в качестве совещания Сторон Картахенского протокола, </w:t>
      </w:r>
    </w:p>
    <w:p w14:paraId="37439589" w14:textId="3BE301DB" w:rsidR="00A47CC6" w:rsidRPr="00E42671" w:rsidRDefault="006F463D" w:rsidP="00F95C52">
      <w:pPr>
        <w:pStyle w:val="CBDRecommendText"/>
        <w:rPr>
          <w:lang w:val="ru-RU"/>
        </w:rPr>
      </w:pPr>
      <w:r>
        <w:rPr>
          <w:lang w:val="ru"/>
        </w:rPr>
        <w:tab/>
      </w:r>
      <w:r>
        <w:rPr>
          <w:i/>
          <w:iCs/>
          <w:lang w:val="ru"/>
        </w:rPr>
        <w:t>рекомендует</w:t>
      </w:r>
      <w:r>
        <w:rPr>
          <w:lang w:val="ru"/>
        </w:rPr>
        <w:t xml:space="preserve"> Конференции Сторон Конвенции о биологическом разнообразии</w:t>
      </w:r>
      <w:r>
        <w:rPr>
          <w:rStyle w:val="FootnoteReference"/>
          <w:lang w:val="ru"/>
        </w:rPr>
        <w:footnoteReference w:id="10"/>
      </w:r>
      <w:r>
        <w:rPr>
          <w:lang w:val="ru"/>
        </w:rPr>
        <w:t xml:space="preserve"> на ее 17-м совещании в рамках своих руководящих указаний механизму финансирования поручить Глобальному экологическому фонду своевременно предоставить средства для оказания поддержки имеющим на это право Сторонам в подготовке и представлении их шестых национальных докладов об осуществлении Картахенского протокола по биобезопасности</w:t>
      </w:r>
      <w:r>
        <w:rPr>
          <w:rStyle w:val="FootnoteReference"/>
          <w:lang w:val="ru"/>
        </w:rPr>
        <w:footnoteReference w:id="11"/>
      </w:r>
      <w:r>
        <w:rPr>
          <w:lang w:val="ru"/>
        </w:rPr>
        <w:t>.</w:t>
      </w:r>
      <w:r>
        <w:rPr>
          <w:lang w:val="ru"/>
        </w:rPr>
        <w:br w:type="page"/>
      </w:r>
    </w:p>
    <w:p w14:paraId="2598BC0F" w14:textId="77777777" w:rsidR="00A47CC6" w:rsidRPr="00E42671" w:rsidRDefault="001643AF">
      <w:pPr>
        <w:pStyle w:val="CBDAnnex"/>
        <w:rPr>
          <w:lang w:val="ru-RU"/>
        </w:rPr>
      </w:pPr>
      <w:r>
        <w:rPr>
          <w:bCs/>
          <w:lang w:val="ru"/>
        </w:rPr>
        <w:lastRenderedPageBreak/>
        <w:t>Приложение II</w:t>
      </w:r>
    </w:p>
    <w:p w14:paraId="6F733FD2" w14:textId="766369FF" w:rsidR="00A47CC6" w:rsidRPr="00E42671" w:rsidRDefault="001643AF">
      <w:pPr>
        <w:pStyle w:val="CBDTitle"/>
        <w:rPr>
          <w:snapToGrid w:val="0"/>
          <w:lang w:val="ru-RU"/>
        </w:rPr>
      </w:pPr>
      <w:r>
        <w:rPr>
          <w:bCs/>
          <w:lang w:val="ru"/>
        </w:rPr>
        <w:t xml:space="preserve">Вклад Комитета по соблюдению в рамках Картахенского протокола </w:t>
      </w:r>
      <w:r>
        <w:rPr>
          <w:bCs/>
          <w:snapToGrid w:val="0"/>
          <w:lang w:val="ru"/>
        </w:rPr>
        <w:t>по биобезопасности</w:t>
      </w:r>
      <w:r>
        <w:rPr>
          <w:bCs/>
          <w:lang w:val="ru"/>
        </w:rPr>
        <w:t xml:space="preserve"> в проведение пятой</w:t>
      </w:r>
      <w:r>
        <w:rPr>
          <w:bCs/>
          <w:snapToGrid w:val="0"/>
          <w:lang w:val="ru"/>
        </w:rPr>
        <w:t xml:space="preserve"> оценки и обзора эффективности Протокола и промежуточной оценки плана осуществления Протокола и плана действий по созданию потенциала для его осуществления</w:t>
      </w:r>
    </w:p>
    <w:p w14:paraId="2547E657" w14:textId="77777777" w:rsidR="00F95C52" w:rsidRPr="00E42671" w:rsidRDefault="00F95C52" w:rsidP="00F95C52">
      <w:pPr>
        <w:pStyle w:val="CBDNormalNoNumber"/>
        <w:rPr>
          <w:lang w:val="ru-RU"/>
        </w:rPr>
      </w:pPr>
      <w:r>
        <w:rPr>
          <w:lang w:val="ru"/>
        </w:rPr>
        <w:t xml:space="preserve">Комитет по соблюдению рекомендует, чтобы в качестве своего вклада в </w:t>
      </w:r>
      <w:r>
        <w:rPr>
          <w:snapToGrid w:val="0"/>
          <w:lang w:val="ru"/>
        </w:rPr>
        <w:t>пятую оценку и обзор эффективности Картахенского протокола по биобезопасности и промежуточную оценку плана осуществления и плана действий по созданию потенциала для Протокола</w:t>
      </w:r>
      <w:r>
        <w:rPr>
          <w:lang w:val="ru"/>
        </w:rPr>
        <w:t xml:space="preserve"> Вспомогательный орган по осуществлению на своем 7-м совещании рассмотрел следующие элементы для включения в рекомендуемый проект решения, который будет представлен на рассмотрение Конференции Сторон, действующей в качестве совещания Сторон Протокола, на ее 12-м совещании: </w:t>
      </w:r>
    </w:p>
    <w:p w14:paraId="525C65E8" w14:textId="526821E0" w:rsidR="00F95C52" w:rsidRPr="00E42671" w:rsidRDefault="00F95C52" w:rsidP="00F95C52">
      <w:pPr>
        <w:pStyle w:val="CBDNormalNumber"/>
        <w:tabs>
          <w:tab w:val="clear" w:pos="567"/>
          <w:tab w:val="clear" w:pos="1134"/>
          <w:tab w:val="clear" w:pos="2268"/>
          <w:tab w:val="clear" w:pos="2835"/>
          <w:tab w:val="clear" w:pos="3402"/>
          <w:tab w:val="clear" w:pos="3969"/>
        </w:tabs>
        <w:ind w:left="567" w:firstLine="567"/>
        <w:rPr>
          <w:lang w:val="ru-RU"/>
        </w:rPr>
      </w:pPr>
      <w:r>
        <w:rPr>
          <w:lang w:val="ru"/>
        </w:rPr>
        <w:t>1.</w:t>
      </w:r>
      <w:r>
        <w:rPr>
          <w:lang w:val="ru"/>
        </w:rPr>
        <w:tab/>
        <w:t>приветствовать прогресс, достигнутый Сторонами в выполнении своих обязательств в</w:t>
      </w:r>
      <w:r w:rsidR="00E42671">
        <w:rPr>
          <w:lang w:val="ru"/>
        </w:rPr>
        <w:t xml:space="preserve"> </w:t>
      </w:r>
      <w:r>
        <w:rPr>
          <w:lang w:val="ru"/>
        </w:rPr>
        <w:t>рамках Протокола, в частности в отношении представления национальных докладов и</w:t>
      </w:r>
      <w:r w:rsidR="00E42671">
        <w:rPr>
          <w:lang w:val="ru"/>
        </w:rPr>
        <w:t xml:space="preserve"> </w:t>
      </w:r>
      <w:r>
        <w:rPr>
          <w:lang w:val="ru"/>
        </w:rPr>
        <w:t>публикации информации через Механизм посредничества по биобезопасности;</w:t>
      </w:r>
    </w:p>
    <w:p w14:paraId="3DBE4801" w14:textId="12DBAD2E" w:rsidR="00F95C52" w:rsidRPr="00E42671" w:rsidRDefault="00F95C52" w:rsidP="00F95C52">
      <w:pPr>
        <w:pStyle w:val="CBDNormalNumber"/>
        <w:tabs>
          <w:tab w:val="clear" w:pos="567"/>
          <w:tab w:val="clear" w:pos="1134"/>
          <w:tab w:val="clear" w:pos="2268"/>
          <w:tab w:val="clear" w:pos="2835"/>
          <w:tab w:val="clear" w:pos="3402"/>
          <w:tab w:val="clear" w:pos="3969"/>
        </w:tabs>
        <w:ind w:left="567" w:firstLine="567"/>
        <w:rPr>
          <w:lang w:val="ru-RU"/>
        </w:rPr>
      </w:pPr>
      <w:r>
        <w:rPr>
          <w:lang w:val="ru"/>
        </w:rPr>
        <w:t>2.</w:t>
      </w:r>
      <w:r>
        <w:rPr>
          <w:lang w:val="ru"/>
        </w:rPr>
        <w:tab/>
        <w:t>также приветствовать высокие показатели выполнения обязательства по назначению</w:t>
      </w:r>
      <w:r w:rsidR="00E42671">
        <w:rPr>
          <w:lang w:val="ru"/>
        </w:rPr>
        <w:t xml:space="preserve"> </w:t>
      </w:r>
      <w:r>
        <w:rPr>
          <w:lang w:val="ru"/>
        </w:rPr>
        <w:t>национальных координационных центров;</w:t>
      </w:r>
    </w:p>
    <w:p w14:paraId="47DD1638" w14:textId="77777777" w:rsidR="00F95C52" w:rsidRPr="00E42671" w:rsidRDefault="00F95C52" w:rsidP="00F95C52">
      <w:pPr>
        <w:pStyle w:val="CBDNormalNumber"/>
        <w:tabs>
          <w:tab w:val="clear" w:pos="567"/>
          <w:tab w:val="clear" w:pos="1134"/>
          <w:tab w:val="clear" w:pos="2268"/>
          <w:tab w:val="clear" w:pos="2835"/>
          <w:tab w:val="clear" w:pos="3402"/>
          <w:tab w:val="clear" w:pos="3969"/>
        </w:tabs>
        <w:ind w:left="567" w:firstLine="567"/>
        <w:rPr>
          <w:lang w:val="ru-RU"/>
        </w:rPr>
      </w:pPr>
      <w:r>
        <w:rPr>
          <w:lang w:val="ru"/>
        </w:rPr>
        <w:t>3.</w:t>
      </w:r>
      <w:r>
        <w:rPr>
          <w:lang w:val="ru"/>
        </w:rPr>
        <w:tab/>
        <w:t>с удовлетворением отметить прогресс, достигнутый Сторонами в назначении компетентных национальных органов, однако выразить озабоченность в связи с тем, что небольшая группа Сторон до сих пор не назначила свои компетентные национальные органы, и настоятельно призвать их сделать это в кратчайшие сроки;</w:t>
      </w:r>
    </w:p>
    <w:p w14:paraId="07AA439B" w14:textId="77777777" w:rsidR="00F95C52" w:rsidRPr="00E42671" w:rsidRDefault="00F95C52" w:rsidP="00F95C52">
      <w:pPr>
        <w:pStyle w:val="CBDNormalNumber"/>
        <w:tabs>
          <w:tab w:val="clear" w:pos="567"/>
          <w:tab w:val="clear" w:pos="1134"/>
          <w:tab w:val="clear" w:pos="2268"/>
          <w:tab w:val="clear" w:pos="2835"/>
          <w:tab w:val="clear" w:pos="3402"/>
          <w:tab w:val="clear" w:pos="3969"/>
        </w:tabs>
        <w:ind w:left="567" w:firstLine="567"/>
        <w:rPr>
          <w:lang w:val="ru-RU"/>
        </w:rPr>
      </w:pPr>
      <w:r>
        <w:rPr>
          <w:lang w:val="ru"/>
        </w:rPr>
        <w:t>4.</w:t>
      </w:r>
      <w:r>
        <w:rPr>
          <w:lang w:val="ru"/>
        </w:rPr>
        <w:tab/>
        <w:t xml:space="preserve">приветствовать вспомогательную роль Комитета по соблюдению и признать важность его регулярного и неуклонно наращиваемого последующего взаимодействия со Сторонами по вопросам, связанным с соблюдением и официальными мерами по обеспечению соблюдения, а также неофициальных усилий Комитета по соблюдению в поддержку соблюдения и достижения цели A.4 плана осуществления Картахенского протокола по биобезопасности; </w:t>
      </w:r>
    </w:p>
    <w:p w14:paraId="29F03BF2" w14:textId="77777777" w:rsidR="00F95C52" w:rsidRPr="00E42671" w:rsidRDefault="00F95C52" w:rsidP="00F95C52">
      <w:pPr>
        <w:pStyle w:val="CBDNormalNumber"/>
        <w:tabs>
          <w:tab w:val="clear" w:pos="567"/>
          <w:tab w:val="clear" w:pos="1134"/>
          <w:tab w:val="clear" w:pos="2268"/>
          <w:tab w:val="clear" w:pos="2835"/>
          <w:tab w:val="clear" w:pos="3402"/>
          <w:tab w:val="clear" w:pos="3969"/>
        </w:tabs>
        <w:ind w:left="567" w:firstLine="567"/>
        <w:rPr>
          <w:lang w:val="ru-RU"/>
        </w:rPr>
      </w:pPr>
      <w:r>
        <w:rPr>
          <w:lang w:val="ru"/>
        </w:rPr>
        <w:t>5.</w:t>
      </w:r>
      <w:r>
        <w:rPr>
          <w:lang w:val="ru"/>
        </w:rPr>
        <w:tab/>
        <w:t xml:space="preserve">призвать Стороны к полномасштабному сотрудничеству при получении сообщений от Комитета по соблюдению; </w:t>
      </w:r>
    </w:p>
    <w:p w14:paraId="003873F5" w14:textId="77777777" w:rsidR="00F95C52" w:rsidRPr="00E42671" w:rsidRDefault="00F95C52" w:rsidP="00F95C52">
      <w:pPr>
        <w:pStyle w:val="CBDNormalNumber"/>
        <w:tabs>
          <w:tab w:val="clear" w:pos="567"/>
          <w:tab w:val="clear" w:pos="1134"/>
          <w:tab w:val="clear" w:pos="2268"/>
          <w:tab w:val="clear" w:pos="2835"/>
          <w:tab w:val="clear" w:pos="3402"/>
          <w:tab w:val="clear" w:pos="3969"/>
        </w:tabs>
        <w:ind w:left="567" w:firstLine="567"/>
        <w:rPr>
          <w:lang w:val="ru-RU"/>
        </w:rPr>
      </w:pPr>
      <w:r>
        <w:rPr>
          <w:lang w:val="ru"/>
        </w:rPr>
        <w:t>6.</w:t>
      </w:r>
      <w:r>
        <w:rPr>
          <w:lang w:val="ru"/>
        </w:rPr>
        <w:tab/>
        <w:t xml:space="preserve">выразить озабоченность в связи с тем, что ряд Сторон не приняли никаких мер или располагают лишь проектами мер либо временными мерами по осуществлению </w:t>
      </w:r>
      <w:proofErr w:type="spellStart"/>
      <w:r>
        <w:rPr>
          <w:lang w:val="ru"/>
        </w:rPr>
        <w:t>Картахенского</w:t>
      </w:r>
      <w:proofErr w:type="spellEnd"/>
      <w:r>
        <w:rPr>
          <w:lang w:val="ru"/>
        </w:rPr>
        <w:t xml:space="preserve"> протокола;</w:t>
      </w:r>
    </w:p>
    <w:p w14:paraId="10C52498" w14:textId="0826C9BA" w:rsidR="00F95C52" w:rsidRPr="00E42671" w:rsidRDefault="00F95C52" w:rsidP="00F95C52">
      <w:pPr>
        <w:pStyle w:val="CBDNormalNumber"/>
        <w:tabs>
          <w:tab w:val="clear" w:pos="567"/>
          <w:tab w:val="clear" w:pos="1134"/>
          <w:tab w:val="clear" w:pos="2268"/>
          <w:tab w:val="clear" w:pos="2835"/>
          <w:tab w:val="clear" w:pos="3402"/>
          <w:tab w:val="clear" w:pos="3969"/>
        </w:tabs>
        <w:ind w:left="567" w:firstLine="567"/>
        <w:rPr>
          <w:lang w:val="ru-RU"/>
        </w:rPr>
      </w:pPr>
      <w:r>
        <w:rPr>
          <w:lang w:val="ru"/>
        </w:rPr>
        <w:t>7.</w:t>
      </w:r>
      <w:r>
        <w:rPr>
          <w:lang w:val="ru"/>
        </w:rPr>
        <w:tab/>
        <w:t>призвать Стороны, еще не принявшие такие меры в полном объеме, в приоритетном</w:t>
      </w:r>
      <w:r w:rsidR="00E42671">
        <w:rPr>
          <w:lang w:val="ru"/>
        </w:rPr>
        <w:t xml:space="preserve"> </w:t>
      </w:r>
      <w:r>
        <w:rPr>
          <w:lang w:val="ru"/>
        </w:rPr>
        <w:t>порядке принять правовые, административные и другие меры для выполнения своих</w:t>
      </w:r>
      <w:r w:rsidR="00E42671">
        <w:rPr>
          <w:lang w:val="ru"/>
        </w:rPr>
        <w:t xml:space="preserve"> </w:t>
      </w:r>
      <w:r>
        <w:rPr>
          <w:lang w:val="ru"/>
        </w:rPr>
        <w:t xml:space="preserve">обязательств в рамках </w:t>
      </w:r>
      <w:proofErr w:type="spellStart"/>
      <w:r>
        <w:rPr>
          <w:lang w:val="ru"/>
        </w:rPr>
        <w:t>Картахенского</w:t>
      </w:r>
      <w:proofErr w:type="spellEnd"/>
      <w:r>
        <w:rPr>
          <w:lang w:val="ru"/>
        </w:rPr>
        <w:t xml:space="preserve"> протокола, и принять меры для обеспечения</w:t>
      </w:r>
      <w:r w:rsidR="00E42671">
        <w:rPr>
          <w:lang w:val="ru"/>
        </w:rPr>
        <w:t xml:space="preserve"> </w:t>
      </w:r>
      <w:r>
        <w:rPr>
          <w:lang w:val="ru"/>
        </w:rPr>
        <w:t>необходимой политической воли и осведомленности, признавая при этом, что Стороны</w:t>
      </w:r>
      <w:r w:rsidR="00E42671">
        <w:rPr>
          <w:lang w:val="ru"/>
        </w:rPr>
        <w:t xml:space="preserve"> </w:t>
      </w:r>
      <w:r>
        <w:rPr>
          <w:lang w:val="ru"/>
        </w:rPr>
        <w:t>сталкиваются с различными проблемами, которые мешают им в полной мере выполнять</w:t>
      </w:r>
      <w:r w:rsidR="00E42671">
        <w:rPr>
          <w:lang w:val="ru"/>
        </w:rPr>
        <w:t xml:space="preserve"> </w:t>
      </w:r>
      <w:r>
        <w:rPr>
          <w:lang w:val="ru"/>
        </w:rPr>
        <w:t>обязательства, предусмотренные пунктом 1 статьи 2 Протокола;</w:t>
      </w:r>
    </w:p>
    <w:p w14:paraId="7619A399" w14:textId="77777777" w:rsidR="00F95C52" w:rsidRPr="00E42671" w:rsidRDefault="00F95C52" w:rsidP="00F95C52">
      <w:pPr>
        <w:pStyle w:val="CBDNormalNumber"/>
        <w:tabs>
          <w:tab w:val="clear" w:pos="567"/>
          <w:tab w:val="clear" w:pos="1134"/>
          <w:tab w:val="clear" w:pos="2268"/>
          <w:tab w:val="clear" w:pos="2835"/>
          <w:tab w:val="clear" w:pos="3402"/>
          <w:tab w:val="clear" w:pos="3969"/>
        </w:tabs>
        <w:ind w:left="567" w:firstLine="567"/>
        <w:rPr>
          <w:lang w:val="ru-RU"/>
        </w:rPr>
      </w:pPr>
      <w:r>
        <w:rPr>
          <w:lang w:val="ru"/>
        </w:rPr>
        <w:t>8.</w:t>
      </w:r>
      <w:r>
        <w:rPr>
          <w:lang w:val="ru"/>
        </w:rPr>
        <w:tab/>
        <w:t>настоятельно призвать Стороны, которые еще не сделали этого в полной мере, предоставлять всю необходимую информацию через Механизм посредничества по биобезопасности и своевременно обновлять свои данные в нем, отмечая в частности, что информация о незаконных или непреднамеренных трансграничных перемещениях, сообщенная в пятых национальных докладах, во многих случаях не была распространена через Механизм посредничества;</w:t>
      </w:r>
    </w:p>
    <w:p w14:paraId="50A61E9F" w14:textId="77777777" w:rsidR="00F95C52" w:rsidRPr="00E42671" w:rsidRDefault="00F95C52" w:rsidP="00F95C52">
      <w:pPr>
        <w:pStyle w:val="CBDNormalNumber"/>
        <w:tabs>
          <w:tab w:val="clear" w:pos="567"/>
          <w:tab w:val="clear" w:pos="1134"/>
          <w:tab w:val="clear" w:pos="2268"/>
          <w:tab w:val="clear" w:pos="2835"/>
          <w:tab w:val="clear" w:pos="3402"/>
          <w:tab w:val="clear" w:pos="3969"/>
        </w:tabs>
        <w:ind w:left="567" w:firstLine="567"/>
        <w:rPr>
          <w:lang w:val="ru-RU"/>
        </w:rPr>
      </w:pPr>
      <w:r>
        <w:rPr>
          <w:lang w:val="ru"/>
        </w:rPr>
        <w:lastRenderedPageBreak/>
        <w:t>9.</w:t>
      </w:r>
      <w:r>
        <w:rPr>
          <w:lang w:val="ru"/>
        </w:rPr>
        <w:tab/>
        <w:t>рекомендовать Конференции Сторон при принятии руководящих указаний по механизму финансирования в отношении поддержки осуществления Картахенского протокола предложить Глобальному экологическому фонду предоставлять конкретное финансирование Сторонам, имеющим право на получение помощи, для следующих целей: a) принятие правовых, административных и иных мер для осуществления Протокола; и b) оказание поддержки Сторонам, имеющим право на получение помощи, в осуществлении планов действий по обеспечению соблюдения, связанных с соблюдением положений Протокола;</w:t>
      </w:r>
    </w:p>
    <w:p w14:paraId="0FF1975A" w14:textId="77777777" w:rsidR="00F95C52" w:rsidRPr="00E42671" w:rsidRDefault="00F95C52" w:rsidP="00F95C52">
      <w:pPr>
        <w:pStyle w:val="CBDNormalNumber"/>
        <w:tabs>
          <w:tab w:val="clear" w:pos="567"/>
          <w:tab w:val="clear" w:pos="1134"/>
          <w:tab w:val="clear" w:pos="2268"/>
          <w:tab w:val="clear" w:pos="2835"/>
          <w:tab w:val="clear" w:pos="3402"/>
          <w:tab w:val="clear" w:pos="3969"/>
        </w:tabs>
        <w:ind w:left="567" w:firstLine="567"/>
        <w:rPr>
          <w:lang w:val="ru-RU"/>
        </w:rPr>
      </w:pPr>
      <w:r>
        <w:rPr>
          <w:lang w:val="ru"/>
        </w:rPr>
        <w:t>10.</w:t>
      </w:r>
      <w:r>
        <w:rPr>
          <w:lang w:val="ru"/>
        </w:rPr>
        <w:tab/>
        <w:t>приветствовать вклад Комитета в пятую оценку и обзор Картахенского протокола, а также в промежуточную оценку плана осуществления Протокола и поручить Комитету и далее вносить вклад в шестую оценку и обзор, а также в итоговую оценку плана осуществления Протокола.</w:t>
      </w:r>
    </w:p>
    <w:p w14:paraId="1C38818C" w14:textId="2CE34C0B" w:rsidR="00523E25" w:rsidRDefault="00523E25" w:rsidP="00F95C52">
      <w:pPr>
        <w:pStyle w:val="CBDNormalNumber"/>
        <w:tabs>
          <w:tab w:val="clear" w:pos="567"/>
          <w:tab w:val="clear" w:pos="1134"/>
          <w:tab w:val="clear" w:pos="1701"/>
          <w:tab w:val="clear" w:pos="2268"/>
          <w:tab w:val="clear" w:pos="2835"/>
          <w:tab w:val="clear" w:pos="3402"/>
          <w:tab w:val="clear" w:pos="3969"/>
          <w:tab w:val="left" w:pos="1710"/>
        </w:tabs>
        <w:ind w:left="1170"/>
        <w:jc w:val="center"/>
      </w:pPr>
      <w:r>
        <w:rPr>
          <w:lang w:val="ru"/>
        </w:rPr>
        <w:t>__________</w:t>
      </w:r>
    </w:p>
    <w:sectPr w:rsidR="00523E25" w:rsidSect="00F95C52">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8E401" w14:textId="77777777" w:rsidR="00BA6B67" w:rsidRDefault="00BA6B67">
      <w:r>
        <w:separator/>
      </w:r>
    </w:p>
  </w:endnote>
  <w:endnote w:type="continuationSeparator" w:id="0">
    <w:p w14:paraId="57152538" w14:textId="77777777" w:rsidR="00BA6B67" w:rsidRDefault="00BA6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10006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AutoText"/>
      </w:docPartObj>
    </w:sdtPr>
    <w:sdtContent>
      <w:sdt>
        <w:sdtPr>
          <w:id w:val="-1705238520"/>
          <w:docPartObj>
            <w:docPartGallery w:val="AutoText"/>
          </w:docPartObj>
        </w:sdtPr>
        <w:sdtContent>
          <w:p w14:paraId="2A813EF4" w14:textId="4B143959" w:rsidR="00A47CC6" w:rsidRDefault="001643AF">
            <w:pPr>
              <w:pStyle w:val="Footer"/>
              <w:jc w:val="left"/>
            </w:pPr>
            <w:r>
              <w:rPr>
                <w:szCs w:val="20"/>
                <w:lang w:val="ru"/>
              </w:rPr>
              <w:fldChar w:fldCharType="begin"/>
            </w:r>
            <w:r>
              <w:rPr>
                <w:szCs w:val="20"/>
                <w:lang w:val="ru"/>
              </w:rPr>
              <w:instrText xml:space="preserve"> PAGE </w:instrText>
            </w:r>
            <w:r>
              <w:rPr>
                <w:szCs w:val="20"/>
                <w:lang w:val="ru"/>
              </w:rPr>
              <w:fldChar w:fldCharType="separate"/>
            </w:r>
            <w:r>
              <w:rPr>
                <w:szCs w:val="20"/>
                <w:lang w:val="ru"/>
              </w:rPr>
              <w:t>2</w:t>
            </w:r>
            <w:r>
              <w:rPr>
                <w:szCs w:val="20"/>
                <w:lang w:val="ru"/>
              </w:rPr>
              <w:fldChar w:fldCharType="end"/>
            </w:r>
            <w:r>
              <w:rPr>
                <w:szCs w:val="20"/>
                <w:lang w:val="ru"/>
              </w:rPr>
              <w:t>/</w:t>
            </w:r>
            <w:r>
              <w:rPr>
                <w:szCs w:val="20"/>
                <w:lang w:val="ru"/>
              </w:rPr>
              <w:fldChar w:fldCharType="begin"/>
            </w:r>
            <w:r>
              <w:rPr>
                <w:szCs w:val="20"/>
                <w:lang w:val="ru"/>
              </w:rPr>
              <w:instrText xml:space="preserve"> NUMPAGES  </w:instrText>
            </w:r>
            <w:r>
              <w:rPr>
                <w:szCs w:val="20"/>
                <w:lang w:val="ru"/>
              </w:rPr>
              <w:fldChar w:fldCharType="separate"/>
            </w:r>
            <w:r>
              <w:rPr>
                <w:szCs w:val="20"/>
                <w:lang w:val="ru"/>
              </w:rPr>
              <w:t>2</w:t>
            </w:r>
            <w:r>
              <w:rPr>
                <w:szCs w:val="20"/>
                <w:lang w:val="ru"/>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AutoText"/>
      </w:docPartObj>
    </w:sdtPr>
    <w:sdtContent>
      <w:p w14:paraId="5DC69396" w14:textId="6DA1EBDA" w:rsidR="00A47CC6" w:rsidRDefault="001643AF" w:rsidP="00FC2AA1">
        <w:pPr>
          <w:pStyle w:val="Footer"/>
          <w:jc w:val="right"/>
        </w:pPr>
        <w:r>
          <w:rPr>
            <w:szCs w:val="20"/>
            <w:lang w:val="ru"/>
          </w:rPr>
          <w:fldChar w:fldCharType="begin"/>
        </w:r>
        <w:r>
          <w:rPr>
            <w:szCs w:val="20"/>
            <w:lang w:val="ru"/>
          </w:rPr>
          <w:instrText xml:space="preserve"> PAGE </w:instrText>
        </w:r>
        <w:r>
          <w:rPr>
            <w:szCs w:val="20"/>
            <w:lang w:val="ru"/>
          </w:rPr>
          <w:fldChar w:fldCharType="separate"/>
        </w:r>
        <w:r>
          <w:rPr>
            <w:szCs w:val="20"/>
            <w:lang w:val="ru"/>
          </w:rPr>
          <w:t>2</w:t>
        </w:r>
        <w:r>
          <w:rPr>
            <w:szCs w:val="20"/>
            <w:lang w:val="ru"/>
          </w:rPr>
          <w:fldChar w:fldCharType="end"/>
        </w:r>
        <w:r>
          <w:rPr>
            <w:szCs w:val="20"/>
            <w:lang w:val="ru"/>
          </w:rPr>
          <w:t>/</w:t>
        </w:r>
        <w:r>
          <w:rPr>
            <w:szCs w:val="20"/>
            <w:lang w:val="ru"/>
          </w:rPr>
          <w:fldChar w:fldCharType="begin"/>
        </w:r>
        <w:r>
          <w:rPr>
            <w:szCs w:val="20"/>
            <w:lang w:val="ru"/>
          </w:rPr>
          <w:instrText xml:space="preserve"> NUMPAGES  </w:instrText>
        </w:r>
        <w:r>
          <w:rPr>
            <w:szCs w:val="20"/>
            <w:lang w:val="ru"/>
          </w:rPr>
          <w:fldChar w:fldCharType="separate"/>
        </w:r>
        <w:r>
          <w:rPr>
            <w:szCs w:val="20"/>
            <w:lang w:val="ru"/>
          </w:rPr>
          <w:t>3</w:t>
        </w:r>
        <w:r>
          <w:rPr>
            <w:szCs w:val="20"/>
            <w:lang w:val="ru"/>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3B90F" w14:textId="77777777" w:rsidR="00BA6B67" w:rsidRDefault="00BA6B67">
      <w:r>
        <w:separator/>
      </w:r>
    </w:p>
  </w:footnote>
  <w:footnote w:type="continuationSeparator" w:id="0">
    <w:p w14:paraId="13105C90" w14:textId="77777777" w:rsidR="00BA6B67" w:rsidRDefault="00BA6B67">
      <w:r>
        <w:continuationSeparator/>
      </w:r>
    </w:p>
  </w:footnote>
  <w:footnote w:id="1">
    <w:p w14:paraId="2847B4D4" w14:textId="2300FF9F" w:rsidR="008453C9" w:rsidRPr="00E42671" w:rsidRDefault="008453C9">
      <w:pPr>
        <w:pStyle w:val="FootnoteText"/>
        <w:rPr>
          <w:lang w:val="ru-RU"/>
        </w:rPr>
      </w:pPr>
      <w:r>
        <w:rPr>
          <w:rStyle w:val="FootnoteReference"/>
          <w:lang w:val="ru"/>
        </w:rPr>
        <w:t>*</w:t>
      </w:r>
      <w:r>
        <w:rPr>
          <w:lang w:val="ru"/>
        </w:rPr>
        <w:t xml:space="preserve"> </w:t>
      </w:r>
      <w:hyperlink r:id="rId1" w:history="1">
        <w:r>
          <w:rPr>
            <w:rStyle w:val="Hyperlink"/>
            <w:lang w:val="ru"/>
          </w:rPr>
          <w:t>CBD/CP/MOP/1</w:t>
        </w:r>
        <w:r>
          <w:rPr>
            <w:rStyle w:val="Hyperlink"/>
            <w:lang w:val="ru"/>
          </w:rPr>
          <w:t>2</w:t>
        </w:r>
        <w:r>
          <w:rPr>
            <w:rStyle w:val="Hyperlink"/>
            <w:lang w:val="ru"/>
          </w:rPr>
          <w:t>/1</w:t>
        </w:r>
      </w:hyperlink>
      <w:r>
        <w:rPr>
          <w:lang w:val="ru"/>
        </w:rPr>
        <w:t>.</w:t>
      </w:r>
    </w:p>
  </w:footnote>
  <w:footnote w:id="2">
    <w:p w14:paraId="6D8569E6" w14:textId="77777777" w:rsidR="00E42671" w:rsidRPr="00E42671" w:rsidRDefault="00E42671" w:rsidP="00E42671">
      <w:pPr>
        <w:pStyle w:val="FootnoteText"/>
        <w:rPr>
          <w:lang w:val="ru-RU"/>
        </w:rPr>
      </w:pPr>
      <w:r>
        <w:rPr>
          <w:rStyle w:val="FootnoteReference"/>
          <w:lang w:val="ru"/>
        </w:rPr>
        <w:footnoteRef/>
      </w:r>
      <w:r>
        <w:rPr>
          <w:lang w:val="ru"/>
        </w:rPr>
        <w:t xml:space="preserve"> </w:t>
      </w:r>
      <w:hyperlink r:id="rId2" w:history="1">
        <w:r>
          <w:rPr>
            <w:rStyle w:val="Hyperlink"/>
            <w:lang w:val="ru"/>
          </w:rPr>
          <w:t>CBD/</w:t>
        </w:r>
        <w:r>
          <w:rPr>
            <w:rStyle w:val="Hyperlink"/>
            <w:lang w:val="ru"/>
          </w:rPr>
          <w:t>C</w:t>
        </w:r>
        <w:r>
          <w:rPr>
            <w:rStyle w:val="Hyperlink"/>
            <w:lang w:val="ru"/>
          </w:rPr>
          <w:t>C/20/6</w:t>
        </w:r>
      </w:hyperlink>
      <w:r>
        <w:rPr>
          <w:lang w:val="ru"/>
        </w:rPr>
        <w:t xml:space="preserve"> и </w:t>
      </w:r>
      <w:hyperlink r:id="rId3" w:history="1">
        <w:r>
          <w:rPr>
            <w:rStyle w:val="Hyperlink"/>
            <w:lang w:val="ru"/>
          </w:rPr>
          <w:t>CBD/C</w:t>
        </w:r>
        <w:r>
          <w:rPr>
            <w:rStyle w:val="Hyperlink"/>
            <w:lang w:val="ru"/>
          </w:rPr>
          <w:t>C</w:t>
        </w:r>
        <w:r>
          <w:rPr>
            <w:rStyle w:val="Hyperlink"/>
            <w:lang w:val="ru"/>
          </w:rPr>
          <w:t>/21/5</w:t>
        </w:r>
      </w:hyperlink>
      <w:r>
        <w:rPr>
          <w:lang w:val="ru"/>
        </w:rPr>
        <w:t xml:space="preserve"> соответственно. </w:t>
      </w:r>
    </w:p>
  </w:footnote>
  <w:footnote w:id="3">
    <w:p w14:paraId="23BD9362" w14:textId="22E26169" w:rsidR="00A47CC6" w:rsidRPr="00E42671" w:rsidRDefault="001643AF" w:rsidP="000F6DBE">
      <w:pPr>
        <w:pStyle w:val="FootnoteText"/>
        <w:rPr>
          <w:lang w:val="ru-RU"/>
        </w:rPr>
      </w:pPr>
      <w:r>
        <w:rPr>
          <w:rStyle w:val="FootnoteReference"/>
          <w:vertAlign w:val="baseline"/>
          <w:lang w:val="ru"/>
        </w:rPr>
        <w:sym w:font="Symbol" w:char="F02A"/>
      </w:r>
      <w:r>
        <w:rPr>
          <w:lang w:val="ru"/>
        </w:rPr>
        <w:t xml:space="preserve"> </w:t>
      </w:r>
      <w:r>
        <w:rPr>
          <w:szCs w:val="18"/>
          <w:lang w:val="ru"/>
        </w:rPr>
        <w:t>В соответствии с практикой, принятой на предыдущих совещаниях Конференции Сторон, выступающей в качестве совещания Сторон Протокола, рекомендации могут быть распределены по пунктам повестки дня, к которым они имеют наиболее непосредственное отношение.</w:t>
      </w:r>
    </w:p>
  </w:footnote>
  <w:footnote w:id="4">
    <w:p w14:paraId="18625AB7" w14:textId="110DC7FE" w:rsidR="00C40C3B" w:rsidRPr="00E42671" w:rsidRDefault="00C40C3B">
      <w:pPr>
        <w:pStyle w:val="FootnoteText"/>
        <w:rPr>
          <w:lang w:val="ru-RU"/>
        </w:rPr>
      </w:pPr>
      <w:r>
        <w:rPr>
          <w:rStyle w:val="FootnoteReference"/>
          <w:lang w:val="ru"/>
        </w:rPr>
        <w:footnoteRef/>
      </w:r>
      <w:r>
        <w:rPr>
          <w:lang w:val="ru"/>
        </w:rPr>
        <w:t xml:space="preserve"> Сборник договоров Организации Объединенных Наций, том 2226, № 30619.</w:t>
      </w:r>
    </w:p>
  </w:footnote>
  <w:footnote w:id="5">
    <w:p w14:paraId="05AAFCED" w14:textId="77777777" w:rsidR="00A47CC6" w:rsidRPr="00E42671" w:rsidRDefault="001643AF">
      <w:pPr>
        <w:pStyle w:val="FootnoteText"/>
        <w:rPr>
          <w:lang w:val="ru-RU"/>
        </w:rPr>
      </w:pPr>
      <w:r>
        <w:rPr>
          <w:rStyle w:val="FootnoteReference"/>
          <w:lang w:val="ru"/>
        </w:rPr>
        <w:footnoteRef/>
      </w:r>
      <w:r>
        <w:rPr>
          <w:lang w:val="ru"/>
        </w:rPr>
        <w:t xml:space="preserve"> Решение </w:t>
      </w:r>
      <w:hyperlink r:id="rId4" w:history="1">
        <w:r>
          <w:rPr>
            <w:rStyle w:val="Hyperlink"/>
            <w:lang w:val="ru"/>
          </w:rPr>
          <w:t>BS</w:t>
        </w:r>
        <w:r>
          <w:rPr>
            <w:rStyle w:val="Hyperlink"/>
            <w:lang w:val="ru"/>
          </w:rPr>
          <w:t>-</w:t>
        </w:r>
        <w:r>
          <w:rPr>
            <w:rStyle w:val="Hyperlink"/>
            <w:lang w:val="ru"/>
          </w:rPr>
          <w:t>I/3</w:t>
        </w:r>
      </w:hyperlink>
      <w:r>
        <w:rPr>
          <w:lang w:val="ru"/>
        </w:rPr>
        <w:t>, приложение.</w:t>
      </w:r>
    </w:p>
  </w:footnote>
  <w:footnote w:id="6">
    <w:p w14:paraId="7FAA0089" w14:textId="2C9D53B3" w:rsidR="00E47D1F" w:rsidRPr="00E42671" w:rsidRDefault="00E47D1F">
      <w:pPr>
        <w:pStyle w:val="FootnoteText"/>
        <w:rPr>
          <w:lang w:val="ru-RU"/>
        </w:rPr>
      </w:pPr>
      <w:r>
        <w:rPr>
          <w:rStyle w:val="FootnoteReference"/>
          <w:lang w:val="ru"/>
        </w:rPr>
        <w:footnoteRef/>
      </w:r>
      <w:r>
        <w:rPr>
          <w:lang w:val="ru"/>
        </w:rPr>
        <w:t xml:space="preserve"> Решение </w:t>
      </w:r>
      <w:hyperlink r:id="rId5" w:history="1">
        <w:r>
          <w:rPr>
            <w:rStyle w:val="Hyperlink"/>
            <w:lang w:val="ru"/>
          </w:rPr>
          <w:t>1</w:t>
        </w:r>
        <w:r>
          <w:rPr>
            <w:rStyle w:val="Hyperlink"/>
            <w:lang w:val="ru"/>
          </w:rPr>
          <w:t>5</w:t>
        </w:r>
        <w:r>
          <w:rPr>
            <w:rStyle w:val="Hyperlink"/>
            <w:lang w:val="ru"/>
          </w:rPr>
          <w:t>/</w:t>
        </w:r>
        <w:r>
          <w:rPr>
            <w:rStyle w:val="Hyperlink"/>
            <w:lang w:val="ru"/>
          </w:rPr>
          <w:t>4</w:t>
        </w:r>
      </w:hyperlink>
      <w:r>
        <w:rPr>
          <w:lang w:val="ru"/>
        </w:rPr>
        <w:t>, приложение.</w:t>
      </w:r>
    </w:p>
  </w:footnote>
  <w:footnote w:id="7">
    <w:p w14:paraId="49D9DEC8" w14:textId="43D5A885" w:rsidR="000A6EB4" w:rsidRPr="00E42671" w:rsidRDefault="000A6EB4">
      <w:pPr>
        <w:pStyle w:val="FootnoteText"/>
        <w:rPr>
          <w:lang w:val="ru-RU"/>
        </w:rPr>
      </w:pPr>
      <w:r>
        <w:rPr>
          <w:rStyle w:val="FootnoteReference"/>
          <w:lang w:val="ru"/>
        </w:rPr>
        <w:footnoteRef/>
      </w:r>
      <w:r>
        <w:rPr>
          <w:lang w:val="ru"/>
        </w:rPr>
        <w:t xml:space="preserve"> Сборник договоров Организации Объединенных Наций, том 1760, № 30619.</w:t>
      </w:r>
    </w:p>
  </w:footnote>
  <w:footnote w:id="8">
    <w:p w14:paraId="170C1894" w14:textId="7124B16A" w:rsidR="00211ED6" w:rsidRPr="00E42671" w:rsidRDefault="00211ED6">
      <w:pPr>
        <w:pStyle w:val="FootnoteText"/>
        <w:rPr>
          <w:lang w:val="ru-RU"/>
        </w:rPr>
      </w:pPr>
      <w:r>
        <w:rPr>
          <w:rStyle w:val="FootnoteReference"/>
          <w:lang w:val="ru"/>
        </w:rPr>
        <w:footnoteRef/>
      </w:r>
      <w:r>
        <w:rPr>
          <w:lang w:val="ru"/>
        </w:rPr>
        <w:t xml:space="preserve"> Там же, том 2226, № 30619.</w:t>
      </w:r>
    </w:p>
  </w:footnote>
  <w:footnote w:id="9">
    <w:p w14:paraId="055F5F67" w14:textId="1DA7650E" w:rsidR="00CB24F9" w:rsidRPr="00E42671" w:rsidRDefault="00CB24F9">
      <w:pPr>
        <w:pStyle w:val="FootnoteText"/>
        <w:rPr>
          <w:lang w:val="ru-RU"/>
        </w:rPr>
      </w:pPr>
      <w:r>
        <w:rPr>
          <w:rStyle w:val="FootnoteReference"/>
          <w:lang w:val="ru"/>
        </w:rPr>
        <w:footnoteRef/>
      </w:r>
      <w:r>
        <w:rPr>
          <w:lang w:val="ru"/>
        </w:rPr>
        <w:t xml:space="preserve"> Там же.</w:t>
      </w:r>
    </w:p>
  </w:footnote>
  <w:footnote w:id="10">
    <w:p w14:paraId="2B12C00D" w14:textId="17E86297" w:rsidR="00B213E3" w:rsidRPr="00E42671" w:rsidRDefault="00B213E3">
      <w:pPr>
        <w:pStyle w:val="FootnoteText"/>
        <w:rPr>
          <w:lang w:val="ru-RU"/>
        </w:rPr>
      </w:pPr>
      <w:r>
        <w:rPr>
          <w:rStyle w:val="FootnoteReference"/>
          <w:lang w:val="ru"/>
        </w:rPr>
        <w:footnoteRef/>
      </w:r>
      <w:r>
        <w:rPr>
          <w:lang w:val="ru"/>
        </w:rPr>
        <w:t xml:space="preserve"> Там же, том 1760, № 30619.</w:t>
      </w:r>
    </w:p>
  </w:footnote>
  <w:footnote w:id="11">
    <w:p w14:paraId="628375DD" w14:textId="27B728D2" w:rsidR="001C7B2A" w:rsidRPr="00E42671" w:rsidRDefault="001C7B2A">
      <w:pPr>
        <w:pStyle w:val="FootnoteText"/>
        <w:rPr>
          <w:lang w:val="ru-RU"/>
        </w:rPr>
      </w:pPr>
      <w:r>
        <w:rPr>
          <w:rStyle w:val="FootnoteReference"/>
          <w:lang w:val="ru"/>
        </w:rPr>
        <w:footnoteRef/>
      </w:r>
      <w:r>
        <w:rPr>
          <w:lang w:val="ru"/>
        </w:rPr>
        <w:t xml:space="preserve"> Там же, том 2226, №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id w:val="-1885015078"/>
      <w:dataBinding w:prefixMappings="xmlns:ns0='http://purl.org/dc/elements/1.1/' xmlns:ns1='http://schemas.openxmlformats.org/package/2006/metadata/core-properties' " w:xpath="/ns1:coreProperties[1]/ns0:subject[1]" w:storeItemID="{6C3C8BC8-F283-45AE-878A-BAB7291924A1}"/>
      <w:text/>
    </w:sdtPr>
    <w:sdtContent>
      <w:p w14:paraId="6DAC641C" w14:textId="77777777" w:rsidR="00A47CC6" w:rsidRDefault="001643AF" w:rsidP="00F95C52">
        <w:pPr>
          <w:pStyle w:val="ABSymbol"/>
          <w:pBdr>
            <w:bottom w:val="single" w:sz="4" w:space="1" w:color="auto"/>
          </w:pBdr>
          <w:tabs>
            <w:tab w:val="clear" w:pos="567"/>
          </w:tabs>
          <w:spacing w:after="240"/>
          <w:ind w:left="0"/>
          <w:jc w:val="left"/>
        </w:pPr>
        <w:r>
          <w:rPr>
            <w:lang w:val="ru"/>
          </w:rPr>
          <w:t>CBD/CP/MOP/12/3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id w:val="851227268"/>
      <w:dataBinding w:prefixMappings="xmlns:ns0='http://purl.org/dc/elements/1.1/' xmlns:ns1='http://schemas.openxmlformats.org/package/2006/metadata/core-properties' " w:xpath="/ns1:coreProperties[1]/ns0:subject[1]" w:storeItemID="{6C3C8BC8-F283-45AE-878A-BAB7291924A1}"/>
      <w:text/>
    </w:sdtPr>
    <w:sdtContent>
      <w:p w14:paraId="780C8FA0" w14:textId="77777777" w:rsidR="00A47CC6" w:rsidRDefault="001643AF">
        <w:pPr>
          <w:pStyle w:val="Header"/>
          <w:spacing w:after="240"/>
          <w:jc w:val="right"/>
        </w:pPr>
        <w:r>
          <w:rPr>
            <w:lang w:val="ru"/>
          </w:rPr>
          <w:t>CBD/CP/MOP/12/3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F3BC0" w14:textId="77777777" w:rsidR="00A47CC6" w:rsidRPr="00E64B29" w:rsidRDefault="00A47CC6" w:rsidP="00F95C52">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13156"/>
    <w:multiLevelType w:val="hybridMultilevel"/>
    <w:tmpl w:val="F642F158"/>
    <w:lvl w:ilvl="0" w:tplc="81C83BFE">
      <w:start w:val="1"/>
      <w:numFmt w:val="upperRoman"/>
      <w:lvlText w:val="%1."/>
      <w:lvlJc w:val="right"/>
      <w:pPr>
        <w:ind w:left="72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202814"/>
    <w:multiLevelType w:val="multilevel"/>
    <w:tmpl w:val="19202814"/>
    <w:lvl w:ilvl="0">
      <w:start w:val="1"/>
      <w:numFmt w:val="decimal"/>
      <w:lvlText w:val="%1."/>
      <w:lvlJc w:val="left"/>
      <w:pPr>
        <w:ind w:left="1170" w:hanging="360"/>
      </w:pPr>
      <w:rPr>
        <w:rFonts w:hint="default"/>
        <w:b w:val="0"/>
        <w:bCs w:val="0"/>
        <w:i w:val="0"/>
        <w:i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 w15:restartNumberingAfterBreak="0">
    <w:nsid w:val="1AD479C5"/>
    <w:multiLevelType w:val="multilevel"/>
    <w:tmpl w:val="FF9225CA"/>
    <w:lvl w:ilvl="0">
      <w:start w:val="1"/>
      <w:numFmt w:val="decimal"/>
      <w:lvlText w:val="%1."/>
      <w:lvlJc w:val="left"/>
      <w:pPr>
        <w:ind w:left="1260" w:hanging="360"/>
      </w:pPr>
      <w:rPr>
        <w:rFonts w:hint="default"/>
        <w:i w:val="0"/>
        <w:iCs w:val="0"/>
        <w:sz w:val="22"/>
        <w:szCs w:val="22"/>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3" w15:restartNumberingAfterBreak="0">
    <w:nsid w:val="3D7B6777"/>
    <w:multiLevelType w:val="multilevel"/>
    <w:tmpl w:val="3D7B6777"/>
    <w:lvl w:ilvl="0">
      <w:start w:val="1"/>
      <w:numFmt w:val="decimal"/>
      <w:lvlText w:val="%1."/>
      <w:lvlJc w:val="left"/>
      <w:pPr>
        <w:ind w:left="2376" w:hanging="360"/>
      </w:pPr>
      <w:rPr>
        <w:rFonts w:hint="default"/>
      </w:rPr>
    </w:lvl>
    <w:lvl w:ilvl="1">
      <w:start w:val="1"/>
      <w:numFmt w:val="lowerLetter"/>
      <w:lvlText w:val="%2."/>
      <w:lvlJc w:val="left"/>
      <w:pPr>
        <w:ind w:left="3096" w:hanging="360"/>
      </w:pPr>
    </w:lvl>
    <w:lvl w:ilvl="2">
      <w:start w:val="1"/>
      <w:numFmt w:val="lowerRoman"/>
      <w:lvlText w:val="%3."/>
      <w:lvlJc w:val="right"/>
      <w:pPr>
        <w:ind w:left="3816" w:hanging="180"/>
      </w:pPr>
    </w:lvl>
    <w:lvl w:ilvl="3">
      <w:start w:val="1"/>
      <w:numFmt w:val="decimal"/>
      <w:lvlText w:val="%4."/>
      <w:lvlJc w:val="left"/>
      <w:pPr>
        <w:ind w:left="4536" w:hanging="360"/>
      </w:pPr>
    </w:lvl>
    <w:lvl w:ilvl="4">
      <w:start w:val="1"/>
      <w:numFmt w:val="lowerLetter"/>
      <w:lvlText w:val="%5."/>
      <w:lvlJc w:val="left"/>
      <w:pPr>
        <w:ind w:left="5256" w:hanging="360"/>
      </w:pPr>
    </w:lvl>
    <w:lvl w:ilvl="5">
      <w:start w:val="1"/>
      <w:numFmt w:val="lowerRoman"/>
      <w:lvlText w:val="%6."/>
      <w:lvlJc w:val="right"/>
      <w:pPr>
        <w:ind w:left="5976" w:hanging="180"/>
      </w:pPr>
    </w:lvl>
    <w:lvl w:ilvl="6">
      <w:start w:val="1"/>
      <w:numFmt w:val="decimal"/>
      <w:lvlText w:val="%7."/>
      <w:lvlJc w:val="left"/>
      <w:pPr>
        <w:ind w:left="6696" w:hanging="360"/>
      </w:pPr>
    </w:lvl>
    <w:lvl w:ilvl="7">
      <w:start w:val="1"/>
      <w:numFmt w:val="lowerLetter"/>
      <w:lvlText w:val="%8."/>
      <w:lvlJc w:val="left"/>
      <w:pPr>
        <w:ind w:left="7416" w:hanging="360"/>
      </w:pPr>
    </w:lvl>
    <w:lvl w:ilvl="8">
      <w:start w:val="1"/>
      <w:numFmt w:val="lowerRoman"/>
      <w:lvlText w:val="%9."/>
      <w:lvlJc w:val="right"/>
      <w:pPr>
        <w:ind w:left="8136" w:hanging="180"/>
      </w:pPr>
    </w:lvl>
  </w:abstractNum>
  <w:abstractNum w:abstractNumId="4" w15:restartNumberingAfterBreak="0">
    <w:nsid w:val="48E4287B"/>
    <w:multiLevelType w:val="multilevel"/>
    <w:tmpl w:val="48E4287B"/>
    <w:lvl w:ilvl="0">
      <w:start w:val="1"/>
      <w:numFmt w:val="decimal"/>
      <w:lvlText w:val="%1."/>
      <w:lvlJc w:val="left"/>
      <w:pPr>
        <w:tabs>
          <w:tab w:val="left" w:pos="360"/>
        </w:tabs>
        <w:ind w:left="0" w:firstLine="0"/>
      </w:pPr>
    </w:lvl>
    <w:lvl w:ilvl="1">
      <w:start w:val="1"/>
      <w:numFmt w:val="lowerLetter"/>
      <w:lvlText w:val="(%2)"/>
      <w:lvlJc w:val="left"/>
      <w:pPr>
        <w:tabs>
          <w:tab w:val="left" w:pos="1440"/>
        </w:tabs>
        <w:ind w:left="0" w:firstLine="720"/>
      </w:pPr>
    </w:lvl>
    <w:lvl w:ilvl="2">
      <w:start w:val="1"/>
      <w:numFmt w:val="lowerRoman"/>
      <w:lvlText w:val="(%3)"/>
      <w:lvlJc w:val="right"/>
      <w:pPr>
        <w:tabs>
          <w:tab w:val="left" w:pos="1440"/>
        </w:tabs>
        <w:ind w:left="1440" w:hanging="360"/>
      </w:pPr>
    </w:lvl>
    <w:lvl w:ilvl="3">
      <w:start w:val="1"/>
      <w:numFmt w:val="bullet"/>
      <w:pStyle w:val="Para3"/>
      <w:lvlText w:val=""/>
      <w:lvlJc w:val="left"/>
      <w:pPr>
        <w:tabs>
          <w:tab w:val="left" w:pos="2160"/>
        </w:tabs>
        <w:ind w:left="2160" w:hanging="720"/>
      </w:pPr>
      <w:rPr>
        <w:rFonts w:ascii="Symbol" w:hAnsi="Symbol" w:hint="default"/>
        <w:sz w:val="28"/>
      </w:rPr>
    </w:lvl>
    <w:lvl w:ilvl="4">
      <w:start w:val="1"/>
      <w:numFmt w:val="lowerLetter"/>
      <w:lvlText w:val="(%5)"/>
      <w:lvlJc w:val="left"/>
      <w:pPr>
        <w:tabs>
          <w:tab w:val="left" w:pos="1800"/>
        </w:tabs>
        <w:ind w:left="1800" w:hanging="360"/>
      </w:pPr>
    </w:lvl>
    <w:lvl w:ilvl="5">
      <w:start w:val="1"/>
      <w:numFmt w:val="lowerRoman"/>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lowerLetter"/>
      <w:lvlText w:val="%8."/>
      <w:lvlJc w:val="left"/>
      <w:pPr>
        <w:tabs>
          <w:tab w:val="left" w:pos="2880"/>
        </w:tabs>
        <w:ind w:left="2880" w:hanging="360"/>
      </w:pPr>
    </w:lvl>
    <w:lvl w:ilvl="8">
      <w:start w:val="1"/>
      <w:numFmt w:val="lowerRoman"/>
      <w:lvlText w:val="%9."/>
      <w:lvlJc w:val="left"/>
      <w:pPr>
        <w:tabs>
          <w:tab w:val="left" w:pos="3240"/>
        </w:tabs>
        <w:ind w:left="3240" w:hanging="360"/>
      </w:pPr>
    </w:lvl>
  </w:abstractNum>
  <w:abstractNum w:abstractNumId="5"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6"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 w15:restartNumberingAfterBreak="0">
    <w:nsid w:val="66E22BD7"/>
    <w:multiLevelType w:val="multilevel"/>
    <w:tmpl w:val="66E22BD7"/>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8" w15:restartNumberingAfterBreak="0">
    <w:nsid w:val="6D191DF4"/>
    <w:multiLevelType w:val="multilevel"/>
    <w:tmpl w:val="6D191DF4"/>
    <w:lvl w:ilvl="0">
      <w:start w:val="1"/>
      <w:numFmt w:val="upperRoman"/>
      <w:pStyle w:val="Heading1"/>
      <w:lvlText w:val="%1."/>
      <w:lvlJc w:val="left"/>
      <w:pPr>
        <w:tabs>
          <w:tab w:val="left" w:pos="567"/>
        </w:tabs>
        <w:ind w:left="567" w:hanging="567"/>
      </w:pPr>
      <w:rPr>
        <w:rFonts w:ascii="Times New Roman" w:hAnsi="Times New Roman" w:hint="default"/>
        <w:sz w:val="28"/>
      </w:rPr>
    </w:lvl>
    <w:lvl w:ilvl="1">
      <w:start w:val="1"/>
      <w:numFmt w:val="upperLetter"/>
      <w:pStyle w:val="Heading2"/>
      <w:lvlText w:val="%2."/>
      <w:lvlJc w:val="left"/>
      <w:pPr>
        <w:tabs>
          <w:tab w:val="left"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left"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left" w:pos="567"/>
        </w:tabs>
        <w:ind w:left="567" w:hanging="567"/>
      </w:pPr>
      <w:rPr>
        <w:rFonts w:ascii="Times New Roman Bold" w:hAnsi="Times New Roman Bold" w:hint="default"/>
        <w:b/>
        <w:i w:val="0"/>
        <w:sz w:val="22"/>
      </w:rPr>
    </w:lvl>
    <w:lvl w:ilvl="4">
      <w:start w:val="1"/>
      <w:numFmt w:val="lowerRoman"/>
      <w:pStyle w:val="Heading5"/>
      <w:lvlText w:val="(%5)"/>
      <w:lvlJc w:val="left"/>
      <w:pPr>
        <w:tabs>
          <w:tab w:val="left"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multilevel"/>
    <w:tmpl w:val="6ED82968"/>
    <w:lvl w:ilvl="0">
      <w:start w:val="1"/>
      <w:numFmt w:val="bullet"/>
      <w:pStyle w:val="CBD-Doc"/>
      <w:lvlText w:val=""/>
      <w:lvlJc w:val="left"/>
      <w:pPr>
        <w:tabs>
          <w:tab w:val="left" w:pos="567"/>
        </w:tabs>
        <w:ind w:left="567" w:hanging="567"/>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0" w15:restartNumberingAfterBreak="0">
    <w:nsid w:val="6FF7321D"/>
    <w:multiLevelType w:val="multilevel"/>
    <w:tmpl w:val="6FF7321D"/>
    <w:lvl w:ilvl="0">
      <w:start w:val="1"/>
      <w:numFmt w:val="upperRoman"/>
      <w:lvlText w:val="%1."/>
      <w:lvlJc w:val="right"/>
      <w:pPr>
        <w:tabs>
          <w:tab w:val="left"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left"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B2F11E3"/>
    <w:multiLevelType w:val="multilevel"/>
    <w:tmpl w:val="7B2F11E3"/>
    <w:lvl w:ilvl="0">
      <w:start w:val="1"/>
      <w:numFmt w:val="decimal"/>
      <w:lvlText w:val="%1."/>
      <w:lvlJc w:val="left"/>
      <w:pPr>
        <w:ind w:left="1170" w:hanging="360"/>
      </w:pPr>
      <w:rPr>
        <w:rFonts w:hint="default"/>
        <w:b w:val="0"/>
        <w:bCs w:val="0"/>
        <w:i w:val="0"/>
        <w:i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num w:numId="1" w16cid:durableId="1557660969">
    <w:abstractNumId w:val="8"/>
  </w:num>
  <w:num w:numId="2" w16cid:durableId="2121952252">
    <w:abstractNumId w:val="10"/>
  </w:num>
  <w:num w:numId="3" w16cid:durableId="1505824335">
    <w:abstractNumId w:val="5"/>
  </w:num>
  <w:num w:numId="4" w16cid:durableId="183449055">
    <w:abstractNumId w:val="4"/>
  </w:num>
  <w:num w:numId="5" w16cid:durableId="382869635">
    <w:abstractNumId w:val="9"/>
  </w:num>
  <w:num w:numId="6" w16cid:durableId="775947356">
    <w:abstractNumId w:val="2"/>
  </w:num>
  <w:num w:numId="7" w16cid:durableId="1948272757">
    <w:abstractNumId w:val="6"/>
  </w:num>
  <w:num w:numId="8" w16cid:durableId="1269432760">
    <w:abstractNumId w:val="1"/>
  </w:num>
  <w:num w:numId="9" w16cid:durableId="1703247620">
    <w:abstractNumId w:val="7"/>
  </w:num>
  <w:num w:numId="10" w16cid:durableId="1380517621">
    <w:abstractNumId w:val="11"/>
  </w:num>
  <w:num w:numId="11" w16cid:durableId="344673580">
    <w:abstractNumId w:val="3"/>
  </w:num>
  <w:num w:numId="12" w16cid:durableId="2078547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saveSubsetFonts/>
  <w:proofState w:spelling="clean"/>
  <w:attachedTemplate r:id="rId1"/>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DB7"/>
    <w:rsid w:val="00000318"/>
    <w:rsid w:val="0000051D"/>
    <w:rsid w:val="00000ED4"/>
    <w:rsid w:val="00001448"/>
    <w:rsid w:val="00001985"/>
    <w:rsid w:val="00004805"/>
    <w:rsid w:val="00005DA0"/>
    <w:rsid w:val="000064F9"/>
    <w:rsid w:val="000071A4"/>
    <w:rsid w:val="000071E9"/>
    <w:rsid w:val="00010486"/>
    <w:rsid w:val="00013020"/>
    <w:rsid w:val="00013784"/>
    <w:rsid w:val="000143CF"/>
    <w:rsid w:val="00016FDE"/>
    <w:rsid w:val="000200B2"/>
    <w:rsid w:val="00024CEC"/>
    <w:rsid w:val="00027A58"/>
    <w:rsid w:val="00027B34"/>
    <w:rsid w:val="00027F7E"/>
    <w:rsid w:val="000315F2"/>
    <w:rsid w:val="00031903"/>
    <w:rsid w:val="000326EB"/>
    <w:rsid w:val="00033809"/>
    <w:rsid w:val="00034FDA"/>
    <w:rsid w:val="00035139"/>
    <w:rsid w:val="000353F2"/>
    <w:rsid w:val="000355B4"/>
    <w:rsid w:val="00036482"/>
    <w:rsid w:val="00037E87"/>
    <w:rsid w:val="000401DA"/>
    <w:rsid w:val="000418CF"/>
    <w:rsid w:val="00042413"/>
    <w:rsid w:val="00042424"/>
    <w:rsid w:val="0004316D"/>
    <w:rsid w:val="00044D79"/>
    <w:rsid w:val="00044EE5"/>
    <w:rsid w:val="00046413"/>
    <w:rsid w:val="000477C2"/>
    <w:rsid w:val="0005001F"/>
    <w:rsid w:val="00050917"/>
    <w:rsid w:val="0005095E"/>
    <w:rsid w:val="00051738"/>
    <w:rsid w:val="00054B5C"/>
    <w:rsid w:val="00055E0F"/>
    <w:rsid w:val="0005623D"/>
    <w:rsid w:val="00057253"/>
    <w:rsid w:val="00060687"/>
    <w:rsid w:val="00062833"/>
    <w:rsid w:val="00063162"/>
    <w:rsid w:val="00063AB5"/>
    <w:rsid w:val="00064AD2"/>
    <w:rsid w:val="00066972"/>
    <w:rsid w:val="00070692"/>
    <w:rsid w:val="00070826"/>
    <w:rsid w:val="00070DD0"/>
    <w:rsid w:val="0007171B"/>
    <w:rsid w:val="00071E20"/>
    <w:rsid w:val="000724A0"/>
    <w:rsid w:val="000741FC"/>
    <w:rsid w:val="0007469A"/>
    <w:rsid w:val="00075129"/>
    <w:rsid w:val="000822A3"/>
    <w:rsid w:val="00085A80"/>
    <w:rsid w:val="00090361"/>
    <w:rsid w:val="000904A2"/>
    <w:rsid w:val="000929A1"/>
    <w:rsid w:val="00096B39"/>
    <w:rsid w:val="00096ED0"/>
    <w:rsid w:val="000976F1"/>
    <w:rsid w:val="000A0E1C"/>
    <w:rsid w:val="000A1673"/>
    <w:rsid w:val="000A2336"/>
    <w:rsid w:val="000A2F1B"/>
    <w:rsid w:val="000A4DF9"/>
    <w:rsid w:val="000A6EB4"/>
    <w:rsid w:val="000B0D80"/>
    <w:rsid w:val="000B1E48"/>
    <w:rsid w:val="000B3498"/>
    <w:rsid w:val="000B3E0E"/>
    <w:rsid w:val="000B499B"/>
    <w:rsid w:val="000B5741"/>
    <w:rsid w:val="000B58EB"/>
    <w:rsid w:val="000B68D4"/>
    <w:rsid w:val="000B6E2D"/>
    <w:rsid w:val="000B6EB8"/>
    <w:rsid w:val="000B6F95"/>
    <w:rsid w:val="000B78F9"/>
    <w:rsid w:val="000B7C9A"/>
    <w:rsid w:val="000C042A"/>
    <w:rsid w:val="000C179D"/>
    <w:rsid w:val="000C22D7"/>
    <w:rsid w:val="000C2346"/>
    <w:rsid w:val="000C2AF4"/>
    <w:rsid w:val="000C5350"/>
    <w:rsid w:val="000C542B"/>
    <w:rsid w:val="000C54F2"/>
    <w:rsid w:val="000C5D78"/>
    <w:rsid w:val="000C616C"/>
    <w:rsid w:val="000C6BCF"/>
    <w:rsid w:val="000D02E2"/>
    <w:rsid w:val="000D0704"/>
    <w:rsid w:val="000D0E2D"/>
    <w:rsid w:val="000D0F68"/>
    <w:rsid w:val="000D241A"/>
    <w:rsid w:val="000D26E8"/>
    <w:rsid w:val="000D3367"/>
    <w:rsid w:val="000D4B94"/>
    <w:rsid w:val="000D5BD4"/>
    <w:rsid w:val="000D6E6D"/>
    <w:rsid w:val="000E0F24"/>
    <w:rsid w:val="000E3164"/>
    <w:rsid w:val="000E3184"/>
    <w:rsid w:val="000E45F2"/>
    <w:rsid w:val="000E673A"/>
    <w:rsid w:val="000F0AFF"/>
    <w:rsid w:val="000F13E4"/>
    <w:rsid w:val="000F1C92"/>
    <w:rsid w:val="000F2FBD"/>
    <w:rsid w:val="000F4412"/>
    <w:rsid w:val="000F51E6"/>
    <w:rsid w:val="000F6945"/>
    <w:rsid w:val="000F6DBE"/>
    <w:rsid w:val="000F74F5"/>
    <w:rsid w:val="000F78FC"/>
    <w:rsid w:val="00100EDC"/>
    <w:rsid w:val="001011B9"/>
    <w:rsid w:val="00102895"/>
    <w:rsid w:val="00102A97"/>
    <w:rsid w:val="00105372"/>
    <w:rsid w:val="001054A6"/>
    <w:rsid w:val="00106B8D"/>
    <w:rsid w:val="00106D6B"/>
    <w:rsid w:val="00107033"/>
    <w:rsid w:val="001078A1"/>
    <w:rsid w:val="00110447"/>
    <w:rsid w:val="00110DBD"/>
    <w:rsid w:val="001117A3"/>
    <w:rsid w:val="0011185D"/>
    <w:rsid w:val="00111D9C"/>
    <w:rsid w:val="001122B2"/>
    <w:rsid w:val="001128CE"/>
    <w:rsid w:val="00113DE7"/>
    <w:rsid w:val="00113F4C"/>
    <w:rsid w:val="00114780"/>
    <w:rsid w:val="0011552D"/>
    <w:rsid w:val="00116987"/>
    <w:rsid w:val="00121654"/>
    <w:rsid w:val="00123437"/>
    <w:rsid w:val="0012352E"/>
    <w:rsid w:val="001235A1"/>
    <w:rsid w:val="001242DE"/>
    <w:rsid w:val="00124F24"/>
    <w:rsid w:val="00127904"/>
    <w:rsid w:val="001312AD"/>
    <w:rsid w:val="0013189D"/>
    <w:rsid w:val="00131E7A"/>
    <w:rsid w:val="001339AD"/>
    <w:rsid w:val="00133DF5"/>
    <w:rsid w:val="00134846"/>
    <w:rsid w:val="00134DF2"/>
    <w:rsid w:val="00135362"/>
    <w:rsid w:val="0013628D"/>
    <w:rsid w:val="001400DA"/>
    <w:rsid w:val="0014082C"/>
    <w:rsid w:val="00140E01"/>
    <w:rsid w:val="00141412"/>
    <w:rsid w:val="00141DCF"/>
    <w:rsid w:val="00142713"/>
    <w:rsid w:val="00143BEF"/>
    <w:rsid w:val="0014472A"/>
    <w:rsid w:val="00146372"/>
    <w:rsid w:val="00146681"/>
    <w:rsid w:val="00150EEE"/>
    <w:rsid w:val="0015326F"/>
    <w:rsid w:val="001542C3"/>
    <w:rsid w:val="001550B3"/>
    <w:rsid w:val="00155439"/>
    <w:rsid w:val="00156270"/>
    <w:rsid w:val="001575BC"/>
    <w:rsid w:val="00157ECE"/>
    <w:rsid w:val="00161C2D"/>
    <w:rsid w:val="0016350F"/>
    <w:rsid w:val="001643AF"/>
    <w:rsid w:val="001657BE"/>
    <w:rsid w:val="00165C93"/>
    <w:rsid w:val="001666B3"/>
    <w:rsid w:val="00170769"/>
    <w:rsid w:val="00172AF6"/>
    <w:rsid w:val="00173648"/>
    <w:rsid w:val="00173DD6"/>
    <w:rsid w:val="00174393"/>
    <w:rsid w:val="00174D0A"/>
    <w:rsid w:val="00175A66"/>
    <w:rsid w:val="0017602C"/>
    <w:rsid w:val="0017675C"/>
    <w:rsid w:val="00176CEE"/>
    <w:rsid w:val="00181FA1"/>
    <w:rsid w:val="0018251E"/>
    <w:rsid w:val="001828D9"/>
    <w:rsid w:val="001858FB"/>
    <w:rsid w:val="00185F0F"/>
    <w:rsid w:val="00186BAF"/>
    <w:rsid w:val="00186DD8"/>
    <w:rsid w:val="00187AB7"/>
    <w:rsid w:val="00191039"/>
    <w:rsid w:val="001928EA"/>
    <w:rsid w:val="001949DA"/>
    <w:rsid w:val="00195B08"/>
    <w:rsid w:val="00196C19"/>
    <w:rsid w:val="0019731D"/>
    <w:rsid w:val="00197341"/>
    <w:rsid w:val="001979AF"/>
    <w:rsid w:val="001A06B7"/>
    <w:rsid w:val="001A17CC"/>
    <w:rsid w:val="001A18A8"/>
    <w:rsid w:val="001A1EAE"/>
    <w:rsid w:val="001A28D9"/>
    <w:rsid w:val="001A29D5"/>
    <w:rsid w:val="001A35EC"/>
    <w:rsid w:val="001A3791"/>
    <w:rsid w:val="001A38CC"/>
    <w:rsid w:val="001A3BFA"/>
    <w:rsid w:val="001A4B67"/>
    <w:rsid w:val="001A4E7F"/>
    <w:rsid w:val="001A5324"/>
    <w:rsid w:val="001A5BB5"/>
    <w:rsid w:val="001A5FA7"/>
    <w:rsid w:val="001A6031"/>
    <w:rsid w:val="001A7A92"/>
    <w:rsid w:val="001B0602"/>
    <w:rsid w:val="001B0FE5"/>
    <w:rsid w:val="001B13AE"/>
    <w:rsid w:val="001B13FE"/>
    <w:rsid w:val="001B1CB3"/>
    <w:rsid w:val="001B2C7F"/>
    <w:rsid w:val="001B413B"/>
    <w:rsid w:val="001B43D5"/>
    <w:rsid w:val="001B45C4"/>
    <w:rsid w:val="001B53C0"/>
    <w:rsid w:val="001B6D7B"/>
    <w:rsid w:val="001B753D"/>
    <w:rsid w:val="001B78D5"/>
    <w:rsid w:val="001C0A3E"/>
    <w:rsid w:val="001C1B5F"/>
    <w:rsid w:val="001C2085"/>
    <w:rsid w:val="001C242F"/>
    <w:rsid w:val="001C2C0A"/>
    <w:rsid w:val="001C3613"/>
    <w:rsid w:val="001C3D23"/>
    <w:rsid w:val="001C441E"/>
    <w:rsid w:val="001C4474"/>
    <w:rsid w:val="001C4ABE"/>
    <w:rsid w:val="001C4BC4"/>
    <w:rsid w:val="001C5EF9"/>
    <w:rsid w:val="001C69CA"/>
    <w:rsid w:val="001C6F88"/>
    <w:rsid w:val="001C74CF"/>
    <w:rsid w:val="001C7B2A"/>
    <w:rsid w:val="001C7B62"/>
    <w:rsid w:val="001D16EF"/>
    <w:rsid w:val="001D27BC"/>
    <w:rsid w:val="001D3ECF"/>
    <w:rsid w:val="001E03C8"/>
    <w:rsid w:val="001E096D"/>
    <w:rsid w:val="001E230C"/>
    <w:rsid w:val="001E2AD1"/>
    <w:rsid w:val="001E454A"/>
    <w:rsid w:val="001E57F1"/>
    <w:rsid w:val="001E5BE6"/>
    <w:rsid w:val="001E600B"/>
    <w:rsid w:val="001E6108"/>
    <w:rsid w:val="001E6A86"/>
    <w:rsid w:val="001F1559"/>
    <w:rsid w:val="001F2951"/>
    <w:rsid w:val="001F2A1A"/>
    <w:rsid w:val="001F3109"/>
    <w:rsid w:val="001F3569"/>
    <w:rsid w:val="001F4321"/>
    <w:rsid w:val="001F5C3D"/>
    <w:rsid w:val="001F5D95"/>
    <w:rsid w:val="001F66D8"/>
    <w:rsid w:val="00200D10"/>
    <w:rsid w:val="002017CE"/>
    <w:rsid w:val="00202C95"/>
    <w:rsid w:val="00203626"/>
    <w:rsid w:val="002052D3"/>
    <w:rsid w:val="00205607"/>
    <w:rsid w:val="0020612E"/>
    <w:rsid w:val="0020757F"/>
    <w:rsid w:val="00210D68"/>
    <w:rsid w:val="00211269"/>
    <w:rsid w:val="00211ED6"/>
    <w:rsid w:val="0021271E"/>
    <w:rsid w:val="002133BC"/>
    <w:rsid w:val="0021347F"/>
    <w:rsid w:val="00214144"/>
    <w:rsid w:val="002164E1"/>
    <w:rsid w:val="00217176"/>
    <w:rsid w:val="00217A0B"/>
    <w:rsid w:val="00217A7B"/>
    <w:rsid w:val="00220041"/>
    <w:rsid w:val="002204F3"/>
    <w:rsid w:val="00220B01"/>
    <w:rsid w:val="00222570"/>
    <w:rsid w:val="00223E12"/>
    <w:rsid w:val="00226DA3"/>
    <w:rsid w:val="00227D0F"/>
    <w:rsid w:val="002306AB"/>
    <w:rsid w:val="00231717"/>
    <w:rsid w:val="00231A94"/>
    <w:rsid w:val="0023255A"/>
    <w:rsid w:val="00232C88"/>
    <w:rsid w:val="00233930"/>
    <w:rsid w:val="00233BD7"/>
    <w:rsid w:val="00235B6F"/>
    <w:rsid w:val="00237014"/>
    <w:rsid w:val="00241355"/>
    <w:rsid w:val="00244B85"/>
    <w:rsid w:val="0024557D"/>
    <w:rsid w:val="00245890"/>
    <w:rsid w:val="00246E22"/>
    <w:rsid w:val="00250E40"/>
    <w:rsid w:val="00250FD6"/>
    <w:rsid w:val="002520DC"/>
    <w:rsid w:val="0025246D"/>
    <w:rsid w:val="002526BB"/>
    <w:rsid w:val="00253BD5"/>
    <w:rsid w:val="00255090"/>
    <w:rsid w:val="00257AAA"/>
    <w:rsid w:val="00257C6A"/>
    <w:rsid w:val="0026054C"/>
    <w:rsid w:val="00261436"/>
    <w:rsid w:val="00263686"/>
    <w:rsid w:val="002638D1"/>
    <w:rsid w:val="00264D5F"/>
    <w:rsid w:val="00265F5E"/>
    <w:rsid w:val="002675A0"/>
    <w:rsid w:val="002702BA"/>
    <w:rsid w:val="00271BCF"/>
    <w:rsid w:val="00273EA8"/>
    <w:rsid w:val="002762C6"/>
    <w:rsid w:val="002769CE"/>
    <w:rsid w:val="0028015F"/>
    <w:rsid w:val="0028104E"/>
    <w:rsid w:val="002812BB"/>
    <w:rsid w:val="002815EE"/>
    <w:rsid w:val="00282983"/>
    <w:rsid w:val="00282ADE"/>
    <w:rsid w:val="00282B23"/>
    <w:rsid w:val="0028304F"/>
    <w:rsid w:val="00284028"/>
    <w:rsid w:val="002869B6"/>
    <w:rsid w:val="00287BCE"/>
    <w:rsid w:val="0029020F"/>
    <w:rsid w:val="00291ED9"/>
    <w:rsid w:val="00293B9A"/>
    <w:rsid w:val="002968E1"/>
    <w:rsid w:val="00297EBE"/>
    <w:rsid w:val="002A1867"/>
    <w:rsid w:val="002A3211"/>
    <w:rsid w:val="002A3E02"/>
    <w:rsid w:val="002A457D"/>
    <w:rsid w:val="002A59B4"/>
    <w:rsid w:val="002A7D5E"/>
    <w:rsid w:val="002B042F"/>
    <w:rsid w:val="002B053A"/>
    <w:rsid w:val="002B4002"/>
    <w:rsid w:val="002B42A5"/>
    <w:rsid w:val="002B45E2"/>
    <w:rsid w:val="002B4E6D"/>
    <w:rsid w:val="002B4F5E"/>
    <w:rsid w:val="002B6634"/>
    <w:rsid w:val="002B791A"/>
    <w:rsid w:val="002C4CB2"/>
    <w:rsid w:val="002C72AD"/>
    <w:rsid w:val="002C7438"/>
    <w:rsid w:val="002D162F"/>
    <w:rsid w:val="002D303C"/>
    <w:rsid w:val="002D3933"/>
    <w:rsid w:val="002D7FB6"/>
    <w:rsid w:val="002E6862"/>
    <w:rsid w:val="002E7987"/>
    <w:rsid w:val="002F0DD1"/>
    <w:rsid w:val="002F283D"/>
    <w:rsid w:val="002F31C3"/>
    <w:rsid w:val="002F3858"/>
    <w:rsid w:val="002F6B47"/>
    <w:rsid w:val="00300670"/>
    <w:rsid w:val="003008FE"/>
    <w:rsid w:val="0030169D"/>
    <w:rsid w:val="00301C9C"/>
    <w:rsid w:val="00304309"/>
    <w:rsid w:val="0030557F"/>
    <w:rsid w:val="003060EB"/>
    <w:rsid w:val="0030699A"/>
    <w:rsid w:val="00306EC8"/>
    <w:rsid w:val="00307A2E"/>
    <w:rsid w:val="0031039F"/>
    <w:rsid w:val="00312BD9"/>
    <w:rsid w:val="00313D5F"/>
    <w:rsid w:val="0031405F"/>
    <w:rsid w:val="003153EB"/>
    <w:rsid w:val="003157C6"/>
    <w:rsid w:val="00316684"/>
    <w:rsid w:val="00317123"/>
    <w:rsid w:val="00317895"/>
    <w:rsid w:val="003201AE"/>
    <w:rsid w:val="0032136E"/>
    <w:rsid w:val="00321937"/>
    <w:rsid w:val="00321985"/>
    <w:rsid w:val="003225DC"/>
    <w:rsid w:val="0032283C"/>
    <w:rsid w:val="0032325D"/>
    <w:rsid w:val="00323B03"/>
    <w:rsid w:val="00324EAE"/>
    <w:rsid w:val="00325A4C"/>
    <w:rsid w:val="00326E3D"/>
    <w:rsid w:val="00330683"/>
    <w:rsid w:val="00330B19"/>
    <w:rsid w:val="00331839"/>
    <w:rsid w:val="00331DED"/>
    <w:rsid w:val="00331F54"/>
    <w:rsid w:val="0033587E"/>
    <w:rsid w:val="00335C31"/>
    <w:rsid w:val="003362D5"/>
    <w:rsid w:val="00340360"/>
    <w:rsid w:val="00341B86"/>
    <w:rsid w:val="0034307D"/>
    <w:rsid w:val="003455FE"/>
    <w:rsid w:val="003475FF"/>
    <w:rsid w:val="00347F82"/>
    <w:rsid w:val="00351205"/>
    <w:rsid w:val="0035264E"/>
    <w:rsid w:val="00353EB9"/>
    <w:rsid w:val="003569C4"/>
    <w:rsid w:val="00356AD6"/>
    <w:rsid w:val="00357769"/>
    <w:rsid w:val="00360339"/>
    <w:rsid w:val="003608DF"/>
    <w:rsid w:val="00364644"/>
    <w:rsid w:val="003649F0"/>
    <w:rsid w:val="00364B95"/>
    <w:rsid w:val="00364E2A"/>
    <w:rsid w:val="003709D0"/>
    <w:rsid w:val="00372F74"/>
    <w:rsid w:val="0037391E"/>
    <w:rsid w:val="00373A5B"/>
    <w:rsid w:val="00374017"/>
    <w:rsid w:val="0037416D"/>
    <w:rsid w:val="003766C7"/>
    <w:rsid w:val="003823DA"/>
    <w:rsid w:val="00382D11"/>
    <w:rsid w:val="0038392D"/>
    <w:rsid w:val="00384B45"/>
    <w:rsid w:val="00384C53"/>
    <w:rsid w:val="00387F5D"/>
    <w:rsid w:val="00392028"/>
    <w:rsid w:val="00393662"/>
    <w:rsid w:val="00394CF7"/>
    <w:rsid w:val="00395168"/>
    <w:rsid w:val="00395C14"/>
    <w:rsid w:val="003A047E"/>
    <w:rsid w:val="003A14AA"/>
    <w:rsid w:val="003A2249"/>
    <w:rsid w:val="003A28E4"/>
    <w:rsid w:val="003A5511"/>
    <w:rsid w:val="003A56B3"/>
    <w:rsid w:val="003A5AA3"/>
    <w:rsid w:val="003B098D"/>
    <w:rsid w:val="003B1396"/>
    <w:rsid w:val="003B3F32"/>
    <w:rsid w:val="003B53F2"/>
    <w:rsid w:val="003B6625"/>
    <w:rsid w:val="003B67FE"/>
    <w:rsid w:val="003C01BD"/>
    <w:rsid w:val="003C0C10"/>
    <w:rsid w:val="003C2A10"/>
    <w:rsid w:val="003C2E2F"/>
    <w:rsid w:val="003C4CBB"/>
    <w:rsid w:val="003C63B5"/>
    <w:rsid w:val="003C7085"/>
    <w:rsid w:val="003D05E1"/>
    <w:rsid w:val="003D1CE2"/>
    <w:rsid w:val="003D1F3D"/>
    <w:rsid w:val="003D1F93"/>
    <w:rsid w:val="003D242A"/>
    <w:rsid w:val="003D2A94"/>
    <w:rsid w:val="003D3DCC"/>
    <w:rsid w:val="003D4159"/>
    <w:rsid w:val="003D6309"/>
    <w:rsid w:val="003D6E3A"/>
    <w:rsid w:val="003E0E0B"/>
    <w:rsid w:val="003E1EE0"/>
    <w:rsid w:val="003E29F7"/>
    <w:rsid w:val="003E2E28"/>
    <w:rsid w:val="003E3B7A"/>
    <w:rsid w:val="003E3DC2"/>
    <w:rsid w:val="003E5968"/>
    <w:rsid w:val="003E636A"/>
    <w:rsid w:val="003E73B6"/>
    <w:rsid w:val="003F111C"/>
    <w:rsid w:val="003F1A75"/>
    <w:rsid w:val="003F1D46"/>
    <w:rsid w:val="003F43D0"/>
    <w:rsid w:val="003F554C"/>
    <w:rsid w:val="003F55C9"/>
    <w:rsid w:val="003F5969"/>
    <w:rsid w:val="003F6219"/>
    <w:rsid w:val="003F664F"/>
    <w:rsid w:val="003F6F25"/>
    <w:rsid w:val="003F7224"/>
    <w:rsid w:val="003F7471"/>
    <w:rsid w:val="0040021B"/>
    <w:rsid w:val="0040040B"/>
    <w:rsid w:val="00400591"/>
    <w:rsid w:val="0040226E"/>
    <w:rsid w:val="00402D17"/>
    <w:rsid w:val="00402F47"/>
    <w:rsid w:val="00404BF4"/>
    <w:rsid w:val="00407274"/>
    <w:rsid w:val="0040766A"/>
    <w:rsid w:val="00407686"/>
    <w:rsid w:val="0041221D"/>
    <w:rsid w:val="00413115"/>
    <w:rsid w:val="00414761"/>
    <w:rsid w:val="00414B62"/>
    <w:rsid w:val="0041728D"/>
    <w:rsid w:val="004202BD"/>
    <w:rsid w:val="004219AE"/>
    <w:rsid w:val="00422A24"/>
    <w:rsid w:val="00422FCC"/>
    <w:rsid w:val="004236B9"/>
    <w:rsid w:val="004237E8"/>
    <w:rsid w:val="004256D1"/>
    <w:rsid w:val="0042668F"/>
    <w:rsid w:val="004266D3"/>
    <w:rsid w:val="00426878"/>
    <w:rsid w:val="00427D21"/>
    <w:rsid w:val="004316F1"/>
    <w:rsid w:val="00431CF5"/>
    <w:rsid w:val="00432F5C"/>
    <w:rsid w:val="00435148"/>
    <w:rsid w:val="00441454"/>
    <w:rsid w:val="0044215D"/>
    <w:rsid w:val="00442B0D"/>
    <w:rsid w:val="004440B7"/>
    <w:rsid w:val="004440ED"/>
    <w:rsid w:val="004453CF"/>
    <w:rsid w:val="004454D1"/>
    <w:rsid w:val="00446F89"/>
    <w:rsid w:val="00447643"/>
    <w:rsid w:val="00447F4A"/>
    <w:rsid w:val="00450F44"/>
    <w:rsid w:val="00451015"/>
    <w:rsid w:val="00452BE1"/>
    <w:rsid w:val="004547D5"/>
    <w:rsid w:val="00455E5E"/>
    <w:rsid w:val="00456847"/>
    <w:rsid w:val="00456849"/>
    <w:rsid w:val="00456F67"/>
    <w:rsid w:val="00457A1F"/>
    <w:rsid w:val="00460E08"/>
    <w:rsid w:val="00461737"/>
    <w:rsid w:val="004628BB"/>
    <w:rsid w:val="00462FA8"/>
    <w:rsid w:val="0046348F"/>
    <w:rsid w:val="00463601"/>
    <w:rsid w:val="00463D80"/>
    <w:rsid w:val="004644C2"/>
    <w:rsid w:val="004651BD"/>
    <w:rsid w:val="004658AA"/>
    <w:rsid w:val="00466ED5"/>
    <w:rsid w:val="00467F9C"/>
    <w:rsid w:val="00471520"/>
    <w:rsid w:val="004721AC"/>
    <w:rsid w:val="00472340"/>
    <w:rsid w:val="00473DEA"/>
    <w:rsid w:val="00474606"/>
    <w:rsid w:val="0047569E"/>
    <w:rsid w:val="00475C69"/>
    <w:rsid w:val="00477924"/>
    <w:rsid w:val="00481382"/>
    <w:rsid w:val="00481F1A"/>
    <w:rsid w:val="00482B34"/>
    <w:rsid w:val="00483A07"/>
    <w:rsid w:val="00483ECB"/>
    <w:rsid w:val="004873E4"/>
    <w:rsid w:val="0049018B"/>
    <w:rsid w:val="0049107D"/>
    <w:rsid w:val="00492F31"/>
    <w:rsid w:val="004940C5"/>
    <w:rsid w:val="00494985"/>
    <w:rsid w:val="0049764E"/>
    <w:rsid w:val="004A0AD6"/>
    <w:rsid w:val="004A30ED"/>
    <w:rsid w:val="004A31E4"/>
    <w:rsid w:val="004A3499"/>
    <w:rsid w:val="004A40D4"/>
    <w:rsid w:val="004A7EEA"/>
    <w:rsid w:val="004B008D"/>
    <w:rsid w:val="004B0AF0"/>
    <w:rsid w:val="004B2691"/>
    <w:rsid w:val="004B3447"/>
    <w:rsid w:val="004B6F32"/>
    <w:rsid w:val="004C0D9A"/>
    <w:rsid w:val="004C102D"/>
    <w:rsid w:val="004C1AE5"/>
    <w:rsid w:val="004C4658"/>
    <w:rsid w:val="004C518B"/>
    <w:rsid w:val="004C536D"/>
    <w:rsid w:val="004C571F"/>
    <w:rsid w:val="004C57E4"/>
    <w:rsid w:val="004C70C6"/>
    <w:rsid w:val="004D0296"/>
    <w:rsid w:val="004D3D6E"/>
    <w:rsid w:val="004D4C15"/>
    <w:rsid w:val="004D6DF2"/>
    <w:rsid w:val="004D6E5F"/>
    <w:rsid w:val="004E06CE"/>
    <w:rsid w:val="004E07D8"/>
    <w:rsid w:val="004E0B60"/>
    <w:rsid w:val="004E0E54"/>
    <w:rsid w:val="004E13CF"/>
    <w:rsid w:val="004E22BA"/>
    <w:rsid w:val="004E282A"/>
    <w:rsid w:val="004E319D"/>
    <w:rsid w:val="004E58E9"/>
    <w:rsid w:val="004E5CE1"/>
    <w:rsid w:val="004F1292"/>
    <w:rsid w:val="004F2290"/>
    <w:rsid w:val="004F2FCC"/>
    <w:rsid w:val="004F4F1C"/>
    <w:rsid w:val="004F4FE7"/>
    <w:rsid w:val="004F5F8F"/>
    <w:rsid w:val="004F635E"/>
    <w:rsid w:val="004F76DE"/>
    <w:rsid w:val="004F7EF8"/>
    <w:rsid w:val="005002B1"/>
    <w:rsid w:val="005003C5"/>
    <w:rsid w:val="005018AF"/>
    <w:rsid w:val="00501A68"/>
    <w:rsid w:val="0050462F"/>
    <w:rsid w:val="00505688"/>
    <w:rsid w:val="00506E58"/>
    <w:rsid w:val="0050775B"/>
    <w:rsid w:val="0051006C"/>
    <w:rsid w:val="0051228B"/>
    <w:rsid w:val="00512294"/>
    <w:rsid w:val="00517955"/>
    <w:rsid w:val="00520C66"/>
    <w:rsid w:val="005217AD"/>
    <w:rsid w:val="00521A92"/>
    <w:rsid w:val="005220CD"/>
    <w:rsid w:val="0052304E"/>
    <w:rsid w:val="00523E25"/>
    <w:rsid w:val="00524CC5"/>
    <w:rsid w:val="00525BF7"/>
    <w:rsid w:val="00525E18"/>
    <w:rsid w:val="0053029C"/>
    <w:rsid w:val="0053140A"/>
    <w:rsid w:val="00532F07"/>
    <w:rsid w:val="00533AA2"/>
    <w:rsid w:val="00534681"/>
    <w:rsid w:val="005349F6"/>
    <w:rsid w:val="00536B4E"/>
    <w:rsid w:val="00536C07"/>
    <w:rsid w:val="00536E33"/>
    <w:rsid w:val="00536E87"/>
    <w:rsid w:val="005408AB"/>
    <w:rsid w:val="00542123"/>
    <w:rsid w:val="00544224"/>
    <w:rsid w:val="00544322"/>
    <w:rsid w:val="005452D3"/>
    <w:rsid w:val="00545533"/>
    <w:rsid w:val="00545F11"/>
    <w:rsid w:val="005517DD"/>
    <w:rsid w:val="005527EA"/>
    <w:rsid w:val="00553095"/>
    <w:rsid w:val="005562C6"/>
    <w:rsid w:val="0056068E"/>
    <w:rsid w:val="00561CB8"/>
    <w:rsid w:val="00563442"/>
    <w:rsid w:val="0056348E"/>
    <w:rsid w:val="005634FB"/>
    <w:rsid w:val="00565B42"/>
    <w:rsid w:val="00565E40"/>
    <w:rsid w:val="00567D30"/>
    <w:rsid w:val="00573187"/>
    <w:rsid w:val="00575156"/>
    <w:rsid w:val="00575BE3"/>
    <w:rsid w:val="0058012E"/>
    <w:rsid w:val="00580883"/>
    <w:rsid w:val="00580EE8"/>
    <w:rsid w:val="005815EC"/>
    <w:rsid w:val="00581F39"/>
    <w:rsid w:val="00582579"/>
    <w:rsid w:val="00582657"/>
    <w:rsid w:val="005839BE"/>
    <w:rsid w:val="00584E04"/>
    <w:rsid w:val="00586691"/>
    <w:rsid w:val="0059078D"/>
    <w:rsid w:val="00594127"/>
    <w:rsid w:val="00594D7E"/>
    <w:rsid w:val="00595C71"/>
    <w:rsid w:val="005961D8"/>
    <w:rsid w:val="00596B0D"/>
    <w:rsid w:val="005975B5"/>
    <w:rsid w:val="005A25A3"/>
    <w:rsid w:val="005A3D92"/>
    <w:rsid w:val="005A5048"/>
    <w:rsid w:val="005A5F53"/>
    <w:rsid w:val="005B0869"/>
    <w:rsid w:val="005B0A55"/>
    <w:rsid w:val="005B1C18"/>
    <w:rsid w:val="005B2FB1"/>
    <w:rsid w:val="005B35E2"/>
    <w:rsid w:val="005B7104"/>
    <w:rsid w:val="005B7809"/>
    <w:rsid w:val="005C01A6"/>
    <w:rsid w:val="005C025C"/>
    <w:rsid w:val="005C0F3E"/>
    <w:rsid w:val="005C35BB"/>
    <w:rsid w:val="005C3BB5"/>
    <w:rsid w:val="005C41A9"/>
    <w:rsid w:val="005C4CE6"/>
    <w:rsid w:val="005C5771"/>
    <w:rsid w:val="005D009D"/>
    <w:rsid w:val="005D424F"/>
    <w:rsid w:val="005D48D4"/>
    <w:rsid w:val="005D5DD7"/>
    <w:rsid w:val="005D5F73"/>
    <w:rsid w:val="005D6527"/>
    <w:rsid w:val="005D6561"/>
    <w:rsid w:val="005D7E94"/>
    <w:rsid w:val="005E1553"/>
    <w:rsid w:val="005E1A1E"/>
    <w:rsid w:val="005E3BC7"/>
    <w:rsid w:val="005E55CA"/>
    <w:rsid w:val="005E69C7"/>
    <w:rsid w:val="005E7300"/>
    <w:rsid w:val="005F2CF3"/>
    <w:rsid w:val="005F32A4"/>
    <w:rsid w:val="005F44B6"/>
    <w:rsid w:val="005F494A"/>
    <w:rsid w:val="005F5CC6"/>
    <w:rsid w:val="005F75BF"/>
    <w:rsid w:val="005F7F4D"/>
    <w:rsid w:val="006009F3"/>
    <w:rsid w:val="00600F09"/>
    <w:rsid w:val="006013FE"/>
    <w:rsid w:val="006049DE"/>
    <w:rsid w:val="00604B20"/>
    <w:rsid w:val="006077F3"/>
    <w:rsid w:val="0060794E"/>
    <w:rsid w:val="00607CA1"/>
    <w:rsid w:val="00607ED8"/>
    <w:rsid w:val="00611B6A"/>
    <w:rsid w:val="006122BA"/>
    <w:rsid w:val="00612554"/>
    <w:rsid w:val="0061598E"/>
    <w:rsid w:val="006232FF"/>
    <w:rsid w:val="00623D49"/>
    <w:rsid w:val="00626561"/>
    <w:rsid w:val="00627F14"/>
    <w:rsid w:val="00630EC6"/>
    <w:rsid w:val="00631807"/>
    <w:rsid w:val="00631989"/>
    <w:rsid w:val="0063365B"/>
    <w:rsid w:val="00633A45"/>
    <w:rsid w:val="00636236"/>
    <w:rsid w:val="00636431"/>
    <w:rsid w:val="006377A5"/>
    <w:rsid w:val="00640548"/>
    <w:rsid w:val="006409EF"/>
    <w:rsid w:val="0064119C"/>
    <w:rsid w:val="006423F1"/>
    <w:rsid w:val="006424A9"/>
    <w:rsid w:val="0064253B"/>
    <w:rsid w:val="006428E1"/>
    <w:rsid w:val="0064426D"/>
    <w:rsid w:val="0064454B"/>
    <w:rsid w:val="00646788"/>
    <w:rsid w:val="006478BF"/>
    <w:rsid w:val="00651354"/>
    <w:rsid w:val="0065371B"/>
    <w:rsid w:val="0065630D"/>
    <w:rsid w:val="00657687"/>
    <w:rsid w:val="00661668"/>
    <w:rsid w:val="0066411D"/>
    <w:rsid w:val="00667DC1"/>
    <w:rsid w:val="00674549"/>
    <w:rsid w:val="006751C5"/>
    <w:rsid w:val="00677392"/>
    <w:rsid w:val="00677B4E"/>
    <w:rsid w:val="006800E6"/>
    <w:rsid w:val="006811E2"/>
    <w:rsid w:val="006838CF"/>
    <w:rsid w:val="00683DD4"/>
    <w:rsid w:val="0068434A"/>
    <w:rsid w:val="00686097"/>
    <w:rsid w:val="00690D4B"/>
    <w:rsid w:val="00692DBC"/>
    <w:rsid w:val="00692EC8"/>
    <w:rsid w:val="00694421"/>
    <w:rsid w:val="00694C95"/>
    <w:rsid w:val="00694E91"/>
    <w:rsid w:val="00695FF4"/>
    <w:rsid w:val="006966CB"/>
    <w:rsid w:val="00697323"/>
    <w:rsid w:val="006978B5"/>
    <w:rsid w:val="006A0DC5"/>
    <w:rsid w:val="006A18E0"/>
    <w:rsid w:val="006A200C"/>
    <w:rsid w:val="006A20EF"/>
    <w:rsid w:val="006A2B56"/>
    <w:rsid w:val="006A2BC7"/>
    <w:rsid w:val="006A3147"/>
    <w:rsid w:val="006A4914"/>
    <w:rsid w:val="006A6131"/>
    <w:rsid w:val="006A62DC"/>
    <w:rsid w:val="006A655F"/>
    <w:rsid w:val="006A73C1"/>
    <w:rsid w:val="006B0ECA"/>
    <w:rsid w:val="006B1C1F"/>
    <w:rsid w:val="006B1D8A"/>
    <w:rsid w:val="006B2178"/>
    <w:rsid w:val="006B21C0"/>
    <w:rsid w:val="006B2290"/>
    <w:rsid w:val="006B34D4"/>
    <w:rsid w:val="006B4BFC"/>
    <w:rsid w:val="006B71F5"/>
    <w:rsid w:val="006B7544"/>
    <w:rsid w:val="006B7640"/>
    <w:rsid w:val="006B7F58"/>
    <w:rsid w:val="006C15D9"/>
    <w:rsid w:val="006C16F7"/>
    <w:rsid w:val="006C22EB"/>
    <w:rsid w:val="006C3629"/>
    <w:rsid w:val="006C3AB5"/>
    <w:rsid w:val="006C4554"/>
    <w:rsid w:val="006C4EDB"/>
    <w:rsid w:val="006C4F0E"/>
    <w:rsid w:val="006C5DB1"/>
    <w:rsid w:val="006C5FFA"/>
    <w:rsid w:val="006C6A8E"/>
    <w:rsid w:val="006D0705"/>
    <w:rsid w:val="006D1080"/>
    <w:rsid w:val="006D6FC7"/>
    <w:rsid w:val="006D7626"/>
    <w:rsid w:val="006D7BBF"/>
    <w:rsid w:val="006D7F19"/>
    <w:rsid w:val="006E19B5"/>
    <w:rsid w:val="006E24B9"/>
    <w:rsid w:val="006E2E74"/>
    <w:rsid w:val="006E3342"/>
    <w:rsid w:val="006E752E"/>
    <w:rsid w:val="006F1798"/>
    <w:rsid w:val="006F2015"/>
    <w:rsid w:val="006F2A88"/>
    <w:rsid w:val="006F3F48"/>
    <w:rsid w:val="006F43C5"/>
    <w:rsid w:val="006F463D"/>
    <w:rsid w:val="006F5033"/>
    <w:rsid w:val="006F576E"/>
    <w:rsid w:val="007007F5"/>
    <w:rsid w:val="00702ACE"/>
    <w:rsid w:val="00703A58"/>
    <w:rsid w:val="00703AB8"/>
    <w:rsid w:val="007045E8"/>
    <w:rsid w:val="00704EAE"/>
    <w:rsid w:val="0070520A"/>
    <w:rsid w:val="00707410"/>
    <w:rsid w:val="007105C4"/>
    <w:rsid w:val="00710C6C"/>
    <w:rsid w:val="00712804"/>
    <w:rsid w:val="00713017"/>
    <w:rsid w:val="0071624A"/>
    <w:rsid w:val="00716EF5"/>
    <w:rsid w:val="00717D88"/>
    <w:rsid w:val="00717E61"/>
    <w:rsid w:val="00717F69"/>
    <w:rsid w:val="00721173"/>
    <w:rsid w:val="00721351"/>
    <w:rsid w:val="0072281B"/>
    <w:rsid w:val="007237C8"/>
    <w:rsid w:val="00724503"/>
    <w:rsid w:val="007248AA"/>
    <w:rsid w:val="00725325"/>
    <w:rsid w:val="00726A43"/>
    <w:rsid w:val="0073089F"/>
    <w:rsid w:val="0073155A"/>
    <w:rsid w:val="00732223"/>
    <w:rsid w:val="00732DCB"/>
    <w:rsid w:val="00734209"/>
    <w:rsid w:val="007349CD"/>
    <w:rsid w:val="00734DEE"/>
    <w:rsid w:val="00735DE7"/>
    <w:rsid w:val="00736751"/>
    <w:rsid w:val="007371EA"/>
    <w:rsid w:val="00737CF8"/>
    <w:rsid w:val="00740760"/>
    <w:rsid w:val="00740FCB"/>
    <w:rsid w:val="007410DD"/>
    <w:rsid w:val="0074151F"/>
    <w:rsid w:val="00741A2D"/>
    <w:rsid w:val="00742B86"/>
    <w:rsid w:val="0074354C"/>
    <w:rsid w:val="007440A7"/>
    <w:rsid w:val="00750AB8"/>
    <w:rsid w:val="00751BA0"/>
    <w:rsid w:val="007523F1"/>
    <w:rsid w:val="007539AF"/>
    <w:rsid w:val="007567C5"/>
    <w:rsid w:val="00757ACF"/>
    <w:rsid w:val="0076068A"/>
    <w:rsid w:val="0076283B"/>
    <w:rsid w:val="00764B5D"/>
    <w:rsid w:val="00765B4B"/>
    <w:rsid w:val="007664C3"/>
    <w:rsid w:val="007676FC"/>
    <w:rsid w:val="007717CD"/>
    <w:rsid w:val="007718F2"/>
    <w:rsid w:val="00772C57"/>
    <w:rsid w:val="00773034"/>
    <w:rsid w:val="0077345E"/>
    <w:rsid w:val="0077403D"/>
    <w:rsid w:val="00774838"/>
    <w:rsid w:val="00775375"/>
    <w:rsid w:val="00776B9C"/>
    <w:rsid w:val="007779F6"/>
    <w:rsid w:val="00777BA1"/>
    <w:rsid w:val="00777BE2"/>
    <w:rsid w:val="0078152C"/>
    <w:rsid w:val="00782B28"/>
    <w:rsid w:val="0078325F"/>
    <w:rsid w:val="00783983"/>
    <w:rsid w:val="00785435"/>
    <w:rsid w:val="00785E08"/>
    <w:rsid w:val="00786056"/>
    <w:rsid w:val="00786EE6"/>
    <w:rsid w:val="00786FAB"/>
    <w:rsid w:val="00787A3B"/>
    <w:rsid w:val="0079293B"/>
    <w:rsid w:val="007939B6"/>
    <w:rsid w:val="007942D3"/>
    <w:rsid w:val="00796FF1"/>
    <w:rsid w:val="007A10FE"/>
    <w:rsid w:val="007A1AF4"/>
    <w:rsid w:val="007B00CF"/>
    <w:rsid w:val="007B034B"/>
    <w:rsid w:val="007B2099"/>
    <w:rsid w:val="007B27D2"/>
    <w:rsid w:val="007B45D3"/>
    <w:rsid w:val="007B53D3"/>
    <w:rsid w:val="007B6238"/>
    <w:rsid w:val="007B6C09"/>
    <w:rsid w:val="007B769D"/>
    <w:rsid w:val="007B7741"/>
    <w:rsid w:val="007C0B07"/>
    <w:rsid w:val="007C2544"/>
    <w:rsid w:val="007C3858"/>
    <w:rsid w:val="007C43A3"/>
    <w:rsid w:val="007C43A5"/>
    <w:rsid w:val="007C4951"/>
    <w:rsid w:val="007C5561"/>
    <w:rsid w:val="007C56FC"/>
    <w:rsid w:val="007C6429"/>
    <w:rsid w:val="007C65DE"/>
    <w:rsid w:val="007C6EB0"/>
    <w:rsid w:val="007C77A5"/>
    <w:rsid w:val="007C7869"/>
    <w:rsid w:val="007D02A7"/>
    <w:rsid w:val="007D05A2"/>
    <w:rsid w:val="007D1376"/>
    <w:rsid w:val="007D15E2"/>
    <w:rsid w:val="007D1664"/>
    <w:rsid w:val="007D1B94"/>
    <w:rsid w:val="007D26C6"/>
    <w:rsid w:val="007D668C"/>
    <w:rsid w:val="007E09DA"/>
    <w:rsid w:val="007E0D36"/>
    <w:rsid w:val="007E0F8A"/>
    <w:rsid w:val="007E27F6"/>
    <w:rsid w:val="007E3936"/>
    <w:rsid w:val="007E6F56"/>
    <w:rsid w:val="007F0852"/>
    <w:rsid w:val="007F4686"/>
    <w:rsid w:val="007F718D"/>
    <w:rsid w:val="007F7396"/>
    <w:rsid w:val="00801490"/>
    <w:rsid w:val="00801FAD"/>
    <w:rsid w:val="008026A8"/>
    <w:rsid w:val="008032F0"/>
    <w:rsid w:val="00804878"/>
    <w:rsid w:val="008055B6"/>
    <w:rsid w:val="00806470"/>
    <w:rsid w:val="008075D9"/>
    <w:rsid w:val="0080777F"/>
    <w:rsid w:val="00810D2D"/>
    <w:rsid w:val="008113B4"/>
    <w:rsid w:val="00814885"/>
    <w:rsid w:val="00815940"/>
    <w:rsid w:val="008162FF"/>
    <w:rsid w:val="008163C3"/>
    <w:rsid w:val="008178B6"/>
    <w:rsid w:val="0082714F"/>
    <w:rsid w:val="00827CB2"/>
    <w:rsid w:val="00830068"/>
    <w:rsid w:val="0083057A"/>
    <w:rsid w:val="00831E9E"/>
    <w:rsid w:val="0083220B"/>
    <w:rsid w:val="00832BFE"/>
    <w:rsid w:val="00833A3E"/>
    <w:rsid w:val="00834B05"/>
    <w:rsid w:val="00835152"/>
    <w:rsid w:val="0083607C"/>
    <w:rsid w:val="0083708E"/>
    <w:rsid w:val="0083729E"/>
    <w:rsid w:val="0084182C"/>
    <w:rsid w:val="00841FDB"/>
    <w:rsid w:val="00842093"/>
    <w:rsid w:val="008422F8"/>
    <w:rsid w:val="00842445"/>
    <w:rsid w:val="00842803"/>
    <w:rsid w:val="00842BEF"/>
    <w:rsid w:val="008431C9"/>
    <w:rsid w:val="008435D6"/>
    <w:rsid w:val="008453C9"/>
    <w:rsid w:val="0084628D"/>
    <w:rsid w:val="00847FB4"/>
    <w:rsid w:val="008527CF"/>
    <w:rsid w:val="00853351"/>
    <w:rsid w:val="0085524C"/>
    <w:rsid w:val="008556C2"/>
    <w:rsid w:val="008569B7"/>
    <w:rsid w:val="00856DF6"/>
    <w:rsid w:val="008609BC"/>
    <w:rsid w:val="008610A3"/>
    <w:rsid w:val="008612FB"/>
    <w:rsid w:val="00861E2A"/>
    <w:rsid w:val="008626CA"/>
    <w:rsid w:val="00862DFB"/>
    <w:rsid w:val="00863D1C"/>
    <w:rsid w:val="00863E76"/>
    <w:rsid w:val="008641F2"/>
    <w:rsid w:val="00864612"/>
    <w:rsid w:val="00865B74"/>
    <w:rsid w:val="00866063"/>
    <w:rsid w:val="008672B9"/>
    <w:rsid w:val="00870BC9"/>
    <w:rsid w:val="00871F74"/>
    <w:rsid w:val="00872881"/>
    <w:rsid w:val="00873525"/>
    <w:rsid w:val="00873E6B"/>
    <w:rsid w:val="008750F9"/>
    <w:rsid w:val="008756A9"/>
    <w:rsid w:val="00875D4E"/>
    <w:rsid w:val="00882350"/>
    <w:rsid w:val="008836FB"/>
    <w:rsid w:val="0088405E"/>
    <w:rsid w:val="00884AFD"/>
    <w:rsid w:val="00886DB3"/>
    <w:rsid w:val="0089206B"/>
    <w:rsid w:val="00892929"/>
    <w:rsid w:val="0089309D"/>
    <w:rsid w:val="008930C1"/>
    <w:rsid w:val="008942DE"/>
    <w:rsid w:val="008958AC"/>
    <w:rsid w:val="00895C2B"/>
    <w:rsid w:val="008974F0"/>
    <w:rsid w:val="008A088C"/>
    <w:rsid w:val="008A1499"/>
    <w:rsid w:val="008A159B"/>
    <w:rsid w:val="008A24C8"/>
    <w:rsid w:val="008A2B16"/>
    <w:rsid w:val="008A316D"/>
    <w:rsid w:val="008A3900"/>
    <w:rsid w:val="008A4CD9"/>
    <w:rsid w:val="008A6E51"/>
    <w:rsid w:val="008B012A"/>
    <w:rsid w:val="008B0271"/>
    <w:rsid w:val="008B110C"/>
    <w:rsid w:val="008B1B8F"/>
    <w:rsid w:val="008B234B"/>
    <w:rsid w:val="008B363E"/>
    <w:rsid w:val="008B5DD6"/>
    <w:rsid w:val="008B61B6"/>
    <w:rsid w:val="008B6B9B"/>
    <w:rsid w:val="008C1003"/>
    <w:rsid w:val="008C32B6"/>
    <w:rsid w:val="008C571E"/>
    <w:rsid w:val="008C5843"/>
    <w:rsid w:val="008C5B60"/>
    <w:rsid w:val="008C5C84"/>
    <w:rsid w:val="008C5FFF"/>
    <w:rsid w:val="008C625A"/>
    <w:rsid w:val="008C6B39"/>
    <w:rsid w:val="008C6E04"/>
    <w:rsid w:val="008D0096"/>
    <w:rsid w:val="008D0722"/>
    <w:rsid w:val="008D2A0B"/>
    <w:rsid w:val="008D3764"/>
    <w:rsid w:val="008E35BC"/>
    <w:rsid w:val="008E3702"/>
    <w:rsid w:val="008E43BD"/>
    <w:rsid w:val="008E49DC"/>
    <w:rsid w:val="008E5CFF"/>
    <w:rsid w:val="008E719D"/>
    <w:rsid w:val="008F0502"/>
    <w:rsid w:val="008F31DB"/>
    <w:rsid w:val="008F542A"/>
    <w:rsid w:val="008F5BC7"/>
    <w:rsid w:val="008F640E"/>
    <w:rsid w:val="008F74D4"/>
    <w:rsid w:val="00900CD0"/>
    <w:rsid w:val="009014D8"/>
    <w:rsid w:val="0090236A"/>
    <w:rsid w:val="0090246B"/>
    <w:rsid w:val="00902AD3"/>
    <w:rsid w:val="00904596"/>
    <w:rsid w:val="00905FBD"/>
    <w:rsid w:val="0090697C"/>
    <w:rsid w:val="00906D2E"/>
    <w:rsid w:val="00906E17"/>
    <w:rsid w:val="0091114A"/>
    <w:rsid w:val="009111E0"/>
    <w:rsid w:val="0091155D"/>
    <w:rsid w:val="009126C0"/>
    <w:rsid w:val="00912D80"/>
    <w:rsid w:val="00913B0C"/>
    <w:rsid w:val="00916F8C"/>
    <w:rsid w:val="00916FA1"/>
    <w:rsid w:val="009170D2"/>
    <w:rsid w:val="00917764"/>
    <w:rsid w:val="009224AE"/>
    <w:rsid w:val="00922BA1"/>
    <w:rsid w:val="009240CB"/>
    <w:rsid w:val="009246FC"/>
    <w:rsid w:val="009307C6"/>
    <w:rsid w:val="00930A6A"/>
    <w:rsid w:val="00930BA1"/>
    <w:rsid w:val="0093135A"/>
    <w:rsid w:val="0093169E"/>
    <w:rsid w:val="00932B58"/>
    <w:rsid w:val="009339B6"/>
    <w:rsid w:val="009341FC"/>
    <w:rsid w:val="00934594"/>
    <w:rsid w:val="00935B0B"/>
    <w:rsid w:val="00937328"/>
    <w:rsid w:val="0093761D"/>
    <w:rsid w:val="00943D0F"/>
    <w:rsid w:val="00943EB8"/>
    <w:rsid w:val="009444D9"/>
    <w:rsid w:val="00944A97"/>
    <w:rsid w:val="0094591F"/>
    <w:rsid w:val="00945CD9"/>
    <w:rsid w:val="00950471"/>
    <w:rsid w:val="009505C9"/>
    <w:rsid w:val="00950752"/>
    <w:rsid w:val="0095199C"/>
    <w:rsid w:val="00951F95"/>
    <w:rsid w:val="00952D85"/>
    <w:rsid w:val="00953B26"/>
    <w:rsid w:val="009546B2"/>
    <w:rsid w:val="00954FA4"/>
    <w:rsid w:val="00955FA2"/>
    <w:rsid w:val="009564EB"/>
    <w:rsid w:val="00956CA5"/>
    <w:rsid w:val="00957062"/>
    <w:rsid w:val="009576BF"/>
    <w:rsid w:val="00957B62"/>
    <w:rsid w:val="009621C4"/>
    <w:rsid w:val="00963262"/>
    <w:rsid w:val="009637CE"/>
    <w:rsid w:val="00963E2A"/>
    <w:rsid w:val="009650C6"/>
    <w:rsid w:val="00965935"/>
    <w:rsid w:val="00965B13"/>
    <w:rsid w:val="00966424"/>
    <w:rsid w:val="00967221"/>
    <w:rsid w:val="00974F84"/>
    <w:rsid w:val="00974FFA"/>
    <w:rsid w:val="009753B2"/>
    <w:rsid w:val="0097694F"/>
    <w:rsid w:val="00977214"/>
    <w:rsid w:val="0097751B"/>
    <w:rsid w:val="009805D7"/>
    <w:rsid w:val="009807A3"/>
    <w:rsid w:val="00980967"/>
    <w:rsid w:val="00981474"/>
    <w:rsid w:val="00984549"/>
    <w:rsid w:val="009846C8"/>
    <w:rsid w:val="00984BAF"/>
    <w:rsid w:val="00985DCC"/>
    <w:rsid w:val="0098602E"/>
    <w:rsid w:val="00986286"/>
    <w:rsid w:val="0098739E"/>
    <w:rsid w:val="00990358"/>
    <w:rsid w:val="00990C3F"/>
    <w:rsid w:val="009933F4"/>
    <w:rsid w:val="0099566B"/>
    <w:rsid w:val="00995E81"/>
    <w:rsid w:val="009960D7"/>
    <w:rsid w:val="00996ED2"/>
    <w:rsid w:val="009976FC"/>
    <w:rsid w:val="00997D45"/>
    <w:rsid w:val="009A0674"/>
    <w:rsid w:val="009A1170"/>
    <w:rsid w:val="009A2BE7"/>
    <w:rsid w:val="009A31AB"/>
    <w:rsid w:val="009A3DF8"/>
    <w:rsid w:val="009A69E5"/>
    <w:rsid w:val="009B26A9"/>
    <w:rsid w:val="009B61C6"/>
    <w:rsid w:val="009B6F42"/>
    <w:rsid w:val="009C141D"/>
    <w:rsid w:val="009C198D"/>
    <w:rsid w:val="009C2393"/>
    <w:rsid w:val="009C2DE6"/>
    <w:rsid w:val="009C2DF3"/>
    <w:rsid w:val="009C37F5"/>
    <w:rsid w:val="009C61AC"/>
    <w:rsid w:val="009C7C78"/>
    <w:rsid w:val="009C7D06"/>
    <w:rsid w:val="009D0654"/>
    <w:rsid w:val="009D1671"/>
    <w:rsid w:val="009D186D"/>
    <w:rsid w:val="009D37BD"/>
    <w:rsid w:val="009D45BF"/>
    <w:rsid w:val="009D4E6D"/>
    <w:rsid w:val="009D53F3"/>
    <w:rsid w:val="009D59E1"/>
    <w:rsid w:val="009D5D5B"/>
    <w:rsid w:val="009D5E7A"/>
    <w:rsid w:val="009D66B9"/>
    <w:rsid w:val="009E1DF5"/>
    <w:rsid w:val="009F415D"/>
    <w:rsid w:val="009F52A5"/>
    <w:rsid w:val="009F64A2"/>
    <w:rsid w:val="009F7227"/>
    <w:rsid w:val="009F75B2"/>
    <w:rsid w:val="00A00DFD"/>
    <w:rsid w:val="00A00E47"/>
    <w:rsid w:val="00A01087"/>
    <w:rsid w:val="00A0191C"/>
    <w:rsid w:val="00A04931"/>
    <w:rsid w:val="00A05FA3"/>
    <w:rsid w:val="00A06709"/>
    <w:rsid w:val="00A06744"/>
    <w:rsid w:val="00A10498"/>
    <w:rsid w:val="00A111D1"/>
    <w:rsid w:val="00A11AC0"/>
    <w:rsid w:val="00A11EF9"/>
    <w:rsid w:val="00A11F77"/>
    <w:rsid w:val="00A12F46"/>
    <w:rsid w:val="00A134E7"/>
    <w:rsid w:val="00A14A4E"/>
    <w:rsid w:val="00A15399"/>
    <w:rsid w:val="00A15F4F"/>
    <w:rsid w:val="00A15F8D"/>
    <w:rsid w:val="00A2139B"/>
    <w:rsid w:val="00A21895"/>
    <w:rsid w:val="00A22258"/>
    <w:rsid w:val="00A22FF0"/>
    <w:rsid w:val="00A23CF8"/>
    <w:rsid w:val="00A242E6"/>
    <w:rsid w:val="00A24334"/>
    <w:rsid w:val="00A2673F"/>
    <w:rsid w:val="00A26E4C"/>
    <w:rsid w:val="00A279C8"/>
    <w:rsid w:val="00A31BB9"/>
    <w:rsid w:val="00A329C3"/>
    <w:rsid w:val="00A330EC"/>
    <w:rsid w:val="00A3485D"/>
    <w:rsid w:val="00A34AC9"/>
    <w:rsid w:val="00A35217"/>
    <w:rsid w:val="00A35C71"/>
    <w:rsid w:val="00A40FC3"/>
    <w:rsid w:val="00A42749"/>
    <w:rsid w:val="00A442D0"/>
    <w:rsid w:val="00A44AC9"/>
    <w:rsid w:val="00A456C3"/>
    <w:rsid w:val="00A4596A"/>
    <w:rsid w:val="00A478ED"/>
    <w:rsid w:val="00A47AD9"/>
    <w:rsid w:val="00A47CC6"/>
    <w:rsid w:val="00A47F6F"/>
    <w:rsid w:val="00A5081C"/>
    <w:rsid w:val="00A51626"/>
    <w:rsid w:val="00A518AD"/>
    <w:rsid w:val="00A53162"/>
    <w:rsid w:val="00A53B63"/>
    <w:rsid w:val="00A53CA4"/>
    <w:rsid w:val="00A53DD8"/>
    <w:rsid w:val="00A5416D"/>
    <w:rsid w:val="00A5501A"/>
    <w:rsid w:val="00A550D4"/>
    <w:rsid w:val="00A552FB"/>
    <w:rsid w:val="00A55F46"/>
    <w:rsid w:val="00A56712"/>
    <w:rsid w:val="00A5725B"/>
    <w:rsid w:val="00A57475"/>
    <w:rsid w:val="00A6108F"/>
    <w:rsid w:val="00A61CCE"/>
    <w:rsid w:val="00A625D5"/>
    <w:rsid w:val="00A64AA1"/>
    <w:rsid w:val="00A66931"/>
    <w:rsid w:val="00A6698A"/>
    <w:rsid w:val="00A67602"/>
    <w:rsid w:val="00A70B45"/>
    <w:rsid w:val="00A72D9E"/>
    <w:rsid w:val="00A735CE"/>
    <w:rsid w:val="00A74A05"/>
    <w:rsid w:val="00A750EC"/>
    <w:rsid w:val="00A8063E"/>
    <w:rsid w:val="00A80C71"/>
    <w:rsid w:val="00A8368E"/>
    <w:rsid w:val="00A836D7"/>
    <w:rsid w:val="00A84EC1"/>
    <w:rsid w:val="00A85352"/>
    <w:rsid w:val="00A862D0"/>
    <w:rsid w:val="00A904DC"/>
    <w:rsid w:val="00A94300"/>
    <w:rsid w:val="00A96784"/>
    <w:rsid w:val="00AA2046"/>
    <w:rsid w:val="00AA298D"/>
    <w:rsid w:val="00AA3294"/>
    <w:rsid w:val="00AA3C61"/>
    <w:rsid w:val="00AA3F15"/>
    <w:rsid w:val="00AA58D9"/>
    <w:rsid w:val="00AA58F7"/>
    <w:rsid w:val="00AA6155"/>
    <w:rsid w:val="00AA6E8E"/>
    <w:rsid w:val="00AA6F92"/>
    <w:rsid w:val="00AA701C"/>
    <w:rsid w:val="00AB137F"/>
    <w:rsid w:val="00AB19A4"/>
    <w:rsid w:val="00AB2F76"/>
    <w:rsid w:val="00AB4C04"/>
    <w:rsid w:val="00AB4D54"/>
    <w:rsid w:val="00AB595A"/>
    <w:rsid w:val="00AB596A"/>
    <w:rsid w:val="00AB6934"/>
    <w:rsid w:val="00AB6A7F"/>
    <w:rsid w:val="00AB6CD2"/>
    <w:rsid w:val="00AB6E4E"/>
    <w:rsid w:val="00AB7873"/>
    <w:rsid w:val="00AC155E"/>
    <w:rsid w:val="00AC3C51"/>
    <w:rsid w:val="00AC4F01"/>
    <w:rsid w:val="00AD38BD"/>
    <w:rsid w:val="00AD42F4"/>
    <w:rsid w:val="00AD4A10"/>
    <w:rsid w:val="00AD6E2F"/>
    <w:rsid w:val="00AE0AF2"/>
    <w:rsid w:val="00AE23E8"/>
    <w:rsid w:val="00AE464A"/>
    <w:rsid w:val="00AE4A51"/>
    <w:rsid w:val="00AE6346"/>
    <w:rsid w:val="00AE6C7F"/>
    <w:rsid w:val="00AF1DDE"/>
    <w:rsid w:val="00AF306D"/>
    <w:rsid w:val="00AF34FB"/>
    <w:rsid w:val="00AF42DE"/>
    <w:rsid w:val="00AF4C8E"/>
    <w:rsid w:val="00AF614D"/>
    <w:rsid w:val="00AF671D"/>
    <w:rsid w:val="00AF6820"/>
    <w:rsid w:val="00B00375"/>
    <w:rsid w:val="00B009F0"/>
    <w:rsid w:val="00B014C0"/>
    <w:rsid w:val="00B01DEB"/>
    <w:rsid w:val="00B01EF4"/>
    <w:rsid w:val="00B05191"/>
    <w:rsid w:val="00B052F3"/>
    <w:rsid w:val="00B056B3"/>
    <w:rsid w:val="00B1118B"/>
    <w:rsid w:val="00B1131B"/>
    <w:rsid w:val="00B11816"/>
    <w:rsid w:val="00B12405"/>
    <w:rsid w:val="00B14220"/>
    <w:rsid w:val="00B14C8D"/>
    <w:rsid w:val="00B14F82"/>
    <w:rsid w:val="00B158F7"/>
    <w:rsid w:val="00B16CB7"/>
    <w:rsid w:val="00B174B3"/>
    <w:rsid w:val="00B17C77"/>
    <w:rsid w:val="00B204D8"/>
    <w:rsid w:val="00B213E3"/>
    <w:rsid w:val="00B225EC"/>
    <w:rsid w:val="00B23F86"/>
    <w:rsid w:val="00B24901"/>
    <w:rsid w:val="00B313F6"/>
    <w:rsid w:val="00B3369F"/>
    <w:rsid w:val="00B33C4C"/>
    <w:rsid w:val="00B343BB"/>
    <w:rsid w:val="00B362C0"/>
    <w:rsid w:val="00B3668B"/>
    <w:rsid w:val="00B370B4"/>
    <w:rsid w:val="00B40EBB"/>
    <w:rsid w:val="00B41B1B"/>
    <w:rsid w:val="00B41BE9"/>
    <w:rsid w:val="00B41EBD"/>
    <w:rsid w:val="00B41FA4"/>
    <w:rsid w:val="00B42957"/>
    <w:rsid w:val="00B429AE"/>
    <w:rsid w:val="00B43BD4"/>
    <w:rsid w:val="00B44388"/>
    <w:rsid w:val="00B44987"/>
    <w:rsid w:val="00B44C84"/>
    <w:rsid w:val="00B452AE"/>
    <w:rsid w:val="00B457C3"/>
    <w:rsid w:val="00B458D1"/>
    <w:rsid w:val="00B47469"/>
    <w:rsid w:val="00B47991"/>
    <w:rsid w:val="00B50C19"/>
    <w:rsid w:val="00B50D76"/>
    <w:rsid w:val="00B51AFE"/>
    <w:rsid w:val="00B539B0"/>
    <w:rsid w:val="00B540FE"/>
    <w:rsid w:val="00B5418E"/>
    <w:rsid w:val="00B54B42"/>
    <w:rsid w:val="00B553B7"/>
    <w:rsid w:val="00B56728"/>
    <w:rsid w:val="00B603B6"/>
    <w:rsid w:val="00B60F16"/>
    <w:rsid w:val="00B6173A"/>
    <w:rsid w:val="00B63928"/>
    <w:rsid w:val="00B64410"/>
    <w:rsid w:val="00B65216"/>
    <w:rsid w:val="00B66E33"/>
    <w:rsid w:val="00B6717A"/>
    <w:rsid w:val="00B677B4"/>
    <w:rsid w:val="00B72DA2"/>
    <w:rsid w:val="00B7520D"/>
    <w:rsid w:val="00B76884"/>
    <w:rsid w:val="00B76D5A"/>
    <w:rsid w:val="00B774E1"/>
    <w:rsid w:val="00B817CF"/>
    <w:rsid w:val="00B81DB7"/>
    <w:rsid w:val="00B83BDE"/>
    <w:rsid w:val="00B84266"/>
    <w:rsid w:val="00B846CC"/>
    <w:rsid w:val="00B86A91"/>
    <w:rsid w:val="00B875E6"/>
    <w:rsid w:val="00B906C9"/>
    <w:rsid w:val="00B911A1"/>
    <w:rsid w:val="00B92CB8"/>
    <w:rsid w:val="00B932B0"/>
    <w:rsid w:val="00B94E6C"/>
    <w:rsid w:val="00B950A7"/>
    <w:rsid w:val="00B9517E"/>
    <w:rsid w:val="00B95E5F"/>
    <w:rsid w:val="00B964E5"/>
    <w:rsid w:val="00B96538"/>
    <w:rsid w:val="00BA050F"/>
    <w:rsid w:val="00BA22C3"/>
    <w:rsid w:val="00BA3890"/>
    <w:rsid w:val="00BA424F"/>
    <w:rsid w:val="00BA507B"/>
    <w:rsid w:val="00BA5A3D"/>
    <w:rsid w:val="00BA68C6"/>
    <w:rsid w:val="00BA6B67"/>
    <w:rsid w:val="00BA7BF5"/>
    <w:rsid w:val="00BB13C1"/>
    <w:rsid w:val="00BB1439"/>
    <w:rsid w:val="00BB299A"/>
    <w:rsid w:val="00BB4606"/>
    <w:rsid w:val="00BB4642"/>
    <w:rsid w:val="00BB49C2"/>
    <w:rsid w:val="00BB4E60"/>
    <w:rsid w:val="00BB51C7"/>
    <w:rsid w:val="00BC0E44"/>
    <w:rsid w:val="00BC1633"/>
    <w:rsid w:val="00BC3BC5"/>
    <w:rsid w:val="00BC58A7"/>
    <w:rsid w:val="00BC70B4"/>
    <w:rsid w:val="00BC7C19"/>
    <w:rsid w:val="00BD0076"/>
    <w:rsid w:val="00BD314C"/>
    <w:rsid w:val="00BD3A9D"/>
    <w:rsid w:val="00BD5691"/>
    <w:rsid w:val="00BD6E36"/>
    <w:rsid w:val="00BE055A"/>
    <w:rsid w:val="00BE4E59"/>
    <w:rsid w:val="00BE57BB"/>
    <w:rsid w:val="00BE7188"/>
    <w:rsid w:val="00BE719A"/>
    <w:rsid w:val="00BE7792"/>
    <w:rsid w:val="00BF2E99"/>
    <w:rsid w:val="00BF70A4"/>
    <w:rsid w:val="00BF749F"/>
    <w:rsid w:val="00C010A6"/>
    <w:rsid w:val="00C03941"/>
    <w:rsid w:val="00C04DAD"/>
    <w:rsid w:val="00C05AA6"/>
    <w:rsid w:val="00C07D5A"/>
    <w:rsid w:val="00C07EF5"/>
    <w:rsid w:val="00C1134B"/>
    <w:rsid w:val="00C119B3"/>
    <w:rsid w:val="00C12122"/>
    <w:rsid w:val="00C13D1D"/>
    <w:rsid w:val="00C145B6"/>
    <w:rsid w:val="00C1601E"/>
    <w:rsid w:val="00C163D2"/>
    <w:rsid w:val="00C16A68"/>
    <w:rsid w:val="00C2040C"/>
    <w:rsid w:val="00C20D7C"/>
    <w:rsid w:val="00C21A0D"/>
    <w:rsid w:val="00C231D4"/>
    <w:rsid w:val="00C23D2F"/>
    <w:rsid w:val="00C24C0B"/>
    <w:rsid w:val="00C27067"/>
    <w:rsid w:val="00C300CF"/>
    <w:rsid w:val="00C30CD6"/>
    <w:rsid w:val="00C30F9E"/>
    <w:rsid w:val="00C322E8"/>
    <w:rsid w:val="00C32E1F"/>
    <w:rsid w:val="00C339F3"/>
    <w:rsid w:val="00C34767"/>
    <w:rsid w:val="00C3504F"/>
    <w:rsid w:val="00C36963"/>
    <w:rsid w:val="00C37263"/>
    <w:rsid w:val="00C40C3B"/>
    <w:rsid w:val="00C411C3"/>
    <w:rsid w:val="00C418EE"/>
    <w:rsid w:val="00C42E6B"/>
    <w:rsid w:val="00C43144"/>
    <w:rsid w:val="00C43D2F"/>
    <w:rsid w:val="00C43E9C"/>
    <w:rsid w:val="00C443BD"/>
    <w:rsid w:val="00C44823"/>
    <w:rsid w:val="00C44C80"/>
    <w:rsid w:val="00C451C5"/>
    <w:rsid w:val="00C46DE8"/>
    <w:rsid w:val="00C51512"/>
    <w:rsid w:val="00C522F5"/>
    <w:rsid w:val="00C526C9"/>
    <w:rsid w:val="00C53576"/>
    <w:rsid w:val="00C54189"/>
    <w:rsid w:val="00C550BC"/>
    <w:rsid w:val="00C5684E"/>
    <w:rsid w:val="00C60116"/>
    <w:rsid w:val="00C6025E"/>
    <w:rsid w:val="00C615DD"/>
    <w:rsid w:val="00C61794"/>
    <w:rsid w:val="00C63C27"/>
    <w:rsid w:val="00C64498"/>
    <w:rsid w:val="00C66778"/>
    <w:rsid w:val="00C66FF9"/>
    <w:rsid w:val="00C67C16"/>
    <w:rsid w:val="00C70442"/>
    <w:rsid w:val="00C707E0"/>
    <w:rsid w:val="00C72966"/>
    <w:rsid w:val="00C73DB4"/>
    <w:rsid w:val="00C74538"/>
    <w:rsid w:val="00C75E55"/>
    <w:rsid w:val="00C77411"/>
    <w:rsid w:val="00C7765A"/>
    <w:rsid w:val="00C77F45"/>
    <w:rsid w:val="00C81C90"/>
    <w:rsid w:val="00C825DC"/>
    <w:rsid w:val="00C8266C"/>
    <w:rsid w:val="00C83A98"/>
    <w:rsid w:val="00C849EC"/>
    <w:rsid w:val="00C84CE0"/>
    <w:rsid w:val="00C84FB1"/>
    <w:rsid w:val="00C915B0"/>
    <w:rsid w:val="00C9161D"/>
    <w:rsid w:val="00C924D1"/>
    <w:rsid w:val="00C96490"/>
    <w:rsid w:val="00C96567"/>
    <w:rsid w:val="00C96B22"/>
    <w:rsid w:val="00CA0C1D"/>
    <w:rsid w:val="00CB0192"/>
    <w:rsid w:val="00CB17D9"/>
    <w:rsid w:val="00CB18C6"/>
    <w:rsid w:val="00CB24F9"/>
    <w:rsid w:val="00CB2ADB"/>
    <w:rsid w:val="00CB3DEC"/>
    <w:rsid w:val="00CB4C15"/>
    <w:rsid w:val="00CB5369"/>
    <w:rsid w:val="00CB5B7E"/>
    <w:rsid w:val="00CB5C19"/>
    <w:rsid w:val="00CB66BE"/>
    <w:rsid w:val="00CC2239"/>
    <w:rsid w:val="00CC526E"/>
    <w:rsid w:val="00CC704C"/>
    <w:rsid w:val="00CD0A93"/>
    <w:rsid w:val="00CD1571"/>
    <w:rsid w:val="00CD298E"/>
    <w:rsid w:val="00CD3704"/>
    <w:rsid w:val="00CD4BDF"/>
    <w:rsid w:val="00CD64F1"/>
    <w:rsid w:val="00CD6707"/>
    <w:rsid w:val="00CD6A3D"/>
    <w:rsid w:val="00CD72A6"/>
    <w:rsid w:val="00CD7BA5"/>
    <w:rsid w:val="00CE2864"/>
    <w:rsid w:val="00CE4BC4"/>
    <w:rsid w:val="00CE4FF3"/>
    <w:rsid w:val="00CE6FE1"/>
    <w:rsid w:val="00CF1848"/>
    <w:rsid w:val="00CF403A"/>
    <w:rsid w:val="00CF4DEA"/>
    <w:rsid w:val="00CF54D5"/>
    <w:rsid w:val="00CF70F6"/>
    <w:rsid w:val="00CF73B8"/>
    <w:rsid w:val="00CF7B84"/>
    <w:rsid w:val="00D0136E"/>
    <w:rsid w:val="00D01946"/>
    <w:rsid w:val="00D01FB8"/>
    <w:rsid w:val="00D03A03"/>
    <w:rsid w:val="00D06618"/>
    <w:rsid w:val="00D07741"/>
    <w:rsid w:val="00D07C17"/>
    <w:rsid w:val="00D12044"/>
    <w:rsid w:val="00D128CC"/>
    <w:rsid w:val="00D159DF"/>
    <w:rsid w:val="00D15A16"/>
    <w:rsid w:val="00D170D9"/>
    <w:rsid w:val="00D20AD9"/>
    <w:rsid w:val="00D21516"/>
    <w:rsid w:val="00D23C15"/>
    <w:rsid w:val="00D24B37"/>
    <w:rsid w:val="00D2579F"/>
    <w:rsid w:val="00D30262"/>
    <w:rsid w:val="00D32212"/>
    <w:rsid w:val="00D33EFC"/>
    <w:rsid w:val="00D3472D"/>
    <w:rsid w:val="00D36AE7"/>
    <w:rsid w:val="00D37762"/>
    <w:rsid w:val="00D40DBC"/>
    <w:rsid w:val="00D410C5"/>
    <w:rsid w:val="00D42690"/>
    <w:rsid w:val="00D430AC"/>
    <w:rsid w:val="00D4470F"/>
    <w:rsid w:val="00D46EA9"/>
    <w:rsid w:val="00D47C2E"/>
    <w:rsid w:val="00D528BF"/>
    <w:rsid w:val="00D53ECB"/>
    <w:rsid w:val="00D54893"/>
    <w:rsid w:val="00D61C85"/>
    <w:rsid w:val="00D6219B"/>
    <w:rsid w:val="00D6426C"/>
    <w:rsid w:val="00D643B9"/>
    <w:rsid w:val="00D67460"/>
    <w:rsid w:val="00D71E1F"/>
    <w:rsid w:val="00D72AA1"/>
    <w:rsid w:val="00D72B54"/>
    <w:rsid w:val="00D72F65"/>
    <w:rsid w:val="00D73532"/>
    <w:rsid w:val="00D74371"/>
    <w:rsid w:val="00D745B1"/>
    <w:rsid w:val="00D74758"/>
    <w:rsid w:val="00D75CA6"/>
    <w:rsid w:val="00D7643A"/>
    <w:rsid w:val="00D766AE"/>
    <w:rsid w:val="00D76A18"/>
    <w:rsid w:val="00D76D9D"/>
    <w:rsid w:val="00D80849"/>
    <w:rsid w:val="00D80C54"/>
    <w:rsid w:val="00D810F8"/>
    <w:rsid w:val="00D82E8F"/>
    <w:rsid w:val="00D84795"/>
    <w:rsid w:val="00D84CC3"/>
    <w:rsid w:val="00D86189"/>
    <w:rsid w:val="00D86FD7"/>
    <w:rsid w:val="00D90B04"/>
    <w:rsid w:val="00D9259B"/>
    <w:rsid w:val="00D92858"/>
    <w:rsid w:val="00D92C25"/>
    <w:rsid w:val="00D93E25"/>
    <w:rsid w:val="00D95B56"/>
    <w:rsid w:val="00DA1AF6"/>
    <w:rsid w:val="00DA1C94"/>
    <w:rsid w:val="00DA2718"/>
    <w:rsid w:val="00DA37E9"/>
    <w:rsid w:val="00DA5106"/>
    <w:rsid w:val="00DA51CD"/>
    <w:rsid w:val="00DA5BB5"/>
    <w:rsid w:val="00DA5F37"/>
    <w:rsid w:val="00DA6993"/>
    <w:rsid w:val="00DA69DA"/>
    <w:rsid w:val="00DA729B"/>
    <w:rsid w:val="00DA7E3C"/>
    <w:rsid w:val="00DB090A"/>
    <w:rsid w:val="00DB0951"/>
    <w:rsid w:val="00DB1083"/>
    <w:rsid w:val="00DB124A"/>
    <w:rsid w:val="00DB1E08"/>
    <w:rsid w:val="00DB1EA4"/>
    <w:rsid w:val="00DB2DE5"/>
    <w:rsid w:val="00DB4EFE"/>
    <w:rsid w:val="00DB5640"/>
    <w:rsid w:val="00DB5D72"/>
    <w:rsid w:val="00DB5E0F"/>
    <w:rsid w:val="00DC0C3B"/>
    <w:rsid w:val="00DC0C6B"/>
    <w:rsid w:val="00DC18D5"/>
    <w:rsid w:val="00DC1E57"/>
    <w:rsid w:val="00DC25D3"/>
    <w:rsid w:val="00DC32C2"/>
    <w:rsid w:val="00DC37B4"/>
    <w:rsid w:val="00DC406D"/>
    <w:rsid w:val="00DC4E76"/>
    <w:rsid w:val="00DC6B5A"/>
    <w:rsid w:val="00DD0793"/>
    <w:rsid w:val="00DD118C"/>
    <w:rsid w:val="00DD165C"/>
    <w:rsid w:val="00DD3AA7"/>
    <w:rsid w:val="00DD3CB3"/>
    <w:rsid w:val="00DD5B59"/>
    <w:rsid w:val="00DD7955"/>
    <w:rsid w:val="00DE1144"/>
    <w:rsid w:val="00DE49C2"/>
    <w:rsid w:val="00DE63F9"/>
    <w:rsid w:val="00DE765C"/>
    <w:rsid w:val="00DF1230"/>
    <w:rsid w:val="00DF1907"/>
    <w:rsid w:val="00DF193C"/>
    <w:rsid w:val="00DF34DC"/>
    <w:rsid w:val="00DF3F16"/>
    <w:rsid w:val="00DF76B2"/>
    <w:rsid w:val="00E03B0E"/>
    <w:rsid w:val="00E049FC"/>
    <w:rsid w:val="00E0564D"/>
    <w:rsid w:val="00E057D1"/>
    <w:rsid w:val="00E05F15"/>
    <w:rsid w:val="00E06B66"/>
    <w:rsid w:val="00E06D36"/>
    <w:rsid w:val="00E07E30"/>
    <w:rsid w:val="00E10A09"/>
    <w:rsid w:val="00E113A4"/>
    <w:rsid w:val="00E119AE"/>
    <w:rsid w:val="00E11D0D"/>
    <w:rsid w:val="00E13C0B"/>
    <w:rsid w:val="00E13EE9"/>
    <w:rsid w:val="00E14D11"/>
    <w:rsid w:val="00E1511A"/>
    <w:rsid w:val="00E161D8"/>
    <w:rsid w:val="00E1626E"/>
    <w:rsid w:val="00E16C21"/>
    <w:rsid w:val="00E20236"/>
    <w:rsid w:val="00E21612"/>
    <w:rsid w:val="00E21EF5"/>
    <w:rsid w:val="00E2300E"/>
    <w:rsid w:val="00E2590D"/>
    <w:rsid w:val="00E2667B"/>
    <w:rsid w:val="00E27E9E"/>
    <w:rsid w:val="00E3043B"/>
    <w:rsid w:val="00E3100E"/>
    <w:rsid w:val="00E32C46"/>
    <w:rsid w:val="00E33B2A"/>
    <w:rsid w:val="00E34546"/>
    <w:rsid w:val="00E347D1"/>
    <w:rsid w:val="00E35237"/>
    <w:rsid w:val="00E35FE2"/>
    <w:rsid w:val="00E378E6"/>
    <w:rsid w:val="00E40309"/>
    <w:rsid w:val="00E41287"/>
    <w:rsid w:val="00E41372"/>
    <w:rsid w:val="00E41CF4"/>
    <w:rsid w:val="00E42562"/>
    <w:rsid w:val="00E42671"/>
    <w:rsid w:val="00E42899"/>
    <w:rsid w:val="00E43621"/>
    <w:rsid w:val="00E445F0"/>
    <w:rsid w:val="00E450F2"/>
    <w:rsid w:val="00E454F2"/>
    <w:rsid w:val="00E45ED0"/>
    <w:rsid w:val="00E473D4"/>
    <w:rsid w:val="00E47D1F"/>
    <w:rsid w:val="00E529F2"/>
    <w:rsid w:val="00E530E7"/>
    <w:rsid w:val="00E54671"/>
    <w:rsid w:val="00E54B0A"/>
    <w:rsid w:val="00E55400"/>
    <w:rsid w:val="00E565CE"/>
    <w:rsid w:val="00E604A1"/>
    <w:rsid w:val="00E605A1"/>
    <w:rsid w:val="00E605D0"/>
    <w:rsid w:val="00E626AB"/>
    <w:rsid w:val="00E62D2C"/>
    <w:rsid w:val="00E641E1"/>
    <w:rsid w:val="00E64B29"/>
    <w:rsid w:val="00E65309"/>
    <w:rsid w:val="00E6551E"/>
    <w:rsid w:val="00E65D1E"/>
    <w:rsid w:val="00E66235"/>
    <w:rsid w:val="00E66494"/>
    <w:rsid w:val="00E67DF3"/>
    <w:rsid w:val="00E72397"/>
    <w:rsid w:val="00E7246A"/>
    <w:rsid w:val="00E72BFF"/>
    <w:rsid w:val="00E72C19"/>
    <w:rsid w:val="00E764D3"/>
    <w:rsid w:val="00E76CF9"/>
    <w:rsid w:val="00E833BB"/>
    <w:rsid w:val="00E8360E"/>
    <w:rsid w:val="00E83C24"/>
    <w:rsid w:val="00E8493E"/>
    <w:rsid w:val="00E85F78"/>
    <w:rsid w:val="00E87369"/>
    <w:rsid w:val="00E87A31"/>
    <w:rsid w:val="00E9138F"/>
    <w:rsid w:val="00E9209D"/>
    <w:rsid w:val="00E9318D"/>
    <w:rsid w:val="00E93400"/>
    <w:rsid w:val="00E93F3E"/>
    <w:rsid w:val="00E95B3A"/>
    <w:rsid w:val="00E96ED0"/>
    <w:rsid w:val="00E97527"/>
    <w:rsid w:val="00E97534"/>
    <w:rsid w:val="00EA08A6"/>
    <w:rsid w:val="00EA14FE"/>
    <w:rsid w:val="00EA1DF5"/>
    <w:rsid w:val="00EA218B"/>
    <w:rsid w:val="00EA225F"/>
    <w:rsid w:val="00EA38CB"/>
    <w:rsid w:val="00EA69B1"/>
    <w:rsid w:val="00EA727C"/>
    <w:rsid w:val="00EA741C"/>
    <w:rsid w:val="00EA76FC"/>
    <w:rsid w:val="00EB0C86"/>
    <w:rsid w:val="00EB3571"/>
    <w:rsid w:val="00EB443E"/>
    <w:rsid w:val="00EB5167"/>
    <w:rsid w:val="00EB5399"/>
    <w:rsid w:val="00EB5507"/>
    <w:rsid w:val="00EB6335"/>
    <w:rsid w:val="00EB6A16"/>
    <w:rsid w:val="00EC1A0D"/>
    <w:rsid w:val="00EC27DB"/>
    <w:rsid w:val="00EC3A45"/>
    <w:rsid w:val="00EC717B"/>
    <w:rsid w:val="00EC7766"/>
    <w:rsid w:val="00ED7503"/>
    <w:rsid w:val="00ED7B0D"/>
    <w:rsid w:val="00EE1C51"/>
    <w:rsid w:val="00EE22A0"/>
    <w:rsid w:val="00EE3CE1"/>
    <w:rsid w:val="00EE4368"/>
    <w:rsid w:val="00EE4BDF"/>
    <w:rsid w:val="00EE4ECD"/>
    <w:rsid w:val="00EE787D"/>
    <w:rsid w:val="00EF00CD"/>
    <w:rsid w:val="00EF0A8C"/>
    <w:rsid w:val="00EF365A"/>
    <w:rsid w:val="00EF509D"/>
    <w:rsid w:val="00EF54D7"/>
    <w:rsid w:val="00EF6338"/>
    <w:rsid w:val="00EF654D"/>
    <w:rsid w:val="00EF66B1"/>
    <w:rsid w:val="00EF69F5"/>
    <w:rsid w:val="00EF71E9"/>
    <w:rsid w:val="00EF74BD"/>
    <w:rsid w:val="00EF7928"/>
    <w:rsid w:val="00EF793C"/>
    <w:rsid w:val="00F01DF5"/>
    <w:rsid w:val="00F03437"/>
    <w:rsid w:val="00F05B6F"/>
    <w:rsid w:val="00F063C2"/>
    <w:rsid w:val="00F06E6E"/>
    <w:rsid w:val="00F07705"/>
    <w:rsid w:val="00F11086"/>
    <w:rsid w:val="00F11186"/>
    <w:rsid w:val="00F139DA"/>
    <w:rsid w:val="00F153C0"/>
    <w:rsid w:val="00F15B15"/>
    <w:rsid w:val="00F16983"/>
    <w:rsid w:val="00F208F4"/>
    <w:rsid w:val="00F21783"/>
    <w:rsid w:val="00F21842"/>
    <w:rsid w:val="00F21943"/>
    <w:rsid w:val="00F22FA4"/>
    <w:rsid w:val="00F236DC"/>
    <w:rsid w:val="00F2740B"/>
    <w:rsid w:val="00F27C77"/>
    <w:rsid w:val="00F303BB"/>
    <w:rsid w:val="00F30C13"/>
    <w:rsid w:val="00F3120D"/>
    <w:rsid w:val="00F313A4"/>
    <w:rsid w:val="00F33284"/>
    <w:rsid w:val="00F350FE"/>
    <w:rsid w:val="00F41012"/>
    <w:rsid w:val="00F41099"/>
    <w:rsid w:val="00F413D1"/>
    <w:rsid w:val="00F4233B"/>
    <w:rsid w:val="00F42373"/>
    <w:rsid w:val="00F423FA"/>
    <w:rsid w:val="00F42601"/>
    <w:rsid w:val="00F444BC"/>
    <w:rsid w:val="00F44740"/>
    <w:rsid w:val="00F448E7"/>
    <w:rsid w:val="00F454A9"/>
    <w:rsid w:val="00F4657E"/>
    <w:rsid w:val="00F4791F"/>
    <w:rsid w:val="00F50C1C"/>
    <w:rsid w:val="00F5145E"/>
    <w:rsid w:val="00F52BA7"/>
    <w:rsid w:val="00F52FFC"/>
    <w:rsid w:val="00F53193"/>
    <w:rsid w:val="00F5357C"/>
    <w:rsid w:val="00F5357E"/>
    <w:rsid w:val="00F53998"/>
    <w:rsid w:val="00F54521"/>
    <w:rsid w:val="00F54E17"/>
    <w:rsid w:val="00F57AF7"/>
    <w:rsid w:val="00F61666"/>
    <w:rsid w:val="00F62034"/>
    <w:rsid w:val="00F62E57"/>
    <w:rsid w:val="00F6586C"/>
    <w:rsid w:val="00F672C1"/>
    <w:rsid w:val="00F70B9C"/>
    <w:rsid w:val="00F70DFA"/>
    <w:rsid w:val="00F73207"/>
    <w:rsid w:val="00F73E13"/>
    <w:rsid w:val="00F73E54"/>
    <w:rsid w:val="00F73E94"/>
    <w:rsid w:val="00F742A3"/>
    <w:rsid w:val="00F74A8B"/>
    <w:rsid w:val="00F7552B"/>
    <w:rsid w:val="00F8177C"/>
    <w:rsid w:val="00F8190B"/>
    <w:rsid w:val="00F81F3A"/>
    <w:rsid w:val="00F82DBE"/>
    <w:rsid w:val="00F86B3C"/>
    <w:rsid w:val="00F9038B"/>
    <w:rsid w:val="00F92469"/>
    <w:rsid w:val="00F92593"/>
    <w:rsid w:val="00F92A6A"/>
    <w:rsid w:val="00F92B82"/>
    <w:rsid w:val="00F933EA"/>
    <w:rsid w:val="00F94202"/>
    <w:rsid w:val="00F94271"/>
    <w:rsid w:val="00F94774"/>
    <w:rsid w:val="00F948CE"/>
    <w:rsid w:val="00F94BC2"/>
    <w:rsid w:val="00F950BF"/>
    <w:rsid w:val="00F95C52"/>
    <w:rsid w:val="00F9708C"/>
    <w:rsid w:val="00FA001E"/>
    <w:rsid w:val="00FA049E"/>
    <w:rsid w:val="00FA109B"/>
    <w:rsid w:val="00FA27F2"/>
    <w:rsid w:val="00FA3072"/>
    <w:rsid w:val="00FA3684"/>
    <w:rsid w:val="00FA4BF4"/>
    <w:rsid w:val="00FA5E33"/>
    <w:rsid w:val="00FA6281"/>
    <w:rsid w:val="00FA663B"/>
    <w:rsid w:val="00FA7E45"/>
    <w:rsid w:val="00FB11F0"/>
    <w:rsid w:val="00FB2BC4"/>
    <w:rsid w:val="00FB3B24"/>
    <w:rsid w:val="00FB42B2"/>
    <w:rsid w:val="00FB650A"/>
    <w:rsid w:val="00FB6657"/>
    <w:rsid w:val="00FB6FC8"/>
    <w:rsid w:val="00FB72A2"/>
    <w:rsid w:val="00FB79CE"/>
    <w:rsid w:val="00FC0BC0"/>
    <w:rsid w:val="00FC0C13"/>
    <w:rsid w:val="00FC2AA1"/>
    <w:rsid w:val="00FC41C7"/>
    <w:rsid w:val="00FC4441"/>
    <w:rsid w:val="00FC53DB"/>
    <w:rsid w:val="00FC585D"/>
    <w:rsid w:val="00FC67DF"/>
    <w:rsid w:val="00FC7C7E"/>
    <w:rsid w:val="00FD008F"/>
    <w:rsid w:val="00FD0482"/>
    <w:rsid w:val="00FD07FA"/>
    <w:rsid w:val="00FD0B86"/>
    <w:rsid w:val="00FD27C9"/>
    <w:rsid w:val="00FD2ECD"/>
    <w:rsid w:val="00FD3119"/>
    <w:rsid w:val="00FD6DD0"/>
    <w:rsid w:val="00FD76CC"/>
    <w:rsid w:val="00FE0074"/>
    <w:rsid w:val="00FE10E5"/>
    <w:rsid w:val="00FE2373"/>
    <w:rsid w:val="00FE2A01"/>
    <w:rsid w:val="00FE314E"/>
    <w:rsid w:val="00FE35E7"/>
    <w:rsid w:val="00FE3EAA"/>
    <w:rsid w:val="00FE462D"/>
    <w:rsid w:val="00FE46ED"/>
    <w:rsid w:val="00FE4F47"/>
    <w:rsid w:val="00FE5268"/>
    <w:rsid w:val="00FE613C"/>
    <w:rsid w:val="00FE7238"/>
    <w:rsid w:val="00FE73D4"/>
    <w:rsid w:val="00FE7F2A"/>
    <w:rsid w:val="00FF06AA"/>
    <w:rsid w:val="00FF1156"/>
    <w:rsid w:val="00FF22BC"/>
    <w:rsid w:val="00FF3DEC"/>
    <w:rsid w:val="00FF5CE2"/>
    <w:rsid w:val="00FF62FD"/>
    <w:rsid w:val="00FF7996"/>
    <w:rsid w:val="481F0950"/>
    <w:rsid w:val="5E93420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615FE7"/>
  <w15:docId w15:val="{AA91F589-6FA9-4789-A871-24D69E319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lsdException w:name="heading 9" w:uiPriority="0"/>
    <w:lsdException w:name="index 1" w:semiHidden="1" w:unhideWhenUsed="1"/>
    <w:lsdException w:name="index 2"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qFormat="1"/>
    <w:lsdException w:name="toc 1" w:uiPriority="39" w:unhideWhenUsed="1"/>
    <w:lsdException w:name="toc 2" w:uiPriority="39" w:unhideWhenUsed="1"/>
    <w:lsdException w:name="toc 3" w:uiPriority="39" w:unhideWhenUsed="1"/>
    <w:lsdException w:name="toc 4" w:uiPriority="39" w:unhideWhenUsed="1"/>
    <w:lsdException w:name="toc 5" w:uiPriority="39"/>
    <w:lsdException w:name="toc 6" w:semiHidden="1" w:uiPriority="0"/>
    <w:lsdException w:name="toc 7" w:semiHidden="1" w:uiPriority="0" w:qFormat="1"/>
    <w:lsdException w:name="toc 8" w:semiHidden="1" w:uiPriority="0" w:qFormat="1"/>
    <w:lsdException w:name="toc 9" w:semiHidden="1" w:uiPriority="0" w:qFormat="1"/>
    <w:lsdException w:name="Normal Indent" w:semiHidden="1" w:unhideWhenUsed="1"/>
    <w:lsdException w:name="footnote text" w:unhideWhenUsed="1"/>
    <w:lsdException w:name="annotation text" w:semiHidden="1"/>
    <w:lsdException w:name="header" w:uiPriority="0"/>
    <w:lsdException w:name="footer" w:qFormat="1"/>
    <w:lsdException w:name="index heading" w:semiHidden="1" w:unhideWhenUsed="1"/>
    <w:lsdException w:name="caption"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uiPriority="0"/>
    <w:lsdException w:name="endnote reference" w:semiHidden="1" w:uiPriority="0" w:qFormat="1"/>
    <w:lsdException w:name="endnote text" w:semiHidden="1" w:uiPriority="0"/>
    <w:lsdException w:name="table of authorities" w:semiHidden="1" w:unhideWhenUsed="1" w:qFormat="1"/>
    <w:lsdException w:name="macro" w:semiHidden="1" w:unhideWhenUsed="1"/>
    <w:lsdException w:name="toa heading" w:semiHidden="1" w:uiPriority="0" w:qFormat="1"/>
    <w:lsdException w:name="List" w:semiHidden="1" w:uiPriority="0"/>
    <w:lsdException w:name="List Bullet" w:semiHidden="1" w:unhideWhenUsed="1"/>
    <w:lsdException w:name="List Number" w:semiHidden="1" w:unhideWhenUsed="1"/>
    <w:lsdException w:name="List 2" w:semiHidden="1" w:unhideWhenUsed="1"/>
    <w:lsdException w:name="List 3" w:semiHidden="1" w:unhideWhenUsed="1" w:qFormat="1"/>
    <w:lsdException w:name="List 4" w:semiHidden="1" w:unhideWhenUsed="1" w:qFormat="1"/>
    <w:lsdException w:name="List 5" w:semiHidden="1"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qFormat="1"/>
    <w:lsdException w:name="List Number 5" w:semiHidden="1" w:unhideWhenUsed="1"/>
    <w:lsdException w:name="Title" w:uiPriority="10" w:qFormat="1"/>
    <w:lsdException w:name="Closing" w:semiHidden="1" w:unhideWhenUsed="1" w:qFormat="1"/>
    <w:lsdException w:name="Signature" w:semiHidden="1" w:unhideWhenUsed="1" w:qFormat="1"/>
    <w:lsdException w:name="Default Paragraph Font" w:semiHidden="1" w:uiPriority="1" w:unhideWhenUsed="1" w:qFormat="1"/>
    <w:lsdException w:name="Body Text" w:unhideWhenUsed="1"/>
    <w:lsdException w:name="Body Text Indent" w:uiPriority="0"/>
    <w:lsdException w:name="List Continue" w:semiHidden="1" w:unhideWhenUsed="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qFormat="1"/>
    <w:lsdException w:name="Message Header" w:semiHidden="1" w:unhideWhenUsed="1"/>
    <w:lsdException w:name="Subtitle" w:uiPriority="11"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lsdException w:name="Note Heading" w:semiHidden="1" w:unhideWhenUsed="1" w:qFormat="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qFormat="1"/>
    <w:lsdException w:name="Block Text" w:semiHidden="1" w:unhideWhenUsed="1"/>
    <w:lsdException w:name="Hyperlink" w:unhideWhenUsed="1"/>
    <w:lsdException w:name="FollowedHyperlink" w:uiPriority="0" w:qFormat="1"/>
    <w:lsdException w:name="Strong" w:uiPriority="22" w:qFormat="1"/>
    <w:lsdException w:name="Emphasis" w:uiPriority="20" w:qFormat="1"/>
    <w:lsdException w:name="Document Map" w:semiHidden="1" w:unhideWhenUsed="1" w:qFormat="1"/>
    <w:lsdException w:name="Plain Text" w:semiHidden="1" w:unhideWhenUsed="1" w:qFormat="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qFormat="1"/>
    <w:lsdException w:name="HTML Preformatted" w:semiHidden="1" w:unhideWhenUsed="1"/>
    <w:lsdException w:name="HTML Sample" w:semiHidden="1" w:unhideWhenUsed="1"/>
    <w:lsdException w:name="HTML Typewriter" w:semiHidden="1" w:unhideWhenUsed="1" w:qFormat="1"/>
    <w:lsdException w:name="HTML Variable" w:semiHidden="1" w:unhideWhenUsed="1" w:qFormat="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qFormat="1"/>
    <w:lsdException w:name="Table Simple 2" w:semiHidden="1" w:unhideWhenUsed="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lsdException w:name="Table Columns 2" w:semiHidden="1" w:unhideWhenUsed="1" w:qFormat="1"/>
    <w:lsdException w:name="Table Columns 3" w:semiHidden="1" w:unhideWhenUsed="1" w:qFormat="1"/>
    <w:lsdException w:name="Table Columns 4" w:semiHidden="1" w:unhideWhenUsed="1"/>
    <w:lsdException w:name="Table Columns 5" w:semiHidden="1" w:unhideWhenUsed="1" w:qFormat="1"/>
    <w:lsdException w:name="Table Grid 1" w:semiHidden="1" w:unhideWhenUsed="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lsdException w:name="Table List 5" w:semiHidden="1" w:unhideWhenUsed="1" w:qFormat="1"/>
    <w:lsdException w:name="Table List 6" w:semiHidden="1" w:unhideWhenUsed="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lsdException w:name="Table 3D effects 3" w:semiHidden="1" w:unhideWhenUsed="1" w:qFormat="1"/>
    <w:lsdException w:name="Table Contemporary" w:semiHidden="1" w:unhideWhenUsed="1" w:qFormat="1"/>
    <w:lsdException w:name="Table Elegant" w:semiHidden="1" w:unhideWhenUsed="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qFormat="1"/>
    <w:lsdException w:name="Table Web 2" w:semiHidden="1" w:unhideWhenUsed="1" w:qFormat="1"/>
    <w:lsdException w:name="Table Web 3" w:semiHidden="1" w:unhideWhenUsed="1"/>
    <w:lsdException w:name="Balloon Text" w:semiHidden="1" w:unhideWhenUsed="1" w:qFormat="1"/>
    <w:lsdException w:name="Table Grid" w:uiPriority="59" w:qFormat="1"/>
    <w:lsdException w:name="Table Theme" w:semiHidden="1" w:unhideWhenUsed="1" w:qFormat="1"/>
    <w:lsdException w:name="Placeholder Text" w:semiHidden="1" w:qFormat="1"/>
    <w:lsdException w:name="No Spacing" w:uiPriority="1" w:qFormat="1"/>
    <w:lsdException w:name="Light Shading" w:uiPriority="60" w:qFormat="1"/>
    <w:lsdException w:name="Light List" w:uiPriority="61"/>
    <w:lsdException w:name="Light Grid" w:uiPriority="62"/>
    <w:lsdException w:name="Medium Shading 1" w:uiPriority="63"/>
    <w:lsdException w:name="Medium Shading 2" w:uiPriority="64"/>
    <w:lsdException w:name="Medium List 1" w:uiPriority="65" w:qFormat="1"/>
    <w:lsdException w:name="Medium List 2" w:uiPriority="66"/>
    <w:lsdException w:name="Medium Grid 1" w:uiPriority="67"/>
    <w:lsdException w:name="Medium Grid 2" w:uiPriority="68" w:qFormat="1"/>
    <w:lsdException w:name="Medium Grid 3" w:uiPriority="69"/>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lsdException w:name="Light List Accent 1" w:uiPriority="61"/>
    <w:lsdException w:name="Light Grid Accent 1" w:uiPriority="62"/>
    <w:lsdException w:name="Medium Shading 1 Accent 1" w:uiPriority="63" w:qFormat="1"/>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lsdException w:name="Medium Grid 2 Accent 1" w:uiPriority="68"/>
    <w:lsdException w:name="Medium Grid 3 Accent 1" w:uiPriority="69"/>
    <w:lsdException w:name="Dark List Accent 1" w:uiPriority="70" w:qFormat="1"/>
    <w:lsdException w:name="Colorful Shading Accent 1" w:uiPriority="71" w:qFormat="1"/>
    <w:lsdException w:name="Colorful List Accent 1" w:uiPriority="72" w:qFormat="1"/>
    <w:lsdException w:name="Colorful Grid Accent 1" w:uiPriority="73"/>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qFormat="1"/>
    <w:lsdException w:name="Colorful Shading Accent 2" w:uiPriority="71"/>
    <w:lsdException w:name="Colorful List Accent 2" w:uiPriority="72"/>
    <w:lsdException w:name="Colorful Grid Accent 2" w:uiPriority="73" w:qFormat="1"/>
    <w:lsdException w:name="Light Shading Accent 3" w:uiPriority="60" w:qFormat="1"/>
    <w:lsdException w:name="Light List Accent 3" w:uiPriority="61"/>
    <w:lsdException w:name="Light Grid Accent 3" w:uiPriority="62" w:qFormat="1"/>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qFormat="1"/>
    <w:lsdException w:name="Medium Grid 3 Accent 3" w:uiPriority="69"/>
    <w:lsdException w:name="Dark List Accent 3" w:uiPriority="70"/>
    <w:lsdException w:name="Colorful Shading Accent 3" w:uiPriority="71" w:qFormat="1"/>
    <w:lsdException w:name="Colorful List Accent 3" w:uiPriority="72" w:qFormat="1"/>
    <w:lsdException w:name="Colorful Grid Accent 3" w:uiPriority="73" w:qFormat="1"/>
    <w:lsdException w:name="Light Shading Accent 4" w:uiPriority="60"/>
    <w:lsdException w:name="Light List Accent 4" w:uiPriority="61"/>
    <w:lsdException w:name="Light Grid Accent 4" w:uiPriority="62" w:qFormat="1"/>
    <w:lsdException w:name="Medium Shading 1 Accent 4" w:uiPriority="63"/>
    <w:lsdException w:name="Medium Shading 2 Accent 4" w:uiPriority="64" w:qFormat="1"/>
    <w:lsdException w:name="Medium List 1 Accent 4" w:uiPriority="65"/>
    <w:lsdException w:name="Medium List 2 Accent 4" w:uiPriority="66" w:qFormat="1"/>
    <w:lsdException w:name="Medium Grid 1 Accent 4" w:uiPriority="67"/>
    <w:lsdException w:name="Medium Grid 2 Accent 4" w:uiPriority="68"/>
    <w:lsdException w:name="Medium Grid 3 Accent 4" w:uiPriority="69"/>
    <w:lsdException w:name="Dark List Accent 4" w:uiPriority="70" w:qFormat="1"/>
    <w:lsdException w:name="Colorful Shading Accent 4" w:uiPriority="71" w:qFormat="1"/>
    <w:lsdException w:name="Colorful List Accent 4" w:uiPriority="72" w:qFormat="1"/>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qFormat="1"/>
    <w:lsdException w:name="Colorful List Accent 5" w:uiPriority="72" w:qFormat="1"/>
    <w:lsdException w:name="Colorful Grid Accent 5" w:uiPriority="73"/>
    <w:lsdException w:name="Light Shading Accent 6" w:uiPriority="60"/>
    <w:lsdException w:name="Light List Accent 6" w:uiPriority="61"/>
    <w:lsdException w:name="Light Grid Accent 6" w:uiPriority="62" w:qFormat="1"/>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qFormat="1"/>
    <w:lsdException w:name="Colorful Shading Accent 6" w:uiPriority="71" w:qFormat="1"/>
    <w:lsdException w:name="Colorful List Accent 6" w:uiPriority="72" w:qFormat="1"/>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jc w:val="both"/>
    </w:pPr>
    <w:rPr>
      <w:sz w:val="22"/>
      <w:szCs w:val="22"/>
      <w:lang w:val="en-GB"/>
    </w:rPr>
  </w:style>
  <w:style w:type="paragraph" w:styleId="Heading1">
    <w:name w:val="heading 1"/>
    <w:basedOn w:val="Normal"/>
    <w:next w:val="Heading2"/>
    <w:link w:val="Heading1Char"/>
    <w:uiPriority w:val="9"/>
    <w:qFormat/>
    <w:pPr>
      <w:keepNext/>
      <w:keepLines/>
      <w:numPr>
        <w:numId w:val="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pPr>
      <w:keepNext/>
      <w:keepLines/>
      <w:numPr>
        <w:ilvl w:val="1"/>
        <w:numId w:val="1"/>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pPr>
      <w:keepNext/>
      <w:keepLines/>
      <w:numPr>
        <w:ilvl w:val="2"/>
        <w:numId w:val="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pPr>
      <w:keepNext/>
      <w:numPr>
        <w:ilvl w:val="3"/>
        <w:numId w:val="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pPr>
      <w:keepNext/>
      <w:numPr>
        <w:ilvl w:val="4"/>
        <w:numId w:val="1"/>
      </w:numPr>
      <w:spacing w:before="120" w:after="120"/>
      <w:jc w:val="left"/>
      <w:outlineLvl w:val="4"/>
    </w:pPr>
    <w:rPr>
      <w:rFonts w:eastAsiaTheme="majorEastAsia"/>
      <w:i/>
      <w:iCs/>
    </w:rPr>
  </w:style>
  <w:style w:type="paragraph" w:styleId="Heading6">
    <w:name w:val="heading 6"/>
    <w:basedOn w:val="Normal"/>
    <w:next w:val="Normal"/>
    <w:link w:val="Heading6Char"/>
    <w:qFormat/>
    <w:pPr>
      <w:keepNext/>
      <w:keepLines/>
      <w:numPr>
        <w:ilvl w:val="5"/>
        <w:numId w:val="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pPr>
      <w:keepNext/>
      <w:keepLines/>
      <w:widowControl w:val="0"/>
      <w:numPr>
        <w:ilvl w:val="6"/>
        <w:numId w:val="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pPr>
      <w:keepNext/>
      <w:keepLines/>
      <w:widowControl w:val="0"/>
      <w:numPr>
        <w:ilvl w:val="7"/>
        <w:numId w:val="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pPr>
      <w:keepNext/>
      <w:widowControl w:val="0"/>
      <w:numPr>
        <w:ilvl w:val="8"/>
        <w:numId w:val="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lang w:val="en-GB"/>
    </w:rPr>
  </w:style>
  <w:style w:type="paragraph" w:customStyle="1" w:styleId="CBDNormalNumber">
    <w:name w:val="CBD_Normal_Number"/>
    <w:basedOn w:val="CBDNormal"/>
    <w:qFormat/>
    <w:pPr>
      <w:tabs>
        <w:tab w:val="left" w:pos="3969"/>
      </w:tabs>
      <w:spacing w:before="120" w:after="120"/>
    </w:pPr>
  </w:style>
  <w:style w:type="paragraph" w:customStyle="1" w:styleId="CBDNormal">
    <w:name w:val="CBD_Normal"/>
    <w:unhideWhenUsed/>
    <w:qFormat/>
    <w:pPr>
      <w:tabs>
        <w:tab w:val="left" w:pos="567"/>
        <w:tab w:val="left" w:pos="1134"/>
        <w:tab w:val="left" w:pos="1701"/>
        <w:tab w:val="left" w:pos="2268"/>
        <w:tab w:val="left" w:pos="2835"/>
        <w:tab w:val="left" w:pos="3402"/>
      </w:tabs>
      <w:jc w:val="both"/>
    </w:pPr>
    <w:rPr>
      <w:sz w:val="22"/>
      <w:szCs w:val="22"/>
      <w:lang w:val="en-GB"/>
    </w:rPr>
  </w:style>
  <w:style w:type="paragraph" w:styleId="List3">
    <w:name w:val="List 3"/>
    <w:basedOn w:val="Normal"/>
    <w:uiPriority w:val="99"/>
    <w:semiHidden/>
    <w:unhideWhenUsed/>
    <w:qFormat/>
    <w:pPr>
      <w:ind w:left="849" w:hanging="283"/>
      <w:contextualSpacing/>
    </w:pPr>
  </w:style>
  <w:style w:type="paragraph" w:styleId="TOC7">
    <w:name w:val="toc 7"/>
    <w:basedOn w:val="Normal"/>
    <w:next w:val="Normal"/>
    <w:autoRedefine/>
    <w:semiHidden/>
    <w:qFormat/>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ListNumber2">
    <w:name w:val="List Number 2"/>
    <w:basedOn w:val="Normal"/>
    <w:uiPriority w:val="99"/>
    <w:semiHidden/>
    <w:unhideWhenUsed/>
    <w:pPr>
      <w:tabs>
        <w:tab w:val="left" w:pos="643"/>
      </w:tabs>
      <w:ind w:left="643" w:hanging="360"/>
      <w:contextualSpacing/>
    </w:pPr>
  </w:style>
  <w:style w:type="paragraph" w:styleId="TableofAuthorities">
    <w:name w:val="table of authorities"/>
    <w:basedOn w:val="Normal"/>
    <w:next w:val="Normal"/>
    <w:uiPriority w:val="99"/>
    <w:semiHidden/>
    <w:unhideWhenUsed/>
    <w:qFormat/>
    <w:pPr>
      <w:tabs>
        <w:tab w:val="clear" w:pos="567"/>
        <w:tab w:val="clear" w:pos="1134"/>
        <w:tab w:val="clear" w:pos="1701"/>
        <w:tab w:val="clear" w:pos="2268"/>
      </w:tabs>
      <w:ind w:left="220" w:hanging="220"/>
    </w:pPr>
  </w:style>
  <w:style w:type="paragraph" w:styleId="NoteHeading">
    <w:name w:val="Note Heading"/>
    <w:basedOn w:val="Normal"/>
    <w:next w:val="Normal"/>
    <w:link w:val="NoteHeadingChar"/>
    <w:uiPriority w:val="99"/>
    <w:semiHidden/>
    <w:unhideWhenUsed/>
    <w:qFormat/>
  </w:style>
  <w:style w:type="paragraph" w:styleId="ListBullet4">
    <w:name w:val="List Bullet 4"/>
    <w:basedOn w:val="Normal"/>
    <w:uiPriority w:val="99"/>
    <w:semiHidden/>
    <w:unhideWhenUsed/>
    <w:pPr>
      <w:tabs>
        <w:tab w:val="left" w:pos="1209"/>
      </w:tabs>
      <w:ind w:left="1209" w:hanging="360"/>
      <w:contextualSpacing/>
    </w:pPr>
  </w:style>
  <w:style w:type="paragraph" w:styleId="Index8">
    <w:name w:val="index 8"/>
    <w:basedOn w:val="Normal"/>
    <w:next w:val="Normal"/>
    <w:autoRedefine/>
    <w:uiPriority w:val="99"/>
    <w:semiHidden/>
    <w:unhideWhenUsed/>
    <w:pPr>
      <w:tabs>
        <w:tab w:val="clear" w:pos="567"/>
        <w:tab w:val="clear" w:pos="1134"/>
        <w:tab w:val="clear" w:pos="1701"/>
        <w:tab w:val="clear" w:pos="2268"/>
      </w:tabs>
      <w:ind w:left="1760" w:hanging="220"/>
    </w:pPr>
  </w:style>
  <w:style w:type="paragraph" w:styleId="E-mailSignature">
    <w:name w:val="E-mail Signature"/>
    <w:basedOn w:val="Normal"/>
    <w:link w:val="E-mailSignatureChar"/>
    <w:uiPriority w:val="99"/>
    <w:semiHidden/>
    <w:unhideWhenUsed/>
    <w:qFormat/>
  </w:style>
  <w:style w:type="paragraph" w:styleId="ListNumber">
    <w:name w:val="List Number"/>
    <w:basedOn w:val="Normal"/>
    <w:uiPriority w:val="99"/>
    <w:semiHidden/>
    <w:unhideWhenUsed/>
    <w:pPr>
      <w:tabs>
        <w:tab w:val="left" w:pos="360"/>
      </w:tabs>
      <w:ind w:left="360" w:hanging="360"/>
      <w:contextualSpacing/>
    </w:pPr>
  </w:style>
  <w:style w:type="paragraph" w:styleId="NormalIndent">
    <w:name w:val="Normal Indent"/>
    <w:basedOn w:val="Normal"/>
    <w:uiPriority w:val="99"/>
    <w:semiHidden/>
    <w:unhideWhenUsed/>
    <w:pPr>
      <w:ind w:left="720"/>
    </w:pPr>
  </w:style>
  <w:style w:type="paragraph" w:styleId="Caption">
    <w:name w:val="caption"/>
    <w:basedOn w:val="Normal"/>
    <w:next w:val="Normal"/>
    <w:uiPriority w:val="35"/>
    <w:unhideWhenUsed/>
    <w:qFormat/>
    <w:pPr>
      <w:keepNext/>
      <w:keepLines/>
      <w:spacing w:after="200"/>
    </w:pPr>
    <w:rPr>
      <w:b/>
      <w:iCs/>
      <w:szCs w:val="18"/>
    </w:rPr>
  </w:style>
  <w:style w:type="paragraph" w:styleId="Index5">
    <w:name w:val="index 5"/>
    <w:basedOn w:val="Normal"/>
    <w:next w:val="Normal"/>
    <w:autoRedefine/>
    <w:uiPriority w:val="99"/>
    <w:semiHidden/>
    <w:unhideWhenUsed/>
    <w:pPr>
      <w:tabs>
        <w:tab w:val="clear" w:pos="567"/>
        <w:tab w:val="clear" w:pos="1134"/>
        <w:tab w:val="clear" w:pos="1701"/>
        <w:tab w:val="clear" w:pos="2268"/>
      </w:tabs>
      <w:ind w:left="1100" w:hanging="220"/>
    </w:pPr>
  </w:style>
  <w:style w:type="paragraph" w:styleId="ListBullet">
    <w:name w:val="List Bullet"/>
    <w:basedOn w:val="Normal"/>
    <w:uiPriority w:val="99"/>
    <w:semiHidden/>
    <w:unhideWhenUsed/>
    <w:pPr>
      <w:tabs>
        <w:tab w:val="left" w:pos="360"/>
      </w:tabs>
      <w:ind w:left="360" w:hanging="360"/>
      <w:contextualSpacing/>
    </w:pPr>
  </w:style>
  <w:style w:type="paragraph" w:styleId="EnvelopeAddress">
    <w:name w:val="envelope address"/>
    <w:basedOn w:val="Normal"/>
    <w:uiPriority w:val="99"/>
    <w:semiHidden/>
    <w:unhideWhenUse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DocumentMap">
    <w:name w:val="Document Map"/>
    <w:basedOn w:val="Normal"/>
    <w:link w:val="DocumentMapChar"/>
    <w:uiPriority w:val="99"/>
    <w:semiHidden/>
    <w:unhideWhenUsed/>
    <w:qFormat/>
    <w:rPr>
      <w:rFonts w:ascii="Segoe UI" w:hAnsi="Segoe UI" w:cs="Segoe UI"/>
      <w:sz w:val="16"/>
      <w:szCs w:val="16"/>
    </w:rPr>
  </w:style>
  <w:style w:type="paragraph" w:styleId="TOAHeading">
    <w:name w:val="toa heading"/>
    <w:basedOn w:val="Normal"/>
    <w:next w:val="Normal"/>
    <w:semiHidden/>
    <w:qFormat/>
    <w:pPr>
      <w:spacing w:before="120"/>
    </w:pPr>
    <w:rPr>
      <w:rFonts w:cs="Arial"/>
      <w:b/>
      <w:bCs/>
      <w:sz w:val="24"/>
    </w:rPr>
  </w:style>
  <w:style w:type="paragraph" w:styleId="CommentText">
    <w:name w:val="annotation text"/>
    <w:basedOn w:val="Normal"/>
    <w:link w:val="CommentTextChar"/>
    <w:uiPriority w:val="99"/>
    <w:semiHidden/>
    <w:rPr>
      <w:sz w:val="20"/>
      <w:szCs w:val="20"/>
    </w:rPr>
  </w:style>
  <w:style w:type="paragraph" w:styleId="Index6">
    <w:name w:val="index 6"/>
    <w:basedOn w:val="Normal"/>
    <w:next w:val="Normal"/>
    <w:autoRedefine/>
    <w:uiPriority w:val="99"/>
    <w:semiHidden/>
    <w:unhideWhenUsed/>
    <w:pPr>
      <w:tabs>
        <w:tab w:val="clear" w:pos="567"/>
        <w:tab w:val="clear" w:pos="1134"/>
        <w:tab w:val="clear" w:pos="1701"/>
        <w:tab w:val="clear" w:pos="2268"/>
      </w:tabs>
      <w:ind w:left="1320" w:hanging="220"/>
    </w:pPr>
  </w:style>
  <w:style w:type="paragraph" w:styleId="Salutation">
    <w:name w:val="Salutation"/>
    <w:basedOn w:val="Normal"/>
    <w:next w:val="Normal"/>
    <w:link w:val="SalutationChar"/>
    <w:uiPriority w:val="99"/>
    <w:semiHidden/>
    <w:unhideWhenUsed/>
    <w:qFormat/>
  </w:style>
  <w:style w:type="paragraph" w:styleId="BodyText3">
    <w:name w:val="Body Text 3"/>
    <w:basedOn w:val="Normal"/>
    <w:link w:val="BodyText3Char"/>
    <w:uiPriority w:val="99"/>
    <w:semiHidden/>
    <w:unhideWhenUsed/>
    <w:pPr>
      <w:spacing w:after="120"/>
    </w:pPr>
    <w:rPr>
      <w:sz w:val="16"/>
      <w:szCs w:val="16"/>
    </w:rPr>
  </w:style>
  <w:style w:type="paragraph" w:styleId="Closing">
    <w:name w:val="Closing"/>
    <w:basedOn w:val="Normal"/>
    <w:link w:val="ClosingChar"/>
    <w:uiPriority w:val="99"/>
    <w:semiHidden/>
    <w:unhideWhenUsed/>
    <w:qFormat/>
    <w:pPr>
      <w:ind w:left="4252"/>
    </w:pPr>
  </w:style>
  <w:style w:type="paragraph" w:styleId="ListBullet3">
    <w:name w:val="List Bullet 3"/>
    <w:basedOn w:val="Normal"/>
    <w:uiPriority w:val="99"/>
    <w:semiHidden/>
    <w:unhideWhenUsed/>
    <w:pPr>
      <w:tabs>
        <w:tab w:val="left" w:pos="926"/>
      </w:tabs>
      <w:ind w:left="926" w:hanging="360"/>
      <w:contextualSpacing/>
    </w:pPr>
  </w:style>
  <w:style w:type="paragraph" w:styleId="BodyText">
    <w:name w:val="Body Text"/>
    <w:basedOn w:val="Normal"/>
    <w:link w:val="BodyTextChar"/>
    <w:uiPriority w:val="99"/>
    <w:unhideWhenUsed/>
    <w:pPr>
      <w:spacing w:after="120" w:line="259" w:lineRule="auto"/>
      <w:jc w:val="left"/>
    </w:pPr>
    <w:rPr>
      <w:rFonts w:asciiTheme="minorHAnsi" w:eastAsiaTheme="minorHAnsi" w:hAnsiTheme="minorHAnsi" w:cstheme="minorBidi"/>
      <w:kern w:val="2"/>
      <w14:ligatures w14:val="standardContextual"/>
    </w:rPr>
  </w:style>
  <w:style w:type="paragraph" w:styleId="BodyTextIndent">
    <w:name w:val="Body Text Indent"/>
    <w:basedOn w:val="Normal"/>
    <w:link w:val="BodyTextIndentChar"/>
    <w:pPr>
      <w:spacing w:before="120" w:after="120"/>
      <w:ind w:left="1440" w:hanging="720"/>
      <w:jc w:val="left"/>
    </w:pPr>
  </w:style>
  <w:style w:type="paragraph" w:styleId="ListNumber3">
    <w:name w:val="List Number 3"/>
    <w:basedOn w:val="Normal"/>
    <w:uiPriority w:val="99"/>
    <w:semiHidden/>
    <w:unhideWhenUsed/>
    <w:pPr>
      <w:tabs>
        <w:tab w:val="left" w:pos="926"/>
      </w:tabs>
      <w:ind w:left="926" w:hanging="360"/>
      <w:contextualSpacing/>
    </w:pPr>
  </w:style>
  <w:style w:type="paragraph" w:styleId="List2">
    <w:name w:val="List 2"/>
    <w:basedOn w:val="Normal"/>
    <w:uiPriority w:val="99"/>
    <w:semiHidden/>
    <w:unhideWhenUsed/>
    <w:pPr>
      <w:ind w:left="566" w:hanging="283"/>
      <w:contextualSpacing/>
    </w:pPr>
  </w:style>
  <w:style w:type="paragraph" w:styleId="ListContinue">
    <w:name w:val="List Continue"/>
    <w:basedOn w:val="Normal"/>
    <w:uiPriority w:val="99"/>
    <w:semiHidden/>
    <w:unhideWhenUsed/>
    <w:pPr>
      <w:spacing w:after="120"/>
      <w:ind w:left="283"/>
      <w:contextualSpacing/>
    </w:pPr>
  </w:style>
  <w:style w:type="paragraph" w:styleId="BlockText">
    <w:name w:val="Block Text"/>
    <w:basedOn w:val="Normal"/>
    <w:uiPriority w:val="99"/>
    <w:semiHidden/>
    <w:unhideWhenUse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ListBullet2">
    <w:name w:val="List Bullet 2"/>
    <w:basedOn w:val="Normal"/>
    <w:uiPriority w:val="99"/>
    <w:semiHidden/>
    <w:unhideWhenUsed/>
    <w:pPr>
      <w:tabs>
        <w:tab w:val="left" w:pos="643"/>
      </w:tabs>
      <w:ind w:left="643" w:hanging="360"/>
      <w:contextualSpacing/>
    </w:pPr>
  </w:style>
  <w:style w:type="paragraph" w:styleId="HTMLAddress">
    <w:name w:val="HTML Address"/>
    <w:basedOn w:val="Normal"/>
    <w:link w:val="HTMLAddressChar"/>
    <w:uiPriority w:val="99"/>
    <w:semiHidden/>
    <w:unhideWhenUsed/>
    <w:rPr>
      <w:i/>
      <w:iCs/>
    </w:rPr>
  </w:style>
  <w:style w:type="paragraph" w:styleId="Index4">
    <w:name w:val="index 4"/>
    <w:basedOn w:val="Normal"/>
    <w:next w:val="Normal"/>
    <w:autoRedefine/>
    <w:uiPriority w:val="99"/>
    <w:semiHidden/>
    <w:unhideWhenUsed/>
    <w:pPr>
      <w:tabs>
        <w:tab w:val="clear" w:pos="567"/>
        <w:tab w:val="clear" w:pos="1134"/>
        <w:tab w:val="clear" w:pos="1701"/>
        <w:tab w:val="clear" w:pos="2268"/>
      </w:tabs>
      <w:ind w:left="880" w:hanging="220"/>
    </w:pPr>
  </w:style>
  <w:style w:type="paragraph" w:styleId="TOC5">
    <w:name w:val="toc 5"/>
    <w:basedOn w:val="CBDNormal"/>
    <w:next w:val="Normal"/>
    <w:uiPriority w:val="3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3">
    <w:name w:val="toc 3"/>
    <w:basedOn w:val="CBDNormal"/>
    <w:next w:val="Normal"/>
    <w:uiPriority w:val="39"/>
    <w:unhideWhenUse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PlainText">
    <w:name w:val="Plain Text"/>
    <w:basedOn w:val="Normal"/>
    <w:link w:val="PlainTextChar"/>
    <w:uiPriority w:val="99"/>
    <w:semiHidden/>
    <w:unhideWhenUsed/>
    <w:qFormat/>
    <w:rPr>
      <w:rFonts w:ascii="Consolas" w:hAnsi="Consolas"/>
      <w:sz w:val="21"/>
      <w:szCs w:val="21"/>
    </w:rPr>
  </w:style>
  <w:style w:type="paragraph" w:styleId="ListBullet5">
    <w:name w:val="List Bullet 5"/>
    <w:basedOn w:val="Normal"/>
    <w:uiPriority w:val="99"/>
    <w:semiHidden/>
    <w:unhideWhenUsed/>
    <w:pPr>
      <w:tabs>
        <w:tab w:val="left" w:pos="1492"/>
      </w:tabs>
      <w:ind w:left="1492" w:hanging="360"/>
      <w:contextualSpacing/>
    </w:pPr>
  </w:style>
  <w:style w:type="paragraph" w:styleId="ListNumber4">
    <w:name w:val="List Number 4"/>
    <w:basedOn w:val="Normal"/>
    <w:uiPriority w:val="99"/>
    <w:semiHidden/>
    <w:unhideWhenUsed/>
    <w:qFormat/>
    <w:pPr>
      <w:tabs>
        <w:tab w:val="left" w:pos="1209"/>
      </w:tabs>
      <w:ind w:left="1209" w:hanging="360"/>
      <w:contextualSpacing/>
    </w:pPr>
  </w:style>
  <w:style w:type="paragraph" w:styleId="TOC8">
    <w:name w:val="toc 8"/>
    <w:basedOn w:val="Normal"/>
    <w:next w:val="Normal"/>
    <w:autoRedefine/>
    <w:semiHidden/>
    <w:qFormat/>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Index3">
    <w:name w:val="index 3"/>
    <w:basedOn w:val="Normal"/>
    <w:next w:val="Normal"/>
    <w:autoRedefine/>
    <w:uiPriority w:val="99"/>
    <w:semiHidden/>
    <w:unhideWhenUsed/>
    <w:pPr>
      <w:tabs>
        <w:tab w:val="clear" w:pos="567"/>
        <w:tab w:val="clear" w:pos="1134"/>
        <w:tab w:val="clear" w:pos="1701"/>
        <w:tab w:val="clear" w:pos="2268"/>
      </w:tabs>
      <w:ind w:left="660" w:hanging="220"/>
    </w:pPr>
  </w:style>
  <w:style w:type="paragraph" w:styleId="Date">
    <w:name w:val="Date"/>
    <w:basedOn w:val="Normal"/>
    <w:next w:val="Normal"/>
    <w:link w:val="DateChar"/>
    <w:uiPriority w:val="99"/>
    <w:semiHidden/>
    <w:unhideWhenUsed/>
    <w:qFormat/>
  </w:style>
  <w:style w:type="paragraph" w:styleId="BodyTextIndent2">
    <w:name w:val="Body Text Indent 2"/>
    <w:basedOn w:val="Normal"/>
    <w:link w:val="BodyTextIndent2Char"/>
    <w:uiPriority w:val="99"/>
    <w:semiHidden/>
    <w:unhideWhenUsed/>
    <w:qFormat/>
    <w:pPr>
      <w:spacing w:after="120" w:line="480" w:lineRule="auto"/>
      <w:ind w:left="283"/>
    </w:pPr>
  </w:style>
  <w:style w:type="paragraph" w:styleId="EndnoteText">
    <w:name w:val="endnote text"/>
    <w:basedOn w:val="Normal"/>
    <w:link w:val="EndnoteTextChar"/>
    <w:semiHidden/>
    <w:pPr>
      <w:widowControl w:val="0"/>
      <w:tabs>
        <w:tab w:val="left" w:pos="-720"/>
      </w:tabs>
      <w:suppressAutoHyphens/>
    </w:pPr>
    <w:rPr>
      <w:rFonts w:ascii="Courier New" w:hAnsi="Courier New"/>
    </w:rPr>
  </w:style>
  <w:style w:type="paragraph" w:styleId="ListContinue5">
    <w:name w:val="List Continue 5"/>
    <w:basedOn w:val="Normal"/>
    <w:uiPriority w:val="99"/>
    <w:semiHidden/>
    <w:unhideWhenUsed/>
    <w:qFormat/>
    <w:pPr>
      <w:spacing w:after="120"/>
      <w:ind w:left="1415"/>
      <w:contextualSpacing/>
    </w:pPr>
  </w:style>
  <w:style w:type="paragraph" w:styleId="BalloonText">
    <w:name w:val="Balloon Text"/>
    <w:basedOn w:val="Normal"/>
    <w:link w:val="BalloonTextChar"/>
    <w:uiPriority w:val="99"/>
    <w:semiHidden/>
    <w:unhideWhenUsed/>
    <w:qFormat/>
    <w:rPr>
      <w:rFonts w:ascii="Lucida Grande" w:hAnsi="Lucida Grande" w:cs="Lucida Grande"/>
      <w:sz w:val="18"/>
      <w:szCs w:val="18"/>
    </w:rPr>
  </w:style>
  <w:style w:type="paragraph" w:styleId="Footer">
    <w:name w:val="footer"/>
    <w:basedOn w:val="Normal"/>
    <w:link w:val="FooterChar"/>
    <w:uiPriority w:val="99"/>
    <w:qFormat/>
    <w:pPr>
      <w:tabs>
        <w:tab w:val="center" w:pos="4680"/>
        <w:tab w:val="right" w:pos="9360"/>
      </w:tabs>
    </w:pPr>
    <w:rPr>
      <w:sz w:val="20"/>
    </w:rPr>
  </w:style>
  <w:style w:type="paragraph" w:styleId="EnvelopeReturn">
    <w:name w:val="envelope return"/>
    <w:basedOn w:val="Normal"/>
    <w:uiPriority w:val="99"/>
    <w:semiHidden/>
    <w:unhideWhenUsed/>
    <w:rPr>
      <w:rFonts w:asciiTheme="majorHAnsi" w:eastAsiaTheme="majorEastAsia" w:hAnsiTheme="majorHAnsi" w:cstheme="majorBidi"/>
      <w:sz w:val="20"/>
      <w:szCs w:val="20"/>
    </w:rPr>
  </w:style>
  <w:style w:type="paragraph" w:styleId="Header">
    <w:name w:val="header"/>
    <w:basedOn w:val="Normal"/>
    <w:link w:val="HeaderChar"/>
    <w:pPr>
      <w:pBdr>
        <w:bottom w:val="single" w:sz="4" w:space="1" w:color="auto"/>
      </w:pBdr>
      <w:tabs>
        <w:tab w:val="center" w:pos="4680"/>
        <w:tab w:val="right" w:pos="9360"/>
      </w:tabs>
      <w:jc w:val="left"/>
    </w:pPr>
    <w:rPr>
      <w:sz w:val="20"/>
    </w:rPr>
  </w:style>
  <w:style w:type="paragraph" w:styleId="Signature">
    <w:name w:val="Signature"/>
    <w:basedOn w:val="Normal"/>
    <w:link w:val="SignatureChar"/>
    <w:uiPriority w:val="99"/>
    <w:semiHidden/>
    <w:unhideWhenUsed/>
    <w:qFormat/>
    <w:pPr>
      <w:ind w:left="4252"/>
    </w:pPr>
  </w:style>
  <w:style w:type="paragraph" w:styleId="TOC1">
    <w:name w:val="toc 1"/>
    <w:basedOn w:val="CBDNormal"/>
    <w:next w:val="Normal"/>
    <w:autoRedefine/>
    <w:uiPriority w:val="39"/>
    <w:unhideWhenUse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ListContinue4">
    <w:name w:val="List Continue 4"/>
    <w:basedOn w:val="Normal"/>
    <w:uiPriority w:val="99"/>
    <w:semiHidden/>
    <w:unhideWhenUsed/>
    <w:pPr>
      <w:spacing w:after="120"/>
      <w:ind w:left="1132"/>
      <w:contextualSpacing/>
    </w:pPr>
  </w:style>
  <w:style w:type="paragraph" w:styleId="TOC4">
    <w:name w:val="toc 4"/>
    <w:basedOn w:val="CBDNormal"/>
    <w:next w:val="Normal"/>
    <w:uiPriority w:val="39"/>
    <w:unhideWhenUse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IndexHeading">
    <w:name w:val="index heading"/>
    <w:basedOn w:val="Normal"/>
    <w:next w:val="Index1"/>
    <w:uiPriority w:val="99"/>
    <w:semiHidden/>
    <w:unhideWhenUsed/>
    <w:rPr>
      <w:rFonts w:asciiTheme="majorHAnsi" w:eastAsiaTheme="majorEastAsia" w:hAnsiTheme="majorHAnsi" w:cstheme="majorBidi"/>
      <w:b/>
      <w:bCs/>
    </w:rPr>
  </w:style>
  <w:style w:type="paragraph" w:styleId="Index1">
    <w:name w:val="index 1"/>
    <w:basedOn w:val="Normal"/>
    <w:next w:val="Normal"/>
    <w:autoRedefine/>
    <w:uiPriority w:val="99"/>
    <w:semiHidden/>
    <w:unhideWhenUsed/>
    <w:pPr>
      <w:tabs>
        <w:tab w:val="clear" w:pos="567"/>
        <w:tab w:val="clear" w:pos="1134"/>
        <w:tab w:val="clear" w:pos="1701"/>
        <w:tab w:val="clear" w:pos="2268"/>
      </w:tabs>
      <w:ind w:left="220" w:hanging="220"/>
    </w:p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rPr>
  </w:style>
  <w:style w:type="paragraph" w:styleId="ListNumber5">
    <w:name w:val="List Number 5"/>
    <w:basedOn w:val="Normal"/>
    <w:uiPriority w:val="99"/>
    <w:semiHidden/>
    <w:unhideWhenUsed/>
    <w:pPr>
      <w:tabs>
        <w:tab w:val="left" w:pos="1800"/>
      </w:tabs>
      <w:ind w:left="1800" w:hanging="360"/>
      <w:contextualSpacing/>
    </w:pPr>
  </w:style>
  <w:style w:type="paragraph" w:styleId="List">
    <w:name w:val="List"/>
    <w:basedOn w:val="Normal"/>
    <w:semiHidden/>
    <w:pPr>
      <w:contextualSpacing/>
    </w:pPr>
  </w:style>
  <w:style w:type="paragraph" w:styleId="FootnoteText">
    <w:name w:val="footnote text"/>
    <w:basedOn w:val="Normal"/>
    <w:link w:val="FootnoteTextChar"/>
    <w:uiPriority w:val="99"/>
    <w:unhideWhenUsed/>
    <w:pPr>
      <w:jc w:val="left"/>
    </w:pPr>
    <w:rPr>
      <w:sz w:val="18"/>
      <w:szCs w:val="20"/>
    </w:rPr>
  </w:style>
  <w:style w:type="paragraph" w:styleId="TOC6">
    <w:name w:val="toc 6"/>
    <w:basedOn w:val="Normal"/>
    <w:next w:val="Normal"/>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List5">
    <w:name w:val="List 5"/>
    <w:basedOn w:val="Normal"/>
    <w:uiPriority w:val="99"/>
    <w:semiHidden/>
    <w:unhideWhenUsed/>
    <w:qFormat/>
    <w:pPr>
      <w:ind w:left="1415" w:hanging="283"/>
      <w:contextualSpacing/>
    </w:pPr>
  </w:style>
  <w:style w:type="paragraph" w:styleId="BodyTextIndent3">
    <w:name w:val="Body Text Indent 3"/>
    <w:basedOn w:val="Normal"/>
    <w:link w:val="BodyTextIndent3Char"/>
    <w:uiPriority w:val="99"/>
    <w:semiHidden/>
    <w:unhideWhenUsed/>
    <w:qFormat/>
    <w:pPr>
      <w:spacing w:after="120"/>
      <w:ind w:left="283"/>
    </w:pPr>
    <w:rPr>
      <w:sz w:val="16"/>
      <w:szCs w:val="16"/>
    </w:rPr>
  </w:style>
  <w:style w:type="paragraph" w:styleId="Index7">
    <w:name w:val="index 7"/>
    <w:basedOn w:val="Normal"/>
    <w:next w:val="Normal"/>
    <w:autoRedefine/>
    <w:uiPriority w:val="99"/>
    <w:semiHidden/>
    <w:unhideWhenUsed/>
    <w:pPr>
      <w:tabs>
        <w:tab w:val="clear" w:pos="567"/>
        <w:tab w:val="clear" w:pos="1134"/>
        <w:tab w:val="clear" w:pos="1701"/>
        <w:tab w:val="clear" w:pos="2268"/>
      </w:tabs>
      <w:ind w:left="1540" w:hanging="220"/>
    </w:pPr>
  </w:style>
  <w:style w:type="paragraph" w:styleId="Index9">
    <w:name w:val="index 9"/>
    <w:basedOn w:val="Normal"/>
    <w:next w:val="Normal"/>
    <w:autoRedefine/>
    <w:uiPriority w:val="99"/>
    <w:semiHidden/>
    <w:unhideWhenUsed/>
    <w:qFormat/>
    <w:pPr>
      <w:tabs>
        <w:tab w:val="clear" w:pos="567"/>
        <w:tab w:val="clear" w:pos="1134"/>
        <w:tab w:val="clear" w:pos="1701"/>
        <w:tab w:val="clear" w:pos="2268"/>
      </w:tabs>
      <w:ind w:left="1980" w:hanging="220"/>
    </w:pPr>
  </w:style>
  <w:style w:type="paragraph" w:styleId="TableofFigures">
    <w:name w:val="table of figures"/>
    <w:basedOn w:val="Normal"/>
    <w:next w:val="Normal"/>
    <w:uiPriority w:val="99"/>
    <w:semiHidden/>
    <w:unhideWhenUsed/>
    <w:qFormat/>
    <w:pPr>
      <w:tabs>
        <w:tab w:val="clear" w:pos="567"/>
        <w:tab w:val="clear" w:pos="1134"/>
        <w:tab w:val="clear" w:pos="1701"/>
        <w:tab w:val="clear" w:pos="2268"/>
      </w:tabs>
    </w:pPr>
  </w:style>
  <w:style w:type="paragraph" w:styleId="TOC2">
    <w:name w:val="toc 2"/>
    <w:basedOn w:val="CBDNormal"/>
    <w:next w:val="Normal"/>
    <w:uiPriority w:val="39"/>
    <w:unhideWhenUse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9">
    <w:name w:val="toc 9"/>
    <w:basedOn w:val="Normal"/>
    <w:next w:val="Normal"/>
    <w:autoRedefine/>
    <w:semiHidden/>
    <w:qFormat/>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odyText2">
    <w:name w:val="Body Text 2"/>
    <w:basedOn w:val="Normal"/>
    <w:link w:val="BodyText2Char"/>
    <w:uiPriority w:val="99"/>
    <w:semiHidden/>
    <w:unhideWhenUsed/>
    <w:qFormat/>
    <w:pPr>
      <w:spacing w:after="120" w:line="480" w:lineRule="auto"/>
    </w:pPr>
  </w:style>
  <w:style w:type="paragraph" w:styleId="List4">
    <w:name w:val="List 4"/>
    <w:basedOn w:val="Normal"/>
    <w:uiPriority w:val="99"/>
    <w:semiHidden/>
    <w:unhideWhenUsed/>
    <w:qFormat/>
    <w:pPr>
      <w:ind w:left="1132" w:hanging="283"/>
      <w:contextualSpacing/>
    </w:pPr>
  </w:style>
  <w:style w:type="paragraph" w:styleId="ListContinue2">
    <w:name w:val="List Continue 2"/>
    <w:basedOn w:val="Normal"/>
    <w:uiPriority w:val="99"/>
    <w:semiHidden/>
    <w:unhideWhenUsed/>
    <w:qFormat/>
    <w:pPr>
      <w:spacing w:after="120"/>
      <w:ind w:left="566"/>
      <w:contextualSpacing/>
    </w:p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paragraph" w:styleId="HTMLPreformatted">
    <w:name w:val="HTML Preformatted"/>
    <w:basedOn w:val="Normal"/>
    <w:link w:val="HTMLPreformattedChar"/>
    <w:uiPriority w:val="99"/>
    <w:semiHidden/>
    <w:unhideWhenUsed/>
    <w:rPr>
      <w:rFonts w:ascii="Consolas" w:hAnsi="Consolas"/>
      <w:sz w:val="20"/>
      <w:szCs w:val="20"/>
    </w:rPr>
  </w:style>
  <w:style w:type="paragraph" w:styleId="NormalWeb">
    <w:name w:val="Normal (Web)"/>
    <w:basedOn w:val="Normal"/>
    <w:uiPriority w:val="99"/>
    <w:semiHidden/>
    <w:unhideWhenUsed/>
    <w:rPr>
      <w:sz w:val="24"/>
      <w:szCs w:val="24"/>
    </w:rPr>
  </w:style>
  <w:style w:type="paragraph" w:styleId="ListContinue3">
    <w:name w:val="List Continue 3"/>
    <w:basedOn w:val="Normal"/>
    <w:uiPriority w:val="99"/>
    <w:semiHidden/>
    <w:unhideWhenUsed/>
    <w:qFormat/>
    <w:pPr>
      <w:spacing w:after="120"/>
      <w:ind w:left="849"/>
      <w:contextualSpacing/>
    </w:pPr>
  </w:style>
  <w:style w:type="paragraph" w:styleId="Index2">
    <w:name w:val="index 2"/>
    <w:basedOn w:val="Normal"/>
    <w:next w:val="Normal"/>
    <w:autoRedefine/>
    <w:uiPriority w:val="99"/>
    <w:semiHidden/>
    <w:unhideWhenUsed/>
    <w:qFormat/>
    <w:pPr>
      <w:tabs>
        <w:tab w:val="clear" w:pos="567"/>
        <w:tab w:val="clear" w:pos="1134"/>
        <w:tab w:val="clear" w:pos="1701"/>
        <w:tab w:val="clear" w:pos="2268"/>
      </w:tabs>
      <w:ind w:left="440" w:hanging="220"/>
    </w:pPr>
  </w:style>
  <w:style w:type="paragraph" w:styleId="Title">
    <w:name w:val="Title"/>
    <w:basedOn w:val="Normal"/>
    <w:next w:val="Normal"/>
    <w:link w:val="TitleChar"/>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CommentSubject">
    <w:name w:val="annotation subject"/>
    <w:basedOn w:val="CommentText"/>
    <w:next w:val="CommentText"/>
    <w:link w:val="CommentSubjectChar"/>
    <w:uiPriority w:val="99"/>
    <w:semiHidden/>
    <w:unhideWhenUsed/>
    <w:qFormat/>
    <w:rPr>
      <w:b/>
      <w:bCs/>
    </w:rPr>
  </w:style>
  <w:style w:type="paragraph" w:styleId="BodyTextFirstIndent">
    <w:name w:val="Body Text First Indent"/>
    <w:basedOn w:val="BodyText"/>
    <w:link w:val="BodyTextFirstIndentChar"/>
    <w:uiPriority w:val="99"/>
    <w:semiHidden/>
    <w:unhideWhenUsed/>
    <w:qFormat/>
    <w:pPr>
      <w:spacing w:after="0" w:line="240" w:lineRule="auto"/>
      <w:ind w:firstLine="360"/>
      <w:jc w:val="both"/>
    </w:pPr>
    <w:rPr>
      <w:rFonts w:ascii="Times New Roman" w:eastAsia="SimSun" w:hAnsi="Times New Roman" w:cs="Times New Roman"/>
      <w:kern w:val="0"/>
      <w14:ligatures w14:val="none"/>
    </w:rPr>
  </w:style>
  <w:style w:type="paragraph" w:styleId="BodyTextFirstIndent2">
    <w:name w:val="Body Text First Indent 2"/>
    <w:basedOn w:val="BodyTextIndent"/>
    <w:link w:val="BodyTextFirstIndent2Char"/>
    <w:uiPriority w:val="99"/>
    <w:semiHidden/>
    <w:unhideWhenUsed/>
    <w:pPr>
      <w:spacing w:before="0" w:after="0"/>
      <w:ind w:left="360" w:firstLine="360"/>
      <w:jc w:val="both"/>
    </w:p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uiPriority w:val="99"/>
    <w:semiHidden/>
    <w:unhideWhenUsed/>
    <w:qFormat/>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uiPriority w:val="99"/>
    <w:semiHidden/>
    <w:unhideWhenUsed/>
    <w:qFormat/>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uiPriority w:val="99"/>
    <w:semiHidden/>
    <w:unhideWhenUsed/>
    <w:qFormat/>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uiPriority w:val="99"/>
    <w:semiHidden/>
    <w:unhideWhenUsed/>
    <w:qFormat/>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uiPriority w:val="99"/>
    <w:semiHidden/>
    <w:unhideWhenUsed/>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uiPriority w:val="99"/>
    <w:semiHidden/>
    <w:unhideWhenUsed/>
    <w:qFormat/>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uiPriority w:val="99"/>
    <w:semiHidden/>
    <w:unhideWhenUsed/>
    <w:qFormat/>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uiPriority w:val="99"/>
    <w:semiHidden/>
    <w:unhideWhenUsed/>
    <w:qFormat/>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uiPriority w:val="99"/>
    <w:semiHidden/>
    <w:unhideWhenUsed/>
    <w:qFormat/>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uiPriority w:val="99"/>
    <w:semiHidden/>
    <w:unhideWhenUsed/>
    <w:qFormat/>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uiPriority w:val="99"/>
    <w:semiHidden/>
    <w:unhideWhenUsed/>
    <w:pPr>
      <w:tabs>
        <w:tab w:val="left" w:pos="567"/>
        <w:tab w:val="left" w:pos="1134"/>
        <w:tab w:val="left" w:pos="1701"/>
        <w:tab w:val="left" w:pos="2268"/>
      </w:tabs>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uiPriority w:val="99"/>
    <w:semiHidden/>
    <w:unhideWhenUsed/>
    <w:qFormat/>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uiPriority w:val="99"/>
    <w:semiHidden/>
    <w:unhideWhenUsed/>
    <w:qFormat/>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uiPriority w:val="99"/>
    <w:semiHidden/>
    <w:unhideWhenUsed/>
    <w:qFormat/>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uiPriority w:val="99"/>
    <w:semiHidden/>
    <w:unhideWhenUsed/>
    <w:qFormat/>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uiPriority w:val="99"/>
    <w:semiHidden/>
    <w:unhideWhenUsed/>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uiPriority w:val="99"/>
    <w:semiHidden/>
    <w:unhideWhenUsed/>
    <w:qFormat/>
    <w:pPr>
      <w:tabs>
        <w:tab w:val="left" w:pos="567"/>
        <w:tab w:val="left" w:pos="1134"/>
        <w:tab w:val="left" w:pos="1701"/>
        <w:tab w:val="left" w:pos="2268"/>
      </w:tabs>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uiPriority w:val="99"/>
    <w:semiHidden/>
    <w:unhideWhenUsed/>
    <w:qFormat/>
    <w:pPr>
      <w:tabs>
        <w:tab w:val="left" w:pos="567"/>
        <w:tab w:val="left" w:pos="1134"/>
        <w:tab w:val="left" w:pos="1701"/>
        <w:tab w:val="left" w:pos="2268"/>
      </w:tabs>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uiPriority w:val="99"/>
    <w:semiHidden/>
    <w:unhideWhenUsed/>
    <w:qFormat/>
    <w:pPr>
      <w:tabs>
        <w:tab w:val="left" w:pos="567"/>
        <w:tab w:val="left" w:pos="1134"/>
        <w:tab w:val="left" w:pos="1701"/>
        <w:tab w:val="left" w:pos="2268"/>
      </w:tabs>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uiPriority w:val="99"/>
    <w:semiHidden/>
    <w:unhideWhenUsed/>
    <w:qFormat/>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uiPriority w:val="99"/>
    <w:semiHidden/>
    <w:unhideWhenUsed/>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uiPriority w:val="99"/>
    <w:semiHidden/>
    <w:unhideWhenUsed/>
    <w:qFormat/>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uiPriority w:val="99"/>
    <w:semiHidden/>
    <w:unhideWhenUsed/>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uiPriority w:val="99"/>
    <w:semiHidden/>
    <w:unhideWhenUsed/>
    <w:qFormat/>
    <w:pPr>
      <w:tabs>
        <w:tab w:val="left" w:pos="567"/>
        <w:tab w:val="left" w:pos="1134"/>
        <w:tab w:val="left" w:pos="1701"/>
        <w:tab w:val="left" w:pos="2268"/>
      </w:tabs>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uiPriority w:val="99"/>
    <w:semiHidden/>
    <w:unhideWhenUsed/>
    <w:qFormat/>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uiPriority w:val="99"/>
    <w:semiHidden/>
    <w:unhideWhenUsed/>
    <w:qFormat/>
    <w:pPr>
      <w:tabs>
        <w:tab w:val="left" w:pos="567"/>
        <w:tab w:val="left" w:pos="1134"/>
        <w:tab w:val="left" w:pos="1701"/>
        <w:tab w:val="left" w:pos="2268"/>
      </w:tabs>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uiPriority w:val="99"/>
    <w:semiHidden/>
    <w:unhideWhenUsed/>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uiPriority w:val="99"/>
    <w:semiHidden/>
    <w:unhideWhenUsed/>
    <w:qFormat/>
    <w:pPr>
      <w:tabs>
        <w:tab w:val="left" w:pos="567"/>
        <w:tab w:val="left" w:pos="1134"/>
        <w:tab w:val="left" w:pos="1701"/>
        <w:tab w:val="left" w:pos="2268"/>
      </w:tabs>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uiPriority w:val="99"/>
    <w:semiHidden/>
    <w:unhideWhenUsed/>
    <w:qFormat/>
    <w:pPr>
      <w:tabs>
        <w:tab w:val="left" w:pos="567"/>
        <w:tab w:val="left" w:pos="1134"/>
        <w:tab w:val="left" w:pos="1701"/>
        <w:tab w:val="left" w:pos="2268"/>
      </w:tabs>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uiPriority w:val="99"/>
    <w:semiHidden/>
    <w:unhideWhenUsed/>
    <w:pPr>
      <w:tabs>
        <w:tab w:val="left" w:pos="567"/>
        <w:tab w:val="left" w:pos="1134"/>
        <w:tab w:val="left" w:pos="1701"/>
        <w:tab w:val="left" w:pos="2268"/>
      </w:tabs>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qFormat/>
    <w:pPr>
      <w:tabs>
        <w:tab w:val="left" w:pos="567"/>
        <w:tab w:val="left" w:pos="1134"/>
        <w:tab w:val="left" w:pos="1701"/>
        <w:tab w:val="left" w:pos="2268"/>
      </w:tabs>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uiPriority w:val="99"/>
    <w:semiHidden/>
    <w:unhideWhenUsed/>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uiPriority w:val="99"/>
    <w:semiHidden/>
    <w:unhideWhenUsed/>
    <w:qFormat/>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uiPriority w:val="99"/>
    <w:semiHidden/>
    <w:unhideWhenUsed/>
    <w:qFormat/>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uiPriority w:val="99"/>
    <w:semiHidden/>
    <w:unhideWhenUsed/>
    <w:qFormat/>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uiPriority w:val="99"/>
    <w:semiHidden/>
    <w:unhideWhenUsed/>
    <w:qFormat/>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uiPriority w:val="99"/>
    <w:semiHidden/>
    <w:unhideWhenUsed/>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uiPriority w:val="99"/>
    <w:semiHidden/>
    <w:unhideWhenUsed/>
    <w:qFormat/>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uiPriority w:val="99"/>
    <w:semiHidden/>
    <w:unhideWhenUsed/>
    <w:qFormat/>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uiPriority w:val="99"/>
    <w:semiHidden/>
    <w:unhideWhenUsed/>
    <w:qFormat/>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uiPriority w:val="99"/>
    <w:semiHidden/>
    <w:unhideWhenUsed/>
    <w:qFormat/>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uiPriority w:val="99"/>
    <w:semiHidden/>
    <w:unhideWhenUsed/>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uiPriority w:val="99"/>
    <w:semiHidden/>
    <w:unhideWhenUsed/>
    <w:qFormat/>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LightShading">
    <w:name w:val="Light Shading"/>
    <w:basedOn w:val="TableNormal"/>
    <w:uiPriority w:val="60"/>
    <w:semiHidden/>
    <w:unhideWhenUsed/>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semiHidden/>
    <w:unhideWhenUsed/>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semiHidden/>
    <w:unhideWhenUsed/>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semiHidden/>
    <w:unhideWhenUsed/>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semiHidden/>
    <w:unhideWhenUsed/>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semiHidden/>
    <w:unhideWhenUsed/>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semiHidden/>
    <w:unhideWhenUsed/>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semiHidden/>
    <w:unhideWhenUsed/>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semiHidden/>
    <w:unhideWhenUsed/>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semiHidden/>
    <w:unhideWhenUsed/>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semiHidden/>
    <w:unhideWhenUsed/>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semiHidden/>
    <w:unhideWhenUsed/>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qFormat/>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qFormat/>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semiHidden/>
    <w:unhideWhenUsed/>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semiHidden/>
    <w:unhideWhenUsed/>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qFormat/>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qFormat/>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qFormat/>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qFormat/>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semiHidden/>
    <w:unhideWhenUsed/>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Strong">
    <w:name w:val="Strong"/>
    <w:basedOn w:val="DefaultParagraphFont"/>
    <w:uiPriority w:val="22"/>
    <w:qFormat/>
    <w:rPr>
      <w:b/>
      <w:bCs/>
      <w:lang w:val="en-GB"/>
    </w:rPr>
  </w:style>
  <w:style w:type="character" w:styleId="EndnoteReference">
    <w:name w:val="endnote reference"/>
    <w:semiHidden/>
    <w:qFormat/>
    <w:rPr>
      <w:vertAlign w:val="superscript"/>
      <w:lang w:val="en-GB"/>
    </w:rPr>
  </w:style>
  <w:style w:type="character" w:styleId="PageNumber">
    <w:name w:val="page number"/>
    <w:rPr>
      <w:rFonts w:ascii="Times New Roman" w:hAnsi="Times New Roman"/>
      <w:sz w:val="22"/>
      <w:lang w:val="en-GB"/>
    </w:rPr>
  </w:style>
  <w:style w:type="character" w:styleId="FollowedHyperlink">
    <w:name w:val="FollowedHyperlink"/>
    <w:qFormat/>
    <w:rPr>
      <w:color w:val="800080"/>
      <w:u w:val="single"/>
      <w:lang w:val="en-GB"/>
    </w:rPr>
  </w:style>
  <w:style w:type="character" w:styleId="Emphasis">
    <w:name w:val="Emphasis"/>
    <w:basedOn w:val="DefaultParagraphFont"/>
    <w:uiPriority w:val="20"/>
    <w:qFormat/>
    <w:rPr>
      <w:i/>
      <w:iCs/>
      <w:lang w:val="en-GB"/>
    </w:rPr>
  </w:style>
  <w:style w:type="character" w:styleId="LineNumber">
    <w:name w:val="line number"/>
    <w:basedOn w:val="DefaultParagraphFont"/>
    <w:uiPriority w:val="99"/>
    <w:semiHidden/>
    <w:unhideWhenUsed/>
    <w:rPr>
      <w:lang w:val="en-GB"/>
    </w:rPr>
  </w:style>
  <w:style w:type="character" w:styleId="HTMLDefinition">
    <w:name w:val="HTML Definition"/>
    <w:basedOn w:val="DefaultParagraphFont"/>
    <w:uiPriority w:val="99"/>
    <w:semiHidden/>
    <w:unhideWhenUsed/>
    <w:rPr>
      <w:i/>
      <w:iCs/>
      <w:lang w:val="en-GB"/>
    </w:rPr>
  </w:style>
  <w:style w:type="character" w:styleId="HTMLTypewriter">
    <w:name w:val="HTML Typewriter"/>
    <w:basedOn w:val="DefaultParagraphFont"/>
    <w:uiPriority w:val="99"/>
    <w:semiHidden/>
    <w:unhideWhenUsed/>
    <w:qFormat/>
    <w:rPr>
      <w:rFonts w:ascii="Consolas" w:hAnsi="Consolas"/>
      <w:sz w:val="20"/>
      <w:szCs w:val="20"/>
      <w:lang w:val="en-GB"/>
    </w:rPr>
  </w:style>
  <w:style w:type="character" w:styleId="HTMLAcronym">
    <w:name w:val="HTML Acronym"/>
    <w:basedOn w:val="DefaultParagraphFont"/>
    <w:uiPriority w:val="99"/>
    <w:semiHidden/>
    <w:unhideWhenUsed/>
    <w:qFormat/>
    <w:rPr>
      <w:lang w:val="en-GB"/>
    </w:rPr>
  </w:style>
  <w:style w:type="character" w:styleId="HTMLVariable">
    <w:name w:val="HTML Variable"/>
    <w:basedOn w:val="DefaultParagraphFont"/>
    <w:uiPriority w:val="99"/>
    <w:semiHidden/>
    <w:unhideWhenUsed/>
    <w:qFormat/>
    <w:rPr>
      <w:i/>
      <w:iCs/>
      <w:lang w:val="en-GB"/>
    </w:rPr>
  </w:style>
  <w:style w:type="character" w:styleId="Hyperlink">
    <w:name w:val="Hyperlink"/>
    <w:basedOn w:val="DefaultParagraphFont"/>
    <w:uiPriority w:val="99"/>
    <w:unhideWhenUsed/>
    <w:rPr>
      <w:rFonts w:ascii="Times New Roman" w:hAnsi="Times New Roman"/>
      <w:color w:val="0000FF" w:themeColor="hyperlink"/>
      <w:u w:val="single"/>
      <w:lang w:val="en-GB"/>
    </w:rPr>
  </w:style>
  <w:style w:type="character" w:styleId="HTMLCode">
    <w:name w:val="HTML Code"/>
    <w:basedOn w:val="DefaultParagraphFont"/>
    <w:uiPriority w:val="99"/>
    <w:semiHidden/>
    <w:unhideWhenUsed/>
    <w:rPr>
      <w:rFonts w:ascii="Consolas" w:hAnsi="Consolas"/>
      <w:sz w:val="20"/>
      <w:szCs w:val="20"/>
      <w:lang w:val="en-GB"/>
    </w:rPr>
  </w:style>
  <w:style w:type="character" w:styleId="CommentReference">
    <w:name w:val="annotation reference"/>
    <w:basedOn w:val="DefaultParagraphFont"/>
    <w:uiPriority w:val="99"/>
    <w:semiHidden/>
    <w:unhideWhenUsed/>
    <w:rPr>
      <w:sz w:val="16"/>
      <w:szCs w:val="16"/>
      <w:lang w:val="en-GB"/>
    </w:rPr>
  </w:style>
  <w:style w:type="character" w:styleId="HTMLCite">
    <w:name w:val="HTML Cite"/>
    <w:basedOn w:val="DefaultParagraphFont"/>
    <w:uiPriority w:val="99"/>
    <w:semiHidden/>
    <w:unhideWhenUsed/>
    <w:rPr>
      <w:i/>
      <w:iCs/>
      <w:lang w:val="en-GB"/>
    </w:rPr>
  </w:style>
  <w:style w:type="character" w:styleId="FootnoteReference">
    <w:name w:val="footnote reference"/>
    <w:basedOn w:val="DefaultParagraphFont"/>
    <w:link w:val="BVIfnrChar"/>
    <w:uiPriority w:val="99"/>
    <w:unhideWhenUsed/>
    <w:qFormat/>
    <w:rPr>
      <w:vertAlign w:val="superscript"/>
      <w:lang w:val="en-GB"/>
    </w:rPr>
  </w:style>
  <w:style w:type="paragraph" w:customStyle="1" w:styleId="BVIfnrChar">
    <w:name w:val="BVI fnr Char"/>
    <w:basedOn w:val="Normal"/>
    <w:link w:val="FootnoteReference"/>
    <w:uiPriority w:val="99"/>
    <w:qFormat/>
    <w:pPr>
      <w:spacing w:after="160" w:line="240" w:lineRule="exact"/>
      <w:jc w:val="left"/>
    </w:pPr>
    <w:rPr>
      <w:rFonts w:asciiTheme="minorHAnsi" w:eastAsiaTheme="minorEastAsia" w:hAnsiTheme="minorHAnsi" w:cstheme="minorBidi"/>
      <w:sz w:val="24"/>
      <w:szCs w:val="24"/>
      <w:vertAlign w:val="superscript"/>
    </w:rPr>
  </w:style>
  <w:style w:type="character" w:styleId="HTMLKeyboard">
    <w:name w:val="HTML Keyboard"/>
    <w:basedOn w:val="DefaultParagraphFont"/>
    <w:uiPriority w:val="99"/>
    <w:semiHidden/>
    <w:unhideWhenUsed/>
    <w:qFormat/>
    <w:rPr>
      <w:rFonts w:ascii="Consolas" w:hAnsi="Consolas"/>
      <w:sz w:val="20"/>
      <w:szCs w:val="20"/>
      <w:lang w:val="en-GB"/>
    </w:rPr>
  </w:style>
  <w:style w:type="character" w:styleId="HTMLSample">
    <w:name w:val="HTML Sample"/>
    <w:basedOn w:val="DefaultParagraphFont"/>
    <w:uiPriority w:val="99"/>
    <w:semiHidden/>
    <w:unhideWhenUsed/>
    <w:rPr>
      <w:rFonts w:ascii="Consolas" w:hAnsi="Consolas"/>
      <w:sz w:val="24"/>
      <w:szCs w:val="24"/>
      <w:lang w:val="en-GB"/>
    </w:rPr>
  </w:style>
  <w:style w:type="character" w:customStyle="1" w:styleId="BalloonTextChar">
    <w:name w:val="Balloon Text Char"/>
    <w:basedOn w:val="DefaultParagraphFont"/>
    <w:link w:val="BalloonText"/>
    <w:uiPriority w:val="99"/>
    <w:semiHidden/>
    <w:qFormat/>
    <w:rPr>
      <w:rFonts w:ascii="Lucida Grande" w:eastAsia="SimSun" w:hAnsi="Lucida Grande" w:cs="Lucida Grande"/>
      <w:sz w:val="18"/>
      <w:szCs w:val="18"/>
      <w:lang w:val="en-GB"/>
    </w:rPr>
  </w:style>
  <w:style w:type="character" w:styleId="PlaceholderText">
    <w:name w:val="Placeholder Text"/>
    <w:basedOn w:val="DefaultParagraphFont"/>
    <w:uiPriority w:val="99"/>
    <w:semiHidden/>
    <w:qFormat/>
    <w:rPr>
      <w:color w:val="808080"/>
      <w:lang w:val="en-GB"/>
    </w:rPr>
  </w:style>
  <w:style w:type="character" w:customStyle="1" w:styleId="HeaderChar">
    <w:name w:val="Header Char"/>
    <w:basedOn w:val="DefaultParagraphFont"/>
    <w:link w:val="Header"/>
    <w:qFormat/>
    <w:rPr>
      <w:rFonts w:ascii="Times New Roman" w:eastAsia="SimSun" w:hAnsi="Times New Roman" w:cs="Times New Roman"/>
      <w:sz w:val="20"/>
      <w:szCs w:val="22"/>
      <w:lang w:val="en-GB"/>
    </w:rPr>
  </w:style>
  <w:style w:type="character" w:customStyle="1" w:styleId="FooterChar">
    <w:name w:val="Footer Char"/>
    <w:basedOn w:val="DefaultParagraphFont"/>
    <w:link w:val="Footer"/>
    <w:uiPriority w:val="99"/>
    <w:qFormat/>
    <w:rPr>
      <w:rFonts w:ascii="Times New Roman" w:eastAsia="SimSun" w:hAnsi="Times New Roman" w:cs="Times New Roman"/>
      <w:sz w:val="20"/>
      <w:szCs w:val="22"/>
      <w:lang w:val="en-GB"/>
    </w:rPr>
  </w:style>
  <w:style w:type="paragraph" w:customStyle="1" w:styleId="meetingname">
    <w:name w:val="meeting name"/>
    <w:basedOn w:val="Normal"/>
    <w:qFormat/>
    <w:pPr>
      <w:ind w:left="142" w:right="4218" w:hanging="142"/>
    </w:pPr>
    <w:rPr>
      <w:caps/>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lang w:val="en-GB"/>
    </w:rPr>
  </w:style>
  <w:style w:type="character" w:customStyle="1" w:styleId="SubtitleChar">
    <w:name w:val="Subtitle Char"/>
    <w:basedOn w:val="DefaultParagraphFont"/>
    <w:link w:val="Subtitle"/>
    <w:uiPriority w:val="11"/>
    <w:qFormat/>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qFormat/>
    <w:rPr>
      <w:rFonts w:ascii="Times New Roman" w:eastAsiaTheme="majorEastAsia" w:hAnsi="Times New Roman" w:cstheme="majorBidi"/>
      <w:b/>
      <w:bCs/>
      <w:kern w:val="2"/>
      <w:sz w:val="28"/>
      <w:szCs w:val="32"/>
      <w:lang w:val="en-GB"/>
      <w14:ligatures w14:val="standardContextual"/>
    </w:rPr>
  </w:style>
  <w:style w:type="character" w:customStyle="1" w:styleId="BodyTextChar">
    <w:name w:val="Body Text Char"/>
    <w:basedOn w:val="DefaultParagraphFont"/>
    <w:link w:val="BodyText"/>
    <w:uiPriority w:val="99"/>
    <w:rPr>
      <w:rFonts w:eastAsiaTheme="minorHAnsi"/>
      <w:kern w:val="2"/>
      <w:sz w:val="22"/>
      <w:szCs w:val="22"/>
      <w:lang w:val="en-GB"/>
      <w14:ligatures w14:val="standardContextual"/>
    </w:rPr>
  </w:style>
  <w:style w:type="character" w:customStyle="1" w:styleId="BodyTextIndentChar">
    <w:name w:val="Body Text Indent Char"/>
    <w:basedOn w:val="DefaultParagraphFont"/>
    <w:link w:val="BodyTextIndent"/>
    <w:qFormat/>
    <w:rPr>
      <w:rFonts w:ascii="Times New Roman" w:eastAsia="SimSun" w:hAnsi="Times New Roman" w:cs="Times New Roman"/>
      <w:sz w:val="22"/>
      <w:szCs w:val="22"/>
      <w:lang w:val="en-GB"/>
    </w:rPr>
  </w:style>
  <w:style w:type="character" w:customStyle="1" w:styleId="CommentTextChar">
    <w:name w:val="Comment Text Char"/>
    <w:basedOn w:val="DefaultParagraphFont"/>
    <w:link w:val="CommentText"/>
    <w:uiPriority w:val="99"/>
    <w:semiHidden/>
    <w:qFormat/>
    <w:rPr>
      <w:rFonts w:ascii="Times New Roman" w:eastAsia="SimSun" w:hAnsi="Times New Roman" w:cs="Times New Roman"/>
      <w:sz w:val="20"/>
      <w:szCs w:val="20"/>
      <w:lang w:val="en-GB"/>
    </w:rPr>
  </w:style>
  <w:style w:type="paragraph" w:customStyle="1" w:styleId="Cornernotation">
    <w:name w:val="Corner notation"/>
    <w:basedOn w:val="Normal"/>
    <w:pPr>
      <w:ind w:left="170" w:right="3119" w:hanging="170"/>
      <w:jc w:val="left"/>
    </w:pPr>
  </w:style>
  <w:style w:type="character" w:customStyle="1" w:styleId="EndnoteTextChar">
    <w:name w:val="Endnote Text Char"/>
    <w:basedOn w:val="DefaultParagraphFont"/>
    <w:link w:val="EndnoteText"/>
    <w:semiHidden/>
    <w:qFormat/>
    <w:rPr>
      <w:rFonts w:ascii="Courier New" w:eastAsia="SimSun" w:hAnsi="Courier New" w:cs="Times New Roman"/>
      <w:sz w:val="22"/>
      <w:szCs w:val="22"/>
      <w:lang w:val="en-GB"/>
    </w:rPr>
  </w:style>
  <w:style w:type="character" w:customStyle="1" w:styleId="FootnoteTextChar">
    <w:name w:val="Footnote Text Char"/>
    <w:basedOn w:val="DefaultParagraphFont"/>
    <w:link w:val="FootnoteText"/>
    <w:uiPriority w:val="99"/>
    <w:qFormat/>
    <w:rPr>
      <w:rFonts w:ascii="Times New Roman" w:eastAsia="SimSun" w:hAnsi="Times New Roman" w:cs="Times New Roman"/>
      <w:sz w:val="18"/>
      <w:szCs w:val="20"/>
      <w:lang w:val="en-GB"/>
    </w:rPr>
  </w:style>
  <w:style w:type="paragraph" w:customStyle="1" w:styleId="HEADING">
    <w:name w:val="HEADING"/>
    <w:basedOn w:val="Normal"/>
    <w:qFormat/>
    <w:pPr>
      <w:keepNext/>
      <w:spacing w:before="240" w:after="120"/>
      <w:jc w:val="center"/>
    </w:pPr>
    <w:rPr>
      <w:b/>
      <w:bCs/>
      <w:caps/>
    </w:rPr>
  </w:style>
  <w:style w:type="character" w:customStyle="1" w:styleId="Heading2Char">
    <w:name w:val="Heading 2 Char"/>
    <w:basedOn w:val="DefaultParagraphFont"/>
    <w:link w:val="Heading2"/>
    <w:uiPriority w:val="9"/>
    <w:qFormat/>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qFormat/>
  </w:style>
  <w:style w:type="paragraph" w:customStyle="1" w:styleId="Heading1longmultiline">
    <w:name w:val="Heading 1 (long multiline)"/>
    <w:basedOn w:val="Heading1"/>
    <w:qFormat/>
    <w:pPr>
      <w:ind w:left="1843" w:hanging="1134"/>
    </w:pPr>
  </w:style>
  <w:style w:type="paragraph" w:customStyle="1" w:styleId="Heading1multiline">
    <w:name w:val="Heading 1 (multiline)"/>
    <w:basedOn w:val="Heading1"/>
    <w:qFormat/>
    <w:pPr>
      <w:ind w:left="1843" w:right="996"/>
    </w:pPr>
  </w:style>
  <w:style w:type="paragraph" w:customStyle="1" w:styleId="Heading2multiline">
    <w:name w:val="Heading 2 (multiline)"/>
    <w:basedOn w:val="Heading1"/>
    <w:next w:val="Normal"/>
    <w:qFormat/>
    <w:pPr>
      <w:spacing w:before="120"/>
      <w:ind w:left="1843" w:right="998"/>
    </w:pPr>
    <w:rPr>
      <w:i/>
      <w:iCs/>
      <w:caps/>
    </w:rPr>
  </w:style>
  <w:style w:type="paragraph" w:customStyle="1" w:styleId="Heading2longmultiline">
    <w:name w:val="Heading 2 (long multiline)"/>
    <w:basedOn w:val="Heading2multiline"/>
    <w:qFormat/>
    <w:pPr>
      <w:ind w:left="2127" w:hanging="1276"/>
    </w:pPr>
  </w:style>
  <w:style w:type="character" w:customStyle="1" w:styleId="Heading3Char">
    <w:name w:val="Heading 3 Char"/>
    <w:basedOn w:val="DefaultParagraphFont"/>
    <w:link w:val="Heading3"/>
    <w:uiPriority w:val="9"/>
    <w:qFormat/>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qFormat/>
  </w:style>
  <w:style w:type="paragraph" w:customStyle="1" w:styleId="Heading3multiline">
    <w:name w:val="Heading 3 (multiline)"/>
    <w:basedOn w:val="Heading3"/>
    <w:next w:val="Normal"/>
    <w:qFormat/>
    <w:pPr>
      <w:ind w:left="1418" w:hanging="425"/>
    </w:pPr>
  </w:style>
  <w:style w:type="character" w:customStyle="1" w:styleId="Heading4Char">
    <w:name w:val="Heading 4 Char"/>
    <w:basedOn w:val="DefaultParagraphFont"/>
    <w:link w:val="Heading4"/>
    <w:uiPriority w:val="9"/>
    <w:qFormat/>
    <w:rPr>
      <w:rFonts w:ascii="Times New Roman" w:eastAsiaTheme="majorEastAsia" w:hAnsi="Times New Roman" w:cs="Times New Roman"/>
      <w:b/>
      <w:bCs/>
      <w:sz w:val="22"/>
      <w:szCs w:val="22"/>
      <w:lang w:val="en-GB"/>
    </w:rPr>
  </w:style>
  <w:style w:type="paragraph" w:customStyle="1" w:styleId="Heading4indent">
    <w:name w:val="Heading 4 indent"/>
    <w:basedOn w:val="Heading4"/>
    <w:pPr>
      <w:ind w:left="720"/>
      <w:outlineLvl w:val="9"/>
    </w:pPr>
  </w:style>
  <w:style w:type="character" w:customStyle="1" w:styleId="Heading5Char">
    <w:name w:val="Heading 5 Char"/>
    <w:basedOn w:val="DefaultParagraphFont"/>
    <w:link w:val="Heading5"/>
    <w:uiPriority w:val="9"/>
    <w:qFormat/>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qFormat/>
    <w:rPr>
      <w:rFonts w:ascii="Times New Roman" w:eastAsia="SimSun" w:hAnsi="Times New Roman" w:cs="Times New Roman"/>
      <w:bCs/>
      <w:szCs w:val="22"/>
      <w:lang w:val="en-GB"/>
    </w:rPr>
  </w:style>
  <w:style w:type="character" w:customStyle="1" w:styleId="Heading7Char">
    <w:name w:val="Heading 7 Char"/>
    <w:basedOn w:val="DefaultParagraphFont"/>
    <w:link w:val="Heading7"/>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qFormat/>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Pr>
      <w:rFonts w:ascii="Times New Roman" w:eastAsia="SimSun" w:hAnsi="Times New Roman" w:cs="Times New Roman"/>
      <w:snapToGrid w:val="0"/>
      <w:sz w:val="22"/>
      <w:szCs w:val="22"/>
      <w:u w:val="single"/>
      <w:lang w:val="en-GB"/>
    </w:rPr>
  </w:style>
  <w:style w:type="paragraph" w:customStyle="1" w:styleId="Para1">
    <w:name w:val="Para1"/>
    <w:basedOn w:val="Normal"/>
    <w:link w:val="Para1Char"/>
    <w:qFormat/>
    <w:pPr>
      <w:numPr>
        <w:numId w:val="3"/>
      </w:numPr>
      <w:tabs>
        <w:tab w:val="clear" w:pos="360"/>
      </w:tabs>
      <w:spacing w:before="120" w:after="120"/>
      <w:ind w:left="567"/>
    </w:pPr>
    <w:rPr>
      <w:snapToGrid w:val="0"/>
      <w:szCs w:val="18"/>
    </w:rPr>
  </w:style>
  <w:style w:type="paragraph" w:customStyle="1" w:styleId="Para2">
    <w:name w:val="Para2"/>
    <w:basedOn w:val="Para1"/>
    <w:pPr>
      <w:numPr>
        <w:numId w:val="0"/>
      </w:numPr>
      <w:tabs>
        <w:tab w:val="clear" w:pos="360"/>
      </w:tabs>
      <w:autoSpaceDE w:val="0"/>
      <w:autoSpaceDN w:val="0"/>
    </w:pPr>
  </w:style>
  <w:style w:type="paragraph" w:customStyle="1" w:styleId="Para3">
    <w:name w:val="Para3"/>
    <w:basedOn w:val="Normal"/>
    <w:pPr>
      <w:numPr>
        <w:ilvl w:val="3"/>
        <w:numId w:val="4"/>
      </w:numPr>
      <w:tabs>
        <w:tab w:val="left" w:pos="1980"/>
      </w:tabs>
      <w:spacing w:before="80" w:after="80"/>
    </w:pPr>
    <w:rPr>
      <w:szCs w:val="20"/>
    </w:rPr>
  </w:style>
  <w:style w:type="paragraph" w:customStyle="1" w:styleId="para4">
    <w:name w:val="para4"/>
    <w:basedOn w:val="Normal"/>
    <w:qFormat/>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qFormat/>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pPr>
      <w:spacing w:before="120" w:after="120"/>
      <w:ind w:left="720" w:right="720"/>
    </w:pPr>
    <w:rPr>
      <w:bCs/>
    </w:rPr>
  </w:style>
  <w:style w:type="paragraph" w:customStyle="1" w:styleId="recommendationheader">
    <w:name w:val="recommendation header"/>
    <w:basedOn w:val="Heading2"/>
    <w:qFormat/>
  </w:style>
  <w:style w:type="paragraph" w:customStyle="1" w:styleId="recommendationheaderlong">
    <w:name w:val="recommendation header long"/>
    <w:basedOn w:val="Heading2longmultiline"/>
    <w:qFormat/>
  </w:style>
  <w:style w:type="paragraph" w:customStyle="1" w:styleId="reference">
    <w:name w:val="reference"/>
    <w:basedOn w:val="Heading9"/>
    <w:qFormat/>
    <w:rPr>
      <w:i/>
      <w:sz w:val="18"/>
    </w:rPr>
  </w:style>
  <w:style w:type="character" w:customStyle="1" w:styleId="StyleFootnoteReferenceNounderline">
    <w:name w:val="Style Footnote Reference + No underline"/>
    <w:rPr>
      <w:sz w:val="18"/>
      <w:u w:val="none"/>
      <w:vertAlign w:val="baseline"/>
      <w:lang w:val="en-GB"/>
    </w:rPr>
  </w:style>
  <w:style w:type="paragraph" w:customStyle="1" w:styleId="tabletitle">
    <w:name w:val="table title"/>
    <w:basedOn w:val="Heading2"/>
    <w:qFormat/>
    <w:pPr>
      <w:outlineLvl w:val="9"/>
    </w:pPr>
    <w:rPr>
      <w:i/>
    </w:rPr>
  </w:style>
  <w:style w:type="character" w:customStyle="1" w:styleId="Para1Char">
    <w:name w:val="Para1 Char"/>
    <w:link w:val="Para1"/>
    <w:qFormat/>
    <w:locked/>
    <w:rPr>
      <w:rFonts w:ascii="Times New Roman" w:eastAsia="SimSun" w:hAnsi="Times New Roman" w:cs="Times New Roman"/>
      <w:snapToGrid w:val="0"/>
      <w:sz w:val="22"/>
      <w:szCs w:val="18"/>
      <w:lang w:val="en-GB"/>
    </w:rPr>
  </w:style>
  <w:style w:type="paragraph" w:customStyle="1" w:styleId="CBD-Doc-Type">
    <w:name w:val="CBD-Doc-Type"/>
    <w:basedOn w:val="Normal"/>
    <w:pPr>
      <w:keepLines/>
      <w:spacing w:before="240" w:after="120"/>
    </w:pPr>
    <w:rPr>
      <w:rFonts w:cs="Angsana New"/>
      <w:b/>
      <w:i/>
      <w:sz w:val="24"/>
    </w:rPr>
  </w:style>
  <w:style w:type="paragraph" w:customStyle="1" w:styleId="CBD-Doc">
    <w:name w:val="CBD-Doc"/>
    <w:basedOn w:val="Normal"/>
    <w:pPr>
      <w:keepLines/>
      <w:numPr>
        <w:numId w:val="5"/>
      </w:numPr>
      <w:spacing w:after="120"/>
    </w:pPr>
    <w:rPr>
      <w:rFonts w:cs="Angsana New"/>
    </w:rPr>
  </w:style>
  <w:style w:type="paragraph" w:styleId="ListParagraph">
    <w:name w:val="List Paragraph"/>
    <w:basedOn w:val="Normal"/>
    <w:uiPriority w:val="34"/>
    <w:qFormat/>
    <w:pPr>
      <w:ind w:left="720"/>
      <w:contextualSpacing/>
    </w:pPr>
  </w:style>
  <w:style w:type="paragraph" w:customStyle="1" w:styleId="Style1">
    <w:name w:val="Style1"/>
    <w:basedOn w:val="Heading2"/>
    <w:qFormat/>
    <w:rPr>
      <w:i/>
    </w:rPr>
  </w:style>
  <w:style w:type="table" w:customStyle="1" w:styleId="TableGrid10">
    <w:name w:val="Table Grid1"/>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1">
    <w:name w:val="Revision1"/>
    <w:hidden/>
    <w:uiPriority w:val="99"/>
    <w:semiHidden/>
    <w:rPr>
      <w:rFonts w:ascii="Simplified Arabic" w:eastAsia="Times New Roman" w:hAnsi="Simplified Arabic" w:cs="Simplified Arabic"/>
      <w:sz w:val="24"/>
      <w:szCs w:val="24"/>
    </w:rPr>
  </w:style>
  <w:style w:type="paragraph" w:customStyle="1" w:styleId="DarkList-Accent31">
    <w:name w:val="Dark List - Accent 31"/>
    <w:hidden/>
    <w:uiPriority w:val="99"/>
    <w:semiHidden/>
    <w:qFormat/>
    <w:rPr>
      <w:sz w:val="22"/>
      <w:szCs w:val="22"/>
      <w:lang w:val="en-GB" w:eastAsia="en-GB"/>
    </w:rPr>
  </w:style>
  <w:style w:type="paragraph" w:customStyle="1" w:styleId="CBDNormalNoNumber">
    <w:name w:val="CBD_Normal_NoNumber"/>
    <w:basedOn w:val="CBDNormal"/>
    <w:qFormat/>
    <w:pPr>
      <w:spacing w:after="120"/>
      <w:ind w:left="567"/>
    </w:pPr>
  </w:style>
  <w:style w:type="paragraph" w:customStyle="1" w:styleId="Footnote">
    <w:name w:val="Footnote"/>
    <w:basedOn w:val="FootnoteText"/>
    <w:semiHidden/>
    <w:qFormat/>
    <w:rPr>
      <w:szCs w:val="18"/>
    </w:rPr>
  </w:style>
  <w:style w:type="paragraph" w:customStyle="1" w:styleId="Annex">
    <w:name w:val="Annex"/>
    <w:basedOn w:val="Normal"/>
    <w:semiHidden/>
    <w:qFormat/>
    <w:pPr>
      <w:spacing w:after="240"/>
    </w:pPr>
    <w:rPr>
      <w:b/>
      <w:sz w:val="28"/>
    </w:rPr>
  </w:style>
  <w:style w:type="paragraph" w:customStyle="1" w:styleId="ABSymbol">
    <w:name w:val="AB_Symbol"/>
    <w:basedOn w:val="Normal"/>
    <w:qFormat/>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Normal">
    <w:name w:val="AF_CorNNormal"/>
    <w:basedOn w:val="Normal"/>
    <w:unhideWhenUsed/>
    <w:pPr>
      <w:jc w:val="left"/>
    </w:pPr>
  </w:style>
  <w:style w:type="paragraph" w:customStyle="1" w:styleId="AEDistrNormal">
    <w:name w:val="AE_DistrNormal"/>
    <w:basedOn w:val="Normal"/>
    <w:unhideWhenUsed/>
    <w:qFormat/>
    <w:pPr>
      <w:jc w:val="left"/>
    </w:pPr>
  </w:style>
  <w:style w:type="paragraph" w:customStyle="1" w:styleId="AASmallLogo">
    <w:name w:val="AA_SmallLogo"/>
    <w:basedOn w:val="AEDistrNormal"/>
    <w:unhideWhenUsed/>
    <w:pPr>
      <w:spacing w:before="40"/>
    </w:pPr>
    <w:rPr>
      <w:sz w:val="4"/>
    </w:rPr>
  </w:style>
  <w:style w:type="paragraph" w:customStyle="1" w:styleId="ACLargeLogo">
    <w:name w:val="AC_LargeLogo"/>
    <w:basedOn w:val="AFCorNNormal"/>
    <w:next w:val="AISpacer"/>
    <w:unhideWhenUsed/>
    <w:qFormat/>
    <w:pPr>
      <w:spacing w:before="120"/>
      <w:contextualSpacing/>
    </w:pPr>
    <w:rPr>
      <w:sz w:val="8"/>
    </w:rPr>
  </w:style>
  <w:style w:type="paragraph" w:customStyle="1" w:styleId="AISpacer">
    <w:name w:val="AI_Spacer"/>
    <w:next w:val="Normal"/>
    <w:unhideWhenUsed/>
    <w:qFormat/>
    <w:rPr>
      <w:sz w:val="2"/>
      <w:szCs w:val="22"/>
      <w:lang w:val="en-GB"/>
    </w:rPr>
  </w:style>
  <w:style w:type="character" w:customStyle="1" w:styleId="CommentSubjectChar">
    <w:name w:val="Comment Subject Char"/>
    <w:basedOn w:val="CommentTextChar"/>
    <w:link w:val="CommentSubject"/>
    <w:uiPriority w:val="99"/>
    <w:semiHidden/>
    <w:qFormat/>
    <w:rPr>
      <w:rFonts w:ascii="Times New Roman" w:eastAsia="SimSun" w:hAnsi="Times New Roman" w:cs="Times New Roman"/>
      <w:b/>
      <w:bCs/>
      <w:sz w:val="20"/>
      <w:szCs w:val="20"/>
      <w:lang w:val="en-GB"/>
    </w:rPr>
  </w:style>
  <w:style w:type="paragraph" w:customStyle="1" w:styleId="Item">
    <w:name w:val="Item"/>
    <w:basedOn w:val="Normal"/>
    <w:semiHidden/>
    <w:qFormat/>
    <w:pPr>
      <w:suppressLineNumbers/>
      <w:suppressAutoHyphens/>
      <w:spacing w:before="240" w:after="120"/>
      <w:jc w:val="left"/>
    </w:pPr>
    <w:rPr>
      <w:rFonts w:eastAsia="Times New Roman"/>
      <w:b/>
      <w:iCs/>
      <w:snapToGrid w:val="0"/>
      <w:kern w:val="22"/>
      <w:sz w:val="24"/>
    </w:rPr>
  </w:style>
  <w:style w:type="paragraph" w:customStyle="1" w:styleId="AEDistrNormal6pt">
    <w:name w:val="AE_DistrNormal6pt"/>
    <w:basedOn w:val="AEDistrNormal"/>
    <w:next w:val="AFCorNNormal"/>
    <w:unhideWhenUsed/>
    <w:qFormat/>
    <w:pPr>
      <w:spacing w:before="120"/>
    </w:pPr>
  </w:style>
  <w:style w:type="paragraph" w:customStyle="1" w:styleId="AFCorNBold">
    <w:name w:val="AF_CorNBold"/>
    <w:basedOn w:val="AFCorNNormal"/>
    <w:next w:val="AFCorNNormal"/>
    <w:unhideWhenUsed/>
    <w:qFormat/>
    <w:rPr>
      <w:b/>
    </w:rPr>
  </w:style>
  <w:style w:type="paragraph" w:customStyle="1" w:styleId="AFCorN12Bold">
    <w:name w:val="AF_CorN12Bold"/>
    <w:basedOn w:val="AFCorNNormal"/>
    <w:next w:val="AFCorNNormal"/>
    <w:unhideWhenUsed/>
    <w:qFormat/>
    <w:rPr>
      <w:b/>
      <w:sz w:val="24"/>
    </w:rPr>
  </w:style>
  <w:style w:type="paragraph" w:customStyle="1" w:styleId="CBDAgendaItem">
    <w:name w:val="CBD_AgendaItem"/>
    <w:basedOn w:val="Normal"/>
    <w:qFormat/>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pPr>
      <w:spacing w:after="120"/>
      <w:ind w:left="1134" w:firstLine="567"/>
    </w:pPr>
  </w:style>
  <w:style w:type="paragraph" w:customStyle="1" w:styleId="CBDDesicionAnnex">
    <w:name w:val="CBD_DesicionAnnex"/>
    <w:basedOn w:val="CBDNormal"/>
    <w:next w:val="CBDDesicionText"/>
    <w:qFormat/>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pPr>
      <w:keepNext/>
      <w:keepLines/>
      <w:spacing w:after="240"/>
      <w:jc w:val="left"/>
    </w:pPr>
    <w:rPr>
      <w:b/>
      <w:sz w:val="28"/>
      <w:lang w:bidi="ar-SY"/>
    </w:rPr>
  </w:style>
  <w:style w:type="paragraph" w:customStyle="1" w:styleId="CBDTitle">
    <w:name w:val="CBD_Title"/>
    <w:basedOn w:val="CBDNormal"/>
    <w:next w:val="CBDSubTitle"/>
    <w:qFormat/>
    <w:pPr>
      <w:keepNext/>
      <w:keepLines/>
      <w:spacing w:before="240" w:after="240"/>
      <w:ind w:left="567"/>
      <w:jc w:val="left"/>
    </w:pPr>
    <w:rPr>
      <w:b/>
      <w:sz w:val="28"/>
    </w:rPr>
  </w:style>
  <w:style w:type="paragraph" w:customStyle="1" w:styleId="CBDSubTitle">
    <w:name w:val="CBD_SubTitle"/>
    <w:basedOn w:val="CBDNormal"/>
    <w:qFormat/>
    <w:pPr>
      <w:keepNext/>
      <w:keepLines/>
      <w:spacing w:before="240" w:after="240"/>
      <w:ind w:left="567"/>
      <w:jc w:val="left"/>
    </w:pPr>
    <w:rPr>
      <w:b/>
    </w:rPr>
  </w:style>
  <w:style w:type="paragraph" w:customStyle="1" w:styleId="AENormal">
    <w:name w:val="AE_Normal"/>
    <w:basedOn w:val="Normal"/>
    <w:qFormat/>
  </w:style>
  <w:style w:type="paragraph" w:customStyle="1" w:styleId="CBDH1">
    <w:name w:val="CBD_H1"/>
    <w:basedOn w:val="CBDNormal"/>
    <w:qFormat/>
    <w:pPr>
      <w:keepNext/>
      <w:keepLines/>
      <w:spacing w:before="240" w:after="120"/>
      <w:ind w:left="567" w:hanging="567"/>
      <w:jc w:val="left"/>
      <w:outlineLvl w:val="0"/>
    </w:pPr>
    <w:rPr>
      <w:b/>
      <w:sz w:val="28"/>
    </w:rPr>
  </w:style>
  <w:style w:type="paragraph" w:customStyle="1" w:styleId="CBDH2">
    <w:name w:val="CBD_H2"/>
    <w:basedOn w:val="CBDNormal"/>
    <w:qFormat/>
    <w:pPr>
      <w:keepNext/>
      <w:keepLines/>
      <w:ind w:left="567" w:hanging="567"/>
    </w:pPr>
    <w:rPr>
      <w:b/>
      <w:sz w:val="24"/>
    </w:rPr>
  </w:style>
  <w:style w:type="paragraph" w:customStyle="1" w:styleId="CBDFootnoteText">
    <w:name w:val="CBD_Footnote_Text"/>
    <w:basedOn w:val="CBDNormal"/>
    <w:qFormat/>
    <w:pPr>
      <w:jc w:val="left"/>
    </w:pPr>
    <w:rPr>
      <w:sz w:val="18"/>
    </w:rPr>
  </w:style>
  <w:style w:type="paragraph" w:customStyle="1" w:styleId="CBDFooter">
    <w:name w:val="CBD_Footer"/>
    <w:basedOn w:val="CBDNormal"/>
    <w:qFormat/>
    <w:rPr>
      <w:sz w:val="20"/>
    </w:rPr>
  </w:style>
  <w:style w:type="paragraph" w:customStyle="1" w:styleId="CBDHeader">
    <w:name w:val="CBD_Header"/>
    <w:basedOn w:val="CBDNormal"/>
    <w:next w:val="CBDFooter"/>
    <w:qFormat/>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pPr>
      <w:keepNext/>
      <w:keepLines/>
      <w:spacing w:before="120" w:after="120"/>
      <w:ind w:left="567" w:hanging="567"/>
      <w:jc w:val="left"/>
    </w:pPr>
    <w:rPr>
      <w:b/>
    </w:rPr>
  </w:style>
  <w:style w:type="paragraph" w:customStyle="1" w:styleId="CBDH4">
    <w:name w:val="CBD_H4"/>
    <w:basedOn w:val="CBDNormal"/>
    <w:qFormat/>
    <w:pPr>
      <w:keepNext/>
      <w:keepLines/>
      <w:spacing w:before="120" w:after="120"/>
      <w:ind w:left="567" w:hanging="567"/>
      <w:jc w:val="left"/>
    </w:pPr>
    <w:rPr>
      <w:b/>
    </w:rPr>
  </w:style>
  <w:style w:type="paragraph" w:customStyle="1" w:styleId="CBDH5">
    <w:name w:val="CBD_H5"/>
    <w:basedOn w:val="CBDNormal"/>
    <w:qFormat/>
    <w:pPr>
      <w:keepNext/>
      <w:keepLines/>
      <w:spacing w:before="120" w:after="120"/>
      <w:ind w:left="567" w:hanging="567"/>
      <w:jc w:val="left"/>
    </w:pPr>
    <w:rPr>
      <w:i/>
    </w:rPr>
  </w:style>
  <w:style w:type="paragraph" w:customStyle="1" w:styleId="CBDTableNormal">
    <w:name w:val="CBD_TableNormal"/>
    <w:basedOn w:val="CBDNormal"/>
    <w:qFormat/>
    <w:pPr>
      <w:spacing w:before="40" w:after="80"/>
      <w:jc w:val="left"/>
    </w:pPr>
    <w:rPr>
      <w:sz w:val="20"/>
    </w:rPr>
  </w:style>
  <w:style w:type="paragraph" w:customStyle="1" w:styleId="CBDTableTitle">
    <w:name w:val="CBD_TableTitle"/>
    <w:basedOn w:val="CBDNormal"/>
    <w:qFormat/>
    <w:pPr>
      <w:keepNext/>
      <w:keepLines/>
      <w:spacing w:before="120" w:after="60"/>
      <w:ind w:left="567"/>
      <w:jc w:val="left"/>
    </w:pPr>
    <w:rPr>
      <w:b/>
    </w:rPr>
  </w:style>
  <w:style w:type="paragraph" w:customStyle="1" w:styleId="CBDFigureTitle">
    <w:name w:val="CBD_FigureTitle"/>
    <w:basedOn w:val="CBDNormal"/>
    <w:next w:val="CBDNormalNoNumber"/>
    <w:qFormat/>
    <w:pPr>
      <w:keepNext/>
      <w:keepLines/>
      <w:spacing w:before="120" w:after="60"/>
      <w:ind w:left="567"/>
      <w:jc w:val="left"/>
    </w:pPr>
    <w:rPr>
      <w:b/>
    </w:rPr>
  </w:style>
  <w:style w:type="paragraph" w:customStyle="1" w:styleId="Bibliography1">
    <w:name w:val="Bibliography1"/>
    <w:basedOn w:val="Normal"/>
    <w:next w:val="Normal"/>
    <w:uiPriority w:val="37"/>
    <w:semiHidden/>
    <w:unhideWhenUsed/>
    <w:qFormat/>
  </w:style>
  <w:style w:type="character" w:customStyle="1" w:styleId="BodyText2Char">
    <w:name w:val="Body Text 2 Char"/>
    <w:basedOn w:val="DefaultParagraphFont"/>
    <w:link w:val="BodyText2"/>
    <w:uiPriority w:val="99"/>
    <w:semiHidden/>
    <w:qFormat/>
    <w:rPr>
      <w:rFonts w:ascii="Times New Roman" w:eastAsia="SimSun" w:hAnsi="Times New Roman" w:cs="Times New Roman"/>
      <w:sz w:val="22"/>
      <w:szCs w:val="22"/>
      <w:lang w:val="en-GB"/>
    </w:rPr>
  </w:style>
  <w:style w:type="character" w:customStyle="1" w:styleId="BodyText3Char">
    <w:name w:val="Body Text 3 Char"/>
    <w:basedOn w:val="DefaultParagraphFont"/>
    <w:link w:val="BodyText3"/>
    <w:uiPriority w:val="99"/>
    <w:semiHidden/>
    <w:rPr>
      <w:rFonts w:ascii="Times New Roman" w:eastAsia="SimSun" w:hAnsi="Times New Roman" w:cs="Times New Roman"/>
      <w:sz w:val="16"/>
      <w:szCs w:val="16"/>
      <w:lang w:val="en-GB"/>
    </w:rPr>
  </w:style>
  <w:style w:type="character" w:customStyle="1" w:styleId="BodyTextFirstIndentChar">
    <w:name w:val="Body Text First Indent Char"/>
    <w:basedOn w:val="BodyTextChar"/>
    <w:link w:val="BodyTextFirstIndent"/>
    <w:uiPriority w:val="99"/>
    <w:semiHidden/>
    <w:qFormat/>
    <w:rPr>
      <w:rFonts w:ascii="Times New Roman" w:eastAsia="SimSun" w:hAnsi="Times New Roman" w:cs="Times New Roman"/>
      <w:kern w:val="2"/>
      <w:sz w:val="22"/>
      <w:szCs w:val="22"/>
      <w:lang w:val="en-GB"/>
      <w14:ligatures w14:val="standardContextual"/>
    </w:rPr>
  </w:style>
  <w:style w:type="character" w:customStyle="1" w:styleId="BodyTextFirstIndent2Char">
    <w:name w:val="Body Text First Indent 2 Char"/>
    <w:basedOn w:val="BodyTextIndentChar"/>
    <w:link w:val="BodyTextFirstIndent2"/>
    <w:uiPriority w:val="99"/>
    <w:semiHidden/>
    <w:rPr>
      <w:rFonts w:ascii="Times New Roman" w:eastAsia="SimSun" w:hAnsi="Times New Roman" w:cs="Times New Roman"/>
      <w:sz w:val="22"/>
      <w:szCs w:val="22"/>
      <w:lang w:val="en-GB"/>
    </w:rPr>
  </w:style>
  <w:style w:type="character" w:customStyle="1" w:styleId="BodyTextIndent2Char">
    <w:name w:val="Body Text Indent 2 Char"/>
    <w:basedOn w:val="DefaultParagraphFont"/>
    <w:link w:val="BodyTextIndent2"/>
    <w:uiPriority w:val="99"/>
    <w:semiHidden/>
    <w:rPr>
      <w:rFonts w:ascii="Times New Roman" w:eastAsia="SimSun" w:hAnsi="Times New Roman" w:cs="Times New Roman"/>
      <w:sz w:val="22"/>
      <w:szCs w:val="22"/>
      <w:lang w:val="en-GB"/>
    </w:rPr>
  </w:style>
  <w:style w:type="character" w:customStyle="1" w:styleId="BodyTextIndent3Char">
    <w:name w:val="Body Text Indent 3 Char"/>
    <w:basedOn w:val="DefaultParagraphFont"/>
    <w:link w:val="BodyTextIndent3"/>
    <w:uiPriority w:val="99"/>
    <w:semiHidden/>
    <w:rPr>
      <w:rFonts w:ascii="Times New Roman" w:eastAsia="SimSun" w:hAnsi="Times New Roman" w:cs="Times New Roman"/>
      <w:sz w:val="16"/>
      <w:szCs w:val="16"/>
      <w:lang w:val="en-GB"/>
    </w:rPr>
  </w:style>
  <w:style w:type="character" w:customStyle="1" w:styleId="BookTitle1">
    <w:name w:val="Book Title1"/>
    <w:basedOn w:val="DefaultParagraphFont"/>
    <w:uiPriority w:val="33"/>
    <w:qFormat/>
    <w:rPr>
      <w:b/>
      <w:bCs/>
      <w:i/>
      <w:iCs/>
      <w:spacing w:val="5"/>
      <w:lang w:val="en-GB"/>
    </w:rPr>
  </w:style>
  <w:style w:type="character" w:customStyle="1" w:styleId="ClosingChar">
    <w:name w:val="Closing Char"/>
    <w:basedOn w:val="DefaultParagraphFont"/>
    <w:link w:val="Closing"/>
    <w:uiPriority w:val="99"/>
    <w:semiHidden/>
    <w:rPr>
      <w:rFonts w:ascii="Times New Roman" w:eastAsia="SimSun" w:hAnsi="Times New Roman" w:cs="Times New Roman"/>
      <w:sz w:val="22"/>
      <w:szCs w:val="22"/>
      <w:lang w:val="en-GB"/>
    </w:rPr>
  </w:style>
  <w:style w:type="character" w:customStyle="1" w:styleId="DateChar">
    <w:name w:val="Date Char"/>
    <w:basedOn w:val="DefaultParagraphFont"/>
    <w:link w:val="Date"/>
    <w:uiPriority w:val="99"/>
    <w:semiHidden/>
    <w:qFormat/>
    <w:rPr>
      <w:rFonts w:ascii="Times New Roman" w:eastAsia="SimSun" w:hAnsi="Times New Roman" w:cs="Times New Roman"/>
      <w:sz w:val="22"/>
      <w:szCs w:val="22"/>
      <w:lang w:val="en-GB"/>
    </w:rPr>
  </w:style>
  <w:style w:type="character" w:customStyle="1" w:styleId="DocumentMapChar">
    <w:name w:val="Document Map Char"/>
    <w:basedOn w:val="DefaultParagraphFont"/>
    <w:link w:val="DocumentMap"/>
    <w:uiPriority w:val="99"/>
    <w:semiHidden/>
    <w:qFormat/>
    <w:rPr>
      <w:rFonts w:ascii="Segoe UI" w:eastAsia="SimSun" w:hAnsi="Segoe UI" w:cs="Segoe UI"/>
      <w:sz w:val="16"/>
      <w:szCs w:val="16"/>
      <w:lang w:val="en-GB"/>
    </w:rPr>
  </w:style>
  <w:style w:type="character" w:customStyle="1" w:styleId="E-mailSignatureChar">
    <w:name w:val="E-mail Signature Char"/>
    <w:basedOn w:val="DefaultParagraphFont"/>
    <w:link w:val="E-mailSignature"/>
    <w:uiPriority w:val="99"/>
    <w:semiHidden/>
    <w:qFormat/>
    <w:rPr>
      <w:rFonts w:ascii="Times New Roman" w:eastAsia="SimSun" w:hAnsi="Times New Roman" w:cs="Times New Roman"/>
      <w:sz w:val="22"/>
      <w:szCs w:val="22"/>
      <w:lang w:val="en-GB"/>
    </w:rPr>
  </w:style>
  <w:style w:type="table" w:customStyle="1" w:styleId="GridTable1Light1">
    <w:name w:val="Grid Table 1 Light1"/>
    <w:basedOn w:val="TableNormal"/>
    <w:uiPriority w:val="46"/>
    <w:qFormat/>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qFormat/>
    <w:tblPr>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qFormat/>
    <w:tblPr>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tblPr>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tblPr>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tblPr>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qFormat/>
    <w:tblPr>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qFormat/>
    <w:tblPr>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qFormat/>
    <w:tblPr>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qFormat/>
    <w:tblPr>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tblPr>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qFormat/>
    <w:tblPr>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qFormat/>
    <w:tblPr>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qFormat/>
    <w:tblPr>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qFormat/>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qFormat/>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qFormat/>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qFormat/>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qFormat/>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qFormat/>
    <w:rPr>
      <w:color w:val="000000" w:themeColor="text1"/>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qFormat/>
    <w:rPr>
      <w:color w:val="365F91" w:themeColor="accent1" w:themeShade="BF"/>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Pr>
      <w:color w:val="943634" w:themeColor="accent2" w:themeShade="BF"/>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qFormat/>
    <w:rPr>
      <w:color w:val="76923C" w:themeColor="accent3" w:themeShade="BF"/>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qFormat/>
    <w:rPr>
      <w:color w:val="5F497A" w:themeColor="accent4" w:themeShade="BF"/>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qFormat/>
    <w:rPr>
      <w:color w:val="31849B" w:themeColor="accent5" w:themeShade="BF"/>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Pr>
      <w:color w:val="E36C0A" w:themeColor="accent6" w:themeShade="BF"/>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Pr>
      <w:color w:val="000000" w:themeColor="text1"/>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Pr>
      <w:color w:val="365F91" w:themeColor="accent1" w:themeShade="BF"/>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qFormat/>
    <w:rPr>
      <w:color w:val="943634" w:themeColor="accent2" w:themeShade="BF"/>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Pr>
      <w:color w:val="76923C" w:themeColor="accent3" w:themeShade="BF"/>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Pr>
      <w:color w:val="5F497A" w:themeColor="accent4" w:themeShade="BF"/>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qFormat/>
    <w:rPr>
      <w:color w:val="31849B" w:themeColor="accent5" w:themeShade="BF"/>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Pr>
      <w:color w:val="E36C0A" w:themeColor="accent6" w:themeShade="BF"/>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Pr>
      <w:color w:val="2B579A"/>
      <w:shd w:val="clear" w:color="auto" w:fill="E1DFDD"/>
      <w:lang w:val="en-GB"/>
    </w:rPr>
  </w:style>
  <w:style w:type="character" w:customStyle="1" w:styleId="HTMLAddressChar">
    <w:name w:val="HTML Address Char"/>
    <w:basedOn w:val="DefaultParagraphFont"/>
    <w:link w:val="HTMLAddress"/>
    <w:uiPriority w:val="99"/>
    <w:semiHidden/>
    <w:qFormat/>
    <w:rPr>
      <w:rFonts w:ascii="Times New Roman" w:eastAsia="SimSun" w:hAnsi="Times New Roman" w:cs="Times New Roman"/>
      <w:i/>
      <w:iCs/>
      <w:sz w:val="22"/>
      <w:szCs w:val="22"/>
      <w:lang w:val="en-GB"/>
    </w:rPr>
  </w:style>
  <w:style w:type="character" w:customStyle="1" w:styleId="HTMLPreformattedChar">
    <w:name w:val="HTML Preformatted Char"/>
    <w:basedOn w:val="DefaultParagraphFont"/>
    <w:link w:val="HTMLPreformatted"/>
    <w:uiPriority w:val="99"/>
    <w:semiHidden/>
    <w:rPr>
      <w:rFonts w:ascii="Consolas" w:eastAsia="SimSun" w:hAnsi="Consolas" w:cs="Times New Roman"/>
      <w:sz w:val="20"/>
      <w:szCs w:val="20"/>
      <w:lang w:val="en-GB"/>
    </w:rPr>
  </w:style>
  <w:style w:type="character" w:customStyle="1" w:styleId="IntenseEmphasis1">
    <w:name w:val="Intense Emphasis1"/>
    <w:basedOn w:val="DefaultParagraphFont"/>
    <w:uiPriority w:val="21"/>
    <w:qFormat/>
    <w:rPr>
      <w:i/>
      <w:iCs/>
      <w:color w:val="4F81BD" w:themeColor="accent1"/>
      <w:lang w:val="en-GB"/>
    </w:rPr>
  </w:style>
  <w:style w:type="paragraph" w:styleId="IntenseQuote">
    <w:name w:val="Intense Quote"/>
    <w:basedOn w:val="Normal"/>
    <w:next w:val="Normal"/>
    <w:link w:val="IntenseQuoteChar"/>
    <w:uiPriority w:val="30"/>
    <w:qFormat/>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qFormat/>
    <w:rPr>
      <w:rFonts w:ascii="Times New Roman" w:eastAsia="SimSun" w:hAnsi="Times New Roman" w:cs="Times New Roman"/>
      <w:i/>
      <w:iCs/>
      <w:color w:val="4F81BD" w:themeColor="accent1"/>
      <w:sz w:val="22"/>
      <w:szCs w:val="22"/>
      <w:lang w:val="en-GB"/>
    </w:rPr>
  </w:style>
  <w:style w:type="character" w:customStyle="1" w:styleId="IntenseReference1">
    <w:name w:val="Intense Reference1"/>
    <w:basedOn w:val="DefaultParagraphFont"/>
    <w:uiPriority w:val="32"/>
    <w:qFormat/>
    <w:rPr>
      <w:b/>
      <w:bCs/>
      <w:smallCaps/>
      <w:color w:val="4F81BD" w:themeColor="accent1"/>
      <w:spacing w:val="5"/>
      <w:lang w:val="en-GB"/>
    </w:rPr>
  </w:style>
  <w:style w:type="table" w:customStyle="1" w:styleId="ListTable1Light1">
    <w:name w:val="List Table 1 Light1"/>
    <w:basedOn w:val="TableNormal"/>
    <w:uiPriority w:val="46"/>
    <w:qFormat/>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qFormat/>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qFormat/>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qFormat/>
    <w:tblPr>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qFormat/>
    <w:tblPr>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qFormat/>
    <w:tblPr>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tblPr>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qFormat/>
    <w:tblPr>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qFormat/>
    <w:tblPr>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tblPr>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qFormat/>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qFormat/>
    <w:tblPr>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qFormat/>
    <w:tblPr>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qFormat/>
    <w:tblPr>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tblPr>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tblPr>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qFormat/>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qFormat/>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qFormat/>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qFormat/>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qFormat/>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qFormat/>
    <w:rPr>
      <w:color w:val="FFFFFF" w:themeColor="background1"/>
    </w:rPr>
    <w:tblPr>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Pr>
      <w:color w:val="FFFFFF" w:themeColor="background1"/>
    </w:rPr>
    <w:tblPr>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qFormat/>
    <w:rPr>
      <w:color w:val="FFFFFF" w:themeColor="background1"/>
    </w:rPr>
    <w:tblPr>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Pr>
      <w:color w:val="FFFFFF" w:themeColor="background1"/>
    </w:rPr>
    <w:tblPr>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qFormat/>
    <w:rPr>
      <w:color w:val="FFFFFF" w:themeColor="background1"/>
    </w:rPr>
    <w:tblPr>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Pr>
      <w:color w:val="FFFFFF" w:themeColor="background1"/>
    </w:rPr>
    <w:tblPr>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qFormat/>
    <w:rPr>
      <w:color w:val="FFFFFF" w:themeColor="background1"/>
    </w:rPr>
    <w:tblPr>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qFormat/>
    <w:rPr>
      <w:color w:val="000000" w:themeColor="text1"/>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qFormat/>
    <w:rPr>
      <w:color w:val="365F91" w:themeColor="accent1" w:themeShade="BF"/>
    </w:rPr>
    <w:tblPr>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qFormat/>
    <w:rPr>
      <w:color w:val="943634" w:themeColor="accent2" w:themeShade="BF"/>
    </w:rPr>
    <w:tblPr>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qFormat/>
    <w:rPr>
      <w:color w:val="76923C" w:themeColor="accent3" w:themeShade="BF"/>
    </w:rPr>
    <w:tblPr>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qFormat/>
    <w:rPr>
      <w:color w:val="5F497A" w:themeColor="accent4" w:themeShade="BF"/>
    </w:rPr>
    <w:tblPr>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Pr>
      <w:color w:val="31849B" w:themeColor="accent5" w:themeShade="BF"/>
    </w:rPr>
    <w:tblPr>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Pr>
      <w:color w:val="E36C0A" w:themeColor="accent6" w:themeShade="BF"/>
    </w:rPr>
    <w:tblPr>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Pr>
      <w:color w:val="000000" w:themeColor="text1"/>
    </w:rP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Pr>
      <w:color w:val="365F91" w:themeColor="accent1" w:themeShade="BF"/>
    </w:rP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qFormat/>
    <w:rPr>
      <w:color w:val="943634" w:themeColor="accent2" w:themeShade="BF"/>
    </w:rP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qFormat/>
    <w:rPr>
      <w:color w:val="76923C" w:themeColor="accent3" w:themeShade="BF"/>
    </w:rP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Pr>
      <w:color w:val="5F497A" w:themeColor="accent4" w:themeShade="BF"/>
    </w:rP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Pr>
      <w:color w:val="31849B" w:themeColor="accent5" w:themeShade="BF"/>
    </w:rP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qFormat/>
    <w:rPr>
      <w:color w:val="E36C0A" w:themeColor="accent6" w:themeShade="BF"/>
    </w:rP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acroTextChar">
    <w:name w:val="Macro Text Char"/>
    <w:basedOn w:val="DefaultParagraphFont"/>
    <w:link w:val="MacroText"/>
    <w:uiPriority w:val="99"/>
    <w:semiHidden/>
    <w:rPr>
      <w:rFonts w:ascii="Consolas" w:eastAsia="SimSun" w:hAnsi="Consolas" w:cs="Times New Roman"/>
      <w:sz w:val="20"/>
      <w:szCs w:val="20"/>
      <w:lang w:val="en-GB"/>
    </w:rPr>
  </w:style>
  <w:style w:type="character" w:customStyle="1" w:styleId="Mention1">
    <w:name w:val="Mention1"/>
    <w:basedOn w:val="DefaultParagraphFont"/>
    <w:uiPriority w:val="99"/>
    <w:semiHidden/>
    <w:unhideWhenUsed/>
    <w:rPr>
      <w:color w:val="2B579A"/>
      <w:shd w:val="clear" w:color="auto" w:fill="E1DFDD"/>
      <w:lang w:val="en-GB"/>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lang w:val="en-GB"/>
    </w:rPr>
  </w:style>
  <w:style w:type="paragraph" w:styleId="NoSpacing">
    <w:name w:val="No Spacing"/>
    <w:uiPriority w:val="1"/>
    <w:qFormat/>
    <w:pPr>
      <w:tabs>
        <w:tab w:val="left" w:pos="567"/>
        <w:tab w:val="left" w:pos="1134"/>
        <w:tab w:val="left" w:pos="1701"/>
        <w:tab w:val="left" w:pos="2268"/>
      </w:tabs>
      <w:jc w:val="both"/>
    </w:pPr>
    <w:rPr>
      <w:sz w:val="22"/>
      <w:szCs w:val="22"/>
      <w:lang w:val="en-GB"/>
    </w:rPr>
  </w:style>
  <w:style w:type="character" w:customStyle="1" w:styleId="NoteHeadingChar">
    <w:name w:val="Note Heading Char"/>
    <w:basedOn w:val="DefaultParagraphFont"/>
    <w:link w:val="NoteHeading"/>
    <w:uiPriority w:val="99"/>
    <w:semiHidden/>
    <w:qFormat/>
    <w:rPr>
      <w:rFonts w:ascii="Times New Roman" w:eastAsia="SimSun" w:hAnsi="Times New Roman" w:cs="Times New Roman"/>
      <w:sz w:val="22"/>
      <w:szCs w:val="22"/>
      <w:lang w:val="en-GB"/>
    </w:rPr>
  </w:style>
  <w:style w:type="table" w:customStyle="1" w:styleId="PlainTable11">
    <w:name w:val="Plain Table 11"/>
    <w:basedOn w:val="TableNormal"/>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PlainTextChar">
    <w:name w:val="Plain Text Char"/>
    <w:basedOn w:val="DefaultParagraphFont"/>
    <w:link w:val="PlainText"/>
    <w:uiPriority w:val="99"/>
    <w:semiHidden/>
    <w:qFormat/>
    <w:rPr>
      <w:rFonts w:ascii="Consolas" w:eastAsia="SimSun" w:hAnsi="Consolas" w:cs="Times New Roman"/>
      <w:sz w:val="21"/>
      <w:szCs w:val="21"/>
      <w:lang w:val="en-GB"/>
    </w:rPr>
  </w:style>
  <w:style w:type="paragraph" w:styleId="Quote">
    <w:name w:val="Quote"/>
    <w:basedOn w:val="Normal"/>
    <w:next w:val="Normal"/>
    <w:link w:val="QuoteChar"/>
    <w:uiPriority w:val="29"/>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qFormat/>
    <w:rPr>
      <w:rFonts w:ascii="Times New Roman" w:eastAsia="SimSun" w:hAnsi="Times New Roman" w:cs="Times New Roman"/>
      <w:i/>
      <w:iCs/>
      <w:color w:val="404040" w:themeColor="text1" w:themeTint="BF"/>
      <w:sz w:val="22"/>
      <w:szCs w:val="22"/>
      <w:lang w:val="en-GB"/>
    </w:rPr>
  </w:style>
  <w:style w:type="character" w:customStyle="1" w:styleId="SalutationChar">
    <w:name w:val="Salutation Char"/>
    <w:basedOn w:val="DefaultParagraphFont"/>
    <w:link w:val="Salutation"/>
    <w:uiPriority w:val="99"/>
    <w:semiHidden/>
    <w:qFormat/>
    <w:rPr>
      <w:rFonts w:ascii="Times New Roman" w:eastAsia="SimSun" w:hAnsi="Times New Roman" w:cs="Times New Roman"/>
      <w:sz w:val="22"/>
      <w:szCs w:val="22"/>
      <w:lang w:val="en-GB"/>
    </w:rPr>
  </w:style>
  <w:style w:type="character" w:customStyle="1" w:styleId="SignatureChar">
    <w:name w:val="Signature Char"/>
    <w:basedOn w:val="DefaultParagraphFont"/>
    <w:link w:val="Signature"/>
    <w:uiPriority w:val="99"/>
    <w:semiHidden/>
    <w:qFormat/>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unhideWhenUsed/>
    <w:qFormat/>
    <w:rPr>
      <w:u w:val="dotted"/>
      <w:lang w:val="en-GB"/>
    </w:rPr>
  </w:style>
  <w:style w:type="character" w:customStyle="1" w:styleId="SmartLink1">
    <w:name w:val="SmartLink1"/>
    <w:basedOn w:val="DefaultParagraphFont"/>
    <w:uiPriority w:val="99"/>
    <w:semiHidden/>
    <w:unhideWhenUsed/>
    <w:qFormat/>
    <w:rPr>
      <w:color w:val="0000FF"/>
      <w:u w:val="single"/>
      <w:shd w:val="clear" w:color="auto" w:fill="F3F2F1"/>
      <w:lang w:val="en-GB"/>
    </w:rPr>
  </w:style>
  <w:style w:type="character" w:customStyle="1" w:styleId="SubtleEmphasis1">
    <w:name w:val="Subtle Emphasis1"/>
    <w:basedOn w:val="DefaultParagraphFont"/>
    <w:uiPriority w:val="19"/>
    <w:qFormat/>
    <w:rPr>
      <w:i/>
      <w:iCs/>
      <w:color w:val="404040" w:themeColor="text1" w:themeTint="BF"/>
      <w:lang w:val="en-GB"/>
    </w:rPr>
  </w:style>
  <w:style w:type="character" w:customStyle="1" w:styleId="SubtleReference1">
    <w:name w:val="Subtle Reference1"/>
    <w:basedOn w:val="DefaultParagraphFont"/>
    <w:uiPriority w:val="31"/>
    <w:qFormat/>
    <w:rPr>
      <w:smallCaps/>
      <w:color w:val="595959" w:themeColor="text1" w:themeTint="A6"/>
      <w:lang w:val="en-GB"/>
    </w:rPr>
  </w:style>
  <w:style w:type="table" w:customStyle="1" w:styleId="TableGridLight1">
    <w:name w:val="Table Grid Light1"/>
    <w:basedOn w:val="TableNormal"/>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OCHeading1">
    <w:name w:val="TOC Heading1"/>
    <w:basedOn w:val="Heading1"/>
    <w:next w:val="Normal"/>
    <w:uiPriority w:val="39"/>
    <w:semiHidden/>
    <w:unhideWhenUsed/>
    <w:qFormat/>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1">
    <w:name w:val="Unresolved Mention1"/>
    <w:basedOn w:val="DefaultParagraphFont"/>
    <w:uiPriority w:val="99"/>
    <w:semiHidden/>
    <w:unhideWhenUsed/>
    <w:rPr>
      <w:color w:val="605E5C"/>
      <w:shd w:val="clear" w:color="auto" w:fill="E1DFDD"/>
      <w:lang w:val="en-GB"/>
    </w:rPr>
  </w:style>
  <w:style w:type="paragraph" w:customStyle="1" w:styleId="CBDAgendaItemReport">
    <w:name w:val="CBD_AgendaItem_Report"/>
    <w:basedOn w:val="Normal"/>
    <w:qFormat/>
    <w:pPr>
      <w:keepNext/>
      <w:keepLines/>
      <w:spacing w:before="240" w:after="120"/>
      <w:jc w:val="left"/>
    </w:pPr>
    <w:rPr>
      <w:b/>
      <w:sz w:val="24"/>
    </w:rPr>
  </w:style>
  <w:style w:type="paragraph" w:customStyle="1" w:styleId="CBDagendaItem0">
    <w:name w:val="CBD_agenda_Item"/>
    <w:basedOn w:val="CBDNormalNumber"/>
    <w:qFormat/>
  </w:style>
  <w:style w:type="paragraph" w:customStyle="1" w:styleId="CBDpara-item">
    <w:name w:val="CBD_para-item"/>
    <w:basedOn w:val="Normal"/>
    <w:qFormat/>
    <w:pPr>
      <w:tabs>
        <w:tab w:val="clear" w:pos="567"/>
      </w:tabs>
      <w:spacing w:before="120" w:after="120"/>
      <w:ind w:left="1134" w:hanging="567"/>
      <w:jc w:val="left"/>
    </w:pPr>
  </w:style>
  <w:style w:type="paragraph" w:customStyle="1" w:styleId="CBDsubpara-item">
    <w:name w:val="CBD_subpara-item"/>
    <w:basedOn w:val="CBDpara-item"/>
    <w:qFormat/>
    <w:pPr>
      <w:tabs>
        <w:tab w:val="clear" w:pos="1134"/>
      </w:tabs>
      <w:ind w:left="1701"/>
    </w:pPr>
  </w:style>
  <w:style w:type="paragraph" w:customStyle="1" w:styleId="CBDRecommendText">
    <w:name w:val="CBD_RecommendText"/>
    <w:basedOn w:val="Normal"/>
    <w:qFormat/>
    <w:pPr>
      <w:spacing w:after="120"/>
      <w:ind w:left="567"/>
    </w:pPr>
  </w:style>
  <w:style w:type="paragraph" w:customStyle="1" w:styleId="Venuedate">
    <w:name w:val="Venue&amp;date"/>
    <w:basedOn w:val="Cornernotation"/>
    <w:qFormat/>
    <w:rPr>
      <w:bCs/>
    </w:rPr>
  </w:style>
  <w:style w:type="paragraph" w:styleId="Revision">
    <w:name w:val="Revision"/>
    <w:hidden/>
    <w:uiPriority w:val="99"/>
    <w:unhideWhenUsed/>
    <w:rsid w:val="00BA22C3"/>
    <w:rPr>
      <w:sz w:val="22"/>
      <w:szCs w:val="22"/>
      <w:lang w:val="en-GB"/>
    </w:rPr>
  </w:style>
  <w:style w:type="character" w:styleId="UnresolvedMention">
    <w:name w:val="Unresolved Mention"/>
    <w:basedOn w:val="DefaultParagraphFont"/>
    <w:uiPriority w:val="99"/>
    <w:semiHidden/>
    <w:unhideWhenUsed/>
    <w:rsid w:val="005220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p-mop-11/cp-mop-11-dec-01-ru.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p-mop-11/cp-mop-11-dec-01-ru.pdf" TargetMode="External"/><Relationship Id="rId25" Type="http://schemas.openxmlformats.org/officeDocument/2006/relationships/hyperlink" Target="https://www.cbd.int/doc/decisions/cp-mop-11/cp-mop-11-dec-01-ru.pdf" TargetMode="External"/><Relationship Id="rId2" Type="http://schemas.openxmlformats.org/officeDocument/2006/relationships/customXml" Target="../customXml/item2.xml"/><Relationship Id="rId16" Type="http://schemas.openxmlformats.org/officeDocument/2006/relationships/hyperlink" Target="https://www.cbd.int/doc/decisions/cp-mop-11/cp-mop-11-dec-01-ru.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bch.cbd.int/protocol/cpb_art34_info.shtml"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oc/decisions/cp-mop-11/cp-mop-11-dec-01-ru.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864b/c11a/720453c0f462d6dfa61384e6/cp-cc-21-05-en.pdf" TargetMode="External"/><Relationship Id="rId2" Type="http://schemas.openxmlformats.org/officeDocument/2006/relationships/hyperlink" Target="https://www.cbd.int/doc/c/6ad5/3b4a/81b758d39b6a601d8bde8f22/cp-cc-20-06-en.pdf" TargetMode="External"/><Relationship Id="rId1" Type="http://schemas.openxmlformats.org/officeDocument/2006/relationships/hyperlink" Target="https://www.cbd.int/doc/c/4196/38de/49fa974e03a44a7835b747dd/cp-mop-12-01-ru.pdf" TargetMode="External"/><Relationship Id="rId5" Type="http://schemas.openxmlformats.org/officeDocument/2006/relationships/hyperlink" Target="https://www.cbd.int/doc/decisions/cop-15/cop-15-dec-04-ru.pdf" TargetMode="External"/><Relationship Id="rId4" Type="http://schemas.openxmlformats.org/officeDocument/2006/relationships/hyperlink" Target="https://bch.cbd.int/protocol/decisions?decisionID=828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cbd-template%20(7).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D39685AEA345639560464042483489"/>
        <w:category>
          <w:name w:val="General"/>
          <w:gallery w:val="placeholder"/>
        </w:category>
        <w:types>
          <w:type w:val="bbPlcHdr"/>
        </w:types>
        <w:behaviors>
          <w:behavior w:val="content"/>
        </w:behaviors>
        <w:guid w:val="{D5D5F491-B867-4CD2-8F96-9AFDA7E318A9}"/>
      </w:docPartPr>
      <w:docPartBody>
        <w:p w:rsidR="00774E26" w:rsidRDefault="002765E9">
          <w:pPr>
            <w:pStyle w:val="50D39685AEA345639560464042483489"/>
          </w:pPr>
          <w:r>
            <w:rPr>
              <w:rStyle w:val="PlaceholderText"/>
            </w:rPr>
            <w:t>[Title]</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97B73" w:rsidRDefault="00F97B73">
      <w:pPr>
        <w:spacing w:line="240" w:lineRule="auto"/>
      </w:pPr>
      <w:r>
        <w:separator/>
      </w:r>
    </w:p>
  </w:endnote>
  <w:endnote w:type="continuationSeparator" w:id="0">
    <w:p w:rsidR="00F97B73" w:rsidRDefault="00F97B73">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10006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97B73" w:rsidRDefault="00F97B73">
      <w:pPr>
        <w:spacing w:after="0"/>
      </w:pPr>
      <w:r>
        <w:separator/>
      </w:r>
    </w:p>
  </w:footnote>
  <w:footnote w:type="continuationSeparator" w:id="0">
    <w:p w:rsidR="00F97B73" w:rsidRDefault="00F97B73">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AED"/>
    <w:rsid w:val="000071A4"/>
    <w:rsid w:val="00024CEC"/>
    <w:rsid w:val="00057253"/>
    <w:rsid w:val="00080348"/>
    <w:rsid w:val="000D0E2D"/>
    <w:rsid w:val="00161B5A"/>
    <w:rsid w:val="00174393"/>
    <w:rsid w:val="00185793"/>
    <w:rsid w:val="0019546A"/>
    <w:rsid w:val="0020190C"/>
    <w:rsid w:val="0022104B"/>
    <w:rsid w:val="00235B6F"/>
    <w:rsid w:val="002702BA"/>
    <w:rsid w:val="002765E9"/>
    <w:rsid w:val="002D4564"/>
    <w:rsid w:val="003C50C4"/>
    <w:rsid w:val="004202BD"/>
    <w:rsid w:val="004628E4"/>
    <w:rsid w:val="00467AA2"/>
    <w:rsid w:val="004A7EE5"/>
    <w:rsid w:val="004F1722"/>
    <w:rsid w:val="0051606B"/>
    <w:rsid w:val="005B716C"/>
    <w:rsid w:val="005F7F4D"/>
    <w:rsid w:val="0060088D"/>
    <w:rsid w:val="00643D2E"/>
    <w:rsid w:val="00657687"/>
    <w:rsid w:val="00661668"/>
    <w:rsid w:val="00661DD4"/>
    <w:rsid w:val="00683DD4"/>
    <w:rsid w:val="006B34D4"/>
    <w:rsid w:val="00774E26"/>
    <w:rsid w:val="0078688D"/>
    <w:rsid w:val="007B412D"/>
    <w:rsid w:val="00801490"/>
    <w:rsid w:val="00860CAD"/>
    <w:rsid w:val="00963E2A"/>
    <w:rsid w:val="009D37BD"/>
    <w:rsid w:val="009E7CBE"/>
    <w:rsid w:val="00A04931"/>
    <w:rsid w:val="00A22FF0"/>
    <w:rsid w:val="00A44BEC"/>
    <w:rsid w:val="00AA02BF"/>
    <w:rsid w:val="00AB2F76"/>
    <w:rsid w:val="00AF614D"/>
    <w:rsid w:val="00B23F86"/>
    <w:rsid w:val="00B26773"/>
    <w:rsid w:val="00BD3CEA"/>
    <w:rsid w:val="00C5684E"/>
    <w:rsid w:val="00CC6AED"/>
    <w:rsid w:val="00CF659D"/>
    <w:rsid w:val="00D128CC"/>
    <w:rsid w:val="00D27015"/>
    <w:rsid w:val="00D3472D"/>
    <w:rsid w:val="00D71F3C"/>
    <w:rsid w:val="00D86245"/>
    <w:rsid w:val="00DB4EFE"/>
    <w:rsid w:val="00E461EB"/>
    <w:rsid w:val="00E64C7E"/>
    <w:rsid w:val="00F40D82"/>
    <w:rsid w:val="00F41099"/>
    <w:rsid w:val="00F44740"/>
    <w:rsid w:val="00F8190B"/>
    <w:rsid w:val="00F97B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sid w:val="00E64C7E"/>
    <w:rPr>
      <w:color w:val="808080"/>
    </w:rPr>
  </w:style>
  <w:style w:type="paragraph" w:customStyle="1" w:styleId="50D39685AEA345639560464042483489">
    <w:name w:val="50D39685AEA345639560464042483489"/>
    <w:pPr>
      <w:spacing w:after="160" w:line="278" w:lineRule="auto"/>
    </w:pPr>
    <w:rPr>
      <w:kern w:val="2"/>
      <w:sz w:val="24"/>
      <w:szCs w:val="24"/>
      <w:lan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B4DD0AE4-3B32-4D4C-821F-BB0AF1C17580}"/>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cbd-template (7)</Template>
  <TotalTime>0</TotalTime>
  <Pages>9</Pages>
  <Words>3413</Words>
  <Characters>19460</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Report of the Compliance Committee under the Cartagena Protocol on Biosafety on its twentieth and twenty-first meetings</vt:lpstr>
    </vt:vector>
  </TitlesOfParts>
  <Company>SCBD</Company>
  <LinksUpToDate>false</LinksUpToDate>
  <CharactersWithSpaces>22828</CharactersWithSpaces>
  <SharedDoc>false</SharedDoc>
  <HLinks>
    <vt:vector size="72" baseType="variant">
      <vt:variant>
        <vt:i4>7405681</vt:i4>
      </vt:variant>
      <vt:variant>
        <vt:i4>18</vt:i4>
      </vt:variant>
      <vt:variant>
        <vt:i4>0</vt:i4>
      </vt:variant>
      <vt:variant>
        <vt:i4>5</vt:i4>
      </vt:variant>
      <vt:variant>
        <vt:lpwstr>https://www.cbd.int/decisions/mop/?m=cp-mop-11</vt:lpwstr>
      </vt:variant>
      <vt:variant>
        <vt:lpwstr/>
      </vt:variant>
      <vt:variant>
        <vt:i4>6029399</vt:i4>
      </vt:variant>
      <vt:variant>
        <vt:i4>15</vt:i4>
      </vt:variant>
      <vt:variant>
        <vt:i4>0</vt:i4>
      </vt:variant>
      <vt:variant>
        <vt:i4>5</vt:i4>
      </vt:variant>
      <vt:variant>
        <vt:lpwstr>https://bch.cbd.int/protocol/cpb_art34_info.shtml</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7405681</vt:i4>
      </vt:variant>
      <vt:variant>
        <vt:i4>9</vt:i4>
      </vt:variant>
      <vt:variant>
        <vt:i4>0</vt:i4>
      </vt:variant>
      <vt:variant>
        <vt:i4>5</vt:i4>
      </vt:variant>
      <vt:variant>
        <vt:lpwstr>https://www.cbd.int/decisions/mop/?m=cp-mop-11</vt:lpwstr>
      </vt:variant>
      <vt:variant>
        <vt:lpwstr/>
      </vt:variant>
      <vt:variant>
        <vt:i4>7405681</vt:i4>
      </vt:variant>
      <vt:variant>
        <vt:i4>6</vt:i4>
      </vt:variant>
      <vt:variant>
        <vt:i4>0</vt:i4>
      </vt:variant>
      <vt:variant>
        <vt:i4>5</vt:i4>
      </vt:variant>
      <vt:variant>
        <vt:lpwstr>https://www.cbd.int/decisions/mop/?m=cp-mop-11</vt:lpwstr>
      </vt:variant>
      <vt:variant>
        <vt:lpwstr/>
      </vt:variant>
      <vt:variant>
        <vt:i4>7405681</vt:i4>
      </vt:variant>
      <vt:variant>
        <vt:i4>3</vt:i4>
      </vt:variant>
      <vt:variant>
        <vt:i4>0</vt:i4>
      </vt:variant>
      <vt:variant>
        <vt:i4>5</vt:i4>
      </vt:variant>
      <vt:variant>
        <vt:lpwstr>https://www.cbd.int/decisions/mop/?m=cp-mop-11</vt:lpwstr>
      </vt:variant>
      <vt:variant>
        <vt:lpwstr/>
      </vt:variant>
      <vt:variant>
        <vt:i4>6029399</vt:i4>
      </vt:variant>
      <vt:variant>
        <vt:i4>0</vt:i4>
      </vt:variant>
      <vt:variant>
        <vt:i4>0</vt:i4>
      </vt:variant>
      <vt:variant>
        <vt:i4>5</vt:i4>
      </vt:variant>
      <vt:variant>
        <vt:lpwstr>https://bch.cbd.int/protocol/cpb_art34_info.shtml</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7929915</vt:i4>
      </vt:variant>
      <vt:variant>
        <vt:i4>9</vt:i4>
      </vt:variant>
      <vt:variant>
        <vt:i4>0</vt:i4>
      </vt:variant>
      <vt:variant>
        <vt:i4>5</vt:i4>
      </vt:variant>
      <vt:variant>
        <vt:lpwstr>https://bch.cbd.int/protocol/decisions?decisionID=8284</vt:lpwstr>
      </vt:variant>
      <vt:variant>
        <vt:lpwstr/>
      </vt:variant>
      <vt:variant>
        <vt:i4>8323170</vt:i4>
      </vt:variant>
      <vt:variant>
        <vt:i4>6</vt:i4>
      </vt:variant>
      <vt:variant>
        <vt:i4>0</vt:i4>
      </vt:variant>
      <vt:variant>
        <vt:i4>5</vt:i4>
      </vt:variant>
      <vt:variant>
        <vt:lpwstr>https://www.cbd.int/doc/c/864b/c11a/720453c0f462d6dfa61384e6/cp-cc-21-05-en.pdf</vt:lpwstr>
      </vt:variant>
      <vt:variant>
        <vt:lpwstr/>
      </vt:variant>
      <vt:variant>
        <vt:i4>7602231</vt:i4>
      </vt:variant>
      <vt:variant>
        <vt:i4>3</vt:i4>
      </vt:variant>
      <vt:variant>
        <vt:i4>0</vt:i4>
      </vt:variant>
      <vt:variant>
        <vt:i4>5</vt:i4>
      </vt:variant>
      <vt:variant>
        <vt:lpwstr>https://www.cbd.int/doc/c/6ad5/3b4a/81b758d39b6a601d8bde8f22/cp-cc-20-06-en.pdf</vt:lpwstr>
      </vt:variant>
      <vt:variant>
        <vt:lpwstr/>
      </vt:variant>
      <vt:variant>
        <vt:i4>6225940</vt:i4>
      </vt:variant>
      <vt:variant>
        <vt:i4>0</vt:i4>
      </vt:variant>
      <vt:variant>
        <vt:i4>0</vt:i4>
      </vt:variant>
      <vt:variant>
        <vt:i4>5</vt:i4>
      </vt:variant>
      <vt:variant>
        <vt:lpwstr>https://www.cbd.int/documents/CBD/CP/MOP/12/1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Комитета по соблюдению в рамках Картахенского протокола по биобезопасности о работе его 20-го и 21-го совещаний</dc:title>
  <dc:subject>CBD/CP/MOP/12/3</dc:subject>
  <dc:creator>scbd</dc:creator>
  <cp:keywords>Convention on Biological Diversity</cp:keywords>
  <cp:lastModifiedBy>Yuri Ivakhiv</cp:lastModifiedBy>
  <cp:revision>2</cp:revision>
  <cp:lastPrinted>2026-06-12T06:03:00Z</cp:lastPrinted>
  <dcterms:created xsi:type="dcterms:W3CDTF">2026-08-26T08:58:00Z</dcterms:created>
  <dcterms:modified xsi:type="dcterms:W3CDTF">2026-08-26T08:58:00Z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KSOTemplateDocerSaveRecord">
    <vt:lpwstr>eyJoZGlkIjoiODhjYTk3ZDRiOGRlZDBhNGYxOGYxZGU1ZmI0YmFkZDMiLCJ1c2VySWQiOiIzOTA5MTE5NDcifQ==</vt:lpwstr>
  </property>
  <property fmtid="{D5CDD505-2E9C-101B-9397-08002B2CF9AE}" pid="10" name="KSOProductBuildVer">
    <vt:lpwstr>2052-12.1.0.26381</vt:lpwstr>
  </property>
  <property fmtid="{D5CDD505-2E9C-101B-9397-08002B2CF9AE}" pid="11" name="ICV">
    <vt:lpwstr>9162E0EFA42041CD96FF9BB11BEDEB55_12</vt:lpwstr>
  </property>
  <property fmtid="{D5CDD505-2E9C-101B-9397-08002B2CF9AE}" pid="12" name="ContentTypeId">
    <vt:lpwstr>0x0101007A328EB00E67F346B6174BE96D327B2B</vt:lpwstr>
  </property>
</Properties>
</file>