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EE600D" w:rsidTr="00C07151">
        <w:trPr>
          <w:trHeight w:val="709"/>
        </w:trPr>
        <w:tc>
          <w:tcPr>
            <w:tcW w:w="976" w:type="dxa"/>
            <w:tcBorders>
              <w:bottom w:val="single" w:sz="12" w:space="0" w:color="auto"/>
            </w:tcBorders>
          </w:tcPr>
          <w:p w:rsidR="00207A6E" w:rsidRPr="00F82F1D" w:rsidRDefault="00207A6E" w:rsidP="00F82F1D">
            <w:pPr>
              <w:suppressLineNumbers/>
              <w:suppressAutoHyphens/>
              <w:kinsoku w:val="0"/>
              <w:overflowPunct w:val="0"/>
              <w:autoSpaceDE w:val="0"/>
              <w:autoSpaceDN w:val="0"/>
              <w:rPr>
                <w:kern w:val="22"/>
              </w:rPr>
            </w:pPr>
            <w:bookmarkStart w:id="0" w:name="_GoBack"/>
            <w:bookmarkEnd w:id="0"/>
            <w:r w:rsidRPr="00F82F1D">
              <w:rPr>
                <w:noProof/>
                <w:kern w:val="22"/>
                <w:lang w:eastAsia="zh-CN"/>
              </w:rPr>
              <w:drawing>
                <wp:inline distT="0" distB="0" distL="0" distR="0" wp14:anchorId="6E539B47" wp14:editId="1878ECA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207A6E" w:rsidRPr="00F82F1D" w:rsidRDefault="00207A6E" w:rsidP="00F82F1D">
            <w:pPr>
              <w:suppressLineNumbers/>
              <w:suppressAutoHyphens/>
              <w:kinsoku w:val="0"/>
              <w:overflowPunct w:val="0"/>
              <w:autoSpaceDE w:val="0"/>
              <w:autoSpaceDN w:val="0"/>
              <w:rPr>
                <w:kern w:val="22"/>
              </w:rPr>
            </w:pPr>
            <w:r w:rsidRPr="00F82F1D">
              <w:rPr>
                <w:noProof/>
                <w:kern w:val="22"/>
                <w:lang w:eastAsia="zh-CN"/>
              </w:rPr>
              <w:drawing>
                <wp:inline distT="0" distB="0" distL="0" distR="0" wp14:anchorId="72379158" wp14:editId="58CFC785">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207A6E" w:rsidRPr="00F82F1D" w:rsidRDefault="00207A6E" w:rsidP="00F82F1D">
            <w:pPr>
              <w:suppressLineNumbers/>
              <w:suppressAutoHyphens/>
              <w:kinsoku w:val="0"/>
              <w:overflowPunct w:val="0"/>
              <w:autoSpaceDE w:val="0"/>
              <w:autoSpaceDN w:val="0"/>
              <w:jc w:val="right"/>
              <w:rPr>
                <w:rFonts w:ascii="Arial" w:hAnsi="Arial" w:cs="Arial"/>
                <w:b/>
                <w:kern w:val="22"/>
                <w:sz w:val="32"/>
                <w:szCs w:val="32"/>
              </w:rPr>
            </w:pPr>
            <w:r w:rsidRPr="00F82F1D">
              <w:rPr>
                <w:rFonts w:ascii="Arial" w:hAnsi="Arial" w:cs="Arial"/>
                <w:b/>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EE600D" w:rsidTr="009554D5">
        <w:trPr>
          <w:trHeight w:val="1693"/>
        </w:trPr>
        <w:tc>
          <w:tcPr>
            <w:tcW w:w="6227" w:type="dxa"/>
            <w:tcBorders>
              <w:top w:val="nil"/>
              <w:bottom w:val="single" w:sz="36" w:space="0" w:color="000000"/>
            </w:tcBorders>
          </w:tcPr>
          <w:p w:rsidR="00F16F02" w:rsidRPr="00F82F1D" w:rsidRDefault="00F16F02" w:rsidP="00F82F1D">
            <w:pPr>
              <w:suppressLineNumbers/>
              <w:suppressAutoHyphens/>
              <w:kinsoku w:val="0"/>
              <w:overflowPunct w:val="0"/>
              <w:autoSpaceDE w:val="0"/>
              <w:autoSpaceDN w:val="0"/>
              <w:rPr>
                <w:kern w:val="22"/>
              </w:rPr>
            </w:pPr>
          </w:p>
          <w:p w:rsidR="00F16F02" w:rsidRPr="00F82F1D" w:rsidRDefault="00F16F02" w:rsidP="00F82F1D">
            <w:pPr>
              <w:suppressLineNumbers/>
              <w:suppressAutoHyphens/>
              <w:kinsoku w:val="0"/>
              <w:overflowPunct w:val="0"/>
              <w:autoSpaceDE w:val="0"/>
              <w:autoSpaceDN w:val="0"/>
              <w:rPr>
                <w:kern w:val="22"/>
              </w:rPr>
            </w:pPr>
            <w:r w:rsidRPr="00EE600D">
              <w:rPr>
                <w:noProof/>
                <w:kern w:val="22"/>
                <w:lang w:eastAsia="zh-CN"/>
              </w:rPr>
              <w:drawing>
                <wp:inline distT="0" distB="0" distL="0" distR="0" wp14:anchorId="4FA5AEC7" wp14:editId="222EFB3C">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p w:rsidR="00F16F02" w:rsidRPr="00F82F1D" w:rsidRDefault="00F16F02" w:rsidP="00F82F1D">
            <w:pPr>
              <w:suppressLineNumbers/>
              <w:suppressAutoHyphens/>
              <w:kinsoku w:val="0"/>
              <w:overflowPunct w:val="0"/>
              <w:autoSpaceDE w:val="0"/>
              <w:autoSpaceDN w:val="0"/>
              <w:rPr>
                <w:rFonts w:ascii="Univers" w:hAnsi="Univers"/>
                <w:kern w:val="22"/>
                <w:sz w:val="32"/>
              </w:rPr>
            </w:pPr>
          </w:p>
        </w:tc>
        <w:tc>
          <w:tcPr>
            <w:tcW w:w="1144" w:type="dxa"/>
            <w:tcBorders>
              <w:top w:val="nil"/>
              <w:bottom w:val="single" w:sz="36" w:space="0" w:color="000000"/>
            </w:tcBorders>
          </w:tcPr>
          <w:p w:rsidR="00F16F02" w:rsidRPr="00F82F1D" w:rsidRDefault="00F16F02" w:rsidP="00F82F1D">
            <w:pPr>
              <w:pStyle w:val="Header"/>
              <w:suppressLineNumbers/>
              <w:tabs>
                <w:tab w:val="clear" w:pos="4320"/>
                <w:tab w:val="clear" w:pos="8640"/>
              </w:tabs>
              <w:suppressAutoHyphens/>
              <w:kinsoku w:val="0"/>
              <w:overflowPunct w:val="0"/>
              <w:autoSpaceDE w:val="0"/>
              <w:autoSpaceDN w:val="0"/>
              <w:rPr>
                <w:b/>
                <w:kern w:val="22"/>
                <w:sz w:val="32"/>
                <w:szCs w:val="32"/>
              </w:rPr>
            </w:pPr>
          </w:p>
        </w:tc>
        <w:tc>
          <w:tcPr>
            <w:tcW w:w="2977" w:type="dxa"/>
            <w:tcBorders>
              <w:top w:val="nil"/>
              <w:bottom w:val="single" w:sz="36" w:space="0" w:color="000000"/>
            </w:tcBorders>
          </w:tcPr>
          <w:p w:rsidR="00F16F02" w:rsidRPr="00F82F1D" w:rsidRDefault="00F16F02" w:rsidP="00F82F1D">
            <w:pPr>
              <w:suppressLineNumbers/>
              <w:suppressAutoHyphens/>
              <w:kinsoku w:val="0"/>
              <w:overflowPunct w:val="0"/>
              <w:autoSpaceDE w:val="0"/>
              <w:autoSpaceDN w:val="0"/>
              <w:ind w:left="63"/>
              <w:rPr>
                <w:kern w:val="22"/>
                <w:szCs w:val="22"/>
              </w:rPr>
            </w:pPr>
            <w:r w:rsidRPr="00F82F1D">
              <w:rPr>
                <w:kern w:val="22"/>
                <w:szCs w:val="22"/>
              </w:rPr>
              <w:t>Distr.</w:t>
            </w:r>
          </w:p>
          <w:p w:rsidR="00F16F02" w:rsidRPr="00F82F1D" w:rsidRDefault="00F16F02" w:rsidP="00F82F1D">
            <w:pPr>
              <w:suppressLineNumbers/>
              <w:suppressAutoHyphens/>
              <w:kinsoku w:val="0"/>
              <w:overflowPunct w:val="0"/>
              <w:autoSpaceDE w:val="0"/>
              <w:autoSpaceDN w:val="0"/>
              <w:ind w:left="63"/>
              <w:rPr>
                <w:kern w:val="22"/>
                <w:szCs w:val="22"/>
              </w:rPr>
            </w:pPr>
            <w:r w:rsidRPr="00F82F1D">
              <w:rPr>
                <w:kern w:val="22"/>
                <w:szCs w:val="22"/>
              </w:rPr>
              <w:t>GENERAL</w:t>
            </w:r>
          </w:p>
          <w:p w:rsidR="00F16F02" w:rsidRPr="00F82F1D" w:rsidRDefault="00F16F02" w:rsidP="00F82F1D">
            <w:pPr>
              <w:suppressLineNumbers/>
              <w:suppressAutoHyphens/>
              <w:kinsoku w:val="0"/>
              <w:overflowPunct w:val="0"/>
              <w:autoSpaceDE w:val="0"/>
              <w:autoSpaceDN w:val="0"/>
              <w:ind w:left="63"/>
              <w:rPr>
                <w:kern w:val="22"/>
                <w:szCs w:val="22"/>
              </w:rPr>
            </w:pPr>
          </w:p>
          <w:sdt>
            <w:sdtPr>
              <w:rPr>
                <w:kern w:val="22"/>
                <w:szCs w:val="22"/>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rsidR="00F16F02" w:rsidRPr="00F82F1D" w:rsidRDefault="00EB00A2" w:rsidP="00F82F1D">
                <w:pPr>
                  <w:suppressLineNumbers/>
                  <w:suppressAutoHyphens/>
                  <w:kinsoku w:val="0"/>
                  <w:overflowPunct w:val="0"/>
                  <w:autoSpaceDE w:val="0"/>
                  <w:autoSpaceDN w:val="0"/>
                  <w:ind w:left="63"/>
                  <w:rPr>
                    <w:kern w:val="22"/>
                    <w:szCs w:val="22"/>
                  </w:rPr>
                </w:pPr>
                <w:r w:rsidRPr="00F82F1D">
                  <w:rPr>
                    <w:kern w:val="22"/>
                    <w:szCs w:val="22"/>
                  </w:rPr>
                  <w:t>CBD/SBI/2/16/Add.1</w:t>
                </w:r>
              </w:p>
            </w:sdtContent>
          </w:sdt>
          <w:p w:rsidR="00F16F02" w:rsidRPr="00F82F1D" w:rsidRDefault="009476F5" w:rsidP="00F82F1D">
            <w:pPr>
              <w:suppressLineNumbers/>
              <w:suppressAutoHyphens/>
              <w:kinsoku w:val="0"/>
              <w:overflowPunct w:val="0"/>
              <w:autoSpaceDE w:val="0"/>
              <w:autoSpaceDN w:val="0"/>
              <w:ind w:left="63"/>
              <w:rPr>
                <w:kern w:val="22"/>
                <w:szCs w:val="22"/>
              </w:rPr>
            </w:pPr>
            <w:r w:rsidRPr="00F82F1D">
              <w:rPr>
                <w:kern w:val="22"/>
                <w:szCs w:val="22"/>
              </w:rPr>
              <w:t>1</w:t>
            </w:r>
            <w:r w:rsidR="00742F79" w:rsidRPr="00F82F1D">
              <w:rPr>
                <w:kern w:val="22"/>
                <w:szCs w:val="22"/>
              </w:rPr>
              <w:t>2</w:t>
            </w:r>
            <w:r w:rsidR="00D15589" w:rsidRPr="00F82F1D">
              <w:rPr>
                <w:kern w:val="22"/>
                <w:szCs w:val="22"/>
              </w:rPr>
              <w:t xml:space="preserve"> </w:t>
            </w:r>
            <w:r w:rsidR="00742F79" w:rsidRPr="00F82F1D">
              <w:rPr>
                <w:kern w:val="22"/>
                <w:szCs w:val="22"/>
              </w:rPr>
              <w:t>February</w:t>
            </w:r>
            <w:r w:rsidR="00D15589" w:rsidRPr="00F82F1D">
              <w:rPr>
                <w:kern w:val="22"/>
                <w:szCs w:val="22"/>
              </w:rPr>
              <w:t xml:space="preserve"> 2018</w:t>
            </w:r>
          </w:p>
          <w:p w:rsidR="00F16F02" w:rsidRPr="00F82F1D" w:rsidRDefault="00F16F02" w:rsidP="00F82F1D">
            <w:pPr>
              <w:suppressLineNumbers/>
              <w:suppressAutoHyphens/>
              <w:kinsoku w:val="0"/>
              <w:overflowPunct w:val="0"/>
              <w:autoSpaceDE w:val="0"/>
              <w:autoSpaceDN w:val="0"/>
              <w:ind w:left="63"/>
              <w:rPr>
                <w:kern w:val="22"/>
                <w:szCs w:val="22"/>
              </w:rPr>
            </w:pPr>
          </w:p>
          <w:p w:rsidR="00F16F02" w:rsidRPr="00F82F1D" w:rsidRDefault="00F16F02" w:rsidP="00F82F1D">
            <w:pPr>
              <w:suppressLineNumbers/>
              <w:suppressAutoHyphens/>
              <w:kinsoku w:val="0"/>
              <w:overflowPunct w:val="0"/>
              <w:autoSpaceDE w:val="0"/>
              <w:autoSpaceDN w:val="0"/>
              <w:ind w:left="63"/>
              <w:rPr>
                <w:kern w:val="22"/>
                <w:szCs w:val="22"/>
                <w:u w:val="single"/>
              </w:rPr>
            </w:pPr>
            <w:r w:rsidRPr="00F82F1D">
              <w:rPr>
                <w:kern w:val="22"/>
                <w:szCs w:val="22"/>
              </w:rPr>
              <w:t>ORIGINAL:  ENGLISH</w:t>
            </w:r>
          </w:p>
        </w:tc>
      </w:tr>
    </w:tbl>
    <w:bookmarkStart w:id="1" w:name="Meeting"/>
    <w:p w:rsidR="00CA6B87" w:rsidRPr="00F82F1D" w:rsidRDefault="00F82F1D" w:rsidP="00F82F1D">
      <w:pPr>
        <w:pStyle w:val="meetingname"/>
        <w:suppressLineNumbers/>
        <w:suppressAutoHyphens/>
        <w:kinsoku w:val="0"/>
        <w:overflowPunct w:val="0"/>
        <w:autoSpaceDE w:val="0"/>
        <w:autoSpaceDN w:val="0"/>
        <w:ind w:right="4398"/>
        <w:rPr>
          <w:snapToGrid/>
          <w:kern w:val="22"/>
          <w:szCs w:val="22"/>
        </w:rPr>
      </w:pPr>
      <w:sdt>
        <w:sdtPr>
          <w:rPr>
            <w:snapToGrid/>
            <w:kern w:val="22"/>
            <w:szCs w:val="22"/>
          </w:rPr>
          <w:alias w:val="Meeting"/>
          <w:tag w:val="Meeting"/>
          <w:id w:val="1412045910"/>
          <w:placeholder>
            <w:docPart w:val="DefaultPlaceholder_1082065158"/>
          </w:placeholder>
          <w:text/>
        </w:sdtPr>
        <w:sdtEndPr/>
        <w:sdtContent>
          <w:r w:rsidR="00D33779" w:rsidRPr="00F82F1D" w:rsidDel="00EB00A2">
            <w:rPr>
              <w:snapToGrid/>
              <w:kern w:val="22"/>
              <w:szCs w:val="22"/>
            </w:rPr>
            <w:t>SUBSIDIARY BODY ON IMPLEMENTATION</w:t>
          </w:r>
        </w:sdtContent>
      </w:sdt>
      <w:bookmarkEnd w:id="1"/>
    </w:p>
    <w:p w:rsidR="00D51069" w:rsidRPr="00F82F1D" w:rsidRDefault="002E0627" w:rsidP="00F82F1D">
      <w:pPr>
        <w:suppressLineNumbers/>
        <w:suppressAutoHyphens/>
        <w:kinsoku w:val="0"/>
        <w:overflowPunct w:val="0"/>
        <w:autoSpaceDE w:val="0"/>
        <w:autoSpaceDN w:val="0"/>
        <w:rPr>
          <w:kern w:val="22"/>
          <w:szCs w:val="22"/>
          <w:lang w:eastAsia="nb-NO"/>
        </w:rPr>
      </w:pPr>
      <w:r w:rsidRPr="00F82F1D">
        <w:rPr>
          <w:kern w:val="22"/>
          <w:szCs w:val="22"/>
          <w:lang w:eastAsia="nb-NO"/>
        </w:rPr>
        <w:t>S</w:t>
      </w:r>
      <w:r w:rsidR="00FB3B70" w:rsidRPr="00F82F1D">
        <w:rPr>
          <w:kern w:val="22"/>
          <w:szCs w:val="22"/>
          <w:lang w:eastAsia="nb-NO"/>
        </w:rPr>
        <w:t>econd</w:t>
      </w:r>
      <w:r w:rsidR="00D51069" w:rsidRPr="00F82F1D">
        <w:rPr>
          <w:kern w:val="22"/>
          <w:szCs w:val="22"/>
          <w:lang w:eastAsia="nb-NO"/>
        </w:rPr>
        <w:t xml:space="preserve"> meeting</w:t>
      </w:r>
    </w:p>
    <w:p w:rsidR="00CA6B87" w:rsidRPr="00F82F1D" w:rsidRDefault="00D51069" w:rsidP="00F82F1D">
      <w:pPr>
        <w:suppressLineNumbers/>
        <w:suppressAutoHyphens/>
        <w:kinsoku w:val="0"/>
        <w:overflowPunct w:val="0"/>
        <w:autoSpaceDE w:val="0"/>
        <w:autoSpaceDN w:val="0"/>
        <w:rPr>
          <w:kern w:val="22"/>
          <w:szCs w:val="22"/>
          <w:lang w:eastAsia="nb-NO"/>
        </w:rPr>
      </w:pPr>
      <w:r w:rsidRPr="00F82F1D">
        <w:rPr>
          <w:kern w:val="22"/>
          <w:szCs w:val="22"/>
          <w:lang w:eastAsia="nb-NO"/>
        </w:rPr>
        <w:t>Montreal</w:t>
      </w:r>
      <w:r w:rsidR="00CA6B87" w:rsidRPr="00F82F1D">
        <w:rPr>
          <w:kern w:val="22"/>
          <w:szCs w:val="22"/>
          <w:lang w:eastAsia="nb-NO"/>
        </w:rPr>
        <w:t xml:space="preserve">, </w:t>
      </w:r>
      <w:r w:rsidRPr="00F82F1D">
        <w:rPr>
          <w:kern w:val="22"/>
          <w:szCs w:val="22"/>
          <w:lang w:eastAsia="nb-NO"/>
        </w:rPr>
        <w:t xml:space="preserve">Canada, </w:t>
      </w:r>
      <w:r w:rsidR="002E0627" w:rsidRPr="00F82F1D">
        <w:rPr>
          <w:kern w:val="22"/>
          <w:szCs w:val="22"/>
          <w:lang w:eastAsia="nb-NO"/>
        </w:rPr>
        <w:t>9-13</w:t>
      </w:r>
      <w:r w:rsidR="00D15589" w:rsidRPr="00F82F1D">
        <w:rPr>
          <w:kern w:val="22"/>
          <w:szCs w:val="22"/>
          <w:lang w:eastAsia="nb-NO"/>
        </w:rPr>
        <w:t xml:space="preserve"> July 2018</w:t>
      </w:r>
    </w:p>
    <w:p w:rsidR="00CA6B87" w:rsidRPr="00F82F1D" w:rsidRDefault="00D51069" w:rsidP="00F82F1D">
      <w:pPr>
        <w:suppressLineNumbers/>
        <w:suppressAutoHyphens/>
        <w:kinsoku w:val="0"/>
        <w:overflowPunct w:val="0"/>
        <w:autoSpaceDE w:val="0"/>
        <w:autoSpaceDN w:val="0"/>
        <w:rPr>
          <w:kern w:val="22"/>
          <w:szCs w:val="22"/>
          <w:lang w:eastAsia="nb-NO"/>
        </w:rPr>
      </w:pPr>
      <w:r w:rsidRPr="00F82F1D">
        <w:rPr>
          <w:kern w:val="22"/>
          <w:szCs w:val="22"/>
          <w:lang w:eastAsia="nb-NO"/>
        </w:rPr>
        <w:t>I</w:t>
      </w:r>
      <w:r w:rsidR="00CA6B87" w:rsidRPr="00F82F1D">
        <w:rPr>
          <w:kern w:val="22"/>
          <w:szCs w:val="22"/>
          <w:lang w:eastAsia="nb-NO"/>
        </w:rPr>
        <w:t xml:space="preserve">tem </w:t>
      </w:r>
      <w:r w:rsidR="00742F79" w:rsidRPr="00F82F1D">
        <w:rPr>
          <w:kern w:val="22"/>
          <w:szCs w:val="22"/>
          <w:lang w:eastAsia="nb-NO"/>
        </w:rPr>
        <w:t>15</w:t>
      </w:r>
      <w:r w:rsidRPr="00F82F1D">
        <w:rPr>
          <w:kern w:val="22"/>
          <w:szCs w:val="22"/>
          <w:lang w:eastAsia="nb-NO"/>
        </w:rPr>
        <w:t xml:space="preserve"> of the provisional agenda</w:t>
      </w:r>
      <w:r w:rsidRPr="00F82F1D">
        <w:rPr>
          <w:rStyle w:val="FootnoteReference"/>
          <w:kern w:val="22"/>
          <w:sz w:val="22"/>
          <w:szCs w:val="22"/>
          <w:u w:val="none"/>
          <w:lang w:eastAsia="nb-NO"/>
        </w:rPr>
        <w:footnoteReference w:customMarkFollows="1" w:id="1"/>
        <w:t>*</w:t>
      </w:r>
    </w:p>
    <w:p w:rsidR="00742F79" w:rsidRPr="00F82F1D" w:rsidRDefault="00F82F1D" w:rsidP="00F82F1D">
      <w:pPr>
        <w:pStyle w:val="Heading1"/>
        <w:suppressLineNumbers/>
        <w:tabs>
          <w:tab w:val="clear" w:pos="720"/>
        </w:tabs>
        <w:suppressAutoHyphens/>
        <w:kinsoku w:val="0"/>
        <w:overflowPunct w:val="0"/>
        <w:autoSpaceDE w:val="0"/>
        <w:autoSpaceDN w:val="0"/>
        <w:rPr>
          <w:caps w:val="0"/>
          <w:kern w:val="22"/>
          <w:szCs w:val="22"/>
        </w:rPr>
      </w:pPr>
      <w:sdt>
        <w:sdtPr>
          <w:rPr>
            <w:bCs/>
            <w:kern w:val="22"/>
            <w:szCs w:val="22"/>
          </w:rPr>
          <w:alias w:val="Title"/>
          <w:tag w:val=""/>
          <w:id w:val="301582339"/>
          <w:placeholder>
            <w:docPart w:val="8DA05B690E9F4825BB8E1A36EFAAF965"/>
          </w:placeholder>
          <w:dataBinding w:prefixMappings="xmlns:ns0='http://purl.org/dc/elements/1.1/' xmlns:ns1='http://schemas.openxmlformats.org/package/2006/metadata/core-properties' " w:xpath="/ns1:coreProperties[1]/ns0:title[1]" w:storeItemID="{6C3C8BC8-F283-45AE-878A-BAB7291924A1}"/>
          <w:text/>
        </w:sdtPr>
        <w:sdtEndPr/>
        <w:sdtContent>
          <w:r w:rsidR="005232AA" w:rsidRPr="00F82F1D">
            <w:rPr>
              <w:bCs/>
              <w:kern w:val="22"/>
              <w:szCs w:val="22"/>
            </w:rPr>
            <w:t>Review of the experience in holding concurrent meetings of the Conference of the Parties to the Convention and the meetings of the Parties to the Protocols</w:t>
          </w:r>
        </w:sdtContent>
      </w:sdt>
    </w:p>
    <w:p w:rsidR="00742F79" w:rsidRPr="00F82F1D" w:rsidRDefault="00742F79" w:rsidP="00F82F1D">
      <w:pPr>
        <w:pStyle w:val="Heading2"/>
        <w:suppressLineNumbers/>
        <w:tabs>
          <w:tab w:val="clear" w:pos="720"/>
        </w:tabs>
        <w:suppressAutoHyphens/>
        <w:kinsoku w:val="0"/>
        <w:overflowPunct w:val="0"/>
        <w:autoSpaceDE w:val="0"/>
        <w:autoSpaceDN w:val="0"/>
        <w:rPr>
          <w:b w:val="0"/>
          <w:i/>
          <w:kern w:val="22"/>
          <w:szCs w:val="22"/>
        </w:rPr>
      </w:pPr>
      <w:r w:rsidRPr="00F82F1D">
        <w:rPr>
          <w:b w:val="0"/>
          <w:i/>
          <w:kern w:val="22"/>
          <w:szCs w:val="22"/>
        </w:rPr>
        <w:t>Note by the Executive Secretary</w:t>
      </w:r>
    </w:p>
    <w:p w:rsidR="00742F79" w:rsidRPr="00F82F1D" w:rsidRDefault="00742F79" w:rsidP="00F82F1D">
      <w:pPr>
        <w:keepNext/>
        <w:numPr>
          <w:ilvl w:val="0"/>
          <w:numId w:val="52"/>
        </w:numPr>
        <w:suppressLineNumbers/>
        <w:suppressAutoHyphens/>
        <w:kinsoku w:val="0"/>
        <w:overflowPunct w:val="0"/>
        <w:autoSpaceDE w:val="0"/>
        <w:autoSpaceDN w:val="0"/>
        <w:spacing w:before="120" w:after="120"/>
        <w:ind w:left="0" w:firstLine="0"/>
        <w:jc w:val="center"/>
        <w:rPr>
          <w:b/>
          <w:bCs/>
          <w:kern w:val="22"/>
          <w:szCs w:val="22"/>
        </w:rPr>
      </w:pPr>
      <w:r w:rsidRPr="00F82F1D">
        <w:rPr>
          <w:b/>
          <w:bCs/>
          <w:kern w:val="22"/>
          <w:szCs w:val="22"/>
        </w:rPr>
        <w:t>BACKGROUND</w:t>
      </w:r>
    </w:p>
    <w:p w:rsidR="00742F79" w:rsidRPr="00F82F1D" w:rsidRDefault="00742F79" w:rsidP="00F82F1D">
      <w:pPr>
        <w:pStyle w:val="Para1"/>
        <w:suppressLineNumbers/>
        <w:tabs>
          <w:tab w:val="clear" w:pos="360"/>
        </w:tabs>
        <w:suppressAutoHyphens/>
        <w:kinsoku w:val="0"/>
        <w:overflowPunct w:val="0"/>
        <w:autoSpaceDE w:val="0"/>
        <w:autoSpaceDN w:val="0"/>
        <w:rPr>
          <w:snapToGrid/>
          <w:kern w:val="22"/>
          <w:szCs w:val="22"/>
        </w:rPr>
      </w:pPr>
      <w:r w:rsidRPr="00F82F1D">
        <w:rPr>
          <w:snapToGrid/>
          <w:kern w:val="22"/>
          <w:szCs w:val="22"/>
        </w:rPr>
        <w:t>In 2016, the thirteenth meeting of the Conference of the Parties to the Convention on Biological Diversity (COP 13), the eighth meeting of the Conference of the Parties serving as the meeting of the Parties to the Cartagena Protocol on Biosafety (CP</w:t>
      </w:r>
      <w:r w:rsidR="007817F1" w:rsidRPr="00F82F1D">
        <w:rPr>
          <w:snapToGrid/>
          <w:kern w:val="22"/>
          <w:szCs w:val="22"/>
        </w:rPr>
        <w:t>-</w:t>
      </w:r>
      <w:r w:rsidRPr="00F82F1D">
        <w:rPr>
          <w:snapToGrid/>
          <w:kern w:val="22"/>
          <w:szCs w:val="22"/>
        </w:rPr>
        <w:t>COP-MOP 8), and the second meeting of the Conference of the Parties serving as the meeting of the Parties to the Nagoya Protocol on Access to Genetic Resources and the Fair and Equitable Sharing of Benefits Arising from their Utilization (NP</w:t>
      </w:r>
      <w:r w:rsidR="007817F1" w:rsidRPr="00F82F1D">
        <w:rPr>
          <w:snapToGrid/>
          <w:kern w:val="22"/>
          <w:szCs w:val="22"/>
        </w:rPr>
        <w:t>-</w:t>
      </w:r>
      <w:r w:rsidRPr="00F82F1D">
        <w:rPr>
          <w:snapToGrid/>
          <w:kern w:val="22"/>
          <w:szCs w:val="22"/>
        </w:rPr>
        <w:t>COP-MOP 2)</w:t>
      </w:r>
      <w:r w:rsidR="000C5DD5" w:rsidRPr="00F82F1D">
        <w:rPr>
          <w:rStyle w:val="FootnoteReference"/>
          <w:snapToGrid/>
          <w:kern w:val="22"/>
          <w:sz w:val="22"/>
          <w:szCs w:val="22"/>
          <w:u w:val="none"/>
          <w:vertAlign w:val="superscript"/>
        </w:rPr>
        <w:footnoteReference w:id="2"/>
      </w:r>
      <w:r w:rsidRPr="00F82F1D">
        <w:rPr>
          <w:snapToGrid/>
          <w:kern w:val="22"/>
          <w:szCs w:val="22"/>
        </w:rPr>
        <w:t xml:space="preserve"> </w:t>
      </w:r>
      <w:proofErr w:type="gramStart"/>
      <w:r w:rsidRPr="00F82F1D">
        <w:rPr>
          <w:snapToGrid/>
          <w:kern w:val="22"/>
          <w:szCs w:val="22"/>
        </w:rPr>
        <w:t>were</w:t>
      </w:r>
      <w:proofErr w:type="gramEnd"/>
      <w:r w:rsidRPr="00F82F1D">
        <w:rPr>
          <w:snapToGrid/>
          <w:kern w:val="22"/>
          <w:szCs w:val="22"/>
        </w:rPr>
        <w:t xml:space="preserve"> held concurrently in Cancun, Mexico. </w:t>
      </w:r>
      <w:r w:rsidR="00E605D7" w:rsidRPr="00F82F1D">
        <w:rPr>
          <w:snapToGrid/>
          <w:kern w:val="22"/>
          <w:szCs w:val="22"/>
        </w:rPr>
        <w:t xml:space="preserve">These meetings, together with the </w:t>
      </w:r>
      <w:r w:rsidR="006A4358" w:rsidRPr="00F82F1D">
        <w:rPr>
          <w:snapToGrid/>
          <w:kern w:val="22"/>
          <w:szCs w:val="22"/>
        </w:rPr>
        <w:t>h</w:t>
      </w:r>
      <w:r w:rsidR="00E605D7" w:rsidRPr="00F82F1D">
        <w:rPr>
          <w:snapToGrid/>
          <w:kern w:val="22"/>
          <w:szCs w:val="22"/>
        </w:rPr>
        <w:t>igh</w:t>
      </w:r>
      <w:r w:rsidR="006A4358" w:rsidRPr="00F82F1D">
        <w:rPr>
          <w:snapToGrid/>
          <w:kern w:val="22"/>
          <w:szCs w:val="22"/>
        </w:rPr>
        <w:t>-l</w:t>
      </w:r>
      <w:r w:rsidR="00E605D7" w:rsidRPr="00F82F1D">
        <w:rPr>
          <w:snapToGrid/>
          <w:kern w:val="22"/>
          <w:szCs w:val="22"/>
        </w:rPr>
        <w:t xml:space="preserve">evel </w:t>
      </w:r>
      <w:r w:rsidR="006A4358" w:rsidRPr="00F82F1D">
        <w:rPr>
          <w:snapToGrid/>
          <w:kern w:val="22"/>
          <w:szCs w:val="22"/>
        </w:rPr>
        <w:t>s</w:t>
      </w:r>
      <w:r w:rsidR="00E605D7" w:rsidRPr="00F82F1D">
        <w:rPr>
          <w:snapToGrid/>
          <w:kern w:val="22"/>
          <w:szCs w:val="22"/>
        </w:rPr>
        <w:t xml:space="preserve">egment, were collectively referred to as “The </w:t>
      </w:r>
      <w:r w:rsidR="00C9605F" w:rsidRPr="00F82F1D">
        <w:rPr>
          <w:snapToGrid/>
          <w:kern w:val="22"/>
          <w:szCs w:val="22"/>
        </w:rPr>
        <w:t xml:space="preserve">United Nations </w:t>
      </w:r>
      <w:r w:rsidR="00E605D7" w:rsidRPr="00F82F1D">
        <w:rPr>
          <w:snapToGrid/>
          <w:kern w:val="22"/>
          <w:szCs w:val="22"/>
        </w:rPr>
        <w:t>Biodiversity Conference, Cancun, Mexico</w:t>
      </w:r>
      <w:r w:rsidR="00242E55" w:rsidRPr="00F82F1D">
        <w:rPr>
          <w:snapToGrid/>
          <w:kern w:val="22"/>
          <w:szCs w:val="22"/>
        </w:rPr>
        <w:t>,</w:t>
      </w:r>
      <w:r w:rsidR="00E605D7" w:rsidRPr="00F82F1D">
        <w:rPr>
          <w:snapToGrid/>
          <w:kern w:val="22"/>
          <w:szCs w:val="22"/>
        </w:rPr>
        <w:t xml:space="preserve"> 2016” for communication purposes. </w:t>
      </w:r>
      <w:r w:rsidRPr="00F82F1D">
        <w:rPr>
          <w:snapToGrid/>
          <w:kern w:val="22"/>
          <w:szCs w:val="22"/>
        </w:rPr>
        <w:t xml:space="preserve">In </w:t>
      </w:r>
      <w:hyperlink r:id="rId12" w:history="1">
        <w:r w:rsidRPr="00F82F1D">
          <w:rPr>
            <w:rStyle w:val="Hyperlink"/>
            <w:snapToGrid/>
            <w:kern w:val="22"/>
            <w:szCs w:val="22"/>
          </w:rPr>
          <w:t>decision XIII/26</w:t>
        </w:r>
      </w:hyperlink>
      <w:r w:rsidRPr="00F82F1D">
        <w:rPr>
          <w:snapToGrid/>
          <w:kern w:val="22"/>
          <w:szCs w:val="22"/>
        </w:rPr>
        <w:t xml:space="preserve">, the Conference of the Parties to the Convention </w:t>
      </w:r>
      <w:r w:rsidR="00461921" w:rsidRPr="00F82F1D">
        <w:rPr>
          <w:snapToGrid/>
          <w:kern w:val="22"/>
          <w:szCs w:val="22"/>
        </w:rPr>
        <w:t>adopted</w:t>
      </w:r>
      <w:r w:rsidRPr="00F82F1D">
        <w:rPr>
          <w:snapToGrid/>
          <w:kern w:val="22"/>
          <w:szCs w:val="22"/>
        </w:rPr>
        <w:t xml:space="preserve"> criteria for reviewing, at its fourteenth and fifteenth meetings, experience in holding meetings concurrently, and requested the Executive Secretary to prepare a preliminary review, using these criteria, for consideration by the Subsidiary Body on Implementation at its second meeting. The meetings of the Parties to the Cartagena and Nagoya Protocols decided to use similar criteria for reviewing their meetings in decisions </w:t>
      </w:r>
      <w:hyperlink r:id="rId13" w:history="1">
        <w:r w:rsidRPr="00F82F1D">
          <w:rPr>
            <w:rStyle w:val="Hyperlink"/>
            <w:snapToGrid/>
            <w:kern w:val="22"/>
            <w:szCs w:val="22"/>
          </w:rPr>
          <w:t>CP VIII/10</w:t>
        </w:r>
      </w:hyperlink>
      <w:r w:rsidRPr="00F82F1D">
        <w:rPr>
          <w:snapToGrid/>
          <w:kern w:val="22"/>
          <w:szCs w:val="22"/>
        </w:rPr>
        <w:t xml:space="preserve"> and </w:t>
      </w:r>
      <w:hyperlink r:id="rId14" w:history="1">
        <w:r w:rsidRPr="00F82F1D">
          <w:rPr>
            <w:rStyle w:val="Hyperlink"/>
            <w:snapToGrid/>
            <w:kern w:val="22"/>
            <w:szCs w:val="22"/>
          </w:rPr>
          <w:t>NP 2/12</w:t>
        </w:r>
      </w:hyperlink>
      <w:r w:rsidRPr="00F82F1D">
        <w:rPr>
          <w:snapToGrid/>
          <w:kern w:val="22"/>
          <w:szCs w:val="22"/>
        </w:rPr>
        <w:t>, respectively.</w:t>
      </w:r>
    </w:p>
    <w:p w:rsidR="00742F79" w:rsidRPr="00F82F1D" w:rsidRDefault="00742F79" w:rsidP="00F82F1D">
      <w:pPr>
        <w:pStyle w:val="Para1"/>
        <w:suppressLineNumbers/>
        <w:tabs>
          <w:tab w:val="clear" w:pos="360"/>
        </w:tabs>
        <w:suppressAutoHyphens/>
        <w:kinsoku w:val="0"/>
        <w:overflowPunct w:val="0"/>
        <w:autoSpaceDE w:val="0"/>
        <w:autoSpaceDN w:val="0"/>
        <w:rPr>
          <w:snapToGrid/>
          <w:kern w:val="22"/>
          <w:szCs w:val="22"/>
        </w:rPr>
      </w:pPr>
      <w:r w:rsidRPr="00F82F1D">
        <w:rPr>
          <w:snapToGrid/>
          <w:kern w:val="22"/>
          <w:szCs w:val="22"/>
        </w:rPr>
        <w:t>In response to these requests, a notification</w:t>
      </w:r>
      <w:r w:rsidRPr="00F82F1D">
        <w:rPr>
          <w:snapToGrid/>
          <w:kern w:val="22"/>
          <w:szCs w:val="22"/>
          <w:vertAlign w:val="superscript"/>
        </w:rPr>
        <w:footnoteReference w:id="3"/>
      </w:r>
      <w:r w:rsidRPr="00F82F1D">
        <w:rPr>
          <w:snapToGrid/>
          <w:kern w:val="22"/>
          <w:szCs w:val="22"/>
          <w:vertAlign w:val="superscript"/>
        </w:rPr>
        <w:t xml:space="preserve"> </w:t>
      </w:r>
      <w:r w:rsidRPr="00F82F1D">
        <w:rPr>
          <w:snapToGrid/>
          <w:kern w:val="22"/>
          <w:szCs w:val="22"/>
        </w:rPr>
        <w:t>was sent to Parties to the Convention and its two Protocols inviting them to provide their perspectives on concurrently convening the above mentioned meetings, using a questionnaire, focused on the criteria identified in decisions XIII/26, CP VIII/10 and NP</w:t>
      </w:r>
      <w:r w:rsidR="00B54B3D" w:rsidRPr="00F82F1D">
        <w:rPr>
          <w:snapToGrid/>
          <w:kern w:val="22"/>
          <w:szCs w:val="22"/>
        </w:rPr>
        <w:t> </w:t>
      </w:r>
      <w:r w:rsidRPr="00F82F1D">
        <w:rPr>
          <w:snapToGrid/>
          <w:kern w:val="22"/>
          <w:szCs w:val="22"/>
        </w:rPr>
        <w:t>2/12. In addition</w:t>
      </w:r>
      <w:r w:rsidR="00B54B3D" w:rsidRPr="00F82F1D">
        <w:rPr>
          <w:snapToGrid/>
          <w:kern w:val="22"/>
          <w:szCs w:val="22"/>
        </w:rPr>
        <w:t>,</w:t>
      </w:r>
      <w:r w:rsidRPr="00F82F1D">
        <w:rPr>
          <w:snapToGrid/>
          <w:kern w:val="22"/>
          <w:szCs w:val="22"/>
        </w:rPr>
        <w:t xml:space="preserve"> a survey was distributed</w:t>
      </w:r>
      <w:r w:rsidRPr="00F82F1D">
        <w:rPr>
          <w:snapToGrid/>
          <w:kern w:val="22"/>
          <w:szCs w:val="22"/>
          <w:vertAlign w:val="superscript"/>
        </w:rPr>
        <w:footnoteReference w:id="4"/>
      </w:r>
      <w:r w:rsidRPr="00F82F1D">
        <w:rPr>
          <w:snapToGrid/>
          <w:kern w:val="22"/>
          <w:szCs w:val="22"/>
        </w:rPr>
        <w:t xml:space="preserve"> electronically to participants </w:t>
      </w:r>
      <w:r w:rsidR="00B54B3D" w:rsidRPr="00F82F1D">
        <w:rPr>
          <w:snapToGrid/>
          <w:kern w:val="22"/>
          <w:szCs w:val="22"/>
        </w:rPr>
        <w:t xml:space="preserve">in </w:t>
      </w:r>
      <w:r w:rsidRPr="00F82F1D">
        <w:rPr>
          <w:snapToGrid/>
          <w:kern w:val="22"/>
          <w:szCs w:val="22"/>
        </w:rPr>
        <w:t>the concurrent meetings. For the electronic survey, respondents participated in their personal capacity and their responses do not necessarily reflect the official view of the Parties or organizations they represent.</w:t>
      </w:r>
    </w:p>
    <w:p w:rsidR="00742F79" w:rsidRPr="00F82F1D" w:rsidRDefault="00742F79" w:rsidP="00F82F1D">
      <w:pPr>
        <w:pStyle w:val="Para1"/>
        <w:suppressLineNumbers/>
        <w:tabs>
          <w:tab w:val="clear" w:pos="360"/>
        </w:tabs>
        <w:suppressAutoHyphens/>
        <w:kinsoku w:val="0"/>
        <w:overflowPunct w:val="0"/>
        <w:autoSpaceDE w:val="0"/>
        <w:autoSpaceDN w:val="0"/>
        <w:rPr>
          <w:snapToGrid/>
          <w:kern w:val="22"/>
          <w:szCs w:val="22"/>
        </w:rPr>
      </w:pPr>
      <w:r w:rsidRPr="00F82F1D">
        <w:rPr>
          <w:snapToGrid/>
          <w:kern w:val="22"/>
          <w:szCs w:val="22"/>
        </w:rPr>
        <w:t xml:space="preserve">The following sections of </w:t>
      </w:r>
      <w:r w:rsidR="00A9327C" w:rsidRPr="00F82F1D">
        <w:rPr>
          <w:snapToGrid/>
          <w:kern w:val="22"/>
          <w:szCs w:val="22"/>
        </w:rPr>
        <w:t>the present document</w:t>
      </w:r>
      <w:r w:rsidRPr="00F82F1D">
        <w:rPr>
          <w:snapToGrid/>
          <w:kern w:val="22"/>
          <w:szCs w:val="22"/>
        </w:rPr>
        <w:t xml:space="preserve"> summari</w:t>
      </w:r>
      <w:r w:rsidR="004E6759" w:rsidRPr="00F82F1D">
        <w:rPr>
          <w:snapToGrid/>
          <w:kern w:val="22"/>
          <w:szCs w:val="22"/>
        </w:rPr>
        <w:t>z</w:t>
      </w:r>
      <w:r w:rsidRPr="00F82F1D">
        <w:rPr>
          <w:snapToGrid/>
          <w:kern w:val="22"/>
          <w:szCs w:val="22"/>
        </w:rPr>
        <w:t xml:space="preserve">e the main findings of the questionnaire and survey on the experiences of convening concurrent meetings of the Conference of the Parties to the Convention, and the meetings of the Parties to the two Protocols. Observations are also provided by the Secretariat on issues related to the logistics of convening meetings of the Convention and Protocols for the information of Parties in their consideration of this issue. The note contains a section on each of the </w:t>
      </w:r>
      <w:r w:rsidRPr="00F82F1D">
        <w:rPr>
          <w:snapToGrid/>
          <w:kern w:val="22"/>
          <w:szCs w:val="22"/>
        </w:rPr>
        <w:lastRenderedPageBreak/>
        <w:t xml:space="preserve">criteria identified in decisions XIII/26, CP-VIII/10 and NP-2/12 as well as a section identifying general observations and conclusion. Further, </w:t>
      </w:r>
      <w:r w:rsidR="00A9327C" w:rsidRPr="00F82F1D">
        <w:rPr>
          <w:snapToGrid/>
          <w:kern w:val="22"/>
          <w:szCs w:val="22"/>
        </w:rPr>
        <w:t>the present document</w:t>
      </w:r>
      <w:r w:rsidRPr="00F82F1D">
        <w:rPr>
          <w:snapToGrid/>
          <w:kern w:val="22"/>
          <w:szCs w:val="22"/>
        </w:rPr>
        <w:t xml:space="preserve"> is complemented by two information documents which reproduce all of the written comments received in response to the </w:t>
      </w:r>
      <w:r w:rsidR="000C5DD5" w:rsidRPr="00F82F1D">
        <w:rPr>
          <w:snapToGrid/>
          <w:kern w:val="22"/>
          <w:szCs w:val="22"/>
        </w:rPr>
        <w:t>questionnaire</w:t>
      </w:r>
      <w:r w:rsidRPr="00F82F1D">
        <w:rPr>
          <w:snapToGrid/>
          <w:kern w:val="22"/>
          <w:szCs w:val="22"/>
        </w:rPr>
        <w:t xml:space="preserve"> and survey as well as provide additional analysis</w:t>
      </w:r>
      <w:r w:rsidR="00642C86" w:rsidRPr="00F82F1D">
        <w:rPr>
          <w:snapToGrid/>
          <w:kern w:val="22"/>
          <w:szCs w:val="22"/>
        </w:rPr>
        <w:t>.</w:t>
      </w:r>
      <w:r w:rsidRPr="00F82F1D">
        <w:rPr>
          <w:snapToGrid/>
          <w:kern w:val="22"/>
          <w:szCs w:val="22"/>
          <w:vertAlign w:val="superscript"/>
        </w:rPr>
        <w:footnoteReference w:id="5"/>
      </w:r>
      <w:r w:rsidRPr="00F82F1D">
        <w:rPr>
          <w:snapToGrid/>
          <w:kern w:val="22"/>
          <w:szCs w:val="22"/>
        </w:rPr>
        <w:t xml:space="preserve"> An earlier version of th</w:t>
      </w:r>
      <w:r w:rsidR="00052C8E" w:rsidRPr="00F82F1D">
        <w:rPr>
          <w:snapToGrid/>
          <w:kern w:val="22"/>
          <w:szCs w:val="22"/>
        </w:rPr>
        <w:t>e present</w:t>
      </w:r>
      <w:r w:rsidRPr="00F82F1D">
        <w:rPr>
          <w:snapToGrid/>
          <w:kern w:val="22"/>
          <w:szCs w:val="22"/>
        </w:rPr>
        <w:t xml:space="preserve"> note was made available for peer review</w:t>
      </w:r>
      <w:r w:rsidR="00DB79A7" w:rsidRPr="00F82F1D">
        <w:rPr>
          <w:snapToGrid/>
          <w:kern w:val="22"/>
          <w:szCs w:val="22"/>
        </w:rPr>
        <w:t>.</w:t>
      </w:r>
      <w:r w:rsidRPr="00F82F1D">
        <w:rPr>
          <w:snapToGrid/>
          <w:kern w:val="22"/>
          <w:szCs w:val="22"/>
          <w:vertAlign w:val="superscript"/>
        </w:rPr>
        <w:footnoteReference w:id="6"/>
      </w:r>
    </w:p>
    <w:p w:rsidR="00742F79" w:rsidRPr="00F82F1D" w:rsidRDefault="00742F79" w:rsidP="00F82F1D">
      <w:pPr>
        <w:numPr>
          <w:ilvl w:val="0"/>
          <w:numId w:val="52"/>
        </w:numPr>
        <w:suppressLineNumbers/>
        <w:suppressAutoHyphens/>
        <w:kinsoku w:val="0"/>
        <w:overflowPunct w:val="0"/>
        <w:autoSpaceDE w:val="0"/>
        <w:autoSpaceDN w:val="0"/>
        <w:spacing w:before="240" w:after="120"/>
        <w:ind w:left="0" w:firstLine="0"/>
        <w:jc w:val="center"/>
        <w:rPr>
          <w:b/>
          <w:bCs/>
          <w:kern w:val="22"/>
          <w:szCs w:val="22"/>
        </w:rPr>
      </w:pPr>
      <w:r w:rsidRPr="00F82F1D">
        <w:rPr>
          <w:b/>
          <w:bCs/>
          <w:kern w:val="22"/>
          <w:szCs w:val="22"/>
        </w:rPr>
        <w:t>RESPONDENTS TO THE SURVEYS</w:t>
      </w:r>
    </w:p>
    <w:p w:rsidR="00742F79" w:rsidRPr="00F82F1D" w:rsidRDefault="005E5DAD" w:rsidP="00F82F1D">
      <w:pPr>
        <w:pStyle w:val="Para1"/>
        <w:suppressLineNumbers/>
        <w:tabs>
          <w:tab w:val="clear" w:pos="360"/>
        </w:tabs>
        <w:suppressAutoHyphens/>
        <w:kinsoku w:val="0"/>
        <w:overflowPunct w:val="0"/>
        <w:autoSpaceDE w:val="0"/>
        <w:autoSpaceDN w:val="0"/>
        <w:rPr>
          <w:snapToGrid/>
          <w:kern w:val="22"/>
          <w:szCs w:val="22"/>
        </w:rPr>
      </w:pPr>
      <w:r w:rsidRPr="00F82F1D">
        <w:rPr>
          <w:snapToGrid/>
          <w:kern w:val="22"/>
          <w:szCs w:val="22"/>
        </w:rPr>
        <w:t>T</w:t>
      </w:r>
      <w:r w:rsidR="00052C8E" w:rsidRPr="00F82F1D">
        <w:rPr>
          <w:snapToGrid/>
          <w:kern w:val="22"/>
          <w:szCs w:val="22"/>
        </w:rPr>
        <w:t>he notification issued to Parties</w:t>
      </w:r>
      <w:r w:rsidRPr="00F82F1D">
        <w:rPr>
          <w:snapToGrid/>
          <w:kern w:val="22"/>
          <w:szCs w:val="22"/>
        </w:rPr>
        <w:t xml:space="preserve"> elicited</w:t>
      </w:r>
      <w:r w:rsidR="00052C8E" w:rsidRPr="00F82F1D">
        <w:rPr>
          <w:snapToGrid/>
          <w:kern w:val="22"/>
          <w:szCs w:val="22"/>
        </w:rPr>
        <w:t xml:space="preserve"> </w:t>
      </w:r>
      <w:r w:rsidR="00742F79" w:rsidRPr="00F82F1D">
        <w:rPr>
          <w:snapToGrid/>
          <w:kern w:val="22"/>
          <w:szCs w:val="22"/>
        </w:rPr>
        <w:t>71 responses from 64 Parties</w:t>
      </w:r>
      <w:r w:rsidRPr="00F82F1D">
        <w:rPr>
          <w:snapToGrid/>
          <w:kern w:val="22"/>
          <w:szCs w:val="22"/>
        </w:rPr>
        <w:t>.</w:t>
      </w:r>
      <w:r w:rsidR="00742F79" w:rsidRPr="00F82F1D">
        <w:rPr>
          <w:snapToGrid/>
          <w:kern w:val="22"/>
          <w:szCs w:val="22"/>
          <w:vertAlign w:val="superscript"/>
        </w:rPr>
        <w:footnoteReference w:id="7"/>
      </w:r>
      <w:r w:rsidR="00742F79" w:rsidRPr="00F82F1D">
        <w:rPr>
          <w:snapToGrid/>
          <w:kern w:val="22"/>
          <w:szCs w:val="22"/>
        </w:rPr>
        <w:t xml:space="preserve"> Some Parties provided separate submissions for the Convention and its Protocols, and not all respondents answered all questions in the questionnaire or provided written comments. Of the responses to the notification, 62 included information related to the Convention, </w:t>
      </w:r>
      <w:proofErr w:type="gramStart"/>
      <w:r w:rsidR="00742F79" w:rsidRPr="00F82F1D">
        <w:rPr>
          <w:snapToGrid/>
          <w:kern w:val="22"/>
          <w:szCs w:val="22"/>
        </w:rPr>
        <w:t>55 included information</w:t>
      </w:r>
      <w:proofErr w:type="gramEnd"/>
      <w:r w:rsidR="00742F79" w:rsidRPr="00F82F1D">
        <w:rPr>
          <w:snapToGrid/>
          <w:kern w:val="22"/>
          <w:szCs w:val="22"/>
        </w:rPr>
        <w:t xml:space="preserve"> related to the Cartagena Protocol and 41 included information related to the Nagoya Protocol. This represents a response rate of approximately 32</w:t>
      </w:r>
      <w:r w:rsidR="00052C8E" w:rsidRPr="00F82F1D">
        <w:rPr>
          <w:snapToGrid/>
          <w:kern w:val="22"/>
          <w:szCs w:val="22"/>
        </w:rPr>
        <w:t xml:space="preserve"> </w:t>
      </w:r>
      <w:r w:rsidR="00C07151" w:rsidRPr="00F82F1D">
        <w:rPr>
          <w:snapToGrid/>
          <w:kern w:val="22"/>
          <w:szCs w:val="22"/>
        </w:rPr>
        <w:t>per cent</w:t>
      </w:r>
      <w:r w:rsidR="00742F79" w:rsidRPr="00F82F1D">
        <w:rPr>
          <w:snapToGrid/>
          <w:kern w:val="22"/>
          <w:szCs w:val="22"/>
        </w:rPr>
        <w:t xml:space="preserve"> of Parties to the Convention, 32</w:t>
      </w:r>
      <w:r w:rsidR="00C07151" w:rsidRPr="00F82F1D">
        <w:rPr>
          <w:snapToGrid/>
          <w:kern w:val="22"/>
          <w:szCs w:val="22"/>
        </w:rPr>
        <w:t xml:space="preserve"> per cent</w:t>
      </w:r>
      <w:r w:rsidR="00742F79" w:rsidRPr="00F82F1D">
        <w:rPr>
          <w:snapToGrid/>
          <w:kern w:val="22"/>
          <w:szCs w:val="22"/>
        </w:rPr>
        <w:t xml:space="preserve"> of Parties to the Cartagena Protocol and 43</w:t>
      </w:r>
      <w:r w:rsidR="00C07151" w:rsidRPr="00F82F1D">
        <w:rPr>
          <w:snapToGrid/>
          <w:kern w:val="22"/>
          <w:szCs w:val="22"/>
        </w:rPr>
        <w:t xml:space="preserve"> per cent</w:t>
      </w:r>
      <w:r w:rsidR="00742F79" w:rsidRPr="00F82F1D">
        <w:rPr>
          <w:snapToGrid/>
          <w:kern w:val="22"/>
          <w:szCs w:val="22"/>
        </w:rPr>
        <w:t xml:space="preserve"> of Parties to the Nagoya Protocol at the time when the submissions were made. On a regional basis, 23 responses were received from Africa, 10 from Asia and the Pacific, 7 from Central and Eastern Europe, 17 from Latin American and Caribbean Countries and 14 from the Western Europe and Others Group. </w:t>
      </w:r>
      <w:r w:rsidR="00052C8E" w:rsidRPr="00F82F1D">
        <w:rPr>
          <w:snapToGrid/>
          <w:kern w:val="22"/>
          <w:szCs w:val="22"/>
        </w:rPr>
        <w:t xml:space="preserve">A total of </w:t>
      </w:r>
      <w:r w:rsidR="00742F79" w:rsidRPr="00F82F1D">
        <w:rPr>
          <w:snapToGrid/>
          <w:kern w:val="22"/>
          <w:szCs w:val="22"/>
        </w:rPr>
        <w:t xml:space="preserve">53 of the responses were from developing countries and 18 were from developed countries. The responses by Parties to the questionnaire are summarized in figure 1 and are further analysed in the following sections of </w:t>
      </w:r>
      <w:r w:rsidR="00A9327C" w:rsidRPr="00F82F1D">
        <w:rPr>
          <w:snapToGrid/>
          <w:kern w:val="22"/>
          <w:szCs w:val="22"/>
        </w:rPr>
        <w:t>the present document</w:t>
      </w:r>
      <w:r w:rsidR="00742F79" w:rsidRPr="00F82F1D">
        <w:rPr>
          <w:snapToGrid/>
          <w:kern w:val="22"/>
          <w:szCs w:val="22"/>
        </w:rPr>
        <w:t>.</w:t>
      </w:r>
    </w:p>
    <w:p w:rsidR="00742F79" w:rsidRPr="00F82F1D" w:rsidRDefault="00742F79" w:rsidP="00F82F1D">
      <w:pPr>
        <w:pStyle w:val="Para1"/>
        <w:suppressLineNumbers/>
        <w:tabs>
          <w:tab w:val="clear" w:pos="360"/>
        </w:tabs>
        <w:suppressAutoHyphens/>
        <w:kinsoku w:val="0"/>
        <w:overflowPunct w:val="0"/>
        <w:autoSpaceDE w:val="0"/>
        <w:autoSpaceDN w:val="0"/>
        <w:rPr>
          <w:snapToGrid/>
          <w:kern w:val="22"/>
          <w:szCs w:val="22"/>
        </w:rPr>
      </w:pPr>
      <w:r w:rsidRPr="00F82F1D">
        <w:rPr>
          <w:snapToGrid/>
          <w:kern w:val="22"/>
          <w:szCs w:val="22"/>
        </w:rPr>
        <w:t xml:space="preserve">The electronic survey was distributed to 2,810 participants </w:t>
      </w:r>
      <w:r w:rsidR="00052C8E" w:rsidRPr="00F82F1D">
        <w:rPr>
          <w:snapToGrid/>
          <w:kern w:val="22"/>
          <w:szCs w:val="22"/>
        </w:rPr>
        <w:t xml:space="preserve">in </w:t>
      </w:r>
      <w:r w:rsidRPr="00F82F1D">
        <w:rPr>
          <w:snapToGrid/>
          <w:kern w:val="22"/>
          <w:szCs w:val="22"/>
        </w:rPr>
        <w:t>COP</w:t>
      </w:r>
      <w:r w:rsidR="00642C86" w:rsidRPr="00F82F1D">
        <w:rPr>
          <w:snapToGrid/>
          <w:kern w:val="22"/>
          <w:szCs w:val="22"/>
        </w:rPr>
        <w:t> </w:t>
      </w:r>
      <w:r w:rsidRPr="00F82F1D">
        <w:rPr>
          <w:snapToGrid/>
          <w:kern w:val="22"/>
          <w:szCs w:val="22"/>
        </w:rPr>
        <w:t>13, COP-MOP</w:t>
      </w:r>
      <w:r w:rsidR="00642C86" w:rsidRPr="00F82F1D">
        <w:rPr>
          <w:snapToGrid/>
          <w:kern w:val="22"/>
          <w:szCs w:val="22"/>
        </w:rPr>
        <w:t> </w:t>
      </w:r>
      <w:r w:rsidRPr="00F82F1D">
        <w:rPr>
          <w:snapToGrid/>
          <w:kern w:val="22"/>
          <w:szCs w:val="22"/>
        </w:rPr>
        <w:t>8, and COP</w:t>
      </w:r>
      <w:r w:rsidR="00052C8E" w:rsidRPr="00F82F1D">
        <w:rPr>
          <w:snapToGrid/>
          <w:kern w:val="22"/>
          <w:szCs w:val="22"/>
        </w:rPr>
        <w:noBreakHyphen/>
      </w:r>
      <w:r w:rsidRPr="00F82F1D">
        <w:rPr>
          <w:snapToGrid/>
          <w:kern w:val="22"/>
          <w:szCs w:val="22"/>
        </w:rPr>
        <w:t>MOP</w:t>
      </w:r>
      <w:r w:rsidR="00642C86" w:rsidRPr="00F82F1D">
        <w:rPr>
          <w:snapToGrid/>
          <w:kern w:val="22"/>
          <w:szCs w:val="22"/>
        </w:rPr>
        <w:t> </w:t>
      </w:r>
      <w:r w:rsidRPr="00F82F1D">
        <w:rPr>
          <w:snapToGrid/>
          <w:kern w:val="22"/>
          <w:szCs w:val="22"/>
        </w:rPr>
        <w:t>2</w:t>
      </w:r>
      <w:r w:rsidR="00052C8E" w:rsidRPr="00F82F1D">
        <w:rPr>
          <w:snapToGrid/>
          <w:kern w:val="22"/>
          <w:szCs w:val="22"/>
        </w:rPr>
        <w:t>.</w:t>
      </w:r>
      <w:r w:rsidRPr="00F82F1D">
        <w:rPr>
          <w:snapToGrid/>
          <w:kern w:val="22"/>
          <w:szCs w:val="22"/>
          <w:vertAlign w:val="superscript"/>
        </w:rPr>
        <w:footnoteReference w:id="8"/>
      </w:r>
      <w:r w:rsidRPr="00F82F1D">
        <w:rPr>
          <w:snapToGrid/>
          <w:kern w:val="22"/>
          <w:szCs w:val="22"/>
        </w:rPr>
        <w:t xml:space="preserve"> This represents approximately 90</w:t>
      </w:r>
      <w:r w:rsidR="00C07151" w:rsidRPr="00F82F1D">
        <w:rPr>
          <w:snapToGrid/>
          <w:kern w:val="22"/>
          <w:szCs w:val="22"/>
        </w:rPr>
        <w:t xml:space="preserve"> per cent</w:t>
      </w:r>
      <w:r w:rsidRPr="00F82F1D">
        <w:rPr>
          <w:snapToGrid/>
          <w:kern w:val="22"/>
          <w:szCs w:val="22"/>
        </w:rPr>
        <w:t xml:space="preserve"> of all meeting participants. Responses to the survey were received from 749 participants. This represents a response rate of approximately 27</w:t>
      </w:r>
      <w:r w:rsidR="00C07151" w:rsidRPr="00F82F1D">
        <w:rPr>
          <w:snapToGrid/>
          <w:kern w:val="22"/>
          <w:szCs w:val="22"/>
        </w:rPr>
        <w:t xml:space="preserve"> per cent</w:t>
      </w:r>
      <w:r w:rsidRPr="00F82F1D">
        <w:rPr>
          <w:snapToGrid/>
          <w:kern w:val="22"/>
          <w:szCs w:val="22"/>
        </w:rPr>
        <w:t xml:space="preserve"> among those surveyed and 24</w:t>
      </w:r>
      <w:r w:rsidR="00C07151" w:rsidRPr="00F82F1D">
        <w:rPr>
          <w:snapToGrid/>
          <w:kern w:val="22"/>
          <w:szCs w:val="22"/>
        </w:rPr>
        <w:t xml:space="preserve"> per cent</w:t>
      </w:r>
      <w:r w:rsidRPr="00F82F1D">
        <w:rPr>
          <w:snapToGrid/>
          <w:kern w:val="22"/>
          <w:szCs w:val="22"/>
        </w:rPr>
        <w:t xml:space="preserve"> of all participants in the concurrent meetings. Not all respondents answered all questions in the survey. Further, the number of written responses varied greatly and tended to be more critical than the situation suggested by the quantitative results. </w:t>
      </w:r>
      <w:r w:rsidR="00642C86" w:rsidRPr="00F82F1D">
        <w:rPr>
          <w:snapToGrid/>
          <w:kern w:val="22"/>
          <w:szCs w:val="22"/>
        </w:rPr>
        <w:t xml:space="preserve">About </w:t>
      </w:r>
      <w:r w:rsidRPr="00F82F1D">
        <w:rPr>
          <w:snapToGrid/>
          <w:kern w:val="22"/>
          <w:szCs w:val="22"/>
        </w:rPr>
        <w:t>47</w:t>
      </w:r>
      <w:r w:rsidR="00C07151" w:rsidRPr="00F82F1D">
        <w:rPr>
          <w:snapToGrid/>
          <w:kern w:val="22"/>
          <w:szCs w:val="22"/>
        </w:rPr>
        <w:t xml:space="preserve"> per cent</w:t>
      </w:r>
      <w:r w:rsidRPr="00F82F1D">
        <w:rPr>
          <w:snapToGrid/>
          <w:kern w:val="22"/>
          <w:szCs w:val="22"/>
        </w:rPr>
        <w:t xml:space="preserve"> of respondents had participated </w:t>
      </w:r>
      <w:r w:rsidR="00052C8E" w:rsidRPr="00F82F1D">
        <w:rPr>
          <w:snapToGrid/>
          <w:kern w:val="22"/>
          <w:szCs w:val="22"/>
        </w:rPr>
        <w:t xml:space="preserve">in </w:t>
      </w:r>
      <w:r w:rsidRPr="00F82F1D">
        <w:rPr>
          <w:snapToGrid/>
          <w:kern w:val="22"/>
          <w:szCs w:val="22"/>
        </w:rPr>
        <w:t xml:space="preserve">the concurrent meetings as </w:t>
      </w:r>
      <w:r w:rsidR="00056186" w:rsidRPr="00F82F1D">
        <w:rPr>
          <w:snapToGrid/>
          <w:kern w:val="22"/>
          <w:szCs w:val="22"/>
        </w:rPr>
        <w:t>representatives of Parties</w:t>
      </w:r>
      <w:r w:rsidRPr="00F82F1D">
        <w:rPr>
          <w:snapToGrid/>
          <w:kern w:val="22"/>
          <w:szCs w:val="22"/>
        </w:rPr>
        <w:t>, 8</w:t>
      </w:r>
      <w:r w:rsidR="00C07151" w:rsidRPr="00F82F1D">
        <w:rPr>
          <w:snapToGrid/>
          <w:kern w:val="22"/>
          <w:szCs w:val="22"/>
        </w:rPr>
        <w:t xml:space="preserve"> per cent</w:t>
      </w:r>
      <w:r w:rsidRPr="00F82F1D">
        <w:rPr>
          <w:snapToGrid/>
          <w:kern w:val="22"/>
          <w:szCs w:val="22"/>
        </w:rPr>
        <w:t xml:space="preserve"> had participated as representatives of indigenous peoples and local communities and 38</w:t>
      </w:r>
      <w:r w:rsidR="00C07151" w:rsidRPr="00F82F1D">
        <w:rPr>
          <w:snapToGrid/>
          <w:kern w:val="22"/>
          <w:szCs w:val="22"/>
        </w:rPr>
        <w:t xml:space="preserve"> per cent</w:t>
      </w:r>
      <w:r w:rsidRPr="00F82F1D">
        <w:rPr>
          <w:snapToGrid/>
          <w:kern w:val="22"/>
          <w:szCs w:val="22"/>
        </w:rPr>
        <w:t xml:space="preserve"> as other observers. A further 6</w:t>
      </w:r>
      <w:r w:rsidR="00C07151" w:rsidRPr="00F82F1D">
        <w:rPr>
          <w:snapToGrid/>
          <w:kern w:val="22"/>
          <w:szCs w:val="22"/>
        </w:rPr>
        <w:t xml:space="preserve"> per cent</w:t>
      </w:r>
      <w:r w:rsidRPr="00F82F1D">
        <w:rPr>
          <w:snapToGrid/>
          <w:kern w:val="22"/>
          <w:szCs w:val="22"/>
        </w:rPr>
        <w:t xml:space="preserve"> represented non-party </w:t>
      </w:r>
      <w:r w:rsidR="00DB79A7" w:rsidRPr="00F82F1D">
        <w:rPr>
          <w:snapToGrid/>
          <w:kern w:val="22"/>
          <w:szCs w:val="22"/>
        </w:rPr>
        <w:t>G</w:t>
      </w:r>
      <w:r w:rsidRPr="00F82F1D">
        <w:rPr>
          <w:snapToGrid/>
          <w:kern w:val="22"/>
          <w:szCs w:val="22"/>
        </w:rPr>
        <w:t>overnments, including subnational authorities. By comparison Parties accounted for 48</w:t>
      </w:r>
      <w:r w:rsidR="00C07151" w:rsidRPr="00F82F1D">
        <w:rPr>
          <w:snapToGrid/>
          <w:kern w:val="22"/>
          <w:szCs w:val="22"/>
        </w:rPr>
        <w:t xml:space="preserve"> per cent</w:t>
      </w:r>
      <w:r w:rsidRPr="00F82F1D">
        <w:rPr>
          <w:snapToGrid/>
          <w:kern w:val="22"/>
          <w:szCs w:val="22"/>
        </w:rPr>
        <w:t xml:space="preserve"> of participants in the concurrent meetings, indigenous peoples and local communities represented 5</w:t>
      </w:r>
      <w:r w:rsidR="00C07151" w:rsidRPr="00F82F1D">
        <w:rPr>
          <w:snapToGrid/>
          <w:kern w:val="22"/>
          <w:szCs w:val="22"/>
        </w:rPr>
        <w:t xml:space="preserve"> per cent</w:t>
      </w:r>
      <w:r w:rsidRPr="00F82F1D">
        <w:rPr>
          <w:snapToGrid/>
          <w:kern w:val="22"/>
          <w:szCs w:val="22"/>
        </w:rPr>
        <w:t xml:space="preserve"> of participants and observers accounted for 45</w:t>
      </w:r>
      <w:r w:rsidR="00C07151" w:rsidRPr="00F82F1D">
        <w:rPr>
          <w:snapToGrid/>
          <w:kern w:val="22"/>
          <w:szCs w:val="22"/>
        </w:rPr>
        <w:t xml:space="preserve"> per cent</w:t>
      </w:r>
      <w:r w:rsidRPr="00F82F1D">
        <w:rPr>
          <w:snapToGrid/>
          <w:kern w:val="22"/>
          <w:szCs w:val="22"/>
        </w:rPr>
        <w:t xml:space="preserve"> of participants. On a regional basis, 17</w:t>
      </w:r>
      <w:r w:rsidR="00C07151" w:rsidRPr="00F82F1D">
        <w:rPr>
          <w:snapToGrid/>
          <w:kern w:val="22"/>
          <w:szCs w:val="22"/>
        </w:rPr>
        <w:t xml:space="preserve"> per cent</w:t>
      </w:r>
      <w:r w:rsidRPr="00F82F1D">
        <w:rPr>
          <w:snapToGrid/>
          <w:kern w:val="22"/>
          <w:szCs w:val="22"/>
        </w:rPr>
        <w:t xml:space="preserve"> of responses were from Africa, 21</w:t>
      </w:r>
      <w:r w:rsidR="00C07151" w:rsidRPr="00F82F1D">
        <w:rPr>
          <w:snapToGrid/>
          <w:kern w:val="22"/>
          <w:szCs w:val="22"/>
        </w:rPr>
        <w:t xml:space="preserve"> per cent</w:t>
      </w:r>
      <w:r w:rsidRPr="00F82F1D">
        <w:rPr>
          <w:snapToGrid/>
          <w:kern w:val="22"/>
          <w:szCs w:val="22"/>
        </w:rPr>
        <w:t xml:space="preserve"> from Asia and the Pacific, 8</w:t>
      </w:r>
      <w:r w:rsidR="00C07151" w:rsidRPr="00F82F1D">
        <w:rPr>
          <w:snapToGrid/>
          <w:kern w:val="22"/>
          <w:szCs w:val="22"/>
        </w:rPr>
        <w:t xml:space="preserve"> per cent</w:t>
      </w:r>
      <w:r w:rsidRPr="00F82F1D">
        <w:rPr>
          <w:snapToGrid/>
          <w:kern w:val="22"/>
          <w:szCs w:val="22"/>
        </w:rPr>
        <w:t xml:space="preserve"> from Central and Eastern Europe, 25</w:t>
      </w:r>
      <w:r w:rsidR="00C07151" w:rsidRPr="00F82F1D">
        <w:rPr>
          <w:snapToGrid/>
          <w:kern w:val="22"/>
          <w:szCs w:val="22"/>
        </w:rPr>
        <w:t xml:space="preserve"> per cent</w:t>
      </w:r>
      <w:r w:rsidRPr="00F82F1D">
        <w:rPr>
          <w:snapToGrid/>
          <w:kern w:val="22"/>
          <w:szCs w:val="22"/>
        </w:rPr>
        <w:t xml:space="preserve"> from Latin America and the Caribbean and 30</w:t>
      </w:r>
      <w:r w:rsidR="00C07151" w:rsidRPr="00F82F1D">
        <w:rPr>
          <w:snapToGrid/>
          <w:kern w:val="22"/>
          <w:szCs w:val="22"/>
        </w:rPr>
        <w:t xml:space="preserve"> per cent</w:t>
      </w:r>
      <w:r w:rsidRPr="00F82F1D">
        <w:rPr>
          <w:snapToGrid/>
          <w:kern w:val="22"/>
          <w:szCs w:val="22"/>
        </w:rPr>
        <w:t xml:space="preserve"> from the Western Europe and Others Group. This distribution is similar to the regional distribution of participants in the concurrent meetings. The responses to the survey that directly address issues related to the criteria identified in decision XIII/26 are summarized in figure 2.</w:t>
      </w:r>
    </w:p>
    <w:p w:rsidR="00742F79" w:rsidRPr="00F82F1D" w:rsidRDefault="00742F79" w:rsidP="00F82F1D">
      <w:pPr>
        <w:keepNext/>
        <w:suppressLineNumbers/>
        <w:suppressAutoHyphens/>
        <w:kinsoku w:val="0"/>
        <w:overflowPunct w:val="0"/>
        <w:autoSpaceDE w:val="0"/>
        <w:autoSpaceDN w:val="0"/>
        <w:spacing w:after="120"/>
        <w:jc w:val="left"/>
        <w:rPr>
          <w:b/>
          <w:bCs/>
          <w:kern w:val="22"/>
          <w:szCs w:val="22"/>
        </w:rPr>
      </w:pPr>
      <w:r w:rsidRPr="00F82F1D">
        <w:rPr>
          <w:b/>
          <w:bCs/>
          <w:kern w:val="22"/>
          <w:szCs w:val="22"/>
        </w:rPr>
        <w:lastRenderedPageBreak/>
        <w:t>Figure 1</w:t>
      </w:r>
    </w:p>
    <w:p w:rsidR="00742F79" w:rsidRPr="00F82F1D" w:rsidRDefault="00742F79" w:rsidP="00F82F1D">
      <w:pPr>
        <w:suppressLineNumbers/>
        <w:suppressAutoHyphens/>
        <w:kinsoku w:val="0"/>
        <w:overflowPunct w:val="0"/>
        <w:autoSpaceDE w:val="0"/>
        <w:autoSpaceDN w:val="0"/>
        <w:spacing w:after="200" w:line="276" w:lineRule="auto"/>
        <w:jc w:val="left"/>
        <w:rPr>
          <w:b/>
          <w:bCs/>
          <w:kern w:val="22"/>
          <w:szCs w:val="22"/>
        </w:rPr>
      </w:pPr>
      <w:r w:rsidRPr="00F82F1D">
        <w:rPr>
          <w:b/>
          <w:bCs/>
          <w:noProof/>
          <w:kern w:val="22"/>
          <w:szCs w:val="22"/>
          <w:lang w:eastAsia="zh-CN"/>
        </w:rPr>
        <w:drawing>
          <wp:inline distT="0" distB="0" distL="0" distR="0" wp14:anchorId="599351CD" wp14:editId="03B611AC">
            <wp:extent cx="5401310" cy="6365240"/>
            <wp:effectExtent l="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1310" cy="6365240"/>
                    </a:xfrm>
                    <a:prstGeom prst="rect">
                      <a:avLst/>
                    </a:prstGeom>
                    <a:noFill/>
                  </pic:spPr>
                </pic:pic>
              </a:graphicData>
            </a:graphic>
          </wp:inline>
        </w:drawing>
      </w:r>
    </w:p>
    <w:p w:rsidR="00742F79" w:rsidRPr="00F82F1D" w:rsidRDefault="00742F79" w:rsidP="00F82F1D">
      <w:pPr>
        <w:suppressLineNumbers/>
        <w:suppressAutoHyphens/>
        <w:kinsoku w:val="0"/>
        <w:overflowPunct w:val="0"/>
        <w:autoSpaceDE w:val="0"/>
        <w:autoSpaceDN w:val="0"/>
        <w:spacing w:after="200" w:line="276" w:lineRule="auto"/>
        <w:jc w:val="left"/>
        <w:rPr>
          <w:b/>
          <w:bCs/>
          <w:kern w:val="22"/>
          <w:szCs w:val="22"/>
        </w:rPr>
      </w:pPr>
    </w:p>
    <w:p w:rsidR="00742F79" w:rsidRPr="00F82F1D" w:rsidRDefault="00742F79" w:rsidP="00F82F1D">
      <w:pPr>
        <w:suppressLineNumbers/>
        <w:suppressAutoHyphens/>
        <w:kinsoku w:val="0"/>
        <w:overflowPunct w:val="0"/>
        <w:autoSpaceDE w:val="0"/>
        <w:autoSpaceDN w:val="0"/>
        <w:spacing w:after="200" w:line="276" w:lineRule="auto"/>
        <w:jc w:val="left"/>
        <w:rPr>
          <w:b/>
          <w:bCs/>
          <w:kern w:val="22"/>
          <w:szCs w:val="22"/>
        </w:rPr>
      </w:pPr>
    </w:p>
    <w:p w:rsidR="00742F79" w:rsidRPr="00F82F1D" w:rsidRDefault="00742F79" w:rsidP="00F82F1D">
      <w:pPr>
        <w:suppressLineNumbers/>
        <w:suppressAutoHyphens/>
        <w:kinsoku w:val="0"/>
        <w:overflowPunct w:val="0"/>
        <w:autoSpaceDE w:val="0"/>
        <w:autoSpaceDN w:val="0"/>
        <w:spacing w:after="200" w:line="276" w:lineRule="auto"/>
        <w:jc w:val="left"/>
        <w:rPr>
          <w:b/>
          <w:bCs/>
          <w:kern w:val="22"/>
          <w:szCs w:val="22"/>
        </w:rPr>
      </w:pPr>
    </w:p>
    <w:p w:rsidR="00742F79" w:rsidRPr="00F82F1D" w:rsidRDefault="00742F79" w:rsidP="00F82F1D">
      <w:pPr>
        <w:suppressLineNumbers/>
        <w:suppressAutoHyphens/>
        <w:kinsoku w:val="0"/>
        <w:overflowPunct w:val="0"/>
        <w:autoSpaceDE w:val="0"/>
        <w:autoSpaceDN w:val="0"/>
        <w:spacing w:after="200" w:line="276" w:lineRule="auto"/>
        <w:jc w:val="left"/>
        <w:rPr>
          <w:b/>
          <w:bCs/>
          <w:kern w:val="22"/>
          <w:szCs w:val="22"/>
        </w:rPr>
      </w:pPr>
    </w:p>
    <w:p w:rsidR="000C5DD5" w:rsidRPr="00F82F1D" w:rsidRDefault="000C5DD5" w:rsidP="00F82F1D">
      <w:pPr>
        <w:suppressLineNumbers/>
        <w:suppressAutoHyphens/>
        <w:kinsoku w:val="0"/>
        <w:overflowPunct w:val="0"/>
        <w:autoSpaceDE w:val="0"/>
        <w:autoSpaceDN w:val="0"/>
        <w:spacing w:after="200" w:line="276" w:lineRule="auto"/>
        <w:jc w:val="left"/>
        <w:rPr>
          <w:b/>
          <w:bCs/>
          <w:kern w:val="22"/>
          <w:szCs w:val="22"/>
        </w:rPr>
      </w:pPr>
    </w:p>
    <w:p w:rsidR="000C5DD5" w:rsidRPr="00F82F1D" w:rsidRDefault="000C5DD5" w:rsidP="00F82F1D">
      <w:pPr>
        <w:suppressLineNumbers/>
        <w:suppressAutoHyphens/>
        <w:kinsoku w:val="0"/>
        <w:overflowPunct w:val="0"/>
        <w:autoSpaceDE w:val="0"/>
        <w:autoSpaceDN w:val="0"/>
        <w:spacing w:after="200" w:line="276" w:lineRule="auto"/>
        <w:jc w:val="left"/>
        <w:rPr>
          <w:b/>
          <w:bCs/>
          <w:kern w:val="22"/>
          <w:szCs w:val="22"/>
        </w:rPr>
      </w:pPr>
    </w:p>
    <w:p w:rsidR="00742F79" w:rsidRPr="00F82F1D" w:rsidRDefault="00742F79" w:rsidP="00F82F1D">
      <w:pPr>
        <w:keepNext/>
        <w:suppressLineNumbers/>
        <w:suppressAutoHyphens/>
        <w:kinsoku w:val="0"/>
        <w:overflowPunct w:val="0"/>
        <w:autoSpaceDE w:val="0"/>
        <w:autoSpaceDN w:val="0"/>
        <w:spacing w:after="120"/>
        <w:jc w:val="left"/>
        <w:rPr>
          <w:b/>
          <w:bCs/>
          <w:kern w:val="22"/>
          <w:szCs w:val="22"/>
        </w:rPr>
      </w:pPr>
      <w:r w:rsidRPr="00F82F1D">
        <w:rPr>
          <w:b/>
          <w:bCs/>
          <w:kern w:val="22"/>
          <w:szCs w:val="22"/>
        </w:rPr>
        <w:lastRenderedPageBreak/>
        <w:t>Figure 2</w:t>
      </w:r>
    </w:p>
    <w:p w:rsidR="00742F79" w:rsidRPr="00F82F1D" w:rsidRDefault="00742F79" w:rsidP="00F82F1D">
      <w:pPr>
        <w:suppressLineNumbers/>
        <w:suppressAutoHyphens/>
        <w:kinsoku w:val="0"/>
        <w:overflowPunct w:val="0"/>
        <w:autoSpaceDE w:val="0"/>
        <w:autoSpaceDN w:val="0"/>
        <w:spacing w:after="200" w:line="276" w:lineRule="auto"/>
        <w:jc w:val="left"/>
        <w:rPr>
          <w:b/>
          <w:bCs/>
          <w:kern w:val="22"/>
          <w:szCs w:val="22"/>
        </w:rPr>
      </w:pPr>
      <w:r w:rsidRPr="00F82F1D">
        <w:rPr>
          <w:b/>
          <w:bCs/>
          <w:noProof/>
          <w:kern w:val="22"/>
          <w:szCs w:val="22"/>
          <w:lang w:eastAsia="zh-CN"/>
        </w:rPr>
        <w:drawing>
          <wp:inline distT="0" distB="0" distL="0" distR="0" wp14:anchorId="7072BCA4" wp14:editId="7CBBD9EF">
            <wp:extent cx="5914627" cy="4585648"/>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4775" cy="4593516"/>
                    </a:xfrm>
                    <a:prstGeom prst="rect">
                      <a:avLst/>
                    </a:prstGeom>
                    <a:noFill/>
                  </pic:spPr>
                </pic:pic>
              </a:graphicData>
            </a:graphic>
          </wp:inline>
        </w:drawing>
      </w:r>
    </w:p>
    <w:p w:rsidR="00742F79" w:rsidRPr="00F82F1D" w:rsidRDefault="00742F79" w:rsidP="00F82F1D">
      <w:pPr>
        <w:numPr>
          <w:ilvl w:val="0"/>
          <w:numId w:val="52"/>
        </w:numPr>
        <w:suppressLineNumbers/>
        <w:suppressAutoHyphens/>
        <w:kinsoku w:val="0"/>
        <w:overflowPunct w:val="0"/>
        <w:autoSpaceDE w:val="0"/>
        <w:autoSpaceDN w:val="0"/>
        <w:spacing w:before="240" w:after="120"/>
        <w:jc w:val="left"/>
        <w:rPr>
          <w:b/>
          <w:bCs/>
          <w:kern w:val="22"/>
          <w:szCs w:val="22"/>
        </w:rPr>
      </w:pPr>
      <w:r w:rsidRPr="00F82F1D">
        <w:rPr>
          <w:b/>
          <w:bCs/>
          <w:kern w:val="22"/>
          <w:szCs w:val="22"/>
        </w:rPr>
        <w:t>FULL AND EFFECTIVE PARTICIPATION OF REPRESENTATIVES OF DEVELOPING COUNTRY PARTIES</w:t>
      </w:r>
    </w:p>
    <w:p w:rsidR="00742F79" w:rsidRPr="00F82F1D" w:rsidRDefault="00742F79" w:rsidP="00F82F1D">
      <w:pPr>
        <w:pStyle w:val="Para1"/>
        <w:suppressLineNumbers/>
        <w:tabs>
          <w:tab w:val="clear" w:pos="360"/>
        </w:tabs>
        <w:suppressAutoHyphens/>
        <w:kinsoku w:val="0"/>
        <w:overflowPunct w:val="0"/>
        <w:autoSpaceDE w:val="0"/>
        <w:autoSpaceDN w:val="0"/>
        <w:rPr>
          <w:snapToGrid/>
          <w:kern w:val="22"/>
          <w:szCs w:val="22"/>
        </w:rPr>
      </w:pPr>
      <w:r w:rsidRPr="00F82F1D">
        <w:rPr>
          <w:snapToGrid/>
          <w:kern w:val="22"/>
          <w:szCs w:val="22"/>
        </w:rPr>
        <w:t>The information collected through the questionnaire distributed to Parties</w:t>
      </w:r>
      <w:r w:rsidR="000C5DD5" w:rsidRPr="00F82F1D">
        <w:rPr>
          <w:snapToGrid/>
          <w:kern w:val="22"/>
          <w:szCs w:val="22"/>
        </w:rPr>
        <w:t xml:space="preserve"> through the notification</w:t>
      </w:r>
      <w:r w:rsidRPr="00F82F1D">
        <w:rPr>
          <w:snapToGrid/>
          <w:kern w:val="22"/>
          <w:szCs w:val="22"/>
        </w:rPr>
        <w:t xml:space="preserve"> indicates that 43</w:t>
      </w:r>
      <w:r w:rsidR="00C07151" w:rsidRPr="00F82F1D">
        <w:rPr>
          <w:snapToGrid/>
          <w:kern w:val="22"/>
          <w:szCs w:val="22"/>
        </w:rPr>
        <w:t xml:space="preserve"> per cent</w:t>
      </w:r>
      <w:r w:rsidRPr="00F82F1D">
        <w:rPr>
          <w:snapToGrid/>
          <w:kern w:val="22"/>
          <w:szCs w:val="22"/>
        </w:rPr>
        <w:t xml:space="preserve"> of respondents felt that the criterion of full and effective participation of representatives of developing country Parties in COP</w:t>
      </w:r>
      <w:r w:rsidR="00DB79A7" w:rsidRPr="00F82F1D">
        <w:rPr>
          <w:snapToGrid/>
          <w:kern w:val="22"/>
          <w:szCs w:val="22"/>
        </w:rPr>
        <w:t> </w:t>
      </w:r>
      <w:r w:rsidRPr="00F82F1D">
        <w:rPr>
          <w:snapToGrid/>
          <w:kern w:val="22"/>
          <w:szCs w:val="22"/>
        </w:rPr>
        <w:t xml:space="preserve">13 </w:t>
      </w:r>
      <w:r w:rsidR="00E04147" w:rsidRPr="00F82F1D">
        <w:rPr>
          <w:snapToGrid/>
          <w:kern w:val="22"/>
          <w:szCs w:val="22"/>
        </w:rPr>
        <w:t xml:space="preserve">had been </w:t>
      </w:r>
      <w:r w:rsidRPr="00F82F1D">
        <w:rPr>
          <w:snapToGrid/>
          <w:kern w:val="22"/>
          <w:szCs w:val="22"/>
        </w:rPr>
        <w:t>fully met, 49</w:t>
      </w:r>
      <w:r w:rsidR="00C07151" w:rsidRPr="00F82F1D">
        <w:rPr>
          <w:snapToGrid/>
          <w:kern w:val="22"/>
          <w:szCs w:val="22"/>
        </w:rPr>
        <w:t xml:space="preserve"> per cent</w:t>
      </w:r>
      <w:r w:rsidRPr="00F82F1D">
        <w:rPr>
          <w:snapToGrid/>
          <w:kern w:val="22"/>
          <w:szCs w:val="22"/>
        </w:rPr>
        <w:t xml:space="preserve"> of respondents felt that it </w:t>
      </w:r>
      <w:r w:rsidR="00E04147" w:rsidRPr="00F82F1D">
        <w:rPr>
          <w:snapToGrid/>
          <w:kern w:val="22"/>
          <w:szCs w:val="22"/>
        </w:rPr>
        <w:t xml:space="preserve">had been </w:t>
      </w:r>
      <w:r w:rsidRPr="00F82F1D">
        <w:rPr>
          <w:snapToGrid/>
          <w:kern w:val="22"/>
          <w:szCs w:val="22"/>
        </w:rPr>
        <w:t>partially met, and 8</w:t>
      </w:r>
      <w:r w:rsidR="00C07151" w:rsidRPr="00F82F1D">
        <w:rPr>
          <w:snapToGrid/>
          <w:kern w:val="22"/>
          <w:szCs w:val="22"/>
        </w:rPr>
        <w:t xml:space="preserve"> per cent</w:t>
      </w:r>
      <w:r w:rsidRPr="00F82F1D">
        <w:rPr>
          <w:snapToGrid/>
          <w:kern w:val="22"/>
          <w:szCs w:val="22"/>
        </w:rPr>
        <w:t xml:space="preserve"> felt that the criterion </w:t>
      </w:r>
      <w:r w:rsidR="00E04147" w:rsidRPr="00F82F1D">
        <w:rPr>
          <w:snapToGrid/>
          <w:kern w:val="22"/>
          <w:szCs w:val="22"/>
        </w:rPr>
        <w:t xml:space="preserve">had </w:t>
      </w:r>
      <w:r w:rsidRPr="00F82F1D">
        <w:rPr>
          <w:snapToGrid/>
          <w:kern w:val="22"/>
          <w:szCs w:val="22"/>
        </w:rPr>
        <w:t xml:space="preserve">not </w:t>
      </w:r>
      <w:r w:rsidR="00E04147" w:rsidRPr="00F82F1D">
        <w:rPr>
          <w:snapToGrid/>
          <w:kern w:val="22"/>
          <w:szCs w:val="22"/>
        </w:rPr>
        <w:t xml:space="preserve">been </w:t>
      </w:r>
      <w:r w:rsidRPr="00F82F1D">
        <w:rPr>
          <w:snapToGrid/>
          <w:kern w:val="22"/>
          <w:szCs w:val="22"/>
        </w:rPr>
        <w:t>met. When the results are disaggregated, 43</w:t>
      </w:r>
      <w:r w:rsidR="00C07151" w:rsidRPr="00F82F1D">
        <w:rPr>
          <w:snapToGrid/>
          <w:kern w:val="22"/>
          <w:szCs w:val="22"/>
        </w:rPr>
        <w:t xml:space="preserve"> per cent</w:t>
      </w:r>
      <w:r w:rsidRPr="00F82F1D">
        <w:rPr>
          <w:snapToGrid/>
          <w:kern w:val="22"/>
          <w:szCs w:val="22"/>
        </w:rPr>
        <w:t xml:space="preserve"> of respondents from developing country Parties felt that the criterion </w:t>
      </w:r>
      <w:r w:rsidR="00C13021" w:rsidRPr="00F82F1D">
        <w:rPr>
          <w:snapToGrid/>
          <w:kern w:val="22"/>
          <w:szCs w:val="22"/>
        </w:rPr>
        <w:t xml:space="preserve">had been </w:t>
      </w:r>
      <w:r w:rsidRPr="00F82F1D">
        <w:rPr>
          <w:snapToGrid/>
          <w:kern w:val="22"/>
          <w:szCs w:val="22"/>
        </w:rPr>
        <w:t>fully met, 47</w:t>
      </w:r>
      <w:r w:rsidR="00C07151" w:rsidRPr="00F82F1D">
        <w:rPr>
          <w:snapToGrid/>
          <w:kern w:val="22"/>
          <w:szCs w:val="22"/>
        </w:rPr>
        <w:t xml:space="preserve"> per cent</w:t>
      </w:r>
      <w:r w:rsidRPr="00F82F1D">
        <w:rPr>
          <w:snapToGrid/>
          <w:kern w:val="22"/>
          <w:szCs w:val="22"/>
        </w:rPr>
        <w:t xml:space="preserve"> felt that it </w:t>
      </w:r>
      <w:r w:rsidR="00C13021" w:rsidRPr="00F82F1D">
        <w:rPr>
          <w:snapToGrid/>
          <w:kern w:val="22"/>
          <w:szCs w:val="22"/>
        </w:rPr>
        <w:t xml:space="preserve">had been </w:t>
      </w:r>
      <w:r w:rsidRPr="00F82F1D">
        <w:rPr>
          <w:snapToGrid/>
          <w:kern w:val="22"/>
          <w:szCs w:val="22"/>
        </w:rPr>
        <w:t>partially met, 10</w:t>
      </w:r>
      <w:r w:rsidR="00C07151" w:rsidRPr="00F82F1D">
        <w:rPr>
          <w:snapToGrid/>
          <w:kern w:val="22"/>
          <w:szCs w:val="22"/>
        </w:rPr>
        <w:t xml:space="preserve"> per cent</w:t>
      </w:r>
      <w:r w:rsidRPr="00F82F1D">
        <w:rPr>
          <w:snapToGrid/>
          <w:kern w:val="22"/>
          <w:szCs w:val="22"/>
        </w:rPr>
        <w:t xml:space="preserve"> felt that it </w:t>
      </w:r>
      <w:r w:rsidR="00C13021" w:rsidRPr="00F82F1D">
        <w:rPr>
          <w:snapToGrid/>
          <w:kern w:val="22"/>
          <w:szCs w:val="22"/>
        </w:rPr>
        <w:t xml:space="preserve">had </w:t>
      </w:r>
      <w:r w:rsidRPr="00F82F1D">
        <w:rPr>
          <w:snapToGrid/>
          <w:kern w:val="22"/>
          <w:szCs w:val="22"/>
        </w:rPr>
        <w:t xml:space="preserve">not </w:t>
      </w:r>
      <w:r w:rsidR="00C13021" w:rsidRPr="00F82F1D">
        <w:rPr>
          <w:snapToGrid/>
          <w:kern w:val="22"/>
          <w:szCs w:val="22"/>
        </w:rPr>
        <w:t xml:space="preserve">been </w:t>
      </w:r>
      <w:r w:rsidRPr="00F82F1D">
        <w:rPr>
          <w:snapToGrid/>
          <w:kern w:val="22"/>
          <w:szCs w:val="22"/>
        </w:rPr>
        <w:t>met.</w:t>
      </w:r>
    </w:p>
    <w:p w:rsidR="00742F79" w:rsidRPr="00F82F1D" w:rsidRDefault="00742F79" w:rsidP="00F82F1D">
      <w:pPr>
        <w:pStyle w:val="Para1"/>
        <w:suppressLineNumbers/>
        <w:tabs>
          <w:tab w:val="clear" w:pos="360"/>
        </w:tabs>
        <w:suppressAutoHyphens/>
        <w:kinsoku w:val="0"/>
        <w:overflowPunct w:val="0"/>
        <w:autoSpaceDE w:val="0"/>
        <w:autoSpaceDN w:val="0"/>
        <w:rPr>
          <w:snapToGrid/>
          <w:kern w:val="22"/>
          <w:szCs w:val="22"/>
        </w:rPr>
      </w:pPr>
      <w:r w:rsidRPr="00F82F1D">
        <w:rPr>
          <w:snapToGrid/>
          <w:kern w:val="22"/>
          <w:szCs w:val="22"/>
        </w:rPr>
        <w:t xml:space="preserve">With regard to the participation of developing countries in </w:t>
      </w:r>
      <w:r w:rsidR="00132F87" w:rsidRPr="00F82F1D">
        <w:rPr>
          <w:snapToGrid/>
          <w:kern w:val="22"/>
          <w:szCs w:val="22"/>
        </w:rPr>
        <w:t>CP-</w:t>
      </w:r>
      <w:r w:rsidRPr="00F82F1D">
        <w:rPr>
          <w:snapToGrid/>
          <w:kern w:val="22"/>
          <w:szCs w:val="22"/>
        </w:rPr>
        <w:t>COP-MOP</w:t>
      </w:r>
      <w:r w:rsidR="00DB79A7" w:rsidRPr="00F82F1D">
        <w:rPr>
          <w:snapToGrid/>
          <w:kern w:val="22"/>
          <w:szCs w:val="22"/>
        </w:rPr>
        <w:t> </w:t>
      </w:r>
      <w:r w:rsidRPr="00F82F1D">
        <w:rPr>
          <w:snapToGrid/>
          <w:kern w:val="22"/>
          <w:szCs w:val="22"/>
        </w:rPr>
        <w:t>8, 27</w:t>
      </w:r>
      <w:r w:rsidR="00C07151" w:rsidRPr="00F82F1D">
        <w:rPr>
          <w:snapToGrid/>
          <w:kern w:val="22"/>
          <w:szCs w:val="22"/>
        </w:rPr>
        <w:t xml:space="preserve"> per cent</w:t>
      </w:r>
      <w:r w:rsidRPr="00F82F1D">
        <w:rPr>
          <w:snapToGrid/>
          <w:kern w:val="22"/>
          <w:szCs w:val="22"/>
        </w:rPr>
        <w:t xml:space="preserve"> of respondents felt that the criterion had been met, 62</w:t>
      </w:r>
      <w:r w:rsidR="00C07151" w:rsidRPr="00F82F1D">
        <w:rPr>
          <w:snapToGrid/>
          <w:kern w:val="22"/>
          <w:szCs w:val="22"/>
        </w:rPr>
        <w:t xml:space="preserve"> per cent</w:t>
      </w:r>
      <w:r w:rsidRPr="00F82F1D">
        <w:rPr>
          <w:snapToGrid/>
          <w:kern w:val="22"/>
          <w:szCs w:val="22"/>
        </w:rPr>
        <w:t xml:space="preserve"> felt that it had been partially met, and 11</w:t>
      </w:r>
      <w:r w:rsidR="00C07151" w:rsidRPr="00F82F1D">
        <w:rPr>
          <w:snapToGrid/>
          <w:kern w:val="22"/>
          <w:szCs w:val="22"/>
        </w:rPr>
        <w:t xml:space="preserve"> per cent</w:t>
      </w:r>
      <w:r w:rsidRPr="00F82F1D">
        <w:rPr>
          <w:snapToGrid/>
          <w:kern w:val="22"/>
          <w:szCs w:val="22"/>
        </w:rPr>
        <w:t xml:space="preserve"> felt that it had not been met. When the results are disaggregated, 25</w:t>
      </w:r>
      <w:r w:rsidR="00C07151" w:rsidRPr="00F82F1D">
        <w:rPr>
          <w:snapToGrid/>
          <w:kern w:val="22"/>
          <w:szCs w:val="22"/>
        </w:rPr>
        <w:t xml:space="preserve"> per cent</w:t>
      </w:r>
      <w:r w:rsidRPr="00F82F1D">
        <w:rPr>
          <w:snapToGrid/>
          <w:kern w:val="22"/>
          <w:szCs w:val="22"/>
        </w:rPr>
        <w:t xml:space="preserve"> of respondents from developing country Parties felt that the criterion </w:t>
      </w:r>
      <w:r w:rsidR="00B4723A" w:rsidRPr="00F82F1D">
        <w:rPr>
          <w:snapToGrid/>
          <w:kern w:val="22"/>
          <w:szCs w:val="22"/>
        </w:rPr>
        <w:t xml:space="preserve">had been </w:t>
      </w:r>
      <w:r w:rsidRPr="00F82F1D">
        <w:rPr>
          <w:snapToGrid/>
          <w:kern w:val="22"/>
          <w:szCs w:val="22"/>
        </w:rPr>
        <w:t>fully met, 60</w:t>
      </w:r>
      <w:r w:rsidR="00C07151" w:rsidRPr="00F82F1D">
        <w:rPr>
          <w:snapToGrid/>
          <w:kern w:val="22"/>
          <w:szCs w:val="22"/>
        </w:rPr>
        <w:t xml:space="preserve"> per cent</w:t>
      </w:r>
      <w:r w:rsidRPr="00F82F1D">
        <w:rPr>
          <w:snapToGrid/>
          <w:kern w:val="22"/>
          <w:szCs w:val="22"/>
        </w:rPr>
        <w:t xml:space="preserve"> felt that it </w:t>
      </w:r>
      <w:r w:rsidR="00B4723A" w:rsidRPr="00F82F1D">
        <w:rPr>
          <w:snapToGrid/>
          <w:kern w:val="22"/>
          <w:szCs w:val="22"/>
        </w:rPr>
        <w:t xml:space="preserve">had been </w:t>
      </w:r>
      <w:r w:rsidRPr="00F82F1D">
        <w:rPr>
          <w:snapToGrid/>
          <w:kern w:val="22"/>
          <w:szCs w:val="22"/>
        </w:rPr>
        <w:t>partially met, and 15</w:t>
      </w:r>
      <w:r w:rsidR="00C07151" w:rsidRPr="00F82F1D">
        <w:rPr>
          <w:snapToGrid/>
          <w:kern w:val="22"/>
          <w:szCs w:val="22"/>
        </w:rPr>
        <w:t xml:space="preserve"> per cent</w:t>
      </w:r>
      <w:r w:rsidRPr="00F82F1D">
        <w:rPr>
          <w:snapToGrid/>
          <w:kern w:val="22"/>
          <w:szCs w:val="22"/>
        </w:rPr>
        <w:t xml:space="preserve"> felt that it </w:t>
      </w:r>
      <w:r w:rsidR="00B4723A" w:rsidRPr="00F82F1D">
        <w:rPr>
          <w:snapToGrid/>
          <w:kern w:val="22"/>
          <w:szCs w:val="22"/>
        </w:rPr>
        <w:t xml:space="preserve">had </w:t>
      </w:r>
      <w:r w:rsidRPr="00F82F1D">
        <w:rPr>
          <w:snapToGrid/>
          <w:kern w:val="22"/>
          <w:szCs w:val="22"/>
        </w:rPr>
        <w:t xml:space="preserve">not </w:t>
      </w:r>
      <w:r w:rsidR="00B4723A" w:rsidRPr="00F82F1D">
        <w:rPr>
          <w:snapToGrid/>
          <w:kern w:val="22"/>
          <w:szCs w:val="22"/>
        </w:rPr>
        <w:t xml:space="preserve">been </w:t>
      </w:r>
      <w:r w:rsidRPr="00F82F1D">
        <w:rPr>
          <w:snapToGrid/>
          <w:kern w:val="22"/>
          <w:szCs w:val="22"/>
        </w:rPr>
        <w:t>met.</w:t>
      </w:r>
    </w:p>
    <w:p w:rsidR="00742F79" w:rsidRPr="00F82F1D" w:rsidRDefault="00742F79" w:rsidP="00F82F1D">
      <w:pPr>
        <w:pStyle w:val="Para1"/>
        <w:suppressLineNumbers/>
        <w:tabs>
          <w:tab w:val="clear" w:pos="360"/>
        </w:tabs>
        <w:suppressAutoHyphens/>
        <w:kinsoku w:val="0"/>
        <w:overflowPunct w:val="0"/>
        <w:autoSpaceDE w:val="0"/>
        <w:autoSpaceDN w:val="0"/>
        <w:rPr>
          <w:snapToGrid/>
          <w:kern w:val="22"/>
          <w:szCs w:val="22"/>
        </w:rPr>
      </w:pPr>
      <w:r w:rsidRPr="00F82F1D">
        <w:rPr>
          <w:snapToGrid/>
          <w:kern w:val="22"/>
          <w:szCs w:val="22"/>
        </w:rPr>
        <w:t xml:space="preserve">For </w:t>
      </w:r>
      <w:r w:rsidR="00132F87" w:rsidRPr="00F82F1D">
        <w:rPr>
          <w:snapToGrid/>
          <w:kern w:val="22"/>
          <w:szCs w:val="22"/>
        </w:rPr>
        <w:t>NP-</w:t>
      </w:r>
      <w:r w:rsidRPr="00F82F1D">
        <w:rPr>
          <w:snapToGrid/>
          <w:kern w:val="22"/>
          <w:szCs w:val="22"/>
        </w:rPr>
        <w:t>COP-MOP 2</w:t>
      </w:r>
      <w:r w:rsidR="00DB79A7" w:rsidRPr="00F82F1D">
        <w:rPr>
          <w:snapToGrid/>
          <w:kern w:val="22"/>
          <w:szCs w:val="22"/>
        </w:rPr>
        <w:t>,</w:t>
      </w:r>
      <w:r w:rsidRPr="00F82F1D">
        <w:rPr>
          <w:snapToGrid/>
          <w:kern w:val="22"/>
          <w:szCs w:val="22"/>
        </w:rPr>
        <w:t xml:space="preserve"> 27</w:t>
      </w:r>
      <w:r w:rsidR="00C07151" w:rsidRPr="00F82F1D">
        <w:rPr>
          <w:snapToGrid/>
          <w:kern w:val="22"/>
          <w:szCs w:val="22"/>
        </w:rPr>
        <w:t xml:space="preserve"> per cent</w:t>
      </w:r>
      <w:r w:rsidRPr="00F82F1D">
        <w:rPr>
          <w:snapToGrid/>
          <w:kern w:val="22"/>
          <w:szCs w:val="22"/>
        </w:rPr>
        <w:t xml:space="preserve"> of respondents felt that the criterion had been met, 61</w:t>
      </w:r>
      <w:r w:rsidR="00C07151" w:rsidRPr="00F82F1D">
        <w:rPr>
          <w:snapToGrid/>
          <w:kern w:val="22"/>
          <w:szCs w:val="22"/>
        </w:rPr>
        <w:t xml:space="preserve"> per cent</w:t>
      </w:r>
      <w:r w:rsidRPr="00F82F1D">
        <w:rPr>
          <w:snapToGrid/>
          <w:kern w:val="22"/>
          <w:szCs w:val="22"/>
        </w:rPr>
        <w:t xml:space="preserve"> felt that it had been partially met, and 13</w:t>
      </w:r>
      <w:r w:rsidR="00C07151" w:rsidRPr="00F82F1D">
        <w:rPr>
          <w:snapToGrid/>
          <w:kern w:val="22"/>
          <w:szCs w:val="22"/>
        </w:rPr>
        <w:t xml:space="preserve"> per cent</w:t>
      </w:r>
      <w:r w:rsidRPr="00F82F1D">
        <w:rPr>
          <w:snapToGrid/>
          <w:kern w:val="22"/>
          <w:szCs w:val="22"/>
        </w:rPr>
        <w:t xml:space="preserve"> felt that it had not been met. When the results are disaggregated, 23</w:t>
      </w:r>
      <w:r w:rsidR="00C07151" w:rsidRPr="00F82F1D">
        <w:rPr>
          <w:snapToGrid/>
          <w:kern w:val="22"/>
          <w:szCs w:val="22"/>
        </w:rPr>
        <w:t xml:space="preserve"> per cent</w:t>
      </w:r>
      <w:r w:rsidRPr="00F82F1D">
        <w:rPr>
          <w:snapToGrid/>
          <w:kern w:val="22"/>
          <w:szCs w:val="22"/>
        </w:rPr>
        <w:t xml:space="preserve"> of respondents from developing country Parties felt that the criterion </w:t>
      </w:r>
      <w:r w:rsidR="00D65A12" w:rsidRPr="00F82F1D">
        <w:rPr>
          <w:snapToGrid/>
          <w:kern w:val="22"/>
          <w:szCs w:val="22"/>
        </w:rPr>
        <w:t xml:space="preserve">had been </w:t>
      </w:r>
      <w:r w:rsidRPr="00F82F1D">
        <w:rPr>
          <w:snapToGrid/>
          <w:kern w:val="22"/>
          <w:szCs w:val="22"/>
        </w:rPr>
        <w:t>fully met, 60</w:t>
      </w:r>
      <w:r w:rsidR="00C07151" w:rsidRPr="00F82F1D">
        <w:rPr>
          <w:snapToGrid/>
          <w:kern w:val="22"/>
          <w:szCs w:val="22"/>
        </w:rPr>
        <w:t xml:space="preserve"> per cent</w:t>
      </w:r>
      <w:r w:rsidRPr="00F82F1D">
        <w:rPr>
          <w:snapToGrid/>
          <w:kern w:val="22"/>
          <w:szCs w:val="22"/>
        </w:rPr>
        <w:t xml:space="preserve"> felt that it </w:t>
      </w:r>
      <w:r w:rsidR="00D65A12" w:rsidRPr="00F82F1D">
        <w:rPr>
          <w:snapToGrid/>
          <w:kern w:val="22"/>
          <w:szCs w:val="22"/>
        </w:rPr>
        <w:t xml:space="preserve">had been </w:t>
      </w:r>
      <w:r w:rsidRPr="00F82F1D">
        <w:rPr>
          <w:snapToGrid/>
          <w:kern w:val="22"/>
          <w:szCs w:val="22"/>
        </w:rPr>
        <w:t>partially met, and 16</w:t>
      </w:r>
      <w:r w:rsidR="00C07151" w:rsidRPr="00F82F1D">
        <w:rPr>
          <w:snapToGrid/>
          <w:kern w:val="22"/>
          <w:szCs w:val="22"/>
        </w:rPr>
        <w:t xml:space="preserve"> per cent</w:t>
      </w:r>
      <w:r w:rsidRPr="00F82F1D">
        <w:rPr>
          <w:snapToGrid/>
          <w:kern w:val="22"/>
          <w:szCs w:val="22"/>
        </w:rPr>
        <w:t xml:space="preserve"> felt that it </w:t>
      </w:r>
      <w:r w:rsidR="00D65A12" w:rsidRPr="00F82F1D">
        <w:rPr>
          <w:snapToGrid/>
          <w:kern w:val="22"/>
          <w:szCs w:val="22"/>
        </w:rPr>
        <w:t xml:space="preserve">had </w:t>
      </w:r>
      <w:r w:rsidRPr="00F82F1D">
        <w:rPr>
          <w:snapToGrid/>
          <w:kern w:val="22"/>
          <w:szCs w:val="22"/>
        </w:rPr>
        <w:t xml:space="preserve">not </w:t>
      </w:r>
      <w:r w:rsidR="00D65A12" w:rsidRPr="00F82F1D">
        <w:rPr>
          <w:snapToGrid/>
          <w:kern w:val="22"/>
          <w:szCs w:val="22"/>
        </w:rPr>
        <w:t xml:space="preserve">been </w:t>
      </w:r>
      <w:r w:rsidRPr="00F82F1D">
        <w:rPr>
          <w:snapToGrid/>
          <w:kern w:val="22"/>
          <w:szCs w:val="22"/>
        </w:rPr>
        <w:t>met.</w:t>
      </w:r>
    </w:p>
    <w:p w:rsidR="00742F79" w:rsidRPr="00F82F1D" w:rsidRDefault="00742F79" w:rsidP="00F82F1D">
      <w:pPr>
        <w:pStyle w:val="Para1"/>
        <w:suppressLineNumbers/>
        <w:tabs>
          <w:tab w:val="clear" w:pos="360"/>
        </w:tabs>
        <w:suppressAutoHyphens/>
        <w:kinsoku w:val="0"/>
        <w:overflowPunct w:val="0"/>
        <w:autoSpaceDE w:val="0"/>
        <w:autoSpaceDN w:val="0"/>
        <w:rPr>
          <w:snapToGrid/>
          <w:kern w:val="22"/>
          <w:szCs w:val="22"/>
        </w:rPr>
      </w:pPr>
      <w:r w:rsidRPr="00F82F1D">
        <w:rPr>
          <w:snapToGrid/>
          <w:kern w:val="22"/>
          <w:szCs w:val="22"/>
        </w:rPr>
        <w:t xml:space="preserve">A number of issues were raised by Parties in their written comments. Several Parties noted that concurrent meetings made it difficult for some delegations to follow the proceedings. This was noted as being particularly problematic for small delegations. Furthermore, a number of Parties noted that the </w:t>
      </w:r>
      <w:r w:rsidRPr="00F82F1D">
        <w:rPr>
          <w:snapToGrid/>
          <w:kern w:val="22"/>
          <w:szCs w:val="22"/>
        </w:rPr>
        <w:lastRenderedPageBreak/>
        <w:t>concurrent meetings necessitated a large number of contact group meetings as well as meetings of friends of the chair. Many Parties also noted that the limited funding available to support the participation of representatives from developing countries was problematic in terms of the full and effective participation of developing country Parties.</w:t>
      </w:r>
    </w:p>
    <w:p w:rsidR="00742F79" w:rsidRPr="00F82F1D" w:rsidRDefault="00742F79" w:rsidP="00F82F1D">
      <w:pPr>
        <w:pStyle w:val="Para1"/>
        <w:suppressLineNumbers/>
        <w:tabs>
          <w:tab w:val="clear" w:pos="360"/>
        </w:tabs>
        <w:suppressAutoHyphens/>
        <w:kinsoku w:val="0"/>
        <w:overflowPunct w:val="0"/>
        <w:autoSpaceDE w:val="0"/>
        <w:autoSpaceDN w:val="0"/>
        <w:rPr>
          <w:snapToGrid/>
          <w:kern w:val="22"/>
          <w:szCs w:val="22"/>
        </w:rPr>
      </w:pPr>
      <w:r w:rsidRPr="00F82F1D">
        <w:rPr>
          <w:snapToGrid/>
          <w:kern w:val="22"/>
          <w:szCs w:val="22"/>
        </w:rPr>
        <w:t xml:space="preserve">The number of developing country Parties that have received funding to participate in meetings of the COP and COP-MOPs has varied from meeting to meeting. The number of Parties and participants that can be supported is dependent on the contributions received by the Secretariat, the </w:t>
      </w:r>
      <w:r w:rsidR="00C34C69" w:rsidRPr="00F82F1D">
        <w:rPr>
          <w:snapToGrid/>
          <w:kern w:val="22"/>
          <w:szCs w:val="22"/>
        </w:rPr>
        <w:t xml:space="preserve">applicable </w:t>
      </w:r>
      <w:r w:rsidRPr="00F82F1D">
        <w:rPr>
          <w:snapToGrid/>
          <w:kern w:val="22"/>
          <w:szCs w:val="22"/>
        </w:rPr>
        <w:t>daily subsistence rate and the cost of airfare. This makes a direct comparison of the number of Parties and participants supported to participate in meetings of the Conference of the Parties to the Convention and the meetings of the Protocols difficult as these factors have all varied between meetings. For example</w:t>
      </w:r>
      <w:r w:rsidR="00642C86" w:rsidRPr="00F82F1D">
        <w:rPr>
          <w:snapToGrid/>
          <w:kern w:val="22"/>
          <w:szCs w:val="22"/>
        </w:rPr>
        <w:t>,</w:t>
      </w:r>
      <w:r w:rsidRPr="00F82F1D">
        <w:rPr>
          <w:snapToGrid/>
          <w:kern w:val="22"/>
          <w:szCs w:val="22"/>
        </w:rPr>
        <w:t xml:space="preserve"> the contributions received to support participation in meetings </w:t>
      </w:r>
      <w:r w:rsidR="00C44B0B" w:rsidRPr="00F82F1D">
        <w:rPr>
          <w:snapToGrid/>
          <w:kern w:val="22"/>
          <w:szCs w:val="22"/>
        </w:rPr>
        <w:t xml:space="preserve">have </w:t>
      </w:r>
      <w:r w:rsidRPr="00F82F1D">
        <w:rPr>
          <w:snapToGrid/>
          <w:kern w:val="22"/>
          <w:szCs w:val="22"/>
        </w:rPr>
        <w:t xml:space="preserve">ranged </w:t>
      </w:r>
      <w:r w:rsidR="00C44B0B" w:rsidRPr="00F82F1D">
        <w:rPr>
          <w:snapToGrid/>
          <w:kern w:val="22"/>
          <w:szCs w:val="22"/>
        </w:rPr>
        <w:t xml:space="preserve">from </w:t>
      </w:r>
      <w:r w:rsidRPr="00F82F1D">
        <w:rPr>
          <w:snapToGrid/>
          <w:kern w:val="22"/>
          <w:szCs w:val="22"/>
        </w:rPr>
        <w:t>$465,370 for COP</w:t>
      </w:r>
      <w:r w:rsidR="00DB79A7" w:rsidRPr="00F82F1D">
        <w:rPr>
          <w:snapToGrid/>
          <w:kern w:val="22"/>
          <w:szCs w:val="22"/>
        </w:rPr>
        <w:t> </w:t>
      </w:r>
      <w:r w:rsidRPr="00F82F1D">
        <w:rPr>
          <w:snapToGrid/>
          <w:kern w:val="22"/>
          <w:szCs w:val="22"/>
        </w:rPr>
        <w:t xml:space="preserve">12 and </w:t>
      </w:r>
      <w:r w:rsidR="00CA5E13" w:rsidRPr="00F82F1D">
        <w:rPr>
          <w:snapToGrid/>
          <w:kern w:val="22"/>
          <w:szCs w:val="22"/>
        </w:rPr>
        <w:t>CP-</w:t>
      </w:r>
      <w:r w:rsidRPr="00F82F1D">
        <w:rPr>
          <w:snapToGrid/>
          <w:kern w:val="22"/>
          <w:szCs w:val="22"/>
        </w:rPr>
        <w:t>COP-MOP</w:t>
      </w:r>
      <w:r w:rsidR="00DB79A7" w:rsidRPr="00F82F1D">
        <w:rPr>
          <w:snapToGrid/>
          <w:kern w:val="22"/>
          <w:szCs w:val="22"/>
        </w:rPr>
        <w:t> </w:t>
      </w:r>
      <w:r w:rsidRPr="00F82F1D">
        <w:rPr>
          <w:snapToGrid/>
          <w:kern w:val="22"/>
          <w:szCs w:val="22"/>
        </w:rPr>
        <w:t>7 to $1,045,102 for COP</w:t>
      </w:r>
      <w:r w:rsidR="00DB79A7" w:rsidRPr="00F82F1D">
        <w:rPr>
          <w:snapToGrid/>
          <w:kern w:val="22"/>
          <w:szCs w:val="22"/>
        </w:rPr>
        <w:t> </w:t>
      </w:r>
      <w:r w:rsidRPr="00F82F1D">
        <w:rPr>
          <w:snapToGrid/>
          <w:kern w:val="22"/>
          <w:szCs w:val="22"/>
        </w:rPr>
        <w:t xml:space="preserve">10 and </w:t>
      </w:r>
      <w:r w:rsidR="00CA5E13" w:rsidRPr="00F82F1D">
        <w:rPr>
          <w:snapToGrid/>
          <w:kern w:val="22"/>
          <w:szCs w:val="22"/>
        </w:rPr>
        <w:t>CP-</w:t>
      </w:r>
      <w:r w:rsidRPr="00F82F1D">
        <w:rPr>
          <w:snapToGrid/>
          <w:kern w:val="22"/>
          <w:szCs w:val="22"/>
        </w:rPr>
        <w:t>COP-MOP</w:t>
      </w:r>
      <w:r w:rsidR="00DB79A7" w:rsidRPr="00F82F1D">
        <w:rPr>
          <w:snapToGrid/>
          <w:kern w:val="22"/>
          <w:szCs w:val="22"/>
        </w:rPr>
        <w:t> </w:t>
      </w:r>
      <w:r w:rsidRPr="00F82F1D">
        <w:rPr>
          <w:snapToGrid/>
          <w:kern w:val="22"/>
          <w:szCs w:val="22"/>
        </w:rPr>
        <w:t>5. For the concurrent meetings in 2016, contributions totalling $672,000 were received.</w:t>
      </w:r>
    </w:p>
    <w:p w:rsidR="00742F79" w:rsidRPr="00F82F1D" w:rsidRDefault="00742F79" w:rsidP="00F82F1D">
      <w:pPr>
        <w:pStyle w:val="Para1"/>
        <w:suppressLineNumbers/>
        <w:tabs>
          <w:tab w:val="clear" w:pos="360"/>
        </w:tabs>
        <w:suppressAutoHyphens/>
        <w:kinsoku w:val="0"/>
        <w:overflowPunct w:val="0"/>
        <w:autoSpaceDE w:val="0"/>
        <w:autoSpaceDN w:val="0"/>
        <w:rPr>
          <w:snapToGrid/>
          <w:kern w:val="22"/>
          <w:szCs w:val="22"/>
        </w:rPr>
      </w:pPr>
      <w:r w:rsidRPr="00F82F1D">
        <w:rPr>
          <w:snapToGrid/>
          <w:kern w:val="22"/>
          <w:szCs w:val="22"/>
        </w:rPr>
        <w:t>The general approach the Secretariat followed at previous meetings was to provide each eligible country with the equivalent of one economy class return airline ticket and the equivalent of three weeks of daily subsistence allowance (DSA) for one person</w:t>
      </w:r>
      <w:r w:rsidR="00DB79A7" w:rsidRPr="00F82F1D">
        <w:rPr>
          <w:snapToGrid/>
          <w:kern w:val="22"/>
          <w:szCs w:val="22"/>
        </w:rPr>
        <w:t>.</w:t>
      </w:r>
      <w:r w:rsidRPr="00F82F1D">
        <w:rPr>
          <w:snapToGrid/>
          <w:kern w:val="22"/>
          <w:szCs w:val="22"/>
          <w:vertAlign w:val="superscript"/>
        </w:rPr>
        <w:footnoteReference w:id="9"/>
      </w:r>
      <w:r w:rsidRPr="00F82F1D">
        <w:rPr>
          <w:snapToGrid/>
          <w:kern w:val="22"/>
          <w:szCs w:val="22"/>
        </w:rPr>
        <w:t xml:space="preserve"> It was then up to the Party to decide how they wished to make use of the funds. For example, some Parties chose to send one participant to cover issues related to the Convention and its Protocols while other Parties chose to allocate the airfare to one participant while allocating the DSA to another.</w:t>
      </w:r>
      <w:r w:rsidR="00E605D7" w:rsidRPr="00F82F1D">
        <w:rPr>
          <w:snapToGrid/>
          <w:kern w:val="22"/>
          <w:szCs w:val="22"/>
        </w:rPr>
        <w:t xml:space="preserve"> </w:t>
      </w:r>
      <w:r w:rsidRPr="00F82F1D">
        <w:rPr>
          <w:snapToGrid/>
          <w:kern w:val="22"/>
          <w:szCs w:val="22"/>
        </w:rPr>
        <w:t>A similar approach was followed for the concurrent meetings in 2016. However, the amount of daily subsistence allowance that was made available was reduced to two weeks owing to the shorter duration of the meetings. The effect of convening concurrent meetings has been, in general, a reduction of one week of daily subsistence allowance provided by the Secretariat with contributions from donors. However, as some Parties have also received support to participate in the high</w:t>
      </w:r>
      <w:r w:rsidR="00BE0B3D" w:rsidRPr="00F82F1D">
        <w:rPr>
          <w:snapToGrid/>
          <w:kern w:val="22"/>
          <w:szCs w:val="22"/>
        </w:rPr>
        <w:t>-</w:t>
      </w:r>
      <w:r w:rsidRPr="00F82F1D">
        <w:rPr>
          <w:snapToGrid/>
          <w:kern w:val="22"/>
          <w:szCs w:val="22"/>
        </w:rPr>
        <w:t xml:space="preserve">level segment of the meetings, which was convened a few days prior to the concurrent meetings, the overall reduction in DSA for some Parties was less. Further, historically it has been difficult to secure funds for the COP-MOP to the Cartagena Protocol in comparison to meetings of COP. Convening meetings concurrently has reduced this discrepancy as funds were provided for the concurrent meetings </w:t>
      </w:r>
      <w:r w:rsidR="006F63B3" w:rsidRPr="00F82F1D">
        <w:rPr>
          <w:snapToGrid/>
          <w:kern w:val="22"/>
          <w:szCs w:val="22"/>
        </w:rPr>
        <w:t>rather than a</w:t>
      </w:r>
      <w:r w:rsidRPr="00F82F1D">
        <w:rPr>
          <w:snapToGrid/>
          <w:kern w:val="22"/>
          <w:szCs w:val="22"/>
        </w:rPr>
        <w:t xml:space="preserve"> specific meeting.</w:t>
      </w:r>
    </w:p>
    <w:p w:rsidR="00742F79" w:rsidRPr="00F82F1D" w:rsidRDefault="00742F79" w:rsidP="00F82F1D">
      <w:pPr>
        <w:pStyle w:val="Para1"/>
        <w:suppressLineNumbers/>
        <w:tabs>
          <w:tab w:val="clear" w:pos="360"/>
        </w:tabs>
        <w:suppressAutoHyphens/>
        <w:kinsoku w:val="0"/>
        <w:overflowPunct w:val="0"/>
        <w:autoSpaceDE w:val="0"/>
        <w:autoSpaceDN w:val="0"/>
        <w:rPr>
          <w:snapToGrid/>
          <w:kern w:val="22"/>
          <w:szCs w:val="22"/>
        </w:rPr>
      </w:pPr>
      <w:r w:rsidRPr="00F82F1D">
        <w:rPr>
          <w:snapToGrid/>
          <w:kern w:val="22"/>
          <w:szCs w:val="22"/>
        </w:rPr>
        <w:t>The number of Parties receiving financial support, between COP</w:t>
      </w:r>
      <w:r w:rsidR="00A02EB2" w:rsidRPr="00F82F1D">
        <w:rPr>
          <w:snapToGrid/>
          <w:kern w:val="22"/>
          <w:szCs w:val="22"/>
        </w:rPr>
        <w:t> </w:t>
      </w:r>
      <w:r w:rsidRPr="00F82F1D">
        <w:rPr>
          <w:snapToGrid/>
          <w:kern w:val="22"/>
          <w:szCs w:val="22"/>
        </w:rPr>
        <w:t>10 and COP</w:t>
      </w:r>
      <w:r w:rsidR="00A02EB2" w:rsidRPr="00F82F1D">
        <w:rPr>
          <w:snapToGrid/>
          <w:kern w:val="22"/>
          <w:szCs w:val="22"/>
        </w:rPr>
        <w:t> </w:t>
      </w:r>
      <w:r w:rsidRPr="00F82F1D">
        <w:rPr>
          <w:snapToGrid/>
          <w:kern w:val="22"/>
          <w:szCs w:val="22"/>
        </w:rPr>
        <w:t>12, has ranged from 74 (COP</w:t>
      </w:r>
      <w:r w:rsidR="00A02EB2" w:rsidRPr="00F82F1D">
        <w:rPr>
          <w:snapToGrid/>
          <w:kern w:val="22"/>
          <w:szCs w:val="22"/>
        </w:rPr>
        <w:t> </w:t>
      </w:r>
      <w:r w:rsidRPr="00F82F1D">
        <w:rPr>
          <w:snapToGrid/>
          <w:kern w:val="22"/>
          <w:szCs w:val="22"/>
        </w:rPr>
        <w:t>12) to 118 (COP</w:t>
      </w:r>
      <w:r w:rsidR="00A02EB2" w:rsidRPr="00F82F1D">
        <w:rPr>
          <w:snapToGrid/>
          <w:kern w:val="22"/>
          <w:szCs w:val="22"/>
        </w:rPr>
        <w:t> </w:t>
      </w:r>
      <w:r w:rsidRPr="00F82F1D">
        <w:rPr>
          <w:snapToGrid/>
          <w:kern w:val="22"/>
          <w:szCs w:val="22"/>
        </w:rPr>
        <w:t>10) and has averaged 101. During the concurrent meetings in 2016, 108 Parties received support. Similarly, the number of participants receiving support has also varied. Between COP</w:t>
      </w:r>
      <w:r w:rsidR="00A02EB2" w:rsidRPr="00F82F1D">
        <w:rPr>
          <w:snapToGrid/>
          <w:kern w:val="22"/>
          <w:szCs w:val="22"/>
        </w:rPr>
        <w:t> </w:t>
      </w:r>
      <w:r w:rsidRPr="00F82F1D">
        <w:rPr>
          <w:snapToGrid/>
          <w:kern w:val="22"/>
          <w:szCs w:val="22"/>
        </w:rPr>
        <w:t>10 and COP</w:t>
      </w:r>
      <w:r w:rsidR="00A02EB2" w:rsidRPr="00F82F1D">
        <w:rPr>
          <w:snapToGrid/>
          <w:kern w:val="22"/>
          <w:szCs w:val="22"/>
        </w:rPr>
        <w:t> </w:t>
      </w:r>
      <w:r w:rsidRPr="00F82F1D">
        <w:rPr>
          <w:snapToGrid/>
          <w:kern w:val="22"/>
          <w:szCs w:val="22"/>
        </w:rPr>
        <w:t>12 the number of funded participants has ranged from 77 (COP</w:t>
      </w:r>
      <w:r w:rsidR="00A02EB2" w:rsidRPr="00F82F1D">
        <w:rPr>
          <w:snapToGrid/>
          <w:kern w:val="22"/>
          <w:szCs w:val="22"/>
        </w:rPr>
        <w:t> </w:t>
      </w:r>
      <w:r w:rsidRPr="00F82F1D">
        <w:rPr>
          <w:snapToGrid/>
          <w:kern w:val="22"/>
          <w:szCs w:val="22"/>
        </w:rPr>
        <w:t>12) to 139 (COP</w:t>
      </w:r>
      <w:r w:rsidR="00A02EB2" w:rsidRPr="00F82F1D">
        <w:rPr>
          <w:snapToGrid/>
          <w:kern w:val="22"/>
          <w:szCs w:val="22"/>
        </w:rPr>
        <w:t> </w:t>
      </w:r>
      <w:r w:rsidRPr="00F82F1D">
        <w:rPr>
          <w:snapToGrid/>
          <w:kern w:val="22"/>
          <w:szCs w:val="22"/>
        </w:rPr>
        <w:t>10) and has averaged 110. During the concurrent meetings in 2016, a total of 119 participants were funded. While both the number of Parties and participants supported to participate in the concurrent meetings in 2016 was a little higher than average</w:t>
      </w:r>
      <w:r w:rsidR="00A9121D" w:rsidRPr="00F82F1D">
        <w:rPr>
          <w:snapToGrid/>
          <w:kern w:val="22"/>
          <w:szCs w:val="22"/>
        </w:rPr>
        <w:t>,</w:t>
      </w:r>
      <w:r w:rsidRPr="00F82F1D">
        <w:rPr>
          <w:snapToGrid/>
          <w:kern w:val="22"/>
          <w:szCs w:val="22"/>
        </w:rPr>
        <w:t xml:space="preserve"> it is not clear if this can be considered a positive trend due to the other variables noted above (see </w:t>
      </w:r>
      <w:r w:rsidR="00642C86" w:rsidRPr="00F82F1D">
        <w:rPr>
          <w:snapToGrid/>
          <w:kern w:val="22"/>
          <w:szCs w:val="22"/>
        </w:rPr>
        <w:t>f</w:t>
      </w:r>
      <w:r w:rsidRPr="00F82F1D">
        <w:rPr>
          <w:snapToGrid/>
          <w:kern w:val="22"/>
          <w:szCs w:val="22"/>
        </w:rPr>
        <w:t xml:space="preserve">igure 3). Further, it is important to note that many of the funded participants </w:t>
      </w:r>
      <w:r w:rsidR="00F25D2F" w:rsidRPr="00F82F1D">
        <w:rPr>
          <w:snapToGrid/>
          <w:kern w:val="22"/>
          <w:szCs w:val="22"/>
        </w:rPr>
        <w:t>who attended</w:t>
      </w:r>
      <w:r w:rsidRPr="00F82F1D">
        <w:rPr>
          <w:snapToGrid/>
          <w:kern w:val="22"/>
          <w:szCs w:val="22"/>
        </w:rPr>
        <w:t xml:space="preserve"> the meetings of COP also participated in meetings of MOPs. This is especially true for participation in the concurrent meetings in 2016</w:t>
      </w:r>
      <w:r w:rsidR="00F25D2F" w:rsidRPr="00F82F1D">
        <w:rPr>
          <w:snapToGrid/>
          <w:kern w:val="22"/>
          <w:szCs w:val="22"/>
        </w:rPr>
        <w:t>,</w:t>
      </w:r>
      <w:r w:rsidRPr="00F82F1D">
        <w:rPr>
          <w:snapToGrid/>
          <w:kern w:val="22"/>
          <w:szCs w:val="22"/>
        </w:rPr>
        <w:t xml:space="preserve"> where no distinction was made between participants in COP and COP-MOPs in the </w:t>
      </w:r>
      <w:r w:rsidR="00F25D2F" w:rsidRPr="00F82F1D">
        <w:rPr>
          <w:snapToGrid/>
          <w:kern w:val="22"/>
          <w:szCs w:val="22"/>
        </w:rPr>
        <w:t xml:space="preserve">provision </w:t>
      </w:r>
      <w:r w:rsidRPr="00F82F1D">
        <w:rPr>
          <w:snapToGrid/>
          <w:kern w:val="22"/>
          <w:szCs w:val="22"/>
        </w:rPr>
        <w:t>of support. The decision on who</w:t>
      </w:r>
      <w:r w:rsidR="00F25D2F" w:rsidRPr="00F82F1D">
        <w:rPr>
          <w:snapToGrid/>
          <w:kern w:val="22"/>
          <w:szCs w:val="22"/>
        </w:rPr>
        <w:t>m</w:t>
      </w:r>
      <w:r w:rsidRPr="00F82F1D">
        <w:rPr>
          <w:snapToGrid/>
          <w:kern w:val="22"/>
          <w:szCs w:val="22"/>
        </w:rPr>
        <w:t xml:space="preserve"> to send to participate in the meetings was left to the discretion of the Parties concerned.</w:t>
      </w:r>
    </w:p>
    <w:p w:rsidR="00742F79" w:rsidRPr="00F82F1D" w:rsidRDefault="00742F79" w:rsidP="00F82F1D">
      <w:pPr>
        <w:pStyle w:val="Para1"/>
        <w:suppressLineNumbers/>
        <w:tabs>
          <w:tab w:val="clear" w:pos="360"/>
        </w:tabs>
        <w:suppressAutoHyphens/>
        <w:kinsoku w:val="0"/>
        <w:overflowPunct w:val="0"/>
        <w:autoSpaceDE w:val="0"/>
        <w:autoSpaceDN w:val="0"/>
        <w:rPr>
          <w:snapToGrid/>
          <w:kern w:val="22"/>
          <w:szCs w:val="22"/>
        </w:rPr>
      </w:pPr>
      <w:r w:rsidRPr="00F82F1D">
        <w:rPr>
          <w:snapToGrid/>
          <w:kern w:val="22"/>
          <w:szCs w:val="22"/>
        </w:rPr>
        <w:t>With regard to meetings of COP-MOP</w:t>
      </w:r>
      <w:r w:rsidR="009B2E90" w:rsidRPr="00F82F1D">
        <w:rPr>
          <w:snapToGrid/>
          <w:kern w:val="22"/>
          <w:szCs w:val="22"/>
        </w:rPr>
        <w:t xml:space="preserve"> to the Cartagena Protocol</w:t>
      </w:r>
      <w:r w:rsidRPr="00F82F1D">
        <w:rPr>
          <w:snapToGrid/>
          <w:kern w:val="22"/>
          <w:szCs w:val="22"/>
        </w:rPr>
        <w:t>, between COP-MOP</w:t>
      </w:r>
      <w:r w:rsidR="00A02EB2" w:rsidRPr="00F82F1D">
        <w:rPr>
          <w:snapToGrid/>
          <w:kern w:val="22"/>
          <w:szCs w:val="22"/>
        </w:rPr>
        <w:t> </w:t>
      </w:r>
      <w:r w:rsidRPr="00F82F1D">
        <w:rPr>
          <w:snapToGrid/>
          <w:kern w:val="22"/>
          <w:szCs w:val="22"/>
        </w:rPr>
        <w:t>5 and COP-MOP</w:t>
      </w:r>
      <w:r w:rsidR="00A02EB2" w:rsidRPr="00F82F1D">
        <w:rPr>
          <w:snapToGrid/>
          <w:kern w:val="22"/>
          <w:szCs w:val="22"/>
        </w:rPr>
        <w:t> </w:t>
      </w:r>
      <w:r w:rsidRPr="00F82F1D">
        <w:rPr>
          <w:snapToGrid/>
          <w:kern w:val="22"/>
          <w:szCs w:val="22"/>
        </w:rPr>
        <w:t>7 the number of Parties receiving support has ranged from 65 (COP-MOP</w:t>
      </w:r>
      <w:r w:rsidR="00A02EB2" w:rsidRPr="00F82F1D">
        <w:rPr>
          <w:snapToGrid/>
          <w:kern w:val="22"/>
          <w:szCs w:val="22"/>
        </w:rPr>
        <w:t> </w:t>
      </w:r>
      <w:r w:rsidRPr="00F82F1D">
        <w:rPr>
          <w:snapToGrid/>
          <w:kern w:val="22"/>
          <w:szCs w:val="22"/>
        </w:rPr>
        <w:t>7) to 81 (COP-MOP</w:t>
      </w:r>
      <w:r w:rsidR="00A02EB2" w:rsidRPr="00F82F1D">
        <w:rPr>
          <w:snapToGrid/>
          <w:kern w:val="22"/>
          <w:szCs w:val="22"/>
        </w:rPr>
        <w:t> </w:t>
      </w:r>
      <w:r w:rsidRPr="00F82F1D">
        <w:rPr>
          <w:snapToGrid/>
          <w:kern w:val="22"/>
          <w:szCs w:val="22"/>
        </w:rPr>
        <w:t>6) and averaged 74 and the number of funded participants has varied from 67 (COP-MOP</w:t>
      </w:r>
      <w:r w:rsidR="00A02EB2" w:rsidRPr="00F82F1D">
        <w:rPr>
          <w:snapToGrid/>
          <w:kern w:val="22"/>
          <w:szCs w:val="22"/>
        </w:rPr>
        <w:t> </w:t>
      </w:r>
      <w:r w:rsidRPr="00F82F1D">
        <w:rPr>
          <w:snapToGrid/>
          <w:kern w:val="22"/>
          <w:szCs w:val="22"/>
        </w:rPr>
        <w:t>7) to 91 (COP-MOP</w:t>
      </w:r>
      <w:r w:rsidR="00A02EB2" w:rsidRPr="00F82F1D">
        <w:rPr>
          <w:snapToGrid/>
          <w:kern w:val="22"/>
          <w:szCs w:val="22"/>
        </w:rPr>
        <w:t> </w:t>
      </w:r>
      <w:r w:rsidRPr="00F82F1D">
        <w:rPr>
          <w:snapToGrid/>
          <w:kern w:val="22"/>
          <w:szCs w:val="22"/>
        </w:rPr>
        <w:t>6) and average 81</w:t>
      </w:r>
      <w:r w:rsidR="009B2E90" w:rsidRPr="00F82F1D">
        <w:rPr>
          <w:snapToGrid/>
          <w:kern w:val="22"/>
          <w:szCs w:val="22"/>
        </w:rPr>
        <w:t>.</w:t>
      </w:r>
      <w:r w:rsidRPr="00F82F1D">
        <w:rPr>
          <w:snapToGrid/>
          <w:kern w:val="22"/>
          <w:szCs w:val="22"/>
          <w:vertAlign w:val="superscript"/>
        </w:rPr>
        <w:footnoteReference w:id="10"/>
      </w:r>
      <w:r w:rsidRPr="00F82F1D">
        <w:rPr>
          <w:snapToGrid/>
          <w:kern w:val="22"/>
          <w:szCs w:val="22"/>
        </w:rPr>
        <w:t xml:space="preserve"> In the case of the concurrent meetings in 2016, all of the funded participants who registered for COP-MOP</w:t>
      </w:r>
      <w:r w:rsidR="009B2E90" w:rsidRPr="00F82F1D">
        <w:rPr>
          <w:snapToGrid/>
          <w:kern w:val="22"/>
          <w:szCs w:val="22"/>
        </w:rPr>
        <w:t> </w:t>
      </w:r>
      <w:r w:rsidRPr="00F82F1D">
        <w:rPr>
          <w:snapToGrid/>
          <w:kern w:val="22"/>
          <w:szCs w:val="22"/>
        </w:rPr>
        <w:t>8 were also registered to participate in COP</w:t>
      </w:r>
      <w:r w:rsidR="009B2E90" w:rsidRPr="00F82F1D">
        <w:rPr>
          <w:snapToGrid/>
          <w:kern w:val="22"/>
          <w:szCs w:val="22"/>
        </w:rPr>
        <w:t> </w:t>
      </w:r>
      <w:r w:rsidRPr="00F82F1D">
        <w:rPr>
          <w:snapToGrid/>
          <w:kern w:val="22"/>
          <w:szCs w:val="22"/>
        </w:rPr>
        <w:t>13. Although the overall number of Parties and funded participants in COP-MOP</w:t>
      </w:r>
      <w:r w:rsidR="009B2E90" w:rsidRPr="00F82F1D">
        <w:rPr>
          <w:snapToGrid/>
          <w:kern w:val="22"/>
          <w:szCs w:val="22"/>
        </w:rPr>
        <w:t> </w:t>
      </w:r>
      <w:r w:rsidRPr="00F82F1D">
        <w:rPr>
          <w:snapToGrid/>
          <w:kern w:val="22"/>
          <w:szCs w:val="22"/>
        </w:rPr>
        <w:t xml:space="preserve">8 was higher than in previous </w:t>
      </w:r>
      <w:r w:rsidR="009B2E90" w:rsidRPr="00F82F1D">
        <w:rPr>
          <w:snapToGrid/>
          <w:kern w:val="22"/>
          <w:szCs w:val="22"/>
        </w:rPr>
        <w:t>meeting</w:t>
      </w:r>
      <w:r w:rsidR="0080589A" w:rsidRPr="00F82F1D">
        <w:rPr>
          <w:snapToGrid/>
          <w:kern w:val="22"/>
          <w:szCs w:val="22"/>
        </w:rPr>
        <w:t>s</w:t>
      </w:r>
      <w:r w:rsidR="009B2E90" w:rsidRPr="00F82F1D">
        <w:rPr>
          <w:snapToGrid/>
          <w:kern w:val="22"/>
          <w:szCs w:val="22"/>
        </w:rPr>
        <w:t xml:space="preserve"> of </w:t>
      </w:r>
      <w:r w:rsidRPr="00F82F1D">
        <w:rPr>
          <w:snapToGrid/>
          <w:kern w:val="22"/>
          <w:szCs w:val="22"/>
        </w:rPr>
        <w:lastRenderedPageBreak/>
        <w:t>COP-MOP</w:t>
      </w:r>
      <w:r w:rsidR="008964AA" w:rsidRPr="00F82F1D">
        <w:rPr>
          <w:snapToGrid/>
          <w:kern w:val="22"/>
          <w:szCs w:val="22"/>
        </w:rPr>
        <w:t xml:space="preserve"> </w:t>
      </w:r>
      <w:r w:rsidRPr="00F82F1D">
        <w:rPr>
          <w:snapToGrid/>
          <w:kern w:val="22"/>
          <w:szCs w:val="22"/>
        </w:rPr>
        <w:t xml:space="preserve">to the Cartagena Protocol, it is important to note that the exact number of participants who </w:t>
      </w:r>
      <w:r w:rsidR="00FA4EC6" w:rsidRPr="00F82F1D">
        <w:rPr>
          <w:snapToGrid/>
          <w:kern w:val="22"/>
          <w:szCs w:val="22"/>
        </w:rPr>
        <w:t xml:space="preserve">were </w:t>
      </w:r>
      <w:r w:rsidRPr="00F82F1D">
        <w:rPr>
          <w:snapToGrid/>
          <w:kern w:val="22"/>
          <w:szCs w:val="22"/>
        </w:rPr>
        <w:t xml:space="preserve">experts in the Cartagena Protocol is not known. Furthermore, while participants attending past </w:t>
      </w:r>
      <w:r w:rsidR="009B2E90" w:rsidRPr="00F82F1D">
        <w:rPr>
          <w:snapToGrid/>
          <w:kern w:val="22"/>
          <w:szCs w:val="22"/>
        </w:rPr>
        <w:t xml:space="preserve">meetings of </w:t>
      </w:r>
      <w:r w:rsidR="005B7AE9" w:rsidRPr="00F82F1D">
        <w:rPr>
          <w:snapToGrid/>
          <w:kern w:val="22"/>
          <w:szCs w:val="22"/>
        </w:rPr>
        <w:t>CP-</w:t>
      </w:r>
      <w:r w:rsidRPr="00F82F1D">
        <w:rPr>
          <w:snapToGrid/>
          <w:kern w:val="22"/>
          <w:szCs w:val="22"/>
        </w:rPr>
        <w:t>COP</w:t>
      </w:r>
      <w:r w:rsidR="009B2E90" w:rsidRPr="00F82F1D">
        <w:rPr>
          <w:snapToGrid/>
          <w:kern w:val="22"/>
          <w:szCs w:val="22"/>
        </w:rPr>
        <w:noBreakHyphen/>
      </w:r>
      <w:r w:rsidRPr="00F82F1D">
        <w:rPr>
          <w:snapToGrid/>
          <w:kern w:val="22"/>
          <w:szCs w:val="22"/>
        </w:rPr>
        <w:t xml:space="preserve">MOP had only issues related to the Cartagena Protocol to follow, </w:t>
      </w:r>
      <w:r w:rsidR="009B2E90" w:rsidRPr="00F82F1D">
        <w:rPr>
          <w:snapToGrid/>
          <w:kern w:val="22"/>
          <w:szCs w:val="22"/>
        </w:rPr>
        <w:t xml:space="preserve">during </w:t>
      </w:r>
      <w:r w:rsidRPr="00F82F1D">
        <w:rPr>
          <w:snapToGrid/>
          <w:kern w:val="22"/>
          <w:szCs w:val="22"/>
        </w:rPr>
        <w:t>the concurrent meetings</w:t>
      </w:r>
      <w:r w:rsidR="009B2E90" w:rsidRPr="00F82F1D">
        <w:rPr>
          <w:snapToGrid/>
          <w:kern w:val="22"/>
          <w:szCs w:val="22"/>
        </w:rPr>
        <w:t>,</w:t>
      </w:r>
      <w:r w:rsidRPr="00F82F1D">
        <w:rPr>
          <w:snapToGrid/>
          <w:kern w:val="22"/>
          <w:szCs w:val="22"/>
        </w:rPr>
        <w:t xml:space="preserve"> the participants had to follow issues related to the Convention and the </w:t>
      </w:r>
      <w:r w:rsidR="00FA4EC6" w:rsidRPr="00F82F1D">
        <w:rPr>
          <w:snapToGrid/>
          <w:kern w:val="22"/>
          <w:szCs w:val="22"/>
        </w:rPr>
        <w:t>other</w:t>
      </w:r>
      <w:r w:rsidRPr="00F82F1D">
        <w:rPr>
          <w:snapToGrid/>
          <w:kern w:val="22"/>
          <w:szCs w:val="22"/>
        </w:rPr>
        <w:t xml:space="preserve"> Protocol.</w:t>
      </w:r>
    </w:p>
    <w:p w:rsidR="00742F79" w:rsidRPr="00F82F1D" w:rsidRDefault="00742F79" w:rsidP="00F82F1D">
      <w:pPr>
        <w:pStyle w:val="Para1"/>
        <w:suppressLineNumbers/>
        <w:tabs>
          <w:tab w:val="clear" w:pos="360"/>
        </w:tabs>
        <w:suppressAutoHyphens/>
        <w:kinsoku w:val="0"/>
        <w:overflowPunct w:val="0"/>
        <w:autoSpaceDE w:val="0"/>
        <w:autoSpaceDN w:val="0"/>
        <w:rPr>
          <w:snapToGrid/>
          <w:kern w:val="22"/>
          <w:szCs w:val="22"/>
        </w:rPr>
      </w:pPr>
      <w:r w:rsidRPr="00F82F1D">
        <w:rPr>
          <w:snapToGrid/>
          <w:kern w:val="22"/>
          <w:szCs w:val="22"/>
        </w:rPr>
        <w:t xml:space="preserve">The two meetings of COP-MOP to the Nagoya Protocol have been held concurrently with meetings of COP and, </w:t>
      </w:r>
      <w:r w:rsidR="00585237" w:rsidRPr="00F82F1D">
        <w:rPr>
          <w:snapToGrid/>
          <w:kern w:val="22"/>
          <w:szCs w:val="22"/>
        </w:rPr>
        <w:t>therefore</w:t>
      </w:r>
      <w:r w:rsidRPr="00F82F1D">
        <w:rPr>
          <w:snapToGrid/>
          <w:kern w:val="22"/>
          <w:szCs w:val="22"/>
        </w:rPr>
        <w:t xml:space="preserve">, it is not possible to discern any trends with regard to the funding of Parties and participants </w:t>
      </w:r>
      <w:r w:rsidR="00585237" w:rsidRPr="00F82F1D">
        <w:rPr>
          <w:snapToGrid/>
          <w:kern w:val="22"/>
          <w:szCs w:val="22"/>
        </w:rPr>
        <w:t xml:space="preserve">in </w:t>
      </w:r>
      <w:r w:rsidRPr="00F82F1D">
        <w:rPr>
          <w:snapToGrid/>
          <w:kern w:val="22"/>
          <w:szCs w:val="22"/>
        </w:rPr>
        <w:t>these meetings</w:t>
      </w:r>
      <w:r w:rsidR="009B2E90" w:rsidRPr="00F82F1D">
        <w:rPr>
          <w:snapToGrid/>
          <w:kern w:val="22"/>
          <w:szCs w:val="22"/>
        </w:rPr>
        <w:t>.</w:t>
      </w:r>
      <w:r w:rsidRPr="00F82F1D">
        <w:rPr>
          <w:snapToGrid/>
          <w:kern w:val="22"/>
          <w:szCs w:val="22"/>
          <w:vertAlign w:val="superscript"/>
        </w:rPr>
        <w:footnoteReference w:id="11"/>
      </w:r>
    </w:p>
    <w:p w:rsidR="00742F79" w:rsidRPr="00F82F1D" w:rsidRDefault="00742F79" w:rsidP="00F82F1D">
      <w:pPr>
        <w:keepNext/>
        <w:suppressLineNumbers/>
        <w:suppressAutoHyphens/>
        <w:kinsoku w:val="0"/>
        <w:overflowPunct w:val="0"/>
        <w:autoSpaceDE w:val="0"/>
        <w:autoSpaceDN w:val="0"/>
        <w:spacing w:after="120"/>
        <w:jc w:val="left"/>
        <w:rPr>
          <w:b/>
          <w:bCs/>
          <w:kern w:val="22"/>
          <w:szCs w:val="22"/>
        </w:rPr>
      </w:pPr>
      <w:r w:rsidRPr="00F82F1D">
        <w:rPr>
          <w:b/>
          <w:bCs/>
          <w:kern w:val="22"/>
          <w:szCs w:val="22"/>
        </w:rPr>
        <w:t>Figure 3</w:t>
      </w:r>
    </w:p>
    <w:p w:rsidR="00742F79" w:rsidRPr="00F82F1D" w:rsidRDefault="00FA4EC6" w:rsidP="00F82F1D">
      <w:pPr>
        <w:suppressLineNumbers/>
        <w:suppressAutoHyphens/>
        <w:kinsoku w:val="0"/>
        <w:overflowPunct w:val="0"/>
        <w:autoSpaceDE w:val="0"/>
        <w:autoSpaceDN w:val="0"/>
        <w:spacing w:after="200" w:line="276" w:lineRule="auto"/>
        <w:jc w:val="left"/>
        <w:rPr>
          <w:b/>
          <w:bCs/>
          <w:kern w:val="22"/>
          <w:szCs w:val="22"/>
        </w:rPr>
      </w:pPr>
      <w:r w:rsidRPr="00F82F1D">
        <w:rPr>
          <w:b/>
          <w:bCs/>
          <w:noProof/>
          <w:kern w:val="22"/>
          <w:szCs w:val="22"/>
          <w:lang w:eastAsia="zh-CN"/>
        </w:rPr>
        <w:drawing>
          <wp:inline distT="0" distB="0" distL="0" distR="0" wp14:anchorId="32096231" wp14:editId="2D08B6BC">
            <wp:extent cx="5953648" cy="2827047"/>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0024" cy="2830075"/>
                    </a:xfrm>
                    <a:prstGeom prst="rect">
                      <a:avLst/>
                    </a:prstGeom>
                    <a:noFill/>
                  </pic:spPr>
                </pic:pic>
              </a:graphicData>
            </a:graphic>
          </wp:inline>
        </w:drawing>
      </w:r>
    </w:p>
    <w:p w:rsidR="00742F79" w:rsidRPr="00F82F1D" w:rsidRDefault="00742F79" w:rsidP="00F82F1D">
      <w:pPr>
        <w:pStyle w:val="Para1"/>
        <w:suppressLineNumbers/>
        <w:tabs>
          <w:tab w:val="clear" w:pos="360"/>
        </w:tabs>
        <w:suppressAutoHyphens/>
        <w:kinsoku w:val="0"/>
        <w:overflowPunct w:val="0"/>
        <w:autoSpaceDE w:val="0"/>
        <w:autoSpaceDN w:val="0"/>
        <w:rPr>
          <w:snapToGrid/>
          <w:kern w:val="22"/>
          <w:szCs w:val="22"/>
        </w:rPr>
      </w:pPr>
      <w:r w:rsidRPr="00F82F1D">
        <w:rPr>
          <w:snapToGrid/>
          <w:kern w:val="22"/>
          <w:szCs w:val="22"/>
        </w:rPr>
        <w:t xml:space="preserve">The number of developing country Parties participating in meetings of COP has varied over time. </w:t>
      </w:r>
      <w:r w:rsidR="00A24C55" w:rsidRPr="00F82F1D">
        <w:rPr>
          <w:snapToGrid/>
          <w:kern w:val="22"/>
          <w:szCs w:val="22"/>
        </w:rPr>
        <w:t xml:space="preserve">From </w:t>
      </w:r>
      <w:r w:rsidRPr="00F82F1D">
        <w:rPr>
          <w:snapToGrid/>
          <w:kern w:val="22"/>
          <w:szCs w:val="22"/>
        </w:rPr>
        <w:t>COP</w:t>
      </w:r>
      <w:r w:rsidR="009B2E90" w:rsidRPr="00F82F1D">
        <w:rPr>
          <w:snapToGrid/>
          <w:kern w:val="22"/>
          <w:szCs w:val="22"/>
        </w:rPr>
        <w:t> </w:t>
      </w:r>
      <w:r w:rsidRPr="00F82F1D">
        <w:rPr>
          <w:snapToGrid/>
          <w:kern w:val="22"/>
          <w:szCs w:val="22"/>
        </w:rPr>
        <w:t xml:space="preserve">7 </w:t>
      </w:r>
      <w:r w:rsidR="00A24C55" w:rsidRPr="00F82F1D">
        <w:rPr>
          <w:snapToGrid/>
          <w:kern w:val="22"/>
          <w:szCs w:val="22"/>
        </w:rPr>
        <w:t xml:space="preserve">to </w:t>
      </w:r>
      <w:r w:rsidRPr="00F82F1D">
        <w:rPr>
          <w:snapToGrid/>
          <w:kern w:val="22"/>
          <w:szCs w:val="22"/>
        </w:rPr>
        <w:t>COP</w:t>
      </w:r>
      <w:r w:rsidR="009B2E90" w:rsidRPr="00F82F1D">
        <w:rPr>
          <w:snapToGrid/>
          <w:kern w:val="22"/>
          <w:szCs w:val="22"/>
        </w:rPr>
        <w:t> </w:t>
      </w:r>
      <w:r w:rsidRPr="00F82F1D">
        <w:rPr>
          <w:snapToGrid/>
          <w:kern w:val="22"/>
          <w:szCs w:val="22"/>
        </w:rPr>
        <w:t>12</w:t>
      </w:r>
      <w:r w:rsidR="00A24C55" w:rsidRPr="00F82F1D">
        <w:rPr>
          <w:snapToGrid/>
          <w:kern w:val="22"/>
          <w:szCs w:val="22"/>
        </w:rPr>
        <w:t>,</w:t>
      </w:r>
      <w:r w:rsidRPr="00F82F1D">
        <w:rPr>
          <w:snapToGrid/>
          <w:kern w:val="22"/>
          <w:szCs w:val="22"/>
        </w:rPr>
        <w:t xml:space="preserve"> the number of developing country Parties participating varied from 117</w:t>
      </w:r>
      <w:r w:rsidR="009B2E90" w:rsidRPr="00F82F1D">
        <w:rPr>
          <w:snapToGrid/>
          <w:kern w:val="22"/>
          <w:szCs w:val="22"/>
        </w:rPr>
        <w:t xml:space="preserve"> </w:t>
      </w:r>
      <w:r w:rsidRPr="00F82F1D">
        <w:rPr>
          <w:snapToGrid/>
          <w:kern w:val="22"/>
          <w:szCs w:val="22"/>
        </w:rPr>
        <w:t>(85</w:t>
      </w:r>
      <w:r w:rsidR="00C07151" w:rsidRPr="00F82F1D">
        <w:rPr>
          <w:snapToGrid/>
          <w:kern w:val="22"/>
          <w:szCs w:val="22"/>
        </w:rPr>
        <w:t xml:space="preserve"> per cent</w:t>
      </w:r>
      <w:r w:rsidRPr="00F82F1D">
        <w:rPr>
          <w:snapToGrid/>
          <w:kern w:val="22"/>
          <w:szCs w:val="22"/>
        </w:rPr>
        <w:t>)</w:t>
      </w:r>
      <w:r w:rsidRPr="00F82F1D">
        <w:rPr>
          <w:snapToGrid/>
          <w:kern w:val="22"/>
          <w:szCs w:val="22"/>
          <w:vertAlign w:val="superscript"/>
        </w:rPr>
        <w:footnoteReference w:id="12"/>
      </w:r>
      <w:r w:rsidRPr="00F82F1D">
        <w:rPr>
          <w:snapToGrid/>
          <w:kern w:val="22"/>
          <w:szCs w:val="22"/>
        </w:rPr>
        <w:t xml:space="preserve"> at COP</w:t>
      </w:r>
      <w:r w:rsidR="009B2E90" w:rsidRPr="00F82F1D">
        <w:rPr>
          <w:snapToGrid/>
          <w:kern w:val="22"/>
          <w:szCs w:val="22"/>
        </w:rPr>
        <w:t> </w:t>
      </w:r>
      <w:r w:rsidRPr="00F82F1D">
        <w:rPr>
          <w:snapToGrid/>
          <w:kern w:val="22"/>
          <w:szCs w:val="22"/>
        </w:rPr>
        <w:t>7 to 138 (97</w:t>
      </w:r>
      <w:r w:rsidR="00C07151" w:rsidRPr="00F82F1D">
        <w:rPr>
          <w:snapToGrid/>
          <w:kern w:val="22"/>
          <w:szCs w:val="22"/>
        </w:rPr>
        <w:t xml:space="preserve"> per cent</w:t>
      </w:r>
      <w:r w:rsidRPr="00F82F1D">
        <w:rPr>
          <w:snapToGrid/>
          <w:kern w:val="22"/>
          <w:szCs w:val="22"/>
        </w:rPr>
        <w:t>) at COP</w:t>
      </w:r>
      <w:r w:rsidR="009B2E90" w:rsidRPr="00F82F1D">
        <w:rPr>
          <w:snapToGrid/>
          <w:kern w:val="22"/>
          <w:szCs w:val="22"/>
        </w:rPr>
        <w:t> </w:t>
      </w:r>
      <w:r w:rsidRPr="00F82F1D">
        <w:rPr>
          <w:snapToGrid/>
          <w:kern w:val="22"/>
          <w:szCs w:val="22"/>
        </w:rPr>
        <w:t>10 and averaged 126 Parties. During the concurrent meetings in 2016, 128 (88</w:t>
      </w:r>
      <w:r w:rsidR="00C07151" w:rsidRPr="00F82F1D">
        <w:rPr>
          <w:snapToGrid/>
          <w:kern w:val="22"/>
          <w:szCs w:val="22"/>
        </w:rPr>
        <w:t xml:space="preserve"> per cent</w:t>
      </w:r>
      <w:r w:rsidRPr="00F82F1D">
        <w:rPr>
          <w:snapToGrid/>
          <w:kern w:val="22"/>
          <w:szCs w:val="22"/>
        </w:rPr>
        <w:t xml:space="preserve">) developing country Parties participated. Further, the number of participants from developing country Parties has also varied. </w:t>
      </w:r>
      <w:r w:rsidR="005D354A" w:rsidRPr="00F82F1D">
        <w:rPr>
          <w:snapToGrid/>
          <w:kern w:val="22"/>
          <w:szCs w:val="22"/>
        </w:rPr>
        <w:t>F</w:t>
      </w:r>
      <w:r w:rsidR="00BF1482" w:rsidRPr="00F82F1D">
        <w:rPr>
          <w:snapToGrid/>
          <w:kern w:val="22"/>
          <w:szCs w:val="22"/>
        </w:rPr>
        <w:t>or</w:t>
      </w:r>
      <w:r w:rsidR="005D354A" w:rsidRPr="00F82F1D">
        <w:rPr>
          <w:snapToGrid/>
          <w:kern w:val="22"/>
          <w:szCs w:val="22"/>
        </w:rPr>
        <w:t xml:space="preserve"> </w:t>
      </w:r>
      <w:r w:rsidRPr="00F82F1D">
        <w:rPr>
          <w:snapToGrid/>
          <w:kern w:val="22"/>
          <w:szCs w:val="22"/>
        </w:rPr>
        <w:t>COP</w:t>
      </w:r>
      <w:r w:rsidR="009B2E90" w:rsidRPr="00F82F1D">
        <w:rPr>
          <w:snapToGrid/>
          <w:kern w:val="22"/>
          <w:szCs w:val="22"/>
        </w:rPr>
        <w:t> </w:t>
      </w:r>
      <w:r w:rsidRPr="00F82F1D">
        <w:rPr>
          <w:snapToGrid/>
          <w:kern w:val="22"/>
          <w:szCs w:val="22"/>
        </w:rPr>
        <w:t xml:space="preserve">7 </w:t>
      </w:r>
      <w:r w:rsidR="005D354A" w:rsidRPr="00F82F1D">
        <w:rPr>
          <w:snapToGrid/>
          <w:kern w:val="22"/>
          <w:szCs w:val="22"/>
        </w:rPr>
        <w:t xml:space="preserve">to </w:t>
      </w:r>
      <w:r w:rsidRPr="00F82F1D">
        <w:rPr>
          <w:snapToGrid/>
          <w:kern w:val="22"/>
          <w:szCs w:val="22"/>
        </w:rPr>
        <w:t>COP</w:t>
      </w:r>
      <w:r w:rsidR="009B2E90" w:rsidRPr="00F82F1D">
        <w:rPr>
          <w:snapToGrid/>
          <w:kern w:val="22"/>
          <w:szCs w:val="22"/>
        </w:rPr>
        <w:t> </w:t>
      </w:r>
      <w:r w:rsidRPr="00F82F1D">
        <w:rPr>
          <w:snapToGrid/>
          <w:kern w:val="22"/>
          <w:szCs w:val="22"/>
        </w:rPr>
        <w:t>12</w:t>
      </w:r>
      <w:r w:rsidR="005D354A" w:rsidRPr="00F82F1D">
        <w:rPr>
          <w:snapToGrid/>
          <w:kern w:val="22"/>
          <w:szCs w:val="22"/>
        </w:rPr>
        <w:t>,</w:t>
      </w:r>
      <w:r w:rsidRPr="00F82F1D">
        <w:rPr>
          <w:snapToGrid/>
          <w:kern w:val="22"/>
          <w:szCs w:val="22"/>
        </w:rPr>
        <w:t xml:space="preserve"> the average number of participants from developing country Parties </w:t>
      </w:r>
      <w:r w:rsidR="00D803E2" w:rsidRPr="00F82F1D">
        <w:rPr>
          <w:snapToGrid/>
          <w:kern w:val="22"/>
          <w:szCs w:val="22"/>
        </w:rPr>
        <w:t>was</w:t>
      </w:r>
      <w:r w:rsidRPr="00F82F1D">
        <w:rPr>
          <w:snapToGrid/>
          <w:kern w:val="22"/>
          <w:szCs w:val="22"/>
        </w:rPr>
        <w:t xml:space="preserve"> 892 and ranged from 578 at COP</w:t>
      </w:r>
      <w:r w:rsidR="009B2E90" w:rsidRPr="00F82F1D">
        <w:rPr>
          <w:snapToGrid/>
          <w:kern w:val="22"/>
          <w:szCs w:val="22"/>
        </w:rPr>
        <w:t> </w:t>
      </w:r>
      <w:r w:rsidRPr="00F82F1D">
        <w:rPr>
          <w:snapToGrid/>
          <w:kern w:val="22"/>
          <w:szCs w:val="22"/>
        </w:rPr>
        <w:t>7 to 1</w:t>
      </w:r>
      <w:r w:rsidR="00961124" w:rsidRPr="00F82F1D">
        <w:rPr>
          <w:snapToGrid/>
          <w:kern w:val="22"/>
          <w:szCs w:val="22"/>
        </w:rPr>
        <w:t>,</w:t>
      </w:r>
      <w:r w:rsidRPr="00F82F1D">
        <w:rPr>
          <w:snapToGrid/>
          <w:kern w:val="22"/>
          <w:szCs w:val="22"/>
        </w:rPr>
        <w:t>168 at COP</w:t>
      </w:r>
      <w:r w:rsidR="009B2E90" w:rsidRPr="00F82F1D">
        <w:rPr>
          <w:snapToGrid/>
          <w:kern w:val="22"/>
          <w:szCs w:val="22"/>
        </w:rPr>
        <w:t> </w:t>
      </w:r>
      <w:r w:rsidRPr="00F82F1D">
        <w:rPr>
          <w:snapToGrid/>
          <w:kern w:val="22"/>
          <w:szCs w:val="22"/>
        </w:rPr>
        <w:t>10. During the concurrent meetings in 2016, there were 922 participants representing developing country Parties. Overall</w:t>
      </w:r>
      <w:r w:rsidR="00BC292B" w:rsidRPr="00F82F1D">
        <w:rPr>
          <w:snapToGrid/>
          <w:kern w:val="22"/>
          <w:szCs w:val="22"/>
        </w:rPr>
        <w:t>,</w:t>
      </w:r>
      <w:r w:rsidRPr="00F82F1D">
        <w:rPr>
          <w:snapToGrid/>
          <w:kern w:val="22"/>
          <w:szCs w:val="22"/>
        </w:rPr>
        <w:t xml:space="preserve"> convening concurrent meetings does not appear to have had an effect on the number of developing country Parties and participants attending the concurrent meetings (see figure</w:t>
      </w:r>
      <w:r w:rsidR="009B2E90" w:rsidRPr="00F82F1D">
        <w:rPr>
          <w:snapToGrid/>
          <w:kern w:val="22"/>
          <w:szCs w:val="22"/>
        </w:rPr>
        <w:t> </w:t>
      </w:r>
      <w:r w:rsidRPr="00F82F1D">
        <w:rPr>
          <w:snapToGrid/>
          <w:kern w:val="22"/>
          <w:szCs w:val="22"/>
        </w:rPr>
        <w:t>4).</w:t>
      </w:r>
    </w:p>
    <w:p w:rsidR="00742F79" w:rsidRPr="00F82F1D" w:rsidRDefault="00FB2F55" w:rsidP="00F82F1D">
      <w:pPr>
        <w:pStyle w:val="Para1"/>
        <w:suppressLineNumbers/>
        <w:tabs>
          <w:tab w:val="clear" w:pos="360"/>
        </w:tabs>
        <w:suppressAutoHyphens/>
        <w:kinsoku w:val="0"/>
        <w:overflowPunct w:val="0"/>
        <w:autoSpaceDE w:val="0"/>
        <w:autoSpaceDN w:val="0"/>
        <w:rPr>
          <w:snapToGrid/>
          <w:kern w:val="22"/>
          <w:szCs w:val="22"/>
        </w:rPr>
      </w:pPr>
      <w:r w:rsidRPr="00F82F1D">
        <w:rPr>
          <w:snapToGrid/>
          <w:kern w:val="22"/>
          <w:szCs w:val="22"/>
        </w:rPr>
        <w:t>T</w:t>
      </w:r>
      <w:r w:rsidR="00742F79" w:rsidRPr="00F82F1D">
        <w:rPr>
          <w:snapToGrid/>
          <w:kern w:val="22"/>
          <w:szCs w:val="22"/>
        </w:rPr>
        <w:t xml:space="preserve">he participation of developing countries in </w:t>
      </w:r>
      <w:r w:rsidR="00CD5810" w:rsidRPr="00F82F1D">
        <w:rPr>
          <w:snapToGrid/>
          <w:kern w:val="22"/>
          <w:szCs w:val="22"/>
        </w:rPr>
        <w:t xml:space="preserve">meetings of </w:t>
      </w:r>
      <w:r w:rsidR="00742F79" w:rsidRPr="00F82F1D">
        <w:rPr>
          <w:snapToGrid/>
          <w:kern w:val="22"/>
          <w:szCs w:val="22"/>
        </w:rPr>
        <w:t xml:space="preserve">COP-MOP to the Cartagena Protocol has also varied over time. </w:t>
      </w:r>
      <w:r w:rsidR="0030342C" w:rsidRPr="00F82F1D">
        <w:rPr>
          <w:snapToGrid/>
          <w:kern w:val="22"/>
          <w:szCs w:val="22"/>
        </w:rPr>
        <w:t xml:space="preserve">From </w:t>
      </w:r>
      <w:r w:rsidR="00742F79" w:rsidRPr="00F82F1D">
        <w:rPr>
          <w:snapToGrid/>
          <w:kern w:val="22"/>
          <w:szCs w:val="22"/>
        </w:rPr>
        <w:t>COP-MOP</w:t>
      </w:r>
      <w:r w:rsidR="00CD5810" w:rsidRPr="00F82F1D">
        <w:rPr>
          <w:snapToGrid/>
          <w:kern w:val="22"/>
          <w:szCs w:val="22"/>
        </w:rPr>
        <w:t> </w:t>
      </w:r>
      <w:r w:rsidR="00742F79" w:rsidRPr="00F82F1D">
        <w:rPr>
          <w:snapToGrid/>
          <w:kern w:val="22"/>
          <w:szCs w:val="22"/>
        </w:rPr>
        <w:t xml:space="preserve">1 </w:t>
      </w:r>
      <w:r w:rsidR="0030342C" w:rsidRPr="00F82F1D">
        <w:rPr>
          <w:snapToGrid/>
          <w:kern w:val="22"/>
          <w:szCs w:val="22"/>
        </w:rPr>
        <w:t xml:space="preserve">to </w:t>
      </w:r>
      <w:r w:rsidR="00742F79" w:rsidRPr="00F82F1D">
        <w:rPr>
          <w:snapToGrid/>
          <w:kern w:val="22"/>
          <w:szCs w:val="22"/>
        </w:rPr>
        <w:t>COP-MOP</w:t>
      </w:r>
      <w:r w:rsidR="00CD5810" w:rsidRPr="00F82F1D">
        <w:rPr>
          <w:snapToGrid/>
          <w:kern w:val="22"/>
          <w:szCs w:val="22"/>
        </w:rPr>
        <w:t> </w:t>
      </w:r>
      <w:r w:rsidR="00742F79" w:rsidRPr="00F82F1D">
        <w:rPr>
          <w:snapToGrid/>
          <w:kern w:val="22"/>
          <w:szCs w:val="22"/>
        </w:rPr>
        <w:t xml:space="preserve">7 the number of </w:t>
      </w:r>
      <w:r w:rsidR="00FA4EC6" w:rsidRPr="00F82F1D">
        <w:rPr>
          <w:snapToGrid/>
          <w:kern w:val="22"/>
          <w:szCs w:val="22"/>
        </w:rPr>
        <w:t xml:space="preserve">developing country </w:t>
      </w:r>
      <w:r w:rsidR="00742F79" w:rsidRPr="00F82F1D">
        <w:rPr>
          <w:snapToGrid/>
          <w:kern w:val="22"/>
          <w:szCs w:val="22"/>
        </w:rPr>
        <w:t xml:space="preserve">Parties participating </w:t>
      </w:r>
      <w:r w:rsidR="00FA4EC6" w:rsidRPr="00F82F1D">
        <w:rPr>
          <w:snapToGrid/>
          <w:kern w:val="22"/>
          <w:szCs w:val="22"/>
        </w:rPr>
        <w:t xml:space="preserve">ranged </w:t>
      </w:r>
      <w:r w:rsidR="00742F79" w:rsidRPr="00F82F1D">
        <w:rPr>
          <w:snapToGrid/>
          <w:kern w:val="22"/>
          <w:szCs w:val="22"/>
        </w:rPr>
        <w:t>from 38 (68</w:t>
      </w:r>
      <w:r w:rsidR="00C07151" w:rsidRPr="00F82F1D">
        <w:rPr>
          <w:snapToGrid/>
          <w:kern w:val="22"/>
          <w:szCs w:val="22"/>
        </w:rPr>
        <w:t xml:space="preserve"> per cent</w:t>
      </w:r>
      <w:r w:rsidR="00742F79" w:rsidRPr="00F82F1D">
        <w:rPr>
          <w:snapToGrid/>
          <w:kern w:val="22"/>
          <w:szCs w:val="22"/>
        </w:rPr>
        <w:t>) at COP-MOP</w:t>
      </w:r>
      <w:r w:rsidR="00CD5810" w:rsidRPr="00F82F1D">
        <w:rPr>
          <w:snapToGrid/>
          <w:kern w:val="22"/>
          <w:szCs w:val="22"/>
        </w:rPr>
        <w:t> </w:t>
      </w:r>
      <w:r w:rsidR="00742F79" w:rsidRPr="00F82F1D">
        <w:rPr>
          <w:snapToGrid/>
          <w:kern w:val="22"/>
          <w:szCs w:val="22"/>
        </w:rPr>
        <w:t>1 to 93 (66</w:t>
      </w:r>
      <w:r w:rsidR="00C07151" w:rsidRPr="00F82F1D">
        <w:rPr>
          <w:snapToGrid/>
          <w:kern w:val="22"/>
          <w:szCs w:val="22"/>
        </w:rPr>
        <w:t xml:space="preserve"> per cent</w:t>
      </w:r>
      <w:r w:rsidR="00742F79" w:rsidRPr="00F82F1D">
        <w:rPr>
          <w:snapToGrid/>
          <w:kern w:val="22"/>
          <w:szCs w:val="22"/>
        </w:rPr>
        <w:t>) at COP-MOP</w:t>
      </w:r>
      <w:r w:rsidR="00CD5810" w:rsidRPr="00F82F1D">
        <w:rPr>
          <w:snapToGrid/>
          <w:kern w:val="22"/>
          <w:szCs w:val="22"/>
        </w:rPr>
        <w:t> </w:t>
      </w:r>
      <w:r w:rsidR="00742F79" w:rsidRPr="00F82F1D">
        <w:rPr>
          <w:snapToGrid/>
          <w:kern w:val="22"/>
          <w:szCs w:val="22"/>
        </w:rPr>
        <w:t>6. With regard to participants, the number of participants from developing country Parties attending the meetings of COP-MOP ranged from 123 at COP-MOP</w:t>
      </w:r>
      <w:r w:rsidR="00CD5810" w:rsidRPr="00F82F1D">
        <w:rPr>
          <w:snapToGrid/>
          <w:kern w:val="22"/>
          <w:szCs w:val="22"/>
        </w:rPr>
        <w:t> </w:t>
      </w:r>
      <w:r w:rsidR="00742F79" w:rsidRPr="00F82F1D">
        <w:rPr>
          <w:snapToGrid/>
          <w:kern w:val="22"/>
          <w:szCs w:val="22"/>
        </w:rPr>
        <w:t>1 to 324 at COP-MOP</w:t>
      </w:r>
      <w:r w:rsidR="00CD5810" w:rsidRPr="00F82F1D">
        <w:rPr>
          <w:snapToGrid/>
          <w:kern w:val="22"/>
          <w:szCs w:val="22"/>
        </w:rPr>
        <w:t> </w:t>
      </w:r>
      <w:r w:rsidR="00742F79" w:rsidRPr="00F82F1D">
        <w:rPr>
          <w:snapToGrid/>
          <w:kern w:val="22"/>
          <w:szCs w:val="22"/>
        </w:rPr>
        <w:t xml:space="preserve">6. </w:t>
      </w:r>
      <w:r w:rsidR="00CD5810" w:rsidRPr="00F82F1D">
        <w:rPr>
          <w:snapToGrid/>
          <w:kern w:val="22"/>
          <w:szCs w:val="22"/>
        </w:rPr>
        <w:t xml:space="preserve">COP-MOP 8 was attended by </w:t>
      </w:r>
      <w:r w:rsidR="00742F79" w:rsidRPr="00F82F1D">
        <w:rPr>
          <w:snapToGrid/>
          <w:kern w:val="22"/>
          <w:szCs w:val="22"/>
        </w:rPr>
        <w:t>104 (72</w:t>
      </w:r>
      <w:r w:rsidR="00C07151" w:rsidRPr="00F82F1D">
        <w:rPr>
          <w:snapToGrid/>
          <w:kern w:val="22"/>
          <w:szCs w:val="22"/>
        </w:rPr>
        <w:t xml:space="preserve"> per cent</w:t>
      </w:r>
      <w:r w:rsidR="00742F79" w:rsidRPr="00F82F1D">
        <w:rPr>
          <w:snapToGrid/>
          <w:kern w:val="22"/>
          <w:szCs w:val="22"/>
        </w:rPr>
        <w:t xml:space="preserve">) Parties and 580 participants. It appears that convening concurrent meetings has allowed for more Parties and representatives of developing countries to attend the meetings of COP-MOP (see </w:t>
      </w:r>
      <w:r w:rsidR="00742F79" w:rsidRPr="00F82F1D">
        <w:rPr>
          <w:snapToGrid/>
          <w:kern w:val="22"/>
          <w:szCs w:val="22"/>
        </w:rPr>
        <w:lastRenderedPageBreak/>
        <w:t>figure</w:t>
      </w:r>
      <w:r w:rsidR="0030342C" w:rsidRPr="00F82F1D">
        <w:rPr>
          <w:snapToGrid/>
          <w:kern w:val="22"/>
          <w:szCs w:val="22"/>
        </w:rPr>
        <w:t> </w:t>
      </w:r>
      <w:r w:rsidR="00742F79" w:rsidRPr="00F82F1D">
        <w:rPr>
          <w:snapToGrid/>
          <w:kern w:val="22"/>
          <w:szCs w:val="22"/>
        </w:rPr>
        <w:t>5).  However, it is important to note that these figures do not provide any information on the actual number of Parties and representatives of developing countries who followed the proceedings under COP-MOP</w:t>
      </w:r>
      <w:r w:rsidR="00CD5810" w:rsidRPr="00F82F1D">
        <w:rPr>
          <w:snapToGrid/>
          <w:kern w:val="22"/>
          <w:szCs w:val="22"/>
        </w:rPr>
        <w:t> </w:t>
      </w:r>
      <w:r w:rsidR="00742F79" w:rsidRPr="00F82F1D">
        <w:rPr>
          <w:snapToGrid/>
          <w:kern w:val="22"/>
          <w:szCs w:val="22"/>
        </w:rPr>
        <w:t>8 or on the effectiveness of their participation. Given that some developing country Parties were represented by small delegations which had to handle multiple issues during the meeting, their ability to participate effectively in terms of having the appropriate expertise may have been limited.</w:t>
      </w:r>
    </w:p>
    <w:p w:rsidR="00742F79" w:rsidRPr="00F82F1D" w:rsidRDefault="00742F79" w:rsidP="00F82F1D">
      <w:pPr>
        <w:pStyle w:val="Para1"/>
        <w:suppressLineNumbers/>
        <w:tabs>
          <w:tab w:val="clear" w:pos="360"/>
        </w:tabs>
        <w:suppressAutoHyphens/>
        <w:kinsoku w:val="0"/>
        <w:overflowPunct w:val="0"/>
        <w:autoSpaceDE w:val="0"/>
        <w:autoSpaceDN w:val="0"/>
        <w:rPr>
          <w:snapToGrid/>
          <w:kern w:val="22"/>
          <w:szCs w:val="22"/>
        </w:rPr>
      </w:pPr>
      <w:r w:rsidRPr="00F82F1D">
        <w:rPr>
          <w:snapToGrid/>
          <w:kern w:val="22"/>
          <w:szCs w:val="22"/>
        </w:rPr>
        <w:t>As there have only been two meetings of COP-MOP</w:t>
      </w:r>
      <w:r w:rsidR="00CD5810" w:rsidRPr="00F82F1D">
        <w:rPr>
          <w:snapToGrid/>
          <w:kern w:val="22"/>
          <w:szCs w:val="22"/>
        </w:rPr>
        <w:t xml:space="preserve"> to the Nagoya Protocol</w:t>
      </w:r>
      <w:r w:rsidRPr="00F82F1D">
        <w:rPr>
          <w:snapToGrid/>
          <w:kern w:val="22"/>
          <w:szCs w:val="22"/>
        </w:rPr>
        <w:t>, trends are difficult to discern. As the Nagoya Protocol entered into force during COP</w:t>
      </w:r>
      <w:r w:rsidR="00CD5810" w:rsidRPr="00F82F1D">
        <w:rPr>
          <w:snapToGrid/>
          <w:kern w:val="22"/>
          <w:szCs w:val="22"/>
        </w:rPr>
        <w:t> </w:t>
      </w:r>
      <w:r w:rsidRPr="00F82F1D">
        <w:rPr>
          <w:snapToGrid/>
          <w:kern w:val="22"/>
          <w:szCs w:val="22"/>
        </w:rPr>
        <w:t>12, information on participation specifically for COP-MOP</w:t>
      </w:r>
      <w:r w:rsidR="00CD5810" w:rsidRPr="00F82F1D">
        <w:rPr>
          <w:snapToGrid/>
          <w:kern w:val="22"/>
          <w:szCs w:val="22"/>
        </w:rPr>
        <w:t> </w:t>
      </w:r>
      <w:r w:rsidRPr="00F82F1D">
        <w:rPr>
          <w:snapToGrid/>
          <w:kern w:val="22"/>
          <w:szCs w:val="22"/>
        </w:rPr>
        <w:t xml:space="preserve">1 </w:t>
      </w:r>
      <w:r w:rsidR="00CD5810" w:rsidRPr="00F82F1D">
        <w:rPr>
          <w:snapToGrid/>
          <w:kern w:val="22"/>
          <w:szCs w:val="22"/>
        </w:rPr>
        <w:t xml:space="preserve">to </w:t>
      </w:r>
      <w:r w:rsidRPr="00F82F1D">
        <w:rPr>
          <w:snapToGrid/>
          <w:kern w:val="22"/>
          <w:szCs w:val="22"/>
        </w:rPr>
        <w:t>the Nagoya Protocol is not available. During COP-MOP</w:t>
      </w:r>
      <w:r w:rsidR="00CD5810" w:rsidRPr="00F82F1D">
        <w:rPr>
          <w:snapToGrid/>
          <w:kern w:val="22"/>
          <w:szCs w:val="22"/>
        </w:rPr>
        <w:t> </w:t>
      </w:r>
      <w:r w:rsidRPr="00F82F1D">
        <w:rPr>
          <w:snapToGrid/>
          <w:kern w:val="22"/>
          <w:szCs w:val="22"/>
        </w:rPr>
        <w:t>2</w:t>
      </w:r>
      <w:r w:rsidR="001371BD" w:rsidRPr="00F82F1D">
        <w:rPr>
          <w:snapToGrid/>
          <w:kern w:val="22"/>
          <w:szCs w:val="22"/>
        </w:rPr>
        <w:t>,</w:t>
      </w:r>
      <w:r w:rsidRPr="00F82F1D">
        <w:rPr>
          <w:snapToGrid/>
          <w:kern w:val="22"/>
          <w:szCs w:val="22"/>
        </w:rPr>
        <w:t xml:space="preserve"> there were 53</w:t>
      </w:r>
      <w:r w:rsidR="00CD5810" w:rsidRPr="00F82F1D">
        <w:rPr>
          <w:snapToGrid/>
          <w:kern w:val="22"/>
          <w:szCs w:val="22"/>
        </w:rPr>
        <w:t xml:space="preserve"> </w:t>
      </w:r>
      <w:r w:rsidRPr="00F82F1D">
        <w:rPr>
          <w:snapToGrid/>
          <w:kern w:val="22"/>
          <w:szCs w:val="22"/>
        </w:rPr>
        <w:t>(76</w:t>
      </w:r>
      <w:r w:rsidR="00C07151" w:rsidRPr="00F82F1D">
        <w:rPr>
          <w:snapToGrid/>
          <w:kern w:val="22"/>
          <w:szCs w:val="22"/>
        </w:rPr>
        <w:t xml:space="preserve"> per cent</w:t>
      </w:r>
      <w:r w:rsidRPr="00F82F1D">
        <w:rPr>
          <w:snapToGrid/>
          <w:kern w:val="22"/>
          <w:szCs w:val="22"/>
        </w:rPr>
        <w:t>) developing country Parties participating</w:t>
      </w:r>
      <w:r w:rsidR="001371BD" w:rsidRPr="00F82F1D">
        <w:rPr>
          <w:snapToGrid/>
          <w:kern w:val="22"/>
          <w:szCs w:val="22"/>
        </w:rPr>
        <w:t>,</w:t>
      </w:r>
      <w:r w:rsidRPr="00F82F1D">
        <w:rPr>
          <w:snapToGrid/>
          <w:kern w:val="22"/>
          <w:szCs w:val="22"/>
        </w:rPr>
        <w:t xml:space="preserve"> represented by 320 participants. More time will be required to determine trends with regard to participation.</w:t>
      </w:r>
    </w:p>
    <w:p w:rsidR="00742F79" w:rsidRPr="00F82F1D" w:rsidRDefault="00742F79" w:rsidP="00F82F1D">
      <w:pPr>
        <w:pStyle w:val="Para1"/>
        <w:suppressLineNumbers/>
        <w:tabs>
          <w:tab w:val="clear" w:pos="360"/>
        </w:tabs>
        <w:suppressAutoHyphens/>
        <w:kinsoku w:val="0"/>
        <w:overflowPunct w:val="0"/>
        <w:autoSpaceDE w:val="0"/>
        <w:autoSpaceDN w:val="0"/>
        <w:rPr>
          <w:snapToGrid/>
          <w:kern w:val="22"/>
          <w:szCs w:val="22"/>
        </w:rPr>
      </w:pPr>
      <w:r w:rsidRPr="00F82F1D">
        <w:rPr>
          <w:snapToGrid/>
          <w:kern w:val="22"/>
          <w:szCs w:val="22"/>
        </w:rPr>
        <w:t>Overall</w:t>
      </w:r>
      <w:r w:rsidR="00CD5810" w:rsidRPr="00F82F1D">
        <w:rPr>
          <w:snapToGrid/>
          <w:kern w:val="22"/>
          <w:szCs w:val="22"/>
        </w:rPr>
        <w:t>,</w:t>
      </w:r>
      <w:r w:rsidRPr="00F82F1D">
        <w:rPr>
          <w:snapToGrid/>
          <w:kern w:val="22"/>
          <w:szCs w:val="22"/>
        </w:rPr>
        <w:t xml:space="preserve"> convening concurrent meetings does not appear to have had an effect on the level of participation of developing country Parties in COP. While participation of developing country Parties in COP-MOP </w:t>
      </w:r>
      <w:r w:rsidR="00CD5810" w:rsidRPr="00F82F1D">
        <w:rPr>
          <w:snapToGrid/>
          <w:kern w:val="22"/>
          <w:szCs w:val="22"/>
        </w:rPr>
        <w:t xml:space="preserve">to the Cartagena Protocol </w:t>
      </w:r>
      <w:r w:rsidRPr="00F82F1D">
        <w:rPr>
          <w:snapToGrid/>
          <w:kern w:val="22"/>
          <w:szCs w:val="22"/>
        </w:rPr>
        <w:t>has increased, it is important to note that there is insufficient information to be able to judge the effectiveness of this participation. Further, there is insufficient information to be able to judge what the effect has been for COP-MOP</w:t>
      </w:r>
      <w:r w:rsidR="00CD5810" w:rsidRPr="00F82F1D">
        <w:rPr>
          <w:snapToGrid/>
          <w:kern w:val="22"/>
          <w:szCs w:val="22"/>
        </w:rPr>
        <w:t xml:space="preserve"> to the Nagoya Protocol</w:t>
      </w:r>
      <w:r w:rsidRPr="00F82F1D">
        <w:rPr>
          <w:snapToGrid/>
          <w:kern w:val="22"/>
          <w:szCs w:val="22"/>
        </w:rPr>
        <w:t>.</w:t>
      </w:r>
    </w:p>
    <w:p w:rsidR="00742F79" w:rsidRPr="00F82F1D" w:rsidRDefault="00742F79" w:rsidP="00F82F1D">
      <w:pPr>
        <w:keepNext/>
        <w:suppressLineNumbers/>
        <w:suppressAutoHyphens/>
        <w:kinsoku w:val="0"/>
        <w:overflowPunct w:val="0"/>
        <w:autoSpaceDE w:val="0"/>
        <w:autoSpaceDN w:val="0"/>
        <w:spacing w:after="120"/>
        <w:jc w:val="left"/>
        <w:rPr>
          <w:b/>
          <w:bCs/>
          <w:kern w:val="22"/>
          <w:szCs w:val="22"/>
        </w:rPr>
      </w:pPr>
      <w:r w:rsidRPr="00F82F1D">
        <w:rPr>
          <w:b/>
          <w:bCs/>
          <w:kern w:val="22"/>
          <w:szCs w:val="22"/>
        </w:rPr>
        <w:t>Figure 4</w:t>
      </w:r>
    </w:p>
    <w:p w:rsidR="00742F79" w:rsidRPr="00F82F1D" w:rsidRDefault="00742F79" w:rsidP="00F82F1D">
      <w:pPr>
        <w:suppressLineNumbers/>
        <w:suppressAutoHyphens/>
        <w:kinsoku w:val="0"/>
        <w:overflowPunct w:val="0"/>
        <w:autoSpaceDE w:val="0"/>
        <w:autoSpaceDN w:val="0"/>
        <w:spacing w:after="200" w:line="276" w:lineRule="auto"/>
        <w:jc w:val="left"/>
        <w:rPr>
          <w:b/>
          <w:bCs/>
          <w:kern w:val="22"/>
          <w:szCs w:val="22"/>
        </w:rPr>
      </w:pPr>
      <w:r w:rsidRPr="00F82F1D">
        <w:rPr>
          <w:b/>
          <w:bCs/>
          <w:noProof/>
          <w:kern w:val="22"/>
          <w:szCs w:val="22"/>
          <w:lang w:eastAsia="zh-CN"/>
        </w:rPr>
        <w:drawing>
          <wp:inline distT="0" distB="0" distL="0" distR="0" wp14:anchorId="431A7ABD" wp14:editId="69E38983">
            <wp:extent cx="6289066" cy="294198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85892" cy="2940497"/>
                    </a:xfrm>
                    <a:prstGeom prst="rect">
                      <a:avLst/>
                    </a:prstGeom>
                    <a:noFill/>
                  </pic:spPr>
                </pic:pic>
              </a:graphicData>
            </a:graphic>
          </wp:inline>
        </w:drawing>
      </w:r>
    </w:p>
    <w:p w:rsidR="00711853" w:rsidRPr="00F82F1D" w:rsidRDefault="00711853" w:rsidP="00F82F1D">
      <w:pPr>
        <w:suppressLineNumbers/>
        <w:suppressAutoHyphens/>
        <w:kinsoku w:val="0"/>
        <w:overflowPunct w:val="0"/>
        <w:autoSpaceDE w:val="0"/>
        <w:autoSpaceDN w:val="0"/>
        <w:jc w:val="left"/>
        <w:rPr>
          <w:kern w:val="22"/>
          <w:szCs w:val="22"/>
        </w:rPr>
      </w:pPr>
    </w:p>
    <w:p w:rsidR="00711853" w:rsidRPr="00F82F1D" w:rsidRDefault="00711853" w:rsidP="00F82F1D">
      <w:pPr>
        <w:suppressLineNumbers/>
        <w:suppressAutoHyphens/>
        <w:kinsoku w:val="0"/>
        <w:overflowPunct w:val="0"/>
        <w:autoSpaceDE w:val="0"/>
        <w:autoSpaceDN w:val="0"/>
        <w:jc w:val="left"/>
        <w:rPr>
          <w:kern w:val="22"/>
          <w:szCs w:val="22"/>
        </w:rPr>
      </w:pPr>
    </w:p>
    <w:p w:rsidR="00711853" w:rsidRPr="00F82F1D" w:rsidRDefault="00711853" w:rsidP="00F82F1D">
      <w:pPr>
        <w:suppressLineNumbers/>
        <w:suppressAutoHyphens/>
        <w:kinsoku w:val="0"/>
        <w:overflowPunct w:val="0"/>
        <w:autoSpaceDE w:val="0"/>
        <w:autoSpaceDN w:val="0"/>
        <w:jc w:val="left"/>
        <w:rPr>
          <w:kern w:val="22"/>
          <w:szCs w:val="22"/>
        </w:rPr>
      </w:pPr>
    </w:p>
    <w:p w:rsidR="00711853" w:rsidRPr="00F82F1D" w:rsidRDefault="00711853" w:rsidP="00F82F1D">
      <w:pPr>
        <w:suppressLineNumbers/>
        <w:suppressAutoHyphens/>
        <w:kinsoku w:val="0"/>
        <w:overflowPunct w:val="0"/>
        <w:autoSpaceDE w:val="0"/>
        <w:autoSpaceDN w:val="0"/>
        <w:jc w:val="left"/>
        <w:rPr>
          <w:kern w:val="22"/>
          <w:szCs w:val="22"/>
        </w:rPr>
      </w:pPr>
    </w:p>
    <w:p w:rsidR="00742F79" w:rsidRPr="00F82F1D" w:rsidRDefault="00742F79" w:rsidP="00F82F1D">
      <w:pPr>
        <w:keepNext/>
        <w:suppressLineNumbers/>
        <w:suppressAutoHyphens/>
        <w:kinsoku w:val="0"/>
        <w:overflowPunct w:val="0"/>
        <w:autoSpaceDE w:val="0"/>
        <w:autoSpaceDN w:val="0"/>
        <w:spacing w:after="120"/>
        <w:jc w:val="left"/>
        <w:rPr>
          <w:b/>
          <w:bCs/>
          <w:kern w:val="22"/>
          <w:szCs w:val="22"/>
        </w:rPr>
      </w:pPr>
      <w:r w:rsidRPr="00F82F1D">
        <w:rPr>
          <w:b/>
          <w:bCs/>
          <w:kern w:val="22"/>
          <w:szCs w:val="22"/>
        </w:rPr>
        <w:lastRenderedPageBreak/>
        <w:t>Figure 5</w:t>
      </w:r>
    </w:p>
    <w:p w:rsidR="00742F79" w:rsidRPr="00F82F1D" w:rsidRDefault="00742F79" w:rsidP="00F82F1D">
      <w:pPr>
        <w:suppressLineNumbers/>
        <w:suppressAutoHyphens/>
        <w:kinsoku w:val="0"/>
        <w:overflowPunct w:val="0"/>
        <w:autoSpaceDE w:val="0"/>
        <w:autoSpaceDN w:val="0"/>
        <w:spacing w:after="200" w:line="276" w:lineRule="auto"/>
        <w:jc w:val="left"/>
        <w:rPr>
          <w:b/>
          <w:bCs/>
          <w:kern w:val="22"/>
          <w:szCs w:val="22"/>
        </w:rPr>
      </w:pPr>
      <w:r w:rsidRPr="00F82F1D">
        <w:rPr>
          <w:b/>
          <w:bCs/>
          <w:noProof/>
          <w:kern w:val="22"/>
          <w:szCs w:val="22"/>
          <w:lang w:eastAsia="zh-CN"/>
        </w:rPr>
        <w:drawing>
          <wp:inline distT="0" distB="0" distL="0" distR="0" wp14:anchorId="0AB116B9" wp14:editId="46C17D7D">
            <wp:extent cx="6301740" cy="3185160"/>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01740" cy="3185160"/>
                    </a:xfrm>
                    <a:prstGeom prst="rect">
                      <a:avLst/>
                    </a:prstGeom>
                    <a:noFill/>
                  </pic:spPr>
                </pic:pic>
              </a:graphicData>
            </a:graphic>
          </wp:inline>
        </w:drawing>
      </w:r>
    </w:p>
    <w:p w:rsidR="00742F79" w:rsidRPr="00F82F1D" w:rsidRDefault="00742F79" w:rsidP="00F82F1D">
      <w:pPr>
        <w:keepNext/>
        <w:numPr>
          <w:ilvl w:val="0"/>
          <w:numId w:val="52"/>
        </w:numPr>
        <w:suppressLineNumbers/>
        <w:suppressAutoHyphens/>
        <w:kinsoku w:val="0"/>
        <w:overflowPunct w:val="0"/>
        <w:autoSpaceDE w:val="0"/>
        <w:autoSpaceDN w:val="0"/>
        <w:spacing w:before="240" w:after="120"/>
        <w:jc w:val="center"/>
        <w:rPr>
          <w:b/>
          <w:bCs/>
          <w:kern w:val="22"/>
          <w:szCs w:val="22"/>
        </w:rPr>
      </w:pPr>
      <w:r w:rsidRPr="00F82F1D">
        <w:rPr>
          <w:b/>
          <w:bCs/>
          <w:kern w:val="22"/>
          <w:szCs w:val="22"/>
        </w:rPr>
        <w:t>EFFECTIVE DEVELOPMENT OF OUTCOMES</w:t>
      </w:r>
    </w:p>
    <w:p w:rsidR="00742F79" w:rsidRPr="00F82F1D" w:rsidRDefault="00742F79" w:rsidP="00F82F1D">
      <w:pPr>
        <w:pStyle w:val="Para1"/>
        <w:suppressLineNumbers/>
        <w:tabs>
          <w:tab w:val="clear" w:pos="360"/>
        </w:tabs>
        <w:suppressAutoHyphens/>
        <w:kinsoku w:val="0"/>
        <w:overflowPunct w:val="0"/>
        <w:autoSpaceDE w:val="0"/>
        <w:autoSpaceDN w:val="0"/>
        <w:rPr>
          <w:snapToGrid/>
          <w:kern w:val="22"/>
          <w:szCs w:val="22"/>
        </w:rPr>
      </w:pPr>
      <w:r w:rsidRPr="00F82F1D">
        <w:rPr>
          <w:snapToGrid/>
          <w:kern w:val="22"/>
          <w:szCs w:val="22"/>
        </w:rPr>
        <w:t>With regard to the effective development of outcomes of COP</w:t>
      </w:r>
      <w:r w:rsidR="00CD5810" w:rsidRPr="00F82F1D">
        <w:rPr>
          <w:snapToGrid/>
          <w:kern w:val="22"/>
          <w:szCs w:val="22"/>
        </w:rPr>
        <w:t> </w:t>
      </w:r>
      <w:r w:rsidRPr="00F82F1D">
        <w:rPr>
          <w:snapToGrid/>
          <w:kern w:val="22"/>
          <w:szCs w:val="22"/>
        </w:rPr>
        <w:t>13, 49</w:t>
      </w:r>
      <w:r w:rsidR="00C07151" w:rsidRPr="00F82F1D">
        <w:rPr>
          <w:snapToGrid/>
          <w:kern w:val="22"/>
          <w:szCs w:val="22"/>
        </w:rPr>
        <w:t xml:space="preserve"> per cent</w:t>
      </w:r>
      <w:r w:rsidRPr="00F82F1D">
        <w:rPr>
          <w:snapToGrid/>
          <w:kern w:val="22"/>
          <w:szCs w:val="22"/>
        </w:rPr>
        <w:t xml:space="preserve"> of the Parties responding to the notification indicated that the criterion </w:t>
      </w:r>
      <w:r w:rsidR="00CB6192" w:rsidRPr="00F82F1D">
        <w:rPr>
          <w:snapToGrid/>
          <w:kern w:val="22"/>
          <w:szCs w:val="22"/>
        </w:rPr>
        <w:t xml:space="preserve">had been </w:t>
      </w:r>
      <w:r w:rsidRPr="00F82F1D">
        <w:rPr>
          <w:snapToGrid/>
          <w:kern w:val="22"/>
          <w:szCs w:val="22"/>
        </w:rPr>
        <w:t>fully met and 48</w:t>
      </w:r>
      <w:r w:rsidR="00C07151" w:rsidRPr="00F82F1D">
        <w:rPr>
          <w:snapToGrid/>
          <w:kern w:val="22"/>
          <w:szCs w:val="22"/>
        </w:rPr>
        <w:t xml:space="preserve"> per cent</w:t>
      </w:r>
      <w:r w:rsidRPr="00F82F1D">
        <w:rPr>
          <w:snapToGrid/>
          <w:kern w:val="22"/>
          <w:szCs w:val="22"/>
        </w:rPr>
        <w:t xml:space="preserve"> indicated that it </w:t>
      </w:r>
      <w:r w:rsidR="00CB6192" w:rsidRPr="00F82F1D">
        <w:rPr>
          <w:snapToGrid/>
          <w:kern w:val="22"/>
          <w:szCs w:val="22"/>
        </w:rPr>
        <w:t xml:space="preserve">had been </w:t>
      </w:r>
      <w:r w:rsidRPr="00F82F1D">
        <w:rPr>
          <w:snapToGrid/>
          <w:kern w:val="22"/>
          <w:szCs w:val="22"/>
        </w:rPr>
        <w:t>partially met, and 3</w:t>
      </w:r>
      <w:r w:rsidR="00C07151" w:rsidRPr="00F82F1D">
        <w:rPr>
          <w:snapToGrid/>
          <w:kern w:val="22"/>
          <w:szCs w:val="22"/>
        </w:rPr>
        <w:t xml:space="preserve"> per cent</w:t>
      </w:r>
      <w:r w:rsidRPr="00F82F1D">
        <w:rPr>
          <w:snapToGrid/>
          <w:kern w:val="22"/>
          <w:szCs w:val="22"/>
        </w:rPr>
        <w:t xml:space="preserve"> of responses indicated that the criterion </w:t>
      </w:r>
      <w:r w:rsidR="00CB6192" w:rsidRPr="00F82F1D">
        <w:rPr>
          <w:snapToGrid/>
          <w:kern w:val="22"/>
          <w:szCs w:val="22"/>
        </w:rPr>
        <w:t xml:space="preserve">had </w:t>
      </w:r>
      <w:r w:rsidRPr="00F82F1D">
        <w:rPr>
          <w:snapToGrid/>
          <w:kern w:val="22"/>
          <w:szCs w:val="22"/>
        </w:rPr>
        <w:t xml:space="preserve">not </w:t>
      </w:r>
      <w:r w:rsidR="00CB6192" w:rsidRPr="00F82F1D">
        <w:rPr>
          <w:snapToGrid/>
          <w:kern w:val="22"/>
          <w:szCs w:val="22"/>
        </w:rPr>
        <w:t xml:space="preserve">been </w:t>
      </w:r>
      <w:r w:rsidRPr="00F82F1D">
        <w:rPr>
          <w:snapToGrid/>
          <w:kern w:val="22"/>
          <w:szCs w:val="22"/>
        </w:rPr>
        <w:t>met. When the results were disaggregated by developed and developing countries, 50</w:t>
      </w:r>
      <w:r w:rsidR="00C07151" w:rsidRPr="00F82F1D">
        <w:rPr>
          <w:snapToGrid/>
          <w:kern w:val="22"/>
          <w:szCs w:val="22"/>
        </w:rPr>
        <w:t xml:space="preserve"> per cent</w:t>
      </w:r>
      <w:r w:rsidRPr="00F82F1D">
        <w:rPr>
          <w:snapToGrid/>
          <w:kern w:val="22"/>
          <w:szCs w:val="22"/>
        </w:rPr>
        <w:t xml:space="preserve"> of respo</w:t>
      </w:r>
      <w:r w:rsidR="00711853" w:rsidRPr="00F82F1D">
        <w:rPr>
          <w:snapToGrid/>
          <w:kern w:val="22"/>
          <w:szCs w:val="22"/>
        </w:rPr>
        <w:t>ndents from developing country Parties</w:t>
      </w:r>
      <w:r w:rsidRPr="00F82F1D">
        <w:rPr>
          <w:snapToGrid/>
          <w:kern w:val="22"/>
          <w:szCs w:val="22"/>
        </w:rPr>
        <w:t xml:space="preserve"> felt that the criterion </w:t>
      </w:r>
      <w:r w:rsidR="00CB6192" w:rsidRPr="00F82F1D">
        <w:rPr>
          <w:snapToGrid/>
          <w:kern w:val="22"/>
          <w:szCs w:val="22"/>
        </w:rPr>
        <w:t xml:space="preserve">had been </w:t>
      </w:r>
      <w:r w:rsidRPr="00F82F1D">
        <w:rPr>
          <w:snapToGrid/>
          <w:kern w:val="22"/>
          <w:szCs w:val="22"/>
        </w:rPr>
        <w:t>met, 46</w:t>
      </w:r>
      <w:r w:rsidR="00C07151" w:rsidRPr="00F82F1D">
        <w:rPr>
          <w:snapToGrid/>
          <w:kern w:val="22"/>
          <w:szCs w:val="22"/>
        </w:rPr>
        <w:t xml:space="preserve"> per cent</w:t>
      </w:r>
      <w:r w:rsidRPr="00F82F1D">
        <w:rPr>
          <w:snapToGrid/>
          <w:kern w:val="22"/>
          <w:szCs w:val="22"/>
        </w:rPr>
        <w:t xml:space="preserve"> felt that it </w:t>
      </w:r>
      <w:r w:rsidR="00663EAF" w:rsidRPr="00F82F1D">
        <w:rPr>
          <w:snapToGrid/>
          <w:kern w:val="22"/>
          <w:szCs w:val="22"/>
        </w:rPr>
        <w:t xml:space="preserve">had been </w:t>
      </w:r>
      <w:r w:rsidRPr="00F82F1D">
        <w:rPr>
          <w:snapToGrid/>
          <w:kern w:val="22"/>
          <w:szCs w:val="22"/>
        </w:rPr>
        <w:t>partially met</w:t>
      </w:r>
      <w:r w:rsidR="0093215B" w:rsidRPr="00F82F1D">
        <w:rPr>
          <w:snapToGrid/>
          <w:kern w:val="22"/>
          <w:szCs w:val="22"/>
        </w:rPr>
        <w:t xml:space="preserve"> and</w:t>
      </w:r>
      <w:r w:rsidRPr="00F82F1D">
        <w:rPr>
          <w:snapToGrid/>
          <w:kern w:val="22"/>
          <w:szCs w:val="22"/>
        </w:rPr>
        <w:t xml:space="preserve"> 4</w:t>
      </w:r>
      <w:r w:rsidR="00C07151" w:rsidRPr="00F82F1D">
        <w:rPr>
          <w:snapToGrid/>
          <w:kern w:val="22"/>
          <w:szCs w:val="22"/>
        </w:rPr>
        <w:t xml:space="preserve"> per cent</w:t>
      </w:r>
      <w:r w:rsidRPr="00F82F1D">
        <w:rPr>
          <w:snapToGrid/>
          <w:kern w:val="22"/>
          <w:szCs w:val="22"/>
        </w:rPr>
        <w:t xml:space="preserve"> felt that it </w:t>
      </w:r>
      <w:r w:rsidR="00663EAF" w:rsidRPr="00F82F1D">
        <w:rPr>
          <w:snapToGrid/>
          <w:kern w:val="22"/>
          <w:szCs w:val="22"/>
        </w:rPr>
        <w:t xml:space="preserve">had </w:t>
      </w:r>
      <w:r w:rsidRPr="00F82F1D">
        <w:rPr>
          <w:snapToGrid/>
          <w:kern w:val="22"/>
          <w:szCs w:val="22"/>
        </w:rPr>
        <w:t xml:space="preserve">not </w:t>
      </w:r>
      <w:r w:rsidR="00663EAF" w:rsidRPr="00F82F1D">
        <w:rPr>
          <w:snapToGrid/>
          <w:kern w:val="22"/>
          <w:szCs w:val="22"/>
        </w:rPr>
        <w:t xml:space="preserve">been </w:t>
      </w:r>
      <w:r w:rsidRPr="00F82F1D">
        <w:rPr>
          <w:snapToGrid/>
          <w:kern w:val="22"/>
          <w:szCs w:val="22"/>
        </w:rPr>
        <w:t>met. In comparison, a</w:t>
      </w:r>
      <w:r w:rsidR="00711853" w:rsidRPr="00F82F1D">
        <w:rPr>
          <w:snapToGrid/>
          <w:kern w:val="22"/>
          <w:szCs w:val="22"/>
        </w:rPr>
        <w:t>mong developed country Parties</w:t>
      </w:r>
      <w:r w:rsidR="00EE5517" w:rsidRPr="00F82F1D">
        <w:rPr>
          <w:snapToGrid/>
          <w:kern w:val="22"/>
          <w:szCs w:val="22"/>
        </w:rPr>
        <w:t>,</w:t>
      </w:r>
      <w:r w:rsidRPr="00F82F1D">
        <w:rPr>
          <w:snapToGrid/>
          <w:kern w:val="22"/>
          <w:szCs w:val="22"/>
        </w:rPr>
        <w:t xml:space="preserve"> 47</w:t>
      </w:r>
      <w:r w:rsidR="00C07151" w:rsidRPr="00F82F1D">
        <w:rPr>
          <w:snapToGrid/>
          <w:kern w:val="22"/>
          <w:szCs w:val="22"/>
        </w:rPr>
        <w:t xml:space="preserve"> per cent</w:t>
      </w:r>
      <w:r w:rsidRPr="00F82F1D">
        <w:rPr>
          <w:snapToGrid/>
          <w:kern w:val="22"/>
          <w:szCs w:val="22"/>
        </w:rPr>
        <w:t xml:space="preserve"> of respondents felt that the criterion </w:t>
      </w:r>
      <w:r w:rsidR="00EE5517" w:rsidRPr="00F82F1D">
        <w:rPr>
          <w:snapToGrid/>
          <w:kern w:val="22"/>
          <w:szCs w:val="22"/>
        </w:rPr>
        <w:t xml:space="preserve">had been </w:t>
      </w:r>
      <w:r w:rsidRPr="00F82F1D">
        <w:rPr>
          <w:snapToGrid/>
          <w:kern w:val="22"/>
          <w:szCs w:val="22"/>
        </w:rPr>
        <w:t>fully met, 53</w:t>
      </w:r>
      <w:r w:rsidR="00C07151" w:rsidRPr="00F82F1D">
        <w:rPr>
          <w:snapToGrid/>
          <w:kern w:val="22"/>
          <w:szCs w:val="22"/>
        </w:rPr>
        <w:t xml:space="preserve"> per cent</w:t>
      </w:r>
      <w:r w:rsidRPr="00F82F1D">
        <w:rPr>
          <w:snapToGrid/>
          <w:kern w:val="22"/>
          <w:szCs w:val="22"/>
        </w:rPr>
        <w:t xml:space="preserve"> felt that it </w:t>
      </w:r>
      <w:r w:rsidR="00EE5517" w:rsidRPr="00F82F1D">
        <w:rPr>
          <w:snapToGrid/>
          <w:kern w:val="22"/>
          <w:szCs w:val="22"/>
        </w:rPr>
        <w:t xml:space="preserve">had been </w:t>
      </w:r>
      <w:r w:rsidRPr="00F82F1D">
        <w:rPr>
          <w:snapToGrid/>
          <w:kern w:val="22"/>
          <w:szCs w:val="22"/>
        </w:rPr>
        <w:t xml:space="preserve">partially met and no party indicated that it </w:t>
      </w:r>
      <w:r w:rsidR="00EE5517" w:rsidRPr="00F82F1D">
        <w:rPr>
          <w:snapToGrid/>
          <w:kern w:val="22"/>
          <w:szCs w:val="22"/>
        </w:rPr>
        <w:t xml:space="preserve">had </w:t>
      </w:r>
      <w:r w:rsidRPr="00F82F1D">
        <w:rPr>
          <w:snapToGrid/>
          <w:kern w:val="22"/>
          <w:szCs w:val="22"/>
        </w:rPr>
        <w:t xml:space="preserve">not </w:t>
      </w:r>
      <w:r w:rsidR="00EE5517" w:rsidRPr="00F82F1D">
        <w:rPr>
          <w:snapToGrid/>
          <w:kern w:val="22"/>
          <w:szCs w:val="22"/>
        </w:rPr>
        <w:t xml:space="preserve">been </w:t>
      </w:r>
      <w:r w:rsidRPr="00F82F1D">
        <w:rPr>
          <w:snapToGrid/>
          <w:kern w:val="22"/>
          <w:szCs w:val="22"/>
        </w:rPr>
        <w:t>met.</w:t>
      </w:r>
    </w:p>
    <w:p w:rsidR="00742F79" w:rsidRPr="00F82F1D" w:rsidRDefault="00742F79" w:rsidP="00F82F1D">
      <w:pPr>
        <w:pStyle w:val="Para1"/>
        <w:suppressLineNumbers/>
        <w:tabs>
          <w:tab w:val="clear" w:pos="360"/>
        </w:tabs>
        <w:suppressAutoHyphens/>
        <w:kinsoku w:val="0"/>
        <w:overflowPunct w:val="0"/>
        <w:autoSpaceDE w:val="0"/>
        <w:autoSpaceDN w:val="0"/>
        <w:rPr>
          <w:snapToGrid/>
          <w:kern w:val="22"/>
          <w:szCs w:val="22"/>
        </w:rPr>
      </w:pPr>
      <w:r w:rsidRPr="00F82F1D">
        <w:rPr>
          <w:snapToGrid/>
          <w:kern w:val="22"/>
          <w:szCs w:val="22"/>
        </w:rPr>
        <w:t>With regard to COP-MOP 8</w:t>
      </w:r>
      <w:r w:rsidR="0093215B" w:rsidRPr="00F82F1D">
        <w:rPr>
          <w:snapToGrid/>
          <w:kern w:val="22"/>
          <w:szCs w:val="22"/>
        </w:rPr>
        <w:t xml:space="preserve"> to the Cartagena Protocol</w:t>
      </w:r>
      <w:r w:rsidRPr="00F82F1D">
        <w:rPr>
          <w:snapToGrid/>
          <w:kern w:val="22"/>
          <w:szCs w:val="22"/>
        </w:rPr>
        <w:t>, 27</w:t>
      </w:r>
      <w:r w:rsidR="00C07151" w:rsidRPr="00F82F1D">
        <w:rPr>
          <w:snapToGrid/>
          <w:kern w:val="22"/>
          <w:szCs w:val="22"/>
        </w:rPr>
        <w:t xml:space="preserve"> per cent</w:t>
      </w:r>
      <w:r w:rsidRPr="00F82F1D">
        <w:rPr>
          <w:snapToGrid/>
          <w:kern w:val="22"/>
          <w:szCs w:val="22"/>
        </w:rPr>
        <w:t xml:space="preserve"> of responses indicated that the criterion had been fully met, 65</w:t>
      </w:r>
      <w:r w:rsidR="00C07151" w:rsidRPr="00F82F1D">
        <w:rPr>
          <w:snapToGrid/>
          <w:kern w:val="22"/>
          <w:szCs w:val="22"/>
        </w:rPr>
        <w:t xml:space="preserve"> per cent</w:t>
      </w:r>
      <w:r w:rsidRPr="00F82F1D">
        <w:rPr>
          <w:snapToGrid/>
          <w:kern w:val="22"/>
          <w:szCs w:val="22"/>
        </w:rPr>
        <w:t xml:space="preserve"> indicated that the criterion had been partially met, and 8</w:t>
      </w:r>
      <w:r w:rsidR="00C07151" w:rsidRPr="00F82F1D">
        <w:rPr>
          <w:snapToGrid/>
          <w:kern w:val="22"/>
          <w:szCs w:val="22"/>
        </w:rPr>
        <w:t xml:space="preserve"> per cent</w:t>
      </w:r>
      <w:r w:rsidRPr="00F82F1D">
        <w:rPr>
          <w:snapToGrid/>
          <w:kern w:val="22"/>
          <w:szCs w:val="22"/>
        </w:rPr>
        <w:t xml:space="preserve"> indicated that it had not been met. When the results were disaggregated by developed and developing countries, 33</w:t>
      </w:r>
      <w:r w:rsidR="00C07151" w:rsidRPr="00F82F1D">
        <w:rPr>
          <w:snapToGrid/>
          <w:kern w:val="22"/>
          <w:szCs w:val="22"/>
        </w:rPr>
        <w:t xml:space="preserve"> per cent</w:t>
      </w:r>
      <w:r w:rsidRPr="00F82F1D">
        <w:rPr>
          <w:snapToGrid/>
          <w:kern w:val="22"/>
          <w:szCs w:val="22"/>
        </w:rPr>
        <w:t xml:space="preserve"> of respo</w:t>
      </w:r>
      <w:r w:rsidR="00711853" w:rsidRPr="00F82F1D">
        <w:rPr>
          <w:snapToGrid/>
          <w:kern w:val="22"/>
          <w:szCs w:val="22"/>
        </w:rPr>
        <w:t>ndents from developing country Parties</w:t>
      </w:r>
      <w:r w:rsidRPr="00F82F1D">
        <w:rPr>
          <w:snapToGrid/>
          <w:kern w:val="22"/>
          <w:szCs w:val="22"/>
        </w:rPr>
        <w:t xml:space="preserve"> felt that the criterion </w:t>
      </w:r>
      <w:r w:rsidR="00EA3A52" w:rsidRPr="00F82F1D">
        <w:rPr>
          <w:snapToGrid/>
          <w:kern w:val="22"/>
          <w:szCs w:val="22"/>
        </w:rPr>
        <w:t xml:space="preserve">had been </w:t>
      </w:r>
      <w:r w:rsidRPr="00F82F1D">
        <w:rPr>
          <w:snapToGrid/>
          <w:kern w:val="22"/>
          <w:szCs w:val="22"/>
        </w:rPr>
        <w:t>fully met, 56</w:t>
      </w:r>
      <w:r w:rsidR="00C07151" w:rsidRPr="00F82F1D">
        <w:rPr>
          <w:snapToGrid/>
          <w:kern w:val="22"/>
          <w:szCs w:val="22"/>
        </w:rPr>
        <w:t xml:space="preserve"> per cent</w:t>
      </w:r>
      <w:r w:rsidRPr="00F82F1D">
        <w:rPr>
          <w:snapToGrid/>
          <w:kern w:val="22"/>
          <w:szCs w:val="22"/>
        </w:rPr>
        <w:t xml:space="preserve"> felt that it </w:t>
      </w:r>
      <w:r w:rsidR="00EA3A52" w:rsidRPr="00F82F1D">
        <w:rPr>
          <w:snapToGrid/>
          <w:kern w:val="22"/>
          <w:szCs w:val="22"/>
        </w:rPr>
        <w:t xml:space="preserve">had been </w:t>
      </w:r>
      <w:r w:rsidRPr="00F82F1D">
        <w:rPr>
          <w:snapToGrid/>
          <w:kern w:val="22"/>
          <w:szCs w:val="22"/>
        </w:rPr>
        <w:t>partially met and 11</w:t>
      </w:r>
      <w:r w:rsidR="00C07151" w:rsidRPr="00F82F1D">
        <w:rPr>
          <w:snapToGrid/>
          <w:kern w:val="22"/>
          <w:szCs w:val="22"/>
        </w:rPr>
        <w:t xml:space="preserve"> per cent</w:t>
      </w:r>
      <w:r w:rsidRPr="00F82F1D">
        <w:rPr>
          <w:snapToGrid/>
          <w:kern w:val="22"/>
          <w:szCs w:val="22"/>
        </w:rPr>
        <w:t xml:space="preserve"> felt that it </w:t>
      </w:r>
      <w:r w:rsidR="00EA3A52" w:rsidRPr="00F82F1D">
        <w:rPr>
          <w:snapToGrid/>
          <w:kern w:val="22"/>
          <w:szCs w:val="22"/>
        </w:rPr>
        <w:t>had</w:t>
      </w:r>
      <w:r w:rsidRPr="00F82F1D">
        <w:rPr>
          <w:snapToGrid/>
          <w:kern w:val="22"/>
          <w:szCs w:val="22"/>
        </w:rPr>
        <w:t xml:space="preserve"> not </w:t>
      </w:r>
      <w:r w:rsidR="00EA3A52" w:rsidRPr="00F82F1D">
        <w:rPr>
          <w:snapToGrid/>
          <w:kern w:val="22"/>
          <w:szCs w:val="22"/>
        </w:rPr>
        <w:t xml:space="preserve">been </w:t>
      </w:r>
      <w:r w:rsidRPr="00F82F1D">
        <w:rPr>
          <w:snapToGrid/>
          <w:kern w:val="22"/>
          <w:szCs w:val="22"/>
        </w:rPr>
        <w:t>met. By comparison</w:t>
      </w:r>
      <w:r w:rsidR="00961FD1" w:rsidRPr="00F82F1D">
        <w:rPr>
          <w:snapToGrid/>
          <w:kern w:val="22"/>
          <w:szCs w:val="22"/>
        </w:rPr>
        <w:t>,</w:t>
      </w:r>
      <w:r w:rsidRPr="00F82F1D">
        <w:rPr>
          <w:snapToGrid/>
          <w:kern w:val="22"/>
          <w:szCs w:val="22"/>
        </w:rPr>
        <w:t xml:space="preserve"> 6</w:t>
      </w:r>
      <w:r w:rsidR="00C07151" w:rsidRPr="00F82F1D">
        <w:rPr>
          <w:snapToGrid/>
          <w:kern w:val="22"/>
          <w:szCs w:val="22"/>
        </w:rPr>
        <w:t xml:space="preserve"> per cent</w:t>
      </w:r>
      <w:r w:rsidRPr="00F82F1D">
        <w:rPr>
          <w:snapToGrid/>
          <w:kern w:val="22"/>
          <w:szCs w:val="22"/>
        </w:rPr>
        <w:t xml:space="preserve"> of respondents from developed countr</w:t>
      </w:r>
      <w:r w:rsidR="00711853" w:rsidRPr="00F82F1D">
        <w:rPr>
          <w:snapToGrid/>
          <w:kern w:val="22"/>
          <w:szCs w:val="22"/>
        </w:rPr>
        <w:t>y Parties</w:t>
      </w:r>
      <w:r w:rsidRPr="00F82F1D">
        <w:rPr>
          <w:snapToGrid/>
          <w:kern w:val="22"/>
          <w:szCs w:val="22"/>
        </w:rPr>
        <w:t xml:space="preserve"> felt that the criterion</w:t>
      </w:r>
      <w:r w:rsidR="00711853" w:rsidRPr="00F82F1D">
        <w:rPr>
          <w:snapToGrid/>
          <w:kern w:val="22"/>
          <w:szCs w:val="22"/>
        </w:rPr>
        <w:t xml:space="preserve"> </w:t>
      </w:r>
      <w:r w:rsidR="000B0F98" w:rsidRPr="00F82F1D">
        <w:rPr>
          <w:snapToGrid/>
          <w:kern w:val="22"/>
          <w:szCs w:val="22"/>
        </w:rPr>
        <w:t xml:space="preserve">had been </w:t>
      </w:r>
      <w:r w:rsidR="00711853" w:rsidRPr="00F82F1D">
        <w:rPr>
          <w:snapToGrid/>
          <w:kern w:val="22"/>
          <w:szCs w:val="22"/>
        </w:rPr>
        <w:t>fully met</w:t>
      </w:r>
      <w:r w:rsidRPr="00F82F1D">
        <w:rPr>
          <w:snapToGrid/>
          <w:kern w:val="22"/>
          <w:szCs w:val="22"/>
        </w:rPr>
        <w:t xml:space="preserve"> </w:t>
      </w:r>
      <w:r w:rsidR="00711853" w:rsidRPr="00F82F1D">
        <w:rPr>
          <w:snapToGrid/>
          <w:kern w:val="22"/>
          <w:szCs w:val="22"/>
        </w:rPr>
        <w:t xml:space="preserve">and </w:t>
      </w:r>
      <w:r w:rsidRPr="00F82F1D">
        <w:rPr>
          <w:snapToGrid/>
          <w:kern w:val="22"/>
          <w:szCs w:val="22"/>
        </w:rPr>
        <w:t>94</w:t>
      </w:r>
      <w:r w:rsidR="00C07151" w:rsidRPr="00F82F1D">
        <w:rPr>
          <w:snapToGrid/>
          <w:kern w:val="22"/>
          <w:szCs w:val="22"/>
        </w:rPr>
        <w:t xml:space="preserve"> per cent</w:t>
      </w:r>
      <w:r w:rsidRPr="00F82F1D">
        <w:rPr>
          <w:snapToGrid/>
          <w:kern w:val="22"/>
          <w:szCs w:val="22"/>
        </w:rPr>
        <w:t xml:space="preserve"> felt that it </w:t>
      </w:r>
      <w:r w:rsidR="000B0F98" w:rsidRPr="00F82F1D">
        <w:rPr>
          <w:snapToGrid/>
          <w:kern w:val="22"/>
          <w:szCs w:val="22"/>
        </w:rPr>
        <w:t xml:space="preserve">had been </w:t>
      </w:r>
      <w:r w:rsidRPr="00F82F1D">
        <w:rPr>
          <w:snapToGrid/>
          <w:kern w:val="22"/>
          <w:szCs w:val="22"/>
        </w:rPr>
        <w:t>partially met.</w:t>
      </w:r>
    </w:p>
    <w:p w:rsidR="00742F79" w:rsidRPr="00F82F1D" w:rsidRDefault="00742F79" w:rsidP="00F82F1D">
      <w:pPr>
        <w:pStyle w:val="Para1"/>
        <w:suppressLineNumbers/>
        <w:tabs>
          <w:tab w:val="clear" w:pos="360"/>
        </w:tabs>
        <w:suppressAutoHyphens/>
        <w:kinsoku w:val="0"/>
        <w:overflowPunct w:val="0"/>
        <w:autoSpaceDE w:val="0"/>
        <w:autoSpaceDN w:val="0"/>
        <w:rPr>
          <w:snapToGrid/>
          <w:kern w:val="22"/>
          <w:szCs w:val="22"/>
        </w:rPr>
      </w:pPr>
      <w:r w:rsidRPr="00F82F1D">
        <w:rPr>
          <w:snapToGrid/>
          <w:kern w:val="22"/>
          <w:szCs w:val="22"/>
        </w:rPr>
        <w:t>For COP-MOP 2</w:t>
      </w:r>
      <w:r w:rsidR="0093215B" w:rsidRPr="00F82F1D">
        <w:rPr>
          <w:snapToGrid/>
          <w:kern w:val="22"/>
          <w:szCs w:val="22"/>
        </w:rPr>
        <w:t xml:space="preserve"> to the Nagoya Protocol</w:t>
      </w:r>
      <w:r w:rsidRPr="00F82F1D">
        <w:rPr>
          <w:snapToGrid/>
          <w:kern w:val="22"/>
          <w:szCs w:val="22"/>
        </w:rPr>
        <w:t>, 35</w:t>
      </w:r>
      <w:r w:rsidR="00C07151" w:rsidRPr="00F82F1D">
        <w:rPr>
          <w:snapToGrid/>
          <w:kern w:val="22"/>
          <w:szCs w:val="22"/>
        </w:rPr>
        <w:t xml:space="preserve"> per cent</w:t>
      </w:r>
      <w:r w:rsidRPr="00F82F1D">
        <w:rPr>
          <w:snapToGrid/>
          <w:kern w:val="22"/>
          <w:szCs w:val="22"/>
        </w:rPr>
        <w:t xml:space="preserve"> of respondents felt that the criterion had been fully met, 52</w:t>
      </w:r>
      <w:r w:rsidR="00C07151" w:rsidRPr="00F82F1D">
        <w:rPr>
          <w:snapToGrid/>
          <w:kern w:val="22"/>
          <w:szCs w:val="22"/>
        </w:rPr>
        <w:t xml:space="preserve"> per cent</w:t>
      </w:r>
      <w:r w:rsidRPr="00F82F1D">
        <w:rPr>
          <w:snapToGrid/>
          <w:kern w:val="22"/>
          <w:szCs w:val="22"/>
        </w:rPr>
        <w:t xml:space="preserve"> felt that it had been partially met and 13</w:t>
      </w:r>
      <w:r w:rsidR="00C07151" w:rsidRPr="00F82F1D">
        <w:rPr>
          <w:snapToGrid/>
          <w:kern w:val="22"/>
          <w:szCs w:val="22"/>
        </w:rPr>
        <w:t xml:space="preserve"> per cent</w:t>
      </w:r>
      <w:r w:rsidRPr="00F82F1D">
        <w:rPr>
          <w:snapToGrid/>
          <w:kern w:val="22"/>
          <w:szCs w:val="22"/>
        </w:rPr>
        <w:t xml:space="preserve"> felt that it had not been met. When the results were disaggregated by developed and developing countries, 40</w:t>
      </w:r>
      <w:r w:rsidR="00C07151" w:rsidRPr="00F82F1D">
        <w:rPr>
          <w:snapToGrid/>
          <w:kern w:val="22"/>
          <w:szCs w:val="22"/>
        </w:rPr>
        <w:t xml:space="preserve"> per cent</w:t>
      </w:r>
      <w:r w:rsidRPr="00F82F1D">
        <w:rPr>
          <w:snapToGrid/>
          <w:kern w:val="22"/>
          <w:szCs w:val="22"/>
        </w:rPr>
        <w:t xml:space="preserve"> of respo</w:t>
      </w:r>
      <w:r w:rsidR="00711853" w:rsidRPr="00F82F1D">
        <w:rPr>
          <w:snapToGrid/>
          <w:kern w:val="22"/>
          <w:szCs w:val="22"/>
        </w:rPr>
        <w:t>ndents from developing country Parties</w:t>
      </w:r>
      <w:r w:rsidRPr="00F82F1D">
        <w:rPr>
          <w:snapToGrid/>
          <w:kern w:val="22"/>
          <w:szCs w:val="22"/>
        </w:rPr>
        <w:t xml:space="preserve"> felt that the criteri</w:t>
      </w:r>
      <w:r w:rsidR="00131F48" w:rsidRPr="00F82F1D">
        <w:rPr>
          <w:snapToGrid/>
          <w:kern w:val="22"/>
          <w:szCs w:val="22"/>
        </w:rPr>
        <w:t>on</w:t>
      </w:r>
      <w:r w:rsidRPr="00F82F1D">
        <w:rPr>
          <w:snapToGrid/>
          <w:kern w:val="22"/>
          <w:szCs w:val="22"/>
        </w:rPr>
        <w:t xml:space="preserve"> </w:t>
      </w:r>
      <w:r w:rsidR="00151073" w:rsidRPr="00F82F1D">
        <w:rPr>
          <w:snapToGrid/>
          <w:kern w:val="22"/>
          <w:szCs w:val="22"/>
        </w:rPr>
        <w:t xml:space="preserve">had been </w:t>
      </w:r>
      <w:r w:rsidRPr="00F82F1D">
        <w:rPr>
          <w:snapToGrid/>
          <w:kern w:val="22"/>
          <w:szCs w:val="22"/>
        </w:rPr>
        <w:t>fully met, 50</w:t>
      </w:r>
      <w:r w:rsidR="00C07151" w:rsidRPr="00F82F1D">
        <w:rPr>
          <w:snapToGrid/>
          <w:kern w:val="22"/>
          <w:szCs w:val="22"/>
        </w:rPr>
        <w:t xml:space="preserve"> per cent</w:t>
      </w:r>
      <w:r w:rsidRPr="00F82F1D">
        <w:rPr>
          <w:snapToGrid/>
          <w:kern w:val="22"/>
          <w:szCs w:val="22"/>
        </w:rPr>
        <w:t xml:space="preserve"> felt that it </w:t>
      </w:r>
      <w:r w:rsidR="00782032" w:rsidRPr="00F82F1D">
        <w:rPr>
          <w:snapToGrid/>
          <w:kern w:val="22"/>
          <w:szCs w:val="22"/>
        </w:rPr>
        <w:t xml:space="preserve">had been </w:t>
      </w:r>
      <w:r w:rsidRPr="00F82F1D">
        <w:rPr>
          <w:snapToGrid/>
          <w:kern w:val="22"/>
          <w:szCs w:val="22"/>
        </w:rPr>
        <w:t>partially met, 10</w:t>
      </w:r>
      <w:r w:rsidR="0093215B" w:rsidRPr="00F82F1D">
        <w:rPr>
          <w:snapToGrid/>
          <w:kern w:val="22"/>
          <w:szCs w:val="22"/>
        </w:rPr>
        <w:t> </w:t>
      </w:r>
      <w:r w:rsidR="00C07151" w:rsidRPr="00F82F1D">
        <w:rPr>
          <w:snapToGrid/>
          <w:kern w:val="22"/>
          <w:szCs w:val="22"/>
        </w:rPr>
        <w:t>per cent</w:t>
      </w:r>
      <w:r w:rsidRPr="00F82F1D">
        <w:rPr>
          <w:snapToGrid/>
          <w:kern w:val="22"/>
          <w:szCs w:val="22"/>
        </w:rPr>
        <w:t xml:space="preserve"> felt that it </w:t>
      </w:r>
      <w:r w:rsidR="00782032" w:rsidRPr="00F82F1D">
        <w:rPr>
          <w:snapToGrid/>
          <w:kern w:val="22"/>
          <w:szCs w:val="22"/>
        </w:rPr>
        <w:t xml:space="preserve">had </w:t>
      </w:r>
      <w:r w:rsidRPr="00F82F1D">
        <w:rPr>
          <w:snapToGrid/>
          <w:kern w:val="22"/>
          <w:szCs w:val="22"/>
        </w:rPr>
        <w:t xml:space="preserve">not </w:t>
      </w:r>
      <w:r w:rsidR="00782032" w:rsidRPr="00F82F1D">
        <w:rPr>
          <w:snapToGrid/>
          <w:kern w:val="22"/>
          <w:szCs w:val="22"/>
        </w:rPr>
        <w:t xml:space="preserve">been </w:t>
      </w:r>
      <w:r w:rsidRPr="00F82F1D">
        <w:rPr>
          <w:snapToGrid/>
          <w:kern w:val="22"/>
          <w:szCs w:val="22"/>
        </w:rPr>
        <w:t>met. Among developed country Parties, 15</w:t>
      </w:r>
      <w:r w:rsidR="00C07151" w:rsidRPr="00F82F1D">
        <w:rPr>
          <w:snapToGrid/>
          <w:kern w:val="22"/>
          <w:szCs w:val="22"/>
        </w:rPr>
        <w:t xml:space="preserve"> per cent</w:t>
      </w:r>
      <w:r w:rsidRPr="00F82F1D">
        <w:rPr>
          <w:snapToGrid/>
          <w:kern w:val="22"/>
          <w:szCs w:val="22"/>
        </w:rPr>
        <w:t xml:space="preserve"> felt that the criteri</w:t>
      </w:r>
      <w:r w:rsidR="005325C1" w:rsidRPr="00F82F1D">
        <w:rPr>
          <w:snapToGrid/>
          <w:kern w:val="22"/>
          <w:szCs w:val="22"/>
        </w:rPr>
        <w:t>on</w:t>
      </w:r>
      <w:r w:rsidRPr="00F82F1D">
        <w:rPr>
          <w:snapToGrid/>
          <w:kern w:val="22"/>
          <w:szCs w:val="22"/>
        </w:rPr>
        <w:t xml:space="preserve"> had been fully met, 61</w:t>
      </w:r>
      <w:r w:rsidR="00C07151" w:rsidRPr="00F82F1D">
        <w:rPr>
          <w:snapToGrid/>
          <w:kern w:val="22"/>
          <w:szCs w:val="22"/>
        </w:rPr>
        <w:t xml:space="preserve"> per cent</w:t>
      </w:r>
      <w:r w:rsidRPr="00F82F1D">
        <w:rPr>
          <w:snapToGrid/>
          <w:kern w:val="22"/>
          <w:szCs w:val="22"/>
        </w:rPr>
        <w:t xml:space="preserve"> felt that it had been partially met, and 23</w:t>
      </w:r>
      <w:r w:rsidR="00C07151" w:rsidRPr="00F82F1D">
        <w:rPr>
          <w:snapToGrid/>
          <w:kern w:val="22"/>
          <w:szCs w:val="22"/>
        </w:rPr>
        <w:t xml:space="preserve"> per cent</w:t>
      </w:r>
      <w:r w:rsidRPr="00F82F1D">
        <w:rPr>
          <w:snapToGrid/>
          <w:kern w:val="22"/>
          <w:szCs w:val="22"/>
        </w:rPr>
        <w:t xml:space="preserve"> felt that it </w:t>
      </w:r>
      <w:r w:rsidR="005325C1" w:rsidRPr="00F82F1D">
        <w:rPr>
          <w:snapToGrid/>
          <w:kern w:val="22"/>
          <w:szCs w:val="22"/>
        </w:rPr>
        <w:t xml:space="preserve">had </w:t>
      </w:r>
      <w:r w:rsidRPr="00F82F1D">
        <w:rPr>
          <w:snapToGrid/>
          <w:kern w:val="22"/>
          <w:szCs w:val="22"/>
        </w:rPr>
        <w:t>not</w:t>
      </w:r>
      <w:r w:rsidR="005325C1" w:rsidRPr="00F82F1D">
        <w:rPr>
          <w:snapToGrid/>
          <w:kern w:val="22"/>
          <w:szCs w:val="22"/>
        </w:rPr>
        <w:t xml:space="preserve"> been met</w:t>
      </w:r>
      <w:r w:rsidRPr="00F82F1D">
        <w:rPr>
          <w:snapToGrid/>
          <w:kern w:val="22"/>
          <w:szCs w:val="22"/>
        </w:rPr>
        <w:t>.</w:t>
      </w:r>
    </w:p>
    <w:p w:rsidR="00742F79" w:rsidRPr="00F82F1D" w:rsidRDefault="00742F79" w:rsidP="00F82F1D">
      <w:pPr>
        <w:pStyle w:val="Para1"/>
        <w:suppressLineNumbers/>
        <w:tabs>
          <w:tab w:val="clear" w:pos="360"/>
        </w:tabs>
        <w:suppressAutoHyphens/>
        <w:kinsoku w:val="0"/>
        <w:overflowPunct w:val="0"/>
        <w:autoSpaceDE w:val="0"/>
        <w:autoSpaceDN w:val="0"/>
        <w:rPr>
          <w:snapToGrid/>
          <w:kern w:val="22"/>
          <w:szCs w:val="22"/>
        </w:rPr>
      </w:pPr>
      <w:r w:rsidRPr="00F82F1D">
        <w:rPr>
          <w:snapToGrid/>
          <w:kern w:val="22"/>
          <w:szCs w:val="22"/>
        </w:rPr>
        <w:t>The responses by Parties to the notification suggest that the process of convening concurrent meetings was perceived as being more effective for the Convention than for the Protocols. However, for both the Convention and the Protocols</w:t>
      </w:r>
      <w:r w:rsidR="0093215B" w:rsidRPr="00F82F1D">
        <w:rPr>
          <w:snapToGrid/>
          <w:kern w:val="22"/>
          <w:szCs w:val="22"/>
        </w:rPr>
        <w:t>,</w:t>
      </w:r>
      <w:r w:rsidRPr="00F82F1D">
        <w:rPr>
          <w:snapToGrid/>
          <w:kern w:val="22"/>
          <w:szCs w:val="22"/>
        </w:rPr>
        <w:t xml:space="preserve"> the proportion of respondents indicating that the criterion </w:t>
      </w:r>
      <w:r w:rsidR="00F61688" w:rsidRPr="00F82F1D">
        <w:rPr>
          <w:snapToGrid/>
          <w:kern w:val="22"/>
          <w:szCs w:val="22"/>
        </w:rPr>
        <w:t xml:space="preserve">had </w:t>
      </w:r>
      <w:r w:rsidRPr="00F82F1D">
        <w:rPr>
          <w:snapToGrid/>
          <w:kern w:val="22"/>
          <w:szCs w:val="22"/>
        </w:rPr>
        <w:t xml:space="preserve">not </w:t>
      </w:r>
      <w:r w:rsidR="00F61688" w:rsidRPr="00F82F1D">
        <w:rPr>
          <w:snapToGrid/>
          <w:kern w:val="22"/>
          <w:szCs w:val="22"/>
        </w:rPr>
        <w:t xml:space="preserve">been </w:t>
      </w:r>
      <w:r w:rsidRPr="00F82F1D">
        <w:rPr>
          <w:snapToGrid/>
          <w:kern w:val="22"/>
          <w:szCs w:val="22"/>
        </w:rPr>
        <w:t>met was relatively small.</w:t>
      </w:r>
    </w:p>
    <w:p w:rsidR="00742F79" w:rsidRPr="00F82F1D" w:rsidRDefault="00742F79" w:rsidP="00F82F1D">
      <w:pPr>
        <w:pStyle w:val="Para1"/>
        <w:suppressLineNumbers/>
        <w:tabs>
          <w:tab w:val="clear" w:pos="360"/>
        </w:tabs>
        <w:suppressAutoHyphens/>
        <w:kinsoku w:val="0"/>
        <w:overflowPunct w:val="0"/>
        <w:autoSpaceDE w:val="0"/>
        <w:autoSpaceDN w:val="0"/>
        <w:rPr>
          <w:snapToGrid/>
          <w:kern w:val="22"/>
          <w:szCs w:val="22"/>
        </w:rPr>
      </w:pPr>
      <w:r w:rsidRPr="00F82F1D">
        <w:rPr>
          <w:snapToGrid/>
          <w:kern w:val="22"/>
          <w:szCs w:val="22"/>
        </w:rPr>
        <w:lastRenderedPageBreak/>
        <w:t>In their written comments</w:t>
      </w:r>
      <w:r w:rsidR="009F0844" w:rsidRPr="00F82F1D">
        <w:rPr>
          <w:snapToGrid/>
          <w:kern w:val="22"/>
          <w:szCs w:val="22"/>
        </w:rPr>
        <w:t>,</w:t>
      </w:r>
      <w:r w:rsidRPr="00F82F1D">
        <w:rPr>
          <w:snapToGrid/>
          <w:kern w:val="22"/>
          <w:szCs w:val="22"/>
        </w:rPr>
        <w:t xml:space="preserve"> some Parties noted that dealing with some </w:t>
      </w:r>
      <w:r w:rsidR="00CF5255" w:rsidRPr="00F82F1D">
        <w:rPr>
          <w:snapToGrid/>
          <w:kern w:val="22"/>
          <w:szCs w:val="22"/>
        </w:rPr>
        <w:t xml:space="preserve">agenda </w:t>
      </w:r>
      <w:r w:rsidRPr="00F82F1D">
        <w:rPr>
          <w:snapToGrid/>
          <w:kern w:val="22"/>
          <w:szCs w:val="22"/>
        </w:rPr>
        <w:t xml:space="preserve">items, such as those related to the financial mechanisms, in an integrated manner created confusion at times. However, others felt that dealing with some issues in an integrated manner, such as synthetic biology and digital sequence information, had benefits. A number of respondents noted that the limited time available for contact groups was problematic and that dealing with the Convention and the Protocols in a concurrent manner </w:t>
      </w:r>
      <w:r w:rsidR="00F32123" w:rsidRPr="00F82F1D">
        <w:rPr>
          <w:snapToGrid/>
          <w:kern w:val="22"/>
          <w:szCs w:val="22"/>
        </w:rPr>
        <w:t xml:space="preserve">carried that risk </w:t>
      </w:r>
      <w:r w:rsidRPr="00F82F1D">
        <w:rPr>
          <w:snapToGrid/>
          <w:kern w:val="22"/>
          <w:szCs w:val="22"/>
        </w:rPr>
        <w:t>that some instruments would be given more attention than others. It was suggested that</w:t>
      </w:r>
      <w:r w:rsidR="00F32123" w:rsidRPr="00F82F1D">
        <w:rPr>
          <w:snapToGrid/>
          <w:kern w:val="22"/>
          <w:szCs w:val="22"/>
        </w:rPr>
        <w:t>,</w:t>
      </w:r>
      <w:r w:rsidRPr="00F82F1D">
        <w:rPr>
          <w:snapToGrid/>
          <w:kern w:val="22"/>
          <w:szCs w:val="22"/>
        </w:rPr>
        <w:t xml:space="preserve"> in the future</w:t>
      </w:r>
      <w:r w:rsidR="0093215B" w:rsidRPr="00F82F1D">
        <w:rPr>
          <w:snapToGrid/>
          <w:kern w:val="22"/>
          <w:szCs w:val="22"/>
        </w:rPr>
        <w:t>,</w:t>
      </w:r>
      <w:r w:rsidRPr="00F82F1D">
        <w:rPr>
          <w:snapToGrid/>
          <w:kern w:val="22"/>
          <w:szCs w:val="22"/>
        </w:rPr>
        <w:t xml:space="preserve"> when the agendas for the meetings of the Convention and Protocols are prepared</w:t>
      </w:r>
      <w:r w:rsidR="0093215B" w:rsidRPr="00F82F1D">
        <w:rPr>
          <w:snapToGrid/>
          <w:kern w:val="22"/>
          <w:szCs w:val="22"/>
        </w:rPr>
        <w:t>,</w:t>
      </w:r>
      <w:r w:rsidRPr="00F82F1D">
        <w:rPr>
          <w:snapToGrid/>
          <w:kern w:val="22"/>
          <w:szCs w:val="22"/>
        </w:rPr>
        <w:t xml:space="preserve"> these issues should be taken into account. A number of Parties also noted that the limited participation of some Parties in the concurrent meetings created challenges for the effective development of outcomes.</w:t>
      </w:r>
    </w:p>
    <w:p w:rsidR="00742F79" w:rsidRPr="00F82F1D" w:rsidRDefault="00742F79" w:rsidP="00F82F1D">
      <w:pPr>
        <w:pStyle w:val="Para1"/>
        <w:suppressLineNumbers/>
        <w:tabs>
          <w:tab w:val="clear" w:pos="360"/>
        </w:tabs>
        <w:suppressAutoHyphens/>
        <w:kinsoku w:val="0"/>
        <w:overflowPunct w:val="0"/>
        <w:autoSpaceDE w:val="0"/>
        <w:autoSpaceDN w:val="0"/>
        <w:rPr>
          <w:snapToGrid/>
          <w:kern w:val="22"/>
          <w:szCs w:val="22"/>
        </w:rPr>
      </w:pPr>
      <w:r w:rsidRPr="00F82F1D">
        <w:rPr>
          <w:snapToGrid/>
          <w:kern w:val="22"/>
          <w:szCs w:val="22"/>
        </w:rPr>
        <w:t xml:space="preserve">The results </w:t>
      </w:r>
      <w:r w:rsidR="007F30B3" w:rsidRPr="00F82F1D">
        <w:rPr>
          <w:snapToGrid/>
          <w:kern w:val="22"/>
          <w:szCs w:val="22"/>
        </w:rPr>
        <w:t xml:space="preserve">of </w:t>
      </w:r>
      <w:r w:rsidRPr="00F82F1D">
        <w:rPr>
          <w:snapToGrid/>
          <w:kern w:val="22"/>
          <w:szCs w:val="22"/>
        </w:rPr>
        <w:t xml:space="preserve">the </w:t>
      </w:r>
      <w:r w:rsidR="00E605D7" w:rsidRPr="00F82F1D">
        <w:rPr>
          <w:snapToGrid/>
          <w:kern w:val="22"/>
          <w:szCs w:val="22"/>
        </w:rPr>
        <w:t>onli</w:t>
      </w:r>
      <w:r w:rsidR="00814DD8" w:rsidRPr="00F82F1D">
        <w:rPr>
          <w:snapToGrid/>
          <w:kern w:val="22"/>
          <w:szCs w:val="22"/>
        </w:rPr>
        <w:t>n</w:t>
      </w:r>
      <w:r w:rsidR="00E605D7" w:rsidRPr="00F82F1D">
        <w:rPr>
          <w:snapToGrid/>
          <w:kern w:val="22"/>
          <w:szCs w:val="22"/>
        </w:rPr>
        <w:t xml:space="preserve">e </w:t>
      </w:r>
      <w:r w:rsidRPr="00F82F1D">
        <w:rPr>
          <w:snapToGrid/>
          <w:kern w:val="22"/>
          <w:szCs w:val="22"/>
        </w:rPr>
        <w:t xml:space="preserve">survey of participants were similar to those </w:t>
      </w:r>
      <w:r w:rsidR="007F30B3" w:rsidRPr="00F82F1D">
        <w:rPr>
          <w:snapToGrid/>
          <w:kern w:val="22"/>
          <w:szCs w:val="22"/>
        </w:rPr>
        <w:t xml:space="preserve">of </w:t>
      </w:r>
      <w:r w:rsidRPr="00F82F1D">
        <w:rPr>
          <w:snapToGrid/>
          <w:kern w:val="22"/>
          <w:szCs w:val="22"/>
        </w:rPr>
        <w:t xml:space="preserve">the notification. A clear majority of survey respondents felt that convening the meetings of COP to the Convention, the Cartagena Protocol and the Nagoya Protocol concurrently was effective in terms of improving the efficiency of the processes under these agreements. </w:t>
      </w:r>
      <w:r w:rsidR="00A311E7" w:rsidRPr="00F82F1D">
        <w:rPr>
          <w:snapToGrid/>
          <w:kern w:val="22"/>
          <w:szCs w:val="22"/>
        </w:rPr>
        <w:t xml:space="preserve">A total of </w:t>
      </w:r>
      <w:r w:rsidRPr="00F82F1D">
        <w:rPr>
          <w:snapToGrid/>
          <w:kern w:val="22"/>
          <w:szCs w:val="22"/>
        </w:rPr>
        <w:t>11</w:t>
      </w:r>
      <w:r w:rsidR="00C07151" w:rsidRPr="00F82F1D">
        <w:rPr>
          <w:snapToGrid/>
          <w:kern w:val="22"/>
          <w:szCs w:val="22"/>
        </w:rPr>
        <w:t xml:space="preserve"> per cent</w:t>
      </w:r>
      <w:r w:rsidRPr="00F82F1D">
        <w:rPr>
          <w:snapToGrid/>
          <w:kern w:val="22"/>
          <w:szCs w:val="22"/>
        </w:rPr>
        <w:t xml:space="preserve"> of respondents strongly agreed and 50</w:t>
      </w:r>
      <w:r w:rsidR="00C07151" w:rsidRPr="00F82F1D">
        <w:rPr>
          <w:snapToGrid/>
          <w:kern w:val="22"/>
          <w:szCs w:val="22"/>
        </w:rPr>
        <w:t xml:space="preserve"> per cent</w:t>
      </w:r>
      <w:r w:rsidRPr="00F82F1D">
        <w:rPr>
          <w:snapToGrid/>
          <w:kern w:val="22"/>
          <w:szCs w:val="22"/>
        </w:rPr>
        <w:t xml:space="preserve"> agreed that this was the case. </w:t>
      </w:r>
      <w:r w:rsidR="00A311E7" w:rsidRPr="00F82F1D">
        <w:rPr>
          <w:snapToGrid/>
          <w:kern w:val="22"/>
          <w:szCs w:val="22"/>
        </w:rPr>
        <w:t xml:space="preserve">A total of </w:t>
      </w:r>
      <w:r w:rsidRPr="00F82F1D">
        <w:rPr>
          <w:snapToGrid/>
          <w:kern w:val="22"/>
          <w:szCs w:val="22"/>
        </w:rPr>
        <w:t>13</w:t>
      </w:r>
      <w:r w:rsidR="00C07151" w:rsidRPr="00F82F1D">
        <w:rPr>
          <w:snapToGrid/>
          <w:kern w:val="22"/>
          <w:szCs w:val="22"/>
        </w:rPr>
        <w:t xml:space="preserve"> per cent</w:t>
      </w:r>
      <w:r w:rsidRPr="00F82F1D">
        <w:rPr>
          <w:snapToGrid/>
          <w:kern w:val="22"/>
          <w:szCs w:val="22"/>
        </w:rPr>
        <w:t xml:space="preserve"> of respondents disagreed and 6</w:t>
      </w:r>
      <w:r w:rsidR="00C07151" w:rsidRPr="00F82F1D">
        <w:rPr>
          <w:snapToGrid/>
          <w:kern w:val="22"/>
          <w:szCs w:val="22"/>
        </w:rPr>
        <w:t xml:space="preserve"> per cent</w:t>
      </w:r>
      <w:r w:rsidRPr="00F82F1D">
        <w:rPr>
          <w:snapToGrid/>
          <w:kern w:val="22"/>
          <w:szCs w:val="22"/>
        </w:rPr>
        <w:t xml:space="preserve"> strongly disagreed. The remaining 22</w:t>
      </w:r>
      <w:r w:rsidR="00C07151" w:rsidRPr="00F82F1D">
        <w:rPr>
          <w:snapToGrid/>
          <w:kern w:val="22"/>
          <w:szCs w:val="22"/>
        </w:rPr>
        <w:t xml:space="preserve"> per cent</w:t>
      </w:r>
      <w:r w:rsidRPr="00F82F1D">
        <w:rPr>
          <w:snapToGrid/>
          <w:kern w:val="22"/>
          <w:szCs w:val="22"/>
        </w:rPr>
        <w:t xml:space="preserve"> of respondents had a neutral opinion on this issue. The results were similar when only responses from respondents from Parties were considered (16</w:t>
      </w:r>
      <w:r w:rsidR="00C07151" w:rsidRPr="00F82F1D">
        <w:rPr>
          <w:snapToGrid/>
          <w:kern w:val="22"/>
          <w:szCs w:val="22"/>
        </w:rPr>
        <w:t xml:space="preserve"> per cent</w:t>
      </w:r>
      <w:r w:rsidRPr="00F82F1D">
        <w:rPr>
          <w:snapToGrid/>
          <w:kern w:val="22"/>
          <w:szCs w:val="22"/>
        </w:rPr>
        <w:t xml:space="preserve"> strongly agreed, 49</w:t>
      </w:r>
      <w:r w:rsidR="00C07151" w:rsidRPr="00F82F1D">
        <w:rPr>
          <w:snapToGrid/>
          <w:kern w:val="22"/>
          <w:szCs w:val="22"/>
        </w:rPr>
        <w:t xml:space="preserve"> per cent</w:t>
      </w:r>
      <w:r w:rsidRPr="00F82F1D">
        <w:rPr>
          <w:snapToGrid/>
          <w:kern w:val="22"/>
          <w:szCs w:val="22"/>
        </w:rPr>
        <w:t xml:space="preserve"> agreed, 17</w:t>
      </w:r>
      <w:r w:rsidR="00C07151" w:rsidRPr="00F82F1D">
        <w:rPr>
          <w:snapToGrid/>
          <w:kern w:val="22"/>
          <w:szCs w:val="22"/>
        </w:rPr>
        <w:t xml:space="preserve"> per cent</w:t>
      </w:r>
      <w:r w:rsidRPr="00F82F1D">
        <w:rPr>
          <w:snapToGrid/>
          <w:kern w:val="22"/>
          <w:szCs w:val="22"/>
        </w:rPr>
        <w:t xml:space="preserve"> neutral, 13</w:t>
      </w:r>
      <w:r w:rsidR="00C07151" w:rsidRPr="00F82F1D">
        <w:rPr>
          <w:snapToGrid/>
          <w:kern w:val="22"/>
          <w:szCs w:val="22"/>
        </w:rPr>
        <w:t xml:space="preserve"> per cent</w:t>
      </w:r>
      <w:r w:rsidRPr="00F82F1D">
        <w:rPr>
          <w:snapToGrid/>
          <w:kern w:val="22"/>
          <w:szCs w:val="22"/>
        </w:rPr>
        <w:t xml:space="preserve"> disagreed and 6</w:t>
      </w:r>
      <w:r w:rsidR="00C07151" w:rsidRPr="00F82F1D">
        <w:rPr>
          <w:snapToGrid/>
          <w:kern w:val="22"/>
          <w:szCs w:val="22"/>
        </w:rPr>
        <w:t xml:space="preserve"> per cent</w:t>
      </w:r>
      <w:r w:rsidRPr="00F82F1D">
        <w:rPr>
          <w:snapToGrid/>
          <w:kern w:val="22"/>
          <w:szCs w:val="22"/>
        </w:rPr>
        <w:t xml:space="preserve"> strongly disagreed).</w:t>
      </w:r>
    </w:p>
    <w:p w:rsidR="00742F79" w:rsidRPr="00F82F1D" w:rsidRDefault="00742F79" w:rsidP="00F82F1D">
      <w:pPr>
        <w:pStyle w:val="Para1"/>
        <w:suppressLineNumbers/>
        <w:tabs>
          <w:tab w:val="clear" w:pos="360"/>
        </w:tabs>
        <w:suppressAutoHyphens/>
        <w:kinsoku w:val="0"/>
        <w:overflowPunct w:val="0"/>
        <w:autoSpaceDE w:val="0"/>
        <w:autoSpaceDN w:val="0"/>
        <w:rPr>
          <w:snapToGrid/>
          <w:kern w:val="22"/>
          <w:szCs w:val="22"/>
        </w:rPr>
      </w:pPr>
      <w:r w:rsidRPr="00F82F1D">
        <w:rPr>
          <w:snapToGrid/>
          <w:kern w:val="22"/>
          <w:szCs w:val="22"/>
        </w:rPr>
        <w:t xml:space="preserve">Survey respondents, in their written comments, identified various advantages and disadvantages of convening the meetings concurrently. The advantages identified included the greater exchange of views and information and more coherent outcomes across the three agreements, shortening of the total length of the meetings and that concurrent meetings gave more visibility to the work of the Protocols and allowed for links between the three processes to be better recognized. Among the disadvantages noted were the difficulty </w:t>
      </w:r>
      <w:r w:rsidR="003263DC" w:rsidRPr="00F82F1D">
        <w:rPr>
          <w:snapToGrid/>
          <w:kern w:val="22"/>
          <w:szCs w:val="22"/>
        </w:rPr>
        <w:t xml:space="preserve">in </w:t>
      </w:r>
      <w:r w:rsidRPr="00F82F1D">
        <w:rPr>
          <w:snapToGrid/>
          <w:kern w:val="22"/>
          <w:szCs w:val="22"/>
        </w:rPr>
        <w:t xml:space="preserve">following three different meetings, the difficulty </w:t>
      </w:r>
      <w:r w:rsidR="003263DC" w:rsidRPr="00F82F1D">
        <w:rPr>
          <w:snapToGrid/>
          <w:kern w:val="22"/>
          <w:szCs w:val="22"/>
        </w:rPr>
        <w:t xml:space="preserve">in </w:t>
      </w:r>
      <w:r w:rsidRPr="00F82F1D">
        <w:rPr>
          <w:snapToGrid/>
          <w:kern w:val="22"/>
          <w:szCs w:val="22"/>
        </w:rPr>
        <w:t>coordinating, and the large number of contact groups required. These issues were noted to be particularly problematic for smaller delegations. Other challenges noted were the limited amount of time available to discuss some issues and the need for delegates to wait in plenary or working groups for their items to be addressed.</w:t>
      </w:r>
    </w:p>
    <w:p w:rsidR="00742F79" w:rsidRPr="00F82F1D" w:rsidRDefault="00742F79" w:rsidP="00F82F1D">
      <w:pPr>
        <w:pStyle w:val="Para1"/>
        <w:suppressLineNumbers/>
        <w:tabs>
          <w:tab w:val="clear" w:pos="360"/>
        </w:tabs>
        <w:suppressAutoHyphens/>
        <w:kinsoku w:val="0"/>
        <w:overflowPunct w:val="0"/>
        <w:autoSpaceDE w:val="0"/>
        <w:autoSpaceDN w:val="0"/>
        <w:rPr>
          <w:snapToGrid/>
          <w:kern w:val="22"/>
          <w:szCs w:val="22"/>
        </w:rPr>
      </w:pPr>
      <w:r w:rsidRPr="00F82F1D">
        <w:rPr>
          <w:snapToGrid/>
          <w:kern w:val="22"/>
          <w:szCs w:val="22"/>
        </w:rPr>
        <w:t>In total, during the concurrent meetings, there were 46 sessions held in plenary and working groups over 12 days. This means that</w:t>
      </w:r>
      <w:r w:rsidR="00086F16" w:rsidRPr="00F82F1D">
        <w:rPr>
          <w:snapToGrid/>
          <w:kern w:val="22"/>
          <w:szCs w:val="22"/>
        </w:rPr>
        <w:t>,</w:t>
      </w:r>
      <w:r w:rsidRPr="00F82F1D">
        <w:rPr>
          <w:snapToGrid/>
          <w:kern w:val="22"/>
          <w:szCs w:val="22"/>
        </w:rPr>
        <w:t xml:space="preserve"> on average</w:t>
      </w:r>
      <w:r w:rsidR="00086F16" w:rsidRPr="00F82F1D">
        <w:rPr>
          <w:snapToGrid/>
          <w:kern w:val="22"/>
          <w:szCs w:val="22"/>
        </w:rPr>
        <w:t>,</w:t>
      </w:r>
      <w:r w:rsidRPr="00F82F1D">
        <w:rPr>
          <w:snapToGrid/>
          <w:kern w:val="22"/>
          <w:szCs w:val="22"/>
        </w:rPr>
        <w:t xml:space="preserve"> there were 3.8 working sessions held per day. By comparison</w:t>
      </w:r>
      <w:r w:rsidR="00086F16" w:rsidRPr="00F82F1D">
        <w:rPr>
          <w:snapToGrid/>
          <w:kern w:val="22"/>
          <w:szCs w:val="22"/>
        </w:rPr>
        <w:t>,</w:t>
      </w:r>
      <w:r w:rsidRPr="00F82F1D">
        <w:rPr>
          <w:snapToGrid/>
          <w:kern w:val="22"/>
          <w:szCs w:val="22"/>
        </w:rPr>
        <w:t xml:space="preserve"> during COP</w:t>
      </w:r>
      <w:r w:rsidR="0093215B" w:rsidRPr="00F82F1D">
        <w:rPr>
          <w:snapToGrid/>
          <w:kern w:val="22"/>
          <w:szCs w:val="22"/>
        </w:rPr>
        <w:t> </w:t>
      </w:r>
      <w:r w:rsidRPr="00F82F1D">
        <w:rPr>
          <w:snapToGrid/>
          <w:kern w:val="22"/>
          <w:szCs w:val="22"/>
        </w:rPr>
        <w:t>12, COP-MOP</w:t>
      </w:r>
      <w:r w:rsidR="0093215B" w:rsidRPr="00F82F1D">
        <w:rPr>
          <w:snapToGrid/>
          <w:kern w:val="22"/>
          <w:szCs w:val="22"/>
        </w:rPr>
        <w:t> </w:t>
      </w:r>
      <w:r w:rsidRPr="00F82F1D">
        <w:rPr>
          <w:snapToGrid/>
          <w:kern w:val="22"/>
          <w:szCs w:val="22"/>
        </w:rPr>
        <w:t xml:space="preserve">1 </w:t>
      </w:r>
      <w:r w:rsidR="0093215B" w:rsidRPr="00F82F1D">
        <w:rPr>
          <w:snapToGrid/>
          <w:kern w:val="22"/>
          <w:szCs w:val="22"/>
        </w:rPr>
        <w:t xml:space="preserve">to the Nagoya Protocol </w:t>
      </w:r>
      <w:r w:rsidRPr="00F82F1D">
        <w:rPr>
          <w:snapToGrid/>
          <w:kern w:val="22"/>
          <w:szCs w:val="22"/>
        </w:rPr>
        <w:t>and COP-MOP</w:t>
      </w:r>
      <w:r w:rsidR="0093215B" w:rsidRPr="00F82F1D">
        <w:rPr>
          <w:snapToGrid/>
          <w:kern w:val="22"/>
          <w:szCs w:val="22"/>
        </w:rPr>
        <w:t> </w:t>
      </w:r>
      <w:r w:rsidRPr="00F82F1D">
        <w:rPr>
          <w:snapToGrid/>
          <w:kern w:val="22"/>
          <w:szCs w:val="22"/>
        </w:rPr>
        <w:t>7</w:t>
      </w:r>
      <w:r w:rsidR="0093215B" w:rsidRPr="00F82F1D">
        <w:rPr>
          <w:snapToGrid/>
          <w:kern w:val="22"/>
          <w:szCs w:val="22"/>
        </w:rPr>
        <w:t xml:space="preserve"> to the Cartagena Protocol</w:t>
      </w:r>
      <w:r w:rsidR="00450BE3" w:rsidRPr="00F82F1D">
        <w:rPr>
          <w:snapToGrid/>
          <w:kern w:val="22"/>
          <w:szCs w:val="22"/>
        </w:rPr>
        <w:t>,</w:t>
      </w:r>
      <w:r w:rsidRPr="00F82F1D">
        <w:rPr>
          <w:snapToGrid/>
          <w:kern w:val="22"/>
          <w:szCs w:val="22"/>
        </w:rPr>
        <w:t xml:space="preserve"> there were 54 working sessions held over 15 days, or an average of 3.6 sessions per day. During COP</w:t>
      </w:r>
      <w:r w:rsidR="0093215B" w:rsidRPr="00F82F1D">
        <w:rPr>
          <w:snapToGrid/>
          <w:kern w:val="22"/>
          <w:szCs w:val="22"/>
        </w:rPr>
        <w:t> </w:t>
      </w:r>
      <w:r w:rsidRPr="00F82F1D">
        <w:rPr>
          <w:snapToGrid/>
          <w:kern w:val="22"/>
          <w:szCs w:val="22"/>
        </w:rPr>
        <w:t>11 and COP</w:t>
      </w:r>
      <w:r w:rsidR="0093215B" w:rsidRPr="00F82F1D">
        <w:rPr>
          <w:snapToGrid/>
          <w:kern w:val="22"/>
          <w:szCs w:val="22"/>
        </w:rPr>
        <w:noBreakHyphen/>
      </w:r>
      <w:r w:rsidRPr="00F82F1D">
        <w:rPr>
          <w:snapToGrid/>
          <w:kern w:val="22"/>
          <w:szCs w:val="22"/>
        </w:rPr>
        <w:t>MOP</w:t>
      </w:r>
      <w:r w:rsidR="0093215B" w:rsidRPr="00F82F1D">
        <w:rPr>
          <w:snapToGrid/>
          <w:kern w:val="22"/>
          <w:szCs w:val="22"/>
        </w:rPr>
        <w:t> </w:t>
      </w:r>
      <w:r w:rsidRPr="00F82F1D">
        <w:rPr>
          <w:snapToGrid/>
          <w:kern w:val="22"/>
          <w:szCs w:val="22"/>
        </w:rPr>
        <w:t>6</w:t>
      </w:r>
      <w:r w:rsidR="00450BE3" w:rsidRPr="00F82F1D">
        <w:rPr>
          <w:snapToGrid/>
          <w:kern w:val="22"/>
          <w:szCs w:val="22"/>
        </w:rPr>
        <w:t>,</w:t>
      </w:r>
      <w:r w:rsidRPr="00F82F1D">
        <w:rPr>
          <w:snapToGrid/>
          <w:kern w:val="22"/>
          <w:szCs w:val="22"/>
        </w:rPr>
        <w:t xml:space="preserve"> there were a total of 51 working sessions over 15 days, or an average of 3.4 working sessions per day. Similarly, for COP</w:t>
      </w:r>
      <w:r w:rsidR="0093215B" w:rsidRPr="00F82F1D">
        <w:rPr>
          <w:snapToGrid/>
          <w:kern w:val="22"/>
          <w:szCs w:val="22"/>
        </w:rPr>
        <w:t> </w:t>
      </w:r>
      <w:r w:rsidRPr="00F82F1D">
        <w:rPr>
          <w:snapToGrid/>
          <w:kern w:val="22"/>
          <w:szCs w:val="22"/>
        </w:rPr>
        <w:t>10 and COP-MOP</w:t>
      </w:r>
      <w:r w:rsidR="0093215B" w:rsidRPr="00F82F1D">
        <w:rPr>
          <w:snapToGrid/>
          <w:kern w:val="22"/>
          <w:szCs w:val="22"/>
        </w:rPr>
        <w:t> </w:t>
      </w:r>
      <w:r w:rsidRPr="00F82F1D">
        <w:rPr>
          <w:snapToGrid/>
          <w:kern w:val="22"/>
          <w:szCs w:val="22"/>
        </w:rPr>
        <w:t>5</w:t>
      </w:r>
      <w:r w:rsidR="00450BE3" w:rsidRPr="00F82F1D">
        <w:rPr>
          <w:snapToGrid/>
          <w:kern w:val="22"/>
          <w:szCs w:val="22"/>
        </w:rPr>
        <w:t>,</w:t>
      </w:r>
      <w:r w:rsidRPr="00F82F1D">
        <w:rPr>
          <w:snapToGrid/>
          <w:kern w:val="22"/>
          <w:szCs w:val="22"/>
        </w:rPr>
        <w:t xml:space="preserve"> there were 56 working sessions held over 15 days, or an average of 3.7 sessions per day and for COP</w:t>
      </w:r>
      <w:r w:rsidR="0093215B" w:rsidRPr="00F82F1D">
        <w:rPr>
          <w:snapToGrid/>
          <w:kern w:val="22"/>
          <w:szCs w:val="22"/>
        </w:rPr>
        <w:t> </w:t>
      </w:r>
      <w:r w:rsidRPr="00F82F1D">
        <w:rPr>
          <w:snapToGrid/>
          <w:kern w:val="22"/>
          <w:szCs w:val="22"/>
        </w:rPr>
        <w:t>9 and COP-MOP</w:t>
      </w:r>
      <w:r w:rsidR="0093215B" w:rsidRPr="00F82F1D">
        <w:rPr>
          <w:snapToGrid/>
          <w:kern w:val="22"/>
          <w:szCs w:val="22"/>
        </w:rPr>
        <w:t> </w:t>
      </w:r>
      <w:r w:rsidRPr="00F82F1D">
        <w:rPr>
          <w:snapToGrid/>
          <w:kern w:val="22"/>
          <w:szCs w:val="22"/>
        </w:rPr>
        <w:t>4</w:t>
      </w:r>
      <w:r w:rsidR="00450BE3" w:rsidRPr="00F82F1D">
        <w:rPr>
          <w:snapToGrid/>
          <w:kern w:val="22"/>
          <w:szCs w:val="22"/>
        </w:rPr>
        <w:t>,</w:t>
      </w:r>
      <w:r w:rsidRPr="00F82F1D">
        <w:rPr>
          <w:snapToGrid/>
          <w:kern w:val="22"/>
          <w:szCs w:val="22"/>
        </w:rPr>
        <w:t xml:space="preserve"> there were 52 working sessions over 15 days, or an average of 3.4 sessions per day (</w:t>
      </w:r>
      <w:r w:rsidR="00450BE3" w:rsidRPr="00F82F1D">
        <w:rPr>
          <w:snapToGrid/>
          <w:kern w:val="22"/>
          <w:szCs w:val="22"/>
        </w:rPr>
        <w:t>s</w:t>
      </w:r>
      <w:r w:rsidRPr="00F82F1D">
        <w:rPr>
          <w:snapToGrid/>
          <w:kern w:val="22"/>
          <w:szCs w:val="22"/>
        </w:rPr>
        <w:t>ee table</w:t>
      </w:r>
      <w:r w:rsidR="00885D83" w:rsidRPr="00F82F1D">
        <w:rPr>
          <w:snapToGrid/>
          <w:kern w:val="22"/>
          <w:szCs w:val="22"/>
        </w:rPr>
        <w:t> </w:t>
      </w:r>
      <w:r w:rsidRPr="00F82F1D">
        <w:rPr>
          <w:snapToGrid/>
          <w:kern w:val="22"/>
          <w:szCs w:val="22"/>
        </w:rPr>
        <w:t>1). The effect of having concurrent meetings was a reduction in the overall length of the meeting and an overall reduction in the number of plenary and working group sessions. However, during the concurrent meetings in 2016, there were, on average, slightly more working sessions per day. However</w:t>
      </w:r>
      <w:r w:rsidR="00885D83" w:rsidRPr="00F82F1D">
        <w:rPr>
          <w:snapToGrid/>
          <w:kern w:val="22"/>
          <w:szCs w:val="22"/>
        </w:rPr>
        <w:t>,</w:t>
      </w:r>
      <w:r w:rsidRPr="00F82F1D">
        <w:rPr>
          <w:snapToGrid/>
          <w:kern w:val="22"/>
          <w:szCs w:val="22"/>
        </w:rPr>
        <w:t xml:space="preserve"> when sessions of the high</w:t>
      </w:r>
      <w:r w:rsidR="0093215B" w:rsidRPr="00F82F1D">
        <w:rPr>
          <w:snapToGrid/>
          <w:kern w:val="22"/>
          <w:szCs w:val="22"/>
        </w:rPr>
        <w:t>-</w:t>
      </w:r>
      <w:r w:rsidRPr="00F82F1D">
        <w:rPr>
          <w:snapToGrid/>
          <w:kern w:val="22"/>
          <w:szCs w:val="22"/>
        </w:rPr>
        <w:t>level segment</w:t>
      </w:r>
      <w:r w:rsidR="00885D83" w:rsidRPr="00F82F1D">
        <w:rPr>
          <w:snapToGrid/>
          <w:kern w:val="22"/>
          <w:szCs w:val="22"/>
        </w:rPr>
        <w:t xml:space="preserve"> —</w:t>
      </w:r>
      <w:r w:rsidRPr="00F82F1D">
        <w:rPr>
          <w:snapToGrid/>
          <w:kern w:val="22"/>
          <w:szCs w:val="22"/>
        </w:rPr>
        <w:t xml:space="preserve"> which prior to the </w:t>
      </w:r>
      <w:r w:rsidR="00711853" w:rsidRPr="00F82F1D">
        <w:rPr>
          <w:snapToGrid/>
          <w:kern w:val="22"/>
          <w:szCs w:val="22"/>
        </w:rPr>
        <w:t>concurrent meetings of 2016</w:t>
      </w:r>
      <w:r w:rsidRPr="00F82F1D">
        <w:rPr>
          <w:snapToGrid/>
          <w:kern w:val="22"/>
          <w:szCs w:val="22"/>
        </w:rPr>
        <w:t xml:space="preserve"> were convened in parallel to the official meetings</w:t>
      </w:r>
      <w:r w:rsidR="00885D83" w:rsidRPr="00F82F1D">
        <w:rPr>
          <w:snapToGrid/>
          <w:kern w:val="22"/>
          <w:szCs w:val="22"/>
        </w:rPr>
        <w:t xml:space="preserve"> —</w:t>
      </w:r>
      <w:r w:rsidRPr="00F82F1D">
        <w:rPr>
          <w:snapToGrid/>
          <w:kern w:val="22"/>
          <w:szCs w:val="22"/>
        </w:rPr>
        <w:t xml:space="preserve"> are also considered</w:t>
      </w:r>
      <w:r w:rsidR="00885D83" w:rsidRPr="00F82F1D">
        <w:rPr>
          <w:snapToGrid/>
          <w:kern w:val="22"/>
          <w:szCs w:val="22"/>
        </w:rPr>
        <w:t>,</w:t>
      </w:r>
      <w:r w:rsidRPr="00F82F1D">
        <w:rPr>
          <w:snapToGrid/>
          <w:kern w:val="22"/>
          <w:szCs w:val="22"/>
        </w:rPr>
        <w:t xml:space="preserve"> there is no major differen</w:t>
      </w:r>
      <w:r w:rsidR="0093215B" w:rsidRPr="00F82F1D">
        <w:rPr>
          <w:snapToGrid/>
          <w:kern w:val="22"/>
          <w:szCs w:val="22"/>
        </w:rPr>
        <w:t>ce</w:t>
      </w:r>
      <w:r w:rsidRPr="00F82F1D">
        <w:rPr>
          <w:snapToGrid/>
          <w:kern w:val="22"/>
          <w:szCs w:val="22"/>
        </w:rPr>
        <w:t xml:space="preserve"> in the number of working sessions</w:t>
      </w:r>
      <w:r w:rsidR="0093215B" w:rsidRPr="00F82F1D">
        <w:rPr>
          <w:snapToGrid/>
          <w:kern w:val="22"/>
          <w:szCs w:val="22"/>
        </w:rPr>
        <w:t>.</w:t>
      </w:r>
    </w:p>
    <w:p w:rsidR="00742F79" w:rsidRPr="00F82F1D" w:rsidRDefault="00742F79" w:rsidP="00F82F1D">
      <w:pPr>
        <w:pStyle w:val="Para1"/>
        <w:suppressLineNumbers/>
        <w:tabs>
          <w:tab w:val="clear" w:pos="360"/>
        </w:tabs>
        <w:suppressAutoHyphens/>
        <w:kinsoku w:val="0"/>
        <w:overflowPunct w:val="0"/>
        <w:autoSpaceDE w:val="0"/>
        <w:autoSpaceDN w:val="0"/>
        <w:rPr>
          <w:snapToGrid/>
          <w:kern w:val="22"/>
          <w:szCs w:val="22"/>
        </w:rPr>
      </w:pPr>
      <w:r w:rsidRPr="00F82F1D">
        <w:rPr>
          <w:snapToGrid/>
          <w:kern w:val="22"/>
          <w:szCs w:val="22"/>
        </w:rPr>
        <w:t xml:space="preserve">The number of contact groups and friends of the chair meetings was greater during the concurrent meetings in 2016 than during most of the previous recent meetings of COP and COP-MOP, </w:t>
      </w:r>
      <w:r w:rsidR="009A1533" w:rsidRPr="00F82F1D">
        <w:rPr>
          <w:snapToGrid/>
          <w:kern w:val="22"/>
          <w:szCs w:val="22"/>
        </w:rPr>
        <w:t xml:space="preserve">albeit </w:t>
      </w:r>
      <w:r w:rsidRPr="00F82F1D">
        <w:rPr>
          <w:snapToGrid/>
          <w:kern w:val="22"/>
          <w:szCs w:val="22"/>
        </w:rPr>
        <w:t>lower than during COP</w:t>
      </w:r>
      <w:r w:rsidR="00912580" w:rsidRPr="00F82F1D">
        <w:rPr>
          <w:snapToGrid/>
          <w:kern w:val="22"/>
          <w:szCs w:val="22"/>
        </w:rPr>
        <w:t> </w:t>
      </w:r>
      <w:r w:rsidRPr="00F82F1D">
        <w:rPr>
          <w:snapToGrid/>
          <w:kern w:val="22"/>
          <w:szCs w:val="22"/>
        </w:rPr>
        <w:t xml:space="preserve">10. During the concurrent meetings in 2016, there were 76 meetings of contact groups and friends of the chair. There </w:t>
      </w:r>
      <w:r w:rsidR="00711853" w:rsidRPr="00F82F1D">
        <w:rPr>
          <w:snapToGrid/>
          <w:kern w:val="22"/>
          <w:szCs w:val="22"/>
        </w:rPr>
        <w:t xml:space="preserve">were </w:t>
      </w:r>
      <w:r w:rsidRPr="00F82F1D">
        <w:rPr>
          <w:snapToGrid/>
          <w:kern w:val="22"/>
          <w:szCs w:val="22"/>
        </w:rPr>
        <w:t xml:space="preserve">36 of these </w:t>
      </w:r>
      <w:r w:rsidR="00711853" w:rsidRPr="00F82F1D">
        <w:rPr>
          <w:snapToGrid/>
          <w:kern w:val="22"/>
          <w:szCs w:val="22"/>
        </w:rPr>
        <w:t xml:space="preserve">types of </w:t>
      </w:r>
      <w:r w:rsidRPr="00F82F1D">
        <w:rPr>
          <w:snapToGrid/>
          <w:kern w:val="22"/>
          <w:szCs w:val="22"/>
        </w:rPr>
        <w:t>meetings during COP</w:t>
      </w:r>
      <w:r w:rsidR="00912580" w:rsidRPr="00F82F1D">
        <w:rPr>
          <w:snapToGrid/>
          <w:kern w:val="22"/>
          <w:szCs w:val="22"/>
        </w:rPr>
        <w:t> </w:t>
      </w:r>
      <w:r w:rsidRPr="00F82F1D">
        <w:rPr>
          <w:snapToGrid/>
          <w:kern w:val="22"/>
          <w:szCs w:val="22"/>
        </w:rPr>
        <w:t>12, COP-MOP</w:t>
      </w:r>
      <w:r w:rsidR="00912580" w:rsidRPr="00F82F1D">
        <w:rPr>
          <w:snapToGrid/>
          <w:kern w:val="22"/>
          <w:szCs w:val="22"/>
        </w:rPr>
        <w:t> </w:t>
      </w:r>
      <w:r w:rsidRPr="00F82F1D">
        <w:rPr>
          <w:snapToGrid/>
          <w:kern w:val="22"/>
          <w:szCs w:val="22"/>
        </w:rPr>
        <w:t>7</w:t>
      </w:r>
      <w:r w:rsidR="00912580" w:rsidRPr="00F82F1D">
        <w:rPr>
          <w:snapToGrid/>
          <w:kern w:val="22"/>
          <w:szCs w:val="22"/>
        </w:rPr>
        <w:t xml:space="preserve"> to the Cartagena Protocol</w:t>
      </w:r>
      <w:r w:rsidRPr="00F82F1D">
        <w:rPr>
          <w:snapToGrid/>
          <w:kern w:val="22"/>
          <w:szCs w:val="22"/>
        </w:rPr>
        <w:t xml:space="preserve"> and COP-MOP</w:t>
      </w:r>
      <w:r w:rsidR="00912580" w:rsidRPr="00F82F1D">
        <w:rPr>
          <w:snapToGrid/>
          <w:kern w:val="22"/>
          <w:szCs w:val="22"/>
        </w:rPr>
        <w:t> </w:t>
      </w:r>
      <w:r w:rsidRPr="00F82F1D">
        <w:rPr>
          <w:snapToGrid/>
          <w:kern w:val="22"/>
          <w:szCs w:val="22"/>
        </w:rPr>
        <w:t>1</w:t>
      </w:r>
      <w:r w:rsidR="00912580" w:rsidRPr="00F82F1D">
        <w:rPr>
          <w:snapToGrid/>
          <w:kern w:val="22"/>
          <w:szCs w:val="22"/>
        </w:rPr>
        <w:t xml:space="preserve"> to the Nagoya Protocol</w:t>
      </w:r>
      <w:r w:rsidRPr="00F82F1D">
        <w:rPr>
          <w:snapToGrid/>
          <w:kern w:val="22"/>
          <w:szCs w:val="22"/>
        </w:rPr>
        <w:t>, while during COP</w:t>
      </w:r>
      <w:r w:rsidR="00912580" w:rsidRPr="00F82F1D">
        <w:rPr>
          <w:snapToGrid/>
          <w:kern w:val="22"/>
          <w:szCs w:val="22"/>
        </w:rPr>
        <w:t> </w:t>
      </w:r>
      <w:r w:rsidRPr="00F82F1D">
        <w:rPr>
          <w:snapToGrid/>
          <w:kern w:val="22"/>
          <w:szCs w:val="22"/>
        </w:rPr>
        <w:t>11 and COP-MOP</w:t>
      </w:r>
      <w:r w:rsidR="00912580" w:rsidRPr="00F82F1D">
        <w:rPr>
          <w:snapToGrid/>
          <w:kern w:val="22"/>
          <w:szCs w:val="22"/>
        </w:rPr>
        <w:t> </w:t>
      </w:r>
      <w:r w:rsidRPr="00F82F1D">
        <w:rPr>
          <w:snapToGrid/>
          <w:kern w:val="22"/>
          <w:szCs w:val="22"/>
        </w:rPr>
        <w:t>6 there were 42. During COP</w:t>
      </w:r>
      <w:r w:rsidR="00912580" w:rsidRPr="00F82F1D">
        <w:rPr>
          <w:snapToGrid/>
          <w:kern w:val="22"/>
          <w:szCs w:val="22"/>
        </w:rPr>
        <w:t> </w:t>
      </w:r>
      <w:r w:rsidRPr="00F82F1D">
        <w:rPr>
          <w:snapToGrid/>
          <w:kern w:val="22"/>
          <w:szCs w:val="22"/>
        </w:rPr>
        <w:t>10 and COP-MOP</w:t>
      </w:r>
      <w:r w:rsidR="00912580" w:rsidRPr="00F82F1D">
        <w:rPr>
          <w:snapToGrid/>
          <w:kern w:val="22"/>
          <w:szCs w:val="22"/>
        </w:rPr>
        <w:t> </w:t>
      </w:r>
      <w:r w:rsidRPr="00F82F1D">
        <w:rPr>
          <w:snapToGrid/>
          <w:kern w:val="22"/>
          <w:szCs w:val="22"/>
        </w:rPr>
        <w:t>5</w:t>
      </w:r>
      <w:r w:rsidR="006628B4" w:rsidRPr="00F82F1D">
        <w:rPr>
          <w:snapToGrid/>
          <w:kern w:val="22"/>
          <w:szCs w:val="22"/>
        </w:rPr>
        <w:t>,</w:t>
      </w:r>
      <w:r w:rsidRPr="00F82F1D">
        <w:rPr>
          <w:snapToGrid/>
          <w:kern w:val="22"/>
          <w:szCs w:val="22"/>
        </w:rPr>
        <w:t xml:space="preserve"> there were 116 contact groups and friends of the chair. Part of the reason for this large number is that the negotiations at COP</w:t>
      </w:r>
      <w:r w:rsidR="00912580" w:rsidRPr="00F82F1D">
        <w:rPr>
          <w:snapToGrid/>
          <w:kern w:val="22"/>
          <w:szCs w:val="22"/>
        </w:rPr>
        <w:t> </w:t>
      </w:r>
      <w:r w:rsidRPr="00F82F1D">
        <w:rPr>
          <w:snapToGrid/>
          <w:kern w:val="22"/>
          <w:szCs w:val="22"/>
        </w:rPr>
        <w:t>10 involved the finalization and adoption of the Nagoya Protocol, the Strategic Plan for Biodiversity 2011-2020, and the Strategic Plan for the Cartagena Protocol 2011-2020</w:t>
      </w:r>
      <w:r w:rsidR="00E605D7" w:rsidRPr="00F82F1D">
        <w:rPr>
          <w:snapToGrid/>
          <w:kern w:val="22"/>
          <w:szCs w:val="22"/>
        </w:rPr>
        <w:t xml:space="preserve"> as well as discussions on the strategy for resource mobilization</w:t>
      </w:r>
      <w:r w:rsidRPr="00F82F1D">
        <w:rPr>
          <w:snapToGrid/>
          <w:kern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3"/>
        <w:gridCol w:w="1134"/>
        <w:gridCol w:w="1134"/>
        <w:gridCol w:w="1057"/>
        <w:gridCol w:w="1170"/>
        <w:gridCol w:w="1332"/>
      </w:tblGrid>
      <w:tr w:rsidR="00742F79" w:rsidRPr="00F82F1D" w:rsidTr="00F82F1D">
        <w:trPr>
          <w:cantSplit/>
          <w:trHeight w:val="291"/>
        </w:trPr>
        <w:tc>
          <w:tcPr>
            <w:tcW w:w="6858" w:type="dxa"/>
            <w:gridSpan w:val="4"/>
            <w:tcBorders>
              <w:top w:val="nil"/>
              <w:left w:val="nil"/>
              <w:right w:val="nil"/>
            </w:tcBorders>
            <w:shd w:val="clear" w:color="auto" w:fill="auto"/>
          </w:tcPr>
          <w:p w:rsidR="00742F79" w:rsidRPr="00F82F1D" w:rsidRDefault="00742F79" w:rsidP="00F82F1D">
            <w:pPr>
              <w:keepNext/>
              <w:keepLines/>
              <w:suppressLineNumbers/>
              <w:suppressAutoHyphens/>
              <w:kinsoku w:val="0"/>
              <w:overflowPunct w:val="0"/>
              <w:autoSpaceDE w:val="0"/>
              <w:autoSpaceDN w:val="0"/>
              <w:jc w:val="left"/>
              <w:rPr>
                <w:b/>
                <w:kern w:val="22"/>
                <w:szCs w:val="22"/>
              </w:rPr>
            </w:pPr>
            <w:r w:rsidRPr="00F82F1D">
              <w:rPr>
                <w:b/>
                <w:kern w:val="22"/>
                <w:szCs w:val="22"/>
              </w:rPr>
              <w:lastRenderedPageBreak/>
              <w:t>Table 1</w:t>
            </w:r>
            <w:r w:rsidR="008214DE" w:rsidRPr="00F82F1D">
              <w:rPr>
                <w:b/>
                <w:kern w:val="22"/>
                <w:szCs w:val="22"/>
              </w:rPr>
              <w:t>.</w:t>
            </w:r>
            <w:r w:rsidRPr="00F82F1D">
              <w:rPr>
                <w:b/>
                <w:kern w:val="22"/>
                <w:szCs w:val="22"/>
              </w:rPr>
              <w:t xml:space="preserve"> Number of sessions per meeting</w:t>
            </w:r>
          </w:p>
        </w:tc>
        <w:tc>
          <w:tcPr>
            <w:tcW w:w="1170" w:type="dxa"/>
            <w:tcBorders>
              <w:top w:val="nil"/>
              <w:left w:val="nil"/>
              <w:right w:val="nil"/>
            </w:tcBorders>
            <w:shd w:val="clear" w:color="auto" w:fill="auto"/>
          </w:tcPr>
          <w:p w:rsidR="00742F79" w:rsidRPr="00F82F1D" w:rsidRDefault="00742F79" w:rsidP="00F82F1D">
            <w:pPr>
              <w:suppressLineNumbers/>
              <w:suppressAutoHyphens/>
              <w:kinsoku w:val="0"/>
              <w:overflowPunct w:val="0"/>
              <w:autoSpaceDE w:val="0"/>
              <w:autoSpaceDN w:val="0"/>
              <w:jc w:val="left"/>
              <w:rPr>
                <w:b/>
                <w:i/>
                <w:iCs/>
                <w:kern w:val="22"/>
                <w:szCs w:val="22"/>
              </w:rPr>
            </w:pPr>
          </w:p>
        </w:tc>
        <w:tc>
          <w:tcPr>
            <w:tcW w:w="1332" w:type="dxa"/>
            <w:tcBorders>
              <w:top w:val="nil"/>
              <w:left w:val="nil"/>
              <w:right w:val="nil"/>
            </w:tcBorders>
            <w:shd w:val="clear" w:color="auto" w:fill="auto"/>
          </w:tcPr>
          <w:p w:rsidR="00742F79" w:rsidRPr="00F82F1D" w:rsidRDefault="00742F79" w:rsidP="00F82F1D">
            <w:pPr>
              <w:suppressLineNumbers/>
              <w:suppressAutoHyphens/>
              <w:kinsoku w:val="0"/>
              <w:overflowPunct w:val="0"/>
              <w:autoSpaceDE w:val="0"/>
              <w:autoSpaceDN w:val="0"/>
              <w:jc w:val="left"/>
              <w:rPr>
                <w:b/>
                <w:i/>
                <w:iCs/>
                <w:kern w:val="22"/>
                <w:szCs w:val="22"/>
              </w:rPr>
            </w:pPr>
          </w:p>
        </w:tc>
      </w:tr>
      <w:tr w:rsidR="00742F79" w:rsidRPr="00F82F1D" w:rsidTr="00F82F1D">
        <w:trPr>
          <w:cantSplit/>
          <w:trHeight w:val="291"/>
        </w:trPr>
        <w:tc>
          <w:tcPr>
            <w:tcW w:w="3533" w:type="dxa"/>
            <w:shd w:val="clear" w:color="auto" w:fill="auto"/>
          </w:tcPr>
          <w:p w:rsidR="00742F79" w:rsidRPr="00F82F1D" w:rsidRDefault="00742F79" w:rsidP="00F82F1D">
            <w:pPr>
              <w:suppressLineNumbers/>
              <w:suppressAutoHyphens/>
              <w:kinsoku w:val="0"/>
              <w:overflowPunct w:val="0"/>
              <w:autoSpaceDE w:val="0"/>
              <w:autoSpaceDN w:val="0"/>
              <w:spacing w:before="40" w:after="40"/>
              <w:jc w:val="center"/>
              <w:rPr>
                <w:i/>
                <w:iCs/>
                <w:kern w:val="22"/>
                <w:szCs w:val="22"/>
              </w:rPr>
            </w:pPr>
            <w:r w:rsidRPr="00F82F1D">
              <w:rPr>
                <w:i/>
                <w:iCs/>
                <w:kern w:val="22"/>
                <w:szCs w:val="22"/>
              </w:rPr>
              <w:t>Meetings</w:t>
            </w:r>
          </w:p>
        </w:tc>
        <w:tc>
          <w:tcPr>
            <w:tcW w:w="1134" w:type="dxa"/>
            <w:shd w:val="clear" w:color="auto" w:fill="auto"/>
          </w:tcPr>
          <w:p w:rsidR="00742F79" w:rsidRPr="00F82F1D" w:rsidRDefault="00742F79" w:rsidP="00F82F1D">
            <w:pPr>
              <w:suppressLineNumbers/>
              <w:suppressAutoHyphens/>
              <w:kinsoku w:val="0"/>
              <w:overflowPunct w:val="0"/>
              <w:autoSpaceDE w:val="0"/>
              <w:autoSpaceDN w:val="0"/>
              <w:spacing w:before="40" w:after="40"/>
              <w:jc w:val="center"/>
              <w:rPr>
                <w:i/>
                <w:iCs/>
                <w:kern w:val="22"/>
                <w:szCs w:val="22"/>
              </w:rPr>
            </w:pPr>
            <w:r w:rsidRPr="00F82F1D">
              <w:rPr>
                <w:i/>
                <w:iCs/>
                <w:kern w:val="22"/>
                <w:szCs w:val="22"/>
              </w:rPr>
              <w:t>Length of meetings (days)</w:t>
            </w:r>
          </w:p>
        </w:tc>
        <w:tc>
          <w:tcPr>
            <w:tcW w:w="1134" w:type="dxa"/>
            <w:shd w:val="clear" w:color="auto" w:fill="auto"/>
          </w:tcPr>
          <w:p w:rsidR="00742F79" w:rsidRPr="00F82F1D" w:rsidRDefault="00742F79" w:rsidP="00F82F1D">
            <w:pPr>
              <w:suppressLineNumbers/>
              <w:suppressAutoHyphens/>
              <w:kinsoku w:val="0"/>
              <w:overflowPunct w:val="0"/>
              <w:autoSpaceDE w:val="0"/>
              <w:autoSpaceDN w:val="0"/>
              <w:spacing w:before="40" w:after="40"/>
              <w:jc w:val="center"/>
              <w:rPr>
                <w:i/>
                <w:iCs/>
                <w:kern w:val="22"/>
                <w:szCs w:val="22"/>
              </w:rPr>
            </w:pPr>
            <w:r w:rsidRPr="00F82F1D">
              <w:rPr>
                <w:i/>
                <w:iCs/>
                <w:kern w:val="22"/>
                <w:szCs w:val="22"/>
              </w:rPr>
              <w:t>Number of plenary and working group sessions</w:t>
            </w:r>
            <w:r w:rsidRPr="00F82F1D">
              <w:rPr>
                <w:rStyle w:val="FootnoteReference"/>
                <w:kern w:val="22"/>
                <w:sz w:val="22"/>
                <w:szCs w:val="22"/>
                <w:u w:val="none"/>
                <w:vertAlign w:val="superscript"/>
              </w:rPr>
              <w:footnoteReference w:id="13"/>
            </w:r>
          </w:p>
        </w:tc>
        <w:tc>
          <w:tcPr>
            <w:tcW w:w="1057" w:type="dxa"/>
            <w:shd w:val="clear" w:color="auto" w:fill="auto"/>
          </w:tcPr>
          <w:p w:rsidR="00742F79" w:rsidRPr="00F82F1D" w:rsidRDefault="00742F79" w:rsidP="00F82F1D">
            <w:pPr>
              <w:suppressLineNumbers/>
              <w:suppressAutoHyphens/>
              <w:kinsoku w:val="0"/>
              <w:overflowPunct w:val="0"/>
              <w:autoSpaceDE w:val="0"/>
              <w:autoSpaceDN w:val="0"/>
              <w:spacing w:before="40" w:after="40"/>
              <w:jc w:val="center"/>
              <w:rPr>
                <w:i/>
                <w:iCs/>
                <w:kern w:val="22"/>
                <w:szCs w:val="22"/>
              </w:rPr>
            </w:pPr>
            <w:r w:rsidRPr="00F82F1D">
              <w:rPr>
                <w:i/>
                <w:iCs/>
                <w:kern w:val="22"/>
                <w:szCs w:val="22"/>
              </w:rPr>
              <w:t>Average number of sessions per day</w:t>
            </w:r>
          </w:p>
        </w:tc>
        <w:tc>
          <w:tcPr>
            <w:tcW w:w="1170" w:type="dxa"/>
            <w:shd w:val="clear" w:color="auto" w:fill="auto"/>
          </w:tcPr>
          <w:p w:rsidR="00742F79" w:rsidRPr="00F82F1D" w:rsidRDefault="00742F79" w:rsidP="00F82F1D">
            <w:pPr>
              <w:suppressLineNumbers/>
              <w:suppressAutoHyphens/>
              <w:kinsoku w:val="0"/>
              <w:overflowPunct w:val="0"/>
              <w:autoSpaceDE w:val="0"/>
              <w:autoSpaceDN w:val="0"/>
              <w:spacing w:before="40" w:after="40"/>
              <w:jc w:val="center"/>
              <w:rPr>
                <w:i/>
                <w:iCs/>
                <w:kern w:val="22"/>
                <w:szCs w:val="22"/>
              </w:rPr>
            </w:pPr>
            <w:r w:rsidRPr="00F82F1D">
              <w:rPr>
                <w:i/>
                <w:iCs/>
                <w:kern w:val="22"/>
                <w:szCs w:val="22"/>
              </w:rPr>
              <w:t>Number of contact groups and friends of the chair</w:t>
            </w:r>
          </w:p>
        </w:tc>
        <w:tc>
          <w:tcPr>
            <w:tcW w:w="1332" w:type="dxa"/>
            <w:shd w:val="clear" w:color="auto" w:fill="auto"/>
          </w:tcPr>
          <w:p w:rsidR="00742F79" w:rsidRPr="00F82F1D" w:rsidRDefault="00742F79" w:rsidP="00F82F1D">
            <w:pPr>
              <w:suppressLineNumbers/>
              <w:suppressAutoHyphens/>
              <w:kinsoku w:val="0"/>
              <w:overflowPunct w:val="0"/>
              <w:autoSpaceDE w:val="0"/>
              <w:autoSpaceDN w:val="0"/>
              <w:spacing w:before="40" w:after="40"/>
              <w:jc w:val="center"/>
              <w:rPr>
                <w:i/>
                <w:iCs/>
                <w:kern w:val="22"/>
                <w:szCs w:val="22"/>
              </w:rPr>
            </w:pPr>
            <w:r w:rsidRPr="00F82F1D">
              <w:rPr>
                <w:i/>
                <w:iCs/>
                <w:kern w:val="22"/>
                <w:szCs w:val="22"/>
              </w:rPr>
              <w:t>Average number of contact groups and friends of the chair per day</w:t>
            </w:r>
          </w:p>
        </w:tc>
      </w:tr>
      <w:tr w:rsidR="00742F79" w:rsidRPr="00F82F1D" w:rsidTr="00F82F1D">
        <w:trPr>
          <w:cantSplit/>
        </w:trPr>
        <w:tc>
          <w:tcPr>
            <w:tcW w:w="3533" w:type="dxa"/>
            <w:shd w:val="clear" w:color="auto" w:fill="auto"/>
          </w:tcPr>
          <w:p w:rsidR="00742F79" w:rsidRPr="00F82F1D" w:rsidRDefault="00742F79" w:rsidP="00F82F1D">
            <w:pPr>
              <w:suppressLineNumbers/>
              <w:suppressAutoHyphens/>
              <w:kinsoku w:val="0"/>
              <w:overflowPunct w:val="0"/>
              <w:autoSpaceDE w:val="0"/>
              <w:autoSpaceDN w:val="0"/>
              <w:spacing w:before="40" w:after="40"/>
              <w:jc w:val="left"/>
              <w:rPr>
                <w:kern w:val="22"/>
                <w:szCs w:val="22"/>
              </w:rPr>
            </w:pPr>
            <w:r w:rsidRPr="00F82F1D">
              <w:rPr>
                <w:kern w:val="22"/>
                <w:szCs w:val="22"/>
              </w:rPr>
              <w:t>COP 9, COP-MOP 4</w:t>
            </w:r>
          </w:p>
        </w:tc>
        <w:tc>
          <w:tcPr>
            <w:tcW w:w="1134" w:type="dxa"/>
            <w:shd w:val="clear" w:color="auto" w:fill="auto"/>
          </w:tcPr>
          <w:p w:rsidR="00742F79" w:rsidRPr="00F82F1D" w:rsidRDefault="00742F79" w:rsidP="00F82F1D">
            <w:pPr>
              <w:suppressLineNumbers/>
              <w:suppressAutoHyphens/>
              <w:kinsoku w:val="0"/>
              <w:overflowPunct w:val="0"/>
              <w:autoSpaceDE w:val="0"/>
              <w:autoSpaceDN w:val="0"/>
              <w:spacing w:before="40" w:after="40"/>
              <w:jc w:val="center"/>
              <w:rPr>
                <w:kern w:val="22"/>
                <w:szCs w:val="22"/>
              </w:rPr>
            </w:pPr>
            <w:r w:rsidRPr="00F82F1D">
              <w:rPr>
                <w:kern w:val="22"/>
                <w:szCs w:val="22"/>
              </w:rPr>
              <w:t>15</w:t>
            </w:r>
          </w:p>
        </w:tc>
        <w:tc>
          <w:tcPr>
            <w:tcW w:w="1134" w:type="dxa"/>
            <w:shd w:val="clear" w:color="auto" w:fill="auto"/>
          </w:tcPr>
          <w:p w:rsidR="00742F79" w:rsidRPr="00F82F1D" w:rsidRDefault="00742F79" w:rsidP="00F82F1D">
            <w:pPr>
              <w:suppressLineNumbers/>
              <w:suppressAutoHyphens/>
              <w:kinsoku w:val="0"/>
              <w:overflowPunct w:val="0"/>
              <w:autoSpaceDE w:val="0"/>
              <w:autoSpaceDN w:val="0"/>
              <w:spacing w:before="40" w:after="40"/>
              <w:jc w:val="center"/>
              <w:rPr>
                <w:kern w:val="22"/>
                <w:szCs w:val="22"/>
              </w:rPr>
            </w:pPr>
            <w:r w:rsidRPr="00F82F1D">
              <w:rPr>
                <w:kern w:val="22"/>
                <w:szCs w:val="22"/>
              </w:rPr>
              <w:t>52</w:t>
            </w:r>
          </w:p>
        </w:tc>
        <w:tc>
          <w:tcPr>
            <w:tcW w:w="1057" w:type="dxa"/>
            <w:shd w:val="clear" w:color="auto" w:fill="auto"/>
          </w:tcPr>
          <w:p w:rsidR="00742F79" w:rsidRPr="00F82F1D" w:rsidRDefault="00742F79" w:rsidP="00F82F1D">
            <w:pPr>
              <w:suppressLineNumbers/>
              <w:suppressAutoHyphens/>
              <w:kinsoku w:val="0"/>
              <w:overflowPunct w:val="0"/>
              <w:autoSpaceDE w:val="0"/>
              <w:autoSpaceDN w:val="0"/>
              <w:spacing w:before="40" w:after="40"/>
              <w:jc w:val="center"/>
              <w:rPr>
                <w:kern w:val="22"/>
                <w:szCs w:val="22"/>
              </w:rPr>
            </w:pPr>
            <w:r w:rsidRPr="00F82F1D">
              <w:rPr>
                <w:kern w:val="22"/>
                <w:szCs w:val="22"/>
              </w:rPr>
              <w:t>3.4</w:t>
            </w:r>
          </w:p>
        </w:tc>
        <w:tc>
          <w:tcPr>
            <w:tcW w:w="1170" w:type="dxa"/>
            <w:shd w:val="clear" w:color="auto" w:fill="auto"/>
          </w:tcPr>
          <w:p w:rsidR="00742F79" w:rsidRPr="00F82F1D" w:rsidRDefault="00742F79" w:rsidP="00F82F1D">
            <w:pPr>
              <w:suppressLineNumbers/>
              <w:suppressAutoHyphens/>
              <w:kinsoku w:val="0"/>
              <w:overflowPunct w:val="0"/>
              <w:autoSpaceDE w:val="0"/>
              <w:autoSpaceDN w:val="0"/>
              <w:spacing w:before="40" w:after="40"/>
              <w:jc w:val="center"/>
              <w:rPr>
                <w:kern w:val="22"/>
                <w:szCs w:val="22"/>
              </w:rPr>
            </w:pPr>
            <w:r w:rsidRPr="00F82F1D">
              <w:rPr>
                <w:kern w:val="22"/>
                <w:szCs w:val="22"/>
              </w:rPr>
              <w:t>NA</w:t>
            </w:r>
          </w:p>
        </w:tc>
        <w:tc>
          <w:tcPr>
            <w:tcW w:w="1332" w:type="dxa"/>
            <w:shd w:val="clear" w:color="auto" w:fill="auto"/>
          </w:tcPr>
          <w:p w:rsidR="00742F79" w:rsidRPr="00F82F1D" w:rsidRDefault="00742F79" w:rsidP="00F82F1D">
            <w:pPr>
              <w:suppressLineNumbers/>
              <w:suppressAutoHyphens/>
              <w:kinsoku w:val="0"/>
              <w:overflowPunct w:val="0"/>
              <w:autoSpaceDE w:val="0"/>
              <w:autoSpaceDN w:val="0"/>
              <w:spacing w:before="40" w:after="40"/>
              <w:jc w:val="center"/>
              <w:rPr>
                <w:kern w:val="22"/>
                <w:szCs w:val="22"/>
              </w:rPr>
            </w:pPr>
            <w:r w:rsidRPr="00F82F1D">
              <w:rPr>
                <w:kern w:val="22"/>
                <w:szCs w:val="22"/>
              </w:rPr>
              <w:t>NA</w:t>
            </w:r>
          </w:p>
        </w:tc>
      </w:tr>
      <w:tr w:rsidR="00742F79" w:rsidRPr="00F82F1D" w:rsidTr="00F82F1D">
        <w:trPr>
          <w:cantSplit/>
        </w:trPr>
        <w:tc>
          <w:tcPr>
            <w:tcW w:w="3533" w:type="dxa"/>
            <w:shd w:val="clear" w:color="auto" w:fill="auto"/>
          </w:tcPr>
          <w:p w:rsidR="00742F79" w:rsidRPr="00F82F1D" w:rsidRDefault="00742F79" w:rsidP="00F82F1D">
            <w:pPr>
              <w:suppressLineNumbers/>
              <w:suppressAutoHyphens/>
              <w:kinsoku w:val="0"/>
              <w:overflowPunct w:val="0"/>
              <w:autoSpaceDE w:val="0"/>
              <w:autoSpaceDN w:val="0"/>
              <w:spacing w:before="40" w:after="40"/>
              <w:jc w:val="left"/>
              <w:rPr>
                <w:kern w:val="22"/>
                <w:szCs w:val="22"/>
              </w:rPr>
            </w:pPr>
            <w:r w:rsidRPr="00F82F1D">
              <w:rPr>
                <w:kern w:val="22"/>
                <w:szCs w:val="22"/>
              </w:rPr>
              <w:t>COP 10, COP-MOP 5</w:t>
            </w:r>
          </w:p>
        </w:tc>
        <w:tc>
          <w:tcPr>
            <w:tcW w:w="1134" w:type="dxa"/>
            <w:shd w:val="clear" w:color="auto" w:fill="auto"/>
          </w:tcPr>
          <w:p w:rsidR="00742F79" w:rsidRPr="00F82F1D" w:rsidRDefault="00742F79" w:rsidP="00F82F1D">
            <w:pPr>
              <w:suppressLineNumbers/>
              <w:suppressAutoHyphens/>
              <w:kinsoku w:val="0"/>
              <w:overflowPunct w:val="0"/>
              <w:autoSpaceDE w:val="0"/>
              <w:autoSpaceDN w:val="0"/>
              <w:spacing w:before="40" w:after="40"/>
              <w:jc w:val="center"/>
              <w:rPr>
                <w:kern w:val="22"/>
                <w:szCs w:val="22"/>
              </w:rPr>
            </w:pPr>
            <w:r w:rsidRPr="00F82F1D">
              <w:rPr>
                <w:kern w:val="22"/>
                <w:szCs w:val="22"/>
              </w:rPr>
              <w:t>15</w:t>
            </w:r>
          </w:p>
        </w:tc>
        <w:tc>
          <w:tcPr>
            <w:tcW w:w="1134" w:type="dxa"/>
            <w:shd w:val="clear" w:color="auto" w:fill="auto"/>
          </w:tcPr>
          <w:p w:rsidR="00742F79" w:rsidRPr="00F82F1D" w:rsidRDefault="00742F79" w:rsidP="00F82F1D">
            <w:pPr>
              <w:suppressLineNumbers/>
              <w:suppressAutoHyphens/>
              <w:kinsoku w:val="0"/>
              <w:overflowPunct w:val="0"/>
              <w:autoSpaceDE w:val="0"/>
              <w:autoSpaceDN w:val="0"/>
              <w:spacing w:before="40" w:after="40"/>
              <w:jc w:val="center"/>
              <w:rPr>
                <w:kern w:val="22"/>
                <w:szCs w:val="22"/>
              </w:rPr>
            </w:pPr>
            <w:r w:rsidRPr="00F82F1D">
              <w:rPr>
                <w:kern w:val="22"/>
                <w:szCs w:val="22"/>
              </w:rPr>
              <w:t>56</w:t>
            </w:r>
          </w:p>
        </w:tc>
        <w:tc>
          <w:tcPr>
            <w:tcW w:w="1057" w:type="dxa"/>
            <w:shd w:val="clear" w:color="auto" w:fill="auto"/>
          </w:tcPr>
          <w:p w:rsidR="00742F79" w:rsidRPr="00F82F1D" w:rsidRDefault="00742F79" w:rsidP="00F82F1D">
            <w:pPr>
              <w:suppressLineNumbers/>
              <w:suppressAutoHyphens/>
              <w:kinsoku w:val="0"/>
              <w:overflowPunct w:val="0"/>
              <w:autoSpaceDE w:val="0"/>
              <w:autoSpaceDN w:val="0"/>
              <w:spacing w:before="40" w:after="40"/>
              <w:jc w:val="center"/>
              <w:rPr>
                <w:kern w:val="22"/>
                <w:szCs w:val="22"/>
              </w:rPr>
            </w:pPr>
            <w:r w:rsidRPr="00F82F1D">
              <w:rPr>
                <w:kern w:val="22"/>
                <w:szCs w:val="22"/>
              </w:rPr>
              <w:t>3.7</w:t>
            </w:r>
          </w:p>
        </w:tc>
        <w:tc>
          <w:tcPr>
            <w:tcW w:w="1170" w:type="dxa"/>
            <w:shd w:val="clear" w:color="auto" w:fill="auto"/>
          </w:tcPr>
          <w:p w:rsidR="00742F79" w:rsidRPr="00F82F1D" w:rsidRDefault="00742F79" w:rsidP="00F82F1D">
            <w:pPr>
              <w:suppressLineNumbers/>
              <w:suppressAutoHyphens/>
              <w:kinsoku w:val="0"/>
              <w:overflowPunct w:val="0"/>
              <w:autoSpaceDE w:val="0"/>
              <w:autoSpaceDN w:val="0"/>
              <w:spacing w:before="40" w:after="40"/>
              <w:jc w:val="center"/>
              <w:rPr>
                <w:kern w:val="22"/>
                <w:szCs w:val="22"/>
              </w:rPr>
            </w:pPr>
            <w:r w:rsidRPr="00F82F1D">
              <w:rPr>
                <w:kern w:val="22"/>
                <w:szCs w:val="22"/>
              </w:rPr>
              <w:t>116</w:t>
            </w:r>
          </w:p>
        </w:tc>
        <w:tc>
          <w:tcPr>
            <w:tcW w:w="1332" w:type="dxa"/>
            <w:shd w:val="clear" w:color="auto" w:fill="auto"/>
          </w:tcPr>
          <w:p w:rsidR="00742F79" w:rsidRPr="00F82F1D" w:rsidRDefault="00742F79" w:rsidP="00F82F1D">
            <w:pPr>
              <w:suppressLineNumbers/>
              <w:suppressAutoHyphens/>
              <w:kinsoku w:val="0"/>
              <w:overflowPunct w:val="0"/>
              <w:autoSpaceDE w:val="0"/>
              <w:autoSpaceDN w:val="0"/>
              <w:spacing w:before="40" w:after="40"/>
              <w:jc w:val="center"/>
              <w:rPr>
                <w:kern w:val="22"/>
                <w:szCs w:val="22"/>
              </w:rPr>
            </w:pPr>
            <w:r w:rsidRPr="00F82F1D">
              <w:rPr>
                <w:kern w:val="22"/>
                <w:szCs w:val="22"/>
              </w:rPr>
              <w:t>7.7</w:t>
            </w:r>
          </w:p>
        </w:tc>
      </w:tr>
      <w:tr w:rsidR="00742F79" w:rsidRPr="00F82F1D" w:rsidTr="00F82F1D">
        <w:trPr>
          <w:cantSplit/>
        </w:trPr>
        <w:tc>
          <w:tcPr>
            <w:tcW w:w="3533" w:type="dxa"/>
            <w:shd w:val="clear" w:color="auto" w:fill="auto"/>
          </w:tcPr>
          <w:p w:rsidR="00742F79" w:rsidRPr="00F82F1D" w:rsidRDefault="00742F79" w:rsidP="00F82F1D">
            <w:pPr>
              <w:suppressLineNumbers/>
              <w:suppressAutoHyphens/>
              <w:kinsoku w:val="0"/>
              <w:overflowPunct w:val="0"/>
              <w:autoSpaceDE w:val="0"/>
              <w:autoSpaceDN w:val="0"/>
              <w:spacing w:before="40" w:after="40"/>
              <w:jc w:val="left"/>
              <w:rPr>
                <w:kern w:val="22"/>
                <w:szCs w:val="22"/>
              </w:rPr>
            </w:pPr>
            <w:r w:rsidRPr="00F82F1D">
              <w:rPr>
                <w:kern w:val="22"/>
                <w:szCs w:val="22"/>
              </w:rPr>
              <w:t>COP 11, COP-MOP 6</w:t>
            </w:r>
          </w:p>
        </w:tc>
        <w:tc>
          <w:tcPr>
            <w:tcW w:w="1134" w:type="dxa"/>
            <w:shd w:val="clear" w:color="auto" w:fill="auto"/>
          </w:tcPr>
          <w:p w:rsidR="00742F79" w:rsidRPr="00F82F1D" w:rsidRDefault="00742F79" w:rsidP="00F82F1D">
            <w:pPr>
              <w:suppressLineNumbers/>
              <w:suppressAutoHyphens/>
              <w:kinsoku w:val="0"/>
              <w:overflowPunct w:val="0"/>
              <w:autoSpaceDE w:val="0"/>
              <w:autoSpaceDN w:val="0"/>
              <w:spacing w:before="40" w:after="40"/>
              <w:jc w:val="center"/>
              <w:rPr>
                <w:kern w:val="22"/>
                <w:szCs w:val="22"/>
              </w:rPr>
            </w:pPr>
            <w:r w:rsidRPr="00F82F1D">
              <w:rPr>
                <w:kern w:val="22"/>
                <w:szCs w:val="22"/>
              </w:rPr>
              <w:t>15</w:t>
            </w:r>
          </w:p>
        </w:tc>
        <w:tc>
          <w:tcPr>
            <w:tcW w:w="1134" w:type="dxa"/>
            <w:shd w:val="clear" w:color="auto" w:fill="auto"/>
          </w:tcPr>
          <w:p w:rsidR="00742F79" w:rsidRPr="00F82F1D" w:rsidRDefault="00742F79" w:rsidP="00F82F1D">
            <w:pPr>
              <w:suppressLineNumbers/>
              <w:suppressAutoHyphens/>
              <w:kinsoku w:val="0"/>
              <w:overflowPunct w:val="0"/>
              <w:autoSpaceDE w:val="0"/>
              <w:autoSpaceDN w:val="0"/>
              <w:spacing w:before="40" w:after="40"/>
              <w:jc w:val="center"/>
              <w:rPr>
                <w:kern w:val="22"/>
                <w:szCs w:val="22"/>
              </w:rPr>
            </w:pPr>
            <w:r w:rsidRPr="00F82F1D">
              <w:rPr>
                <w:kern w:val="22"/>
                <w:szCs w:val="22"/>
              </w:rPr>
              <w:t>51</w:t>
            </w:r>
          </w:p>
        </w:tc>
        <w:tc>
          <w:tcPr>
            <w:tcW w:w="1057" w:type="dxa"/>
            <w:shd w:val="clear" w:color="auto" w:fill="auto"/>
          </w:tcPr>
          <w:p w:rsidR="00742F79" w:rsidRPr="00F82F1D" w:rsidRDefault="00742F79" w:rsidP="00F82F1D">
            <w:pPr>
              <w:suppressLineNumbers/>
              <w:suppressAutoHyphens/>
              <w:kinsoku w:val="0"/>
              <w:overflowPunct w:val="0"/>
              <w:autoSpaceDE w:val="0"/>
              <w:autoSpaceDN w:val="0"/>
              <w:spacing w:before="40" w:after="40"/>
              <w:jc w:val="center"/>
              <w:rPr>
                <w:kern w:val="22"/>
                <w:szCs w:val="22"/>
              </w:rPr>
            </w:pPr>
            <w:r w:rsidRPr="00F82F1D">
              <w:rPr>
                <w:kern w:val="22"/>
                <w:szCs w:val="22"/>
              </w:rPr>
              <w:t>3.4</w:t>
            </w:r>
          </w:p>
        </w:tc>
        <w:tc>
          <w:tcPr>
            <w:tcW w:w="1170" w:type="dxa"/>
            <w:shd w:val="clear" w:color="auto" w:fill="auto"/>
          </w:tcPr>
          <w:p w:rsidR="00742F79" w:rsidRPr="00F82F1D" w:rsidRDefault="00742F79" w:rsidP="00F82F1D">
            <w:pPr>
              <w:suppressLineNumbers/>
              <w:suppressAutoHyphens/>
              <w:kinsoku w:val="0"/>
              <w:overflowPunct w:val="0"/>
              <w:autoSpaceDE w:val="0"/>
              <w:autoSpaceDN w:val="0"/>
              <w:spacing w:before="40" w:after="40"/>
              <w:jc w:val="center"/>
              <w:rPr>
                <w:kern w:val="22"/>
                <w:szCs w:val="22"/>
              </w:rPr>
            </w:pPr>
            <w:r w:rsidRPr="00F82F1D">
              <w:rPr>
                <w:kern w:val="22"/>
                <w:szCs w:val="22"/>
              </w:rPr>
              <w:t>42</w:t>
            </w:r>
          </w:p>
        </w:tc>
        <w:tc>
          <w:tcPr>
            <w:tcW w:w="1332" w:type="dxa"/>
            <w:shd w:val="clear" w:color="auto" w:fill="auto"/>
          </w:tcPr>
          <w:p w:rsidR="00742F79" w:rsidRPr="00F82F1D" w:rsidRDefault="00742F79" w:rsidP="00F82F1D">
            <w:pPr>
              <w:suppressLineNumbers/>
              <w:suppressAutoHyphens/>
              <w:kinsoku w:val="0"/>
              <w:overflowPunct w:val="0"/>
              <w:autoSpaceDE w:val="0"/>
              <w:autoSpaceDN w:val="0"/>
              <w:spacing w:before="40" w:after="40"/>
              <w:jc w:val="center"/>
              <w:rPr>
                <w:kern w:val="22"/>
                <w:szCs w:val="22"/>
              </w:rPr>
            </w:pPr>
            <w:r w:rsidRPr="00F82F1D">
              <w:rPr>
                <w:kern w:val="22"/>
                <w:szCs w:val="22"/>
              </w:rPr>
              <w:t>2.8</w:t>
            </w:r>
          </w:p>
        </w:tc>
      </w:tr>
      <w:tr w:rsidR="00742F79" w:rsidRPr="00F82F1D" w:rsidTr="00F82F1D">
        <w:trPr>
          <w:cantSplit/>
          <w:trHeight w:val="102"/>
        </w:trPr>
        <w:tc>
          <w:tcPr>
            <w:tcW w:w="3533" w:type="dxa"/>
            <w:shd w:val="clear" w:color="auto" w:fill="auto"/>
          </w:tcPr>
          <w:p w:rsidR="00742F79" w:rsidRPr="00F82F1D" w:rsidRDefault="00742F79" w:rsidP="00F82F1D">
            <w:pPr>
              <w:suppressLineNumbers/>
              <w:suppressAutoHyphens/>
              <w:kinsoku w:val="0"/>
              <w:overflowPunct w:val="0"/>
              <w:autoSpaceDE w:val="0"/>
              <w:autoSpaceDN w:val="0"/>
              <w:spacing w:before="40" w:after="40"/>
              <w:jc w:val="left"/>
              <w:rPr>
                <w:kern w:val="22"/>
                <w:szCs w:val="22"/>
              </w:rPr>
            </w:pPr>
            <w:r w:rsidRPr="00F82F1D">
              <w:rPr>
                <w:kern w:val="22"/>
                <w:szCs w:val="22"/>
              </w:rPr>
              <w:t>COP 12, COP-MOP-7, COP-MOP 1</w:t>
            </w:r>
          </w:p>
        </w:tc>
        <w:tc>
          <w:tcPr>
            <w:tcW w:w="1134" w:type="dxa"/>
            <w:shd w:val="clear" w:color="auto" w:fill="auto"/>
          </w:tcPr>
          <w:p w:rsidR="00742F79" w:rsidRPr="00F82F1D" w:rsidRDefault="00742F79" w:rsidP="00F82F1D">
            <w:pPr>
              <w:suppressLineNumbers/>
              <w:suppressAutoHyphens/>
              <w:kinsoku w:val="0"/>
              <w:overflowPunct w:val="0"/>
              <w:autoSpaceDE w:val="0"/>
              <w:autoSpaceDN w:val="0"/>
              <w:spacing w:before="40" w:after="40"/>
              <w:jc w:val="center"/>
              <w:rPr>
                <w:kern w:val="22"/>
                <w:szCs w:val="22"/>
              </w:rPr>
            </w:pPr>
            <w:r w:rsidRPr="00F82F1D">
              <w:rPr>
                <w:kern w:val="22"/>
                <w:szCs w:val="22"/>
              </w:rPr>
              <w:t>15</w:t>
            </w:r>
          </w:p>
        </w:tc>
        <w:tc>
          <w:tcPr>
            <w:tcW w:w="1134" w:type="dxa"/>
            <w:shd w:val="clear" w:color="auto" w:fill="auto"/>
          </w:tcPr>
          <w:p w:rsidR="00742F79" w:rsidRPr="00F82F1D" w:rsidRDefault="00742F79" w:rsidP="00F82F1D">
            <w:pPr>
              <w:suppressLineNumbers/>
              <w:suppressAutoHyphens/>
              <w:kinsoku w:val="0"/>
              <w:overflowPunct w:val="0"/>
              <w:autoSpaceDE w:val="0"/>
              <w:autoSpaceDN w:val="0"/>
              <w:spacing w:before="40" w:after="40"/>
              <w:jc w:val="center"/>
              <w:rPr>
                <w:kern w:val="22"/>
                <w:szCs w:val="22"/>
              </w:rPr>
            </w:pPr>
            <w:r w:rsidRPr="00F82F1D">
              <w:rPr>
                <w:kern w:val="22"/>
                <w:szCs w:val="22"/>
              </w:rPr>
              <w:t>54</w:t>
            </w:r>
          </w:p>
        </w:tc>
        <w:tc>
          <w:tcPr>
            <w:tcW w:w="1057" w:type="dxa"/>
            <w:shd w:val="clear" w:color="auto" w:fill="auto"/>
          </w:tcPr>
          <w:p w:rsidR="00742F79" w:rsidRPr="00F82F1D" w:rsidRDefault="00742F79" w:rsidP="00F82F1D">
            <w:pPr>
              <w:suppressLineNumbers/>
              <w:suppressAutoHyphens/>
              <w:kinsoku w:val="0"/>
              <w:overflowPunct w:val="0"/>
              <w:autoSpaceDE w:val="0"/>
              <w:autoSpaceDN w:val="0"/>
              <w:spacing w:before="40" w:after="40"/>
              <w:jc w:val="center"/>
              <w:rPr>
                <w:kern w:val="22"/>
                <w:szCs w:val="22"/>
              </w:rPr>
            </w:pPr>
            <w:r w:rsidRPr="00F82F1D">
              <w:rPr>
                <w:kern w:val="22"/>
                <w:szCs w:val="22"/>
              </w:rPr>
              <w:t>3.6</w:t>
            </w:r>
          </w:p>
        </w:tc>
        <w:tc>
          <w:tcPr>
            <w:tcW w:w="1170" w:type="dxa"/>
            <w:shd w:val="clear" w:color="auto" w:fill="auto"/>
          </w:tcPr>
          <w:p w:rsidR="00742F79" w:rsidRPr="00F82F1D" w:rsidRDefault="00742F79" w:rsidP="00F82F1D">
            <w:pPr>
              <w:suppressLineNumbers/>
              <w:suppressAutoHyphens/>
              <w:kinsoku w:val="0"/>
              <w:overflowPunct w:val="0"/>
              <w:autoSpaceDE w:val="0"/>
              <w:autoSpaceDN w:val="0"/>
              <w:spacing w:before="40" w:after="40"/>
              <w:jc w:val="center"/>
              <w:rPr>
                <w:kern w:val="22"/>
                <w:szCs w:val="22"/>
              </w:rPr>
            </w:pPr>
            <w:r w:rsidRPr="00F82F1D">
              <w:rPr>
                <w:kern w:val="22"/>
                <w:szCs w:val="22"/>
              </w:rPr>
              <w:t>36</w:t>
            </w:r>
          </w:p>
        </w:tc>
        <w:tc>
          <w:tcPr>
            <w:tcW w:w="1332" w:type="dxa"/>
            <w:shd w:val="clear" w:color="auto" w:fill="auto"/>
          </w:tcPr>
          <w:p w:rsidR="00742F79" w:rsidRPr="00F82F1D" w:rsidRDefault="00742F79" w:rsidP="00F82F1D">
            <w:pPr>
              <w:suppressLineNumbers/>
              <w:suppressAutoHyphens/>
              <w:kinsoku w:val="0"/>
              <w:overflowPunct w:val="0"/>
              <w:autoSpaceDE w:val="0"/>
              <w:autoSpaceDN w:val="0"/>
              <w:spacing w:before="40" w:after="40"/>
              <w:jc w:val="center"/>
              <w:rPr>
                <w:kern w:val="22"/>
                <w:szCs w:val="22"/>
              </w:rPr>
            </w:pPr>
            <w:r w:rsidRPr="00F82F1D">
              <w:rPr>
                <w:kern w:val="22"/>
                <w:szCs w:val="22"/>
              </w:rPr>
              <w:t>2.4</w:t>
            </w:r>
          </w:p>
        </w:tc>
      </w:tr>
      <w:tr w:rsidR="00742F79" w:rsidRPr="00F82F1D" w:rsidTr="00F82F1D">
        <w:trPr>
          <w:cantSplit/>
        </w:trPr>
        <w:tc>
          <w:tcPr>
            <w:tcW w:w="3533" w:type="dxa"/>
            <w:shd w:val="clear" w:color="auto" w:fill="auto"/>
          </w:tcPr>
          <w:p w:rsidR="00742F79" w:rsidRPr="00F82F1D" w:rsidRDefault="00742F79" w:rsidP="00F82F1D">
            <w:pPr>
              <w:suppressLineNumbers/>
              <w:suppressAutoHyphens/>
              <w:kinsoku w:val="0"/>
              <w:overflowPunct w:val="0"/>
              <w:autoSpaceDE w:val="0"/>
              <w:autoSpaceDN w:val="0"/>
              <w:spacing w:before="40" w:after="40"/>
              <w:jc w:val="left"/>
              <w:rPr>
                <w:kern w:val="22"/>
                <w:szCs w:val="22"/>
              </w:rPr>
            </w:pPr>
            <w:r w:rsidRPr="00F82F1D">
              <w:rPr>
                <w:kern w:val="22"/>
                <w:szCs w:val="22"/>
              </w:rPr>
              <w:t>COP 13, COP-MOP 7, COP-MOP 2</w:t>
            </w:r>
          </w:p>
        </w:tc>
        <w:tc>
          <w:tcPr>
            <w:tcW w:w="1134" w:type="dxa"/>
            <w:shd w:val="clear" w:color="auto" w:fill="auto"/>
          </w:tcPr>
          <w:p w:rsidR="00742F79" w:rsidRPr="00F82F1D" w:rsidRDefault="00742F79" w:rsidP="00F82F1D">
            <w:pPr>
              <w:suppressLineNumbers/>
              <w:suppressAutoHyphens/>
              <w:kinsoku w:val="0"/>
              <w:overflowPunct w:val="0"/>
              <w:autoSpaceDE w:val="0"/>
              <w:autoSpaceDN w:val="0"/>
              <w:spacing w:before="40" w:after="40"/>
              <w:jc w:val="center"/>
              <w:rPr>
                <w:kern w:val="22"/>
                <w:szCs w:val="22"/>
              </w:rPr>
            </w:pPr>
            <w:r w:rsidRPr="00F82F1D">
              <w:rPr>
                <w:kern w:val="22"/>
                <w:szCs w:val="22"/>
              </w:rPr>
              <w:t>12</w:t>
            </w:r>
          </w:p>
        </w:tc>
        <w:tc>
          <w:tcPr>
            <w:tcW w:w="1134" w:type="dxa"/>
            <w:shd w:val="clear" w:color="auto" w:fill="auto"/>
          </w:tcPr>
          <w:p w:rsidR="00742F79" w:rsidRPr="00F82F1D" w:rsidRDefault="00742F79" w:rsidP="00F82F1D">
            <w:pPr>
              <w:suppressLineNumbers/>
              <w:suppressAutoHyphens/>
              <w:kinsoku w:val="0"/>
              <w:overflowPunct w:val="0"/>
              <w:autoSpaceDE w:val="0"/>
              <w:autoSpaceDN w:val="0"/>
              <w:spacing w:before="40" w:after="40"/>
              <w:jc w:val="center"/>
              <w:rPr>
                <w:kern w:val="22"/>
                <w:szCs w:val="22"/>
              </w:rPr>
            </w:pPr>
            <w:r w:rsidRPr="00F82F1D">
              <w:rPr>
                <w:kern w:val="22"/>
                <w:szCs w:val="22"/>
              </w:rPr>
              <w:t>46</w:t>
            </w:r>
          </w:p>
        </w:tc>
        <w:tc>
          <w:tcPr>
            <w:tcW w:w="1057" w:type="dxa"/>
            <w:shd w:val="clear" w:color="auto" w:fill="auto"/>
          </w:tcPr>
          <w:p w:rsidR="00742F79" w:rsidRPr="00F82F1D" w:rsidRDefault="00742F79" w:rsidP="00F82F1D">
            <w:pPr>
              <w:suppressLineNumbers/>
              <w:suppressAutoHyphens/>
              <w:kinsoku w:val="0"/>
              <w:overflowPunct w:val="0"/>
              <w:autoSpaceDE w:val="0"/>
              <w:autoSpaceDN w:val="0"/>
              <w:spacing w:before="40" w:after="40"/>
              <w:jc w:val="center"/>
              <w:rPr>
                <w:kern w:val="22"/>
                <w:szCs w:val="22"/>
              </w:rPr>
            </w:pPr>
            <w:r w:rsidRPr="00F82F1D">
              <w:rPr>
                <w:kern w:val="22"/>
                <w:szCs w:val="22"/>
              </w:rPr>
              <w:t>3.8</w:t>
            </w:r>
          </w:p>
        </w:tc>
        <w:tc>
          <w:tcPr>
            <w:tcW w:w="1170" w:type="dxa"/>
            <w:shd w:val="clear" w:color="auto" w:fill="auto"/>
          </w:tcPr>
          <w:p w:rsidR="00742F79" w:rsidRPr="00F82F1D" w:rsidRDefault="00742F79" w:rsidP="00F82F1D">
            <w:pPr>
              <w:suppressLineNumbers/>
              <w:suppressAutoHyphens/>
              <w:kinsoku w:val="0"/>
              <w:overflowPunct w:val="0"/>
              <w:autoSpaceDE w:val="0"/>
              <w:autoSpaceDN w:val="0"/>
              <w:spacing w:before="40" w:after="40"/>
              <w:jc w:val="center"/>
              <w:rPr>
                <w:kern w:val="22"/>
                <w:szCs w:val="22"/>
              </w:rPr>
            </w:pPr>
            <w:r w:rsidRPr="00F82F1D">
              <w:rPr>
                <w:kern w:val="22"/>
                <w:szCs w:val="22"/>
              </w:rPr>
              <w:t>76</w:t>
            </w:r>
          </w:p>
        </w:tc>
        <w:tc>
          <w:tcPr>
            <w:tcW w:w="1332" w:type="dxa"/>
            <w:shd w:val="clear" w:color="auto" w:fill="auto"/>
          </w:tcPr>
          <w:p w:rsidR="00742F79" w:rsidRPr="00F82F1D" w:rsidRDefault="00742F79" w:rsidP="00F82F1D">
            <w:pPr>
              <w:suppressLineNumbers/>
              <w:suppressAutoHyphens/>
              <w:kinsoku w:val="0"/>
              <w:overflowPunct w:val="0"/>
              <w:autoSpaceDE w:val="0"/>
              <w:autoSpaceDN w:val="0"/>
              <w:spacing w:before="40" w:after="40"/>
              <w:jc w:val="center"/>
              <w:rPr>
                <w:kern w:val="22"/>
                <w:szCs w:val="22"/>
              </w:rPr>
            </w:pPr>
            <w:r w:rsidRPr="00F82F1D">
              <w:rPr>
                <w:kern w:val="22"/>
                <w:szCs w:val="22"/>
              </w:rPr>
              <w:t>6.3</w:t>
            </w:r>
          </w:p>
        </w:tc>
      </w:tr>
    </w:tbl>
    <w:p w:rsidR="00742F79" w:rsidRPr="00F82F1D" w:rsidRDefault="00742F79" w:rsidP="00F82F1D">
      <w:pPr>
        <w:suppressLineNumbers/>
        <w:suppressAutoHyphens/>
        <w:kinsoku w:val="0"/>
        <w:overflowPunct w:val="0"/>
        <w:autoSpaceDE w:val="0"/>
        <w:autoSpaceDN w:val="0"/>
        <w:spacing w:after="120"/>
        <w:rPr>
          <w:kern w:val="22"/>
          <w:szCs w:val="22"/>
        </w:rPr>
      </w:pPr>
    </w:p>
    <w:p w:rsidR="00742F79" w:rsidRPr="00F82F1D" w:rsidRDefault="00742F79" w:rsidP="00F82F1D">
      <w:pPr>
        <w:pStyle w:val="Para1"/>
        <w:suppressLineNumbers/>
        <w:tabs>
          <w:tab w:val="clear" w:pos="360"/>
        </w:tabs>
        <w:suppressAutoHyphens/>
        <w:kinsoku w:val="0"/>
        <w:overflowPunct w:val="0"/>
        <w:autoSpaceDE w:val="0"/>
        <w:autoSpaceDN w:val="0"/>
        <w:rPr>
          <w:snapToGrid/>
          <w:kern w:val="22"/>
          <w:szCs w:val="22"/>
        </w:rPr>
      </w:pPr>
      <w:r w:rsidRPr="00F82F1D">
        <w:rPr>
          <w:snapToGrid/>
          <w:kern w:val="22"/>
          <w:szCs w:val="22"/>
        </w:rPr>
        <w:t>In summary, the effect of having the meetings concurrently has been a reduction in the length of the meetings and an overall reduction in the number of plenary and working group sessions. This appears to have also resulted in, on average</w:t>
      </w:r>
      <w:r w:rsidR="00912580" w:rsidRPr="00F82F1D">
        <w:rPr>
          <w:snapToGrid/>
          <w:kern w:val="22"/>
          <w:szCs w:val="22"/>
        </w:rPr>
        <w:t xml:space="preserve">, </w:t>
      </w:r>
      <w:r w:rsidRPr="00F82F1D">
        <w:rPr>
          <w:snapToGrid/>
          <w:kern w:val="22"/>
          <w:szCs w:val="22"/>
        </w:rPr>
        <w:t>a small increase in the number of working group and plenary sessions being held each day. However, when sessions of the high</w:t>
      </w:r>
      <w:r w:rsidR="00912580" w:rsidRPr="00F82F1D">
        <w:rPr>
          <w:snapToGrid/>
          <w:kern w:val="22"/>
          <w:szCs w:val="22"/>
        </w:rPr>
        <w:t>-</w:t>
      </w:r>
      <w:r w:rsidRPr="00F82F1D">
        <w:rPr>
          <w:snapToGrid/>
          <w:kern w:val="22"/>
          <w:szCs w:val="22"/>
        </w:rPr>
        <w:t>level segment (other than that of COP</w:t>
      </w:r>
      <w:r w:rsidR="00912580" w:rsidRPr="00F82F1D">
        <w:rPr>
          <w:snapToGrid/>
          <w:kern w:val="22"/>
          <w:szCs w:val="22"/>
        </w:rPr>
        <w:t> </w:t>
      </w:r>
      <w:r w:rsidRPr="00F82F1D">
        <w:rPr>
          <w:snapToGrid/>
          <w:kern w:val="22"/>
          <w:szCs w:val="22"/>
        </w:rPr>
        <w:t xml:space="preserve">13) are considered, this increase is negligible. Further, holding the meetings concurrently appears to have resulted in more contact group and friends of the chair meetings being held. Therefore, while the overall duration of the meetings has been reduced, the intensity of the negotiations appears to have increased </w:t>
      </w:r>
      <w:r w:rsidR="00E605D7" w:rsidRPr="00F82F1D">
        <w:rPr>
          <w:snapToGrid/>
          <w:kern w:val="22"/>
          <w:szCs w:val="22"/>
        </w:rPr>
        <w:t xml:space="preserve">somewhat </w:t>
      </w:r>
      <w:r w:rsidRPr="00F82F1D">
        <w:rPr>
          <w:snapToGrid/>
          <w:kern w:val="22"/>
          <w:szCs w:val="22"/>
        </w:rPr>
        <w:t>to compensate. However</w:t>
      </w:r>
      <w:r w:rsidR="00912580" w:rsidRPr="00F82F1D">
        <w:rPr>
          <w:snapToGrid/>
          <w:kern w:val="22"/>
          <w:szCs w:val="22"/>
        </w:rPr>
        <w:t>,</w:t>
      </w:r>
      <w:r w:rsidRPr="00F82F1D">
        <w:rPr>
          <w:snapToGrid/>
          <w:kern w:val="22"/>
          <w:szCs w:val="22"/>
        </w:rPr>
        <w:t xml:space="preserve"> the number of plenary and working group sessions</w:t>
      </w:r>
      <w:r w:rsidR="00912580" w:rsidRPr="00F82F1D">
        <w:rPr>
          <w:snapToGrid/>
          <w:kern w:val="22"/>
          <w:szCs w:val="22"/>
        </w:rPr>
        <w:t>,</w:t>
      </w:r>
      <w:r w:rsidRPr="00F82F1D">
        <w:rPr>
          <w:snapToGrid/>
          <w:kern w:val="22"/>
          <w:szCs w:val="22"/>
        </w:rPr>
        <w:t xml:space="preserve"> as well as the number of contact group and friends of the chair meeting</w:t>
      </w:r>
      <w:r w:rsidR="00E30875" w:rsidRPr="00F82F1D">
        <w:rPr>
          <w:snapToGrid/>
          <w:kern w:val="22"/>
          <w:szCs w:val="22"/>
        </w:rPr>
        <w:t>s</w:t>
      </w:r>
      <w:r w:rsidR="00912580" w:rsidRPr="00F82F1D">
        <w:rPr>
          <w:snapToGrid/>
          <w:kern w:val="22"/>
          <w:szCs w:val="22"/>
        </w:rPr>
        <w:t>,</w:t>
      </w:r>
      <w:r w:rsidRPr="00F82F1D">
        <w:rPr>
          <w:snapToGrid/>
          <w:kern w:val="22"/>
          <w:szCs w:val="22"/>
        </w:rPr>
        <w:t xml:space="preserve"> </w:t>
      </w:r>
      <w:r w:rsidR="00E30875" w:rsidRPr="00F82F1D">
        <w:rPr>
          <w:snapToGrid/>
          <w:kern w:val="22"/>
          <w:szCs w:val="22"/>
        </w:rPr>
        <w:t>is</w:t>
      </w:r>
      <w:r w:rsidRPr="00F82F1D">
        <w:rPr>
          <w:snapToGrid/>
          <w:kern w:val="22"/>
          <w:szCs w:val="22"/>
        </w:rPr>
        <w:t xml:space="preserve"> also influenced by the issues being discussed during the course of the </w:t>
      </w:r>
      <w:r w:rsidR="00E30875" w:rsidRPr="00F82F1D">
        <w:rPr>
          <w:snapToGrid/>
          <w:kern w:val="22"/>
          <w:szCs w:val="22"/>
        </w:rPr>
        <w:t>meetings, as evidenced by the number of</w:t>
      </w:r>
      <w:r w:rsidRPr="00F82F1D">
        <w:rPr>
          <w:snapToGrid/>
          <w:kern w:val="22"/>
          <w:szCs w:val="22"/>
        </w:rPr>
        <w:t xml:space="preserve"> </w:t>
      </w:r>
      <w:r w:rsidR="00E30875" w:rsidRPr="00F82F1D">
        <w:rPr>
          <w:snapToGrid/>
          <w:kern w:val="22"/>
          <w:szCs w:val="22"/>
        </w:rPr>
        <w:t>the number of contact groups and friends of the chair meetings at COP</w:t>
      </w:r>
      <w:r w:rsidR="00912580" w:rsidRPr="00F82F1D">
        <w:rPr>
          <w:snapToGrid/>
          <w:kern w:val="22"/>
          <w:szCs w:val="22"/>
        </w:rPr>
        <w:t> </w:t>
      </w:r>
      <w:r w:rsidR="00E30875" w:rsidRPr="00F82F1D">
        <w:rPr>
          <w:snapToGrid/>
          <w:kern w:val="22"/>
          <w:szCs w:val="22"/>
        </w:rPr>
        <w:t>10</w:t>
      </w:r>
      <w:r w:rsidR="006B0C79" w:rsidRPr="00F82F1D">
        <w:rPr>
          <w:snapToGrid/>
          <w:kern w:val="22"/>
          <w:szCs w:val="22"/>
        </w:rPr>
        <w:t xml:space="preserve"> and</w:t>
      </w:r>
      <w:r w:rsidR="00E30875" w:rsidRPr="00F82F1D">
        <w:rPr>
          <w:snapToGrid/>
          <w:kern w:val="22"/>
          <w:szCs w:val="22"/>
        </w:rPr>
        <w:t xml:space="preserve"> COP-MOP</w:t>
      </w:r>
      <w:r w:rsidR="00912580" w:rsidRPr="00F82F1D">
        <w:rPr>
          <w:snapToGrid/>
          <w:kern w:val="22"/>
          <w:szCs w:val="22"/>
        </w:rPr>
        <w:t> </w:t>
      </w:r>
      <w:r w:rsidR="00E30875" w:rsidRPr="00F82F1D">
        <w:rPr>
          <w:snapToGrid/>
          <w:kern w:val="22"/>
          <w:szCs w:val="22"/>
        </w:rPr>
        <w:t>5.</w:t>
      </w:r>
    </w:p>
    <w:p w:rsidR="00742F79" w:rsidRPr="00F82F1D" w:rsidRDefault="00742F79" w:rsidP="00F82F1D">
      <w:pPr>
        <w:keepNext/>
        <w:numPr>
          <w:ilvl w:val="0"/>
          <w:numId w:val="52"/>
        </w:numPr>
        <w:suppressLineNumbers/>
        <w:suppressAutoHyphens/>
        <w:kinsoku w:val="0"/>
        <w:overflowPunct w:val="0"/>
        <w:autoSpaceDE w:val="0"/>
        <w:autoSpaceDN w:val="0"/>
        <w:spacing w:before="240" w:after="120"/>
        <w:jc w:val="left"/>
        <w:rPr>
          <w:b/>
          <w:bCs/>
          <w:kern w:val="22"/>
          <w:szCs w:val="22"/>
        </w:rPr>
      </w:pPr>
      <w:r w:rsidRPr="00F82F1D">
        <w:rPr>
          <w:b/>
          <w:bCs/>
          <w:kern w:val="22"/>
          <w:szCs w:val="22"/>
        </w:rPr>
        <w:t>INCREASED INTEGRATION AMONG THE CONVENTION AND ITS PROTOCOLS</w:t>
      </w:r>
    </w:p>
    <w:p w:rsidR="00742F79" w:rsidRPr="00F82F1D" w:rsidRDefault="006A149B" w:rsidP="00F82F1D">
      <w:pPr>
        <w:pStyle w:val="Para1"/>
        <w:suppressLineNumbers/>
        <w:tabs>
          <w:tab w:val="clear" w:pos="360"/>
        </w:tabs>
        <w:suppressAutoHyphens/>
        <w:kinsoku w:val="0"/>
        <w:overflowPunct w:val="0"/>
        <w:autoSpaceDE w:val="0"/>
        <w:autoSpaceDN w:val="0"/>
        <w:rPr>
          <w:snapToGrid/>
          <w:kern w:val="22"/>
          <w:szCs w:val="22"/>
        </w:rPr>
      </w:pPr>
      <w:r w:rsidRPr="00F82F1D">
        <w:rPr>
          <w:snapToGrid/>
          <w:kern w:val="22"/>
          <w:szCs w:val="22"/>
        </w:rPr>
        <w:t xml:space="preserve">A total of </w:t>
      </w:r>
      <w:r w:rsidR="00742F79" w:rsidRPr="00F82F1D">
        <w:rPr>
          <w:snapToGrid/>
          <w:kern w:val="22"/>
          <w:szCs w:val="22"/>
        </w:rPr>
        <w:t>51</w:t>
      </w:r>
      <w:r w:rsidR="00C07151" w:rsidRPr="00F82F1D">
        <w:rPr>
          <w:snapToGrid/>
          <w:kern w:val="22"/>
          <w:szCs w:val="22"/>
        </w:rPr>
        <w:t xml:space="preserve"> per cent</w:t>
      </w:r>
      <w:r w:rsidR="00742F79" w:rsidRPr="00F82F1D">
        <w:rPr>
          <w:snapToGrid/>
          <w:kern w:val="22"/>
          <w:szCs w:val="22"/>
        </w:rPr>
        <w:t xml:space="preserve"> </w:t>
      </w:r>
      <w:r w:rsidRPr="00F82F1D">
        <w:rPr>
          <w:snapToGrid/>
          <w:kern w:val="22"/>
          <w:szCs w:val="22"/>
        </w:rPr>
        <w:t xml:space="preserve">of </w:t>
      </w:r>
      <w:r w:rsidR="00742F79" w:rsidRPr="00F82F1D">
        <w:rPr>
          <w:snapToGrid/>
          <w:kern w:val="22"/>
          <w:szCs w:val="22"/>
        </w:rPr>
        <w:t xml:space="preserve">Parties responding to the notification felt that the criterion of increased integration among the Convention and its Protocols </w:t>
      </w:r>
      <w:r w:rsidR="001F5A46" w:rsidRPr="00F82F1D">
        <w:rPr>
          <w:snapToGrid/>
          <w:kern w:val="22"/>
          <w:szCs w:val="22"/>
        </w:rPr>
        <w:t xml:space="preserve">had been </w:t>
      </w:r>
      <w:r w:rsidR="00742F79" w:rsidRPr="00F82F1D">
        <w:rPr>
          <w:snapToGrid/>
          <w:kern w:val="22"/>
          <w:szCs w:val="22"/>
        </w:rPr>
        <w:t>fully met, 46</w:t>
      </w:r>
      <w:r w:rsidR="00C07151" w:rsidRPr="00F82F1D">
        <w:rPr>
          <w:snapToGrid/>
          <w:kern w:val="22"/>
          <w:szCs w:val="22"/>
        </w:rPr>
        <w:t xml:space="preserve"> per cent</w:t>
      </w:r>
      <w:r w:rsidR="00742F79" w:rsidRPr="00F82F1D">
        <w:rPr>
          <w:snapToGrid/>
          <w:kern w:val="22"/>
          <w:szCs w:val="22"/>
        </w:rPr>
        <w:t xml:space="preserve"> felt that it </w:t>
      </w:r>
      <w:r w:rsidR="001F5A46" w:rsidRPr="00F82F1D">
        <w:rPr>
          <w:snapToGrid/>
          <w:kern w:val="22"/>
          <w:szCs w:val="22"/>
        </w:rPr>
        <w:t xml:space="preserve">had been </w:t>
      </w:r>
      <w:r w:rsidR="00742F79" w:rsidRPr="00F82F1D">
        <w:rPr>
          <w:snapToGrid/>
          <w:kern w:val="22"/>
          <w:szCs w:val="22"/>
        </w:rPr>
        <w:t>partially met, and 3</w:t>
      </w:r>
      <w:r w:rsidR="00C07151" w:rsidRPr="00F82F1D">
        <w:rPr>
          <w:snapToGrid/>
          <w:kern w:val="22"/>
          <w:szCs w:val="22"/>
        </w:rPr>
        <w:t xml:space="preserve"> per cent</w:t>
      </w:r>
      <w:r w:rsidR="00742F79" w:rsidRPr="00F82F1D">
        <w:rPr>
          <w:snapToGrid/>
          <w:kern w:val="22"/>
          <w:szCs w:val="22"/>
        </w:rPr>
        <w:t xml:space="preserve"> felt that it </w:t>
      </w:r>
      <w:r w:rsidR="001F5A46" w:rsidRPr="00F82F1D">
        <w:rPr>
          <w:snapToGrid/>
          <w:kern w:val="22"/>
          <w:szCs w:val="22"/>
        </w:rPr>
        <w:t xml:space="preserve">had </w:t>
      </w:r>
      <w:r w:rsidR="00742F79" w:rsidRPr="00F82F1D">
        <w:rPr>
          <w:snapToGrid/>
          <w:kern w:val="22"/>
          <w:szCs w:val="22"/>
        </w:rPr>
        <w:t xml:space="preserve">not </w:t>
      </w:r>
      <w:r w:rsidR="001F5A46" w:rsidRPr="00F82F1D">
        <w:rPr>
          <w:snapToGrid/>
          <w:kern w:val="22"/>
          <w:szCs w:val="22"/>
        </w:rPr>
        <w:t xml:space="preserve">been </w:t>
      </w:r>
      <w:r w:rsidR="00742F79" w:rsidRPr="00F82F1D">
        <w:rPr>
          <w:snapToGrid/>
          <w:kern w:val="22"/>
          <w:szCs w:val="22"/>
        </w:rPr>
        <w:t xml:space="preserve">met. There were no marked differences when responses from developing and developed countries were considered separately, except that no developed country Party indicated that the criterion </w:t>
      </w:r>
      <w:r w:rsidR="007D5686" w:rsidRPr="00F82F1D">
        <w:rPr>
          <w:snapToGrid/>
          <w:kern w:val="22"/>
          <w:szCs w:val="22"/>
        </w:rPr>
        <w:t xml:space="preserve">had </w:t>
      </w:r>
      <w:r w:rsidR="00742F79" w:rsidRPr="00F82F1D">
        <w:rPr>
          <w:snapToGrid/>
          <w:kern w:val="22"/>
          <w:szCs w:val="22"/>
        </w:rPr>
        <w:t xml:space="preserve">not </w:t>
      </w:r>
      <w:r w:rsidR="007D5686" w:rsidRPr="00F82F1D">
        <w:rPr>
          <w:snapToGrid/>
          <w:kern w:val="22"/>
          <w:szCs w:val="22"/>
        </w:rPr>
        <w:t xml:space="preserve">been </w:t>
      </w:r>
      <w:r w:rsidR="00742F79" w:rsidRPr="00F82F1D">
        <w:rPr>
          <w:snapToGrid/>
          <w:kern w:val="22"/>
          <w:szCs w:val="22"/>
        </w:rPr>
        <w:t>met.</w:t>
      </w:r>
    </w:p>
    <w:p w:rsidR="00742F79" w:rsidRPr="00F82F1D" w:rsidRDefault="00742F79" w:rsidP="00F82F1D">
      <w:pPr>
        <w:pStyle w:val="Para1"/>
        <w:suppressLineNumbers/>
        <w:tabs>
          <w:tab w:val="clear" w:pos="360"/>
        </w:tabs>
        <w:suppressAutoHyphens/>
        <w:kinsoku w:val="0"/>
        <w:overflowPunct w:val="0"/>
        <w:autoSpaceDE w:val="0"/>
        <w:autoSpaceDN w:val="0"/>
        <w:rPr>
          <w:snapToGrid/>
          <w:kern w:val="22"/>
          <w:szCs w:val="22"/>
        </w:rPr>
      </w:pPr>
      <w:r w:rsidRPr="00F82F1D">
        <w:rPr>
          <w:snapToGrid/>
          <w:kern w:val="22"/>
          <w:szCs w:val="22"/>
        </w:rPr>
        <w:t>In their written comments</w:t>
      </w:r>
      <w:r w:rsidR="00FB1895" w:rsidRPr="00F82F1D">
        <w:rPr>
          <w:snapToGrid/>
          <w:kern w:val="22"/>
          <w:szCs w:val="22"/>
        </w:rPr>
        <w:t>,</w:t>
      </w:r>
      <w:r w:rsidRPr="00F82F1D">
        <w:rPr>
          <w:snapToGrid/>
          <w:kern w:val="22"/>
          <w:szCs w:val="22"/>
        </w:rPr>
        <w:t xml:space="preserve"> several Parties noted </w:t>
      </w:r>
      <w:r w:rsidR="00912580" w:rsidRPr="00F82F1D">
        <w:rPr>
          <w:snapToGrid/>
          <w:kern w:val="22"/>
          <w:szCs w:val="22"/>
        </w:rPr>
        <w:t xml:space="preserve">that </w:t>
      </w:r>
      <w:r w:rsidRPr="00F82F1D">
        <w:rPr>
          <w:snapToGrid/>
          <w:kern w:val="22"/>
          <w:szCs w:val="22"/>
        </w:rPr>
        <w:t xml:space="preserve">the convening of the meetings concurrently was a good first step and had some positive impacts. However, a few Parties noted that more time </w:t>
      </w:r>
      <w:r w:rsidR="00D22675" w:rsidRPr="00F82F1D">
        <w:rPr>
          <w:snapToGrid/>
          <w:kern w:val="22"/>
          <w:szCs w:val="22"/>
        </w:rPr>
        <w:t xml:space="preserve">would </w:t>
      </w:r>
      <w:r w:rsidRPr="00F82F1D">
        <w:rPr>
          <w:snapToGrid/>
          <w:kern w:val="22"/>
          <w:szCs w:val="22"/>
        </w:rPr>
        <w:t>be required to be able to judge this issue in a meaningful way. Some Parties were of the view that more progress had been made on the integration of procedural issues under the Convention and its Protocols than on substantive matters. Others noted that the format for the concurrent meetings promoted a greater understanding of how the Convention and its Protocols relate to one another.</w:t>
      </w:r>
    </w:p>
    <w:p w:rsidR="00742F79" w:rsidRPr="00F82F1D" w:rsidRDefault="00742F79" w:rsidP="00F82F1D">
      <w:pPr>
        <w:pStyle w:val="Para1"/>
        <w:suppressLineNumbers/>
        <w:tabs>
          <w:tab w:val="clear" w:pos="360"/>
        </w:tabs>
        <w:suppressAutoHyphens/>
        <w:kinsoku w:val="0"/>
        <w:overflowPunct w:val="0"/>
        <w:autoSpaceDE w:val="0"/>
        <w:autoSpaceDN w:val="0"/>
        <w:rPr>
          <w:snapToGrid/>
          <w:kern w:val="22"/>
          <w:szCs w:val="22"/>
        </w:rPr>
      </w:pPr>
      <w:r w:rsidRPr="00F82F1D">
        <w:rPr>
          <w:snapToGrid/>
          <w:kern w:val="22"/>
          <w:szCs w:val="22"/>
        </w:rPr>
        <w:t xml:space="preserve">The responses from the </w:t>
      </w:r>
      <w:r w:rsidR="00E30875" w:rsidRPr="00F82F1D">
        <w:rPr>
          <w:snapToGrid/>
          <w:kern w:val="22"/>
          <w:szCs w:val="22"/>
        </w:rPr>
        <w:t xml:space="preserve">online </w:t>
      </w:r>
      <w:r w:rsidRPr="00F82F1D">
        <w:rPr>
          <w:snapToGrid/>
          <w:kern w:val="22"/>
          <w:szCs w:val="22"/>
        </w:rPr>
        <w:t xml:space="preserve">survey of the participants were similar to those from the questionnaire distributed to Parties. With regard to integration among the Convention and the Protocols, a majority of respondents felt that convening concurrent meetings helped in this regard. </w:t>
      </w:r>
      <w:r w:rsidR="00675AAC" w:rsidRPr="00F82F1D">
        <w:rPr>
          <w:snapToGrid/>
          <w:kern w:val="22"/>
          <w:szCs w:val="22"/>
        </w:rPr>
        <w:t xml:space="preserve">A total of </w:t>
      </w:r>
      <w:r w:rsidRPr="00F82F1D">
        <w:rPr>
          <w:snapToGrid/>
          <w:kern w:val="22"/>
          <w:szCs w:val="22"/>
        </w:rPr>
        <w:t>17</w:t>
      </w:r>
      <w:r w:rsidR="00675AAC" w:rsidRPr="00F82F1D">
        <w:rPr>
          <w:snapToGrid/>
          <w:kern w:val="22"/>
          <w:szCs w:val="22"/>
        </w:rPr>
        <w:t> </w:t>
      </w:r>
      <w:r w:rsidR="00C07151" w:rsidRPr="00F82F1D">
        <w:rPr>
          <w:snapToGrid/>
          <w:kern w:val="22"/>
          <w:szCs w:val="22"/>
        </w:rPr>
        <w:t>per cent</w:t>
      </w:r>
      <w:r w:rsidRPr="00F82F1D">
        <w:rPr>
          <w:snapToGrid/>
          <w:kern w:val="22"/>
          <w:szCs w:val="22"/>
        </w:rPr>
        <w:t xml:space="preserve"> and 52</w:t>
      </w:r>
      <w:r w:rsidR="00C07151" w:rsidRPr="00F82F1D">
        <w:rPr>
          <w:snapToGrid/>
          <w:kern w:val="22"/>
          <w:szCs w:val="22"/>
        </w:rPr>
        <w:t xml:space="preserve"> per cent</w:t>
      </w:r>
      <w:r w:rsidRPr="00F82F1D">
        <w:rPr>
          <w:snapToGrid/>
          <w:kern w:val="22"/>
          <w:szCs w:val="22"/>
        </w:rPr>
        <w:t xml:space="preserve"> of respondents strongly agreed or agreed, respectively, that this was the case. </w:t>
      </w:r>
      <w:r w:rsidR="00675AAC" w:rsidRPr="00F82F1D">
        <w:rPr>
          <w:snapToGrid/>
          <w:kern w:val="22"/>
          <w:szCs w:val="22"/>
        </w:rPr>
        <w:t xml:space="preserve">A total of </w:t>
      </w:r>
      <w:r w:rsidRPr="00F82F1D">
        <w:rPr>
          <w:snapToGrid/>
          <w:kern w:val="22"/>
          <w:szCs w:val="22"/>
        </w:rPr>
        <w:t>7</w:t>
      </w:r>
      <w:r w:rsidR="00675AAC" w:rsidRPr="00F82F1D">
        <w:rPr>
          <w:snapToGrid/>
          <w:kern w:val="22"/>
          <w:szCs w:val="22"/>
        </w:rPr>
        <w:t> </w:t>
      </w:r>
      <w:r w:rsidR="00C07151" w:rsidRPr="00F82F1D">
        <w:rPr>
          <w:snapToGrid/>
          <w:kern w:val="22"/>
          <w:szCs w:val="22"/>
        </w:rPr>
        <w:t>per cent</w:t>
      </w:r>
      <w:r w:rsidRPr="00F82F1D">
        <w:rPr>
          <w:snapToGrid/>
          <w:kern w:val="22"/>
          <w:szCs w:val="22"/>
        </w:rPr>
        <w:t xml:space="preserve"> and 3</w:t>
      </w:r>
      <w:r w:rsidR="00C07151" w:rsidRPr="00F82F1D">
        <w:rPr>
          <w:snapToGrid/>
          <w:kern w:val="22"/>
          <w:szCs w:val="22"/>
        </w:rPr>
        <w:t xml:space="preserve"> per cent</w:t>
      </w:r>
      <w:r w:rsidRPr="00F82F1D">
        <w:rPr>
          <w:snapToGrid/>
          <w:kern w:val="22"/>
          <w:szCs w:val="22"/>
        </w:rPr>
        <w:t xml:space="preserve"> of respondents disagreed or strongly disagreed. Further</w:t>
      </w:r>
      <w:r w:rsidR="00912580" w:rsidRPr="00F82F1D">
        <w:rPr>
          <w:snapToGrid/>
          <w:kern w:val="22"/>
          <w:szCs w:val="22"/>
        </w:rPr>
        <w:t xml:space="preserve">, </w:t>
      </w:r>
      <w:r w:rsidRPr="00F82F1D">
        <w:rPr>
          <w:snapToGrid/>
          <w:kern w:val="22"/>
          <w:szCs w:val="22"/>
        </w:rPr>
        <w:t>20</w:t>
      </w:r>
      <w:r w:rsidR="00C07151" w:rsidRPr="00F82F1D">
        <w:rPr>
          <w:snapToGrid/>
          <w:kern w:val="22"/>
          <w:szCs w:val="22"/>
        </w:rPr>
        <w:t xml:space="preserve"> per cent</w:t>
      </w:r>
      <w:r w:rsidRPr="00F82F1D">
        <w:rPr>
          <w:snapToGrid/>
          <w:kern w:val="22"/>
          <w:szCs w:val="22"/>
        </w:rPr>
        <w:t xml:space="preserve"> of respondents had a neutral opinion on this issue. When only responses from participants who represented </w:t>
      </w:r>
      <w:r w:rsidRPr="00F82F1D">
        <w:rPr>
          <w:snapToGrid/>
          <w:kern w:val="22"/>
          <w:szCs w:val="22"/>
        </w:rPr>
        <w:lastRenderedPageBreak/>
        <w:t>Parties at the concurrent meetings were considered, 22</w:t>
      </w:r>
      <w:r w:rsidR="00C07151" w:rsidRPr="00F82F1D">
        <w:rPr>
          <w:snapToGrid/>
          <w:kern w:val="22"/>
          <w:szCs w:val="22"/>
        </w:rPr>
        <w:t xml:space="preserve"> per cent</w:t>
      </w:r>
      <w:r w:rsidRPr="00F82F1D">
        <w:rPr>
          <w:snapToGrid/>
          <w:kern w:val="22"/>
          <w:szCs w:val="22"/>
        </w:rPr>
        <w:t xml:space="preserve"> strongly agreed and 51</w:t>
      </w:r>
      <w:r w:rsidR="00C07151" w:rsidRPr="00F82F1D">
        <w:rPr>
          <w:snapToGrid/>
          <w:kern w:val="22"/>
          <w:szCs w:val="22"/>
        </w:rPr>
        <w:t xml:space="preserve"> per cent</w:t>
      </w:r>
      <w:r w:rsidRPr="00F82F1D">
        <w:rPr>
          <w:snapToGrid/>
          <w:kern w:val="22"/>
          <w:szCs w:val="22"/>
        </w:rPr>
        <w:t xml:space="preserve"> agreed that convening concurrent meetings increased the integration among the Convention and its Protocols. </w:t>
      </w:r>
      <w:r w:rsidR="000D4D95" w:rsidRPr="00F82F1D">
        <w:rPr>
          <w:snapToGrid/>
          <w:kern w:val="22"/>
          <w:szCs w:val="22"/>
        </w:rPr>
        <w:t xml:space="preserve">A total of </w:t>
      </w:r>
      <w:r w:rsidRPr="00F82F1D">
        <w:rPr>
          <w:snapToGrid/>
          <w:kern w:val="22"/>
          <w:szCs w:val="22"/>
        </w:rPr>
        <w:t>7</w:t>
      </w:r>
      <w:r w:rsidR="000D4D95" w:rsidRPr="00F82F1D">
        <w:rPr>
          <w:snapToGrid/>
          <w:kern w:val="22"/>
          <w:szCs w:val="22"/>
        </w:rPr>
        <w:t> </w:t>
      </w:r>
      <w:r w:rsidR="00C07151" w:rsidRPr="00F82F1D">
        <w:rPr>
          <w:snapToGrid/>
          <w:kern w:val="22"/>
          <w:szCs w:val="22"/>
        </w:rPr>
        <w:t>per cent</w:t>
      </w:r>
      <w:r w:rsidRPr="00F82F1D">
        <w:rPr>
          <w:snapToGrid/>
          <w:kern w:val="22"/>
          <w:szCs w:val="22"/>
        </w:rPr>
        <w:t xml:space="preserve"> disagreed and 2</w:t>
      </w:r>
      <w:r w:rsidR="000D4D95" w:rsidRPr="00F82F1D">
        <w:rPr>
          <w:snapToGrid/>
          <w:kern w:val="22"/>
          <w:szCs w:val="22"/>
        </w:rPr>
        <w:t> </w:t>
      </w:r>
      <w:r w:rsidR="00C07151" w:rsidRPr="00F82F1D">
        <w:rPr>
          <w:snapToGrid/>
          <w:kern w:val="22"/>
          <w:szCs w:val="22"/>
        </w:rPr>
        <w:t>per cent</w:t>
      </w:r>
      <w:r w:rsidRPr="00F82F1D">
        <w:rPr>
          <w:snapToGrid/>
          <w:kern w:val="22"/>
          <w:szCs w:val="22"/>
        </w:rPr>
        <w:t xml:space="preserve"> strongly disagreed that this was the case. A further 18</w:t>
      </w:r>
      <w:r w:rsidR="000D4D95" w:rsidRPr="00F82F1D">
        <w:rPr>
          <w:snapToGrid/>
          <w:kern w:val="22"/>
          <w:szCs w:val="22"/>
        </w:rPr>
        <w:t> </w:t>
      </w:r>
      <w:r w:rsidR="00C07151" w:rsidRPr="00F82F1D">
        <w:rPr>
          <w:snapToGrid/>
          <w:kern w:val="22"/>
          <w:szCs w:val="22"/>
        </w:rPr>
        <w:t>per cent</w:t>
      </w:r>
      <w:r w:rsidRPr="00F82F1D">
        <w:rPr>
          <w:snapToGrid/>
          <w:kern w:val="22"/>
          <w:szCs w:val="22"/>
        </w:rPr>
        <w:t xml:space="preserve"> of respondents were neutral.</w:t>
      </w:r>
    </w:p>
    <w:p w:rsidR="00742F79" w:rsidRPr="00F82F1D" w:rsidRDefault="00742F79" w:rsidP="00F82F1D">
      <w:pPr>
        <w:pStyle w:val="Para1"/>
        <w:suppressLineNumbers/>
        <w:tabs>
          <w:tab w:val="clear" w:pos="360"/>
        </w:tabs>
        <w:suppressAutoHyphens/>
        <w:kinsoku w:val="0"/>
        <w:overflowPunct w:val="0"/>
        <w:autoSpaceDE w:val="0"/>
        <w:autoSpaceDN w:val="0"/>
        <w:rPr>
          <w:snapToGrid/>
          <w:kern w:val="22"/>
          <w:szCs w:val="22"/>
        </w:rPr>
      </w:pPr>
      <w:r w:rsidRPr="00F82F1D">
        <w:rPr>
          <w:snapToGrid/>
          <w:kern w:val="22"/>
          <w:szCs w:val="22"/>
        </w:rPr>
        <w:t xml:space="preserve">In their written comments, respondents to the </w:t>
      </w:r>
      <w:r w:rsidR="00E30875" w:rsidRPr="00F82F1D">
        <w:rPr>
          <w:snapToGrid/>
          <w:kern w:val="22"/>
          <w:szCs w:val="22"/>
        </w:rPr>
        <w:t xml:space="preserve">online </w:t>
      </w:r>
      <w:r w:rsidRPr="00F82F1D">
        <w:rPr>
          <w:snapToGrid/>
          <w:kern w:val="22"/>
          <w:szCs w:val="22"/>
        </w:rPr>
        <w:t>survey of participants to the concurrent meetings were generally positive regarding the effects of convening concurrent meetings on increasing the integration between the Convention and its Protocols. Among the issues highlighted were the increase in awareness of the operations of the three agreements and increased consultations. Several respondents pointed to the discussions on synthetic biology and digital sequence information as an example of increased integration among the three instruments. However, others felt that this made for complicated negotiations. Further, some respondents noted that</w:t>
      </w:r>
      <w:r w:rsidR="00D943C8" w:rsidRPr="00F82F1D">
        <w:rPr>
          <w:snapToGrid/>
          <w:kern w:val="22"/>
          <w:szCs w:val="22"/>
        </w:rPr>
        <w:t>,</w:t>
      </w:r>
      <w:r w:rsidRPr="00F82F1D">
        <w:rPr>
          <w:snapToGrid/>
          <w:kern w:val="22"/>
          <w:szCs w:val="22"/>
        </w:rPr>
        <w:t xml:space="preserve"> for small delegations</w:t>
      </w:r>
      <w:r w:rsidR="00533D1F" w:rsidRPr="00F82F1D">
        <w:rPr>
          <w:snapToGrid/>
          <w:kern w:val="22"/>
          <w:szCs w:val="22"/>
        </w:rPr>
        <w:t>,</w:t>
      </w:r>
      <w:r w:rsidRPr="00F82F1D">
        <w:rPr>
          <w:snapToGrid/>
          <w:kern w:val="22"/>
          <w:szCs w:val="22"/>
        </w:rPr>
        <w:t xml:space="preserve"> concurrent meetings did not facilitate integration and raised questions about the mandates of the Convention and </w:t>
      </w:r>
      <w:r w:rsidR="00533D1F" w:rsidRPr="00F82F1D">
        <w:rPr>
          <w:snapToGrid/>
          <w:kern w:val="22"/>
          <w:szCs w:val="22"/>
        </w:rPr>
        <w:t xml:space="preserve">the </w:t>
      </w:r>
      <w:r w:rsidRPr="00F82F1D">
        <w:rPr>
          <w:snapToGrid/>
          <w:kern w:val="22"/>
          <w:szCs w:val="22"/>
        </w:rPr>
        <w:t>Protocols. Others felt that concurrent meetings resulted in parallel discussions and complicated negotiations rather than promot</w:t>
      </w:r>
      <w:r w:rsidR="005858D5" w:rsidRPr="00F82F1D">
        <w:rPr>
          <w:snapToGrid/>
          <w:kern w:val="22"/>
          <w:szCs w:val="22"/>
        </w:rPr>
        <w:t>ing</w:t>
      </w:r>
      <w:r w:rsidRPr="00F82F1D">
        <w:rPr>
          <w:snapToGrid/>
          <w:kern w:val="22"/>
          <w:szCs w:val="22"/>
        </w:rPr>
        <w:t xml:space="preserve"> integration. Some respondents also noted that the effects of concurrent meetings with respect to integration cannot be judged on the </w:t>
      </w:r>
      <w:r w:rsidR="007C5753" w:rsidRPr="00F82F1D">
        <w:rPr>
          <w:snapToGrid/>
          <w:kern w:val="22"/>
          <w:szCs w:val="22"/>
        </w:rPr>
        <w:t xml:space="preserve">basis of </w:t>
      </w:r>
      <w:r w:rsidRPr="00F82F1D">
        <w:rPr>
          <w:snapToGrid/>
          <w:kern w:val="22"/>
          <w:szCs w:val="22"/>
        </w:rPr>
        <w:t>outcomes of one meeting alone and that integration requires time.</w:t>
      </w:r>
    </w:p>
    <w:p w:rsidR="00742F79" w:rsidRPr="00F82F1D" w:rsidRDefault="00742F79" w:rsidP="00F82F1D">
      <w:pPr>
        <w:pStyle w:val="Para1"/>
        <w:suppressLineNumbers/>
        <w:tabs>
          <w:tab w:val="clear" w:pos="360"/>
        </w:tabs>
        <w:suppressAutoHyphens/>
        <w:kinsoku w:val="0"/>
        <w:overflowPunct w:val="0"/>
        <w:autoSpaceDE w:val="0"/>
        <w:autoSpaceDN w:val="0"/>
        <w:rPr>
          <w:snapToGrid/>
          <w:kern w:val="22"/>
          <w:szCs w:val="22"/>
        </w:rPr>
      </w:pPr>
      <w:r w:rsidRPr="00F82F1D">
        <w:rPr>
          <w:snapToGrid/>
          <w:kern w:val="22"/>
          <w:szCs w:val="22"/>
        </w:rPr>
        <w:t xml:space="preserve">The issue of integration among the Convention and its Protocols during meetings held concurrently was also considered </w:t>
      </w:r>
      <w:r w:rsidR="0016083D" w:rsidRPr="00F82F1D">
        <w:rPr>
          <w:snapToGrid/>
          <w:kern w:val="22"/>
          <w:szCs w:val="22"/>
        </w:rPr>
        <w:t xml:space="preserve">by </w:t>
      </w:r>
      <w:r w:rsidRPr="00F82F1D">
        <w:rPr>
          <w:snapToGrid/>
          <w:kern w:val="22"/>
          <w:szCs w:val="22"/>
        </w:rPr>
        <w:t>the Compliance Committee under the Cartagena Protocol on Biosafety</w:t>
      </w:r>
      <w:r w:rsidR="0016083D" w:rsidRPr="00F82F1D">
        <w:rPr>
          <w:snapToGrid/>
          <w:kern w:val="22"/>
          <w:szCs w:val="22"/>
        </w:rPr>
        <w:t xml:space="preserve"> at its fourteenth meeting</w:t>
      </w:r>
      <w:r w:rsidRPr="00F82F1D">
        <w:rPr>
          <w:snapToGrid/>
          <w:kern w:val="22"/>
          <w:szCs w:val="22"/>
        </w:rPr>
        <w:t xml:space="preserve">. The members of the Committee noted that concurrent meetings allowed for better and more integrated discussions on matters common to the Convention and its Protocols, including the guidance to the </w:t>
      </w:r>
      <w:r w:rsidR="00533D1F" w:rsidRPr="00F82F1D">
        <w:rPr>
          <w:snapToGrid/>
          <w:kern w:val="22"/>
          <w:szCs w:val="22"/>
        </w:rPr>
        <w:t>Global Environment Facility.</w:t>
      </w:r>
      <w:r w:rsidRPr="00F82F1D">
        <w:rPr>
          <w:snapToGrid/>
          <w:kern w:val="22"/>
          <w:szCs w:val="22"/>
          <w:vertAlign w:val="superscript"/>
        </w:rPr>
        <w:footnoteReference w:id="14"/>
      </w:r>
    </w:p>
    <w:p w:rsidR="00742F79" w:rsidRPr="00F82F1D" w:rsidRDefault="00742F79" w:rsidP="00F82F1D">
      <w:pPr>
        <w:keepNext/>
        <w:numPr>
          <w:ilvl w:val="0"/>
          <w:numId w:val="52"/>
        </w:numPr>
        <w:suppressLineNumbers/>
        <w:suppressAutoHyphens/>
        <w:kinsoku w:val="0"/>
        <w:overflowPunct w:val="0"/>
        <w:autoSpaceDE w:val="0"/>
        <w:autoSpaceDN w:val="0"/>
        <w:spacing w:before="240" w:after="120"/>
        <w:jc w:val="center"/>
        <w:rPr>
          <w:b/>
          <w:bCs/>
          <w:kern w:val="22"/>
          <w:szCs w:val="22"/>
        </w:rPr>
      </w:pPr>
      <w:r w:rsidRPr="00F82F1D">
        <w:rPr>
          <w:b/>
          <w:bCs/>
          <w:kern w:val="22"/>
          <w:szCs w:val="22"/>
        </w:rPr>
        <w:t>COST-EFFECTIVENESS</w:t>
      </w:r>
    </w:p>
    <w:p w:rsidR="00742F79" w:rsidRPr="00F82F1D" w:rsidRDefault="00742F79" w:rsidP="00F82F1D">
      <w:pPr>
        <w:pStyle w:val="Para1"/>
        <w:suppressLineNumbers/>
        <w:tabs>
          <w:tab w:val="clear" w:pos="360"/>
        </w:tabs>
        <w:suppressAutoHyphens/>
        <w:kinsoku w:val="0"/>
        <w:overflowPunct w:val="0"/>
        <w:autoSpaceDE w:val="0"/>
        <w:autoSpaceDN w:val="0"/>
        <w:rPr>
          <w:snapToGrid/>
          <w:kern w:val="22"/>
          <w:szCs w:val="22"/>
        </w:rPr>
      </w:pPr>
      <w:r w:rsidRPr="00F82F1D">
        <w:rPr>
          <w:snapToGrid/>
          <w:kern w:val="22"/>
          <w:szCs w:val="22"/>
        </w:rPr>
        <w:t>On the criterion of cost</w:t>
      </w:r>
      <w:r w:rsidR="000C4880" w:rsidRPr="00F82F1D">
        <w:rPr>
          <w:snapToGrid/>
          <w:kern w:val="22"/>
          <w:szCs w:val="22"/>
        </w:rPr>
        <w:t>-</w:t>
      </w:r>
      <w:r w:rsidRPr="00F82F1D">
        <w:rPr>
          <w:snapToGrid/>
          <w:kern w:val="22"/>
          <w:szCs w:val="22"/>
        </w:rPr>
        <w:t>effectiveness, 37</w:t>
      </w:r>
      <w:r w:rsidR="00C07151" w:rsidRPr="00F82F1D">
        <w:rPr>
          <w:snapToGrid/>
          <w:kern w:val="22"/>
          <w:szCs w:val="22"/>
        </w:rPr>
        <w:t xml:space="preserve"> per cent</w:t>
      </w:r>
      <w:r w:rsidRPr="00F82F1D">
        <w:rPr>
          <w:snapToGrid/>
          <w:kern w:val="22"/>
          <w:szCs w:val="22"/>
        </w:rPr>
        <w:t xml:space="preserve"> of Parties responding to the survey felt that the criterion </w:t>
      </w:r>
      <w:r w:rsidR="000C4880" w:rsidRPr="00F82F1D">
        <w:rPr>
          <w:snapToGrid/>
          <w:kern w:val="22"/>
          <w:szCs w:val="22"/>
        </w:rPr>
        <w:t xml:space="preserve">had been </w:t>
      </w:r>
      <w:r w:rsidRPr="00F82F1D">
        <w:rPr>
          <w:snapToGrid/>
          <w:kern w:val="22"/>
          <w:szCs w:val="22"/>
        </w:rPr>
        <w:t>fully met, 49</w:t>
      </w:r>
      <w:r w:rsidR="00C07151" w:rsidRPr="00F82F1D">
        <w:rPr>
          <w:snapToGrid/>
          <w:kern w:val="22"/>
          <w:szCs w:val="22"/>
        </w:rPr>
        <w:t xml:space="preserve"> per cent</w:t>
      </w:r>
      <w:r w:rsidRPr="00F82F1D">
        <w:rPr>
          <w:snapToGrid/>
          <w:kern w:val="22"/>
          <w:szCs w:val="22"/>
        </w:rPr>
        <w:t xml:space="preserve"> felt that it </w:t>
      </w:r>
      <w:r w:rsidR="000C4880" w:rsidRPr="00F82F1D">
        <w:rPr>
          <w:snapToGrid/>
          <w:kern w:val="22"/>
          <w:szCs w:val="22"/>
        </w:rPr>
        <w:t xml:space="preserve">had been </w:t>
      </w:r>
      <w:r w:rsidRPr="00F82F1D">
        <w:rPr>
          <w:snapToGrid/>
          <w:kern w:val="22"/>
          <w:szCs w:val="22"/>
        </w:rPr>
        <w:t>partially met and 14</w:t>
      </w:r>
      <w:r w:rsidR="00C07151" w:rsidRPr="00F82F1D">
        <w:rPr>
          <w:snapToGrid/>
          <w:kern w:val="22"/>
          <w:szCs w:val="22"/>
        </w:rPr>
        <w:t xml:space="preserve"> per cent</w:t>
      </w:r>
      <w:r w:rsidRPr="00F82F1D">
        <w:rPr>
          <w:snapToGrid/>
          <w:kern w:val="22"/>
          <w:szCs w:val="22"/>
        </w:rPr>
        <w:t xml:space="preserve"> felt that it </w:t>
      </w:r>
      <w:r w:rsidR="000C4880" w:rsidRPr="00F82F1D">
        <w:rPr>
          <w:snapToGrid/>
          <w:kern w:val="22"/>
          <w:szCs w:val="22"/>
        </w:rPr>
        <w:t xml:space="preserve">had </w:t>
      </w:r>
      <w:r w:rsidRPr="00F82F1D">
        <w:rPr>
          <w:snapToGrid/>
          <w:kern w:val="22"/>
          <w:szCs w:val="22"/>
        </w:rPr>
        <w:t xml:space="preserve">not </w:t>
      </w:r>
      <w:r w:rsidR="000C4880" w:rsidRPr="00F82F1D">
        <w:rPr>
          <w:snapToGrid/>
          <w:kern w:val="22"/>
          <w:szCs w:val="22"/>
        </w:rPr>
        <w:t xml:space="preserve">been </w:t>
      </w:r>
      <w:r w:rsidRPr="00F82F1D">
        <w:rPr>
          <w:snapToGrid/>
          <w:kern w:val="22"/>
          <w:szCs w:val="22"/>
        </w:rPr>
        <w:t>met. When the results are disaggregated for developing and developed</w:t>
      </w:r>
      <w:r w:rsidR="00586032" w:rsidRPr="00F82F1D">
        <w:rPr>
          <w:snapToGrid/>
          <w:kern w:val="22"/>
          <w:szCs w:val="22"/>
        </w:rPr>
        <w:t xml:space="preserve"> countries</w:t>
      </w:r>
      <w:r w:rsidRPr="00F82F1D">
        <w:rPr>
          <w:snapToGrid/>
          <w:kern w:val="22"/>
          <w:szCs w:val="22"/>
        </w:rPr>
        <w:t>, 45</w:t>
      </w:r>
      <w:r w:rsidR="00C07151" w:rsidRPr="00F82F1D">
        <w:rPr>
          <w:snapToGrid/>
          <w:kern w:val="22"/>
          <w:szCs w:val="22"/>
        </w:rPr>
        <w:t xml:space="preserve"> per cent</w:t>
      </w:r>
      <w:r w:rsidRPr="00F82F1D">
        <w:rPr>
          <w:snapToGrid/>
          <w:kern w:val="22"/>
          <w:szCs w:val="22"/>
        </w:rPr>
        <w:t xml:space="preserve"> of respondents from developing country Parties felt that the criterion </w:t>
      </w:r>
      <w:r w:rsidR="00FE444C" w:rsidRPr="00F82F1D">
        <w:rPr>
          <w:snapToGrid/>
          <w:kern w:val="22"/>
          <w:szCs w:val="22"/>
        </w:rPr>
        <w:t xml:space="preserve">had been </w:t>
      </w:r>
      <w:r w:rsidRPr="00F82F1D">
        <w:rPr>
          <w:snapToGrid/>
          <w:kern w:val="22"/>
          <w:szCs w:val="22"/>
        </w:rPr>
        <w:t xml:space="preserve">fully met, </w:t>
      </w:r>
      <w:proofErr w:type="gramStart"/>
      <w:r w:rsidRPr="00F82F1D">
        <w:rPr>
          <w:snapToGrid/>
          <w:kern w:val="22"/>
          <w:szCs w:val="22"/>
        </w:rPr>
        <w:t>45</w:t>
      </w:r>
      <w:proofErr w:type="gramEnd"/>
      <w:r w:rsidR="00C07151" w:rsidRPr="00F82F1D">
        <w:rPr>
          <w:snapToGrid/>
          <w:kern w:val="22"/>
          <w:szCs w:val="22"/>
        </w:rPr>
        <w:t xml:space="preserve"> per cent</w:t>
      </w:r>
      <w:r w:rsidRPr="00F82F1D">
        <w:rPr>
          <w:snapToGrid/>
          <w:kern w:val="22"/>
          <w:szCs w:val="22"/>
        </w:rPr>
        <w:t xml:space="preserve"> felt that it </w:t>
      </w:r>
      <w:r w:rsidR="00FE444C" w:rsidRPr="00F82F1D">
        <w:rPr>
          <w:snapToGrid/>
          <w:kern w:val="22"/>
          <w:szCs w:val="22"/>
        </w:rPr>
        <w:t xml:space="preserve">had been </w:t>
      </w:r>
      <w:r w:rsidRPr="00F82F1D">
        <w:rPr>
          <w:snapToGrid/>
          <w:kern w:val="22"/>
          <w:szCs w:val="22"/>
        </w:rPr>
        <w:t>partially met, and 10</w:t>
      </w:r>
      <w:r w:rsidR="00C07151" w:rsidRPr="00F82F1D">
        <w:rPr>
          <w:snapToGrid/>
          <w:kern w:val="22"/>
          <w:szCs w:val="22"/>
        </w:rPr>
        <w:t xml:space="preserve"> per cent</w:t>
      </w:r>
      <w:r w:rsidRPr="00F82F1D">
        <w:rPr>
          <w:snapToGrid/>
          <w:kern w:val="22"/>
          <w:szCs w:val="22"/>
        </w:rPr>
        <w:t xml:space="preserve"> felt that it </w:t>
      </w:r>
      <w:r w:rsidR="00FE444C" w:rsidRPr="00F82F1D">
        <w:rPr>
          <w:snapToGrid/>
          <w:kern w:val="22"/>
          <w:szCs w:val="22"/>
        </w:rPr>
        <w:t xml:space="preserve">had </w:t>
      </w:r>
      <w:r w:rsidRPr="00F82F1D">
        <w:rPr>
          <w:snapToGrid/>
          <w:kern w:val="22"/>
          <w:szCs w:val="22"/>
        </w:rPr>
        <w:t xml:space="preserve">not </w:t>
      </w:r>
      <w:r w:rsidR="00FE444C" w:rsidRPr="00F82F1D">
        <w:rPr>
          <w:snapToGrid/>
          <w:kern w:val="22"/>
          <w:szCs w:val="22"/>
        </w:rPr>
        <w:t xml:space="preserve">been </w:t>
      </w:r>
      <w:r w:rsidRPr="00F82F1D">
        <w:rPr>
          <w:snapToGrid/>
          <w:kern w:val="22"/>
          <w:szCs w:val="22"/>
        </w:rPr>
        <w:t>met.</w:t>
      </w:r>
      <w:r w:rsidR="00586032" w:rsidRPr="00F82F1D">
        <w:rPr>
          <w:snapToGrid/>
          <w:kern w:val="22"/>
          <w:szCs w:val="22"/>
        </w:rPr>
        <w:t xml:space="preserve"> Among developed country Parties</w:t>
      </w:r>
      <w:r w:rsidR="00FE444C" w:rsidRPr="00F82F1D">
        <w:rPr>
          <w:snapToGrid/>
          <w:kern w:val="22"/>
          <w:szCs w:val="22"/>
        </w:rPr>
        <w:t>,</w:t>
      </w:r>
      <w:r w:rsidRPr="00F82F1D">
        <w:rPr>
          <w:snapToGrid/>
          <w:kern w:val="22"/>
          <w:szCs w:val="22"/>
        </w:rPr>
        <w:t xml:space="preserve"> 13</w:t>
      </w:r>
      <w:r w:rsidR="00C07151" w:rsidRPr="00F82F1D">
        <w:rPr>
          <w:snapToGrid/>
          <w:kern w:val="22"/>
          <w:szCs w:val="22"/>
        </w:rPr>
        <w:t xml:space="preserve"> per cent</w:t>
      </w:r>
      <w:r w:rsidRPr="00F82F1D">
        <w:rPr>
          <w:snapToGrid/>
          <w:kern w:val="22"/>
          <w:szCs w:val="22"/>
        </w:rPr>
        <w:t xml:space="preserve"> felt that the criterion </w:t>
      </w:r>
      <w:r w:rsidR="00FE444C" w:rsidRPr="00F82F1D">
        <w:rPr>
          <w:snapToGrid/>
          <w:kern w:val="22"/>
          <w:szCs w:val="22"/>
        </w:rPr>
        <w:t xml:space="preserve">had been </w:t>
      </w:r>
      <w:r w:rsidRPr="00F82F1D">
        <w:rPr>
          <w:snapToGrid/>
          <w:kern w:val="22"/>
          <w:szCs w:val="22"/>
        </w:rPr>
        <w:t>met, 62</w:t>
      </w:r>
      <w:r w:rsidR="00C07151" w:rsidRPr="00F82F1D">
        <w:rPr>
          <w:snapToGrid/>
          <w:kern w:val="22"/>
          <w:szCs w:val="22"/>
        </w:rPr>
        <w:t xml:space="preserve"> per cent</w:t>
      </w:r>
      <w:r w:rsidRPr="00F82F1D">
        <w:rPr>
          <w:snapToGrid/>
          <w:kern w:val="22"/>
          <w:szCs w:val="22"/>
        </w:rPr>
        <w:t xml:space="preserve"> felt that it </w:t>
      </w:r>
      <w:r w:rsidR="00FE444C" w:rsidRPr="00F82F1D">
        <w:rPr>
          <w:snapToGrid/>
          <w:kern w:val="22"/>
          <w:szCs w:val="22"/>
        </w:rPr>
        <w:t xml:space="preserve">had been </w:t>
      </w:r>
      <w:r w:rsidRPr="00F82F1D">
        <w:rPr>
          <w:snapToGrid/>
          <w:kern w:val="22"/>
          <w:szCs w:val="22"/>
        </w:rPr>
        <w:t>partially met, 25</w:t>
      </w:r>
      <w:r w:rsidR="00C07151" w:rsidRPr="00F82F1D">
        <w:rPr>
          <w:snapToGrid/>
          <w:kern w:val="22"/>
          <w:szCs w:val="22"/>
        </w:rPr>
        <w:t xml:space="preserve"> per cent</w:t>
      </w:r>
      <w:r w:rsidRPr="00F82F1D">
        <w:rPr>
          <w:snapToGrid/>
          <w:kern w:val="22"/>
          <w:szCs w:val="22"/>
        </w:rPr>
        <w:t xml:space="preserve"> felt that it </w:t>
      </w:r>
      <w:r w:rsidR="00FE444C" w:rsidRPr="00F82F1D">
        <w:rPr>
          <w:snapToGrid/>
          <w:kern w:val="22"/>
          <w:szCs w:val="22"/>
        </w:rPr>
        <w:t xml:space="preserve">had </w:t>
      </w:r>
      <w:r w:rsidRPr="00F82F1D">
        <w:rPr>
          <w:snapToGrid/>
          <w:kern w:val="22"/>
          <w:szCs w:val="22"/>
        </w:rPr>
        <w:t xml:space="preserve">not </w:t>
      </w:r>
      <w:r w:rsidR="00FE444C" w:rsidRPr="00F82F1D">
        <w:rPr>
          <w:snapToGrid/>
          <w:kern w:val="22"/>
          <w:szCs w:val="22"/>
        </w:rPr>
        <w:t xml:space="preserve">been </w:t>
      </w:r>
      <w:r w:rsidRPr="00F82F1D">
        <w:rPr>
          <w:snapToGrid/>
          <w:kern w:val="22"/>
          <w:szCs w:val="22"/>
        </w:rPr>
        <w:t>met.</w:t>
      </w:r>
    </w:p>
    <w:p w:rsidR="00742F79" w:rsidRPr="00F82F1D" w:rsidRDefault="00166030" w:rsidP="00F82F1D">
      <w:pPr>
        <w:pStyle w:val="Para1"/>
        <w:suppressLineNumbers/>
        <w:tabs>
          <w:tab w:val="clear" w:pos="360"/>
        </w:tabs>
        <w:suppressAutoHyphens/>
        <w:kinsoku w:val="0"/>
        <w:overflowPunct w:val="0"/>
        <w:autoSpaceDE w:val="0"/>
        <w:autoSpaceDN w:val="0"/>
        <w:rPr>
          <w:snapToGrid/>
          <w:kern w:val="22"/>
          <w:szCs w:val="22"/>
        </w:rPr>
      </w:pPr>
      <w:r w:rsidRPr="00F82F1D">
        <w:rPr>
          <w:snapToGrid/>
          <w:kern w:val="22"/>
          <w:szCs w:val="22"/>
        </w:rPr>
        <w:t>Regarding</w:t>
      </w:r>
      <w:r w:rsidR="00742F79" w:rsidRPr="00F82F1D">
        <w:rPr>
          <w:snapToGrid/>
          <w:kern w:val="22"/>
          <w:szCs w:val="22"/>
        </w:rPr>
        <w:t xml:space="preserve"> the criterion on the cost</w:t>
      </w:r>
      <w:r w:rsidRPr="00F82F1D">
        <w:rPr>
          <w:snapToGrid/>
          <w:kern w:val="22"/>
          <w:szCs w:val="22"/>
        </w:rPr>
        <w:t>-</w:t>
      </w:r>
      <w:r w:rsidR="00742F79" w:rsidRPr="00F82F1D">
        <w:rPr>
          <w:snapToGrid/>
          <w:kern w:val="22"/>
          <w:szCs w:val="22"/>
        </w:rPr>
        <w:t>effectiveness with respect to the Cartagena Protocol, 29</w:t>
      </w:r>
      <w:r w:rsidR="00C07151" w:rsidRPr="00F82F1D">
        <w:rPr>
          <w:snapToGrid/>
          <w:kern w:val="22"/>
          <w:szCs w:val="22"/>
        </w:rPr>
        <w:t xml:space="preserve"> per cent</w:t>
      </w:r>
      <w:r w:rsidR="00742F79" w:rsidRPr="00F82F1D">
        <w:rPr>
          <w:snapToGrid/>
          <w:kern w:val="22"/>
          <w:szCs w:val="22"/>
        </w:rPr>
        <w:t xml:space="preserve"> of responses indicated that the criterion </w:t>
      </w:r>
      <w:r w:rsidRPr="00F82F1D">
        <w:rPr>
          <w:snapToGrid/>
          <w:kern w:val="22"/>
          <w:szCs w:val="22"/>
        </w:rPr>
        <w:t xml:space="preserve">had been </w:t>
      </w:r>
      <w:r w:rsidR="00742F79" w:rsidRPr="00F82F1D">
        <w:rPr>
          <w:snapToGrid/>
          <w:kern w:val="22"/>
          <w:szCs w:val="22"/>
        </w:rPr>
        <w:t>fully met, 43</w:t>
      </w:r>
      <w:r w:rsidR="00C07151" w:rsidRPr="00F82F1D">
        <w:rPr>
          <w:snapToGrid/>
          <w:kern w:val="22"/>
          <w:szCs w:val="22"/>
        </w:rPr>
        <w:t xml:space="preserve"> per cent</w:t>
      </w:r>
      <w:r w:rsidR="00742F79" w:rsidRPr="00F82F1D">
        <w:rPr>
          <w:snapToGrid/>
          <w:kern w:val="22"/>
          <w:szCs w:val="22"/>
        </w:rPr>
        <w:t xml:space="preserve"> of responses indicated that the criterion </w:t>
      </w:r>
      <w:r w:rsidRPr="00F82F1D">
        <w:rPr>
          <w:snapToGrid/>
          <w:kern w:val="22"/>
          <w:szCs w:val="22"/>
        </w:rPr>
        <w:t xml:space="preserve">had been </w:t>
      </w:r>
      <w:r w:rsidR="00742F79" w:rsidRPr="00F82F1D">
        <w:rPr>
          <w:snapToGrid/>
          <w:kern w:val="22"/>
          <w:szCs w:val="22"/>
        </w:rPr>
        <w:t>partially met, and 29</w:t>
      </w:r>
      <w:r w:rsidR="00C07151" w:rsidRPr="00F82F1D">
        <w:rPr>
          <w:snapToGrid/>
          <w:kern w:val="22"/>
          <w:szCs w:val="22"/>
        </w:rPr>
        <w:t xml:space="preserve"> per cent</w:t>
      </w:r>
      <w:r w:rsidR="00742F79" w:rsidRPr="00F82F1D">
        <w:rPr>
          <w:snapToGrid/>
          <w:kern w:val="22"/>
          <w:szCs w:val="22"/>
        </w:rPr>
        <w:t xml:space="preserve"> that the criterion </w:t>
      </w:r>
      <w:r w:rsidRPr="00F82F1D">
        <w:rPr>
          <w:snapToGrid/>
          <w:kern w:val="22"/>
          <w:szCs w:val="22"/>
        </w:rPr>
        <w:t xml:space="preserve">had </w:t>
      </w:r>
      <w:r w:rsidR="00742F79" w:rsidRPr="00F82F1D">
        <w:rPr>
          <w:snapToGrid/>
          <w:kern w:val="22"/>
          <w:szCs w:val="22"/>
        </w:rPr>
        <w:t xml:space="preserve">not </w:t>
      </w:r>
      <w:r w:rsidRPr="00F82F1D">
        <w:rPr>
          <w:snapToGrid/>
          <w:kern w:val="22"/>
          <w:szCs w:val="22"/>
        </w:rPr>
        <w:t xml:space="preserve">been </w:t>
      </w:r>
      <w:r w:rsidR="00742F79" w:rsidRPr="00F82F1D">
        <w:rPr>
          <w:snapToGrid/>
          <w:kern w:val="22"/>
          <w:szCs w:val="22"/>
        </w:rPr>
        <w:t xml:space="preserve">met. In comparison to the other criteria, this was the one where the greatest proportion of respondents felt the criterion </w:t>
      </w:r>
      <w:r w:rsidR="00B64008" w:rsidRPr="00F82F1D">
        <w:rPr>
          <w:snapToGrid/>
          <w:kern w:val="22"/>
          <w:szCs w:val="22"/>
        </w:rPr>
        <w:t xml:space="preserve">had </w:t>
      </w:r>
      <w:r w:rsidR="00742F79" w:rsidRPr="00F82F1D">
        <w:rPr>
          <w:snapToGrid/>
          <w:kern w:val="22"/>
          <w:szCs w:val="22"/>
        </w:rPr>
        <w:t xml:space="preserve">not </w:t>
      </w:r>
      <w:r w:rsidR="00B64008" w:rsidRPr="00F82F1D">
        <w:rPr>
          <w:snapToGrid/>
          <w:kern w:val="22"/>
          <w:szCs w:val="22"/>
        </w:rPr>
        <w:t xml:space="preserve">been </w:t>
      </w:r>
      <w:r w:rsidR="00742F79" w:rsidRPr="00F82F1D">
        <w:rPr>
          <w:snapToGrid/>
          <w:kern w:val="22"/>
          <w:szCs w:val="22"/>
        </w:rPr>
        <w:t>met. When the responses received are disaggregated by developing and developed countries, 33</w:t>
      </w:r>
      <w:r w:rsidR="00C07151" w:rsidRPr="00F82F1D">
        <w:rPr>
          <w:snapToGrid/>
          <w:kern w:val="22"/>
          <w:szCs w:val="22"/>
        </w:rPr>
        <w:t xml:space="preserve"> per cent</w:t>
      </w:r>
      <w:r w:rsidR="00742F79" w:rsidRPr="00F82F1D">
        <w:rPr>
          <w:snapToGrid/>
          <w:kern w:val="22"/>
          <w:szCs w:val="22"/>
        </w:rPr>
        <w:t xml:space="preserve"> of respondents from developing country Parties felt that the criterion had been met, 48</w:t>
      </w:r>
      <w:r w:rsidR="00C07151" w:rsidRPr="00F82F1D">
        <w:rPr>
          <w:snapToGrid/>
          <w:kern w:val="22"/>
          <w:szCs w:val="22"/>
        </w:rPr>
        <w:t xml:space="preserve"> per cent</w:t>
      </w:r>
      <w:r w:rsidR="00742F79" w:rsidRPr="00F82F1D">
        <w:rPr>
          <w:snapToGrid/>
          <w:kern w:val="22"/>
          <w:szCs w:val="22"/>
        </w:rPr>
        <w:t xml:space="preserve"> felt that it had been partially met </w:t>
      </w:r>
      <w:r w:rsidR="00586032" w:rsidRPr="00F82F1D">
        <w:rPr>
          <w:snapToGrid/>
          <w:kern w:val="22"/>
          <w:szCs w:val="22"/>
        </w:rPr>
        <w:t xml:space="preserve">and </w:t>
      </w:r>
      <w:r w:rsidR="00742F79" w:rsidRPr="00F82F1D">
        <w:rPr>
          <w:snapToGrid/>
          <w:kern w:val="22"/>
          <w:szCs w:val="22"/>
        </w:rPr>
        <w:t>20</w:t>
      </w:r>
      <w:r w:rsidR="00C07151" w:rsidRPr="00F82F1D">
        <w:rPr>
          <w:snapToGrid/>
          <w:kern w:val="22"/>
          <w:szCs w:val="22"/>
        </w:rPr>
        <w:t xml:space="preserve"> per cent</w:t>
      </w:r>
      <w:r w:rsidR="00742F79" w:rsidRPr="00F82F1D">
        <w:rPr>
          <w:snapToGrid/>
          <w:kern w:val="22"/>
          <w:szCs w:val="22"/>
        </w:rPr>
        <w:t xml:space="preserve"> believe</w:t>
      </w:r>
      <w:r w:rsidRPr="00F82F1D">
        <w:rPr>
          <w:snapToGrid/>
          <w:kern w:val="22"/>
          <w:szCs w:val="22"/>
        </w:rPr>
        <w:t>d that</w:t>
      </w:r>
      <w:r w:rsidR="00742F79" w:rsidRPr="00F82F1D">
        <w:rPr>
          <w:snapToGrid/>
          <w:kern w:val="22"/>
          <w:szCs w:val="22"/>
        </w:rPr>
        <w:t xml:space="preserve"> it had not been met. By comparison</w:t>
      </w:r>
      <w:r w:rsidR="005C0B37" w:rsidRPr="00F82F1D">
        <w:rPr>
          <w:snapToGrid/>
          <w:kern w:val="22"/>
          <w:szCs w:val="22"/>
        </w:rPr>
        <w:t>,</w:t>
      </w:r>
      <w:r w:rsidR="00742F79" w:rsidRPr="00F82F1D">
        <w:rPr>
          <w:snapToGrid/>
          <w:kern w:val="22"/>
          <w:szCs w:val="22"/>
        </w:rPr>
        <w:t xml:space="preserve"> 19</w:t>
      </w:r>
      <w:r w:rsidR="00C07151" w:rsidRPr="00F82F1D">
        <w:rPr>
          <w:snapToGrid/>
          <w:kern w:val="22"/>
          <w:szCs w:val="22"/>
        </w:rPr>
        <w:t xml:space="preserve"> per cent</w:t>
      </w:r>
      <w:r w:rsidR="00742F79" w:rsidRPr="00F82F1D">
        <w:rPr>
          <w:snapToGrid/>
          <w:kern w:val="22"/>
          <w:szCs w:val="22"/>
        </w:rPr>
        <w:t xml:space="preserve"> of respondents from developed country Parties felt that the criterion </w:t>
      </w:r>
      <w:r w:rsidRPr="00F82F1D">
        <w:rPr>
          <w:snapToGrid/>
          <w:kern w:val="22"/>
          <w:szCs w:val="22"/>
        </w:rPr>
        <w:t xml:space="preserve">had been </w:t>
      </w:r>
      <w:r w:rsidR="00742F79" w:rsidRPr="00F82F1D">
        <w:rPr>
          <w:snapToGrid/>
          <w:kern w:val="22"/>
          <w:szCs w:val="22"/>
        </w:rPr>
        <w:t>fully met, 25</w:t>
      </w:r>
      <w:r w:rsidR="00C07151" w:rsidRPr="00F82F1D">
        <w:rPr>
          <w:snapToGrid/>
          <w:kern w:val="22"/>
          <w:szCs w:val="22"/>
        </w:rPr>
        <w:t xml:space="preserve"> per cent</w:t>
      </w:r>
      <w:r w:rsidR="00742F79" w:rsidRPr="00F82F1D">
        <w:rPr>
          <w:snapToGrid/>
          <w:kern w:val="22"/>
          <w:szCs w:val="22"/>
        </w:rPr>
        <w:t xml:space="preserve"> felt that it </w:t>
      </w:r>
      <w:r w:rsidRPr="00F82F1D">
        <w:rPr>
          <w:snapToGrid/>
          <w:kern w:val="22"/>
          <w:szCs w:val="22"/>
        </w:rPr>
        <w:t xml:space="preserve">had been </w:t>
      </w:r>
      <w:r w:rsidR="00742F79" w:rsidRPr="00F82F1D">
        <w:rPr>
          <w:snapToGrid/>
          <w:kern w:val="22"/>
          <w:szCs w:val="22"/>
        </w:rPr>
        <w:t>partially met, 56</w:t>
      </w:r>
      <w:r w:rsidR="00C07151" w:rsidRPr="00F82F1D">
        <w:rPr>
          <w:snapToGrid/>
          <w:kern w:val="22"/>
          <w:szCs w:val="22"/>
        </w:rPr>
        <w:t xml:space="preserve"> per cent</w:t>
      </w:r>
      <w:r w:rsidR="00742F79" w:rsidRPr="00F82F1D">
        <w:rPr>
          <w:snapToGrid/>
          <w:kern w:val="22"/>
          <w:szCs w:val="22"/>
        </w:rPr>
        <w:t xml:space="preserve"> felt that </w:t>
      </w:r>
      <w:r w:rsidRPr="00F82F1D">
        <w:rPr>
          <w:snapToGrid/>
          <w:kern w:val="22"/>
          <w:szCs w:val="22"/>
        </w:rPr>
        <w:t xml:space="preserve">had </w:t>
      </w:r>
      <w:r w:rsidR="00742F79" w:rsidRPr="00F82F1D">
        <w:rPr>
          <w:snapToGrid/>
          <w:kern w:val="22"/>
          <w:szCs w:val="22"/>
        </w:rPr>
        <w:t xml:space="preserve">not </w:t>
      </w:r>
      <w:r w:rsidRPr="00F82F1D">
        <w:rPr>
          <w:snapToGrid/>
          <w:kern w:val="22"/>
          <w:szCs w:val="22"/>
        </w:rPr>
        <w:t xml:space="preserve">been </w:t>
      </w:r>
      <w:r w:rsidR="00742F79" w:rsidRPr="00F82F1D">
        <w:rPr>
          <w:snapToGrid/>
          <w:kern w:val="22"/>
          <w:szCs w:val="22"/>
        </w:rPr>
        <w:t>met.</w:t>
      </w:r>
    </w:p>
    <w:p w:rsidR="00742F79" w:rsidRPr="00F82F1D" w:rsidRDefault="00742F79" w:rsidP="00F82F1D">
      <w:pPr>
        <w:pStyle w:val="Para1"/>
        <w:suppressLineNumbers/>
        <w:tabs>
          <w:tab w:val="clear" w:pos="360"/>
        </w:tabs>
        <w:suppressAutoHyphens/>
        <w:kinsoku w:val="0"/>
        <w:overflowPunct w:val="0"/>
        <w:autoSpaceDE w:val="0"/>
        <w:autoSpaceDN w:val="0"/>
        <w:rPr>
          <w:snapToGrid/>
          <w:kern w:val="22"/>
          <w:szCs w:val="22"/>
        </w:rPr>
      </w:pPr>
      <w:r w:rsidRPr="00F82F1D">
        <w:rPr>
          <w:snapToGrid/>
          <w:kern w:val="22"/>
          <w:szCs w:val="22"/>
        </w:rPr>
        <w:t>In their written comments</w:t>
      </w:r>
      <w:r w:rsidR="008C3552" w:rsidRPr="00F82F1D">
        <w:rPr>
          <w:snapToGrid/>
          <w:kern w:val="22"/>
          <w:szCs w:val="22"/>
        </w:rPr>
        <w:t>,</w:t>
      </w:r>
      <w:r w:rsidRPr="00F82F1D">
        <w:rPr>
          <w:snapToGrid/>
          <w:kern w:val="22"/>
          <w:szCs w:val="22"/>
        </w:rPr>
        <w:t xml:space="preserve"> Parties noted that having concurrent meetings generated cost savings in relation to some elements of their participation, such as by only having two weeks of meetings rather than three weeks, but that it also generated some increased costs. Increased costs were generally noted in relation to the need to have delegates responsible for the Cartagena and Nagoya Protocols attend two weeks of meetings. Further, it was noted that the increased number of parallel sessions required larger delegations in order to ensure effective participation.</w:t>
      </w:r>
    </w:p>
    <w:p w:rsidR="00742F79" w:rsidRPr="00F82F1D" w:rsidRDefault="00742F79" w:rsidP="00F82F1D">
      <w:pPr>
        <w:pStyle w:val="Para1"/>
        <w:suppressLineNumbers/>
        <w:tabs>
          <w:tab w:val="clear" w:pos="360"/>
        </w:tabs>
        <w:suppressAutoHyphens/>
        <w:kinsoku w:val="0"/>
        <w:overflowPunct w:val="0"/>
        <w:autoSpaceDE w:val="0"/>
        <w:autoSpaceDN w:val="0"/>
        <w:rPr>
          <w:snapToGrid/>
          <w:kern w:val="22"/>
          <w:szCs w:val="22"/>
        </w:rPr>
      </w:pPr>
      <w:r w:rsidRPr="00F82F1D">
        <w:rPr>
          <w:snapToGrid/>
          <w:kern w:val="22"/>
          <w:szCs w:val="22"/>
        </w:rPr>
        <w:t xml:space="preserve">In addition to the costs related to funding participants, there are a variety of costs associated with convening meetings of the Convention and the Protocols. Differences in national circumstances among </w:t>
      </w:r>
      <w:r w:rsidRPr="00F82F1D">
        <w:rPr>
          <w:snapToGrid/>
          <w:kern w:val="22"/>
          <w:szCs w:val="22"/>
        </w:rPr>
        <w:lastRenderedPageBreak/>
        <w:t xml:space="preserve">host countries make a direct comparison of costs impossible. However, some issues can be compared in relative terms. For example, the concurrent meetings </w:t>
      </w:r>
      <w:r w:rsidR="00CC366C" w:rsidRPr="00F82F1D">
        <w:rPr>
          <w:snapToGrid/>
          <w:kern w:val="22"/>
          <w:szCs w:val="22"/>
        </w:rPr>
        <w:t xml:space="preserve">held </w:t>
      </w:r>
      <w:r w:rsidRPr="00F82F1D">
        <w:rPr>
          <w:snapToGrid/>
          <w:kern w:val="22"/>
          <w:szCs w:val="22"/>
        </w:rPr>
        <w:t xml:space="preserve">in 2016 required the same number of security </w:t>
      </w:r>
      <w:r w:rsidR="00B6064C" w:rsidRPr="00F82F1D">
        <w:rPr>
          <w:snapToGrid/>
          <w:kern w:val="22"/>
          <w:szCs w:val="22"/>
        </w:rPr>
        <w:t xml:space="preserve">officers </w:t>
      </w:r>
      <w:r w:rsidRPr="00F82F1D">
        <w:rPr>
          <w:snapToGrid/>
          <w:kern w:val="22"/>
          <w:szCs w:val="22"/>
        </w:rPr>
        <w:t>from the United Nations Department of Safety and Security as for previous meetings of the COP and MOPs. However</w:t>
      </w:r>
      <w:r w:rsidR="00CC366C" w:rsidRPr="00F82F1D">
        <w:rPr>
          <w:snapToGrid/>
          <w:kern w:val="22"/>
          <w:szCs w:val="22"/>
        </w:rPr>
        <w:t>,</w:t>
      </w:r>
      <w:r w:rsidRPr="00F82F1D">
        <w:rPr>
          <w:snapToGrid/>
          <w:kern w:val="22"/>
          <w:szCs w:val="22"/>
        </w:rPr>
        <w:t xml:space="preserve"> during the concurrent meetings</w:t>
      </w:r>
      <w:r w:rsidR="00CF5A23" w:rsidRPr="00F82F1D">
        <w:rPr>
          <w:snapToGrid/>
          <w:kern w:val="22"/>
          <w:szCs w:val="22"/>
        </w:rPr>
        <w:t>,</w:t>
      </w:r>
      <w:r w:rsidRPr="00F82F1D">
        <w:rPr>
          <w:snapToGrid/>
          <w:kern w:val="22"/>
          <w:szCs w:val="22"/>
        </w:rPr>
        <w:t xml:space="preserve"> </w:t>
      </w:r>
      <w:r w:rsidR="00B6064C" w:rsidRPr="00F82F1D">
        <w:rPr>
          <w:snapToGrid/>
          <w:kern w:val="22"/>
          <w:szCs w:val="22"/>
        </w:rPr>
        <w:t xml:space="preserve">officers </w:t>
      </w:r>
      <w:r w:rsidRPr="00F82F1D">
        <w:rPr>
          <w:snapToGrid/>
          <w:kern w:val="22"/>
          <w:szCs w:val="22"/>
        </w:rPr>
        <w:t>were only required for 20 days</w:t>
      </w:r>
      <w:r w:rsidR="003772DB" w:rsidRPr="00F82F1D">
        <w:rPr>
          <w:snapToGrid/>
          <w:kern w:val="22"/>
          <w:szCs w:val="22"/>
        </w:rPr>
        <w:t>,</w:t>
      </w:r>
      <w:r w:rsidRPr="00F82F1D">
        <w:rPr>
          <w:snapToGrid/>
          <w:kern w:val="22"/>
          <w:szCs w:val="22"/>
        </w:rPr>
        <w:t xml:space="preserve"> </w:t>
      </w:r>
      <w:r w:rsidR="003772DB" w:rsidRPr="00F82F1D">
        <w:rPr>
          <w:snapToGrid/>
          <w:kern w:val="22"/>
          <w:szCs w:val="22"/>
        </w:rPr>
        <w:t>whereas</w:t>
      </w:r>
      <w:r w:rsidRPr="00F82F1D">
        <w:rPr>
          <w:snapToGrid/>
          <w:kern w:val="22"/>
          <w:szCs w:val="22"/>
        </w:rPr>
        <w:t xml:space="preserve"> for other meetings their presence </w:t>
      </w:r>
      <w:r w:rsidR="00046709" w:rsidRPr="00F82F1D">
        <w:rPr>
          <w:snapToGrid/>
          <w:kern w:val="22"/>
          <w:szCs w:val="22"/>
        </w:rPr>
        <w:t xml:space="preserve">had been </w:t>
      </w:r>
      <w:r w:rsidRPr="00F82F1D">
        <w:rPr>
          <w:snapToGrid/>
          <w:kern w:val="22"/>
          <w:szCs w:val="22"/>
        </w:rPr>
        <w:t>required for between 26 and 28 days.</w:t>
      </w:r>
    </w:p>
    <w:p w:rsidR="00742F79" w:rsidRPr="00F82F1D" w:rsidRDefault="00742F79" w:rsidP="00F82F1D">
      <w:pPr>
        <w:pStyle w:val="Para1"/>
        <w:suppressLineNumbers/>
        <w:tabs>
          <w:tab w:val="clear" w:pos="360"/>
        </w:tabs>
        <w:suppressAutoHyphens/>
        <w:kinsoku w:val="0"/>
        <w:overflowPunct w:val="0"/>
        <w:autoSpaceDE w:val="0"/>
        <w:autoSpaceDN w:val="0"/>
        <w:rPr>
          <w:snapToGrid/>
          <w:kern w:val="22"/>
          <w:szCs w:val="22"/>
        </w:rPr>
      </w:pPr>
      <w:r w:rsidRPr="00F82F1D">
        <w:rPr>
          <w:snapToGrid/>
          <w:kern w:val="22"/>
          <w:szCs w:val="22"/>
        </w:rPr>
        <w:t>With regard to interpretation costs, the concurrent meetings in 2016 required more interpreters than previous meetings of COP and MOPs. However</w:t>
      </w:r>
      <w:r w:rsidR="00CC366C" w:rsidRPr="00F82F1D">
        <w:rPr>
          <w:snapToGrid/>
          <w:kern w:val="22"/>
          <w:szCs w:val="22"/>
        </w:rPr>
        <w:t>,</w:t>
      </w:r>
      <w:r w:rsidRPr="00F82F1D">
        <w:rPr>
          <w:snapToGrid/>
          <w:kern w:val="22"/>
          <w:szCs w:val="22"/>
        </w:rPr>
        <w:t xml:space="preserve"> the interpreters were required for less time. For example</w:t>
      </w:r>
      <w:r w:rsidR="00CC366C" w:rsidRPr="00F82F1D">
        <w:rPr>
          <w:snapToGrid/>
          <w:kern w:val="22"/>
          <w:szCs w:val="22"/>
        </w:rPr>
        <w:t>,</w:t>
      </w:r>
      <w:r w:rsidRPr="00F82F1D">
        <w:rPr>
          <w:snapToGrid/>
          <w:kern w:val="22"/>
          <w:szCs w:val="22"/>
        </w:rPr>
        <w:t xml:space="preserve"> the concurrent meetings required 756 interpreter days (54 interpreters for 14 days) whereas COP</w:t>
      </w:r>
      <w:r w:rsidR="00CC366C" w:rsidRPr="00F82F1D">
        <w:rPr>
          <w:snapToGrid/>
          <w:kern w:val="22"/>
          <w:szCs w:val="22"/>
        </w:rPr>
        <w:t> </w:t>
      </w:r>
      <w:r w:rsidRPr="00F82F1D">
        <w:rPr>
          <w:snapToGrid/>
          <w:kern w:val="22"/>
          <w:szCs w:val="22"/>
        </w:rPr>
        <w:t>12</w:t>
      </w:r>
      <w:r w:rsidR="00586032" w:rsidRPr="00F82F1D">
        <w:rPr>
          <w:snapToGrid/>
          <w:kern w:val="22"/>
          <w:szCs w:val="22"/>
        </w:rPr>
        <w:t>, COP</w:t>
      </w:r>
      <w:r w:rsidR="00CC366C" w:rsidRPr="00F82F1D">
        <w:rPr>
          <w:snapToGrid/>
          <w:kern w:val="22"/>
          <w:szCs w:val="22"/>
        </w:rPr>
        <w:noBreakHyphen/>
      </w:r>
      <w:r w:rsidR="00586032" w:rsidRPr="00F82F1D">
        <w:rPr>
          <w:snapToGrid/>
          <w:kern w:val="22"/>
          <w:szCs w:val="22"/>
        </w:rPr>
        <w:t>MOP</w:t>
      </w:r>
      <w:r w:rsidR="00CC366C" w:rsidRPr="00F82F1D">
        <w:rPr>
          <w:snapToGrid/>
          <w:kern w:val="22"/>
          <w:szCs w:val="22"/>
        </w:rPr>
        <w:t> </w:t>
      </w:r>
      <w:r w:rsidR="00586032" w:rsidRPr="00F82F1D">
        <w:rPr>
          <w:snapToGrid/>
          <w:kern w:val="22"/>
          <w:szCs w:val="22"/>
        </w:rPr>
        <w:t>6</w:t>
      </w:r>
      <w:r w:rsidR="00E30875" w:rsidRPr="00F82F1D">
        <w:rPr>
          <w:snapToGrid/>
          <w:kern w:val="22"/>
          <w:szCs w:val="22"/>
        </w:rPr>
        <w:t>,</w:t>
      </w:r>
      <w:r w:rsidRPr="00F82F1D">
        <w:rPr>
          <w:snapToGrid/>
          <w:kern w:val="22"/>
          <w:szCs w:val="22"/>
        </w:rPr>
        <w:t xml:space="preserve"> </w:t>
      </w:r>
      <w:r w:rsidR="00E30875" w:rsidRPr="00F82F1D">
        <w:rPr>
          <w:snapToGrid/>
          <w:kern w:val="22"/>
          <w:szCs w:val="22"/>
        </w:rPr>
        <w:t>COP</w:t>
      </w:r>
      <w:r w:rsidR="00CC366C" w:rsidRPr="00F82F1D">
        <w:rPr>
          <w:snapToGrid/>
          <w:kern w:val="22"/>
          <w:szCs w:val="22"/>
        </w:rPr>
        <w:t> </w:t>
      </w:r>
      <w:r w:rsidR="00E30875" w:rsidRPr="00F82F1D">
        <w:rPr>
          <w:snapToGrid/>
          <w:kern w:val="22"/>
          <w:szCs w:val="22"/>
        </w:rPr>
        <w:t>10, COP-MOP</w:t>
      </w:r>
      <w:r w:rsidR="00CC366C" w:rsidRPr="00F82F1D">
        <w:rPr>
          <w:snapToGrid/>
          <w:kern w:val="22"/>
          <w:szCs w:val="22"/>
        </w:rPr>
        <w:t> </w:t>
      </w:r>
      <w:r w:rsidR="00E30875" w:rsidRPr="00F82F1D">
        <w:rPr>
          <w:snapToGrid/>
          <w:kern w:val="22"/>
          <w:szCs w:val="22"/>
        </w:rPr>
        <w:t xml:space="preserve">5, and </w:t>
      </w:r>
      <w:r w:rsidRPr="00F82F1D">
        <w:rPr>
          <w:snapToGrid/>
          <w:kern w:val="22"/>
          <w:szCs w:val="22"/>
        </w:rPr>
        <w:t>COP</w:t>
      </w:r>
      <w:r w:rsidR="00CC366C" w:rsidRPr="00F82F1D">
        <w:rPr>
          <w:snapToGrid/>
          <w:kern w:val="22"/>
          <w:szCs w:val="22"/>
        </w:rPr>
        <w:t> </w:t>
      </w:r>
      <w:r w:rsidRPr="00F82F1D">
        <w:rPr>
          <w:snapToGrid/>
          <w:kern w:val="22"/>
          <w:szCs w:val="22"/>
        </w:rPr>
        <w:t>9</w:t>
      </w:r>
      <w:r w:rsidR="00586032" w:rsidRPr="00F82F1D">
        <w:rPr>
          <w:snapToGrid/>
          <w:kern w:val="22"/>
          <w:szCs w:val="22"/>
        </w:rPr>
        <w:t>, COP-MOP</w:t>
      </w:r>
      <w:r w:rsidR="00CC366C" w:rsidRPr="00F82F1D">
        <w:rPr>
          <w:snapToGrid/>
          <w:kern w:val="22"/>
          <w:szCs w:val="22"/>
        </w:rPr>
        <w:t> </w:t>
      </w:r>
      <w:r w:rsidR="00586032" w:rsidRPr="00F82F1D">
        <w:rPr>
          <w:snapToGrid/>
          <w:kern w:val="22"/>
          <w:szCs w:val="22"/>
        </w:rPr>
        <w:t xml:space="preserve">4 </w:t>
      </w:r>
      <w:r w:rsidRPr="00F82F1D">
        <w:rPr>
          <w:snapToGrid/>
          <w:kern w:val="22"/>
          <w:szCs w:val="22"/>
        </w:rPr>
        <w:t>required 836 interpreter days (44 interpreters for 19 days), COP</w:t>
      </w:r>
      <w:r w:rsidR="00CC366C" w:rsidRPr="00F82F1D">
        <w:rPr>
          <w:snapToGrid/>
          <w:kern w:val="22"/>
          <w:szCs w:val="22"/>
        </w:rPr>
        <w:t> </w:t>
      </w:r>
      <w:r w:rsidRPr="00F82F1D">
        <w:rPr>
          <w:snapToGrid/>
          <w:kern w:val="22"/>
          <w:szCs w:val="22"/>
        </w:rPr>
        <w:t>11</w:t>
      </w:r>
      <w:r w:rsidR="00586032" w:rsidRPr="00F82F1D">
        <w:rPr>
          <w:snapToGrid/>
          <w:kern w:val="22"/>
          <w:szCs w:val="22"/>
        </w:rPr>
        <w:t>, COP-MOP</w:t>
      </w:r>
      <w:r w:rsidR="00CC366C" w:rsidRPr="00F82F1D">
        <w:rPr>
          <w:snapToGrid/>
          <w:kern w:val="22"/>
          <w:szCs w:val="22"/>
        </w:rPr>
        <w:t> </w:t>
      </w:r>
      <w:r w:rsidR="00586032" w:rsidRPr="00F82F1D">
        <w:rPr>
          <w:snapToGrid/>
          <w:kern w:val="22"/>
          <w:szCs w:val="22"/>
        </w:rPr>
        <w:t>6</w:t>
      </w:r>
      <w:r w:rsidRPr="00F82F1D">
        <w:rPr>
          <w:snapToGrid/>
          <w:kern w:val="22"/>
          <w:szCs w:val="22"/>
        </w:rPr>
        <w:t xml:space="preserve"> required 798 interpreter days (42 interpreters for 19 days), and COP</w:t>
      </w:r>
      <w:r w:rsidR="00CC366C" w:rsidRPr="00F82F1D">
        <w:rPr>
          <w:snapToGrid/>
          <w:kern w:val="22"/>
          <w:szCs w:val="22"/>
        </w:rPr>
        <w:t> </w:t>
      </w:r>
      <w:r w:rsidRPr="00F82F1D">
        <w:rPr>
          <w:snapToGrid/>
          <w:kern w:val="22"/>
          <w:szCs w:val="22"/>
        </w:rPr>
        <w:t>8</w:t>
      </w:r>
      <w:r w:rsidR="00586032" w:rsidRPr="00F82F1D">
        <w:rPr>
          <w:snapToGrid/>
          <w:kern w:val="22"/>
          <w:szCs w:val="22"/>
        </w:rPr>
        <w:t>, COP-MOP</w:t>
      </w:r>
      <w:r w:rsidR="00CC366C" w:rsidRPr="00F82F1D">
        <w:rPr>
          <w:snapToGrid/>
          <w:kern w:val="22"/>
          <w:szCs w:val="22"/>
        </w:rPr>
        <w:t> </w:t>
      </w:r>
      <w:r w:rsidR="00586032" w:rsidRPr="00F82F1D">
        <w:rPr>
          <w:snapToGrid/>
          <w:kern w:val="22"/>
          <w:szCs w:val="22"/>
        </w:rPr>
        <w:t>3</w:t>
      </w:r>
      <w:r w:rsidRPr="00F82F1D">
        <w:rPr>
          <w:snapToGrid/>
          <w:kern w:val="22"/>
          <w:szCs w:val="22"/>
        </w:rPr>
        <w:t xml:space="preserve"> required 722 interpreter days (38 interpreters for 19 days) (see table</w:t>
      </w:r>
      <w:r w:rsidR="00F12357" w:rsidRPr="00F82F1D">
        <w:rPr>
          <w:snapToGrid/>
          <w:kern w:val="22"/>
          <w:szCs w:val="22"/>
        </w:rPr>
        <w:t> </w:t>
      </w:r>
      <w:r w:rsidRPr="00F82F1D">
        <w:rPr>
          <w:snapToGrid/>
          <w:kern w:val="22"/>
          <w:szCs w:val="22"/>
        </w:rPr>
        <w:t>2). However, it is important to note that the length of the contract for interpreters is based on a variety of factors</w:t>
      </w:r>
      <w:r w:rsidR="00B41DC0" w:rsidRPr="00F82F1D">
        <w:rPr>
          <w:snapToGrid/>
          <w:kern w:val="22"/>
          <w:szCs w:val="22"/>
        </w:rPr>
        <w:t>,</w:t>
      </w:r>
      <w:r w:rsidRPr="00F82F1D">
        <w:rPr>
          <w:snapToGrid/>
          <w:kern w:val="22"/>
          <w:szCs w:val="22"/>
        </w:rPr>
        <w:t xml:space="preserve"> including the length of the meetings, the number of weekends, and the country the interpreters are travelling from to reach the meeting venue. </w:t>
      </w:r>
      <w:r w:rsidR="00B41DC0" w:rsidRPr="00F82F1D">
        <w:rPr>
          <w:snapToGrid/>
          <w:kern w:val="22"/>
          <w:szCs w:val="22"/>
        </w:rPr>
        <w:t>Thus,</w:t>
      </w:r>
      <w:r w:rsidRPr="00F82F1D">
        <w:rPr>
          <w:snapToGrid/>
          <w:kern w:val="22"/>
          <w:szCs w:val="22"/>
        </w:rPr>
        <w:t xml:space="preserve"> the contracts for interpreters are not solely determined by the duration of the meeting.</w:t>
      </w:r>
    </w:p>
    <w:p w:rsidR="00742F79" w:rsidRPr="00F82F1D" w:rsidRDefault="00742F79" w:rsidP="00F82F1D">
      <w:pPr>
        <w:pStyle w:val="Para1"/>
        <w:suppressLineNumbers/>
        <w:tabs>
          <w:tab w:val="clear" w:pos="360"/>
        </w:tabs>
        <w:suppressAutoHyphens/>
        <w:kinsoku w:val="0"/>
        <w:overflowPunct w:val="0"/>
        <w:autoSpaceDE w:val="0"/>
        <w:autoSpaceDN w:val="0"/>
        <w:rPr>
          <w:snapToGrid/>
          <w:kern w:val="22"/>
          <w:szCs w:val="22"/>
        </w:rPr>
      </w:pPr>
      <w:r w:rsidRPr="00F82F1D">
        <w:rPr>
          <w:snapToGrid/>
          <w:kern w:val="22"/>
          <w:szCs w:val="22"/>
        </w:rPr>
        <w:t>With regard to services for document translation, for the concurrent meetings in 2016, a total of 630 translator days (45 translators for 14 days) were used. For previous meetings of COP and MOPs</w:t>
      </w:r>
      <w:r w:rsidR="007478C4" w:rsidRPr="00F82F1D">
        <w:rPr>
          <w:snapToGrid/>
          <w:kern w:val="22"/>
          <w:szCs w:val="22"/>
        </w:rPr>
        <w:t>,</w:t>
      </w:r>
      <w:r w:rsidRPr="00F82F1D">
        <w:rPr>
          <w:snapToGrid/>
          <w:kern w:val="22"/>
          <w:szCs w:val="22"/>
        </w:rPr>
        <w:t xml:space="preserve"> the practice had been to use 840 translator days (40 translators for 21 days). However, the experience gained at the concurrent meetings suggests that, in the future, when concurrent meetings are held, the number of translators hired and/or the length of their contracts may need to be increased</w:t>
      </w:r>
      <w:r w:rsidR="00E30875" w:rsidRPr="00F82F1D">
        <w:rPr>
          <w:snapToGrid/>
          <w:kern w:val="22"/>
          <w:szCs w:val="22"/>
        </w:rPr>
        <w:t xml:space="preserve"> somewhat</w:t>
      </w:r>
      <w:r w:rsidRPr="00F82F1D">
        <w:rPr>
          <w:snapToGrid/>
          <w:kern w:val="22"/>
          <w:szCs w:val="22"/>
        </w:rPr>
        <w:t xml:space="preserve"> in order to better serve the needs of the meetings.</w:t>
      </w: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8"/>
        <w:gridCol w:w="1646"/>
        <w:gridCol w:w="2331"/>
        <w:gridCol w:w="1531"/>
      </w:tblGrid>
      <w:tr w:rsidR="00742F79" w:rsidRPr="00F82F1D" w:rsidTr="00F82F1D">
        <w:trPr>
          <w:cantSplit/>
          <w:trHeight w:val="95"/>
          <w:jc w:val="center"/>
        </w:trPr>
        <w:tc>
          <w:tcPr>
            <w:tcW w:w="9716" w:type="dxa"/>
            <w:gridSpan w:val="4"/>
            <w:tcBorders>
              <w:top w:val="nil"/>
              <w:left w:val="nil"/>
              <w:right w:val="nil"/>
            </w:tcBorders>
            <w:shd w:val="clear" w:color="auto" w:fill="auto"/>
          </w:tcPr>
          <w:p w:rsidR="00742F79" w:rsidRPr="00F82F1D" w:rsidRDefault="00742F79" w:rsidP="00F82F1D">
            <w:pPr>
              <w:suppressLineNumbers/>
              <w:suppressAutoHyphens/>
              <w:kinsoku w:val="0"/>
              <w:overflowPunct w:val="0"/>
              <w:autoSpaceDE w:val="0"/>
              <w:autoSpaceDN w:val="0"/>
              <w:rPr>
                <w:b/>
                <w:kern w:val="22"/>
                <w:szCs w:val="22"/>
              </w:rPr>
            </w:pPr>
            <w:r w:rsidRPr="00F82F1D">
              <w:rPr>
                <w:b/>
                <w:kern w:val="22"/>
                <w:szCs w:val="22"/>
              </w:rPr>
              <w:t>Table 2</w:t>
            </w:r>
            <w:r w:rsidR="0054116A" w:rsidRPr="00F82F1D">
              <w:rPr>
                <w:b/>
                <w:kern w:val="22"/>
                <w:szCs w:val="22"/>
              </w:rPr>
              <w:t>.</w:t>
            </w:r>
            <w:r w:rsidRPr="00F82F1D">
              <w:rPr>
                <w:b/>
                <w:kern w:val="22"/>
                <w:szCs w:val="22"/>
              </w:rPr>
              <w:t xml:space="preserve"> </w:t>
            </w:r>
            <w:r w:rsidR="0054116A" w:rsidRPr="00F82F1D">
              <w:rPr>
                <w:b/>
                <w:kern w:val="22"/>
                <w:szCs w:val="22"/>
              </w:rPr>
              <w:t>I</w:t>
            </w:r>
            <w:r w:rsidRPr="00F82F1D">
              <w:rPr>
                <w:b/>
                <w:kern w:val="22"/>
                <w:szCs w:val="22"/>
              </w:rPr>
              <w:t>nterpretation needs</w:t>
            </w:r>
          </w:p>
        </w:tc>
      </w:tr>
      <w:tr w:rsidR="00742F79" w:rsidRPr="00F82F1D" w:rsidTr="00F82F1D">
        <w:trPr>
          <w:cantSplit/>
          <w:jc w:val="center"/>
        </w:trPr>
        <w:tc>
          <w:tcPr>
            <w:tcW w:w="4208" w:type="dxa"/>
            <w:shd w:val="clear" w:color="auto" w:fill="auto"/>
          </w:tcPr>
          <w:p w:rsidR="00742F79" w:rsidRPr="00F82F1D" w:rsidRDefault="00742F79" w:rsidP="00F82F1D">
            <w:pPr>
              <w:suppressLineNumbers/>
              <w:suppressAutoHyphens/>
              <w:kinsoku w:val="0"/>
              <w:overflowPunct w:val="0"/>
              <w:autoSpaceDE w:val="0"/>
              <w:autoSpaceDN w:val="0"/>
              <w:spacing w:before="40" w:after="40"/>
              <w:jc w:val="center"/>
              <w:rPr>
                <w:i/>
                <w:iCs/>
                <w:kern w:val="22"/>
                <w:szCs w:val="22"/>
              </w:rPr>
            </w:pPr>
            <w:r w:rsidRPr="00F82F1D">
              <w:rPr>
                <w:i/>
                <w:iCs/>
                <w:kern w:val="22"/>
                <w:szCs w:val="22"/>
              </w:rPr>
              <w:t>Meetings</w:t>
            </w:r>
          </w:p>
        </w:tc>
        <w:tc>
          <w:tcPr>
            <w:tcW w:w="0" w:type="auto"/>
            <w:shd w:val="clear" w:color="auto" w:fill="auto"/>
          </w:tcPr>
          <w:p w:rsidR="00742F79" w:rsidRPr="00F82F1D" w:rsidRDefault="00742F79" w:rsidP="00F82F1D">
            <w:pPr>
              <w:suppressLineNumbers/>
              <w:suppressAutoHyphens/>
              <w:kinsoku w:val="0"/>
              <w:overflowPunct w:val="0"/>
              <w:autoSpaceDE w:val="0"/>
              <w:autoSpaceDN w:val="0"/>
              <w:spacing w:before="40" w:after="40"/>
              <w:jc w:val="center"/>
              <w:rPr>
                <w:i/>
                <w:iCs/>
                <w:kern w:val="22"/>
                <w:szCs w:val="22"/>
              </w:rPr>
            </w:pPr>
            <w:r w:rsidRPr="00F82F1D">
              <w:rPr>
                <w:i/>
                <w:iCs/>
                <w:kern w:val="22"/>
                <w:szCs w:val="22"/>
              </w:rPr>
              <w:t>Length of contract</w:t>
            </w:r>
          </w:p>
        </w:tc>
        <w:tc>
          <w:tcPr>
            <w:tcW w:w="0" w:type="auto"/>
            <w:shd w:val="clear" w:color="auto" w:fill="auto"/>
          </w:tcPr>
          <w:p w:rsidR="00742F79" w:rsidRPr="00F82F1D" w:rsidRDefault="00083F3E" w:rsidP="00F82F1D">
            <w:pPr>
              <w:suppressLineNumbers/>
              <w:suppressAutoHyphens/>
              <w:kinsoku w:val="0"/>
              <w:overflowPunct w:val="0"/>
              <w:autoSpaceDE w:val="0"/>
              <w:autoSpaceDN w:val="0"/>
              <w:spacing w:before="40" w:after="40"/>
              <w:jc w:val="center"/>
              <w:rPr>
                <w:i/>
                <w:iCs/>
                <w:kern w:val="22"/>
                <w:szCs w:val="22"/>
              </w:rPr>
            </w:pPr>
            <w:r w:rsidRPr="00F82F1D">
              <w:rPr>
                <w:i/>
                <w:iCs/>
                <w:kern w:val="22"/>
                <w:szCs w:val="22"/>
              </w:rPr>
              <w:t>No. of i</w:t>
            </w:r>
            <w:r w:rsidR="00742F79" w:rsidRPr="00F82F1D">
              <w:rPr>
                <w:i/>
                <w:iCs/>
                <w:kern w:val="22"/>
                <w:szCs w:val="22"/>
              </w:rPr>
              <w:t>nterpreters required</w:t>
            </w:r>
          </w:p>
        </w:tc>
        <w:tc>
          <w:tcPr>
            <w:tcW w:w="0" w:type="auto"/>
            <w:shd w:val="clear" w:color="auto" w:fill="auto"/>
          </w:tcPr>
          <w:p w:rsidR="00742F79" w:rsidRPr="00F82F1D" w:rsidRDefault="00742F79" w:rsidP="00F82F1D">
            <w:pPr>
              <w:suppressLineNumbers/>
              <w:suppressAutoHyphens/>
              <w:kinsoku w:val="0"/>
              <w:overflowPunct w:val="0"/>
              <w:autoSpaceDE w:val="0"/>
              <w:autoSpaceDN w:val="0"/>
              <w:spacing w:before="40" w:after="40"/>
              <w:jc w:val="center"/>
              <w:rPr>
                <w:i/>
                <w:iCs/>
                <w:kern w:val="22"/>
                <w:szCs w:val="22"/>
              </w:rPr>
            </w:pPr>
            <w:r w:rsidRPr="00F82F1D">
              <w:rPr>
                <w:i/>
                <w:iCs/>
                <w:kern w:val="22"/>
                <w:szCs w:val="22"/>
              </w:rPr>
              <w:t>Interpreter days</w:t>
            </w:r>
          </w:p>
        </w:tc>
      </w:tr>
      <w:tr w:rsidR="00586032" w:rsidRPr="00F82F1D" w:rsidTr="00F82F1D">
        <w:trPr>
          <w:cantSplit/>
          <w:jc w:val="center"/>
        </w:trPr>
        <w:tc>
          <w:tcPr>
            <w:tcW w:w="4208" w:type="dxa"/>
            <w:shd w:val="clear" w:color="auto" w:fill="auto"/>
          </w:tcPr>
          <w:p w:rsidR="00586032" w:rsidRPr="00F82F1D" w:rsidRDefault="00586032" w:rsidP="00F82F1D">
            <w:pPr>
              <w:suppressLineNumbers/>
              <w:suppressAutoHyphens/>
              <w:kinsoku w:val="0"/>
              <w:overflowPunct w:val="0"/>
              <w:autoSpaceDE w:val="0"/>
              <w:autoSpaceDN w:val="0"/>
              <w:spacing w:before="40" w:after="40"/>
              <w:jc w:val="left"/>
              <w:rPr>
                <w:kern w:val="22"/>
                <w:szCs w:val="22"/>
              </w:rPr>
            </w:pPr>
            <w:r w:rsidRPr="00F82F1D">
              <w:rPr>
                <w:kern w:val="22"/>
                <w:szCs w:val="22"/>
              </w:rPr>
              <w:t xml:space="preserve">COP 8, </w:t>
            </w:r>
            <w:r w:rsidR="0052736E" w:rsidRPr="00F82F1D">
              <w:rPr>
                <w:kern w:val="22"/>
                <w:szCs w:val="22"/>
              </w:rPr>
              <w:t>CP-</w:t>
            </w:r>
            <w:r w:rsidRPr="00F82F1D">
              <w:rPr>
                <w:kern w:val="22"/>
                <w:szCs w:val="22"/>
              </w:rPr>
              <w:t>COP-MOP 3</w:t>
            </w:r>
          </w:p>
        </w:tc>
        <w:tc>
          <w:tcPr>
            <w:tcW w:w="0" w:type="auto"/>
            <w:shd w:val="clear" w:color="auto" w:fill="auto"/>
          </w:tcPr>
          <w:p w:rsidR="00586032" w:rsidRPr="00F82F1D" w:rsidRDefault="00586032" w:rsidP="00F82F1D">
            <w:pPr>
              <w:suppressLineNumbers/>
              <w:suppressAutoHyphens/>
              <w:kinsoku w:val="0"/>
              <w:overflowPunct w:val="0"/>
              <w:autoSpaceDE w:val="0"/>
              <w:autoSpaceDN w:val="0"/>
              <w:spacing w:before="40" w:after="40"/>
              <w:jc w:val="center"/>
              <w:rPr>
                <w:kern w:val="22"/>
                <w:szCs w:val="22"/>
              </w:rPr>
            </w:pPr>
            <w:r w:rsidRPr="00F82F1D">
              <w:rPr>
                <w:kern w:val="22"/>
                <w:szCs w:val="22"/>
              </w:rPr>
              <w:t>19</w:t>
            </w:r>
          </w:p>
        </w:tc>
        <w:tc>
          <w:tcPr>
            <w:tcW w:w="0" w:type="auto"/>
            <w:shd w:val="clear" w:color="auto" w:fill="auto"/>
          </w:tcPr>
          <w:p w:rsidR="00586032" w:rsidRPr="00F82F1D" w:rsidRDefault="00586032" w:rsidP="00F82F1D">
            <w:pPr>
              <w:suppressLineNumbers/>
              <w:suppressAutoHyphens/>
              <w:kinsoku w:val="0"/>
              <w:overflowPunct w:val="0"/>
              <w:autoSpaceDE w:val="0"/>
              <w:autoSpaceDN w:val="0"/>
              <w:spacing w:before="40" w:after="40"/>
              <w:jc w:val="center"/>
              <w:rPr>
                <w:kern w:val="22"/>
                <w:szCs w:val="22"/>
              </w:rPr>
            </w:pPr>
            <w:r w:rsidRPr="00F82F1D">
              <w:rPr>
                <w:kern w:val="22"/>
                <w:szCs w:val="22"/>
              </w:rPr>
              <w:t>38</w:t>
            </w:r>
          </w:p>
        </w:tc>
        <w:tc>
          <w:tcPr>
            <w:tcW w:w="0" w:type="auto"/>
            <w:shd w:val="clear" w:color="auto" w:fill="auto"/>
          </w:tcPr>
          <w:p w:rsidR="00586032" w:rsidRPr="00F82F1D" w:rsidRDefault="00586032" w:rsidP="00F82F1D">
            <w:pPr>
              <w:suppressLineNumbers/>
              <w:suppressAutoHyphens/>
              <w:kinsoku w:val="0"/>
              <w:overflowPunct w:val="0"/>
              <w:autoSpaceDE w:val="0"/>
              <w:autoSpaceDN w:val="0"/>
              <w:spacing w:before="40" w:after="40"/>
              <w:jc w:val="center"/>
              <w:rPr>
                <w:kern w:val="22"/>
                <w:szCs w:val="22"/>
              </w:rPr>
            </w:pPr>
            <w:r w:rsidRPr="00F82F1D">
              <w:rPr>
                <w:kern w:val="22"/>
                <w:szCs w:val="22"/>
              </w:rPr>
              <w:t>722</w:t>
            </w:r>
          </w:p>
        </w:tc>
      </w:tr>
      <w:tr w:rsidR="00742F79" w:rsidRPr="00F82F1D" w:rsidTr="00F82F1D">
        <w:trPr>
          <w:cantSplit/>
          <w:jc w:val="center"/>
        </w:trPr>
        <w:tc>
          <w:tcPr>
            <w:tcW w:w="4208" w:type="dxa"/>
            <w:shd w:val="clear" w:color="auto" w:fill="auto"/>
          </w:tcPr>
          <w:p w:rsidR="00742F79" w:rsidRPr="00F82F1D" w:rsidRDefault="00742F79" w:rsidP="00F82F1D">
            <w:pPr>
              <w:suppressLineNumbers/>
              <w:suppressAutoHyphens/>
              <w:kinsoku w:val="0"/>
              <w:overflowPunct w:val="0"/>
              <w:autoSpaceDE w:val="0"/>
              <w:autoSpaceDN w:val="0"/>
              <w:spacing w:before="40" w:after="40"/>
              <w:jc w:val="left"/>
              <w:rPr>
                <w:kern w:val="22"/>
                <w:szCs w:val="22"/>
              </w:rPr>
            </w:pPr>
            <w:r w:rsidRPr="00F82F1D">
              <w:rPr>
                <w:kern w:val="22"/>
                <w:szCs w:val="22"/>
              </w:rPr>
              <w:t xml:space="preserve">COP 9, </w:t>
            </w:r>
            <w:r w:rsidR="0052736E" w:rsidRPr="00F82F1D">
              <w:rPr>
                <w:kern w:val="22"/>
                <w:szCs w:val="22"/>
              </w:rPr>
              <w:t>CP-</w:t>
            </w:r>
            <w:r w:rsidRPr="00F82F1D">
              <w:rPr>
                <w:kern w:val="22"/>
                <w:szCs w:val="22"/>
              </w:rPr>
              <w:t>COP-MOP 4</w:t>
            </w:r>
          </w:p>
        </w:tc>
        <w:tc>
          <w:tcPr>
            <w:tcW w:w="0" w:type="auto"/>
            <w:shd w:val="clear" w:color="auto" w:fill="auto"/>
          </w:tcPr>
          <w:p w:rsidR="00742F79" w:rsidRPr="00F82F1D" w:rsidRDefault="00742F79" w:rsidP="00F82F1D">
            <w:pPr>
              <w:suppressLineNumbers/>
              <w:suppressAutoHyphens/>
              <w:kinsoku w:val="0"/>
              <w:overflowPunct w:val="0"/>
              <w:autoSpaceDE w:val="0"/>
              <w:autoSpaceDN w:val="0"/>
              <w:spacing w:before="40" w:after="40"/>
              <w:jc w:val="center"/>
              <w:rPr>
                <w:kern w:val="22"/>
                <w:szCs w:val="22"/>
              </w:rPr>
            </w:pPr>
            <w:r w:rsidRPr="00F82F1D">
              <w:rPr>
                <w:kern w:val="22"/>
                <w:szCs w:val="22"/>
              </w:rPr>
              <w:t>19</w:t>
            </w:r>
          </w:p>
        </w:tc>
        <w:tc>
          <w:tcPr>
            <w:tcW w:w="0" w:type="auto"/>
            <w:shd w:val="clear" w:color="auto" w:fill="auto"/>
          </w:tcPr>
          <w:p w:rsidR="00742F79" w:rsidRPr="00F82F1D" w:rsidRDefault="00742F79" w:rsidP="00F82F1D">
            <w:pPr>
              <w:suppressLineNumbers/>
              <w:suppressAutoHyphens/>
              <w:kinsoku w:val="0"/>
              <w:overflowPunct w:val="0"/>
              <w:autoSpaceDE w:val="0"/>
              <w:autoSpaceDN w:val="0"/>
              <w:spacing w:before="40" w:after="40"/>
              <w:jc w:val="center"/>
              <w:rPr>
                <w:kern w:val="22"/>
                <w:szCs w:val="22"/>
              </w:rPr>
            </w:pPr>
            <w:r w:rsidRPr="00F82F1D">
              <w:rPr>
                <w:kern w:val="22"/>
                <w:szCs w:val="22"/>
              </w:rPr>
              <w:t>44</w:t>
            </w:r>
          </w:p>
        </w:tc>
        <w:tc>
          <w:tcPr>
            <w:tcW w:w="0" w:type="auto"/>
            <w:shd w:val="clear" w:color="auto" w:fill="auto"/>
          </w:tcPr>
          <w:p w:rsidR="00742F79" w:rsidRPr="00F82F1D" w:rsidRDefault="00742F79" w:rsidP="00F82F1D">
            <w:pPr>
              <w:suppressLineNumbers/>
              <w:suppressAutoHyphens/>
              <w:kinsoku w:val="0"/>
              <w:overflowPunct w:val="0"/>
              <w:autoSpaceDE w:val="0"/>
              <w:autoSpaceDN w:val="0"/>
              <w:spacing w:before="40" w:after="40"/>
              <w:jc w:val="center"/>
              <w:rPr>
                <w:kern w:val="22"/>
                <w:szCs w:val="22"/>
              </w:rPr>
            </w:pPr>
            <w:r w:rsidRPr="00F82F1D">
              <w:rPr>
                <w:kern w:val="22"/>
                <w:szCs w:val="22"/>
              </w:rPr>
              <w:t>836</w:t>
            </w:r>
          </w:p>
        </w:tc>
      </w:tr>
      <w:tr w:rsidR="00742F79" w:rsidRPr="00F82F1D" w:rsidTr="00F82F1D">
        <w:trPr>
          <w:cantSplit/>
          <w:jc w:val="center"/>
        </w:trPr>
        <w:tc>
          <w:tcPr>
            <w:tcW w:w="4208" w:type="dxa"/>
            <w:shd w:val="clear" w:color="auto" w:fill="auto"/>
          </w:tcPr>
          <w:p w:rsidR="00742F79" w:rsidRPr="00F82F1D" w:rsidRDefault="00742F79" w:rsidP="00F82F1D">
            <w:pPr>
              <w:suppressLineNumbers/>
              <w:suppressAutoHyphens/>
              <w:kinsoku w:val="0"/>
              <w:overflowPunct w:val="0"/>
              <w:autoSpaceDE w:val="0"/>
              <w:autoSpaceDN w:val="0"/>
              <w:spacing w:before="40" w:after="40"/>
              <w:jc w:val="left"/>
              <w:rPr>
                <w:kern w:val="22"/>
                <w:szCs w:val="22"/>
              </w:rPr>
            </w:pPr>
            <w:r w:rsidRPr="00F82F1D">
              <w:rPr>
                <w:kern w:val="22"/>
                <w:szCs w:val="22"/>
              </w:rPr>
              <w:t xml:space="preserve">COP 10, </w:t>
            </w:r>
            <w:r w:rsidR="0052736E" w:rsidRPr="00F82F1D">
              <w:rPr>
                <w:kern w:val="22"/>
                <w:szCs w:val="22"/>
              </w:rPr>
              <w:t>CP-</w:t>
            </w:r>
            <w:r w:rsidRPr="00F82F1D">
              <w:rPr>
                <w:kern w:val="22"/>
                <w:szCs w:val="22"/>
              </w:rPr>
              <w:t>COP-MOP 5</w:t>
            </w:r>
          </w:p>
        </w:tc>
        <w:tc>
          <w:tcPr>
            <w:tcW w:w="0" w:type="auto"/>
            <w:shd w:val="clear" w:color="auto" w:fill="auto"/>
          </w:tcPr>
          <w:p w:rsidR="00742F79" w:rsidRPr="00F82F1D" w:rsidRDefault="00E30875" w:rsidP="00F82F1D">
            <w:pPr>
              <w:suppressLineNumbers/>
              <w:suppressAutoHyphens/>
              <w:kinsoku w:val="0"/>
              <w:overflowPunct w:val="0"/>
              <w:autoSpaceDE w:val="0"/>
              <w:autoSpaceDN w:val="0"/>
              <w:spacing w:before="40" w:after="40"/>
              <w:jc w:val="center"/>
              <w:rPr>
                <w:kern w:val="22"/>
                <w:szCs w:val="22"/>
              </w:rPr>
            </w:pPr>
            <w:r w:rsidRPr="00F82F1D">
              <w:rPr>
                <w:kern w:val="22"/>
                <w:szCs w:val="22"/>
              </w:rPr>
              <w:t>19</w:t>
            </w:r>
          </w:p>
        </w:tc>
        <w:tc>
          <w:tcPr>
            <w:tcW w:w="0" w:type="auto"/>
            <w:shd w:val="clear" w:color="auto" w:fill="auto"/>
          </w:tcPr>
          <w:p w:rsidR="00742F79" w:rsidRPr="00F82F1D" w:rsidRDefault="00742F79" w:rsidP="00F82F1D">
            <w:pPr>
              <w:suppressLineNumbers/>
              <w:suppressAutoHyphens/>
              <w:kinsoku w:val="0"/>
              <w:overflowPunct w:val="0"/>
              <w:autoSpaceDE w:val="0"/>
              <w:autoSpaceDN w:val="0"/>
              <w:spacing w:before="40" w:after="40"/>
              <w:jc w:val="center"/>
              <w:rPr>
                <w:kern w:val="22"/>
                <w:szCs w:val="22"/>
              </w:rPr>
            </w:pPr>
            <w:r w:rsidRPr="00F82F1D">
              <w:rPr>
                <w:kern w:val="22"/>
                <w:szCs w:val="22"/>
              </w:rPr>
              <w:t>44</w:t>
            </w:r>
          </w:p>
        </w:tc>
        <w:tc>
          <w:tcPr>
            <w:tcW w:w="0" w:type="auto"/>
            <w:shd w:val="clear" w:color="auto" w:fill="auto"/>
          </w:tcPr>
          <w:p w:rsidR="00742F79" w:rsidRPr="00F82F1D" w:rsidRDefault="00E30875" w:rsidP="00F82F1D">
            <w:pPr>
              <w:suppressLineNumbers/>
              <w:suppressAutoHyphens/>
              <w:kinsoku w:val="0"/>
              <w:overflowPunct w:val="0"/>
              <w:autoSpaceDE w:val="0"/>
              <w:autoSpaceDN w:val="0"/>
              <w:spacing w:before="40" w:after="40"/>
              <w:jc w:val="center"/>
              <w:rPr>
                <w:kern w:val="22"/>
                <w:szCs w:val="22"/>
              </w:rPr>
            </w:pPr>
            <w:r w:rsidRPr="00F82F1D">
              <w:rPr>
                <w:kern w:val="22"/>
                <w:szCs w:val="22"/>
              </w:rPr>
              <w:t>836</w:t>
            </w:r>
          </w:p>
        </w:tc>
      </w:tr>
      <w:tr w:rsidR="00742F79" w:rsidRPr="00F82F1D" w:rsidTr="00F82F1D">
        <w:trPr>
          <w:cantSplit/>
          <w:jc w:val="center"/>
        </w:trPr>
        <w:tc>
          <w:tcPr>
            <w:tcW w:w="4208" w:type="dxa"/>
            <w:shd w:val="clear" w:color="auto" w:fill="auto"/>
          </w:tcPr>
          <w:p w:rsidR="00742F79" w:rsidRPr="00F82F1D" w:rsidRDefault="00742F79" w:rsidP="00F82F1D">
            <w:pPr>
              <w:suppressLineNumbers/>
              <w:suppressAutoHyphens/>
              <w:kinsoku w:val="0"/>
              <w:overflowPunct w:val="0"/>
              <w:autoSpaceDE w:val="0"/>
              <w:autoSpaceDN w:val="0"/>
              <w:spacing w:before="40" w:after="40"/>
              <w:jc w:val="left"/>
              <w:rPr>
                <w:kern w:val="22"/>
                <w:szCs w:val="22"/>
              </w:rPr>
            </w:pPr>
            <w:r w:rsidRPr="00F82F1D">
              <w:rPr>
                <w:kern w:val="22"/>
                <w:szCs w:val="22"/>
              </w:rPr>
              <w:t xml:space="preserve">COP 11, </w:t>
            </w:r>
            <w:r w:rsidR="0052736E" w:rsidRPr="00F82F1D">
              <w:rPr>
                <w:kern w:val="22"/>
                <w:szCs w:val="22"/>
              </w:rPr>
              <w:t>CP-</w:t>
            </w:r>
            <w:r w:rsidRPr="00F82F1D">
              <w:rPr>
                <w:kern w:val="22"/>
                <w:szCs w:val="22"/>
              </w:rPr>
              <w:t>COP-MOP 6</w:t>
            </w:r>
          </w:p>
        </w:tc>
        <w:tc>
          <w:tcPr>
            <w:tcW w:w="0" w:type="auto"/>
            <w:shd w:val="clear" w:color="auto" w:fill="auto"/>
          </w:tcPr>
          <w:p w:rsidR="00742F79" w:rsidRPr="00F82F1D" w:rsidRDefault="00742F79" w:rsidP="00F82F1D">
            <w:pPr>
              <w:suppressLineNumbers/>
              <w:suppressAutoHyphens/>
              <w:kinsoku w:val="0"/>
              <w:overflowPunct w:val="0"/>
              <w:autoSpaceDE w:val="0"/>
              <w:autoSpaceDN w:val="0"/>
              <w:spacing w:before="40" w:after="40"/>
              <w:jc w:val="center"/>
              <w:rPr>
                <w:kern w:val="22"/>
                <w:szCs w:val="22"/>
              </w:rPr>
            </w:pPr>
            <w:r w:rsidRPr="00F82F1D">
              <w:rPr>
                <w:kern w:val="22"/>
                <w:szCs w:val="22"/>
              </w:rPr>
              <w:t>19</w:t>
            </w:r>
          </w:p>
        </w:tc>
        <w:tc>
          <w:tcPr>
            <w:tcW w:w="0" w:type="auto"/>
            <w:shd w:val="clear" w:color="auto" w:fill="auto"/>
          </w:tcPr>
          <w:p w:rsidR="00742F79" w:rsidRPr="00F82F1D" w:rsidRDefault="00742F79" w:rsidP="00F82F1D">
            <w:pPr>
              <w:suppressLineNumbers/>
              <w:suppressAutoHyphens/>
              <w:kinsoku w:val="0"/>
              <w:overflowPunct w:val="0"/>
              <w:autoSpaceDE w:val="0"/>
              <w:autoSpaceDN w:val="0"/>
              <w:spacing w:before="40" w:after="40"/>
              <w:jc w:val="center"/>
              <w:rPr>
                <w:kern w:val="22"/>
                <w:szCs w:val="22"/>
              </w:rPr>
            </w:pPr>
            <w:r w:rsidRPr="00F82F1D">
              <w:rPr>
                <w:kern w:val="22"/>
                <w:szCs w:val="22"/>
              </w:rPr>
              <w:t>42</w:t>
            </w:r>
          </w:p>
        </w:tc>
        <w:tc>
          <w:tcPr>
            <w:tcW w:w="0" w:type="auto"/>
            <w:shd w:val="clear" w:color="auto" w:fill="auto"/>
          </w:tcPr>
          <w:p w:rsidR="00742F79" w:rsidRPr="00F82F1D" w:rsidRDefault="00742F79" w:rsidP="00F82F1D">
            <w:pPr>
              <w:suppressLineNumbers/>
              <w:suppressAutoHyphens/>
              <w:kinsoku w:val="0"/>
              <w:overflowPunct w:val="0"/>
              <w:autoSpaceDE w:val="0"/>
              <w:autoSpaceDN w:val="0"/>
              <w:spacing w:before="40" w:after="40"/>
              <w:jc w:val="center"/>
              <w:rPr>
                <w:kern w:val="22"/>
                <w:szCs w:val="22"/>
              </w:rPr>
            </w:pPr>
            <w:r w:rsidRPr="00F82F1D">
              <w:rPr>
                <w:kern w:val="22"/>
                <w:szCs w:val="22"/>
              </w:rPr>
              <w:t>798</w:t>
            </w:r>
          </w:p>
        </w:tc>
      </w:tr>
      <w:tr w:rsidR="00742F79" w:rsidRPr="00F82F1D" w:rsidTr="00F82F1D">
        <w:trPr>
          <w:cantSplit/>
          <w:trHeight w:val="102"/>
          <w:jc w:val="center"/>
        </w:trPr>
        <w:tc>
          <w:tcPr>
            <w:tcW w:w="4208" w:type="dxa"/>
            <w:shd w:val="clear" w:color="auto" w:fill="auto"/>
          </w:tcPr>
          <w:p w:rsidR="00742F79" w:rsidRPr="00F82F1D" w:rsidRDefault="00742F79" w:rsidP="00F82F1D">
            <w:pPr>
              <w:suppressLineNumbers/>
              <w:suppressAutoHyphens/>
              <w:kinsoku w:val="0"/>
              <w:overflowPunct w:val="0"/>
              <w:autoSpaceDE w:val="0"/>
              <w:autoSpaceDN w:val="0"/>
              <w:spacing w:before="40" w:after="40"/>
              <w:jc w:val="left"/>
              <w:rPr>
                <w:kern w:val="22"/>
                <w:szCs w:val="22"/>
              </w:rPr>
            </w:pPr>
            <w:r w:rsidRPr="00F82F1D">
              <w:rPr>
                <w:kern w:val="22"/>
                <w:szCs w:val="22"/>
              </w:rPr>
              <w:t xml:space="preserve">COP 12, </w:t>
            </w:r>
            <w:r w:rsidR="0052736E" w:rsidRPr="00F82F1D">
              <w:rPr>
                <w:kern w:val="22"/>
                <w:szCs w:val="22"/>
              </w:rPr>
              <w:t>CP-</w:t>
            </w:r>
            <w:r w:rsidRPr="00F82F1D">
              <w:rPr>
                <w:kern w:val="22"/>
                <w:szCs w:val="22"/>
              </w:rPr>
              <w:t xml:space="preserve">COP-MOP7, </w:t>
            </w:r>
            <w:r w:rsidR="0052736E" w:rsidRPr="00F82F1D">
              <w:rPr>
                <w:kern w:val="22"/>
                <w:szCs w:val="22"/>
              </w:rPr>
              <w:t>NP-</w:t>
            </w:r>
            <w:r w:rsidRPr="00F82F1D">
              <w:rPr>
                <w:kern w:val="22"/>
                <w:szCs w:val="22"/>
              </w:rPr>
              <w:t>COP-MOP 1</w:t>
            </w:r>
          </w:p>
        </w:tc>
        <w:tc>
          <w:tcPr>
            <w:tcW w:w="0" w:type="auto"/>
            <w:shd w:val="clear" w:color="auto" w:fill="auto"/>
          </w:tcPr>
          <w:p w:rsidR="00742F79" w:rsidRPr="00F82F1D" w:rsidRDefault="00742F79" w:rsidP="00F82F1D">
            <w:pPr>
              <w:suppressLineNumbers/>
              <w:suppressAutoHyphens/>
              <w:kinsoku w:val="0"/>
              <w:overflowPunct w:val="0"/>
              <w:autoSpaceDE w:val="0"/>
              <w:autoSpaceDN w:val="0"/>
              <w:spacing w:before="40" w:after="40"/>
              <w:jc w:val="center"/>
              <w:rPr>
                <w:kern w:val="22"/>
                <w:szCs w:val="22"/>
              </w:rPr>
            </w:pPr>
            <w:r w:rsidRPr="00F82F1D">
              <w:rPr>
                <w:kern w:val="22"/>
                <w:szCs w:val="22"/>
              </w:rPr>
              <w:t>19</w:t>
            </w:r>
          </w:p>
        </w:tc>
        <w:tc>
          <w:tcPr>
            <w:tcW w:w="0" w:type="auto"/>
            <w:shd w:val="clear" w:color="auto" w:fill="auto"/>
          </w:tcPr>
          <w:p w:rsidR="00742F79" w:rsidRPr="00F82F1D" w:rsidRDefault="00742F79" w:rsidP="00F82F1D">
            <w:pPr>
              <w:suppressLineNumbers/>
              <w:suppressAutoHyphens/>
              <w:kinsoku w:val="0"/>
              <w:overflowPunct w:val="0"/>
              <w:autoSpaceDE w:val="0"/>
              <w:autoSpaceDN w:val="0"/>
              <w:spacing w:before="40" w:after="40"/>
              <w:jc w:val="center"/>
              <w:rPr>
                <w:kern w:val="22"/>
                <w:szCs w:val="22"/>
              </w:rPr>
            </w:pPr>
            <w:r w:rsidRPr="00F82F1D">
              <w:rPr>
                <w:kern w:val="22"/>
                <w:szCs w:val="22"/>
              </w:rPr>
              <w:t>44</w:t>
            </w:r>
          </w:p>
        </w:tc>
        <w:tc>
          <w:tcPr>
            <w:tcW w:w="0" w:type="auto"/>
            <w:shd w:val="clear" w:color="auto" w:fill="auto"/>
          </w:tcPr>
          <w:p w:rsidR="00742F79" w:rsidRPr="00F82F1D" w:rsidRDefault="00742F79" w:rsidP="00F82F1D">
            <w:pPr>
              <w:suppressLineNumbers/>
              <w:suppressAutoHyphens/>
              <w:kinsoku w:val="0"/>
              <w:overflowPunct w:val="0"/>
              <w:autoSpaceDE w:val="0"/>
              <w:autoSpaceDN w:val="0"/>
              <w:spacing w:before="40" w:after="40"/>
              <w:jc w:val="center"/>
              <w:rPr>
                <w:kern w:val="22"/>
                <w:szCs w:val="22"/>
              </w:rPr>
            </w:pPr>
            <w:r w:rsidRPr="00F82F1D">
              <w:rPr>
                <w:kern w:val="22"/>
                <w:szCs w:val="22"/>
              </w:rPr>
              <w:t>836</w:t>
            </w:r>
          </w:p>
        </w:tc>
      </w:tr>
      <w:tr w:rsidR="00742F79" w:rsidRPr="00F82F1D" w:rsidTr="00F82F1D">
        <w:trPr>
          <w:cantSplit/>
          <w:trHeight w:val="85"/>
          <w:jc w:val="center"/>
        </w:trPr>
        <w:tc>
          <w:tcPr>
            <w:tcW w:w="4208" w:type="dxa"/>
            <w:shd w:val="clear" w:color="auto" w:fill="auto"/>
          </w:tcPr>
          <w:p w:rsidR="00742F79" w:rsidRPr="00F82F1D" w:rsidRDefault="00742F79" w:rsidP="00F82F1D">
            <w:pPr>
              <w:suppressLineNumbers/>
              <w:suppressAutoHyphens/>
              <w:kinsoku w:val="0"/>
              <w:overflowPunct w:val="0"/>
              <w:autoSpaceDE w:val="0"/>
              <w:autoSpaceDN w:val="0"/>
              <w:spacing w:before="40" w:after="40"/>
              <w:jc w:val="left"/>
              <w:rPr>
                <w:kern w:val="22"/>
                <w:szCs w:val="22"/>
              </w:rPr>
            </w:pPr>
            <w:r w:rsidRPr="00F82F1D">
              <w:rPr>
                <w:kern w:val="22"/>
                <w:szCs w:val="22"/>
              </w:rPr>
              <w:t xml:space="preserve">COP 13, </w:t>
            </w:r>
            <w:r w:rsidR="0052736E" w:rsidRPr="00F82F1D">
              <w:rPr>
                <w:kern w:val="22"/>
                <w:szCs w:val="22"/>
              </w:rPr>
              <w:t>CP-</w:t>
            </w:r>
            <w:r w:rsidRPr="00F82F1D">
              <w:rPr>
                <w:kern w:val="22"/>
                <w:szCs w:val="22"/>
              </w:rPr>
              <w:t xml:space="preserve">COP-MOP 8, </w:t>
            </w:r>
            <w:r w:rsidR="0052736E" w:rsidRPr="00F82F1D">
              <w:rPr>
                <w:kern w:val="22"/>
                <w:szCs w:val="22"/>
              </w:rPr>
              <w:t>NP-</w:t>
            </w:r>
            <w:r w:rsidRPr="00F82F1D">
              <w:rPr>
                <w:kern w:val="22"/>
                <w:szCs w:val="22"/>
              </w:rPr>
              <w:t>COP-MOP 2</w:t>
            </w:r>
          </w:p>
        </w:tc>
        <w:tc>
          <w:tcPr>
            <w:tcW w:w="0" w:type="auto"/>
            <w:shd w:val="clear" w:color="auto" w:fill="auto"/>
          </w:tcPr>
          <w:p w:rsidR="00742F79" w:rsidRPr="00F82F1D" w:rsidRDefault="00742F79" w:rsidP="00F82F1D">
            <w:pPr>
              <w:suppressLineNumbers/>
              <w:suppressAutoHyphens/>
              <w:kinsoku w:val="0"/>
              <w:overflowPunct w:val="0"/>
              <w:autoSpaceDE w:val="0"/>
              <w:autoSpaceDN w:val="0"/>
              <w:spacing w:before="40" w:after="40"/>
              <w:jc w:val="center"/>
              <w:rPr>
                <w:kern w:val="22"/>
                <w:szCs w:val="22"/>
              </w:rPr>
            </w:pPr>
            <w:r w:rsidRPr="00F82F1D">
              <w:rPr>
                <w:kern w:val="22"/>
                <w:szCs w:val="22"/>
              </w:rPr>
              <w:t>14</w:t>
            </w:r>
          </w:p>
        </w:tc>
        <w:tc>
          <w:tcPr>
            <w:tcW w:w="0" w:type="auto"/>
            <w:shd w:val="clear" w:color="auto" w:fill="auto"/>
          </w:tcPr>
          <w:p w:rsidR="00742F79" w:rsidRPr="00F82F1D" w:rsidRDefault="00742F79" w:rsidP="00F82F1D">
            <w:pPr>
              <w:suppressLineNumbers/>
              <w:suppressAutoHyphens/>
              <w:kinsoku w:val="0"/>
              <w:overflowPunct w:val="0"/>
              <w:autoSpaceDE w:val="0"/>
              <w:autoSpaceDN w:val="0"/>
              <w:spacing w:before="40" w:after="40"/>
              <w:jc w:val="center"/>
              <w:rPr>
                <w:kern w:val="22"/>
                <w:szCs w:val="22"/>
              </w:rPr>
            </w:pPr>
            <w:r w:rsidRPr="00F82F1D">
              <w:rPr>
                <w:kern w:val="22"/>
                <w:szCs w:val="22"/>
              </w:rPr>
              <w:t>54</w:t>
            </w:r>
          </w:p>
        </w:tc>
        <w:tc>
          <w:tcPr>
            <w:tcW w:w="0" w:type="auto"/>
            <w:shd w:val="clear" w:color="auto" w:fill="auto"/>
          </w:tcPr>
          <w:p w:rsidR="00742F79" w:rsidRPr="00F82F1D" w:rsidRDefault="00742F79" w:rsidP="00F82F1D">
            <w:pPr>
              <w:suppressLineNumbers/>
              <w:suppressAutoHyphens/>
              <w:kinsoku w:val="0"/>
              <w:overflowPunct w:val="0"/>
              <w:autoSpaceDE w:val="0"/>
              <w:autoSpaceDN w:val="0"/>
              <w:spacing w:before="40" w:after="40"/>
              <w:jc w:val="center"/>
              <w:rPr>
                <w:kern w:val="22"/>
                <w:szCs w:val="22"/>
              </w:rPr>
            </w:pPr>
            <w:r w:rsidRPr="00F82F1D">
              <w:rPr>
                <w:kern w:val="22"/>
                <w:szCs w:val="22"/>
              </w:rPr>
              <w:t>756</w:t>
            </w:r>
          </w:p>
        </w:tc>
      </w:tr>
    </w:tbl>
    <w:p w:rsidR="00742F79" w:rsidRPr="00F82F1D" w:rsidRDefault="00742F79" w:rsidP="00F82F1D">
      <w:pPr>
        <w:keepNext/>
        <w:numPr>
          <w:ilvl w:val="0"/>
          <w:numId w:val="52"/>
        </w:numPr>
        <w:suppressLineNumbers/>
        <w:suppressAutoHyphens/>
        <w:kinsoku w:val="0"/>
        <w:overflowPunct w:val="0"/>
        <w:autoSpaceDE w:val="0"/>
        <w:autoSpaceDN w:val="0"/>
        <w:spacing w:before="240" w:after="120"/>
        <w:jc w:val="left"/>
        <w:rPr>
          <w:b/>
          <w:bCs/>
          <w:kern w:val="22"/>
          <w:szCs w:val="22"/>
        </w:rPr>
      </w:pPr>
      <w:r w:rsidRPr="00F82F1D">
        <w:rPr>
          <w:b/>
          <w:bCs/>
          <w:kern w:val="22"/>
          <w:szCs w:val="22"/>
        </w:rPr>
        <w:t>IMPROVED CONSULTATIONS, COORDINATION AND SYNERGIES AMONG NATIONAL FOCAL POINTS</w:t>
      </w:r>
    </w:p>
    <w:p w:rsidR="00742F79" w:rsidRPr="00F82F1D" w:rsidRDefault="00742F79" w:rsidP="00F82F1D">
      <w:pPr>
        <w:pStyle w:val="Para1"/>
        <w:suppressLineNumbers/>
        <w:tabs>
          <w:tab w:val="clear" w:pos="360"/>
        </w:tabs>
        <w:suppressAutoHyphens/>
        <w:kinsoku w:val="0"/>
        <w:overflowPunct w:val="0"/>
        <w:autoSpaceDE w:val="0"/>
        <w:autoSpaceDN w:val="0"/>
        <w:rPr>
          <w:snapToGrid/>
          <w:kern w:val="22"/>
          <w:szCs w:val="22"/>
        </w:rPr>
      </w:pPr>
      <w:r w:rsidRPr="00F82F1D">
        <w:rPr>
          <w:snapToGrid/>
          <w:kern w:val="22"/>
          <w:szCs w:val="22"/>
        </w:rPr>
        <w:t xml:space="preserve">The responses from Parties to the notification indicated that Parties generally felt that convening concurrent meetings of the Convention, the Cartagena Protocol and the Nagoya </w:t>
      </w:r>
      <w:r w:rsidR="00CC366C" w:rsidRPr="00F82F1D">
        <w:rPr>
          <w:snapToGrid/>
          <w:kern w:val="22"/>
          <w:szCs w:val="22"/>
        </w:rPr>
        <w:t>P</w:t>
      </w:r>
      <w:r w:rsidRPr="00F82F1D">
        <w:rPr>
          <w:snapToGrid/>
          <w:kern w:val="22"/>
          <w:szCs w:val="22"/>
        </w:rPr>
        <w:t>rotocol improved consultations, coordination and synergies among national focal points. A majority of responses indicate</w:t>
      </w:r>
      <w:r w:rsidR="00CC5F7A" w:rsidRPr="00F82F1D">
        <w:rPr>
          <w:snapToGrid/>
          <w:kern w:val="22"/>
          <w:szCs w:val="22"/>
        </w:rPr>
        <w:t>d</w:t>
      </w:r>
      <w:r w:rsidRPr="00F82F1D">
        <w:rPr>
          <w:snapToGrid/>
          <w:kern w:val="22"/>
          <w:szCs w:val="22"/>
        </w:rPr>
        <w:t xml:space="preserve"> that this criterion had been fully met (58</w:t>
      </w:r>
      <w:r w:rsidR="00C07151" w:rsidRPr="00F82F1D">
        <w:rPr>
          <w:snapToGrid/>
          <w:kern w:val="22"/>
          <w:szCs w:val="22"/>
        </w:rPr>
        <w:t xml:space="preserve"> per cent</w:t>
      </w:r>
      <w:r w:rsidRPr="00F82F1D">
        <w:rPr>
          <w:snapToGrid/>
          <w:kern w:val="22"/>
          <w:szCs w:val="22"/>
        </w:rPr>
        <w:t>). Further</w:t>
      </w:r>
      <w:r w:rsidR="00CC366C" w:rsidRPr="00F82F1D">
        <w:rPr>
          <w:snapToGrid/>
          <w:kern w:val="22"/>
          <w:szCs w:val="22"/>
        </w:rPr>
        <w:t>,</w:t>
      </w:r>
      <w:r w:rsidRPr="00F82F1D">
        <w:rPr>
          <w:snapToGrid/>
          <w:kern w:val="22"/>
          <w:szCs w:val="22"/>
        </w:rPr>
        <w:t xml:space="preserve"> 35</w:t>
      </w:r>
      <w:r w:rsidR="00C07151" w:rsidRPr="00F82F1D">
        <w:rPr>
          <w:snapToGrid/>
          <w:kern w:val="22"/>
          <w:szCs w:val="22"/>
        </w:rPr>
        <w:t xml:space="preserve"> per cent</w:t>
      </w:r>
      <w:r w:rsidRPr="00F82F1D">
        <w:rPr>
          <w:snapToGrid/>
          <w:kern w:val="22"/>
          <w:szCs w:val="22"/>
        </w:rPr>
        <w:t xml:space="preserve"> of responses indicate</w:t>
      </w:r>
      <w:r w:rsidR="00CC5F7A" w:rsidRPr="00F82F1D">
        <w:rPr>
          <w:snapToGrid/>
          <w:kern w:val="22"/>
          <w:szCs w:val="22"/>
        </w:rPr>
        <w:t>d</w:t>
      </w:r>
      <w:r w:rsidRPr="00F82F1D">
        <w:rPr>
          <w:snapToGrid/>
          <w:kern w:val="22"/>
          <w:szCs w:val="22"/>
        </w:rPr>
        <w:t xml:space="preserve"> that this criterion had been partially met and 8</w:t>
      </w:r>
      <w:r w:rsidR="00C07151" w:rsidRPr="00F82F1D">
        <w:rPr>
          <w:snapToGrid/>
          <w:kern w:val="22"/>
          <w:szCs w:val="22"/>
        </w:rPr>
        <w:t xml:space="preserve"> per cent</w:t>
      </w:r>
      <w:r w:rsidRPr="00F82F1D">
        <w:rPr>
          <w:snapToGrid/>
          <w:kern w:val="22"/>
          <w:szCs w:val="22"/>
        </w:rPr>
        <w:t xml:space="preserve"> of responses suggest</w:t>
      </w:r>
      <w:r w:rsidR="00CC5F7A" w:rsidRPr="00F82F1D">
        <w:rPr>
          <w:snapToGrid/>
          <w:kern w:val="22"/>
          <w:szCs w:val="22"/>
        </w:rPr>
        <w:t>ed</w:t>
      </w:r>
      <w:r w:rsidRPr="00F82F1D">
        <w:rPr>
          <w:snapToGrid/>
          <w:kern w:val="22"/>
          <w:szCs w:val="22"/>
        </w:rPr>
        <w:t xml:space="preserve"> that it had not been met. There were no marked differences when responses from developing and developed countries were considered separately.</w:t>
      </w:r>
    </w:p>
    <w:p w:rsidR="00742F79" w:rsidRPr="00F82F1D" w:rsidRDefault="00742F79" w:rsidP="00F82F1D">
      <w:pPr>
        <w:pStyle w:val="Para1"/>
        <w:suppressLineNumbers/>
        <w:tabs>
          <w:tab w:val="clear" w:pos="360"/>
        </w:tabs>
        <w:suppressAutoHyphens/>
        <w:kinsoku w:val="0"/>
        <w:overflowPunct w:val="0"/>
        <w:autoSpaceDE w:val="0"/>
        <w:autoSpaceDN w:val="0"/>
        <w:rPr>
          <w:snapToGrid/>
          <w:kern w:val="22"/>
          <w:szCs w:val="22"/>
        </w:rPr>
      </w:pPr>
      <w:r w:rsidRPr="00F82F1D">
        <w:rPr>
          <w:snapToGrid/>
          <w:kern w:val="22"/>
          <w:szCs w:val="22"/>
        </w:rPr>
        <w:t>In their written comments</w:t>
      </w:r>
      <w:r w:rsidR="00F57625" w:rsidRPr="00F82F1D">
        <w:rPr>
          <w:snapToGrid/>
          <w:kern w:val="22"/>
          <w:szCs w:val="22"/>
        </w:rPr>
        <w:t>,</w:t>
      </w:r>
      <w:r w:rsidRPr="00F82F1D">
        <w:rPr>
          <w:snapToGrid/>
          <w:kern w:val="22"/>
          <w:szCs w:val="22"/>
        </w:rPr>
        <w:t xml:space="preserve"> some Parties noted that convening concurrent meetings facilitated coordination and consultation. However</w:t>
      </w:r>
      <w:r w:rsidR="00CC366C" w:rsidRPr="00F82F1D">
        <w:rPr>
          <w:snapToGrid/>
          <w:kern w:val="22"/>
          <w:szCs w:val="22"/>
        </w:rPr>
        <w:t>,</w:t>
      </w:r>
      <w:r w:rsidRPr="00F82F1D">
        <w:rPr>
          <w:snapToGrid/>
          <w:kern w:val="22"/>
          <w:szCs w:val="22"/>
        </w:rPr>
        <w:t xml:space="preserve"> some other Parties noted that they did not observe any significant change in this respect. It was also noted that</w:t>
      </w:r>
      <w:r w:rsidR="008F5E9C" w:rsidRPr="00F82F1D">
        <w:rPr>
          <w:snapToGrid/>
          <w:kern w:val="22"/>
          <w:szCs w:val="22"/>
        </w:rPr>
        <w:t>,</w:t>
      </w:r>
      <w:r w:rsidRPr="00F82F1D">
        <w:rPr>
          <w:snapToGrid/>
          <w:kern w:val="22"/>
          <w:szCs w:val="22"/>
        </w:rPr>
        <w:t xml:space="preserve"> as all the issues related to the two Protocols were held in one working group</w:t>
      </w:r>
      <w:r w:rsidR="008F5E9C" w:rsidRPr="00F82F1D">
        <w:rPr>
          <w:snapToGrid/>
          <w:kern w:val="22"/>
          <w:szCs w:val="22"/>
        </w:rPr>
        <w:t>,</w:t>
      </w:r>
      <w:r w:rsidRPr="00F82F1D">
        <w:rPr>
          <w:snapToGrid/>
          <w:kern w:val="22"/>
          <w:szCs w:val="22"/>
        </w:rPr>
        <w:t xml:space="preserve"> this limited consultations and coordination. A few developing country Parties noted that</w:t>
      </w:r>
      <w:r w:rsidR="008F5E9C" w:rsidRPr="00F82F1D">
        <w:rPr>
          <w:snapToGrid/>
          <w:kern w:val="22"/>
          <w:szCs w:val="22"/>
        </w:rPr>
        <w:t>,</w:t>
      </w:r>
      <w:r w:rsidRPr="00F82F1D">
        <w:rPr>
          <w:snapToGrid/>
          <w:kern w:val="22"/>
          <w:szCs w:val="22"/>
        </w:rPr>
        <w:t xml:space="preserve"> as only one participant per delegation was supported to attend the meeting</w:t>
      </w:r>
      <w:r w:rsidR="008F5E9C" w:rsidRPr="00F82F1D">
        <w:rPr>
          <w:snapToGrid/>
          <w:kern w:val="22"/>
          <w:szCs w:val="22"/>
        </w:rPr>
        <w:t>,</w:t>
      </w:r>
      <w:r w:rsidRPr="00F82F1D">
        <w:rPr>
          <w:snapToGrid/>
          <w:kern w:val="22"/>
          <w:szCs w:val="22"/>
        </w:rPr>
        <w:t xml:space="preserve"> this limited their ability to coordinate and consult.</w:t>
      </w:r>
    </w:p>
    <w:p w:rsidR="00742F79" w:rsidRPr="00F82F1D" w:rsidRDefault="00742F79" w:rsidP="00F82F1D">
      <w:pPr>
        <w:pStyle w:val="Para1"/>
        <w:suppressLineNumbers/>
        <w:tabs>
          <w:tab w:val="clear" w:pos="360"/>
        </w:tabs>
        <w:suppressAutoHyphens/>
        <w:kinsoku w:val="0"/>
        <w:overflowPunct w:val="0"/>
        <w:autoSpaceDE w:val="0"/>
        <w:autoSpaceDN w:val="0"/>
        <w:rPr>
          <w:snapToGrid/>
          <w:kern w:val="22"/>
          <w:szCs w:val="22"/>
        </w:rPr>
      </w:pPr>
      <w:r w:rsidRPr="00F82F1D">
        <w:rPr>
          <w:snapToGrid/>
          <w:kern w:val="22"/>
          <w:szCs w:val="22"/>
        </w:rPr>
        <w:t xml:space="preserve">The responses from the survey of participants to the concurrent meetings were similar to the responses by Parties to the notification. A majority of respondents felt that convening concurrent meetings </w:t>
      </w:r>
      <w:r w:rsidRPr="00F82F1D">
        <w:rPr>
          <w:snapToGrid/>
          <w:kern w:val="22"/>
          <w:szCs w:val="22"/>
        </w:rPr>
        <w:lastRenderedPageBreak/>
        <w:t xml:space="preserve">facilitated consultation and coordination among delegates. </w:t>
      </w:r>
      <w:r w:rsidR="00646BEF" w:rsidRPr="00F82F1D">
        <w:rPr>
          <w:snapToGrid/>
          <w:kern w:val="22"/>
          <w:szCs w:val="22"/>
        </w:rPr>
        <w:t xml:space="preserve">A total of </w:t>
      </w:r>
      <w:r w:rsidRPr="00F82F1D">
        <w:rPr>
          <w:snapToGrid/>
          <w:kern w:val="22"/>
          <w:szCs w:val="22"/>
        </w:rPr>
        <w:t>16</w:t>
      </w:r>
      <w:r w:rsidR="00C07151" w:rsidRPr="00F82F1D">
        <w:rPr>
          <w:snapToGrid/>
          <w:kern w:val="22"/>
          <w:szCs w:val="22"/>
        </w:rPr>
        <w:t xml:space="preserve"> per cent</w:t>
      </w:r>
      <w:r w:rsidRPr="00F82F1D">
        <w:rPr>
          <w:snapToGrid/>
          <w:kern w:val="22"/>
          <w:szCs w:val="22"/>
        </w:rPr>
        <w:t xml:space="preserve"> of respondents strongly agreed and 51</w:t>
      </w:r>
      <w:r w:rsidR="00C07151" w:rsidRPr="00F82F1D">
        <w:rPr>
          <w:snapToGrid/>
          <w:kern w:val="22"/>
          <w:szCs w:val="22"/>
        </w:rPr>
        <w:t xml:space="preserve"> per cent</w:t>
      </w:r>
      <w:r w:rsidRPr="00F82F1D">
        <w:rPr>
          <w:snapToGrid/>
          <w:kern w:val="22"/>
          <w:szCs w:val="22"/>
        </w:rPr>
        <w:t xml:space="preserve"> agreed that this was the case. </w:t>
      </w:r>
      <w:r w:rsidR="00646BEF" w:rsidRPr="00F82F1D">
        <w:rPr>
          <w:snapToGrid/>
          <w:kern w:val="22"/>
          <w:szCs w:val="22"/>
        </w:rPr>
        <w:t xml:space="preserve">A total of </w:t>
      </w:r>
      <w:r w:rsidRPr="00F82F1D">
        <w:rPr>
          <w:snapToGrid/>
          <w:kern w:val="22"/>
          <w:szCs w:val="22"/>
        </w:rPr>
        <w:t>9</w:t>
      </w:r>
      <w:r w:rsidR="00C07151" w:rsidRPr="00F82F1D">
        <w:rPr>
          <w:snapToGrid/>
          <w:kern w:val="22"/>
          <w:szCs w:val="22"/>
        </w:rPr>
        <w:t xml:space="preserve"> per cent</w:t>
      </w:r>
      <w:r w:rsidRPr="00F82F1D">
        <w:rPr>
          <w:snapToGrid/>
          <w:kern w:val="22"/>
          <w:szCs w:val="22"/>
        </w:rPr>
        <w:t xml:space="preserve"> of respondents disagreed and 2</w:t>
      </w:r>
      <w:r w:rsidR="00646BEF" w:rsidRPr="00F82F1D">
        <w:rPr>
          <w:snapToGrid/>
          <w:kern w:val="22"/>
          <w:szCs w:val="22"/>
        </w:rPr>
        <w:t> </w:t>
      </w:r>
      <w:r w:rsidR="00C07151" w:rsidRPr="00F82F1D">
        <w:rPr>
          <w:snapToGrid/>
          <w:kern w:val="22"/>
          <w:szCs w:val="22"/>
        </w:rPr>
        <w:t>per cent</w:t>
      </w:r>
      <w:r w:rsidRPr="00F82F1D">
        <w:rPr>
          <w:snapToGrid/>
          <w:kern w:val="22"/>
          <w:szCs w:val="22"/>
        </w:rPr>
        <w:t xml:space="preserve"> of respondents strongly disagreed. </w:t>
      </w:r>
      <w:r w:rsidR="00646BEF" w:rsidRPr="00F82F1D">
        <w:rPr>
          <w:snapToGrid/>
          <w:kern w:val="22"/>
          <w:szCs w:val="22"/>
        </w:rPr>
        <w:t xml:space="preserve">A total of </w:t>
      </w:r>
      <w:r w:rsidRPr="00F82F1D">
        <w:rPr>
          <w:snapToGrid/>
          <w:kern w:val="22"/>
          <w:szCs w:val="22"/>
        </w:rPr>
        <w:t>22</w:t>
      </w:r>
      <w:r w:rsidR="00C07151" w:rsidRPr="00F82F1D">
        <w:rPr>
          <w:snapToGrid/>
          <w:kern w:val="22"/>
          <w:szCs w:val="22"/>
        </w:rPr>
        <w:t xml:space="preserve"> per cent</w:t>
      </w:r>
      <w:r w:rsidRPr="00F82F1D">
        <w:rPr>
          <w:snapToGrid/>
          <w:kern w:val="22"/>
          <w:szCs w:val="22"/>
        </w:rPr>
        <w:t xml:space="preserve"> of respondents had a neutral opinion on this issue. When only responses from respondents who </w:t>
      </w:r>
      <w:r w:rsidR="00646BEF" w:rsidRPr="00F82F1D">
        <w:rPr>
          <w:snapToGrid/>
          <w:kern w:val="22"/>
          <w:szCs w:val="22"/>
        </w:rPr>
        <w:t xml:space="preserve">had </w:t>
      </w:r>
      <w:r w:rsidRPr="00F82F1D">
        <w:rPr>
          <w:snapToGrid/>
          <w:kern w:val="22"/>
          <w:szCs w:val="22"/>
        </w:rPr>
        <w:t>represented Parties at the concurrent meetings were considered, the results were similar</w:t>
      </w:r>
      <w:r w:rsidR="00586032" w:rsidRPr="00F82F1D">
        <w:rPr>
          <w:snapToGrid/>
          <w:kern w:val="22"/>
          <w:szCs w:val="22"/>
        </w:rPr>
        <w:t>.</w:t>
      </w:r>
      <w:r w:rsidRPr="00F82F1D">
        <w:rPr>
          <w:snapToGrid/>
          <w:kern w:val="22"/>
          <w:szCs w:val="22"/>
        </w:rPr>
        <w:t xml:space="preserve"> </w:t>
      </w:r>
      <w:r w:rsidR="00646BEF" w:rsidRPr="00F82F1D">
        <w:rPr>
          <w:snapToGrid/>
          <w:kern w:val="22"/>
          <w:szCs w:val="22"/>
        </w:rPr>
        <w:t xml:space="preserve">A total of </w:t>
      </w:r>
      <w:r w:rsidRPr="00F82F1D">
        <w:rPr>
          <w:snapToGrid/>
          <w:kern w:val="22"/>
          <w:szCs w:val="22"/>
        </w:rPr>
        <w:t>20</w:t>
      </w:r>
      <w:r w:rsidR="00C07151" w:rsidRPr="00F82F1D">
        <w:rPr>
          <w:snapToGrid/>
          <w:kern w:val="22"/>
          <w:szCs w:val="22"/>
        </w:rPr>
        <w:t xml:space="preserve"> per cent</w:t>
      </w:r>
      <w:r w:rsidRPr="00F82F1D">
        <w:rPr>
          <w:snapToGrid/>
          <w:kern w:val="22"/>
          <w:szCs w:val="22"/>
        </w:rPr>
        <w:t xml:space="preserve"> of respondents strongly agreed and 51</w:t>
      </w:r>
      <w:r w:rsidR="00C07151" w:rsidRPr="00F82F1D">
        <w:rPr>
          <w:snapToGrid/>
          <w:kern w:val="22"/>
          <w:szCs w:val="22"/>
        </w:rPr>
        <w:t xml:space="preserve"> per cent</w:t>
      </w:r>
      <w:r w:rsidRPr="00F82F1D">
        <w:rPr>
          <w:snapToGrid/>
          <w:kern w:val="22"/>
          <w:szCs w:val="22"/>
        </w:rPr>
        <w:t xml:space="preserve"> agreed that concurrent meetings facilitate</w:t>
      </w:r>
      <w:r w:rsidR="00646BEF" w:rsidRPr="00F82F1D">
        <w:rPr>
          <w:snapToGrid/>
          <w:kern w:val="22"/>
          <w:szCs w:val="22"/>
        </w:rPr>
        <w:t>d</w:t>
      </w:r>
      <w:r w:rsidRPr="00F82F1D">
        <w:rPr>
          <w:snapToGrid/>
          <w:kern w:val="22"/>
          <w:szCs w:val="22"/>
        </w:rPr>
        <w:t xml:space="preserve"> consultations and coordination. </w:t>
      </w:r>
      <w:r w:rsidR="00646BEF" w:rsidRPr="00F82F1D">
        <w:rPr>
          <w:snapToGrid/>
          <w:kern w:val="22"/>
          <w:szCs w:val="22"/>
        </w:rPr>
        <w:t xml:space="preserve">A total of </w:t>
      </w:r>
      <w:r w:rsidRPr="00F82F1D">
        <w:rPr>
          <w:snapToGrid/>
          <w:kern w:val="22"/>
          <w:szCs w:val="22"/>
        </w:rPr>
        <w:t>8</w:t>
      </w:r>
      <w:r w:rsidR="00DC3D2E" w:rsidRPr="00F82F1D">
        <w:rPr>
          <w:snapToGrid/>
          <w:kern w:val="22"/>
          <w:szCs w:val="22"/>
        </w:rPr>
        <w:t> </w:t>
      </w:r>
      <w:r w:rsidR="00C07151" w:rsidRPr="00F82F1D">
        <w:rPr>
          <w:snapToGrid/>
          <w:kern w:val="22"/>
          <w:szCs w:val="22"/>
        </w:rPr>
        <w:t>per cent</w:t>
      </w:r>
      <w:r w:rsidRPr="00F82F1D">
        <w:rPr>
          <w:snapToGrid/>
          <w:kern w:val="22"/>
          <w:szCs w:val="22"/>
        </w:rPr>
        <w:t xml:space="preserve"> of respondents disagreed and 2</w:t>
      </w:r>
      <w:r w:rsidR="00C07151" w:rsidRPr="00F82F1D">
        <w:rPr>
          <w:snapToGrid/>
          <w:kern w:val="22"/>
          <w:szCs w:val="22"/>
        </w:rPr>
        <w:t xml:space="preserve"> per cent</w:t>
      </w:r>
      <w:r w:rsidRPr="00F82F1D">
        <w:rPr>
          <w:snapToGrid/>
          <w:kern w:val="22"/>
          <w:szCs w:val="22"/>
        </w:rPr>
        <w:t xml:space="preserve"> strongly disagreed that this was the case. </w:t>
      </w:r>
      <w:r w:rsidR="00DC3D2E" w:rsidRPr="00F82F1D">
        <w:rPr>
          <w:snapToGrid/>
          <w:kern w:val="22"/>
          <w:szCs w:val="22"/>
        </w:rPr>
        <w:t xml:space="preserve">A total of </w:t>
      </w:r>
      <w:r w:rsidRPr="00F82F1D">
        <w:rPr>
          <w:snapToGrid/>
          <w:kern w:val="22"/>
          <w:szCs w:val="22"/>
        </w:rPr>
        <w:t>18</w:t>
      </w:r>
      <w:r w:rsidR="00DC3D2E" w:rsidRPr="00F82F1D">
        <w:rPr>
          <w:snapToGrid/>
          <w:kern w:val="22"/>
          <w:szCs w:val="22"/>
        </w:rPr>
        <w:t> </w:t>
      </w:r>
      <w:r w:rsidR="00C07151" w:rsidRPr="00F82F1D">
        <w:rPr>
          <w:snapToGrid/>
          <w:kern w:val="22"/>
          <w:szCs w:val="22"/>
        </w:rPr>
        <w:t>per cent</w:t>
      </w:r>
      <w:r w:rsidRPr="00F82F1D">
        <w:rPr>
          <w:snapToGrid/>
          <w:kern w:val="22"/>
          <w:szCs w:val="22"/>
        </w:rPr>
        <w:t xml:space="preserve"> of respondents were neutral in their opinion.</w:t>
      </w:r>
    </w:p>
    <w:p w:rsidR="00742F79" w:rsidRPr="00F82F1D" w:rsidRDefault="00742F79" w:rsidP="00F82F1D">
      <w:pPr>
        <w:pStyle w:val="Para1"/>
        <w:suppressLineNumbers/>
        <w:tabs>
          <w:tab w:val="clear" w:pos="360"/>
        </w:tabs>
        <w:suppressAutoHyphens/>
        <w:kinsoku w:val="0"/>
        <w:overflowPunct w:val="0"/>
        <w:autoSpaceDE w:val="0"/>
        <w:autoSpaceDN w:val="0"/>
        <w:rPr>
          <w:snapToGrid/>
          <w:kern w:val="22"/>
          <w:szCs w:val="22"/>
        </w:rPr>
      </w:pPr>
      <w:r w:rsidRPr="00F82F1D">
        <w:rPr>
          <w:snapToGrid/>
          <w:kern w:val="22"/>
          <w:szCs w:val="22"/>
        </w:rPr>
        <w:t xml:space="preserve">In their written comments, a few respondents noted that concurrent meetings created opportunities to network. However, others noted that </w:t>
      </w:r>
      <w:r w:rsidR="00D86C2C" w:rsidRPr="00F82F1D">
        <w:rPr>
          <w:snapToGrid/>
          <w:kern w:val="22"/>
          <w:szCs w:val="22"/>
        </w:rPr>
        <w:t>the</w:t>
      </w:r>
      <w:r w:rsidRPr="00F82F1D">
        <w:rPr>
          <w:snapToGrid/>
          <w:kern w:val="22"/>
          <w:szCs w:val="22"/>
        </w:rPr>
        <w:t xml:space="preserve"> </w:t>
      </w:r>
      <w:r w:rsidR="00D86C2C" w:rsidRPr="00F82F1D">
        <w:rPr>
          <w:snapToGrid/>
          <w:kern w:val="22"/>
          <w:szCs w:val="22"/>
        </w:rPr>
        <w:t xml:space="preserve">concurrent </w:t>
      </w:r>
      <w:r w:rsidRPr="00F82F1D">
        <w:rPr>
          <w:snapToGrid/>
          <w:kern w:val="22"/>
          <w:szCs w:val="22"/>
        </w:rPr>
        <w:t>meetings</w:t>
      </w:r>
      <w:r w:rsidR="00D86C2C" w:rsidRPr="00F82F1D">
        <w:rPr>
          <w:snapToGrid/>
          <w:kern w:val="22"/>
          <w:szCs w:val="22"/>
        </w:rPr>
        <w:t xml:space="preserve"> combined with the heavy agenda</w:t>
      </w:r>
      <w:r w:rsidRPr="00F82F1D">
        <w:rPr>
          <w:snapToGrid/>
          <w:kern w:val="22"/>
          <w:szCs w:val="22"/>
        </w:rPr>
        <w:t xml:space="preserve"> reduced the amount of time available to coordinate and consult. This was noted to be the case particularly for small delegations.</w:t>
      </w:r>
    </w:p>
    <w:p w:rsidR="00742F79" w:rsidRPr="00F82F1D" w:rsidRDefault="00742F79" w:rsidP="00F82F1D">
      <w:pPr>
        <w:keepNext/>
        <w:numPr>
          <w:ilvl w:val="0"/>
          <w:numId w:val="52"/>
        </w:numPr>
        <w:suppressLineNumbers/>
        <w:suppressAutoHyphens/>
        <w:kinsoku w:val="0"/>
        <w:overflowPunct w:val="0"/>
        <w:autoSpaceDE w:val="0"/>
        <w:autoSpaceDN w:val="0"/>
        <w:spacing w:before="240" w:after="120"/>
        <w:ind w:left="0" w:firstLine="0"/>
        <w:jc w:val="center"/>
        <w:rPr>
          <w:b/>
          <w:bCs/>
          <w:kern w:val="22"/>
          <w:szCs w:val="22"/>
        </w:rPr>
      </w:pPr>
      <w:r w:rsidRPr="00F82F1D">
        <w:rPr>
          <w:b/>
          <w:bCs/>
          <w:kern w:val="22"/>
          <w:szCs w:val="22"/>
        </w:rPr>
        <w:t>OTHER ISSUES</w:t>
      </w:r>
    </w:p>
    <w:p w:rsidR="00742F79" w:rsidRPr="00F82F1D" w:rsidRDefault="00742F79" w:rsidP="00F82F1D">
      <w:pPr>
        <w:pStyle w:val="Para1"/>
        <w:suppressLineNumbers/>
        <w:tabs>
          <w:tab w:val="clear" w:pos="360"/>
        </w:tabs>
        <w:suppressAutoHyphens/>
        <w:kinsoku w:val="0"/>
        <w:overflowPunct w:val="0"/>
        <w:autoSpaceDE w:val="0"/>
        <w:autoSpaceDN w:val="0"/>
        <w:rPr>
          <w:snapToGrid/>
          <w:kern w:val="22"/>
          <w:szCs w:val="22"/>
        </w:rPr>
      </w:pPr>
      <w:r w:rsidRPr="00F82F1D">
        <w:rPr>
          <w:snapToGrid/>
          <w:kern w:val="22"/>
          <w:szCs w:val="22"/>
        </w:rPr>
        <w:t xml:space="preserve">Parties raised a number of additional issues in their submissions in response to the notification. A number of respondents noted that convening concurrent meetings was generally a good idea but that a number of outstanding issues needed to be resolved in order to ensure the effectiveness of the process. Among the issues identified were the need to ensure appropriate representation of developing countries, structuring the agendas for the three meetings to make them as streamlined as possible and limiting the need for </w:t>
      </w:r>
      <w:r w:rsidR="0075164B" w:rsidRPr="00F82F1D">
        <w:rPr>
          <w:snapToGrid/>
          <w:kern w:val="22"/>
          <w:szCs w:val="22"/>
        </w:rPr>
        <w:t xml:space="preserve">meetings of </w:t>
      </w:r>
      <w:r w:rsidRPr="00F82F1D">
        <w:rPr>
          <w:snapToGrid/>
          <w:kern w:val="22"/>
          <w:szCs w:val="22"/>
        </w:rPr>
        <w:t>contact group</w:t>
      </w:r>
      <w:r w:rsidR="0075164B" w:rsidRPr="00F82F1D">
        <w:rPr>
          <w:snapToGrid/>
          <w:kern w:val="22"/>
          <w:szCs w:val="22"/>
        </w:rPr>
        <w:t>s</w:t>
      </w:r>
      <w:r w:rsidRPr="00F82F1D">
        <w:rPr>
          <w:snapToGrid/>
          <w:kern w:val="22"/>
          <w:szCs w:val="22"/>
        </w:rPr>
        <w:t xml:space="preserve"> and friends of the chair. It was also noted that sufficient time needed to be given to all three instruments. Some Parties suggested that</w:t>
      </w:r>
      <w:r w:rsidR="004F151E" w:rsidRPr="00F82F1D">
        <w:rPr>
          <w:snapToGrid/>
          <w:kern w:val="22"/>
          <w:szCs w:val="22"/>
        </w:rPr>
        <w:t>,</w:t>
      </w:r>
      <w:r w:rsidRPr="00F82F1D">
        <w:rPr>
          <w:snapToGrid/>
          <w:kern w:val="22"/>
          <w:szCs w:val="22"/>
        </w:rPr>
        <w:t xml:space="preserve"> in future concurrent meetings, the discussions under the Protocols should be limited to the first week of the meetings. Some Parties also commented on the timing of the </w:t>
      </w:r>
      <w:r w:rsidR="00CC366C" w:rsidRPr="00F82F1D">
        <w:rPr>
          <w:snapToGrid/>
          <w:kern w:val="22"/>
          <w:szCs w:val="22"/>
        </w:rPr>
        <w:t>h</w:t>
      </w:r>
      <w:r w:rsidRPr="00F82F1D">
        <w:rPr>
          <w:snapToGrid/>
          <w:kern w:val="22"/>
          <w:szCs w:val="22"/>
        </w:rPr>
        <w:t>igh</w:t>
      </w:r>
      <w:r w:rsidR="00CC366C" w:rsidRPr="00F82F1D">
        <w:rPr>
          <w:snapToGrid/>
          <w:kern w:val="22"/>
          <w:szCs w:val="22"/>
        </w:rPr>
        <w:t>-l</w:t>
      </w:r>
      <w:r w:rsidRPr="00F82F1D">
        <w:rPr>
          <w:snapToGrid/>
          <w:kern w:val="22"/>
          <w:szCs w:val="22"/>
        </w:rPr>
        <w:t xml:space="preserve">evel </w:t>
      </w:r>
      <w:r w:rsidR="00CC366C" w:rsidRPr="00F82F1D">
        <w:rPr>
          <w:snapToGrid/>
          <w:kern w:val="22"/>
          <w:szCs w:val="22"/>
        </w:rPr>
        <w:t>s</w:t>
      </w:r>
      <w:r w:rsidRPr="00F82F1D">
        <w:rPr>
          <w:snapToGrid/>
          <w:kern w:val="22"/>
          <w:szCs w:val="22"/>
        </w:rPr>
        <w:t>egment and questioned whether it would be more effective to have the segment at the start</w:t>
      </w:r>
      <w:r w:rsidRPr="00F82F1D">
        <w:rPr>
          <w:snapToGrid/>
          <w:kern w:val="22"/>
          <w:szCs w:val="22"/>
          <w:vertAlign w:val="superscript"/>
        </w:rPr>
        <w:footnoteReference w:id="15"/>
      </w:r>
      <w:r w:rsidRPr="00F82F1D">
        <w:rPr>
          <w:snapToGrid/>
          <w:kern w:val="22"/>
          <w:szCs w:val="22"/>
          <w:vertAlign w:val="superscript"/>
        </w:rPr>
        <w:t xml:space="preserve"> </w:t>
      </w:r>
      <w:r w:rsidRPr="00F82F1D">
        <w:rPr>
          <w:snapToGrid/>
          <w:kern w:val="22"/>
          <w:szCs w:val="22"/>
        </w:rPr>
        <w:t>or end</w:t>
      </w:r>
      <w:r w:rsidRPr="00F82F1D">
        <w:rPr>
          <w:snapToGrid/>
          <w:kern w:val="22"/>
          <w:szCs w:val="22"/>
          <w:vertAlign w:val="superscript"/>
        </w:rPr>
        <w:footnoteReference w:id="16"/>
      </w:r>
      <w:r w:rsidRPr="00F82F1D">
        <w:rPr>
          <w:snapToGrid/>
          <w:kern w:val="22"/>
          <w:szCs w:val="22"/>
          <w:vertAlign w:val="superscript"/>
        </w:rPr>
        <w:t xml:space="preserve"> </w:t>
      </w:r>
      <w:r w:rsidRPr="00F82F1D">
        <w:rPr>
          <w:snapToGrid/>
          <w:kern w:val="22"/>
          <w:szCs w:val="22"/>
        </w:rPr>
        <w:t>of the concurrent meetings.</w:t>
      </w:r>
    </w:p>
    <w:p w:rsidR="000E00FF" w:rsidRPr="00F82F1D" w:rsidRDefault="00742F79" w:rsidP="00F82F1D">
      <w:pPr>
        <w:pStyle w:val="Para1"/>
        <w:suppressLineNumbers/>
        <w:tabs>
          <w:tab w:val="clear" w:pos="360"/>
        </w:tabs>
        <w:suppressAutoHyphens/>
        <w:kinsoku w:val="0"/>
        <w:overflowPunct w:val="0"/>
        <w:autoSpaceDE w:val="0"/>
        <w:autoSpaceDN w:val="0"/>
        <w:rPr>
          <w:snapToGrid/>
          <w:kern w:val="22"/>
          <w:szCs w:val="22"/>
        </w:rPr>
      </w:pPr>
      <w:r w:rsidRPr="00F82F1D">
        <w:rPr>
          <w:snapToGrid/>
          <w:kern w:val="22"/>
          <w:szCs w:val="22"/>
        </w:rPr>
        <w:t xml:space="preserve">The </w:t>
      </w:r>
      <w:r w:rsidR="00CC366C" w:rsidRPr="00F82F1D">
        <w:rPr>
          <w:snapToGrid/>
          <w:kern w:val="22"/>
          <w:szCs w:val="22"/>
        </w:rPr>
        <w:t>h</w:t>
      </w:r>
      <w:r w:rsidRPr="00F82F1D">
        <w:rPr>
          <w:snapToGrid/>
          <w:kern w:val="22"/>
          <w:szCs w:val="22"/>
        </w:rPr>
        <w:t>igh</w:t>
      </w:r>
      <w:r w:rsidR="00CC366C" w:rsidRPr="00F82F1D">
        <w:rPr>
          <w:snapToGrid/>
          <w:kern w:val="22"/>
          <w:szCs w:val="22"/>
        </w:rPr>
        <w:t>-l</w:t>
      </w:r>
      <w:r w:rsidRPr="00F82F1D">
        <w:rPr>
          <w:snapToGrid/>
          <w:kern w:val="22"/>
          <w:szCs w:val="22"/>
        </w:rPr>
        <w:t xml:space="preserve">evel </w:t>
      </w:r>
      <w:r w:rsidR="00CC366C" w:rsidRPr="00F82F1D">
        <w:rPr>
          <w:snapToGrid/>
          <w:kern w:val="22"/>
          <w:szCs w:val="22"/>
        </w:rPr>
        <w:t>s</w:t>
      </w:r>
      <w:r w:rsidRPr="00F82F1D">
        <w:rPr>
          <w:snapToGrid/>
          <w:kern w:val="22"/>
          <w:szCs w:val="22"/>
        </w:rPr>
        <w:t xml:space="preserve">egment was also considered as part of the electronic survey distributed to participants in the concurrent meetings. The involvement of different sectors and ministers in the </w:t>
      </w:r>
      <w:r w:rsidR="00CC366C" w:rsidRPr="00F82F1D">
        <w:rPr>
          <w:snapToGrid/>
          <w:kern w:val="22"/>
          <w:szCs w:val="22"/>
        </w:rPr>
        <w:t>h</w:t>
      </w:r>
      <w:r w:rsidRPr="00F82F1D">
        <w:rPr>
          <w:snapToGrid/>
          <w:kern w:val="22"/>
          <w:szCs w:val="22"/>
        </w:rPr>
        <w:t>igh</w:t>
      </w:r>
      <w:r w:rsidR="00CC366C" w:rsidRPr="00F82F1D">
        <w:rPr>
          <w:snapToGrid/>
          <w:kern w:val="22"/>
          <w:szCs w:val="22"/>
        </w:rPr>
        <w:t>-l</w:t>
      </w:r>
      <w:r w:rsidRPr="00F82F1D">
        <w:rPr>
          <w:snapToGrid/>
          <w:kern w:val="22"/>
          <w:szCs w:val="22"/>
        </w:rPr>
        <w:t xml:space="preserve">evel </w:t>
      </w:r>
      <w:r w:rsidR="00CC366C" w:rsidRPr="00F82F1D">
        <w:rPr>
          <w:snapToGrid/>
          <w:kern w:val="22"/>
          <w:szCs w:val="22"/>
        </w:rPr>
        <w:t>s</w:t>
      </w:r>
      <w:r w:rsidRPr="00F82F1D">
        <w:rPr>
          <w:snapToGrid/>
          <w:kern w:val="22"/>
          <w:szCs w:val="22"/>
        </w:rPr>
        <w:t xml:space="preserve">egment was felt to have promoted the consideration of mainstreaming and promoted dialogue. However, a number of respondents noted that it would have been more effective if there </w:t>
      </w:r>
      <w:r w:rsidR="0009483D" w:rsidRPr="00F82F1D">
        <w:rPr>
          <w:snapToGrid/>
          <w:kern w:val="22"/>
          <w:szCs w:val="22"/>
        </w:rPr>
        <w:t xml:space="preserve">had been </w:t>
      </w:r>
      <w:r w:rsidRPr="00F82F1D">
        <w:rPr>
          <w:snapToGrid/>
          <w:kern w:val="22"/>
          <w:szCs w:val="22"/>
        </w:rPr>
        <w:t xml:space="preserve">greater opportunities for discussion. With regard to the timing of the </w:t>
      </w:r>
      <w:r w:rsidR="00CC366C" w:rsidRPr="00F82F1D">
        <w:rPr>
          <w:snapToGrid/>
          <w:kern w:val="22"/>
          <w:szCs w:val="22"/>
        </w:rPr>
        <w:t>h</w:t>
      </w:r>
      <w:r w:rsidRPr="00F82F1D">
        <w:rPr>
          <w:snapToGrid/>
          <w:kern w:val="22"/>
          <w:szCs w:val="22"/>
        </w:rPr>
        <w:t>igh</w:t>
      </w:r>
      <w:r w:rsidR="00CC366C" w:rsidRPr="00F82F1D">
        <w:rPr>
          <w:snapToGrid/>
          <w:kern w:val="22"/>
          <w:szCs w:val="22"/>
        </w:rPr>
        <w:t>-l</w:t>
      </w:r>
      <w:r w:rsidRPr="00F82F1D">
        <w:rPr>
          <w:snapToGrid/>
          <w:kern w:val="22"/>
          <w:szCs w:val="22"/>
        </w:rPr>
        <w:t xml:space="preserve">evel </w:t>
      </w:r>
      <w:r w:rsidR="00CC366C" w:rsidRPr="00F82F1D">
        <w:rPr>
          <w:snapToGrid/>
          <w:kern w:val="22"/>
          <w:szCs w:val="22"/>
        </w:rPr>
        <w:t>s</w:t>
      </w:r>
      <w:r w:rsidRPr="00F82F1D">
        <w:rPr>
          <w:snapToGrid/>
          <w:kern w:val="22"/>
          <w:szCs w:val="22"/>
        </w:rPr>
        <w:t>egment, respondents generally felt that having the segment before the official start of the concurrent meetings was effective. However, some respondents noted that this created some challenges as some high</w:t>
      </w:r>
      <w:r w:rsidR="00CC366C" w:rsidRPr="00F82F1D">
        <w:rPr>
          <w:snapToGrid/>
          <w:kern w:val="22"/>
          <w:szCs w:val="22"/>
        </w:rPr>
        <w:t>-</w:t>
      </w:r>
      <w:r w:rsidRPr="00F82F1D">
        <w:rPr>
          <w:snapToGrid/>
          <w:kern w:val="22"/>
          <w:szCs w:val="22"/>
        </w:rPr>
        <w:t>level participants were not available to help address contentious issues that arose near the end of the concurrent meetings. Regarding the timing of future high</w:t>
      </w:r>
      <w:r w:rsidR="00CC366C" w:rsidRPr="00F82F1D">
        <w:rPr>
          <w:snapToGrid/>
          <w:kern w:val="22"/>
          <w:szCs w:val="22"/>
        </w:rPr>
        <w:t>-</w:t>
      </w:r>
      <w:r w:rsidRPr="00F82F1D">
        <w:rPr>
          <w:snapToGrid/>
          <w:kern w:val="22"/>
          <w:szCs w:val="22"/>
        </w:rPr>
        <w:t>level segments</w:t>
      </w:r>
      <w:r w:rsidR="00CC366C" w:rsidRPr="00F82F1D">
        <w:rPr>
          <w:snapToGrid/>
          <w:kern w:val="22"/>
          <w:szCs w:val="22"/>
        </w:rPr>
        <w:t>,</w:t>
      </w:r>
      <w:r w:rsidRPr="00F82F1D">
        <w:rPr>
          <w:snapToGrid/>
          <w:kern w:val="22"/>
          <w:szCs w:val="22"/>
        </w:rPr>
        <w:t xml:space="preserve"> while the majority of respondents indicated that these should continue to be held before the official start of the concurrent meetings, respondents were more divided in their views.</w:t>
      </w:r>
      <w:r w:rsidR="005D5769" w:rsidRPr="00F82F1D">
        <w:rPr>
          <w:snapToGrid/>
          <w:kern w:val="22"/>
          <w:szCs w:val="22"/>
        </w:rPr>
        <w:t xml:space="preserve"> Further</w:t>
      </w:r>
      <w:r w:rsidR="00CC366C" w:rsidRPr="00F82F1D">
        <w:rPr>
          <w:snapToGrid/>
          <w:kern w:val="22"/>
          <w:szCs w:val="22"/>
        </w:rPr>
        <w:t>,</w:t>
      </w:r>
      <w:r w:rsidR="005D5769" w:rsidRPr="00F82F1D">
        <w:rPr>
          <w:snapToGrid/>
          <w:kern w:val="22"/>
          <w:szCs w:val="22"/>
        </w:rPr>
        <w:t xml:space="preserve"> s</w:t>
      </w:r>
      <w:r w:rsidRPr="00F82F1D">
        <w:rPr>
          <w:snapToGrid/>
          <w:kern w:val="22"/>
          <w:szCs w:val="22"/>
        </w:rPr>
        <w:t xml:space="preserve">everal respondents were of the opinion that the timing of the </w:t>
      </w:r>
      <w:r w:rsidR="005C4BAA" w:rsidRPr="00F82F1D">
        <w:rPr>
          <w:snapToGrid/>
          <w:kern w:val="22"/>
          <w:szCs w:val="22"/>
        </w:rPr>
        <w:t>h</w:t>
      </w:r>
      <w:r w:rsidRPr="00F82F1D">
        <w:rPr>
          <w:snapToGrid/>
          <w:kern w:val="22"/>
          <w:szCs w:val="22"/>
        </w:rPr>
        <w:t>igh</w:t>
      </w:r>
      <w:r w:rsidR="005C4BAA" w:rsidRPr="00F82F1D">
        <w:rPr>
          <w:snapToGrid/>
          <w:kern w:val="22"/>
          <w:szCs w:val="22"/>
        </w:rPr>
        <w:t>-l</w:t>
      </w:r>
      <w:r w:rsidRPr="00F82F1D">
        <w:rPr>
          <w:snapToGrid/>
          <w:kern w:val="22"/>
          <w:szCs w:val="22"/>
        </w:rPr>
        <w:t xml:space="preserve">evel </w:t>
      </w:r>
      <w:r w:rsidR="005C4BAA" w:rsidRPr="00F82F1D">
        <w:rPr>
          <w:snapToGrid/>
          <w:kern w:val="22"/>
          <w:szCs w:val="22"/>
        </w:rPr>
        <w:t>s</w:t>
      </w:r>
      <w:r w:rsidRPr="00F82F1D">
        <w:rPr>
          <w:snapToGrid/>
          <w:kern w:val="22"/>
          <w:szCs w:val="22"/>
        </w:rPr>
        <w:t xml:space="preserve">egment should be based on the goals for the </w:t>
      </w:r>
      <w:r w:rsidR="005C4BAA" w:rsidRPr="00F82F1D">
        <w:rPr>
          <w:snapToGrid/>
          <w:kern w:val="22"/>
          <w:szCs w:val="22"/>
        </w:rPr>
        <w:t>h</w:t>
      </w:r>
      <w:r w:rsidRPr="00F82F1D">
        <w:rPr>
          <w:snapToGrid/>
          <w:kern w:val="22"/>
          <w:szCs w:val="22"/>
        </w:rPr>
        <w:t>igh</w:t>
      </w:r>
      <w:r w:rsidR="005C4BAA" w:rsidRPr="00F82F1D">
        <w:rPr>
          <w:snapToGrid/>
          <w:kern w:val="22"/>
          <w:szCs w:val="22"/>
        </w:rPr>
        <w:t>-l</w:t>
      </w:r>
      <w:r w:rsidRPr="00F82F1D">
        <w:rPr>
          <w:snapToGrid/>
          <w:kern w:val="22"/>
          <w:szCs w:val="22"/>
        </w:rPr>
        <w:t xml:space="preserve">evel </w:t>
      </w:r>
      <w:r w:rsidR="005C4BAA" w:rsidRPr="00F82F1D">
        <w:rPr>
          <w:snapToGrid/>
          <w:kern w:val="22"/>
          <w:szCs w:val="22"/>
        </w:rPr>
        <w:t>s</w:t>
      </w:r>
      <w:r w:rsidRPr="00F82F1D">
        <w:rPr>
          <w:snapToGrid/>
          <w:kern w:val="22"/>
          <w:szCs w:val="22"/>
        </w:rPr>
        <w:t>egment and the issues being discussed.</w:t>
      </w:r>
    </w:p>
    <w:p w:rsidR="00E30875" w:rsidRPr="00F82F1D" w:rsidRDefault="00742F79" w:rsidP="00F82F1D">
      <w:pPr>
        <w:keepNext/>
        <w:numPr>
          <w:ilvl w:val="0"/>
          <w:numId w:val="52"/>
        </w:numPr>
        <w:suppressLineNumbers/>
        <w:suppressAutoHyphens/>
        <w:kinsoku w:val="0"/>
        <w:overflowPunct w:val="0"/>
        <w:autoSpaceDE w:val="0"/>
        <w:autoSpaceDN w:val="0"/>
        <w:spacing w:before="240" w:after="120"/>
        <w:ind w:left="0" w:firstLine="0"/>
        <w:jc w:val="center"/>
        <w:rPr>
          <w:kern w:val="22"/>
          <w:szCs w:val="22"/>
        </w:rPr>
      </w:pPr>
      <w:r w:rsidRPr="00F82F1D">
        <w:rPr>
          <w:b/>
          <w:bCs/>
          <w:kern w:val="22"/>
          <w:szCs w:val="22"/>
        </w:rPr>
        <w:t>SUMMARY</w:t>
      </w:r>
    </w:p>
    <w:p w:rsidR="00B24047" w:rsidRPr="00F82F1D" w:rsidRDefault="00742F79" w:rsidP="00F82F1D">
      <w:pPr>
        <w:pStyle w:val="Para1"/>
        <w:suppressLineNumbers/>
        <w:tabs>
          <w:tab w:val="clear" w:pos="360"/>
        </w:tabs>
        <w:suppressAutoHyphens/>
        <w:kinsoku w:val="0"/>
        <w:overflowPunct w:val="0"/>
        <w:autoSpaceDE w:val="0"/>
        <w:autoSpaceDN w:val="0"/>
        <w:rPr>
          <w:snapToGrid/>
          <w:kern w:val="22"/>
          <w:szCs w:val="22"/>
        </w:rPr>
      </w:pPr>
      <w:r w:rsidRPr="00F82F1D">
        <w:rPr>
          <w:snapToGrid/>
          <w:kern w:val="22"/>
          <w:szCs w:val="22"/>
        </w:rPr>
        <w:t xml:space="preserve">Several observations arise from the review of experience in holding concurrently the meetings of the Conference of the Parties </w:t>
      </w:r>
      <w:r w:rsidR="005C4BAA" w:rsidRPr="00F82F1D">
        <w:rPr>
          <w:snapToGrid/>
          <w:kern w:val="22"/>
          <w:szCs w:val="22"/>
        </w:rPr>
        <w:t xml:space="preserve">to </w:t>
      </w:r>
      <w:r w:rsidRPr="00F82F1D">
        <w:rPr>
          <w:snapToGrid/>
          <w:kern w:val="22"/>
          <w:szCs w:val="22"/>
        </w:rPr>
        <w:t>the Convention and the meetings of the Parties to the Protocols</w:t>
      </w:r>
      <w:r w:rsidR="00B24047" w:rsidRPr="00F82F1D">
        <w:rPr>
          <w:snapToGrid/>
          <w:kern w:val="22"/>
          <w:szCs w:val="22"/>
        </w:rPr>
        <w:t>:</w:t>
      </w:r>
    </w:p>
    <w:p w:rsidR="00814DD8" w:rsidRPr="00F82F1D" w:rsidRDefault="00E30875" w:rsidP="00F82F1D">
      <w:pPr>
        <w:pStyle w:val="Para1"/>
        <w:numPr>
          <w:ilvl w:val="1"/>
          <w:numId w:val="6"/>
        </w:numPr>
        <w:suppressLineNumbers/>
        <w:suppressAutoHyphens/>
        <w:kinsoku w:val="0"/>
        <w:overflowPunct w:val="0"/>
        <w:autoSpaceDE w:val="0"/>
        <w:autoSpaceDN w:val="0"/>
        <w:rPr>
          <w:snapToGrid/>
          <w:kern w:val="22"/>
          <w:szCs w:val="22"/>
        </w:rPr>
      </w:pPr>
      <w:r w:rsidRPr="00F82F1D">
        <w:rPr>
          <w:snapToGrid/>
          <w:kern w:val="22"/>
          <w:szCs w:val="22"/>
        </w:rPr>
        <w:t>For almost all of the criteria identified in decisions XIII/26, C</w:t>
      </w:r>
      <w:r w:rsidR="005C4BAA" w:rsidRPr="00F82F1D">
        <w:rPr>
          <w:snapToGrid/>
          <w:kern w:val="22"/>
          <w:szCs w:val="22"/>
        </w:rPr>
        <w:t>P </w:t>
      </w:r>
      <w:r w:rsidRPr="00F82F1D">
        <w:rPr>
          <w:snapToGrid/>
          <w:kern w:val="22"/>
          <w:szCs w:val="22"/>
        </w:rPr>
        <w:t xml:space="preserve">VIII/10 and </w:t>
      </w:r>
      <w:r w:rsidR="005C4BAA" w:rsidRPr="00F82F1D">
        <w:rPr>
          <w:snapToGrid/>
          <w:kern w:val="22"/>
          <w:szCs w:val="22"/>
        </w:rPr>
        <w:t>NP </w:t>
      </w:r>
      <w:r w:rsidRPr="00F82F1D">
        <w:rPr>
          <w:snapToGrid/>
          <w:kern w:val="22"/>
          <w:szCs w:val="22"/>
        </w:rPr>
        <w:t xml:space="preserve">2/12, the proportion of Parties that felt a </w:t>
      </w:r>
      <w:r w:rsidR="009A0C44" w:rsidRPr="00F82F1D">
        <w:rPr>
          <w:snapToGrid/>
          <w:kern w:val="22"/>
          <w:szCs w:val="22"/>
        </w:rPr>
        <w:t>criterion</w:t>
      </w:r>
      <w:r w:rsidRPr="00F82F1D">
        <w:rPr>
          <w:snapToGrid/>
          <w:kern w:val="22"/>
          <w:szCs w:val="22"/>
        </w:rPr>
        <w:t xml:space="preserve"> </w:t>
      </w:r>
      <w:r w:rsidR="0031155A" w:rsidRPr="00F82F1D">
        <w:rPr>
          <w:snapToGrid/>
          <w:kern w:val="22"/>
          <w:szCs w:val="22"/>
        </w:rPr>
        <w:t xml:space="preserve">had been </w:t>
      </w:r>
      <w:r w:rsidRPr="00F82F1D">
        <w:rPr>
          <w:snapToGrid/>
          <w:kern w:val="22"/>
          <w:szCs w:val="22"/>
        </w:rPr>
        <w:t xml:space="preserve">met was greater than those that felt it </w:t>
      </w:r>
      <w:r w:rsidR="0031155A" w:rsidRPr="00F82F1D">
        <w:rPr>
          <w:snapToGrid/>
          <w:kern w:val="22"/>
          <w:szCs w:val="22"/>
        </w:rPr>
        <w:t>had</w:t>
      </w:r>
      <w:r w:rsidRPr="00F82F1D">
        <w:rPr>
          <w:snapToGrid/>
          <w:kern w:val="22"/>
          <w:szCs w:val="22"/>
        </w:rPr>
        <w:t xml:space="preserve"> not </w:t>
      </w:r>
      <w:r w:rsidR="0031155A" w:rsidRPr="00F82F1D">
        <w:rPr>
          <w:snapToGrid/>
          <w:kern w:val="22"/>
          <w:szCs w:val="22"/>
        </w:rPr>
        <w:t xml:space="preserve">been </w:t>
      </w:r>
      <w:r w:rsidRPr="00F82F1D">
        <w:rPr>
          <w:snapToGrid/>
          <w:kern w:val="22"/>
          <w:szCs w:val="22"/>
        </w:rPr>
        <w:t>met</w:t>
      </w:r>
      <w:r w:rsidR="001562E0" w:rsidRPr="00F82F1D">
        <w:rPr>
          <w:snapToGrid/>
          <w:kern w:val="22"/>
          <w:szCs w:val="22"/>
        </w:rPr>
        <w:t xml:space="preserve"> (see figure</w:t>
      </w:r>
      <w:r w:rsidR="005C4BAA" w:rsidRPr="00F82F1D">
        <w:rPr>
          <w:snapToGrid/>
          <w:kern w:val="22"/>
          <w:szCs w:val="22"/>
        </w:rPr>
        <w:t> </w:t>
      </w:r>
      <w:r w:rsidR="001562E0" w:rsidRPr="00F82F1D">
        <w:rPr>
          <w:snapToGrid/>
          <w:kern w:val="22"/>
          <w:szCs w:val="22"/>
        </w:rPr>
        <w:t>1)</w:t>
      </w:r>
      <w:r w:rsidRPr="00F82F1D">
        <w:rPr>
          <w:snapToGrid/>
          <w:kern w:val="22"/>
          <w:szCs w:val="22"/>
        </w:rPr>
        <w:t xml:space="preserve">. </w:t>
      </w:r>
      <w:r w:rsidR="00F0038E" w:rsidRPr="00F82F1D">
        <w:rPr>
          <w:snapToGrid/>
          <w:kern w:val="22"/>
          <w:szCs w:val="22"/>
        </w:rPr>
        <w:t>However</w:t>
      </w:r>
      <w:r w:rsidR="00CC1474" w:rsidRPr="00F82F1D">
        <w:rPr>
          <w:snapToGrid/>
          <w:kern w:val="22"/>
          <w:szCs w:val="22"/>
        </w:rPr>
        <w:t>,</w:t>
      </w:r>
      <w:r w:rsidR="00F0038E" w:rsidRPr="00F82F1D">
        <w:rPr>
          <w:snapToGrid/>
          <w:kern w:val="22"/>
          <w:szCs w:val="22"/>
        </w:rPr>
        <w:t xml:space="preserve"> f</w:t>
      </w:r>
      <w:r w:rsidR="00814DD8" w:rsidRPr="00F82F1D">
        <w:rPr>
          <w:snapToGrid/>
          <w:kern w:val="22"/>
          <w:szCs w:val="22"/>
        </w:rPr>
        <w:t xml:space="preserve">or most criteria, most Parties felt that they </w:t>
      </w:r>
      <w:r w:rsidR="002273F3" w:rsidRPr="00F82F1D">
        <w:rPr>
          <w:snapToGrid/>
          <w:kern w:val="22"/>
          <w:szCs w:val="22"/>
        </w:rPr>
        <w:t xml:space="preserve">had been </w:t>
      </w:r>
      <w:r w:rsidR="00814DD8" w:rsidRPr="00F82F1D">
        <w:rPr>
          <w:snapToGrid/>
          <w:kern w:val="22"/>
          <w:szCs w:val="22"/>
        </w:rPr>
        <w:t>partially met. Thus, while many viewed the experience of convening concurrent meetings as generally positive it is clear that further work is needed to make concurrent meetings more effective and to ensure that all of the criteria are fully met</w:t>
      </w:r>
      <w:r w:rsidR="00B33F81" w:rsidRPr="00F82F1D">
        <w:rPr>
          <w:snapToGrid/>
          <w:kern w:val="22"/>
          <w:szCs w:val="22"/>
        </w:rPr>
        <w:t>;</w:t>
      </w:r>
    </w:p>
    <w:p w:rsidR="00814DD8" w:rsidRPr="00F82F1D" w:rsidRDefault="00814DD8" w:rsidP="00F82F1D">
      <w:pPr>
        <w:pStyle w:val="Para1"/>
        <w:numPr>
          <w:ilvl w:val="1"/>
          <w:numId w:val="6"/>
        </w:numPr>
        <w:suppressLineNumbers/>
        <w:suppressAutoHyphens/>
        <w:kinsoku w:val="0"/>
        <w:overflowPunct w:val="0"/>
        <w:autoSpaceDE w:val="0"/>
        <w:autoSpaceDN w:val="0"/>
        <w:rPr>
          <w:snapToGrid/>
          <w:kern w:val="22"/>
          <w:szCs w:val="22"/>
        </w:rPr>
      </w:pPr>
      <w:r w:rsidRPr="00F82F1D">
        <w:rPr>
          <w:snapToGrid/>
          <w:kern w:val="22"/>
          <w:szCs w:val="22"/>
        </w:rPr>
        <w:lastRenderedPageBreak/>
        <w:t xml:space="preserve">According to the review, the most successful aspects of the experience in holding concurrent meeting </w:t>
      </w:r>
      <w:r w:rsidR="00A11E09" w:rsidRPr="00F82F1D">
        <w:rPr>
          <w:snapToGrid/>
          <w:kern w:val="22"/>
          <w:szCs w:val="22"/>
        </w:rPr>
        <w:t xml:space="preserve">are </w:t>
      </w:r>
      <w:r w:rsidRPr="00F82F1D">
        <w:rPr>
          <w:snapToGrid/>
          <w:kern w:val="22"/>
          <w:szCs w:val="22"/>
        </w:rPr>
        <w:t>related to</w:t>
      </w:r>
      <w:r w:rsidR="00A11E09" w:rsidRPr="00F82F1D">
        <w:rPr>
          <w:snapToGrid/>
          <w:kern w:val="22"/>
          <w:szCs w:val="22"/>
        </w:rPr>
        <w:t xml:space="preserve"> the following</w:t>
      </w:r>
      <w:r w:rsidRPr="00F82F1D">
        <w:rPr>
          <w:snapToGrid/>
          <w:kern w:val="22"/>
          <w:szCs w:val="22"/>
        </w:rPr>
        <w:t>:</w:t>
      </w:r>
    </w:p>
    <w:p w:rsidR="00814DD8" w:rsidRPr="00F82F1D" w:rsidRDefault="00B33F81" w:rsidP="00F82F1D">
      <w:pPr>
        <w:pStyle w:val="Para3"/>
        <w:suppressLineNumbers/>
        <w:suppressAutoHyphens/>
        <w:kinsoku w:val="0"/>
        <w:overflowPunct w:val="0"/>
        <w:autoSpaceDE w:val="0"/>
        <w:autoSpaceDN w:val="0"/>
        <w:rPr>
          <w:kern w:val="22"/>
          <w:szCs w:val="22"/>
        </w:rPr>
      </w:pPr>
      <w:r w:rsidRPr="00F82F1D">
        <w:rPr>
          <w:kern w:val="22"/>
          <w:szCs w:val="22"/>
        </w:rPr>
        <w:t>T</w:t>
      </w:r>
      <w:r w:rsidR="00814DD8" w:rsidRPr="00F82F1D">
        <w:rPr>
          <w:kern w:val="22"/>
          <w:szCs w:val="22"/>
        </w:rPr>
        <w:t>he effective development of outcomes of the Conference of the Parties;</w:t>
      </w:r>
    </w:p>
    <w:p w:rsidR="00814DD8" w:rsidRPr="00F82F1D" w:rsidRDefault="00B33F81" w:rsidP="00F82F1D">
      <w:pPr>
        <w:pStyle w:val="Para3"/>
        <w:suppressLineNumbers/>
        <w:suppressAutoHyphens/>
        <w:kinsoku w:val="0"/>
        <w:overflowPunct w:val="0"/>
        <w:autoSpaceDE w:val="0"/>
        <w:autoSpaceDN w:val="0"/>
        <w:rPr>
          <w:kern w:val="22"/>
          <w:szCs w:val="22"/>
        </w:rPr>
      </w:pPr>
      <w:r w:rsidRPr="00F82F1D">
        <w:rPr>
          <w:kern w:val="22"/>
          <w:szCs w:val="22"/>
        </w:rPr>
        <w:t>T</w:t>
      </w:r>
      <w:r w:rsidR="00814DD8" w:rsidRPr="00F82F1D">
        <w:rPr>
          <w:kern w:val="22"/>
          <w:szCs w:val="22"/>
        </w:rPr>
        <w:t>he increased integration among the Convention and the Protocols;</w:t>
      </w:r>
    </w:p>
    <w:p w:rsidR="00814DD8" w:rsidRPr="00F82F1D" w:rsidRDefault="00B33F81" w:rsidP="00F82F1D">
      <w:pPr>
        <w:pStyle w:val="Para3"/>
        <w:suppressLineNumbers/>
        <w:suppressAutoHyphens/>
        <w:kinsoku w:val="0"/>
        <w:overflowPunct w:val="0"/>
        <w:autoSpaceDE w:val="0"/>
        <w:autoSpaceDN w:val="0"/>
        <w:rPr>
          <w:kern w:val="22"/>
          <w:szCs w:val="22"/>
        </w:rPr>
      </w:pPr>
      <w:r w:rsidRPr="00F82F1D">
        <w:rPr>
          <w:kern w:val="22"/>
          <w:szCs w:val="22"/>
        </w:rPr>
        <w:t>I</w:t>
      </w:r>
      <w:r w:rsidR="00814DD8" w:rsidRPr="00F82F1D">
        <w:rPr>
          <w:kern w:val="22"/>
          <w:szCs w:val="22"/>
        </w:rPr>
        <w:t>mproved consultations, coordination and synergies among national focal points</w:t>
      </w:r>
      <w:r w:rsidRPr="00F82F1D">
        <w:rPr>
          <w:kern w:val="22"/>
          <w:szCs w:val="22"/>
        </w:rPr>
        <w:t>.</w:t>
      </w:r>
    </w:p>
    <w:p w:rsidR="00814DD8" w:rsidRPr="00F82F1D" w:rsidRDefault="00F0038E" w:rsidP="00F82F1D">
      <w:pPr>
        <w:pStyle w:val="Para3"/>
        <w:numPr>
          <w:ilvl w:val="0"/>
          <w:numId w:val="0"/>
        </w:numPr>
        <w:suppressLineNumbers/>
        <w:suppressAutoHyphens/>
        <w:kinsoku w:val="0"/>
        <w:overflowPunct w:val="0"/>
        <w:autoSpaceDE w:val="0"/>
        <w:autoSpaceDN w:val="0"/>
        <w:rPr>
          <w:kern w:val="22"/>
          <w:szCs w:val="22"/>
        </w:rPr>
      </w:pPr>
      <w:r w:rsidRPr="00F82F1D">
        <w:rPr>
          <w:kern w:val="22"/>
          <w:szCs w:val="22"/>
        </w:rPr>
        <w:t>About h</w:t>
      </w:r>
      <w:r w:rsidR="00267207" w:rsidRPr="00F82F1D">
        <w:rPr>
          <w:kern w:val="22"/>
          <w:szCs w:val="22"/>
        </w:rPr>
        <w:t xml:space="preserve">alf </w:t>
      </w:r>
      <w:r w:rsidR="00814DD8" w:rsidRPr="00F82F1D">
        <w:rPr>
          <w:kern w:val="22"/>
          <w:szCs w:val="22"/>
        </w:rPr>
        <w:t xml:space="preserve">of Parties felt </w:t>
      </w:r>
      <w:r w:rsidR="008F02B5" w:rsidRPr="00F82F1D">
        <w:rPr>
          <w:kern w:val="22"/>
          <w:szCs w:val="22"/>
        </w:rPr>
        <w:t xml:space="preserve">that </w:t>
      </w:r>
      <w:r w:rsidR="00814DD8" w:rsidRPr="00F82F1D">
        <w:rPr>
          <w:kern w:val="22"/>
          <w:szCs w:val="22"/>
        </w:rPr>
        <w:t xml:space="preserve">these criteria </w:t>
      </w:r>
      <w:r w:rsidR="008F02B5" w:rsidRPr="00F82F1D">
        <w:rPr>
          <w:kern w:val="22"/>
          <w:szCs w:val="22"/>
        </w:rPr>
        <w:t xml:space="preserve">had been </w:t>
      </w:r>
      <w:r w:rsidR="00814DD8" w:rsidRPr="00F82F1D">
        <w:rPr>
          <w:kern w:val="22"/>
          <w:szCs w:val="22"/>
        </w:rPr>
        <w:t>fully met</w:t>
      </w:r>
      <w:r w:rsidR="00267207" w:rsidRPr="00F82F1D">
        <w:rPr>
          <w:kern w:val="22"/>
          <w:szCs w:val="22"/>
        </w:rPr>
        <w:t xml:space="preserve">, and most others felt they </w:t>
      </w:r>
      <w:r w:rsidR="008F02B5" w:rsidRPr="00F82F1D">
        <w:rPr>
          <w:kern w:val="22"/>
          <w:szCs w:val="22"/>
        </w:rPr>
        <w:t xml:space="preserve">had been </w:t>
      </w:r>
      <w:r w:rsidR="00267207" w:rsidRPr="00F82F1D">
        <w:rPr>
          <w:kern w:val="22"/>
          <w:szCs w:val="22"/>
        </w:rPr>
        <w:t>partially met</w:t>
      </w:r>
      <w:r w:rsidR="008F02B5" w:rsidRPr="00F82F1D">
        <w:rPr>
          <w:kern w:val="22"/>
          <w:szCs w:val="22"/>
        </w:rPr>
        <w:t>;</w:t>
      </w:r>
    </w:p>
    <w:p w:rsidR="00B24047" w:rsidRPr="00F82F1D" w:rsidRDefault="00C87FD6" w:rsidP="00F82F1D">
      <w:pPr>
        <w:pStyle w:val="Para1"/>
        <w:numPr>
          <w:ilvl w:val="1"/>
          <w:numId w:val="6"/>
        </w:numPr>
        <w:suppressLineNumbers/>
        <w:suppressAutoHyphens/>
        <w:kinsoku w:val="0"/>
        <w:overflowPunct w:val="0"/>
        <w:autoSpaceDE w:val="0"/>
        <w:autoSpaceDN w:val="0"/>
        <w:rPr>
          <w:snapToGrid/>
          <w:kern w:val="22"/>
          <w:szCs w:val="22"/>
        </w:rPr>
      </w:pPr>
      <w:r w:rsidRPr="00F82F1D">
        <w:rPr>
          <w:snapToGrid/>
          <w:kern w:val="22"/>
          <w:szCs w:val="22"/>
        </w:rPr>
        <w:t xml:space="preserve">According to the review the least successful aspects </w:t>
      </w:r>
      <w:r w:rsidR="000504F8" w:rsidRPr="00F82F1D">
        <w:rPr>
          <w:snapToGrid/>
          <w:kern w:val="22"/>
          <w:szCs w:val="22"/>
        </w:rPr>
        <w:t xml:space="preserve">were </w:t>
      </w:r>
      <w:r w:rsidRPr="00F82F1D">
        <w:rPr>
          <w:snapToGrid/>
          <w:kern w:val="22"/>
          <w:szCs w:val="22"/>
        </w:rPr>
        <w:t xml:space="preserve">related </w:t>
      </w:r>
      <w:r w:rsidR="00E30875" w:rsidRPr="00F82F1D">
        <w:rPr>
          <w:snapToGrid/>
          <w:kern w:val="22"/>
          <w:szCs w:val="22"/>
        </w:rPr>
        <w:t>to cost-effectiveness for the Cartagena Protocol</w:t>
      </w:r>
      <w:r w:rsidRPr="00F82F1D">
        <w:rPr>
          <w:snapToGrid/>
          <w:kern w:val="22"/>
          <w:szCs w:val="22"/>
        </w:rPr>
        <w:t>,</w:t>
      </w:r>
      <w:r w:rsidR="00E30875" w:rsidRPr="00F82F1D">
        <w:rPr>
          <w:snapToGrid/>
          <w:kern w:val="22"/>
          <w:szCs w:val="22"/>
        </w:rPr>
        <w:t xml:space="preserve"> </w:t>
      </w:r>
      <w:r w:rsidR="00CD73BD" w:rsidRPr="00F82F1D">
        <w:rPr>
          <w:snapToGrid/>
          <w:kern w:val="22"/>
          <w:szCs w:val="22"/>
        </w:rPr>
        <w:t xml:space="preserve">for which </w:t>
      </w:r>
      <w:r w:rsidR="00E30875" w:rsidRPr="00F82F1D">
        <w:rPr>
          <w:snapToGrid/>
          <w:kern w:val="22"/>
          <w:szCs w:val="22"/>
        </w:rPr>
        <w:t>the number of Parties that felt the criteri</w:t>
      </w:r>
      <w:r w:rsidR="000504F8" w:rsidRPr="00F82F1D">
        <w:rPr>
          <w:snapToGrid/>
          <w:kern w:val="22"/>
          <w:szCs w:val="22"/>
        </w:rPr>
        <w:t>on</w:t>
      </w:r>
      <w:r w:rsidR="00E30875" w:rsidRPr="00F82F1D">
        <w:rPr>
          <w:snapToGrid/>
          <w:kern w:val="22"/>
          <w:szCs w:val="22"/>
        </w:rPr>
        <w:t xml:space="preserve"> </w:t>
      </w:r>
      <w:r w:rsidR="00CD73BD" w:rsidRPr="00F82F1D">
        <w:rPr>
          <w:snapToGrid/>
          <w:kern w:val="22"/>
          <w:szCs w:val="22"/>
        </w:rPr>
        <w:t xml:space="preserve">had been </w:t>
      </w:r>
      <w:r w:rsidR="00E30875" w:rsidRPr="00F82F1D">
        <w:rPr>
          <w:snapToGrid/>
          <w:kern w:val="22"/>
          <w:szCs w:val="22"/>
        </w:rPr>
        <w:t xml:space="preserve">met was </w:t>
      </w:r>
      <w:r w:rsidR="001562E0" w:rsidRPr="00F82F1D">
        <w:rPr>
          <w:snapToGrid/>
          <w:kern w:val="22"/>
          <w:szCs w:val="22"/>
        </w:rPr>
        <w:t xml:space="preserve">about </w:t>
      </w:r>
      <w:r w:rsidR="00E30875" w:rsidRPr="00F82F1D">
        <w:rPr>
          <w:snapToGrid/>
          <w:kern w:val="22"/>
          <w:szCs w:val="22"/>
        </w:rPr>
        <w:t xml:space="preserve">the same as the number of Parties that felt it </w:t>
      </w:r>
      <w:r w:rsidR="00CD73BD" w:rsidRPr="00F82F1D">
        <w:rPr>
          <w:snapToGrid/>
          <w:kern w:val="22"/>
          <w:szCs w:val="22"/>
        </w:rPr>
        <w:t xml:space="preserve">had </w:t>
      </w:r>
      <w:r w:rsidR="00E30875" w:rsidRPr="00F82F1D">
        <w:rPr>
          <w:snapToGrid/>
          <w:kern w:val="22"/>
          <w:szCs w:val="22"/>
        </w:rPr>
        <w:t xml:space="preserve">not </w:t>
      </w:r>
      <w:r w:rsidR="00CD73BD" w:rsidRPr="00F82F1D">
        <w:rPr>
          <w:snapToGrid/>
          <w:kern w:val="22"/>
          <w:szCs w:val="22"/>
        </w:rPr>
        <w:t xml:space="preserve">been </w:t>
      </w:r>
      <w:r w:rsidR="00E30875" w:rsidRPr="00F82F1D">
        <w:rPr>
          <w:snapToGrid/>
          <w:kern w:val="22"/>
          <w:szCs w:val="22"/>
        </w:rPr>
        <w:t>met</w:t>
      </w:r>
      <w:r w:rsidR="00B33F81" w:rsidRPr="00F82F1D">
        <w:rPr>
          <w:snapToGrid/>
          <w:kern w:val="22"/>
          <w:szCs w:val="22"/>
        </w:rPr>
        <w:t>.</w:t>
      </w:r>
      <w:r w:rsidR="00B24047" w:rsidRPr="00F82F1D">
        <w:rPr>
          <w:snapToGrid/>
          <w:kern w:val="22"/>
          <w:szCs w:val="22"/>
        </w:rPr>
        <w:t xml:space="preserve"> Among the issues identified by Parties to improve the convening of current meetings were </w:t>
      </w:r>
      <w:r w:rsidR="006C607F" w:rsidRPr="00F82F1D">
        <w:rPr>
          <w:snapToGrid/>
          <w:kern w:val="22"/>
          <w:szCs w:val="22"/>
        </w:rPr>
        <w:t>(</w:t>
      </w:r>
      <w:proofErr w:type="spellStart"/>
      <w:r w:rsidR="006C607F" w:rsidRPr="00F82F1D">
        <w:rPr>
          <w:snapToGrid/>
          <w:kern w:val="22"/>
          <w:szCs w:val="22"/>
        </w:rPr>
        <w:t>i</w:t>
      </w:r>
      <w:proofErr w:type="spellEnd"/>
      <w:r w:rsidR="006C607F" w:rsidRPr="00F82F1D">
        <w:rPr>
          <w:snapToGrid/>
          <w:kern w:val="22"/>
          <w:szCs w:val="22"/>
        </w:rPr>
        <w:t xml:space="preserve">) </w:t>
      </w:r>
      <w:r w:rsidR="00B24047" w:rsidRPr="00F82F1D">
        <w:rPr>
          <w:snapToGrid/>
          <w:kern w:val="22"/>
          <w:szCs w:val="22"/>
        </w:rPr>
        <w:t xml:space="preserve">the need to ensure appropriate representation of developing countries, </w:t>
      </w:r>
      <w:r w:rsidR="006C607F" w:rsidRPr="00F82F1D">
        <w:rPr>
          <w:snapToGrid/>
          <w:kern w:val="22"/>
          <w:szCs w:val="22"/>
        </w:rPr>
        <w:t xml:space="preserve">(ii) </w:t>
      </w:r>
      <w:r w:rsidR="00B24047" w:rsidRPr="00F82F1D">
        <w:rPr>
          <w:snapToGrid/>
          <w:kern w:val="22"/>
          <w:szCs w:val="22"/>
        </w:rPr>
        <w:t xml:space="preserve">the need to give sufficient time to the three instruments in negotiation sessions, </w:t>
      </w:r>
      <w:r w:rsidR="006C607F" w:rsidRPr="00F82F1D">
        <w:rPr>
          <w:snapToGrid/>
          <w:kern w:val="22"/>
          <w:szCs w:val="22"/>
        </w:rPr>
        <w:t xml:space="preserve">(iii) </w:t>
      </w:r>
      <w:r w:rsidR="00B24047" w:rsidRPr="00F82F1D">
        <w:rPr>
          <w:snapToGrid/>
          <w:kern w:val="22"/>
          <w:szCs w:val="22"/>
        </w:rPr>
        <w:t>the need to streamline the agendas for the meetings as much as possible in order to reduce the need for contact groups</w:t>
      </w:r>
      <w:r w:rsidR="006C607F" w:rsidRPr="00F82F1D">
        <w:rPr>
          <w:snapToGrid/>
          <w:kern w:val="22"/>
          <w:szCs w:val="22"/>
        </w:rPr>
        <w:t>,</w:t>
      </w:r>
      <w:r w:rsidR="00B24047" w:rsidRPr="00F82F1D">
        <w:rPr>
          <w:snapToGrid/>
          <w:kern w:val="22"/>
          <w:szCs w:val="22"/>
        </w:rPr>
        <w:t xml:space="preserve"> and </w:t>
      </w:r>
      <w:r w:rsidR="006C607F" w:rsidRPr="00F82F1D">
        <w:rPr>
          <w:snapToGrid/>
          <w:kern w:val="22"/>
          <w:szCs w:val="22"/>
        </w:rPr>
        <w:t xml:space="preserve">(iv) </w:t>
      </w:r>
      <w:r w:rsidR="00B24047" w:rsidRPr="00F82F1D">
        <w:rPr>
          <w:snapToGrid/>
          <w:kern w:val="22"/>
          <w:szCs w:val="22"/>
        </w:rPr>
        <w:t>the need to explore ways to limit the amount of time delegates responsible for the Protocols are required to spend at the concurrent meetings</w:t>
      </w:r>
      <w:r w:rsidR="00B33F81" w:rsidRPr="00F82F1D">
        <w:rPr>
          <w:snapToGrid/>
          <w:kern w:val="22"/>
          <w:szCs w:val="22"/>
        </w:rPr>
        <w:t>;</w:t>
      </w:r>
    </w:p>
    <w:p w:rsidR="00B24047" w:rsidRPr="00F82F1D" w:rsidRDefault="00B24047" w:rsidP="00F82F1D">
      <w:pPr>
        <w:pStyle w:val="Para1"/>
        <w:numPr>
          <w:ilvl w:val="1"/>
          <w:numId w:val="6"/>
        </w:numPr>
        <w:suppressLineNumbers/>
        <w:suppressAutoHyphens/>
        <w:kinsoku w:val="0"/>
        <w:overflowPunct w:val="0"/>
        <w:autoSpaceDE w:val="0"/>
        <w:autoSpaceDN w:val="0"/>
        <w:rPr>
          <w:snapToGrid/>
          <w:kern w:val="22"/>
          <w:szCs w:val="22"/>
        </w:rPr>
      </w:pPr>
      <w:r w:rsidRPr="00F82F1D">
        <w:rPr>
          <w:snapToGrid/>
          <w:kern w:val="22"/>
          <w:szCs w:val="22"/>
        </w:rPr>
        <w:t xml:space="preserve">The responses from the online survey, in which participants </w:t>
      </w:r>
      <w:r w:rsidR="00B33F81" w:rsidRPr="00F82F1D">
        <w:rPr>
          <w:snapToGrid/>
          <w:kern w:val="22"/>
          <w:szCs w:val="22"/>
        </w:rPr>
        <w:t xml:space="preserve">in </w:t>
      </w:r>
      <w:r w:rsidRPr="00F82F1D">
        <w:rPr>
          <w:snapToGrid/>
          <w:kern w:val="22"/>
          <w:szCs w:val="22"/>
        </w:rPr>
        <w:t xml:space="preserve">the concurrent meetings responded in their personal </w:t>
      </w:r>
      <w:proofErr w:type="gramStart"/>
      <w:r w:rsidRPr="00F82F1D">
        <w:rPr>
          <w:snapToGrid/>
          <w:kern w:val="22"/>
          <w:szCs w:val="22"/>
        </w:rPr>
        <w:t>capacity,</w:t>
      </w:r>
      <w:proofErr w:type="gramEnd"/>
      <w:r w:rsidRPr="00F82F1D">
        <w:rPr>
          <w:snapToGrid/>
          <w:kern w:val="22"/>
          <w:szCs w:val="22"/>
        </w:rPr>
        <w:t xml:space="preserve"> provide a similar picture to the questionnaire distributed to Parties. Overall</w:t>
      </w:r>
      <w:r w:rsidR="00B33F81" w:rsidRPr="00F82F1D">
        <w:rPr>
          <w:snapToGrid/>
          <w:kern w:val="22"/>
          <w:szCs w:val="22"/>
        </w:rPr>
        <w:t>,</w:t>
      </w:r>
      <w:r w:rsidRPr="00F82F1D">
        <w:rPr>
          <w:snapToGrid/>
          <w:kern w:val="22"/>
          <w:szCs w:val="22"/>
        </w:rPr>
        <w:t xml:space="preserve"> survey respondents generally felt that convening concurrent meetings of the Convention on Biological Diversity, the Cartagena Protocol and the Nagoya Protocol was efficient, and cost</w:t>
      </w:r>
      <w:r w:rsidR="00090F6C" w:rsidRPr="00F82F1D">
        <w:rPr>
          <w:snapToGrid/>
          <w:kern w:val="22"/>
          <w:szCs w:val="22"/>
        </w:rPr>
        <w:t>-</w:t>
      </w:r>
      <w:r w:rsidRPr="00F82F1D">
        <w:rPr>
          <w:snapToGrid/>
          <w:kern w:val="22"/>
          <w:szCs w:val="22"/>
        </w:rPr>
        <w:t>effective. Respondents also generally felt that it increased integration and facilitated consultations. However</w:t>
      </w:r>
      <w:r w:rsidR="00B33F81" w:rsidRPr="00F82F1D">
        <w:rPr>
          <w:snapToGrid/>
          <w:kern w:val="22"/>
          <w:szCs w:val="22"/>
        </w:rPr>
        <w:t>,</w:t>
      </w:r>
      <w:r w:rsidRPr="00F82F1D">
        <w:rPr>
          <w:snapToGrid/>
          <w:kern w:val="22"/>
          <w:szCs w:val="22"/>
        </w:rPr>
        <w:t xml:space="preserve"> several respondents noted that, particularly for smaller delegations, this was not always the case and that the success of holding concurrent meetings would depend on ensuring that all Parties </w:t>
      </w:r>
      <w:r w:rsidR="00D74253" w:rsidRPr="00F82F1D">
        <w:rPr>
          <w:snapToGrid/>
          <w:kern w:val="22"/>
          <w:szCs w:val="22"/>
        </w:rPr>
        <w:t xml:space="preserve">were </w:t>
      </w:r>
      <w:r w:rsidRPr="00F82F1D">
        <w:rPr>
          <w:snapToGrid/>
          <w:kern w:val="22"/>
          <w:szCs w:val="22"/>
        </w:rPr>
        <w:t>appropriately represented.</w:t>
      </w:r>
    </w:p>
    <w:p w:rsidR="00A73277" w:rsidRPr="00F82F1D" w:rsidRDefault="009A0C44" w:rsidP="00F82F1D">
      <w:pPr>
        <w:pStyle w:val="Para1"/>
        <w:suppressLineNumbers/>
        <w:tabs>
          <w:tab w:val="clear" w:pos="360"/>
        </w:tabs>
        <w:suppressAutoHyphens/>
        <w:kinsoku w:val="0"/>
        <w:overflowPunct w:val="0"/>
        <w:autoSpaceDE w:val="0"/>
        <w:autoSpaceDN w:val="0"/>
        <w:rPr>
          <w:snapToGrid/>
          <w:kern w:val="22"/>
          <w:szCs w:val="22"/>
        </w:rPr>
      </w:pPr>
      <w:r w:rsidRPr="00F82F1D">
        <w:rPr>
          <w:snapToGrid/>
          <w:kern w:val="22"/>
          <w:szCs w:val="22"/>
        </w:rPr>
        <w:t>The present review of experience in holding the meetings concurrently</w:t>
      </w:r>
      <w:r w:rsidR="009E6978" w:rsidRPr="00F82F1D">
        <w:rPr>
          <w:snapToGrid/>
          <w:kern w:val="22"/>
          <w:szCs w:val="22"/>
        </w:rPr>
        <w:t>, in line with decision XIII/26,</w:t>
      </w:r>
      <w:r w:rsidRPr="00F82F1D">
        <w:rPr>
          <w:snapToGrid/>
          <w:kern w:val="22"/>
          <w:szCs w:val="22"/>
        </w:rPr>
        <w:t xml:space="preserve"> is expected to be supplemented and further developed in</w:t>
      </w:r>
      <w:r w:rsidR="00B33F81" w:rsidRPr="00F82F1D">
        <w:rPr>
          <w:snapToGrid/>
          <w:kern w:val="22"/>
          <w:szCs w:val="22"/>
        </w:rPr>
        <w:t xml:space="preserve"> the</w:t>
      </w:r>
      <w:r w:rsidRPr="00F82F1D">
        <w:rPr>
          <w:snapToGrid/>
          <w:kern w:val="22"/>
          <w:szCs w:val="22"/>
        </w:rPr>
        <w:t xml:space="preserve"> light of the experience gained from the concurrent meetings </w:t>
      </w:r>
      <w:r w:rsidR="00B33F81" w:rsidRPr="00F82F1D">
        <w:rPr>
          <w:snapToGrid/>
          <w:kern w:val="22"/>
          <w:szCs w:val="22"/>
        </w:rPr>
        <w:t xml:space="preserve">to be held </w:t>
      </w:r>
      <w:r w:rsidRPr="00F82F1D">
        <w:rPr>
          <w:snapToGrid/>
          <w:kern w:val="22"/>
          <w:szCs w:val="22"/>
        </w:rPr>
        <w:t xml:space="preserve">in </w:t>
      </w:r>
      <w:r w:rsidRPr="00F82F1D">
        <w:rPr>
          <w:noProof/>
          <w:snapToGrid/>
          <w:kern w:val="22"/>
          <w:szCs w:val="22"/>
        </w:rPr>
        <w:t>Sharm El-Sheikh</w:t>
      </w:r>
      <w:r w:rsidRPr="00F82F1D">
        <w:rPr>
          <w:snapToGrid/>
          <w:kern w:val="22"/>
          <w:szCs w:val="22"/>
        </w:rPr>
        <w:t>, Egypt, from 10 to 22 November 2018.</w:t>
      </w:r>
    </w:p>
    <w:p w:rsidR="009A0C44" w:rsidRPr="00F82F1D" w:rsidRDefault="009A0C44" w:rsidP="00F82F1D">
      <w:pPr>
        <w:pStyle w:val="Para1"/>
        <w:numPr>
          <w:ilvl w:val="0"/>
          <w:numId w:val="0"/>
        </w:numPr>
        <w:suppressLineNumbers/>
        <w:suppressAutoHyphens/>
        <w:kinsoku w:val="0"/>
        <w:overflowPunct w:val="0"/>
        <w:autoSpaceDE w:val="0"/>
        <w:autoSpaceDN w:val="0"/>
        <w:rPr>
          <w:snapToGrid/>
          <w:kern w:val="22"/>
          <w:szCs w:val="22"/>
        </w:rPr>
      </w:pPr>
    </w:p>
    <w:p w:rsidR="00D15589" w:rsidRPr="00F82F1D" w:rsidRDefault="00742F79" w:rsidP="00F82F1D">
      <w:pPr>
        <w:pStyle w:val="Heading1"/>
        <w:suppressLineNumbers/>
        <w:suppressAutoHyphens/>
        <w:kinsoku w:val="0"/>
        <w:overflowPunct w:val="0"/>
        <w:autoSpaceDE w:val="0"/>
        <w:autoSpaceDN w:val="0"/>
        <w:spacing w:before="0" w:after="0"/>
        <w:rPr>
          <w:b w:val="0"/>
          <w:bCs/>
          <w:kern w:val="22"/>
          <w:szCs w:val="22"/>
        </w:rPr>
      </w:pPr>
      <w:r w:rsidRPr="00F82F1D">
        <w:rPr>
          <w:b w:val="0"/>
          <w:bCs/>
          <w:kern w:val="22"/>
          <w:szCs w:val="22"/>
        </w:rPr>
        <w:t>__________</w:t>
      </w:r>
    </w:p>
    <w:p w:rsidR="00736BC2" w:rsidRPr="00F82F1D" w:rsidRDefault="00736BC2" w:rsidP="00F82F1D">
      <w:pPr>
        <w:suppressLineNumbers/>
        <w:suppressAutoHyphens/>
        <w:kinsoku w:val="0"/>
        <w:overflowPunct w:val="0"/>
        <w:autoSpaceDE w:val="0"/>
        <w:autoSpaceDN w:val="0"/>
        <w:jc w:val="center"/>
        <w:rPr>
          <w:kern w:val="22"/>
          <w:szCs w:val="22"/>
        </w:rPr>
      </w:pPr>
    </w:p>
    <w:sectPr w:rsidR="00736BC2" w:rsidRPr="00F82F1D" w:rsidSect="00CA1572">
      <w:headerReference w:type="even" r:id="rId20"/>
      <w:headerReference w:type="default" r:id="rId21"/>
      <w:pgSz w:w="12240" w:h="15840" w:code="1"/>
      <w:pgMar w:top="567" w:right="1440" w:bottom="1134" w:left="1440" w:header="454" w:footer="72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0FE46A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FE46A2" w16cid:durableId="1E2BEB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AD1" w:rsidRDefault="00D80AD1">
      <w:r>
        <w:separator/>
      </w:r>
    </w:p>
  </w:endnote>
  <w:endnote w:type="continuationSeparator" w:id="0">
    <w:p w:rsidR="00D80AD1" w:rsidRDefault="00D8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inion Pro">
    <w:altName w:val="Cambria"/>
    <w:panose1 w:val="00000000000000000000"/>
    <w:charset w:val="00"/>
    <w:family w:val="roman"/>
    <w:notTrueType/>
    <w:pitch w:val="default"/>
    <w:sig w:usb0="00000003" w:usb1="08070000" w:usb2="00000010" w:usb3="00000000" w:csb0="00020001" w:csb1="00000000"/>
  </w:font>
  <w:font w:name="Myriad Roman">
    <w:altName w:val="Myriad Roman"/>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AD1" w:rsidRDefault="00D80AD1">
      <w:r>
        <w:separator/>
      </w:r>
    </w:p>
  </w:footnote>
  <w:footnote w:type="continuationSeparator" w:id="0">
    <w:p w:rsidR="00D80AD1" w:rsidRDefault="00D80AD1">
      <w:r>
        <w:continuationSeparator/>
      </w:r>
    </w:p>
  </w:footnote>
  <w:footnote w:id="1">
    <w:p w:rsidR="00D80AD1" w:rsidRPr="00F82F1D" w:rsidRDefault="00D80AD1" w:rsidP="00F82F1D">
      <w:pPr>
        <w:pStyle w:val="FootnoteText"/>
        <w:keepLines w:val="0"/>
        <w:kinsoku w:val="0"/>
        <w:overflowPunct w:val="0"/>
        <w:autoSpaceDE w:val="0"/>
        <w:autoSpaceDN w:val="0"/>
        <w:ind w:firstLine="0"/>
        <w:jc w:val="left"/>
        <w:rPr>
          <w:kern w:val="18"/>
          <w:szCs w:val="18"/>
        </w:rPr>
      </w:pPr>
      <w:r w:rsidRPr="00F82F1D">
        <w:rPr>
          <w:rStyle w:val="FootnoteReference"/>
          <w:kern w:val="18"/>
          <w:szCs w:val="18"/>
          <w:u w:val="none"/>
        </w:rPr>
        <w:t>*</w:t>
      </w:r>
      <w:r w:rsidRPr="00F82F1D">
        <w:rPr>
          <w:kern w:val="18"/>
          <w:szCs w:val="18"/>
        </w:rPr>
        <w:t xml:space="preserve"> </w:t>
      </w:r>
      <w:hyperlink r:id="rId1" w:history="1">
        <w:proofErr w:type="gramStart"/>
        <w:r w:rsidRPr="00F82F1D">
          <w:rPr>
            <w:rStyle w:val="Hyperlink"/>
            <w:kern w:val="18"/>
            <w:szCs w:val="18"/>
          </w:rPr>
          <w:t>CBD/SBI/2/1</w:t>
        </w:r>
      </w:hyperlink>
      <w:r w:rsidRPr="00F82F1D">
        <w:rPr>
          <w:kern w:val="18"/>
          <w:szCs w:val="18"/>
        </w:rPr>
        <w:t>.</w:t>
      </w:r>
      <w:proofErr w:type="gramEnd"/>
    </w:p>
  </w:footnote>
  <w:footnote w:id="2">
    <w:p w:rsidR="00D80AD1" w:rsidRPr="00F82F1D" w:rsidRDefault="00D80AD1" w:rsidP="00F82F1D">
      <w:pPr>
        <w:pStyle w:val="FootnoteText"/>
        <w:keepLines w:val="0"/>
        <w:kinsoku w:val="0"/>
        <w:overflowPunct w:val="0"/>
        <w:autoSpaceDE w:val="0"/>
        <w:autoSpaceDN w:val="0"/>
        <w:ind w:firstLine="0"/>
        <w:jc w:val="left"/>
        <w:rPr>
          <w:kern w:val="18"/>
          <w:szCs w:val="18"/>
        </w:rPr>
      </w:pPr>
      <w:r w:rsidRPr="00F82F1D">
        <w:rPr>
          <w:rStyle w:val="FootnoteReference"/>
          <w:kern w:val="18"/>
          <w:szCs w:val="18"/>
          <w:u w:val="none"/>
          <w:vertAlign w:val="superscript"/>
        </w:rPr>
        <w:footnoteRef/>
      </w:r>
      <w:r w:rsidRPr="00F82F1D">
        <w:rPr>
          <w:kern w:val="18"/>
          <w:szCs w:val="18"/>
        </w:rPr>
        <w:t xml:space="preserve"> For ease of reference</w:t>
      </w:r>
      <w:r>
        <w:rPr>
          <w:kern w:val="18"/>
          <w:szCs w:val="18"/>
        </w:rPr>
        <w:t>,</w:t>
      </w:r>
      <w:r w:rsidRPr="00F82F1D">
        <w:rPr>
          <w:kern w:val="18"/>
          <w:szCs w:val="18"/>
        </w:rPr>
        <w:t xml:space="preserve"> these meetings are collectively referred to as the “concurrent meetings” in </w:t>
      </w:r>
      <w:r>
        <w:rPr>
          <w:kern w:val="18"/>
          <w:szCs w:val="18"/>
        </w:rPr>
        <w:t>the present document</w:t>
      </w:r>
      <w:r w:rsidRPr="00F82F1D">
        <w:rPr>
          <w:kern w:val="18"/>
          <w:szCs w:val="18"/>
        </w:rPr>
        <w:t>.</w:t>
      </w:r>
    </w:p>
  </w:footnote>
  <w:footnote w:id="3">
    <w:p w:rsidR="00D80AD1" w:rsidRPr="00F82F1D" w:rsidRDefault="00D80AD1" w:rsidP="00F82F1D">
      <w:pPr>
        <w:pStyle w:val="FootnoteText"/>
        <w:keepLines w:val="0"/>
        <w:kinsoku w:val="0"/>
        <w:overflowPunct w:val="0"/>
        <w:autoSpaceDE w:val="0"/>
        <w:autoSpaceDN w:val="0"/>
        <w:ind w:firstLine="0"/>
        <w:jc w:val="left"/>
        <w:rPr>
          <w:kern w:val="18"/>
          <w:szCs w:val="18"/>
        </w:rPr>
      </w:pPr>
      <w:r w:rsidRPr="00F82F1D">
        <w:rPr>
          <w:rStyle w:val="FootnoteReference"/>
          <w:kern w:val="18"/>
          <w:szCs w:val="18"/>
          <w:u w:val="none"/>
          <w:vertAlign w:val="superscript"/>
        </w:rPr>
        <w:footnoteRef/>
      </w:r>
      <w:r w:rsidRPr="00F82F1D">
        <w:rPr>
          <w:kern w:val="18"/>
          <w:szCs w:val="18"/>
        </w:rPr>
        <w:t xml:space="preserve"> The notification was issued on 22 February 2017 with a deadline of 24 March 2017. Subsequently</w:t>
      </w:r>
      <w:r w:rsidR="004A427F">
        <w:rPr>
          <w:kern w:val="18"/>
          <w:szCs w:val="18"/>
        </w:rPr>
        <w:t>,</w:t>
      </w:r>
      <w:r w:rsidRPr="00F82F1D">
        <w:rPr>
          <w:kern w:val="18"/>
          <w:szCs w:val="18"/>
        </w:rPr>
        <w:t xml:space="preserve"> the deadline for the submission of comments was extended to 10 April 2017.</w:t>
      </w:r>
    </w:p>
  </w:footnote>
  <w:footnote w:id="4">
    <w:p w:rsidR="00D80AD1" w:rsidRPr="00F82F1D" w:rsidRDefault="00D80AD1" w:rsidP="00F82F1D">
      <w:pPr>
        <w:pStyle w:val="FootnoteText"/>
        <w:keepLines w:val="0"/>
        <w:kinsoku w:val="0"/>
        <w:overflowPunct w:val="0"/>
        <w:autoSpaceDE w:val="0"/>
        <w:autoSpaceDN w:val="0"/>
        <w:ind w:firstLine="0"/>
        <w:jc w:val="left"/>
        <w:rPr>
          <w:kern w:val="18"/>
          <w:szCs w:val="18"/>
        </w:rPr>
      </w:pPr>
      <w:r w:rsidRPr="00F82F1D">
        <w:rPr>
          <w:rStyle w:val="FootnoteReference"/>
          <w:kern w:val="18"/>
          <w:szCs w:val="18"/>
          <w:u w:val="none"/>
          <w:vertAlign w:val="superscript"/>
        </w:rPr>
        <w:footnoteRef/>
      </w:r>
      <w:r w:rsidRPr="00F82F1D">
        <w:rPr>
          <w:kern w:val="18"/>
          <w:szCs w:val="18"/>
        </w:rPr>
        <w:t xml:space="preserve"> This survey was distributed on 22 February 2017 and was open until 10 March 2017. Reminders to complete the survey were sent on 3 March 2017 and on 9 March 2017.</w:t>
      </w:r>
    </w:p>
  </w:footnote>
  <w:footnote w:id="5">
    <w:p w:rsidR="00D80AD1" w:rsidRPr="00F82F1D" w:rsidRDefault="00D80AD1" w:rsidP="00F82F1D">
      <w:pPr>
        <w:pStyle w:val="FootnoteText"/>
        <w:keepLines w:val="0"/>
        <w:kinsoku w:val="0"/>
        <w:overflowPunct w:val="0"/>
        <w:autoSpaceDE w:val="0"/>
        <w:autoSpaceDN w:val="0"/>
        <w:ind w:firstLine="0"/>
        <w:jc w:val="left"/>
        <w:rPr>
          <w:rFonts w:asciiTheme="majorBidi" w:hAnsiTheme="majorBidi" w:cstheme="majorBidi"/>
          <w:kern w:val="18"/>
          <w:szCs w:val="18"/>
        </w:rPr>
      </w:pPr>
      <w:r w:rsidRPr="00F82F1D">
        <w:rPr>
          <w:rStyle w:val="FootnoteReference"/>
          <w:rFonts w:asciiTheme="majorBidi" w:hAnsiTheme="majorBidi" w:cstheme="majorBidi"/>
          <w:kern w:val="18"/>
          <w:szCs w:val="18"/>
          <w:u w:val="none"/>
          <w:vertAlign w:val="superscript"/>
        </w:rPr>
        <w:footnoteRef/>
      </w:r>
      <w:r w:rsidRPr="00F82F1D">
        <w:rPr>
          <w:rFonts w:asciiTheme="majorBidi" w:hAnsiTheme="majorBidi" w:cstheme="majorBidi"/>
          <w:kern w:val="18"/>
          <w:szCs w:val="18"/>
        </w:rPr>
        <w:t xml:space="preserve"> </w:t>
      </w:r>
      <w:proofErr w:type="gramStart"/>
      <w:r w:rsidRPr="00F82F1D">
        <w:rPr>
          <w:rFonts w:asciiTheme="majorBidi" w:hAnsiTheme="majorBidi" w:cstheme="majorBidi"/>
          <w:kern w:val="18"/>
          <w:szCs w:val="18"/>
        </w:rPr>
        <w:t>UNEP/CBD/SBI/2/INF/1 and UNEP/CBD/SBI/2/INF/2.</w:t>
      </w:r>
      <w:proofErr w:type="gramEnd"/>
    </w:p>
  </w:footnote>
  <w:footnote w:id="6">
    <w:p w:rsidR="00D80AD1" w:rsidRPr="00F82F1D" w:rsidRDefault="00D80AD1" w:rsidP="00F82F1D">
      <w:pPr>
        <w:pStyle w:val="FootnoteText"/>
        <w:keepLines w:val="0"/>
        <w:kinsoku w:val="0"/>
        <w:overflowPunct w:val="0"/>
        <w:autoSpaceDE w:val="0"/>
        <w:autoSpaceDN w:val="0"/>
        <w:ind w:firstLine="0"/>
        <w:jc w:val="left"/>
        <w:rPr>
          <w:rFonts w:asciiTheme="majorBidi" w:hAnsiTheme="majorBidi" w:cstheme="majorBidi"/>
          <w:kern w:val="18"/>
          <w:szCs w:val="18"/>
        </w:rPr>
      </w:pPr>
      <w:r w:rsidRPr="00F82F1D">
        <w:rPr>
          <w:rStyle w:val="FootnoteReference"/>
          <w:rFonts w:asciiTheme="majorBidi" w:hAnsiTheme="majorBidi" w:cstheme="majorBidi"/>
          <w:kern w:val="18"/>
          <w:szCs w:val="18"/>
          <w:u w:val="none"/>
          <w:vertAlign w:val="superscript"/>
        </w:rPr>
        <w:footnoteRef/>
      </w:r>
      <w:r w:rsidRPr="00F82F1D">
        <w:rPr>
          <w:rFonts w:asciiTheme="majorBidi" w:hAnsiTheme="majorBidi" w:cstheme="majorBidi"/>
          <w:kern w:val="18"/>
          <w:szCs w:val="18"/>
        </w:rPr>
        <w:t xml:space="preserve"> Comments were received from Belgium, Madagascar, Mexico</w:t>
      </w:r>
      <w:r w:rsidRPr="00B0174D">
        <w:rPr>
          <w:rFonts w:asciiTheme="majorBidi" w:hAnsiTheme="majorBidi" w:cstheme="majorBidi"/>
          <w:kern w:val="18"/>
          <w:szCs w:val="18"/>
        </w:rPr>
        <w:t xml:space="preserve"> and</w:t>
      </w:r>
      <w:r w:rsidRPr="00F82F1D">
        <w:rPr>
          <w:rFonts w:asciiTheme="majorBidi" w:hAnsiTheme="majorBidi" w:cstheme="majorBidi"/>
          <w:kern w:val="18"/>
          <w:szCs w:val="18"/>
        </w:rPr>
        <w:t xml:space="preserve"> the Islamic Republic of Iran </w:t>
      </w:r>
      <w:r w:rsidRPr="00B0174D">
        <w:rPr>
          <w:rFonts w:asciiTheme="majorBidi" w:hAnsiTheme="majorBidi" w:cstheme="majorBidi"/>
          <w:kern w:val="18"/>
          <w:szCs w:val="18"/>
        </w:rPr>
        <w:t xml:space="preserve">as well as </w:t>
      </w:r>
      <w:r w:rsidRPr="00F82F1D">
        <w:rPr>
          <w:rFonts w:asciiTheme="majorBidi" w:hAnsiTheme="majorBidi" w:cstheme="majorBidi"/>
          <w:kern w:val="18"/>
          <w:szCs w:val="18"/>
        </w:rPr>
        <w:t xml:space="preserve">the Andes </w:t>
      </w:r>
      <w:proofErr w:type="spellStart"/>
      <w:r w:rsidRPr="00F82F1D">
        <w:rPr>
          <w:rFonts w:asciiTheme="majorBidi" w:hAnsiTheme="majorBidi" w:cstheme="majorBidi"/>
          <w:kern w:val="18"/>
          <w:szCs w:val="18"/>
        </w:rPr>
        <w:t>Chinchasuyu</w:t>
      </w:r>
      <w:proofErr w:type="spellEnd"/>
      <w:r w:rsidRPr="00F82F1D">
        <w:rPr>
          <w:rFonts w:asciiTheme="majorBidi" w:hAnsiTheme="majorBidi" w:cstheme="majorBidi"/>
          <w:kern w:val="18"/>
          <w:szCs w:val="18"/>
        </w:rPr>
        <w:t xml:space="preserve"> from Ecuador and the Indigenous Women</w:t>
      </w:r>
      <w:r w:rsidRPr="00B0174D">
        <w:rPr>
          <w:rFonts w:asciiTheme="majorBidi" w:hAnsiTheme="majorBidi" w:cstheme="majorBidi"/>
          <w:kern w:val="18"/>
          <w:szCs w:val="18"/>
        </w:rPr>
        <w:t>’s</w:t>
      </w:r>
      <w:r w:rsidRPr="00F82F1D">
        <w:rPr>
          <w:rFonts w:asciiTheme="majorBidi" w:hAnsiTheme="majorBidi" w:cstheme="majorBidi"/>
          <w:kern w:val="18"/>
          <w:szCs w:val="18"/>
        </w:rPr>
        <w:t xml:space="preserve"> Network on Biodiversity from Latin America and the Caribbean.</w:t>
      </w:r>
    </w:p>
  </w:footnote>
  <w:footnote w:id="7">
    <w:p w:rsidR="00D80AD1" w:rsidRPr="00F82F1D" w:rsidRDefault="00D80AD1" w:rsidP="00F82F1D">
      <w:pPr>
        <w:pStyle w:val="FootnoteText"/>
        <w:keepLines w:val="0"/>
        <w:kinsoku w:val="0"/>
        <w:overflowPunct w:val="0"/>
        <w:autoSpaceDE w:val="0"/>
        <w:autoSpaceDN w:val="0"/>
        <w:ind w:firstLine="0"/>
        <w:jc w:val="left"/>
        <w:rPr>
          <w:kern w:val="18"/>
          <w:szCs w:val="18"/>
        </w:rPr>
      </w:pPr>
      <w:r w:rsidRPr="00F82F1D">
        <w:rPr>
          <w:rStyle w:val="FootnoteReference"/>
          <w:rFonts w:asciiTheme="majorBidi" w:hAnsiTheme="majorBidi" w:cstheme="majorBidi"/>
          <w:kern w:val="18"/>
          <w:szCs w:val="18"/>
          <w:u w:val="none"/>
          <w:vertAlign w:val="superscript"/>
        </w:rPr>
        <w:footnoteRef/>
      </w:r>
      <w:r w:rsidRPr="00F82F1D">
        <w:rPr>
          <w:rFonts w:asciiTheme="majorBidi" w:hAnsiTheme="majorBidi" w:cstheme="majorBidi"/>
          <w:kern w:val="18"/>
          <w:szCs w:val="18"/>
        </w:rPr>
        <w:t xml:space="preserve">Algeria, Antigua and Barbuda, Argentina, Austria, Belarus, Belgium, Benin, Bolivia, Bosnia and Herzegovina, Bulgaria, Burundi, Cabo Verde, Canada, China, Colombia, Costa Rica, Côte d’Ivoire, Cuba, </w:t>
      </w:r>
      <w:proofErr w:type="spellStart"/>
      <w:r w:rsidRPr="00F82F1D">
        <w:rPr>
          <w:rFonts w:asciiTheme="majorBidi" w:hAnsiTheme="majorBidi" w:cstheme="majorBidi"/>
          <w:kern w:val="18"/>
          <w:szCs w:val="18"/>
        </w:rPr>
        <w:t>Czechia</w:t>
      </w:r>
      <w:proofErr w:type="spellEnd"/>
      <w:r w:rsidRPr="00F82F1D">
        <w:rPr>
          <w:rFonts w:asciiTheme="majorBidi" w:hAnsiTheme="majorBidi" w:cstheme="majorBidi"/>
          <w:kern w:val="18"/>
          <w:szCs w:val="18"/>
        </w:rPr>
        <w:t xml:space="preserve">, Democratic Republic of Congo, Denmark, Ecuador, </w:t>
      </w:r>
      <w:r w:rsidR="00D77A7E" w:rsidRPr="00295BA9">
        <w:rPr>
          <w:rFonts w:asciiTheme="majorBidi" w:hAnsiTheme="majorBidi" w:cstheme="majorBidi"/>
          <w:kern w:val="18"/>
          <w:szCs w:val="18"/>
        </w:rPr>
        <w:t>Equatorial</w:t>
      </w:r>
      <w:r w:rsidR="00D77A7E" w:rsidRPr="00D77A7E">
        <w:rPr>
          <w:rFonts w:asciiTheme="majorBidi" w:hAnsiTheme="majorBidi" w:cstheme="majorBidi"/>
          <w:kern w:val="18"/>
          <w:szCs w:val="18"/>
        </w:rPr>
        <w:t xml:space="preserve"> </w:t>
      </w:r>
      <w:r w:rsidR="00D77A7E" w:rsidRPr="00EA471F">
        <w:rPr>
          <w:rFonts w:asciiTheme="majorBidi" w:hAnsiTheme="majorBidi" w:cstheme="majorBidi"/>
          <w:kern w:val="18"/>
          <w:szCs w:val="18"/>
        </w:rPr>
        <w:t>Guinea</w:t>
      </w:r>
      <w:r w:rsidR="00D77A7E" w:rsidRPr="00295BA9">
        <w:rPr>
          <w:rFonts w:asciiTheme="majorBidi" w:hAnsiTheme="majorBidi" w:cstheme="majorBidi"/>
          <w:kern w:val="18"/>
          <w:szCs w:val="18"/>
        </w:rPr>
        <w:t>,</w:t>
      </w:r>
      <w:r w:rsidR="00D77A7E">
        <w:rPr>
          <w:rFonts w:asciiTheme="majorBidi" w:hAnsiTheme="majorBidi" w:cstheme="majorBidi"/>
          <w:kern w:val="18"/>
          <w:szCs w:val="18"/>
        </w:rPr>
        <w:t xml:space="preserve"> </w:t>
      </w:r>
      <w:r w:rsidRPr="00F82F1D">
        <w:rPr>
          <w:rFonts w:asciiTheme="majorBidi" w:hAnsiTheme="majorBidi" w:cstheme="majorBidi"/>
          <w:kern w:val="18"/>
          <w:szCs w:val="18"/>
        </w:rPr>
        <w:t>European Union, Finland, Germany, Ghana, Grenada, Guatemala, Guine</w:t>
      </w:r>
      <w:r w:rsidR="00DA5EA8">
        <w:rPr>
          <w:rFonts w:asciiTheme="majorBidi" w:hAnsiTheme="majorBidi" w:cstheme="majorBidi"/>
          <w:kern w:val="18"/>
          <w:szCs w:val="18"/>
        </w:rPr>
        <w:t>a</w:t>
      </w:r>
      <w:r w:rsidRPr="00F82F1D">
        <w:rPr>
          <w:rFonts w:asciiTheme="majorBidi" w:hAnsiTheme="majorBidi" w:cstheme="majorBidi"/>
          <w:kern w:val="18"/>
          <w:szCs w:val="18"/>
        </w:rPr>
        <w:t>-Bissau, Honduras,</w:t>
      </w:r>
      <w:r w:rsidR="002B3D57">
        <w:rPr>
          <w:rFonts w:asciiTheme="majorBidi" w:hAnsiTheme="majorBidi" w:cstheme="majorBidi"/>
          <w:kern w:val="18"/>
          <w:szCs w:val="18"/>
        </w:rPr>
        <w:t xml:space="preserve"> </w:t>
      </w:r>
      <w:r w:rsidRPr="00F82F1D">
        <w:rPr>
          <w:rFonts w:asciiTheme="majorBidi" w:hAnsiTheme="majorBidi" w:cstheme="majorBidi"/>
          <w:kern w:val="18"/>
          <w:szCs w:val="18"/>
        </w:rPr>
        <w:t>India, Iran</w:t>
      </w:r>
      <w:r w:rsidR="002B3D57">
        <w:rPr>
          <w:rFonts w:asciiTheme="majorBidi" w:hAnsiTheme="majorBidi" w:cstheme="majorBidi"/>
          <w:kern w:val="18"/>
          <w:szCs w:val="18"/>
        </w:rPr>
        <w:t xml:space="preserve"> (Islamic Republic of)</w:t>
      </w:r>
      <w:r w:rsidRPr="00F82F1D">
        <w:rPr>
          <w:rFonts w:asciiTheme="majorBidi" w:hAnsiTheme="majorBidi" w:cstheme="majorBidi"/>
          <w:kern w:val="18"/>
          <w:szCs w:val="18"/>
        </w:rPr>
        <w:t>, Jamaica, Kuwait, Madagascar, Malaysia, Mali, Mexico, Morocco, Mozambique, Nepal, Netherlands, Niger, Norway, Pakistan, Peru, Philippines, Republic of Korea, Sao Tome</w:t>
      </w:r>
      <w:r w:rsidR="00A70495" w:rsidRPr="00A70495">
        <w:t xml:space="preserve"> </w:t>
      </w:r>
      <w:r w:rsidR="00A70495" w:rsidRPr="00A70495">
        <w:rPr>
          <w:rFonts w:asciiTheme="majorBidi" w:hAnsiTheme="majorBidi" w:cstheme="majorBidi"/>
          <w:kern w:val="18"/>
          <w:szCs w:val="18"/>
        </w:rPr>
        <w:t>and Principe</w:t>
      </w:r>
      <w:r w:rsidRPr="00F82F1D">
        <w:rPr>
          <w:rFonts w:asciiTheme="majorBidi" w:hAnsiTheme="majorBidi" w:cstheme="majorBidi"/>
          <w:kern w:val="18"/>
          <w:szCs w:val="18"/>
        </w:rPr>
        <w:t xml:space="preserve">, Senegal, Seychelles, Slovakia, Slovenia, South Africa, Spain, </w:t>
      </w:r>
      <w:r w:rsidR="00F952E8">
        <w:rPr>
          <w:rFonts w:asciiTheme="majorBidi" w:hAnsiTheme="majorBidi" w:cstheme="majorBidi"/>
          <w:kern w:val="18"/>
          <w:szCs w:val="18"/>
        </w:rPr>
        <w:t>Saint</w:t>
      </w:r>
      <w:r w:rsidRPr="00F82F1D">
        <w:rPr>
          <w:rFonts w:asciiTheme="majorBidi" w:hAnsiTheme="majorBidi" w:cstheme="majorBidi"/>
          <w:kern w:val="18"/>
          <w:szCs w:val="18"/>
        </w:rPr>
        <w:t xml:space="preserve"> Kitts and Nevis, Sudan, Switzerland, Tunisia, Uganda, Ukraine, Yemen, </w:t>
      </w:r>
      <w:r w:rsidR="001A600B">
        <w:rPr>
          <w:rFonts w:asciiTheme="majorBidi" w:hAnsiTheme="majorBidi" w:cstheme="majorBidi"/>
          <w:kern w:val="18"/>
          <w:szCs w:val="18"/>
        </w:rPr>
        <w:t xml:space="preserve">and </w:t>
      </w:r>
      <w:r w:rsidRPr="00F82F1D">
        <w:rPr>
          <w:rFonts w:asciiTheme="majorBidi" w:hAnsiTheme="majorBidi" w:cstheme="majorBidi"/>
          <w:kern w:val="18"/>
          <w:szCs w:val="18"/>
        </w:rPr>
        <w:t xml:space="preserve">Zimbabwe. In addition, one Party (Iraq) </w:t>
      </w:r>
      <w:r w:rsidR="001A600B">
        <w:rPr>
          <w:rFonts w:asciiTheme="majorBidi" w:hAnsiTheme="majorBidi" w:cstheme="majorBidi"/>
          <w:kern w:val="18"/>
          <w:szCs w:val="18"/>
        </w:rPr>
        <w:t>indicated</w:t>
      </w:r>
      <w:r w:rsidR="001A600B" w:rsidRPr="00F82F1D">
        <w:rPr>
          <w:rFonts w:asciiTheme="majorBidi" w:hAnsiTheme="majorBidi" w:cstheme="majorBidi"/>
          <w:kern w:val="18"/>
          <w:szCs w:val="18"/>
        </w:rPr>
        <w:t xml:space="preserve"> </w:t>
      </w:r>
      <w:r w:rsidRPr="00F82F1D">
        <w:rPr>
          <w:rFonts w:asciiTheme="majorBidi" w:hAnsiTheme="majorBidi" w:cstheme="majorBidi"/>
          <w:kern w:val="18"/>
          <w:szCs w:val="18"/>
        </w:rPr>
        <w:t>that it was unable to respond to the notification as it could not participate in the concurrent meetings for visa reasons.</w:t>
      </w:r>
    </w:p>
  </w:footnote>
  <w:footnote w:id="8">
    <w:p w:rsidR="00D80AD1" w:rsidRPr="00F82F1D" w:rsidRDefault="00D80AD1" w:rsidP="00F82F1D">
      <w:pPr>
        <w:pStyle w:val="FootnoteText"/>
        <w:keepLines w:val="0"/>
        <w:kinsoku w:val="0"/>
        <w:overflowPunct w:val="0"/>
        <w:autoSpaceDE w:val="0"/>
        <w:autoSpaceDN w:val="0"/>
        <w:ind w:firstLine="0"/>
        <w:jc w:val="left"/>
        <w:rPr>
          <w:rFonts w:asciiTheme="majorBidi" w:hAnsiTheme="majorBidi" w:cstheme="majorBidi"/>
          <w:kern w:val="18"/>
          <w:szCs w:val="18"/>
        </w:rPr>
      </w:pPr>
      <w:r w:rsidRPr="00F82F1D">
        <w:rPr>
          <w:rStyle w:val="FootnoteReference"/>
          <w:rFonts w:asciiTheme="majorBidi" w:hAnsiTheme="majorBidi" w:cstheme="majorBidi"/>
          <w:kern w:val="18"/>
          <w:szCs w:val="18"/>
          <w:u w:val="none"/>
          <w:vertAlign w:val="superscript"/>
        </w:rPr>
        <w:footnoteRef/>
      </w:r>
      <w:r w:rsidRPr="00F82F1D">
        <w:rPr>
          <w:rFonts w:asciiTheme="majorBidi" w:hAnsiTheme="majorBidi" w:cstheme="majorBidi"/>
          <w:kern w:val="18"/>
          <w:szCs w:val="18"/>
        </w:rPr>
        <w:t xml:space="preserve"> Email addresses were collected from the list of registered participants </w:t>
      </w:r>
      <w:r>
        <w:rPr>
          <w:rFonts w:asciiTheme="majorBidi" w:hAnsiTheme="majorBidi" w:cstheme="majorBidi"/>
          <w:kern w:val="18"/>
          <w:szCs w:val="18"/>
        </w:rPr>
        <w:t>in</w:t>
      </w:r>
      <w:r w:rsidRPr="00F82F1D">
        <w:rPr>
          <w:rFonts w:asciiTheme="majorBidi" w:hAnsiTheme="majorBidi" w:cstheme="majorBidi"/>
          <w:kern w:val="18"/>
          <w:szCs w:val="18"/>
        </w:rPr>
        <w:t xml:space="preserve"> the </w:t>
      </w:r>
      <w:r>
        <w:rPr>
          <w:rFonts w:asciiTheme="majorBidi" w:hAnsiTheme="majorBidi" w:cstheme="majorBidi"/>
          <w:kern w:val="18"/>
          <w:szCs w:val="18"/>
        </w:rPr>
        <w:t>United Nations</w:t>
      </w:r>
      <w:r w:rsidRPr="00F82F1D">
        <w:rPr>
          <w:rFonts w:asciiTheme="majorBidi" w:hAnsiTheme="majorBidi" w:cstheme="majorBidi"/>
          <w:kern w:val="18"/>
          <w:szCs w:val="18"/>
        </w:rPr>
        <w:t xml:space="preserve"> Biodiversity Conference. As some participants </w:t>
      </w:r>
      <w:r>
        <w:rPr>
          <w:rFonts w:asciiTheme="majorBidi" w:hAnsiTheme="majorBidi" w:cstheme="majorBidi"/>
          <w:kern w:val="18"/>
          <w:szCs w:val="18"/>
        </w:rPr>
        <w:t>had</w:t>
      </w:r>
      <w:r w:rsidRPr="00F82F1D">
        <w:rPr>
          <w:rFonts w:asciiTheme="majorBidi" w:hAnsiTheme="majorBidi" w:cstheme="majorBidi"/>
          <w:kern w:val="18"/>
          <w:szCs w:val="18"/>
        </w:rPr>
        <w:t xml:space="preserve"> not provide</w:t>
      </w:r>
      <w:r>
        <w:rPr>
          <w:rFonts w:asciiTheme="majorBidi" w:hAnsiTheme="majorBidi" w:cstheme="majorBidi"/>
          <w:kern w:val="18"/>
          <w:szCs w:val="18"/>
        </w:rPr>
        <w:t>d</w:t>
      </w:r>
      <w:r w:rsidRPr="00F82F1D">
        <w:rPr>
          <w:rFonts w:asciiTheme="majorBidi" w:hAnsiTheme="majorBidi" w:cstheme="majorBidi"/>
          <w:kern w:val="18"/>
          <w:szCs w:val="18"/>
        </w:rPr>
        <w:t xml:space="preserve"> an email address and/or registered using a generic institutional email address</w:t>
      </w:r>
      <w:r>
        <w:rPr>
          <w:rFonts w:asciiTheme="majorBidi" w:hAnsiTheme="majorBidi" w:cstheme="majorBidi"/>
          <w:kern w:val="18"/>
          <w:szCs w:val="18"/>
        </w:rPr>
        <w:t>,</w:t>
      </w:r>
      <w:r w:rsidRPr="00F82F1D">
        <w:rPr>
          <w:rFonts w:asciiTheme="majorBidi" w:hAnsiTheme="majorBidi" w:cstheme="majorBidi"/>
          <w:kern w:val="18"/>
          <w:szCs w:val="18"/>
        </w:rPr>
        <w:t xml:space="preserve"> it was not possible to contact all registered participants. The survey was not distributed to staff servicing the meetings, United Nations security personnel, interpreters, local staff, volunteers </w:t>
      </w:r>
      <w:r>
        <w:rPr>
          <w:rFonts w:asciiTheme="majorBidi" w:hAnsiTheme="majorBidi" w:cstheme="majorBidi"/>
          <w:kern w:val="18"/>
          <w:szCs w:val="18"/>
        </w:rPr>
        <w:t>or</w:t>
      </w:r>
      <w:r w:rsidRPr="00F82F1D">
        <w:rPr>
          <w:rFonts w:asciiTheme="majorBidi" w:hAnsiTheme="majorBidi" w:cstheme="majorBidi"/>
          <w:kern w:val="18"/>
          <w:szCs w:val="18"/>
        </w:rPr>
        <w:t xml:space="preserve"> those individuals who attended only a specific event taking place </w:t>
      </w:r>
      <w:r>
        <w:rPr>
          <w:rFonts w:asciiTheme="majorBidi" w:hAnsiTheme="majorBidi" w:cstheme="majorBidi"/>
          <w:kern w:val="18"/>
          <w:szCs w:val="18"/>
        </w:rPr>
        <w:t>in</w:t>
      </w:r>
      <w:r w:rsidRPr="00F82F1D">
        <w:rPr>
          <w:rFonts w:asciiTheme="majorBidi" w:hAnsiTheme="majorBidi" w:cstheme="majorBidi"/>
          <w:kern w:val="18"/>
          <w:szCs w:val="18"/>
        </w:rPr>
        <w:t xml:space="preserve"> the margins of the Conference.</w:t>
      </w:r>
    </w:p>
  </w:footnote>
  <w:footnote w:id="9">
    <w:p w:rsidR="00D80AD1" w:rsidRPr="00F82F1D" w:rsidRDefault="00D80AD1" w:rsidP="00F82F1D">
      <w:pPr>
        <w:pStyle w:val="FootnoteText"/>
        <w:keepLines w:val="0"/>
        <w:kinsoku w:val="0"/>
        <w:overflowPunct w:val="0"/>
        <w:autoSpaceDE w:val="0"/>
        <w:autoSpaceDN w:val="0"/>
        <w:ind w:firstLine="0"/>
        <w:jc w:val="left"/>
        <w:rPr>
          <w:kern w:val="18"/>
          <w:szCs w:val="18"/>
        </w:rPr>
      </w:pPr>
      <w:r w:rsidRPr="00F82F1D">
        <w:rPr>
          <w:rStyle w:val="FootnoteReference"/>
          <w:kern w:val="18"/>
          <w:szCs w:val="18"/>
          <w:u w:val="none"/>
          <w:vertAlign w:val="superscript"/>
        </w:rPr>
        <w:footnoteRef/>
      </w:r>
      <w:r w:rsidRPr="00F82F1D">
        <w:rPr>
          <w:kern w:val="18"/>
          <w:szCs w:val="18"/>
        </w:rPr>
        <w:t xml:space="preserve"> However, in some cases, for example when a participant from a developing country was a member of the COP Bureau, multiple participants from the same Party were supported.</w:t>
      </w:r>
    </w:p>
  </w:footnote>
  <w:footnote w:id="10">
    <w:p w:rsidR="00D80AD1" w:rsidRPr="00F82F1D" w:rsidRDefault="00D80AD1" w:rsidP="00F82F1D">
      <w:pPr>
        <w:pStyle w:val="FootnoteText"/>
        <w:keepLines w:val="0"/>
        <w:kinsoku w:val="0"/>
        <w:overflowPunct w:val="0"/>
        <w:autoSpaceDE w:val="0"/>
        <w:autoSpaceDN w:val="0"/>
        <w:ind w:firstLine="0"/>
        <w:jc w:val="left"/>
        <w:rPr>
          <w:kern w:val="18"/>
          <w:szCs w:val="18"/>
        </w:rPr>
      </w:pPr>
      <w:r w:rsidRPr="00F82F1D">
        <w:rPr>
          <w:rStyle w:val="FootnoteReference"/>
          <w:kern w:val="18"/>
          <w:szCs w:val="18"/>
          <w:u w:val="none"/>
          <w:vertAlign w:val="superscript"/>
        </w:rPr>
        <w:footnoteRef/>
      </w:r>
      <w:r w:rsidRPr="00F82F1D">
        <w:rPr>
          <w:kern w:val="18"/>
          <w:szCs w:val="18"/>
        </w:rPr>
        <w:t xml:space="preserve"> Note that the number Parties eligible for financial support has increased over time. At COP-MOP 5 there were 135 eligible Parties, at COP-MOP 6 there were 141</w:t>
      </w:r>
      <w:r>
        <w:rPr>
          <w:kern w:val="18"/>
          <w:szCs w:val="18"/>
        </w:rPr>
        <w:t>,</w:t>
      </w:r>
      <w:r w:rsidRPr="00F82F1D">
        <w:rPr>
          <w:kern w:val="18"/>
          <w:szCs w:val="18"/>
        </w:rPr>
        <w:t xml:space="preserve"> at COP-MOP 7 there were 143 and at COP MOP 8 there were 145.</w:t>
      </w:r>
    </w:p>
  </w:footnote>
  <w:footnote w:id="11">
    <w:p w:rsidR="00D80AD1" w:rsidRPr="00F82F1D" w:rsidRDefault="00D80AD1" w:rsidP="00F82F1D">
      <w:pPr>
        <w:pStyle w:val="FootnoteText"/>
        <w:keepLines w:val="0"/>
        <w:kinsoku w:val="0"/>
        <w:overflowPunct w:val="0"/>
        <w:autoSpaceDE w:val="0"/>
        <w:autoSpaceDN w:val="0"/>
        <w:ind w:firstLine="0"/>
        <w:jc w:val="left"/>
        <w:rPr>
          <w:kern w:val="18"/>
          <w:szCs w:val="18"/>
        </w:rPr>
      </w:pPr>
      <w:r w:rsidRPr="00F82F1D">
        <w:rPr>
          <w:rStyle w:val="FootnoteReference"/>
          <w:kern w:val="18"/>
          <w:szCs w:val="18"/>
          <w:u w:val="none"/>
          <w:vertAlign w:val="superscript"/>
        </w:rPr>
        <w:footnoteRef/>
      </w:r>
      <w:r w:rsidRPr="00F82F1D">
        <w:rPr>
          <w:kern w:val="18"/>
          <w:szCs w:val="18"/>
        </w:rPr>
        <w:t xml:space="preserve"> The issue of support to developing country Parties for participation in meetings of the meetings of the Conference of the Parties and the two Protocols will be further explored during the second meeting of the Subsidiary Body on Implementation under agenda item 17 (Trust fund for facilitating participation of Parties in the Convention process: allocation of resources and possibilities of engaging the private sector). Relevant documentation prepared for that agenda item will provide further information on this issue.</w:t>
      </w:r>
    </w:p>
  </w:footnote>
  <w:footnote w:id="12">
    <w:p w:rsidR="00D80AD1" w:rsidRPr="00F82F1D" w:rsidRDefault="00D80AD1" w:rsidP="00F82F1D">
      <w:pPr>
        <w:pStyle w:val="FootnoteText"/>
        <w:keepLines w:val="0"/>
        <w:kinsoku w:val="0"/>
        <w:overflowPunct w:val="0"/>
        <w:autoSpaceDE w:val="0"/>
        <w:autoSpaceDN w:val="0"/>
        <w:ind w:firstLine="0"/>
        <w:jc w:val="left"/>
        <w:rPr>
          <w:kern w:val="18"/>
          <w:szCs w:val="18"/>
        </w:rPr>
      </w:pPr>
      <w:r w:rsidRPr="00F82F1D">
        <w:rPr>
          <w:rStyle w:val="FootnoteReference"/>
          <w:kern w:val="18"/>
          <w:szCs w:val="18"/>
          <w:u w:val="none"/>
          <w:vertAlign w:val="superscript"/>
        </w:rPr>
        <w:footnoteRef/>
      </w:r>
      <w:r w:rsidRPr="00F82F1D">
        <w:rPr>
          <w:kern w:val="18"/>
          <w:szCs w:val="18"/>
        </w:rPr>
        <w:t xml:space="preserve"> The percent figures indicate the proportion of all developing country Parties participating in the meeting. The figures are based on the number of developing country Parties at the time of the meeting.</w:t>
      </w:r>
    </w:p>
  </w:footnote>
  <w:footnote w:id="13">
    <w:p w:rsidR="00D80AD1" w:rsidRPr="00F82F1D" w:rsidRDefault="00D80AD1" w:rsidP="00F82F1D">
      <w:pPr>
        <w:pStyle w:val="FootnoteText"/>
        <w:keepLines w:val="0"/>
        <w:kinsoku w:val="0"/>
        <w:overflowPunct w:val="0"/>
        <w:autoSpaceDE w:val="0"/>
        <w:autoSpaceDN w:val="0"/>
        <w:ind w:firstLine="0"/>
        <w:jc w:val="left"/>
        <w:rPr>
          <w:kern w:val="18"/>
          <w:szCs w:val="18"/>
        </w:rPr>
      </w:pPr>
      <w:r w:rsidRPr="00F82F1D">
        <w:rPr>
          <w:rStyle w:val="FootnoteReference"/>
          <w:kern w:val="18"/>
          <w:szCs w:val="18"/>
          <w:u w:val="none"/>
          <w:vertAlign w:val="superscript"/>
        </w:rPr>
        <w:footnoteRef/>
      </w:r>
      <w:r w:rsidRPr="00F82F1D">
        <w:rPr>
          <w:kern w:val="18"/>
          <w:szCs w:val="18"/>
        </w:rPr>
        <w:t xml:space="preserve"> The number of sessions does not reflect the sessions held as part of the high-level segment, of which there are four for each meeting. During the concurrent meetings of 2016 the high-level segment was convened just prior to the official start of the meeting, unlike previous meetings</w:t>
      </w:r>
      <w:r>
        <w:rPr>
          <w:kern w:val="18"/>
          <w:szCs w:val="18"/>
        </w:rPr>
        <w:t>,</w:t>
      </w:r>
      <w:r w:rsidRPr="00F82F1D">
        <w:rPr>
          <w:kern w:val="18"/>
          <w:szCs w:val="18"/>
        </w:rPr>
        <w:t xml:space="preserve"> where it was held in parallel.</w:t>
      </w:r>
    </w:p>
  </w:footnote>
  <w:footnote w:id="14">
    <w:p w:rsidR="00D80AD1" w:rsidRPr="00F82F1D" w:rsidRDefault="00D80AD1" w:rsidP="00F82F1D">
      <w:pPr>
        <w:pStyle w:val="FootnoteText"/>
        <w:keepLines w:val="0"/>
        <w:kinsoku w:val="0"/>
        <w:overflowPunct w:val="0"/>
        <w:autoSpaceDE w:val="0"/>
        <w:autoSpaceDN w:val="0"/>
        <w:ind w:firstLine="0"/>
        <w:jc w:val="left"/>
        <w:rPr>
          <w:kern w:val="18"/>
          <w:szCs w:val="18"/>
        </w:rPr>
      </w:pPr>
      <w:r w:rsidRPr="00F82F1D">
        <w:rPr>
          <w:rStyle w:val="FootnoteReference"/>
          <w:kern w:val="18"/>
          <w:szCs w:val="18"/>
          <w:u w:val="none"/>
          <w:vertAlign w:val="superscript"/>
        </w:rPr>
        <w:footnoteRef/>
      </w:r>
      <w:r w:rsidRPr="00F82F1D">
        <w:rPr>
          <w:kern w:val="18"/>
          <w:szCs w:val="18"/>
        </w:rPr>
        <w:t xml:space="preserve"> For further information, see </w:t>
      </w:r>
      <w:hyperlink r:id="rId2" w:history="1">
        <w:r w:rsidRPr="00F82F1D">
          <w:rPr>
            <w:rStyle w:val="Hyperlink"/>
            <w:kern w:val="18"/>
            <w:szCs w:val="18"/>
          </w:rPr>
          <w:t>CBD/CP/CC/14/5</w:t>
        </w:r>
      </w:hyperlink>
      <w:r>
        <w:rPr>
          <w:kern w:val="18"/>
          <w:szCs w:val="18"/>
        </w:rPr>
        <w:t>.</w:t>
      </w:r>
    </w:p>
    <w:p w:rsidR="00D80AD1" w:rsidRPr="00F82F1D" w:rsidRDefault="00D80AD1" w:rsidP="00F82F1D">
      <w:pPr>
        <w:pStyle w:val="FootnoteText"/>
        <w:keepLines w:val="0"/>
        <w:kinsoku w:val="0"/>
        <w:overflowPunct w:val="0"/>
        <w:autoSpaceDE w:val="0"/>
        <w:autoSpaceDN w:val="0"/>
        <w:ind w:firstLine="0"/>
        <w:jc w:val="left"/>
        <w:rPr>
          <w:kern w:val="18"/>
          <w:szCs w:val="18"/>
        </w:rPr>
      </w:pPr>
    </w:p>
  </w:footnote>
  <w:footnote w:id="15">
    <w:p w:rsidR="00D80AD1" w:rsidRPr="00F82F1D" w:rsidRDefault="00D80AD1" w:rsidP="00F82F1D">
      <w:pPr>
        <w:pStyle w:val="FootnoteText"/>
        <w:keepLines w:val="0"/>
        <w:kinsoku w:val="0"/>
        <w:overflowPunct w:val="0"/>
        <w:autoSpaceDE w:val="0"/>
        <w:autoSpaceDN w:val="0"/>
        <w:ind w:firstLine="0"/>
        <w:jc w:val="left"/>
        <w:rPr>
          <w:kern w:val="18"/>
          <w:szCs w:val="18"/>
        </w:rPr>
      </w:pPr>
      <w:r w:rsidRPr="00F82F1D">
        <w:rPr>
          <w:rStyle w:val="FootnoteReference"/>
          <w:kern w:val="18"/>
          <w:szCs w:val="18"/>
          <w:u w:val="none"/>
          <w:vertAlign w:val="superscript"/>
        </w:rPr>
        <w:footnoteRef/>
      </w:r>
      <w:r w:rsidRPr="00F82F1D">
        <w:rPr>
          <w:kern w:val="18"/>
          <w:szCs w:val="18"/>
        </w:rPr>
        <w:t xml:space="preserve"> That is</w:t>
      </w:r>
      <w:r>
        <w:rPr>
          <w:kern w:val="18"/>
          <w:szCs w:val="18"/>
        </w:rPr>
        <w:t>,</w:t>
      </w:r>
      <w:r w:rsidRPr="00F82F1D">
        <w:rPr>
          <w:kern w:val="18"/>
          <w:szCs w:val="18"/>
        </w:rPr>
        <w:t xml:space="preserve"> after the concurrent meetings have been formally opened and within the two-week period.</w:t>
      </w:r>
    </w:p>
  </w:footnote>
  <w:footnote w:id="16">
    <w:p w:rsidR="00D80AD1" w:rsidRPr="00F82F1D" w:rsidRDefault="00D80AD1" w:rsidP="00F82F1D">
      <w:pPr>
        <w:pStyle w:val="FootnoteText"/>
        <w:keepLines w:val="0"/>
        <w:kinsoku w:val="0"/>
        <w:overflowPunct w:val="0"/>
        <w:autoSpaceDE w:val="0"/>
        <w:autoSpaceDN w:val="0"/>
        <w:ind w:firstLine="0"/>
        <w:jc w:val="left"/>
        <w:rPr>
          <w:kern w:val="18"/>
          <w:szCs w:val="18"/>
        </w:rPr>
      </w:pPr>
      <w:r w:rsidRPr="00F82F1D">
        <w:rPr>
          <w:rStyle w:val="FootnoteReference"/>
          <w:kern w:val="18"/>
          <w:szCs w:val="18"/>
          <w:u w:val="none"/>
          <w:vertAlign w:val="superscript"/>
        </w:rPr>
        <w:footnoteRef/>
      </w:r>
      <w:r w:rsidRPr="00F82F1D">
        <w:rPr>
          <w:kern w:val="18"/>
          <w:szCs w:val="18"/>
        </w:rPr>
        <w:t xml:space="preserve"> </w:t>
      </w:r>
      <w:proofErr w:type="gramStart"/>
      <w:r w:rsidRPr="00F82F1D">
        <w:rPr>
          <w:kern w:val="18"/>
          <w:szCs w:val="18"/>
        </w:rPr>
        <w:t>That is</w:t>
      </w:r>
      <w:r>
        <w:rPr>
          <w:kern w:val="18"/>
          <w:szCs w:val="18"/>
        </w:rPr>
        <w:t>, a</w:t>
      </w:r>
      <w:r w:rsidRPr="00F82F1D">
        <w:rPr>
          <w:kern w:val="18"/>
          <w:szCs w:val="18"/>
        </w:rPr>
        <w:t xml:space="preserve"> few days prior to the closure of the concurrent meetings.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rsidR="00D80AD1" w:rsidRDefault="00D80AD1" w:rsidP="005440A6">
        <w:pPr>
          <w:pStyle w:val="Header"/>
          <w:tabs>
            <w:tab w:val="clear" w:pos="4320"/>
            <w:tab w:val="clear" w:pos="8640"/>
          </w:tabs>
          <w:jc w:val="left"/>
          <w:rPr>
            <w:noProof/>
            <w:kern w:val="22"/>
          </w:rPr>
        </w:pPr>
        <w:r>
          <w:rPr>
            <w:noProof/>
            <w:kern w:val="22"/>
            <w:lang w:val="en-US"/>
          </w:rPr>
          <w:t>CBD/SBI/2/16/Add.1</w:t>
        </w:r>
      </w:p>
    </w:sdtContent>
  </w:sdt>
  <w:p w:rsidR="00D80AD1" w:rsidRPr="005440A6" w:rsidRDefault="00D80AD1" w:rsidP="005440A6">
    <w:pPr>
      <w:pStyle w:val="Header"/>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F82F1D">
      <w:rPr>
        <w:noProof/>
        <w:kern w:val="22"/>
      </w:rPr>
      <w:t>14</w:t>
    </w:r>
    <w:r w:rsidRPr="005440A6">
      <w:rPr>
        <w:noProof/>
        <w:kern w:val="22"/>
      </w:rPr>
      <w:fldChar w:fldCharType="end"/>
    </w:r>
  </w:p>
  <w:p w:rsidR="00D80AD1" w:rsidRPr="005440A6" w:rsidRDefault="00D80AD1"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rsidR="00D80AD1" w:rsidRPr="005440A6" w:rsidRDefault="00D80AD1" w:rsidP="00BE45DE">
        <w:pPr>
          <w:pStyle w:val="Header"/>
          <w:tabs>
            <w:tab w:val="clear" w:pos="4320"/>
            <w:tab w:val="clear" w:pos="8640"/>
          </w:tabs>
          <w:jc w:val="right"/>
          <w:rPr>
            <w:noProof/>
            <w:kern w:val="22"/>
          </w:rPr>
        </w:pPr>
        <w:r>
          <w:rPr>
            <w:noProof/>
            <w:kern w:val="22"/>
            <w:lang w:val="en-US"/>
          </w:rPr>
          <w:t>CBD/SBI/2/16/Add.1</w:t>
        </w:r>
      </w:p>
    </w:sdtContent>
  </w:sdt>
  <w:p w:rsidR="00D80AD1" w:rsidRPr="005440A6" w:rsidRDefault="00D80AD1" w:rsidP="005440A6">
    <w:pPr>
      <w:pStyle w:val="Header"/>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F82F1D">
      <w:rPr>
        <w:noProof/>
        <w:kern w:val="22"/>
      </w:rPr>
      <w:t>13</w:t>
    </w:r>
    <w:r w:rsidRPr="005440A6">
      <w:rPr>
        <w:noProof/>
        <w:kern w:val="22"/>
      </w:rPr>
      <w:fldChar w:fldCharType="end"/>
    </w:r>
  </w:p>
  <w:p w:rsidR="00D80AD1" w:rsidRPr="005440A6" w:rsidRDefault="00D80AD1" w:rsidP="005440A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481.7pt;height:408pt;visibility:visible" o:bullet="t">
        <v:imagedata r:id="rId1" o:title=""/>
      </v:shape>
    </w:pict>
  </w:numPicBullet>
  <w:abstractNum w:abstractNumId="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5D905A0"/>
    <w:multiLevelType w:val="hybridMultilevel"/>
    <w:tmpl w:val="0124161C"/>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C31830"/>
    <w:multiLevelType w:val="hybridMultilevel"/>
    <w:tmpl w:val="4B544638"/>
    <w:lvl w:ilvl="0" w:tplc="7172A5D2">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7951BC4"/>
    <w:multiLevelType w:val="hybridMultilevel"/>
    <w:tmpl w:val="06D8EC96"/>
    <w:lvl w:ilvl="0" w:tplc="F014E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597B44"/>
    <w:multiLevelType w:val="hybridMultilevel"/>
    <w:tmpl w:val="4574CB1A"/>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087461"/>
    <w:multiLevelType w:val="hybridMultilevel"/>
    <w:tmpl w:val="D610AFD0"/>
    <w:lvl w:ilvl="0" w:tplc="FF90E1A0">
      <w:start w:val="1"/>
      <w:numFmt w:val="decimal"/>
      <w:lvlText w:val="%1."/>
      <w:lvlJc w:val="left"/>
      <w:pPr>
        <w:ind w:left="927" w:hanging="360"/>
      </w:pPr>
      <w:rPr>
        <w:b w:val="0"/>
        <w:i w:val="0"/>
      </w:rPr>
    </w:lvl>
    <w:lvl w:ilvl="1" w:tplc="C8E693A0">
      <w:start w:val="1"/>
      <w:numFmt w:val="decimal"/>
      <w:lvlText w:val="%2."/>
      <w:lvlJc w:val="left"/>
      <w:pPr>
        <w:ind w:left="2007" w:hanging="360"/>
      </w:pPr>
      <w:rPr>
        <w:rFonts w:hint="default"/>
      </w:r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10">
    <w:nsid w:val="181939AA"/>
    <w:multiLevelType w:val="hybridMultilevel"/>
    <w:tmpl w:val="6B342B64"/>
    <w:lvl w:ilvl="0" w:tplc="DAFC9F64">
      <w:start w:val="1"/>
      <w:numFmt w:val="upperRoman"/>
      <w:lvlText w:val="%1."/>
      <w:lvlJc w:val="left"/>
      <w:pPr>
        <w:ind w:left="1080" w:hanging="720"/>
      </w:pPr>
      <w:rPr>
        <w:rFonts w:hint="default"/>
      </w:rPr>
    </w:lvl>
    <w:lvl w:ilvl="1" w:tplc="EA4CEFE8">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0E53F4"/>
    <w:multiLevelType w:val="hybridMultilevel"/>
    <w:tmpl w:val="F894F22C"/>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0244C84"/>
    <w:multiLevelType w:val="hybridMultilevel"/>
    <w:tmpl w:val="747C1C40"/>
    <w:lvl w:ilvl="0" w:tplc="7172A5D2">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E12E32"/>
    <w:multiLevelType w:val="hybridMultilevel"/>
    <w:tmpl w:val="804EA122"/>
    <w:lvl w:ilvl="0" w:tplc="1522369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8">
    <w:nsid w:val="28395553"/>
    <w:multiLevelType w:val="hybridMultilevel"/>
    <w:tmpl w:val="1AA0C088"/>
    <w:lvl w:ilvl="0" w:tplc="FFFFFFFF">
      <w:start w:val="1"/>
      <w:numFmt w:val="lowerLetter"/>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DF36CD9"/>
    <w:multiLevelType w:val="hybridMultilevel"/>
    <w:tmpl w:val="CC36E6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802A16"/>
    <w:multiLevelType w:val="hybridMultilevel"/>
    <w:tmpl w:val="97D69A30"/>
    <w:lvl w:ilvl="0" w:tplc="FFFFFFFF">
      <w:start w:val="1"/>
      <w:numFmt w:val="lowerLetter"/>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nsid w:val="31F77C41"/>
    <w:multiLevelType w:val="hybridMultilevel"/>
    <w:tmpl w:val="1C58DCB8"/>
    <w:lvl w:ilvl="0" w:tplc="FFFFFFFF">
      <w:start w:val="1"/>
      <w:numFmt w:val="lowerLetter"/>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EA45CB"/>
    <w:multiLevelType w:val="hybridMultilevel"/>
    <w:tmpl w:val="76865B5E"/>
    <w:lvl w:ilvl="0" w:tplc="908A9B5E">
      <w:start w:val="1"/>
      <w:numFmt w:val="decimal"/>
      <w:lvlText w:val="%1."/>
      <w:lvlJc w:val="left"/>
      <w:pPr>
        <w:ind w:left="720" w:hanging="360"/>
      </w:pPr>
      <w:rPr>
        <w:rFonts w:ascii="Times New Roman" w:hAnsi="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A552C1"/>
    <w:multiLevelType w:val="hybridMultilevel"/>
    <w:tmpl w:val="D9E60276"/>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CE43C91"/>
    <w:multiLevelType w:val="singleLevel"/>
    <w:tmpl w:val="7174E9C0"/>
    <w:lvl w:ilvl="0">
      <w:start w:val="1"/>
      <w:numFmt w:val="decimal"/>
      <w:lvlText w:val="%1."/>
      <w:lvlJc w:val="left"/>
      <w:pPr>
        <w:tabs>
          <w:tab w:val="num" w:pos="360"/>
        </w:tabs>
        <w:ind w:left="0" w:firstLine="0"/>
      </w:pPr>
    </w:lvl>
  </w:abstractNum>
  <w:abstractNum w:abstractNumId="30">
    <w:nsid w:val="3F4F7CB3"/>
    <w:multiLevelType w:val="hybridMultilevel"/>
    <w:tmpl w:val="70E6880C"/>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DC2203"/>
    <w:multiLevelType w:val="hybridMultilevel"/>
    <w:tmpl w:val="E8B60F34"/>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1B154E"/>
    <w:multiLevelType w:val="hybridMultilevel"/>
    <w:tmpl w:val="FCAE28CA"/>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nsid w:val="45FB0146"/>
    <w:multiLevelType w:val="hybridMultilevel"/>
    <w:tmpl w:val="27DC9B4E"/>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6">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48676D86"/>
    <w:multiLevelType w:val="hybridMultilevel"/>
    <w:tmpl w:val="3A7874E6"/>
    <w:lvl w:ilvl="0" w:tplc="2244E5B2">
      <w:start w:val="1"/>
      <w:numFmt w:val="decimal"/>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4C4C367F"/>
    <w:multiLevelType w:val="hybridMultilevel"/>
    <w:tmpl w:val="839C910E"/>
    <w:lvl w:ilvl="0" w:tplc="52A6345C">
      <w:start w:val="1"/>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4E863D99"/>
    <w:multiLevelType w:val="hybridMultilevel"/>
    <w:tmpl w:val="9ADA10DA"/>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FDD1C51"/>
    <w:multiLevelType w:val="hybridMultilevel"/>
    <w:tmpl w:val="1AA0C088"/>
    <w:lvl w:ilvl="0" w:tplc="FFFFFFFF">
      <w:start w:val="1"/>
      <w:numFmt w:val="lowerLetter"/>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56D9157B"/>
    <w:multiLevelType w:val="hybridMultilevel"/>
    <w:tmpl w:val="7E7825AA"/>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48">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17762E8"/>
    <w:multiLevelType w:val="hybridMultilevel"/>
    <w:tmpl w:val="4E7C7446"/>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20C41FB"/>
    <w:multiLevelType w:val="hybridMultilevel"/>
    <w:tmpl w:val="ECE8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40679CD"/>
    <w:multiLevelType w:val="hybridMultilevel"/>
    <w:tmpl w:val="8D4646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3">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A0E5FCE"/>
    <w:multiLevelType w:val="hybridMultilevel"/>
    <w:tmpl w:val="3A4E2604"/>
    <w:lvl w:ilvl="0" w:tplc="FFFFFFFF">
      <w:start w:val="1"/>
      <w:numFmt w:val="lowerLetter"/>
      <w:lvlText w:val="(%1)"/>
      <w:lvlJc w:val="left"/>
      <w:pPr>
        <w:ind w:left="720" w:hanging="360"/>
      </w:pPr>
      <w:rPr>
        <w:rFonts w:eastAsia="MS Mincho"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D8556A7"/>
    <w:multiLevelType w:val="hybridMultilevel"/>
    <w:tmpl w:val="0BCC0192"/>
    <w:lvl w:ilvl="0" w:tplc="7172A5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48B56B3"/>
    <w:multiLevelType w:val="hybridMultilevel"/>
    <w:tmpl w:val="BE1A7142"/>
    <w:lvl w:ilvl="0" w:tplc="877C2EDA">
      <w:start w:val="1"/>
      <w:numFmt w:val="bullet"/>
      <w:lvlText w:val="-"/>
      <w:lvlJc w:val="left"/>
      <w:pPr>
        <w:ind w:left="720" w:hanging="360"/>
      </w:pPr>
      <w:rPr>
        <w:rFonts w:ascii="MyriadPro-Regular" w:eastAsia="Times New Roman" w:hAnsi="MyriadPro-Regular" w:cs="MyriadPr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8150C8A"/>
    <w:multiLevelType w:val="hybridMultilevel"/>
    <w:tmpl w:val="1C58DCB8"/>
    <w:lvl w:ilvl="0" w:tplc="FFFFFFFF">
      <w:start w:val="1"/>
      <w:numFmt w:val="lowerLetter"/>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C203AFF"/>
    <w:multiLevelType w:val="hybridMultilevel"/>
    <w:tmpl w:val="AB0C5EDA"/>
    <w:lvl w:ilvl="0" w:tplc="3D30E916">
      <w:start w:val="1"/>
      <w:numFmt w:val="lowerLetter"/>
      <w:lvlText w:val="(%1)"/>
      <w:lvlJc w:val="left"/>
      <w:pPr>
        <w:ind w:left="720" w:hanging="360"/>
      </w:pPr>
      <w:rPr>
        <w:rFonts w:eastAsia="MS Mincho"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C7E45FF"/>
    <w:multiLevelType w:val="hybridMultilevel"/>
    <w:tmpl w:val="893C3212"/>
    <w:lvl w:ilvl="0" w:tplc="7172A5D2">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E3920B4"/>
    <w:multiLevelType w:val="hybridMultilevel"/>
    <w:tmpl w:val="8610A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E6E17B4"/>
    <w:multiLevelType w:val="hybridMultilevel"/>
    <w:tmpl w:val="32D47CF6"/>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3"/>
  </w:num>
  <w:num w:numId="3">
    <w:abstractNumId w:val="19"/>
  </w:num>
  <w:num w:numId="4">
    <w:abstractNumId w:val="56"/>
  </w:num>
  <w:num w:numId="5">
    <w:abstractNumId w:val="24"/>
  </w:num>
  <w:num w:numId="6">
    <w:abstractNumId w:val="40"/>
  </w:num>
  <w:num w:numId="7">
    <w:abstractNumId w:val="33"/>
  </w:num>
  <w:num w:numId="8">
    <w:abstractNumId w:val="28"/>
  </w:num>
  <w:num w:numId="9">
    <w:abstractNumId w:val="40"/>
  </w:num>
  <w:num w:numId="10">
    <w:abstractNumId w:val="38"/>
  </w:num>
  <w:num w:numId="11">
    <w:abstractNumId w:val="29"/>
  </w:num>
  <w:num w:numId="12">
    <w:abstractNumId w:val="15"/>
  </w:num>
  <w:num w:numId="13">
    <w:abstractNumId w:val="36"/>
  </w:num>
  <w:num w:numId="14">
    <w:abstractNumId w:val="1"/>
  </w:num>
  <w:num w:numId="15">
    <w:abstractNumId w:val="63"/>
  </w:num>
  <w:num w:numId="16">
    <w:abstractNumId w:val="45"/>
  </w:num>
  <w:num w:numId="17">
    <w:abstractNumId w:val="13"/>
  </w:num>
  <w:num w:numId="18">
    <w:abstractNumId w:val="40"/>
    <w:lvlOverride w:ilvl="0">
      <w:startOverride w:val="1"/>
    </w:lvlOverride>
    <w:lvlOverride w:ilvl="1">
      <w:startOverride w:val="1"/>
    </w:lvlOverride>
    <w:lvlOverride w:ilvl="2">
      <w:startOverride w:val="2"/>
    </w:lvlOverride>
  </w:num>
  <w:num w:numId="19">
    <w:abstractNumId w:val="40"/>
    <w:lvlOverride w:ilvl="0">
      <w:startOverride w:val="1"/>
    </w:lvlOverride>
    <w:lvlOverride w:ilvl="1">
      <w:startOverride w:val="1"/>
    </w:lvlOverride>
    <w:lvlOverride w:ilvl="2">
      <w:startOverride w:val="3"/>
    </w:lvlOverride>
  </w:num>
  <w:num w:numId="20">
    <w:abstractNumId w:val="11"/>
  </w:num>
  <w:num w:numId="21">
    <w:abstractNumId w:val="46"/>
  </w:num>
  <w:num w:numId="22">
    <w:abstractNumId w:val="43"/>
  </w:num>
  <w:num w:numId="23">
    <w:abstractNumId w:val="17"/>
  </w:num>
  <w:num w:numId="24">
    <w:abstractNumId w:val="48"/>
  </w:num>
  <w:num w:numId="25">
    <w:abstractNumId w:val="53"/>
  </w:num>
  <w:num w:numId="26">
    <w:abstractNumId w:val="35"/>
  </w:num>
  <w:num w:numId="27">
    <w:abstractNumId w:val="40"/>
  </w:num>
  <w:num w:numId="28">
    <w:abstractNumId w:val="40"/>
  </w:num>
  <w:num w:numId="29">
    <w:abstractNumId w:val="40"/>
  </w:num>
  <w:num w:numId="30">
    <w:abstractNumId w:val="40"/>
  </w:num>
  <w:num w:numId="31">
    <w:abstractNumId w:val="2"/>
  </w:num>
  <w:num w:numId="32">
    <w:abstractNumId w:val="7"/>
  </w:num>
  <w:num w:numId="33">
    <w:abstractNumId w:val="8"/>
  </w:num>
  <w:num w:numId="34">
    <w:abstractNumId w:val="0"/>
  </w:num>
  <w:num w:numId="35">
    <w:abstractNumId w:val="47"/>
  </w:num>
  <w:num w:numId="36">
    <w:abstractNumId w:val="52"/>
  </w:num>
  <w:num w:numId="37">
    <w:abstractNumId w:val="10"/>
  </w:num>
  <w:num w:numId="38">
    <w:abstractNumId w:val="16"/>
  </w:num>
  <w:num w:numId="39">
    <w:abstractNumId w:val="26"/>
  </w:num>
  <w:num w:numId="40">
    <w:abstractNumId w:val="57"/>
  </w:num>
  <w:num w:numId="41">
    <w:abstractNumId w:val="9"/>
  </w:num>
  <w:num w:numId="42">
    <w:abstractNumId w:val="50"/>
  </w:num>
  <w:num w:numId="43">
    <w:abstractNumId w:val="42"/>
  </w:num>
  <w:num w:numId="44">
    <w:abstractNumId w:val="18"/>
  </w:num>
  <w:num w:numId="45">
    <w:abstractNumId w:val="22"/>
  </w:num>
  <w:num w:numId="46">
    <w:abstractNumId w:val="25"/>
  </w:num>
  <w:num w:numId="47">
    <w:abstractNumId w:val="59"/>
  </w:num>
  <w:num w:numId="48">
    <w:abstractNumId w:val="58"/>
  </w:num>
  <w:num w:numId="49">
    <w:abstractNumId w:val="51"/>
  </w:num>
  <w:num w:numId="50">
    <w:abstractNumId w:val="61"/>
  </w:num>
  <w:num w:numId="51">
    <w:abstractNumId w:val="54"/>
  </w:num>
  <w:num w:numId="52">
    <w:abstractNumId w:val="39"/>
  </w:num>
  <w:num w:numId="53">
    <w:abstractNumId w:val="37"/>
  </w:num>
  <w:num w:numId="54">
    <w:abstractNumId w:val="5"/>
  </w:num>
  <w:num w:numId="55">
    <w:abstractNumId w:val="14"/>
  </w:num>
  <w:num w:numId="56">
    <w:abstractNumId w:val="4"/>
  </w:num>
  <w:num w:numId="57">
    <w:abstractNumId w:val="55"/>
  </w:num>
  <w:num w:numId="58">
    <w:abstractNumId w:val="27"/>
  </w:num>
  <w:num w:numId="59">
    <w:abstractNumId w:val="32"/>
  </w:num>
  <w:num w:numId="60">
    <w:abstractNumId w:val="41"/>
  </w:num>
  <w:num w:numId="61">
    <w:abstractNumId w:val="31"/>
  </w:num>
  <w:num w:numId="62">
    <w:abstractNumId w:val="6"/>
  </w:num>
  <w:num w:numId="63">
    <w:abstractNumId w:val="44"/>
  </w:num>
  <w:num w:numId="64">
    <w:abstractNumId w:val="12"/>
  </w:num>
  <w:num w:numId="65">
    <w:abstractNumId w:val="3"/>
  </w:num>
  <w:num w:numId="66">
    <w:abstractNumId w:val="49"/>
  </w:num>
  <w:num w:numId="67">
    <w:abstractNumId w:val="30"/>
  </w:num>
  <w:num w:numId="68">
    <w:abstractNumId w:val="34"/>
  </w:num>
  <w:num w:numId="6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num>
  <w:num w:numId="7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0"/>
  </w:num>
  <w:num w:numId="73">
    <w:abstractNumId w:val="40"/>
  </w:num>
  <w:num w:numId="74">
    <w:abstractNumId w:val="40"/>
  </w:num>
  <w:num w:numId="75">
    <w:abstractNumId w:val="40"/>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onique lefebvre">
    <w15:presenceInfo w15:providerId="AD" w15:userId="S-1-5-21-2142909598-1823411812-1512734326-3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inkAnnotation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01AD4"/>
    <w:rsid w:val="000219AC"/>
    <w:rsid w:val="00031D24"/>
    <w:rsid w:val="00037873"/>
    <w:rsid w:val="00037C3A"/>
    <w:rsid w:val="00046709"/>
    <w:rsid w:val="000504F8"/>
    <w:rsid w:val="00051FC1"/>
    <w:rsid w:val="00052C8E"/>
    <w:rsid w:val="00054381"/>
    <w:rsid w:val="00056186"/>
    <w:rsid w:val="0006272E"/>
    <w:rsid w:val="000711E1"/>
    <w:rsid w:val="00073708"/>
    <w:rsid w:val="00083F3E"/>
    <w:rsid w:val="00086F16"/>
    <w:rsid w:val="00090F6C"/>
    <w:rsid w:val="0009483D"/>
    <w:rsid w:val="000B0F98"/>
    <w:rsid w:val="000C2923"/>
    <w:rsid w:val="000C4880"/>
    <w:rsid w:val="000C5DD5"/>
    <w:rsid w:val="000D4D95"/>
    <w:rsid w:val="000D6D35"/>
    <w:rsid w:val="000E00FF"/>
    <w:rsid w:val="000E554E"/>
    <w:rsid w:val="000E637D"/>
    <w:rsid w:val="000E7E6A"/>
    <w:rsid w:val="000F63AB"/>
    <w:rsid w:val="001071F5"/>
    <w:rsid w:val="0012214B"/>
    <w:rsid w:val="00131F48"/>
    <w:rsid w:val="00132F87"/>
    <w:rsid w:val="001371BD"/>
    <w:rsid w:val="00151073"/>
    <w:rsid w:val="001524E6"/>
    <w:rsid w:val="001562E0"/>
    <w:rsid w:val="0016083D"/>
    <w:rsid w:val="001624B0"/>
    <w:rsid w:val="0016303B"/>
    <w:rsid w:val="00166030"/>
    <w:rsid w:val="00166367"/>
    <w:rsid w:val="00192E06"/>
    <w:rsid w:val="001A5072"/>
    <w:rsid w:val="001A600B"/>
    <w:rsid w:val="001D68F7"/>
    <w:rsid w:val="001F5A46"/>
    <w:rsid w:val="001F6379"/>
    <w:rsid w:val="00200350"/>
    <w:rsid w:val="00204415"/>
    <w:rsid w:val="00207A6E"/>
    <w:rsid w:val="002115FF"/>
    <w:rsid w:val="00213680"/>
    <w:rsid w:val="00224B92"/>
    <w:rsid w:val="00224FB9"/>
    <w:rsid w:val="002273F3"/>
    <w:rsid w:val="002357E1"/>
    <w:rsid w:val="00242E55"/>
    <w:rsid w:val="00252897"/>
    <w:rsid w:val="00256E2C"/>
    <w:rsid w:val="00267207"/>
    <w:rsid w:val="002834C7"/>
    <w:rsid w:val="00287FD9"/>
    <w:rsid w:val="002A55F8"/>
    <w:rsid w:val="002B0942"/>
    <w:rsid w:val="002B3D57"/>
    <w:rsid w:val="002B5BFA"/>
    <w:rsid w:val="002C4240"/>
    <w:rsid w:val="002C4BDB"/>
    <w:rsid w:val="002D089F"/>
    <w:rsid w:val="002D5647"/>
    <w:rsid w:val="002E0627"/>
    <w:rsid w:val="0030342C"/>
    <w:rsid w:val="0031155A"/>
    <w:rsid w:val="003210FF"/>
    <w:rsid w:val="00325DE3"/>
    <w:rsid w:val="003263DC"/>
    <w:rsid w:val="0032702A"/>
    <w:rsid w:val="0033431F"/>
    <w:rsid w:val="003348C1"/>
    <w:rsid w:val="00336766"/>
    <w:rsid w:val="003538B5"/>
    <w:rsid w:val="00353EA7"/>
    <w:rsid w:val="003732C8"/>
    <w:rsid w:val="003772DB"/>
    <w:rsid w:val="00381DF0"/>
    <w:rsid w:val="00395296"/>
    <w:rsid w:val="003B10B9"/>
    <w:rsid w:val="003C113F"/>
    <w:rsid w:val="003E2DAE"/>
    <w:rsid w:val="003E4C6D"/>
    <w:rsid w:val="003F6E44"/>
    <w:rsid w:val="00406BC6"/>
    <w:rsid w:val="00410201"/>
    <w:rsid w:val="0041369F"/>
    <w:rsid w:val="00413D21"/>
    <w:rsid w:val="0041557D"/>
    <w:rsid w:val="0043279F"/>
    <w:rsid w:val="0044424E"/>
    <w:rsid w:val="00444F43"/>
    <w:rsid w:val="00450BE3"/>
    <w:rsid w:val="00457515"/>
    <w:rsid w:val="00461921"/>
    <w:rsid w:val="004A427F"/>
    <w:rsid w:val="004A5ED2"/>
    <w:rsid w:val="004B4965"/>
    <w:rsid w:val="004B597A"/>
    <w:rsid w:val="004E6759"/>
    <w:rsid w:val="004F1331"/>
    <w:rsid w:val="004F151E"/>
    <w:rsid w:val="004F4306"/>
    <w:rsid w:val="00500530"/>
    <w:rsid w:val="005032C9"/>
    <w:rsid w:val="0051472C"/>
    <w:rsid w:val="00516C26"/>
    <w:rsid w:val="005232AA"/>
    <w:rsid w:val="0052736E"/>
    <w:rsid w:val="00530E68"/>
    <w:rsid w:val="005325C1"/>
    <w:rsid w:val="00533D1F"/>
    <w:rsid w:val="0054116A"/>
    <w:rsid w:val="005440A6"/>
    <w:rsid w:val="00567130"/>
    <w:rsid w:val="00572006"/>
    <w:rsid w:val="005806FB"/>
    <w:rsid w:val="00581526"/>
    <w:rsid w:val="00585237"/>
    <w:rsid w:val="005858D5"/>
    <w:rsid w:val="00586032"/>
    <w:rsid w:val="005935D7"/>
    <w:rsid w:val="005955D2"/>
    <w:rsid w:val="005A4284"/>
    <w:rsid w:val="005B7AE9"/>
    <w:rsid w:val="005C0B37"/>
    <w:rsid w:val="005C496D"/>
    <w:rsid w:val="005C4BAA"/>
    <w:rsid w:val="005C4ECB"/>
    <w:rsid w:val="005D139C"/>
    <w:rsid w:val="005D354A"/>
    <w:rsid w:val="005D5769"/>
    <w:rsid w:val="005D7ED0"/>
    <w:rsid w:val="005E5DAD"/>
    <w:rsid w:val="005F0420"/>
    <w:rsid w:val="005F4C74"/>
    <w:rsid w:val="00611585"/>
    <w:rsid w:val="006260D5"/>
    <w:rsid w:val="00630CCB"/>
    <w:rsid w:val="006315AD"/>
    <w:rsid w:val="0064005C"/>
    <w:rsid w:val="00642C86"/>
    <w:rsid w:val="00646BEF"/>
    <w:rsid w:val="006507F2"/>
    <w:rsid w:val="006628B4"/>
    <w:rsid w:val="00663EAF"/>
    <w:rsid w:val="006737BC"/>
    <w:rsid w:val="006758A1"/>
    <w:rsid w:val="00675AAC"/>
    <w:rsid w:val="00690847"/>
    <w:rsid w:val="006A149B"/>
    <w:rsid w:val="006A21F1"/>
    <w:rsid w:val="006A4358"/>
    <w:rsid w:val="006A449E"/>
    <w:rsid w:val="006B074E"/>
    <w:rsid w:val="006B0C79"/>
    <w:rsid w:val="006B2BD5"/>
    <w:rsid w:val="006C607F"/>
    <w:rsid w:val="006D0E3D"/>
    <w:rsid w:val="006F0138"/>
    <w:rsid w:val="006F284C"/>
    <w:rsid w:val="006F63B3"/>
    <w:rsid w:val="006F7227"/>
    <w:rsid w:val="00702366"/>
    <w:rsid w:val="00711195"/>
    <w:rsid w:val="00711853"/>
    <w:rsid w:val="007163BC"/>
    <w:rsid w:val="00730AE3"/>
    <w:rsid w:val="00736BC2"/>
    <w:rsid w:val="00742F79"/>
    <w:rsid w:val="007478C4"/>
    <w:rsid w:val="007504F2"/>
    <w:rsid w:val="0075164B"/>
    <w:rsid w:val="00751F2D"/>
    <w:rsid w:val="00754119"/>
    <w:rsid w:val="007817F1"/>
    <w:rsid w:val="00782032"/>
    <w:rsid w:val="00783FC1"/>
    <w:rsid w:val="00786408"/>
    <w:rsid w:val="0079325E"/>
    <w:rsid w:val="007B1587"/>
    <w:rsid w:val="007C3BE6"/>
    <w:rsid w:val="007C5285"/>
    <w:rsid w:val="007C5753"/>
    <w:rsid w:val="007C633B"/>
    <w:rsid w:val="007C7FB7"/>
    <w:rsid w:val="007D0C62"/>
    <w:rsid w:val="007D3182"/>
    <w:rsid w:val="007D5686"/>
    <w:rsid w:val="007F23ED"/>
    <w:rsid w:val="007F30B3"/>
    <w:rsid w:val="0080589A"/>
    <w:rsid w:val="00811CB2"/>
    <w:rsid w:val="00814DD8"/>
    <w:rsid w:val="008214DE"/>
    <w:rsid w:val="008252AE"/>
    <w:rsid w:val="00825524"/>
    <w:rsid w:val="008272A4"/>
    <w:rsid w:val="0083211E"/>
    <w:rsid w:val="00843FF1"/>
    <w:rsid w:val="00862BB7"/>
    <w:rsid w:val="00867173"/>
    <w:rsid w:val="00870D40"/>
    <w:rsid w:val="00885D83"/>
    <w:rsid w:val="008964AA"/>
    <w:rsid w:val="008A5DE8"/>
    <w:rsid w:val="008C013C"/>
    <w:rsid w:val="008C1E35"/>
    <w:rsid w:val="008C3552"/>
    <w:rsid w:val="008D5AA2"/>
    <w:rsid w:val="008E5F84"/>
    <w:rsid w:val="008E6B7B"/>
    <w:rsid w:val="008E7500"/>
    <w:rsid w:val="008F02B5"/>
    <w:rsid w:val="008F5E9C"/>
    <w:rsid w:val="009067F8"/>
    <w:rsid w:val="00912580"/>
    <w:rsid w:val="00922EAD"/>
    <w:rsid w:val="0092794B"/>
    <w:rsid w:val="00931360"/>
    <w:rsid w:val="0093215B"/>
    <w:rsid w:val="009476F5"/>
    <w:rsid w:val="0095229F"/>
    <w:rsid w:val="009526B0"/>
    <w:rsid w:val="00953856"/>
    <w:rsid w:val="009554D5"/>
    <w:rsid w:val="00961124"/>
    <w:rsid w:val="00961FD1"/>
    <w:rsid w:val="0096244F"/>
    <w:rsid w:val="00971D51"/>
    <w:rsid w:val="00981BD6"/>
    <w:rsid w:val="009A0C44"/>
    <w:rsid w:val="009A1533"/>
    <w:rsid w:val="009B2E90"/>
    <w:rsid w:val="009B5E1D"/>
    <w:rsid w:val="009D2F92"/>
    <w:rsid w:val="009D68DB"/>
    <w:rsid w:val="009E2B79"/>
    <w:rsid w:val="009E6978"/>
    <w:rsid w:val="009F0844"/>
    <w:rsid w:val="009F1F76"/>
    <w:rsid w:val="009F5BB8"/>
    <w:rsid w:val="00A02BA1"/>
    <w:rsid w:val="00A02EB2"/>
    <w:rsid w:val="00A10051"/>
    <w:rsid w:val="00A11E09"/>
    <w:rsid w:val="00A20F36"/>
    <w:rsid w:val="00A216C9"/>
    <w:rsid w:val="00A24045"/>
    <w:rsid w:val="00A24C55"/>
    <w:rsid w:val="00A30DAD"/>
    <w:rsid w:val="00A311E7"/>
    <w:rsid w:val="00A70495"/>
    <w:rsid w:val="00A73277"/>
    <w:rsid w:val="00A9121D"/>
    <w:rsid w:val="00A9327C"/>
    <w:rsid w:val="00AA014E"/>
    <w:rsid w:val="00AA4771"/>
    <w:rsid w:val="00AA590F"/>
    <w:rsid w:val="00AC1E69"/>
    <w:rsid w:val="00AD51B4"/>
    <w:rsid w:val="00AF21C9"/>
    <w:rsid w:val="00AF4683"/>
    <w:rsid w:val="00B0174D"/>
    <w:rsid w:val="00B2190A"/>
    <w:rsid w:val="00B24047"/>
    <w:rsid w:val="00B24085"/>
    <w:rsid w:val="00B271A0"/>
    <w:rsid w:val="00B3299A"/>
    <w:rsid w:val="00B33F81"/>
    <w:rsid w:val="00B41DC0"/>
    <w:rsid w:val="00B4723A"/>
    <w:rsid w:val="00B5204C"/>
    <w:rsid w:val="00B54B3D"/>
    <w:rsid w:val="00B56B11"/>
    <w:rsid w:val="00B6064C"/>
    <w:rsid w:val="00B61494"/>
    <w:rsid w:val="00B64008"/>
    <w:rsid w:val="00B82F04"/>
    <w:rsid w:val="00B85F9B"/>
    <w:rsid w:val="00BA1498"/>
    <w:rsid w:val="00BA3233"/>
    <w:rsid w:val="00BB6B68"/>
    <w:rsid w:val="00BC292B"/>
    <w:rsid w:val="00BE0B3D"/>
    <w:rsid w:val="00BE37A4"/>
    <w:rsid w:val="00BE45DE"/>
    <w:rsid w:val="00BF1482"/>
    <w:rsid w:val="00BF3B66"/>
    <w:rsid w:val="00C05456"/>
    <w:rsid w:val="00C07151"/>
    <w:rsid w:val="00C076A9"/>
    <w:rsid w:val="00C13021"/>
    <w:rsid w:val="00C15BBB"/>
    <w:rsid w:val="00C31FC0"/>
    <w:rsid w:val="00C34C69"/>
    <w:rsid w:val="00C37FF1"/>
    <w:rsid w:val="00C43196"/>
    <w:rsid w:val="00C44B0B"/>
    <w:rsid w:val="00C507CD"/>
    <w:rsid w:val="00C51A98"/>
    <w:rsid w:val="00C5459D"/>
    <w:rsid w:val="00C57C7C"/>
    <w:rsid w:val="00C753AD"/>
    <w:rsid w:val="00C77A42"/>
    <w:rsid w:val="00C85EA4"/>
    <w:rsid w:val="00C87FD6"/>
    <w:rsid w:val="00C912FE"/>
    <w:rsid w:val="00C9605F"/>
    <w:rsid w:val="00CA1572"/>
    <w:rsid w:val="00CA19CB"/>
    <w:rsid w:val="00CA5E13"/>
    <w:rsid w:val="00CA6B87"/>
    <w:rsid w:val="00CB0C3B"/>
    <w:rsid w:val="00CB6192"/>
    <w:rsid w:val="00CC1474"/>
    <w:rsid w:val="00CC2031"/>
    <w:rsid w:val="00CC366C"/>
    <w:rsid w:val="00CC395D"/>
    <w:rsid w:val="00CC5F7A"/>
    <w:rsid w:val="00CC7630"/>
    <w:rsid w:val="00CD3BA0"/>
    <w:rsid w:val="00CD5810"/>
    <w:rsid w:val="00CD73BD"/>
    <w:rsid w:val="00CE51C3"/>
    <w:rsid w:val="00CF4F69"/>
    <w:rsid w:val="00CF5255"/>
    <w:rsid w:val="00CF5A23"/>
    <w:rsid w:val="00D15589"/>
    <w:rsid w:val="00D22675"/>
    <w:rsid w:val="00D22AE8"/>
    <w:rsid w:val="00D33779"/>
    <w:rsid w:val="00D432AD"/>
    <w:rsid w:val="00D51069"/>
    <w:rsid w:val="00D64EE0"/>
    <w:rsid w:val="00D65A12"/>
    <w:rsid w:val="00D74253"/>
    <w:rsid w:val="00D77A7E"/>
    <w:rsid w:val="00D803E2"/>
    <w:rsid w:val="00D80585"/>
    <w:rsid w:val="00D80AD1"/>
    <w:rsid w:val="00D86C2C"/>
    <w:rsid w:val="00D943C8"/>
    <w:rsid w:val="00D9537D"/>
    <w:rsid w:val="00DA5EA8"/>
    <w:rsid w:val="00DB79A7"/>
    <w:rsid w:val="00DC3D2E"/>
    <w:rsid w:val="00DD52CC"/>
    <w:rsid w:val="00DE24CC"/>
    <w:rsid w:val="00DE308B"/>
    <w:rsid w:val="00DF3234"/>
    <w:rsid w:val="00E04147"/>
    <w:rsid w:val="00E30875"/>
    <w:rsid w:val="00E370BD"/>
    <w:rsid w:val="00E37A7A"/>
    <w:rsid w:val="00E47630"/>
    <w:rsid w:val="00E47BED"/>
    <w:rsid w:val="00E55B3B"/>
    <w:rsid w:val="00E55E91"/>
    <w:rsid w:val="00E605D7"/>
    <w:rsid w:val="00EA12D7"/>
    <w:rsid w:val="00EA3A52"/>
    <w:rsid w:val="00EA7525"/>
    <w:rsid w:val="00EB00A2"/>
    <w:rsid w:val="00EC0891"/>
    <w:rsid w:val="00ED559A"/>
    <w:rsid w:val="00EE51DB"/>
    <w:rsid w:val="00EE5517"/>
    <w:rsid w:val="00EE600D"/>
    <w:rsid w:val="00F0038E"/>
    <w:rsid w:val="00F12260"/>
    <w:rsid w:val="00F12357"/>
    <w:rsid w:val="00F13DC0"/>
    <w:rsid w:val="00F14485"/>
    <w:rsid w:val="00F16F02"/>
    <w:rsid w:val="00F25B7A"/>
    <w:rsid w:val="00F25D2F"/>
    <w:rsid w:val="00F26A60"/>
    <w:rsid w:val="00F32123"/>
    <w:rsid w:val="00F465B6"/>
    <w:rsid w:val="00F55878"/>
    <w:rsid w:val="00F57625"/>
    <w:rsid w:val="00F60384"/>
    <w:rsid w:val="00F61688"/>
    <w:rsid w:val="00F64CB9"/>
    <w:rsid w:val="00F67181"/>
    <w:rsid w:val="00F67995"/>
    <w:rsid w:val="00F70F1C"/>
    <w:rsid w:val="00F75EE8"/>
    <w:rsid w:val="00F77628"/>
    <w:rsid w:val="00F820C2"/>
    <w:rsid w:val="00F82F1D"/>
    <w:rsid w:val="00F838DD"/>
    <w:rsid w:val="00F952E8"/>
    <w:rsid w:val="00FA4EC6"/>
    <w:rsid w:val="00FB1895"/>
    <w:rsid w:val="00FB2F55"/>
    <w:rsid w:val="00FB3B70"/>
    <w:rsid w:val="00FC045D"/>
    <w:rsid w:val="00FC6159"/>
    <w:rsid w:val="00FD061C"/>
    <w:rsid w:val="00FE0AB4"/>
    <w:rsid w:val="00FE10B7"/>
    <w:rsid w:val="00FE444C"/>
    <w:rsid w:val="00FF3DFC"/>
    <w:rsid w:val="00FF5C5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4B1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semiHidden="0" w:uiPriority="5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uiPriority w:val="9"/>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rsid w:val="00F13DC0"/>
    <w:pPr>
      <w:numPr>
        <w:numId w:val="6"/>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rPr>
      <w:sz w:val="16"/>
    </w:rPr>
  </w:style>
  <w:style w:type="paragraph" w:styleId="CommentText">
    <w:name w:val="annotation text"/>
    <w:basedOn w:val="Normal"/>
    <w:link w:val="CommentTextChar"/>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semiHidden/>
    <w:unhideWhenUsed/>
    <w:rsid w:val="00406BC6"/>
    <w:rPr>
      <w:rFonts w:ascii="Tahoma" w:hAnsi="Tahoma" w:cs="Tahoma"/>
      <w:sz w:val="16"/>
      <w:szCs w:val="16"/>
    </w:rPr>
  </w:style>
  <w:style w:type="character" w:customStyle="1" w:styleId="BalloonTextChar">
    <w:name w:val="Balloon Text Char"/>
    <w:link w:val="BalloonText"/>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nhideWhenUsed/>
    <w:rsid w:val="00D9537D"/>
    <w:pPr>
      <w:spacing w:after="0" w:line="240" w:lineRule="auto"/>
    </w:pPr>
    <w:rPr>
      <w:b/>
      <w:bCs/>
      <w:sz w:val="20"/>
      <w:szCs w:val="20"/>
    </w:rPr>
  </w:style>
  <w:style w:type="character" w:customStyle="1" w:styleId="CommentTextChar">
    <w:name w:val="Comment Text Char"/>
    <w:link w:val="CommentText"/>
    <w:rsid w:val="00D9537D"/>
    <w:rPr>
      <w:sz w:val="22"/>
      <w:szCs w:val="24"/>
      <w:lang w:val="en-GB"/>
    </w:rPr>
  </w:style>
  <w:style w:type="character" w:customStyle="1" w:styleId="CommentSubjectChar">
    <w:name w:val="Comment Subject Char"/>
    <w:link w:val="CommentSubject"/>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autoRedefine/>
    <w:rsid w:val="00742F79"/>
    <w:rPr>
      <w:rFonts w:ascii="Lucida Sans Unicode" w:hAnsi="Lucida Sans Unicode" w:cs="Angsana New"/>
      <w:noProof/>
      <w:color w:val="0000FF"/>
      <w:lang w:val="en-US"/>
    </w:rPr>
  </w:style>
  <w:style w:type="paragraph" w:customStyle="1" w:styleId="bodytextnoindent">
    <w:name w:val="body text (no indent)"/>
    <w:basedOn w:val="Normal"/>
    <w:rsid w:val="00742F79"/>
    <w:pPr>
      <w:widowControl w:val="0"/>
      <w:overflowPunct w:val="0"/>
      <w:autoSpaceDE w:val="0"/>
      <w:autoSpaceDN w:val="0"/>
      <w:adjustRightInd w:val="0"/>
      <w:spacing w:before="120" w:after="120"/>
      <w:textAlignment w:val="baseline"/>
    </w:pPr>
    <w:rPr>
      <w:rFonts w:cs="Angsana New"/>
      <w:szCs w:val="20"/>
      <w:lang w:eastAsia="de-DE"/>
    </w:rPr>
  </w:style>
  <w:style w:type="paragraph" w:styleId="BodyText2">
    <w:name w:val="Body Text 2"/>
    <w:basedOn w:val="Normal"/>
    <w:link w:val="BodyText2Char"/>
    <w:rsid w:val="00742F79"/>
    <w:rPr>
      <w:rFonts w:cs="Angsana New"/>
      <w:i/>
      <w:iCs/>
    </w:rPr>
  </w:style>
  <w:style w:type="character" w:customStyle="1" w:styleId="BodyText2Char">
    <w:name w:val="Body Text 2 Char"/>
    <w:basedOn w:val="DefaultParagraphFont"/>
    <w:link w:val="BodyText2"/>
    <w:rsid w:val="00742F79"/>
    <w:rPr>
      <w:rFonts w:cs="Angsana New"/>
      <w:i/>
      <w:iCs/>
      <w:sz w:val="22"/>
      <w:szCs w:val="24"/>
      <w:lang w:val="en-GB"/>
    </w:rPr>
  </w:style>
  <w:style w:type="paragraph" w:styleId="BodyText3">
    <w:name w:val="Body Text 3"/>
    <w:basedOn w:val="Normal"/>
    <w:link w:val="BodyText3Char"/>
    <w:rsid w:val="00742F79"/>
    <w:pPr>
      <w:jc w:val="center"/>
    </w:pPr>
    <w:rPr>
      <w:rFonts w:cs="Angsana New"/>
      <w:sz w:val="28"/>
    </w:rPr>
  </w:style>
  <w:style w:type="character" w:customStyle="1" w:styleId="BodyText3Char">
    <w:name w:val="Body Text 3 Char"/>
    <w:basedOn w:val="DefaultParagraphFont"/>
    <w:link w:val="BodyText3"/>
    <w:rsid w:val="00742F79"/>
    <w:rPr>
      <w:rFonts w:cs="Angsana New"/>
      <w:sz w:val="28"/>
      <w:szCs w:val="24"/>
      <w:lang w:val="en-GB"/>
    </w:rPr>
  </w:style>
  <w:style w:type="character" w:customStyle="1" w:styleId="BodyTextChar">
    <w:name w:val="Body Text Char"/>
    <w:rsid w:val="00742F79"/>
    <w:rPr>
      <w:iCs/>
      <w:sz w:val="22"/>
      <w:szCs w:val="24"/>
      <w:lang w:val="en-GB" w:eastAsia="en-US" w:bidi="ar-SA"/>
    </w:rPr>
  </w:style>
  <w:style w:type="paragraph" w:styleId="BodyTextIndent2">
    <w:name w:val="Body Text Indent 2"/>
    <w:basedOn w:val="Normal"/>
    <w:link w:val="BodyTextIndent2Char"/>
    <w:rsid w:val="00742F79"/>
    <w:pPr>
      <w:ind w:firstLine="720"/>
    </w:pPr>
    <w:rPr>
      <w:rFonts w:cs="Angsana New"/>
    </w:rPr>
  </w:style>
  <w:style w:type="character" w:customStyle="1" w:styleId="BodyTextIndent2Char">
    <w:name w:val="Body Text Indent 2 Char"/>
    <w:basedOn w:val="DefaultParagraphFont"/>
    <w:link w:val="BodyTextIndent2"/>
    <w:rsid w:val="00742F79"/>
    <w:rPr>
      <w:rFonts w:cs="Angsana New"/>
      <w:sz w:val="22"/>
      <w:szCs w:val="24"/>
      <w:lang w:val="en-GB"/>
    </w:rPr>
  </w:style>
  <w:style w:type="paragraph" w:customStyle="1" w:styleId="Bodytextitalic">
    <w:name w:val="Body text italic"/>
    <w:basedOn w:val="BodyText"/>
    <w:rsid w:val="00742F79"/>
    <w:rPr>
      <w:rFonts w:cs="Angsana New"/>
      <w:i/>
      <w:iCs w:val="0"/>
    </w:rPr>
  </w:style>
  <w:style w:type="paragraph" w:customStyle="1" w:styleId="boxbody">
    <w:name w:val="boxbody"/>
    <w:basedOn w:val="Normal"/>
    <w:rsid w:val="00742F79"/>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plain">
    <w:name w:val="Heading - plain"/>
    <w:basedOn w:val="Heading2"/>
    <w:next w:val="BodyText"/>
    <w:rsid w:val="00742F79"/>
    <w:pPr>
      <w:tabs>
        <w:tab w:val="clear" w:pos="720"/>
        <w:tab w:val="left" w:pos="900"/>
      </w:tabs>
    </w:pPr>
    <w:rPr>
      <w:rFonts w:eastAsia="Batang"/>
      <w:b w:val="0"/>
      <w:bCs w:val="0"/>
      <w:szCs w:val="20"/>
    </w:rPr>
  </w:style>
  <w:style w:type="paragraph" w:customStyle="1" w:styleId="Heading2noletter">
    <w:name w:val="Heading 2 (no letter)"/>
    <w:basedOn w:val="Heading2"/>
    <w:rsid w:val="00742F79"/>
    <w:pPr>
      <w:tabs>
        <w:tab w:val="clear" w:pos="720"/>
      </w:tabs>
    </w:pPr>
  </w:style>
  <w:style w:type="character" w:customStyle="1" w:styleId="Heading2CharChar">
    <w:name w:val="Heading 2 Char Char"/>
    <w:rsid w:val="00742F79"/>
    <w:rPr>
      <w:rFonts w:ascii="Arial" w:hAnsi="Arial" w:cs="Arial"/>
      <w:b/>
      <w:bCs/>
      <w:i/>
      <w:iCs/>
      <w:noProof w:val="0"/>
      <w:sz w:val="28"/>
      <w:szCs w:val="28"/>
      <w:lang w:val="en-US" w:eastAsia="en-US" w:bidi="ar-SA"/>
    </w:rPr>
  </w:style>
  <w:style w:type="paragraph" w:customStyle="1" w:styleId="Heading-plain0">
    <w:name w:val="Heading-plain"/>
    <w:basedOn w:val="Normal"/>
    <w:rsid w:val="00742F79"/>
    <w:pPr>
      <w:spacing w:before="120" w:after="120"/>
      <w:jc w:val="center"/>
      <w:outlineLvl w:val="0"/>
    </w:pPr>
    <w:rPr>
      <w:rFonts w:cs="Angsana New"/>
      <w:i/>
      <w:szCs w:val="20"/>
    </w:rPr>
  </w:style>
  <w:style w:type="paragraph" w:customStyle="1" w:styleId="Heading-plainbold">
    <w:name w:val="Heading-plain bold"/>
    <w:basedOn w:val="BodyText"/>
    <w:rsid w:val="00742F79"/>
    <w:pPr>
      <w:ind w:firstLine="0"/>
      <w:jc w:val="center"/>
    </w:pPr>
    <w:rPr>
      <w:rFonts w:cs="Angsana New"/>
      <w:b/>
      <w:bCs/>
      <w:i/>
      <w:iCs w:val="0"/>
    </w:rPr>
  </w:style>
  <w:style w:type="paragraph" w:customStyle="1" w:styleId="Heading-plainitalic">
    <w:name w:val="Heading-plain italic"/>
    <w:basedOn w:val="Heading-plainbold"/>
    <w:rsid w:val="00742F79"/>
    <w:rPr>
      <w:b w:val="0"/>
      <w:bCs w:val="0"/>
    </w:rPr>
  </w:style>
  <w:style w:type="paragraph" w:styleId="NormalWeb">
    <w:name w:val="Normal (Web)"/>
    <w:basedOn w:val="Normal"/>
    <w:uiPriority w:val="99"/>
    <w:rsid w:val="00742F79"/>
    <w:pPr>
      <w:spacing w:before="100" w:beforeAutospacing="1" w:after="100" w:afterAutospacing="1"/>
      <w:jc w:val="left"/>
    </w:pPr>
    <w:rPr>
      <w:rFonts w:ascii="Verdana" w:hAnsi="Verdana" w:cs="Angsana New"/>
      <w:color w:val="000000"/>
      <w:sz w:val="18"/>
      <w:szCs w:val="18"/>
      <w:lang w:val="en-US"/>
    </w:rPr>
  </w:style>
  <w:style w:type="paragraph" w:customStyle="1" w:styleId="Para10">
    <w:name w:val="Para 1"/>
    <w:basedOn w:val="BodyText"/>
    <w:rsid w:val="00742F79"/>
    <w:pPr>
      <w:ind w:firstLine="0"/>
    </w:pPr>
    <w:rPr>
      <w:rFonts w:eastAsia="MS Mincho" w:cs="Angsana New"/>
      <w:bCs/>
      <w:iCs w:val="0"/>
      <w:szCs w:val="22"/>
    </w:rPr>
  </w:style>
  <w:style w:type="character" w:customStyle="1" w:styleId="Para1Char">
    <w:name w:val="Para 1 Char"/>
    <w:rsid w:val="00742F79"/>
    <w:rPr>
      <w:rFonts w:eastAsia="MS Mincho"/>
      <w:bCs/>
      <w:iCs/>
      <w:sz w:val="22"/>
      <w:szCs w:val="22"/>
      <w:lang w:val="en-GB" w:eastAsia="en-US" w:bidi="ar-SA"/>
    </w:rPr>
  </w:style>
  <w:style w:type="character" w:customStyle="1" w:styleId="FootnoteCharacters">
    <w:name w:val="Footnote Characters"/>
    <w:rsid w:val="00742F79"/>
    <w:rPr>
      <w:position w:val="0"/>
      <w:sz w:val="18"/>
      <w:u w:val="single"/>
      <w:vertAlign w:val="baseline"/>
    </w:rPr>
  </w:style>
  <w:style w:type="paragraph" w:customStyle="1" w:styleId="Paraofficial">
    <w:name w:val="Para official"/>
    <w:basedOn w:val="Normal"/>
    <w:rsid w:val="00742F79"/>
    <w:pPr>
      <w:framePr w:hSpace="187" w:vSpace="187" w:wrap="notBeside" w:vAnchor="text" w:hAnchor="text" w:y="1"/>
      <w:numPr>
        <w:numId w:val="36"/>
      </w:numPr>
      <w:spacing w:before="240" w:after="240"/>
      <w:jc w:val="left"/>
    </w:pPr>
    <w:rPr>
      <w:rFonts w:cs="Angsana New"/>
      <w:szCs w:val="20"/>
    </w:rPr>
  </w:style>
  <w:style w:type="paragraph" w:customStyle="1" w:styleId="Para1Char0">
    <w:name w:val="Para1 Char"/>
    <w:basedOn w:val="Normal"/>
    <w:rsid w:val="00742F79"/>
    <w:pPr>
      <w:tabs>
        <w:tab w:val="num" w:pos="720"/>
      </w:tabs>
      <w:spacing w:before="120" w:after="120"/>
      <w:ind w:left="360"/>
    </w:pPr>
    <w:rPr>
      <w:rFonts w:cs="Angsana New"/>
      <w:snapToGrid w:val="0"/>
      <w:szCs w:val="18"/>
    </w:rPr>
  </w:style>
  <w:style w:type="paragraph" w:customStyle="1" w:styleId="Para1-Annex">
    <w:name w:val="Para1-Annex"/>
    <w:basedOn w:val="Normal"/>
    <w:rsid w:val="00742F79"/>
    <w:pPr>
      <w:tabs>
        <w:tab w:val="num" w:pos="360"/>
      </w:tabs>
      <w:spacing w:after="120"/>
    </w:pPr>
    <w:rPr>
      <w:szCs w:val="22"/>
      <w:lang w:val="en-US"/>
    </w:rPr>
  </w:style>
  <w:style w:type="paragraph" w:customStyle="1" w:styleId="para20">
    <w:name w:val="para2"/>
    <w:basedOn w:val="para2a"/>
    <w:rsid w:val="00742F79"/>
  </w:style>
  <w:style w:type="paragraph" w:customStyle="1" w:styleId="Para40">
    <w:name w:val="Para4"/>
    <w:basedOn w:val="Para3"/>
    <w:rsid w:val="00742F79"/>
    <w:pPr>
      <w:numPr>
        <w:ilvl w:val="0"/>
        <w:numId w:val="0"/>
      </w:numPr>
      <w:tabs>
        <w:tab w:val="clear" w:pos="1980"/>
        <w:tab w:val="left" w:pos="2552"/>
        <w:tab w:val="num" w:pos="3540"/>
      </w:tabs>
      <w:ind w:left="2552" w:hanging="567"/>
    </w:pPr>
    <w:rPr>
      <w:rFonts w:cs="Angsana New"/>
      <w:lang w:val="en-US"/>
    </w:rPr>
  </w:style>
  <w:style w:type="paragraph" w:customStyle="1" w:styleId="Paranum">
    <w:name w:val="Paranum"/>
    <w:basedOn w:val="Normal"/>
    <w:rsid w:val="00742F79"/>
    <w:pPr>
      <w:tabs>
        <w:tab w:val="num" w:pos="360"/>
      </w:tabs>
      <w:spacing w:after="120" w:line="240" w:lineRule="exact"/>
    </w:pPr>
    <w:rPr>
      <w:rFonts w:cs="Angsana New"/>
      <w:szCs w:val="20"/>
      <w:lang w:val="en-US"/>
    </w:rPr>
  </w:style>
  <w:style w:type="character" w:styleId="Strong">
    <w:name w:val="Strong"/>
    <w:qFormat/>
    <w:rsid w:val="00742F79"/>
    <w:rPr>
      <w:b/>
      <w:bCs/>
    </w:rPr>
  </w:style>
  <w:style w:type="paragraph" w:customStyle="1" w:styleId="StyleBodyTextTimesNewRoman11ptCharChar">
    <w:name w:val="Style Body Text + Times New Roman 11 pt Char Char"/>
    <w:basedOn w:val="BodyText"/>
    <w:rsid w:val="00742F79"/>
    <w:rPr>
      <w:rFonts w:cs="Angsana New"/>
      <w:iCs w:val="0"/>
      <w:snapToGrid w:val="0"/>
      <w:color w:val="000000"/>
      <w:szCs w:val="22"/>
      <w:lang w:val="en-US"/>
    </w:rPr>
  </w:style>
  <w:style w:type="character" w:customStyle="1" w:styleId="StyleBodyTextTimesNewRoman11ptCharCharChar">
    <w:name w:val="Style Body Text + Times New Roman 11 pt Char Char Char"/>
    <w:rsid w:val="00742F79"/>
    <w:rPr>
      <w:rFonts w:cs="Angsana New"/>
      <w:iCs/>
      <w:snapToGrid w:val="0"/>
      <w:color w:val="000000"/>
      <w:sz w:val="22"/>
      <w:szCs w:val="22"/>
      <w:lang w:val="en-US" w:eastAsia="en-US" w:bidi="ar-SA"/>
    </w:rPr>
  </w:style>
  <w:style w:type="paragraph" w:customStyle="1" w:styleId="StylePara1Firstline127cm">
    <w:name w:val="Style Para1 + First line:  1.27 cm"/>
    <w:basedOn w:val="Normal"/>
    <w:rsid w:val="00742F79"/>
    <w:pPr>
      <w:tabs>
        <w:tab w:val="num" w:pos="360"/>
      </w:tabs>
      <w:spacing w:after="120"/>
    </w:pPr>
    <w:rPr>
      <w:rFonts w:cs="Angsana New"/>
      <w:snapToGrid w:val="0"/>
      <w:szCs w:val="20"/>
    </w:rPr>
  </w:style>
  <w:style w:type="paragraph" w:customStyle="1" w:styleId="StylePara1Italic">
    <w:name w:val="Style Para1 + Italic"/>
    <w:basedOn w:val="Normal"/>
    <w:rsid w:val="00742F79"/>
    <w:pPr>
      <w:spacing w:before="120" w:after="120"/>
    </w:pPr>
    <w:rPr>
      <w:i/>
      <w:iCs/>
      <w:snapToGrid w:val="0"/>
      <w:szCs w:val="18"/>
    </w:rPr>
  </w:style>
  <w:style w:type="paragraph" w:styleId="Title">
    <w:name w:val="Title"/>
    <w:basedOn w:val="Normal"/>
    <w:link w:val="TitleChar"/>
    <w:qFormat/>
    <w:rsid w:val="00742F79"/>
    <w:pPr>
      <w:jc w:val="center"/>
    </w:pPr>
    <w:rPr>
      <w:rFonts w:cs="Angsana New"/>
      <w:i/>
      <w:iCs/>
    </w:rPr>
  </w:style>
  <w:style w:type="character" w:customStyle="1" w:styleId="TitleChar">
    <w:name w:val="Title Char"/>
    <w:basedOn w:val="DefaultParagraphFont"/>
    <w:link w:val="Title"/>
    <w:rsid w:val="00742F79"/>
    <w:rPr>
      <w:rFonts w:cs="Angsana New"/>
      <w:i/>
      <w:iCs/>
      <w:sz w:val="22"/>
      <w:szCs w:val="24"/>
      <w:lang w:val="en-GB"/>
    </w:rPr>
  </w:style>
  <w:style w:type="paragraph" w:customStyle="1" w:styleId="para2a">
    <w:name w:val="para 2 (a)"/>
    <w:basedOn w:val="Normal"/>
    <w:qFormat/>
    <w:rsid w:val="00742F79"/>
    <w:pPr>
      <w:spacing w:after="120"/>
      <w:ind w:firstLine="763"/>
    </w:pPr>
    <w:rPr>
      <w:rFonts w:eastAsia="MS Mincho" w:cs="Angsana New"/>
      <w:snapToGrid w:val="0"/>
      <w:szCs w:val="18"/>
    </w:rPr>
  </w:style>
  <w:style w:type="paragraph" w:customStyle="1" w:styleId="Default">
    <w:name w:val="Default"/>
    <w:rsid w:val="00742F79"/>
    <w:pPr>
      <w:autoSpaceDE w:val="0"/>
      <w:autoSpaceDN w:val="0"/>
      <w:adjustRightInd w:val="0"/>
    </w:pPr>
    <w:rPr>
      <w:color w:val="000000"/>
      <w:sz w:val="24"/>
      <w:szCs w:val="24"/>
      <w:lang w:val="en-US"/>
    </w:rPr>
  </w:style>
  <w:style w:type="paragraph" w:customStyle="1" w:styleId="Pa6">
    <w:name w:val="Pa6"/>
    <w:basedOn w:val="Default"/>
    <w:next w:val="Default"/>
    <w:uiPriority w:val="99"/>
    <w:rsid w:val="00742F79"/>
    <w:pPr>
      <w:spacing w:line="201" w:lineRule="atLeast"/>
    </w:pPr>
    <w:rPr>
      <w:rFonts w:ascii="Minion Pro" w:hAnsi="Minion Pro"/>
      <w:color w:val="auto"/>
    </w:rPr>
  </w:style>
  <w:style w:type="character" w:customStyle="1" w:styleId="A6">
    <w:name w:val="A6"/>
    <w:uiPriority w:val="99"/>
    <w:rsid w:val="00742F79"/>
    <w:rPr>
      <w:rFonts w:cs="Minion Pro"/>
      <w:color w:val="000000"/>
      <w:sz w:val="12"/>
      <w:szCs w:val="12"/>
    </w:rPr>
  </w:style>
  <w:style w:type="paragraph" w:customStyle="1" w:styleId="Pa45">
    <w:name w:val="Pa45"/>
    <w:basedOn w:val="Default"/>
    <w:next w:val="Default"/>
    <w:uiPriority w:val="99"/>
    <w:rsid w:val="00742F79"/>
    <w:pPr>
      <w:spacing w:line="191" w:lineRule="atLeast"/>
    </w:pPr>
    <w:rPr>
      <w:rFonts w:ascii="Myriad Roman" w:hAnsi="Myriad Roman"/>
      <w:color w:val="auto"/>
    </w:rPr>
  </w:style>
  <w:style w:type="character" w:customStyle="1" w:styleId="A13">
    <w:name w:val="A13"/>
    <w:uiPriority w:val="99"/>
    <w:rsid w:val="00742F79"/>
    <w:rPr>
      <w:rFonts w:cs="Myriad Roman"/>
      <w:color w:val="000000"/>
      <w:sz w:val="18"/>
      <w:szCs w:val="18"/>
    </w:rPr>
  </w:style>
  <w:style w:type="paragraph" w:customStyle="1" w:styleId="MediumGrid1-Accent21">
    <w:name w:val="Medium Grid 1 - Accent 21"/>
    <w:basedOn w:val="Normal"/>
    <w:rsid w:val="00742F79"/>
    <w:pPr>
      <w:ind w:left="720"/>
      <w:contextualSpacing/>
      <w:jc w:val="left"/>
    </w:pPr>
    <w:rPr>
      <w:rFonts w:ascii="Cambria" w:eastAsia="MS ??" w:hAnsi="Cambria"/>
      <w:sz w:val="24"/>
      <w:lang w:val="en-US" w:eastAsia="ja-JP"/>
    </w:rPr>
  </w:style>
  <w:style w:type="character" w:styleId="Emphasis">
    <w:name w:val="Emphasis"/>
    <w:uiPriority w:val="20"/>
    <w:qFormat/>
    <w:rsid w:val="00742F79"/>
    <w:rPr>
      <w:b/>
      <w:bCs/>
      <w:i w:val="0"/>
      <w:iCs w:val="0"/>
    </w:rPr>
  </w:style>
  <w:style w:type="character" w:customStyle="1" w:styleId="Heading1Char">
    <w:name w:val="Heading 1 Char"/>
    <w:link w:val="Heading1"/>
    <w:uiPriority w:val="9"/>
    <w:rsid w:val="00742F79"/>
    <w:rPr>
      <w:b/>
      <w:caps/>
      <w:sz w:val="22"/>
      <w:szCs w:val="24"/>
      <w:lang w:val="en-GB"/>
    </w:rPr>
  </w:style>
  <w:style w:type="paragraph" w:customStyle="1" w:styleId="ta-response-item-content">
    <w:name w:val="ta-response-item-content"/>
    <w:basedOn w:val="Normal"/>
    <w:rsid w:val="00742F79"/>
    <w:pPr>
      <w:spacing w:before="100" w:beforeAutospacing="1" w:after="100" w:afterAutospacing="1"/>
      <w:jc w:val="left"/>
    </w:pPr>
    <w:rPr>
      <w:sz w:val="24"/>
      <w:lang w:val="en-US"/>
    </w:rPr>
  </w:style>
  <w:style w:type="character" w:customStyle="1" w:styleId="HeaderChar">
    <w:name w:val="Header Char"/>
    <w:link w:val="Header"/>
    <w:rsid w:val="00742F79"/>
    <w:rPr>
      <w:sz w:val="2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Balloon Text" w:uiPriority="0"/>
    <w:lsdException w:name="Table Grid" w:semiHidden="0" w:uiPriority="5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uiPriority w:val="9"/>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rsid w:val="00F13DC0"/>
    <w:pPr>
      <w:numPr>
        <w:numId w:val="6"/>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rPr>
      <w:sz w:val="16"/>
    </w:rPr>
  </w:style>
  <w:style w:type="paragraph" w:styleId="CommentText">
    <w:name w:val="annotation text"/>
    <w:basedOn w:val="Normal"/>
    <w:link w:val="CommentTextChar"/>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semiHidden/>
    <w:unhideWhenUsed/>
    <w:rsid w:val="00406BC6"/>
    <w:rPr>
      <w:rFonts w:ascii="Tahoma" w:hAnsi="Tahoma" w:cs="Tahoma"/>
      <w:sz w:val="16"/>
      <w:szCs w:val="16"/>
    </w:rPr>
  </w:style>
  <w:style w:type="character" w:customStyle="1" w:styleId="BalloonTextChar">
    <w:name w:val="Balloon Text Char"/>
    <w:link w:val="BalloonText"/>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nhideWhenUsed/>
    <w:rsid w:val="00D9537D"/>
    <w:pPr>
      <w:spacing w:after="0" w:line="240" w:lineRule="auto"/>
    </w:pPr>
    <w:rPr>
      <w:b/>
      <w:bCs/>
      <w:sz w:val="20"/>
      <w:szCs w:val="20"/>
    </w:rPr>
  </w:style>
  <w:style w:type="character" w:customStyle="1" w:styleId="CommentTextChar">
    <w:name w:val="Comment Text Char"/>
    <w:link w:val="CommentText"/>
    <w:rsid w:val="00D9537D"/>
    <w:rPr>
      <w:sz w:val="22"/>
      <w:szCs w:val="24"/>
      <w:lang w:val="en-GB"/>
    </w:rPr>
  </w:style>
  <w:style w:type="character" w:customStyle="1" w:styleId="CommentSubjectChar">
    <w:name w:val="Comment Subject Char"/>
    <w:link w:val="CommentSubject"/>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autoRedefine/>
    <w:rsid w:val="00742F79"/>
    <w:rPr>
      <w:rFonts w:ascii="Lucida Sans Unicode" w:hAnsi="Lucida Sans Unicode" w:cs="Angsana New"/>
      <w:noProof/>
      <w:color w:val="0000FF"/>
      <w:lang w:val="en-US"/>
    </w:rPr>
  </w:style>
  <w:style w:type="paragraph" w:customStyle="1" w:styleId="bodytextnoindent">
    <w:name w:val="body text (no indent)"/>
    <w:basedOn w:val="Normal"/>
    <w:rsid w:val="00742F79"/>
    <w:pPr>
      <w:widowControl w:val="0"/>
      <w:overflowPunct w:val="0"/>
      <w:autoSpaceDE w:val="0"/>
      <w:autoSpaceDN w:val="0"/>
      <w:adjustRightInd w:val="0"/>
      <w:spacing w:before="120" w:after="120"/>
      <w:textAlignment w:val="baseline"/>
    </w:pPr>
    <w:rPr>
      <w:rFonts w:cs="Angsana New"/>
      <w:szCs w:val="20"/>
      <w:lang w:eastAsia="de-DE"/>
    </w:rPr>
  </w:style>
  <w:style w:type="paragraph" w:styleId="BodyText2">
    <w:name w:val="Body Text 2"/>
    <w:basedOn w:val="Normal"/>
    <w:link w:val="BodyText2Char"/>
    <w:rsid w:val="00742F79"/>
    <w:rPr>
      <w:rFonts w:cs="Angsana New"/>
      <w:i/>
      <w:iCs/>
    </w:rPr>
  </w:style>
  <w:style w:type="character" w:customStyle="1" w:styleId="BodyText2Char">
    <w:name w:val="Body Text 2 Char"/>
    <w:basedOn w:val="DefaultParagraphFont"/>
    <w:link w:val="BodyText2"/>
    <w:rsid w:val="00742F79"/>
    <w:rPr>
      <w:rFonts w:cs="Angsana New"/>
      <w:i/>
      <w:iCs/>
      <w:sz w:val="22"/>
      <w:szCs w:val="24"/>
      <w:lang w:val="en-GB"/>
    </w:rPr>
  </w:style>
  <w:style w:type="paragraph" w:styleId="BodyText3">
    <w:name w:val="Body Text 3"/>
    <w:basedOn w:val="Normal"/>
    <w:link w:val="BodyText3Char"/>
    <w:rsid w:val="00742F79"/>
    <w:pPr>
      <w:jc w:val="center"/>
    </w:pPr>
    <w:rPr>
      <w:rFonts w:cs="Angsana New"/>
      <w:sz w:val="28"/>
    </w:rPr>
  </w:style>
  <w:style w:type="character" w:customStyle="1" w:styleId="BodyText3Char">
    <w:name w:val="Body Text 3 Char"/>
    <w:basedOn w:val="DefaultParagraphFont"/>
    <w:link w:val="BodyText3"/>
    <w:rsid w:val="00742F79"/>
    <w:rPr>
      <w:rFonts w:cs="Angsana New"/>
      <w:sz w:val="28"/>
      <w:szCs w:val="24"/>
      <w:lang w:val="en-GB"/>
    </w:rPr>
  </w:style>
  <w:style w:type="character" w:customStyle="1" w:styleId="BodyTextChar">
    <w:name w:val="Body Text Char"/>
    <w:rsid w:val="00742F79"/>
    <w:rPr>
      <w:iCs/>
      <w:sz w:val="22"/>
      <w:szCs w:val="24"/>
      <w:lang w:val="en-GB" w:eastAsia="en-US" w:bidi="ar-SA"/>
    </w:rPr>
  </w:style>
  <w:style w:type="paragraph" w:styleId="BodyTextIndent2">
    <w:name w:val="Body Text Indent 2"/>
    <w:basedOn w:val="Normal"/>
    <w:link w:val="BodyTextIndent2Char"/>
    <w:rsid w:val="00742F79"/>
    <w:pPr>
      <w:ind w:firstLine="720"/>
    </w:pPr>
    <w:rPr>
      <w:rFonts w:cs="Angsana New"/>
    </w:rPr>
  </w:style>
  <w:style w:type="character" w:customStyle="1" w:styleId="BodyTextIndent2Char">
    <w:name w:val="Body Text Indent 2 Char"/>
    <w:basedOn w:val="DefaultParagraphFont"/>
    <w:link w:val="BodyTextIndent2"/>
    <w:rsid w:val="00742F79"/>
    <w:rPr>
      <w:rFonts w:cs="Angsana New"/>
      <w:sz w:val="22"/>
      <w:szCs w:val="24"/>
      <w:lang w:val="en-GB"/>
    </w:rPr>
  </w:style>
  <w:style w:type="paragraph" w:customStyle="1" w:styleId="Bodytextitalic">
    <w:name w:val="Body text italic"/>
    <w:basedOn w:val="BodyText"/>
    <w:rsid w:val="00742F79"/>
    <w:rPr>
      <w:rFonts w:cs="Angsana New"/>
      <w:i/>
      <w:iCs w:val="0"/>
    </w:rPr>
  </w:style>
  <w:style w:type="paragraph" w:customStyle="1" w:styleId="boxbody">
    <w:name w:val="boxbody"/>
    <w:basedOn w:val="Normal"/>
    <w:rsid w:val="00742F79"/>
    <w:pPr>
      <w:spacing w:before="100" w:beforeAutospacing="1" w:after="100" w:afterAutospacing="1"/>
      <w:ind w:left="612" w:right="612"/>
    </w:pPr>
    <w:rPr>
      <w:rFonts w:ascii="Helvetica" w:eastAsia="Arial Unicode MS" w:hAnsi="Helvetica" w:cs="Arial Unicode MS"/>
      <w:sz w:val="18"/>
      <w:szCs w:val="18"/>
    </w:rPr>
  </w:style>
  <w:style w:type="paragraph" w:customStyle="1" w:styleId="Heading-plain">
    <w:name w:val="Heading - plain"/>
    <w:basedOn w:val="Heading2"/>
    <w:next w:val="BodyText"/>
    <w:rsid w:val="00742F79"/>
    <w:pPr>
      <w:tabs>
        <w:tab w:val="clear" w:pos="720"/>
        <w:tab w:val="left" w:pos="900"/>
      </w:tabs>
    </w:pPr>
    <w:rPr>
      <w:rFonts w:eastAsia="Batang"/>
      <w:b w:val="0"/>
      <w:bCs w:val="0"/>
      <w:szCs w:val="20"/>
    </w:rPr>
  </w:style>
  <w:style w:type="paragraph" w:customStyle="1" w:styleId="Heading2noletter">
    <w:name w:val="Heading 2 (no letter)"/>
    <w:basedOn w:val="Heading2"/>
    <w:rsid w:val="00742F79"/>
    <w:pPr>
      <w:tabs>
        <w:tab w:val="clear" w:pos="720"/>
      </w:tabs>
    </w:pPr>
  </w:style>
  <w:style w:type="character" w:customStyle="1" w:styleId="Heading2CharChar">
    <w:name w:val="Heading 2 Char Char"/>
    <w:rsid w:val="00742F79"/>
    <w:rPr>
      <w:rFonts w:ascii="Arial" w:hAnsi="Arial" w:cs="Arial"/>
      <w:b/>
      <w:bCs/>
      <w:i/>
      <w:iCs/>
      <w:noProof w:val="0"/>
      <w:sz w:val="28"/>
      <w:szCs w:val="28"/>
      <w:lang w:val="en-US" w:eastAsia="en-US" w:bidi="ar-SA"/>
    </w:rPr>
  </w:style>
  <w:style w:type="paragraph" w:customStyle="1" w:styleId="Heading-plain0">
    <w:name w:val="Heading-plain"/>
    <w:basedOn w:val="Normal"/>
    <w:rsid w:val="00742F79"/>
    <w:pPr>
      <w:spacing w:before="120" w:after="120"/>
      <w:jc w:val="center"/>
      <w:outlineLvl w:val="0"/>
    </w:pPr>
    <w:rPr>
      <w:rFonts w:cs="Angsana New"/>
      <w:i/>
      <w:szCs w:val="20"/>
    </w:rPr>
  </w:style>
  <w:style w:type="paragraph" w:customStyle="1" w:styleId="Heading-plainbold">
    <w:name w:val="Heading-plain bold"/>
    <w:basedOn w:val="BodyText"/>
    <w:rsid w:val="00742F79"/>
    <w:pPr>
      <w:ind w:firstLine="0"/>
      <w:jc w:val="center"/>
    </w:pPr>
    <w:rPr>
      <w:rFonts w:cs="Angsana New"/>
      <w:b/>
      <w:bCs/>
      <w:i/>
      <w:iCs w:val="0"/>
    </w:rPr>
  </w:style>
  <w:style w:type="paragraph" w:customStyle="1" w:styleId="Heading-plainitalic">
    <w:name w:val="Heading-plain italic"/>
    <w:basedOn w:val="Heading-plainbold"/>
    <w:rsid w:val="00742F79"/>
    <w:rPr>
      <w:b w:val="0"/>
      <w:bCs w:val="0"/>
    </w:rPr>
  </w:style>
  <w:style w:type="paragraph" w:styleId="NormalWeb">
    <w:name w:val="Normal (Web)"/>
    <w:basedOn w:val="Normal"/>
    <w:uiPriority w:val="99"/>
    <w:rsid w:val="00742F79"/>
    <w:pPr>
      <w:spacing w:before="100" w:beforeAutospacing="1" w:after="100" w:afterAutospacing="1"/>
      <w:jc w:val="left"/>
    </w:pPr>
    <w:rPr>
      <w:rFonts w:ascii="Verdana" w:hAnsi="Verdana" w:cs="Angsana New"/>
      <w:color w:val="000000"/>
      <w:sz w:val="18"/>
      <w:szCs w:val="18"/>
      <w:lang w:val="en-US"/>
    </w:rPr>
  </w:style>
  <w:style w:type="paragraph" w:customStyle="1" w:styleId="Para10">
    <w:name w:val="Para 1"/>
    <w:basedOn w:val="BodyText"/>
    <w:rsid w:val="00742F79"/>
    <w:pPr>
      <w:ind w:firstLine="0"/>
    </w:pPr>
    <w:rPr>
      <w:rFonts w:eastAsia="MS Mincho" w:cs="Angsana New"/>
      <w:bCs/>
      <w:iCs w:val="0"/>
      <w:szCs w:val="22"/>
    </w:rPr>
  </w:style>
  <w:style w:type="character" w:customStyle="1" w:styleId="Para1Char">
    <w:name w:val="Para 1 Char"/>
    <w:rsid w:val="00742F79"/>
    <w:rPr>
      <w:rFonts w:eastAsia="MS Mincho"/>
      <w:bCs/>
      <w:iCs/>
      <w:sz w:val="22"/>
      <w:szCs w:val="22"/>
      <w:lang w:val="en-GB" w:eastAsia="en-US" w:bidi="ar-SA"/>
    </w:rPr>
  </w:style>
  <w:style w:type="character" w:customStyle="1" w:styleId="FootnoteCharacters">
    <w:name w:val="Footnote Characters"/>
    <w:rsid w:val="00742F79"/>
    <w:rPr>
      <w:position w:val="0"/>
      <w:sz w:val="18"/>
      <w:u w:val="single"/>
      <w:vertAlign w:val="baseline"/>
    </w:rPr>
  </w:style>
  <w:style w:type="paragraph" w:customStyle="1" w:styleId="Paraofficial">
    <w:name w:val="Para official"/>
    <w:basedOn w:val="Normal"/>
    <w:rsid w:val="00742F79"/>
    <w:pPr>
      <w:framePr w:hSpace="187" w:vSpace="187" w:wrap="notBeside" w:vAnchor="text" w:hAnchor="text" w:y="1"/>
      <w:numPr>
        <w:numId w:val="36"/>
      </w:numPr>
      <w:spacing w:before="240" w:after="240"/>
      <w:jc w:val="left"/>
    </w:pPr>
    <w:rPr>
      <w:rFonts w:cs="Angsana New"/>
      <w:szCs w:val="20"/>
    </w:rPr>
  </w:style>
  <w:style w:type="paragraph" w:customStyle="1" w:styleId="Para1Char0">
    <w:name w:val="Para1 Char"/>
    <w:basedOn w:val="Normal"/>
    <w:rsid w:val="00742F79"/>
    <w:pPr>
      <w:tabs>
        <w:tab w:val="num" w:pos="720"/>
      </w:tabs>
      <w:spacing w:before="120" w:after="120"/>
      <w:ind w:left="360"/>
    </w:pPr>
    <w:rPr>
      <w:rFonts w:cs="Angsana New"/>
      <w:snapToGrid w:val="0"/>
      <w:szCs w:val="18"/>
    </w:rPr>
  </w:style>
  <w:style w:type="paragraph" w:customStyle="1" w:styleId="Para1-Annex">
    <w:name w:val="Para1-Annex"/>
    <w:basedOn w:val="Normal"/>
    <w:rsid w:val="00742F79"/>
    <w:pPr>
      <w:tabs>
        <w:tab w:val="num" w:pos="360"/>
      </w:tabs>
      <w:spacing w:after="120"/>
    </w:pPr>
    <w:rPr>
      <w:szCs w:val="22"/>
      <w:lang w:val="en-US"/>
    </w:rPr>
  </w:style>
  <w:style w:type="paragraph" w:customStyle="1" w:styleId="para20">
    <w:name w:val="para2"/>
    <w:basedOn w:val="para2a"/>
    <w:rsid w:val="00742F79"/>
  </w:style>
  <w:style w:type="paragraph" w:customStyle="1" w:styleId="Para40">
    <w:name w:val="Para4"/>
    <w:basedOn w:val="Para3"/>
    <w:rsid w:val="00742F79"/>
    <w:pPr>
      <w:numPr>
        <w:ilvl w:val="0"/>
        <w:numId w:val="0"/>
      </w:numPr>
      <w:tabs>
        <w:tab w:val="clear" w:pos="1980"/>
        <w:tab w:val="left" w:pos="2552"/>
        <w:tab w:val="num" w:pos="3540"/>
      </w:tabs>
      <w:ind w:left="2552" w:hanging="567"/>
    </w:pPr>
    <w:rPr>
      <w:rFonts w:cs="Angsana New"/>
      <w:lang w:val="en-US"/>
    </w:rPr>
  </w:style>
  <w:style w:type="paragraph" w:customStyle="1" w:styleId="Paranum">
    <w:name w:val="Paranum"/>
    <w:basedOn w:val="Normal"/>
    <w:rsid w:val="00742F79"/>
    <w:pPr>
      <w:tabs>
        <w:tab w:val="num" w:pos="360"/>
      </w:tabs>
      <w:spacing w:after="120" w:line="240" w:lineRule="exact"/>
    </w:pPr>
    <w:rPr>
      <w:rFonts w:cs="Angsana New"/>
      <w:szCs w:val="20"/>
      <w:lang w:val="en-US"/>
    </w:rPr>
  </w:style>
  <w:style w:type="character" w:styleId="Strong">
    <w:name w:val="Strong"/>
    <w:qFormat/>
    <w:rsid w:val="00742F79"/>
    <w:rPr>
      <w:b/>
      <w:bCs/>
    </w:rPr>
  </w:style>
  <w:style w:type="paragraph" w:customStyle="1" w:styleId="StyleBodyTextTimesNewRoman11ptCharChar">
    <w:name w:val="Style Body Text + Times New Roman 11 pt Char Char"/>
    <w:basedOn w:val="BodyText"/>
    <w:rsid w:val="00742F79"/>
    <w:rPr>
      <w:rFonts w:cs="Angsana New"/>
      <w:iCs w:val="0"/>
      <w:snapToGrid w:val="0"/>
      <w:color w:val="000000"/>
      <w:szCs w:val="22"/>
      <w:lang w:val="en-US"/>
    </w:rPr>
  </w:style>
  <w:style w:type="character" w:customStyle="1" w:styleId="StyleBodyTextTimesNewRoman11ptCharCharChar">
    <w:name w:val="Style Body Text + Times New Roman 11 pt Char Char Char"/>
    <w:rsid w:val="00742F79"/>
    <w:rPr>
      <w:rFonts w:cs="Angsana New"/>
      <w:iCs/>
      <w:snapToGrid w:val="0"/>
      <w:color w:val="000000"/>
      <w:sz w:val="22"/>
      <w:szCs w:val="22"/>
      <w:lang w:val="en-US" w:eastAsia="en-US" w:bidi="ar-SA"/>
    </w:rPr>
  </w:style>
  <w:style w:type="paragraph" w:customStyle="1" w:styleId="StylePara1Firstline127cm">
    <w:name w:val="Style Para1 + First line:  1.27 cm"/>
    <w:basedOn w:val="Normal"/>
    <w:rsid w:val="00742F79"/>
    <w:pPr>
      <w:tabs>
        <w:tab w:val="num" w:pos="360"/>
      </w:tabs>
      <w:spacing w:after="120"/>
    </w:pPr>
    <w:rPr>
      <w:rFonts w:cs="Angsana New"/>
      <w:snapToGrid w:val="0"/>
      <w:szCs w:val="20"/>
    </w:rPr>
  </w:style>
  <w:style w:type="paragraph" w:customStyle="1" w:styleId="StylePara1Italic">
    <w:name w:val="Style Para1 + Italic"/>
    <w:basedOn w:val="Normal"/>
    <w:rsid w:val="00742F79"/>
    <w:pPr>
      <w:spacing w:before="120" w:after="120"/>
    </w:pPr>
    <w:rPr>
      <w:i/>
      <w:iCs/>
      <w:snapToGrid w:val="0"/>
      <w:szCs w:val="18"/>
    </w:rPr>
  </w:style>
  <w:style w:type="paragraph" w:styleId="Title">
    <w:name w:val="Title"/>
    <w:basedOn w:val="Normal"/>
    <w:link w:val="TitleChar"/>
    <w:qFormat/>
    <w:rsid w:val="00742F79"/>
    <w:pPr>
      <w:jc w:val="center"/>
    </w:pPr>
    <w:rPr>
      <w:rFonts w:cs="Angsana New"/>
      <w:i/>
      <w:iCs/>
    </w:rPr>
  </w:style>
  <w:style w:type="character" w:customStyle="1" w:styleId="TitleChar">
    <w:name w:val="Title Char"/>
    <w:basedOn w:val="DefaultParagraphFont"/>
    <w:link w:val="Title"/>
    <w:rsid w:val="00742F79"/>
    <w:rPr>
      <w:rFonts w:cs="Angsana New"/>
      <w:i/>
      <w:iCs/>
      <w:sz w:val="22"/>
      <w:szCs w:val="24"/>
      <w:lang w:val="en-GB"/>
    </w:rPr>
  </w:style>
  <w:style w:type="paragraph" w:customStyle="1" w:styleId="para2a">
    <w:name w:val="para 2 (a)"/>
    <w:basedOn w:val="Normal"/>
    <w:qFormat/>
    <w:rsid w:val="00742F79"/>
    <w:pPr>
      <w:spacing w:after="120"/>
      <w:ind w:firstLine="763"/>
    </w:pPr>
    <w:rPr>
      <w:rFonts w:eastAsia="MS Mincho" w:cs="Angsana New"/>
      <w:snapToGrid w:val="0"/>
      <w:szCs w:val="18"/>
    </w:rPr>
  </w:style>
  <w:style w:type="paragraph" w:customStyle="1" w:styleId="Default">
    <w:name w:val="Default"/>
    <w:rsid w:val="00742F79"/>
    <w:pPr>
      <w:autoSpaceDE w:val="0"/>
      <w:autoSpaceDN w:val="0"/>
      <w:adjustRightInd w:val="0"/>
    </w:pPr>
    <w:rPr>
      <w:color w:val="000000"/>
      <w:sz w:val="24"/>
      <w:szCs w:val="24"/>
      <w:lang w:val="en-US"/>
    </w:rPr>
  </w:style>
  <w:style w:type="paragraph" w:customStyle="1" w:styleId="Pa6">
    <w:name w:val="Pa6"/>
    <w:basedOn w:val="Default"/>
    <w:next w:val="Default"/>
    <w:uiPriority w:val="99"/>
    <w:rsid w:val="00742F79"/>
    <w:pPr>
      <w:spacing w:line="201" w:lineRule="atLeast"/>
    </w:pPr>
    <w:rPr>
      <w:rFonts w:ascii="Minion Pro" w:hAnsi="Minion Pro"/>
      <w:color w:val="auto"/>
    </w:rPr>
  </w:style>
  <w:style w:type="character" w:customStyle="1" w:styleId="A6">
    <w:name w:val="A6"/>
    <w:uiPriority w:val="99"/>
    <w:rsid w:val="00742F79"/>
    <w:rPr>
      <w:rFonts w:cs="Minion Pro"/>
      <w:color w:val="000000"/>
      <w:sz w:val="12"/>
      <w:szCs w:val="12"/>
    </w:rPr>
  </w:style>
  <w:style w:type="paragraph" w:customStyle="1" w:styleId="Pa45">
    <w:name w:val="Pa45"/>
    <w:basedOn w:val="Default"/>
    <w:next w:val="Default"/>
    <w:uiPriority w:val="99"/>
    <w:rsid w:val="00742F79"/>
    <w:pPr>
      <w:spacing w:line="191" w:lineRule="atLeast"/>
    </w:pPr>
    <w:rPr>
      <w:rFonts w:ascii="Myriad Roman" w:hAnsi="Myriad Roman"/>
      <w:color w:val="auto"/>
    </w:rPr>
  </w:style>
  <w:style w:type="character" w:customStyle="1" w:styleId="A13">
    <w:name w:val="A13"/>
    <w:uiPriority w:val="99"/>
    <w:rsid w:val="00742F79"/>
    <w:rPr>
      <w:rFonts w:cs="Myriad Roman"/>
      <w:color w:val="000000"/>
      <w:sz w:val="18"/>
      <w:szCs w:val="18"/>
    </w:rPr>
  </w:style>
  <w:style w:type="paragraph" w:customStyle="1" w:styleId="MediumGrid1-Accent21">
    <w:name w:val="Medium Grid 1 - Accent 21"/>
    <w:basedOn w:val="Normal"/>
    <w:rsid w:val="00742F79"/>
    <w:pPr>
      <w:ind w:left="720"/>
      <w:contextualSpacing/>
      <w:jc w:val="left"/>
    </w:pPr>
    <w:rPr>
      <w:rFonts w:ascii="Cambria" w:eastAsia="MS ??" w:hAnsi="Cambria"/>
      <w:sz w:val="24"/>
      <w:lang w:val="en-US" w:eastAsia="ja-JP"/>
    </w:rPr>
  </w:style>
  <w:style w:type="character" w:styleId="Emphasis">
    <w:name w:val="Emphasis"/>
    <w:uiPriority w:val="20"/>
    <w:qFormat/>
    <w:rsid w:val="00742F79"/>
    <w:rPr>
      <w:b/>
      <w:bCs/>
      <w:i w:val="0"/>
      <w:iCs w:val="0"/>
    </w:rPr>
  </w:style>
  <w:style w:type="character" w:customStyle="1" w:styleId="Heading1Char">
    <w:name w:val="Heading 1 Char"/>
    <w:link w:val="Heading1"/>
    <w:uiPriority w:val="9"/>
    <w:rsid w:val="00742F79"/>
    <w:rPr>
      <w:b/>
      <w:caps/>
      <w:sz w:val="22"/>
      <w:szCs w:val="24"/>
      <w:lang w:val="en-GB"/>
    </w:rPr>
  </w:style>
  <w:style w:type="paragraph" w:customStyle="1" w:styleId="ta-response-item-content">
    <w:name w:val="ta-response-item-content"/>
    <w:basedOn w:val="Normal"/>
    <w:rsid w:val="00742F79"/>
    <w:pPr>
      <w:spacing w:before="100" w:beforeAutospacing="1" w:after="100" w:afterAutospacing="1"/>
      <w:jc w:val="left"/>
    </w:pPr>
    <w:rPr>
      <w:sz w:val="24"/>
      <w:lang w:val="en-US"/>
    </w:rPr>
  </w:style>
  <w:style w:type="character" w:customStyle="1" w:styleId="HeaderChar">
    <w:name w:val="Header Char"/>
    <w:link w:val="Header"/>
    <w:rsid w:val="00742F79"/>
    <w:rPr>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mop-08/mop-08-dec-10-en.pdf" TargetMode="External"/><Relationship Id="rId18" Type="http://schemas.openxmlformats.org/officeDocument/2006/relationships/image" Target="media/image8.jpeg"/><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cbd.int/doc/decisions/cop-13/cop-13-dec-26-en.pdf" TargetMode="External"/><Relationship Id="rId17" Type="http://schemas.openxmlformats.org/officeDocument/2006/relationships/image" Target="media/image7.jpe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glossaryDocument" Target="glossary/document.xml"/><Relationship Id="rId10" Type="http://schemas.openxmlformats.org/officeDocument/2006/relationships/image" Target="media/image3.emf"/><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https://www.cbd.int/doc/decisions/np-mop-02/np-mop-02-dec-12-en.pdf" TargetMode="External"/><Relationship Id="rId22" Type="http://schemas.openxmlformats.org/officeDocument/2006/relationships/fontTable" Target="fontTable.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meetings/bs/cpcc-14/official/cpcc-14-05-en.pdf" TargetMode="External"/><Relationship Id="rId1" Type="http://schemas.openxmlformats.org/officeDocument/2006/relationships/hyperlink" Target="https://www.cbd.int/doc/c/6ce5/878e/5ffa49887c20c19961fe040a/sbi-02-01-en.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
      <w:docPartPr>
        <w:name w:val="8DA05B690E9F4825BB8E1A36EFAAF965"/>
        <w:category>
          <w:name w:val="General"/>
          <w:gallery w:val="placeholder"/>
        </w:category>
        <w:types>
          <w:type w:val="bbPlcHdr"/>
        </w:types>
        <w:behaviors>
          <w:behavior w:val="content"/>
        </w:behaviors>
        <w:guid w:val="{0DAD62DC-5ED6-4E38-B401-A69E09046BF5}"/>
      </w:docPartPr>
      <w:docPartBody>
        <w:p w:rsidR="00111804" w:rsidRDefault="0068730F" w:rsidP="0068730F">
          <w:pPr>
            <w:pStyle w:val="8DA05B690E9F4825BB8E1A36EFAAF965"/>
          </w:pPr>
          <w:r w:rsidRPr="00B903A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ngsana New">
    <w:panose1 w:val="02020603050405020304"/>
    <w:charset w:val="00"/>
    <w:family w:val="roman"/>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Minion Pro">
    <w:altName w:val="Cambria"/>
    <w:panose1 w:val="00000000000000000000"/>
    <w:charset w:val="00"/>
    <w:family w:val="roman"/>
    <w:notTrueType/>
    <w:pitch w:val="default"/>
    <w:sig w:usb0="00000003" w:usb1="08070000" w:usb2="00000010" w:usb3="00000000" w:csb0="00020001" w:csb1="00000000"/>
  </w:font>
  <w:font w:name="Myriad Roman">
    <w:altName w:val="Myriad Roman"/>
    <w:panose1 w:val="00000000000000000000"/>
    <w:charset w:val="00"/>
    <w:family w:val="roman"/>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5BC6"/>
    <w:rsid w:val="00111804"/>
    <w:rsid w:val="001B29AF"/>
    <w:rsid w:val="002641CC"/>
    <w:rsid w:val="0037757D"/>
    <w:rsid w:val="004A69EC"/>
    <w:rsid w:val="00635CE0"/>
    <w:rsid w:val="0068730F"/>
    <w:rsid w:val="007E501A"/>
    <w:rsid w:val="0083264A"/>
    <w:rsid w:val="00965FFF"/>
    <w:rsid w:val="00977C27"/>
    <w:rsid w:val="00A27574"/>
    <w:rsid w:val="00A548D2"/>
    <w:rsid w:val="00B36C7B"/>
    <w:rsid w:val="00B84642"/>
    <w:rsid w:val="00B859D6"/>
    <w:rsid w:val="00BB2CFE"/>
    <w:rsid w:val="00CB56F9"/>
    <w:rsid w:val="00D5481D"/>
    <w:rsid w:val="00EC17B5"/>
    <w:rsid w:val="00F42E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68730F"/>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8E9ECE4427FD49679750D3B634D5B255">
    <w:name w:val="8E9ECE4427FD49679750D3B634D5B255"/>
    <w:rsid w:val="0068730F"/>
  </w:style>
  <w:style w:type="paragraph" w:customStyle="1" w:styleId="0009B2C2ABA140B1BD64CD9FA9C5CC37">
    <w:name w:val="0009B2C2ABA140B1BD64CD9FA9C5CC37"/>
    <w:rsid w:val="0068730F"/>
  </w:style>
  <w:style w:type="paragraph" w:customStyle="1" w:styleId="8DA05B690E9F4825BB8E1A36EFAAF965">
    <w:name w:val="8DA05B690E9F4825BB8E1A36EFAAF965"/>
    <w:rsid w:val="006873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68730F"/>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8E9ECE4427FD49679750D3B634D5B255">
    <w:name w:val="8E9ECE4427FD49679750D3B634D5B255"/>
    <w:rsid w:val="0068730F"/>
  </w:style>
  <w:style w:type="paragraph" w:customStyle="1" w:styleId="0009B2C2ABA140B1BD64CD9FA9C5CC37">
    <w:name w:val="0009B2C2ABA140B1BD64CD9FA9C5CC37"/>
    <w:rsid w:val="0068730F"/>
  </w:style>
  <w:style w:type="paragraph" w:customStyle="1" w:styleId="8DA05B690E9F4825BB8E1A36EFAAF965">
    <w:name w:val="8DA05B690E9F4825BB8E1A36EFAAF965"/>
    <w:rsid w:val="006873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DCCCE-90F3-4564-A78B-35716BD17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14</Pages>
  <Words>6177</Words>
  <Characters>35215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Review of the experience in holding concurrent meetings of the Conference of the Parties to the Convention and the meetings of the Parties to the Protocols</vt:lpstr>
    </vt:vector>
  </TitlesOfParts>
  <Company>Biodiversity</Company>
  <LinksUpToDate>false</LinksUpToDate>
  <CharactersWithSpaces>41310</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experience in holding concurrent meetings of the Conference of the Parties to the Convention and the meetings of the Parties to the Protocols</dc:title>
  <dc:subject>CBD/SBI/2/16/Add.1</dc:subject>
  <dc:creator>SCBD</dc:creator>
  <cp:lastModifiedBy>Orestes Plasencia</cp:lastModifiedBy>
  <cp:revision>2</cp:revision>
  <cp:lastPrinted>2018-02-09T21:52:00Z</cp:lastPrinted>
  <dcterms:created xsi:type="dcterms:W3CDTF">2018-02-21T17:11:00Z</dcterms:created>
  <dcterms:modified xsi:type="dcterms:W3CDTF">2018-02-21T17:11:00Z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IMPLEMENTATION</vt:lpwstr>
  </property>
</Properties>
</file>