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4A0" w:firstRow="1" w:lastRow="0" w:firstColumn="1" w:lastColumn="0" w:noHBand="0" w:noVBand="1"/>
      </w:tblPr>
      <w:tblGrid>
        <w:gridCol w:w="975"/>
        <w:gridCol w:w="1434"/>
        <w:gridCol w:w="8073"/>
      </w:tblGrid>
      <w:tr w:rsidR="00A47CC6" w14:paraId="114198A1" w14:textId="77777777">
        <w:trPr>
          <w:trHeight w:val="850"/>
        </w:trPr>
        <w:tc>
          <w:tcPr>
            <w:tcW w:w="975" w:type="dxa"/>
            <w:vAlign w:val="bottom"/>
          </w:tcPr>
          <w:p w14:paraId="5A8208E4" w14:textId="77777777" w:rsidR="00A47CC6" w:rsidRDefault="001643AF">
            <w:pPr>
              <w:pStyle w:val="AASmallLogo"/>
            </w:pPr>
            <w:r>
              <w:rPr>
                <w:noProof/>
              </w:rPr>
              <w:drawing>
                <wp:inline distT="0" distB="0" distL="0" distR="0" wp14:anchorId="517BCF76" wp14:editId="15D2C29A">
                  <wp:extent cx="474345" cy="401955"/>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Picture 1"/>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499BFE80" w14:textId="77777777" w:rsidR="00A47CC6" w:rsidRDefault="00A47CC6">
            <w:pPr>
              <w:pStyle w:val="AASmallLogo"/>
            </w:pPr>
          </w:p>
        </w:tc>
        <w:tc>
          <w:tcPr>
            <w:tcW w:w="1434" w:type="dxa"/>
            <w:noWrap/>
            <w:vAlign w:val="bottom"/>
          </w:tcPr>
          <w:p w14:paraId="007F4F05" w14:textId="77777777" w:rsidR="00A47CC6" w:rsidRDefault="001643AF">
            <w:pPr>
              <w:pStyle w:val="AASmallLogo"/>
            </w:pPr>
            <w:r>
              <w:rPr>
                <w:noProof/>
              </w:rPr>
              <w:drawing>
                <wp:inline distT="0" distB="0" distL="0" distR="0" wp14:anchorId="51805487" wp14:editId="43379CEE">
                  <wp:extent cx="498475" cy="356870"/>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357465"/>
                          </a:xfrm>
                          <a:prstGeom prst="rect">
                            <a:avLst/>
                          </a:prstGeom>
                        </pic:spPr>
                      </pic:pic>
                    </a:graphicData>
                  </a:graphic>
                </wp:inline>
              </w:drawing>
            </w:r>
            <w:r>
              <w:t xml:space="preserve"> </w:t>
            </w:r>
          </w:p>
          <w:p w14:paraId="2F07101D" w14:textId="77777777" w:rsidR="00A47CC6" w:rsidRDefault="00A47CC6">
            <w:pPr>
              <w:pStyle w:val="AASmallLogo"/>
            </w:pPr>
          </w:p>
        </w:tc>
        <w:tc>
          <w:tcPr>
            <w:tcW w:w="8073" w:type="dxa"/>
            <w:vAlign w:val="bottom"/>
          </w:tcPr>
          <w:p w14:paraId="3D020333" w14:textId="40F3F629" w:rsidR="00A47CC6" w:rsidRDefault="001643AF">
            <w:pPr>
              <w:pStyle w:val="ABSymbol"/>
            </w:pPr>
            <w:r>
              <w:rPr>
                <w:sz w:val="40"/>
              </w:rPr>
              <w:t>CBD</w:t>
            </w:r>
            <w:r>
              <w:t>/CP/MOP/12/3</w:t>
            </w:r>
          </w:p>
        </w:tc>
      </w:tr>
    </w:tbl>
    <w:p w14:paraId="1C89133C" w14:textId="77777777" w:rsidR="00A47CC6" w:rsidRDefault="00A47CC6">
      <w:pPr>
        <w:pStyle w:val="AISpacer"/>
      </w:pPr>
    </w:p>
    <w:tbl>
      <w:tblPr>
        <w:tblW w:w="10482" w:type="dxa"/>
        <w:tblInd w:w="-283" w:type="dxa"/>
        <w:tblBorders>
          <w:top w:val="single" w:sz="8" w:space="0" w:color="auto"/>
          <w:bottom w:val="single" w:sz="12" w:space="0" w:color="auto"/>
        </w:tblBorders>
        <w:tblLayout w:type="fixed"/>
        <w:tblLook w:val="04A0" w:firstRow="1" w:lastRow="0" w:firstColumn="1" w:lastColumn="0" w:noHBand="0" w:noVBand="1"/>
      </w:tblPr>
      <w:tblGrid>
        <w:gridCol w:w="7370"/>
        <w:gridCol w:w="3112"/>
      </w:tblGrid>
      <w:tr w:rsidR="00A47CC6" w14:paraId="7A9C3768" w14:textId="77777777">
        <w:trPr>
          <w:trHeight w:val="1814"/>
        </w:trPr>
        <w:tc>
          <w:tcPr>
            <w:tcW w:w="7370" w:type="dxa"/>
          </w:tcPr>
          <w:p w14:paraId="51B3A7DB" w14:textId="77777777" w:rsidR="00A47CC6" w:rsidRDefault="001643AF">
            <w:pPr>
              <w:pStyle w:val="ACLargeLogo"/>
            </w:pPr>
            <w:r>
              <w:rPr>
                <w:noProof/>
              </w:rPr>
              <w:drawing>
                <wp:inline distT="0" distB="0" distL="0" distR="0" wp14:anchorId="478C20CA" wp14:editId="65D2C66A">
                  <wp:extent cx="2755265" cy="1029970"/>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30313"/>
                          </a:xfrm>
                          <a:prstGeom prst="rect">
                            <a:avLst/>
                          </a:prstGeom>
                        </pic:spPr>
                      </pic:pic>
                    </a:graphicData>
                  </a:graphic>
                </wp:inline>
              </w:drawing>
            </w:r>
            <w:r>
              <w:t xml:space="preserve"> </w:t>
            </w:r>
          </w:p>
          <w:p w14:paraId="743B6C33" w14:textId="77777777" w:rsidR="00A47CC6" w:rsidRDefault="00A47CC6">
            <w:pPr>
              <w:pStyle w:val="ACLargeLogo"/>
            </w:pPr>
          </w:p>
        </w:tc>
        <w:tc>
          <w:tcPr>
            <w:tcW w:w="3112" w:type="dxa"/>
          </w:tcPr>
          <w:p w14:paraId="26B2D318" w14:textId="77777777" w:rsidR="00A47CC6" w:rsidRDefault="001643AF">
            <w:pPr>
              <w:pStyle w:val="AEDistrNormal"/>
            </w:pPr>
            <w:r>
              <w:t xml:space="preserve">Distr.: General </w:t>
            </w:r>
          </w:p>
          <w:p w14:paraId="35590F38" w14:textId="77777777" w:rsidR="00A47CC6" w:rsidRDefault="001643AF">
            <w:pPr>
              <w:pStyle w:val="AEDistrNormal"/>
            </w:pPr>
            <w:r>
              <w:t>12 June 2026</w:t>
            </w:r>
          </w:p>
          <w:p w14:paraId="34A9A678" w14:textId="77777777" w:rsidR="00A47CC6" w:rsidRDefault="001643AF">
            <w:pPr>
              <w:pStyle w:val="AEDistrNormal6pt"/>
            </w:pPr>
            <w:r>
              <w:t xml:space="preserve">Original: English </w:t>
            </w:r>
          </w:p>
          <w:p w14:paraId="6B641C3D" w14:textId="77777777" w:rsidR="00A47CC6" w:rsidRDefault="00A47CC6">
            <w:pPr>
              <w:pStyle w:val="AEDistrNormal6pt"/>
            </w:pPr>
          </w:p>
        </w:tc>
      </w:tr>
    </w:tbl>
    <w:p w14:paraId="56069CAC" w14:textId="77777777" w:rsidR="00A47CC6" w:rsidRDefault="00A47CC6">
      <w:pPr>
        <w:pStyle w:val="AISpacer"/>
      </w:pPr>
    </w:p>
    <w:tbl>
      <w:tblPr>
        <w:tblW w:w="10482" w:type="dxa"/>
        <w:tblInd w:w="-283" w:type="dxa"/>
        <w:tblLayout w:type="fixed"/>
        <w:tblCellMar>
          <w:left w:w="283" w:type="dxa"/>
        </w:tblCellMar>
        <w:tblLook w:val="04A0" w:firstRow="1" w:lastRow="0" w:firstColumn="1" w:lastColumn="0" w:noHBand="0" w:noVBand="1"/>
      </w:tblPr>
      <w:tblGrid>
        <w:gridCol w:w="6094"/>
        <w:gridCol w:w="4388"/>
      </w:tblGrid>
      <w:tr w:rsidR="00A47CC6" w14:paraId="01D9F63E" w14:textId="77777777">
        <w:trPr>
          <w:trHeight w:val="57"/>
        </w:trPr>
        <w:tc>
          <w:tcPr>
            <w:tcW w:w="6094" w:type="dxa"/>
          </w:tcPr>
          <w:p w14:paraId="6DA4E941" w14:textId="77777777" w:rsidR="00A47CC6" w:rsidRDefault="001643AF">
            <w:pPr>
              <w:pStyle w:val="AFCorN12Bold"/>
              <w:rPr>
                <w:bCs/>
                <w:lang w:val="en-US"/>
              </w:rPr>
            </w:pPr>
            <w:r>
              <w:rPr>
                <w:bCs/>
                <w:lang w:val="en-US"/>
              </w:rPr>
              <w:t>Conference of the Parties to the Convention on Biological Diversity serving as the meeting of the Parties to the Cartagena Protocol on Biosafety</w:t>
            </w:r>
          </w:p>
          <w:p w14:paraId="3C463023" w14:textId="77777777" w:rsidR="00A47CC6" w:rsidRDefault="001643AF">
            <w:pPr>
              <w:pStyle w:val="Venuedate"/>
              <w:ind w:right="2280"/>
              <w:rPr>
                <w:b/>
                <w:bCs w:val="0"/>
                <w:sz w:val="24"/>
                <w:lang w:val="en-US"/>
              </w:rPr>
            </w:pPr>
            <w:r>
              <w:rPr>
                <w:b/>
                <w:bCs w:val="0"/>
                <w:sz w:val="24"/>
                <w:lang w:val="en-US"/>
              </w:rPr>
              <w:t>Twelfth meeting</w:t>
            </w:r>
          </w:p>
          <w:p w14:paraId="0A8F23C7" w14:textId="08D6D3A9" w:rsidR="00A47CC6" w:rsidRDefault="001643AF">
            <w:pPr>
              <w:pStyle w:val="Venuedate"/>
              <w:ind w:right="2280"/>
            </w:pPr>
            <w:r>
              <w:t>Yerevan, 19</w:t>
            </w:r>
            <w:r w:rsidR="00E64B29">
              <w:t>–</w:t>
            </w:r>
            <w:r>
              <w:t>30 October 2026</w:t>
            </w:r>
          </w:p>
          <w:p w14:paraId="553D1824" w14:textId="4802A383" w:rsidR="00A47CC6" w:rsidRDefault="001643AF">
            <w:pPr>
              <w:pStyle w:val="AFCorNNormal"/>
            </w:pPr>
            <w:r>
              <w:t>Item 5 of the provisional agenda</w:t>
            </w:r>
            <w:r w:rsidR="008453C9">
              <w:rPr>
                <w:rStyle w:val="FootnoteReference"/>
              </w:rPr>
              <w:footnoteReference w:customMarkFollows="1" w:id="1"/>
              <w:t>*</w:t>
            </w:r>
          </w:p>
          <w:p w14:paraId="0022DB14" w14:textId="34D42F4F" w:rsidR="00A47CC6" w:rsidRDefault="001643AF">
            <w:pPr>
              <w:pStyle w:val="AFCorNBold"/>
            </w:pPr>
            <w:r>
              <w:t>Report of the Compliance Committee</w:t>
            </w:r>
          </w:p>
        </w:tc>
        <w:tc>
          <w:tcPr>
            <w:tcW w:w="4388" w:type="dxa"/>
          </w:tcPr>
          <w:p w14:paraId="543B4BDB" w14:textId="77777777" w:rsidR="00A47CC6" w:rsidRDefault="00A47CC6">
            <w:pPr>
              <w:pStyle w:val="CBDNormal"/>
              <w:jc w:val="left"/>
            </w:pPr>
          </w:p>
        </w:tc>
      </w:tr>
    </w:tbl>
    <w:p w14:paraId="21C856AE" w14:textId="4B27BA2C" w:rsidR="00A47CC6" w:rsidRDefault="0021045F">
      <w:pPr>
        <w:pStyle w:val="CBDTitle"/>
        <w:rPr>
          <w:caps/>
        </w:rPr>
      </w:pPr>
      <w:sdt>
        <w:sdtPr>
          <w:alias w:val="Title"/>
          <w:id w:val="772832786"/>
          <w:placeholder>
            <w:docPart w:val="50D39685AEA345639560464042483489"/>
          </w:placeholder>
          <w:dataBinding w:prefixMappings="xmlns:ns0='http://purl.org/dc/elements/1.1/' xmlns:ns1='http://schemas.openxmlformats.org/package/2006/metadata/core-properties' " w:xpath="/ns1:coreProperties[1]/ns0:title[1]" w:storeItemID="{6C3C8BC8-F283-45AE-878A-BAB7291924A1}"/>
          <w:text/>
        </w:sdtPr>
        <w:sdtEndPr/>
        <w:sdtContent>
          <w:r w:rsidR="006978B5" w:rsidRPr="006978B5">
            <w:t>Report of the Compliance Committee under the Cartagena Protocol on Biosafety on its twentieth and twenty-first meetings</w:t>
          </w:r>
        </w:sdtContent>
      </w:sdt>
      <w:r w:rsidR="001643AF">
        <w:rPr>
          <w:caps/>
        </w:rPr>
        <w:t xml:space="preserve"> </w:t>
      </w:r>
    </w:p>
    <w:p w14:paraId="031E9888" w14:textId="181BAC2C" w:rsidR="00950471" w:rsidRDefault="00950471" w:rsidP="00F95C52">
      <w:pPr>
        <w:pStyle w:val="CBDH1"/>
        <w:numPr>
          <w:ilvl w:val="0"/>
          <w:numId w:val="12"/>
        </w:numPr>
      </w:pPr>
      <w:r>
        <w:t>Introduction</w:t>
      </w:r>
    </w:p>
    <w:p w14:paraId="6D357177" w14:textId="70FE41E4" w:rsidR="00A47CC6" w:rsidRDefault="001643AF">
      <w:pPr>
        <w:pStyle w:val="CBDNormalNumber"/>
        <w:numPr>
          <w:ilvl w:val="0"/>
          <w:numId w:val="6"/>
        </w:numPr>
        <w:tabs>
          <w:tab w:val="clear" w:pos="567"/>
          <w:tab w:val="clear" w:pos="1134"/>
          <w:tab w:val="left" w:pos="1350"/>
          <w:tab w:val="left" w:pos="1620"/>
        </w:tabs>
        <w:ind w:left="630" w:firstLine="0"/>
      </w:pPr>
      <w:r>
        <w:t xml:space="preserve">During the intersessional period that followed the eleventh meeting of the Conference of the Parties to the Convention on Biological Diversity serving as the meeting of the Parties to the Cartagena Protocol on Biosafety, the Compliance Committee </w:t>
      </w:r>
      <w:r w:rsidR="00432F5C">
        <w:t xml:space="preserve">under the Cartagena Protocol </w:t>
      </w:r>
      <w:r>
        <w:t>held two meetings: its twentieth meeting, from 27 to 29</w:t>
      </w:r>
      <w:r w:rsidR="00E6551E">
        <w:t> </w:t>
      </w:r>
      <w:r>
        <w:t>May 2025, and its twenty-first meeting, from 10 to 12</w:t>
      </w:r>
      <w:r w:rsidR="00E6551E">
        <w:t> </w:t>
      </w:r>
      <w:r>
        <w:t>June 2026. Both meetings were held at the offices of the Secretariat</w:t>
      </w:r>
      <w:r w:rsidR="005E3BC7">
        <w:t>,</w:t>
      </w:r>
      <w:r>
        <w:t xml:space="preserve"> in Montreal, Canada. </w:t>
      </w:r>
    </w:p>
    <w:p w14:paraId="67454875" w14:textId="052FAE8B" w:rsidR="00A47CC6" w:rsidRDefault="001643AF">
      <w:pPr>
        <w:pStyle w:val="CBDNormalNumber"/>
        <w:numPr>
          <w:ilvl w:val="0"/>
          <w:numId w:val="6"/>
        </w:numPr>
        <w:tabs>
          <w:tab w:val="clear" w:pos="567"/>
          <w:tab w:val="clear" w:pos="1134"/>
          <w:tab w:val="left" w:pos="1350"/>
          <w:tab w:val="left" w:pos="1620"/>
        </w:tabs>
        <w:ind w:left="630" w:firstLine="0"/>
      </w:pPr>
      <w:r>
        <w:t xml:space="preserve">The present document contains a consolidated </w:t>
      </w:r>
      <w:r w:rsidR="004A3499">
        <w:t xml:space="preserve">summary </w:t>
      </w:r>
      <w:r>
        <w:t xml:space="preserve">of the discussions and outcomes of the two meetings. The </w:t>
      </w:r>
      <w:r w:rsidR="006800E6">
        <w:t xml:space="preserve">recommendations of the </w:t>
      </w:r>
      <w:r>
        <w:t xml:space="preserve">Committee to the Conference of the Parties serving as the meeting of the Parties to the Protocol are contained in </w:t>
      </w:r>
      <w:r w:rsidR="006800E6">
        <w:t>a</w:t>
      </w:r>
      <w:r>
        <w:t>nnex</w:t>
      </w:r>
      <w:r w:rsidR="006800E6">
        <w:t> </w:t>
      </w:r>
      <w:r>
        <w:t xml:space="preserve">I to the present report. </w:t>
      </w:r>
    </w:p>
    <w:p w14:paraId="008E49D1" w14:textId="18C23710" w:rsidR="004A3499" w:rsidRDefault="004A3499" w:rsidP="004A3499">
      <w:pPr>
        <w:pStyle w:val="CBDNormalNumber"/>
        <w:numPr>
          <w:ilvl w:val="0"/>
          <w:numId w:val="6"/>
        </w:numPr>
        <w:tabs>
          <w:tab w:val="clear" w:pos="567"/>
          <w:tab w:val="clear" w:pos="1134"/>
          <w:tab w:val="left" w:pos="1350"/>
          <w:tab w:val="left" w:pos="1620"/>
        </w:tabs>
        <w:ind w:left="630" w:firstLine="0"/>
      </w:pPr>
      <w:r>
        <w:t>The full report</w:t>
      </w:r>
      <w:r w:rsidR="005D6561">
        <w:t>s</w:t>
      </w:r>
      <w:r>
        <w:t xml:space="preserve"> of the Committee on the work of its twentieth</w:t>
      </w:r>
      <w:r w:rsidR="00D74758">
        <w:t xml:space="preserve"> </w:t>
      </w:r>
      <w:r w:rsidR="005D6561">
        <w:t xml:space="preserve">and twenty-first </w:t>
      </w:r>
      <w:r w:rsidR="00D74758">
        <w:t>meeting</w:t>
      </w:r>
      <w:r w:rsidR="005D6561">
        <w:t>s</w:t>
      </w:r>
      <w:r>
        <w:t>,</w:t>
      </w:r>
      <w:r>
        <w:rPr>
          <w:rStyle w:val="FootnoteReference"/>
        </w:rPr>
        <w:footnoteReference w:id="2"/>
      </w:r>
      <w:r>
        <w:t xml:space="preserve"> as well as the working documents for</w:t>
      </w:r>
      <w:r w:rsidR="00FE3EAA">
        <w:t xml:space="preserve"> </w:t>
      </w:r>
      <w:r w:rsidR="005D6561">
        <w:t>each meeting</w:t>
      </w:r>
      <w:r>
        <w:t xml:space="preserve">, </w:t>
      </w:r>
      <w:r w:rsidRPr="00D74758">
        <w:t>are available</w:t>
      </w:r>
      <w:r>
        <w:t xml:space="preserve"> on the </w:t>
      </w:r>
      <w:hyperlink r:id="rId15" w:history="1">
        <w:r>
          <w:rPr>
            <w:rStyle w:val="Hyperlink"/>
            <w:color w:val="auto"/>
            <w:u w:val="none"/>
          </w:rPr>
          <w:t>website</w:t>
        </w:r>
      </w:hyperlink>
      <w:r>
        <w:rPr>
          <w:rStyle w:val="Hyperlink"/>
          <w:color w:val="auto"/>
          <w:u w:val="none"/>
        </w:rPr>
        <w:t xml:space="preserve"> of the </w:t>
      </w:r>
      <w:r>
        <w:t xml:space="preserve">Secretariat. </w:t>
      </w:r>
    </w:p>
    <w:p w14:paraId="426F756F" w14:textId="01A2F91E" w:rsidR="00F15B15" w:rsidRDefault="00C81C90" w:rsidP="00F95C52">
      <w:pPr>
        <w:pStyle w:val="CBDH1"/>
        <w:numPr>
          <w:ilvl w:val="0"/>
          <w:numId w:val="12"/>
        </w:numPr>
        <w:rPr>
          <w:rFonts w:asciiTheme="majorBidi" w:eastAsia="Times New Roman" w:hAnsiTheme="majorBidi" w:cstheme="majorBidi"/>
          <w:sz w:val="24"/>
          <w:szCs w:val="24"/>
          <w:lang w:val="en-US"/>
        </w:rPr>
      </w:pPr>
      <w:r>
        <w:rPr>
          <w:rFonts w:asciiTheme="majorBidi" w:hAnsiTheme="majorBidi" w:cstheme="majorBidi"/>
        </w:rPr>
        <w:t>Consolidated summary of discussions and outcomes</w:t>
      </w:r>
    </w:p>
    <w:p w14:paraId="699216FA" w14:textId="37DA2554" w:rsidR="00A47CC6" w:rsidRPr="00F95C52" w:rsidRDefault="001643AF">
      <w:pPr>
        <w:pStyle w:val="CBDNormalNumber"/>
        <w:numPr>
          <w:ilvl w:val="0"/>
          <w:numId w:val="6"/>
        </w:numPr>
        <w:tabs>
          <w:tab w:val="clear" w:pos="567"/>
          <w:tab w:val="clear" w:pos="1134"/>
          <w:tab w:val="left" w:pos="1350"/>
          <w:tab w:val="left" w:pos="1620"/>
        </w:tabs>
        <w:ind w:left="630" w:firstLine="0"/>
        <w:rPr>
          <w:rFonts w:asciiTheme="majorBidi" w:eastAsia="Times New Roman" w:hAnsiTheme="majorBidi" w:cstheme="majorBidi"/>
          <w:sz w:val="24"/>
          <w:szCs w:val="24"/>
          <w:lang w:val="en-US"/>
        </w:rPr>
      </w:pPr>
      <w:r>
        <w:t>At its twentieth meeting, the Committee elected Yan Liu as Chair and Casper Linnestad as Vice-Chair</w:t>
      </w:r>
      <w:r w:rsidR="009170D2">
        <w:t>,</w:t>
      </w:r>
      <w:r>
        <w:t xml:space="preserve"> in accordance with rule</w:t>
      </w:r>
      <w:r w:rsidR="00CD4BDF">
        <w:t> </w:t>
      </w:r>
      <w:r>
        <w:t xml:space="preserve">12.1 of the rules of procedure for the meetings of the Compliance </w:t>
      </w:r>
      <w:r>
        <w:rPr>
          <w:rFonts w:asciiTheme="majorBidi" w:hAnsiTheme="majorBidi" w:cstheme="majorBidi"/>
        </w:rPr>
        <w:t>Committee.</w:t>
      </w:r>
    </w:p>
    <w:p w14:paraId="30F649E4" w14:textId="4709E9FE" w:rsidR="00A47CC6" w:rsidRDefault="001643AF">
      <w:pPr>
        <w:pStyle w:val="CBDNormalNumber"/>
        <w:numPr>
          <w:ilvl w:val="0"/>
          <w:numId w:val="6"/>
        </w:numPr>
        <w:tabs>
          <w:tab w:val="clear" w:pos="567"/>
          <w:tab w:val="clear" w:pos="1134"/>
          <w:tab w:val="left" w:pos="1350"/>
          <w:tab w:val="left" w:pos="1620"/>
        </w:tabs>
        <w:ind w:left="630" w:firstLine="0"/>
        <w:rPr>
          <w:rFonts w:asciiTheme="majorBidi" w:hAnsiTheme="majorBidi" w:cstheme="majorBidi"/>
        </w:rPr>
      </w:pPr>
      <w:r>
        <w:rPr>
          <w:rFonts w:asciiTheme="majorBidi" w:hAnsiTheme="majorBidi" w:cstheme="majorBidi"/>
        </w:rPr>
        <w:t xml:space="preserve">At </w:t>
      </w:r>
      <w:r w:rsidR="00C81C90">
        <w:rPr>
          <w:rFonts w:asciiTheme="majorBidi" w:hAnsiTheme="majorBidi" w:cstheme="majorBidi"/>
        </w:rPr>
        <w:t>the same</w:t>
      </w:r>
      <w:r>
        <w:rPr>
          <w:rFonts w:asciiTheme="majorBidi" w:hAnsiTheme="majorBidi" w:cstheme="majorBidi"/>
        </w:rPr>
        <w:t xml:space="preserve"> meeting, the Committee considered the outcomes of the eleventh meeting of the </w:t>
      </w:r>
      <w:bookmarkStart w:id="0" w:name="_Hlk166443072"/>
      <w:r>
        <w:rPr>
          <w:rFonts w:asciiTheme="majorBidi" w:hAnsiTheme="majorBidi" w:cstheme="majorBidi"/>
        </w:rPr>
        <w:t xml:space="preserve">Conference of the Parties serving as the meeting of the Parties to the Protocol </w:t>
      </w:r>
      <w:bookmarkEnd w:id="0"/>
      <w:r>
        <w:rPr>
          <w:rFonts w:asciiTheme="majorBidi" w:hAnsiTheme="majorBidi" w:cstheme="majorBidi"/>
        </w:rPr>
        <w:t xml:space="preserve">regarding items relevant to compliance and welcomed </w:t>
      </w:r>
      <w:r>
        <w:rPr>
          <w:rFonts w:asciiTheme="majorBidi" w:hAnsiTheme="majorBidi" w:cstheme="majorBidi"/>
          <w:shd w:val="clear" w:color="auto" w:fill="FFFFFF"/>
        </w:rPr>
        <w:t xml:space="preserve">the positive consideration of </w:t>
      </w:r>
      <w:r w:rsidR="00F8177C">
        <w:rPr>
          <w:rFonts w:asciiTheme="majorBidi" w:hAnsiTheme="majorBidi" w:cstheme="majorBidi"/>
          <w:shd w:val="clear" w:color="auto" w:fill="FFFFFF"/>
        </w:rPr>
        <w:t xml:space="preserve">and the limited changes to </w:t>
      </w:r>
      <w:r>
        <w:rPr>
          <w:rFonts w:asciiTheme="majorBidi" w:hAnsiTheme="majorBidi" w:cstheme="majorBidi"/>
          <w:shd w:val="clear" w:color="auto" w:fill="FFFFFF"/>
        </w:rPr>
        <w:t>its recommendations by the Conference of the Parties serving as the meeting of the Parties to the Protocol. In its discussions on decision</w:t>
      </w:r>
      <w:r w:rsidR="00CD4BDF">
        <w:rPr>
          <w:rFonts w:asciiTheme="majorBidi" w:hAnsiTheme="majorBidi" w:cstheme="majorBidi"/>
          <w:shd w:val="clear" w:color="auto" w:fill="FFFFFF"/>
        </w:rPr>
        <w:t> </w:t>
      </w:r>
      <w:hyperlink r:id="rId16" w:history="1">
        <w:r w:rsidR="00A47CC6">
          <w:rPr>
            <w:rStyle w:val="Hyperlink"/>
          </w:rPr>
          <w:t>CP-11/1 B</w:t>
        </w:r>
      </w:hyperlink>
      <w:r>
        <w:rPr>
          <w:rFonts w:asciiTheme="majorBidi" w:hAnsiTheme="majorBidi" w:cstheme="majorBidi"/>
          <w:shd w:val="clear" w:color="auto" w:fill="FFFFFF"/>
        </w:rPr>
        <w:t>, the Committee noted that its recommendation to caution seven Parties had likely contributed to the submission, before the eleventh meeting of the Conference of the Parties serving as the meeting of the Parties to the Protocol, of fourth national reports by four of th</w:t>
      </w:r>
      <w:r w:rsidR="00142713">
        <w:rPr>
          <w:rFonts w:asciiTheme="majorBidi" w:hAnsiTheme="majorBidi" w:cstheme="majorBidi"/>
          <w:shd w:val="clear" w:color="auto" w:fill="FFFFFF"/>
        </w:rPr>
        <w:t>o</w:t>
      </w:r>
      <w:r>
        <w:rPr>
          <w:rFonts w:asciiTheme="majorBidi" w:hAnsiTheme="majorBidi" w:cstheme="majorBidi"/>
          <w:shd w:val="clear" w:color="auto" w:fill="FFFFFF"/>
        </w:rPr>
        <w:t>se Parties.</w:t>
      </w:r>
    </w:p>
    <w:p w14:paraId="24217D37" w14:textId="6262969A" w:rsidR="00A47CC6" w:rsidRDefault="001643AF">
      <w:pPr>
        <w:pStyle w:val="CBDNormalNumber"/>
        <w:numPr>
          <w:ilvl w:val="0"/>
          <w:numId w:val="6"/>
        </w:numPr>
        <w:tabs>
          <w:tab w:val="clear" w:pos="567"/>
          <w:tab w:val="clear" w:pos="1134"/>
          <w:tab w:val="left" w:pos="1350"/>
          <w:tab w:val="left" w:pos="1620"/>
        </w:tabs>
        <w:ind w:left="630" w:firstLine="0"/>
      </w:pPr>
      <w:r>
        <w:rPr>
          <w:rFonts w:asciiTheme="majorBidi" w:hAnsiTheme="majorBidi" w:cstheme="majorBidi"/>
          <w:shd w:val="clear" w:color="auto" w:fill="FFFFFF"/>
        </w:rPr>
        <w:lastRenderedPageBreak/>
        <w:t xml:space="preserve">The Committee welcomed the discussions that the </w:t>
      </w:r>
      <w:r>
        <w:rPr>
          <w:rFonts w:asciiTheme="majorBidi" w:hAnsiTheme="majorBidi" w:cstheme="majorBidi"/>
        </w:rPr>
        <w:t>Conference of the Parties serving as the meeting of the Parties to the Protocol</w:t>
      </w:r>
      <w:r>
        <w:rPr>
          <w:rFonts w:asciiTheme="majorBidi" w:hAnsiTheme="majorBidi" w:cstheme="majorBidi"/>
          <w:shd w:val="clear" w:color="auto" w:fill="FFFFFF"/>
        </w:rPr>
        <w:t xml:space="preserve"> had held on its recommendation regarding the implications of diverging interpretations of the definition of “living modified organism” and varying legislative approaches, and the resulting adoption of decision </w:t>
      </w:r>
      <w:hyperlink r:id="rId17" w:history="1">
        <w:r w:rsidR="00A47CC6" w:rsidRPr="00F95C52">
          <w:rPr>
            <w:rStyle w:val="Hyperlink"/>
            <w:rFonts w:asciiTheme="majorBidi" w:hAnsiTheme="majorBidi" w:cstheme="majorBidi"/>
            <w:shd w:val="clear" w:color="auto" w:fill="FFFFFF"/>
          </w:rPr>
          <w:t>CP-11/1</w:t>
        </w:r>
        <w:r w:rsidR="00142713">
          <w:rPr>
            <w:rStyle w:val="Hyperlink"/>
          </w:rPr>
          <w:t> </w:t>
        </w:r>
        <w:r w:rsidRPr="001E600B">
          <w:rPr>
            <w:rStyle w:val="Hyperlink"/>
          </w:rPr>
          <w:t>C</w:t>
        </w:r>
      </w:hyperlink>
      <w:r>
        <w:rPr>
          <w:rFonts w:asciiTheme="majorBidi" w:hAnsiTheme="majorBidi" w:cstheme="majorBidi"/>
          <w:shd w:val="clear" w:color="auto" w:fill="FFFFFF"/>
        </w:rPr>
        <w:t xml:space="preserve">. </w:t>
      </w:r>
    </w:p>
    <w:p w14:paraId="38333D2B" w14:textId="11A0E480" w:rsidR="00A47CC6" w:rsidRDefault="00C81C90">
      <w:pPr>
        <w:pStyle w:val="CBDNormalNumber"/>
        <w:numPr>
          <w:ilvl w:val="0"/>
          <w:numId w:val="6"/>
        </w:numPr>
        <w:tabs>
          <w:tab w:val="clear" w:pos="567"/>
          <w:tab w:val="clear" w:pos="1134"/>
          <w:tab w:val="left" w:pos="1350"/>
          <w:tab w:val="left" w:pos="1620"/>
        </w:tabs>
        <w:ind w:left="630" w:firstLine="0"/>
      </w:pPr>
      <w:r>
        <w:rPr>
          <w:rFonts w:asciiTheme="majorBidi" w:hAnsiTheme="majorBidi" w:cstheme="majorBidi"/>
          <w:shd w:val="clear" w:color="auto" w:fill="FFFFFF"/>
        </w:rPr>
        <w:t>Also a</w:t>
      </w:r>
      <w:r w:rsidR="001643AF">
        <w:rPr>
          <w:rFonts w:asciiTheme="majorBidi" w:hAnsiTheme="majorBidi" w:cstheme="majorBidi"/>
          <w:shd w:val="clear" w:color="auto" w:fill="FFFFFF"/>
        </w:rPr>
        <w:t xml:space="preserve">t its twentieth meeting, the Committee reviewed compliance by Parties </w:t>
      </w:r>
      <w:proofErr w:type="gramStart"/>
      <w:r w:rsidR="001643AF">
        <w:rPr>
          <w:rFonts w:asciiTheme="majorBidi" w:hAnsiTheme="majorBidi" w:cstheme="majorBidi"/>
          <w:shd w:val="clear" w:color="auto" w:fill="FFFFFF"/>
        </w:rPr>
        <w:t>on the basis of</w:t>
      </w:r>
      <w:proofErr w:type="gramEnd"/>
      <w:r w:rsidR="001643AF">
        <w:rPr>
          <w:rFonts w:asciiTheme="majorBidi" w:hAnsiTheme="majorBidi" w:cstheme="majorBidi"/>
          <w:shd w:val="clear" w:color="auto" w:fill="FFFFFF"/>
        </w:rPr>
        <w:t xml:space="preserve"> information </w:t>
      </w:r>
      <w:r w:rsidR="00E85F78">
        <w:rPr>
          <w:rFonts w:asciiTheme="majorBidi" w:hAnsiTheme="majorBidi" w:cstheme="majorBidi"/>
          <w:shd w:val="clear" w:color="auto" w:fill="FFFFFF"/>
        </w:rPr>
        <w:t>i</w:t>
      </w:r>
      <w:r w:rsidR="001643AF">
        <w:rPr>
          <w:rFonts w:asciiTheme="majorBidi" w:hAnsiTheme="majorBidi" w:cstheme="majorBidi"/>
          <w:shd w:val="clear" w:color="auto" w:fill="FFFFFF"/>
        </w:rPr>
        <w:t xml:space="preserve">n the Biosafety </w:t>
      </w:r>
      <w:proofErr w:type="gramStart"/>
      <w:r w:rsidR="001643AF">
        <w:rPr>
          <w:rFonts w:asciiTheme="majorBidi" w:hAnsiTheme="majorBidi" w:cstheme="majorBidi"/>
          <w:shd w:val="clear" w:color="auto" w:fill="FFFFFF"/>
        </w:rPr>
        <w:t>Clearing-House</w:t>
      </w:r>
      <w:proofErr w:type="gramEnd"/>
      <w:r w:rsidR="001643AF">
        <w:rPr>
          <w:rFonts w:asciiTheme="majorBidi" w:hAnsiTheme="majorBidi" w:cstheme="majorBidi"/>
          <w:shd w:val="clear" w:color="auto" w:fill="FFFFFF"/>
        </w:rPr>
        <w:t xml:space="preserve">. It welcomed the ongoing efforts made by Parties to maintain accurate and complete information in the Biosafety </w:t>
      </w:r>
      <w:proofErr w:type="gramStart"/>
      <w:r w:rsidR="001643AF">
        <w:rPr>
          <w:rFonts w:asciiTheme="majorBidi" w:hAnsiTheme="majorBidi" w:cstheme="majorBidi"/>
          <w:shd w:val="clear" w:color="auto" w:fill="FFFFFF"/>
        </w:rPr>
        <w:t>Clearing-House</w:t>
      </w:r>
      <w:proofErr w:type="gramEnd"/>
      <w:r w:rsidR="00D03A03">
        <w:rPr>
          <w:rFonts w:asciiTheme="majorBidi" w:hAnsiTheme="majorBidi" w:cstheme="majorBidi"/>
          <w:shd w:val="clear" w:color="auto" w:fill="FFFFFF"/>
        </w:rPr>
        <w:t xml:space="preserve"> and</w:t>
      </w:r>
      <w:r w:rsidR="001643AF">
        <w:rPr>
          <w:rFonts w:asciiTheme="majorBidi" w:hAnsiTheme="majorBidi" w:cstheme="majorBidi"/>
          <w:shd w:val="clear" w:color="auto" w:fill="FFFFFF"/>
        </w:rPr>
        <w:t xml:space="preserve"> requested the </w:t>
      </w:r>
      <w:r w:rsidR="00B014C0">
        <w:rPr>
          <w:rFonts w:asciiTheme="majorBidi" w:hAnsiTheme="majorBidi" w:cstheme="majorBidi"/>
          <w:shd w:val="clear" w:color="auto" w:fill="FFFFFF"/>
        </w:rPr>
        <w:t xml:space="preserve">Executive Secretary </w:t>
      </w:r>
      <w:r w:rsidR="001643AF">
        <w:rPr>
          <w:rFonts w:asciiTheme="majorBidi" w:hAnsiTheme="majorBidi" w:cstheme="majorBidi"/>
          <w:shd w:val="clear" w:color="auto" w:fill="FFFFFF"/>
        </w:rPr>
        <w:t xml:space="preserve">to continue </w:t>
      </w:r>
      <w:r w:rsidR="00E7246A">
        <w:rPr>
          <w:rFonts w:asciiTheme="majorBidi" w:hAnsiTheme="majorBidi" w:cstheme="majorBidi"/>
          <w:shd w:val="clear" w:color="auto" w:fill="FFFFFF"/>
        </w:rPr>
        <w:t xml:space="preserve">to follow up and </w:t>
      </w:r>
      <w:r w:rsidR="001643AF">
        <w:rPr>
          <w:rFonts w:asciiTheme="majorBidi" w:hAnsiTheme="majorBidi" w:cstheme="majorBidi"/>
          <w:shd w:val="clear" w:color="auto" w:fill="FFFFFF"/>
        </w:rPr>
        <w:t xml:space="preserve">liaise with Parties </w:t>
      </w:r>
      <w:r w:rsidR="00D03A03">
        <w:rPr>
          <w:rFonts w:asciiTheme="majorBidi" w:hAnsiTheme="majorBidi" w:cstheme="majorBidi"/>
          <w:shd w:val="clear" w:color="auto" w:fill="FFFFFF"/>
        </w:rPr>
        <w:t>in that regard</w:t>
      </w:r>
      <w:r w:rsidR="00323B03">
        <w:rPr>
          <w:rFonts w:asciiTheme="majorBidi" w:hAnsiTheme="majorBidi" w:cstheme="majorBidi"/>
          <w:shd w:val="clear" w:color="auto" w:fill="FFFFFF"/>
        </w:rPr>
        <w:t>.</w:t>
      </w:r>
      <w:r w:rsidR="001643AF">
        <w:rPr>
          <w:rFonts w:asciiTheme="majorBidi" w:hAnsiTheme="majorBidi" w:cstheme="majorBidi"/>
          <w:shd w:val="clear" w:color="auto" w:fill="FFFFFF"/>
        </w:rPr>
        <w:t xml:space="preserve"> It also </w:t>
      </w:r>
      <w:r w:rsidR="000B3498">
        <w:rPr>
          <w:rFonts w:asciiTheme="majorBidi" w:hAnsiTheme="majorBidi" w:cstheme="majorBidi"/>
          <w:shd w:val="clear" w:color="auto" w:fill="FFFFFF"/>
        </w:rPr>
        <w:t>made</w:t>
      </w:r>
      <w:r w:rsidR="001643AF">
        <w:rPr>
          <w:rFonts w:asciiTheme="majorBidi" w:hAnsiTheme="majorBidi" w:cstheme="majorBidi"/>
          <w:shd w:val="clear" w:color="auto" w:fill="FFFFFF"/>
        </w:rPr>
        <w:t xml:space="preserve"> several recommendations in th</w:t>
      </w:r>
      <w:r w:rsidR="000B3498">
        <w:rPr>
          <w:rFonts w:asciiTheme="majorBidi" w:hAnsiTheme="majorBidi" w:cstheme="majorBidi"/>
          <w:shd w:val="clear" w:color="auto" w:fill="FFFFFF"/>
        </w:rPr>
        <w:t>at</w:t>
      </w:r>
      <w:r w:rsidR="001643AF">
        <w:rPr>
          <w:rFonts w:asciiTheme="majorBidi" w:hAnsiTheme="majorBidi" w:cstheme="majorBidi"/>
          <w:shd w:val="clear" w:color="auto" w:fill="FFFFFF"/>
        </w:rPr>
        <w:t xml:space="preserve"> regard for consideration by the </w:t>
      </w:r>
      <w:r w:rsidR="001643AF">
        <w:t>Conference of the Parties serving as the meeting of the Parties to the Protocol</w:t>
      </w:r>
      <w:r w:rsidR="001643AF">
        <w:rPr>
          <w:rFonts w:asciiTheme="majorBidi" w:hAnsiTheme="majorBidi" w:cstheme="majorBidi"/>
          <w:shd w:val="clear" w:color="auto" w:fill="FFFFFF"/>
        </w:rPr>
        <w:t xml:space="preserve">, at its twelfth meeting, as reflected in </w:t>
      </w:r>
      <w:r w:rsidR="000B3498">
        <w:rPr>
          <w:rFonts w:asciiTheme="majorBidi" w:hAnsiTheme="majorBidi" w:cstheme="majorBidi"/>
          <w:shd w:val="clear" w:color="auto" w:fill="FFFFFF"/>
        </w:rPr>
        <w:t>a</w:t>
      </w:r>
      <w:r w:rsidR="001643AF">
        <w:rPr>
          <w:rFonts w:asciiTheme="majorBidi" w:hAnsiTheme="majorBidi" w:cstheme="majorBidi"/>
          <w:shd w:val="clear" w:color="auto" w:fill="FFFFFF"/>
        </w:rPr>
        <w:t>nnex</w:t>
      </w:r>
      <w:r w:rsidR="000B3498">
        <w:rPr>
          <w:rFonts w:asciiTheme="majorBidi" w:hAnsiTheme="majorBidi" w:cstheme="majorBidi"/>
          <w:shd w:val="clear" w:color="auto" w:fill="FFFFFF"/>
        </w:rPr>
        <w:t> </w:t>
      </w:r>
      <w:r w:rsidR="001643AF">
        <w:rPr>
          <w:rFonts w:asciiTheme="majorBidi" w:hAnsiTheme="majorBidi" w:cstheme="majorBidi"/>
          <w:shd w:val="clear" w:color="auto" w:fill="FFFFFF"/>
        </w:rPr>
        <w:t>I below.</w:t>
      </w:r>
    </w:p>
    <w:p w14:paraId="496012D5" w14:textId="6F049045" w:rsidR="00A47CC6" w:rsidRDefault="001643AF">
      <w:pPr>
        <w:pStyle w:val="CBDNormalNumber"/>
        <w:numPr>
          <w:ilvl w:val="0"/>
          <w:numId w:val="6"/>
        </w:numPr>
        <w:tabs>
          <w:tab w:val="clear" w:pos="567"/>
          <w:tab w:val="clear" w:pos="1134"/>
          <w:tab w:val="left" w:pos="1350"/>
          <w:tab w:val="left" w:pos="1620"/>
        </w:tabs>
        <w:ind w:left="630" w:firstLine="0"/>
      </w:pPr>
      <w:r>
        <w:rPr>
          <w:rFonts w:asciiTheme="majorBidi" w:hAnsiTheme="majorBidi" w:cstheme="majorBidi"/>
          <w:shd w:val="clear" w:color="auto" w:fill="FFFFFF"/>
        </w:rPr>
        <w:t>At the same meeting, the Committee reviewed general issues of compliance</w:t>
      </w:r>
      <w:r w:rsidR="00BB1439">
        <w:t xml:space="preserve"> and</w:t>
      </w:r>
      <w:r>
        <w:t xml:space="preserve"> decided on several follow-up actions concerning compliance by Parties, focusing </w:t>
      </w:r>
      <w:proofErr w:type="gramStart"/>
      <w:r>
        <w:t>in particular on</w:t>
      </w:r>
      <w:proofErr w:type="gramEnd"/>
      <w:r>
        <w:t xml:space="preserve"> the obligation to take the necessary measures to implement the Protocol and the obligation to submit national reports. </w:t>
      </w:r>
    </w:p>
    <w:p w14:paraId="477CC874" w14:textId="375F3CBB" w:rsidR="00A47CC6" w:rsidRDefault="000F51E6">
      <w:pPr>
        <w:pStyle w:val="CBDNormalNumber"/>
        <w:numPr>
          <w:ilvl w:val="0"/>
          <w:numId w:val="6"/>
        </w:numPr>
        <w:tabs>
          <w:tab w:val="clear" w:pos="567"/>
          <w:tab w:val="clear" w:pos="1134"/>
          <w:tab w:val="left" w:pos="1350"/>
          <w:tab w:val="left" w:pos="1620"/>
        </w:tabs>
        <w:ind w:left="630" w:firstLine="0"/>
      </w:pPr>
      <w:r>
        <w:t>Also a</w:t>
      </w:r>
      <w:r w:rsidR="001643AF">
        <w:t xml:space="preserve">t its twentieth meeting, the Committee welcomed the fourth national reports that had been published since its nineteenth meeting. </w:t>
      </w:r>
      <w:r w:rsidR="00D2579F">
        <w:t>It</w:t>
      </w:r>
      <w:r w:rsidR="001643AF">
        <w:t xml:space="preserve"> </w:t>
      </w:r>
      <w:r w:rsidR="00D2579F">
        <w:t xml:space="preserve">was </w:t>
      </w:r>
      <w:r w:rsidR="001643AF">
        <w:t>concern</w:t>
      </w:r>
      <w:r w:rsidR="00D2579F">
        <w:t>ed</w:t>
      </w:r>
      <w:r w:rsidR="001643AF">
        <w:t>, however, that 12</w:t>
      </w:r>
      <w:r w:rsidR="00841FDB">
        <w:t> </w:t>
      </w:r>
      <w:r w:rsidR="001643AF">
        <w:t>Parties had still not submitted a fourth national report and agreed to consider th</w:t>
      </w:r>
      <w:r w:rsidR="00567D30">
        <w:t>o</w:t>
      </w:r>
      <w:r w:rsidR="001643AF">
        <w:t xml:space="preserve">se cases at its twenty-first meeting in the context of its review of compliance with the obligation to submit fifth national reports. </w:t>
      </w:r>
    </w:p>
    <w:p w14:paraId="08F2F287" w14:textId="642B6D70" w:rsidR="00A47CC6" w:rsidRDefault="00E565CE">
      <w:pPr>
        <w:pStyle w:val="CBDNormalNumber"/>
        <w:numPr>
          <w:ilvl w:val="0"/>
          <w:numId w:val="6"/>
        </w:numPr>
        <w:tabs>
          <w:tab w:val="clear" w:pos="567"/>
          <w:tab w:val="clear" w:pos="1134"/>
          <w:tab w:val="left" w:pos="1350"/>
          <w:tab w:val="left" w:pos="1620"/>
        </w:tabs>
        <w:ind w:left="630" w:firstLine="0"/>
      </w:pPr>
      <w:r>
        <w:t>Given that only</w:t>
      </w:r>
      <w:r w:rsidR="0084182C">
        <w:t xml:space="preserve"> fifth national</w:t>
      </w:r>
      <w:r>
        <w:t xml:space="preserve"> </w:t>
      </w:r>
      <w:r w:rsidR="008162FF">
        <w:t>reports submitted</w:t>
      </w:r>
      <w:r w:rsidR="00EF793C">
        <w:t xml:space="preserve"> by Parties that had published their fourth national reports through the Biosafety </w:t>
      </w:r>
      <w:proofErr w:type="gramStart"/>
      <w:r w:rsidR="00EF793C">
        <w:t>Clearing-House</w:t>
      </w:r>
      <w:proofErr w:type="gramEnd"/>
      <w:r w:rsidR="00EF793C">
        <w:t xml:space="preserve"> would be considered in </w:t>
      </w:r>
      <w:r w:rsidR="001643AF">
        <w:t xml:space="preserve">the fifth assessment and review of the effectiveness of the Protocol and the midterm evaluation of the implementation plan for the Protocol, the Committee decided to focus its follow-up efforts on </w:t>
      </w:r>
      <w:r w:rsidR="007676FC">
        <w:t xml:space="preserve">the </w:t>
      </w:r>
      <w:r w:rsidR="001643AF">
        <w:t>eight Parties that had submitted their fourth national reports offline only</w:t>
      </w:r>
      <w:r w:rsidR="00AB595A">
        <w:t>.</w:t>
      </w:r>
      <w:r w:rsidR="001643AF">
        <w:t xml:space="preserve"> </w:t>
      </w:r>
      <w:r w:rsidR="003A5AA3">
        <w:t xml:space="preserve">The Committee requested the Executive Secretary to write </w:t>
      </w:r>
      <w:r w:rsidR="00741A2D">
        <w:t xml:space="preserve">to the national focal points of the Parties concerned to request them </w:t>
      </w:r>
      <w:r w:rsidR="001643AF">
        <w:t xml:space="preserve">to publish their national reports through the Biosafety </w:t>
      </w:r>
      <w:proofErr w:type="gramStart"/>
      <w:r w:rsidR="001643AF">
        <w:t>Clearing-House</w:t>
      </w:r>
      <w:proofErr w:type="gramEnd"/>
      <w:r w:rsidR="00741A2D">
        <w:t>.</w:t>
      </w:r>
      <w:r w:rsidR="001643AF">
        <w:t xml:space="preserve"> </w:t>
      </w:r>
    </w:p>
    <w:p w14:paraId="58CFEDC0" w14:textId="05F2E4FE" w:rsidR="005B0A55" w:rsidRDefault="005B0A55" w:rsidP="00F95C52">
      <w:pPr>
        <w:pStyle w:val="CBDNormalNumber"/>
        <w:numPr>
          <w:ilvl w:val="0"/>
          <w:numId w:val="6"/>
        </w:numPr>
        <w:tabs>
          <w:tab w:val="clear" w:pos="567"/>
          <w:tab w:val="clear" w:pos="1134"/>
          <w:tab w:val="left" w:pos="1350"/>
          <w:tab w:val="left" w:pos="1620"/>
        </w:tabs>
        <w:ind w:left="630" w:firstLine="0"/>
        <w:rPr>
          <w:u w:color="000000"/>
        </w:rPr>
      </w:pPr>
      <w:r>
        <w:t>In its consideration of general issues of compliance</w:t>
      </w:r>
      <w:r w:rsidRPr="004F2FCC">
        <w:t xml:space="preserve"> </w:t>
      </w:r>
      <w:r>
        <w:t xml:space="preserve">at its twentieth and twenty-first meetings, the Committee considered the outcome of communications between the Secretariat and Parties that had </w:t>
      </w:r>
      <w:r>
        <w:rPr>
          <w:u w:color="000000"/>
        </w:rPr>
        <w:t xml:space="preserve">reported that national measures were fully or partially in place but that either had not published any measures through the Clearing-House or had published only a national biosafety </w:t>
      </w:r>
      <w:r w:rsidRPr="00F95C52">
        <w:t>framework</w:t>
      </w:r>
      <w:r>
        <w:rPr>
          <w:u w:color="000000"/>
        </w:rPr>
        <w:t xml:space="preserve"> developed under the United Nations Environment Programme project funded by the Global Environment Facility on the development of national biosafety frameworks. </w:t>
      </w:r>
      <w:r>
        <w:t xml:space="preserve">It welcomed the publication of such measures through the </w:t>
      </w:r>
      <w:proofErr w:type="gramStart"/>
      <w:r>
        <w:t>Clearing-House</w:t>
      </w:r>
      <w:proofErr w:type="gramEnd"/>
      <w:r>
        <w:t xml:space="preserve"> by several of the Parties concerned. At its twenty-first meeting, the Committee </w:t>
      </w:r>
      <w:r>
        <w:rPr>
          <w:rFonts w:eastAsia="Arial Unicode MS"/>
        </w:rPr>
        <w:t xml:space="preserve">requested the Secretariat to continue to follow up with the remaining Parties </w:t>
      </w:r>
      <w:r>
        <w:rPr>
          <w:u w:color="000000"/>
        </w:rPr>
        <w:t>to request that they upload the relevant measures as a matter of urgency.</w:t>
      </w:r>
    </w:p>
    <w:p w14:paraId="086D49C8" w14:textId="178139CC" w:rsidR="00A47CC6" w:rsidRDefault="00197341">
      <w:pPr>
        <w:pStyle w:val="CBDNormalNumber"/>
        <w:numPr>
          <w:ilvl w:val="0"/>
          <w:numId w:val="6"/>
        </w:numPr>
        <w:tabs>
          <w:tab w:val="clear" w:pos="567"/>
          <w:tab w:val="clear" w:pos="1134"/>
          <w:tab w:val="left" w:pos="1350"/>
          <w:tab w:val="left" w:pos="1620"/>
        </w:tabs>
        <w:ind w:left="630" w:firstLine="0"/>
      </w:pPr>
      <w:r>
        <w:t>In its consideration of general issues of compliance a</w:t>
      </w:r>
      <w:r w:rsidR="001643AF">
        <w:t xml:space="preserve">t its twenty-first meeting, the Committee considered an update on the status of the designation of focal points and the submission of fourth and fifth national reports. </w:t>
      </w:r>
    </w:p>
    <w:p w14:paraId="2DCB1F43" w14:textId="102C7364" w:rsidR="00A47CC6" w:rsidRDefault="001643AF">
      <w:pPr>
        <w:pStyle w:val="CBDNormalNumber"/>
        <w:numPr>
          <w:ilvl w:val="0"/>
          <w:numId w:val="6"/>
        </w:numPr>
        <w:tabs>
          <w:tab w:val="clear" w:pos="567"/>
          <w:tab w:val="clear" w:pos="1134"/>
          <w:tab w:val="left" w:pos="1350"/>
          <w:tab w:val="left" w:pos="1620"/>
        </w:tabs>
        <w:ind w:left="630" w:firstLine="0"/>
      </w:pPr>
      <w:r>
        <w:t xml:space="preserve">The Committee welcomed that all Parties that were able to do so had designated their Biosafety Clearing-House national focal </w:t>
      </w:r>
      <w:proofErr w:type="gramStart"/>
      <w:r>
        <w:t>points, but</w:t>
      </w:r>
      <w:proofErr w:type="gramEnd"/>
      <w:r>
        <w:t xml:space="preserve"> noted with concern that one Party had still not designated a national focal point for the Protocol. It also expressed concern that numerous P</w:t>
      </w:r>
      <w:r>
        <w:rPr>
          <w:rFonts w:eastAsia="Arial Unicode MS"/>
        </w:rPr>
        <w:t xml:space="preserve">arties had still not provided the information on their competent national authorities or their points of contact required under Article 17 for publication </w:t>
      </w:r>
      <w:r w:rsidR="008C6B39">
        <w:rPr>
          <w:rFonts w:eastAsia="Arial Unicode MS"/>
        </w:rPr>
        <w:t xml:space="preserve">through </w:t>
      </w:r>
      <w:r>
        <w:rPr>
          <w:rFonts w:eastAsia="Arial Unicode MS"/>
        </w:rPr>
        <w:t xml:space="preserve">the Biosafety </w:t>
      </w:r>
      <w:proofErr w:type="gramStart"/>
      <w:r>
        <w:rPr>
          <w:rFonts w:eastAsia="Arial Unicode MS"/>
        </w:rPr>
        <w:t>Clearing-House</w:t>
      </w:r>
      <w:proofErr w:type="gramEnd"/>
      <w:r>
        <w:rPr>
          <w:rFonts w:eastAsia="Arial Unicode MS"/>
        </w:rPr>
        <w:t xml:space="preserve">. The Committee requested the </w:t>
      </w:r>
      <w:r w:rsidR="009111E0">
        <w:rPr>
          <w:rFonts w:eastAsia="Arial Unicode MS"/>
        </w:rPr>
        <w:t xml:space="preserve">Executive Secretary </w:t>
      </w:r>
      <w:r>
        <w:rPr>
          <w:rFonts w:eastAsia="Arial Unicode MS"/>
        </w:rPr>
        <w:t xml:space="preserve">to follow up with the Parties concerned. </w:t>
      </w:r>
    </w:p>
    <w:p w14:paraId="6CB34324" w14:textId="37ED9E4F" w:rsidR="00A47CC6" w:rsidRDefault="001643AF">
      <w:pPr>
        <w:pStyle w:val="CBDNormalNumber"/>
        <w:numPr>
          <w:ilvl w:val="0"/>
          <w:numId w:val="6"/>
        </w:numPr>
        <w:tabs>
          <w:tab w:val="clear" w:pos="567"/>
          <w:tab w:val="clear" w:pos="1134"/>
          <w:tab w:val="left" w:pos="1350"/>
          <w:tab w:val="left" w:pos="1620"/>
        </w:tabs>
        <w:ind w:left="630" w:firstLine="0"/>
      </w:pPr>
      <w:r>
        <w:t xml:space="preserve">At the same meeting, the Committee noted with appreciation </w:t>
      </w:r>
      <w:r w:rsidR="003D6E3A">
        <w:t xml:space="preserve">that </w:t>
      </w:r>
      <w:r w:rsidR="006077F3">
        <w:t>119</w:t>
      </w:r>
      <w:r w:rsidR="009D5E7A">
        <w:t> </w:t>
      </w:r>
      <w:r>
        <w:t>Parties had submitted their fifth national reports by the reporting deadline of 28</w:t>
      </w:r>
      <w:r w:rsidR="0091114A">
        <w:t> </w:t>
      </w:r>
      <w:r>
        <w:t xml:space="preserve">February 2026. It welcomed the efforts by the Secretariat, </w:t>
      </w:r>
      <w:r w:rsidR="0091114A">
        <w:t xml:space="preserve">the United Nations Environment Programme </w:t>
      </w:r>
      <w:r>
        <w:t xml:space="preserve">and </w:t>
      </w:r>
      <w:r w:rsidR="0091114A">
        <w:t>the Global Environment Facility</w:t>
      </w:r>
      <w:r>
        <w:t xml:space="preserve"> to support Parties technically and financially with the preparation and publication of their national reports. </w:t>
      </w:r>
    </w:p>
    <w:p w14:paraId="2974B91D" w14:textId="3458E703" w:rsidR="00A47CC6" w:rsidRDefault="001643AF">
      <w:pPr>
        <w:pStyle w:val="CBDNormalNumber"/>
        <w:numPr>
          <w:ilvl w:val="0"/>
          <w:numId w:val="6"/>
        </w:numPr>
        <w:tabs>
          <w:tab w:val="clear" w:pos="567"/>
          <w:tab w:val="clear" w:pos="1134"/>
          <w:tab w:val="left" w:pos="1350"/>
          <w:tab w:val="left" w:pos="1620"/>
        </w:tabs>
        <w:ind w:left="630" w:firstLine="0"/>
      </w:pPr>
      <w:r>
        <w:lastRenderedPageBreak/>
        <w:t xml:space="preserve">The Committee discussed the experiences </w:t>
      </w:r>
      <w:r w:rsidR="00912D80">
        <w:t xml:space="preserve">related to </w:t>
      </w:r>
      <w:r>
        <w:t xml:space="preserve">the preparation of the fifth national report. </w:t>
      </w:r>
      <w:r w:rsidRPr="006A62DC">
        <w:t xml:space="preserve">It recognized the benefits of synchronized reporting for </w:t>
      </w:r>
      <w:r w:rsidR="00FE2373" w:rsidRPr="006A62DC">
        <w:t xml:space="preserve">the </w:t>
      </w:r>
      <w:r w:rsidRPr="006A62DC">
        <w:t xml:space="preserve">sharing </w:t>
      </w:r>
      <w:r w:rsidR="00FE2373" w:rsidRPr="006A62DC">
        <w:t xml:space="preserve">of </w:t>
      </w:r>
      <w:r w:rsidRPr="006A62DC">
        <w:t xml:space="preserve">information </w:t>
      </w:r>
      <w:r w:rsidR="00FE2373" w:rsidRPr="006A62DC">
        <w:t xml:space="preserve">under </w:t>
      </w:r>
      <w:r w:rsidRPr="006A62DC">
        <w:t>the Convention and its Protocols</w:t>
      </w:r>
      <w:r>
        <w:t xml:space="preserve">, while acknowledging that the submission of the different reports </w:t>
      </w:r>
      <w:r w:rsidR="009339B6">
        <w:t>on</w:t>
      </w:r>
      <w:r>
        <w:t xml:space="preserve"> the same date posed challenges for many Parties, particularly for Parties with limited human resource capacities. </w:t>
      </w:r>
    </w:p>
    <w:p w14:paraId="73FE0218" w14:textId="77777777" w:rsidR="00A47CC6" w:rsidRDefault="001643AF">
      <w:pPr>
        <w:pStyle w:val="CBDNormalNumber"/>
        <w:numPr>
          <w:ilvl w:val="0"/>
          <w:numId w:val="6"/>
        </w:numPr>
        <w:tabs>
          <w:tab w:val="clear" w:pos="567"/>
          <w:tab w:val="clear" w:pos="1134"/>
          <w:tab w:val="left" w:pos="1350"/>
          <w:tab w:val="left" w:pos="1620"/>
        </w:tabs>
        <w:ind w:left="630" w:firstLine="0"/>
      </w:pPr>
      <w:r>
        <w:t>The Committee considered ways in which support for future reporting could be strengthened, including by making support available further in advance of the reporting deadline.</w:t>
      </w:r>
    </w:p>
    <w:p w14:paraId="3F03CDFA" w14:textId="77777777" w:rsidR="00A47CC6" w:rsidRDefault="001643AF">
      <w:pPr>
        <w:pStyle w:val="CBDNormalNumber"/>
        <w:numPr>
          <w:ilvl w:val="0"/>
          <w:numId w:val="6"/>
        </w:numPr>
        <w:tabs>
          <w:tab w:val="clear" w:pos="567"/>
          <w:tab w:val="clear" w:pos="1134"/>
          <w:tab w:val="left" w:pos="1350"/>
          <w:tab w:val="left" w:pos="1620"/>
        </w:tabs>
        <w:ind w:left="630" w:firstLine="0"/>
      </w:pPr>
      <w:r>
        <w:t xml:space="preserve">The Committee agreed on follow-up actions with Parties that had not submitted a fifth national report. </w:t>
      </w:r>
    </w:p>
    <w:p w14:paraId="1A23AF8E" w14:textId="51A336A8" w:rsidR="00A47CC6" w:rsidRDefault="001643AF">
      <w:pPr>
        <w:pStyle w:val="CBDNormalNumber"/>
        <w:numPr>
          <w:ilvl w:val="0"/>
          <w:numId w:val="6"/>
        </w:numPr>
        <w:tabs>
          <w:tab w:val="clear" w:pos="567"/>
          <w:tab w:val="clear" w:pos="1134"/>
          <w:tab w:val="left" w:pos="1350"/>
          <w:tab w:val="left" w:pos="1620"/>
        </w:tabs>
        <w:ind w:left="630" w:firstLine="0"/>
      </w:pPr>
      <w:r>
        <w:t xml:space="preserve">The Committee welcomed the additional fourth national reports submitted and published through the Biosafety </w:t>
      </w:r>
      <w:proofErr w:type="gramStart"/>
      <w:r>
        <w:t>Clearing-House</w:t>
      </w:r>
      <w:proofErr w:type="gramEnd"/>
      <w:r>
        <w:t xml:space="preserve"> since its twentieth meeting, including several reports that had previously been submitted only offline, but expressed concern that five Parties had not yet submitted either their fourth or fifth national reports. It decided to follow up with the Parties concerned and agreed to </w:t>
      </w:r>
      <w:r>
        <w:rPr>
          <w:rFonts w:eastAsia="Arial Unicode MS"/>
        </w:rPr>
        <w:t xml:space="preserve">consider the matter </w:t>
      </w:r>
      <w:r w:rsidR="006232FF">
        <w:rPr>
          <w:rFonts w:eastAsia="Arial Unicode MS"/>
        </w:rPr>
        <w:t xml:space="preserve">at its twenty-second meeting </w:t>
      </w:r>
      <w:r>
        <w:rPr>
          <w:rFonts w:eastAsia="Arial Unicode MS"/>
        </w:rPr>
        <w:t>in the context of individual cases of non-compliance.</w:t>
      </w:r>
    </w:p>
    <w:p w14:paraId="60671DD2" w14:textId="7185F2E0" w:rsidR="00A47CC6" w:rsidRPr="00886DB3" w:rsidRDefault="00AB6CD2">
      <w:pPr>
        <w:pStyle w:val="CBDNormalNumber"/>
        <w:numPr>
          <w:ilvl w:val="0"/>
          <w:numId w:val="6"/>
        </w:numPr>
        <w:tabs>
          <w:tab w:val="clear" w:pos="567"/>
          <w:tab w:val="clear" w:pos="1134"/>
          <w:tab w:val="left" w:pos="1350"/>
          <w:tab w:val="left" w:pos="1620"/>
        </w:tabs>
        <w:ind w:left="630" w:firstLine="0"/>
      </w:pPr>
      <w:r>
        <w:t>A</w:t>
      </w:r>
      <w:r w:rsidRPr="00886DB3">
        <w:t>t its twentieth and twenty-first meetings,</w:t>
      </w:r>
      <w:r>
        <w:t xml:space="preserve"> i</w:t>
      </w:r>
      <w:r w:rsidR="001643AF" w:rsidRPr="00886DB3">
        <w:t>n the context of the review of individual cases of non-compliance, the Committee continued its consideration of non-compliance by individual Parties with the obligation to report (Article 33) and non-compliance with the obligation to take the necessary and appropriate legal, administrative and other measures to implement the obligations under the Protocol (Article</w:t>
      </w:r>
      <w:r w:rsidR="00633A45">
        <w:t> </w:t>
      </w:r>
      <w:r w:rsidR="001643AF" w:rsidRPr="00886DB3">
        <w:t>2, para</w:t>
      </w:r>
      <w:r w:rsidR="001E600B" w:rsidRPr="00886DB3">
        <w:t>.</w:t>
      </w:r>
      <w:r w:rsidR="00633A45">
        <w:t> </w:t>
      </w:r>
      <w:r w:rsidR="001643AF" w:rsidRPr="00886DB3">
        <w:t xml:space="preserve">1). </w:t>
      </w:r>
    </w:p>
    <w:p w14:paraId="2350530A" w14:textId="6F8CABB6" w:rsidR="00A47CC6" w:rsidRDefault="001643AF" w:rsidP="001A17CC">
      <w:pPr>
        <w:pStyle w:val="CBDNormalNumber"/>
        <w:numPr>
          <w:ilvl w:val="0"/>
          <w:numId w:val="6"/>
        </w:numPr>
        <w:tabs>
          <w:tab w:val="clear" w:pos="567"/>
          <w:tab w:val="clear" w:pos="1134"/>
          <w:tab w:val="left" w:pos="1350"/>
          <w:tab w:val="left" w:pos="1620"/>
        </w:tabs>
        <w:ind w:left="630" w:firstLine="0"/>
      </w:pPr>
      <w:r w:rsidRPr="001A17CC">
        <w:t xml:space="preserve">Further to decision </w:t>
      </w:r>
      <w:hyperlink r:id="rId18" w:history="1">
        <w:r w:rsidR="00A47CC6" w:rsidRPr="001A17CC">
          <w:rPr>
            <w:rStyle w:val="Hyperlink"/>
          </w:rPr>
          <w:t>CP-11/1 B</w:t>
        </w:r>
      </w:hyperlink>
      <w:r w:rsidRPr="001A17CC">
        <w:t>, in which three Parties had been cautioned for not having submitted their third or fourth national reports and had been requested to submit their fourth national reports as a matter of urgency, the Committee continued its efforts to support the three Parties</w:t>
      </w:r>
      <w:r w:rsidR="000929A1">
        <w:t>.</w:t>
      </w:r>
      <w:r w:rsidR="00FF22BC" w:rsidRPr="00F95C52">
        <w:t xml:space="preserve"> </w:t>
      </w:r>
      <w:r w:rsidRPr="001A17CC">
        <w:t xml:space="preserve">At its twentieth meeting, the Committee expressed its appreciation to the </w:t>
      </w:r>
      <w:r w:rsidR="00B42957" w:rsidRPr="001A17CC">
        <w:t xml:space="preserve">Global Environment Facility </w:t>
      </w:r>
      <w:r w:rsidRPr="001A17CC">
        <w:t xml:space="preserve">for the additional support </w:t>
      </w:r>
      <w:r w:rsidR="00B42957" w:rsidRPr="001A17CC">
        <w:t xml:space="preserve">that </w:t>
      </w:r>
      <w:r w:rsidRPr="001A17CC">
        <w:t>it had offered to the three Parties to facilitate the preparation of their fourth national reports</w:t>
      </w:r>
      <w:r w:rsidR="007D26C6">
        <w:t xml:space="preserve">. </w:t>
      </w:r>
      <w:r w:rsidRPr="001A17CC">
        <w:t xml:space="preserve">At its twenty-first meeting, the Committee welcomed the </w:t>
      </w:r>
      <w:r w:rsidR="003B098D" w:rsidRPr="001A17CC">
        <w:t xml:space="preserve">publication through the Biosafety </w:t>
      </w:r>
      <w:proofErr w:type="gramStart"/>
      <w:r w:rsidR="003B098D" w:rsidRPr="001A17CC">
        <w:t>Clearing-House</w:t>
      </w:r>
      <w:proofErr w:type="gramEnd"/>
      <w:r w:rsidR="003B098D" w:rsidRPr="001A17CC">
        <w:t xml:space="preserve"> </w:t>
      </w:r>
      <w:r w:rsidRPr="001A17CC">
        <w:t>of a fourth and fifth national report by two of the three Parties</w:t>
      </w:r>
      <w:r>
        <w:t xml:space="preserve">. It also welcomed </w:t>
      </w:r>
      <w:r w:rsidR="00A72D9E">
        <w:t xml:space="preserve">the fact </w:t>
      </w:r>
      <w:r>
        <w:t xml:space="preserve">that </w:t>
      </w:r>
      <w:r w:rsidR="00A72D9E">
        <w:t>those</w:t>
      </w:r>
      <w:r>
        <w:t xml:space="preserve"> two Parties had availed themselves of the financial support that had been offered by the </w:t>
      </w:r>
      <w:r w:rsidR="00054B5C">
        <w:t xml:space="preserve">Global Environment Facility </w:t>
      </w:r>
      <w:r>
        <w:t xml:space="preserve">for the development of their reports. The Committee </w:t>
      </w:r>
      <w:r w:rsidR="00442B0D">
        <w:t xml:space="preserve">made </w:t>
      </w:r>
      <w:r>
        <w:t xml:space="preserve">several recommendations </w:t>
      </w:r>
      <w:r w:rsidR="00C27067">
        <w:t xml:space="preserve">in that </w:t>
      </w:r>
      <w:r w:rsidR="00B009F0">
        <w:t>context</w:t>
      </w:r>
      <w:r w:rsidR="00C27067">
        <w:t xml:space="preserve"> for consideration by </w:t>
      </w:r>
      <w:r w:rsidR="00F03437" w:rsidRPr="00C53576">
        <w:rPr>
          <w:rFonts w:asciiTheme="majorBidi" w:hAnsiTheme="majorBidi" w:cstheme="majorBidi"/>
          <w:shd w:val="clear" w:color="auto" w:fill="FFFFFF"/>
        </w:rPr>
        <w:t xml:space="preserve">the </w:t>
      </w:r>
      <w:r w:rsidR="00F03437">
        <w:t>Conference of the Parties serving as the meeting of the Parties to the Protocol, at its</w:t>
      </w:r>
      <w:r>
        <w:t xml:space="preserve"> </w:t>
      </w:r>
      <w:r w:rsidRPr="00C53576">
        <w:rPr>
          <w:rFonts w:asciiTheme="majorBidi" w:hAnsiTheme="majorBidi" w:cstheme="majorBidi"/>
          <w:shd w:val="clear" w:color="auto" w:fill="FFFFFF"/>
        </w:rPr>
        <w:t>twelfth meeting</w:t>
      </w:r>
      <w:r w:rsidR="00C27067">
        <w:rPr>
          <w:rFonts w:asciiTheme="majorBidi" w:hAnsiTheme="majorBidi" w:cstheme="majorBidi"/>
          <w:shd w:val="clear" w:color="auto" w:fill="FFFFFF"/>
        </w:rPr>
        <w:t>.</w:t>
      </w:r>
    </w:p>
    <w:p w14:paraId="64BF775F" w14:textId="73240255" w:rsidR="00A47CC6" w:rsidRDefault="00AF4C8E">
      <w:pPr>
        <w:pStyle w:val="CBDNormalNumber"/>
        <w:numPr>
          <w:ilvl w:val="0"/>
          <w:numId w:val="6"/>
        </w:numPr>
        <w:tabs>
          <w:tab w:val="clear" w:pos="567"/>
          <w:tab w:val="clear" w:pos="1134"/>
          <w:tab w:val="left" w:pos="1350"/>
          <w:tab w:val="left" w:pos="1620"/>
        </w:tabs>
        <w:ind w:left="630" w:firstLine="0"/>
      </w:pPr>
      <w:r>
        <w:t>At the same meeting, t</w:t>
      </w:r>
      <w:r w:rsidR="001643AF">
        <w:t xml:space="preserve">he Committee welcomed the recent communications between the Secretariat and </w:t>
      </w:r>
      <w:r w:rsidR="001643AF" w:rsidRPr="001A17CC">
        <w:t>the one remaining Party</w:t>
      </w:r>
      <w:r w:rsidR="00A26E4C">
        <w:t xml:space="preserve"> that had been cautioned </w:t>
      </w:r>
      <w:r w:rsidR="000D6E6D">
        <w:t>in</w:t>
      </w:r>
      <w:r w:rsidR="00A26E4C">
        <w:t xml:space="preserve"> decision </w:t>
      </w:r>
      <w:hyperlink r:id="rId19" w:history="1">
        <w:r w:rsidR="00A26E4C" w:rsidRPr="001E600B">
          <w:rPr>
            <w:rStyle w:val="Hyperlink"/>
          </w:rPr>
          <w:t>CP-11/1</w:t>
        </w:r>
        <w:r w:rsidR="00F03437">
          <w:rPr>
            <w:rStyle w:val="Hyperlink"/>
          </w:rPr>
          <w:t> </w:t>
        </w:r>
        <w:r w:rsidR="00A26E4C" w:rsidRPr="001E600B">
          <w:rPr>
            <w:rStyle w:val="Hyperlink"/>
          </w:rPr>
          <w:t>B</w:t>
        </w:r>
      </w:hyperlink>
      <w:r w:rsidR="001643AF">
        <w:t xml:space="preserve">. It agreed to recommendations should the Party not submit its fifth national report prior to the twelfth meeting of the Conference of the Parties serving as the meeting of the Parties to the Protocol. </w:t>
      </w:r>
    </w:p>
    <w:p w14:paraId="750C0DAA" w14:textId="3A4C0E5C" w:rsidR="00A47CC6" w:rsidRPr="006C5DB1" w:rsidRDefault="00AA3C61">
      <w:pPr>
        <w:pStyle w:val="CBDNormalNumber"/>
        <w:numPr>
          <w:ilvl w:val="0"/>
          <w:numId w:val="6"/>
        </w:numPr>
        <w:tabs>
          <w:tab w:val="clear" w:pos="567"/>
          <w:tab w:val="clear" w:pos="1134"/>
          <w:tab w:val="left" w:pos="1350"/>
          <w:tab w:val="left" w:pos="1620"/>
        </w:tabs>
        <w:ind w:left="630" w:firstLine="0"/>
      </w:pPr>
      <w:r w:rsidRPr="00F95C52">
        <w:t xml:space="preserve">Over </w:t>
      </w:r>
      <w:r w:rsidR="001643AF" w:rsidRPr="00326E3D">
        <w:t xml:space="preserve">its twentieth and twenty-first meetings, the Committee considered </w:t>
      </w:r>
      <w:r w:rsidR="005C025C" w:rsidRPr="00F95C52">
        <w:t>7 </w:t>
      </w:r>
      <w:r w:rsidRPr="00F95C52">
        <w:t>new</w:t>
      </w:r>
      <w:r w:rsidRPr="00326E3D">
        <w:t xml:space="preserve"> </w:t>
      </w:r>
      <w:r w:rsidR="001643AF" w:rsidRPr="00326E3D">
        <w:t xml:space="preserve">compliance action plans, bringing the total number of plans under </w:t>
      </w:r>
      <w:r w:rsidRPr="00F95C52">
        <w:t xml:space="preserve">its </w:t>
      </w:r>
      <w:r w:rsidR="001643AF" w:rsidRPr="00326E3D">
        <w:t xml:space="preserve">active consideration to </w:t>
      </w:r>
      <w:r w:rsidR="008609BC" w:rsidRPr="00F95C52">
        <w:t>18</w:t>
      </w:r>
      <w:r w:rsidR="001643AF" w:rsidRPr="00326E3D">
        <w:t>. The Committee discussed progress with each plan and decided on follow up specific to each individual case.</w:t>
      </w:r>
    </w:p>
    <w:p w14:paraId="5C5642BE" w14:textId="0434E5B6" w:rsidR="00A47CC6" w:rsidRDefault="001643AF">
      <w:pPr>
        <w:pStyle w:val="CBDNormalNumber"/>
        <w:numPr>
          <w:ilvl w:val="0"/>
          <w:numId w:val="6"/>
        </w:numPr>
        <w:tabs>
          <w:tab w:val="clear" w:pos="567"/>
          <w:tab w:val="clear" w:pos="1134"/>
          <w:tab w:val="left" w:pos="1350"/>
          <w:tab w:val="left" w:pos="1620"/>
        </w:tabs>
        <w:ind w:left="630" w:firstLine="0"/>
        <w:rPr>
          <w:i/>
          <w:iCs/>
        </w:rPr>
      </w:pPr>
      <w:r>
        <w:t>At its twenty-first meeting, the Committee engaged in informal online exchanges with three Parties with compliance action plans under active consideration to discuss progress made and any challenges with respect to the implementation of their plans</w:t>
      </w:r>
      <w:r>
        <w:rPr>
          <w:i/>
          <w:iCs/>
        </w:rPr>
        <w:t>.</w:t>
      </w:r>
      <w:r>
        <w:t xml:space="preserve"> The Committee was of the view that the exchanges had been useful </w:t>
      </w:r>
      <w:r w:rsidR="00EF654D">
        <w:t xml:space="preserve">in addition to the regular follow-up undertaken on behalf of the Committee </w:t>
      </w:r>
      <w:r>
        <w:t xml:space="preserve">and were an efficient and effective </w:t>
      </w:r>
      <w:r w:rsidR="00FC0BC0">
        <w:t xml:space="preserve">means </w:t>
      </w:r>
      <w:r>
        <w:t>of communicating with Parties on progress made and challenges face</w:t>
      </w:r>
      <w:r w:rsidR="008B234B">
        <w:t>d</w:t>
      </w:r>
      <w:r>
        <w:t xml:space="preserve"> in that regard.</w:t>
      </w:r>
    </w:p>
    <w:p w14:paraId="002FB1C7" w14:textId="1CC5EE1F" w:rsidR="00A47CC6" w:rsidRDefault="001643AF">
      <w:pPr>
        <w:pStyle w:val="CBDNormalNumber"/>
        <w:numPr>
          <w:ilvl w:val="0"/>
          <w:numId w:val="6"/>
        </w:numPr>
        <w:tabs>
          <w:tab w:val="clear" w:pos="567"/>
          <w:tab w:val="clear" w:pos="1134"/>
          <w:tab w:val="left" w:pos="1350"/>
          <w:tab w:val="left" w:pos="1620"/>
        </w:tabs>
        <w:ind w:left="630" w:firstLine="0"/>
      </w:pPr>
      <w:r>
        <w:t xml:space="preserve">The Committee noted with regret that three other Parties had not replied to </w:t>
      </w:r>
      <w:r w:rsidR="00FD07FA">
        <w:t xml:space="preserve">the </w:t>
      </w:r>
      <w:r>
        <w:t xml:space="preserve">invitation </w:t>
      </w:r>
      <w:r w:rsidR="00FD07FA">
        <w:t xml:space="preserve">from the Chair of the Committee </w:t>
      </w:r>
      <w:r>
        <w:t xml:space="preserve">to participate in an informal exchange at its twenty-first </w:t>
      </w:r>
      <w:r w:rsidR="00EB6A16">
        <w:t>meeting and</w:t>
      </w:r>
      <w:r>
        <w:t xml:space="preserve"> agreed to invite the Parties to an online exchange with the Committee </w:t>
      </w:r>
      <w:r w:rsidR="00F05B6F">
        <w:t xml:space="preserve">to be held </w:t>
      </w:r>
      <w:r>
        <w:t xml:space="preserve">after the twelfth meeting of the Conference of the Parties serving as the meeting of the Parties to the Protocol. </w:t>
      </w:r>
    </w:p>
    <w:p w14:paraId="5FBA4DC1" w14:textId="02DB0DC4" w:rsidR="00A47CC6" w:rsidRDefault="007C56FC">
      <w:pPr>
        <w:pStyle w:val="CBDNormalNumber"/>
        <w:numPr>
          <w:ilvl w:val="0"/>
          <w:numId w:val="6"/>
        </w:numPr>
        <w:tabs>
          <w:tab w:val="clear" w:pos="567"/>
          <w:tab w:val="clear" w:pos="1134"/>
          <w:tab w:val="left" w:pos="1350"/>
          <w:tab w:val="left" w:pos="1620"/>
        </w:tabs>
        <w:ind w:left="630" w:firstLine="0"/>
      </w:pPr>
      <w:r>
        <w:lastRenderedPageBreak/>
        <w:t>At the same meeting, t</w:t>
      </w:r>
      <w:r w:rsidR="001643AF">
        <w:t>he Committee expressed concern that</w:t>
      </w:r>
      <w:r w:rsidR="00863D1C">
        <w:t>,</w:t>
      </w:r>
      <w:r w:rsidR="001643AF">
        <w:t xml:space="preserve"> </w:t>
      </w:r>
      <w:r w:rsidR="00863D1C">
        <w:t xml:space="preserve">on multiple occasions, </w:t>
      </w:r>
      <w:r w:rsidR="001643AF">
        <w:t xml:space="preserve">six Parties had not responded to the requests by the Committee to prepare compliance action plans. The Committee decided to invite the national focal points of the Parties to online exchanges during its twenty-second meeting </w:t>
      </w:r>
      <w:r w:rsidR="008F640E">
        <w:t>as an alternative means of encouraging them to prepare their compliance action plans</w:t>
      </w:r>
      <w:r w:rsidR="001643AF">
        <w:t>.</w:t>
      </w:r>
    </w:p>
    <w:p w14:paraId="23B7667E" w14:textId="75415026" w:rsidR="00A47CC6" w:rsidRDefault="007C56FC">
      <w:pPr>
        <w:pStyle w:val="CBDNormalNumber"/>
        <w:numPr>
          <w:ilvl w:val="0"/>
          <w:numId w:val="6"/>
        </w:numPr>
        <w:tabs>
          <w:tab w:val="clear" w:pos="567"/>
          <w:tab w:val="clear" w:pos="1134"/>
          <w:tab w:val="left" w:pos="1350"/>
          <w:tab w:val="left" w:pos="1620"/>
        </w:tabs>
        <w:ind w:left="630" w:firstLine="0"/>
      </w:pPr>
      <w:r>
        <w:t>Also a</w:t>
      </w:r>
      <w:r w:rsidR="001643AF">
        <w:t xml:space="preserve">t its twenty-first meeting, the Committee </w:t>
      </w:r>
      <w:r w:rsidR="001643AF">
        <w:rPr>
          <w:kern w:val="22"/>
        </w:rPr>
        <w:t xml:space="preserve">provided input to the fifth assessment and review of the Protocol and the midterm evaluation of the implementation plan and capacity-building action plan for the Cartagena Protocol. </w:t>
      </w:r>
      <w:r w:rsidR="001643AF">
        <w:t xml:space="preserve">The Committee reviewed </w:t>
      </w:r>
      <w:r w:rsidR="00481382">
        <w:t>g</w:t>
      </w:r>
      <w:r w:rsidR="001643AF">
        <w:t>oal</w:t>
      </w:r>
      <w:r w:rsidR="00481382">
        <w:t> </w:t>
      </w:r>
      <w:r w:rsidR="001643AF">
        <w:t>A.4</w:t>
      </w:r>
      <w:r w:rsidR="00481382">
        <w:t>,</w:t>
      </w:r>
      <w:r w:rsidR="001643AF">
        <w:t xml:space="preserve"> as well as information provided under related </w:t>
      </w:r>
      <w:r w:rsidR="00481382">
        <w:t>g</w:t>
      </w:r>
      <w:r w:rsidR="001643AF">
        <w:t>oals with particular emphasis on compliance aspects and its work in th</w:t>
      </w:r>
      <w:r w:rsidR="004A7EEA">
        <w:t>at</w:t>
      </w:r>
      <w:r w:rsidR="001643AF">
        <w:t xml:space="preserve"> regard.</w:t>
      </w:r>
    </w:p>
    <w:p w14:paraId="5E033D50" w14:textId="11E2E594" w:rsidR="00A47CC6" w:rsidRDefault="001643AF">
      <w:pPr>
        <w:pStyle w:val="CBDNormalNumber"/>
        <w:numPr>
          <w:ilvl w:val="0"/>
          <w:numId w:val="6"/>
        </w:numPr>
        <w:tabs>
          <w:tab w:val="clear" w:pos="567"/>
          <w:tab w:val="clear" w:pos="1134"/>
          <w:tab w:val="left" w:pos="1350"/>
          <w:tab w:val="left" w:pos="1620"/>
        </w:tabs>
        <w:ind w:left="630" w:firstLine="0"/>
      </w:pPr>
      <w:r>
        <w:t xml:space="preserve">The Committee agreed on its contribution to the fifth assessment and review of the Protocol and midterm evaluation of the implementation plan and the capacity-building action plan for the Protocol as contained in </w:t>
      </w:r>
      <w:r w:rsidR="00A11EF9">
        <w:t>a</w:t>
      </w:r>
      <w:r>
        <w:t>nnex</w:t>
      </w:r>
      <w:r w:rsidR="007C65DE">
        <w:t> </w:t>
      </w:r>
      <w:r>
        <w:t>II.</w:t>
      </w:r>
    </w:p>
    <w:p w14:paraId="44AA14D7" w14:textId="77777777" w:rsidR="00A47CC6" w:rsidRDefault="00A47CC6">
      <w:pPr>
        <w:tabs>
          <w:tab w:val="clear" w:pos="567"/>
          <w:tab w:val="clear" w:pos="1134"/>
          <w:tab w:val="clear" w:pos="1701"/>
          <w:tab w:val="clear" w:pos="2268"/>
        </w:tabs>
        <w:ind w:left="540"/>
        <w:jc w:val="left"/>
        <w:rPr>
          <w:snapToGrid w:val="0"/>
          <w:szCs w:val="18"/>
        </w:rPr>
      </w:pPr>
    </w:p>
    <w:p w14:paraId="656ADBEC" w14:textId="77777777" w:rsidR="00A47CC6" w:rsidRDefault="00A47CC6">
      <w:pPr>
        <w:tabs>
          <w:tab w:val="clear" w:pos="567"/>
          <w:tab w:val="clear" w:pos="1134"/>
          <w:tab w:val="clear" w:pos="1701"/>
          <w:tab w:val="clear" w:pos="2268"/>
        </w:tabs>
        <w:jc w:val="left"/>
        <w:rPr>
          <w:snapToGrid w:val="0"/>
          <w:szCs w:val="18"/>
        </w:rPr>
        <w:sectPr w:rsidR="00A47CC6">
          <w:headerReference w:type="even" r:id="rId20"/>
          <w:headerReference w:type="default" r:id="rId21"/>
          <w:footerReference w:type="even" r:id="rId22"/>
          <w:footerReference w:type="default" r:id="rId23"/>
          <w:headerReference w:type="first" r:id="rId24"/>
          <w:pgSz w:w="12240" w:h="15840"/>
          <w:pgMar w:top="567" w:right="1440" w:bottom="1134" w:left="1440" w:header="709" w:footer="709" w:gutter="0"/>
          <w:cols w:space="708"/>
          <w:titlePg/>
          <w:docGrid w:linePitch="360"/>
        </w:sectPr>
      </w:pPr>
    </w:p>
    <w:p w14:paraId="1FC03438" w14:textId="77777777" w:rsidR="00A47CC6" w:rsidRDefault="001643AF" w:rsidP="00E76CF9">
      <w:pPr>
        <w:pStyle w:val="CBDAnnex"/>
      </w:pPr>
      <w:r>
        <w:lastRenderedPageBreak/>
        <w:t>Annex I</w:t>
      </w:r>
    </w:p>
    <w:p w14:paraId="26172907" w14:textId="4738FF91" w:rsidR="00A47CC6" w:rsidRDefault="001643AF">
      <w:pPr>
        <w:pStyle w:val="CBDTitle"/>
        <w:rPr>
          <w:lang w:bidi="ar-SY"/>
        </w:rPr>
      </w:pPr>
      <w:r>
        <w:rPr>
          <w:lang w:bidi="ar-SY"/>
        </w:rPr>
        <w:t xml:space="preserve">Recommendations of the Compliance Committee </w:t>
      </w:r>
      <w:r w:rsidR="00231717">
        <w:rPr>
          <w:lang w:bidi="ar-SY"/>
        </w:rPr>
        <w:t xml:space="preserve">under the Cartagena Protocol on Biosafety </w:t>
      </w:r>
      <w:r>
        <w:rPr>
          <w:lang w:bidi="ar-SY"/>
        </w:rPr>
        <w:t>to the Conference of the Parties serving as the meeting of the Parties to the Cartagena Protocol at its twelfth meeting</w:t>
      </w:r>
      <w:r>
        <w:rPr>
          <w:rStyle w:val="FootnoteReference"/>
          <w:lang w:bidi="ar-SY"/>
        </w:rPr>
        <w:footnoteReference w:customMarkFollows="1" w:id="3"/>
        <w:sym w:font="Symbol" w:char="F02A"/>
      </w:r>
      <w:r>
        <w:rPr>
          <w:lang w:bidi="ar-SY"/>
        </w:rPr>
        <w:t xml:space="preserve"> </w:t>
      </w:r>
    </w:p>
    <w:p w14:paraId="6924EA4E" w14:textId="77777777" w:rsidR="00A47CC6" w:rsidRDefault="001643AF">
      <w:pPr>
        <w:pStyle w:val="CBDH1"/>
      </w:pPr>
      <w:r>
        <w:t>I.</w:t>
      </w:r>
      <w:r>
        <w:tab/>
        <w:t>Compliance</w:t>
      </w:r>
    </w:p>
    <w:p w14:paraId="252D855E" w14:textId="70B13E7B" w:rsidR="00A47CC6" w:rsidRDefault="001643AF">
      <w:pPr>
        <w:pStyle w:val="CBDRecommendText"/>
        <w:tabs>
          <w:tab w:val="clear" w:pos="567"/>
        </w:tabs>
      </w:pPr>
      <w:r>
        <w:t>1.</w:t>
      </w:r>
      <w:r>
        <w:tab/>
        <w:t xml:space="preserve">The Compliance Committee </w:t>
      </w:r>
      <w:r w:rsidR="00C74538" w:rsidRPr="006978B5">
        <w:t xml:space="preserve">under the Cartagena Protocol on Biosafety </w:t>
      </w:r>
      <w:r>
        <w:t>recommends that, at its twelfth meeting, the Conference of the Parties serving as the meeting of the Parties to the Protocol adopt a decision along the following lines:</w:t>
      </w:r>
    </w:p>
    <w:p w14:paraId="4F9C000B" w14:textId="5AB6E899" w:rsidR="00A47CC6" w:rsidRDefault="001643AF">
      <w:pPr>
        <w:pStyle w:val="CBDRecommendText"/>
        <w:ind w:left="576" w:firstLine="603"/>
        <w:rPr>
          <w:i/>
          <w:iCs/>
          <w:lang w:bidi="ar-SY"/>
        </w:rPr>
      </w:pPr>
      <w:r>
        <w:rPr>
          <w:i/>
          <w:iCs/>
          <w:lang w:bidi="ar-SY"/>
        </w:rPr>
        <w:t>The Conference of the Parties serving as the meeting of the Parties to the Cartagena Protocol</w:t>
      </w:r>
    </w:p>
    <w:p w14:paraId="6CA2AE0B" w14:textId="665BE8B5" w:rsidR="00A47CC6" w:rsidRPr="001B753D" w:rsidRDefault="001643AF">
      <w:pPr>
        <w:pStyle w:val="CBDDesicionText"/>
        <w:numPr>
          <w:ilvl w:val="0"/>
          <w:numId w:val="7"/>
        </w:numPr>
        <w:tabs>
          <w:tab w:val="clear" w:pos="567"/>
          <w:tab w:val="clear" w:pos="1701"/>
          <w:tab w:val="clear" w:pos="2268"/>
          <w:tab w:val="left" w:pos="630"/>
          <w:tab w:val="left" w:pos="1800"/>
        </w:tabs>
        <w:ind w:left="630" w:firstLine="540"/>
      </w:pPr>
      <w:r w:rsidRPr="00DD5B59">
        <w:rPr>
          <w:i/>
          <w:iCs/>
        </w:rPr>
        <w:t>Notes</w:t>
      </w:r>
      <w:r w:rsidRPr="00DD5B59">
        <w:t xml:space="preserve"> that </w:t>
      </w:r>
      <w:proofErr w:type="gramStart"/>
      <w:r w:rsidRPr="00DD5B59">
        <w:t>a number of</w:t>
      </w:r>
      <w:proofErr w:type="gramEnd"/>
      <w:r w:rsidRPr="00DD5B59">
        <w:t xml:space="preserve"> Parties have not designated the </w:t>
      </w:r>
      <w:r w:rsidR="006C5DB1">
        <w:t xml:space="preserve">national focal points, </w:t>
      </w:r>
      <w:r w:rsidR="00965935">
        <w:t xml:space="preserve">competent national authorities or </w:t>
      </w:r>
      <w:r w:rsidR="005B7809">
        <w:t>contact points</w:t>
      </w:r>
      <w:r w:rsidR="00895C2B">
        <w:t xml:space="preserve"> </w:t>
      </w:r>
      <w:r w:rsidRPr="00DD5B59">
        <w:t xml:space="preserve">required under the </w:t>
      </w:r>
      <w:r w:rsidR="007E6F56" w:rsidRPr="00DD5B59">
        <w:t xml:space="preserve">Cartagena </w:t>
      </w:r>
      <w:r w:rsidRPr="00DD5B59">
        <w:t>Protocol</w:t>
      </w:r>
      <w:r w:rsidR="007E6F56" w:rsidRPr="00DD5B59">
        <w:t xml:space="preserve"> on Biosafety</w:t>
      </w:r>
      <w:r w:rsidRPr="00DD5B59">
        <w:t>;</w:t>
      </w:r>
      <w:r w:rsidR="00C40C3B" w:rsidRPr="00494985">
        <w:rPr>
          <w:rStyle w:val="FootnoteReference"/>
        </w:rPr>
        <w:footnoteReference w:id="4"/>
      </w:r>
      <w:r w:rsidRPr="001B753D">
        <w:t xml:space="preserve"> </w:t>
      </w:r>
    </w:p>
    <w:p w14:paraId="16FF899D" w14:textId="3BB38BFD" w:rsidR="00A47CC6" w:rsidRPr="00F444BC" w:rsidRDefault="001643AF">
      <w:pPr>
        <w:pStyle w:val="CBDDesicionText"/>
        <w:numPr>
          <w:ilvl w:val="0"/>
          <w:numId w:val="7"/>
        </w:numPr>
        <w:tabs>
          <w:tab w:val="clear" w:pos="567"/>
          <w:tab w:val="clear" w:pos="1701"/>
          <w:tab w:val="clear" w:pos="2268"/>
          <w:tab w:val="left" w:pos="630"/>
          <w:tab w:val="left" w:pos="1800"/>
        </w:tabs>
        <w:ind w:left="630" w:firstLine="540"/>
      </w:pPr>
      <w:r w:rsidRPr="001B753D">
        <w:rPr>
          <w:i/>
          <w:iCs/>
        </w:rPr>
        <w:t xml:space="preserve">Reminds </w:t>
      </w:r>
      <w:r w:rsidRPr="001B753D">
        <w:t xml:space="preserve">Parties of their obligation to designate their national focal points for the </w:t>
      </w:r>
      <w:r w:rsidR="00A96784" w:rsidRPr="001B753D">
        <w:t xml:space="preserve">Cartagena </w:t>
      </w:r>
      <w:r w:rsidRPr="001B753D">
        <w:t xml:space="preserve">Protocol, in compliance with Article 19 of the Protocol, and </w:t>
      </w:r>
      <w:r w:rsidR="002133BC" w:rsidRPr="001B753D">
        <w:t xml:space="preserve">of the need to designate </w:t>
      </w:r>
      <w:r w:rsidRPr="001B753D">
        <w:t>their Biosafety Clearing-House national focal points, in accordance with the modalities of operation of the Biosafety Clearing-House</w:t>
      </w:r>
      <w:r w:rsidR="00A80C71" w:rsidRPr="001B753D">
        <w:t>, and to keep the information up</w:t>
      </w:r>
      <w:r w:rsidR="00B47469" w:rsidRPr="001B753D">
        <w:t xml:space="preserve"> </w:t>
      </w:r>
      <w:r w:rsidR="00A80C71" w:rsidRPr="001B753D">
        <w:t>to</w:t>
      </w:r>
      <w:r w:rsidR="00B47469" w:rsidRPr="001B753D">
        <w:t xml:space="preserve"> </w:t>
      </w:r>
      <w:r w:rsidR="00A80C71" w:rsidRPr="001B753D">
        <w:t>date</w:t>
      </w:r>
      <w:r w:rsidRPr="001B753D">
        <w:t>;</w:t>
      </w:r>
      <w:r w:rsidRPr="00F52FFC">
        <w:rPr>
          <w:rStyle w:val="FootnoteReference"/>
        </w:rPr>
        <w:footnoteReference w:id="5"/>
      </w:r>
      <w:r w:rsidRPr="00F444BC">
        <w:t xml:space="preserve"> </w:t>
      </w:r>
    </w:p>
    <w:p w14:paraId="3EF63EE1" w14:textId="29378502" w:rsidR="00A47CC6" w:rsidRPr="00F444BC" w:rsidRDefault="00364B95">
      <w:pPr>
        <w:pStyle w:val="CBDDesicionText"/>
        <w:numPr>
          <w:ilvl w:val="0"/>
          <w:numId w:val="7"/>
        </w:numPr>
        <w:tabs>
          <w:tab w:val="clear" w:pos="567"/>
          <w:tab w:val="clear" w:pos="1701"/>
          <w:tab w:val="clear" w:pos="2268"/>
          <w:tab w:val="left" w:pos="630"/>
          <w:tab w:val="left" w:pos="1800"/>
        </w:tabs>
        <w:ind w:left="630" w:firstLine="540"/>
      </w:pPr>
      <w:r w:rsidRPr="00F444BC">
        <w:rPr>
          <w:i/>
          <w:iCs/>
        </w:rPr>
        <w:t>Also r</w:t>
      </w:r>
      <w:r w:rsidR="001643AF" w:rsidRPr="00F444BC">
        <w:rPr>
          <w:i/>
          <w:iCs/>
        </w:rPr>
        <w:t>eminds</w:t>
      </w:r>
      <w:r w:rsidR="001643AF" w:rsidRPr="00F444BC">
        <w:t xml:space="preserve"> Parties of their obligation to make available through the Biosafety </w:t>
      </w:r>
      <w:proofErr w:type="gramStart"/>
      <w:r w:rsidR="001643AF" w:rsidRPr="00F444BC">
        <w:t>Clearing-House</w:t>
      </w:r>
      <w:proofErr w:type="gramEnd"/>
      <w:r w:rsidR="001643AF" w:rsidRPr="00F444BC">
        <w:t xml:space="preserve"> the </w:t>
      </w:r>
      <w:bookmarkStart w:id="1" w:name="_Hlk200722798"/>
      <w:r w:rsidR="001643AF" w:rsidRPr="00F444BC">
        <w:t xml:space="preserve">contact details of one or more </w:t>
      </w:r>
      <w:bookmarkStart w:id="2" w:name="_Hlk200722925"/>
      <w:r w:rsidR="001643AF" w:rsidRPr="00F444BC">
        <w:t>competent national authorities</w:t>
      </w:r>
      <w:bookmarkEnd w:id="1"/>
      <w:bookmarkEnd w:id="2"/>
      <w:r w:rsidR="001643AF" w:rsidRPr="00F444BC">
        <w:t xml:space="preserve">, in accordance with Article 19 of the </w:t>
      </w:r>
      <w:r w:rsidR="00A96784" w:rsidRPr="00F444BC">
        <w:t xml:space="preserve">Cartagena </w:t>
      </w:r>
      <w:r w:rsidR="001643AF" w:rsidRPr="00F444BC">
        <w:t>Protocol</w:t>
      </w:r>
      <w:r w:rsidR="00462FA8" w:rsidRPr="00F444BC">
        <w:t xml:space="preserve">, </w:t>
      </w:r>
      <w:r w:rsidR="006A3147" w:rsidRPr="00F444BC">
        <w:t>and urge</w:t>
      </w:r>
      <w:r w:rsidR="00B950A7" w:rsidRPr="00F444BC">
        <w:t>s</w:t>
      </w:r>
      <w:r w:rsidR="006A3147" w:rsidRPr="00F444BC">
        <w:t xml:space="preserve"> those Parties that have not yet done so to </w:t>
      </w:r>
      <w:r w:rsidR="000C542B" w:rsidRPr="00F444BC">
        <w:t>make that information available</w:t>
      </w:r>
      <w:r w:rsidR="00FB2BC4" w:rsidRPr="00F444BC">
        <w:t>,</w:t>
      </w:r>
      <w:r w:rsidR="000C542B" w:rsidRPr="00F444BC">
        <w:t xml:space="preserve"> </w:t>
      </w:r>
      <w:r w:rsidR="006A3147" w:rsidRPr="00F444BC">
        <w:t xml:space="preserve">as </w:t>
      </w:r>
      <w:r w:rsidR="00842BEF" w:rsidRPr="00F444BC">
        <w:t>a matter of priority</w:t>
      </w:r>
      <w:r w:rsidR="001643AF" w:rsidRPr="00F444BC">
        <w:t>;</w:t>
      </w:r>
    </w:p>
    <w:p w14:paraId="3956D214" w14:textId="51F66B47" w:rsidR="00A47CC6" w:rsidRPr="006B2178" w:rsidRDefault="00364B95">
      <w:pPr>
        <w:pStyle w:val="CBDDesicionText"/>
        <w:numPr>
          <w:ilvl w:val="0"/>
          <w:numId w:val="7"/>
        </w:numPr>
        <w:tabs>
          <w:tab w:val="clear" w:pos="567"/>
          <w:tab w:val="clear" w:pos="1701"/>
          <w:tab w:val="clear" w:pos="2268"/>
          <w:tab w:val="left" w:pos="630"/>
          <w:tab w:val="left" w:pos="1800"/>
        </w:tabs>
        <w:ind w:left="630" w:firstLine="540"/>
      </w:pPr>
      <w:r w:rsidRPr="00F444BC">
        <w:rPr>
          <w:i/>
          <w:iCs/>
        </w:rPr>
        <w:t>Further r</w:t>
      </w:r>
      <w:r w:rsidR="001643AF" w:rsidRPr="00F444BC">
        <w:rPr>
          <w:i/>
          <w:iCs/>
        </w:rPr>
        <w:t>eminds</w:t>
      </w:r>
      <w:r w:rsidR="001643AF" w:rsidRPr="00F444BC">
        <w:t xml:space="preserve"> Parties of their obligation to designate a point of contact for the purposes of receiving notifications under Article 17 of the </w:t>
      </w:r>
      <w:r w:rsidR="00A96784" w:rsidRPr="00F444BC">
        <w:t xml:space="preserve">Cartagena </w:t>
      </w:r>
      <w:r w:rsidR="001643AF" w:rsidRPr="006B2178">
        <w:t xml:space="preserve">Protocol, and </w:t>
      </w:r>
      <w:r w:rsidR="001643AF" w:rsidRPr="00F95C52">
        <w:t>urges</w:t>
      </w:r>
      <w:r w:rsidR="001643AF" w:rsidRPr="006B2178">
        <w:rPr>
          <w:i/>
          <w:iCs/>
        </w:rPr>
        <w:t xml:space="preserve"> </w:t>
      </w:r>
      <w:r w:rsidR="001643AF" w:rsidRPr="006B2178">
        <w:t>those that have not yet done so to make such designations as soon as possible;</w:t>
      </w:r>
    </w:p>
    <w:p w14:paraId="7E454D5B" w14:textId="60A8AF7A" w:rsidR="00FA3684" w:rsidRPr="006B2178" w:rsidRDefault="001643AF" w:rsidP="00FA3684">
      <w:pPr>
        <w:pStyle w:val="CBDDesicionText"/>
        <w:numPr>
          <w:ilvl w:val="0"/>
          <w:numId w:val="7"/>
        </w:numPr>
        <w:tabs>
          <w:tab w:val="clear" w:pos="567"/>
          <w:tab w:val="clear" w:pos="1701"/>
          <w:tab w:val="clear" w:pos="2268"/>
          <w:tab w:val="left" w:pos="630"/>
          <w:tab w:val="left" w:pos="1800"/>
        </w:tabs>
        <w:ind w:left="630" w:firstLine="540"/>
      </w:pPr>
      <w:r w:rsidRPr="006B2178">
        <w:rPr>
          <w:i/>
          <w:iCs/>
        </w:rPr>
        <w:t>Urges</w:t>
      </w:r>
      <w:r w:rsidRPr="006B2178">
        <w:t xml:space="preserve"> Parties that are developing their biosafety regulatory frameworks to expedite their work, recognizing that </w:t>
      </w:r>
      <w:r w:rsidR="00C119B3" w:rsidRPr="006B2178">
        <w:t xml:space="preserve">Parties are required under </w:t>
      </w:r>
      <w:r w:rsidRPr="006B2178">
        <w:t>the</w:t>
      </w:r>
      <w:r w:rsidR="00A96784" w:rsidRPr="006B2178">
        <w:t xml:space="preserve"> Cartagena</w:t>
      </w:r>
      <w:r w:rsidRPr="006B2178">
        <w:t xml:space="preserve"> Protocol to take measures for its implementation and that such measures will contribute to achieving Target</w:t>
      </w:r>
      <w:r w:rsidR="00C119B3" w:rsidRPr="006B2178">
        <w:t> </w:t>
      </w:r>
      <w:r w:rsidRPr="006B2178">
        <w:t>17 of the Kunming-Montreal Global Biodiversity Framework</w:t>
      </w:r>
      <w:r w:rsidR="00AA298D" w:rsidRPr="006B2178">
        <w:t>,</w:t>
      </w:r>
      <w:r w:rsidR="00E47D1F" w:rsidRPr="006B2178">
        <w:rPr>
          <w:rStyle w:val="FootnoteReference"/>
        </w:rPr>
        <w:footnoteReference w:id="6"/>
      </w:r>
      <w:r w:rsidR="00AA298D" w:rsidRPr="006B2178">
        <w:t xml:space="preserve"> and </w:t>
      </w:r>
      <w:r w:rsidR="00C42E6B" w:rsidRPr="006B2178">
        <w:t xml:space="preserve">welcomes the support provided in </w:t>
      </w:r>
      <w:r w:rsidR="00481F1A" w:rsidRPr="006B2178">
        <w:t>that</w:t>
      </w:r>
      <w:r w:rsidR="00C42E6B" w:rsidRPr="006B2178">
        <w:t xml:space="preserve"> regard to several Parties by </w:t>
      </w:r>
      <w:r w:rsidR="00A31BB9" w:rsidRPr="006B2178">
        <w:t>the United Nations Environment Programme</w:t>
      </w:r>
      <w:r w:rsidR="007B034B" w:rsidRPr="006B2178">
        <w:t>,</w:t>
      </w:r>
      <w:r w:rsidR="00A31BB9" w:rsidRPr="006B2178">
        <w:t xml:space="preserve"> </w:t>
      </w:r>
      <w:r w:rsidR="00C42E6B" w:rsidRPr="006B2178">
        <w:t>through its Law and Environment Assistance Platform</w:t>
      </w:r>
      <w:r w:rsidR="007B034B" w:rsidRPr="006B2178">
        <w:t>,</w:t>
      </w:r>
      <w:r w:rsidR="00C42E6B" w:rsidRPr="006B2178">
        <w:t xml:space="preserve"> and Japan</w:t>
      </w:r>
      <w:r w:rsidR="007B034B" w:rsidRPr="006B2178">
        <w:t>,</w:t>
      </w:r>
      <w:r w:rsidR="00C42E6B" w:rsidRPr="006B2178">
        <w:t xml:space="preserve"> through the Japan Biodiversity Fund</w:t>
      </w:r>
      <w:r w:rsidRPr="006B2178">
        <w:t>;</w:t>
      </w:r>
    </w:p>
    <w:p w14:paraId="262D310B" w14:textId="50C6D8A4" w:rsidR="003B3F32" w:rsidRPr="006B2178" w:rsidRDefault="00FA3684" w:rsidP="007F4686">
      <w:pPr>
        <w:pStyle w:val="CBDDesicionText"/>
        <w:numPr>
          <w:ilvl w:val="0"/>
          <w:numId w:val="7"/>
        </w:numPr>
        <w:tabs>
          <w:tab w:val="clear" w:pos="567"/>
          <w:tab w:val="clear" w:pos="1701"/>
          <w:tab w:val="clear" w:pos="2268"/>
          <w:tab w:val="left" w:pos="630"/>
          <w:tab w:val="left" w:pos="1800"/>
        </w:tabs>
        <w:ind w:left="630" w:firstLine="540"/>
      </w:pPr>
      <w:r w:rsidRPr="006B2178">
        <w:rPr>
          <w:i/>
          <w:iCs/>
        </w:rPr>
        <w:t>R</w:t>
      </w:r>
      <w:r w:rsidR="003B3F32" w:rsidRPr="006B2178">
        <w:rPr>
          <w:i/>
          <w:iCs/>
        </w:rPr>
        <w:t>emind</w:t>
      </w:r>
      <w:r w:rsidRPr="006B2178">
        <w:rPr>
          <w:i/>
          <w:iCs/>
        </w:rPr>
        <w:t>s</w:t>
      </w:r>
      <w:r w:rsidR="003B3F32" w:rsidRPr="006B2178">
        <w:t xml:space="preserve"> Parties of their obligation to publish their legal measures for the implementation of the </w:t>
      </w:r>
      <w:r w:rsidR="00A96784" w:rsidRPr="006B2178">
        <w:t xml:space="preserve">Cartagena </w:t>
      </w:r>
      <w:r w:rsidR="003B3F32" w:rsidRPr="006B2178">
        <w:t xml:space="preserve">Protocol through the Biosafety </w:t>
      </w:r>
      <w:proofErr w:type="gramStart"/>
      <w:r w:rsidR="003B3F32" w:rsidRPr="006B2178">
        <w:t>Clearing-House</w:t>
      </w:r>
      <w:proofErr w:type="gramEnd"/>
      <w:r w:rsidR="004B3447" w:rsidRPr="006B2178">
        <w:t>;</w:t>
      </w:r>
    </w:p>
    <w:p w14:paraId="63A1525D" w14:textId="3C3A5AAE" w:rsidR="00A47CC6" w:rsidRPr="006B2178" w:rsidRDefault="001643AF">
      <w:pPr>
        <w:pStyle w:val="CBDDesicionText"/>
        <w:numPr>
          <w:ilvl w:val="0"/>
          <w:numId w:val="7"/>
        </w:numPr>
        <w:tabs>
          <w:tab w:val="clear" w:pos="567"/>
          <w:tab w:val="clear" w:pos="1134"/>
          <w:tab w:val="clear" w:pos="1701"/>
          <w:tab w:val="clear" w:pos="2268"/>
          <w:tab w:val="left" w:pos="630"/>
          <w:tab w:val="left" w:pos="1800"/>
        </w:tabs>
        <w:ind w:left="630" w:firstLine="540"/>
      </w:pPr>
      <w:r w:rsidRPr="006B2178">
        <w:rPr>
          <w:i/>
          <w:iCs/>
        </w:rPr>
        <w:t>Recalls</w:t>
      </w:r>
      <w:r w:rsidRPr="006B2178">
        <w:t xml:space="preserve"> the caution in decision </w:t>
      </w:r>
      <w:hyperlink r:id="rId25" w:history="1">
        <w:r w:rsidRPr="006B2178">
          <w:rPr>
            <w:rStyle w:val="Hyperlink"/>
          </w:rPr>
          <w:t>CP-11/1</w:t>
        </w:r>
        <w:r w:rsidR="009C7C78" w:rsidRPr="006B2178">
          <w:rPr>
            <w:rStyle w:val="Hyperlink"/>
          </w:rPr>
          <w:t> </w:t>
        </w:r>
        <w:r w:rsidRPr="006B2178">
          <w:rPr>
            <w:rStyle w:val="Hyperlink"/>
          </w:rPr>
          <w:t>B</w:t>
        </w:r>
      </w:hyperlink>
      <w:r w:rsidRPr="006B2178">
        <w:t xml:space="preserve"> </w:t>
      </w:r>
      <w:r w:rsidR="00573187" w:rsidRPr="006B2178">
        <w:t>of 30</w:t>
      </w:r>
      <w:r w:rsidR="009C7C78" w:rsidRPr="006B2178">
        <w:t> </w:t>
      </w:r>
      <w:r w:rsidR="00573187" w:rsidRPr="006B2178">
        <w:t xml:space="preserve">October 2024, </w:t>
      </w:r>
      <w:r w:rsidRPr="006B2178">
        <w:t xml:space="preserve">and welcomes the funding extended by </w:t>
      </w:r>
      <w:r w:rsidR="00A31BB9" w:rsidRPr="006B2178">
        <w:t xml:space="preserve">the Global Environment Facility </w:t>
      </w:r>
      <w:r w:rsidRPr="006B2178">
        <w:t>to the cautioned Parties to prepare their fourth and fifth national reports;</w:t>
      </w:r>
    </w:p>
    <w:p w14:paraId="3EE19499" w14:textId="77777777" w:rsidR="00A47CC6" w:rsidRPr="00CB2ADB" w:rsidRDefault="001643AF">
      <w:pPr>
        <w:pStyle w:val="CBDDesicionText"/>
        <w:numPr>
          <w:ilvl w:val="0"/>
          <w:numId w:val="7"/>
        </w:numPr>
        <w:tabs>
          <w:tab w:val="clear" w:pos="567"/>
          <w:tab w:val="clear" w:pos="1134"/>
          <w:tab w:val="clear" w:pos="1701"/>
          <w:tab w:val="clear" w:pos="2268"/>
          <w:tab w:val="left" w:pos="630"/>
          <w:tab w:val="left" w:pos="1800"/>
        </w:tabs>
        <w:ind w:left="630" w:firstLine="540"/>
      </w:pPr>
      <w:r w:rsidRPr="006B2178">
        <w:rPr>
          <w:i/>
          <w:iCs/>
        </w:rPr>
        <w:t>Welcome</w:t>
      </w:r>
      <w:r w:rsidRPr="00F95C52">
        <w:rPr>
          <w:i/>
          <w:iCs/>
        </w:rPr>
        <w:t>s</w:t>
      </w:r>
      <w:r w:rsidRPr="006B2178">
        <w:t xml:space="preserve"> the submission of the fourth and fifth national</w:t>
      </w:r>
      <w:r w:rsidRPr="00CB2ADB">
        <w:t xml:space="preserve"> reports by Belize and Libya, which resolves their non-compliance with the reporting obligation;</w:t>
      </w:r>
    </w:p>
    <w:p w14:paraId="6F0E911D" w14:textId="25B590AA" w:rsidR="00A47CC6" w:rsidRPr="00CB2ADB" w:rsidRDefault="001643AF">
      <w:pPr>
        <w:pStyle w:val="CBDDesicionText"/>
        <w:numPr>
          <w:ilvl w:val="0"/>
          <w:numId w:val="7"/>
        </w:numPr>
        <w:tabs>
          <w:tab w:val="clear" w:pos="567"/>
          <w:tab w:val="clear" w:pos="1134"/>
          <w:tab w:val="clear" w:pos="1701"/>
          <w:tab w:val="clear" w:pos="2268"/>
          <w:tab w:val="left" w:pos="630"/>
          <w:tab w:val="left" w:pos="1800"/>
        </w:tabs>
        <w:ind w:left="630" w:firstLine="540"/>
      </w:pPr>
      <w:r w:rsidRPr="00CB2ADB">
        <w:rPr>
          <w:i/>
          <w:iCs/>
        </w:rPr>
        <w:t>Expresses grave concern</w:t>
      </w:r>
      <w:r w:rsidRPr="00CB2ADB">
        <w:t xml:space="preserve"> that Papua New Guinea has not submitted </w:t>
      </w:r>
      <w:r w:rsidR="00980967" w:rsidRPr="00CB2ADB">
        <w:t>its</w:t>
      </w:r>
      <w:r w:rsidRPr="00CB2ADB">
        <w:t xml:space="preserve"> third, fourth or fifth national report;</w:t>
      </w:r>
    </w:p>
    <w:p w14:paraId="05FFD0CF" w14:textId="417BA03A" w:rsidR="00A47CC6" w:rsidRPr="00CB2ADB" w:rsidRDefault="001643AF" w:rsidP="00F95C52">
      <w:pPr>
        <w:pStyle w:val="CBDDesicionText"/>
        <w:numPr>
          <w:ilvl w:val="0"/>
          <w:numId w:val="7"/>
        </w:numPr>
        <w:tabs>
          <w:tab w:val="clear" w:pos="567"/>
          <w:tab w:val="clear" w:pos="1134"/>
          <w:tab w:val="clear" w:pos="1701"/>
          <w:tab w:val="clear" w:pos="2268"/>
          <w:tab w:val="left" w:pos="630"/>
          <w:tab w:val="left" w:pos="1800"/>
        </w:tabs>
        <w:ind w:left="630" w:firstLine="324"/>
      </w:pPr>
      <w:r w:rsidRPr="0083220B">
        <w:rPr>
          <w:i/>
          <w:iCs/>
        </w:rPr>
        <w:t>Requests</w:t>
      </w:r>
      <w:r w:rsidRPr="00CB2ADB">
        <w:t xml:space="preserve"> the Committee to consider possible measures to address the repeated non-compliance of Papua New Guinea with its reporting obligation and make a recommendation in that </w:t>
      </w:r>
      <w:r w:rsidRPr="00CB2ADB">
        <w:lastRenderedPageBreak/>
        <w:t xml:space="preserve">regard to the Conference of the Parties serving as the meeting of the Parties to the </w:t>
      </w:r>
      <w:r w:rsidR="004256D1" w:rsidRPr="00CB2ADB">
        <w:t xml:space="preserve">Cartagena </w:t>
      </w:r>
      <w:r w:rsidRPr="00CB2ADB">
        <w:t>Protocol for consideration at its thirteenth meeting</w:t>
      </w:r>
      <w:r w:rsidR="000B1E48">
        <w:t>;</w:t>
      </w:r>
    </w:p>
    <w:p w14:paraId="5973F7E8" w14:textId="7DC436D9" w:rsidR="007F4686" w:rsidRDefault="007F4686" w:rsidP="00F95C52">
      <w:pPr>
        <w:pStyle w:val="CBDDesicionText"/>
        <w:numPr>
          <w:ilvl w:val="0"/>
          <w:numId w:val="7"/>
        </w:numPr>
        <w:tabs>
          <w:tab w:val="clear" w:pos="567"/>
          <w:tab w:val="clear" w:pos="1134"/>
          <w:tab w:val="clear" w:pos="1701"/>
          <w:tab w:val="clear" w:pos="2268"/>
          <w:tab w:val="left" w:pos="630"/>
          <w:tab w:val="left" w:pos="1800"/>
        </w:tabs>
        <w:ind w:left="810" w:firstLine="324"/>
      </w:pPr>
      <w:r w:rsidRPr="0083220B">
        <w:rPr>
          <w:i/>
          <w:iCs/>
        </w:rPr>
        <w:t xml:space="preserve">Encourages </w:t>
      </w:r>
      <w:r w:rsidRPr="00475C69">
        <w:t xml:space="preserve">Parties facing difficulties complying with one or more obligations under the </w:t>
      </w:r>
      <w:r w:rsidR="00FA5E33">
        <w:t xml:space="preserve">Cartagena </w:t>
      </w:r>
      <w:r w:rsidRPr="00475C69">
        <w:t xml:space="preserve">Protocol to seek assistance from the </w:t>
      </w:r>
      <w:r w:rsidR="00C1134B">
        <w:t xml:space="preserve">Compliance </w:t>
      </w:r>
      <w:r w:rsidRPr="00475C69">
        <w:t xml:space="preserve">Committee </w:t>
      </w:r>
      <w:r w:rsidR="00C1134B">
        <w:t xml:space="preserve">under the Protocol </w:t>
      </w:r>
      <w:r w:rsidRPr="00475C69">
        <w:t>or the Secretariat</w:t>
      </w:r>
      <w:r w:rsidR="00580EE8">
        <w:t xml:space="preserve"> of the Convention</w:t>
      </w:r>
      <w:r w:rsidR="00FE462D">
        <w:t xml:space="preserve"> on Biological Diversity</w:t>
      </w:r>
      <w:r w:rsidR="009C2DF3">
        <w:t>.</w:t>
      </w:r>
      <w:r w:rsidR="000A6EB4">
        <w:rPr>
          <w:rStyle w:val="FootnoteReference"/>
        </w:rPr>
        <w:footnoteReference w:id="7"/>
      </w:r>
      <w:r w:rsidRPr="0083220B">
        <w:rPr>
          <w:i/>
          <w:iCs/>
        </w:rPr>
        <w:t xml:space="preserve"> </w:t>
      </w:r>
    </w:p>
    <w:p w14:paraId="5FD98802" w14:textId="77777777" w:rsidR="00A47CC6" w:rsidRDefault="001643AF">
      <w:pPr>
        <w:pStyle w:val="CBDH1"/>
      </w:pPr>
      <w:r>
        <w:t>II.</w:t>
      </w:r>
      <w:r>
        <w:tab/>
        <w:t xml:space="preserve">Operation and activities of the Biosafety </w:t>
      </w:r>
      <w:proofErr w:type="gramStart"/>
      <w:r>
        <w:t>Clearing-House</w:t>
      </w:r>
      <w:proofErr w:type="gramEnd"/>
    </w:p>
    <w:p w14:paraId="37B1880F" w14:textId="15B1D5EF" w:rsidR="00A47CC6" w:rsidRDefault="001643AF">
      <w:pPr>
        <w:pStyle w:val="CBDRecommendText"/>
        <w:tabs>
          <w:tab w:val="clear" w:pos="567"/>
        </w:tabs>
      </w:pPr>
      <w:r>
        <w:rPr>
          <w:lang w:bidi="ar-SY"/>
        </w:rPr>
        <w:t>2.</w:t>
      </w:r>
      <w:r>
        <w:rPr>
          <w:lang w:bidi="ar-SY"/>
        </w:rPr>
        <w:tab/>
      </w:r>
      <w:r>
        <w:t>The Compliance Committee recommends that, at its twelfth meeting, the Conference of the Parties serving as the meeting of the Parties to the Protocol adopt a decision that includes the following elements:</w:t>
      </w:r>
    </w:p>
    <w:p w14:paraId="785AAD2F" w14:textId="3EBE9C13" w:rsidR="00A47CC6" w:rsidRDefault="001643AF">
      <w:pPr>
        <w:pStyle w:val="CBDRecommendText"/>
        <w:ind w:left="576" w:firstLine="603"/>
        <w:rPr>
          <w:i/>
          <w:iCs/>
          <w:lang w:bidi="ar-SY"/>
        </w:rPr>
      </w:pPr>
      <w:r>
        <w:rPr>
          <w:i/>
          <w:iCs/>
          <w:lang w:bidi="ar-SY"/>
        </w:rPr>
        <w:t>The Conference of the Parties serving as the meeting of the Parties to the Cartagena Protocol</w:t>
      </w:r>
    </w:p>
    <w:p w14:paraId="63B09FF9" w14:textId="77777777" w:rsidR="00A47CC6" w:rsidRPr="000741FC" w:rsidRDefault="001643AF">
      <w:pPr>
        <w:pStyle w:val="CBDDesicionText"/>
        <w:numPr>
          <w:ilvl w:val="0"/>
          <w:numId w:val="8"/>
        </w:numPr>
        <w:tabs>
          <w:tab w:val="clear" w:pos="567"/>
          <w:tab w:val="clear" w:pos="1134"/>
          <w:tab w:val="clear" w:pos="1701"/>
          <w:tab w:val="clear" w:pos="2268"/>
          <w:tab w:val="left" w:pos="630"/>
          <w:tab w:val="left" w:pos="1800"/>
        </w:tabs>
        <w:ind w:left="567" w:firstLine="567"/>
        <w:rPr>
          <w:i/>
          <w:iCs/>
        </w:rPr>
      </w:pPr>
      <w:r w:rsidRPr="000741FC">
        <w:rPr>
          <w:i/>
          <w:iCs/>
        </w:rPr>
        <w:t xml:space="preserve">Welcomes </w:t>
      </w:r>
      <w:r w:rsidRPr="000741FC">
        <w:t xml:space="preserve">the ongoing efforts made by Parties to maintain accurate and complete information in the Biosafety </w:t>
      </w:r>
      <w:proofErr w:type="gramStart"/>
      <w:r w:rsidRPr="000741FC">
        <w:t>Clearing-House</w:t>
      </w:r>
      <w:proofErr w:type="gramEnd"/>
      <w:r w:rsidRPr="000741FC">
        <w:t>;</w:t>
      </w:r>
    </w:p>
    <w:p w14:paraId="49ED899A" w14:textId="317657ED" w:rsidR="00A47CC6" w:rsidRPr="00E450F2" w:rsidRDefault="001643AF">
      <w:pPr>
        <w:pStyle w:val="CBDDesicionText"/>
        <w:numPr>
          <w:ilvl w:val="0"/>
          <w:numId w:val="8"/>
        </w:numPr>
        <w:tabs>
          <w:tab w:val="clear" w:pos="567"/>
          <w:tab w:val="clear" w:pos="1134"/>
          <w:tab w:val="clear" w:pos="1701"/>
          <w:tab w:val="clear" w:pos="2268"/>
          <w:tab w:val="left" w:pos="630"/>
          <w:tab w:val="left" w:pos="1800"/>
        </w:tabs>
        <w:ind w:left="567" w:firstLine="567"/>
        <w:rPr>
          <w:i/>
          <w:iCs/>
        </w:rPr>
      </w:pPr>
      <w:r w:rsidRPr="000741FC">
        <w:rPr>
          <w:i/>
          <w:iCs/>
        </w:rPr>
        <w:t xml:space="preserve">Reminds </w:t>
      </w:r>
      <w:r w:rsidRPr="000741FC">
        <w:rPr>
          <w:bCs/>
        </w:rPr>
        <w:t xml:space="preserve">Parties of their obligation to publish the final decisions taken regarding the import or release of living modified organisms and corresponding summaries of risk assessments through the Biosafety </w:t>
      </w:r>
      <w:proofErr w:type="gramStart"/>
      <w:r w:rsidRPr="000741FC">
        <w:rPr>
          <w:bCs/>
        </w:rPr>
        <w:t>Clearing-House</w:t>
      </w:r>
      <w:proofErr w:type="gramEnd"/>
      <w:r w:rsidRPr="000741FC">
        <w:rPr>
          <w:bCs/>
        </w:rPr>
        <w:t xml:space="preserve">, in compliance with Article 20 of the </w:t>
      </w:r>
      <w:r w:rsidR="00211ED6" w:rsidRPr="000741FC">
        <w:rPr>
          <w:bCs/>
        </w:rPr>
        <w:t xml:space="preserve">Cartagena </w:t>
      </w:r>
      <w:r w:rsidRPr="000741FC">
        <w:rPr>
          <w:bCs/>
        </w:rPr>
        <w:t>Protocol</w:t>
      </w:r>
      <w:r w:rsidR="00211ED6" w:rsidRPr="000741FC">
        <w:rPr>
          <w:bCs/>
        </w:rPr>
        <w:t xml:space="preserve"> on </w:t>
      </w:r>
      <w:r w:rsidR="008626CA" w:rsidRPr="000741FC">
        <w:rPr>
          <w:bCs/>
        </w:rPr>
        <w:t>Biosafety</w:t>
      </w:r>
      <w:r w:rsidRPr="000741FC">
        <w:rPr>
          <w:bCs/>
        </w:rPr>
        <w:t>.</w:t>
      </w:r>
      <w:r w:rsidR="00211ED6" w:rsidRPr="00D72F65">
        <w:rPr>
          <w:rStyle w:val="FootnoteReference"/>
          <w:bCs/>
        </w:rPr>
        <w:footnoteReference w:id="8"/>
      </w:r>
    </w:p>
    <w:p w14:paraId="51ADF07A" w14:textId="2417DC77" w:rsidR="00A47CC6" w:rsidRDefault="001643AF">
      <w:pPr>
        <w:pStyle w:val="CBDH1"/>
      </w:pPr>
      <w:r>
        <w:t>III.</w:t>
      </w:r>
      <w:r>
        <w:tab/>
        <w:t xml:space="preserve">Monitoring and </w:t>
      </w:r>
      <w:r w:rsidR="0053029C">
        <w:t>r</w:t>
      </w:r>
      <w:r>
        <w:t>eporting</w:t>
      </w:r>
    </w:p>
    <w:p w14:paraId="2B82D345" w14:textId="701B787D" w:rsidR="00A47CC6" w:rsidRDefault="001643AF" w:rsidP="004658AA">
      <w:pPr>
        <w:pStyle w:val="CBDRecommendText"/>
        <w:tabs>
          <w:tab w:val="clear" w:pos="567"/>
        </w:tabs>
        <w:ind w:left="540"/>
      </w:pPr>
      <w:r>
        <w:rPr>
          <w:lang w:bidi="ar-SY"/>
        </w:rPr>
        <w:t>3.</w:t>
      </w:r>
      <w:r>
        <w:rPr>
          <w:lang w:bidi="ar-SY"/>
        </w:rPr>
        <w:tab/>
      </w:r>
      <w:r>
        <w:t>The Compliance Committee recommends that, at its twelfth meeting, the Conference of the Parties serving as the meeting of the Parties to the Protocol adopt a decision that includes the following elements:</w:t>
      </w:r>
    </w:p>
    <w:p w14:paraId="31D2DC9E" w14:textId="42719201" w:rsidR="00A47CC6" w:rsidRDefault="001C5EF9">
      <w:pPr>
        <w:pStyle w:val="CBDRecommendText"/>
        <w:rPr>
          <w:bCs/>
          <w:i/>
          <w:iCs/>
        </w:rPr>
      </w:pPr>
      <w:r>
        <w:rPr>
          <w:i/>
          <w:iCs/>
          <w:lang w:bidi="ar-SY"/>
        </w:rPr>
        <w:tab/>
      </w:r>
      <w:r w:rsidR="001643AF">
        <w:rPr>
          <w:i/>
          <w:iCs/>
          <w:lang w:bidi="ar-SY"/>
        </w:rPr>
        <w:t>The Conference of the Parties serving as the meeting of the Parties to the Cartagena Protocol</w:t>
      </w:r>
    </w:p>
    <w:p w14:paraId="6C1A8C25" w14:textId="19FB02DD" w:rsidR="00FB72A2" w:rsidRPr="00B86A91" w:rsidRDefault="001643AF" w:rsidP="00FB72A2">
      <w:pPr>
        <w:pStyle w:val="CBDDesicionText"/>
        <w:numPr>
          <w:ilvl w:val="0"/>
          <w:numId w:val="9"/>
        </w:numPr>
        <w:tabs>
          <w:tab w:val="clear" w:pos="567"/>
          <w:tab w:val="clear" w:pos="1134"/>
          <w:tab w:val="clear" w:pos="1701"/>
          <w:tab w:val="clear" w:pos="2268"/>
          <w:tab w:val="left" w:pos="630"/>
          <w:tab w:val="left" w:pos="1800"/>
        </w:tabs>
        <w:ind w:left="540" w:firstLine="630"/>
      </w:pPr>
      <w:r w:rsidRPr="0044215D">
        <w:rPr>
          <w:i/>
          <w:iCs/>
        </w:rPr>
        <w:t>Welcomes</w:t>
      </w:r>
      <w:r w:rsidRPr="0044215D">
        <w:t xml:space="preserve"> </w:t>
      </w:r>
      <w:r w:rsidR="00943EB8" w:rsidRPr="0044215D">
        <w:t xml:space="preserve">the fact </w:t>
      </w:r>
      <w:r w:rsidRPr="0044215D">
        <w:t>that more than two</w:t>
      </w:r>
      <w:r w:rsidR="0040226E">
        <w:t xml:space="preserve"> </w:t>
      </w:r>
      <w:r w:rsidRPr="0044215D">
        <w:t>thirds of Parties submitted their fifth national report</w:t>
      </w:r>
      <w:r w:rsidR="00FC585D" w:rsidRPr="0044215D">
        <w:t>s</w:t>
      </w:r>
      <w:r w:rsidRPr="0044215D">
        <w:t xml:space="preserve"> on the implementation of the Cartagena Protocol </w:t>
      </w:r>
      <w:r w:rsidR="00CB24F9" w:rsidRPr="0044215D">
        <w:t>on Biosafety</w:t>
      </w:r>
      <w:r w:rsidR="00CB24F9" w:rsidRPr="00944A97">
        <w:rPr>
          <w:rStyle w:val="FootnoteReference"/>
        </w:rPr>
        <w:footnoteReference w:id="9"/>
      </w:r>
      <w:r w:rsidR="00CB24F9" w:rsidRPr="00B86A91">
        <w:t xml:space="preserve"> </w:t>
      </w:r>
      <w:r w:rsidRPr="00B86A91">
        <w:t>by the reporting deadline;</w:t>
      </w:r>
      <w:r w:rsidR="005D48D4" w:rsidRPr="00B86A91">
        <w:t xml:space="preserve"> </w:t>
      </w:r>
    </w:p>
    <w:p w14:paraId="0FBA3959" w14:textId="1CE57675" w:rsidR="0078325F" w:rsidRPr="00B86A91" w:rsidRDefault="0078325F" w:rsidP="00FB72A2">
      <w:pPr>
        <w:pStyle w:val="CBDDesicionText"/>
        <w:numPr>
          <w:ilvl w:val="0"/>
          <w:numId w:val="9"/>
        </w:numPr>
        <w:tabs>
          <w:tab w:val="clear" w:pos="567"/>
          <w:tab w:val="clear" w:pos="1134"/>
          <w:tab w:val="clear" w:pos="1701"/>
          <w:tab w:val="clear" w:pos="2268"/>
          <w:tab w:val="left" w:pos="630"/>
          <w:tab w:val="left" w:pos="1800"/>
        </w:tabs>
        <w:ind w:left="540" w:firstLine="630"/>
      </w:pPr>
      <w:r w:rsidRPr="00B86A91">
        <w:rPr>
          <w:i/>
          <w:iCs/>
          <w:u w:color="000000"/>
        </w:rPr>
        <w:t>Remind</w:t>
      </w:r>
      <w:r w:rsidR="00FB72A2" w:rsidRPr="00B86A91">
        <w:rPr>
          <w:i/>
          <w:iCs/>
          <w:u w:color="000000"/>
        </w:rPr>
        <w:t>s</w:t>
      </w:r>
      <w:r w:rsidRPr="00B86A91">
        <w:rPr>
          <w:u w:color="000000"/>
        </w:rPr>
        <w:t xml:space="preserve"> those Parties that have not yet submitted their fifth national report</w:t>
      </w:r>
      <w:r w:rsidR="00FC585D" w:rsidRPr="00B86A91">
        <w:rPr>
          <w:u w:color="000000"/>
        </w:rPr>
        <w:t>s</w:t>
      </w:r>
      <w:r w:rsidRPr="00B86A91">
        <w:rPr>
          <w:u w:color="000000"/>
        </w:rPr>
        <w:t xml:space="preserve"> to do so as soon as possible through the Biosafety </w:t>
      </w:r>
      <w:proofErr w:type="gramStart"/>
      <w:r w:rsidRPr="00B86A91">
        <w:rPr>
          <w:u w:color="000000"/>
        </w:rPr>
        <w:t>Clearing-House</w:t>
      </w:r>
      <w:proofErr w:type="gramEnd"/>
      <w:r w:rsidRPr="00B86A91">
        <w:rPr>
          <w:u w:color="000000"/>
        </w:rPr>
        <w:t>;</w:t>
      </w:r>
    </w:p>
    <w:p w14:paraId="3E240B15" w14:textId="7C4F6A6A" w:rsidR="00A47CC6" w:rsidRPr="00B86A91" w:rsidRDefault="001643AF" w:rsidP="004658AA">
      <w:pPr>
        <w:pStyle w:val="CBDDesicionText"/>
        <w:numPr>
          <w:ilvl w:val="0"/>
          <w:numId w:val="9"/>
        </w:numPr>
        <w:tabs>
          <w:tab w:val="clear" w:pos="567"/>
          <w:tab w:val="clear" w:pos="1134"/>
          <w:tab w:val="clear" w:pos="1701"/>
          <w:tab w:val="clear" w:pos="2268"/>
          <w:tab w:val="left" w:pos="630"/>
          <w:tab w:val="left" w:pos="1800"/>
        </w:tabs>
        <w:ind w:left="540" w:firstLine="630"/>
      </w:pPr>
      <w:r w:rsidRPr="00B86A91">
        <w:rPr>
          <w:i/>
          <w:iCs/>
        </w:rPr>
        <w:t>Expresses</w:t>
      </w:r>
      <w:r w:rsidRPr="00B86A91">
        <w:t xml:space="preserve"> its appreciation to </w:t>
      </w:r>
      <w:r w:rsidR="001C7B2A" w:rsidRPr="00B86A91">
        <w:t xml:space="preserve">the Global Environment Facility </w:t>
      </w:r>
      <w:r w:rsidRPr="00B86A91">
        <w:t xml:space="preserve">and </w:t>
      </w:r>
      <w:r w:rsidR="001C7B2A" w:rsidRPr="00B86A91">
        <w:t xml:space="preserve">the United Nations Environment Programme </w:t>
      </w:r>
      <w:r w:rsidRPr="00B86A91">
        <w:t>for the support provided to eligible Parties for the preparation and submission of their fifth national reports</w:t>
      </w:r>
      <w:r w:rsidR="00FB72A2" w:rsidRPr="00B86A91">
        <w:t>.</w:t>
      </w:r>
    </w:p>
    <w:p w14:paraId="674DAEAB" w14:textId="77777777" w:rsidR="00A47CC6" w:rsidRDefault="001643AF">
      <w:pPr>
        <w:pStyle w:val="CBDH1"/>
      </w:pPr>
      <w:r>
        <w:t>IV.</w:t>
      </w:r>
      <w:r>
        <w:tab/>
        <w:t>Matters related to the financial mechanism and resources</w:t>
      </w:r>
    </w:p>
    <w:p w14:paraId="7B0F635D" w14:textId="64EBDFD1" w:rsidR="00A47CC6" w:rsidRDefault="001643AF" w:rsidP="00F95C52">
      <w:pPr>
        <w:pStyle w:val="CBDRecommendText"/>
        <w:keepNext/>
        <w:tabs>
          <w:tab w:val="clear" w:pos="567"/>
        </w:tabs>
      </w:pPr>
      <w:r>
        <w:rPr>
          <w:lang w:bidi="ar-SY"/>
        </w:rPr>
        <w:t>4.</w:t>
      </w:r>
      <w:r>
        <w:rPr>
          <w:lang w:bidi="ar-SY"/>
        </w:rPr>
        <w:tab/>
      </w:r>
      <w:r>
        <w:t>The Compliance Committee recommends that, at its twelfth meeting, the Conference of the Parties serving as the meeting of the Parties to the Protocol adopt a decision that includes the following elements:</w:t>
      </w:r>
    </w:p>
    <w:p w14:paraId="5F2F52CF" w14:textId="327ABA0E" w:rsidR="004D6DF2" w:rsidRPr="00F95C52" w:rsidRDefault="001C5EF9" w:rsidP="00F95C52">
      <w:pPr>
        <w:pStyle w:val="CBDRecommendText"/>
        <w:rPr>
          <w:bCs/>
          <w:i/>
          <w:iCs/>
        </w:rPr>
      </w:pPr>
      <w:r>
        <w:rPr>
          <w:i/>
          <w:iCs/>
          <w:lang w:bidi="ar-SY"/>
        </w:rPr>
        <w:tab/>
      </w:r>
      <w:r w:rsidR="00FD3119">
        <w:rPr>
          <w:i/>
          <w:iCs/>
          <w:lang w:bidi="ar-SY"/>
        </w:rPr>
        <w:t>The Conference of the Parties serving as the meeting of the Parties to the Cartagena Protocol</w:t>
      </w:r>
      <w:r w:rsidR="007939B6">
        <w:rPr>
          <w:i/>
          <w:iCs/>
          <w:lang w:bidi="ar-SY"/>
        </w:rPr>
        <w:t xml:space="preserve"> </w:t>
      </w:r>
    </w:p>
    <w:p w14:paraId="37439589" w14:textId="3BE301DB" w:rsidR="00A47CC6" w:rsidRDefault="006F463D" w:rsidP="00F95C52">
      <w:pPr>
        <w:pStyle w:val="CBDRecommendText"/>
      </w:pPr>
      <w:r>
        <w:rPr>
          <w:i/>
          <w:iCs/>
        </w:rPr>
        <w:tab/>
      </w:r>
      <w:r w:rsidR="001643AF">
        <w:rPr>
          <w:i/>
          <w:iCs/>
        </w:rPr>
        <w:t xml:space="preserve">Recommends </w:t>
      </w:r>
      <w:r w:rsidR="001643AF">
        <w:t>that, at its seventeenth meeting, the Conference of the Parties to the Convention</w:t>
      </w:r>
      <w:r w:rsidR="00B213E3">
        <w:t xml:space="preserve"> on Biological Diversity</w:t>
      </w:r>
      <w:r w:rsidR="001643AF">
        <w:t>,</w:t>
      </w:r>
      <w:r w:rsidR="00B213E3">
        <w:rPr>
          <w:rStyle w:val="FootnoteReference"/>
        </w:rPr>
        <w:footnoteReference w:id="10"/>
      </w:r>
      <w:r w:rsidR="001643AF">
        <w:t xml:space="preserve"> in its guidance to the financial mechanism, request </w:t>
      </w:r>
      <w:r w:rsidR="001C7B2A">
        <w:t xml:space="preserve">the Global Environment Facility </w:t>
      </w:r>
      <w:r w:rsidR="001643AF">
        <w:t xml:space="preserve">to make funds available in a timely manner to support eligible Parties in the preparation and </w:t>
      </w:r>
      <w:r w:rsidR="001643AF">
        <w:lastRenderedPageBreak/>
        <w:t xml:space="preserve">submission of their sixth national reports on the implementation of the </w:t>
      </w:r>
      <w:r w:rsidR="001C7B2A">
        <w:t xml:space="preserve">Cartagena </w:t>
      </w:r>
      <w:r w:rsidR="001643AF">
        <w:t>Protocol</w:t>
      </w:r>
      <w:r w:rsidR="001C7B2A">
        <w:t xml:space="preserve"> on Biosafety</w:t>
      </w:r>
      <w:r w:rsidR="001643AF">
        <w:t>.</w:t>
      </w:r>
      <w:r w:rsidR="001C7B2A">
        <w:rPr>
          <w:rStyle w:val="FootnoteReference"/>
        </w:rPr>
        <w:footnoteReference w:id="11"/>
      </w:r>
      <w:r w:rsidR="001643AF">
        <w:br w:type="page"/>
      </w:r>
    </w:p>
    <w:p w14:paraId="2598BC0F" w14:textId="77777777" w:rsidR="00A47CC6" w:rsidRDefault="001643AF">
      <w:pPr>
        <w:pStyle w:val="CBDAnnex"/>
      </w:pPr>
      <w:r>
        <w:lastRenderedPageBreak/>
        <w:t>Annex II</w:t>
      </w:r>
    </w:p>
    <w:p w14:paraId="6F733FD2" w14:textId="766369FF" w:rsidR="00A47CC6" w:rsidRDefault="001643AF">
      <w:pPr>
        <w:pStyle w:val="CBDTitle"/>
        <w:rPr>
          <w:snapToGrid w:val="0"/>
        </w:rPr>
      </w:pPr>
      <w:r>
        <w:rPr>
          <w:lang w:bidi="ar-SY"/>
        </w:rPr>
        <w:t xml:space="preserve">Contribution by the Compliance Committee </w:t>
      </w:r>
      <w:r w:rsidR="00536B4E">
        <w:rPr>
          <w:lang w:bidi="ar-SY"/>
        </w:rPr>
        <w:t xml:space="preserve">under </w:t>
      </w:r>
      <w:r>
        <w:rPr>
          <w:lang w:bidi="ar-SY"/>
        </w:rPr>
        <w:t xml:space="preserve">the Cartagena Protocol </w:t>
      </w:r>
      <w:r w:rsidR="00E54671">
        <w:rPr>
          <w:snapToGrid w:val="0"/>
        </w:rPr>
        <w:t>on Biosafety</w:t>
      </w:r>
      <w:r w:rsidR="00E54671">
        <w:rPr>
          <w:lang w:bidi="ar-SY"/>
        </w:rPr>
        <w:t xml:space="preserve"> </w:t>
      </w:r>
      <w:r>
        <w:rPr>
          <w:lang w:bidi="ar-SY"/>
        </w:rPr>
        <w:t xml:space="preserve">to the </w:t>
      </w:r>
      <w:r>
        <w:rPr>
          <w:snapToGrid w:val="0"/>
        </w:rPr>
        <w:t>fifth assessment and review of the Protocol and midterm evaluation of the implementation plan and the capacity-building action plan for the Protocol</w:t>
      </w:r>
    </w:p>
    <w:p w14:paraId="2547E657" w14:textId="77777777" w:rsidR="00F95C52" w:rsidRPr="00941D1E" w:rsidRDefault="00F95C52" w:rsidP="00F95C52">
      <w:pPr>
        <w:pStyle w:val="CBDNormalNoNumber"/>
      </w:pPr>
      <w:r w:rsidRPr="00941D1E">
        <w:t xml:space="preserve">The Compliance Committee recommends that, as its contribution to the </w:t>
      </w:r>
      <w:r w:rsidRPr="00941D1E">
        <w:rPr>
          <w:snapToGrid w:val="0"/>
        </w:rPr>
        <w:t>fifth assessment and review of the Cartagena Protocol on Biosafety and midterm evaluation of the implementation plan and the capacity-building action plan for the Protocol</w:t>
      </w:r>
      <w:r w:rsidRPr="00941D1E">
        <w:t xml:space="preserve">, the Subsidiary Body on Implementation, at its seventh meeting, consider the following elements for its recommended draft decision for consideration by the Conference of the Parties serving as the meeting of the Parties </w:t>
      </w:r>
      <w:r>
        <w:t xml:space="preserve">to the Protocol </w:t>
      </w:r>
      <w:r w:rsidRPr="00941D1E">
        <w:t xml:space="preserve">at its twelfth meeting: </w:t>
      </w:r>
    </w:p>
    <w:p w14:paraId="525C65E8" w14:textId="77777777" w:rsidR="00F95C52" w:rsidRPr="00941D1E" w:rsidRDefault="00F95C52" w:rsidP="00F95C52">
      <w:pPr>
        <w:pStyle w:val="CBDNormalNumber"/>
        <w:tabs>
          <w:tab w:val="clear" w:pos="567"/>
          <w:tab w:val="clear" w:pos="1134"/>
          <w:tab w:val="clear" w:pos="2268"/>
          <w:tab w:val="clear" w:pos="2835"/>
          <w:tab w:val="clear" w:pos="3402"/>
          <w:tab w:val="clear" w:pos="3969"/>
        </w:tabs>
        <w:ind w:left="567" w:firstLine="567"/>
      </w:pPr>
      <w:r>
        <w:t>1.</w:t>
      </w:r>
      <w:r>
        <w:tab/>
      </w:r>
      <w:r w:rsidRPr="00941D1E">
        <w:t xml:space="preserve">Welcome progress made by Parties in complying with their obligations under the Protocol, notably those concerning the submission of national reports and the publishing of information on the Biosafety </w:t>
      </w:r>
      <w:proofErr w:type="gramStart"/>
      <w:r w:rsidRPr="00941D1E">
        <w:t>Clearing-House</w:t>
      </w:r>
      <w:proofErr w:type="gramEnd"/>
      <w:r w:rsidRPr="00941D1E">
        <w:t>;</w:t>
      </w:r>
    </w:p>
    <w:p w14:paraId="3DBE4801" w14:textId="77777777" w:rsidR="00F95C52" w:rsidRPr="00941D1E" w:rsidRDefault="00F95C52" w:rsidP="00F95C52">
      <w:pPr>
        <w:pStyle w:val="CBDNormalNumber"/>
        <w:tabs>
          <w:tab w:val="clear" w:pos="567"/>
          <w:tab w:val="clear" w:pos="1134"/>
          <w:tab w:val="clear" w:pos="2268"/>
          <w:tab w:val="clear" w:pos="2835"/>
          <w:tab w:val="clear" w:pos="3402"/>
          <w:tab w:val="clear" w:pos="3969"/>
        </w:tabs>
        <w:ind w:left="567" w:firstLine="567"/>
      </w:pPr>
      <w:r>
        <w:t>2.</w:t>
      </w:r>
      <w:r>
        <w:tab/>
      </w:r>
      <w:r w:rsidRPr="00941D1E">
        <w:t>Also welcome the high rate of compliance with the obligation to designate national focal points;</w:t>
      </w:r>
    </w:p>
    <w:p w14:paraId="47DD1638" w14:textId="77777777" w:rsidR="00F95C52" w:rsidRPr="00941D1E" w:rsidRDefault="00F95C52" w:rsidP="00F95C52">
      <w:pPr>
        <w:pStyle w:val="CBDNormalNumber"/>
        <w:tabs>
          <w:tab w:val="clear" w:pos="567"/>
          <w:tab w:val="clear" w:pos="1134"/>
          <w:tab w:val="clear" w:pos="2268"/>
          <w:tab w:val="clear" w:pos="2835"/>
          <w:tab w:val="clear" w:pos="3402"/>
          <w:tab w:val="clear" w:pos="3969"/>
        </w:tabs>
        <w:ind w:left="567" w:firstLine="567"/>
      </w:pPr>
      <w:r>
        <w:t>3.</w:t>
      </w:r>
      <w:r>
        <w:tab/>
      </w:r>
      <w:r w:rsidRPr="00941D1E">
        <w:t>Note with appreciation the progress made by Parties in designating competent national authorities but express concern that a small group of Parties ha</w:t>
      </w:r>
      <w:r>
        <w:t>ve</w:t>
      </w:r>
      <w:r w:rsidRPr="00941D1E">
        <w:t xml:space="preserve"> still not designated their competent national authorities and urge them to do so as soon as possible;</w:t>
      </w:r>
    </w:p>
    <w:p w14:paraId="07AA439B" w14:textId="77777777" w:rsidR="00F95C52" w:rsidRPr="00941D1E" w:rsidRDefault="00F95C52" w:rsidP="00F95C52">
      <w:pPr>
        <w:pStyle w:val="CBDNormalNumber"/>
        <w:tabs>
          <w:tab w:val="clear" w:pos="567"/>
          <w:tab w:val="clear" w:pos="1134"/>
          <w:tab w:val="clear" w:pos="2268"/>
          <w:tab w:val="clear" w:pos="2835"/>
          <w:tab w:val="clear" w:pos="3402"/>
          <w:tab w:val="clear" w:pos="3969"/>
        </w:tabs>
        <w:ind w:left="567" w:firstLine="567"/>
      </w:pPr>
      <w:r>
        <w:t>4.</w:t>
      </w:r>
      <w:r>
        <w:tab/>
      </w:r>
      <w:r w:rsidRPr="00941D1E">
        <w:t xml:space="preserve">Welcome the supportive role of the Compliance Committee and acknowledge the importance of its regular and incremental follow-up with Parties on compliance matters, the formal compliance measures </w:t>
      </w:r>
      <w:r>
        <w:t>and</w:t>
      </w:r>
      <w:r w:rsidRPr="00941D1E">
        <w:t xml:space="preserve"> the informal efforts of the Compliance Committee in support of compliance and achieving goal A.4 of the implementation plan for the Cartagena Protocol</w:t>
      </w:r>
      <w:r w:rsidRPr="00F0763B">
        <w:t xml:space="preserve"> </w:t>
      </w:r>
      <w:r w:rsidRPr="00941D1E">
        <w:t xml:space="preserve">on Biosafety; </w:t>
      </w:r>
    </w:p>
    <w:p w14:paraId="29F03BF2" w14:textId="77777777" w:rsidR="00F95C52" w:rsidRPr="00941D1E" w:rsidRDefault="00F95C52" w:rsidP="00F95C52">
      <w:pPr>
        <w:pStyle w:val="CBDNormalNumber"/>
        <w:tabs>
          <w:tab w:val="clear" w:pos="567"/>
          <w:tab w:val="clear" w:pos="1134"/>
          <w:tab w:val="clear" w:pos="2268"/>
          <w:tab w:val="clear" w:pos="2835"/>
          <w:tab w:val="clear" w:pos="3402"/>
          <w:tab w:val="clear" w:pos="3969"/>
        </w:tabs>
        <w:ind w:left="567" w:firstLine="567"/>
      </w:pPr>
      <w:r>
        <w:t>5.</w:t>
      </w:r>
      <w:r>
        <w:tab/>
      </w:r>
      <w:r w:rsidRPr="00941D1E">
        <w:t xml:space="preserve">Request Parties to fully cooperate when receiving communications from the Compliance Committee; </w:t>
      </w:r>
    </w:p>
    <w:p w14:paraId="003873F5" w14:textId="77777777" w:rsidR="00F95C52" w:rsidRPr="00941D1E" w:rsidRDefault="00F95C52" w:rsidP="00F95C52">
      <w:pPr>
        <w:pStyle w:val="CBDNormalNumber"/>
        <w:tabs>
          <w:tab w:val="clear" w:pos="567"/>
          <w:tab w:val="clear" w:pos="1134"/>
          <w:tab w:val="clear" w:pos="2268"/>
          <w:tab w:val="clear" w:pos="2835"/>
          <w:tab w:val="clear" w:pos="3402"/>
          <w:tab w:val="clear" w:pos="3969"/>
        </w:tabs>
        <w:ind w:left="567" w:firstLine="567"/>
      </w:pPr>
      <w:r>
        <w:t>6.</w:t>
      </w:r>
      <w:r>
        <w:tab/>
      </w:r>
      <w:r w:rsidRPr="00941D1E">
        <w:t>Express concern that several Parties have not taken any measures or only draft or temporary measures for the implementation of the Cartagena Protocol;</w:t>
      </w:r>
    </w:p>
    <w:p w14:paraId="10C52498" w14:textId="77777777" w:rsidR="00F95C52" w:rsidRPr="00941D1E" w:rsidRDefault="00F95C52" w:rsidP="00F95C52">
      <w:pPr>
        <w:pStyle w:val="CBDNormalNumber"/>
        <w:tabs>
          <w:tab w:val="clear" w:pos="567"/>
          <w:tab w:val="clear" w:pos="1134"/>
          <w:tab w:val="clear" w:pos="2268"/>
          <w:tab w:val="clear" w:pos="2835"/>
          <w:tab w:val="clear" w:pos="3402"/>
          <w:tab w:val="clear" w:pos="3969"/>
        </w:tabs>
        <w:ind w:left="567" w:firstLine="567"/>
      </w:pPr>
      <w:r>
        <w:t>7.</w:t>
      </w:r>
      <w:r>
        <w:tab/>
      </w:r>
      <w:r w:rsidRPr="00941D1E">
        <w:t>Request Parties that have not yet f</w:t>
      </w:r>
      <w:r w:rsidRPr="00941D1E">
        <w:rPr>
          <w:rFonts w:hint="eastAsia"/>
          <w:lang w:val="en-US" w:eastAsia="zh-CN"/>
        </w:rPr>
        <w:t>ul</w:t>
      </w:r>
      <w:proofErr w:type="spellStart"/>
      <w:r w:rsidRPr="00941D1E">
        <w:t>ly</w:t>
      </w:r>
      <w:proofErr w:type="spellEnd"/>
      <w:r w:rsidRPr="00941D1E">
        <w:t xml:space="preserve"> done so to, as a matter of priority, put in place legal, administrative and other measures to implement their obligations under the Cartagena Protocol and take action to secure the necessary political will and awareness, while acknowledging that Parties face various challenges that prevent them from fully complying with the obligations under Article 2</w:t>
      </w:r>
      <w:r>
        <w:t> (</w:t>
      </w:r>
      <w:r w:rsidRPr="00941D1E">
        <w:t>1</w:t>
      </w:r>
      <w:r>
        <w:t>)</w:t>
      </w:r>
      <w:r w:rsidRPr="00941D1E">
        <w:t xml:space="preserve"> of the Protocol;</w:t>
      </w:r>
    </w:p>
    <w:p w14:paraId="7619A399" w14:textId="77777777" w:rsidR="00F95C52" w:rsidRPr="00941D1E" w:rsidRDefault="00F95C52" w:rsidP="00F95C52">
      <w:pPr>
        <w:pStyle w:val="CBDNormalNumber"/>
        <w:tabs>
          <w:tab w:val="clear" w:pos="567"/>
          <w:tab w:val="clear" w:pos="1134"/>
          <w:tab w:val="clear" w:pos="2268"/>
          <w:tab w:val="clear" w:pos="2835"/>
          <w:tab w:val="clear" w:pos="3402"/>
          <w:tab w:val="clear" w:pos="3969"/>
        </w:tabs>
        <w:ind w:left="567" w:firstLine="567"/>
      </w:pPr>
      <w:r>
        <w:t>8.</w:t>
      </w:r>
      <w:r>
        <w:tab/>
      </w:r>
      <w:r w:rsidRPr="00941D1E">
        <w:t xml:space="preserve">Urge Parties that have not yet </w:t>
      </w:r>
      <w:proofErr w:type="spellStart"/>
      <w:r w:rsidRPr="00941D1E">
        <w:rPr>
          <w:rFonts w:hint="eastAsia"/>
          <w:lang w:val="en-US" w:eastAsia="zh-CN"/>
        </w:rPr>
        <w:t>ful</w:t>
      </w:r>
      <w:r w:rsidRPr="00941D1E">
        <w:t>ly</w:t>
      </w:r>
      <w:proofErr w:type="spellEnd"/>
      <w:r w:rsidRPr="00941D1E">
        <w:t xml:space="preserve"> done so to make all required information available to the Biosafety </w:t>
      </w:r>
      <w:proofErr w:type="gramStart"/>
      <w:r w:rsidRPr="00941D1E">
        <w:t>Clearing-House</w:t>
      </w:r>
      <w:proofErr w:type="gramEnd"/>
      <w:r w:rsidRPr="00941D1E">
        <w:t xml:space="preserve"> and keep their records up</w:t>
      </w:r>
      <w:r>
        <w:t xml:space="preserve"> </w:t>
      </w:r>
      <w:r w:rsidRPr="00941D1E">
        <w:t>to</w:t>
      </w:r>
      <w:r>
        <w:t xml:space="preserve"> </w:t>
      </w:r>
      <w:r w:rsidRPr="00941D1E">
        <w:t xml:space="preserve">date, noting in particular that information on illegal and unintentional transboundary movements reported in the fifth national reports has not been shared through the </w:t>
      </w:r>
      <w:proofErr w:type="gramStart"/>
      <w:r w:rsidRPr="00941D1E">
        <w:t>Clearing-House</w:t>
      </w:r>
      <w:proofErr w:type="gramEnd"/>
      <w:r w:rsidRPr="00941D1E">
        <w:t xml:space="preserve"> in numerous instances;</w:t>
      </w:r>
    </w:p>
    <w:p w14:paraId="50A61E9F" w14:textId="77777777" w:rsidR="00F95C52" w:rsidRPr="00941D1E" w:rsidRDefault="00F95C52" w:rsidP="00F95C52">
      <w:pPr>
        <w:pStyle w:val="CBDNormalNumber"/>
        <w:tabs>
          <w:tab w:val="clear" w:pos="567"/>
          <w:tab w:val="clear" w:pos="1134"/>
          <w:tab w:val="clear" w:pos="2268"/>
          <w:tab w:val="clear" w:pos="2835"/>
          <w:tab w:val="clear" w:pos="3402"/>
          <w:tab w:val="clear" w:pos="3969"/>
        </w:tabs>
        <w:ind w:left="567" w:firstLine="567"/>
      </w:pPr>
      <w:r>
        <w:t>9.</w:t>
      </w:r>
      <w:r>
        <w:tab/>
      </w:r>
      <w:r w:rsidRPr="00941D1E">
        <w:t xml:space="preserve">Recommend that the Conference of the Parties, in adopting its guidance to the financial mechanism with respect to support for the implementation of the Cartagena Protocol, invite </w:t>
      </w:r>
      <w:r>
        <w:t>the Global Environment Facility</w:t>
      </w:r>
      <w:r w:rsidRPr="00941D1E">
        <w:t xml:space="preserve"> to make specific funding available to eligible Parties to</w:t>
      </w:r>
      <w:r>
        <w:t>:</w:t>
      </w:r>
      <w:r w:rsidRPr="00941D1E">
        <w:t xml:space="preserve"> </w:t>
      </w:r>
      <w:r>
        <w:t xml:space="preserve">(a) </w:t>
      </w:r>
      <w:r w:rsidRPr="00941D1E">
        <w:t>put in place legal, administrative and other measures for the implementation of the Protocol; and (</w:t>
      </w:r>
      <w:r>
        <w:t>b</w:t>
      </w:r>
      <w:r w:rsidRPr="00941D1E">
        <w:t>) support eligible Parties in implementing compliance action plans regarding the achievement of compliance with the Protocol;</w:t>
      </w:r>
    </w:p>
    <w:p w14:paraId="0FF1975A" w14:textId="77777777" w:rsidR="00F95C52" w:rsidRDefault="00F95C52" w:rsidP="00F95C52">
      <w:pPr>
        <w:pStyle w:val="CBDNormalNumber"/>
        <w:tabs>
          <w:tab w:val="clear" w:pos="567"/>
          <w:tab w:val="clear" w:pos="1134"/>
          <w:tab w:val="clear" w:pos="2268"/>
          <w:tab w:val="clear" w:pos="2835"/>
          <w:tab w:val="clear" w:pos="3402"/>
          <w:tab w:val="clear" w:pos="3969"/>
        </w:tabs>
        <w:ind w:left="567" w:firstLine="567"/>
      </w:pPr>
      <w:r>
        <w:t>10.</w:t>
      </w:r>
      <w:r>
        <w:tab/>
      </w:r>
      <w:r w:rsidRPr="00941D1E">
        <w:t xml:space="preserve">Welcome the Committee’s contribution to the fifth assessment and review of the Cartagena Protocol and midterm evaluation of the implementation plan for the Protocol and request </w:t>
      </w:r>
      <w:r w:rsidRPr="00941D1E">
        <w:lastRenderedPageBreak/>
        <w:t>the Committee to continue providing a contribution to the sixth assessment and review and final evaluation of the implementation plan for the Protocol.</w:t>
      </w:r>
    </w:p>
    <w:p w14:paraId="1C38818C" w14:textId="2CE34C0B" w:rsidR="00523E25" w:rsidRDefault="00523E25" w:rsidP="00F95C52">
      <w:pPr>
        <w:pStyle w:val="CBDNormalNumber"/>
        <w:tabs>
          <w:tab w:val="clear" w:pos="567"/>
          <w:tab w:val="clear" w:pos="1134"/>
          <w:tab w:val="clear" w:pos="1701"/>
          <w:tab w:val="clear" w:pos="2268"/>
          <w:tab w:val="clear" w:pos="2835"/>
          <w:tab w:val="clear" w:pos="3402"/>
          <w:tab w:val="clear" w:pos="3969"/>
          <w:tab w:val="left" w:pos="1710"/>
        </w:tabs>
        <w:ind w:left="1170"/>
        <w:jc w:val="center"/>
      </w:pPr>
      <w:r>
        <w:t>__________</w:t>
      </w:r>
    </w:p>
    <w:sectPr w:rsidR="00523E25" w:rsidSect="00F95C52">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00684" w14:textId="77777777" w:rsidR="0021045F" w:rsidRDefault="0021045F">
      <w:r>
        <w:separator/>
      </w:r>
    </w:p>
  </w:endnote>
  <w:endnote w:type="continuationSeparator" w:id="0">
    <w:p w14:paraId="27FC2E09" w14:textId="77777777" w:rsidR="0021045F" w:rsidRDefault="00210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Arial Unicode MS">
    <w:panose1 w:val="020B0604020202020204"/>
    <w:charset w:val="86"/>
    <w:family w:val="roman"/>
    <w:pitch w:val="default"/>
    <w:sig w:usb0="F7FFAEFF" w:usb1="F9DFFFFF" w:usb2="0000007F" w:usb3="00000000" w:csb0="203F01FF" w:csb1="DFFF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AutoText"/>
      </w:docPartObj>
    </w:sdtPr>
    <w:sdtEndPr/>
    <w:sdtContent>
      <w:sdt>
        <w:sdtPr>
          <w:id w:val="-1705238520"/>
          <w:docPartObj>
            <w:docPartGallery w:val="AutoText"/>
          </w:docPartObj>
        </w:sdtPr>
        <w:sdtEndPr/>
        <w:sdtContent>
          <w:p w14:paraId="2A813EF4" w14:textId="4B143959" w:rsidR="00A47CC6" w:rsidRDefault="001643AF">
            <w:pPr>
              <w:pStyle w:val="Footer"/>
              <w:jc w:val="left"/>
            </w:pPr>
            <w:r w:rsidRPr="00FC2AA1">
              <w:rPr>
                <w:szCs w:val="20"/>
              </w:rPr>
              <w:fldChar w:fldCharType="begin"/>
            </w:r>
            <w:r w:rsidRPr="00FC2AA1">
              <w:rPr>
                <w:szCs w:val="20"/>
              </w:rPr>
              <w:instrText xml:space="preserve"> PAGE </w:instrText>
            </w:r>
            <w:r w:rsidRPr="00FC2AA1">
              <w:rPr>
                <w:szCs w:val="20"/>
              </w:rPr>
              <w:fldChar w:fldCharType="separate"/>
            </w:r>
            <w:r w:rsidRPr="00FC2AA1">
              <w:rPr>
                <w:szCs w:val="20"/>
              </w:rPr>
              <w:t>2</w:t>
            </w:r>
            <w:r w:rsidRPr="00FC2AA1">
              <w:rPr>
                <w:szCs w:val="20"/>
              </w:rPr>
              <w:fldChar w:fldCharType="end"/>
            </w:r>
            <w:r w:rsidRPr="00FC2AA1">
              <w:rPr>
                <w:szCs w:val="20"/>
              </w:rPr>
              <w:t>/</w:t>
            </w:r>
            <w:r w:rsidRPr="00FC2AA1">
              <w:rPr>
                <w:szCs w:val="20"/>
              </w:rPr>
              <w:fldChar w:fldCharType="begin"/>
            </w:r>
            <w:r w:rsidRPr="00FC2AA1">
              <w:rPr>
                <w:szCs w:val="20"/>
              </w:rPr>
              <w:instrText xml:space="preserve"> NUMPAGES  </w:instrText>
            </w:r>
            <w:r w:rsidRPr="00FC2AA1">
              <w:rPr>
                <w:szCs w:val="20"/>
              </w:rPr>
              <w:fldChar w:fldCharType="separate"/>
            </w:r>
            <w:r w:rsidRPr="00FC2AA1">
              <w:rPr>
                <w:szCs w:val="20"/>
              </w:rPr>
              <w:t>2</w:t>
            </w:r>
            <w:r w:rsidRPr="00FC2A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AutoText"/>
      </w:docPartObj>
    </w:sdtPr>
    <w:sdtEndPr/>
    <w:sdtContent>
      <w:p w14:paraId="5DC69396" w14:textId="6DA1EBDA" w:rsidR="00A47CC6" w:rsidRDefault="001643AF" w:rsidP="00FC2AA1">
        <w:pPr>
          <w:pStyle w:val="Footer"/>
          <w:jc w:val="right"/>
        </w:pPr>
        <w:r w:rsidRPr="00FC2AA1">
          <w:rPr>
            <w:szCs w:val="20"/>
          </w:rPr>
          <w:fldChar w:fldCharType="begin"/>
        </w:r>
        <w:r w:rsidRPr="00FC2AA1">
          <w:rPr>
            <w:szCs w:val="20"/>
          </w:rPr>
          <w:instrText xml:space="preserve"> PAGE </w:instrText>
        </w:r>
        <w:r w:rsidRPr="00FC2AA1">
          <w:rPr>
            <w:szCs w:val="20"/>
          </w:rPr>
          <w:fldChar w:fldCharType="separate"/>
        </w:r>
        <w:r w:rsidRPr="00FC2AA1">
          <w:rPr>
            <w:szCs w:val="20"/>
          </w:rPr>
          <w:t>2</w:t>
        </w:r>
        <w:r w:rsidRPr="00FC2AA1">
          <w:rPr>
            <w:szCs w:val="20"/>
          </w:rPr>
          <w:fldChar w:fldCharType="end"/>
        </w:r>
        <w:r w:rsidRPr="00FC2AA1">
          <w:rPr>
            <w:szCs w:val="20"/>
          </w:rPr>
          <w:t>/</w:t>
        </w:r>
        <w:r w:rsidRPr="00FC2AA1">
          <w:rPr>
            <w:szCs w:val="20"/>
          </w:rPr>
          <w:fldChar w:fldCharType="begin"/>
        </w:r>
        <w:r w:rsidRPr="00FC2AA1">
          <w:rPr>
            <w:szCs w:val="20"/>
          </w:rPr>
          <w:instrText xml:space="preserve"> NUMPAGES  </w:instrText>
        </w:r>
        <w:r w:rsidRPr="00FC2AA1">
          <w:rPr>
            <w:szCs w:val="20"/>
          </w:rPr>
          <w:fldChar w:fldCharType="separate"/>
        </w:r>
        <w:r w:rsidRPr="00FC2AA1">
          <w:rPr>
            <w:szCs w:val="20"/>
          </w:rPr>
          <w:t>3</w:t>
        </w:r>
        <w:r w:rsidRPr="00FC2AA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40706" w14:textId="77777777" w:rsidR="0021045F" w:rsidRDefault="0021045F">
      <w:r>
        <w:separator/>
      </w:r>
    </w:p>
  </w:footnote>
  <w:footnote w:type="continuationSeparator" w:id="0">
    <w:p w14:paraId="03C0CA57" w14:textId="77777777" w:rsidR="0021045F" w:rsidRDefault="0021045F">
      <w:r>
        <w:continuationSeparator/>
      </w:r>
    </w:p>
  </w:footnote>
  <w:footnote w:id="1">
    <w:p w14:paraId="2847B4D4" w14:textId="7B5C1DAC" w:rsidR="008453C9" w:rsidRPr="00F95C52" w:rsidRDefault="008453C9">
      <w:pPr>
        <w:pStyle w:val="FootnoteText"/>
        <w:rPr>
          <w:lang w:val="en-CA"/>
        </w:rPr>
      </w:pPr>
      <w:r>
        <w:rPr>
          <w:rStyle w:val="FootnoteReference"/>
        </w:rPr>
        <w:t>*</w:t>
      </w:r>
      <w:r>
        <w:t xml:space="preserve"> </w:t>
      </w:r>
      <w:hyperlink r:id="rId1" w:history="1">
        <w:r w:rsidRPr="0007469A">
          <w:rPr>
            <w:rStyle w:val="Hyperlink"/>
            <w:lang w:val="en-CA"/>
          </w:rPr>
          <w:t>CBD/CP/MOP/12/1</w:t>
        </w:r>
      </w:hyperlink>
      <w:r>
        <w:rPr>
          <w:lang w:val="en-CA"/>
        </w:rPr>
        <w:t>.</w:t>
      </w:r>
    </w:p>
  </w:footnote>
  <w:footnote w:id="2">
    <w:p w14:paraId="6DB28322" w14:textId="5FC07C2C" w:rsidR="004A3499" w:rsidRDefault="004A3499" w:rsidP="004A3499">
      <w:pPr>
        <w:pStyle w:val="FootnoteText"/>
      </w:pPr>
      <w:r>
        <w:rPr>
          <w:rStyle w:val="FootnoteReference"/>
        </w:rPr>
        <w:footnoteRef/>
      </w:r>
      <w:r>
        <w:t xml:space="preserve"> </w:t>
      </w:r>
      <w:hyperlink r:id="rId2" w:history="1">
        <w:r w:rsidR="00E2590D" w:rsidRPr="00950471">
          <w:rPr>
            <w:rStyle w:val="Hyperlink"/>
          </w:rPr>
          <w:t>CBD/CC/20/6</w:t>
        </w:r>
      </w:hyperlink>
      <w:r w:rsidR="00FE3EAA">
        <w:t xml:space="preserve"> and </w:t>
      </w:r>
      <w:hyperlink r:id="rId3" w:history="1">
        <w:r w:rsidR="00FE3EAA" w:rsidRPr="008D2A0B">
          <w:rPr>
            <w:rStyle w:val="Hyperlink"/>
          </w:rPr>
          <w:t>CBD/CC/21/5</w:t>
        </w:r>
      </w:hyperlink>
      <w:r w:rsidR="00FE3EAA">
        <w:t>, respectively</w:t>
      </w:r>
      <w:r>
        <w:t xml:space="preserve">. </w:t>
      </w:r>
    </w:p>
  </w:footnote>
  <w:footnote w:id="3">
    <w:p w14:paraId="23BD9362" w14:textId="22E26169" w:rsidR="00A47CC6" w:rsidRDefault="001643AF" w:rsidP="000F6DBE">
      <w:pPr>
        <w:pStyle w:val="FootnoteText"/>
      </w:pPr>
      <w:r>
        <w:rPr>
          <w:rStyle w:val="FootnoteReference"/>
        </w:rPr>
        <w:sym w:font="Symbol" w:char="F02A"/>
      </w:r>
      <w:r>
        <w:t xml:space="preserve"> </w:t>
      </w:r>
      <w:r>
        <w:rPr>
          <w:szCs w:val="18"/>
        </w:rPr>
        <w:t>Following the practice adopted at previous meetings of the Conference of the Parties serving as the meeting of the Parties to the Protocol, recommendations may be allocated to the agenda items to which they are most closely related.</w:t>
      </w:r>
    </w:p>
  </w:footnote>
  <w:footnote w:id="4">
    <w:p w14:paraId="18625AB7" w14:textId="110DC7FE" w:rsidR="00C40C3B" w:rsidRPr="00F95C52" w:rsidRDefault="00C40C3B">
      <w:pPr>
        <w:pStyle w:val="FootnoteText"/>
        <w:rPr>
          <w:lang w:val="en-CA"/>
        </w:rPr>
      </w:pPr>
      <w:r>
        <w:rPr>
          <w:rStyle w:val="FootnoteReference"/>
        </w:rPr>
        <w:footnoteRef/>
      </w:r>
      <w:r>
        <w:t xml:space="preserve"> </w:t>
      </w:r>
      <w:r w:rsidRPr="00C40C3B">
        <w:t xml:space="preserve">United Nations, </w:t>
      </w:r>
      <w:r w:rsidRPr="00F95C52">
        <w:rPr>
          <w:i/>
          <w:iCs/>
        </w:rPr>
        <w:t>Treaty Series</w:t>
      </w:r>
      <w:r w:rsidRPr="00C40C3B">
        <w:t>, vol. 2226, No. 30619.</w:t>
      </w:r>
    </w:p>
  </w:footnote>
  <w:footnote w:id="5">
    <w:p w14:paraId="05AAFCED" w14:textId="77777777" w:rsidR="00A47CC6" w:rsidRDefault="001643AF">
      <w:pPr>
        <w:pStyle w:val="FootnoteText"/>
      </w:pPr>
      <w:r>
        <w:rPr>
          <w:rStyle w:val="FootnoteReference"/>
        </w:rPr>
        <w:footnoteRef/>
      </w:r>
      <w:r>
        <w:t xml:space="preserve"> Decision </w:t>
      </w:r>
      <w:hyperlink r:id="rId4" w:history="1">
        <w:r w:rsidR="00A47CC6">
          <w:rPr>
            <w:rStyle w:val="Hyperlink"/>
          </w:rPr>
          <w:t>BS-I/3</w:t>
        </w:r>
      </w:hyperlink>
      <w:r>
        <w:t>, annex.</w:t>
      </w:r>
    </w:p>
  </w:footnote>
  <w:footnote w:id="6">
    <w:p w14:paraId="7FAA0089" w14:textId="4D930211" w:rsidR="00E47D1F" w:rsidRPr="00F95C52" w:rsidRDefault="00E47D1F">
      <w:pPr>
        <w:pStyle w:val="FootnoteText"/>
        <w:rPr>
          <w:lang w:val="en-CA"/>
        </w:rPr>
      </w:pPr>
      <w:r>
        <w:rPr>
          <w:rStyle w:val="FootnoteReference"/>
        </w:rPr>
        <w:footnoteRef/>
      </w:r>
      <w:r>
        <w:t xml:space="preserve"> </w:t>
      </w:r>
      <w:r>
        <w:rPr>
          <w:lang w:val="en-CA"/>
        </w:rPr>
        <w:t xml:space="preserve">Decision </w:t>
      </w:r>
      <w:hyperlink r:id="rId5" w:history="1">
        <w:r w:rsidRPr="000D0704">
          <w:rPr>
            <w:rStyle w:val="Hyperlink"/>
            <w:lang w:val="en-CA"/>
          </w:rPr>
          <w:t>15/4</w:t>
        </w:r>
      </w:hyperlink>
      <w:r>
        <w:rPr>
          <w:lang w:val="en-CA"/>
        </w:rPr>
        <w:t>, annex.</w:t>
      </w:r>
    </w:p>
  </w:footnote>
  <w:footnote w:id="7">
    <w:p w14:paraId="49D9DEC8" w14:textId="43D5A885" w:rsidR="000A6EB4" w:rsidRPr="000A6EB4" w:rsidRDefault="000A6EB4">
      <w:pPr>
        <w:pStyle w:val="FootnoteText"/>
      </w:pPr>
      <w:r>
        <w:rPr>
          <w:rStyle w:val="FootnoteReference"/>
        </w:rPr>
        <w:footnoteRef/>
      </w:r>
      <w:r>
        <w:t xml:space="preserve"> </w:t>
      </w:r>
      <w:r w:rsidRPr="000A6EB4">
        <w:t xml:space="preserve">United Nations, </w:t>
      </w:r>
      <w:r w:rsidRPr="00F95C52">
        <w:rPr>
          <w:i/>
          <w:iCs/>
        </w:rPr>
        <w:t>Treaty Series</w:t>
      </w:r>
      <w:r w:rsidRPr="000A6EB4">
        <w:t>, vol. 1760, No. 30619.</w:t>
      </w:r>
    </w:p>
  </w:footnote>
  <w:footnote w:id="8">
    <w:p w14:paraId="170C1894" w14:textId="7124B16A" w:rsidR="00211ED6" w:rsidRPr="00211ED6" w:rsidRDefault="00211ED6">
      <w:pPr>
        <w:pStyle w:val="FootnoteText"/>
      </w:pPr>
      <w:r>
        <w:rPr>
          <w:rStyle w:val="FootnoteReference"/>
        </w:rPr>
        <w:footnoteRef/>
      </w:r>
      <w:r w:rsidR="001858FB">
        <w:t xml:space="preserve"> </w:t>
      </w:r>
      <w:r w:rsidR="001858FB" w:rsidRPr="00F95C52">
        <w:t>Ibid.</w:t>
      </w:r>
      <w:r w:rsidRPr="00C40C3B">
        <w:t>, vol. 2226, No. 30619.</w:t>
      </w:r>
    </w:p>
  </w:footnote>
  <w:footnote w:id="9">
    <w:p w14:paraId="055F5F67" w14:textId="1DA7650E" w:rsidR="00CB24F9" w:rsidRDefault="00CB24F9">
      <w:pPr>
        <w:pStyle w:val="FootnoteText"/>
      </w:pPr>
      <w:r>
        <w:rPr>
          <w:rStyle w:val="FootnoteReference"/>
        </w:rPr>
        <w:footnoteRef/>
      </w:r>
      <w:r>
        <w:t xml:space="preserve"> Ibid.</w:t>
      </w:r>
    </w:p>
  </w:footnote>
  <w:footnote w:id="10">
    <w:p w14:paraId="2B12C00D" w14:textId="17E86297" w:rsidR="00B213E3" w:rsidRDefault="00B213E3">
      <w:pPr>
        <w:pStyle w:val="FootnoteText"/>
      </w:pPr>
      <w:r>
        <w:rPr>
          <w:rStyle w:val="FootnoteReference"/>
        </w:rPr>
        <w:footnoteRef/>
      </w:r>
      <w:r>
        <w:t xml:space="preserve"> </w:t>
      </w:r>
      <w:r w:rsidR="00957B62">
        <w:t>Ibid.</w:t>
      </w:r>
      <w:r w:rsidRPr="000A6EB4">
        <w:t>, vol. 1760, No. 30619</w:t>
      </w:r>
    </w:p>
  </w:footnote>
  <w:footnote w:id="11">
    <w:p w14:paraId="628375DD" w14:textId="27B728D2" w:rsidR="001C7B2A" w:rsidRPr="00F95C52" w:rsidRDefault="001C7B2A">
      <w:pPr>
        <w:pStyle w:val="FootnoteText"/>
        <w:rPr>
          <w:lang w:val="en-CA"/>
        </w:rPr>
      </w:pPr>
      <w:r>
        <w:rPr>
          <w:rStyle w:val="FootnoteReference"/>
        </w:rPr>
        <w:footnoteRef/>
      </w:r>
      <w:r>
        <w:t xml:space="preserve"> </w:t>
      </w:r>
      <w:r w:rsidR="00E42899">
        <w:t>Ibid</w:t>
      </w:r>
      <w:r w:rsidR="00AA58D9">
        <w:t>.</w:t>
      </w:r>
      <w:r w:rsidR="00CD1571">
        <w:t xml:space="preserve">, </w:t>
      </w:r>
      <w:r w:rsidR="00CD1571" w:rsidRPr="00C40C3B">
        <w:t>vol. 2226,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DAC641C" w14:textId="77777777" w:rsidR="00A47CC6" w:rsidRDefault="001643AF" w:rsidP="00F95C52">
        <w:pPr>
          <w:pStyle w:val="ABSymbol"/>
          <w:pBdr>
            <w:bottom w:val="single" w:sz="4" w:space="1" w:color="auto"/>
          </w:pBdr>
          <w:tabs>
            <w:tab w:val="clear" w:pos="567"/>
          </w:tabs>
          <w:spacing w:after="240"/>
          <w:ind w:left="0"/>
          <w:jc w:val="left"/>
        </w:pPr>
        <w:r>
          <w:t>CBD/CP/MOP/12/3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id w:val="851227268"/>
      <w:dataBinding w:prefixMappings="xmlns:ns0='http://purl.org/dc/elements/1.1/' xmlns:ns1='http://schemas.openxmlformats.org/package/2006/metadata/core-properties' " w:xpath="/ns1:coreProperties[1]/ns0:subject[1]" w:storeItemID="{6C3C8BC8-F283-45AE-878A-BAB7291924A1}"/>
      <w:text/>
    </w:sdtPr>
    <w:sdtEndPr/>
    <w:sdtContent>
      <w:p w14:paraId="780C8FA0" w14:textId="77777777" w:rsidR="00A47CC6" w:rsidRDefault="001643AF">
        <w:pPr>
          <w:pStyle w:val="Header"/>
          <w:spacing w:after="240"/>
          <w:jc w:val="right"/>
        </w:pPr>
        <w:r>
          <w:t>CBD/CP/MOP/12/3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F3BC0" w14:textId="77777777" w:rsidR="00A47CC6" w:rsidRPr="00E64B29" w:rsidRDefault="00A47CC6" w:rsidP="00F95C52">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13156"/>
    <w:multiLevelType w:val="hybridMultilevel"/>
    <w:tmpl w:val="F642F158"/>
    <w:lvl w:ilvl="0" w:tplc="81C83BFE">
      <w:start w:val="1"/>
      <w:numFmt w:val="upperRoman"/>
      <w:lvlText w:val="%1."/>
      <w:lvlJc w:val="right"/>
      <w:pPr>
        <w:ind w:left="72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202814"/>
    <w:multiLevelType w:val="multilevel"/>
    <w:tmpl w:val="19202814"/>
    <w:lvl w:ilvl="0">
      <w:start w:val="1"/>
      <w:numFmt w:val="decimal"/>
      <w:lvlText w:val="%1."/>
      <w:lvlJc w:val="left"/>
      <w:pPr>
        <w:ind w:left="1170" w:hanging="360"/>
      </w:pPr>
      <w:rPr>
        <w:rFonts w:hint="default"/>
        <w:b w:val="0"/>
        <w:bCs w:val="0"/>
        <w:i w:val="0"/>
        <w:i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 w15:restartNumberingAfterBreak="0">
    <w:nsid w:val="1AD479C5"/>
    <w:multiLevelType w:val="multilevel"/>
    <w:tmpl w:val="FF9225CA"/>
    <w:lvl w:ilvl="0">
      <w:start w:val="1"/>
      <w:numFmt w:val="decimal"/>
      <w:lvlText w:val="%1."/>
      <w:lvlJc w:val="left"/>
      <w:pPr>
        <w:ind w:left="1260" w:hanging="360"/>
      </w:pPr>
      <w:rPr>
        <w:rFonts w:hint="default"/>
        <w:i w:val="0"/>
        <w:iCs w:val="0"/>
        <w:sz w:val="22"/>
        <w:szCs w:val="22"/>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3" w15:restartNumberingAfterBreak="0">
    <w:nsid w:val="3D7B6777"/>
    <w:multiLevelType w:val="multilevel"/>
    <w:tmpl w:val="3D7B6777"/>
    <w:lvl w:ilvl="0">
      <w:start w:val="1"/>
      <w:numFmt w:val="decimal"/>
      <w:lvlText w:val="%1."/>
      <w:lvlJc w:val="left"/>
      <w:pPr>
        <w:ind w:left="2376" w:hanging="360"/>
      </w:pPr>
      <w:rPr>
        <w:rFonts w:hint="default"/>
      </w:rPr>
    </w:lvl>
    <w:lvl w:ilvl="1">
      <w:start w:val="1"/>
      <w:numFmt w:val="lowerLetter"/>
      <w:lvlText w:val="%2."/>
      <w:lvlJc w:val="left"/>
      <w:pPr>
        <w:ind w:left="3096" w:hanging="360"/>
      </w:pPr>
    </w:lvl>
    <w:lvl w:ilvl="2">
      <w:start w:val="1"/>
      <w:numFmt w:val="lowerRoman"/>
      <w:lvlText w:val="%3."/>
      <w:lvlJc w:val="right"/>
      <w:pPr>
        <w:ind w:left="3816" w:hanging="180"/>
      </w:pPr>
    </w:lvl>
    <w:lvl w:ilvl="3">
      <w:start w:val="1"/>
      <w:numFmt w:val="decimal"/>
      <w:lvlText w:val="%4."/>
      <w:lvlJc w:val="left"/>
      <w:pPr>
        <w:ind w:left="4536" w:hanging="360"/>
      </w:pPr>
    </w:lvl>
    <w:lvl w:ilvl="4">
      <w:start w:val="1"/>
      <w:numFmt w:val="lowerLetter"/>
      <w:lvlText w:val="%5."/>
      <w:lvlJc w:val="left"/>
      <w:pPr>
        <w:ind w:left="5256" w:hanging="360"/>
      </w:pPr>
    </w:lvl>
    <w:lvl w:ilvl="5">
      <w:start w:val="1"/>
      <w:numFmt w:val="lowerRoman"/>
      <w:lvlText w:val="%6."/>
      <w:lvlJc w:val="right"/>
      <w:pPr>
        <w:ind w:left="5976" w:hanging="180"/>
      </w:pPr>
    </w:lvl>
    <w:lvl w:ilvl="6">
      <w:start w:val="1"/>
      <w:numFmt w:val="decimal"/>
      <w:lvlText w:val="%7."/>
      <w:lvlJc w:val="left"/>
      <w:pPr>
        <w:ind w:left="6696" w:hanging="360"/>
      </w:pPr>
    </w:lvl>
    <w:lvl w:ilvl="7">
      <w:start w:val="1"/>
      <w:numFmt w:val="lowerLetter"/>
      <w:lvlText w:val="%8."/>
      <w:lvlJc w:val="left"/>
      <w:pPr>
        <w:ind w:left="7416" w:hanging="360"/>
      </w:pPr>
    </w:lvl>
    <w:lvl w:ilvl="8">
      <w:start w:val="1"/>
      <w:numFmt w:val="lowerRoman"/>
      <w:lvlText w:val="%9."/>
      <w:lvlJc w:val="right"/>
      <w:pPr>
        <w:ind w:left="8136" w:hanging="180"/>
      </w:pPr>
    </w:lvl>
  </w:abstractNum>
  <w:abstractNum w:abstractNumId="4" w15:restartNumberingAfterBreak="0">
    <w:nsid w:val="48E4287B"/>
    <w:multiLevelType w:val="multilevel"/>
    <w:tmpl w:val="48E4287B"/>
    <w:lvl w:ilvl="0">
      <w:start w:val="1"/>
      <w:numFmt w:val="decimal"/>
      <w:lvlText w:val="%1."/>
      <w:lvlJc w:val="left"/>
      <w:pPr>
        <w:tabs>
          <w:tab w:val="left" w:pos="360"/>
        </w:tabs>
        <w:ind w:left="0" w:firstLine="0"/>
      </w:pPr>
    </w:lvl>
    <w:lvl w:ilvl="1">
      <w:start w:val="1"/>
      <w:numFmt w:val="lowerLetter"/>
      <w:lvlText w:val="(%2)"/>
      <w:lvlJc w:val="left"/>
      <w:pPr>
        <w:tabs>
          <w:tab w:val="left" w:pos="1440"/>
        </w:tabs>
        <w:ind w:left="0" w:firstLine="720"/>
      </w:pPr>
    </w:lvl>
    <w:lvl w:ilvl="2">
      <w:start w:val="1"/>
      <w:numFmt w:val="lowerRoman"/>
      <w:lvlText w:val="(%3)"/>
      <w:lvlJc w:val="right"/>
      <w:pPr>
        <w:tabs>
          <w:tab w:val="left" w:pos="1440"/>
        </w:tabs>
        <w:ind w:left="1440" w:hanging="360"/>
      </w:pPr>
    </w:lvl>
    <w:lvl w:ilvl="3">
      <w:start w:val="1"/>
      <w:numFmt w:val="bullet"/>
      <w:pStyle w:val="Para3"/>
      <w:lvlText w:val=""/>
      <w:lvlJc w:val="left"/>
      <w:pPr>
        <w:tabs>
          <w:tab w:val="left" w:pos="2160"/>
        </w:tabs>
        <w:ind w:left="2160" w:hanging="720"/>
      </w:pPr>
      <w:rPr>
        <w:rFonts w:ascii="Symbol" w:hAnsi="Symbol" w:hint="default"/>
        <w:sz w:val="28"/>
      </w:rPr>
    </w:lvl>
    <w:lvl w:ilvl="4">
      <w:start w:val="1"/>
      <w:numFmt w:val="lowerLetter"/>
      <w:lvlText w:val="(%5)"/>
      <w:lvlJc w:val="left"/>
      <w:pPr>
        <w:tabs>
          <w:tab w:val="left" w:pos="1800"/>
        </w:tabs>
        <w:ind w:left="1800" w:hanging="36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5"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6"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 w15:restartNumberingAfterBreak="0">
    <w:nsid w:val="66E22BD7"/>
    <w:multiLevelType w:val="multilevel"/>
    <w:tmpl w:val="66E22BD7"/>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8" w15:restartNumberingAfterBreak="0">
    <w:nsid w:val="6D191DF4"/>
    <w:multiLevelType w:val="multilevel"/>
    <w:tmpl w:val="6D191DF4"/>
    <w:lvl w:ilvl="0">
      <w:start w:val="1"/>
      <w:numFmt w:val="upperRoman"/>
      <w:pStyle w:val="Heading1"/>
      <w:lvlText w:val="%1."/>
      <w:lvlJc w:val="left"/>
      <w:pPr>
        <w:tabs>
          <w:tab w:val="left" w:pos="567"/>
        </w:tabs>
        <w:ind w:left="567" w:hanging="567"/>
      </w:pPr>
      <w:rPr>
        <w:rFonts w:ascii="Times New Roman" w:hAnsi="Times New Roman" w:hint="default"/>
        <w:sz w:val="28"/>
      </w:rPr>
    </w:lvl>
    <w:lvl w:ilvl="1">
      <w:start w:val="1"/>
      <w:numFmt w:val="upperLetter"/>
      <w:pStyle w:val="Heading2"/>
      <w:lvlText w:val="%2."/>
      <w:lvlJc w:val="left"/>
      <w:pPr>
        <w:tabs>
          <w:tab w:val="left"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left"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left" w:pos="567"/>
        </w:tabs>
        <w:ind w:left="567" w:hanging="567"/>
      </w:pPr>
      <w:rPr>
        <w:rFonts w:ascii="Times New Roman Bold" w:hAnsi="Times New Roman Bold" w:hint="default"/>
        <w:b/>
        <w:i w:val="0"/>
        <w:sz w:val="22"/>
      </w:rPr>
    </w:lvl>
    <w:lvl w:ilvl="4">
      <w:start w:val="1"/>
      <w:numFmt w:val="lowerRoman"/>
      <w:pStyle w:val="Heading5"/>
      <w:lvlText w:val="(%5)"/>
      <w:lvlJc w:val="left"/>
      <w:pPr>
        <w:tabs>
          <w:tab w:val="left"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multilevel"/>
    <w:tmpl w:val="6ED82968"/>
    <w:lvl w:ilvl="0">
      <w:start w:val="1"/>
      <w:numFmt w:val="bullet"/>
      <w:pStyle w:val="CBD-Doc"/>
      <w:lvlText w:val=""/>
      <w:lvlJc w:val="left"/>
      <w:pPr>
        <w:tabs>
          <w:tab w:val="left" w:pos="567"/>
        </w:tabs>
        <w:ind w:left="567" w:hanging="567"/>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0" w15:restartNumberingAfterBreak="0">
    <w:nsid w:val="6FF7321D"/>
    <w:multiLevelType w:val="multilevel"/>
    <w:tmpl w:val="6FF7321D"/>
    <w:lvl w:ilvl="0">
      <w:start w:val="1"/>
      <w:numFmt w:val="upperRoman"/>
      <w:lvlText w:val="%1."/>
      <w:lvlJc w:val="right"/>
      <w:pPr>
        <w:tabs>
          <w:tab w:val="left"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left"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B2F11E3"/>
    <w:multiLevelType w:val="multilevel"/>
    <w:tmpl w:val="7B2F11E3"/>
    <w:lvl w:ilvl="0">
      <w:start w:val="1"/>
      <w:numFmt w:val="decimal"/>
      <w:lvlText w:val="%1."/>
      <w:lvlJc w:val="left"/>
      <w:pPr>
        <w:ind w:left="1170" w:hanging="360"/>
      </w:pPr>
      <w:rPr>
        <w:rFonts w:hint="default"/>
        <w:b w:val="0"/>
        <w:bCs w:val="0"/>
        <w:i w:val="0"/>
        <w:i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num w:numId="1" w16cid:durableId="1557660969">
    <w:abstractNumId w:val="8"/>
  </w:num>
  <w:num w:numId="2" w16cid:durableId="2121952252">
    <w:abstractNumId w:val="10"/>
  </w:num>
  <w:num w:numId="3" w16cid:durableId="1505824335">
    <w:abstractNumId w:val="5"/>
  </w:num>
  <w:num w:numId="4" w16cid:durableId="183449055">
    <w:abstractNumId w:val="4"/>
  </w:num>
  <w:num w:numId="5" w16cid:durableId="382869635">
    <w:abstractNumId w:val="9"/>
  </w:num>
  <w:num w:numId="6" w16cid:durableId="775947356">
    <w:abstractNumId w:val="2"/>
  </w:num>
  <w:num w:numId="7" w16cid:durableId="1948272757">
    <w:abstractNumId w:val="6"/>
  </w:num>
  <w:num w:numId="8" w16cid:durableId="1269432760">
    <w:abstractNumId w:val="1"/>
  </w:num>
  <w:num w:numId="9" w16cid:durableId="1703247620">
    <w:abstractNumId w:val="7"/>
  </w:num>
  <w:num w:numId="10" w16cid:durableId="1380517621">
    <w:abstractNumId w:val="11"/>
  </w:num>
  <w:num w:numId="11" w16cid:durableId="344673580">
    <w:abstractNumId w:val="3"/>
  </w:num>
  <w:num w:numId="12" w16cid:durableId="2078547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saveSubsetFonts/>
  <w:proofState w:spelling="clean" w:grammar="clean"/>
  <w:attachedTemplate r:id="rId1"/>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DB7"/>
    <w:rsid w:val="00000318"/>
    <w:rsid w:val="0000051D"/>
    <w:rsid w:val="00000ED4"/>
    <w:rsid w:val="00001448"/>
    <w:rsid w:val="00001985"/>
    <w:rsid w:val="00004805"/>
    <w:rsid w:val="00005DA0"/>
    <w:rsid w:val="000064F9"/>
    <w:rsid w:val="000071A4"/>
    <w:rsid w:val="000071E9"/>
    <w:rsid w:val="00010486"/>
    <w:rsid w:val="00013020"/>
    <w:rsid w:val="00013784"/>
    <w:rsid w:val="000143CF"/>
    <w:rsid w:val="00016FDE"/>
    <w:rsid w:val="000200B2"/>
    <w:rsid w:val="00024CEC"/>
    <w:rsid w:val="00027A58"/>
    <w:rsid w:val="00027B34"/>
    <w:rsid w:val="00027F7E"/>
    <w:rsid w:val="000315F2"/>
    <w:rsid w:val="00031903"/>
    <w:rsid w:val="000326EB"/>
    <w:rsid w:val="00033809"/>
    <w:rsid w:val="00034FDA"/>
    <w:rsid w:val="00035139"/>
    <w:rsid w:val="000353F2"/>
    <w:rsid w:val="000355B4"/>
    <w:rsid w:val="00036482"/>
    <w:rsid w:val="00037E87"/>
    <w:rsid w:val="000401DA"/>
    <w:rsid w:val="000418CF"/>
    <w:rsid w:val="00042413"/>
    <w:rsid w:val="00042424"/>
    <w:rsid w:val="0004316D"/>
    <w:rsid w:val="00044D79"/>
    <w:rsid w:val="00044EE5"/>
    <w:rsid w:val="00046413"/>
    <w:rsid w:val="000477C2"/>
    <w:rsid w:val="0005001F"/>
    <w:rsid w:val="00050917"/>
    <w:rsid w:val="0005095E"/>
    <w:rsid w:val="00051738"/>
    <w:rsid w:val="00054B5C"/>
    <w:rsid w:val="00055E0F"/>
    <w:rsid w:val="0005623D"/>
    <w:rsid w:val="00057253"/>
    <w:rsid w:val="00060687"/>
    <w:rsid w:val="00062833"/>
    <w:rsid w:val="00063162"/>
    <w:rsid w:val="00063AB5"/>
    <w:rsid w:val="00064AD2"/>
    <w:rsid w:val="00066972"/>
    <w:rsid w:val="00070692"/>
    <w:rsid w:val="00070826"/>
    <w:rsid w:val="00070DD0"/>
    <w:rsid w:val="0007171B"/>
    <w:rsid w:val="00071E20"/>
    <w:rsid w:val="000724A0"/>
    <w:rsid w:val="000741FC"/>
    <w:rsid w:val="0007469A"/>
    <w:rsid w:val="00075129"/>
    <w:rsid w:val="000822A3"/>
    <w:rsid w:val="00085A80"/>
    <w:rsid w:val="00090361"/>
    <w:rsid w:val="000904A2"/>
    <w:rsid w:val="000929A1"/>
    <w:rsid w:val="00096B39"/>
    <w:rsid w:val="00096ED0"/>
    <w:rsid w:val="000976F1"/>
    <w:rsid w:val="000A0E1C"/>
    <w:rsid w:val="000A1673"/>
    <w:rsid w:val="000A2336"/>
    <w:rsid w:val="000A2F1B"/>
    <w:rsid w:val="000A4DF9"/>
    <w:rsid w:val="000A6EB4"/>
    <w:rsid w:val="000B0D80"/>
    <w:rsid w:val="000B1E48"/>
    <w:rsid w:val="000B3498"/>
    <w:rsid w:val="000B499B"/>
    <w:rsid w:val="000B5741"/>
    <w:rsid w:val="000B58EB"/>
    <w:rsid w:val="000B68D4"/>
    <w:rsid w:val="000B6E2D"/>
    <w:rsid w:val="000B6EB8"/>
    <w:rsid w:val="000B6F95"/>
    <w:rsid w:val="000B78F9"/>
    <w:rsid w:val="000B7C9A"/>
    <w:rsid w:val="000C042A"/>
    <w:rsid w:val="000C179D"/>
    <w:rsid w:val="000C22D7"/>
    <w:rsid w:val="000C2346"/>
    <w:rsid w:val="000C2AF4"/>
    <w:rsid w:val="000C5350"/>
    <w:rsid w:val="000C542B"/>
    <w:rsid w:val="000C54F2"/>
    <w:rsid w:val="000C5D78"/>
    <w:rsid w:val="000C616C"/>
    <w:rsid w:val="000C6BCF"/>
    <w:rsid w:val="000D02E2"/>
    <w:rsid w:val="000D0704"/>
    <w:rsid w:val="000D0E2D"/>
    <w:rsid w:val="000D0F68"/>
    <w:rsid w:val="000D241A"/>
    <w:rsid w:val="000D26E8"/>
    <w:rsid w:val="000D3367"/>
    <w:rsid w:val="000D4B94"/>
    <w:rsid w:val="000D5BD4"/>
    <w:rsid w:val="000D6E6D"/>
    <w:rsid w:val="000E0F24"/>
    <w:rsid w:val="000E3164"/>
    <w:rsid w:val="000E3184"/>
    <w:rsid w:val="000E45F2"/>
    <w:rsid w:val="000E673A"/>
    <w:rsid w:val="000F0AFF"/>
    <w:rsid w:val="000F13E4"/>
    <w:rsid w:val="000F1C92"/>
    <w:rsid w:val="000F2FBD"/>
    <w:rsid w:val="000F4412"/>
    <w:rsid w:val="000F51E6"/>
    <w:rsid w:val="000F6945"/>
    <w:rsid w:val="000F6DBE"/>
    <w:rsid w:val="000F74F5"/>
    <w:rsid w:val="000F78FC"/>
    <w:rsid w:val="00100EDC"/>
    <w:rsid w:val="001011B9"/>
    <w:rsid w:val="00102895"/>
    <w:rsid w:val="00102A97"/>
    <w:rsid w:val="00105372"/>
    <w:rsid w:val="001054A6"/>
    <w:rsid w:val="00106B8D"/>
    <w:rsid w:val="00106D6B"/>
    <w:rsid w:val="00107033"/>
    <w:rsid w:val="001078A1"/>
    <w:rsid w:val="00110447"/>
    <w:rsid w:val="00110DBD"/>
    <w:rsid w:val="001117A3"/>
    <w:rsid w:val="0011185D"/>
    <w:rsid w:val="00111D9C"/>
    <w:rsid w:val="001122B2"/>
    <w:rsid w:val="001128CE"/>
    <w:rsid w:val="00113DE7"/>
    <w:rsid w:val="00113F4C"/>
    <w:rsid w:val="00114780"/>
    <w:rsid w:val="0011552D"/>
    <w:rsid w:val="00116987"/>
    <w:rsid w:val="00121654"/>
    <w:rsid w:val="00123437"/>
    <w:rsid w:val="0012352E"/>
    <w:rsid w:val="001235A1"/>
    <w:rsid w:val="001242DE"/>
    <w:rsid w:val="00124F24"/>
    <w:rsid w:val="00127904"/>
    <w:rsid w:val="001312AD"/>
    <w:rsid w:val="0013189D"/>
    <w:rsid w:val="00131E7A"/>
    <w:rsid w:val="001339AD"/>
    <w:rsid w:val="00133DF5"/>
    <w:rsid w:val="00134846"/>
    <w:rsid w:val="00134DF2"/>
    <w:rsid w:val="00135362"/>
    <w:rsid w:val="0013628D"/>
    <w:rsid w:val="001400DA"/>
    <w:rsid w:val="0014082C"/>
    <w:rsid w:val="00140E01"/>
    <w:rsid w:val="00141412"/>
    <w:rsid w:val="00141DCF"/>
    <w:rsid w:val="00142713"/>
    <w:rsid w:val="00143BEF"/>
    <w:rsid w:val="0014472A"/>
    <w:rsid w:val="00146372"/>
    <w:rsid w:val="00146681"/>
    <w:rsid w:val="00150EEE"/>
    <w:rsid w:val="0015326F"/>
    <w:rsid w:val="001542C3"/>
    <w:rsid w:val="001550B3"/>
    <w:rsid w:val="00155439"/>
    <w:rsid w:val="00156270"/>
    <w:rsid w:val="001575BC"/>
    <w:rsid w:val="00157ECE"/>
    <w:rsid w:val="00161C2D"/>
    <w:rsid w:val="0016350F"/>
    <w:rsid w:val="001643AF"/>
    <w:rsid w:val="001657BE"/>
    <w:rsid w:val="00165C93"/>
    <w:rsid w:val="001666B3"/>
    <w:rsid w:val="00170769"/>
    <w:rsid w:val="00172AF6"/>
    <w:rsid w:val="00173648"/>
    <w:rsid w:val="00173DD6"/>
    <w:rsid w:val="00174393"/>
    <w:rsid w:val="00174D0A"/>
    <w:rsid w:val="00175A66"/>
    <w:rsid w:val="0017602C"/>
    <w:rsid w:val="0017675C"/>
    <w:rsid w:val="00176CEE"/>
    <w:rsid w:val="00181FA1"/>
    <w:rsid w:val="0018251E"/>
    <w:rsid w:val="001828D9"/>
    <w:rsid w:val="001858FB"/>
    <w:rsid w:val="00185F0F"/>
    <w:rsid w:val="00186BAF"/>
    <w:rsid w:val="00186DD8"/>
    <w:rsid w:val="00187AB7"/>
    <w:rsid w:val="00191039"/>
    <w:rsid w:val="001928EA"/>
    <w:rsid w:val="001949DA"/>
    <w:rsid w:val="00195B08"/>
    <w:rsid w:val="00196C19"/>
    <w:rsid w:val="0019731D"/>
    <w:rsid w:val="00197341"/>
    <w:rsid w:val="001979AF"/>
    <w:rsid w:val="001A06B7"/>
    <w:rsid w:val="001A17CC"/>
    <w:rsid w:val="001A18A8"/>
    <w:rsid w:val="001A1EAE"/>
    <w:rsid w:val="001A28D9"/>
    <w:rsid w:val="001A29D5"/>
    <w:rsid w:val="001A35EC"/>
    <w:rsid w:val="001A3791"/>
    <w:rsid w:val="001A38CC"/>
    <w:rsid w:val="001A3BFA"/>
    <w:rsid w:val="001A4B67"/>
    <w:rsid w:val="001A4E7F"/>
    <w:rsid w:val="001A5324"/>
    <w:rsid w:val="001A5BB5"/>
    <w:rsid w:val="001A5FA7"/>
    <w:rsid w:val="001A6031"/>
    <w:rsid w:val="001A7A92"/>
    <w:rsid w:val="001B0602"/>
    <w:rsid w:val="001B0FE5"/>
    <w:rsid w:val="001B13AE"/>
    <w:rsid w:val="001B13FE"/>
    <w:rsid w:val="001B1CB3"/>
    <w:rsid w:val="001B2C7F"/>
    <w:rsid w:val="001B413B"/>
    <w:rsid w:val="001B43D5"/>
    <w:rsid w:val="001B45C4"/>
    <w:rsid w:val="001B53C0"/>
    <w:rsid w:val="001B6D7B"/>
    <w:rsid w:val="001B753D"/>
    <w:rsid w:val="001B78D5"/>
    <w:rsid w:val="001C0A3E"/>
    <w:rsid w:val="001C1B5F"/>
    <w:rsid w:val="001C2085"/>
    <w:rsid w:val="001C242F"/>
    <w:rsid w:val="001C2C0A"/>
    <w:rsid w:val="001C3613"/>
    <w:rsid w:val="001C3D23"/>
    <w:rsid w:val="001C441E"/>
    <w:rsid w:val="001C4474"/>
    <w:rsid w:val="001C4ABE"/>
    <w:rsid w:val="001C4BC4"/>
    <w:rsid w:val="001C5EF9"/>
    <w:rsid w:val="001C69CA"/>
    <w:rsid w:val="001C6F88"/>
    <w:rsid w:val="001C74CF"/>
    <w:rsid w:val="001C7B2A"/>
    <w:rsid w:val="001C7B62"/>
    <w:rsid w:val="001D16EF"/>
    <w:rsid w:val="001D27BC"/>
    <w:rsid w:val="001D3ECF"/>
    <w:rsid w:val="001E03C8"/>
    <w:rsid w:val="001E096D"/>
    <w:rsid w:val="001E230C"/>
    <w:rsid w:val="001E2AD1"/>
    <w:rsid w:val="001E454A"/>
    <w:rsid w:val="001E57F1"/>
    <w:rsid w:val="001E5BE6"/>
    <w:rsid w:val="001E600B"/>
    <w:rsid w:val="001E6108"/>
    <w:rsid w:val="001E6A86"/>
    <w:rsid w:val="001F1559"/>
    <w:rsid w:val="001F2951"/>
    <w:rsid w:val="001F2A1A"/>
    <w:rsid w:val="001F3109"/>
    <w:rsid w:val="001F3569"/>
    <w:rsid w:val="001F4321"/>
    <w:rsid w:val="001F5C3D"/>
    <w:rsid w:val="001F5D95"/>
    <w:rsid w:val="001F66D8"/>
    <w:rsid w:val="00200D10"/>
    <w:rsid w:val="002017CE"/>
    <w:rsid w:val="00202C95"/>
    <w:rsid w:val="00203626"/>
    <w:rsid w:val="002052D3"/>
    <w:rsid w:val="00205607"/>
    <w:rsid w:val="0020612E"/>
    <w:rsid w:val="0020757F"/>
    <w:rsid w:val="0021045F"/>
    <w:rsid w:val="00210D68"/>
    <w:rsid w:val="00211269"/>
    <w:rsid w:val="00211ED6"/>
    <w:rsid w:val="0021271E"/>
    <w:rsid w:val="002133BC"/>
    <w:rsid w:val="0021347F"/>
    <w:rsid w:val="00214144"/>
    <w:rsid w:val="002164E1"/>
    <w:rsid w:val="00217176"/>
    <w:rsid w:val="00217A0B"/>
    <w:rsid w:val="00217A7B"/>
    <w:rsid w:val="00220041"/>
    <w:rsid w:val="002204F3"/>
    <w:rsid w:val="00220B01"/>
    <w:rsid w:val="00222570"/>
    <w:rsid w:val="00223E12"/>
    <w:rsid w:val="00226DA3"/>
    <w:rsid w:val="00227D0F"/>
    <w:rsid w:val="002306AB"/>
    <w:rsid w:val="00231717"/>
    <w:rsid w:val="00231A94"/>
    <w:rsid w:val="0023255A"/>
    <w:rsid w:val="00232C88"/>
    <w:rsid w:val="00233930"/>
    <w:rsid w:val="00233BD7"/>
    <w:rsid w:val="00235B6F"/>
    <w:rsid w:val="00237014"/>
    <w:rsid w:val="00241355"/>
    <w:rsid w:val="00244B85"/>
    <w:rsid w:val="0024557D"/>
    <w:rsid w:val="00245890"/>
    <w:rsid w:val="00246E22"/>
    <w:rsid w:val="00250E40"/>
    <w:rsid w:val="00250FD6"/>
    <w:rsid w:val="002520DC"/>
    <w:rsid w:val="0025246D"/>
    <w:rsid w:val="002526BB"/>
    <w:rsid w:val="00253BD5"/>
    <w:rsid w:val="00255090"/>
    <w:rsid w:val="00257AAA"/>
    <w:rsid w:val="00257C6A"/>
    <w:rsid w:val="0026054C"/>
    <w:rsid w:val="00261436"/>
    <w:rsid w:val="00263686"/>
    <w:rsid w:val="002638D1"/>
    <w:rsid w:val="00264D5F"/>
    <w:rsid w:val="00265F5E"/>
    <w:rsid w:val="002675A0"/>
    <w:rsid w:val="00271BCF"/>
    <w:rsid w:val="00273EA8"/>
    <w:rsid w:val="002762C6"/>
    <w:rsid w:val="002769CE"/>
    <w:rsid w:val="0028015F"/>
    <w:rsid w:val="0028104E"/>
    <w:rsid w:val="002812BB"/>
    <w:rsid w:val="002815EE"/>
    <w:rsid w:val="00282983"/>
    <w:rsid w:val="00282ADE"/>
    <w:rsid w:val="00282B23"/>
    <w:rsid w:val="0028304F"/>
    <w:rsid w:val="00284028"/>
    <w:rsid w:val="002869B6"/>
    <w:rsid w:val="00287BCE"/>
    <w:rsid w:val="0029020F"/>
    <w:rsid w:val="00291ED9"/>
    <w:rsid w:val="00293B9A"/>
    <w:rsid w:val="002968E1"/>
    <w:rsid w:val="00297EBE"/>
    <w:rsid w:val="002A1867"/>
    <w:rsid w:val="002A3211"/>
    <w:rsid w:val="002A3E02"/>
    <w:rsid w:val="002A457D"/>
    <w:rsid w:val="002A59B4"/>
    <w:rsid w:val="002A7D5E"/>
    <w:rsid w:val="002B042F"/>
    <w:rsid w:val="002B053A"/>
    <w:rsid w:val="002B4002"/>
    <w:rsid w:val="002B42A5"/>
    <w:rsid w:val="002B45E2"/>
    <w:rsid w:val="002B4E6D"/>
    <w:rsid w:val="002B4F5E"/>
    <w:rsid w:val="002B6634"/>
    <w:rsid w:val="002B791A"/>
    <w:rsid w:val="002C4CB2"/>
    <w:rsid w:val="002C72AD"/>
    <w:rsid w:val="002C7438"/>
    <w:rsid w:val="002D162F"/>
    <w:rsid w:val="002D303C"/>
    <w:rsid w:val="002D3933"/>
    <w:rsid w:val="002D7FB6"/>
    <w:rsid w:val="002E6862"/>
    <w:rsid w:val="002E7987"/>
    <w:rsid w:val="002F0DD1"/>
    <w:rsid w:val="002F283D"/>
    <w:rsid w:val="002F31C3"/>
    <w:rsid w:val="002F3858"/>
    <w:rsid w:val="002F6B47"/>
    <w:rsid w:val="00300670"/>
    <w:rsid w:val="003008FE"/>
    <w:rsid w:val="0030169D"/>
    <w:rsid w:val="00301C9C"/>
    <w:rsid w:val="00304309"/>
    <w:rsid w:val="0030557F"/>
    <w:rsid w:val="003060EB"/>
    <w:rsid w:val="0030699A"/>
    <w:rsid w:val="00306EC8"/>
    <w:rsid w:val="00307A2E"/>
    <w:rsid w:val="0031039F"/>
    <w:rsid w:val="00312BD9"/>
    <w:rsid w:val="00313D5F"/>
    <w:rsid w:val="0031405F"/>
    <w:rsid w:val="003153EB"/>
    <w:rsid w:val="003157C6"/>
    <w:rsid w:val="00316684"/>
    <w:rsid w:val="00317123"/>
    <w:rsid w:val="00317895"/>
    <w:rsid w:val="003201AE"/>
    <w:rsid w:val="0032136E"/>
    <w:rsid w:val="00321937"/>
    <w:rsid w:val="00321985"/>
    <w:rsid w:val="003225DC"/>
    <w:rsid w:val="0032283C"/>
    <w:rsid w:val="0032325D"/>
    <w:rsid w:val="00323B03"/>
    <w:rsid w:val="00324EAE"/>
    <w:rsid w:val="00325A4C"/>
    <w:rsid w:val="00326E3D"/>
    <w:rsid w:val="00330683"/>
    <w:rsid w:val="00330B19"/>
    <w:rsid w:val="00331839"/>
    <w:rsid w:val="00331DED"/>
    <w:rsid w:val="00331F54"/>
    <w:rsid w:val="0033587E"/>
    <w:rsid w:val="00335C31"/>
    <w:rsid w:val="003362D5"/>
    <w:rsid w:val="00340360"/>
    <w:rsid w:val="00341B86"/>
    <w:rsid w:val="0034307D"/>
    <w:rsid w:val="003455FE"/>
    <w:rsid w:val="003475FF"/>
    <w:rsid w:val="00347F82"/>
    <w:rsid w:val="00351205"/>
    <w:rsid w:val="0035264E"/>
    <w:rsid w:val="00353EB9"/>
    <w:rsid w:val="003569C4"/>
    <w:rsid w:val="00356AD6"/>
    <w:rsid w:val="00357769"/>
    <w:rsid w:val="00360339"/>
    <w:rsid w:val="003608DF"/>
    <w:rsid w:val="00364644"/>
    <w:rsid w:val="003649F0"/>
    <w:rsid w:val="00364B95"/>
    <w:rsid w:val="00364E2A"/>
    <w:rsid w:val="003709D0"/>
    <w:rsid w:val="00372F74"/>
    <w:rsid w:val="0037391E"/>
    <w:rsid w:val="00373A5B"/>
    <w:rsid w:val="00374017"/>
    <w:rsid w:val="0037416D"/>
    <w:rsid w:val="003766C7"/>
    <w:rsid w:val="003823DA"/>
    <w:rsid w:val="00382D11"/>
    <w:rsid w:val="0038392D"/>
    <w:rsid w:val="00384B45"/>
    <w:rsid w:val="00384C53"/>
    <w:rsid w:val="00387F5D"/>
    <w:rsid w:val="00392028"/>
    <w:rsid w:val="00393662"/>
    <w:rsid w:val="00394CF7"/>
    <w:rsid w:val="00395168"/>
    <w:rsid w:val="00395C14"/>
    <w:rsid w:val="003A047E"/>
    <w:rsid w:val="003A14AA"/>
    <w:rsid w:val="003A2249"/>
    <w:rsid w:val="003A28E4"/>
    <w:rsid w:val="003A5511"/>
    <w:rsid w:val="003A56B3"/>
    <w:rsid w:val="003A5AA3"/>
    <w:rsid w:val="003B098D"/>
    <w:rsid w:val="003B1396"/>
    <w:rsid w:val="003B3F32"/>
    <w:rsid w:val="003B53F2"/>
    <w:rsid w:val="003B6625"/>
    <w:rsid w:val="003B67FE"/>
    <w:rsid w:val="003C01BD"/>
    <w:rsid w:val="003C0C10"/>
    <w:rsid w:val="003C2A10"/>
    <w:rsid w:val="003C2E2F"/>
    <w:rsid w:val="003C4CBB"/>
    <w:rsid w:val="003C63B5"/>
    <w:rsid w:val="003C7085"/>
    <w:rsid w:val="003D05E1"/>
    <w:rsid w:val="003D1CE2"/>
    <w:rsid w:val="003D1F3D"/>
    <w:rsid w:val="003D1F93"/>
    <w:rsid w:val="003D242A"/>
    <w:rsid w:val="003D2A94"/>
    <w:rsid w:val="003D3DCC"/>
    <w:rsid w:val="003D4159"/>
    <w:rsid w:val="003D6309"/>
    <w:rsid w:val="003D6E3A"/>
    <w:rsid w:val="003E0E0B"/>
    <w:rsid w:val="003E1EE0"/>
    <w:rsid w:val="003E29F7"/>
    <w:rsid w:val="003E2E28"/>
    <w:rsid w:val="003E3B7A"/>
    <w:rsid w:val="003E3DC2"/>
    <w:rsid w:val="003E5968"/>
    <w:rsid w:val="003E636A"/>
    <w:rsid w:val="003E73B6"/>
    <w:rsid w:val="003F111C"/>
    <w:rsid w:val="003F1A75"/>
    <w:rsid w:val="003F1D46"/>
    <w:rsid w:val="003F43D0"/>
    <w:rsid w:val="003F554C"/>
    <w:rsid w:val="003F55C9"/>
    <w:rsid w:val="003F5969"/>
    <w:rsid w:val="003F6219"/>
    <w:rsid w:val="003F664F"/>
    <w:rsid w:val="003F6F25"/>
    <w:rsid w:val="003F7224"/>
    <w:rsid w:val="003F7471"/>
    <w:rsid w:val="0040021B"/>
    <w:rsid w:val="0040040B"/>
    <w:rsid w:val="00400591"/>
    <w:rsid w:val="0040226E"/>
    <w:rsid w:val="00402D17"/>
    <w:rsid w:val="00402F47"/>
    <w:rsid w:val="00407274"/>
    <w:rsid w:val="0040766A"/>
    <w:rsid w:val="00407686"/>
    <w:rsid w:val="0041221D"/>
    <w:rsid w:val="00413115"/>
    <w:rsid w:val="00414761"/>
    <w:rsid w:val="00414B62"/>
    <w:rsid w:val="0041728D"/>
    <w:rsid w:val="004202BD"/>
    <w:rsid w:val="004219AE"/>
    <w:rsid w:val="00422A24"/>
    <w:rsid w:val="00422FCC"/>
    <w:rsid w:val="004236B9"/>
    <w:rsid w:val="004237E8"/>
    <w:rsid w:val="004256D1"/>
    <w:rsid w:val="0042668F"/>
    <w:rsid w:val="004266D3"/>
    <w:rsid w:val="00426878"/>
    <w:rsid w:val="00427D21"/>
    <w:rsid w:val="004316F1"/>
    <w:rsid w:val="00431CF5"/>
    <w:rsid w:val="00432F5C"/>
    <w:rsid w:val="00435148"/>
    <w:rsid w:val="00441454"/>
    <w:rsid w:val="0044215D"/>
    <w:rsid w:val="00442B0D"/>
    <w:rsid w:val="004440B7"/>
    <w:rsid w:val="004440ED"/>
    <w:rsid w:val="004453CF"/>
    <w:rsid w:val="004454D1"/>
    <w:rsid w:val="00446F89"/>
    <w:rsid w:val="00447643"/>
    <w:rsid w:val="00447F4A"/>
    <w:rsid w:val="00450F44"/>
    <w:rsid w:val="00451015"/>
    <w:rsid w:val="00452BE1"/>
    <w:rsid w:val="004547D5"/>
    <w:rsid w:val="00455E5E"/>
    <w:rsid w:val="00456847"/>
    <w:rsid w:val="00456849"/>
    <w:rsid w:val="00456F67"/>
    <w:rsid w:val="00457A1F"/>
    <w:rsid w:val="00460E08"/>
    <w:rsid w:val="00461737"/>
    <w:rsid w:val="004628BB"/>
    <w:rsid w:val="00462FA8"/>
    <w:rsid w:val="0046348F"/>
    <w:rsid w:val="00463601"/>
    <w:rsid w:val="00463D80"/>
    <w:rsid w:val="004644C2"/>
    <w:rsid w:val="004651BD"/>
    <w:rsid w:val="004658AA"/>
    <w:rsid w:val="00466ED5"/>
    <w:rsid w:val="00467F9C"/>
    <w:rsid w:val="00471520"/>
    <w:rsid w:val="004721AC"/>
    <w:rsid w:val="00472340"/>
    <w:rsid w:val="00473DEA"/>
    <w:rsid w:val="00474606"/>
    <w:rsid w:val="0047569E"/>
    <w:rsid w:val="00475C69"/>
    <w:rsid w:val="00477924"/>
    <w:rsid w:val="00481382"/>
    <w:rsid w:val="00481F1A"/>
    <w:rsid w:val="00482B34"/>
    <w:rsid w:val="00483A07"/>
    <w:rsid w:val="00483ECB"/>
    <w:rsid w:val="004873E4"/>
    <w:rsid w:val="0049018B"/>
    <w:rsid w:val="0049107D"/>
    <w:rsid w:val="00492F31"/>
    <w:rsid w:val="004940C5"/>
    <w:rsid w:val="00494985"/>
    <w:rsid w:val="0049764E"/>
    <w:rsid w:val="004A0AD6"/>
    <w:rsid w:val="004A30ED"/>
    <w:rsid w:val="004A31E4"/>
    <w:rsid w:val="004A3499"/>
    <w:rsid w:val="004A40D4"/>
    <w:rsid w:val="004A7EEA"/>
    <w:rsid w:val="004B008D"/>
    <w:rsid w:val="004B0AF0"/>
    <w:rsid w:val="004B2691"/>
    <w:rsid w:val="004B3447"/>
    <w:rsid w:val="004B6F32"/>
    <w:rsid w:val="004C0D9A"/>
    <w:rsid w:val="004C102D"/>
    <w:rsid w:val="004C1AE5"/>
    <w:rsid w:val="004C4658"/>
    <w:rsid w:val="004C518B"/>
    <w:rsid w:val="004C536D"/>
    <w:rsid w:val="004C571F"/>
    <w:rsid w:val="004C57E4"/>
    <w:rsid w:val="004C70C6"/>
    <w:rsid w:val="004D0296"/>
    <w:rsid w:val="004D3D6E"/>
    <w:rsid w:val="004D4C15"/>
    <w:rsid w:val="004D6DF2"/>
    <w:rsid w:val="004D6E5F"/>
    <w:rsid w:val="004E06CE"/>
    <w:rsid w:val="004E07D8"/>
    <w:rsid w:val="004E0B60"/>
    <w:rsid w:val="004E0E54"/>
    <w:rsid w:val="004E13CF"/>
    <w:rsid w:val="004E22BA"/>
    <w:rsid w:val="004E282A"/>
    <w:rsid w:val="004E319D"/>
    <w:rsid w:val="004E58E9"/>
    <w:rsid w:val="004E5CE1"/>
    <w:rsid w:val="004F1292"/>
    <w:rsid w:val="004F2290"/>
    <w:rsid w:val="004F2FCC"/>
    <w:rsid w:val="004F4F1C"/>
    <w:rsid w:val="004F4FE7"/>
    <w:rsid w:val="004F5F8F"/>
    <w:rsid w:val="004F635E"/>
    <w:rsid w:val="004F76DE"/>
    <w:rsid w:val="004F7EF8"/>
    <w:rsid w:val="005002B1"/>
    <w:rsid w:val="005003C5"/>
    <w:rsid w:val="005018AF"/>
    <w:rsid w:val="00501A68"/>
    <w:rsid w:val="0050462F"/>
    <w:rsid w:val="00505688"/>
    <w:rsid w:val="00506E58"/>
    <w:rsid w:val="0050775B"/>
    <w:rsid w:val="0051006C"/>
    <w:rsid w:val="0051228B"/>
    <w:rsid w:val="00512294"/>
    <w:rsid w:val="00517955"/>
    <w:rsid w:val="00520C66"/>
    <w:rsid w:val="005217AD"/>
    <w:rsid w:val="00521A92"/>
    <w:rsid w:val="005220CD"/>
    <w:rsid w:val="0052304E"/>
    <w:rsid w:val="00523E25"/>
    <w:rsid w:val="00524CC5"/>
    <w:rsid w:val="00525BF7"/>
    <w:rsid w:val="00525E18"/>
    <w:rsid w:val="0053029C"/>
    <w:rsid w:val="0053140A"/>
    <w:rsid w:val="00532F07"/>
    <w:rsid w:val="00533AA2"/>
    <w:rsid w:val="00534681"/>
    <w:rsid w:val="005349F6"/>
    <w:rsid w:val="00536B4E"/>
    <w:rsid w:val="00536C07"/>
    <w:rsid w:val="00536E33"/>
    <w:rsid w:val="00536E87"/>
    <w:rsid w:val="005408AB"/>
    <w:rsid w:val="00542123"/>
    <w:rsid w:val="00544224"/>
    <w:rsid w:val="00544322"/>
    <w:rsid w:val="005452D3"/>
    <w:rsid w:val="00545533"/>
    <w:rsid w:val="00545F11"/>
    <w:rsid w:val="005517DD"/>
    <w:rsid w:val="005527EA"/>
    <w:rsid w:val="00553095"/>
    <w:rsid w:val="005562C6"/>
    <w:rsid w:val="0056068E"/>
    <w:rsid w:val="00561CB8"/>
    <w:rsid w:val="00563442"/>
    <w:rsid w:val="0056348E"/>
    <w:rsid w:val="005634FB"/>
    <w:rsid w:val="00565B42"/>
    <w:rsid w:val="00565E40"/>
    <w:rsid w:val="00567D30"/>
    <w:rsid w:val="00573187"/>
    <w:rsid w:val="00575156"/>
    <w:rsid w:val="00575BE3"/>
    <w:rsid w:val="0058012E"/>
    <w:rsid w:val="00580883"/>
    <w:rsid w:val="00580EE8"/>
    <w:rsid w:val="005815EC"/>
    <w:rsid w:val="00581F39"/>
    <w:rsid w:val="00582579"/>
    <w:rsid w:val="00582657"/>
    <w:rsid w:val="005839BE"/>
    <w:rsid w:val="00584E04"/>
    <w:rsid w:val="00586691"/>
    <w:rsid w:val="0059078D"/>
    <w:rsid w:val="00594127"/>
    <w:rsid w:val="00594D7E"/>
    <w:rsid w:val="00595C71"/>
    <w:rsid w:val="005961D8"/>
    <w:rsid w:val="00596B0D"/>
    <w:rsid w:val="005975B5"/>
    <w:rsid w:val="005A25A3"/>
    <w:rsid w:val="005A3D92"/>
    <w:rsid w:val="005A5048"/>
    <w:rsid w:val="005A5F53"/>
    <w:rsid w:val="005B0869"/>
    <w:rsid w:val="005B0A55"/>
    <w:rsid w:val="005B1C18"/>
    <w:rsid w:val="005B2FB1"/>
    <w:rsid w:val="005B35E2"/>
    <w:rsid w:val="005B7104"/>
    <w:rsid w:val="005B7809"/>
    <w:rsid w:val="005C01A6"/>
    <w:rsid w:val="005C025C"/>
    <w:rsid w:val="005C0F3E"/>
    <w:rsid w:val="005C35BB"/>
    <w:rsid w:val="005C3BB5"/>
    <w:rsid w:val="005C41A9"/>
    <w:rsid w:val="005C4CE6"/>
    <w:rsid w:val="005C5771"/>
    <w:rsid w:val="005D009D"/>
    <w:rsid w:val="005D424F"/>
    <w:rsid w:val="005D48D4"/>
    <w:rsid w:val="005D5DD7"/>
    <w:rsid w:val="005D5F73"/>
    <w:rsid w:val="005D6527"/>
    <w:rsid w:val="005D6561"/>
    <w:rsid w:val="005D7E94"/>
    <w:rsid w:val="005E1553"/>
    <w:rsid w:val="005E1A1E"/>
    <w:rsid w:val="005E3BC7"/>
    <w:rsid w:val="005E55CA"/>
    <w:rsid w:val="005E69C7"/>
    <w:rsid w:val="005E7300"/>
    <w:rsid w:val="005F2CF3"/>
    <w:rsid w:val="005F32A4"/>
    <w:rsid w:val="005F44B6"/>
    <w:rsid w:val="005F494A"/>
    <w:rsid w:val="005F5CC6"/>
    <w:rsid w:val="005F75BF"/>
    <w:rsid w:val="005F7F4D"/>
    <w:rsid w:val="006009F3"/>
    <w:rsid w:val="00600F09"/>
    <w:rsid w:val="006013FE"/>
    <w:rsid w:val="006049DE"/>
    <w:rsid w:val="00604B20"/>
    <w:rsid w:val="006077F3"/>
    <w:rsid w:val="0060794E"/>
    <w:rsid w:val="00607CA1"/>
    <w:rsid w:val="00607ED8"/>
    <w:rsid w:val="00611B6A"/>
    <w:rsid w:val="006122BA"/>
    <w:rsid w:val="00612554"/>
    <w:rsid w:val="0061598E"/>
    <w:rsid w:val="006232FF"/>
    <w:rsid w:val="00623D49"/>
    <w:rsid w:val="00626561"/>
    <w:rsid w:val="00627F14"/>
    <w:rsid w:val="00630EC6"/>
    <w:rsid w:val="00631807"/>
    <w:rsid w:val="00631989"/>
    <w:rsid w:val="0063365B"/>
    <w:rsid w:val="00633A45"/>
    <w:rsid w:val="00636236"/>
    <w:rsid w:val="00636431"/>
    <w:rsid w:val="006377A5"/>
    <w:rsid w:val="00640548"/>
    <w:rsid w:val="006409EF"/>
    <w:rsid w:val="0064119C"/>
    <w:rsid w:val="006423F1"/>
    <w:rsid w:val="006424A9"/>
    <w:rsid w:val="0064253B"/>
    <w:rsid w:val="006428E1"/>
    <w:rsid w:val="0064426D"/>
    <w:rsid w:val="0064454B"/>
    <w:rsid w:val="00646788"/>
    <w:rsid w:val="006478BF"/>
    <w:rsid w:val="00651354"/>
    <w:rsid w:val="0065371B"/>
    <w:rsid w:val="0065630D"/>
    <w:rsid w:val="00657687"/>
    <w:rsid w:val="00661668"/>
    <w:rsid w:val="0066411D"/>
    <w:rsid w:val="00667DC1"/>
    <w:rsid w:val="00674549"/>
    <w:rsid w:val="006751C5"/>
    <w:rsid w:val="00677392"/>
    <w:rsid w:val="00677B4E"/>
    <w:rsid w:val="006800E6"/>
    <w:rsid w:val="006811E2"/>
    <w:rsid w:val="006838CF"/>
    <w:rsid w:val="00683DD4"/>
    <w:rsid w:val="0068434A"/>
    <w:rsid w:val="00686097"/>
    <w:rsid w:val="00690D4B"/>
    <w:rsid w:val="00692DBC"/>
    <w:rsid w:val="00692EC8"/>
    <w:rsid w:val="00694421"/>
    <w:rsid w:val="00694C95"/>
    <w:rsid w:val="00694E91"/>
    <w:rsid w:val="00695FF4"/>
    <w:rsid w:val="006966CB"/>
    <w:rsid w:val="00697323"/>
    <w:rsid w:val="006978B5"/>
    <w:rsid w:val="006A0DC5"/>
    <w:rsid w:val="006A18E0"/>
    <w:rsid w:val="006A200C"/>
    <w:rsid w:val="006A20EF"/>
    <w:rsid w:val="006A2B56"/>
    <w:rsid w:val="006A2BC7"/>
    <w:rsid w:val="006A3147"/>
    <w:rsid w:val="006A4914"/>
    <w:rsid w:val="006A6131"/>
    <w:rsid w:val="006A62DC"/>
    <w:rsid w:val="006A655F"/>
    <w:rsid w:val="006A73C1"/>
    <w:rsid w:val="006B0ECA"/>
    <w:rsid w:val="006B1C1F"/>
    <w:rsid w:val="006B1D8A"/>
    <w:rsid w:val="006B2178"/>
    <w:rsid w:val="006B21C0"/>
    <w:rsid w:val="006B2290"/>
    <w:rsid w:val="006B34D4"/>
    <w:rsid w:val="006B4BFC"/>
    <w:rsid w:val="006B71F5"/>
    <w:rsid w:val="006B7544"/>
    <w:rsid w:val="006B7640"/>
    <w:rsid w:val="006B7F58"/>
    <w:rsid w:val="006C15D9"/>
    <w:rsid w:val="006C16F7"/>
    <w:rsid w:val="006C22EB"/>
    <w:rsid w:val="006C3629"/>
    <w:rsid w:val="006C3AB5"/>
    <w:rsid w:val="006C4554"/>
    <w:rsid w:val="006C4EDB"/>
    <w:rsid w:val="006C4F0E"/>
    <w:rsid w:val="006C5DB1"/>
    <w:rsid w:val="006C5FFA"/>
    <w:rsid w:val="006C6A8E"/>
    <w:rsid w:val="006D0705"/>
    <w:rsid w:val="006D1080"/>
    <w:rsid w:val="006D6FC7"/>
    <w:rsid w:val="006D7626"/>
    <w:rsid w:val="006D7BBF"/>
    <w:rsid w:val="006D7F19"/>
    <w:rsid w:val="006E19B5"/>
    <w:rsid w:val="006E24B9"/>
    <w:rsid w:val="006E2E74"/>
    <w:rsid w:val="006E3342"/>
    <w:rsid w:val="006E752E"/>
    <w:rsid w:val="006F1798"/>
    <w:rsid w:val="006F2015"/>
    <w:rsid w:val="006F2A88"/>
    <w:rsid w:val="006F3F48"/>
    <w:rsid w:val="006F43C5"/>
    <w:rsid w:val="006F463D"/>
    <w:rsid w:val="006F5033"/>
    <w:rsid w:val="006F576E"/>
    <w:rsid w:val="007007F5"/>
    <w:rsid w:val="00702ACE"/>
    <w:rsid w:val="00703A58"/>
    <w:rsid w:val="00703AB8"/>
    <w:rsid w:val="007045E8"/>
    <w:rsid w:val="00704EAE"/>
    <w:rsid w:val="0070520A"/>
    <w:rsid w:val="00707410"/>
    <w:rsid w:val="007105C4"/>
    <w:rsid w:val="00710C6C"/>
    <w:rsid w:val="00712804"/>
    <w:rsid w:val="00713017"/>
    <w:rsid w:val="0071624A"/>
    <w:rsid w:val="00716EF5"/>
    <w:rsid w:val="00717D88"/>
    <w:rsid w:val="00717E61"/>
    <w:rsid w:val="00717F69"/>
    <w:rsid w:val="00721173"/>
    <w:rsid w:val="00721351"/>
    <w:rsid w:val="0072281B"/>
    <w:rsid w:val="007237C8"/>
    <w:rsid w:val="00724503"/>
    <w:rsid w:val="007248AA"/>
    <w:rsid w:val="00725325"/>
    <w:rsid w:val="00726A43"/>
    <w:rsid w:val="0073089F"/>
    <w:rsid w:val="0073155A"/>
    <w:rsid w:val="00732223"/>
    <w:rsid w:val="00732DCB"/>
    <w:rsid w:val="00734209"/>
    <w:rsid w:val="007349CD"/>
    <w:rsid w:val="00734DEE"/>
    <w:rsid w:val="00735DE7"/>
    <w:rsid w:val="00736751"/>
    <w:rsid w:val="007371EA"/>
    <w:rsid w:val="00737CF8"/>
    <w:rsid w:val="00740760"/>
    <w:rsid w:val="00740FCB"/>
    <w:rsid w:val="007410DD"/>
    <w:rsid w:val="0074151F"/>
    <w:rsid w:val="00741A2D"/>
    <w:rsid w:val="00742B86"/>
    <w:rsid w:val="0074354C"/>
    <w:rsid w:val="007440A7"/>
    <w:rsid w:val="00750AB8"/>
    <w:rsid w:val="00751BA0"/>
    <w:rsid w:val="007523F1"/>
    <w:rsid w:val="007539AF"/>
    <w:rsid w:val="007567C5"/>
    <w:rsid w:val="00757ACF"/>
    <w:rsid w:val="0076068A"/>
    <w:rsid w:val="0076283B"/>
    <w:rsid w:val="00764B5D"/>
    <w:rsid w:val="00765B4B"/>
    <w:rsid w:val="007664C3"/>
    <w:rsid w:val="007676FC"/>
    <w:rsid w:val="007717CD"/>
    <w:rsid w:val="007718F2"/>
    <w:rsid w:val="00772C57"/>
    <w:rsid w:val="00773034"/>
    <w:rsid w:val="0077345E"/>
    <w:rsid w:val="0077403D"/>
    <w:rsid w:val="00774838"/>
    <w:rsid w:val="00775375"/>
    <w:rsid w:val="00776B9C"/>
    <w:rsid w:val="007779F6"/>
    <w:rsid w:val="00777BA1"/>
    <w:rsid w:val="00777BE2"/>
    <w:rsid w:val="0078152C"/>
    <w:rsid w:val="00782B28"/>
    <w:rsid w:val="0078325F"/>
    <w:rsid w:val="00783983"/>
    <w:rsid w:val="00785435"/>
    <w:rsid w:val="00785E08"/>
    <w:rsid w:val="00786056"/>
    <w:rsid w:val="00786EE6"/>
    <w:rsid w:val="00786FAB"/>
    <w:rsid w:val="00787A3B"/>
    <w:rsid w:val="0079293B"/>
    <w:rsid w:val="007939B6"/>
    <w:rsid w:val="007942D3"/>
    <w:rsid w:val="00796FF1"/>
    <w:rsid w:val="007A10FE"/>
    <w:rsid w:val="007A1AF4"/>
    <w:rsid w:val="007B00CF"/>
    <w:rsid w:val="007B034B"/>
    <w:rsid w:val="007B2099"/>
    <w:rsid w:val="007B27D2"/>
    <w:rsid w:val="007B45D3"/>
    <w:rsid w:val="007B53D3"/>
    <w:rsid w:val="007B6238"/>
    <w:rsid w:val="007B6C09"/>
    <w:rsid w:val="007B769D"/>
    <w:rsid w:val="007B7741"/>
    <w:rsid w:val="007C0B07"/>
    <w:rsid w:val="007C2544"/>
    <w:rsid w:val="007C3858"/>
    <w:rsid w:val="007C43A3"/>
    <w:rsid w:val="007C43A5"/>
    <w:rsid w:val="007C4951"/>
    <w:rsid w:val="007C5561"/>
    <w:rsid w:val="007C56FC"/>
    <w:rsid w:val="007C6429"/>
    <w:rsid w:val="007C65DE"/>
    <w:rsid w:val="007C6EB0"/>
    <w:rsid w:val="007C77A5"/>
    <w:rsid w:val="007C7869"/>
    <w:rsid w:val="007D02A7"/>
    <w:rsid w:val="007D05A2"/>
    <w:rsid w:val="007D1376"/>
    <w:rsid w:val="007D15E2"/>
    <w:rsid w:val="007D1664"/>
    <w:rsid w:val="007D1B94"/>
    <w:rsid w:val="007D26C6"/>
    <w:rsid w:val="007D668C"/>
    <w:rsid w:val="007E09DA"/>
    <w:rsid w:val="007E0D36"/>
    <w:rsid w:val="007E0F8A"/>
    <w:rsid w:val="007E27F6"/>
    <w:rsid w:val="007E3936"/>
    <w:rsid w:val="007E6F56"/>
    <w:rsid w:val="007F0852"/>
    <w:rsid w:val="007F4686"/>
    <w:rsid w:val="007F718D"/>
    <w:rsid w:val="007F7396"/>
    <w:rsid w:val="00801490"/>
    <w:rsid w:val="00801FAD"/>
    <w:rsid w:val="008026A8"/>
    <w:rsid w:val="008032F0"/>
    <w:rsid w:val="00804878"/>
    <w:rsid w:val="008055B6"/>
    <w:rsid w:val="00806470"/>
    <w:rsid w:val="008075D9"/>
    <w:rsid w:val="0080777F"/>
    <w:rsid w:val="00810D2D"/>
    <w:rsid w:val="008113B4"/>
    <w:rsid w:val="00814885"/>
    <w:rsid w:val="00815940"/>
    <w:rsid w:val="008162FF"/>
    <w:rsid w:val="008163C3"/>
    <w:rsid w:val="008178B6"/>
    <w:rsid w:val="0082714F"/>
    <w:rsid w:val="00827CB2"/>
    <w:rsid w:val="00830068"/>
    <w:rsid w:val="0083057A"/>
    <w:rsid w:val="00831E9E"/>
    <w:rsid w:val="0083220B"/>
    <w:rsid w:val="00832BFE"/>
    <w:rsid w:val="00833A3E"/>
    <w:rsid w:val="00834B05"/>
    <w:rsid w:val="00835152"/>
    <w:rsid w:val="0083607C"/>
    <w:rsid w:val="0083708E"/>
    <w:rsid w:val="0083729E"/>
    <w:rsid w:val="0084182C"/>
    <w:rsid w:val="00841FDB"/>
    <w:rsid w:val="00842093"/>
    <w:rsid w:val="008422F8"/>
    <w:rsid w:val="00842445"/>
    <w:rsid w:val="00842803"/>
    <w:rsid w:val="00842BEF"/>
    <w:rsid w:val="008435D6"/>
    <w:rsid w:val="008453C9"/>
    <w:rsid w:val="0084628D"/>
    <w:rsid w:val="00847FB4"/>
    <w:rsid w:val="008527CF"/>
    <w:rsid w:val="00853351"/>
    <w:rsid w:val="0085524C"/>
    <w:rsid w:val="008556C2"/>
    <w:rsid w:val="008569B7"/>
    <w:rsid w:val="00856DF6"/>
    <w:rsid w:val="008609BC"/>
    <w:rsid w:val="008610A3"/>
    <w:rsid w:val="008612FB"/>
    <w:rsid w:val="00861E2A"/>
    <w:rsid w:val="008626CA"/>
    <w:rsid w:val="00862DFB"/>
    <w:rsid w:val="00863D1C"/>
    <w:rsid w:val="00863E76"/>
    <w:rsid w:val="008641F2"/>
    <w:rsid w:val="00864612"/>
    <w:rsid w:val="00865B74"/>
    <w:rsid w:val="00866063"/>
    <w:rsid w:val="008672B9"/>
    <w:rsid w:val="00870BC9"/>
    <w:rsid w:val="00871F74"/>
    <w:rsid w:val="00872881"/>
    <w:rsid w:val="00873525"/>
    <w:rsid w:val="00873E6B"/>
    <w:rsid w:val="008750F9"/>
    <w:rsid w:val="008756A9"/>
    <w:rsid w:val="00875D4E"/>
    <w:rsid w:val="00882350"/>
    <w:rsid w:val="008836FB"/>
    <w:rsid w:val="0088405E"/>
    <w:rsid w:val="00884AFD"/>
    <w:rsid w:val="00886DB3"/>
    <w:rsid w:val="0089206B"/>
    <w:rsid w:val="00892929"/>
    <w:rsid w:val="0089309D"/>
    <w:rsid w:val="008930C1"/>
    <w:rsid w:val="008942DE"/>
    <w:rsid w:val="008958AC"/>
    <w:rsid w:val="00895C2B"/>
    <w:rsid w:val="008974F0"/>
    <w:rsid w:val="008A088C"/>
    <w:rsid w:val="008A1499"/>
    <w:rsid w:val="008A159B"/>
    <w:rsid w:val="008A24C8"/>
    <w:rsid w:val="008A2B16"/>
    <w:rsid w:val="008A316D"/>
    <w:rsid w:val="008A3900"/>
    <w:rsid w:val="008A4CD9"/>
    <w:rsid w:val="008A6E51"/>
    <w:rsid w:val="008B012A"/>
    <w:rsid w:val="008B0271"/>
    <w:rsid w:val="008B110C"/>
    <w:rsid w:val="008B1B8F"/>
    <w:rsid w:val="008B234B"/>
    <w:rsid w:val="008B5DD6"/>
    <w:rsid w:val="008B61B6"/>
    <w:rsid w:val="008B6B9B"/>
    <w:rsid w:val="008C1003"/>
    <w:rsid w:val="008C32B6"/>
    <w:rsid w:val="008C571E"/>
    <w:rsid w:val="008C5843"/>
    <w:rsid w:val="008C5B60"/>
    <w:rsid w:val="008C5C84"/>
    <w:rsid w:val="008C5FFF"/>
    <w:rsid w:val="008C625A"/>
    <w:rsid w:val="008C6B39"/>
    <w:rsid w:val="008C6E04"/>
    <w:rsid w:val="008D0096"/>
    <w:rsid w:val="008D0722"/>
    <w:rsid w:val="008D2A0B"/>
    <w:rsid w:val="008D3764"/>
    <w:rsid w:val="008E35BC"/>
    <w:rsid w:val="008E3702"/>
    <w:rsid w:val="008E43BD"/>
    <w:rsid w:val="008E49DC"/>
    <w:rsid w:val="008E5CFF"/>
    <w:rsid w:val="008E719D"/>
    <w:rsid w:val="008F0502"/>
    <w:rsid w:val="008F31DB"/>
    <w:rsid w:val="008F542A"/>
    <w:rsid w:val="008F5BC7"/>
    <w:rsid w:val="008F640E"/>
    <w:rsid w:val="008F74D4"/>
    <w:rsid w:val="00900CD0"/>
    <w:rsid w:val="009014D8"/>
    <w:rsid w:val="0090236A"/>
    <w:rsid w:val="0090246B"/>
    <w:rsid w:val="00902AD3"/>
    <w:rsid w:val="00904596"/>
    <w:rsid w:val="00905FBD"/>
    <w:rsid w:val="0090697C"/>
    <w:rsid w:val="00906D2E"/>
    <w:rsid w:val="00906E17"/>
    <w:rsid w:val="0091114A"/>
    <w:rsid w:val="009111E0"/>
    <w:rsid w:val="0091155D"/>
    <w:rsid w:val="009126C0"/>
    <w:rsid w:val="00912D80"/>
    <w:rsid w:val="00913B0C"/>
    <w:rsid w:val="00916F8C"/>
    <w:rsid w:val="00916FA1"/>
    <w:rsid w:val="009170D2"/>
    <w:rsid w:val="00917764"/>
    <w:rsid w:val="009224AE"/>
    <w:rsid w:val="00922BA1"/>
    <w:rsid w:val="009240CB"/>
    <w:rsid w:val="009246FC"/>
    <w:rsid w:val="009307C6"/>
    <w:rsid w:val="00930A6A"/>
    <w:rsid w:val="00930BA1"/>
    <w:rsid w:val="0093135A"/>
    <w:rsid w:val="0093169E"/>
    <w:rsid w:val="00932B58"/>
    <w:rsid w:val="009339B6"/>
    <w:rsid w:val="009341FC"/>
    <w:rsid w:val="00934594"/>
    <w:rsid w:val="00935B0B"/>
    <w:rsid w:val="00937328"/>
    <w:rsid w:val="0093761D"/>
    <w:rsid w:val="00943D0F"/>
    <w:rsid w:val="00943EB8"/>
    <w:rsid w:val="009444D9"/>
    <w:rsid w:val="00944A97"/>
    <w:rsid w:val="0094591F"/>
    <w:rsid w:val="00945CD9"/>
    <w:rsid w:val="00950471"/>
    <w:rsid w:val="009505C9"/>
    <w:rsid w:val="00950752"/>
    <w:rsid w:val="0095199C"/>
    <w:rsid w:val="00951F95"/>
    <w:rsid w:val="00952D85"/>
    <w:rsid w:val="00953B26"/>
    <w:rsid w:val="009546B2"/>
    <w:rsid w:val="00954FA4"/>
    <w:rsid w:val="00955FA2"/>
    <w:rsid w:val="009564EB"/>
    <w:rsid w:val="00956CA5"/>
    <w:rsid w:val="00957062"/>
    <w:rsid w:val="009576BF"/>
    <w:rsid w:val="00957B62"/>
    <w:rsid w:val="009621C4"/>
    <w:rsid w:val="00963262"/>
    <w:rsid w:val="009637CE"/>
    <w:rsid w:val="00963E2A"/>
    <w:rsid w:val="009650C6"/>
    <w:rsid w:val="00965935"/>
    <w:rsid w:val="00965B13"/>
    <w:rsid w:val="00966424"/>
    <w:rsid w:val="00967221"/>
    <w:rsid w:val="00974F84"/>
    <w:rsid w:val="00974FFA"/>
    <w:rsid w:val="009753B2"/>
    <w:rsid w:val="0097694F"/>
    <w:rsid w:val="00977214"/>
    <w:rsid w:val="0097751B"/>
    <w:rsid w:val="009805D7"/>
    <w:rsid w:val="009807A3"/>
    <w:rsid w:val="00980967"/>
    <w:rsid w:val="00981474"/>
    <w:rsid w:val="00984549"/>
    <w:rsid w:val="009846C8"/>
    <w:rsid w:val="00984BAF"/>
    <w:rsid w:val="00985DCC"/>
    <w:rsid w:val="0098602E"/>
    <w:rsid w:val="00986286"/>
    <w:rsid w:val="0098739E"/>
    <w:rsid w:val="00990358"/>
    <w:rsid w:val="00990C3F"/>
    <w:rsid w:val="009933F4"/>
    <w:rsid w:val="0099566B"/>
    <w:rsid w:val="00995E81"/>
    <w:rsid w:val="009960D7"/>
    <w:rsid w:val="00996ED2"/>
    <w:rsid w:val="009976FC"/>
    <w:rsid w:val="00997D45"/>
    <w:rsid w:val="009A0674"/>
    <w:rsid w:val="009A1170"/>
    <w:rsid w:val="009A2BE7"/>
    <w:rsid w:val="009A31AB"/>
    <w:rsid w:val="009A3DF8"/>
    <w:rsid w:val="009A69E5"/>
    <w:rsid w:val="009B26A9"/>
    <w:rsid w:val="009B61C6"/>
    <w:rsid w:val="009B6F42"/>
    <w:rsid w:val="009C141D"/>
    <w:rsid w:val="009C198D"/>
    <w:rsid w:val="009C2393"/>
    <w:rsid w:val="009C2DE6"/>
    <w:rsid w:val="009C2DF3"/>
    <w:rsid w:val="009C37F5"/>
    <w:rsid w:val="009C61AC"/>
    <w:rsid w:val="009C7C78"/>
    <w:rsid w:val="009C7D06"/>
    <w:rsid w:val="009D0654"/>
    <w:rsid w:val="009D1671"/>
    <w:rsid w:val="009D186D"/>
    <w:rsid w:val="009D37BD"/>
    <w:rsid w:val="009D45BF"/>
    <w:rsid w:val="009D4E6D"/>
    <w:rsid w:val="009D53F3"/>
    <w:rsid w:val="009D59E1"/>
    <w:rsid w:val="009D5D5B"/>
    <w:rsid w:val="009D5E7A"/>
    <w:rsid w:val="009D66B9"/>
    <w:rsid w:val="009E1DF5"/>
    <w:rsid w:val="009F415D"/>
    <w:rsid w:val="009F52A5"/>
    <w:rsid w:val="009F64A2"/>
    <w:rsid w:val="009F7227"/>
    <w:rsid w:val="009F75B2"/>
    <w:rsid w:val="00A00DFD"/>
    <w:rsid w:val="00A00E47"/>
    <w:rsid w:val="00A01087"/>
    <w:rsid w:val="00A0191C"/>
    <w:rsid w:val="00A04931"/>
    <w:rsid w:val="00A05FA3"/>
    <w:rsid w:val="00A06709"/>
    <w:rsid w:val="00A06744"/>
    <w:rsid w:val="00A10498"/>
    <w:rsid w:val="00A111D1"/>
    <w:rsid w:val="00A11AC0"/>
    <w:rsid w:val="00A11EF9"/>
    <w:rsid w:val="00A11F77"/>
    <w:rsid w:val="00A12F46"/>
    <w:rsid w:val="00A134E7"/>
    <w:rsid w:val="00A14A4E"/>
    <w:rsid w:val="00A15399"/>
    <w:rsid w:val="00A15F4F"/>
    <w:rsid w:val="00A15F8D"/>
    <w:rsid w:val="00A2139B"/>
    <w:rsid w:val="00A21895"/>
    <w:rsid w:val="00A22258"/>
    <w:rsid w:val="00A22FF0"/>
    <w:rsid w:val="00A23CF8"/>
    <w:rsid w:val="00A242E6"/>
    <w:rsid w:val="00A24334"/>
    <w:rsid w:val="00A2673F"/>
    <w:rsid w:val="00A26E4C"/>
    <w:rsid w:val="00A279C8"/>
    <w:rsid w:val="00A31BB9"/>
    <w:rsid w:val="00A329C3"/>
    <w:rsid w:val="00A330EC"/>
    <w:rsid w:val="00A3485D"/>
    <w:rsid w:val="00A34AC9"/>
    <w:rsid w:val="00A35217"/>
    <w:rsid w:val="00A35C71"/>
    <w:rsid w:val="00A40FC3"/>
    <w:rsid w:val="00A42749"/>
    <w:rsid w:val="00A442D0"/>
    <w:rsid w:val="00A44AC9"/>
    <w:rsid w:val="00A456C3"/>
    <w:rsid w:val="00A4596A"/>
    <w:rsid w:val="00A478ED"/>
    <w:rsid w:val="00A47AD9"/>
    <w:rsid w:val="00A47CC6"/>
    <w:rsid w:val="00A47F6F"/>
    <w:rsid w:val="00A5081C"/>
    <w:rsid w:val="00A51626"/>
    <w:rsid w:val="00A518AD"/>
    <w:rsid w:val="00A53162"/>
    <w:rsid w:val="00A53B63"/>
    <w:rsid w:val="00A53CA4"/>
    <w:rsid w:val="00A53DD8"/>
    <w:rsid w:val="00A5416D"/>
    <w:rsid w:val="00A5501A"/>
    <w:rsid w:val="00A550D4"/>
    <w:rsid w:val="00A552FB"/>
    <w:rsid w:val="00A55F46"/>
    <w:rsid w:val="00A56712"/>
    <w:rsid w:val="00A5725B"/>
    <w:rsid w:val="00A57475"/>
    <w:rsid w:val="00A6108F"/>
    <w:rsid w:val="00A61CCE"/>
    <w:rsid w:val="00A625D5"/>
    <w:rsid w:val="00A64AA1"/>
    <w:rsid w:val="00A66931"/>
    <w:rsid w:val="00A6698A"/>
    <w:rsid w:val="00A67602"/>
    <w:rsid w:val="00A70B45"/>
    <w:rsid w:val="00A72D9E"/>
    <w:rsid w:val="00A735CE"/>
    <w:rsid w:val="00A74A05"/>
    <w:rsid w:val="00A750EC"/>
    <w:rsid w:val="00A8063E"/>
    <w:rsid w:val="00A80C71"/>
    <w:rsid w:val="00A8368E"/>
    <w:rsid w:val="00A836D7"/>
    <w:rsid w:val="00A84EC1"/>
    <w:rsid w:val="00A85352"/>
    <w:rsid w:val="00A862D0"/>
    <w:rsid w:val="00A904DC"/>
    <w:rsid w:val="00A94300"/>
    <w:rsid w:val="00A96784"/>
    <w:rsid w:val="00AA2046"/>
    <w:rsid w:val="00AA298D"/>
    <w:rsid w:val="00AA3294"/>
    <w:rsid w:val="00AA3C61"/>
    <w:rsid w:val="00AA3F15"/>
    <w:rsid w:val="00AA58D9"/>
    <w:rsid w:val="00AA58F7"/>
    <w:rsid w:val="00AA6155"/>
    <w:rsid w:val="00AA6E8E"/>
    <w:rsid w:val="00AA6F92"/>
    <w:rsid w:val="00AA701C"/>
    <w:rsid w:val="00AB137F"/>
    <w:rsid w:val="00AB19A4"/>
    <w:rsid w:val="00AB2F76"/>
    <w:rsid w:val="00AB4C04"/>
    <w:rsid w:val="00AB4D54"/>
    <w:rsid w:val="00AB595A"/>
    <w:rsid w:val="00AB596A"/>
    <w:rsid w:val="00AB6934"/>
    <w:rsid w:val="00AB6A7F"/>
    <w:rsid w:val="00AB6CD2"/>
    <w:rsid w:val="00AB6E4E"/>
    <w:rsid w:val="00AB7873"/>
    <w:rsid w:val="00AC155E"/>
    <w:rsid w:val="00AC3C51"/>
    <w:rsid w:val="00AC4F01"/>
    <w:rsid w:val="00AD38BD"/>
    <w:rsid w:val="00AD42F4"/>
    <w:rsid w:val="00AD4A10"/>
    <w:rsid w:val="00AD6E2F"/>
    <w:rsid w:val="00AE0AF2"/>
    <w:rsid w:val="00AE23E8"/>
    <w:rsid w:val="00AE464A"/>
    <w:rsid w:val="00AE4A51"/>
    <w:rsid w:val="00AE6346"/>
    <w:rsid w:val="00AE6C7F"/>
    <w:rsid w:val="00AF1DDE"/>
    <w:rsid w:val="00AF306D"/>
    <w:rsid w:val="00AF34FB"/>
    <w:rsid w:val="00AF42DE"/>
    <w:rsid w:val="00AF4C8E"/>
    <w:rsid w:val="00AF614D"/>
    <w:rsid w:val="00AF671D"/>
    <w:rsid w:val="00AF6820"/>
    <w:rsid w:val="00B00375"/>
    <w:rsid w:val="00B009F0"/>
    <w:rsid w:val="00B014C0"/>
    <w:rsid w:val="00B01DEB"/>
    <w:rsid w:val="00B01EF4"/>
    <w:rsid w:val="00B05191"/>
    <w:rsid w:val="00B052F3"/>
    <w:rsid w:val="00B056B3"/>
    <w:rsid w:val="00B1118B"/>
    <w:rsid w:val="00B1131B"/>
    <w:rsid w:val="00B11816"/>
    <w:rsid w:val="00B12405"/>
    <w:rsid w:val="00B14220"/>
    <w:rsid w:val="00B14C8D"/>
    <w:rsid w:val="00B14F82"/>
    <w:rsid w:val="00B158F7"/>
    <w:rsid w:val="00B16CB7"/>
    <w:rsid w:val="00B174B3"/>
    <w:rsid w:val="00B17C77"/>
    <w:rsid w:val="00B204D8"/>
    <w:rsid w:val="00B213E3"/>
    <w:rsid w:val="00B225EC"/>
    <w:rsid w:val="00B23F86"/>
    <w:rsid w:val="00B24901"/>
    <w:rsid w:val="00B313F6"/>
    <w:rsid w:val="00B3369F"/>
    <w:rsid w:val="00B33C4C"/>
    <w:rsid w:val="00B343BB"/>
    <w:rsid w:val="00B362C0"/>
    <w:rsid w:val="00B3668B"/>
    <w:rsid w:val="00B370B4"/>
    <w:rsid w:val="00B40EBB"/>
    <w:rsid w:val="00B41B1B"/>
    <w:rsid w:val="00B41BE9"/>
    <w:rsid w:val="00B41EBD"/>
    <w:rsid w:val="00B41FA4"/>
    <w:rsid w:val="00B42957"/>
    <w:rsid w:val="00B429AE"/>
    <w:rsid w:val="00B43BD4"/>
    <w:rsid w:val="00B44388"/>
    <w:rsid w:val="00B44987"/>
    <w:rsid w:val="00B44C84"/>
    <w:rsid w:val="00B452AE"/>
    <w:rsid w:val="00B457C3"/>
    <w:rsid w:val="00B458D1"/>
    <w:rsid w:val="00B47469"/>
    <w:rsid w:val="00B47991"/>
    <w:rsid w:val="00B50C19"/>
    <w:rsid w:val="00B50D76"/>
    <w:rsid w:val="00B51AFE"/>
    <w:rsid w:val="00B539B0"/>
    <w:rsid w:val="00B540FE"/>
    <w:rsid w:val="00B5418E"/>
    <w:rsid w:val="00B54B42"/>
    <w:rsid w:val="00B553B7"/>
    <w:rsid w:val="00B56728"/>
    <w:rsid w:val="00B603B6"/>
    <w:rsid w:val="00B60F16"/>
    <w:rsid w:val="00B6173A"/>
    <w:rsid w:val="00B63928"/>
    <w:rsid w:val="00B64410"/>
    <w:rsid w:val="00B65216"/>
    <w:rsid w:val="00B66E33"/>
    <w:rsid w:val="00B6717A"/>
    <w:rsid w:val="00B677B4"/>
    <w:rsid w:val="00B72DA2"/>
    <w:rsid w:val="00B7520D"/>
    <w:rsid w:val="00B76884"/>
    <w:rsid w:val="00B76D5A"/>
    <w:rsid w:val="00B774E1"/>
    <w:rsid w:val="00B817CF"/>
    <w:rsid w:val="00B81DB7"/>
    <w:rsid w:val="00B83BDE"/>
    <w:rsid w:val="00B84266"/>
    <w:rsid w:val="00B846CC"/>
    <w:rsid w:val="00B86A91"/>
    <w:rsid w:val="00B875E6"/>
    <w:rsid w:val="00B906C9"/>
    <w:rsid w:val="00B911A1"/>
    <w:rsid w:val="00B92CB8"/>
    <w:rsid w:val="00B932B0"/>
    <w:rsid w:val="00B94E6C"/>
    <w:rsid w:val="00B950A7"/>
    <w:rsid w:val="00B9517E"/>
    <w:rsid w:val="00B95E5F"/>
    <w:rsid w:val="00B964E5"/>
    <w:rsid w:val="00B96538"/>
    <w:rsid w:val="00BA050F"/>
    <w:rsid w:val="00BA22C3"/>
    <w:rsid w:val="00BA3890"/>
    <w:rsid w:val="00BA424F"/>
    <w:rsid w:val="00BA507B"/>
    <w:rsid w:val="00BA5A3D"/>
    <w:rsid w:val="00BA68C6"/>
    <w:rsid w:val="00BA7BF5"/>
    <w:rsid w:val="00BB13C1"/>
    <w:rsid w:val="00BB1439"/>
    <w:rsid w:val="00BB299A"/>
    <w:rsid w:val="00BB4606"/>
    <w:rsid w:val="00BB4642"/>
    <w:rsid w:val="00BB49C2"/>
    <w:rsid w:val="00BB4E60"/>
    <w:rsid w:val="00BB51C7"/>
    <w:rsid w:val="00BC0E44"/>
    <w:rsid w:val="00BC1633"/>
    <w:rsid w:val="00BC3BC5"/>
    <w:rsid w:val="00BC58A7"/>
    <w:rsid w:val="00BC70B4"/>
    <w:rsid w:val="00BC7C19"/>
    <w:rsid w:val="00BD0076"/>
    <w:rsid w:val="00BD314C"/>
    <w:rsid w:val="00BD3A9D"/>
    <w:rsid w:val="00BD5691"/>
    <w:rsid w:val="00BD6E36"/>
    <w:rsid w:val="00BE055A"/>
    <w:rsid w:val="00BE4E59"/>
    <w:rsid w:val="00BE57BB"/>
    <w:rsid w:val="00BE7188"/>
    <w:rsid w:val="00BE719A"/>
    <w:rsid w:val="00BE7792"/>
    <w:rsid w:val="00BF2E99"/>
    <w:rsid w:val="00BF70A4"/>
    <w:rsid w:val="00BF749F"/>
    <w:rsid w:val="00C010A6"/>
    <w:rsid w:val="00C03941"/>
    <w:rsid w:val="00C04DAD"/>
    <w:rsid w:val="00C05AA6"/>
    <w:rsid w:val="00C07D5A"/>
    <w:rsid w:val="00C07EF5"/>
    <w:rsid w:val="00C1134B"/>
    <w:rsid w:val="00C119B3"/>
    <w:rsid w:val="00C12122"/>
    <w:rsid w:val="00C13D1D"/>
    <w:rsid w:val="00C145B6"/>
    <w:rsid w:val="00C1601E"/>
    <w:rsid w:val="00C163D2"/>
    <w:rsid w:val="00C16A68"/>
    <w:rsid w:val="00C2040C"/>
    <w:rsid w:val="00C20D7C"/>
    <w:rsid w:val="00C21A0D"/>
    <w:rsid w:val="00C231D4"/>
    <w:rsid w:val="00C23D2F"/>
    <w:rsid w:val="00C24C0B"/>
    <w:rsid w:val="00C27067"/>
    <w:rsid w:val="00C300CF"/>
    <w:rsid w:val="00C30CD6"/>
    <w:rsid w:val="00C30F9E"/>
    <w:rsid w:val="00C322E8"/>
    <w:rsid w:val="00C32E1F"/>
    <w:rsid w:val="00C339F3"/>
    <w:rsid w:val="00C34767"/>
    <w:rsid w:val="00C3504F"/>
    <w:rsid w:val="00C36963"/>
    <w:rsid w:val="00C37263"/>
    <w:rsid w:val="00C40C3B"/>
    <w:rsid w:val="00C411C3"/>
    <w:rsid w:val="00C418EE"/>
    <w:rsid w:val="00C42E6B"/>
    <w:rsid w:val="00C43144"/>
    <w:rsid w:val="00C43D2F"/>
    <w:rsid w:val="00C43E9C"/>
    <w:rsid w:val="00C443BD"/>
    <w:rsid w:val="00C44823"/>
    <w:rsid w:val="00C44C80"/>
    <w:rsid w:val="00C451C5"/>
    <w:rsid w:val="00C46DE8"/>
    <w:rsid w:val="00C51512"/>
    <w:rsid w:val="00C522F5"/>
    <w:rsid w:val="00C526C9"/>
    <w:rsid w:val="00C53576"/>
    <w:rsid w:val="00C54189"/>
    <w:rsid w:val="00C550BC"/>
    <w:rsid w:val="00C5684E"/>
    <w:rsid w:val="00C60116"/>
    <w:rsid w:val="00C6025E"/>
    <w:rsid w:val="00C615DD"/>
    <w:rsid w:val="00C61794"/>
    <w:rsid w:val="00C63C27"/>
    <w:rsid w:val="00C64498"/>
    <w:rsid w:val="00C66778"/>
    <w:rsid w:val="00C66FF9"/>
    <w:rsid w:val="00C67C16"/>
    <w:rsid w:val="00C70442"/>
    <w:rsid w:val="00C707E0"/>
    <w:rsid w:val="00C72966"/>
    <w:rsid w:val="00C73DB4"/>
    <w:rsid w:val="00C74538"/>
    <w:rsid w:val="00C75E55"/>
    <w:rsid w:val="00C77411"/>
    <w:rsid w:val="00C7765A"/>
    <w:rsid w:val="00C77F45"/>
    <w:rsid w:val="00C81C90"/>
    <w:rsid w:val="00C825DC"/>
    <w:rsid w:val="00C8266C"/>
    <w:rsid w:val="00C83A98"/>
    <w:rsid w:val="00C849EC"/>
    <w:rsid w:val="00C84CE0"/>
    <w:rsid w:val="00C84FB1"/>
    <w:rsid w:val="00C915B0"/>
    <w:rsid w:val="00C9161D"/>
    <w:rsid w:val="00C924D1"/>
    <w:rsid w:val="00C96490"/>
    <w:rsid w:val="00C96567"/>
    <w:rsid w:val="00C96B22"/>
    <w:rsid w:val="00CA0C1D"/>
    <w:rsid w:val="00CB0192"/>
    <w:rsid w:val="00CB17D9"/>
    <w:rsid w:val="00CB18C6"/>
    <w:rsid w:val="00CB24F9"/>
    <w:rsid w:val="00CB2ADB"/>
    <w:rsid w:val="00CB3DEC"/>
    <w:rsid w:val="00CB4C15"/>
    <w:rsid w:val="00CB5369"/>
    <w:rsid w:val="00CB5B7E"/>
    <w:rsid w:val="00CB5C19"/>
    <w:rsid w:val="00CB66BE"/>
    <w:rsid w:val="00CC2239"/>
    <w:rsid w:val="00CC526E"/>
    <w:rsid w:val="00CC704C"/>
    <w:rsid w:val="00CD0A93"/>
    <w:rsid w:val="00CD1571"/>
    <w:rsid w:val="00CD298E"/>
    <w:rsid w:val="00CD3704"/>
    <w:rsid w:val="00CD4BDF"/>
    <w:rsid w:val="00CD64F1"/>
    <w:rsid w:val="00CD6707"/>
    <w:rsid w:val="00CD6A3D"/>
    <w:rsid w:val="00CD72A6"/>
    <w:rsid w:val="00CD7BA5"/>
    <w:rsid w:val="00CE2864"/>
    <w:rsid w:val="00CE4BC4"/>
    <w:rsid w:val="00CE4FF3"/>
    <w:rsid w:val="00CE6FE1"/>
    <w:rsid w:val="00CF1848"/>
    <w:rsid w:val="00CF403A"/>
    <w:rsid w:val="00CF4DEA"/>
    <w:rsid w:val="00CF54D5"/>
    <w:rsid w:val="00CF70F6"/>
    <w:rsid w:val="00CF73B8"/>
    <w:rsid w:val="00CF7B84"/>
    <w:rsid w:val="00D0136E"/>
    <w:rsid w:val="00D01946"/>
    <w:rsid w:val="00D01FB8"/>
    <w:rsid w:val="00D03A03"/>
    <w:rsid w:val="00D06618"/>
    <w:rsid w:val="00D07741"/>
    <w:rsid w:val="00D07C17"/>
    <w:rsid w:val="00D12044"/>
    <w:rsid w:val="00D128CC"/>
    <w:rsid w:val="00D159DF"/>
    <w:rsid w:val="00D15A16"/>
    <w:rsid w:val="00D170D9"/>
    <w:rsid w:val="00D20AD9"/>
    <w:rsid w:val="00D21516"/>
    <w:rsid w:val="00D23C15"/>
    <w:rsid w:val="00D24B37"/>
    <w:rsid w:val="00D2579F"/>
    <w:rsid w:val="00D30262"/>
    <w:rsid w:val="00D32212"/>
    <w:rsid w:val="00D33EFC"/>
    <w:rsid w:val="00D3472D"/>
    <w:rsid w:val="00D36AE7"/>
    <w:rsid w:val="00D37762"/>
    <w:rsid w:val="00D40DBC"/>
    <w:rsid w:val="00D410C5"/>
    <w:rsid w:val="00D42690"/>
    <w:rsid w:val="00D430AC"/>
    <w:rsid w:val="00D4470F"/>
    <w:rsid w:val="00D46EA9"/>
    <w:rsid w:val="00D47C2E"/>
    <w:rsid w:val="00D528BF"/>
    <w:rsid w:val="00D53ECB"/>
    <w:rsid w:val="00D54893"/>
    <w:rsid w:val="00D61C85"/>
    <w:rsid w:val="00D6219B"/>
    <w:rsid w:val="00D6426C"/>
    <w:rsid w:val="00D643B9"/>
    <w:rsid w:val="00D67460"/>
    <w:rsid w:val="00D71E1F"/>
    <w:rsid w:val="00D72AA1"/>
    <w:rsid w:val="00D72B54"/>
    <w:rsid w:val="00D72F65"/>
    <w:rsid w:val="00D73532"/>
    <w:rsid w:val="00D74371"/>
    <w:rsid w:val="00D745B1"/>
    <w:rsid w:val="00D74758"/>
    <w:rsid w:val="00D75CA6"/>
    <w:rsid w:val="00D7643A"/>
    <w:rsid w:val="00D766AE"/>
    <w:rsid w:val="00D76A18"/>
    <w:rsid w:val="00D76D9D"/>
    <w:rsid w:val="00D80849"/>
    <w:rsid w:val="00D80C54"/>
    <w:rsid w:val="00D810F8"/>
    <w:rsid w:val="00D82E8F"/>
    <w:rsid w:val="00D84795"/>
    <w:rsid w:val="00D84CC3"/>
    <w:rsid w:val="00D86189"/>
    <w:rsid w:val="00D86FD7"/>
    <w:rsid w:val="00D90B04"/>
    <w:rsid w:val="00D9259B"/>
    <w:rsid w:val="00D92858"/>
    <w:rsid w:val="00D92C25"/>
    <w:rsid w:val="00D93E25"/>
    <w:rsid w:val="00D95B56"/>
    <w:rsid w:val="00DA1AF6"/>
    <w:rsid w:val="00DA1C94"/>
    <w:rsid w:val="00DA2718"/>
    <w:rsid w:val="00DA37E9"/>
    <w:rsid w:val="00DA5106"/>
    <w:rsid w:val="00DA51CD"/>
    <w:rsid w:val="00DA5BB5"/>
    <w:rsid w:val="00DA5F37"/>
    <w:rsid w:val="00DA6993"/>
    <w:rsid w:val="00DA69DA"/>
    <w:rsid w:val="00DA729B"/>
    <w:rsid w:val="00DA7E3C"/>
    <w:rsid w:val="00DB090A"/>
    <w:rsid w:val="00DB0951"/>
    <w:rsid w:val="00DB1083"/>
    <w:rsid w:val="00DB124A"/>
    <w:rsid w:val="00DB1E08"/>
    <w:rsid w:val="00DB1EA4"/>
    <w:rsid w:val="00DB2DE5"/>
    <w:rsid w:val="00DB4EFE"/>
    <w:rsid w:val="00DB5640"/>
    <w:rsid w:val="00DB5D72"/>
    <w:rsid w:val="00DB5E0F"/>
    <w:rsid w:val="00DC0C3B"/>
    <w:rsid w:val="00DC0C6B"/>
    <w:rsid w:val="00DC18D5"/>
    <w:rsid w:val="00DC1E57"/>
    <w:rsid w:val="00DC25D3"/>
    <w:rsid w:val="00DC32C2"/>
    <w:rsid w:val="00DC37B4"/>
    <w:rsid w:val="00DC406D"/>
    <w:rsid w:val="00DC4E76"/>
    <w:rsid w:val="00DC6B5A"/>
    <w:rsid w:val="00DD0793"/>
    <w:rsid w:val="00DD118C"/>
    <w:rsid w:val="00DD165C"/>
    <w:rsid w:val="00DD3AA7"/>
    <w:rsid w:val="00DD3CB3"/>
    <w:rsid w:val="00DD5B59"/>
    <w:rsid w:val="00DD7955"/>
    <w:rsid w:val="00DE1144"/>
    <w:rsid w:val="00DE49C2"/>
    <w:rsid w:val="00DE63F9"/>
    <w:rsid w:val="00DE765C"/>
    <w:rsid w:val="00DF1230"/>
    <w:rsid w:val="00DF1907"/>
    <w:rsid w:val="00DF193C"/>
    <w:rsid w:val="00DF34DC"/>
    <w:rsid w:val="00DF3F16"/>
    <w:rsid w:val="00DF76B2"/>
    <w:rsid w:val="00E03B0E"/>
    <w:rsid w:val="00E049FC"/>
    <w:rsid w:val="00E0564D"/>
    <w:rsid w:val="00E057D1"/>
    <w:rsid w:val="00E05F15"/>
    <w:rsid w:val="00E06B66"/>
    <w:rsid w:val="00E06D36"/>
    <w:rsid w:val="00E07E30"/>
    <w:rsid w:val="00E10A09"/>
    <w:rsid w:val="00E113A4"/>
    <w:rsid w:val="00E119AE"/>
    <w:rsid w:val="00E11D0D"/>
    <w:rsid w:val="00E13C0B"/>
    <w:rsid w:val="00E13EE9"/>
    <w:rsid w:val="00E14D11"/>
    <w:rsid w:val="00E1511A"/>
    <w:rsid w:val="00E161D8"/>
    <w:rsid w:val="00E1626E"/>
    <w:rsid w:val="00E16C21"/>
    <w:rsid w:val="00E20236"/>
    <w:rsid w:val="00E21612"/>
    <w:rsid w:val="00E21EF5"/>
    <w:rsid w:val="00E2300E"/>
    <w:rsid w:val="00E2590D"/>
    <w:rsid w:val="00E2667B"/>
    <w:rsid w:val="00E27E9E"/>
    <w:rsid w:val="00E3043B"/>
    <w:rsid w:val="00E3100E"/>
    <w:rsid w:val="00E32C46"/>
    <w:rsid w:val="00E33B2A"/>
    <w:rsid w:val="00E34546"/>
    <w:rsid w:val="00E347D1"/>
    <w:rsid w:val="00E35237"/>
    <w:rsid w:val="00E35FE2"/>
    <w:rsid w:val="00E378E6"/>
    <w:rsid w:val="00E40309"/>
    <w:rsid w:val="00E41287"/>
    <w:rsid w:val="00E41372"/>
    <w:rsid w:val="00E41CF4"/>
    <w:rsid w:val="00E42562"/>
    <w:rsid w:val="00E42899"/>
    <w:rsid w:val="00E43621"/>
    <w:rsid w:val="00E445F0"/>
    <w:rsid w:val="00E450F2"/>
    <w:rsid w:val="00E454F2"/>
    <w:rsid w:val="00E45ED0"/>
    <w:rsid w:val="00E473D4"/>
    <w:rsid w:val="00E47D1F"/>
    <w:rsid w:val="00E529F2"/>
    <w:rsid w:val="00E530E7"/>
    <w:rsid w:val="00E54671"/>
    <w:rsid w:val="00E54B0A"/>
    <w:rsid w:val="00E55400"/>
    <w:rsid w:val="00E565CE"/>
    <w:rsid w:val="00E604A1"/>
    <w:rsid w:val="00E605A1"/>
    <w:rsid w:val="00E605D0"/>
    <w:rsid w:val="00E626AB"/>
    <w:rsid w:val="00E62D2C"/>
    <w:rsid w:val="00E641E1"/>
    <w:rsid w:val="00E64B29"/>
    <w:rsid w:val="00E65309"/>
    <w:rsid w:val="00E6551E"/>
    <w:rsid w:val="00E65D1E"/>
    <w:rsid w:val="00E66235"/>
    <w:rsid w:val="00E66494"/>
    <w:rsid w:val="00E67DF3"/>
    <w:rsid w:val="00E72397"/>
    <w:rsid w:val="00E7246A"/>
    <w:rsid w:val="00E72BFF"/>
    <w:rsid w:val="00E72C19"/>
    <w:rsid w:val="00E764D3"/>
    <w:rsid w:val="00E76CF9"/>
    <w:rsid w:val="00E833BB"/>
    <w:rsid w:val="00E8360E"/>
    <w:rsid w:val="00E83C24"/>
    <w:rsid w:val="00E8493E"/>
    <w:rsid w:val="00E85F78"/>
    <w:rsid w:val="00E87369"/>
    <w:rsid w:val="00E87A31"/>
    <w:rsid w:val="00E9138F"/>
    <w:rsid w:val="00E9209D"/>
    <w:rsid w:val="00E9318D"/>
    <w:rsid w:val="00E93400"/>
    <w:rsid w:val="00E93F3E"/>
    <w:rsid w:val="00E95B3A"/>
    <w:rsid w:val="00E96ED0"/>
    <w:rsid w:val="00E97527"/>
    <w:rsid w:val="00E97534"/>
    <w:rsid w:val="00EA08A6"/>
    <w:rsid w:val="00EA14FE"/>
    <w:rsid w:val="00EA1DF5"/>
    <w:rsid w:val="00EA225F"/>
    <w:rsid w:val="00EA38CB"/>
    <w:rsid w:val="00EA69B1"/>
    <w:rsid w:val="00EA727C"/>
    <w:rsid w:val="00EA741C"/>
    <w:rsid w:val="00EA76FC"/>
    <w:rsid w:val="00EB0C86"/>
    <w:rsid w:val="00EB3571"/>
    <w:rsid w:val="00EB443E"/>
    <w:rsid w:val="00EB5167"/>
    <w:rsid w:val="00EB5399"/>
    <w:rsid w:val="00EB5507"/>
    <w:rsid w:val="00EB6335"/>
    <w:rsid w:val="00EB6A16"/>
    <w:rsid w:val="00EC1A0D"/>
    <w:rsid w:val="00EC27DB"/>
    <w:rsid w:val="00EC3A45"/>
    <w:rsid w:val="00EC717B"/>
    <w:rsid w:val="00EC7766"/>
    <w:rsid w:val="00ED7503"/>
    <w:rsid w:val="00ED7B0D"/>
    <w:rsid w:val="00EE1C51"/>
    <w:rsid w:val="00EE22A0"/>
    <w:rsid w:val="00EE3CE1"/>
    <w:rsid w:val="00EE4368"/>
    <w:rsid w:val="00EE4BDF"/>
    <w:rsid w:val="00EE4ECD"/>
    <w:rsid w:val="00EE787D"/>
    <w:rsid w:val="00EF00CD"/>
    <w:rsid w:val="00EF0A8C"/>
    <w:rsid w:val="00EF365A"/>
    <w:rsid w:val="00EF509D"/>
    <w:rsid w:val="00EF54D7"/>
    <w:rsid w:val="00EF6338"/>
    <w:rsid w:val="00EF654D"/>
    <w:rsid w:val="00EF66B1"/>
    <w:rsid w:val="00EF69F5"/>
    <w:rsid w:val="00EF71E9"/>
    <w:rsid w:val="00EF74BD"/>
    <w:rsid w:val="00EF7928"/>
    <w:rsid w:val="00EF793C"/>
    <w:rsid w:val="00F01DF5"/>
    <w:rsid w:val="00F03437"/>
    <w:rsid w:val="00F05B6F"/>
    <w:rsid w:val="00F063C2"/>
    <w:rsid w:val="00F06E6E"/>
    <w:rsid w:val="00F07705"/>
    <w:rsid w:val="00F11086"/>
    <w:rsid w:val="00F11186"/>
    <w:rsid w:val="00F139DA"/>
    <w:rsid w:val="00F153C0"/>
    <w:rsid w:val="00F15B15"/>
    <w:rsid w:val="00F16983"/>
    <w:rsid w:val="00F208F4"/>
    <w:rsid w:val="00F21783"/>
    <w:rsid w:val="00F21842"/>
    <w:rsid w:val="00F21943"/>
    <w:rsid w:val="00F22FA4"/>
    <w:rsid w:val="00F236DC"/>
    <w:rsid w:val="00F2740B"/>
    <w:rsid w:val="00F27C77"/>
    <w:rsid w:val="00F303BB"/>
    <w:rsid w:val="00F30C13"/>
    <w:rsid w:val="00F3120D"/>
    <w:rsid w:val="00F313A4"/>
    <w:rsid w:val="00F33284"/>
    <w:rsid w:val="00F350FE"/>
    <w:rsid w:val="00F41012"/>
    <w:rsid w:val="00F41099"/>
    <w:rsid w:val="00F413D1"/>
    <w:rsid w:val="00F4233B"/>
    <w:rsid w:val="00F42373"/>
    <w:rsid w:val="00F423FA"/>
    <w:rsid w:val="00F42601"/>
    <w:rsid w:val="00F444BC"/>
    <w:rsid w:val="00F44740"/>
    <w:rsid w:val="00F448E7"/>
    <w:rsid w:val="00F454A9"/>
    <w:rsid w:val="00F4657E"/>
    <w:rsid w:val="00F4791F"/>
    <w:rsid w:val="00F50C1C"/>
    <w:rsid w:val="00F5145E"/>
    <w:rsid w:val="00F52BA7"/>
    <w:rsid w:val="00F52FFC"/>
    <w:rsid w:val="00F53193"/>
    <w:rsid w:val="00F5357C"/>
    <w:rsid w:val="00F5357E"/>
    <w:rsid w:val="00F53998"/>
    <w:rsid w:val="00F54521"/>
    <w:rsid w:val="00F54E17"/>
    <w:rsid w:val="00F57AF7"/>
    <w:rsid w:val="00F61666"/>
    <w:rsid w:val="00F62034"/>
    <w:rsid w:val="00F62E57"/>
    <w:rsid w:val="00F6586C"/>
    <w:rsid w:val="00F672C1"/>
    <w:rsid w:val="00F70B9C"/>
    <w:rsid w:val="00F70DFA"/>
    <w:rsid w:val="00F73207"/>
    <w:rsid w:val="00F73E13"/>
    <w:rsid w:val="00F73E54"/>
    <w:rsid w:val="00F73E94"/>
    <w:rsid w:val="00F742A3"/>
    <w:rsid w:val="00F74A8B"/>
    <w:rsid w:val="00F7552B"/>
    <w:rsid w:val="00F8177C"/>
    <w:rsid w:val="00F8190B"/>
    <w:rsid w:val="00F81F3A"/>
    <w:rsid w:val="00F82DBE"/>
    <w:rsid w:val="00F86B3C"/>
    <w:rsid w:val="00F9038B"/>
    <w:rsid w:val="00F92469"/>
    <w:rsid w:val="00F92593"/>
    <w:rsid w:val="00F92A6A"/>
    <w:rsid w:val="00F92B82"/>
    <w:rsid w:val="00F933EA"/>
    <w:rsid w:val="00F94202"/>
    <w:rsid w:val="00F94271"/>
    <w:rsid w:val="00F94774"/>
    <w:rsid w:val="00F948CE"/>
    <w:rsid w:val="00F94BC2"/>
    <w:rsid w:val="00F950BF"/>
    <w:rsid w:val="00F95C52"/>
    <w:rsid w:val="00F9708C"/>
    <w:rsid w:val="00FA001E"/>
    <w:rsid w:val="00FA049E"/>
    <w:rsid w:val="00FA109B"/>
    <w:rsid w:val="00FA27F2"/>
    <w:rsid w:val="00FA3072"/>
    <w:rsid w:val="00FA3684"/>
    <w:rsid w:val="00FA4BF4"/>
    <w:rsid w:val="00FA5E33"/>
    <w:rsid w:val="00FA6281"/>
    <w:rsid w:val="00FA663B"/>
    <w:rsid w:val="00FA7E45"/>
    <w:rsid w:val="00FB11F0"/>
    <w:rsid w:val="00FB2BC4"/>
    <w:rsid w:val="00FB3B24"/>
    <w:rsid w:val="00FB42B2"/>
    <w:rsid w:val="00FB650A"/>
    <w:rsid w:val="00FB6657"/>
    <w:rsid w:val="00FB6FC8"/>
    <w:rsid w:val="00FB72A2"/>
    <w:rsid w:val="00FB79CE"/>
    <w:rsid w:val="00FC0BC0"/>
    <w:rsid w:val="00FC0C13"/>
    <w:rsid w:val="00FC2AA1"/>
    <w:rsid w:val="00FC41C7"/>
    <w:rsid w:val="00FC4441"/>
    <w:rsid w:val="00FC53DB"/>
    <w:rsid w:val="00FC585D"/>
    <w:rsid w:val="00FC67DF"/>
    <w:rsid w:val="00FC7C7E"/>
    <w:rsid w:val="00FD008F"/>
    <w:rsid w:val="00FD0482"/>
    <w:rsid w:val="00FD07FA"/>
    <w:rsid w:val="00FD0B86"/>
    <w:rsid w:val="00FD27C9"/>
    <w:rsid w:val="00FD2ECD"/>
    <w:rsid w:val="00FD3119"/>
    <w:rsid w:val="00FD6DD0"/>
    <w:rsid w:val="00FD76CC"/>
    <w:rsid w:val="00FE0074"/>
    <w:rsid w:val="00FE10E5"/>
    <w:rsid w:val="00FE2373"/>
    <w:rsid w:val="00FE2A01"/>
    <w:rsid w:val="00FE314E"/>
    <w:rsid w:val="00FE35E7"/>
    <w:rsid w:val="00FE3EAA"/>
    <w:rsid w:val="00FE462D"/>
    <w:rsid w:val="00FE46ED"/>
    <w:rsid w:val="00FE4F47"/>
    <w:rsid w:val="00FE5268"/>
    <w:rsid w:val="00FE613C"/>
    <w:rsid w:val="00FE7238"/>
    <w:rsid w:val="00FE73D4"/>
    <w:rsid w:val="00FE7F2A"/>
    <w:rsid w:val="00FF06AA"/>
    <w:rsid w:val="00FF1156"/>
    <w:rsid w:val="00FF22BC"/>
    <w:rsid w:val="00FF3DEC"/>
    <w:rsid w:val="00FF5CE2"/>
    <w:rsid w:val="00FF62FD"/>
    <w:rsid w:val="00FF7996"/>
    <w:rsid w:val="481F0950"/>
    <w:rsid w:val="5E93420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615FE7"/>
  <w15:docId w15:val="{AA91F589-6FA9-4789-A871-24D69E319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lsdException w:name="heading 9" w:uiPriority="0"/>
    <w:lsdException w:name="index 1" w:semiHidden="1" w:unhideWhenUsed="1"/>
    <w:lsdException w:name="index 2"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qFormat="1"/>
    <w:lsdException w:name="toc 1" w:uiPriority="39" w:unhideWhenUsed="1"/>
    <w:lsdException w:name="toc 2" w:uiPriority="39" w:unhideWhenUsed="1"/>
    <w:lsdException w:name="toc 3" w:uiPriority="39" w:unhideWhenUsed="1"/>
    <w:lsdException w:name="toc 4" w:uiPriority="39" w:unhideWhenUsed="1"/>
    <w:lsdException w:name="toc 5" w:uiPriority="39"/>
    <w:lsdException w:name="toc 6" w:semiHidden="1" w:uiPriority="0"/>
    <w:lsdException w:name="toc 7" w:semiHidden="1" w:uiPriority="0" w:qFormat="1"/>
    <w:lsdException w:name="toc 8" w:semiHidden="1" w:uiPriority="0" w:qFormat="1"/>
    <w:lsdException w:name="toc 9" w:semiHidden="1" w:uiPriority="0" w:qFormat="1"/>
    <w:lsdException w:name="Normal Indent" w:semiHidden="1" w:unhideWhenUsed="1"/>
    <w:lsdException w:name="footnote text" w:unhideWhenUsed="1"/>
    <w:lsdException w:name="annotation text" w:semiHidden="1"/>
    <w:lsdException w:name="header" w:uiPriority="0"/>
    <w:lsdException w:name="footer" w:qFormat="1"/>
    <w:lsdException w:name="index heading" w:semiHidden="1" w:unhideWhenUsed="1"/>
    <w:lsdException w:name="caption"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uiPriority="0"/>
    <w:lsdException w:name="endnote reference" w:semiHidden="1" w:uiPriority="0" w:qFormat="1"/>
    <w:lsdException w:name="endnote text" w:semiHidden="1" w:uiPriority="0"/>
    <w:lsdException w:name="table of authorities" w:semiHidden="1" w:unhideWhenUsed="1" w:qFormat="1"/>
    <w:lsdException w:name="macro" w:semiHidden="1" w:unhideWhenUsed="1"/>
    <w:lsdException w:name="toa heading" w:semiHidden="1" w:uiPriority="0" w:qFormat="1"/>
    <w:lsdException w:name="List" w:semiHidden="1" w:uiPriority="0"/>
    <w:lsdException w:name="List Bullet" w:semiHidden="1" w:unhideWhenUsed="1"/>
    <w:lsdException w:name="List Number" w:semiHidden="1" w:unhideWhenUsed="1"/>
    <w:lsdException w:name="List 2" w:semiHidden="1" w:unhideWhenUsed="1"/>
    <w:lsdException w:name="List 3" w:semiHidden="1" w:unhideWhenUsed="1" w:qFormat="1"/>
    <w:lsdException w:name="List 4" w:semiHidden="1" w:unhideWhenUsed="1" w:qFormat="1"/>
    <w:lsdException w:name="List 5" w:semiHidden="1"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qFormat="1"/>
    <w:lsdException w:name="List Number 5" w:semiHidden="1" w:unhideWhenUsed="1"/>
    <w:lsdException w:name="Title" w:uiPriority="10" w:qFormat="1"/>
    <w:lsdException w:name="Closing" w:semiHidden="1" w:unhideWhenUsed="1" w:qFormat="1"/>
    <w:lsdException w:name="Signature" w:semiHidden="1" w:unhideWhenUsed="1" w:qFormat="1"/>
    <w:lsdException w:name="Default Paragraph Font" w:semiHidden="1" w:uiPriority="1" w:unhideWhenUsed="1" w:qFormat="1"/>
    <w:lsdException w:name="Body Text" w:unhideWhenUsed="1"/>
    <w:lsdException w:name="Body Text Indent" w:uiPriority="0"/>
    <w:lsdException w:name="List Continue" w:semiHidden="1" w:unhideWhenUsed="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qFormat="1"/>
    <w:lsdException w:name="Message Header" w:semiHidden="1" w:unhideWhenUsed="1"/>
    <w:lsdException w:name="Subtitle" w:uiPriority="11"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lsdException w:name="Note Heading" w:semiHidden="1" w:unhideWhenUsed="1" w:qFormat="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unhideWhenUsed="1"/>
    <w:lsdException w:name="FollowedHyperlink" w:uiPriority="0" w:qFormat="1"/>
    <w:lsdException w:name="Strong" w:uiPriority="22" w:qFormat="1"/>
    <w:lsdException w:name="Emphasis" w:uiPriority="20" w:qFormat="1"/>
    <w:lsdException w:name="Document Map" w:semiHidden="1" w:unhideWhenUsed="1" w:qFormat="1"/>
    <w:lsdException w:name="Plain Text" w:semiHidden="1" w:unhideWhenUsed="1" w:qFormat="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qFormat="1"/>
    <w:lsdException w:name="HTML Preformatted" w:semiHidden="1" w:unhideWhenUsed="1"/>
    <w:lsdException w:name="HTML Sample" w:semiHidden="1" w:unhideWhenUsed="1"/>
    <w:lsdException w:name="HTML Typewriter" w:semiHidden="1" w:unhideWhenUsed="1" w:qFormat="1"/>
    <w:lsdException w:name="HTML Variable" w:semiHidden="1" w:unhideWhenUsed="1" w:qFormat="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qFormat="1"/>
    <w:lsdException w:name="Table Simple 2" w:semiHidden="1" w:unhideWhenUsed="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lsdException w:name="Table Columns 2" w:semiHidden="1" w:unhideWhenUsed="1" w:qFormat="1"/>
    <w:lsdException w:name="Table Columns 3" w:semiHidden="1" w:unhideWhenUsed="1" w:qFormat="1"/>
    <w:lsdException w:name="Table Columns 4" w:semiHidden="1" w:unhideWhenUsed="1"/>
    <w:lsdException w:name="Table Columns 5" w:semiHidden="1" w:unhideWhenUsed="1" w:qFormat="1"/>
    <w:lsdException w:name="Table Grid 1" w:semiHidden="1" w:unhideWhenUsed="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lsdException w:name="Table List 5" w:semiHidden="1" w:unhideWhenUsed="1" w:qFormat="1"/>
    <w:lsdException w:name="Table List 6" w:semiHidden="1" w:unhideWhenUsed="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lsdException w:name="Table 3D effects 3" w:semiHidden="1" w:unhideWhenUsed="1" w:qFormat="1"/>
    <w:lsdException w:name="Table Contemporary" w:semiHidden="1" w:unhideWhenUsed="1" w:qFormat="1"/>
    <w:lsdException w:name="Table Elegant" w:semiHidden="1" w:unhideWhenUsed="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lsdException w:name="Balloon Text" w:semiHidden="1" w:unhideWhenUsed="1" w:qFormat="1"/>
    <w:lsdException w:name="Table Grid" w:uiPriority="59" w:qFormat="1"/>
    <w:lsdException w:name="Table Theme" w:semiHidden="1" w:unhideWhenUsed="1" w:qFormat="1"/>
    <w:lsdException w:name="Placeholder Text" w:semiHidden="1" w:qFormat="1"/>
    <w:lsdException w:name="No Spacing" w:uiPriority="1" w:qFormat="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qFormat="1"/>
    <w:lsdException w:name="Medium List 2" w:uiPriority="66"/>
    <w:lsdException w:name="Medium Grid 1" w:uiPriority="67"/>
    <w:lsdException w:name="Medium Grid 2" w:uiPriority="68" w:qFormat="1"/>
    <w:lsdException w:name="Medium Grid 3" w:uiPriority="69"/>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lsdException w:name="Light List Accent 1" w:uiPriority="61"/>
    <w:lsdException w:name="Light Grid Accent 1" w:uiPriority="62"/>
    <w:lsdException w:name="Medium Shading 1 Accent 1" w:uiPriority="63" w:qFormat="1"/>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lsdException w:name="Medium Grid 2 Accent 1" w:uiPriority="68"/>
    <w:lsdException w:name="Medium Grid 3 Accent 1" w:uiPriority="69"/>
    <w:lsdException w:name="Dark List Accent 1" w:uiPriority="70" w:qFormat="1"/>
    <w:lsdException w:name="Colorful Shading Accent 1" w:uiPriority="71" w:qFormat="1"/>
    <w:lsdException w:name="Colorful List Accent 1" w:uiPriority="72" w:qFormat="1"/>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qFormat="1"/>
    <w:lsdException w:name="Colorful Shading Accent 2" w:uiPriority="71"/>
    <w:lsdException w:name="Colorful List Accent 2" w:uiPriority="72"/>
    <w:lsdException w:name="Colorful Grid Accent 2" w:uiPriority="73" w:qFormat="1"/>
    <w:lsdException w:name="Light Shading Accent 3" w:uiPriority="60" w:qFormat="1"/>
    <w:lsdException w:name="Light List Accent 3" w:uiPriority="61"/>
    <w:lsdException w:name="Light Grid Accent 3" w:uiPriority="62" w:qFormat="1"/>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qFormat="1"/>
    <w:lsdException w:name="Medium Grid 3 Accent 3" w:uiPriority="69"/>
    <w:lsdException w:name="Dark List Accent 3" w:uiPriority="70"/>
    <w:lsdException w:name="Colorful Shading Accent 3" w:uiPriority="71" w:qFormat="1"/>
    <w:lsdException w:name="Colorful List Accent 3" w:uiPriority="72" w:qFormat="1"/>
    <w:lsdException w:name="Colorful Grid Accent 3" w:uiPriority="73" w:qFormat="1"/>
    <w:lsdException w:name="Light Shading Accent 4" w:uiPriority="60"/>
    <w:lsdException w:name="Light List Accent 4" w:uiPriority="61"/>
    <w:lsdException w:name="Light Grid Accent 4" w:uiPriority="62" w:qFormat="1"/>
    <w:lsdException w:name="Medium Shading 1 Accent 4" w:uiPriority="63"/>
    <w:lsdException w:name="Medium Shading 2 Accent 4" w:uiPriority="64" w:qFormat="1"/>
    <w:lsdException w:name="Medium List 1 Accent 4" w:uiPriority="65"/>
    <w:lsdException w:name="Medium List 2 Accent 4" w:uiPriority="66" w:qFormat="1"/>
    <w:lsdException w:name="Medium Grid 1 Accent 4" w:uiPriority="67"/>
    <w:lsdException w:name="Medium Grid 2 Accent 4" w:uiPriority="68"/>
    <w:lsdException w:name="Medium Grid 3 Accent 4" w:uiPriority="69"/>
    <w:lsdException w:name="Dark List Accent 4" w:uiPriority="70" w:qFormat="1"/>
    <w:lsdException w:name="Colorful Shading Accent 4" w:uiPriority="71" w:qFormat="1"/>
    <w:lsdException w:name="Colorful List Accent 4" w:uiPriority="72" w:qFormat="1"/>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qFormat="1"/>
    <w:lsdException w:name="Colorful List Accent 5" w:uiPriority="72" w:qFormat="1"/>
    <w:lsdException w:name="Colorful Grid Accent 5" w:uiPriority="73"/>
    <w:lsdException w:name="Light Shading Accent 6" w:uiPriority="60"/>
    <w:lsdException w:name="Light List Accent 6" w:uiPriority="61"/>
    <w:lsdException w:name="Light Grid Accent 6" w:uiPriority="62" w:qFormat="1"/>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qFormat="1"/>
    <w:lsdException w:name="Colorful Shading Accent 6" w:uiPriority="71" w:qFormat="1"/>
    <w:lsdException w:name="Colorful List Accent 6" w:uiPriority="72" w:qFormat="1"/>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sz w:val="22"/>
      <w:szCs w:val="22"/>
      <w:lang w:val="en-GB"/>
    </w:rPr>
  </w:style>
  <w:style w:type="paragraph" w:styleId="Heading1">
    <w:name w:val="heading 1"/>
    <w:basedOn w:val="Normal"/>
    <w:next w:val="Heading2"/>
    <w:link w:val="Heading1Char"/>
    <w:uiPriority w:val="9"/>
    <w:qFormat/>
    <w:pPr>
      <w:keepNext/>
      <w:keepLines/>
      <w:numPr>
        <w:numId w:val="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pPr>
      <w:keepNext/>
      <w:keepLines/>
      <w:numPr>
        <w:ilvl w:val="1"/>
        <w:numId w:val="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pPr>
      <w:keepNext/>
      <w:keepLines/>
      <w:numPr>
        <w:ilvl w:val="2"/>
        <w:numId w:val="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pPr>
      <w:keepNext/>
      <w:numPr>
        <w:ilvl w:val="3"/>
        <w:numId w:val="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pPr>
      <w:keepNext/>
      <w:numPr>
        <w:ilvl w:val="4"/>
        <w:numId w:val="1"/>
      </w:numPr>
      <w:spacing w:before="120" w:after="120"/>
      <w:jc w:val="left"/>
      <w:outlineLvl w:val="4"/>
    </w:pPr>
    <w:rPr>
      <w:rFonts w:eastAsiaTheme="majorEastAsia"/>
      <w:i/>
      <w:iCs/>
    </w:rPr>
  </w:style>
  <w:style w:type="paragraph" w:styleId="Heading6">
    <w:name w:val="heading 6"/>
    <w:basedOn w:val="Normal"/>
    <w:next w:val="Normal"/>
    <w:link w:val="Heading6Char"/>
    <w:qFormat/>
    <w:pPr>
      <w:keepNext/>
      <w:keepLines/>
      <w:numPr>
        <w:ilvl w:val="5"/>
        <w:numId w:val="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pPr>
      <w:keepNext/>
      <w:keepLines/>
      <w:widowControl w:val="0"/>
      <w:numPr>
        <w:ilvl w:val="6"/>
        <w:numId w:val="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pPr>
      <w:keepNext/>
      <w:keepLines/>
      <w:widowControl w:val="0"/>
      <w:numPr>
        <w:ilvl w:val="7"/>
        <w:numId w:val="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pPr>
      <w:keepNext/>
      <w:widowControl w:val="0"/>
      <w:numPr>
        <w:ilvl w:val="8"/>
        <w:numId w:val="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lang w:val="en-GB"/>
    </w:rPr>
  </w:style>
  <w:style w:type="paragraph" w:customStyle="1" w:styleId="CBDNormalNumber">
    <w:name w:val="CBD_Normal_Number"/>
    <w:basedOn w:val="CBDNormal"/>
    <w:qFormat/>
    <w:pPr>
      <w:tabs>
        <w:tab w:val="left" w:pos="3969"/>
      </w:tabs>
      <w:spacing w:before="120" w:after="120"/>
    </w:pPr>
  </w:style>
  <w:style w:type="paragraph" w:customStyle="1" w:styleId="CBDNormal">
    <w:name w:val="CBD_Normal"/>
    <w:unhideWhenUsed/>
    <w:qFormat/>
    <w:pPr>
      <w:tabs>
        <w:tab w:val="left" w:pos="567"/>
        <w:tab w:val="left" w:pos="1134"/>
        <w:tab w:val="left" w:pos="1701"/>
        <w:tab w:val="left" w:pos="2268"/>
        <w:tab w:val="left" w:pos="2835"/>
        <w:tab w:val="left" w:pos="3402"/>
      </w:tabs>
      <w:jc w:val="both"/>
    </w:pPr>
    <w:rPr>
      <w:sz w:val="22"/>
      <w:szCs w:val="22"/>
      <w:lang w:val="en-GB"/>
    </w:rPr>
  </w:style>
  <w:style w:type="paragraph" w:styleId="List3">
    <w:name w:val="List 3"/>
    <w:basedOn w:val="Normal"/>
    <w:uiPriority w:val="99"/>
    <w:semiHidden/>
    <w:unhideWhenUsed/>
    <w:qFormat/>
    <w:pPr>
      <w:ind w:left="849" w:hanging="283"/>
      <w:contextualSpacing/>
    </w:pPr>
  </w:style>
  <w:style w:type="paragraph" w:styleId="TOC7">
    <w:name w:val="toc 7"/>
    <w:basedOn w:val="Normal"/>
    <w:next w:val="Normal"/>
    <w:autoRedefine/>
    <w:semiHidden/>
    <w:qFormat/>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ListNumber2">
    <w:name w:val="List Number 2"/>
    <w:basedOn w:val="Normal"/>
    <w:uiPriority w:val="99"/>
    <w:semiHidden/>
    <w:unhideWhenUsed/>
    <w:pPr>
      <w:tabs>
        <w:tab w:val="left" w:pos="643"/>
      </w:tabs>
      <w:ind w:left="643" w:hanging="360"/>
      <w:contextualSpacing/>
    </w:pPr>
  </w:style>
  <w:style w:type="paragraph" w:styleId="TableofAuthorities">
    <w:name w:val="table of authorities"/>
    <w:basedOn w:val="Normal"/>
    <w:next w:val="Normal"/>
    <w:uiPriority w:val="99"/>
    <w:semiHidden/>
    <w:unhideWhenUsed/>
    <w:qFormat/>
    <w:pPr>
      <w:tabs>
        <w:tab w:val="clear" w:pos="567"/>
        <w:tab w:val="clear" w:pos="1134"/>
        <w:tab w:val="clear" w:pos="1701"/>
        <w:tab w:val="clear" w:pos="2268"/>
      </w:tabs>
      <w:ind w:left="220" w:hanging="220"/>
    </w:pPr>
  </w:style>
  <w:style w:type="paragraph" w:styleId="NoteHeading">
    <w:name w:val="Note Heading"/>
    <w:basedOn w:val="Normal"/>
    <w:next w:val="Normal"/>
    <w:link w:val="NoteHeadingChar"/>
    <w:uiPriority w:val="99"/>
    <w:semiHidden/>
    <w:unhideWhenUsed/>
    <w:qFormat/>
  </w:style>
  <w:style w:type="paragraph" w:styleId="ListBullet4">
    <w:name w:val="List Bullet 4"/>
    <w:basedOn w:val="Normal"/>
    <w:uiPriority w:val="99"/>
    <w:semiHidden/>
    <w:unhideWhenUsed/>
    <w:pPr>
      <w:tabs>
        <w:tab w:val="left" w:pos="1209"/>
      </w:tabs>
      <w:ind w:left="1209" w:hanging="360"/>
      <w:contextualSpacing/>
    </w:pPr>
  </w:style>
  <w:style w:type="paragraph" w:styleId="Index8">
    <w:name w:val="index 8"/>
    <w:basedOn w:val="Normal"/>
    <w:next w:val="Normal"/>
    <w:autoRedefine/>
    <w:uiPriority w:val="99"/>
    <w:semiHidden/>
    <w:unhideWhenUsed/>
    <w:pPr>
      <w:tabs>
        <w:tab w:val="clear" w:pos="567"/>
        <w:tab w:val="clear" w:pos="1134"/>
        <w:tab w:val="clear" w:pos="1701"/>
        <w:tab w:val="clear" w:pos="2268"/>
      </w:tabs>
      <w:ind w:left="1760" w:hanging="220"/>
    </w:pPr>
  </w:style>
  <w:style w:type="paragraph" w:styleId="E-mailSignature">
    <w:name w:val="E-mail Signature"/>
    <w:basedOn w:val="Normal"/>
    <w:link w:val="E-mailSignatureChar"/>
    <w:uiPriority w:val="99"/>
    <w:semiHidden/>
    <w:unhideWhenUsed/>
    <w:qFormat/>
  </w:style>
  <w:style w:type="paragraph" w:styleId="ListNumber">
    <w:name w:val="List Number"/>
    <w:basedOn w:val="Normal"/>
    <w:uiPriority w:val="99"/>
    <w:semiHidden/>
    <w:unhideWhenUsed/>
    <w:pPr>
      <w:tabs>
        <w:tab w:val="left" w:pos="360"/>
      </w:tabs>
      <w:ind w:left="360" w:hanging="360"/>
      <w:contextualSpacing/>
    </w:pPr>
  </w:style>
  <w:style w:type="paragraph" w:styleId="NormalIndent">
    <w:name w:val="Normal Indent"/>
    <w:basedOn w:val="Normal"/>
    <w:uiPriority w:val="99"/>
    <w:semiHidden/>
    <w:unhideWhenUsed/>
    <w:pPr>
      <w:ind w:left="720"/>
    </w:pPr>
  </w:style>
  <w:style w:type="paragraph" w:styleId="Caption">
    <w:name w:val="caption"/>
    <w:basedOn w:val="Normal"/>
    <w:next w:val="Normal"/>
    <w:uiPriority w:val="35"/>
    <w:unhideWhenUsed/>
    <w:qFormat/>
    <w:pPr>
      <w:keepNext/>
      <w:keepLines/>
      <w:spacing w:after="200"/>
    </w:pPr>
    <w:rPr>
      <w:b/>
      <w:iCs/>
      <w:szCs w:val="18"/>
    </w:rPr>
  </w:style>
  <w:style w:type="paragraph" w:styleId="Index5">
    <w:name w:val="index 5"/>
    <w:basedOn w:val="Normal"/>
    <w:next w:val="Normal"/>
    <w:autoRedefine/>
    <w:uiPriority w:val="99"/>
    <w:semiHidden/>
    <w:unhideWhenUsed/>
    <w:pPr>
      <w:tabs>
        <w:tab w:val="clear" w:pos="567"/>
        <w:tab w:val="clear" w:pos="1134"/>
        <w:tab w:val="clear" w:pos="1701"/>
        <w:tab w:val="clear" w:pos="2268"/>
      </w:tabs>
      <w:ind w:left="1100" w:hanging="220"/>
    </w:pPr>
  </w:style>
  <w:style w:type="paragraph" w:styleId="ListBullet">
    <w:name w:val="List Bullet"/>
    <w:basedOn w:val="Normal"/>
    <w:uiPriority w:val="99"/>
    <w:semiHidden/>
    <w:unhideWhenUsed/>
    <w:pPr>
      <w:tabs>
        <w:tab w:val="left" w:pos="360"/>
      </w:tabs>
      <w:ind w:left="360" w:hanging="360"/>
      <w:contextualSpacing/>
    </w:pPr>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DocumentMap">
    <w:name w:val="Document Map"/>
    <w:basedOn w:val="Normal"/>
    <w:link w:val="DocumentMapChar"/>
    <w:uiPriority w:val="99"/>
    <w:semiHidden/>
    <w:unhideWhenUsed/>
    <w:qFormat/>
    <w:rPr>
      <w:rFonts w:ascii="Segoe UI" w:hAnsi="Segoe UI" w:cs="Segoe UI"/>
      <w:sz w:val="16"/>
      <w:szCs w:val="16"/>
    </w:rPr>
  </w:style>
  <w:style w:type="paragraph" w:styleId="TOAHeading">
    <w:name w:val="toa heading"/>
    <w:basedOn w:val="Normal"/>
    <w:next w:val="Normal"/>
    <w:semiHidden/>
    <w:qFormat/>
    <w:pPr>
      <w:spacing w:before="120"/>
    </w:pPr>
    <w:rPr>
      <w:rFonts w:cs="Arial"/>
      <w:b/>
      <w:bCs/>
      <w:sz w:val="24"/>
    </w:rPr>
  </w:style>
  <w:style w:type="paragraph" w:styleId="CommentText">
    <w:name w:val="annotation text"/>
    <w:basedOn w:val="Normal"/>
    <w:link w:val="CommentTextChar"/>
    <w:uiPriority w:val="99"/>
    <w:semiHidden/>
    <w:rPr>
      <w:sz w:val="20"/>
      <w:szCs w:val="20"/>
    </w:rPr>
  </w:style>
  <w:style w:type="paragraph" w:styleId="Index6">
    <w:name w:val="index 6"/>
    <w:basedOn w:val="Normal"/>
    <w:next w:val="Normal"/>
    <w:autoRedefine/>
    <w:uiPriority w:val="99"/>
    <w:semiHidden/>
    <w:unhideWhenUsed/>
    <w:pPr>
      <w:tabs>
        <w:tab w:val="clear" w:pos="567"/>
        <w:tab w:val="clear" w:pos="1134"/>
        <w:tab w:val="clear" w:pos="1701"/>
        <w:tab w:val="clear" w:pos="2268"/>
      </w:tabs>
      <w:ind w:left="1320" w:hanging="220"/>
    </w:pPr>
  </w:style>
  <w:style w:type="paragraph" w:styleId="Salutation">
    <w:name w:val="Salutation"/>
    <w:basedOn w:val="Normal"/>
    <w:next w:val="Normal"/>
    <w:link w:val="SalutationChar"/>
    <w:uiPriority w:val="99"/>
    <w:semiHidden/>
    <w:unhideWhenUsed/>
    <w:qFormat/>
  </w:style>
  <w:style w:type="paragraph" w:styleId="BodyText3">
    <w:name w:val="Body Text 3"/>
    <w:basedOn w:val="Normal"/>
    <w:link w:val="BodyText3Char"/>
    <w:uiPriority w:val="99"/>
    <w:semiHidden/>
    <w:unhideWhenUsed/>
    <w:pPr>
      <w:spacing w:after="120"/>
    </w:pPr>
    <w:rPr>
      <w:sz w:val="16"/>
      <w:szCs w:val="16"/>
    </w:rPr>
  </w:style>
  <w:style w:type="paragraph" w:styleId="Closing">
    <w:name w:val="Closing"/>
    <w:basedOn w:val="Normal"/>
    <w:link w:val="ClosingChar"/>
    <w:uiPriority w:val="99"/>
    <w:semiHidden/>
    <w:unhideWhenUsed/>
    <w:qFormat/>
    <w:pPr>
      <w:ind w:left="4252"/>
    </w:pPr>
  </w:style>
  <w:style w:type="paragraph" w:styleId="ListBullet3">
    <w:name w:val="List Bullet 3"/>
    <w:basedOn w:val="Normal"/>
    <w:uiPriority w:val="99"/>
    <w:semiHidden/>
    <w:unhideWhenUsed/>
    <w:pPr>
      <w:tabs>
        <w:tab w:val="left" w:pos="926"/>
      </w:tabs>
      <w:ind w:left="926" w:hanging="360"/>
      <w:contextualSpacing/>
    </w:pPr>
  </w:style>
  <w:style w:type="paragraph" w:styleId="BodyText">
    <w:name w:val="Body Text"/>
    <w:basedOn w:val="Normal"/>
    <w:link w:val="BodyTextChar"/>
    <w:uiPriority w:val="99"/>
    <w:unhideWhenUsed/>
    <w:pPr>
      <w:spacing w:after="120" w:line="259" w:lineRule="auto"/>
      <w:jc w:val="left"/>
    </w:pPr>
    <w:rPr>
      <w:rFonts w:asciiTheme="minorHAnsi" w:eastAsiaTheme="minorHAnsi" w:hAnsiTheme="minorHAnsi" w:cstheme="minorBidi"/>
      <w:kern w:val="2"/>
      <w14:ligatures w14:val="standardContextual"/>
    </w:rPr>
  </w:style>
  <w:style w:type="paragraph" w:styleId="BodyTextIndent">
    <w:name w:val="Body Text Indent"/>
    <w:basedOn w:val="Normal"/>
    <w:link w:val="BodyTextIndentChar"/>
    <w:pPr>
      <w:spacing w:before="120" w:after="120"/>
      <w:ind w:left="1440" w:hanging="720"/>
      <w:jc w:val="left"/>
    </w:pPr>
  </w:style>
  <w:style w:type="paragraph" w:styleId="ListNumber3">
    <w:name w:val="List Number 3"/>
    <w:basedOn w:val="Normal"/>
    <w:uiPriority w:val="99"/>
    <w:semiHidden/>
    <w:unhideWhenUsed/>
    <w:pPr>
      <w:tabs>
        <w:tab w:val="left" w:pos="926"/>
      </w:tabs>
      <w:ind w:left="926" w:hanging="360"/>
      <w:contextualSpacing/>
    </w:pPr>
  </w:style>
  <w:style w:type="paragraph" w:styleId="List2">
    <w:name w:val="List 2"/>
    <w:basedOn w:val="Normal"/>
    <w:uiPriority w:val="99"/>
    <w:semiHidden/>
    <w:unhideWhenUsed/>
    <w:pPr>
      <w:ind w:left="566" w:hanging="283"/>
      <w:contextualSpacing/>
    </w:pPr>
  </w:style>
  <w:style w:type="paragraph" w:styleId="ListContinue">
    <w:name w:val="List Continue"/>
    <w:basedOn w:val="Normal"/>
    <w:uiPriority w:val="99"/>
    <w:semiHidden/>
    <w:unhideWhenUsed/>
    <w:pPr>
      <w:spacing w:after="120"/>
      <w:ind w:left="283"/>
      <w:contextualSpacing/>
    </w:pPr>
  </w:style>
  <w:style w:type="paragraph" w:styleId="BlockText">
    <w:name w:val="Block Text"/>
    <w:basedOn w:val="Normal"/>
    <w:uiPriority w:val="99"/>
    <w:semiHidden/>
    <w:unhideWhenUse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ListBullet2">
    <w:name w:val="List Bullet 2"/>
    <w:basedOn w:val="Normal"/>
    <w:uiPriority w:val="99"/>
    <w:semiHidden/>
    <w:unhideWhenUsed/>
    <w:pPr>
      <w:tabs>
        <w:tab w:val="left" w:pos="643"/>
      </w:tabs>
      <w:ind w:left="643" w:hanging="360"/>
      <w:contextualSpacing/>
    </w:pPr>
  </w:style>
  <w:style w:type="paragraph" w:styleId="HTMLAddress">
    <w:name w:val="HTML Address"/>
    <w:basedOn w:val="Normal"/>
    <w:link w:val="HTMLAddressChar"/>
    <w:uiPriority w:val="99"/>
    <w:semiHidden/>
    <w:unhideWhenUsed/>
    <w:rPr>
      <w:i/>
      <w:iCs/>
    </w:rPr>
  </w:style>
  <w:style w:type="paragraph" w:styleId="Index4">
    <w:name w:val="index 4"/>
    <w:basedOn w:val="Normal"/>
    <w:next w:val="Normal"/>
    <w:autoRedefine/>
    <w:uiPriority w:val="99"/>
    <w:semiHidden/>
    <w:unhideWhenUsed/>
    <w:pPr>
      <w:tabs>
        <w:tab w:val="clear" w:pos="567"/>
        <w:tab w:val="clear" w:pos="1134"/>
        <w:tab w:val="clear" w:pos="1701"/>
        <w:tab w:val="clear" w:pos="2268"/>
      </w:tabs>
      <w:ind w:left="880" w:hanging="220"/>
    </w:pPr>
  </w:style>
  <w:style w:type="paragraph" w:styleId="TOC5">
    <w:name w:val="toc 5"/>
    <w:basedOn w:val="CBDNormal"/>
    <w:next w:val="Normal"/>
    <w:uiPriority w:val="3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3">
    <w:name w:val="toc 3"/>
    <w:basedOn w:val="CBDNormal"/>
    <w:next w:val="Normal"/>
    <w:uiPriority w:val="39"/>
    <w:unhideWhenUse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PlainText">
    <w:name w:val="Plain Text"/>
    <w:basedOn w:val="Normal"/>
    <w:link w:val="PlainTextChar"/>
    <w:uiPriority w:val="99"/>
    <w:semiHidden/>
    <w:unhideWhenUsed/>
    <w:qFormat/>
    <w:rPr>
      <w:rFonts w:ascii="Consolas" w:hAnsi="Consolas"/>
      <w:sz w:val="21"/>
      <w:szCs w:val="21"/>
    </w:rPr>
  </w:style>
  <w:style w:type="paragraph" w:styleId="ListBullet5">
    <w:name w:val="List Bullet 5"/>
    <w:basedOn w:val="Normal"/>
    <w:uiPriority w:val="99"/>
    <w:semiHidden/>
    <w:unhideWhenUsed/>
    <w:pPr>
      <w:tabs>
        <w:tab w:val="left" w:pos="1492"/>
      </w:tabs>
      <w:ind w:left="1492" w:hanging="360"/>
      <w:contextualSpacing/>
    </w:pPr>
  </w:style>
  <w:style w:type="paragraph" w:styleId="ListNumber4">
    <w:name w:val="List Number 4"/>
    <w:basedOn w:val="Normal"/>
    <w:uiPriority w:val="99"/>
    <w:semiHidden/>
    <w:unhideWhenUsed/>
    <w:qFormat/>
    <w:pPr>
      <w:tabs>
        <w:tab w:val="left" w:pos="1209"/>
      </w:tabs>
      <w:ind w:left="1209" w:hanging="360"/>
      <w:contextualSpacing/>
    </w:pPr>
  </w:style>
  <w:style w:type="paragraph" w:styleId="TOC8">
    <w:name w:val="toc 8"/>
    <w:basedOn w:val="Normal"/>
    <w:next w:val="Normal"/>
    <w:autoRedefine/>
    <w:semiHidden/>
    <w:qFormat/>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Index3">
    <w:name w:val="index 3"/>
    <w:basedOn w:val="Normal"/>
    <w:next w:val="Normal"/>
    <w:autoRedefine/>
    <w:uiPriority w:val="99"/>
    <w:semiHidden/>
    <w:unhideWhenUsed/>
    <w:pPr>
      <w:tabs>
        <w:tab w:val="clear" w:pos="567"/>
        <w:tab w:val="clear" w:pos="1134"/>
        <w:tab w:val="clear" w:pos="1701"/>
        <w:tab w:val="clear" w:pos="2268"/>
      </w:tabs>
      <w:ind w:left="660" w:hanging="220"/>
    </w:pPr>
  </w:style>
  <w:style w:type="paragraph" w:styleId="Date">
    <w:name w:val="Date"/>
    <w:basedOn w:val="Normal"/>
    <w:next w:val="Normal"/>
    <w:link w:val="DateChar"/>
    <w:uiPriority w:val="99"/>
    <w:semiHidden/>
    <w:unhideWhenUsed/>
    <w:qFormat/>
  </w:style>
  <w:style w:type="paragraph" w:styleId="BodyTextIndent2">
    <w:name w:val="Body Text Indent 2"/>
    <w:basedOn w:val="Normal"/>
    <w:link w:val="BodyTextIndent2Char"/>
    <w:uiPriority w:val="99"/>
    <w:semiHidden/>
    <w:unhideWhenUsed/>
    <w:qFormat/>
    <w:pPr>
      <w:spacing w:after="120" w:line="480" w:lineRule="auto"/>
      <w:ind w:left="283"/>
    </w:pPr>
  </w:style>
  <w:style w:type="paragraph" w:styleId="EndnoteText">
    <w:name w:val="endnote text"/>
    <w:basedOn w:val="Normal"/>
    <w:link w:val="EndnoteTextChar"/>
    <w:semiHidden/>
    <w:pPr>
      <w:widowControl w:val="0"/>
      <w:tabs>
        <w:tab w:val="left" w:pos="-720"/>
      </w:tabs>
      <w:suppressAutoHyphens/>
    </w:pPr>
    <w:rPr>
      <w:rFonts w:ascii="Courier New" w:hAnsi="Courier New"/>
    </w:rPr>
  </w:style>
  <w:style w:type="paragraph" w:styleId="ListContinue5">
    <w:name w:val="List Continue 5"/>
    <w:basedOn w:val="Normal"/>
    <w:uiPriority w:val="99"/>
    <w:semiHidden/>
    <w:unhideWhenUsed/>
    <w:qFormat/>
    <w:pPr>
      <w:spacing w:after="120"/>
      <w:ind w:left="1415"/>
      <w:contextualSpacing/>
    </w:pPr>
  </w:style>
  <w:style w:type="paragraph" w:styleId="BalloonText">
    <w:name w:val="Balloon Text"/>
    <w:basedOn w:val="Normal"/>
    <w:link w:val="BalloonTextChar"/>
    <w:uiPriority w:val="99"/>
    <w:semiHidden/>
    <w:unhideWhenUsed/>
    <w:qFormat/>
    <w:rPr>
      <w:rFonts w:ascii="Lucida Grande" w:hAnsi="Lucida Grande" w:cs="Lucida Grande"/>
      <w:sz w:val="18"/>
      <w:szCs w:val="18"/>
    </w:rPr>
  </w:style>
  <w:style w:type="paragraph" w:styleId="Footer">
    <w:name w:val="footer"/>
    <w:basedOn w:val="Normal"/>
    <w:link w:val="FooterChar"/>
    <w:uiPriority w:val="99"/>
    <w:qFormat/>
    <w:pPr>
      <w:tabs>
        <w:tab w:val="center" w:pos="4680"/>
        <w:tab w:val="right" w:pos="9360"/>
      </w:tabs>
    </w:pPr>
    <w:rPr>
      <w:sz w:val="20"/>
    </w:rPr>
  </w:style>
  <w:style w:type="paragraph" w:styleId="EnvelopeReturn">
    <w:name w:val="envelope return"/>
    <w:basedOn w:val="Normal"/>
    <w:uiPriority w:val="99"/>
    <w:semiHidden/>
    <w:unhideWhenUsed/>
    <w:rPr>
      <w:rFonts w:asciiTheme="majorHAnsi" w:eastAsiaTheme="majorEastAsia" w:hAnsiTheme="majorHAnsi" w:cstheme="majorBidi"/>
      <w:sz w:val="20"/>
      <w:szCs w:val="20"/>
    </w:rPr>
  </w:style>
  <w:style w:type="paragraph" w:styleId="Header">
    <w:name w:val="header"/>
    <w:basedOn w:val="Normal"/>
    <w:link w:val="HeaderChar"/>
    <w:pPr>
      <w:pBdr>
        <w:bottom w:val="single" w:sz="4" w:space="1" w:color="auto"/>
      </w:pBdr>
      <w:tabs>
        <w:tab w:val="center" w:pos="4680"/>
        <w:tab w:val="right" w:pos="9360"/>
      </w:tabs>
      <w:jc w:val="left"/>
    </w:pPr>
    <w:rPr>
      <w:sz w:val="20"/>
    </w:rPr>
  </w:style>
  <w:style w:type="paragraph" w:styleId="Signature">
    <w:name w:val="Signature"/>
    <w:basedOn w:val="Normal"/>
    <w:link w:val="SignatureChar"/>
    <w:uiPriority w:val="99"/>
    <w:semiHidden/>
    <w:unhideWhenUsed/>
    <w:qFormat/>
    <w:pPr>
      <w:ind w:left="4252"/>
    </w:pPr>
  </w:style>
  <w:style w:type="paragraph" w:styleId="TOC1">
    <w:name w:val="toc 1"/>
    <w:basedOn w:val="CBDNormal"/>
    <w:next w:val="Normal"/>
    <w:autoRedefine/>
    <w:uiPriority w:val="39"/>
    <w:unhideWhenUse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ListContinue4">
    <w:name w:val="List Continue 4"/>
    <w:basedOn w:val="Normal"/>
    <w:uiPriority w:val="99"/>
    <w:semiHidden/>
    <w:unhideWhenUsed/>
    <w:pPr>
      <w:spacing w:after="120"/>
      <w:ind w:left="1132"/>
      <w:contextualSpacing/>
    </w:pPr>
  </w:style>
  <w:style w:type="paragraph" w:styleId="TOC4">
    <w:name w:val="toc 4"/>
    <w:basedOn w:val="CBDNormal"/>
    <w:next w:val="Normal"/>
    <w:uiPriority w:val="39"/>
    <w:unhideWhenUse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paragraph" w:styleId="Index1">
    <w:name w:val="index 1"/>
    <w:basedOn w:val="Normal"/>
    <w:next w:val="Normal"/>
    <w:autoRedefine/>
    <w:uiPriority w:val="99"/>
    <w:semiHidden/>
    <w:unhideWhenUsed/>
    <w:pPr>
      <w:tabs>
        <w:tab w:val="clear" w:pos="567"/>
        <w:tab w:val="clear" w:pos="1134"/>
        <w:tab w:val="clear" w:pos="1701"/>
        <w:tab w:val="clear" w:pos="2268"/>
      </w:tabs>
      <w:ind w:left="220" w:hanging="220"/>
    </w:p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rPr>
  </w:style>
  <w:style w:type="paragraph" w:styleId="ListNumber5">
    <w:name w:val="List Number 5"/>
    <w:basedOn w:val="Normal"/>
    <w:uiPriority w:val="99"/>
    <w:semiHidden/>
    <w:unhideWhenUsed/>
    <w:pPr>
      <w:tabs>
        <w:tab w:val="left" w:pos="1800"/>
      </w:tabs>
      <w:ind w:left="1800" w:hanging="360"/>
      <w:contextualSpacing/>
    </w:pPr>
  </w:style>
  <w:style w:type="paragraph" w:styleId="List">
    <w:name w:val="List"/>
    <w:basedOn w:val="Normal"/>
    <w:semiHidden/>
    <w:pPr>
      <w:contextualSpacing/>
    </w:pPr>
  </w:style>
  <w:style w:type="paragraph" w:styleId="FootnoteText">
    <w:name w:val="footnote text"/>
    <w:basedOn w:val="Normal"/>
    <w:link w:val="FootnoteTextChar"/>
    <w:uiPriority w:val="99"/>
    <w:unhideWhenUsed/>
    <w:pPr>
      <w:jc w:val="left"/>
    </w:pPr>
    <w:rPr>
      <w:sz w:val="18"/>
      <w:szCs w:val="20"/>
    </w:rPr>
  </w:style>
  <w:style w:type="paragraph" w:styleId="TOC6">
    <w:name w:val="toc 6"/>
    <w:basedOn w:val="Normal"/>
    <w:next w:val="Normal"/>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List5">
    <w:name w:val="List 5"/>
    <w:basedOn w:val="Normal"/>
    <w:uiPriority w:val="99"/>
    <w:semiHidden/>
    <w:unhideWhenUsed/>
    <w:qFormat/>
    <w:pPr>
      <w:ind w:left="1415" w:hanging="283"/>
      <w:contextualSpacing/>
    </w:pPr>
  </w:style>
  <w:style w:type="paragraph" w:styleId="BodyTextIndent3">
    <w:name w:val="Body Text Indent 3"/>
    <w:basedOn w:val="Normal"/>
    <w:link w:val="BodyTextIndent3Char"/>
    <w:uiPriority w:val="99"/>
    <w:semiHidden/>
    <w:unhideWhenUsed/>
    <w:qFormat/>
    <w:pPr>
      <w:spacing w:after="120"/>
      <w:ind w:left="283"/>
    </w:pPr>
    <w:rPr>
      <w:sz w:val="16"/>
      <w:szCs w:val="16"/>
    </w:rPr>
  </w:style>
  <w:style w:type="paragraph" w:styleId="Index7">
    <w:name w:val="index 7"/>
    <w:basedOn w:val="Normal"/>
    <w:next w:val="Normal"/>
    <w:autoRedefine/>
    <w:uiPriority w:val="99"/>
    <w:semiHidden/>
    <w:unhideWhenUsed/>
    <w:pPr>
      <w:tabs>
        <w:tab w:val="clear" w:pos="567"/>
        <w:tab w:val="clear" w:pos="1134"/>
        <w:tab w:val="clear" w:pos="1701"/>
        <w:tab w:val="clear" w:pos="2268"/>
      </w:tabs>
      <w:ind w:left="1540" w:hanging="220"/>
    </w:pPr>
  </w:style>
  <w:style w:type="paragraph" w:styleId="Index9">
    <w:name w:val="index 9"/>
    <w:basedOn w:val="Normal"/>
    <w:next w:val="Normal"/>
    <w:autoRedefine/>
    <w:uiPriority w:val="99"/>
    <w:semiHidden/>
    <w:unhideWhenUsed/>
    <w:qFormat/>
    <w:pPr>
      <w:tabs>
        <w:tab w:val="clear" w:pos="567"/>
        <w:tab w:val="clear" w:pos="1134"/>
        <w:tab w:val="clear" w:pos="1701"/>
        <w:tab w:val="clear" w:pos="2268"/>
      </w:tabs>
      <w:ind w:left="1980" w:hanging="220"/>
    </w:pPr>
  </w:style>
  <w:style w:type="paragraph" w:styleId="TableofFigures">
    <w:name w:val="table of figures"/>
    <w:basedOn w:val="Normal"/>
    <w:next w:val="Normal"/>
    <w:uiPriority w:val="99"/>
    <w:semiHidden/>
    <w:unhideWhenUsed/>
    <w:qFormat/>
    <w:pPr>
      <w:tabs>
        <w:tab w:val="clear" w:pos="567"/>
        <w:tab w:val="clear" w:pos="1134"/>
        <w:tab w:val="clear" w:pos="1701"/>
        <w:tab w:val="clear" w:pos="2268"/>
      </w:tabs>
    </w:pPr>
  </w:style>
  <w:style w:type="paragraph" w:styleId="TOC2">
    <w:name w:val="toc 2"/>
    <w:basedOn w:val="CBDNormal"/>
    <w:next w:val="Normal"/>
    <w:uiPriority w:val="39"/>
    <w:unhideWhenUse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9">
    <w:name w:val="toc 9"/>
    <w:basedOn w:val="Normal"/>
    <w:next w:val="Normal"/>
    <w:autoRedefine/>
    <w:semiHidden/>
    <w:qFormat/>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odyText2">
    <w:name w:val="Body Text 2"/>
    <w:basedOn w:val="Normal"/>
    <w:link w:val="BodyText2Char"/>
    <w:uiPriority w:val="99"/>
    <w:semiHidden/>
    <w:unhideWhenUsed/>
    <w:qFormat/>
    <w:pPr>
      <w:spacing w:after="120" w:line="480" w:lineRule="auto"/>
    </w:pPr>
  </w:style>
  <w:style w:type="paragraph" w:styleId="List4">
    <w:name w:val="List 4"/>
    <w:basedOn w:val="Normal"/>
    <w:uiPriority w:val="99"/>
    <w:semiHidden/>
    <w:unhideWhenUsed/>
    <w:qFormat/>
    <w:pPr>
      <w:ind w:left="1132" w:hanging="283"/>
      <w:contextualSpacing/>
    </w:pPr>
  </w:style>
  <w:style w:type="paragraph" w:styleId="ListContinue2">
    <w:name w:val="List Continue 2"/>
    <w:basedOn w:val="Normal"/>
    <w:uiPriority w:val="99"/>
    <w:semiHidden/>
    <w:unhideWhenUsed/>
    <w:qFormat/>
    <w:pPr>
      <w:spacing w:after="120"/>
      <w:ind w:left="566"/>
      <w:contextualSpacing/>
    </w:p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paragraph" w:styleId="HTMLPreformatted">
    <w:name w:val="HTML Preformatted"/>
    <w:basedOn w:val="Normal"/>
    <w:link w:val="HTMLPreformattedChar"/>
    <w:uiPriority w:val="99"/>
    <w:semiHidden/>
    <w:unhideWhenUsed/>
    <w:rPr>
      <w:rFonts w:ascii="Consolas" w:hAnsi="Consolas"/>
      <w:sz w:val="20"/>
      <w:szCs w:val="20"/>
    </w:rPr>
  </w:style>
  <w:style w:type="paragraph" w:styleId="NormalWeb">
    <w:name w:val="Normal (Web)"/>
    <w:basedOn w:val="Normal"/>
    <w:uiPriority w:val="99"/>
    <w:semiHidden/>
    <w:unhideWhenUsed/>
    <w:rPr>
      <w:sz w:val="24"/>
      <w:szCs w:val="24"/>
    </w:rPr>
  </w:style>
  <w:style w:type="paragraph" w:styleId="ListContinue3">
    <w:name w:val="List Continue 3"/>
    <w:basedOn w:val="Normal"/>
    <w:uiPriority w:val="99"/>
    <w:semiHidden/>
    <w:unhideWhenUsed/>
    <w:qFormat/>
    <w:pPr>
      <w:spacing w:after="120"/>
      <w:ind w:left="849"/>
      <w:contextualSpacing/>
    </w:pPr>
  </w:style>
  <w:style w:type="paragraph" w:styleId="Index2">
    <w:name w:val="index 2"/>
    <w:basedOn w:val="Normal"/>
    <w:next w:val="Normal"/>
    <w:autoRedefine/>
    <w:uiPriority w:val="99"/>
    <w:semiHidden/>
    <w:unhideWhenUsed/>
    <w:qFormat/>
    <w:pPr>
      <w:tabs>
        <w:tab w:val="clear" w:pos="567"/>
        <w:tab w:val="clear" w:pos="1134"/>
        <w:tab w:val="clear" w:pos="1701"/>
        <w:tab w:val="clear" w:pos="2268"/>
      </w:tabs>
      <w:ind w:left="440" w:hanging="220"/>
    </w:pPr>
  </w:style>
  <w:style w:type="paragraph" w:styleId="Title">
    <w:name w:val="Title"/>
    <w:basedOn w:val="Normal"/>
    <w:next w:val="Normal"/>
    <w:link w:val="TitleChar"/>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CommentSubject">
    <w:name w:val="annotation subject"/>
    <w:basedOn w:val="CommentText"/>
    <w:next w:val="CommentText"/>
    <w:link w:val="CommentSubjectChar"/>
    <w:uiPriority w:val="99"/>
    <w:semiHidden/>
    <w:unhideWhenUsed/>
    <w:qFormat/>
    <w:rPr>
      <w:b/>
      <w:bCs/>
    </w:rPr>
  </w:style>
  <w:style w:type="paragraph" w:styleId="BodyTextFirstIndent">
    <w:name w:val="Body Text First Indent"/>
    <w:basedOn w:val="BodyText"/>
    <w:link w:val="BodyTextFirstIndentChar"/>
    <w:uiPriority w:val="99"/>
    <w:semiHidden/>
    <w:unhideWhenUsed/>
    <w:qFormat/>
    <w:pPr>
      <w:spacing w:after="0" w:line="240" w:lineRule="auto"/>
      <w:ind w:firstLine="360"/>
      <w:jc w:val="both"/>
    </w:pPr>
    <w:rPr>
      <w:rFonts w:ascii="Times New Roman" w:eastAsia="SimSun" w:hAnsi="Times New Roman" w:cs="Times New Roman"/>
      <w:kern w:val="0"/>
      <w14:ligatures w14:val="none"/>
    </w:rPr>
  </w:style>
  <w:style w:type="paragraph" w:styleId="BodyTextFirstIndent2">
    <w:name w:val="Body Text First Indent 2"/>
    <w:basedOn w:val="BodyTextIndent"/>
    <w:link w:val="BodyTextFirstIndent2Char"/>
    <w:uiPriority w:val="99"/>
    <w:semiHidden/>
    <w:unhideWhenUsed/>
    <w:pPr>
      <w:spacing w:before="0" w:after="0"/>
      <w:ind w:left="360" w:firstLine="360"/>
      <w:jc w:val="both"/>
    </w:p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uiPriority w:val="99"/>
    <w:semiHidden/>
    <w:unhideWhenUsed/>
    <w:qFormat/>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uiPriority w:val="99"/>
    <w:semiHidden/>
    <w:unhideWhenUsed/>
    <w:qFormat/>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uiPriority w:val="99"/>
    <w:semiHidden/>
    <w:unhideWhenUsed/>
    <w:qFormat/>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uiPriority w:val="99"/>
    <w:semiHidden/>
    <w:unhideWhenUsed/>
    <w:qFormat/>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uiPriority w:val="99"/>
    <w:semiHidden/>
    <w:unhideWhenUsed/>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uiPriority w:val="99"/>
    <w:semiHidden/>
    <w:unhideWhenUsed/>
    <w:qFormat/>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uiPriority w:val="99"/>
    <w:semiHidden/>
    <w:unhideWhenUsed/>
    <w:qFormat/>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uiPriority w:val="99"/>
    <w:semiHidden/>
    <w:unhideWhenUsed/>
    <w:qFormat/>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uiPriority w:val="99"/>
    <w:semiHidden/>
    <w:unhideWhenUsed/>
    <w:qFormat/>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uiPriority w:val="99"/>
    <w:semiHidden/>
    <w:unhideWhenUsed/>
    <w:qFormat/>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uiPriority w:val="99"/>
    <w:semiHidden/>
    <w:unhideWhenUsed/>
    <w:pPr>
      <w:tabs>
        <w:tab w:val="left" w:pos="567"/>
        <w:tab w:val="left" w:pos="1134"/>
        <w:tab w:val="left" w:pos="1701"/>
        <w:tab w:val="left" w:pos="2268"/>
      </w:tabs>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uiPriority w:val="99"/>
    <w:semiHidden/>
    <w:unhideWhenUsed/>
    <w:qFormat/>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uiPriority w:val="99"/>
    <w:semiHidden/>
    <w:unhideWhenUsed/>
    <w:qFormat/>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uiPriority w:val="99"/>
    <w:semiHidden/>
    <w:unhideWhenUsed/>
    <w:qFormat/>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uiPriority w:val="99"/>
    <w:semiHidden/>
    <w:unhideWhenUsed/>
    <w:qFormat/>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uiPriority w:val="99"/>
    <w:semiHidden/>
    <w:unhideWhenUsed/>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uiPriority w:val="99"/>
    <w:semiHidden/>
    <w:unhideWhenUsed/>
    <w:qFormat/>
    <w:pPr>
      <w:tabs>
        <w:tab w:val="left" w:pos="567"/>
        <w:tab w:val="left" w:pos="1134"/>
        <w:tab w:val="left" w:pos="1701"/>
        <w:tab w:val="left" w:pos="2268"/>
      </w:tabs>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uiPriority w:val="99"/>
    <w:semiHidden/>
    <w:unhideWhenUsed/>
    <w:qFormat/>
    <w:pPr>
      <w:tabs>
        <w:tab w:val="left" w:pos="567"/>
        <w:tab w:val="left" w:pos="1134"/>
        <w:tab w:val="left" w:pos="1701"/>
        <w:tab w:val="left" w:pos="2268"/>
      </w:tabs>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uiPriority w:val="99"/>
    <w:semiHidden/>
    <w:unhideWhenUsed/>
    <w:qFormat/>
    <w:pPr>
      <w:tabs>
        <w:tab w:val="left" w:pos="567"/>
        <w:tab w:val="left" w:pos="1134"/>
        <w:tab w:val="left" w:pos="1701"/>
        <w:tab w:val="left" w:pos="2268"/>
      </w:tabs>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uiPriority w:val="99"/>
    <w:semiHidden/>
    <w:unhideWhenUsed/>
    <w:qFormat/>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uiPriority w:val="99"/>
    <w:semiHidden/>
    <w:unhideWhenUsed/>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uiPriority w:val="99"/>
    <w:semiHidden/>
    <w:unhideWhenUsed/>
    <w:qFormat/>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uiPriority w:val="99"/>
    <w:semiHidden/>
    <w:unhideWhenUsed/>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uiPriority w:val="99"/>
    <w:semiHidden/>
    <w:unhideWhenUsed/>
    <w:qFormat/>
    <w:pPr>
      <w:tabs>
        <w:tab w:val="left" w:pos="567"/>
        <w:tab w:val="left" w:pos="1134"/>
        <w:tab w:val="left" w:pos="1701"/>
        <w:tab w:val="left" w:pos="2268"/>
      </w:tabs>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uiPriority w:val="99"/>
    <w:semiHidden/>
    <w:unhideWhenUsed/>
    <w:qFormat/>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uiPriority w:val="99"/>
    <w:semiHidden/>
    <w:unhideWhenUsed/>
    <w:qFormat/>
    <w:pPr>
      <w:tabs>
        <w:tab w:val="left" w:pos="567"/>
        <w:tab w:val="left" w:pos="1134"/>
        <w:tab w:val="left" w:pos="1701"/>
        <w:tab w:val="left" w:pos="2268"/>
      </w:tabs>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uiPriority w:val="99"/>
    <w:semiHidden/>
    <w:unhideWhenUsed/>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uiPriority w:val="99"/>
    <w:semiHidden/>
    <w:unhideWhenUsed/>
    <w:qFormat/>
    <w:pPr>
      <w:tabs>
        <w:tab w:val="left" w:pos="567"/>
        <w:tab w:val="left" w:pos="1134"/>
        <w:tab w:val="left" w:pos="1701"/>
        <w:tab w:val="left" w:pos="2268"/>
      </w:tabs>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uiPriority w:val="99"/>
    <w:semiHidden/>
    <w:unhideWhenUsed/>
    <w:qFormat/>
    <w:pPr>
      <w:tabs>
        <w:tab w:val="left" w:pos="567"/>
        <w:tab w:val="left" w:pos="1134"/>
        <w:tab w:val="left" w:pos="1701"/>
        <w:tab w:val="left" w:pos="2268"/>
      </w:tabs>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uiPriority w:val="99"/>
    <w:semiHidden/>
    <w:unhideWhenUsed/>
    <w:pPr>
      <w:tabs>
        <w:tab w:val="left" w:pos="567"/>
        <w:tab w:val="left" w:pos="1134"/>
        <w:tab w:val="left" w:pos="1701"/>
        <w:tab w:val="left" w:pos="2268"/>
      </w:tabs>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qFormat/>
    <w:pPr>
      <w:tabs>
        <w:tab w:val="left" w:pos="567"/>
        <w:tab w:val="left" w:pos="1134"/>
        <w:tab w:val="left" w:pos="1701"/>
        <w:tab w:val="left" w:pos="2268"/>
      </w:tabs>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uiPriority w:val="99"/>
    <w:semiHidden/>
    <w:unhideWhenUsed/>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uiPriority w:val="99"/>
    <w:semiHidden/>
    <w:unhideWhenUsed/>
    <w:qFormat/>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uiPriority w:val="99"/>
    <w:semiHidden/>
    <w:unhideWhenUsed/>
    <w:qFormat/>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uiPriority w:val="99"/>
    <w:semiHidden/>
    <w:unhideWhenUsed/>
    <w:qFormat/>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uiPriority w:val="99"/>
    <w:semiHidden/>
    <w:unhideWhenUsed/>
    <w:qFormat/>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uiPriority w:val="99"/>
    <w:semiHidden/>
    <w:unhideWhenUsed/>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uiPriority w:val="99"/>
    <w:semiHidden/>
    <w:unhideWhenUsed/>
    <w:qFormat/>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uiPriority w:val="99"/>
    <w:semiHidden/>
    <w:unhideWhenUsed/>
    <w:qFormat/>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uiPriority w:val="99"/>
    <w:semiHidden/>
    <w:unhideWhenUsed/>
    <w:qFormat/>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uiPriority w:val="99"/>
    <w:semiHidden/>
    <w:unhideWhenUsed/>
    <w:qFormat/>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uiPriority w:val="99"/>
    <w:semiHidden/>
    <w:unhideWhenUsed/>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uiPriority w:val="99"/>
    <w:semiHidden/>
    <w:unhideWhenUsed/>
    <w:qFormat/>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LightShading">
    <w:name w:val="Light Shading"/>
    <w:basedOn w:val="TableNormal"/>
    <w:uiPriority w:val="60"/>
    <w:semiHidden/>
    <w:unhideWhenUsed/>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semiHidden/>
    <w:unhideWhenUsed/>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semiHidden/>
    <w:unhideWhenUsed/>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semiHidden/>
    <w:unhideWhenUsed/>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semiHidden/>
    <w:unhideWhenUsed/>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semiHidden/>
    <w:unhideWhenUsed/>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semiHidden/>
    <w:unhideWhenUsed/>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semiHidden/>
    <w:unhideWhenUsed/>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semiHidden/>
    <w:unhideWhenUsed/>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semiHidden/>
    <w:unhideWhenUsed/>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semiHidden/>
    <w:unhideWhenUsed/>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semiHidden/>
    <w:unhideWhenUsed/>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semiHidden/>
    <w:unhideWhenUsed/>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semiHidden/>
    <w:unhideWhenUsed/>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qFormat/>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qFormat/>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semiHidden/>
    <w:unhideWhenUsed/>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Strong">
    <w:name w:val="Strong"/>
    <w:basedOn w:val="DefaultParagraphFont"/>
    <w:uiPriority w:val="22"/>
    <w:qFormat/>
    <w:rPr>
      <w:b/>
      <w:bCs/>
      <w:lang w:val="en-GB"/>
    </w:rPr>
  </w:style>
  <w:style w:type="character" w:styleId="EndnoteReference">
    <w:name w:val="endnote reference"/>
    <w:semiHidden/>
    <w:qFormat/>
    <w:rPr>
      <w:vertAlign w:val="superscript"/>
      <w:lang w:val="en-GB"/>
    </w:rPr>
  </w:style>
  <w:style w:type="character" w:styleId="PageNumber">
    <w:name w:val="page number"/>
    <w:rPr>
      <w:rFonts w:ascii="Times New Roman" w:hAnsi="Times New Roman"/>
      <w:sz w:val="22"/>
      <w:lang w:val="en-GB"/>
    </w:rPr>
  </w:style>
  <w:style w:type="character" w:styleId="FollowedHyperlink">
    <w:name w:val="FollowedHyperlink"/>
    <w:qFormat/>
    <w:rPr>
      <w:color w:val="800080"/>
      <w:u w:val="single"/>
      <w:lang w:val="en-GB"/>
    </w:rPr>
  </w:style>
  <w:style w:type="character" w:styleId="Emphasis">
    <w:name w:val="Emphasis"/>
    <w:basedOn w:val="DefaultParagraphFont"/>
    <w:uiPriority w:val="20"/>
    <w:qFormat/>
    <w:rPr>
      <w:i/>
      <w:iCs/>
      <w:lang w:val="en-GB"/>
    </w:rPr>
  </w:style>
  <w:style w:type="character" w:styleId="LineNumber">
    <w:name w:val="line number"/>
    <w:basedOn w:val="DefaultParagraphFont"/>
    <w:uiPriority w:val="99"/>
    <w:semiHidden/>
    <w:unhideWhenUsed/>
    <w:rPr>
      <w:lang w:val="en-GB"/>
    </w:rPr>
  </w:style>
  <w:style w:type="character" w:styleId="HTMLDefinition">
    <w:name w:val="HTML Definition"/>
    <w:basedOn w:val="DefaultParagraphFont"/>
    <w:uiPriority w:val="99"/>
    <w:semiHidden/>
    <w:unhideWhenUsed/>
    <w:rPr>
      <w:i/>
      <w:iCs/>
      <w:lang w:val="en-GB"/>
    </w:rPr>
  </w:style>
  <w:style w:type="character" w:styleId="HTMLTypewriter">
    <w:name w:val="HTML Typewriter"/>
    <w:basedOn w:val="DefaultParagraphFont"/>
    <w:uiPriority w:val="99"/>
    <w:semiHidden/>
    <w:unhideWhenUsed/>
    <w:qFormat/>
    <w:rPr>
      <w:rFonts w:ascii="Consolas" w:hAnsi="Consolas"/>
      <w:sz w:val="20"/>
      <w:szCs w:val="20"/>
      <w:lang w:val="en-GB"/>
    </w:rPr>
  </w:style>
  <w:style w:type="character" w:styleId="HTMLAcronym">
    <w:name w:val="HTML Acronym"/>
    <w:basedOn w:val="DefaultParagraphFont"/>
    <w:uiPriority w:val="99"/>
    <w:semiHidden/>
    <w:unhideWhenUsed/>
    <w:qFormat/>
    <w:rPr>
      <w:lang w:val="en-GB"/>
    </w:rPr>
  </w:style>
  <w:style w:type="character" w:styleId="HTMLVariable">
    <w:name w:val="HTML Variable"/>
    <w:basedOn w:val="DefaultParagraphFont"/>
    <w:uiPriority w:val="99"/>
    <w:semiHidden/>
    <w:unhideWhenUsed/>
    <w:qFormat/>
    <w:rPr>
      <w:i/>
      <w:iCs/>
      <w:lang w:val="en-GB"/>
    </w:rPr>
  </w:style>
  <w:style w:type="character" w:styleId="Hyperlink">
    <w:name w:val="Hyperlink"/>
    <w:basedOn w:val="DefaultParagraphFont"/>
    <w:uiPriority w:val="99"/>
    <w:unhideWhenUsed/>
    <w:rPr>
      <w:rFonts w:ascii="Times New Roman" w:hAnsi="Times New Roman"/>
      <w:color w:val="0000FF" w:themeColor="hyperlink"/>
      <w:u w:val="single"/>
      <w:lang w:val="en-GB"/>
    </w:rPr>
  </w:style>
  <w:style w:type="character" w:styleId="HTMLCode">
    <w:name w:val="HTML Code"/>
    <w:basedOn w:val="DefaultParagraphFont"/>
    <w:uiPriority w:val="99"/>
    <w:semiHidden/>
    <w:unhideWhenUsed/>
    <w:rPr>
      <w:rFonts w:ascii="Consolas" w:hAnsi="Consolas"/>
      <w:sz w:val="20"/>
      <w:szCs w:val="20"/>
      <w:lang w:val="en-GB"/>
    </w:rPr>
  </w:style>
  <w:style w:type="character" w:styleId="CommentReference">
    <w:name w:val="annotation reference"/>
    <w:basedOn w:val="DefaultParagraphFont"/>
    <w:uiPriority w:val="99"/>
    <w:semiHidden/>
    <w:unhideWhenUsed/>
    <w:rPr>
      <w:sz w:val="16"/>
      <w:szCs w:val="16"/>
      <w:lang w:val="en-GB"/>
    </w:rPr>
  </w:style>
  <w:style w:type="character" w:styleId="HTMLCite">
    <w:name w:val="HTML Cite"/>
    <w:basedOn w:val="DefaultParagraphFont"/>
    <w:uiPriority w:val="99"/>
    <w:semiHidden/>
    <w:unhideWhenUsed/>
    <w:rPr>
      <w:i/>
      <w:iCs/>
      <w:lang w:val="en-GB"/>
    </w:rPr>
  </w:style>
  <w:style w:type="character" w:styleId="FootnoteReference">
    <w:name w:val="footnote reference"/>
    <w:basedOn w:val="DefaultParagraphFont"/>
    <w:link w:val="BVIfnrChar"/>
    <w:uiPriority w:val="99"/>
    <w:unhideWhenUsed/>
    <w:qFormat/>
    <w:rPr>
      <w:vertAlign w:val="superscript"/>
      <w:lang w:val="en-GB"/>
    </w:rPr>
  </w:style>
  <w:style w:type="paragraph" w:customStyle="1" w:styleId="BVIfnrChar">
    <w:name w:val="BVI fnr Char"/>
    <w:basedOn w:val="Normal"/>
    <w:link w:val="FootnoteReference"/>
    <w:uiPriority w:val="99"/>
    <w:qFormat/>
    <w:pPr>
      <w:spacing w:after="160" w:line="240" w:lineRule="exact"/>
      <w:jc w:val="left"/>
    </w:pPr>
    <w:rPr>
      <w:rFonts w:asciiTheme="minorHAnsi" w:eastAsiaTheme="minorEastAsia" w:hAnsiTheme="minorHAnsi" w:cstheme="minorBidi"/>
      <w:sz w:val="24"/>
      <w:szCs w:val="24"/>
      <w:vertAlign w:val="superscript"/>
    </w:rPr>
  </w:style>
  <w:style w:type="character" w:styleId="HTMLKeyboard">
    <w:name w:val="HTML Keyboard"/>
    <w:basedOn w:val="DefaultParagraphFont"/>
    <w:uiPriority w:val="99"/>
    <w:semiHidden/>
    <w:unhideWhenUsed/>
    <w:qFormat/>
    <w:rPr>
      <w:rFonts w:ascii="Consolas" w:hAnsi="Consolas"/>
      <w:sz w:val="20"/>
      <w:szCs w:val="20"/>
      <w:lang w:val="en-GB"/>
    </w:rPr>
  </w:style>
  <w:style w:type="character" w:styleId="HTMLSample">
    <w:name w:val="HTML Sample"/>
    <w:basedOn w:val="DefaultParagraphFont"/>
    <w:uiPriority w:val="99"/>
    <w:semiHidden/>
    <w:unhideWhenUsed/>
    <w:rPr>
      <w:rFonts w:ascii="Consolas" w:hAnsi="Consolas"/>
      <w:sz w:val="24"/>
      <w:szCs w:val="24"/>
      <w:lang w:val="en-GB"/>
    </w:rPr>
  </w:style>
  <w:style w:type="character" w:customStyle="1" w:styleId="BalloonTextChar">
    <w:name w:val="Balloon Text Char"/>
    <w:basedOn w:val="DefaultParagraphFont"/>
    <w:link w:val="BalloonText"/>
    <w:uiPriority w:val="99"/>
    <w:semiHidden/>
    <w:qFormat/>
    <w:rPr>
      <w:rFonts w:ascii="Lucida Grande" w:eastAsia="SimSun" w:hAnsi="Lucida Grande" w:cs="Lucida Grande"/>
      <w:sz w:val="18"/>
      <w:szCs w:val="18"/>
      <w:lang w:val="en-GB"/>
    </w:rPr>
  </w:style>
  <w:style w:type="character" w:styleId="PlaceholderText">
    <w:name w:val="Placeholder Text"/>
    <w:basedOn w:val="DefaultParagraphFont"/>
    <w:uiPriority w:val="99"/>
    <w:semiHidden/>
    <w:qFormat/>
    <w:rPr>
      <w:color w:val="808080"/>
      <w:lang w:val="en-GB"/>
    </w:rPr>
  </w:style>
  <w:style w:type="character" w:customStyle="1" w:styleId="HeaderChar">
    <w:name w:val="Header Char"/>
    <w:basedOn w:val="DefaultParagraphFont"/>
    <w:link w:val="Header"/>
    <w:qFormat/>
    <w:rPr>
      <w:rFonts w:ascii="Times New Roman" w:eastAsia="SimSun" w:hAnsi="Times New Roman" w:cs="Times New Roman"/>
      <w:sz w:val="20"/>
      <w:szCs w:val="22"/>
      <w:lang w:val="en-GB"/>
    </w:rPr>
  </w:style>
  <w:style w:type="character" w:customStyle="1" w:styleId="FooterChar">
    <w:name w:val="Footer Char"/>
    <w:basedOn w:val="DefaultParagraphFont"/>
    <w:link w:val="Footer"/>
    <w:uiPriority w:val="99"/>
    <w:qFormat/>
    <w:rPr>
      <w:rFonts w:ascii="Times New Roman" w:eastAsia="SimSun" w:hAnsi="Times New Roman" w:cs="Times New Roman"/>
      <w:sz w:val="20"/>
      <w:szCs w:val="22"/>
      <w:lang w:val="en-GB"/>
    </w:rPr>
  </w:style>
  <w:style w:type="paragraph" w:customStyle="1" w:styleId="meetingname">
    <w:name w:val="meeting name"/>
    <w:basedOn w:val="Normal"/>
    <w:qFormat/>
    <w:pPr>
      <w:ind w:left="142" w:right="4218" w:hanging="142"/>
    </w:pPr>
    <w:rPr>
      <w:caps/>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lang w:val="en-GB"/>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qFormat/>
    <w:rPr>
      <w:rFonts w:ascii="Times New Roman" w:eastAsiaTheme="majorEastAsia" w:hAnsi="Times New Roman" w:cstheme="majorBidi"/>
      <w:b/>
      <w:bCs/>
      <w:kern w:val="2"/>
      <w:sz w:val="28"/>
      <w:szCs w:val="32"/>
      <w:lang w:val="en-GB"/>
      <w14:ligatures w14:val="standardContextual"/>
    </w:rPr>
  </w:style>
  <w:style w:type="character" w:customStyle="1" w:styleId="BodyTextChar">
    <w:name w:val="Body Text Char"/>
    <w:basedOn w:val="DefaultParagraphFont"/>
    <w:link w:val="BodyText"/>
    <w:uiPriority w:val="99"/>
    <w:rPr>
      <w:rFonts w:eastAsiaTheme="minorHAnsi"/>
      <w:kern w:val="2"/>
      <w:sz w:val="22"/>
      <w:szCs w:val="22"/>
      <w:lang w:val="en-GB"/>
      <w14:ligatures w14:val="standardContextual"/>
    </w:rPr>
  </w:style>
  <w:style w:type="character" w:customStyle="1" w:styleId="BodyTextIndentChar">
    <w:name w:val="Body Text Indent Char"/>
    <w:basedOn w:val="DefaultParagraphFont"/>
    <w:link w:val="BodyTextIndent"/>
    <w:qFormat/>
    <w:rPr>
      <w:rFonts w:ascii="Times New Roman" w:eastAsia="SimSun" w:hAnsi="Times New Roman" w:cs="Times New Roman"/>
      <w:sz w:val="22"/>
      <w:szCs w:val="22"/>
      <w:lang w:val="en-GB"/>
    </w:rPr>
  </w:style>
  <w:style w:type="character" w:customStyle="1" w:styleId="CommentTextChar">
    <w:name w:val="Comment Text Char"/>
    <w:basedOn w:val="DefaultParagraphFont"/>
    <w:link w:val="CommentText"/>
    <w:uiPriority w:val="99"/>
    <w:semiHidden/>
    <w:qFormat/>
    <w:rPr>
      <w:rFonts w:ascii="Times New Roman" w:eastAsia="SimSun" w:hAnsi="Times New Roman" w:cs="Times New Roman"/>
      <w:sz w:val="20"/>
      <w:szCs w:val="20"/>
      <w:lang w:val="en-GB"/>
    </w:rPr>
  </w:style>
  <w:style w:type="paragraph" w:customStyle="1" w:styleId="Cornernotation">
    <w:name w:val="Corner notation"/>
    <w:basedOn w:val="Normal"/>
    <w:pPr>
      <w:ind w:left="170" w:right="3119" w:hanging="170"/>
      <w:jc w:val="left"/>
    </w:pPr>
  </w:style>
  <w:style w:type="character" w:customStyle="1" w:styleId="EndnoteTextChar">
    <w:name w:val="Endnote Text Char"/>
    <w:basedOn w:val="DefaultParagraphFont"/>
    <w:link w:val="EndnoteText"/>
    <w:semiHidden/>
    <w:qFormat/>
    <w:rPr>
      <w:rFonts w:ascii="Courier New" w:eastAsia="SimSun" w:hAnsi="Courier New" w:cs="Times New Roman"/>
      <w:sz w:val="22"/>
      <w:szCs w:val="22"/>
      <w:lang w:val="en-GB"/>
    </w:rPr>
  </w:style>
  <w:style w:type="character" w:customStyle="1" w:styleId="FootnoteTextChar">
    <w:name w:val="Footnote Text Char"/>
    <w:basedOn w:val="DefaultParagraphFont"/>
    <w:link w:val="FootnoteText"/>
    <w:uiPriority w:val="99"/>
    <w:qFormat/>
    <w:rPr>
      <w:rFonts w:ascii="Times New Roman" w:eastAsia="SimSun" w:hAnsi="Times New Roman" w:cs="Times New Roman"/>
      <w:sz w:val="18"/>
      <w:szCs w:val="20"/>
      <w:lang w:val="en-GB"/>
    </w:rPr>
  </w:style>
  <w:style w:type="paragraph" w:customStyle="1" w:styleId="HEADING">
    <w:name w:val="HEADING"/>
    <w:basedOn w:val="Normal"/>
    <w:qFormat/>
    <w:pPr>
      <w:keepNext/>
      <w:spacing w:before="240" w:after="120"/>
      <w:jc w:val="center"/>
    </w:pPr>
    <w:rPr>
      <w:b/>
      <w:bCs/>
      <w:caps/>
    </w:rPr>
  </w:style>
  <w:style w:type="character" w:customStyle="1" w:styleId="Heading2Char">
    <w:name w:val="Heading 2 Char"/>
    <w:basedOn w:val="DefaultParagraphFont"/>
    <w:link w:val="Heading2"/>
    <w:uiPriority w:val="9"/>
    <w:qFormat/>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qFormat/>
  </w:style>
  <w:style w:type="paragraph" w:customStyle="1" w:styleId="Heading1longmultiline">
    <w:name w:val="Heading 1 (long multiline)"/>
    <w:basedOn w:val="Heading1"/>
    <w:qFormat/>
    <w:pPr>
      <w:ind w:left="1843" w:hanging="1134"/>
    </w:pPr>
  </w:style>
  <w:style w:type="paragraph" w:customStyle="1" w:styleId="Heading1multiline">
    <w:name w:val="Heading 1 (multiline)"/>
    <w:basedOn w:val="Heading1"/>
    <w:qFormat/>
    <w:pPr>
      <w:ind w:left="1843" w:right="996"/>
    </w:pPr>
  </w:style>
  <w:style w:type="paragraph" w:customStyle="1" w:styleId="Heading2multiline">
    <w:name w:val="Heading 2 (multiline)"/>
    <w:basedOn w:val="Heading1"/>
    <w:next w:val="Normal"/>
    <w:qFormat/>
    <w:pPr>
      <w:spacing w:before="120"/>
      <w:ind w:left="1843" w:right="998"/>
    </w:pPr>
    <w:rPr>
      <w:i/>
      <w:iCs/>
      <w:caps/>
    </w:rPr>
  </w:style>
  <w:style w:type="paragraph" w:customStyle="1" w:styleId="Heading2longmultiline">
    <w:name w:val="Heading 2 (long multiline)"/>
    <w:basedOn w:val="Heading2multiline"/>
    <w:qFormat/>
    <w:pPr>
      <w:ind w:left="2127" w:hanging="1276"/>
    </w:pPr>
  </w:style>
  <w:style w:type="character" w:customStyle="1" w:styleId="Heading3Char">
    <w:name w:val="Heading 3 Char"/>
    <w:basedOn w:val="DefaultParagraphFont"/>
    <w:link w:val="Heading3"/>
    <w:uiPriority w:val="9"/>
    <w:qFormat/>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qFormat/>
  </w:style>
  <w:style w:type="paragraph" w:customStyle="1" w:styleId="Heading3multiline">
    <w:name w:val="Heading 3 (multiline)"/>
    <w:basedOn w:val="Heading3"/>
    <w:next w:val="Normal"/>
    <w:qFormat/>
    <w:pPr>
      <w:ind w:left="1418" w:hanging="425"/>
    </w:pPr>
  </w:style>
  <w:style w:type="character" w:customStyle="1" w:styleId="Heading4Char">
    <w:name w:val="Heading 4 Char"/>
    <w:basedOn w:val="DefaultParagraphFont"/>
    <w:link w:val="Heading4"/>
    <w:uiPriority w:val="9"/>
    <w:qFormat/>
    <w:rPr>
      <w:rFonts w:ascii="Times New Roman" w:eastAsiaTheme="majorEastAsia" w:hAnsi="Times New Roman" w:cs="Times New Roman"/>
      <w:b/>
      <w:bCs/>
      <w:sz w:val="22"/>
      <w:szCs w:val="22"/>
      <w:lang w:val="en-GB"/>
    </w:rPr>
  </w:style>
  <w:style w:type="paragraph" w:customStyle="1" w:styleId="Heading4indent">
    <w:name w:val="Heading 4 indent"/>
    <w:basedOn w:val="Heading4"/>
    <w:pPr>
      <w:ind w:left="720"/>
      <w:outlineLvl w:val="9"/>
    </w:pPr>
  </w:style>
  <w:style w:type="character" w:customStyle="1" w:styleId="Heading5Char">
    <w:name w:val="Heading 5 Char"/>
    <w:basedOn w:val="DefaultParagraphFont"/>
    <w:link w:val="Heading5"/>
    <w:uiPriority w:val="9"/>
    <w:qFormat/>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qFormat/>
    <w:rPr>
      <w:rFonts w:ascii="Times New Roman" w:eastAsia="SimSun" w:hAnsi="Times New Roman" w:cs="Times New Roman"/>
      <w:bCs/>
      <w:szCs w:val="22"/>
      <w:lang w:val="en-GB"/>
    </w:rPr>
  </w:style>
  <w:style w:type="character" w:customStyle="1" w:styleId="Heading7Char">
    <w:name w:val="Heading 7 Char"/>
    <w:basedOn w:val="DefaultParagraphFont"/>
    <w:link w:val="Heading7"/>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qFormat/>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Pr>
      <w:rFonts w:ascii="Times New Roman" w:eastAsia="SimSun" w:hAnsi="Times New Roman" w:cs="Times New Roman"/>
      <w:snapToGrid w:val="0"/>
      <w:sz w:val="22"/>
      <w:szCs w:val="22"/>
      <w:u w:val="single"/>
      <w:lang w:val="en-GB"/>
    </w:rPr>
  </w:style>
  <w:style w:type="paragraph" w:customStyle="1" w:styleId="Para1">
    <w:name w:val="Para1"/>
    <w:basedOn w:val="Normal"/>
    <w:link w:val="Para1Char"/>
    <w:qFormat/>
    <w:pPr>
      <w:numPr>
        <w:numId w:val="3"/>
      </w:numPr>
      <w:tabs>
        <w:tab w:val="clear" w:pos="360"/>
      </w:tabs>
      <w:spacing w:before="120" w:after="120"/>
      <w:ind w:left="567"/>
    </w:pPr>
    <w:rPr>
      <w:snapToGrid w:val="0"/>
      <w:szCs w:val="18"/>
    </w:rPr>
  </w:style>
  <w:style w:type="paragraph" w:customStyle="1" w:styleId="Para2">
    <w:name w:val="Para2"/>
    <w:basedOn w:val="Para1"/>
    <w:pPr>
      <w:numPr>
        <w:numId w:val="0"/>
      </w:numPr>
      <w:tabs>
        <w:tab w:val="clear" w:pos="360"/>
      </w:tabs>
      <w:autoSpaceDE w:val="0"/>
      <w:autoSpaceDN w:val="0"/>
    </w:pPr>
  </w:style>
  <w:style w:type="paragraph" w:customStyle="1" w:styleId="Para3">
    <w:name w:val="Para3"/>
    <w:basedOn w:val="Normal"/>
    <w:pPr>
      <w:numPr>
        <w:ilvl w:val="3"/>
        <w:numId w:val="4"/>
      </w:numPr>
      <w:tabs>
        <w:tab w:val="left" w:pos="1980"/>
      </w:tabs>
      <w:spacing w:before="80" w:after="80"/>
    </w:pPr>
    <w:rPr>
      <w:szCs w:val="20"/>
    </w:rPr>
  </w:style>
  <w:style w:type="paragraph" w:customStyle="1" w:styleId="para4">
    <w:name w:val="para4"/>
    <w:basedOn w:val="Normal"/>
    <w:qFormat/>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qFormat/>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pPr>
      <w:spacing w:before="120" w:after="120"/>
      <w:ind w:left="720" w:right="720"/>
    </w:pPr>
    <w:rPr>
      <w:bCs/>
    </w:rPr>
  </w:style>
  <w:style w:type="paragraph" w:customStyle="1" w:styleId="recommendationheader">
    <w:name w:val="recommendation header"/>
    <w:basedOn w:val="Heading2"/>
    <w:qFormat/>
  </w:style>
  <w:style w:type="paragraph" w:customStyle="1" w:styleId="recommendationheaderlong">
    <w:name w:val="recommendation header long"/>
    <w:basedOn w:val="Heading2longmultiline"/>
    <w:qFormat/>
  </w:style>
  <w:style w:type="paragraph" w:customStyle="1" w:styleId="reference">
    <w:name w:val="reference"/>
    <w:basedOn w:val="Heading9"/>
    <w:qFormat/>
    <w:rPr>
      <w:i/>
      <w:sz w:val="18"/>
    </w:rPr>
  </w:style>
  <w:style w:type="character" w:customStyle="1" w:styleId="StyleFootnoteReferenceNounderline">
    <w:name w:val="Style Footnote Reference + No underline"/>
    <w:rPr>
      <w:sz w:val="18"/>
      <w:u w:val="none"/>
      <w:vertAlign w:val="baseline"/>
      <w:lang w:val="en-GB"/>
    </w:rPr>
  </w:style>
  <w:style w:type="paragraph" w:customStyle="1" w:styleId="tabletitle">
    <w:name w:val="table title"/>
    <w:basedOn w:val="Heading2"/>
    <w:qFormat/>
    <w:pPr>
      <w:outlineLvl w:val="9"/>
    </w:pPr>
    <w:rPr>
      <w:i/>
    </w:rPr>
  </w:style>
  <w:style w:type="character" w:customStyle="1" w:styleId="Para1Char">
    <w:name w:val="Para1 Char"/>
    <w:link w:val="Para1"/>
    <w:qFormat/>
    <w:locked/>
    <w:rPr>
      <w:rFonts w:ascii="Times New Roman" w:eastAsia="SimSun" w:hAnsi="Times New Roman" w:cs="Times New Roman"/>
      <w:snapToGrid w:val="0"/>
      <w:sz w:val="22"/>
      <w:szCs w:val="18"/>
      <w:lang w:val="en-GB"/>
    </w:rPr>
  </w:style>
  <w:style w:type="paragraph" w:customStyle="1" w:styleId="CBD-Doc-Type">
    <w:name w:val="CBD-Doc-Type"/>
    <w:basedOn w:val="Normal"/>
    <w:pPr>
      <w:keepLines/>
      <w:spacing w:before="240" w:after="120"/>
    </w:pPr>
    <w:rPr>
      <w:rFonts w:cs="Angsana New"/>
      <w:b/>
      <w:i/>
      <w:sz w:val="24"/>
    </w:rPr>
  </w:style>
  <w:style w:type="paragraph" w:customStyle="1" w:styleId="CBD-Doc">
    <w:name w:val="CBD-Doc"/>
    <w:basedOn w:val="Normal"/>
    <w:pPr>
      <w:keepLines/>
      <w:numPr>
        <w:numId w:val="5"/>
      </w:numPr>
      <w:spacing w:after="120"/>
    </w:pPr>
    <w:rPr>
      <w:rFonts w:cs="Angsana New"/>
    </w:rPr>
  </w:style>
  <w:style w:type="paragraph" w:styleId="ListParagraph">
    <w:name w:val="List Paragraph"/>
    <w:basedOn w:val="Normal"/>
    <w:uiPriority w:val="34"/>
    <w:qFormat/>
    <w:pPr>
      <w:ind w:left="720"/>
      <w:contextualSpacing/>
    </w:pPr>
  </w:style>
  <w:style w:type="paragraph" w:customStyle="1" w:styleId="Style1">
    <w:name w:val="Style1"/>
    <w:basedOn w:val="Heading2"/>
    <w:qFormat/>
    <w:rPr>
      <w:i/>
    </w:rPr>
  </w:style>
  <w:style w:type="table" w:customStyle="1" w:styleId="TableGrid10">
    <w:name w:val="Table Grid1"/>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1">
    <w:name w:val="Revision1"/>
    <w:hidden/>
    <w:uiPriority w:val="99"/>
    <w:semiHidden/>
    <w:rPr>
      <w:rFonts w:ascii="Simplified Arabic" w:eastAsia="Times New Roman" w:hAnsi="Simplified Arabic" w:cs="Simplified Arabic"/>
      <w:sz w:val="24"/>
      <w:szCs w:val="24"/>
    </w:rPr>
  </w:style>
  <w:style w:type="paragraph" w:customStyle="1" w:styleId="DarkList-Accent31">
    <w:name w:val="Dark List - Accent 31"/>
    <w:hidden/>
    <w:uiPriority w:val="99"/>
    <w:semiHidden/>
    <w:qFormat/>
    <w:rPr>
      <w:sz w:val="22"/>
      <w:szCs w:val="22"/>
      <w:lang w:val="en-GB" w:eastAsia="en-GB"/>
    </w:rPr>
  </w:style>
  <w:style w:type="paragraph" w:customStyle="1" w:styleId="CBDNormalNoNumber">
    <w:name w:val="CBD_Normal_NoNumber"/>
    <w:basedOn w:val="CBDNormal"/>
    <w:qFormat/>
    <w:pPr>
      <w:spacing w:after="120"/>
      <w:ind w:left="567"/>
    </w:pPr>
  </w:style>
  <w:style w:type="paragraph" w:customStyle="1" w:styleId="Footnote">
    <w:name w:val="Footnote"/>
    <w:basedOn w:val="FootnoteText"/>
    <w:semiHidden/>
    <w:qFormat/>
    <w:rPr>
      <w:szCs w:val="18"/>
    </w:rPr>
  </w:style>
  <w:style w:type="paragraph" w:customStyle="1" w:styleId="Annex">
    <w:name w:val="Annex"/>
    <w:basedOn w:val="Normal"/>
    <w:semiHidden/>
    <w:qFormat/>
    <w:pPr>
      <w:spacing w:after="240"/>
    </w:pPr>
    <w:rPr>
      <w:b/>
      <w:sz w:val="28"/>
    </w:rPr>
  </w:style>
  <w:style w:type="paragraph" w:customStyle="1" w:styleId="ABSymbol">
    <w:name w:val="AB_Symbol"/>
    <w:basedOn w:val="Normal"/>
    <w:qFormat/>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Normal">
    <w:name w:val="AF_CorNNormal"/>
    <w:basedOn w:val="Normal"/>
    <w:unhideWhenUsed/>
    <w:pPr>
      <w:jc w:val="left"/>
    </w:pPr>
  </w:style>
  <w:style w:type="paragraph" w:customStyle="1" w:styleId="AEDistrNormal">
    <w:name w:val="AE_DistrNormal"/>
    <w:basedOn w:val="Normal"/>
    <w:unhideWhenUsed/>
    <w:qFormat/>
    <w:pPr>
      <w:jc w:val="left"/>
    </w:pPr>
  </w:style>
  <w:style w:type="paragraph" w:customStyle="1" w:styleId="AASmallLogo">
    <w:name w:val="AA_SmallLogo"/>
    <w:basedOn w:val="AEDistrNormal"/>
    <w:unhideWhenUsed/>
    <w:pPr>
      <w:spacing w:before="40"/>
    </w:pPr>
    <w:rPr>
      <w:sz w:val="4"/>
    </w:rPr>
  </w:style>
  <w:style w:type="paragraph" w:customStyle="1" w:styleId="ACLargeLogo">
    <w:name w:val="AC_LargeLogo"/>
    <w:basedOn w:val="AFCorNNormal"/>
    <w:next w:val="AISpacer"/>
    <w:unhideWhenUsed/>
    <w:qFormat/>
    <w:pPr>
      <w:spacing w:before="120"/>
      <w:contextualSpacing/>
    </w:pPr>
    <w:rPr>
      <w:sz w:val="8"/>
    </w:rPr>
  </w:style>
  <w:style w:type="paragraph" w:customStyle="1" w:styleId="AISpacer">
    <w:name w:val="AI_Spacer"/>
    <w:next w:val="Normal"/>
    <w:unhideWhenUsed/>
    <w:qFormat/>
    <w:rPr>
      <w:sz w:val="2"/>
      <w:szCs w:val="22"/>
      <w:lang w:val="en-GB"/>
    </w:rPr>
  </w:style>
  <w:style w:type="character" w:customStyle="1" w:styleId="CommentSubjectChar">
    <w:name w:val="Comment Subject Char"/>
    <w:basedOn w:val="CommentTextChar"/>
    <w:link w:val="CommentSubject"/>
    <w:uiPriority w:val="99"/>
    <w:semiHidden/>
    <w:qFormat/>
    <w:rPr>
      <w:rFonts w:ascii="Times New Roman" w:eastAsia="SimSun" w:hAnsi="Times New Roman" w:cs="Times New Roman"/>
      <w:b/>
      <w:bCs/>
      <w:sz w:val="20"/>
      <w:szCs w:val="20"/>
      <w:lang w:val="en-GB"/>
    </w:rPr>
  </w:style>
  <w:style w:type="paragraph" w:customStyle="1" w:styleId="Item">
    <w:name w:val="Item"/>
    <w:basedOn w:val="Normal"/>
    <w:semiHidden/>
    <w:qFormat/>
    <w:pPr>
      <w:suppressLineNumbers/>
      <w:suppressAutoHyphens/>
      <w:spacing w:before="240" w:after="120"/>
      <w:jc w:val="left"/>
    </w:pPr>
    <w:rPr>
      <w:rFonts w:eastAsia="Times New Roman"/>
      <w:b/>
      <w:iCs/>
      <w:snapToGrid w:val="0"/>
      <w:kern w:val="22"/>
      <w:sz w:val="24"/>
    </w:rPr>
  </w:style>
  <w:style w:type="paragraph" w:customStyle="1" w:styleId="AEDistrNormal6pt">
    <w:name w:val="AE_DistrNormal6pt"/>
    <w:basedOn w:val="AEDistrNormal"/>
    <w:next w:val="AFCorNNormal"/>
    <w:unhideWhenUsed/>
    <w:qFormat/>
    <w:pPr>
      <w:spacing w:before="120"/>
    </w:pPr>
  </w:style>
  <w:style w:type="paragraph" w:customStyle="1" w:styleId="AFCorNBold">
    <w:name w:val="AF_CorNBold"/>
    <w:basedOn w:val="AFCorNNormal"/>
    <w:next w:val="AFCorNNormal"/>
    <w:unhideWhenUsed/>
    <w:qFormat/>
    <w:rPr>
      <w:b/>
    </w:rPr>
  </w:style>
  <w:style w:type="paragraph" w:customStyle="1" w:styleId="AFCorN12Bold">
    <w:name w:val="AF_CorN12Bold"/>
    <w:basedOn w:val="AFCorNNormal"/>
    <w:next w:val="AFCorNNormal"/>
    <w:unhideWhenUsed/>
    <w:qFormat/>
    <w:rPr>
      <w:b/>
      <w:sz w:val="24"/>
    </w:rPr>
  </w:style>
  <w:style w:type="paragraph" w:customStyle="1" w:styleId="CBDAgendaItem">
    <w:name w:val="CBD_AgendaItem"/>
    <w:basedOn w:val="Normal"/>
    <w:qFormat/>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pPr>
      <w:spacing w:after="120"/>
      <w:ind w:left="1134" w:firstLine="567"/>
    </w:pPr>
  </w:style>
  <w:style w:type="paragraph" w:customStyle="1" w:styleId="CBDDesicionAnnex">
    <w:name w:val="CBD_DesicionAnnex"/>
    <w:basedOn w:val="CBDNormal"/>
    <w:next w:val="CBDDesicionText"/>
    <w:qFormat/>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pPr>
      <w:keepNext/>
      <w:keepLines/>
      <w:spacing w:after="240"/>
      <w:jc w:val="left"/>
    </w:pPr>
    <w:rPr>
      <w:b/>
      <w:sz w:val="28"/>
      <w:lang w:bidi="ar-SY"/>
    </w:rPr>
  </w:style>
  <w:style w:type="paragraph" w:customStyle="1" w:styleId="CBDTitle">
    <w:name w:val="CBD_Title"/>
    <w:basedOn w:val="CBDNormal"/>
    <w:next w:val="CBDSubTitle"/>
    <w:qFormat/>
    <w:pPr>
      <w:keepNext/>
      <w:keepLines/>
      <w:spacing w:before="240" w:after="240"/>
      <w:ind w:left="567"/>
      <w:jc w:val="left"/>
    </w:pPr>
    <w:rPr>
      <w:b/>
      <w:sz w:val="28"/>
    </w:rPr>
  </w:style>
  <w:style w:type="paragraph" w:customStyle="1" w:styleId="CBDSubTitle">
    <w:name w:val="CBD_SubTitle"/>
    <w:basedOn w:val="CBDNormal"/>
    <w:qFormat/>
    <w:pPr>
      <w:keepNext/>
      <w:keepLines/>
      <w:spacing w:before="240" w:after="240"/>
      <w:ind w:left="567"/>
      <w:jc w:val="left"/>
    </w:pPr>
    <w:rPr>
      <w:b/>
    </w:rPr>
  </w:style>
  <w:style w:type="paragraph" w:customStyle="1" w:styleId="AENormal">
    <w:name w:val="AE_Normal"/>
    <w:basedOn w:val="Normal"/>
    <w:qFormat/>
  </w:style>
  <w:style w:type="paragraph" w:customStyle="1" w:styleId="CBDH1">
    <w:name w:val="CBD_H1"/>
    <w:basedOn w:val="CBDNormal"/>
    <w:qFormat/>
    <w:pPr>
      <w:keepNext/>
      <w:keepLines/>
      <w:spacing w:before="240" w:after="120"/>
      <w:ind w:left="567" w:hanging="567"/>
      <w:jc w:val="left"/>
      <w:outlineLvl w:val="0"/>
    </w:pPr>
    <w:rPr>
      <w:b/>
      <w:sz w:val="28"/>
    </w:rPr>
  </w:style>
  <w:style w:type="paragraph" w:customStyle="1" w:styleId="CBDH2">
    <w:name w:val="CBD_H2"/>
    <w:basedOn w:val="CBDNormal"/>
    <w:qFormat/>
    <w:pPr>
      <w:keepNext/>
      <w:keepLines/>
      <w:ind w:left="567" w:hanging="567"/>
    </w:pPr>
    <w:rPr>
      <w:b/>
      <w:sz w:val="24"/>
    </w:rPr>
  </w:style>
  <w:style w:type="paragraph" w:customStyle="1" w:styleId="CBDFootnoteText">
    <w:name w:val="CBD_Footnote_Text"/>
    <w:basedOn w:val="CBDNormal"/>
    <w:qFormat/>
    <w:pPr>
      <w:jc w:val="left"/>
    </w:pPr>
    <w:rPr>
      <w:sz w:val="18"/>
    </w:rPr>
  </w:style>
  <w:style w:type="paragraph" w:customStyle="1" w:styleId="CBDFooter">
    <w:name w:val="CBD_Footer"/>
    <w:basedOn w:val="CBDNormal"/>
    <w:qFormat/>
    <w:rPr>
      <w:sz w:val="20"/>
    </w:rPr>
  </w:style>
  <w:style w:type="paragraph" w:customStyle="1" w:styleId="CBDHeader">
    <w:name w:val="CBD_Header"/>
    <w:basedOn w:val="CBDNormal"/>
    <w:next w:val="CBDFooter"/>
    <w:qFormat/>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pPr>
      <w:keepNext/>
      <w:keepLines/>
      <w:spacing w:before="120" w:after="120"/>
      <w:ind w:left="567" w:hanging="567"/>
      <w:jc w:val="left"/>
    </w:pPr>
    <w:rPr>
      <w:b/>
    </w:rPr>
  </w:style>
  <w:style w:type="paragraph" w:customStyle="1" w:styleId="CBDH4">
    <w:name w:val="CBD_H4"/>
    <w:basedOn w:val="CBDNormal"/>
    <w:qFormat/>
    <w:pPr>
      <w:keepNext/>
      <w:keepLines/>
      <w:spacing w:before="120" w:after="120"/>
      <w:ind w:left="567" w:hanging="567"/>
      <w:jc w:val="left"/>
    </w:pPr>
    <w:rPr>
      <w:b/>
    </w:rPr>
  </w:style>
  <w:style w:type="paragraph" w:customStyle="1" w:styleId="CBDH5">
    <w:name w:val="CBD_H5"/>
    <w:basedOn w:val="CBDNormal"/>
    <w:qFormat/>
    <w:pPr>
      <w:keepNext/>
      <w:keepLines/>
      <w:spacing w:before="120" w:after="120"/>
      <w:ind w:left="567" w:hanging="567"/>
      <w:jc w:val="left"/>
    </w:pPr>
    <w:rPr>
      <w:i/>
    </w:rPr>
  </w:style>
  <w:style w:type="paragraph" w:customStyle="1" w:styleId="CBDTableNormal">
    <w:name w:val="CBD_TableNormal"/>
    <w:basedOn w:val="CBDNormal"/>
    <w:qFormat/>
    <w:pPr>
      <w:spacing w:before="40" w:after="80"/>
      <w:jc w:val="left"/>
    </w:pPr>
    <w:rPr>
      <w:sz w:val="20"/>
    </w:rPr>
  </w:style>
  <w:style w:type="paragraph" w:customStyle="1" w:styleId="CBDTableTitle">
    <w:name w:val="CBD_TableTitle"/>
    <w:basedOn w:val="CBDNormal"/>
    <w:qFormat/>
    <w:pPr>
      <w:keepNext/>
      <w:keepLines/>
      <w:spacing w:before="120" w:after="60"/>
      <w:ind w:left="567"/>
      <w:jc w:val="left"/>
    </w:pPr>
    <w:rPr>
      <w:b/>
    </w:rPr>
  </w:style>
  <w:style w:type="paragraph" w:customStyle="1" w:styleId="CBDFigureTitle">
    <w:name w:val="CBD_FigureTitle"/>
    <w:basedOn w:val="CBDNormal"/>
    <w:next w:val="CBDNormalNoNumber"/>
    <w:qFormat/>
    <w:pPr>
      <w:keepNext/>
      <w:keepLines/>
      <w:spacing w:before="120" w:after="60"/>
      <w:ind w:left="567"/>
      <w:jc w:val="left"/>
    </w:pPr>
    <w:rPr>
      <w:b/>
    </w:rPr>
  </w:style>
  <w:style w:type="paragraph" w:customStyle="1" w:styleId="Bibliography1">
    <w:name w:val="Bibliography1"/>
    <w:basedOn w:val="Normal"/>
    <w:next w:val="Normal"/>
    <w:uiPriority w:val="37"/>
    <w:semiHidden/>
    <w:unhideWhenUsed/>
    <w:qFormat/>
  </w:style>
  <w:style w:type="character" w:customStyle="1" w:styleId="BodyText2Char">
    <w:name w:val="Body Text 2 Char"/>
    <w:basedOn w:val="DefaultParagraphFont"/>
    <w:link w:val="BodyText2"/>
    <w:uiPriority w:val="99"/>
    <w:semiHidden/>
    <w:qFormat/>
    <w:rPr>
      <w:rFonts w:ascii="Times New Roman" w:eastAsia="SimSun" w:hAnsi="Times New Roman" w:cs="Times New Roman"/>
      <w:sz w:val="22"/>
      <w:szCs w:val="22"/>
      <w:lang w:val="en-GB"/>
    </w:rPr>
  </w:style>
  <w:style w:type="character" w:customStyle="1" w:styleId="BodyText3Char">
    <w:name w:val="Body Text 3 Char"/>
    <w:basedOn w:val="DefaultParagraphFont"/>
    <w:link w:val="BodyText3"/>
    <w:uiPriority w:val="99"/>
    <w:semiHidden/>
    <w:rPr>
      <w:rFonts w:ascii="Times New Roman" w:eastAsia="SimSun" w:hAnsi="Times New Roman" w:cs="Times New Roman"/>
      <w:sz w:val="16"/>
      <w:szCs w:val="16"/>
      <w:lang w:val="en-GB"/>
    </w:rPr>
  </w:style>
  <w:style w:type="character" w:customStyle="1" w:styleId="BodyTextFirstIndentChar">
    <w:name w:val="Body Text First Indent Char"/>
    <w:basedOn w:val="BodyTextChar"/>
    <w:link w:val="BodyTextFirstIndent"/>
    <w:uiPriority w:val="99"/>
    <w:semiHidden/>
    <w:qFormat/>
    <w:rPr>
      <w:rFonts w:ascii="Times New Roman" w:eastAsia="SimSun" w:hAnsi="Times New Roman" w:cs="Times New Roman"/>
      <w:kern w:val="2"/>
      <w:sz w:val="22"/>
      <w:szCs w:val="22"/>
      <w:lang w:val="en-GB"/>
      <w14:ligatures w14:val="standardContextual"/>
    </w:rPr>
  </w:style>
  <w:style w:type="character" w:customStyle="1" w:styleId="BodyTextFirstIndent2Char">
    <w:name w:val="Body Text First Indent 2 Char"/>
    <w:basedOn w:val="BodyTextIndentChar"/>
    <w:link w:val="BodyTextFirstIndent2"/>
    <w:uiPriority w:val="99"/>
    <w:semiHidden/>
    <w:rPr>
      <w:rFonts w:ascii="Times New Roman" w:eastAsia="SimSun" w:hAnsi="Times New Roman" w:cs="Times New Roman"/>
      <w:sz w:val="22"/>
      <w:szCs w:val="22"/>
      <w:lang w:val="en-GB"/>
    </w:rPr>
  </w:style>
  <w:style w:type="character" w:customStyle="1" w:styleId="BodyTextIndent2Char">
    <w:name w:val="Body Text Indent 2 Char"/>
    <w:basedOn w:val="DefaultParagraphFont"/>
    <w:link w:val="BodyTextIndent2"/>
    <w:uiPriority w:val="99"/>
    <w:semiHidden/>
    <w:rPr>
      <w:rFonts w:ascii="Times New Roman" w:eastAsia="SimSun" w:hAnsi="Times New Roman" w:cs="Times New Roman"/>
      <w:sz w:val="22"/>
      <w:szCs w:val="22"/>
      <w:lang w:val="en-GB"/>
    </w:rPr>
  </w:style>
  <w:style w:type="character" w:customStyle="1" w:styleId="BodyTextIndent3Char">
    <w:name w:val="Body Text Indent 3 Char"/>
    <w:basedOn w:val="DefaultParagraphFont"/>
    <w:link w:val="BodyTextIndent3"/>
    <w:uiPriority w:val="99"/>
    <w:semiHidden/>
    <w:rPr>
      <w:rFonts w:ascii="Times New Roman" w:eastAsia="SimSun" w:hAnsi="Times New Roman" w:cs="Times New Roman"/>
      <w:sz w:val="16"/>
      <w:szCs w:val="16"/>
      <w:lang w:val="en-GB"/>
    </w:rPr>
  </w:style>
  <w:style w:type="character" w:customStyle="1" w:styleId="BookTitle1">
    <w:name w:val="Book Title1"/>
    <w:basedOn w:val="DefaultParagraphFont"/>
    <w:uiPriority w:val="33"/>
    <w:qFormat/>
    <w:rPr>
      <w:b/>
      <w:bCs/>
      <w:i/>
      <w:iCs/>
      <w:spacing w:val="5"/>
      <w:lang w:val="en-GB"/>
    </w:rPr>
  </w:style>
  <w:style w:type="character" w:customStyle="1" w:styleId="ClosingChar">
    <w:name w:val="Closing Char"/>
    <w:basedOn w:val="DefaultParagraphFont"/>
    <w:link w:val="Closing"/>
    <w:uiPriority w:val="99"/>
    <w:semiHidden/>
    <w:rPr>
      <w:rFonts w:ascii="Times New Roman" w:eastAsia="SimSun" w:hAnsi="Times New Roman" w:cs="Times New Roman"/>
      <w:sz w:val="22"/>
      <w:szCs w:val="22"/>
      <w:lang w:val="en-GB"/>
    </w:rPr>
  </w:style>
  <w:style w:type="character" w:customStyle="1" w:styleId="DateChar">
    <w:name w:val="Date Char"/>
    <w:basedOn w:val="DefaultParagraphFont"/>
    <w:link w:val="Date"/>
    <w:uiPriority w:val="99"/>
    <w:semiHidden/>
    <w:qFormat/>
    <w:rPr>
      <w:rFonts w:ascii="Times New Roman" w:eastAsia="SimSun" w:hAnsi="Times New Roman" w:cs="Times New Roman"/>
      <w:sz w:val="22"/>
      <w:szCs w:val="22"/>
      <w:lang w:val="en-GB"/>
    </w:rPr>
  </w:style>
  <w:style w:type="character" w:customStyle="1" w:styleId="DocumentMapChar">
    <w:name w:val="Document Map Char"/>
    <w:basedOn w:val="DefaultParagraphFont"/>
    <w:link w:val="DocumentMap"/>
    <w:uiPriority w:val="99"/>
    <w:semiHidden/>
    <w:qFormat/>
    <w:rPr>
      <w:rFonts w:ascii="Segoe UI" w:eastAsia="SimSun" w:hAnsi="Segoe UI" w:cs="Segoe UI"/>
      <w:sz w:val="16"/>
      <w:szCs w:val="16"/>
      <w:lang w:val="en-GB"/>
    </w:rPr>
  </w:style>
  <w:style w:type="character" w:customStyle="1" w:styleId="E-mailSignatureChar">
    <w:name w:val="E-mail Signature Char"/>
    <w:basedOn w:val="DefaultParagraphFont"/>
    <w:link w:val="E-mailSignature"/>
    <w:uiPriority w:val="99"/>
    <w:semiHidden/>
    <w:qFormat/>
    <w:rPr>
      <w:rFonts w:ascii="Times New Roman" w:eastAsia="SimSun" w:hAnsi="Times New Roman" w:cs="Times New Roman"/>
      <w:sz w:val="22"/>
      <w:szCs w:val="22"/>
      <w:lang w:val="en-GB"/>
    </w:rPr>
  </w:style>
  <w:style w:type="table" w:customStyle="1" w:styleId="GridTable1Light1">
    <w:name w:val="Grid Table 1 Light1"/>
    <w:basedOn w:val="TableNormal"/>
    <w:uiPriority w:val="46"/>
    <w:qFormat/>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qFormat/>
    <w:tblP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qFormat/>
    <w:tblPr>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tblPr>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tblPr>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tblPr>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qFormat/>
    <w:tblPr>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qFormat/>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qFormat/>
    <w:tblPr>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qFormat/>
    <w:tblPr>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tblPr>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qFormat/>
    <w:tblPr>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qFormat/>
    <w:tblPr>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qFormat/>
    <w:tblPr>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qFormat/>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qFormat/>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qFormat/>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qFormat/>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qFormat/>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qFormat/>
    <w:rPr>
      <w:color w:val="000000" w:themeColor="text1"/>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qFormat/>
    <w:rPr>
      <w:color w:val="365F91" w:themeColor="accent1" w:themeShade="BF"/>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Pr>
      <w:color w:val="943634" w:themeColor="accent2" w:themeShade="BF"/>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qFormat/>
    <w:rPr>
      <w:color w:val="76923C" w:themeColor="accent3" w:themeShade="BF"/>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qFormat/>
    <w:rPr>
      <w:color w:val="5F497A" w:themeColor="accent4" w:themeShade="BF"/>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qFormat/>
    <w:rPr>
      <w:color w:val="31849B" w:themeColor="accent5" w:themeShade="BF"/>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Pr>
      <w:color w:val="E36C0A" w:themeColor="accent6" w:themeShade="BF"/>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Pr>
      <w:color w:val="000000" w:themeColor="text1"/>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Pr>
      <w:color w:val="365F91" w:themeColor="accent1" w:themeShade="BF"/>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qFormat/>
    <w:rPr>
      <w:color w:val="943634" w:themeColor="accent2" w:themeShade="BF"/>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Pr>
      <w:color w:val="76923C" w:themeColor="accent3" w:themeShade="BF"/>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Pr>
      <w:color w:val="5F497A" w:themeColor="accent4" w:themeShade="BF"/>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qFormat/>
    <w:rPr>
      <w:color w:val="31849B" w:themeColor="accent5" w:themeShade="BF"/>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Pr>
      <w:color w:val="E36C0A" w:themeColor="accent6" w:themeShade="BF"/>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Pr>
      <w:color w:val="2B579A"/>
      <w:shd w:val="clear" w:color="auto" w:fill="E1DFDD"/>
      <w:lang w:val="en-GB"/>
    </w:rPr>
  </w:style>
  <w:style w:type="character" w:customStyle="1" w:styleId="HTMLAddressChar">
    <w:name w:val="HTML Address Char"/>
    <w:basedOn w:val="DefaultParagraphFont"/>
    <w:link w:val="HTMLAddress"/>
    <w:uiPriority w:val="99"/>
    <w:semiHidden/>
    <w:qFormat/>
    <w:rPr>
      <w:rFonts w:ascii="Times New Roman" w:eastAsia="SimSun" w:hAnsi="Times New Roman" w:cs="Times New Roman"/>
      <w:i/>
      <w:iCs/>
      <w:sz w:val="22"/>
      <w:szCs w:val="22"/>
      <w:lang w:val="en-GB"/>
    </w:rPr>
  </w:style>
  <w:style w:type="character" w:customStyle="1" w:styleId="HTMLPreformattedChar">
    <w:name w:val="HTML Preformatted Char"/>
    <w:basedOn w:val="DefaultParagraphFont"/>
    <w:link w:val="HTMLPreformatted"/>
    <w:uiPriority w:val="99"/>
    <w:semiHidden/>
    <w:rPr>
      <w:rFonts w:ascii="Consolas" w:eastAsia="SimSun" w:hAnsi="Consolas" w:cs="Times New Roman"/>
      <w:sz w:val="20"/>
      <w:szCs w:val="20"/>
      <w:lang w:val="en-GB"/>
    </w:rPr>
  </w:style>
  <w:style w:type="character" w:customStyle="1" w:styleId="IntenseEmphasis1">
    <w:name w:val="Intense Emphasis1"/>
    <w:basedOn w:val="DefaultParagraphFont"/>
    <w:uiPriority w:val="21"/>
    <w:qFormat/>
    <w:rPr>
      <w:i/>
      <w:iCs/>
      <w:color w:val="4F81BD" w:themeColor="accent1"/>
      <w:lang w:val="en-GB"/>
    </w:rPr>
  </w:style>
  <w:style w:type="paragraph" w:styleId="IntenseQuote">
    <w:name w:val="Intense Quote"/>
    <w:basedOn w:val="Normal"/>
    <w:next w:val="Normal"/>
    <w:link w:val="IntenseQuoteChar"/>
    <w:uiPriority w:val="30"/>
    <w:qFormat/>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qFormat/>
    <w:rPr>
      <w:rFonts w:ascii="Times New Roman" w:eastAsia="SimSun" w:hAnsi="Times New Roman" w:cs="Times New Roman"/>
      <w:i/>
      <w:iCs/>
      <w:color w:val="4F81BD" w:themeColor="accent1"/>
      <w:sz w:val="22"/>
      <w:szCs w:val="22"/>
      <w:lang w:val="en-GB"/>
    </w:rPr>
  </w:style>
  <w:style w:type="character" w:customStyle="1" w:styleId="IntenseReference1">
    <w:name w:val="Intense Reference1"/>
    <w:basedOn w:val="DefaultParagraphFont"/>
    <w:uiPriority w:val="32"/>
    <w:qFormat/>
    <w:rPr>
      <w:b/>
      <w:bCs/>
      <w:smallCaps/>
      <w:color w:val="4F81BD" w:themeColor="accent1"/>
      <w:spacing w:val="5"/>
      <w:lang w:val="en-GB"/>
    </w:rPr>
  </w:style>
  <w:style w:type="table" w:customStyle="1" w:styleId="ListTable1Light1">
    <w:name w:val="List Table 1 Light1"/>
    <w:basedOn w:val="TableNormal"/>
    <w:uiPriority w:val="46"/>
    <w:qFormat/>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qFormat/>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qFormat/>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qFormat/>
    <w:tblPr>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qFormat/>
    <w:tblPr>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qFormat/>
    <w:tblPr>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tblPr>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qFormat/>
    <w:tblPr>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qFormat/>
    <w:tblPr>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tblPr>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qFormat/>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qFormat/>
    <w:tblPr>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qFormat/>
    <w:tblPr>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qFormat/>
    <w:tblPr>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tblPr>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tblPr>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qFormat/>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qFormat/>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qFormat/>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qFormat/>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qFormat/>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qFormat/>
    <w:rPr>
      <w:color w:val="FFFFFF" w:themeColor="background1"/>
    </w:rPr>
    <w:tblPr>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Pr>
      <w:color w:val="FFFFFF" w:themeColor="background1"/>
    </w:rPr>
    <w:tblPr>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qFormat/>
    <w:rPr>
      <w:color w:val="FFFFFF" w:themeColor="background1"/>
    </w:rPr>
    <w:tblPr>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Pr>
      <w:color w:val="FFFFFF" w:themeColor="background1"/>
    </w:rPr>
    <w:tblPr>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qFormat/>
    <w:rPr>
      <w:color w:val="FFFFFF" w:themeColor="background1"/>
    </w:rPr>
    <w:tblPr>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Pr>
      <w:color w:val="FFFFFF" w:themeColor="background1"/>
    </w:rPr>
    <w:tblPr>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qFormat/>
    <w:rPr>
      <w:color w:val="FFFFFF" w:themeColor="background1"/>
    </w:rPr>
    <w:tblPr>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qFormat/>
    <w:rPr>
      <w:color w:val="000000" w:themeColor="text1"/>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qFormat/>
    <w:rPr>
      <w:color w:val="365F91" w:themeColor="accent1" w:themeShade="BF"/>
    </w:rPr>
    <w:tblPr>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qFormat/>
    <w:rPr>
      <w:color w:val="943634" w:themeColor="accent2" w:themeShade="BF"/>
    </w:rPr>
    <w:tblPr>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qFormat/>
    <w:rPr>
      <w:color w:val="76923C" w:themeColor="accent3" w:themeShade="BF"/>
    </w:rPr>
    <w:tblPr>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qFormat/>
    <w:rPr>
      <w:color w:val="5F497A" w:themeColor="accent4" w:themeShade="BF"/>
    </w:rPr>
    <w:tblPr>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Pr>
      <w:color w:val="31849B" w:themeColor="accent5" w:themeShade="BF"/>
    </w:rPr>
    <w:tblPr>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Pr>
      <w:color w:val="E36C0A" w:themeColor="accent6" w:themeShade="BF"/>
    </w:rPr>
    <w:tblPr>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Pr>
      <w:color w:val="000000" w:themeColor="text1"/>
    </w:rP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Pr>
      <w:color w:val="365F91" w:themeColor="accent1" w:themeShade="BF"/>
    </w:rP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qFormat/>
    <w:rPr>
      <w:color w:val="943634" w:themeColor="accent2" w:themeShade="BF"/>
    </w:rP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qFormat/>
    <w:rPr>
      <w:color w:val="76923C" w:themeColor="accent3" w:themeShade="BF"/>
    </w:rP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Pr>
      <w:color w:val="5F497A" w:themeColor="accent4" w:themeShade="BF"/>
    </w:rP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Pr>
      <w:color w:val="31849B" w:themeColor="accent5" w:themeShade="BF"/>
    </w:rP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qFormat/>
    <w:rPr>
      <w:color w:val="E36C0A" w:themeColor="accent6" w:themeShade="BF"/>
    </w:rP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acroTextChar">
    <w:name w:val="Macro Text Char"/>
    <w:basedOn w:val="DefaultParagraphFont"/>
    <w:link w:val="MacroText"/>
    <w:uiPriority w:val="99"/>
    <w:semiHidden/>
    <w:rPr>
      <w:rFonts w:ascii="Consolas" w:eastAsia="SimSun" w:hAnsi="Consolas" w:cs="Times New Roman"/>
      <w:sz w:val="20"/>
      <w:szCs w:val="20"/>
      <w:lang w:val="en-GB"/>
    </w:rPr>
  </w:style>
  <w:style w:type="character" w:customStyle="1" w:styleId="Mention1">
    <w:name w:val="Mention1"/>
    <w:basedOn w:val="DefaultParagraphFont"/>
    <w:uiPriority w:val="99"/>
    <w:semiHidden/>
    <w:unhideWhenUsed/>
    <w:rPr>
      <w:color w:val="2B579A"/>
      <w:shd w:val="clear" w:color="auto" w:fill="E1DFDD"/>
      <w:lang w:val="en-GB"/>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lang w:val="en-GB"/>
    </w:rPr>
  </w:style>
  <w:style w:type="paragraph" w:styleId="NoSpacing">
    <w:name w:val="No Spacing"/>
    <w:uiPriority w:val="1"/>
    <w:qFormat/>
    <w:pPr>
      <w:tabs>
        <w:tab w:val="left" w:pos="567"/>
        <w:tab w:val="left" w:pos="1134"/>
        <w:tab w:val="left" w:pos="1701"/>
        <w:tab w:val="left" w:pos="2268"/>
      </w:tabs>
      <w:jc w:val="both"/>
    </w:pPr>
    <w:rPr>
      <w:sz w:val="22"/>
      <w:szCs w:val="22"/>
      <w:lang w:val="en-GB"/>
    </w:rPr>
  </w:style>
  <w:style w:type="character" w:customStyle="1" w:styleId="NoteHeadingChar">
    <w:name w:val="Note Heading Char"/>
    <w:basedOn w:val="DefaultParagraphFont"/>
    <w:link w:val="NoteHeading"/>
    <w:uiPriority w:val="99"/>
    <w:semiHidden/>
    <w:qFormat/>
    <w:rPr>
      <w:rFonts w:ascii="Times New Roman" w:eastAsia="SimSun" w:hAnsi="Times New Roman" w:cs="Times New Roman"/>
      <w:sz w:val="22"/>
      <w:szCs w:val="22"/>
      <w:lang w:val="en-GB"/>
    </w:rPr>
  </w:style>
  <w:style w:type="table" w:customStyle="1" w:styleId="PlainTable11">
    <w:name w:val="Plain Table 11"/>
    <w:basedOn w:val="TableNormal"/>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PlainTextChar">
    <w:name w:val="Plain Text Char"/>
    <w:basedOn w:val="DefaultParagraphFont"/>
    <w:link w:val="PlainText"/>
    <w:uiPriority w:val="99"/>
    <w:semiHidden/>
    <w:qFormat/>
    <w:rPr>
      <w:rFonts w:ascii="Consolas" w:eastAsia="SimSun" w:hAnsi="Consolas" w:cs="Times New Roman"/>
      <w:sz w:val="21"/>
      <w:szCs w:val="21"/>
      <w:lang w:val="en-GB"/>
    </w:rPr>
  </w:style>
  <w:style w:type="paragraph" w:styleId="Quote">
    <w:name w:val="Quote"/>
    <w:basedOn w:val="Normal"/>
    <w:next w:val="Normal"/>
    <w:link w:val="QuoteChar"/>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qFormat/>
    <w:rPr>
      <w:rFonts w:ascii="Times New Roman" w:eastAsia="SimSun" w:hAnsi="Times New Roman" w:cs="Times New Roman"/>
      <w:i/>
      <w:iCs/>
      <w:color w:val="404040" w:themeColor="text1" w:themeTint="BF"/>
      <w:sz w:val="22"/>
      <w:szCs w:val="22"/>
      <w:lang w:val="en-GB"/>
    </w:rPr>
  </w:style>
  <w:style w:type="character" w:customStyle="1" w:styleId="SalutationChar">
    <w:name w:val="Salutation Char"/>
    <w:basedOn w:val="DefaultParagraphFont"/>
    <w:link w:val="Salutation"/>
    <w:uiPriority w:val="99"/>
    <w:semiHidden/>
    <w:qFormat/>
    <w:rPr>
      <w:rFonts w:ascii="Times New Roman" w:eastAsia="SimSun" w:hAnsi="Times New Roman" w:cs="Times New Roman"/>
      <w:sz w:val="22"/>
      <w:szCs w:val="22"/>
      <w:lang w:val="en-GB"/>
    </w:rPr>
  </w:style>
  <w:style w:type="character" w:customStyle="1" w:styleId="SignatureChar">
    <w:name w:val="Signature Char"/>
    <w:basedOn w:val="DefaultParagraphFont"/>
    <w:link w:val="Signature"/>
    <w:uiPriority w:val="99"/>
    <w:semiHidden/>
    <w:qFormat/>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qFormat/>
    <w:rPr>
      <w:u w:val="dotted"/>
      <w:lang w:val="en-GB"/>
    </w:rPr>
  </w:style>
  <w:style w:type="character" w:customStyle="1" w:styleId="SmartLink1">
    <w:name w:val="SmartLink1"/>
    <w:basedOn w:val="DefaultParagraphFont"/>
    <w:uiPriority w:val="99"/>
    <w:semiHidden/>
    <w:unhideWhenUsed/>
    <w:qFormat/>
    <w:rPr>
      <w:color w:val="0000FF"/>
      <w:u w:val="single"/>
      <w:shd w:val="clear" w:color="auto" w:fill="F3F2F1"/>
      <w:lang w:val="en-GB"/>
    </w:rPr>
  </w:style>
  <w:style w:type="character" w:customStyle="1" w:styleId="SubtleEmphasis1">
    <w:name w:val="Subtle Emphasis1"/>
    <w:basedOn w:val="DefaultParagraphFont"/>
    <w:uiPriority w:val="19"/>
    <w:qFormat/>
    <w:rPr>
      <w:i/>
      <w:iCs/>
      <w:color w:val="404040" w:themeColor="text1" w:themeTint="BF"/>
      <w:lang w:val="en-GB"/>
    </w:rPr>
  </w:style>
  <w:style w:type="character" w:customStyle="1" w:styleId="SubtleReference1">
    <w:name w:val="Subtle Reference1"/>
    <w:basedOn w:val="DefaultParagraphFont"/>
    <w:uiPriority w:val="31"/>
    <w:qFormat/>
    <w:rPr>
      <w:smallCaps/>
      <w:color w:val="595959" w:themeColor="text1" w:themeTint="A6"/>
      <w:lang w:val="en-GB"/>
    </w:rPr>
  </w:style>
  <w:style w:type="table" w:customStyle="1" w:styleId="TableGridLight1">
    <w:name w:val="Table Grid Light1"/>
    <w:basedOn w:val="TableNormal"/>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OCHeading1">
    <w:name w:val="TOC Heading1"/>
    <w:basedOn w:val="Heading1"/>
    <w:next w:val="Normal"/>
    <w:uiPriority w:val="39"/>
    <w:semiHidden/>
    <w:unhideWhenUsed/>
    <w:qFormat/>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DefaultParagraphFont"/>
    <w:uiPriority w:val="99"/>
    <w:semiHidden/>
    <w:unhideWhenUsed/>
    <w:rPr>
      <w:color w:val="605E5C"/>
      <w:shd w:val="clear" w:color="auto" w:fill="E1DFDD"/>
      <w:lang w:val="en-GB"/>
    </w:rPr>
  </w:style>
  <w:style w:type="paragraph" w:customStyle="1" w:styleId="CBDAgendaItemReport">
    <w:name w:val="CBD_AgendaItem_Report"/>
    <w:basedOn w:val="Normal"/>
    <w:qFormat/>
    <w:pPr>
      <w:keepNext/>
      <w:keepLines/>
      <w:spacing w:before="240" w:after="120"/>
      <w:jc w:val="left"/>
    </w:pPr>
    <w:rPr>
      <w:b/>
      <w:sz w:val="24"/>
    </w:rPr>
  </w:style>
  <w:style w:type="paragraph" w:customStyle="1" w:styleId="CBDagendaItem0">
    <w:name w:val="CBD_agenda_Item"/>
    <w:basedOn w:val="CBDNormalNumber"/>
    <w:qFormat/>
  </w:style>
  <w:style w:type="paragraph" w:customStyle="1" w:styleId="CBDpara-item">
    <w:name w:val="CBD_para-item"/>
    <w:basedOn w:val="Normal"/>
    <w:qFormat/>
    <w:pPr>
      <w:tabs>
        <w:tab w:val="clear" w:pos="567"/>
      </w:tabs>
      <w:spacing w:before="120" w:after="120"/>
      <w:ind w:left="1134" w:hanging="567"/>
      <w:jc w:val="left"/>
    </w:pPr>
  </w:style>
  <w:style w:type="paragraph" w:customStyle="1" w:styleId="CBDsubpara-item">
    <w:name w:val="CBD_subpara-item"/>
    <w:basedOn w:val="CBDpara-item"/>
    <w:qFormat/>
    <w:pPr>
      <w:tabs>
        <w:tab w:val="clear" w:pos="1134"/>
      </w:tabs>
      <w:ind w:left="1701"/>
    </w:pPr>
  </w:style>
  <w:style w:type="paragraph" w:customStyle="1" w:styleId="CBDRecommendText">
    <w:name w:val="CBD_RecommendText"/>
    <w:basedOn w:val="Normal"/>
    <w:qFormat/>
    <w:pPr>
      <w:spacing w:after="120"/>
      <w:ind w:left="567"/>
    </w:pPr>
  </w:style>
  <w:style w:type="paragraph" w:customStyle="1" w:styleId="Venuedate">
    <w:name w:val="Venue&amp;date"/>
    <w:basedOn w:val="Cornernotation"/>
    <w:qFormat/>
    <w:rPr>
      <w:bCs/>
    </w:rPr>
  </w:style>
  <w:style w:type="paragraph" w:styleId="Revision">
    <w:name w:val="Revision"/>
    <w:hidden/>
    <w:uiPriority w:val="99"/>
    <w:unhideWhenUsed/>
    <w:rsid w:val="00BA22C3"/>
    <w:rPr>
      <w:sz w:val="22"/>
      <w:szCs w:val="22"/>
      <w:lang w:val="en-GB"/>
    </w:rPr>
  </w:style>
  <w:style w:type="character" w:styleId="UnresolvedMention">
    <w:name w:val="Unresolved Mention"/>
    <w:basedOn w:val="DefaultParagraphFont"/>
    <w:uiPriority w:val="99"/>
    <w:semiHidden/>
    <w:unhideWhenUsed/>
    <w:rsid w:val="005220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mop/?m=cp-mop-11"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1" TargetMode="External"/><Relationship Id="rId25" Type="http://schemas.openxmlformats.org/officeDocument/2006/relationships/hyperlink" Target="https://www.cbd.int/decisions/mop/?m=cp-mop-11" TargetMode="Externa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bch.cbd.int/protocol/cpb_art34_info.shtml"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mop/?m=cp-mop-1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864b/c11a/720453c0f462d6dfa61384e6/cp-cc-21-05-en.pdf" TargetMode="External"/><Relationship Id="rId2" Type="http://schemas.openxmlformats.org/officeDocument/2006/relationships/hyperlink" Target="https://www.cbd.int/doc/c/6ad5/3b4a/81b758d39b6a601d8bde8f22/cp-cc-20-06-en.pdf" TargetMode="External"/><Relationship Id="rId1" Type="http://schemas.openxmlformats.org/officeDocument/2006/relationships/hyperlink" Target="https://www.cbd.int/documents/CBD/CP/MOP/12/1" TargetMode="External"/><Relationship Id="rId5" Type="http://schemas.openxmlformats.org/officeDocument/2006/relationships/hyperlink" Target="https://www.cbd.int/decisions/cop/?m=cop-15" TargetMode="External"/><Relationship Id="rId4" Type="http://schemas.openxmlformats.org/officeDocument/2006/relationships/hyperlink" Target="https://bch.cbd.int/protocol/decisions?decisionID=828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cbd-template%20(7).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D39685AEA345639560464042483489"/>
        <w:category>
          <w:name w:val="General"/>
          <w:gallery w:val="placeholder"/>
        </w:category>
        <w:types>
          <w:type w:val="bbPlcHdr"/>
        </w:types>
        <w:behaviors>
          <w:behavior w:val="content"/>
        </w:behaviors>
        <w:guid w:val="{D5D5F491-B867-4CD2-8F96-9AFDA7E318A9}"/>
      </w:docPartPr>
      <w:docPartBody>
        <w:p w:rsidR="00774E26" w:rsidRDefault="002765E9">
          <w:pPr>
            <w:pStyle w:val="50D39685AEA345639560464042483489"/>
          </w:pPr>
          <w:r>
            <w:rPr>
              <w:rStyle w:val="PlaceholderText"/>
            </w:rPr>
            <w:t>[Title]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33FE7" w:rsidRDefault="00233FE7">
      <w:pPr>
        <w:spacing w:line="240" w:lineRule="auto"/>
      </w:pPr>
      <w:r>
        <w:separator/>
      </w:r>
    </w:p>
  </w:endnote>
  <w:endnote w:type="continuationSeparator" w:id="0">
    <w:p w:rsidR="00233FE7" w:rsidRDefault="00233FE7">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Arial Unicode MS">
    <w:panose1 w:val="020B0604020202020204"/>
    <w:charset w:val="86"/>
    <w:family w:val="roman"/>
    <w:pitch w:val="default"/>
    <w:sig w:usb0="F7FFAEFF" w:usb1="F9DFFFFF" w:usb2="0000007F" w:usb3="00000000" w:csb0="203F01FF" w:csb1="DFFF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33FE7" w:rsidRDefault="00233FE7">
      <w:pPr>
        <w:spacing w:after="0"/>
      </w:pPr>
      <w:r>
        <w:separator/>
      </w:r>
    </w:p>
  </w:footnote>
  <w:footnote w:type="continuationSeparator" w:id="0">
    <w:p w:rsidR="00233FE7" w:rsidRDefault="00233FE7">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AED"/>
    <w:rsid w:val="000071A4"/>
    <w:rsid w:val="00024CEC"/>
    <w:rsid w:val="00057253"/>
    <w:rsid w:val="00080348"/>
    <w:rsid w:val="000D0E2D"/>
    <w:rsid w:val="00161B5A"/>
    <w:rsid w:val="00174393"/>
    <w:rsid w:val="00185793"/>
    <w:rsid w:val="0020190C"/>
    <w:rsid w:val="0022104B"/>
    <w:rsid w:val="00233FE7"/>
    <w:rsid w:val="00235B6F"/>
    <w:rsid w:val="002765E9"/>
    <w:rsid w:val="002D4564"/>
    <w:rsid w:val="003C50C4"/>
    <w:rsid w:val="004202BD"/>
    <w:rsid w:val="004628E4"/>
    <w:rsid w:val="00467AA2"/>
    <w:rsid w:val="004A7EE5"/>
    <w:rsid w:val="004F1722"/>
    <w:rsid w:val="005B716C"/>
    <w:rsid w:val="005F7F4D"/>
    <w:rsid w:val="0060088D"/>
    <w:rsid w:val="00643D2E"/>
    <w:rsid w:val="00657687"/>
    <w:rsid w:val="00661668"/>
    <w:rsid w:val="00661DD4"/>
    <w:rsid w:val="00683DD4"/>
    <w:rsid w:val="006B34D4"/>
    <w:rsid w:val="00774E26"/>
    <w:rsid w:val="0078688D"/>
    <w:rsid w:val="007B412D"/>
    <w:rsid w:val="00801490"/>
    <w:rsid w:val="00860CAD"/>
    <w:rsid w:val="00963E2A"/>
    <w:rsid w:val="009D37BD"/>
    <w:rsid w:val="009E7CBE"/>
    <w:rsid w:val="00A04931"/>
    <w:rsid w:val="00A22FF0"/>
    <w:rsid w:val="00A44BEC"/>
    <w:rsid w:val="00AA02BF"/>
    <w:rsid w:val="00AB2F76"/>
    <w:rsid w:val="00AF614D"/>
    <w:rsid w:val="00B23F86"/>
    <w:rsid w:val="00B26773"/>
    <w:rsid w:val="00BD3CEA"/>
    <w:rsid w:val="00C5684E"/>
    <w:rsid w:val="00CC6AED"/>
    <w:rsid w:val="00CF659D"/>
    <w:rsid w:val="00D128CC"/>
    <w:rsid w:val="00D27015"/>
    <w:rsid w:val="00D3472D"/>
    <w:rsid w:val="00D71F3C"/>
    <w:rsid w:val="00D86245"/>
    <w:rsid w:val="00DB4EFE"/>
    <w:rsid w:val="00E461EB"/>
    <w:rsid w:val="00E64C7E"/>
    <w:rsid w:val="00F40D82"/>
    <w:rsid w:val="00F41099"/>
    <w:rsid w:val="00F44740"/>
    <w:rsid w:val="00F819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sid w:val="00E64C7E"/>
    <w:rPr>
      <w:color w:val="808080"/>
    </w:rPr>
  </w:style>
  <w:style w:type="paragraph" w:customStyle="1" w:styleId="50D39685AEA345639560464042483489">
    <w:name w:val="50D39685AEA345639560464042483489"/>
    <w:pPr>
      <w:spacing w:after="160" w:line="278" w:lineRule="auto"/>
    </w:pPr>
    <w:rPr>
      <w:kern w:val="2"/>
      <w:sz w:val="24"/>
      <w:szCs w:val="24"/>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B53A942-374F-499A-892C-39E1F0138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cbd-template (7).dotm</Template>
  <TotalTime>2</TotalTime>
  <Pages>9</Pages>
  <Words>3242</Words>
  <Characters>18483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Report of the Compliance Committee under the Cartagena Protocol on Biosafety on its twentieth and twenty-first meetings</vt:lpstr>
    </vt:vector>
  </TitlesOfParts>
  <Company>SCBD</Company>
  <LinksUpToDate>false</LinksUpToDate>
  <CharactersWithSpaces>21682</CharactersWithSpaces>
  <SharedDoc>false</SharedDoc>
  <HLinks>
    <vt:vector size="72" baseType="variant">
      <vt:variant>
        <vt:i4>7405681</vt:i4>
      </vt:variant>
      <vt:variant>
        <vt:i4>18</vt:i4>
      </vt:variant>
      <vt:variant>
        <vt:i4>0</vt:i4>
      </vt:variant>
      <vt:variant>
        <vt:i4>5</vt:i4>
      </vt:variant>
      <vt:variant>
        <vt:lpwstr>https://www.cbd.int/decisions/mop/?m=cp-mop-11</vt:lpwstr>
      </vt:variant>
      <vt:variant>
        <vt:lpwstr/>
      </vt:variant>
      <vt:variant>
        <vt:i4>6029399</vt:i4>
      </vt:variant>
      <vt:variant>
        <vt:i4>15</vt:i4>
      </vt:variant>
      <vt:variant>
        <vt:i4>0</vt:i4>
      </vt:variant>
      <vt:variant>
        <vt:i4>5</vt:i4>
      </vt:variant>
      <vt:variant>
        <vt:lpwstr>https://bch.cbd.int/protocol/cpb_art34_info.shtml</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7405681</vt:i4>
      </vt:variant>
      <vt:variant>
        <vt:i4>9</vt:i4>
      </vt:variant>
      <vt:variant>
        <vt:i4>0</vt:i4>
      </vt:variant>
      <vt:variant>
        <vt:i4>5</vt:i4>
      </vt:variant>
      <vt:variant>
        <vt:lpwstr>https://www.cbd.int/decisions/mop/?m=cp-mop-11</vt:lpwstr>
      </vt:variant>
      <vt:variant>
        <vt:lpwstr/>
      </vt:variant>
      <vt:variant>
        <vt:i4>7405681</vt:i4>
      </vt:variant>
      <vt:variant>
        <vt:i4>6</vt:i4>
      </vt:variant>
      <vt:variant>
        <vt:i4>0</vt:i4>
      </vt:variant>
      <vt:variant>
        <vt:i4>5</vt:i4>
      </vt:variant>
      <vt:variant>
        <vt:lpwstr>https://www.cbd.int/decisions/mop/?m=cp-mop-11</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6029399</vt:i4>
      </vt:variant>
      <vt:variant>
        <vt:i4>0</vt:i4>
      </vt:variant>
      <vt:variant>
        <vt:i4>0</vt:i4>
      </vt:variant>
      <vt:variant>
        <vt:i4>5</vt:i4>
      </vt:variant>
      <vt:variant>
        <vt:lpwstr>https://bch.cbd.int/protocol/cpb_art34_info.shtml</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7929915</vt:i4>
      </vt:variant>
      <vt:variant>
        <vt:i4>9</vt:i4>
      </vt:variant>
      <vt:variant>
        <vt:i4>0</vt:i4>
      </vt:variant>
      <vt:variant>
        <vt:i4>5</vt:i4>
      </vt:variant>
      <vt:variant>
        <vt:lpwstr>https://bch.cbd.int/protocol/decisions?decisionID=8284</vt:lpwstr>
      </vt:variant>
      <vt:variant>
        <vt:lpwstr/>
      </vt:variant>
      <vt:variant>
        <vt:i4>8323170</vt:i4>
      </vt:variant>
      <vt:variant>
        <vt:i4>6</vt:i4>
      </vt:variant>
      <vt:variant>
        <vt:i4>0</vt:i4>
      </vt:variant>
      <vt:variant>
        <vt:i4>5</vt:i4>
      </vt:variant>
      <vt:variant>
        <vt:lpwstr>https://www.cbd.int/doc/c/864b/c11a/720453c0f462d6dfa61384e6/cp-cc-21-05-en.pdf</vt:lpwstr>
      </vt:variant>
      <vt:variant>
        <vt:lpwstr/>
      </vt:variant>
      <vt:variant>
        <vt:i4>7602231</vt:i4>
      </vt:variant>
      <vt:variant>
        <vt:i4>3</vt:i4>
      </vt:variant>
      <vt:variant>
        <vt:i4>0</vt:i4>
      </vt:variant>
      <vt:variant>
        <vt:i4>5</vt:i4>
      </vt:variant>
      <vt:variant>
        <vt:lpwstr>https://www.cbd.int/doc/c/6ad5/3b4a/81b758d39b6a601d8bde8f22/cp-cc-20-06-en.pdf</vt:lpwstr>
      </vt:variant>
      <vt:variant>
        <vt:lpwstr/>
      </vt:variant>
      <vt:variant>
        <vt:i4>6225940</vt:i4>
      </vt:variant>
      <vt:variant>
        <vt:i4>0</vt:i4>
      </vt:variant>
      <vt:variant>
        <vt:i4>0</vt:i4>
      </vt:variant>
      <vt:variant>
        <vt:i4>5</vt:i4>
      </vt:variant>
      <vt:variant>
        <vt:lpwstr>https://www.cbd.int/documents/CBD/CP/MOP/12/1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Compliance Committee under the Cartagena Protocol on Biosafety on its twentieth and twenty-first meetings</dc:title>
  <dc:subject>CBD/CP/MOP/12/3</dc:subject>
  <dc:creator>scbd</dc:creator>
  <cp:keywords>Convention on Biological Diversity</cp:keywords>
  <cp:lastModifiedBy>Veronique Lefebvre</cp:lastModifiedBy>
  <cp:revision>3</cp:revision>
  <cp:lastPrinted>2026-06-12T06:03:00Z</cp:lastPrinted>
  <dcterms:created xsi:type="dcterms:W3CDTF">2026-08-24T19:45:00Z</dcterms:created>
  <dcterms:modified xsi:type="dcterms:W3CDTF">2026-08-24T19:45:00Z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KSOTemplateDocerSaveRecord">
    <vt:lpwstr>eyJoZGlkIjoiODhjYTk3ZDRiOGRlZDBhNGYxOGYxZGU1ZmI0YmFkZDMiLCJ1c2VySWQiOiIzOTA5MTE5NDcifQ==</vt:lpwstr>
  </property>
  <property fmtid="{D5CDD505-2E9C-101B-9397-08002B2CF9AE}" pid="10" name="KSOProductBuildVer">
    <vt:lpwstr>2052-12.1.0.26381</vt:lpwstr>
  </property>
  <property fmtid="{D5CDD505-2E9C-101B-9397-08002B2CF9AE}" pid="11" name="ICV">
    <vt:lpwstr>9162E0EFA42041CD96FF9BB11BEDEB55_12</vt:lpwstr>
  </property>
  <property fmtid="{D5CDD505-2E9C-101B-9397-08002B2CF9AE}" pid="12" name="ContentTypeId">
    <vt:lpwstr>0x01010069BFACF6D92CD24AA50050CE23F68F74</vt:lpwstr>
  </property>
</Properties>
</file>