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C435E" w:rsidRPr="00853A7F" w:rsidTr="00497555">
        <w:trPr>
          <w:trHeight w:val="851"/>
        </w:trPr>
        <w:tc>
          <w:tcPr>
            <w:tcW w:w="993" w:type="dxa"/>
            <w:tcBorders>
              <w:top w:val="nil"/>
              <w:bottom w:val="single" w:sz="12" w:space="0" w:color="000000"/>
              <w:right w:val="nil"/>
            </w:tcBorders>
            <w:shd w:val="clear" w:color="auto" w:fill="auto"/>
          </w:tcPr>
          <w:p w:rsidR="00FC435E" w:rsidRPr="00DC6511" w:rsidRDefault="00362A9A" w:rsidP="00FC435E">
            <w:pPr>
              <w:pStyle w:val="BodyText2"/>
              <w:rPr>
                <w:b/>
                <w:snapToGrid w:val="0"/>
                <w:kern w:val="22"/>
                <w:sz w:val="22"/>
              </w:rPr>
            </w:pPr>
            <w:r>
              <w:rPr>
                <w:b/>
                <w:noProof/>
                <w:snapToGrid w:val="0"/>
                <w:sz w:val="22"/>
                <w:lang w:val="es-ES_tradnl" w:eastAsia="es-ES_tradnl"/>
              </w:rPr>
              <w:drawing>
                <wp:inline distT="0" distB="0" distL="0" distR="0">
                  <wp:extent cx="476250" cy="409575"/>
                  <wp:effectExtent l="0" t="0" r="0"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FC435E" w:rsidRPr="00853A7F" w:rsidRDefault="00362A9A" w:rsidP="008E52F4">
            <w:pPr>
              <w:rPr>
                <w:snapToGrid w:val="0"/>
                <w:kern w:val="22"/>
              </w:rPr>
            </w:pPr>
            <w:r>
              <w:rPr>
                <w:noProof/>
                <w:lang w:val="es-ES_tradnl" w:eastAsia="es-ES_tradnl"/>
              </w:rPr>
              <w:drawing>
                <wp:inline distT="0" distB="0" distL="0" distR="0">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rsidR="00FC435E" w:rsidRPr="001738F3" w:rsidRDefault="00FC435E" w:rsidP="008E52F4">
            <w:pPr>
              <w:jc w:val="right"/>
              <w:rPr>
                <w:rFonts w:ascii="Univers" w:hAnsi="Univers"/>
                <w:b/>
                <w:snapToGrid w:val="0"/>
                <w:kern w:val="22"/>
                <w:sz w:val="32"/>
              </w:rPr>
            </w:pPr>
            <w:r>
              <w:rPr>
                <w:rFonts w:ascii="Univers" w:hAnsi="Univers"/>
                <w:b/>
                <w:snapToGrid w:val="0"/>
                <w:sz w:val="32"/>
              </w:rPr>
              <w:t>CBD</w:t>
            </w:r>
          </w:p>
        </w:tc>
      </w:tr>
      <w:tr w:rsidR="00671687" w:rsidRPr="00936A35" w:rsidTr="00B2360E">
        <w:trPr>
          <w:trHeight w:val="1693"/>
        </w:trPr>
        <w:tc>
          <w:tcPr>
            <w:tcW w:w="6227" w:type="dxa"/>
            <w:gridSpan w:val="3"/>
            <w:tcBorders>
              <w:top w:val="nil"/>
              <w:bottom w:val="single" w:sz="36" w:space="0" w:color="000000"/>
            </w:tcBorders>
          </w:tcPr>
          <w:p w:rsidR="00671687" w:rsidRPr="001738F3" w:rsidRDefault="00671687" w:rsidP="00B2360E">
            <w:pPr>
              <w:rPr>
                <w:snapToGrid w:val="0"/>
                <w:kern w:val="22"/>
              </w:rPr>
            </w:pPr>
          </w:p>
          <w:p w:rsidR="00671687" w:rsidRPr="001738F3" w:rsidRDefault="00362A9A" w:rsidP="00566E5F">
            <w:pPr>
              <w:rPr>
                <w:rFonts w:ascii="Univers" w:hAnsi="Univers"/>
                <w:snapToGrid w:val="0"/>
                <w:kern w:val="22"/>
                <w:sz w:val="32"/>
              </w:rPr>
            </w:pPr>
            <w:r>
              <w:rPr>
                <w:noProof/>
                <w:lang w:val="es-ES_tradnl" w:eastAsia="es-ES_tradnl"/>
              </w:rPr>
              <w:drawing>
                <wp:inline distT="0" distB="0" distL="0" distR="0">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1144" w:type="dxa"/>
            <w:tcBorders>
              <w:top w:val="nil"/>
              <w:bottom w:val="single" w:sz="36" w:space="0" w:color="000000"/>
            </w:tcBorders>
          </w:tcPr>
          <w:p w:rsidR="00671687" w:rsidRPr="00DC6511" w:rsidRDefault="00671687" w:rsidP="00B2360E">
            <w:pPr>
              <w:pStyle w:val="Header"/>
              <w:tabs>
                <w:tab w:val="clear" w:pos="4320"/>
                <w:tab w:val="clear" w:pos="8640"/>
              </w:tabs>
              <w:rPr>
                <w:rFonts w:cs="Angsana New"/>
                <w:bCs/>
                <w:snapToGrid w:val="0"/>
                <w:kern w:val="22"/>
                <w:sz w:val="32"/>
                <w:szCs w:val="32"/>
              </w:rPr>
            </w:pPr>
          </w:p>
        </w:tc>
        <w:tc>
          <w:tcPr>
            <w:tcW w:w="2977" w:type="dxa"/>
            <w:tcBorders>
              <w:top w:val="nil"/>
              <w:bottom w:val="single" w:sz="36" w:space="0" w:color="000000"/>
            </w:tcBorders>
          </w:tcPr>
          <w:p w:rsidR="00671687" w:rsidRPr="00936A35" w:rsidRDefault="00671687" w:rsidP="00853A7F">
            <w:pPr>
              <w:ind w:left="459"/>
              <w:jc w:val="left"/>
              <w:rPr>
                <w:snapToGrid w:val="0"/>
                <w:kern w:val="22"/>
                <w:szCs w:val="22"/>
                <w:lang w:val="en-GB"/>
              </w:rPr>
            </w:pPr>
            <w:r w:rsidRPr="00936A35">
              <w:rPr>
                <w:snapToGrid w:val="0"/>
                <w:szCs w:val="22"/>
                <w:lang w:val="en-GB"/>
              </w:rPr>
              <w:t>Distr.</w:t>
            </w:r>
          </w:p>
          <w:p w:rsidR="00671687" w:rsidRPr="00936A35" w:rsidRDefault="00CD7C18" w:rsidP="00853A7F">
            <w:pPr>
              <w:ind w:left="459"/>
              <w:jc w:val="left"/>
              <w:rPr>
                <w:snapToGrid w:val="0"/>
                <w:kern w:val="22"/>
                <w:szCs w:val="22"/>
                <w:lang w:val="en-GB"/>
              </w:rPr>
            </w:pPr>
            <w:r w:rsidRPr="00936A35">
              <w:rPr>
                <w:snapToGrid w:val="0"/>
                <w:szCs w:val="22"/>
                <w:lang w:val="en-GB"/>
              </w:rPr>
              <w:t>GENERAL</w:t>
            </w:r>
          </w:p>
          <w:p w:rsidR="00671687" w:rsidRPr="00936A35" w:rsidRDefault="00671687" w:rsidP="00853A7F">
            <w:pPr>
              <w:ind w:left="459"/>
              <w:jc w:val="left"/>
              <w:rPr>
                <w:snapToGrid w:val="0"/>
                <w:kern w:val="22"/>
                <w:szCs w:val="22"/>
                <w:lang w:val="en-GB"/>
              </w:rPr>
            </w:pPr>
          </w:p>
          <w:p w:rsidR="00671687" w:rsidRPr="00A05AC0" w:rsidRDefault="001A4A90" w:rsidP="00853A7F">
            <w:pPr>
              <w:ind w:left="459"/>
              <w:jc w:val="left"/>
              <w:rPr>
                <w:color w:val="000000" w:themeColor="text1"/>
                <w:kern w:val="22"/>
                <w:szCs w:val="22"/>
                <w:lang w:val="en-GB"/>
              </w:rPr>
            </w:pPr>
            <w:r>
              <w:rPr>
                <w:color w:val="000000" w:themeColor="text1"/>
                <w:kern w:val="22"/>
                <w:szCs w:val="22"/>
                <w:lang w:val="en-GB"/>
              </w:rPr>
              <w:t>CBD/</w:t>
            </w:r>
            <w:proofErr w:type="spellStart"/>
            <w:r>
              <w:rPr>
                <w:color w:val="000000" w:themeColor="text1"/>
                <w:kern w:val="22"/>
                <w:szCs w:val="22"/>
                <w:lang w:val="en-GB"/>
              </w:rPr>
              <w:t>ExCOP</w:t>
            </w:r>
            <w:proofErr w:type="spellEnd"/>
            <w:r>
              <w:rPr>
                <w:color w:val="000000" w:themeColor="text1"/>
                <w:kern w:val="22"/>
                <w:szCs w:val="22"/>
                <w:lang w:val="en-GB"/>
              </w:rPr>
              <w:t>/2/</w:t>
            </w:r>
            <w:r w:rsidR="003C7811">
              <w:rPr>
                <w:color w:val="000000" w:themeColor="text1"/>
                <w:kern w:val="22"/>
                <w:szCs w:val="22"/>
                <w:lang w:val="en-GB"/>
              </w:rPr>
              <w:t>2</w:t>
            </w:r>
          </w:p>
          <w:p w:rsidR="00936A35" w:rsidRPr="00A05AC0" w:rsidRDefault="001A4A90" w:rsidP="00853A7F">
            <w:pPr>
              <w:ind w:left="459"/>
              <w:jc w:val="left"/>
              <w:rPr>
                <w:color w:val="000000" w:themeColor="text1"/>
                <w:kern w:val="22"/>
                <w:szCs w:val="22"/>
                <w:lang w:val="en-GB"/>
              </w:rPr>
            </w:pPr>
            <w:r>
              <w:rPr>
                <w:color w:val="000000" w:themeColor="text1"/>
                <w:kern w:val="22"/>
                <w:szCs w:val="22"/>
                <w:lang w:val="en-GB"/>
              </w:rPr>
              <w:t>CBD/CP/</w:t>
            </w:r>
            <w:proofErr w:type="spellStart"/>
            <w:r>
              <w:rPr>
                <w:color w:val="000000" w:themeColor="text1"/>
                <w:kern w:val="22"/>
                <w:szCs w:val="22"/>
                <w:lang w:val="en-GB"/>
              </w:rPr>
              <w:t>ExMOP</w:t>
            </w:r>
            <w:proofErr w:type="spellEnd"/>
            <w:r>
              <w:rPr>
                <w:color w:val="000000" w:themeColor="text1"/>
                <w:kern w:val="22"/>
                <w:szCs w:val="22"/>
                <w:lang w:val="en-GB"/>
              </w:rPr>
              <w:t>/1/</w:t>
            </w:r>
            <w:r w:rsidR="003C7811">
              <w:rPr>
                <w:color w:val="000000" w:themeColor="text1"/>
                <w:kern w:val="22"/>
                <w:szCs w:val="22"/>
                <w:lang w:val="en-GB"/>
              </w:rPr>
              <w:t>2</w:t>
            </w:r>
          </w:p>
          <w:p w:rsidR="00936A35" w:rsidRPr="00A05AC0" w:rsidRDefault="00936A35" w:rsidP="00936A35">
            <w:pPr>
              <w:tabs>
                <w:tab w:val="left" w:pos="870"/>
              </w:tabs>
              <w:ind w:left="459"/>
              <w:jc w:val="left"/>
              <w:rPr>
                <w:snapToGrid w:val="0"/>
                <w:kern w:val="22"/>
                <w:szCs w:val="22"/>
                <w:lang w:val="en-GB"/>
              </w:rPr>
            </w:pPr>
            <w:r w:rsidRPr="00A05AC0">
              <w:rPr>
                <w:color w:val="000000" w:themeColor="text1"/>
                <w:kern w:val="22"/>
                <w:szCs w:val="22"/>
                <w:lang w:val="en-GB"/>
              </w:rPr>
              <w:t>CBD/NP/</w:t>
            </w:r>
            <w:proofErr w:type="spellStart"/>
            <w:r w:rsidRPr="00A05AC0">
              <w:rPr>
                <w:color w:val="000000" w:themeColor="text1"/>
                <w:kern w:val="22"/>
                <w:szCs w:val="22"/>
                <w:lang w:val="en-GB"/>
              </w:rPr>
              <w:t>ExMOP</w:t>
            </w:r>
            <w:proofErr w:type="spellEnd"/>
            <w:r w:rsidRPr="00A05AC0">
              <w:rPr>
                <w:color w:val="000000" w:themeColor="text1"/>
                <w:kern w:val="22"/>
                <w:szCs w:val="22"/>
                <w:lang w:val="en-GB"/>
              </w:rPr>
              <w:t>/1/</w:t>
            </w:r>
            <w:r w:rsidR="003C7811">
              <w:rPr>
                <w:color w:val="000000" w:themeColor="text1"/>
                <w:kern w:val="22"/>
                <w:szCs w:val="22"/>
                <w:lang w:val="en-GB"/>
              </w:rPr>
              <w:t>2</w:t>
            </w:r>
          </w:p>
          <w:p w:rsidR="00F074D1" w:rsidRPr="00936A35" w:rsidRDefault="00936A35" w:rsidP="00853A7F">
            <w:pPr>
              <w:ind w:left="459"/>
              <w:jc w:val="left"/>
              <w:rPr>
                <w:snapToGrid w:val="0"/>
                <w:kern w:val="22"/>
                <w:szCs w:val="22"/>
                <w:lang w:val="en-GB"/>
              </w:rPr>
            </w:pPr>
            <w:r>
              <w:rPr>
                <w:color w:val="000000" w:themeColor="text1"/>
                <w:kern w:val="22"/>
                <w:szCs w:val="22"/>
              </w:rPr>
              <w:t>7 September 2020</w:t>
            </w:r>
            <w:r w:rsidR="001738F3" w:rsidRPr="00936A35">
              <w:rPr>
                <w:snapToGrid w:val="0"/>
                <w:szCs w:val="22"/>
                <w:lang w:val="en-GB"/>
              </w:rPr>
              <w:t xml:space="preserve"> </w:t>
            </w:r>
          </w:p>
          <w:p w:rsidR="00671687" w:rsidRPr="00936A35" w:rsidRDefault="00671687" w:rsidP="00853A7F">
            <w:pPr>
              <w:ind w:left="459"/>
              <w:jc w:val="left"/>
              <w:rPr>
                <w:snapToGrid w:val="0"/>
                <w:kern w:val="22"/>
                <w:szCs w:val="22"/>
                <w:lang w:val="en-GB"/>
              </w:rPr>
            </w:pPr>
          </w:p>
          <w:p w:rsidR="00671687" w:rsidRPr="00936A35" w:rsidRDefault="00671687" w:rsidP="00853A7F">
            <w:pPr>
              <w:ind w:left="459"/>
              <w:jc w:val="left"/>
              <w:rPr>
                <w:snapToGrid w:val="0"/>
                <w:kern w:val="22"/>
                <w:szCs w:val="22"/>
                <w:u w:val="single"/>
                <w:lang w:val="en-GB"/>
              </w:rPr>
            </w:pPr>
            <w:r w:rsidRPr="00936A35">
              <w:rPr>
                <w:snapToGrid w:val="0"/>
                <w:szCs w:val="22"/>
                <w:lang w:val="en-GB"/>
              </w:rPr>
              <w:t xml:space="preserve">RUSSIAN </w:t>
            </w:r>
            <w:r w:rsidRPr="00936A35">
              <w:rPr>
                <w:snapToGrid w:val="0"/>
                <w:szCs w:val="22"/>
                <w:lang w:val="en-GB"/>
              </w:rPr>
              <w:br/>
              <w:t>ORIGINAL: ENGLISH</w:t>
            </w:r>
          </w:p>
        </w:tc>
      </w:tr>
    </w:tbl>
    <w:tbl>
      <w:tblPr>
        <w:tblStyle w:val="ListTable6Colorful"/>
        <w:tblpPr w:leftFromText="180" w:rightFromText="180" w:vertAnchor="text" w:horzAnchor="margin" w:tblpX="-417" w:tblpY="152"/>
        <w:tblW w:w="10312" w:type="dxa"/>
        <w:tblInd w:w="0" w:type="dxa"/>
        <w:tblBorders>
          <w:top w:val="none" w:sz="0" w:space="0" w:color="auto"/>
          <w:bottom w:val="none" w:sz="0" w:space="0" w:color="auto"/>
        </w:tblBorders>
        <w:tblLook w:val="04A0" w:firstRow="1" w:lastRow="0" w:firstColumn="1" w:lastColumn="0" w:noHBand="0" w:noVBand="1"/>
      </w:tblPr>
      <w:tblGrid>
        <w:gridCol w:w="3467"/>
        <w:gridCol w:w="3420"/>
        <w:gridCol w:w="3425"/>
      </w:tblGrid>
      <w:tr w:rsidR="00EC4671" w:rsidTr="000B1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Borders>
              <w:bottom w:val="none" w:sz="0" w:space="0" w:color="auto"/>
            </w:tcBorders>
            <w:hideMark/>
          </w:tcPr>
          <w:p w:rsidR="00EC4671" w:rsidRPr="001A4A90" w:rsidRDefault="001A4A90" w:rsidP="00EC4671">
            <w:pPr>
              <w:pStyle w:val="Heading1"/>
              <w:spacing w:before="0"/>
              <w:ind w:left="181" w:hanging="181"/>
              <w:jc w:val="left"/>
              <w:outlineLvl w:val="0"/>
              <w:rPr>
                <w:rFonts w:ascii="Times New Roman" w:hAnsi="Times New Roman"/>
                <w:color w:val="auto"/>
                <w:kern w:val="22"/>
                <w:sz w:val="22"/>
                <w:szCs w:val="22"/>
              </w:rPr>
            </w:pPr>
            <w:bookmarkStart w:id="0" w:name="Meeting"/>
            <w:r w:rsidRPr="001A4A90">
              <w:rPr>
                <w:rFonts w:ascii="Times New Roman" w:hAnsi="Times New Roman"/>
                <w:color w:val="auto"/>
                <w:kern w:val="22"/>
                <w:sz w:val="22"/>
                <w:szCs w:val="22"/>
              </w:rPr>
              <w:t>КОНФЕРЕНЦИЯ СТОРОН КОНВЕНЦИИ О БИОЛОГИЧЕСКОМ РАЗНООБРАЗИИ</w:t>
            </w:r>
          </w:p>
          <w:p w:rsidR="00EC4671" w:rsidRDefault="001A4A90" w:rsidP="00EC4671">
            <w:pPr>
              <w:suppressLineNumbers/>
              <w:suppressAutoHyphens/>
              <w:kinsoku w:val="0"/>
              <w:overflowPunct w:val="0"/>
              <w:autoSpaceDE w:val="0"/>
              <w:autoSpaceDN w:val="0"/>
              <w:ind w:left="179" w:hanging="179"/>
              <w:rPr>
                <w:rFonts w:cs="Times New Roman"/>
                <w:b w:val="0"/>
                <w:bCs w:val="0"/>
                <w:color w:val="auto"/>
                <w:kern w:val="22"/>
                <w:szCs w:val="22"/>
              </w:rPr>
            </w:pPr>
            <w:r>
              <w:rPr>
                <w:rFonts w:cs="Times New Roman"/>
                <w:b w:val="0"/>
                <w:bCs w:val="0"/>
                <w:color w:val="auto"/>
                <w:kern w:val="22"/>
                <w:szCs w:val="22"/>
              </w:rPr>
              <w:t>Второе внеочередное совещание</w:t>
            </w:r>
          </w:p>
          <w:p w:rsidR="0007166A" w:rsidRPr="00EC4671" w:rsidRDefault="0007166A" w:rsidP="00EC4671">
            <w:pPr>
              <w:suppressLineNumbers/>
              <w:suppressAutoHyphens/>
              <w:kinsoku w:val="0"/>
              <w:overflowPunct w:val="0"/>
              <w:autoSpaceDE w:val="0"/>
              <w:autoSpaceDN w:val="0"/>
              <w:ind w:left="179" w:hanging="179"/>
              <w:rPr>
                <w:rFonts w:cs="Times New Roman"/>
                <w:b w:val="0"/>
                <w:bCs w:val="0"/>
                <w:color w:val="auto"/>
                <w:kern w:val="22"/>
                <w:szCs w:val="22"/>
              </w:rPr>
            </w:pPr>
            <w:r>
              <w:rPr>
                <w:rFonts w:cs="Times New Roman"/>
                <w:b w:val="0"/>
                <w:bCs w:val="0"/>
                <w:color w:val="auto"/>
                <w:kern w:val="22"/>
                <w:szCs w:val="22"/>
              </w:rPr>
              <w:t>Пункт 4 предварительной повестки дня</w:t>
            </w:r>
            <w:r w:rsidR="00664EAA" w:rsidRPr="001A2168">
              <w:rPr>
                <w:rStyle w:val="FootnoteReference"/>
                <w:kern w:val="22"/>
                <w:szCs w:val="22"/>
              </w:rPr>
              <w:footnoteReference w:customMarkFollows="1" w:id="1"/>
              <w:t>*</w:t>
            </w:r>
          </w:p>
        </w:tc>
        <w:tc>
          <w:tcPr>
            <w:tcW w:w="3420" w:type="dxa"/>
            <w:tcBorders>
              <w:bottom w:val="none" w:sz="0" w:space="0" w:color="auto"/>
            </w:tcBorders>
            <w:hideMark/>
          </w:tcPr>
          <w:p w:rsidR="00EC4671" w:rsidRPr="001A4A90" w:rsidRDefault="001A4A90" w:rsidP="00EC4671">
            <w:pPr>
              <w:pStyle w:val="Heading1"/>
              <w:spacing w:before="0"/>
              <w:ind w:left="249" w:hanging="249"/>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kern w:val="22"/>
                <w:sz w:val="22"/>
                <w:szCs w:val="22"/>
              </w:rPr>
            </w:pPr>
            <w:r w:rsidRPr="001A4A90">
              <w:rPr>
                <w:rFonts w:ascii="Times New Roman" w:hAnsi="Times New Roman"/>
                <w:color w:val="auto"/>
                <w:kern w:val="22"/>
                <w:sz w:val="22"/>
                <w:szCs w:val="22"/>
              </w:rPr>
              <w:t xml:space="preserve">КОНФЕРЕНЦИЯ СТОРОН КОНВЕНЦИИ О БИОЛОГИЧЕСКОМ РАЗНООБРАЗИИ, </w:t>
            </w:r>
            <w:r w:rsidR="003969EF" w:rsidRPr="001A4A90">
              <w:rPr>
                <w:rFonts w:ascii="Times New Roman" w:hAnsi="Times New Roman"/>
                <w:color w:val="auto"/>
                <w:kern w:val="22"/>
                <w:sz w:val="22"/>
                <w:szCs w:val="22"/>
              </w:rPr>
              <w:t xml:space="preserve">ВЫСТУПАЮЩАЯ </w:t>
            </w:r>
            <w:r w:rsidRPr="001A4A90">
              <w:rPr>
                <w:rFonts w:ascii="Times New Roman" w:hAnsi="Times New Roman"/>
                <w:color w:val="auto"/>
                <w:kern w:val="22"/>
                <w:sz w:val="22"/>
                <w:szCs w:val="22"/>
              </w:rPr>
              <w:t>В КАЧЕСТВЕ СОВЕЩАНИЯ СТОРОН КАРТАХЕНСКОГО ПРОТОКОЛА ПО БИОБЕЗОПАСНОСТИ</w:t>
            </w:r>
          </w:p>
          <w:p w:rsidR="00EC4671" w:rsidRDefault="001A4A90" w:rsidP="00EC4671">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rFonts w:cs="Times New Roman"/>
                <w:b w:val="0"/>
                <w:bCs w:val="0"/>
                <w:color w:val="auto"/>
                <w:kern w:val="22"/>
                <w:szCs w:val="22"/>
              </w:rPr>
            </w:pPr>
            <w:r>
              <w:rPr>
                <w:rFonts w:cs="Times New Roman"/>
                <w:b w:val="0"/>
                <w:bCs w:val="0"/>
                <w:color w:val="auto"/>
                <w:kern w:val="22"/>
                <w:szCs w:val="22"/>
              </w:rPr>
              <w:t>Первое внеочередное совещание</w:t>
            </w:r>
          </w:p>
          <w:p w:rsidR="0007166A" w:rsidRPr="001A2168" w:rsidRDefault="0007166A" w:rsidP="00EC4671">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rFonts w:cs="Times New Roman"/>
                <w:b w:val="0"/>
                <w:bCs w:val="0"/>
                <w:color w:val="auto"/>
                <w:kern w:val="22"/>
                <w:szCs w:val="22"/>
              </w:rPr>
            </w:pPr>
            <w:r>
              <w:rPr>
                <w:rFonts w:cs="Times New Roman"/>
                <w:b w:val="0"/>
                <w:bCs w:val="0"/>
                <w:color w:val="auto"/>
                <w:kern w:val="22"/>
                <w:szCs w:val="22"/>
              </w:rPr>
              <w:t>Пункт 4 предварительной повестки дня</w:t>
            </w:r>
            <w:r w:rsidR="00664EAA" w:rsidRPr="001A2168">
              <w:rPr>
                <w:rStyle w:val="FootnoteReference"/>
                <w:kern w:val="22"/>
                <w:szCs w:val="22"/>
              </w:rPr>
              <w:footnoteReference w:customMarkFollows="1" w:id="2"/>
              <w:t>**</w:t>
            </w:r>
          </w:p>
        </w:tc>
        <w:tc>
          <w:tcPr>
            <w:tcW w:w="3425" w:type="dxa"/>
            <w:tcBorders>
              <w:bottom w:val="none" w:sz="0" w:space="0" w:color="auto"/>
            </w:tcBorders>
            <w:hideMark/>
          </w:tcPr>
          <w:p w:rsidR="00EC4671" w:rsidRPr="001A4A90" w:rsidRDefault="001A4A90" w:rsidP="00EC4671">
            <w:pPr>
              <w:pStyle w:val="Heading1"/>
              <w:spacing w:before="0"/>
              <w:ind w:left="232" w:hanging="232"/>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kern w:val="22"/>
                <w:sz w:val="22"/>
                <w:szCs w:val="22"/>
              </w:rPr>
            </w:pPr>
            <w:r w:rsidRPr="001A4A90">
              <w:rPr>
                <w:rFonts w:ascii="Times New Roman" w:hAnsi="Times New Roman"/>
                <w:color w:val="auto"/>
                <w:kern w:val="22"/>
                <w:sz w:val="22"/>
                <w:szCs w:val="22"/>
              </w:rPr>
              <w:t>КОНФЕРЕНЦИЯ СТОРОН КОНВЕНЦИИ О БИОЛОГИЧЕСКОМ РАЗНООБРАЗИИ,</w:t>
            </w:r>
            <w:r w:rsidR="00B07659" w:rsidRPr="001A4A90">
              <w:rPr>
                <w:rFonts w:ascii="Times New Roman" w:hAnsi="Times New Roman"/>
                <w:color w:val="auto"/>
                <w:kern w:val="22"/>
                <w:sz w:val="22"/>
                <w:szCs w:val="22"/>
              </w:rPr>
              <w:t xml:space="preserve"> </w:t>
            </w:r>
            <w:r w:rsidRPr="001A4A90">
              <w:rPr>
                <w:rFonts w:ascii="Times New Roman" w:hAnsi="Times New Roman"/>
                <w:color w:val="auto"/>
                <w:kern w:val="22"/>
                <w:sz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07166A" w:rsidRDefault="001A4A90" w:rsidP="001A4A90">
            <w:pPr>
              <w:suppressLineNumbers/>
              <w:suppressAutoHyphens/>
              <w:kinsoku w:val="0"/>
              <w:overflowPunct w:val="0"/>
              <w:autoSpaceDE w:val="0"/>
              <w:autoSpaceDN w:val="0"/>
              <w:spacing w:after="120"/>
              <w:ind w:left="232" w:hanging="232"/>
              <w:contextualSpacing/>
              <w:cnfStyle w:val="100000000000" w:firstRow="1" w:lastRow="0" w:firstColumn="0" w:lastColumn="0" w:oddVBand="0" w:evenVBand="0" w:oddHBand="0" w:evenHBand="0" w:firstRowFirstColumn="0" w:firstRowLastColumn="0" w:lastRowFirstColumn="0" w:lastRowLastColumn="0"/>
              <w:rPr>
                <w:rFonts w:cs="Times New Roman"/>
                <w:b w:val="0"/>
                <w:bCs w:val="0"/>
                <w:color w:val="auto"/>
                <w:kern w:val="22"/>
                <w:szCs w:val="22"/>
              </w:rPr>
            </w:pPr>
            <w:r>
              <w:rPr>
                <w:rFonts w:cs="Times New Roman"/>
                <w:b w:val="0"/>
                <w:bCs w:val="0"/>
                <w:color w:val="auto"/>
                <w:kern w:val="22"/>
                <w:szCs w:val="22"/>
              </w:rPr>
              <w:t>Первое внеочередное совещание</w:t>
            </w:r>
          </w:p>
          <w:p w:rsidR="00EC4671" w:rsidRDefault="0007166A" w:rsidP="001A4A90">
            <w:pPr>
              <w:suppressLineNumbers/>
              <w:suppressAutoHyphens/>
              <w:kinsoku w:val="0"/>
              <w:overflowPunct w:val="0"/>
              <w:autoSpaceDE w:val="0"/>
              <w:autoSpaceDN w:val="0"/>
              <w:spacing w:after="120"/>
              <w:ind w:left="232" w:hanging="232"/>
              <w:contextualSpacing/>
              <w:cnfStyle w:val="100000000000" w:firstRow="1" w:lastRow="0" w:firstColumn="0" w:lastColumn="0" w:oddVBand="0" w:evenVBand="0" w:oddHBand="0" w:evenHBand="0" w:firstRowFirstColumn="0" w:firstRowLastColumn="0" w:lastRowFirstColumn="0" w:lastRowLastColumn="0"/>
              <w:rPr>
                <w:b w:val="0"/>
                <w:bCs w:val="0"/>
                <w:kern w:val="22"/>
                <w:szCs w:val="22"/>
              </w:rPr>
            </w:pPr>
            <w:r>
              <w:rPr>
                <w:rFonts w:cs="Times New Roman"/>
                <w:b w:val="0"/>
                <w:bCs w:val="0"/>
                <w:color w:val="auto"/>
                <w:kern w:val="22"/>
                <w:szCs w:val="22"/>
              </w:rPr>
              <w:t>Пункт 4 предварительной повестки дня</w:t>
            </w:r>
            <w:r w:rsidR="00664EAA" w:rsidRPr="001A2168">
              <w:rPr>
                <w:rStyle w:val="FootnoteReference"/>
                <w:kern w:val="22"/>
                <w:szCs w:val="22"/>
              </w:rPr>
              <w:footnoteReference w:customMarkFollows="1" w:id="3"/>
              <w:t>***</w:t>
            </w:r>
          </w:p>
          <w:p w:rsidR="000B1A5D" w:rsidRPr="00EC4671" w:rsidRDefault="000B1A5D" w:rsidP="001A4A90">
            <w:pPr>
              <w:suppressLineNumbers/>
              <w:suppressAutoHyphens/>
              <w:kinsoku w:val="0"/>
              <w:overflowPunct w:val="0"/>
              <w:autoSpaceDE w:val="0"/>
              <w:autoSpaceDN w:val="0"/>
              <w:spacing w:after="120"/>
              <w:ind w:left="232" w:hanging="232"/>
              <w:contextualSpacing/>
              <w:cnfStyle w:val="100000000000" w:firstRow="1" w:lastRow="0" w:firstColumn="0" w:lastColumn="0" w:oddVBand="0" w:evenVBand="0" w:oddHBand="0" w:evenHBand="0" w:firstRowFirstColumn="0" w:firstRowLastColumn="0" w:lastRowFirstColumn="0" w:lastRowLastColumn="0"/>
              <w:rPr>
                <w:rFonts w:cs="Times New Roman"/>
                <w:color w:val="auto"/>
                <w:kern w:val="22"/>
                <w:szCs w:val="22"/>
              </w:rPr>
            </w:pPr>
          </w:p>
        </w:tc>
      </w:tr>
    </w:tbl>
    <w:p w:rsidR="00B02DF6" w:rsidRPr="003969EF" w:rsidRDefault="00B02DF6" w:rsidP="006A51C1">
      <w:pPr>
        <w:pStyle w:val="reference"/>
        <w:spacing w:before="120" w:beforeAutospacing="0" w:after="0"/>
        <w:jc w:val="center"/>
        <w:rPr>
          <w:lang w:val="ru-RU"/>
        </w:rPr>
      </w:pPr>
      <w:r w:rsidRPr="003969EF">
        <w:rPr>
          <w:sz w:val="22"/>
          <w:lang w:val="ru-RU"/>
        </w:rPr>
        <w:t>Монреаль (онлайн), 16-19 ноября 2020 года</w:t>
      </w:r>
    </w:p>
    <w:sdt>
      <w:sdtPr>
        <w:rPr>
          <w:kern w:val="22"/>
          <w:szCs w:val="22"/>
          <w:lang w:val="ru-RU"/>
        </w:rPr>
        <w:alias w:val="Title"/>
        <w:id w:val="1859844449"/>
        <w:placeholder>
          <w:docPart w:val="27267060156643E39B63222C1470574F"/>
        </w:placeholder>
        <w:dataBinding w:prefixMappings="xmlns:ns0='http://purl.org/dc/elements/1.1/' xmlns:ns1='http://schemas.openxmlformats.org/package/2006/metadata/core-properties' " w:xpath="/ns1:coreProperties[1]/ns0:title[1]" w:storeItemID="{6C3C8BC8-F283-45AE-878A-BAB7291924A1}"/>
        <w:text/>
      </w:sdtPr>
      <w:sdtEndPr/>
      <w:sdtContent>
        <w:p w:rsidR="00EC4671" w:rsidRPr="003969EF" w:rsidRDefault="0080367D" w:rsidP="00EC4671">
          <w:pPr>
            <w:pStyle w:val="HEADING"/>
            <w:rPr>
              <w:rFonts w:eastAsiaTheme="minorEastAsia"/>
              <w:kern w:val="22"/>
              <w:lang w:val="ru-RU"/>
            </w:rPr>
          </w:pPr>
          <w:r w:rsidRPr="006A51C1">
            <w:rPr>
              <w:kern w:val="22"/>
              <w:szCs w:val="22"/>
              <w:lang w:val="ru-RU"/>
            </w:rPr>
            <w:t>ПРЕДЛАГАЕМЫЙ ВРЕМЕННЫЙ БЮДЖЕТ ДЛЯ ПРОГРАММЫ РАБОТЫ КОНВЕНЦИИ О БИОЛОГИЧЕСКОМ РАЗНООБРАЗИИ, КАТАХЕНСКОГО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sidR="006A51C1" w:rsidRPr="006A51C1">
            <w:rPr>
              <w:kern w:val="22"/>
              <w:szCs w:val="22"/>
              <w:lang w:val="ru-RU"/>
            </w:rPr>
            <w:t xml:space="preserve"> </w:t>
          </w:r>
          <w:r w:rsidR="006A51C1">
            <w:rPr>
              <w:kern w:val="22"/>
              <w:szCs w:val="22"/>
              <w:lang w:val="ru-RU"/>
            </w:rPr>
            <w:t>на 2021 год</w:t>
          </w:r>
        </w:p>
      </w:sdtContent>
    </w:sdt>
    <w:p w:rsidR="00221A9E" w:rsidRDefault="005B095D" w:rsidP="001E4F83">
      <w:pPr>
        <w:pStyle w:val="NoSpacing"/>
        <w:suppressLineNumbers/>
        <w:suppressAutoHyphens/>
        <w:spacing w:before="120" w:after="120"/>
        <w:jc w:val="center"/>
        <w:rPr>
          <w:rFonts w:ascii="Times New Roman" w:eastAsiaTheme="minorEastAsia" w:hAnsi="Times New Roman"/>
          <w:i/>
          <w:iCs/>
          <w:color w:val="000000"/>
          <w:kern w:val="22"/>
          <w:lang w:val="ru-RU"/>
        </w:rPr>
      </w:pPr>
      <w:r>
        <w:rPr>
          <w:rFonts w:ascii="Times New Roman" w:eastAsiaTheme="minorEastAsia" w:hAnsi="Times New Roman"/>
          <w:i/>
          <w:iCs/>
          <w:color w:val="000000"/>
          <w:kern w:val="22"/>
          <w:lang w:val="ru-RU"/>
        </w:rPr>
        <w:t>Записка Исполнительного секретаря</w:t>
      </w:r>
    </w:p>
    <w:p w:rsidR="005B095D" w:rsidRPr="00E924DD" w:rsidRDefault="005B095D" w:rsidP="00E924DD">
      <w:pPr>
        <w:pStyle w:val="Heading1"/>
        <w:spacing w:before="240" w:after="120"/>
        <w:jc w:val="center"/>
        <w:rPr>
          <w:rFonts w:ascii="Times New Roman" w:eastAsia="Malgun Gothic" w:hAnsi="Times New Roman"/>
          <w:color w:val="auto"/>
          <w:kern w:val="22"/>
          <w:sz w:val="22"/>
          <w:szCs w:val="22"/>
        </w:rPr>
      </w:pPr>
      <w:r w:rsidRPr="00E924DD">
        <w:rPr>
          <w:rFonts w:ascii="Times New Roman" w:hAnsi="Times New Roman"/>
          <w:color w:val="auto"/>
          <w:kern w:val="22"/>
          <w:sz w:val="22"/>
          <w:szCs w:val="22"/>
        </w:rPr>
        <w:t>ВВЕДЕНИЕ</w:t>
      </w:r>
    </w:p>
    <w:p w:rsidR="00227174" w:rsidRPr="000322A9" w:rsidRDefault="00227174" w:rsidP="009E71AA">
      <w:pPr>
        <w:pStyle w:val="ListParagraph"/>
        <w:numPr>
          <w:ilvl w:val="0"/>
          <w:numId w:val="5"/>
        </w:numPr>
        <w:spacing w:before="120" w:after="120"/>
        <w:ind w:left="0" w:firstLine="0"/>
        <w:contextualSpacing w:val="0"/>
        <w:rPr>
          <w:rFonts w:eastAsia="Malgun Gothic"/>
          <w:iCs/>
          <w:kern w:val="22"/>
          <w:szCs w:val="22"/>
        </w:rPr>
      </w:pPr>
      <w:bookmarkStart w:id="1" w:name="_Hlk49339275"/>
      <w:r>
        <w:t xml:space="preserve">В решении </w:t>
      </w:r>
      <w:hyperlink r:id="rId11" w:history="1">
        <w:r w:rsidRPr="00E12812">
          <w:rPr>
            <w:rStyle w:val="Hyperlink"/>
            <w:sz w:val="22"/>
          </w:rPr>
          <w:t>14/37</w:t>
        </w:r>
      </w:hyperlink>
      <w:r>
        <w:t xml:space="preserve"> Конференция Сторон и соответствующие совещания Сторон протоколов утвердили комплексный бюджет на двухлетний период 2019-2020 годов и поручили Исполнительному секретарю подготовить комплексную программу работ</w:t>
      </w:r>
      <w:r w:rsidR="001E4F83">
        <w:t>ы</w:t>
      </w:r>
      <w:r>
        <w:t xml:space="preserve"> и бюджет на период 2021-2022 годов для представления Конференции Сторон на ее пятнадцатом совещании, десятому </w:t>
      </w:r>
      <w:r>
        <w:lastRenderedPageBreak/>
        <w:t xml:space="preserve">совещанию Сторон Картахенского протокола и четвертому совещанию Сторон Нагойского протокола. Проведение этих совещаний было запланировано на последний квартал 2020 года. </w:t>
      </w:r>
    </w:p>
    <w:p w:rsidR="00227174" w:rsidRPr="000322A9" w:rsidRDefault="00227174" w:rsidP="009E71AA">
      <w:pPr>
        <w:pStyle w:val="ListParagraph"/>
        <w:numPr>
          <w:ilvl w:val="0"/>
          <w:numId w:val="5"/>
        </w:numPr>
        <w:spacing w:before="120" w:after="120"/>
        <w:ind w:left="0" w:firstLine="0"/>
        <w:contextualSpacing w:val="0"/>
        <w:rPr>
          <w:rFonts w:eastAsia="Malgun Gothic"/>
          <w:iCs/>
          <w:kern w:val="22"/>
          <w:szCs w:val="22"/>
        </w:rPr>
      </w:pPr>
      <w:r>
        <w:t xml:space="preserve">В связи с пандемией и обусловленными ею ограничениями на поездки и проведение </w:t>
      </w:r>
      <w:r w:rsidR="005D3BBD">
        <w:t>многолюдных</w:t>
      </w:r>
      <w:r>
        <w:t xml:space="preserve"> собраний в большинстве районов мира </w:t>
      </w:r>
      <w:r w:rsidR="0014124A">
        <w:t>возникла необходимость</w:t>
      </w:r>
      <w:r>
        <w:t xml:space="preserve"> перенести пятнадцатое совещание Конференции Сторон и </w:t>
      </w:r>
      <w:r w:rsidR="005D3BBD">
        <w:t>смежные</w:t>
      </w:r>
      <w:r>
        <w:t xml:space="preserve"> совещания на 2021 год. Соответственно, потребуются альтернативные </w:t>
      </w:r>
      <w:r w:rsidR="005D3BBD">
        <w:t xml:space="preserve">организационные </w:t>
      </w:r>
      <w:r>
        <w:t xml:space="preserve">меры для того, чтобы </w:t>
      </w:r>
      <w:r w:rsidR="005D3BBD">
        <w:t>обеспечить непрерывную деятельность</w:t>
      </w:r>
      <w:r>
        <w:t xml:space="preserve"> Конвенции после 31 декабря 2020 года, включая функционирование </w:t>
      </w:r>
      <w:r w:rsidR="005D3BBD">
        <w:t>с</w:t>
      </w:r>
      <w:r>
        <w:t xml:space="preserve">екретариата и проведение совещаний, перенесенных на 2021 год. </w:t>
      </w:r>
    </w:p>
    <w:p w:rsidR="00227174" w:rsidRPr="00F3179F" w:rsidRDefault="00227174" w:rsidP="009E71AA">
      <w:pPr>
        <w:pStyle w:val="ListParagraph"/>
        <w:numPr>
          <w:ilvl w:val="0"/>
          <w:numId w:val="5"/>
        </w:numPr>
        <w:spacing w:before="120" w:after="120"/>
        <w:ind w:left="0" w:firstLine="0"/>
        <w:contextualSpacing w:val="0"/>
        <w:rPr>
          <w:rFonts w:eastAsia="Malgun Gothic"/>
          <w:iCs/>
          <w:kern w:val="22"/>
          <w:szCs w:val="22"/>
        </w:rPr>
      </w:pPr>
      <w:r>
        <w:t>Бюро Конференции Сторон рассмотрело этот вопрос и предложило Сторонам в порядке исключения рассмотреть и утвердить временный бюджет на 2021 год посредством внеочередных совещаний с использованием письменной процедуры</w:t>
      </w:r>
      <w:r w:rsidR="0014124A" w:rsidRPr="0014124A">
        <w:rPr>
          <w:rStyle w:val="FootnoteReference"/>
          <w:rFonts w:eastAsia="Malgun Gothic"/>
          <w:iCs/>
          <w:kern w:val="22"/>
          <w:szCs w:val="22"/>
          <w:lang w:eastAsia="x-none"/>
        </w:rPr>
        <w:footnoteReference w:id="4"/>
      </w:r>
      <w:r>
        <w:t xml:space="preserve">. Исходя из этого, Исполнительный секретарь подготовила временный бюджет на 2021 год, который приводится в </w:t>
      </w:r>
      <w:r w:rsidR="00D6315F">
        <w:t>настоящем</w:t>
      </w:r>
      <w:r>
        <w:t xml:space="preserve"> документе</w:t>
      </w:r>
      <w:r w:rsidR="00435220">
        <w:t>.</w:t>
      </w:r>
    </w:p>
    <w:p w:rsidR="00E924DD" w:rsidRDefault="00E924DD" w:rsidP="00227174">
      <w:pPr>
        <w:pStyle w:val="ListParagraph"/>
        <w:spacing w:before="120" w:after="120"/>
        <w:ind w:left="0"/>
        <w:contextualSpacing w:val="0"/>
        <w:rPr>
          <w:rFonts w:eastAsia="Malgun Gothic"/>
          <w:iCs/>
          <w:kern w:val="22"/>
          <w:szCs w:val="22"/>
          <w:lang w:eastAsia="x-none"/>
        </w:rPr>
        <w:sectPr w:rsidR="00E924DD" w:rsidSect="00F3179F">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1134" w:left="1440" w:header="709" w:footer="709" w:gutter="0"/>
          <w:cols w:space="720"/>
          <w:titlePg/>
          <w:docGrid w:linePitch="299"/>
        </w:sectPr>
      </w:pPr>
    </w:p>
    <w:p w:rsidR="00227174" w:rsidRPr="000322A9" w:rsidRDefault="00227174" w:rsidP="009E71AA">
      <w:pPr>
        <w:pStyle w:val="ListParagraph"/>
        <w:numPr>
          <w:ilvl w:val="0"/>
          <w:numId w:val="5"/>
        </w:numPr>
        <w:spacing w:before="120" w:after="120"/>
        <w:ind w:left="0" w:firstLine="0"/>
        <w:contextualSpacing w:val="0"/>
        <w:rPr>
          <w:rFonts w:eastAsia="Malgun Gothic"/>
          <w:iCs/>
          <w:kern w:val="22"/>
          <w:szCs w:val="22"/>
        </w:rPr>
      </w:pPr>
      <w:r>
        <w:t xml:space="preserve">Настоящий документ состоит из </w:t>
      </w:r>
      <w:r w:rsidR="00821248">
        <w:t>шести</w:t>
      </w:r>
      <w:r>
        <w:t xml:space="preserve"> разделов. В </w:t>
      </w:r>
      <w:r w:rsidR="00821248">
        <w:t>р</w:t>
      </w:r>
      <w:r>
        <w:t xml:space="preserve">азделе I рассматриваются поступления в бюджет и его исполнение </w:t>
      </w:r>
      <w:r w:rsidR="00D6315F">
        <w:t>за</w:t>
      </w:r>
      <w:r>
        <w:t xml:space="preserve"> двухлетний период 2019-2020 годов. В </w:t>
      </w:r>
      <w:r w:rsidR="00821248">
        <w:t>р</w:t>
      </w:r>
      <w:r>
        <w:t xml:space="preserve">азделе II секретариат представляет предложение о продлении на один год бюджета на 2019-2020 годы, с тем чтобы обеспечить возможность для осуществления некоторых видов деятельности, которые были перенесены в связи с пандемией. В </w:t>
      </w:r>
      <w:r w:rsidR="00821248">
        <w:t>р</w:t>
      </w:r>
      <w:r>
        <w:t xml:space="preserve">азделе III представлено предложение по временному комплексному бюджету для обеспечения непрерывной деятельности Конвенции и протоколов, включая секретариат, в течение 2021 года, в ожидании принятия бюджета на двухлетний период 2021-2022 годов Конференцией Сторон на ее пятнадцатом совещании. Проекты решений для рассмотрения Конференцией Сторон и соответствующими совещаниями Сторон Картахенского и Нагойского протоколов приводятся в </w:t>
      </w:r>
      <w:r w:rsidR="00821248">
        <w:t>р</w:t>
      </w:r>
      <w:r>
        <w:t>азделах IV, V и VI.</w:t>
      </w:r>
    </w:p>
    <w:p w:rsidR="00227174" w:rsidRPr="000322A9" w:rsidRDefault="00227174" w:rsidP="009E71AA">
      <w:pPr>
        <w:pStyle w:val="ListParagraph"/>
        <w:numPr>
          <w:ilvl w:val="0"/>
          <w:numId w:val="5"/>
        </w:numPr>
        <w:spacing w:before="120" w:after="120"/>
        <w:ind w:left="0" w:firstLine="0"/>
        <w:contextualSpacing w:val="0"/>
        <w:rPr>
          <w:rFonts w:eastAsia="Malgun Gothic"/>
          <w:iCs/>
          <w:kern w:val="22"/>
          <w:szCs w:val="22"/>
        </w:rPr>
      </w:pPr>
      <w:r>
        <w:t xml:space="preserve">Предполагается, что пятнадцатое совещание Конференции Сторон </w:t>
      </w:r>
      <w:r w:rsidR="00E375A4">
        <w:t xml:space="preserve">и проводимые одновременно с ним совещания Сторон протоколов </w:t>
      </w:r>
      <w:r w:rsidR="00217F73">
        <w:t>в любом случае рассмотря</w:t>
      </w:r>
      <w:r>
        <w:t>т полный бюджет на двухлетний период 2021-2022 год</w:t>
      </w:r>
      <w:r w:rsidR="00217F73">
        <w:t>ов либо на любой другой период</w:t>
      </w:r>
      <w:r w:rsidR="00BE2F90">
        <w:t xml:space="preserve">, как могут постановить </w:t>
      </w:r>
      <w:r w:rsidR="00E375A4">
        <w:t>Конференци</w:t>
      </w:r>
      <w:r w:rsidR="00BE2F90">
        <w:t>я</w:t>
      </w:r>
      <w:r w:rsidR="00E375A4">
        <w:t xml:space="preserve"> Сторон и проводимы</w:t>
      </w:r>
      <w:r w:rsidR="00BE2F90">
        <w:t xml:space="preserve">е одновременно совещания </w:t>
      </w:r>
      <w:r w:rsidR="00E375A4">
        <w:t xml:space="preserve">Сторон протоколов </w:t>
      </w:r>
      <w:r>
        <w:t>в соответствии с финансовыми правилами</w:t>
      </w:r>
      <w:r w:rsidRPr="000322A9">
        <w:rPr>
          <w:rStyle w:val="FootnoteReference"/>
          <w:rFonts w:eastAsia="Malgun Gothic"/>
          <w:kern w:val="22"/>
          <w:szCs w:val="22"/>
          <w:lang w:val="en-GB" w:eastAsia="x-none"/>
        </w:rPr>
        <w:footnoteReference w:id="5"/>
      </w:r>
      <w:r>
        <w:t>. Соответственно, предполагается, что временный бюджет должен быть ограничен по сфере своего действия тем, что необходимо для непрерывной деятельности Конвенции и протоколов, включая подготовку и проведение</w:t>
      </w:r>
      <w:r w:rsidR="004F6338">
        <w:t xml:space="preserve"> пятнадцатого совещания</w:t>
      </w:r>
      <w:r>
        <w:t xml:space="preserve"> </w:t>
      </w:r>
      <w:r w:rsidR="004F6338">
        <w:t>Конференции Сторон и других совещаний, перенесенных на 2021 год</w:t>
      </w:r>
      <w:r>
        <w:t xml:space="preserve">. </w:t>
      </w:r>
    </w:p>
    <w:p w:rsidR="004F6338" w:rsidRPr="0048238E" w:rsidRDefault="0048238E" w:rsidP="004F6338">
      <w:pPr>
        <w:pStyle w:val="ListParagraph"/>
        <w:keepNext/>
        <w:numPr>
          <w:ilvl w:val="0"/>
          <w:numId w:val="6"/>
        </w:numPr>
        <w:suppressLineNumbers/>
        <w:suppressAutoHyphens/>
        <w:spacing w:before="120" w:after="120"/>
        <w:ind w:left="1134" w:hanging="425"/>
        <w:contextualSpacing w:val="0"/>
        <w:outlineLvl w:val="0"/>
        <w:rPr>
          <w:rFonts w:eastAsia="Malgun Gothic"/>
          <w:b/>
          <w:bCs/>
          <w:iCs/>
          <w:caps/>
          <w:color w:val="000000" w:themeColor="text1"/>
          <w:kern w:val="22"/>
          <w:szCs w:val="22"/>
          <w:lang w:eastAsia="x-none"/>
        </w:rPr>
      </w:pPr>
      <w:r>
        <w:rPr>
          <w:rFonts w:eastAsia="Malgun Gothic"/>
          <w:b/>
          <w:bCs/>
          <w:iCs/>
          <w:caps/>
          <w:color w:val="000000" w:themeColor="text1"/>
          <w:kern w:val="22"/>
          <w:szCs w:val="22"/>
          <w:lang w:eastAsia="x-none"/>
        </w:rPr>
        <w:t xml:space="preserve">КРАТКАЯ СПРАВКА О ПОСТУПЛЕНИЯХ В БЮДЖЕТ И ИСПОЛНЕНИИ БЮДЖЕТА ЗА ДВУХЛЕТНИЙ ПЕРИОД </w:t>
      </w:r>
      <w:r w:rsidR="004F6338" w:rsidRPr="0048238E">
        <w:rPr>
          <w:rFonts w:eastAsia="Malgun Gothic"/>
          <w:b/>
          <w:bCs/>
          <w:iCs/>
          <w:caps/>
          <w:color w:val="000000" w:themeColor="text1"/>
          <w:kern w:val="22"/>
          <w:szCs w:val="22"/>
          <w:lang w:eastAsia="x-none"/>
        </w:rPr>
        <w:t>2019-2020</w:t>
      </w:r>
      <w:r>
        <w:rPr>
          <w:rFonts w:eastAsia="Malgun Gothic"/>
          <w:b/>
          <w:bCs/>
          <w:iCs/>
          <w:caps/>
          <w:color w:val="000000" w:themeColor="text1"/>
          <w:kern w:val="22"/>
          <w:szCs w:val="22"/>
          <w:lang w:eastAsia="x-none"/>
        </w:rPr>
        <w:t xml:space="preserve"> ГОДОВ</w:t>
      </w:r>
    </w:p>
    <w:p w:rsidR="00227174" w:rsidRPr="00976A5E" w:rsidRDefault="00227174" w:rsidP="00BE2F90">
      <w:pPr>
        <w:pStyle w:val="ListParagraph"/>
        <w:numPr>
          <w:ilvl w:val="0"/>
          <w:numId w:val="14"/>
        </w:numPr>
        <w:tabs>
          <w:tab w:val="left" w:pos="426"/>
        </w:tabs>
        <w:spacing w:before="120" w:after="120"/>
        <w:ind w:left="0" w:firstLine="0"/>
        <w:contextualSpacing w:val="0"/>
        <w:jc w:val="center"/>
        <w:rPr>
          <w:rFonts w:eastAsia="Malgun Gothic"/>
          <w:b/>
          <w:color w:val="000000" w:themeColor="text1"/>
          <w:kern w:val="22"/>
          <w:szCs w:val="22"/>
        </w:rPr>
      </w:pPr>
      <w:r w:rsidRPr="00976A5E">
        <w:rPr>
          <w:b/>
          <w:color w:val="000000" w:themeColor="text1"/>
        </w:rPr>
        <w:t>Поступления</w:t>
      </w:r>
    </w:p>
    <w:p w:rsidR="00227174" w:rsidRPr="000322A9" w:rsidRDefault="00227174" w:rsidP="009E71AA">
      <w:pPr>
        <w:pStyle w:val="ListParagraph"/>
        <w:numPr>
          <w:ilvl w:val="0"/>
          <w:numId w:val="5"/>
        </w:numPr>
        <w:spacing w:before="120" w:after="120"/>
        <w:ind w:left="0" w:firstLine="0"/>
        <w:contextualSpacing w:val="0"/>
        <w:rPr>
          <w:iCs/>
          <w:kern w:val="22"/>
        </w:rPr>
      </w:pPr>
      <w:r>
        <w:t>В решении 14/37 Конференция Сторон и соответствующие совещания Сторон протоколов утвердили комплексный основной бюджет в размере 18 949 000 долл. США на 2019</w:t>
      </w:r>
      <w:r w:rsidR="00E375A4">
        <w:t xml:space="preserve"> год и 19 895 100 </w:t>
      </w:r>
      <w:r w:rsidR="00711209">
        <w:t xml:space="preserve">долл. США </w:t>
      </w:r>
      <w:r w:rsidR="00E375A4">
        <w:t xml:space="preserve">на 2020 год. </w:t>
      </w:r>
      <w:r>
        <w:t>После вычета сэкономленных в прошлые периоды средств и взноса принимающей страны общая сумма начисленных взносов за 2019 и 2020 годы составила 32 984 700 долл.</w:t>
      </w:r>
      <w:r w:rsidR="00E81BF3">
        <w:t xml:space="preserve"> США. Начисленные взносы новых С</w:t>
      </w:r>
      <w:r>
        <w:t xml:space="preserve">торон протоколов в 2019 и 2020 годах (15 стран ратифицировали Нагойский протокол, и </w:t>
      </w:r>
      <w:r w:rsidR="007A159A" w:rsidRPr="007A159A">
        <w:t>1</w:t>
      </w:r>
      <w:r w:rsidR="007A159A">
        <w:t xml:space="preserve"> страна стала </w:t>
      </w:r>
      <w:r w:rsidR="007A159A">
        <w:rPr>
          <w:lang w:val="es-ES"/>
        </w:rPr>
        <w:t>C</w:t>
      </w:r>
      <w:r>
        <w:t>тороной Картахенского протокола) составляют 90 200 долл. США. Таким образом, общая сумма начисленных взносов составляет 33 074 900</w:t>
      </w:r>
      <w:r w:rsidR="00AB25C4" w:rsidRPr="00AB25C4">
        <w:t xml:space="preserve"> </w:t>
      </w:r>
      <w:r w:rsidR="00AB25C4">
        <w:t>долл. США</w:t>
      </w:r>
      <w:r>
        <w:t xml:space="preserve">, в том числе 16 045 000 </w:t>
      </w:r>
      <w:r w:rsidR="00AB25C4">
        <w:t xml:space="preserve">долл. США </w:t>
      </w:r>
      <w:r>
        <w:t xml:space="preserve">на 2019 год и 17 029 900 </w:t>
      </w:r>
      <w:r w:rsidR="00AB25C4">
        <w:t xml:space="preserve">долл. США </w:t>
      </w:r>
      <w:r>
        <w:t xml:space="preserve">на </w:t>
      </w:r>
      <w:r>
        <w:lastRenderedPageBreak/>
        <w:t xml:space="preserve">2020 год. </w:t>
      </w:r>
      <w:r w:rsidR="00A00708">
        <w:t xml:space="preserve">За </w:t>
      </w:r>
      <w:r>
        <w:t>двухлетн</w:t>
      </w:r>
      <w:r w:rsidR="00A00708">
        <w:t>ий период</w:t>
      </w:r>
      <w:r>
        <w:t xml:space="preserve"> 2019-2020 годов по состоянию на </w:t>
      </w:r>
      <w:r w:rsidR="00AB25C4" w:rsidRPr="00AB25C4">
        <w:t xml:space="preserve">31 </w:t>
      </w:r>
      <w:r w:rsidR="00AB25C4">
        <w:t>августа 2020 года</w:t>
      </w:r>
      <w:r>
        <w:t xml:space="preserve"> </w:t>
      </w:r>
      <w:r w:rsidR="00394561">
        <w:t xml:space="preserve">секретариат </w:t>
      </w:r>
      <w:r>
        <w:t>получил взносы на общую сумму 23 654 300 долл. США.</w:t>
      </w:r>
    </w:p>
    <w:p w:rsidR="00227174" w:rsidRPr="000322A9" w:rsidRDefault="00AB25C4" w:rsidP="009E71AA">
      <w:pPr>
        <w:pStyle w:val="ListParagraph"/>
        <w:numPr>
          <w:ilvl w:val="0"/>
          <w:numId w:val="5"/>
        </w:numPr>
        <w:spacing w:before="120" w:after="120"/>
        <w:ind w:left="0" w:firstLine="0"/>
        <w:contextualSpacing w:val="0"/>
        <w:rPr>
          <w:iCs/>
          <w:kern w:val="22"/>
        </w:rPr>
      </w:pPr>
      <w:r>
        <w:t>На сегодняшний день п</w:t>
      </w:r>
      <w:r w:rsidR="00227174">
        <w:t xml:space="preserve">оказатели поступления взносов за 2019 год и 2020 год составляют соответственно 89,79% и 54,31%, таким образом, общие показатели поступления взносов за двухлетний период на сегодняшний день достигают 71,52%. Платежи по начисленным взносам за 2020 год поступают медленнее, чем обычно, что, по всей вероятности, вызвано различными причинами, связанными с пандемией </w:t>
      </w:r>
      <w:r>
        <w:t>COVID </w:t>
      </w:r>
      <w:r w:rsidR="00227174">
        <w:t>19.</w:t>
      </w:r>
    </w:p>
    <w:bookmarkEnd w:id="1"/>
    <w:p w:rsidR="00C40093" w:rsidRPr="00C40093" w:rsidRDefault="00C40093" w:rsidP="00C40093">
      <w:pPr>
        <w:pStyle w:val="Style1"/>
        <w:suppressLineNumbers/>
        <w:tabs>
          <w:tab w:val="clear" w:pos="720"/>
        </w:tabs>
        <w:suppressAutoHyphens/>
        <w:spacing w:before="0" w:after="0"/>
        <w:jc w:val="left"/>
        <w:rPr>
          <w:i w:val="0"/>
          <w:kern w:val="22"/>
          <w:szCs w:val="22"/>
          <w:lang w:val="ru-RU"/>
        </w:rPr>
      </w:pPr>
      <w:r>
        <w:rPr>
          <w:i w:val="0"/>
          <w:color w:val="000000"/>
          <w:kern w:val="22"/>
          <w:szCs w:val="22"/>
          <w:lang w:val="ru-RU" w:eastAsia="en-CA"/>
        </w:rPr>
        <w:t>Таблица</w:t>
      </w:r>
      <w:r w:rsidRPr="00C40093">
        <w:rPr>
          <w:i w:val="0"/>
          <w:color w:val="000000"/>
          <w:kern w:val="22"/>
          <w:szCs w:val="22"/>
          <w:lang w:val="ru-RU" w:eastAsia="en-CA"/>
        </w:rPr>
        <w:t xml:space="preserve"> 1</w:t>
      </w:r>
      <w:r w:rsidRPr="00C40093">
        <w:rPr>
          <w:i w:val="0"/>
          <w:color w:val="000000"/>
          <w:kern w:val="22"/>
          <w:szCs w:val="22"/>
          <w:lang w:val="ru-RU" w:eastAsia="en-CA"/>
        </w:rPr>
        <w:br/>
        <w:t>Общее положение дел с начисленными взносами за двухлетний период 2019-2020 гг</w:t>
      </w:r>
      <w:r>
        <w:rPr>
          <w:i w:val="0"/>
          <w:color w:val="000000"/>
          <w:kern w:val="22"/>
          <w:szCs w:val="22"/>
          <w:lang w:val="ru-RU" w:eastAsia="en-CA"/>
        </w:rPr>
        <w:t>.</w:t>
      </w:r>
    </w:p>
    <w:p w:rsidR="00C40093" w:rsidRPr="00394561" w:rsidRDefault="00C40093" w:rsidP="00C40093">
      <w:pPr>
        <w:pStyle w:val="Style1"/>
        <w:suppressLineNumbers/>
        <w:tabs>
          <w:tab w:val="clear" w:pos="720"/>
        </w:tabs>
        <w:suppressAutoHyphens/>
        <w:spacing w:before="0"/>
        <w:jc w:val="left"/>
        <w:rPr>
          <w:b w:val="0"/>
          <w:bCs w:val="0"/>
          <w:color w:val="000000"/>
          <w:kern w:val="22"/>
          <w:szCs w:val="22"/>
          <w:lang w:val="ru-RU" w:eastAsia="en-CA"/>
        </w:rPr>
      </w:pPr>
      <w:r w:rsidRPr="00394561">
        <w:rPr>
          <w:b w:val="0"/>
          <w:bCs w:val="0"/>
          <w:color w:val="000000"/>
          <w:kern w:val="22"/>
          <w:szCs w:val="22"/>
          <w:lang w:val="ru-RU" w:eastAsia="en-CA"/>
        </w:rPr>
        <w:t>(</w:t>
      </w:r>
      <w:r w:rsidR="00394561">
        <w:rPr>
          <w:b w:val="0"/>
          <w:bCs w:val="0"/>
          <w:color w:val="000000"/>
          <w:kern w:val="22"/>
          <w:szCs w:val="22"/>
          <w:lang w:val="ru-RU" w:eastAsia="en-CA"/>
        </w:rPr>
        <w:t>в тыс. долл. США</w:t>
      </w:r>
      <w:r w:rsidRPr="00394561">
        <w:rPr>
          <w:b w:val="0"/>
          <w:bCs w:val="0"/>
          <w:color w:val="000000"/>
          <w:kern w:val="22"/>
          <w:szCs w:val="22"/>
          <w:lang w:val="ru-RU" w:eastAsia="en-CA"/>
        </w:rPr>
        <w:t>)</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221A9E" w:rsidRPr="00A51A90" w:rsidTr="00635A81">
        <w:trPr>
          <w:trHeight w:val="330"/>
          <w:jc w:val="center"/>
        </w:trPr>
        <w:tc>
          <w:tcPr>
            <w:tcW w:w="5193" w:type="dxa"/>
            <w:shd w:val="clear" w:color="auto" w:fill="auto"/>
            <w:vAlign w:val="center"/>
            <w:hideMark/>
          </w:tcPr>
          <w:p w:rsidR="00221A9E" w:rsidRPr="00A00708" w:rsidRDefault="0016328C" w:rsidP="00A00708">
            <w:pPr>
              <w:jc w:val="center"/>
              <w:rPr>
                <w:rFonts w:ascii="Calibri" w:hAnsi="Calibri" w:cs="Calibri"/>
                <w:color w:val="000000"/>
                <w:kern w:val="22"/>
                <w:szCs w:val="22"/>
                <w:lang w:eastAsia="en-CA"/>
              </w:rPr>
            </w:pPr>
            <w:r w:rsidRPr="00A00708">
              <w:rPr>
                <w:i/>
                <w:color w:val="000000"/>
                <w:szCs w:val="22"/>
              </w:rPr>
              <w:t>Источник финансирования</w:t>
            </w:r>
          </w:p>
        </w:tc>
        <w:tc>
          <w:tcPr>
            <w:tcW w:w="4180" w:type="dxa"/>
            <w:shd w:val="clear" w:color="auto" w:fill="auto"/>
            <w:vAlign w:val="center"/>
            <w:hideMark/>
          </w:tcPr>
          <w:p w:rsidR="00221A9E" w:rsidRPr="00A00708" w:rsidRDefault="00A51A90" w:rsidP="00A00708">
            <w:pPr>
              <w:jc w:val="center"/>
              <w:rPr>
                <w:i/>
                <w:iCs/>
                <w:color w:val="000000"/>
                <w:kern w:val="22"/>
                <w:szCs w:val="22"/>
                <w:lang w:eastAsia="en-CA"/>
              </w:rPr>
            </w:pPr>
            <w:r w:rsidRPr="00A00708">
              <w:rPr>
                <w:i/>
                <w:color w:val="000000"/>
                <w:szCs w:val="22"/>
              </w:rPr>
              <w:t>Средства</w:t>
            </w:r>
          </w:p>
        </w:tc>
      </w:tr>
      <w:tr w:rsidR="00A51A90" w:rsidRPr="000322A9" w:rsidTr="00635A81">
        <w:trPr>
          <w:cantSplit/>
          <w:trHeight w:val="330"/>
          <w:jc w:val="center"/>
        </w:trPr>
        <w:tc>
          <w:tcPr>
            <w:tcW w:w="5193" w:type="dxa"/>
            <w:shd w:val="clear" w:color="auto" w:fill="auto"/>
            <w:vAlign w:val="center"/>
            <w:hideMark/>
          </w:tcPr>
          <w:p w:rsidR="00A51A90" w:rsidRPr="00A00708" w:rsidRDefault="00A51A90" w:rsidP="00A51A90">
            <w:pPr>
              <w:rPr>
                <w:color w:val="000000"/>
                <w:kern w:val="22"/>
                <w:szCs w:val="22"/>
              </w:rPr>
            </w:pPr>
            <w:r w:rsidRPr="00A00708">
              <w:rPr>
                <w:color w:val="000000"/>
                <w:szCs w:val="22"/>
              </w:rPr>
              <w:t>Утвержденный бюджет</w:t>
            </w:r>
          </w:p>
        </w:tc>
        <w:tc>
          <w:tcPr>
            <w:tcW w:w="4180" w:type="dxa"/>
            <w:shd w:val="clear" w:color="auto" w:fill="auto"/>
            <w:vAlign w:val="center"/>
            <w:hideMark/>
          </w:tcPr>
          <w:p w:rsidR="00A51A90" w:rsidRPr="00A00708" w:rsidRDefault="00A51A90" w:rsidP="00A51A90">
            <w:pPr>
              <w:jc w:val="center"/>
              <w:rPr>
                <w:color w:val="000000"/>
                <w:kern w:val="22"/>
                <w:szCs w:val="22"/>
                <w:lang w:eastAsia="en-CA"/>
              </w:rPr>
            </w:pPr>
            <w:r w:rsidRPr="00A00708">
              <w:rPr>
                <w:color w:val="000000"/>
                <w:kern w:val="22"/>
                <w:szCs w:val="22"/>
                <w:lang w:eastAsia="en-CA"/>
              </w:rPr>
              <w:t xml:space="preserve">38 844,1 </w:t>
            </w:r>
          </w:p>
        </w:tc>
      </w:tr>
      <w:tr w:rsidR="00A51A90" w:rsidRPr="000322A9" w:rsidTr="00635A81">
        <w:trPr>
          <w:cantSplit/>
          <w:trHeight w:val="315"/>
          <w:jc w:val="center"/>
        </w:trPr>
        <w:tc>
          <w:tcPr>
            <w:tcW w:w="5193" w:type="dxa"/>
            <w:shd w:val="clear" w:color="auto" w:fill="auto"/>
            <w:vAlign w:val="center"/>
            <w:hideMark/>
          </w:tcPr>
          <w:p w:rsidR="00A51A90" w:rsidRPr="00A00708" w:rsidRDefault="00A51A90" w:rsidP="00A51A90">
            <w:pPr>
              <w:rPr>
                <w:color w:val="000000"/>
                <w:kern w:val="22"/>
                <w:szCs w:val="22"/>
              </w:rPr>
            </w:pPr>
            <w:r w:rsidRPr="00A00708">
              <w:rPr>
                <w:color w:val="000000"/>
                <w:szCs w:val="22"/>
              </w:rPr>
              <w:t>Принимающая страна</w:t>
            </w:r>
          </w:p>
        </w:tc>
        <w:tc>
          <w:tcPr>
            <w:tcW w:w="4180" w:type="dxa"/>
            <w:shd w:val="clear" w:color="auto" w:fill="auto"/>
            <w:vAlign w:val="center"/>
            <w:hideMark/>
          </w:tcPr>
          <w:p w:rsidR="00A51A90" w:rsidRPr="00A00708" w:rsidRDefault="00A51A90" w:rsidP="00A51A90">
            <w:pPr>
              <w:jc w:val="center"/>
              <w:rPr>
                <w:color w:val="000000"/>
                <w:kern w:val="22"/>
                <w:szCs w:val="22"/>
                <w:lang w:eastAsia="en-CA"/>
              </w:rPr>
            </w:pPr>
            <w:r w:rsidRPr="00A00708">
              <w:rPr>
                <w:color w:val="000000"/>
                <w:kern w:val="22"/>
                <w:szCs w:val="22"/>
                <w:lang w:eastAsia="en-CA"/>
              </w:rPr>
              <w:t xml:space="preserve">-2 652,8 </w:t>
            </w:r>
          </w:p>
        </w:tc>
      </w:tr>
      <w:tr w:rsidR="00A51A90" w:rsidRPr="000322A9" w:rsidTr="00635A81">
        <w:trPr>
          <w:cantSplit/>
          <w:trHeight w:val="315"/>
          <w:jc w:val="center"/>
        </w:trPr>
        <w:tc>
          <w:tcPr>
            <w:tcW w:w="5193" w:type="dxa"/>
            <w:shd w:val="clear" w:color="auto" w:fill="auto"/>
            <w:vAlign w:val="center"/>
            <w:hideMark/>
          </w:tcPr>
          <w:p w:rsidR="00A51A90" w:rsidRPr="00A00708" w:rsidRDefault="00A51A90" w:rsidP="00A51A90">
            <w:pPr>
              <w:rPr>
                <w:color w:val="000000"/>
                <w:kern w:val="22"/>
                <w:szCs w:val="22"/>
              </w:rPr>
            </w:pPr>
            <w:r w:rsidRPr="00A00708">
              <w:rPr>
                <w:color w:val="000000"/>
                <w:szCs w:val="22"/>
              </w:rPr>
              <w:t>Средства, сэкономленные в прошлом году</w:t>
            </w:r>
          </w:p>
        </w:tc>
        <w:tc>
          <w:tcPr>
            <w:tcW w:w="4180" w:type="dxa"/>
            <w:shd w:val="clear" w:color="auto" w:fill="auto"/>
            <w:vAlign w:val="center"/>
            <w:hideMark/>
          </w:tcPr>
          <w:p w:rsidR="00A51A90" w:rsidRPr="00A00708" w:rsidRDefault="00A51A90" w:rsidP="00A51A90">
            <w:pPr>
              <w:jc w:val="center"/>
              <w:rPr>
                <w:color w:val="000000"/>
                <w:kern w:val="22"/>
                <w:szCs w:val="22"/>
                <w:lang w:eastAsia="en-CA"/>
              </w:rPr>
            </w:pPr>
            <w:r w:rsidRPr="00A00708">
              <w:rPr>
                <w:color w:val="000000"/>
                <w:kern w:val="22"/>
                <w:szCs w:val="22"/>
                <w:lang w:eastAsia="en-CA"/>
              </w:rPr>
              <w:t xml:space="preserve">-3 206,6 </w:t>
            </w:r>
          </w:p>
        </w:tc>
      </w:tr>
      <w:tr w:rsidR="00A51A90" w:rsidRPr="000322A9" w:rsidTr="00635A81">
        <w:trPr>
          <w:cantSplit/>
          <w:trHeight w:val="330"/>
          <w:jc w:val="center"/>
        </w:trPr>
        <w:tc>
          <w:tcPr>
            <w:tcW w:w="5193" w:type="dxa"/>
            <w:shd w:val="clear" w:color="auto" w:fill="auto"/>
            <w:vAlign w:val="center"/>
            <w:hideMark/>
          </w:tcPr>
          <w:p w:rsidR="00A51A90" w:rsidRPr="00A00708" w:rsidRDefault="00A51A90" w:rsidP="00A51A90">
            <w:pPr>
              <w:rPr>
                <w:color w:val="000000"/>
                <w:kern w:val="22"/>
                <w:szCs w:val="22"/>
              </w:rPr>
            </w:pPr>
            <w:r w:rsidRPr="00A00708">
              <w:rPr>
                <w:color w:val="000000"/>
                <w:szCs w:val="22"/>
              </w:rPr>
              <w:t>Новые Стороны Конвенции</w:t>
            </w:r>
          </w:p>
        </w:tc>
        <w:tc>
          <w:tcPr>
            <w:tcW w:w="4180" w:type="dxa"/>
            <w:shd w:val="clear" w:color="auto" w:fill="auto"/>
            <w:vAlign w:val="center"/>
            <w:hideMark/>
          </w:tcPr>
          <w:p w:rsidR="00A51A90" w:rsidRPr="00A00708" w:rsidRDefault="00A51A90" w:rsidP="00A51A90">
            <w:pPr>
              <w:jc w:val="center"/>
              <w:rPr>
                <w:color w:val="000000"/>
                <w:kern w:val="22"/>
                <w:szCs w:val="22"/>
                <w:lang w:eastAsia="en-CA"/>
              </w:rPr>
            </w:pPr>
            <w:r w:rsidRPr="00A00708">
              <w:rPr>
                <w:color w:val="000000"/>
                <w:kern w:val="22"/>
                <w:szCs w:val="22"/>
                <w:lang w:eastAsia="en-CA"/>
              </w:rPr>
              <w:t xml:space="preserve">90,2 </w:t>
            </w:r>
          </w:p>
        </w:tc>
      </w:tr>
      <w:tr w:rsidR="00A51A90" w:rsidRPr="000322A9" w:rsidTr="00635A81">
        <w:trPr>
          <w:cantSplit/>
          <w:trHeight w:val="330"/>
          <w:jc w:val="center"/>
        </w:trPr>
        <w:tc>
          <w:tcPr>
            <w:tcW w:w="5193" w:type="dxa"/>
            <w:shd w:val="clear" w:color="auto" w:fill="auto"/>
            <w:vAlign w:val="center"/>
            <w:hideMark/>
          </w:tcPr>
          <w:p w:rsidR="00A51A90" w:rsidRPr="00A00708" w:rsidRDefault="00A51A90" w:rsidP="00A51A90">
            <w:pPr>
              <w:rPr>
                <w:b/>
                <w:bCs/>
                <w:color w:val="000000"/>
                <w:kern w:val="22"/>
                <w:szCs w:val="22"/>
              </w:rPr>
            </w:pPr>
            <w:r w:rsidRPr="00A00708">
              <w:rPr>
                <w:b/>
                <w:color w:val="000000"/>
                <w:szCs w:val="22"/>
              </w:rPr>
              <w:t>Итого начисленные взносы</w:t>
            </w:r>
          </w:p>
        </w:tc>
        <w:tc>
          <w:tcPr>
            <w:tcW w:w="4180" w:type="dxa"/>
            <w:shd w:val="clear" w:color="auto" w:fill="auto"/>
            <w:vAlign w:val="center"/>
            <w:hideMark/>
          </w:tcPr>
          <w:p w:rsidR="00A51A90" w:rsidRPr="00A00708" w:rsidRDefault="00A51A90" w:rsidP="00A51A90">
            <w:pPr>
              <w:jc w:val="center"/>
              <w:rPr>
                <w:b/>
                <w:bCs/>
                <w:color w:val="000000"/>
                <w:kern w:val="22"/>
                <w:szCs w:val="22"/>
                <w:lang w:eastAsia="en-CA"/>
              </w:rPr>
            </w:pPr>
            <w:r w:rsidRPr="00A00708">
              <w:rPr>
                <w:b/>
                <w:bCs/>
                <w:color w:val="000000"/>
                <w:kern w:val="22"/>
                <w:szCs w:val="22"/>
                <w:lang w:eastAsia="en-CA"/>
              </w:rPr>
              <w:t>33 074,9</w:t>
            </w:r>
          </w:p>
        </w:tc>
      </w:tr>
      <w:tr w:rsidR="00A51A90" w:rsidRPr="000322A9" w:rsidTr="00635A81">
        <w:trPr>
          <w:cantSplit/>
          <w:trHeight w:val="330"/>
          <w:jc w:val="center"/>
        </w:trPr>
        <w:tc>
          <w:tcPr>
            <w:tcW w:w="5193" w:type="dxa"/>
            <w:shd w:val="clear" w:color="auto" w:fill="auto"/>
            <w:vAlign w:val="center"/>
            <w:hideMark/>
          </w:tcPr>
          <w:p w:rsidR="00A51A90" w:rsidRPr="00A00708" w:rsidRDefault="00A51A90" w:rsidP="00394561">
            <w:pPr>
              <w:rPr>
                <w:color w:val="000000"/>
                <w:kern w:val="22"/>
                <w:szCs w:val="22"/>
              </w:rPr>
            </w:pPr>
            <w:r w:rsidRPr="00A00708">
              <w:rPr>
                <w:color w:val="000000"/>
                <w:szCs w:val="22"/>
              </w:rPr>
              <w:t xml:space="preserve">Сумма, полученная на </w:t>
            </w:r>
            <w:r w:rsidR="00394561" w:rsidRPr="00A00708">
              <w:rPr>
                <w:color w:val="000000"/>
                <w:szCs w:val="22"/>
              </w:rPr>
              <w:t>31</w:t>
            </w:r>
            <w:r w:rsidRPr="00A00708">
              <w:rPr>
                <w:color w:val="000000"/>
                <w:szCs w:val="22"/>
              </w:rPr>
              <w:t xml:space="preserve"> </w:t>
            </w:r>
            <w:r w:rsidR="00394561" w:rsidRPr="00A00708">
              <w:rPr>
                <w:color w:val="000000"/>
                <w:szCs w:val="22"/>
              </w:rPr>
              <w:t>августа</w:t>
            </w:r>
            <w:r w:rsidRPr="00A00708">
              <w:rPr>
                <w:color w:val="000000"/>
                <w:szCs w:val="22"/>
              </w:rPr>
              <w:t xml:space="preserve"> 2020 г.</w:t>
            </w:r>
          </w:p>
        </w:tc>
        <w:tc>
          <w:tcPr>
            <w:tcW w:w="4180" w:type="dxa"/>
            <w:shd w:val="clear" w:color="auto" w:fill="auto"/>
            <w:vAlign w:val="center"/>
            <w:hideMark/>
          </w:tcPr>
          <w:p w:rsidR="00A51A90" w:rsidRPr="00A00708" w:rsidRDefault="00A51A90" w:rsidP="00A51A90">
            <w:pPr>
              <w:jc w:val="center"/>
              <w:rPr>
                <w:color w:val="000000"/>
                <w:kern w:val="22"/>
                <w:szCs w:val="22"/>
                <w:lang w:eastAsia="en-CA"/>
              </w:rPr>
            </w:pPr>
            <w:r w:rsidRPr="00A00708">
              <w:rPr>
                <w:color w:val="000000"/>
                <w:kern w:val="22"/>
                <w:szCs w:val="22"/>
                <w:lang w:eastAsia="en-CA"/>
              </w:rPr>
              <w:t>23 654,3</w:t>
            </w:r>
          </w:p>
        </w:tc>
      </w:tr>
      <w:tr w:rsidR="00A51A90" w:rsidRPr="000322A9" w:rsidTr="00635A81">
        <w:trPr>
          <w:cantSplit/>
          <w:trHeight w:val="330"/>
          <w:jc w:val="center"/>
        </w:trPr>
        <w:tc>
          <w:tcPr>
            <w:tcW w:w="5193" w:type="dxa"/>
            <w:shd w:val="clear" w:color="auto" w:fill="auto"/>
            <w:vAlign w:val="center"/>
            <w:hideMark/>
          </w:tcPr>
          <w:p w:rsidR="00A51A90" w:rsidRPr="00A00708" w:rsidRDefault="00A51A90" w:rsidP="00A51A90">
            <w:pPr>
              <w:rPr>
                <w:b/>
                <w:bCs/>
                <w:color w:val="000000"/>
                <w:kern w:val="22"/>
                <w:szCs w:val="22"/>
              </w:rPr>
            </w:pPr>
            <w:r w:rsidRPr="00A00708">
              <w:rPr>
                <w:b/>
                <w:color w:val="000000"/>
                <w:szCs w:val="22"/>
              </w:rPr>
              <w:t>Невыплаченный остаток</w:t>
            </w:r>
          </w:p>
        </w:tc>
        <w:tc>
          <w:tcPr>
            <w:tcW w:w="4180" w:type="dxa"/>
            <w:shd w:val="clear" w:color="auto" w:fill="auto"/>
            <w:vAlign w:val="center"/>
            <w:hideMark/>
          </w:tcPr>
          <w:p w:rsidR="00A51A90" w:rsidRPr="00A00708" w:rsidRDefault="00A51A90" w:rsidP="00A51A90">
            <w:pPr>
              <w:jc w:val="center"/>
              <w:rPr>
                <w:b/>
                <w:bCs/>
                <w:color w:val="000000"/>
                <w:kern w:val="22"/>
                <w:szCs w:val="22"/>
                <w:lang w:eastAsia="en-CA"/>
              </w:rPr>
            </w:pPr>
            <w:r w:rsidRPr="00A00708">
              <w:rPr>
                <w:b/>
                <w:bCs/>
                <w:color w:val="000000"/>
                <w:kern w:val="22"/>
                <w:szCs w:val="22"/>
                <w:lang w:eastAsia="en-CA"/>
              </w:rPr>
              <w:t>9 420,6</w:t>
            </w:r>
          </w:p>
        </w:tc>
      </w:tr>
      <w:tr w:rsidR="00A51A90" w:rsidRPr="000322A9" w:rsidTr="00635A81">
        <w:trPr>
          <w:cantSplit/>
          <w:trHeight w:val="330"/>
          <w:jc w:val="center"/>
        </w:trPr>
        <w:tc>
          <w:tcPr>
            <w:tcW w:w="5193" w:type="dxa"/>
            <w:shd w:val="clear" w:color="auto" w:fill="auto"/>
            <w:vAlign w:val="center"/>
            <w:hideMark/>
          </w:tcPr>
          <w:p w:rsidR="00A51A90" w:rsidRPr="00A00708" w:rsidRDefault="00A51A90" w:rsidP="00A51A90">
            <w:pPr>
              <w:rPr>
                <w:b/>
                <w:bCs/>
                <w:color w:val="000000"/>
                <w:kern w:val="22"/>
                <w:szCs w:val="22"/>
              </w:rPr>
            </w:pPr>
            <w:r w:rsidRPr="00A00708">
              <w:rPr>
                <w:b/>
                <w:color w:val="000000"/>
                <w:szCs w:val="22"/>
              </w:rPr>
              <w:t>Показатель поступления взносов</w:t>
            </w:r>
          </w:p>
        </w:tc>
        <w:tc>
          <w:tcPr>
            <w:tcW w:w="4180" w:type="dxa"/>
            <w:shd w:val="clear" w:color="auto" w:fill="auto"/>
            <w:vAlign w:val="center"/>
            <w:hideMark/>
          </w:tcPr>
          <w:p w:rsidR="00A51A90" w:rsidRPr="00A00708" w:rsidRDefault="00A51A90" w:rsidP="00A51A90">
            <w:pPr>
              <w:jc w:val="center"/>
              <w:rPr>
                <w:b/>
                <w:bCs/>
                <w:color w:val="000000"/>
                <w:kern w:val="22"/>
                <w:szCs w:val="22"/>
                <w:lang w:eastAsia="en-CA"/>
              </w:rPr>
            </w:pPr>
            <w:r w:rsidRPr="00A00708">
              <w:rPr>
                <w:b/>
                <w:bCs/>
                <w:color w:val="000000"/>
                <w:kern w:val="22"/>
                <w:szCs w:val="22"/>
                <w:lang w:eastAsia="en-CA"/>
              </w:rPr>
              <w:t>71,52%</w:t>
            </w:r>
          </w:p>
        </w:tc>
      </w:tr>
    </w:tbl>
    <w:p w:rsidR="00221A9E" w:rsidRPr="000322A9" w:rsidRDefault="00221A9E" w:rsidP="00A00708">
      <w:pPr>
        <w:pStyle w:val="ListParagraph"/>
        <w:ind w:left="0"/>
        <w:rPr>
          <w:color w:val="000000"/>
          <w:kern w:val="22"/>
          <w:szCs w:val="22"/>
          <w:lang w:eastAsia="en-CA"/>
        </w:rPr>
      </w:pPr>
    </w:p>
    <w:p w:rsidR="00394561" w:rsidRPr="00976A5E" w:rsidRDefault="00394561" w:rsidP="00A00708">
      <w:pPr>
        <w:pStyle w:val="ListParagraph"/>
        <w:numPr>
          <w:ilvl w:val="0"/>
          <w:numId w:val="14"/>
        </w:numPr>
        <w:spacing w:after="120"/>
        <w:ind w:left="0" w:firstLine="0"/>
        <w:contextualSpacing w:val="0"/>
        <w:jc w:val="center"/>
        <w:rPr>
          <w:rFonts w:eastAsia="Malgun Gothic"/>
          <w:b/>
          <w:color w:val="000000" w:themeColor="text1"/>
          <w:kern w:val="22"/>
          <w:szCs w:val="22"/>
        </w:rPr>
      </w:pPr>
      <w:r>
        <w:rPr>
          <w:b/>
          <w:color w:val="000000" w:themeColor="text1"/>
        </w:rPr>
        <w:t>Исполнение бюджета</w:t>
      </w:r>
    </w:p>
    <w:p w:rsidR="00CF5564" w:rsidRPr="00281F32" w:rsidRDefault="001C0B47" w:rsidP="001C0B47">
      <w:pPr>
        <w:pStyle w:val="ListParagraph"/>
        <w:numPr>
          <w:ilvl w:val="0"/>
          <w:numId w:val="5"/>
        </w:numPr>
        <w:spacing w:before="120" w:after="120"/>
        <w:ind w:left="0" w:firstLine="0"/>
        <w:contextualSpacing w:val="0"/>
        <w:rPr>
          <w:iCs/>
          <w:kern w:val="22"/>
        </w:rPr>
      </w:pPr>
      <w:r>
        <w:t>Как показано в т</w:t>
      </w:r>
      <w:r w:rsidR="00CF5564">
        <w:t>аблице 2 ниже (колонка 3), по прогнозам, к концу двухл</w:t>
      </w:r>
      <w:r w:rsidR="00937F35">
        <w:t>етнего периода 2019-2020 годов на</w:t>
      </w:r>
      <w:r w:rsidR="00CF5564">
        <w:t xml:space="preserve"> 31 декабря 2020 </w:t>
      </w:r>
      <w:r w:rsidR="00CF5564" w:rsidRPr="00281F32">
        <w:t xml:space="preserve">года будет потрачено в общей сложности 31 005 390 долл. США. Прогнозируемые расходы на период 2019-2020 годов не включают в себя расходы на проведение </w:t>
      </w:r>
      <w:r>
        <w:t>пятнадцатого совещания Конференции Сторон, девятого совещания Сторон</w:t>
      </w:r>
      <w:r w:rsidR="00CF5564" w:rsidRPr="00281F32">
        <w:t xml:space="preserve"> </w:t>
      </w:r>
      <w:r>
        <w:t xml:space="preserve">Картахенского протокола </w:t>
      </w:r>
      <w:r w:rsidR="00937F35">
        <w:t>ни</w:t>
      </w:r>
      <w:r>
        <w:t xml:space="preserve"> третьего совещания</w:t>
      </w:r>
      <w:r w:rsidR="00937F35">
        <w:t xml:space="preserve"> Сторон</w:t>
      </w:r>
      <w:r>
        <w:t xml:space="preserve"> Нагойского протокола</w:t>
      </w:r>
      <w:r w:rsidR="00CF5564" w:rsidRPr="00281F32">
        <w:t xml:space="preserve">, ни полный объем расходов на проведение </w:t>
      </w:r>
      <w:r>
        <w:t>двадцать четвертого совещания Вспомогательного органа по научным</w:t>
      </w:r>
      <w:r w:rsidR="00CF5564" w:rsidRPr="00281F32">
        <w:t>,</w:t>
      </w:r>
      <w:r>
        <w:t xml:space="preserve"> техническим и технологическим консультациям, третьего совещания Вспомогательного органа по осуществлению </w:t>
      </w:r>
      <w:r w:rsidR="00CF5564" w:rsidRPr="00281F32">
        <w:t xml:space="preserve">и третьего совещания </w:t>
      </w:r>
      <w:r>
        <w:t>Рабочей группы по</w:t>
      </w:r>
      <w:r w:rsidR="00595E92">
        <w:t xml:space="preserve"> подготовке</w:t>
      </w:r>
      <w:r>
        <w:t xml:space="preserve"> </w:t>
      </w:r>
      <w:r w:rsidRPr="001C0B47">
        <w:t>глобальной рамочной программ</w:t>
      </w:r>
      <w:r w:rsidR="00595E92">
        <w:t>ы</w:t>
      </w:r>
      <w:r w:rsidRPr="001C0B47">
        <w:t xml:space="preserve"> на период пос</w:t>
      </w:r>
      <w:r>
        <w:t>ле 2020 </w:t>
      </w:r>
      <w:r w:rsidRPr="001C0B47">
        <w:t>года</w:t>
      </w:r>
      <w:r w:rsidR="00CF5564" w:rsidRPr="00281F32">
        <w:t xml:space="preserve">, которые были перенесены на 2021 год в связи с ограничениями, обусловленными пандемией COVID-19. </w:t>
      </w:r>
    </w:p>
    <w:p w:rsidR="00CF5564" w:rsidRPr="000322A9" w:rsidRDefault="00937F35" w:rsidP="009E71AA">
      <w:pPr>
        <w:pStyle w:val="ListParagraph"/>
        <w:numPr>
          <w:ilvl w:val="0"/>
          <w:numId w:val="5"/>
        </w:numPr>
        <w:spacing w:before="120" w:after="120"/>
        <w:ind w:left="0" w:firstLine="0"/>
        <w:contextualSpacing w:val="0"/>
        <w:rPr>
          <w:iCs/>
          <w:kern w:val="22"/>
        </w:rPr>
      </w:pPr>
      <w:r>
        <w:t xml:space="preserve"> Кроме того, в т</w:t>
      </w:r>
      <w:r w:rsidR="00CF5564">
        <w:t>аблице 2 отражены прогнозируемые расходы на 2021 год, связанные с упомянутыми выше перенесенными совещаниями. К концу бюджетного периода 2019-2020 годов, который завершится (при условии утверждения</w:t>
      </w:r>
      <w:r w:rsidR="00D3190E">
        <w:t xml:space="preserve"> Конференцией Сторон и </w:t>
      </w:r>
      <w:r>
        <w:t>связанными с ней</w:t>
      </w:r>
      <w:r w:rsidR="00D3190E">
        <w:t xml:space="preserve"> совещаниями Сторон протоколов на </w:t>
      </w:r>
      <w:r>
        <w:t>этом</w:t>
      </w:r>
      <w:r w:rsidR="00CF5564">
        <w:t xml:space="preserve"> внеочередно</w:t>
      </w:r>
      <w:r w:rsidR="00D3190E">
        <w:t>м</w:t>
      </w:r>
      <w:r w:rsidR="00CF5564">
        <w:t xml:space="preserve"> </w:t>
      </w:r>
      <w:r w:rsidR="00D3190E">
        <w:t>совещании</w:t>
      </w:r>
      <w:r w:rsidR="00CF5564">
        <w:t xml:space="preserve">) 31 декабря 2021 года, совокупные сметные расходы составят 4 011 800 долл. США, следовательно, неизрасходованный остаток </w:t>
      </w:r>
      <w:r>
        <w:t xml:space="preserve">в конечном итоге </w:t>
      </w:r>
      <w:r w:rsidR="00CF5564">
        <w:t xml:space="preserve">составит 3 639 600 долл. США. </w:t>
      </w:r>
    </w:p>
    <w:p w:rsidR="00CF5564" w:rsidRPr="000322A9" w:rsidRDefault="00CF5564" w:rsidP="009E71AA">
      <w:pPr>
        <w:pStyle w:val="ListParagraph"/>
        <w:numPr>
          <w:ilvl w:val="0"/>
          <w:numId w:val="5"/>
        </w:numPr>
        <w:spacing w:before="120" w:after="120"/>
        <w:ind w:left="0" w:firstLine="0"/>
        <w:contextualSpacing w:val="0"/>
        <w:rPr>
          <w:iCs/>
          <w:kern w:val="22"/>
        </w:rPr>
      </w:pPr>
      <w:r>
        <w:t xml:space="preserve">Несмотря на то что совещания </w:t>
      </w:r>
      <w:r w:rsidR="00D3190E">
        <w:t>обоих вспомогательных органов</w:t>
      </w:r>
      <w:r>
        <w:t xml:space="preserve"> перенесены на более поздний срок, в 2020 году будет </w:t>
      </w:r>
      <w:r w:rsidR="00D3190E">
        <w:t>потрачено</w:t>
      </w:r>
      <w:r>
        <w:t xml:space="preserve"> </w:t>
      </w:r>
      <w:r w:rsidR="00D3190E">
        <w:t>приблизительно</w:t>
      </w:r>
      <w:r>
        <w:t xml:space="preserve"> 278 500 долл. США на виртуальную информацию, подготовку, региональ</w:t>
      </w:r>
      <w:r w:rsidR="00635A81">
        <w:t>ны</w:t>
      </w:r>
      <w:r w:rsidR="00937F35">
        <w:t>е</w:t>
      </w:r>
      <w:r w:rsidR="00635A81">
        <w:t xml:space="preserve"> групп</w:t>
      </w:r>
      <w:r w:rsidR="00937F35">
        <w:t>ы</w:t>
      </w:r>
      <w:r w:rsidR="00635A81">
        <w:t xml:space="preserve"> и вводные совещания. </w:t>
      </w:r>
      <w:r>
        <w:t>Поэтому для целей</w:t>
      </w:r>
      <w:r w:rsidR="00937F35">
        <w:t xml:space="preserve"> настоящего документа</w:t>
      </w:r>
      <w:r>
        <w:t xml:space="preserve"> эти расходы включены в сумму прогнозируемых расходов на 2020 год. Таким образом, ожидается, что бюджетные ассигнования на проведение совещаний в размере 3 688 000 долл. США, утвержденные </w:t>
      </w:r>
      <w:r w:rsidR="00D3190E">
        <w:t>Конференцией Сторон на ее четырнадцатом совещании</w:t>
      </w:r>
      <w:r>
        <w:t xml:space="preserve">, если </w:t>
      </w:r>
      <w:r>
        <w:lastRenderedPageBreak/>
        <w:t xml:space="preserve">их действие будет продлено на 2021 год, к концу 2021 года будут превышены на 278,500 долл. США, поскольку эти расходы не были предусмотрены в бюджете на 2019-2020 годы, утвержденном Конференцией Сторон на ее четырнадцатом совещании. Кроме того, </w:t>
      </w:r>
      <w:r w:rsidR="00D3190E">
        <w:t>поскольку</w:t>
      </w:r>
      <w:r>
        <w:t xml:space="preserve"> внеочередн</w:t>
      </w:r>
      <w:r w:rsidR="00D3190E">
        <w:t xml:space="preserve">ое совещание </w:t>
      </w:r>
      <w:r>
        <w:t>Конференци</w:t>
      </w:r>
      <w:r w:rsidR="00D3190E">
        <w:t>и</w:t>
      </w:r>
      <w:r>
        <w:t xml:space="preserve"> Сторон</w:t>
      </w:r>
      <w:r w:rsidR="00D3190E">
        <w:t xml:space="preserve"> будет проводиться в виртуальном режиме в ноябре 2020 года</w:t>
      </w:r>
      <w:r>
        <w:t>, могут возникнуть дополнительные расходы, которые будут отнесены на счет бюджета, выделенного на проведение совещаний.</w:t>
      </w:r>
    </w:p>
    <w:p w:rsidR="00616DB7" w:rsidRDefault="00B910C8" w:rsidP="00616DB7">
      <w:pPr>
        <w:pStyle w:val="ListParagraph"/>
        <w:spacing w:before="120" w:after="120"/>
        <w:ind w:left="0"/>
        <w:rPr>
          <w:b/>
          <w:snapToGrid w:val="0"/>
        </w:rPr>
      </w:pPr>
      <w:r>
        <w:rPr>
          <w:b/>
          <w:snapToGrid w:val="0"/>
        </w:rPr>
        <w:t>Таблица 2</w:t>
      </w:r>
    </w:p>
    <w:p w:rsidR="00616DB7" w:rsidRDefault="00635A81" w:rsidP="00616DB7">
      <w:pPr>
        <w:pStyle w:val="ListParagraph"/>
        <w:spacing w:before="120" w:after="120"/>
        <w:ind w:left="0"/>
        <w:rPr>
          <w:b/>
          <w:iCs/>
          <w:snapToGrid w:val="0"/>
          <w:kern w:val="22"/>
          <w:szCs w:val="22"/>
        </w:rPr>
      </w:pPr>
      <w:r>
        <w:rPr>
          <w:b/>
          <w:snapToGrid w:val="0"/>
        </w:rPr>
        <w:t>Прогнозируемые расходы по статьям расхода в отношении к утвержденному комплексному бюджету на 2019-2020 гг</w:t>
      </w:r>
      <w:r w:rsidR="00221A9E" w:rsidRPr="00635A81">
        <w:rPr>
          <w:b/>
          <w:iCs/>
          <w:snapToGrid w:val="0"/>
          <w:kern w:val="22"/>
          <w:szCs w:val="22"/>
        </w:rPr>
        <w:t>.</w:t>
      </w:r>
      <w:r w:rsidR="00616DB7">
        <w:rPr>
          <w:b/>
          <w:iCs/>
          <w:snapToGrid w:val="0"/>
          <w:kern w:val="22"/>
          <w:szCs w:val="22"/>
        </w:rPr>
        <w:t xml:space="preserve"> </w:t>
      </w:r>
    </w:p>
    <w:p w:rsidR="00221A9E" w:rsidRPr="00616DB7" w:rsidRDefault="00616DB7" w:rsidP="00221A9E">
      <w:pPr>
        <w:pStyle w:val="ListParagraph"/>
        <w:spacing w:before="120" w:after="120"/>
        <w:ind w:left="0"/>
        <w:rPr>
          <w:i/>
          <w:iCs/>
          <w:snapToGrid w:val="0"/>
          <w:kern w:val="22"/>
          <w:szCs w:val="22"/>
        </w:rPr>
      </w:pPr>
      <w:r w:rsidRPr="00616DB7">
        <w:rPr>
          <w:i/>
          <w:iCs/>
          <w:snapToGrid w:val="0"/>
          <w:kern w:val="22"/>
          <w:szCs w:val="22"/>
        </w:rPr>
        <w:t>(в тыс. долл. США)</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1"/>
        <w:gridCol w:w="1312"/>
        <w:gridCol w:w="1312"/>
        <w:gridCol w:w="1203"/>
        <w:gridCol w:w="1203"/>
      </w:tblGrid>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4545A4">
            <w:pPr>
              <w:jc w:val="center"/>
              <w:rPr>
                <w:rFonts w:cs="Times New Roman"/>
                <w:bCs/>
                <w:i/>
                <w:color w:val="000000" w:themeColor="text1"/>
                <w:kern w:val="22"/>
                <w:sz w:val="20"/>
                <w:szCs w:val="20"/>
              </w:rPr>
            </w:pPr>
            <w:r w:rsidRPr="00F20BC0">
              <w:rPr>
                <w:rFonts w:cs="Times New Roman"/>
                <w:i/>
                <w:color w:val="000000" w:themeColor="text1"/>
                <w:sz w:val="20"/>
                <w:szCs w:val="20"/>
              </w:rPr>
              <w:t>Статья расходов</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rsidR="00635A81" w:rsidRPr="00F20BC0" w:rsidRDefault="00635A81" w:rsidP="004545A4">
            <w:pPr>
              <w:jc w:val="center"/>
              <w:rPr>
                <w:rFonts w:cs="Times New Roman"/>
                <w:bCs/>
                <w:i/>
                <w:color w:val="000000" w:themeColor="text1"/>
                <w:kern w:val="22"/>
                <w:sz w:val="20"/>
                <w:szCs w:val="20"/>
              </w:rPr>
            </w:pPr>
            <w:r w:rsidRPr="00F20BC0">
              <w:rPr>
                <w:rFonts w:cs="Times New Roman"/>
                <w:i/>
                <w:color w:val="000000" w:themeColor="text1"/>
                <w:sz w:val="20"/>
                <w:szCs w:val="20"/>
              </w:rPr>
              <w:t>Общий объем утвержденного бюджета</w:t>
            </w:r>
          </w:p>
        </w:tc>
        <w:tc>
          <w:tcPr>
            <w:tcW w:w="1312" w:type="dxa"/>
            <w:tcBorders>
              <w:top w:val="single" w:sz="4" w:space="0" w:color="auto"/>
              <w:left w:val="single" w:sz="4" w:space="0" w:color="auto"/>
              <w:bottom w:val="nil"/>
              <w:right w:val="single" w:sz="4" w:space="0" w:color="auto"/>
            </w:tcBorders>
            <w:shd w:val="clear" w:color="auto" w:fill="auto"/>
            <w:vAlign w:val="center"/>
          </w:tcPr>
          <w:p w:rsidR="00635A81" w:rsidRPr="00F20BC0" w:rsidRDefault="00635A81" w:rsidP="004545A4">
            <w:pPr>
              <w:jc w:val="center"/>
              <w:rPr>
                <w:rFonts w:cs="Times New Roman"/>
                <w:bCs/>
                <w:i/>
                <w:color w:val="000000"/>
                <w:kern w:val="22"/>
                <w:sz w:val="20"/>
                <w:szCs w:val="20"/>
              </w:rPr>
            </w:pPr>
            <w:r w:rsidRPr="00F20BC0">
              <w:rPr>
                <w:rFonts w:cs="Times New Roman"/>
                <w:i/>
                <w:color w:val="000000"/>
                <w:sz w:val="20"/>
                <w:szCs w:val="20"/>
              </w:rPr>
              <w:t>Общий объем расходов (1 января 2019 года - 31 декабря 2020 года)</w:t>
            </w:r>
          </w:p>
        </w:tc>
        <w:tc>
          <w:tcPr>
            <w:tcW w:w="1203" w:type="dxa"/>
            <w:tcBorders>
              <w:top w:val="single" w:sz="4" w:space="0" w:color="auto"/>
              <w:left w:val="single" w:sz="4" w:space="0" w:color="auto"/>
              <w:bottom w:val="nil"/>
              <w:right w:val="single" w:sz="4" w:space="0" w:color="auto"/>
            </w:tcBorders>
            <w:shd w:val="clear" w:color="auto" w:fill="auto"/>
          </w:tcPr>
          <w:p w:rsidR="00635A81" w:rsidRPr="00F20BC0" w:rsidRDefault="00635A81" w:rsidP="004545A4">
            <w:pPr>
              <w:jc w:val="center"/>
              <w:rPr>
                <w:rFonts w:cs="Times New Roman"/>
                <w:bCs/>
                <w:i/>
                <w:color w:val="000000" w:themeColor="text1"/>
                <w:kern w:val="22"/>
                <w:sz w:val="20"/>
                <w:szCs w:val="20"/>
              </w:rPr>
            </w:pPr>
            <w:r w:rsidRPr="00F20BC0">
              <w:rPr>
                <w:rFonts w:cs="Times New Roman"/>
                <w:i/>
                <w:color w:val="000000" w:themeColor="text1"/>
                <w:sz w:val="20"/>
                <w:szCs w:val="20"/>
              </w:rPr>
              <w:t>Расходы из утвержденного бюджета, запланированные на 2021 год</w:t>
            </w:r>
          </w:p>
        </w:tc>
        <w:tc>
          <w:tcPr>
            <w:tcW w:w="1203" w:type="dxa"/>
            <w:tcBorders>
              <w:top w:val="single" w:sz="4" w:space="0" w:color="auto"/>
              <w:left w:val="single" w:sz="4" w:space="0" w:color="auto"/>
              <w:bottom w:val="nil"/>
              <w:right w:val="single" w:sz="4" w:space="0" w:color="auto"/>
            </w:tcBorders>
            <w:shd w:val="clear" w:color="auto" w:fill="auto"/>
            <w:vAlign w:val="center"/>
          </w:tcPr>
          <w:p w:rsidR="00635A81" w:rsidRPr="00F20BC0" w:rsidRDefault="00635A81" w:rsidP="004545A4">
            <w:pPr>
              <w:jc w:val="center"/>
              <w:rPr>
                <w:rFonts w:cs="Times New Roman"/>
                <w:bCs/>
                <w:i/>
                <w:color w:val="000000"/>
                <w:kern w:val="22"/>
                <w:sz w:val="20"/>
                <w:szCs w:val="20"/>
              </w:rPr>
            </w:pPr>
            <w:r w:rsidRPr="00F20BC0">
              <w:rPr>
                <w:rFonts w:cs="Times New Roman"/>
                <w:i/>
                <w:color w:val="000000"/>
                <w:sz w:val="20"/>
                <w:szCs w:val="20"/>
              </w:rPr>
              <w:t>Расхождение</w:t>
            </w:r>
          </w:p>
        </w:tc>
      </w:tr>
      <w:tr w:rsidR="00635A81" w:rsidRPr="00F20BC0"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635A81">
            <w:pPr>
              <w:rPr>
                <w:rFonts w:cs="Times New Roman"/>
                <w:bCs/>
                <w:i/>
                <w:color w:val="000000" w:themeColor="text1"/>
                <w:kern w:val="22"/>
                <w:sz w:val="20"/>
                <w:szCs w:val="20"/>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center"/>
              <w:rPr>
                <w:rFonts w:cs="Times New Roman"/>
                <w:bCs/>
                <w:i/>
                <w:color w:val="000000" w:themeColor="text1"/>
                <w:kern w:val="22"/>
                <w:sz w:val="20"/>
                <w:szCs w:val="20"/>
                <w:lang w:eastAsia="en-CA"/>
              </w:rPr>
            </w:pPr>
          </w:p>
        </w:tc>
        <w:tc>
          <w:tcPr>
            <w:tcW w:w="1312" w:type="dxa"/>
            <w:tcBorders>
              <w:top w:val="nil"/>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center"/>
              <w:rPr>
                <w:rFonts w:cs="Times New Roman"/>
                <w:bCs/>
                <w:i/>
                <w:color w:val="000000"/>
                <w:kern w:val="22"/>
                <w:sz w:val="20"/>
                <w:szCs w:val="20"/>
                <w:lang w:eastAsia="en-CA"/>
              </w:rPr>
            </w:pPr>
          </w:p>
        </w:tc>
        <w:tc>
          <w:tcPr>
            <w:tcW w:w="1203" w:type="dxa"/>
            <w:tcBorders>
              <w:top w:val="nil"/>
              <w:left w:val="single" w:sz="4" w:space="0" w:color="auto"/>
              <w:bottom w:val="single" w:sz="4" w:space="0" w:color="auto"/>
              <w:right w:val="single" w:sz="4" w:space="0" w:color="auto"/>
            </w:tcBorders>
            <w:shd w:val="clear" w:color="auto" w:fill="auto"/>
          </w:tcPr>
          <w:p w:rsidR="00635A81" w:rsidRPr="00F20BC0" w:rsidRDefault="00635A81" w:rsidP="00635A81">
            <w:pPr>
              <w:jc w:val="center"/>
              <w:rPr>
                <w:rFonts w:cs="Times New Roman"/>
                <w:bCs/>
                <w:i/>
                <w:color w:val="000000" w:themeColor="text1"/>
                <w:kern w:val="22"/>
                <w:sz w:val="20"/>
                <w:szCs w:val="20"/>
              </w:rPr>
            </w:pPr>
            <w:r w:rsidRPr="00F20BC0">
              <w:rPr>
                <w:rFonts w:cs="Times New Roman"/>
                <w:i/>
                <w:color w:val="000000" w:themeColor="text1"/>
                <w:sz w:val="20"/>
                <w:szCs w:val="20"/>
              </w:rPr>
              <w:t>(1 января 2021 года - 31 декабря 2021 года)</w:t>
            </w:r>
          </w:p>
        </w:tc>
        <w:tc>
          <w:tcPr>
            <w:tcW w:w="1203" w:type="dxa"/>
            <w:tcBorders>
              <w:top w:val="nil"/>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center"/>
              <w:rPr>
                <w:rFonts w:cs="Times New Roman"/>
                <w:bCs/>
                <w:i/>
                <w:color w:val="000000"/>
                <w:kern w:val="22"/>
                <w:sz w:val="20"/>
                <w:szCs w:val="20"/>
                <w:lang w:eastAsia="en-CA"/>
              </w:rPr>
            </w:pP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F20BC0">
            <w:pPr>
              <w:ind w:left="313" w:hanging="313"/>
              <w:jc w:val="left"/>
              <w:rPr>
                <w:rFonts w:cs="Times New Roman"/>
                <w:bCs/>
                <w:color w:val="000000" w:themeColor="text1"/>
                <w:kern w:val="22"/>
                <w:sz w:val="20"/>
                <w:szCs w:val="20"/>
              </w:rPr>
            </w:pPr>
            <w:r w:rsidRPr="00F20BC0">
              <w:rPr>
                <w:rFonts w:cs="Times New Roman"/>
                <w:color w:val="000000" w:themeColor="text1"/>
                <w:sz w:val="20"/>
                <w:szCs w:val="20"/>
              </w:rPr>
              <w:t>A.</w:t>
            </w:r>
            <w:r w:rsidR="00F20BC0">
              <w:rPr>
                <w:bCs/>
                <w:color w:val="000000" w:themeColor="text1"/>
                <w:kern w:val="22"/>
                <w:sz w:val="20"/>
                <w:szCs w:val="20"/>
                <w:lang w:eastAsia="en-CA"/>
              </w:rPr>
              <w:tab/>
            </w:r>
            <w:r w:rsidRPr="00F20BC0">
              <w:rPr>
                <w:rFonts w:cs="Times New Roman"/>
                <w:color w:val="000000" w:themeColor="text1"/>
                <w:sz w:val="20"/>
                <w:szCs w:val="20"/>
              </w:rPr>
              <w:t>Расходы на персонал</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23</w:t>
            </w:r>
            <w:r w:rsidR="00016E95" w:rsidRPr="00F20BC0">
              <w:rPr>
                <w:rFonts w:cs="Times New Roman"/>
                <w:color w:val="000000" w:themeColor="text1"/>
                <w:kern w:val="22"/>
                <w:sz w:val="20"/>
                <w:szCs w:val="20"/>
                <w:lang w:eastAsia="en-CA"/>
              </w:rPr>
              <w:t> </w:t>
            </w:r>
            <w:r w:rsidRPr="00F20BC0">
              <w:rPr>
                <w:rFonts w:cs="Times New Roman"/>
                <w:color w:val="000000" w:themeColor="text1"/>
                <w:kern w:val="22"/>
                <w:sz w:val="20"/>
                <w:szCs w:val="20"/>
                <w:lang w:eastAsia="en-CA"/>
              </w:rPr>
              <w:t>080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20</w:t>
            </w:r>
            <w:r w:rsidR="00016E95" w:rsidRPr="00F20BC0">
              <w:rPr>
                <w:rFonts w:cs="Times New Roman"/>
                <w:color w:val="000000"/>
                <w:kern w:val="22"/>
                <w:sz w:val="20"/>
                <w:szCs w:val="20"/>
                <w:lang w:eastAsia="en-CA"/>
              </w:rPr>
              <w:t> </w:t>
            </w:r>
            <w:r w:rsidRPr="00F20BC0">
              <w:rPr>
                <w:rFonts w:cs="Times New Roman"/>
                <w:color w:val="000000"/>
                <w:kern w:val="22"/>
                <w:sz w:val="20"/>
                <w:szCs w:val="20"/>
                <w:lang w:eastAsia="en-CA"/>
              </w:rPr>
              <w:t>100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2</w:t>
            </w:r>
            <w:r w:rsidR="00016E95" w:rsidRPr="00F20BC0">
              <w:rPr>
                <w:rFonts w:cs="Times New Roman"/>
                <w:color w:val="000000"/>
                <w:kern w:val="22"/>
                <w:sz w:val="20"/>
                <w:szCs w:val="20"/>
                <w:lang w:eastAsia="en-CA"/>
              </w:rPr>
              <w:t> </w:t>
            </w:r>
            <w:r w:rsidRPr="00F20BC0">
              <w:rPr>
                <w:rFonts w:cs="Times New Roman"/>
                <w:color w:val="000000"/>
                <w:kern w:val="22"/>
                <w:sz w:val="20"/>
                <w:szCs w:val="20"/>
                <w:lang w:eastAsia="en-CA"/>
              </w:rPr>
              <w:t>980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5</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F20BC0">
            <w:pPr>
              <w:ind w:left="313" w:hanging="313"/>
              <w:jc w:val="left"/>
              <w:rPr>
                <w:rFonts w:cs="Times New Roman"/>
                <w:bCs/>
                <w:color w:val="000000" w:themeColor="text1"/>
                <w:kern w:val="22"/>
                <w:sz w:val="20"/>
                <w:szCs w:val="20"/>
              </w:rPr>
            </w:pPr>
            <w:r w:rsidRPr="00F20BC0">
              <w:rPr>
                <w:rFonts w:cs="Times New Roman"/>
                <w:color w:val="000000" w:themeColor="text1"/>
                <w:sz w:val="20"/>
                <w:szCs w:val="20"/>
              </w:rPr>
              <w:t>B.</w:t>
            </w:r>
            <w:r w:rsidR="00F20BC0">
              <w:rPr>
                <w:bCs/>
                <w:color w:val="000000" w:themeColor="text1"/>
                <w:kern w:val="22"/>
                <w:sz w:val="20"/>
                <w:szCs w:val="20"/>
                <w:lang w:eastAsia="en-CA"/>
              </w:rPr>
              <w:tab/>
            </w:r>
            <w:r w:rsidRPr="00F20BC0">
              <w:rPr>
                <w:rFonts w:cs="Times New Roman"/>
                <w:color w:val="000000" w:themeColor="text1"/>
                <w:sz w:val="20"/>
                <w:szCs w:val="20"/>
              </w:rPr>
              <w:t>Совещания бюро</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365</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200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165</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C.</w:t>
            </w:r>
            <w:r>
              <w:rPr>
                <w:bCs/>
                <w:color w:val="000000" w:themeColor="text1"/>
                <w:kern w:val="22"/>
                <w:sz w:val="20"/>
                <w:szCs w:val="20"/>
                <w:lang w:eastAsia="en-CA"/>
              </w:rPr>
              <w:tab/>
            </w:r>
            <w:r w:rsidR="00635A81" w:rsidRPr="00F20BC0">
              <w:rPr>
                <w:rFonts w:cs="Times New Roman"/>
                <w:color w:val="000000" w:themeColor="text1"/>
                <w:sz w:val="20"/>
                <w:szCs w:val="20"/>
              </w:rPr>
              <w:t>Служебные командировки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800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559</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6</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240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4</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D.</w:t>
            </w:r>
            <w:r>
              <w:rPr>
                <w:bCs/>
                <w:color w:val="000000" w:themeColor="text1"/>
                <w:kern w:val="22"/>
                <w:sz w:val="20"/>
                <w:szCs w:val="20"/>
                <w:lang w:eastAsia="en-CA"/>
              </w:rPr>
              <w:tab/>
            </w:r>
            <w:r w:rsidR="00635A81" w:rsidRPr="00F20BC0">
              <w:rPr>
                <w:rFonts w:cs="Times New Roman"/>
                <w:color w:val="000000" w:themeColor="text1"/>
                <w:sz w:val="20"/>
                <w:szCs w:val="20"/>
              </w:rPr>
              <w:t>Консультанты/субподрядчики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100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100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E.</w:t>
            </w:r>
            <w:r>
              <w:rPr>
                <w:bCs/>
                <w:color w:val="000000" w:themeColor="text1"/>
                <w:kern w:val="22"/>
                <w:sz w:val="20"/>
                <w:szCs w:val="20"/>
                <w:lang w:eastAsia="en-CA"/>
              </w:rPr>
              <w:tab/>
            </w:r>
            <w:r w:rsidR="00635A81" w:rsidRPr="00F20BC0">
              <w:rPr>
                <w:rFonts w:cs="Times New Roman"/>
                <w:color w:val="000000" w:themeColor="text1"/>
                <w:sz w:val="20"/>
                <w:szCs w:val="20"/>
              </w:rPr>
              <w:t>Информационные материалы/коммуникация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100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100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F20BC0">
            <w:pPr>
              <w:ind w:left="313" w:hanging="313"/>
              <w:jc w:val="left"/>
              <w:rPr>
                <w:rFonts w:cs="Times New Roman"/>
                <w:bCs/>
                <w:color w:val="000000" w:themeColor="text1"/>
                <w:kern w:val="22"/>
                <w:sz w:val="20"/>
                <w:szCs w:val="20"/>
              </w:rPr>
            </w:pPr>
            <w:r w:rsidRPr="00F20BC0">
              <w:rPr>
                <w:rFonts w:cs="Times New Roman"/>
                <w:color w:val="000000" w:themeColor="text1"/>
                <w:sz w:val="20"/>
                <w:szCs w:val="20"/>
              </w:rPr>
              <w:t>F.</w:t>
            </w:r>
            <w:r w:rsidR="00F20BC0">
              <w:rPr>
                <w:bCs/>
                <w:color w:val="000000" w:themeColor="text1"/>
                <w:kern w:val="22"/>
                <w:sz w:val="20"/>
                <w:szCs w:val="20"/>
                <w:lang w:eastAsia="en-CA"/>
              </w:rPr>
              <w:tab/>
            </w:r>
            <w:r w:rsidRPr="00F20BC0">
              <w:rPr>
                <w:rFonts w:cs="Times New Roman"/>
                <w:color w:val="000000" w:themeColor="text1"/>
                <w:sz w:val="20"/>
                <w:szCs w:val="20"/>
              </w:rPr>
              <w:t>Временный персонал/оплата сверхурочных</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200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200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G.</w:t>
            </w:r>
            <w:r>
              <w:rPr>
                <w:bCs/>
                <w:color w:val="000000" w:themeColor="text1"/>
                <w:kern w:val="22"/>
                <w:sz w:val="20"/>
                <w:szCs w:val="20"/>
                <w:lang w:eastAsia="en-CA"/>
              </w:rPr>
              <w:tab/>
            </w:r>
            <w:r w:rsidR="00635A81" w:rsidRPr="00F20BC0">
              <w:rPr>
                <w:rFonts w:cs="Times New Roman"/>
                <w:color w:val="000000" w:themeColor="text1"/>
                <w:sz w:val="20"/>
                <w:szCs w:val="20"/>
              </w:rPr>
              <w:t>Профессиональная подготовка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H.</w:t>
            </w:r>
            <w:r>
              <w:rPr>
                <w:bCs/>
                <w:color w:val="000000" w:themeColor="text1"/>
                <w:kern w:val="22"/>
                <w:sz w:val="20"/>
                <w:szCs w:val="20"/>
                <w:lang w:eastAsia="en-CA"/>
              </w:rPr>
              <w:tab/>
            </w:r>
            <w:r w:rsidR="00635A81" w:rsidRPr="00F20BC0">
              <w:rPr>
                <w:rFonts w:cs="Times New Roman"/>
                <w:color w:val="000000" w:themeColor="text1"/>
                <w:sz w:val="20"/>
                <w:szCs w:val="20"/>
              </w:rPr>
              <w:t>Перевод веб-сайта механизма посредничества / проектов веб-сайтов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130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130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I.</w:t>
            </w:r>
            <w:r>
              <w:rPr>
                <w:bCs/>
                <w:color w:val="000000" w:themeColor="text1"/>
                <w:kern w:val="22"/>
                <w:sz w:val="20"/>
                <w:szCs w:val="20"/>
                <w:lang w:eastAsia="en-CA"/>
              </w:rPr>
              <w:tab/>
            </w:r>
            <w:r w:rsidR="00635A81" w:rsidRPr="00F20BC0">
              <w:rPr>
                <w:rFonts w:cs="Times New Roman"/>
                <w:color w:val="000000" w:themeColor="text1"/>
                <w:sz w:val="20"/>
                <w:szCs w:val="20"/>
              </w:rPr>
              <w:t>Совещания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3</w:t>
            </w:r>
            <w:r w:rsidR="00016E95" w:rsidRPr="00F20BC0">
              <w:rPr>
                <w:rFonts w:cs="Times New Roman"/>
                <w:color w:val="000000" w:themeColor="text1"/>
                <w:kern w:val="22"/>
                <w:sz w:val="20"/>
                <w:szCs w:val="20"/>
                <w:lang w:eastAsia="en-CA"/>
              </w:rPr>
              <w:t> </w:t>
            </w:r>
            <w:r w:rsidRPr="00F20BC0">
              <w:rPr>
                <w:rFonts w:cs="Times New Roman"/>
                <w:color w:val="000000" w:themeColor="text1"/>
                <w:kern w:val="22"/>
                <w:sz w:val="20"/>
                <w:szCs w:val="20"/>
                <w:lang w:eastAsia="en-CA"/>
              </w:rPr>
              <w:t>688</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749</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2</w:t>
            </w:r>
            <w:r w:rsidR="00016E95" w:rsidRPr="00F20BC0">
              <w:rPr>
                <w:rFonts w:cs="Times New Roman"/>
                <w:color w:val="000000" w:themeColor="text1"/>
                <w:kern w:val="22"/>
                <w:sz w:val="20"/>
                <w:szCs w:val="20"/>
                <w:lang w:eastAsia="en-CA"/>
              </w:rPr>
              <w:t> </w:t>
            </w:r>
            <w:r w:rsidRPr="00F20BC0">
              <w:rPr>
                <w:rFonts w:cs="Times New Roman"/>
                <w:color w:val="000000" w:themeColor="text1"/>
                <w:kern w:val="22"/>
                <w:sz w:val="20"/>
                <w:szCs w:val="20"/>
                <w:lang w:eastAsia="en-CA"/>
              </w:rPr>
              <w:t>939</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J.</w:t>
            </w:r>
            <w:r>
              <w:rPr>
                <w:bCs/>
                <w:color w:val="000000" w:themeColor="text1"/>
                <w:kern w:val="22"/>
                <w:sz w:val="20"/>
                <w:szCs w:val="20"/>
                <w:lang w:eastAsia="en-CA"/>
              </w:rPr>
              <w:tab/>
            </w:r>
            <w:r w:rsidR="00635A81" w:rsidRPr="00F20BC0">
              <w:rPr>
                <w:rFonts w:cs="Times New Roman"/>
                <w:color w:val="000000" w:themeColor="text1"/>
                <w:sz w:val="20"/>
                <w:szCs w:val="20"/>
              </w:rPr>
              <w:t>Совещания экспертов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320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83</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7</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236</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K.</w:t>
            </w:r>
            <w:r>
              <w:rPr>
                <w:bCs/>
                <w:color w:val="000000" w:themeColor="text1"/>
                <w:kern w:val="22"/>
                <w:sz w:val="20"/>
                <w:szCs w:val="20"/>
                <w:lang w:eastAsia="en-CA"/>
              </w:rPr>
              <w:tab/>
            </w:r>
            <w:r w:rsidR="00635A81" w:rsidRPr="00F20BC0">
              <w:rPr>
                <w:rFonts w:cs="Times New Roman"/>
                <w:color w:val="000000" w:themeColor="text1"/>
                <w:sz w:val="20"/>
                <w:szCs w:val="20"/>
              </w:rPr>
              <w:t>Внеочередные совещания по</w:t>
            </w:r>
            <w:r>
              <w:rPr>
                <w:rFonts w:cs="Times New Roman"/>
                <w:color w:val="000000" w:themeColor="text1"/>
                <w:sz w:val="20"/>
                <w:szCs w:val="20"/>
              </w:rPr>
              <w:t xml:space="preserve"> подготовке</w:t>
            </w:r>
            <w:r w:rsidR="00635A81" w:rsidRPr="00F20BC0">
              <w:rPr>
                <w:rFonts w:cs="Times New Roman"/>
                <w:color w:val="000000" w:themeColor="text1"/>
                <w:sz w:val="20"/>
                <w:szCs w:val="20"/>
              </w:rPr>
              <w:t xml:space="preserve"> глобальной рамочной программ</w:t>
            </w:r>
            <w:r>
              <w:rPr>
                <w:rFonts w:cs="Times New Roman"/>
                <w:color w:val="000000" w:themeColor="text1"/>
                <w:sz w:val="20"/>
                <w:szCs w:val="20"/>
              </w:rPr>
              <w:t>ы</w:t>
            </w:r>
            <w:r w:rsidR="00635A81" w:rsidRPr="00F20BC0">
              <w:rPr>
                <w:rFonts w:cs="Times New Roman"/>
                <w:color w:val="000000" w:themeColor="text1"/>
                <w:sz w:val="20"/>
                <w:szCs w:val="20"/>
              </w:rPr>
              <w:t xml:space="preserve"> в области биоразнообразия на период после 2020 года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w:t>
            </w:r>
            <w:r w:rsidR="00016E95" w:rsidRPr="00F20BC0">
              <w:rPr>
                <w:rFonts w:cs="Times New Roman"/>
                <w:color w:val="000000" w:themeColor="text1"/>
                <w:kern w:val="22"/>
                <w:sz w:val="20"/>
                <w:szCs w:val="20"/>
                <w:lang w:eastAsia="en-CA"/>
              </w:rPr>
              <w:t> </w:t>
            </w:r>
            <w:r w:rsidRPr="00F20BC0">
              <w:rPr>
                <w:rFonts w:cs="Times New Roman"/>
                <w:color w:val="000000" w:themeColor="text1"/>
                <w:kern w:val="22"/>
                <w:sz w:val="20"/>
                <w:szCs w:val="20"/>
                <w:lang w:eastAsia="en-CA"/>
              </w:rPr>
              <w:t>310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w:t>
            </w:r>
            <w:r w:rsidR="00016E95" w:rsidRPr="00F20BC0">
              <w:rPr>
                <w:rFonts w:cs="Times New Roman"/>
                <w:color w:val="000000"/>
                <w:kern w:val="22"/>
                <w:sz w:val="20"/>
                <w:szCs w:val="20"/>
                <w:lang w:eastAsia="en-CA"/>
              </w:rPr>
              <w:t> </w:t>
            </w:r>
            <w:r w:rsidRPr="00F20BC0">
              <w:rPr>
                <w:rFonts w:cs="Times New Roman"/>
                <w:color w:val="000000"/>
                <w:kern w:val="22"/>
                <w:sz w:val="20"/>
                <w:szCs w:val="20"/>
                <w:lang w:eastAsia="en-CA"/>
              </w:rPr>
              <w:t>100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20BC0" w:rsidRDefault="00F20BC0" w:rsidP="00635A81">
            <w:pPr>
              <w:jc w:val="right"/>
              <w:rPr>
                <w:rFonts w:cs="Times New Roman"/>
                <w:color w:val="000000" w:themeColor="text1"/>
                <w:kern w:val="22"/>
                <w:sz w:val="20"/>
                <w:szCs w:val="20"/>
                <w:lang w:eastAsia="en-CA"/>
              </w:rPr>
            </w:pPr>
          </w:p>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210</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L.</w:t>
            </w:r>
            <w:r>
              <w:rPr>
                <w:bCs/>
                <w:color w:val="000000" w:themeColor="text1"/>
                <w:kern w:val="22"/>
                <w:sz w:val="20"/>
                <w:szCs w:val="20"/>
                <w:lang w:eastAsia="en-CA"/>
              </w:rPr>
              <w:tab/>
            </w:r>
            <w:r w:rsidR="00635A81" w:rsidRPr="00F20BC0">
              <w:rPr>
                <w:rFonts w:cs="Times New Roman"/>
                <w:color w:val="000000" w:themeColor="text1"/>
                <w:sz w:val="20"/>
                <w:szCs w:val="20"/>
              </w:rPr>
              <w:t>Арендная плата и сопутствующие расходы</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2</w:t>
            </w:r>
            <w:r w:rsidR="00016E95" w:rsidRPr="00F20BC0">
              <w:rPr>
                <w:rFonts w:cs="Times New Roman"/>
                <w:color w:val="000000" w:themeColor="text1"/>
                <w:kern w:val="22"/>
                <w:sz w:val="20"/>
                <w:szCs w:val="20"/>
                <w:lang w:eastAsia="en-CA"/>
              </w:rPr>
              <w:t> </w:t>
            </w:r>
            <w:r w:rsidRPr="00F20BC0">
              <w:rPr>
                <w:rFonts w:cs="Times New Roman"/>
                <w:color w:val="000000" w:themeColor="text1"/>
                <w:kern w:val="22"/>
                <w:sz w:val="20"/>
                <w:szCs w:val="20"/>
                <w:lang w:eastAsia="en-CA"/>
              </w:rPr>
              <w:t>652</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2</w:t>
            </w:r>
            <w:r w:rsidR="00016E95" w:rsidRPr="00F20BC0">
              <w:rPr>
                <w:rFonts w:cs="Times New Roman"/>
                <w:color w:val="000000"/>
                <w:kern w:val="22"/>
                <w:sz w:val="20"/>
                <w:szCs w:val="20"/>
                <w:lang w:eastAsia="en-CA"/>
              </w:rPr>
              <w:t> </w:t>
            </w:r>
            <w:r w:rsidRPr="00F20BC0">
              <w:rPr>
                <w:rFonts w:cs="Times New Roman"/>
                <w:color w:val="000000"/>
                <w:kern w:val="22"/>
                <w:sz w:val="20"/>
                <w:szCs w:val="20"/>
                <w:lang w:eastAsia="en-CA"/>
              </w:rPr>
              <w:t>652</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9</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F20BC0" w:rsidP="00F20BC0">
            <w:pPr>
              <w:ind w:left="313" w:hanging="313"/>
              <w:jc w:val="left"/>
              <w:rPr>
                <w:rFonts w:cs="Times New Roman"/>
                <w:bCs/>
                <w:color w:val="000000" w:themeColor="text1"/>
                <w:kern w:val="22"/>
                <w:sz w:val="20"/>
                <w:szCs w:val="20"/>
              </w:rPr>
            </w:pPr>
            <w:r>
              <w:rPr>
                <w:rFonts w:cs="Times New Roman"/>
                <w:color w:val="000000" w:themeColor="text1"/>
                <w:sz w:val="20"/>
                <w:szCs w:val="20"/>
              </w:rPr>
              <w:t>M.</w:t>
            </w:r>
            <w:r>
              <w:rPr>
                <w:bCs/>
                <w:color w:val="000000" w:themeColor="text1"/>
                <w:kern w:val="22"/>
                <w:sz w:val="20"/>
                <w:szCs w:val="20"/>
                <w:lang w:eastAsia="en-CA"/>
              </w:rPr>
              <w:tab/>
            </w:r>
            <w:r w:rsidR="00635A81" w:rsidRPr="00F20BC0">
              <w:rPr>
                <w:rFonts w:cs="Times New Roman"/>
                <w:color w:val="000000" w:themeColor="text1"/>
                <w:sz w:val="20"/>
                <w:szCs w:val="20"/>
              </w:rPr>
              <w:t>Общие эксплуатационные расходы</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w:t>
            </w:r>
            <w:r w:rsidR="00016E95" w:rsidRPr="00F20BC0">
              <w:rPr>
                <w:rFonts w:cs="Times New Roman"/>
                <w:color w:val="000000" w:themeColor="text1"/>
                <w:kern w:val="22"/>
                <w:sz w:val="20"/>
                <w:szCs w:val="20"/>
                <w:lang w:eastAsia="en-CA"/>
              </w:rPr>
              <w:t> </w:t>
            </w:r>
            <w:r w:rsidRPr="00F20BC0">
              <w:rPr>
                <w:rFonts w:cs="Times New Roman"/>
                <w:color w:val="000000" w:themeColor="text1"/>
                <w:kern w:val="22"/>
                <w:sz w:val="20"/>
                <w:szCs w:val="20"/>
                <w:lang w:eastAsia="en-CA"/>
              </w:rPr>
              <w:t>453</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w:t>
            </w:r>
            <w:r w:rsidR="00016E95" w:rsidRPr="00F20BC0">
              <w:rPr>
                <w:rFonts w:cs="Times New Roman"/>
                <w:color w:val="000000"/>
                <w:kern w:val="22"/>
                <w:sz w:val="20"/>
                <w:szCs w:val="20"/>
                <w:lang w:eastAsia="en-CA"/>
              </w:rPr>
              <w:t> </w:t>
            </w:r>
            <w:r w:rsidRPr="00F20BC0">
              <w:rPr>
                <w:rFonts w:cs="Times New Roman"/>
                <w:color w:val="000000"/>
                <w:kern w:val="22"/>
                <w:sz w:val="20"/>
                <w:szCs w:val="20"/>
                <w:lang w:eastAsia="en-CA"/>
              </w:rPr>
              <w:t>453</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0</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0</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635A81">
            <w:pPr>
              <w:rPr>
                <w:rFonts w:cs="Times New Roman"/>
                <w:b/>
                <w:bCs/>
                <w:color w:val="000000" w:themeColor="text1"/>
                <w:kern w:val="22"/>
                <w:sz w:val="20"/>
                <w:szCs w:val="20"/>
              </w:rPr>
            </w:pPr>
            <w:r w:rsidRPr="00F20BC0">
              <w:rPr>
                <w:rFonts w:cs="Times New Roman"/>
                <w:b/>
                <w:color w:val="000000" w:themeColor="text1"/>
                <w:sz w:val="20"/>
                <w:szCs w:val="20"/>
              </w:rPr>
              <w:t>Промежуточный итог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34</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209</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27</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438</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4</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3</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550</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3</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220</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9</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635A81">
            <w:pPr>
              <w:rPr>
                <w:rFonts w:cs="Times New Roman"/>
                <w:b/>
                <w:bCs/>
                <w:color w:val="000000" w:themeColor="text1"/>
                <w:kern w:val="22"/>
                <w:sz w:val="20"/>
                <w:szCs w:val="20"/>
              </w:rPr>
            </w:pPr>
            <w:r w:rsidRPr="00F20BC0">
              <w:rPr>
                <w:rFonts w:cs="Times New Roman"/>
                <w:b/>
                <w:color w:val="000000" w:themeColor="text1"/>
                <w:sz w:val="20"/>
                <w:szCs w:val="20"/>
              </w:rPr>
              <w:t>II. Расходы на поддержку программ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4</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447</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3</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567</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461</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418</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7</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635A81">
            <w:pPr>
              <w:rPr>
                <w:rFonts w:cs="Times New Roman"/>
                <w:b/>
                <w:bCs/>
                <w:color w:val="000000" w:themeColor="text1"/>
                <w:kern w:val="22"/>
                <w:sz w:val="20"/>
                <w:szCs w:val="20"/>
              </w:rPr>
            </w:pPr>
            <w:r w:rsidRPr="00F20BC0">
              <w:rPr>
                <w:rFonts w:cs="Times New Roman"/>
                <w:b/>
                <w:color w:val="000000" w:themeColor="text1"/>
                <w:sz w:val="20"/>
                <w:szCs w:val="20"/>
              </w:rPr>
              <w:t>Промежуточный итог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38</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656</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31</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005</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4</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4</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011</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3</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639</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6</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635A81">
            <w:pPr>
              <w:rPr>
                <w:rFonts w:cs="Times New Roman"/>
                <w:b/>
                <w:bCs/>
                <w:color w:val="000000" w:themeColor="text1"/>
                <w:kern w:val="22"/>
                <w:sz w:val="20"/>
                <w:szCs w:val="20"/>
              </w:rPr>
            </w:pPr>
            <w:r w:rsidRPr="00F20BC0">
              <w:rPr>
                <w:rFonts w:cs="Times New Roman"/>
                <w:b/>
                <w:color w:val="000000" w:themeColor="text1"/>
                <w:sz w:val="20"/>
                <w:szCs w:val="20"/>
              </w:rPr>
              <w:t>III. Резерв оборотных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187</w:t>
            </w:r>
            <w:r w:rsidR="00016E95" w:rsidRPr="00F20BC0">
              <w:rPr>
                <w:rFonts w:cs="Times New Roman"/>
                <w:color w:val="000000" w:themeColor="text1"/>
                <w:kern w:val="22"/>
                <w:sz w:val="20"/>
                <w:szCs w:val="20"/>
                <w:lang w:eastAsia="en-CA"/>
              </w:rPr>
              <w:t>,</w:t>
            </w:r>
            <w:r w:rsidRPr="00F20BC0">
              <w:rPr>
                <w:rFonts w:cs="Times New Roman"/>
                <w:color w:val="000000" w:themeColor="text1"/>
                <w:kern w:val="22"/>
                <w:sz w:val="20"/>
                <w:szCs w:val="20"/>
                <w:lang w:eastAsia="en-CA"/>
              </w:rPr>
              <w:t>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187</w:t>
            </w:r>
            <w:r w:rsidR="00016E95" w:rsidRPr="00F20BC0">
              <w:rPr>
                <w:rFonts w:cs="Times New Roman"/>
                <w:color w:val="000000"/>
                <w:kern w:val="22"/>
                <w:sz w:val="20"/>
                <w:szCs w:val="20"/>
                <w:lang w:eastAsia="en-CA"/>
              </w:rPr>
              <w:t>,</w:t>
            </w:r>
            <w:r w:rsidRPr="00F20BC0">
              <w:rPr>
                <w:rFonts w:cs="Times New Roman"/>
                <w:color w:val="000000"/>
                <w:kern w:val="22"/>
                <w:sz w:val="20"/>
                <w:szCs w:val="20"/>
                <w:lang w:eastAsia="en-CA"/>
              </w:rPr>
              <w:t>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color w:val="000000" w:themeColor="text1"/>
                <w:kern w:val="22"/>
                <w:sz w:val="20"/>
                <w:szCs w:val="20"/>
                <w:lang w:eastAsia="en-CA"/>
              </w:rPr>
            </w:pPr>
            <w:r w:rsidRPr="00F20BC0">
              <w:rPr>
                <w:rFonts w:cs="Times New Roman"/>
                <w:color w:val="000000" w:themeColor="text1"/>
                <w:kern w:val="22"/>
                <w:sz w:val="20"/>
                <w:szCs w:val="20"/>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color w:val="000000"/>
                <w:kern w:val="22"/>
                <w:sz w:val="20"/>
                <w:szCs w:val="20"/>
                <w:lang w:eastAsia="en-CA"/>
              </w:rPr>
            </w:pPr>
            <w:r w:rsidRPr="00F20BC0">
              <w:rPr>
                <w:rFonts w:cs="Times New Roman"/>
                <w:color w:val="000000"/>
                <w:kern w:val="22"/>
                <w:sz w:val="20"/>
                <w:szCs w:val="20"/>
                <w:lang w:eastAsia="en-CA"/>
              </w:rPr>
              <w:t> </w:t>
            </w:r>
          </w:p>
        </w:tc>
      </w:tr>
      <w:tr w:rsidR="00635A81" w:rsidRPr="004545A4" w:rsidTr="00937F35">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635A81" w:rsidRPr="00F20BC0" w:rsidRDefault="00635A81" w:rsidP="00635A81">
            <w:pPr>
              <w:rPr>
                <w:rFonts w:cs="Times New Roman"/>
                <w:b/>
                <w:bCs/>
                <w:color w:val="000000" w:themeColor="text1"/>
                <w:kern w:val="22"/>
                <w:sz w:val="20"/>
                <w:szCs w:val="20"/>
              </w:rPr>
            </w:pPr>
            <w:r w:rsidRPr="00F20BC0">
              <w:rPr>
                <w:rFonts w:cs="Times New Roman"/>
                <w:b/>
                <w:color w:val="000000" w:themeColor="text1"/>
                <w:sz w:val="20"/>
                <w:szCs w:val="20"/>
              </w:rPr>
              <w:t>Совокупный итог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38</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844</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31</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192</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7</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5A81" w:rsidRPr="00F20BC0" w:rsidRDefault="00635A81" w:rsidP="00635A81">
            <w:pPr>
              <w:jc w:val="right"/>
              <w:rPr>
                <w:rFonts w:cs="Times New Roman"/>
                <w:b/>
                <w:bCs/>
                <w:color w:val="000000" w:themeColor="text1"/>
                <w:kern w:val="22"/>
                <w:sz w:val="20"/>
                <w:szCs w:val="20"/>
                <w:lang w:eastAsia="en-CA"/>
              </w:rPr>
            </w:pPr>
            <w:r w:rsidRPr="00F20BC0">
              <w:rPr>
                <w:rFonts w:cs="Times New Roman"/>
                <w:b/>
                <w:bCs/>
                <w:color w:val="000000" w:themeColor="text1"/>
                <w:kern w:val="22"/>
                <w:sz w:val="20"/>
                <w:szCs w:val="20"/>
                <w:lang w:eastAsia="en-CA"/>
              </w:rPr>
              <w:t>4</w:t>
            </w:r>
            <w:r w:rsidR="00016E95" w:rsidRPr="00F20BC0">
              <w:rPr>
                <w:rFonts w:cs="Times New Roman"/>
                <w:b/>
                <w:bCs/>
                <w:color w:val="000000" w:themeColor="text1"/>
                <w:kern w:val="22"/>
                <w:sz w:val="20"/>
                <w:szCs w:val="20"/>
                <w:lang w:eastAsia="en-CA"/>
              </w:rPr>
              <w:t> </w:t>
            </w:r>
            <w:r w:rsidRPr="00F20BC0">
              <w:rPr>
                <w:rFonts w:cs="Times New Roman"/>
                <w:b/>
                <w:bCs/>
                <w:color w:val="000000" w:themeColor="text1"/>
                <w:kern w:val="22"/>
                <w:sz w:val="20"/>
                <w:szCs w:val="20"/>
                <w:lang w:eastAsia="en-CA"/>
              </w:rPr>
              <w:t>011</w:t>
            </w:r>
            <w:r w:rsidR="00016E95" w:rsidRPr="00F20BC0">
              <w:rPr>
                <w:rFonts w:cs="Times New Roman"/>
                <w:b/>
                <w:bCs/>
                <w:color w:val="000000" w:themeColor="text1"/>
                <w:kern w:val="22"/>
                <w:sz w:val="20"/>
                <w:szCs w:val="20"/>
                <w:lang w:eastAsia="en-CA"/>
              </w:rPr>
              <w:t>,</w:t>
            </w:r>
            <w:r w:rsidRPr="00F20BC0">
              <w:rPr>
                <w:rFonts w:cs="Times New Roman"/>
                <w:b/>
                <w:bCs/>
                <w:color w:val="000000" w:themeColor="text1"/>
                <w:kern w:val="22"/>
                <w:sz w:val="20"/>
                <w:szCs w:val="20"/>
                <w:lang w:eastAsia="en-CA"/>
              </w:rPr>
              <w:t>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35A81" w:rsidRPr="00F20BC0" w:rsidRDefault="00635A81" w:rsidP="00635A81">
            <w:pPr>
              <w:jc w:val="right"/>
              <w:rPr>
                <w:rFonts w:cs="Times New Roman"/>
                <w:b/>
                <w:bCs/>
                <w:color w:val="000000"/>
                <w:kern w:val="22"/>
                <w:sz w:val="20"/>
                <w:szCs w:val="20"/>
                <w:lang w:eastAsia="en-CA"/>
              </w:rPr>
            </w:pPr>
            <w:r w:rsidRPr="00F20BC0">
              <w:rPr>
                <w:rFonts w:cs="Times New Roman"/>
                <w:b/>
                <w:bCs/>
                <w:color w:val="000000"/>
                <w:kern w:val="22"/>
                <w:sz w:val="20"/>
                <w:szCs w:val="20"/>
                <w:lang w:eastAsia="en-CA"/>
              </w:rPr>
              <w:t>3</w:t>
            </w:r>
            <w:r w:rsidR="00016E95" w:rsidRPr="00F20BC0">
              <w:rPr>
                <w:rFonts w:cs="Times New Roman"/>
                <w:b/>
                <w:bCs/>
                <w:color w:val="000000"/>
                <w:kern w:val="22"/>
                <w:sz w:val="20"/>
                <w:szCs w:val="20"/>
                <w:lang w:eastAsia="en-CA"/>
              </w:rPr>
              <w:t> </w:t>
            </w:r>
            <w:r w:rsidRPr="00F20BC0">
              <w:rPr>
                <w:rFonts w:cs="Times New Roman"/>
                <w:b/>
                <w:bCs/>
                <w:color w:val="000000"/>
                <w:kern w:val="22"/>
                <w:sz w:val="20"/>
                <w:szCs w:val="20"/>
                <w:lang w:eastAsia="en-CA"/>
              </w:rPr>
              <w:t>639</w:t>
            </w:r>
            <w:r w:rsidR="00016E95" w:rsidRPr="00F20BC0">
              <w:rPr>
                <w:rFonts w:cs="Times New Roman"/>
                <w:b/>
                <w:bCs/>
                <w:color w:val="000000"/>
                <w:kern w:val="22"/>
                <w:sz w:val="20"/>
                <w:szCs w:val="20"/>
                <w:lang w:eastAsia="en-CA"/>
              </w:rPr>
              <w:t>,</w:t>
            </w:r>
            <w:r w:rsidRPr="00F20BC0">
              <w:rPr>
                <w:rFonts w:cs="Times New Roman"/>
                <w:b/>
                <w:bCs/>
                <w:color w:val="000000"/>
                <w:kern w:val="22"/>
                <w:sz w:val="20"/>
                <w:szCs w:val="20"/>
                <w:lang w:eastAsia="en-CA"/>
              </w:rPr>
              <w:t>6</w:t>
            </w:r>
          </w:p>
        </w:tc>
      </w:tr>
    </w:tbl>
    <w:p w:rsidR="00221A9E" w:rsidRPr="000322A9" w:rsidRDefault="00221A9E" w:rsidP="00835869">
      <w:pPr>
        <w:pStyle w:val="ListParagraph"/>
        <w:ind w:left="0"/>
        <w:rPr>
          <w:i/>
          <w:iCs/>
          <w:kern w:val="22"/>
          <w:szCs w:val="22"/>
        </w:rPr>
      </w:pPr>
    </w:p>
    <w:p w:rsidR="005675C3" w:rsidRPr="005675C3" w:rsidRDefault="005675C3" w:rsidP="00835869">
      <w:pPr>
        <w:pStyle w:val="ListParagraph"/>
        <w:numPr>
          <w:ilvl w:val="0"/>
          <w:numId w:val="16"/>
        </w:numPr>
        <w:spacing w:after="120"/>
        <w:ind w:left="714" w:hanging="357"/>
        <w:contextualSpacing w:val="0"/>
        <w:jc w:val="center"/>
        <w:rPr>
          <w:rFonts w:eastAsia="Malgun Gothic"/>
          <w:b/>
          <w:color w:val="000000" w:themeColor="text1"/>
          <w:kern w:val="22"/>
          <w:szCs w:val="22"/>
        </w:rPr>
      </w:pPr>
      <w:r w:rsidRPr="005675C3">
        <w:rPr>
          <w:b/>
        </w:rPr>
        <w:lastRenderedPageBreak/>
        <w:t>Резерв оборотных средств по состоянию на 31 декабря 2020 г.</w:t>
      </w:r>
    </w:p>
    <w:p w:rsidR="004A6CE0" w:rsidRPr="000322A9" w:rsidRDefault="004A6CE0" w:rsidP="009E71AA">
      <w:pPr>
        <w:pStyle w:val="ListParagraph"/>
        <w:numPr>
          <w:ilvl w:val="0"/>
          <w:numId w:val="5"/>
        </w:numPr>
        <w:spacing w:before="120" w:after="120"/>
        <w:ind w:left="0" w:firstLine="0"/>
        <w:contextualSpacing w:val="0"/>
        <w:rPr>
          <w:iCs/>
          <w:kern w:val="22"/>
        </w:rPr>
      </w:pPr>
      <w:r>
        <w:t xml:space="preserve">Резерв оборотных средств рассчитывается в совокупности по каждому двухлетнему периоду таким образом, чтобы общая сумма резерва составляла 15% от сметных годовых расходов, включая расходы на поддержку программ. </w:t>
      </w:r>
      <w:r w:rsidR="00E57996">
        <w:t>По рекомендации Управления служб внутреннего надзора и в соответствии с пунктом 4 решения 14/37 Конференции Сторон начиная с двухлетнего периода 2019-2020 годов о</w:t>
      </w:r>
      <w:r>
        <w:t>бъем резерва оборотных средств был увеличен с 7,5 до 15%. Резерв оборотных средств призван обеспечи</w:t>
      </w:r>
      <w:r w:rsidR="00E57996">
        <w:t>ва</w:t>
      </w:r>
      <w:r>
        <w:t>ть непрерывность работы секретариата Конвенции в случае временного дефицита наличных средств. Использованные средства из резерва оборотных средств восполняются при первой возможности за счет поступивших взносов.</w:t>
      </w:r>
    </w:p>
    <w:p w:rsidR="001D6312" w:rsidRDefault="00B910C8" w:rsidP="001D6312">
      <w:pPr>
        <w:spacing w:before="120" w:after="120"/>
        <w:contextualSpacing/>
        <w:rPr>
          <w:b/>
          <w:snapToGrid w:val="0"/>
        </w:rPr>
      </w:pPr>
      <w:r>
        <w:rPr>
          <w:b/>
          <w:snapToGrid w:val="0"/>
        </w:rPr>
        <w:t>Таблица 3</w:t>
      </w:r>
    </w:p>
    <w:p w:rsidR="001D6312" w:rsidRDefault="0082716E" w:rsidP="001D6312">
      <w:pPr>
        <w:spacing w:before="120" w:after="120"/>
        <w:contextualSpacing/>
        <w:rPr>
          <w:b/>
          <w:snapToGrid w:val="0"/>
        </w:rPr>
      </w:pPr>
      <w:r>
        <w:rPr>
          <w:b/>
          <w:snapToGrid w:val="0"/>
        </w:rPr>
        <w:t>Резерв оборотных средств по состоянию на 31 декабря 2020 г.</w:t>
      </w:r>
    </w:p>
    <w:p w:rsidR="00221A9E" w:rsidRDefault="001D6312" w:rsidP="001D6312">
      <w:pPr>
        <w:spacing w:before="120" w:after="120"/>
        <w:contextualSpacing/>
        <w:rPr>
          <w:i/>
          <w:iCs/>
          <w:snapToGrid w:val="0"/>
          <w:kern w:val="22"/>
          <w:szCs w:val="22"/>
        </w:rPr>
      </w:pPr>
      <w:r w:rsidRPr="00616DB7">
        <w:rPr>
          <w:i/>
          <w:iCs/>
          <w:snapToGrid w:val="0"/>
          <w:kern w:val="22"/>
          <w:szCs w:val="22"/>
        </w:rPr>
        <w:t>(в тыс. долл. США)</w:t>
      </w:r>
    </w:p>
    <w:tbl>
      <w:tblPr>
        <w:tblW w:w="9246" w:type="dxa"/>
        <w:jc w:val="center"/>
        <w:tblLayout w:type="fixed"/>
        <w:tblLook w:val="04A0" w:firstRow="1" w:lastRow="0" w:firstColumn="1" w:lastColumn="0" w:noHBand="0" w:noVBand="1"/>
      </w:tblPr>
      <w:tblGrid>
        <w:gridCol w:w="3692"/>
        <w:gridCol w:w="1110"/>
        <w:gridCol w:w="1111"/>
        <w:gridCol w:w="1111"/>
        <w:gridCol w:w="1111"/>
        <w:gridCol w:w="1111"/>
      </w:tblGrid>
      <w:tr w:rsidR="001D6312" w:rsidRPr="009543E3" w:rsidTr="001D6312">
        <w:trPr>
          <w:cantSplit/>
          <w:jc w:val="center"/>
        </w:trPr>
        <w:tc>
          <w:tcPr>
            <w:tcW w:w="3692" w:type="dxa"/>
            <w:tcBorders>
              <w:top w:val="single" w:sz="4" w:space="0" w:color="auto"/>
              <w:left w:val="single" w:sz="4" w:space="0" w:color="auto"/>
              <w:bottom w:val="single" w:sz="4" w:space="0" w:color="auto"/>
              <w:right w:val="single" w:sz="4" w:space="0" w:color="auto"/>
            </w:tcBorders>
            <w:shd w:val="clear" w:color="auto" w:fill="auto"/>
            <w:noWrap/>
          </w:tcPr>
          <w:p w:rsidR="001D6312" w:rsidRPr="009543E3" w:rsidRDefault="001D6312" w:rsidP="006F31EB">
            <w:pPr>
              <w:suppressLineNumbers/>
              <w:suppressAutoHyphens/>
              <w:jc w:val="center"/>
              <w:rPr>
                <w:b/>
                <w:bCs/>
                <w:color w:val="000000"/>
                <w:kern w:val="22"/>
                <w:szCs w:val="22"/>
                <w:lang w:eastAsia="en-CA"/>
              </w:rPr>
            </w:pPr>
            <w:r>
              <w:rPr>
                <w:b/>
                <w:bCs/>
                <w:color w:val="000000"/>
                <w:kern w:val="22"/>
                <w:szCs w:val="22"/>
                <w:lang w:eastAsia="en-CA"/>
              </w:rPr>
              <w:t>Целевой фонд</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2003-14</w:t>
            </w:r>
            <w:r w:rsidR="00E57996">
              <w:rPr>
                <w:b/>
                <w:bCs/>
                <w:color w:val="000000"/>
                <w:kern w:val="22"/>
                <w:szCs w:val="22"/>
                <w:lang w:eastAsia="en-CA"/>
              </w:rPr>
              <w:t xml:space="preserve"> гг.</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2015-16</w:t>
            </w:r>
            <w:r w:rsidR="00E57996">
              <w:rPr>
                <w:b/>
                <w:bCs/>
                <w:color w:val="000000"/>
                <w:kern w:val="22"/>
                <w:szCs w:val="22"/>
                <w:lang w:eastAsia="en-CA"/>
              </w:rPr>
              <w:t xml:space="preserve"> гг.</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2017-18</w:t>
            </w:r>
            <w:r w:rsidR="00E57996">
              <w:rPr>
                <w:b/>
                <w:bCs/>
                <w:color w:val="000000"/>
                <w:kern w:val="22"/>
                <w:szCs w:val="22"/>
                <w:lang w:eastAsia="en-CA"/>
              </w:rPr>
              <w:t xml:space="preserve"> гг.</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2019-20</w:t>
            </w:r>
            <w:r w:rsidR="00E57996">
              <w:rPr>
                <w:b/>
                <w:bCs/>
                <w:color w:val="000000"/>
                <w:kern w:val="22"/>
                <w:szCs w:val="22"/>
                <w:lang w:eastAsia="en-CA"/>
              </w:rPr>
              <w:t xml:space="preserve"> гг.</w:t>
            </w:r>
          </w:p>
        </w:tc>
        <w:tc>
          <w:tcPr>
            <w:tcW w:w="1111" w:type="dxa"/>
            <w:tcBorders>
              <w:top w:val="single" w:sz="4" w:space="0" w:color="auto"/>
              <w:lef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Pr>
                <w:b/>
                <w:bCs/>
                <w:color w:val="000000"/>
                <w:kern w:val="22"/>
                <w:szCs w:val="22"/>
                <w:lang w:eastAsia="en-CA"/>
              </w:rPr>
              <w:t>Итого</w:t>
            </w:r>
          </w:p>
        </w:tc>
      </w:tr>
      <w:tr w:rsidR="001D6312" w:rsidRPr="009543E3" w:rsidTr="001D6312">
        <w:trPr>
          <w:cantSplit/>
          <w:jc w:val="center"/>
        </w:trPr>
        <w:tc>
          <w:tcPr>
            <w:tcW w:w="3692" w:type="dxa"/>
            <w:tcBorders>
              <w:top w:val="nil"/>
              <w:left w:val="single" w:sz="4" w:space="0" w:color="auto"/>
              <w:bottom w:val="single" w:sz="4" w:space="0" w:color="auto"/>
              <w:right w:val="single" w:sz="4" w:space="0" w:color="auto"/>
            </w:tcBorders>
            <w:shd w:val="clear" w:color="auto" w:fill="auto"/>
            <w:noWrap/>
            <w:hideMark/>
          </w:tcPr>
          <w:p w:rsidR="001D6312" w:rsidRPr="001D6312" w:rsidRDefault="001D6312" w:rsidP="001D6312">
            <w:pPr>
              <w:suppressLineNumbers/>
              <w:suppressAutoHyphens/>
              <w:jc w:val="left"/>
              <w:rPr>
                <w:color w:val="000000"/>
                <w:kern w:val="22"/>
                <w:szCs w:val="22"/>
                <w:lang w:val="en-US" w:eastAsia="en-CA"/>
              </w:rPr>
            </w:pPr>
            <w:r>
              <w:rPr>
                <w:color w:val="000000"/>
                <w:kern w:val="22"/>
                <w:szCs w:val="22"/>
                <w:lang w:eastAsia="en-CA"/>
              </w:rPr>
              <w:t>Целевой</w:t>
            </w:r>
            <w:r w:rsidRPr="001D6312">
              <w:rPr>
                <w:color w:val="000000"/>
                <w:kern w:val="22"/>
                <w:szCs w:val="22"/>
                <w:lang w:val="en-US" w:eastAsia="en-CA"/>
              </w:rPr>
              <w:t xml:space="preserve"> </w:t>
            </w:r>
            <w:r>
              <w:rPr>
                <w:color w:val="000000"/>
                <w:kern w:val="22"/>
                <w:szCs w:val="22"/>
                <w:lang w:eastAsia="en-CA"/>
              </w:rPr>
              <w:t>фонд</w:t>
            </w:r>
            <w:r w:rsidRPr="001D6312">
              <w:rPr>
                <w:color w:val="000000"/>
                <w:kern w:val="22"/>
                <w:szCs w:val="22"/>
                <w:lang w:val="en-US" w:eastAsia="en-CA"/>
              </w:rPr>
              <w:t xml:space="preserve"> BY </w:t>
            </w:r>
          </w:p>
        </w:tc>
        <w:tc>
          <w:tcPr>
            <w:tcW w:w="1110"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 xml:space="preserve">1 </w:t>
            </w:r>
            <w:r>
              <w:rPr>
                <w:color w:val="000000"/>
                <w:kern w:val="22"/>
                <w:szCs w:val="22"/>
                <w:lang w:eastAsia="en-CA"/>
              </w:rPr>
              <w:t>324,</w:t>
            </w:r>
            <w:r w:rsidRPr="009543E3">
              <w:rPr>
                <w:color w:val="000000"/>
                <w:kern w:val="22"/>
                <w:szCs w:val="22"/>
                <w:lang w:eastAsia="en-CA"/>
              </w:rPr>
              <w:t>4</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765</w:t>
            </w:r>
            <w:r>
              <w:rPr>
                <w:color w:val="000000"/>
                <w:kern w:val="22"/>
                <w:szCs w:val="22"/>
                <w:lang w:eastAsia="en-CA"/>
              </w:rPr>
              <w:t>,</w:t>
            </w:r>
            <w:r w:rsidRPr="009543E3">
              <w:rPr>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93</w:t>
            </w:r>
            <w:r>
              <w:rPr>
                <w:color w:val="000000"/>
                <w:kern w:val="22"/>
                <w:szCs w:val="22"/>
                <w:lang w:eastAsia="en-CA"/>
              </w:rPr>
              <w:t>,</w:t>
            </w:r>
            <w:r w:rsidRPr="009543E3">
              <w:rPr>
                <w:color w:val="000000"/>
                <w:kern w:val="22"/>
                <w:szCs w:val="22"/>
                <w:lang w:eastAsia="en-CA"/>
              </w:rPr>
              <w:t>3</w:t>
            </w:r>
          </w:p>
        </w:tc>
        <w:tc>
          <w:tcPr>
            <w:tcW w:w="1111" w:type="dxa"/>
            <w:tcBorders>
              <w:top w:val="nil"/>
              <w:left w:val="single" w:sz="4" w:space="0" w:color="auto"/>
              <w:bottom w:val="single" w:sz="4" w:space="0" w:color="000000"/>
              <w:right w:val="single" w:sz="4" w:space="0" w:color="auto"/>
            </w:tcBorders>
            <w:shd w:val="clear" w:color="auto" w:fill="auto"/>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138</w:t>
            </w:r>
            <w:r>
              <w:rPr>
                <w:color w:val="000000"/>
                <w:kern w:val="22"/>
                <w:szCs w:val="22"/>
                <w:lang w:eastAsia="en-CA"/>
              </w:rPr>
              <w:t>,</w:t>
            </w:r>
            <w:r w:rsidRPr="009543E3">
              <w:rPr>
                <w:color w:val="000000"/>
                <w:kern w:val="22"/>
                <w:szCs w:val="22"/>
                <w:lang w:eastAsia="en-CA"/>
              </w:rPr>
              <w:t>6</w:t>
            </w:r>
          </w:p>
        </w:tc>
        <w:tc>
          <w:tcPr>
            <w:tcW w:w="1111" w:type="dxa"/>
            <w:tcBorders>
              <w:top w:val="nil"/>
              <w:lef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2 321</w:t>
            </w:r>
            <w:r>
              <w:rPr>
                <w:b/>
                <w:bCs/>
                <w:color w:val="000000"/>
                <w:kern w:val="22"/>
                <w:szCs w:val="22"/>
                <w:lang w:eastAsia="en-CA"/>
              </w:rPr>
              <w:t>,</w:t>
            </w:r>
            <w:r w:rsidRPr="009543E3">
              <w:rPr>
                <w:b/>
                <w:bCs/>
                <w:color w:val="000000"/>
                <w:kern w:val="22"/>
                <w:szCs w:val="22"/>
                <w:lang w:eastAsia="en-CA"/>
              </w:rPr>
              <w:t>4</w:t>
            </w:r>
          </w:p>
        </w:tc>
      </w:tr>
      <w:tr w:rsidR="001D6312" w:rsidRPr="009543E3" w:rsidTr="001D6312">
        <w:trPr>
          <w:cantSplit/>
          <w:jc w:val="center"/>
        </w:trPr>
        <w:tc>
          <w:tcPr>
            <w:tcW w:w="3692" w:type="dxa"/>
            <w:tcBorders>
              <w:top w:val="nil"/>
              <w:left w:val="single" w:sz="4" w:space="0" w:color="auto"/>
              <w:bottom w:val="single" w:sz="4" w:space="0" w:color="auto"/>
              <w:right w:val="single" w:sz="4" w:space="0" w:color="auto"/>
            </w:tcBorders>
            <w:shd w:val="clear" w:color="auto" w:fill="auto"/>
            <w:noWrap/>
            <w:hideMark/>
          </w:tcPr>
          <w:p w:rsidR="001D6312" w:rsidRPr="001D6312" w:rsidRDefault="001D6312" w:rsidP="001D6312">
            <w:pPr>
              <w:suppressLineNumbers/>
              <w:suppressAutoHyphens/>
              <w:jc w:val="left"/>
              <w:rPr>
                <w:color w:val="000000"/>
                <w:kern w:val="22"/>
                <w:szCs w:val="22"/>
                <w:lang w:val="en-US" w:eastAsia="en-CA"/>
              </w:rPr>
            </w:pPr>
            <w:r>
              <w:rPr>
                <w:color w:val="000000"/>
                <w:kern w:val="22"/>
                <w:szCs w:val="22"/>
                <w:lang w:eastAsia="en-CA"/>
              </w:rPr>
              <w:t>Целевой</w:t>
            </w:r>
            <w:r w:rsidRPr="001D6312">
              <w:rPr>
                <w:color w:val="000000"/>
                <w:kern w:val="22"/>
                <w:szCs w:val="22"/>
                <w:lang w:val="en-US" w:eastAsia="en-CA"/>
              </w:rPr>
              <w:t xml:space="preserve"> </w:t>
            </w:r>
            <w:r>
              <w:rPr>
                <w:color w:val="000000"/>
                <w:kern w:val="22"/>
                <w:szCs w:val="22"/>
                <w:lang w:eastAsia="en-CA"/>
              </w:rPr>
              <w:t>фонд</w:t>
            </w:r>
            <w:r w:rsidRPr="001D6312">
              <w:rPr>
                <w:color w:val="000000"/>
                <w:kern w:val="22"/>
                <w:szCs w:val="22"/>
                <w:lang w:val="en-US" w:eastAsia="en-CA"/>
              </w:rPr>
              <w:t xml:space="preserve"> BG </w:t>
            </w:r>
          </w:p>
        </w:tc>
        <w:tc>
          <w:tcPr>
            <w:tcW w:w="1110"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1D6312">
            <w:pPr>
              <w:suppressLineNumbers/>
              <w:suppressAutoHyphens/>
              <w:jc w:val="center"/>
              <w:rPr>
                <w:color w:val="000000"/>
                <w:kern w:val="22"/>
                <w:szCs w:val="22"/>
                <w:lang w:eastAsia="en-CA"/>
              </w:rPr>
            </w:pPr>
            <w:r w:rsidRPr="009543E3">
              <w:rPr>
                <w:color w:val="000000"/>
                <w:kern w:val="22"/>
                <w:szCs w:val="22"/>
                <w:lang w:eastAsia="en-CA"/>
              </w:rPr>
              <w:t>293</w:t>
            </w:r>
            <w:r>
              <w:rPr>
                <w:color w:val="000000"/>
                <w:kern w:val="22"/>
                <w:szCs w:val="22"/>
                <w:lang w:eastAsia="en-CA"/>
              </w:rPr>
              <w:t>,</w:t>
            </w:r>
            <w:r w:rsidRPr="009543E3">
              <w:rPr>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175</w:t>
            </w:r>
            <w:r>
              <w:rPr>
                <w:color w:val="000000"/>
                <w:kern w:val="22"/>
                <w:szCs w:val="22"/>
                <w:lang w:eastAsia="en-CA"/>
              </w:rPr>
              <w:t>,</w:t>
            </w:r>
            <w:r w:rsidRPr="009543E3">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19</w:t>
            </w:r>
            <w:r>
              <w:rPr>
                <w:color w:val="000000"/>
                <w:kern w:val="22"/>
                <w:szCs w:val="22"/>
                <w:lang w:eastAsia="en-CA"/>
              </w:rPr>
              <w:t>,</w:t>
            </w:r>
            <w:r w:rsidRPr="009543E3">
              <w:rPr>
                <w:color w:val="000000"/>
                <w:kern w:val="22"/>
                <w:szCs w:val="22"/>
                <w:lang w:eastAsia="en-CA"/>
              </w:rPr>
              <w:t>7</w:t>
            </w:r>
          </w:p>
        </w:tc>
        <w:tc>
          <w:tcPr>
            <w:tcW w:w="1111" w:type="dxa"/>
            <w:tcBorders>
              <w:top w:val="nil"/>
              <w:left w:val="single" w:sz="4" w:space="0" w:color="auto"/>
              <w:bottom w:val="single" w:sz="4" w:space="0" w:color="000000"/>
              <w:right w:val="single" w:sz="4" w:space="0" w:color="auto"/>
            </w:tcBorders>
            <w:shd w:val="clear" w:color="auto" w:fill="auto"/>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28</w:t>
            </w:r>
            <w:r>
              <w:rPr>
                <w:color w:val="000000"/>
                <w:kern w:val="22"/>
                <w:szCs w:val="22"/>
                <w:lang w:eastAsia="en-CA"/>
              </w:rPr>
              <w:t>,</w:t>
            </w:r>
            <w:r w:rsidRPr="009543E3">
              <w:rPr>
                <w:color w:val="000000"/>
                <w:kern w:val="22"/>
                <w:szCs w:val="22"/>
                <w:lang w:eastAsia="en-CA"/>
              </w:rPr>
              <w:t>1</w:t>
            </w:r>
          </w:p>
        </w:tc>
        <w:tc>
          <w:tcPr>
            <w:tcW w:w="1111" w:type="dxa"/>
            <w:tcBorders>
              <w:top w:val="nil"/>
              <w:lef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517</w:t>
            </w:r>
            <w:r>
              <w:rPr>
                <w:b/>
                <w:bCs/>
                <w:color w:val="000000"/>
                <w:kern w:val="22"/>
                <w:szCs w:val="22"/>
                <w:lang w:eastAsia="en-CA"/>
              </w:rPr>
              <w:t>,</w:t>
            </w:r>
            <w:r w:rsidRPr="009543E3">
              <w:rPr>
                <w:b/>
                <w:bCs/>
                <w:color w:val="000000"/>
                <w:kern w:val="22"/>
                <w:szCs w:val="22"/>
                <w:lang w:eastAsia="en-CA"/>
              </w:rPr>
              <w:t>1</w:t>
            </w:r>
          </w:p>
        </w:tc>
      </w:tr>
      <w:tr w:rsidR="001D6312" w:rsidRPr="009543E3" w:rsidTr="001D6312">
        <w:trPr>
          <w:cantSplit/>
          <w:jc w:val="center"/>
        </w:trPr>
        <w:tc>
          <w:tcPr>
            <w:tcW w:w="3692" w:type="dxa"/>
            <w:tcBorders>
              <w:top w:val="nil"/>
              <w:left w:val="single" w:sz="4" w:space="0" w:color="auto"/>
              <w:bottom w:val="single" w:sz="4" w:space="0" w:color="auto"/>
              <w:right w:val="single" w:sz="4" w:space="0" w:color="auto"/>
            </w:tcBorders>
            <w:shd w:val="clear" w:color="auto" w:fill="auto"/>
            <w:noWrap/>
            <w:hideMark/>
          </w:tcPr>
          <w:p w:rsidR="001D6312" w:rsidRPr="001D6312" w:rsidRDefault="001D6312" w:rsidP="001D6312">
            <w:pPr>
              <w:suppressLineNumbers/>
              <w:suppressAutoHyphens/>
              <w:jc w:val="left"/>
              <w:rPr>
                <w:color w:val="000000"/>
                <w:kern w:val="22"/>
                <w:szCs w:val="22"/>
                <w:lang w:val="en-US" w:eastAsia="en-CA"/>
              </w:rPr>
            </w:pPr>
            <w:r>
              <w:rPr>
                <w:color w:val="000000"/>
                <w:kern w:val="22"/>
                <w:szCs w:val="22"/>
                <w:lang w:eastAsia="en-CA"/>
              </w:rPr>
              <w:t>Целевой</w:t>
            </w:r>
            <w:r w:rsidRPr="001D6312">
              <w:rPr>
                <w:color w:val="000000"/>
                <w:kern w:val="22"/>
                <w:szCs w:val="22"/>
                <w:lang w:val="en-US" w:eastAsia="en-CA"/>
              </w:rPr>
              <w:t xml:space="preserve"> </w:t>
            </w:r>
            <w:r>
              <w:rPr>
                <w:color w:val="000000"/>
                <w:kern w:val="22"/>
                <w:szCs w:val="22"/>
                <w:lang w:eastAsia="en-CA"/>
              </w:rPr>
              <w:t>фонд</w:t>
            </w:r>
            <w:r w:rsidRPr="001D6312">
              <w:rPr>
                <w:color w:val="000000"/>
                <w:kern w:val="22"/>
                <w:szCs w:val="22"/>
                <w:lang w:val="en-US" w:eastAsia="en-CA"/>
              </w:rPr>
              <w:t xml:space="preserve"> BB </w:t>
            </w:r>
          </w:p>
        </w:tc>
        <w:tc>
          <w:tcPr>
            <w:tcW w:w="1110" w:type="dxa"/>
            <w:tcBorders>
              <w:top w:val="nil"/>
              <w:left w:val="single" w:sz="4" w:space="0" w:color="auto"/>
              <w:bottom w:val="single" w:sz="4" w:space="0" w:color="auto"/>
              <w:right w:val="single" w:sz="4" w:space="0" w:color="auto"/>
            </w:tcBorders>
            <w:shd w:val="clear" w:color="auto" w:fill="auto"/>
            <w:noWrap/>
            <w:hideMark/>
          </w:tcPr>
          <w:p w:rsidR="001D6312" w:rsidRPr="001D6312" w:rsidRDefault="001D6312" w:rsidP="006F31EB">
            <w:pPr>
              <w:suppressLineNumbers/>
              <w:suppressAutoHyphens/>
              <w:jc w:val="center"/>
              <w:rPr>
                <w:color w:val="000000"/>
                <w:kern w:val="22"/>
                <w:szCs w:val="22"/>
                <w:lang w:val="en-US"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95</w:t>
            </w:r>
            <w:r>
              <w:rPr>
                <w:color w:val="000000"/>
                <w:kern w:val="22"/>
                <w:szCs w:val="22"/>
                <w:lang w:eastAsia="en-CA"/>
              </w:rPr>
              <w:t>,</w:t>
            </w:r>
            <w:r w:rsidRPr="009543E3">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9</w:t>
            </w:r>
            <w:r>
              <w:rPr>
                <w:color w:val="000000"/>
                <w:kern w:val="22"/>
                <w:szCs w:val="22"/>
                <w:lang w:eastAsia="en-CA"/>
              </w:rPr>
              <w:t>,</w:t>
            </w:r>
            <w:r w:rsidRPr="009543E3">
              <w:rPr>
                <w:color w:val="000000"/>
                <w:kern w:val="22"/>
                <w:szCs w:val="22"/>
                <w:lang w:eastAsia="en-CA"/>
              </w:rPr>
              <w:t>8</w:t>
            </w:r>
          </w:p>
        </w:tc>
        <w:tc>
          <w:tcPr>
            <w:tcW w:w="1111" w:type="dxa"/>
            <w:tcBorders>
              <w:top w:val="nil"/>
              <w:left w:val="single" w:sz="4" w:space="0" w:color="auto"/>
              <w:bottom w:val="single" w:sz="4" w:space="0" w:color="000000"/>
              <w:right w:val="single" w:sz="4" w:space="0" w:color="auto"/>
            </w:tcBorders>
            <w:shd w:val="clear" w:color="auto" w:fill="auto"/>
            <w:hideMark/>
          </w:tcPr>
          <w:p w:rsidR="001D6312" w:rsidRPr="009543E3" w:rsidRDefault="001D6312" w:rsidP="006F31EB">
            <w:pPr>
              <w:suppressLineNumbers/>
              <w:suppressAutoHyphens/>
              <w:jc w:val="center"/>
              <w:rPr>
                <w:color w:val="000000"/>
                <w:kern w:val="22"/>
                <w:szCs w:val="22"/>
                <w:lang w:eastAsia="en-CA"/>
              </w:rPr>
            </w:pPr>
            <w:r w:rsidRPr="009543E3">
              <w:rPr>
                <w:color w:val="000000"/>
                <w:kern w:val="22"/>
                <w:szCs w:val="22"/>
                <w:lang w:eastAsia="en-CA"/>
              </w:rPr>
              <w:t>20</w:t>
            </w:r>
            <w:r>
              <w:rPr>
                <w:color w:val="000000"/>
                <w:kern w:val="22"/>
                <w:szCs w:val="22"/>
                <w:lang w:eastAsia="en-CA"/>
              </w:rPr>
              <w:t>,</w:t>
            </w:r>
            <w:r w:rsidRPr="009543E3">
              <w:rPr>
                <w:color w:val="000000"/>
                <w:kern w:val="22"/>
                <w:szCs w:val="22"/>
                <w:lang w:eastAsia="en-CA"/>
              </w:rPr>
              <w:t>6</w:t>
            </w:r>
          </w:p>
        </w:tc>
        <w:tc>
          <w:tcPr>
            <w:tcW w:w="1111" w:type="dxa"/>
            <w:tcBorders>
              <w:top w:val="nil"/>
              <w:lef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125</w:t>
            </w:r>
            <w:r>
              <w:rPr>
                <w:b/>
                <w:bCs/>
                <w:color w:val="000000"/>
                <w:kern w:val="22"/>
                <w:szCs w:val="22"/>
                <w:lang w:eastAsia="en-CA"/>
              </w:rPr>
              <w:t>,</w:t>
            </w:r>
            <w:r w:rsidRPr="009543E3">
              <w:rPr>
                <w:b/>
                <w:bCs/>
                <w:color w:val="000000"/>
                <w:kern w:val="22"/>
                <w:szCs w:val="22"/>
                <w:lang w:eastAsia="en-CA"/>
              </w:rPr>
              <w:t>9</w:t>
            </w:r>
          </w:p>
        </w:tc>
      </w:tr>
      <w:tr w:rsidR="001D6312" w:rsidRPr="009543E3" w:rsidTr="001D6312">
        <w:trPr>
          <w:cantSplit/>
          <w:jc w:val="center"/>
        </w:trPr>
        <w:tc>
          <w:tcPr>
            <w:tcW w:w="3692"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rPr>
                <w:b/>
                <w:bCs/>
                <w:color w:val="000000"/>
                <w:kern w:val="22"/>
                <w:szCs w:val="22"/>
                <w:lang w:eastAsia="en-CA"/>
              </w:rPr>
            </w:pPr>
            <w:r>
              <w:rPr>
                <w:b/>
                <w:bCs/>
                <w:color w:val="000000"/>
                <w:kern w:val="22"/>
                <w:szCs w:val="22"/>
                <w:lang w:eastAsia="en-CA"/>
              </w:rPr>
              <w:t>Итого</w:t>
            </w:r>
          </w:p>
        </w:tc>
        <w:tc>
          <w:tcPr>
            <w:tcW w:w="1110"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 xml:space="preserve">1 </w:t>
            </w:r>
            <w:r>
              <w:rPr>
                <w:b/>
                <w:bCs/>
                <w:color w:val="000000"/>
                <w:kern w:val="22"/>
                <w:szCs w:val="22"/>
                <w:lang w:eastAsia="en-CA"/>
              </w:rPr>
              <w:t>618,</w:t>
            </w:r>
            <w:r w:rsidRPr="009543E3">
              <w:rPr>
                <w:b/>
                <w:bCs/>
                <w:color w:val="000000"/>
                <w:kern w:val="22"/>
                <w:szCs w:val="22"/>
                <w:lang w:eastAsia="en-CA"/>
              </w:rPr>
              <w:t>2</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1 036</w:t>
            </w:r>
            <w:r>
              <w:rPr>
                <w:b/>
                <w:bCs/>
                <w:color w:val="000000"/>
                <w:kern w:val="22"/>
                <w:szCs w:val="22"/>
                <w:lang w:eastAsia="en-CA"/>
              </w:rPr>
              <w:t>,</w:t>
            </w:r>
            <w:r w:rsidRPr="009543E3">
              <w:rPr>
                <w:b/>
                <w:bCs/>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122</w:t>
            </w:r>
            <w:r>
              <w:rPr>
                <w:b/>
                <w:bCs/>
                <w:color w:val="000000"/>
                <w:kern w:val="22"/>
                <w:szCs w:val="22"/>
                <w:lang w:eastAsia="en-CA"/>
              </w:rPr>
              <w:t>,</w:t>
            </w:r>
            <w:r w:rsidRPr="009543E3">
              <w:rPr>
                <w:b/>
                <w:bCs/>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187</w:t>
            </w:r>
            <w:r>
              <w:rPr>
                <w:b/>
                <w:bCs/>
                <w:color w:val="000000"/>
                <w:kern w:val="22"/>
                <w:szCs w:val="22"/>
                <w:lang w:eastAsia="en-CA"/>
              </w:rPr>
              <w:t>,</w:t>
            </w:r>
            <w:r w:rsidRPr="009543E3">
              <w:rPr>
                <w:b/>
                <w:bCs/>
                <w:color w:val="000000"/>
                <w:kern w:val="22"/>
                <w:szCs w:val="22"/>
                <w:lang w:eastAsia="en-CA"/>
              </w:rPr>
              <w:t>3</w:t>
            </w:r>
          </w:p>
        </w:tc>
        <w:tc>
          <w:tcPr>
            <w:tcW w:w="1111" w:type="dxa"/>
            <w:tcBorders>
              <w:top w:val="nil"/>
              <w:left w:val="single" w:sz="4" w:space="0" w:color="auto"/>
            </w:tcBorders>
            <w:shd w:val="clear" w:color="auto" w:fill="auto"/>
            <w:noWrap/>
            <w:hideMark/>
          </w:tcPr>
          <w:p w:rsidR="001D6312" w:rsidRPr="009543E3" w:rsidRDefault="001D6312" w:rsidP="006F31EB">
            <w:pPr>
              <w:suppressLineNumbers/>
              <w:suppressAutoHyphens/>
              <w:jc w:val="center"/>
              <w:rPr>
                <w:b/>
                <w:bCs/>
                <w:color w:val="000000"/>
                <w:kern w:val="22"/>
                <w:szCs w:val="22"/>
                <w:lang w:eastAsia="en-CA"/>
              </w:rPr>
            </w:pPr>
            <w:r w:rsidRPr="009543E3">
              <w:rPr>
                <w:b/>
                <w:bCs/>
                <w:color w:val="000000"/>
                <w:kern w:val="22"/>
                <w:szCs w:val="22"/>
                <w:lang w:eastAsia="en-CA"/>
              </w:rPr>
              <w:t>2 964</w:t>
            </w:r>
            <w:r>
              <w:rPr>
                <w:b/>
                <w:bCs/>
                <w:color w:val="000000"/>
                <w:kern w:val="22"/>
                <w:szCs w:val="22"/>
                <w:lang w:eastAsia="en-CA"/>
              </w:rPr>
              <w:t>,</w:t>
            </w:r>
            <w:r w:rsidRPr="009543E3">
              <w:rPr>
                <w:b/>
                <w:bCs/>
                <w:color w:val="000000"/>
                <w:kern w:val="22"/>
                <w:szCs w:val="22"/>
                <w:lang w:eastAsia="en-CA"/>
              </w:rPr>
              <w:t>4</w:t>
            </w:r>
          </w:p>
        </w:tc>
      </w:tr>
    </w:tbl>
    <w:p w:rsidR="001D6312" w:rsidRDefault="001D6312" w:rsidP="001D6312">
      <w:pPr>
        <w:spacing w:before="120" w:after="120"/>
        <w:contextualSpacing/>
        <w:rPr>
          <w:i/>
          <w:iCs/>
          <w:snapToGrid w:val="0"/>
          <w:kern w:val="22"/>
          <w:szCs w:val="22"/>
        </w:rPr>
      </w:pPr>
    </w:p>
    <w:p w:rsidR="00E21ADC" w:rsidRPr="000322A9" w:rsidRDefault="00E21ADC" w:rsidP="009E71AA">
      <w:pPr>
        <w:pStyle w:val="ListParagraph"/>
        <w:numPr>
          <w:ilvl w:val="0"/>
          <w:numId w:val="5"/>
        </w:numPr>
        <w:spacing w:before="120" w:after="120"/>
        <w:ind w:left="0" w:firstLine="0"/>
        <w:contextualSpacing w:val="0"/>
        <w:rPr>
          <w:iCs/>
          <w:kern w:val="22"/>
        </w:rPr>
      </w:pPr>
      <w:r>
        <w:t>Совокупный излишек (не включающий в себя резерв оборотных средств в размере 2 964 400 долл. США) во всех трех целевых фондах (BY, BG и BB) оценивается в 7 миллионов долл. США на конец 2020 года и в 2,9 миллионов долл. США после представления отчетности по расходам в 2021 году из имеющегося бюджета по сост</w:t>
      </w:r>
      <w:r w:rsidR="000D2185">
        <w:t xml:space="preserve">оянию на 31 декабря 2021 года. </w:t>
      </w:r>
      <w:r>
        <w:t>Этот прогноз основывается на допущении, в соответствии с которым секретариат не получит никаких дополнительных начисленных взносов за 2020 год и предыдущие годы.</w:t>
      </w:r>
    </w:p>
    <w:p w:rsidR="00BB6D21" w:rsidRDefault="00BB6D21" w:rsidP="00BB6D21">
      <w:pPr>
        <w:spacing w:before="120" w:after="120"/>
        <w:contextualSpacing/>
        <w:rPr>
          <w:b/>
        </w:rPr>
      </w:pPr>
      <w:r>
        <w:rPr>
          <w:b/>
        </w:rPr>
        <w:t>Таблица 4</w:t>
      </w:r>
    </w:p>
    <w:p w:rsidR="00221A9E" w:rsidRDefault="00006A4C" w:rsidP="00BB6D21">
      <w:pPr>
        <w:spacing w:before="120" w:after="120"/>
        <w:contextualSpacing/>
        <w:rPr>
          <w:b/>
          <w:bCs/>
          <w:kern w:val="22"/>
          <w:szCs w:val="22"/>
        </w:rPr>
      </w:pPr>
      <w:r>
        <w:rPr>
          <w:b/>
        </w:rPr>
        <w:t>Прогнозируемый совокупный излишек (исключая резерв оборотных средств</w:t>
      </w:r>
      <w:r w:rsidR="00221A9E" w:rsidRPr="001242B3">
        <w:rPr>
          <w:b/>
          <w:bCs/>
          <w:kern w:val="22"/>
          <w:szCs w:val="22"/>
        </w:rPr>
        <w:t>)</w:t>
      </w:r>
    </w:p>
    <w:p w:rsidR="00BB6D21" w:rsidRDefault="00BB6D21" w:rsidP="00BB6D21">
      <w:pPr>
        <w:spacing w:before="120" w:after="120"/>
        <w:contextualSpacing/>
        <w:rPr>
          <w:i/>
          <w:iCs/>
          <w:snapToGrid w:val="0"/>
          <w:kern w:val="22"/>
          <w:szCs w:val="22"/>
        </w:rPr>
      </w:pPr>
      <w:r w:rsidRPr="00616DB7">
        <w:rPr>
          <w:i/>
          <w:iCs/>
          <w:snapToGrid w:val="0"/>
          <w:kern w:val="22"/>
          <w:szCs w:val="22"/>
        </w:rPr>
        <w:t xml:space="preserve">(в </w:t>
      </w:r>
      <w:r>
        <w:rPr>
          <w:i/>
          <w:iCs/>
          <w:snapToGrid w:val="0"/>
          <w:kern w:val="22"/>
          <w:szCs w:val="22"/>
        </w:rPr>
        <w:t>млн</w:t>
      </w:r>
      <w:r w:rsidRPr="00616DB7">
        <w:rPr>
          <w:i/>
          <w:iCs/>
          <w:snapToGrid w:val="0"/>
          <w:kern w:val="22"/>
          <w:szCs w:val="22"/>
        </w:rPr>
        <w:t xml:space="preserve"> долл. США)</w:t>
      </w:r>
    </w:p>
    <w:tbl>
      <w:tblPr>
        <w:tblStyle w:val="TableGrid"/>
        <w:tblW w:w="0" w:type="auto"/>
        <w:tblInd w:w="0" w:type="dxa"/>
        <w:tblLook w:val="04A0" w:firstRow="1" w:lastRow="0" w:firstColumn="1" w:lastColumn="0" w:noHBand="0" w:noVBand="1"/>
      </w:tblPr>
      <w:tblGrid>
        <w:gridCol w:w="2263"/>
        <w:gridCol w:w="1725"/>
        <w:gridCol w:w="1725"/>
        <w:gridCol w:w="1725"/>
        <w:gridCol w:w="1726"/>
      </w:tblGrid>
      <w:tr w:rsidR="00BB6D21" w:rsidRPr="009543E3" w:rsidTr="006F31EB">
        <w:tc>
          <w:tcPr>
            <w:tcW w:w="2263" w:type="dxa"/>
          </w:tcPr>
          <w:p w:rsidR="00BB6D21" w:rsidRPr="009543E3" w:rsidRDefault="00BB6D21" w:rsidP="006F31EB">
            <w:pPr>
              <w:keepNext/>
              <w:suppressLineNumbers/>
              <w:suppressAutoHyphens/>
              <w:jc w:val="center"/>
              <w:rPr>
                <w:i/>
                <w:iCs/>
                <w:kern w:val="22"/>
                <w:szCs w:val="22"/>
              </w:rPr>
            </w:pPr>
            <w:r>
              <w:rPr>
                <w:i/>
                <w:iCs/>
                <w:kern w:val="22"/>
                <w:szCs w:val="22"/>
              </w:rPr>
              <w:t>Дата</w:t>
            </w:r>
          </w:p>
        </w:tc>
        <w:tc>
          <w:tcPr>
            <w:tcW w:w="1725" w:type="dxa"/>
          </w:tcPr>
          <w:p w:rsidR="00BB6D21" w:rsidRPr="009543E3" w:rsidRDefault="00BB6D21" w:rsidP="006F31EB">
            <w:pPr>
              <w:keepNext/>
              <w:suppressLineNumbers/>
              <w:suppressAutoHyphens/>
              <w:jc w:val="center"/>
              <w:rPr>
                <w:i/>
                <w:iCs/>
                <w:kern w:val="22"/>
                <w:szCs w:val="22"/>
              </w:rPr>
            </w:pPr>
            <w:r>
              <w:rPr>
                <w:i/>
                <w:iCs/>
                <w:kern w:val="22"/>
                <w:szCs w:val="22"/>
              </w:rPr>
              <w:t>Конвенция</w:t>
            </w:r>
          </w:p>
        </w:tc>
        <w:tc>
          <w:tcPr>
            <w:tcW w:w="1725" w:type="dxa"/>
          </w:tcPr>
          <w:p w:rsidR="00BB6D21" w:rsidRPr="009543E3" w:rsidRDefault="00BB6D21" w:rsidP="006F31EB">
            <w:pPr>
              <w:keepNext/>
              <w:suppressLineNumbers/>
              <w:suppressAutoHyphens/>
              <w:jc w:val="center"/>
              <w:rPr>
                <w:i/>
                <w:iCs/>
                <w:kern w:val="22"/>
                <w:szCs w:val="22"/>
              </w:rPr>
            </w:pPr>
            <w:r>
              <w:rPr>
                <w:i/>
                <w:iCs/>
                <w:kern w:val="22"/>
                <w:szCs w:val="22"/>
              </w:rPr>
              <w:t>Картахенский протокол</w:t>
            </w:r>
          </w:p>
        </w:tc>
        <w:tc>
          <w:tcPr>
            <w:tcW w:w="1725" w:type="dxa"/>
          </w:tcPr>
          <w:p w:rsidR="00BB6D21" w:rsidRPr="009543E3" w:rsidRDefault="00BB6D21" w:rsidP="006F31EB">
            <w:pPr>
              <w:keepNext/>
              <w:suppressLineNumbers/>
              <w:suppressAutoHyphens/>
              <w:jc w:val="center"/>
              <w:rPr>
                <w:i/>
                <w:iCs/>
                <w:kern w:val="22"/>
                <w:szCs w:val="22"/>
              </w:rPr>
            </w:pPr>
            <w:r>
              <w:rPr>
                <w:i/>
                <w:iCs/>
                <w:kern w:val="22"/>
                <w:szCs w:val="22"/>
              </w:rPr>
              <w:t>Нагойский протокол</w:t>
            </w:r>
          </w:p>
        </w:tc>
        <w:tc>
          <w:tcPr>
            <w:tcW w:w="1726" w:type="dxa"/>
          </w:tcPr>
          <w:p w:rsidR="00BB6D21" w:rsidRPr="009543E3" w:rsidRDefault="00BB6D21" w:rsidP="006F31EB">
            <w:pPr>
              <w:keepNext/>
              <w:suppressLineNumbers/>
              <w:suppressAutoHyphens/>
              <w:jc w:val="center"/>
              <w:rPr>
                <w:i/>
                <w:iCs/>
                <w:kern w:val="22"/>
                <w:szCs w:val="22"/>
              </w:rPr>
            </w:pPr>
            <w:r>
              <w:rPr>
                <w:i/>
                <w:iCs/>
                <w:kern w:val="22"/>
                <w:szCs w:val="22"/>
              </w:rPr>
              <w:t>Итого</w:t>
            </w:r>
          </w:p>
        </w:tc>
      </w:tr>
      <w:tr w:rsidR="00BB6D21" w:rsidRPr="009543E3" w:rsidTr="006F31EB">
        <w:tc>
          <w:tcPr>
            <w:tcW w:w="2263" w:type="dxa"/>
          </w:tcPr>
          <w:p w:rsidR="00BB6D21" w:rsidRPr="009543E3" w:rsidRDefault="006B1D88" w:rsidP="006B1D88">
            <w:pPr>
              <w:keepNext/>
              <w:suppressLineNumbers/>
              <w:suppressAutoHyphens/>
              <w:jc w:val="left"/>
              <w:rPr>
                <w:kern w:val="22"/>
                <w:szCs w:val="22"/>
              </w:rPr>
            </w:pPr>
            <w:r>
              <w:rPr>
                <w:kern w:val="22"/>
                <w:szCs w:val="22"/>
              </w:rPr>
              <w:t>Резервы</w:t>
            </w:r>
            <w:r w:rsidR="00BB6D21">
              <w:rPr>
                <w:kern w:val="22"/>
                <w:szCs w:val="22"/>
              </w:rPr>
              <w:t xml:space="preserve"> по состоянию на</w:t>
            </w:r>
            <w:r w:rsidR="00BB6D21" w:rsidRPr="009543E3">
              <w:rPr>
                <w:kern w:val="22"/>
                <w:szCs w:val="22"/>
              </w:rPr>
              <w:t xml:space="preserve"> 31 </w:t>
            </w:r>
            <w:r>
              <w:rPr>
                <w:kern w:val="22"/>
                <w:szCs w:val="22"/>
              </w:rPr>
              <w:t>декабря</w:t>
            </w:r>
            <w:r w:rsidR="00BB6D21" w:rsidRPr="009543E3">
              <w:rPr>
                <w:kern w:val="22"/>
                <w:szCs w:val="22"/>
              </w:rPr>
              <w:t xml:space="preserve"> 2020</w:t>
            </w:r>
            <w:r>
              <w:rPr>
                <w:kern w:val="22"/>
                <w:szCs w:val="22"/>
              </w:rPr>
              <w:t xml:space="preserve"> г.</w:t>
            </w:r>
          </w:p>
        </w:tc>
        <w:tc>
          <w:tcPr>
            <w:tcW w:w="1725" w:type="dxa"/>
            <w:vAlign w:val="center"/>
          </w:tcPr>
          <w:p w:rsidR="00BB6D21" w:rsidRPr="009543E3" w:rsidRDefault="00BB6D21" w:rsidP="006F31EB">
            <w:pPr>
              <w:keepNext/>
              <w:suppressLineNumbers/>
              <w:suppressAutoHyphens/>
              <w:ind w:right="567"/>
              <w:jc w:val="right"/>
              <w:rPr>
                <w:kern w:val="22"/>
                <w:szCs w:val="22"/>
              </w:rPr>
            </w:pPr>
            <w:r>
              <w:rPr>
                <w:kern w:val="22"/>
                <w:szCs w:val="22"/>
              </w:rPr>
              <w:t>4,</w:t>
            </w:r>
            <w:r w:rsidRPr="009543E3">
              <w:rPr>
                <w:kern w:val="22"/>
                <w:szCs w:val="22"/>
              </w:rPr>
              <w:t>6</w:t>
            </w:r>
          </w:p>
        </w:tc>
        <w:tc>
          <w:tcPr>
            <w:tcW w:w="1725" w:type="dxa"/>
            <w:vAlign w:val="center"/>
          </w:tcPr>
          <w:p w:rsidR="00BB6D21" w:rsidRPr="009543E3" w:rsidRDefault="00BB6D21" w:rsidP="006F31EB">
            <w:pPr>
              <w:keepNext/>
              <w:suppressLineNumbers/>
              <w:suppressAutoHyphens/>
              <w:ind w:right="567"/>
              <w:jc w:val="right"/>
              <w:rPr>
                <w:kern w:val="22"/>
                <w:szCs w:val="22"/>
              </w:rPr>
            </w:pPr>
            <w:r>
              <w:rPr>
                <w:kern w:val="22"/>
                <w:szCs w:val="22"/>
              </w:rPr>
              <w:t>1,</w:t>
            </w:r>
            <w:r w:rsidRPr="009543E3">
              <w:rPr>
                <w:kern w:val="22"/>
                <w:szCs w:val="22"/>
              </w:rPr>
              <w:t>9</w:t>
            </w:r>
          </w:p>
        </w:tc>
        <w:tc>
          <w:tcPr>
            <w:tcW w:w="1725" w:type="dxa"/>
            <w:vAlign w:val="center"/>
          </w:tcPr>
          <w:p w:rsidR="00BB6D21" w:rsidRPr="009543E3" w:rsidRDefault="00BB6D21" w:rsidP="006F31EB">
            <w:pPr>
              <w:keepNext/>
              <w:suppressLineNumbers/>
              <w:suppressAutoHyphens/>
              <w:ind w:right="567"/>
              <w:jc w:val="right"/>
              <w:rPr>
                <w:kern w:val="22"/>
                <w:szCs w:val="22"/>
              </w:rPr>
            </w:pPr>
            <w:r>
              <w:rPr>
                <w:kern w:val="22"/>
                <w:szCs w:val="22"/>
              </w:rPr>
              <w:t>0,</w:t>
            </w:r>
            <w:r w:rsidRPr="009543E3">
              <w:rPr>
                <w:kern w:val="22"/>
                <w:szCs w:val="22"/>
              </w:rPr>
              <w:t>5</w:t>
            </w:r>
          </w:p>
        </w:tc>
        <w:tc>
          <w:tcPr>
            <w:tcW w:w="1726" w:type="dxa"/>
            <w:vAlign w:val="center"/>
          </w:tcPr>
          <w:p w:rsidR="00BB6D21" w:rsidRPr="009543E3" w:rsidRDefault="00BB6D21" w:rsidP="006F31EB">
            <w:pPr>
              <w:keepNext/>
              <w:suppressLineNumbers/>
              <w:suppressAutoHyphens/>
              <w:ind w:right="567"/>
              <w:jc w:val="right"/>
              <w:rPr>
                <w:b/>
                <w:kern w:val="22"/>
                <w:szCs w:val="22"/>
              </w:rPr>
            </w:pPr>
            <w:r w:rsidRPr="009543E3">
              <w:rPr>
                <w:b/>
                <w:kern w:val="22"/>
                <w:szCs w:val="22"/>
              </w:rPr>
              <w:t>7</w:t>
            </w:r>
          </w:p>
        </w:tc>
      </w:tr>
      <w:tr w:rsidR="00BB6D21" w:rsidRPr="009543E3" w:rsidTr="006F31EB">
        <w:tc>
          <w:tcPr>
            <w:tcW w:w="2263" w:type="dxa"/>
          </w:tcPr>
          <w:p w:rsidR="00BB6D21" w:rsidRPr="009543E3" w:rsidRDefault="006B1D88" w:rsidP="006B1D88">
            <w:pPr>
              <w:suppressLineNumbers/>
              <w:suppressAutoHyphens/>
              <w:jc w:val="left"/>
              <w:rPr>
                <w:kern w:val="22"/>
                <w:szCs w:val="22"/>
              </w:rPr>
            </w:pPr>
            <w:r>
              <w:rPr>
                <w:kern w:val="22"/>
                <w:szCs w:val="22"/>
              </w:rPr>
              <w:t>Резервы по состоянию на</w:t>
            </w:r>
            <w:r w:rsidRPr="009543E3">
              <w:rPr>
                <w:kern w:val="22"/>
                <w:szCs w:val="22"/>
              </w:rPr>
              <w:t xml:space="preserve"> 31 </w:t>
            </w:r>
            <w:r>
              <w:rPr>
                <w:kern w:val="22"/>
                <w:szCs w:val="22"/>
              </w:rPr>
              <w:t>декабря</w:t>
            </w:r>
            <w:r w:rsidRPr="009543E3">
              <w:rPr>
                <w:kern w:val="22"/>
                <w:szCs w:val="22"/>
              </w:rPr>
              <w:t xml:space="preserve"> </w:t>
            </w:r>
            <w:r w:rsidR="00BB6D21" w:rsidRPr="009543E3">
              <w:rPr>
                <w:kern w:val="22"/>
                <w:szCs w:val="22"/>
              </w:rPr>
              <w:t>2021</w:t>
            </w:r>
            <w:r>
              <w:rPr>
                <w:kern w:val="22"/>
                <w:szCs w:val="22"/>
              </w:rPr>
              <w:t> г.</w:t>
            </w:r>
          </w:p>
        </w:tc>
        <w:tc>
          <w:tcPr>
            <w:tcW w:w="1725" w:type="dxa"/>
            <w:vAlign w:val="center"/>
          </w:tcPr>
          <w:p w:rsidR="00BB6D21" w:rsidRPr="009543E3" w:rsidRDefault="00BB6D21" w:rsidP="006F31EB">
            <w:pPr>
              <w:suppressLineNumbers/>
              <w:suppressAutoHyphens/>
              <w:ind w:right="567"/>
              <w:jc w:val="right"/>
              <w:rPr>
                <w:kern w:val="22"/>
                <w:szCs w:val="22"/>
              </w:rPr>
            </w:pPr>
            <w:r>
              <w:rPr>
                <w:kern w:val="22"/>
                <w:szCs w:val="22"/>
              </w:rPr>
              <w:t>1,</w:t>
            </w:r>
            <w:r w:rsidRPr="009543E3">
              <w:rPr>
                <w:kern w:val="22"/>
                <w:szCs w:val="22"/>
              </w:rPr>
              <w:t xml:space="preserve">6 </w:t>
            </w:r>
          </w:p>
        </w:tc>
        <w:tc>
          <w:tcPr>
            <w:tcW w:w="1725" w:type="dxa"/>
            <w:vAlign w:val="center"/>
          </w:tcPr>
          <w:p w:rsidR="00BB6D21" w:rsidRPr="009543E3" w:rsidRDefault="00BB6D21" w:rsidP="006F31EB">
            <w:pPr>
              <w:suppressLineNumbers/>
              <w:suppressAutoHyphens/>
              <w:ind w:right="567"/>
              <w:jc w:val="right"/>
              <w:rPr>
                <w:kern w:val="22"/>
                <w:szCs w:val="22"/>
              </w:rPr>
            </w:pPr>
            <w:r>
              <w:rPr>
                <w:kern w:val="22"/>
                <w:szCs w:val="22"/>
              </w:rPr>
              <w:t>1,</w:t>
            </w:r>
            <w:r w:rsidRPr="009543E3">
              <w:rPr>
                <w:kern w:val="22"/>
                <w:szCs w:val="22"/>
              </w:rPr>
              <w:t>3</w:t>
            </w:r>
          </w:p>
        </w:tc>
        <w:tc>
          <w:tcPr>
            <w:tcW w:w="1725" w:type="dxa"/>
            <w:vAlign w:val="center"/>
          </w:tcPr>
          <w:p w:rsidR="00BB6D21" w:rsidRPr="009543E3" w:rsidRDefault="00BB6D21" w:rsidP="006F31EB">
            <w:pPr>
              <w:suppressLineNumbers/>
              <w:suppressAutoHyphens/>
              <w:ind w:right="567"/>
              <w:jc w:val="right"/>
              <w:rPr>
                <w:kern w:val="22"/>
                <w:szCs w:val="22"/>
              </w:rPr>
            </w:pPr>
            <w:r>
              <w:rPr>
                <w:kern w:val="22"/>
                <w:szCs w:val="22"/>
              </w:rPr>
              <w:t>0,</w:t>
            </w:r>
            <w:r w:rsidRPr="009543E3">
              <w:rPr>
                <w:kern w:val="22"/>
                <w:szCs w:val="22"/>
              </w:rPr>
              <w:t>05</w:t>
            </w:r>
          </w:p>
        </w:tc>
        <w:tc>
          <w:tcPr>
            <w:tcW w:w="1726" w:type="dxa"/>
            <w:vAlign w:val="center"/>
          </w:tcPr>
          <w:p w:rsidR="00BB6D21" w:rsidRPr="009543E3" w:rsidRDefault="00BB6D21" w:rsidP="006F31EB">
            <w:pPr>
              <w:suppressLineNumbers/>
              <w:suppressAutoHyphens/>
              <w:ind w:right="567"/>
              <w:jc w:val="right"/>
              <w:rPr>
                <w:b/>
                <w:kern w:val="22"/>
                <w:szCs w:val="22"/>
              </w:rPr>
            </w:pPr>
            <w:r>
              <w:rPr>
                <w:b/>
                <w:kern w:val="22"/>
                <w:szCs w:val="22"/>
              </w:rPr>
              <w:t>2,</w:t>
            </w:r>
            <w:r w:rsidRPr="009543E3">
              <w:rPr>
                <w:b/>
                <w:kern w:val="22"/>
                <w:szCs w:val="22"/>
              </w:rPr>
              <w:t>95</w:t>
            </w:r>
          </w:p>
        </w:tc>
      </w:tr>
    </w:tbl>
    <w:p w:rsidR="00221A9E" w:rsidRPr="001242B3" w:rsidRDefault="00311D4C" w:rsidP="003D265E">
      <w:pPr>
        <w:pStyle w:val="Default"/>
        <w:numPr>
          <w:ilvl w:val="0"/>
          <w:numId w:val="6"/>
        </w:numPr>
        <w:spacing w:before="240" w:after="120"/>
        <w:ind w:left="1134" w:hanging="567"/>
        <w:rPr>
          <w:rFonts w:eastAsiaTheme="minorEastAsia"/>
          <w:b/>
          <w:bCs/>
          <w:kern w:val="22"/>
          <w:sz w:val="22"/>
          <w:szCs w:val="22"/>
          <w:lang w:val="ru-RU"/>
        </w:rPr>
      </w:pPr>
      <w:r>
        <w:rPr>
          <w:b/>
          <w:sz w:val="22"/>
        </w:rPr>
        <w:t>ПРЕДЛОЖЕНИЕ О ПРОДЛЕНИИ СРОКА ДЕЙСТВИЯ УТВЕРЖДЕННОГО КОМПЛЕКСНОГО БЮДЖЕТА НА 2019/2020 ГГ.</w:t>
      </w:r>
    </w:p>
    <w:p w:rsidR="001242B3" w:rsidRPr="000322A9" w:rsidRDefault="001242B3" w:rsidP="009E71AA">
      <w:pPr>
        <w:pStyle w:val="ListParagraph"/>
        <w:numPr>
          <w:ilvl w:val="0"/>
          <w:numId w:val="5"/>
        </w:numPr>
        <w:spacing w:before="120" w:after="120"/>
        <w:ind w:left="0" w:firstLine="0"/>
        <w:contextualSpacing w:val="0"/>
        <w:rPr>
          <w:iCs/>
          <w:kern w:val="22"/>
        </w:rPr>
      </w:pPr>
      <w:r>
        <w:t xml:space="preserve">Ввиду различных ограничений, введенных правительствами во всем мире для борьбы с пандемией COVID-19, а также неопределенностей, связанных с пандемией, и с учетом природы и длительности ответных мер, принятых каждым правительством, </w:t>
      </w:r>
      <w:r w:rsidR="00595E92">
        <w:t>пятнадцатое совещание Конференции Сторон</w:t>
      </w:r>
      <w:r>
        <w:t xml:space="preserve"> и проводимые одновременно с </w:t>
      </w:r>
      <w:r w:rsidR="00595E92">
        <w:t>нам</w:t>
      </w:r>
      <w:r>
        <w:t xml:space="preserve"> совещания руководящих органов протоколов, очные совещания</w:t>
      </w:r>
      <w:r w:rsidR="00595E92">
        <w:t xml:space="preserve"> обоих вспомогательных органов, а также</w:t>
      </w:r>
      <w:r>
        <w:t xml:space="preserve"> третье </w:t>
      </w:r>
      <w:r w:rsidRPr="00870079">
        <w:t>совещание Рабочей группы по подготов</w:t>
      </w:r>
      <w:r>
        <w:t xml:space="preserve">ке глобальной рамочной программы в области биоразнообразия на период после 2020 года не могут быть созваны в 2020 году. В настоящее время эти совещания </w:t>
      </w:r>
      <w:r w:rsidR="00634B8F">
        <w:t xml:space="preserve">планируется </w:t>
      </w:r>
      <w:r w:rsidR="00634B8F">
        <w:lastRenderedPageBreak/>
        <w:t xml:space="preserve">провести </w:t>
      </w:r>
      <w:r>
        <w:t>в 2021 году</w:t>
      </w:r>
      <w:r w:rsidRPr="00634B8F">
        <w:rPr>
          <w:iCs/>
          <w:kern w:val="22"/>
          <w:vertAlign w:val="superscript"/>
        </w:rPr>
        <w:footnoteReference w:id="6"/>
      </w:r>
      <w:r>
        <w:t xml:space="preserve">. Учитывая, что срок действия утвержденного бюджета на 2019-2020 годы </w:t>
      </w:r>
      <w:r w:rsidR="00870079">
        <w:t>истечет</w:t>
      </w:r>
      <w:r>
        <w:t xml:space="preserve"> 31 декабря 2020 года, секретариат запрашивает разрешения Сторон на продление срока действия бюджета на один год (вплоть до 31 декабря 2021 года), либо, если </w:t>
      </w:r>
      <w:r w:rsidR="00870079">
        <w:t>пятнадцатое совещание Конференции Сторон</w:t>
      </w:r>
      <w:r>
        <w:t xml:space="preserve"> не будет проводиться в течение 2021 года, до конца месяца, следующего за закрытием </w:t>
      </w:r>
      <w:r w:rsidR="00870079">
        <w:t>пятнадцатого совещания</w:t>
      </w:r>
      <w:r>
        <w:t>, с тем чтобы обеспечить возможность осуществления следующих приоритетных видов деятельности, которые первоначально были запланированы на 2020 год, но затем были перенесены:</w:t>
      </w:r>
    </w:p>
    <w:p w:rsidR="001242B3" w:rsidRPr="000322A9" w:rsidRDefault="001242B3" w:rsidP="00CD0D5B">
      <w:pPr>
        <w:pStyle w:val="ListParagraph"/>
        <w:numPr>
          <w:ilvl w:val="0"/>
          <w:numId w:val="17"/>
        </w:numPr>
        <w:spacing w:after="120"/>
        <w:ind w:left="0" w:firstLine="720"/>
        <w:contextualSpacing w:val="0"/>
        <w:rPr>
          <w:rFonts w:eastAsia="Malgun Gothic"/>
          <w:color w:val="000000" w:themeColor="text1"/>
          <w:kern w:val="22"/>
          <w:szCs w:val="22"/>
        </w:rPr>
      </w:pPr>
      <w:r>
        <w:rPr>
          <w:color w:val="000000" w:themeColor="text1"/>
        </w:rPr>
        <w:t>пятнадцатое совещание Конференции Сторон</w:t>
      </w:r>
      <w:r w:rsidR="00870079">
        <w:rPr>
          <w:color w:val="000000" w:themeColor="text1"/>
        </w:rPr>
        <w:t xml:space="preserve"> Конвенции;</w:t>
      </w:r>
    </w:p>
    <w:p w:rsidR="001242B3" w:rsidRPr="000322A9" w:rsidRDefault="001242B3" w:rsidP="00CD0D5B">
      <w:pPr>
        <w:pStyle w:val="ListParagraph"/>
        <w:numPr>
          <w:ilvl w:val="0"/>
          <w:numId w:val="17"/>
        </w:numPr>
        <w:spacing w:after="120"/>
        <w:ind w:left="0" w:firstLine="720"/>
        <w:contextualSpacing w:val="0"/>
        <w:rPr>
          <w:rFonts w:eastAsia="Malgun Gothic"/>
          <w:color w:val="000000" w:themeColor="text1"/>
          <w:kern w:val="22"/>
          <w:szCs w:val="22"/>
        </w:rPr>
      </w:pPr>
      <w:r>
        <w:rPr>
          <w:color w:val="000000" w:themeColor="text1"/>
        </w:rPr>
        <w:t>десятое совещание Конференции Сторон, выступающей в качестве совещания Сторон Картахенского протокола по биобезопасности</w:t>
      </w:r>
      <w:r w:rsidR="00870079">
        <w:rPr>
          <w:color w:val="000000" w:themeColor="text1"/>
        </w:rPr>
        <w:t>;</w:t>
      </w:r>
      <w:r>
        <w:rPr>
          <w:color w:val="000000" w:themeColor="text1"/>
        </w:rPr>
        <w:t xml:space="preserve"> </w:t>
      </w:r>
    </w:p>
    <w:p w:rsidR="001242B3" w:rsidRPr="000322A9" w:rsidRDefault="001242B3" w:rsidP="00CD0D5B">
      <w:pPr>
        <w:pStyle w:val="ListParagraph"/>
        <w:numPr>
          <w:ilvl w:val="0"/>
          <w:numId w:val="17"/>
        </w:numPr>
        <w:spacing w:after="120"/>
        <w:ind w:left="0" w:firstLine="720"/>
        <w:contextualSpacing w:val="0"/>
        <w:rPr>
          <w:rFonts w:eastAsia="Malgun Gothic"/>
          <w:color w:val="000000" w:themeColor="text1"/>
          <w:kern w:val="22"/>
          <w:szCs w:val="22"/>
        </w:rPr>
      </w:pPr>
      <w:r>
        <w:rPr>
          <w:color w:val="000000" w:themeColor="text1"/>
        </w:rPr>
        <w:t xml:space="preserve">четвертое совещание Конференции Сторон, выступающей в качестве совещания Сторон Нагойского протокола регулирования доступа к генетическим ресурсам и </w:t>
      </w:r>
      <w:r w:rsidR="00870079">
        <w:rPr>
          <w:color w:val="000000" w:themeColor="text1"/>
        </w:rPr>
        <w:t>совместного использования выгод;</w:t>
      </w:r>
    </w:p>
    <w:p w:rsidR="001242B3" w:rsidRPr="000322A9" w:rsidRDefault="001242B3" w:rsidP="00CD0D5B">
      <w:pPr>
        <w:pStyle w:val="ListParagraph"/>
        <w:numPr>
          <w:ilvl w:val="0"/>
          <w:numId w:val="17"/>
        </w:numPr>
        <w:spacing w:after="120"/>
        <w:ind w:left="0" w:firstLine="720"/>
        <w:rPr>
          <w:rFonts w:eastAsia="Malgun Gothic"/>
          <w:color w:val="000000" w:themeColor="text1"/>
          <w:kern w:val="22"/>
          <w:szCs w:val="22"/>
        </w:rPr>
      </w:pPr>
      <w:r>
        <w:rPr>
          <w:color w:val="000000" w:themeColor="text1"/>
        </w:rPr>
        <w:t>третье совещание Рабочей группы открытого состава по подготовке глобальной рамочной программы в области биоразнообразия на период после 2020 года</w:t>
      </w:r>
      <w:r w:rsidR="00870079">
        <w:rPr>
          <w:color w:val="000000" w:themeColor="text1"/>
        </w:rPr>
        <w:t>;</w:t>
      </w:r>
      <w:r>
        <w:rPr>
          <w:color w:val="000000" w:themeColor="text1"/>
        </w:rPr>
        <w:t xml:space="preserve"> </w:t>
      </w:r>
    </w:p>
    <w:p w:rsidR="001242B3" w:rsidRPr="000322A9" w:rsidRDefault="001242B3" w:rsidP="00CD0D5B">
      <w:pPr>
        <w:pStyle w:val="Default"/>
        <w:numPr>
          <w:ilvl w:val="0"/>
          <w:numId w:val="17"/>
        </w:numPr>
        <w:spacing w:after="120"/>
        <w:ind w:left="0" w:firstLine="720"/>
        <w:jc w:val="both"/>
        <w:rPr>
          <w:rFonts w:eastAsiaTheme="minorEastAsia"/>
          <w:color w:val="auto"/>
          <w:kern w:val="22"/>
          <w:sz w:val="22"/>
          <w:szCs w:val="22"/>
        </w:rPr>
      </w:pPr>
      <w:r>
        <w:rPr>
          <w:color w:val="auto"/>
          <w:sz w:val="22"/>
        </w:rPr>
        <w:t>двадцать четвертое совещание Вспомогательного органа по научным, техническим и технологическим консультациям (очное совещание)</w:t>
      </w:r>
      <w:r w:rsidR="00870079">
        <w:rPr>
          <w:color w:val="auto"/>
          <w:sz w:val="22"/>
          <w:lang w:val="ru-RU"/>
        </w:rPr>
        <w:t>;</w:t>
      </w:r>
    </w:p>
    <w:p w:rsidR="001242B3" w:rsidRPr="000322A9" w:rsidRDefault="001242B3" w:rsidP="00CD0D5B">
      <w:pPr>
        <w:pStyle w:val="Default"/>
        <w:numPr>
          <w:ilvl w:val="0"/>
          <w:numId w:val="17"/>
        </w:numPr>
        <w:spacing w:after="120"/>
        <w:ind w:left="0" w:firstLine="720"/>
        <w:jc w:val="both"/>
        <w:rPr>
          <w:rFonts w:eastAsiaTheme="minorEastAsia"/>
          <w:color w:val="auto"/>
          <w:kern w:val="22"/>
          <w:sz w:val="22"/>
          <w:szCs w:val="22"/>
        </w:rPr>
      </w:pPr>
      <w:r>
        <w:rPr>
          <w:color w:val="auto"/>
          <w:sz w:val="22"/>
        </w:rPr>
        <w:t>третье совещание Вспомогательного органа по осуществлению (очное совещание)</w:t>
      </w:r>
      <w:r w:rsidR="00870079">
        <w:rPr>
          <w:color w:val="auto"/>
          <w:sz w:val="22"/>
          <w:lang w:val="ru-RU"/>
        </w:rPr>
        <w:t>;</w:t>
      </w:r>
    </w:p>
    <w:p w:rsidR="001242B3" w:rsidRPr="000322A9" w:rsidRDefault="00950912" w:rsidP="00CD0D5B">
      <w:pPr>
        <w:pStyle w:val="Default"/>
        <w:numPr>
          <w:ilvl w:val="0"/>
          <w:numId w:val="17"/>
        </w:numPr>
        <w:spacing w:after="120"/>
        <w:ind w:left="0" w:firstLine="720"/>
        <w:jc w:val="both"/>
        <w:rPr>
          <w:rFonts w:eastAsiaTheme="minorEastAsia"/>
          <w:color w:val="auto"/>
          <w:kern w:val="22"/>
          <w:sz w:val="22"/>
          <w:szCs w:val="22"/>
        </w:rPr>
      </w:pPr>
      <w:r>
        <w:rPr>
          <w:color w:val="auto"/>
          <w:sz w:val="22"/>
        </w:rPr>
        <w:t xml:space="preserve">совещания экспертов </w:t>
      </w:r>
      <w:r w:rsidR="001242B3">
        <w:rPr>
          <w:color w:val="auto"/>
          <w:sz w:val="22"/>
        </w:rPr>
        <w:t xml:space="preserve">и любые другие онлайновые совещания, </w:t>
      </w:r>
      <w:r>
        <w:rPr>
          <w:color w:val="auto"/>
          <w:sz w:val="22"/>
          <w:lang w:val="ru-RU"/>
        </w:rPr>
        <w:t>связанные с</w:t>
      </w:r>
      <w:r w:rsidR="001242B3">
        <w:rPr>
          <w:color w:val="auto"/>
          <w:sz w:val="22"/>
        </w:rPr>
        <w:t xml:space="preserve"> </w:t>
      </w:r>
      <w:r>
        <w:rPr>
          <w:color w:val="auto"/>
          <w:sz w:val="22"/>
        </w:rPr>
        <w:t>двадцать четверт</w:t>
      </w:r>
      <w:r>
        <w:rPr>
          <w:color w:val="auto"/>
          <w:sz w:val="22"/>
          <w:lang w:val="ru-RU"/>
        </w:rPr>
        <w:t>ым</w:t>
      </w:r>
      <w:r>
        <w:rPr>
          <w:color w:val="auto"/>
          <w:sz w:val="22"/>
        </w:rPr>
        <w:t xml:space="preserve"> совещани</w:t>
      </w:r>
      <w:r>
        <w:rPr>
          <w:color w:val="auto"/>
          <w:sz w:val="22"/>
          <w:lang w:val="ru-RU"/>
        </w:rPr>
        <w:t>ем</w:t>
      </w:r>
      <w:r>
        <w:rPr>
          <w:color w:val="auto"/>
          <w:sz w:val="22"/>
        </w:rPr>
        <w:t xml:space="preserve"> Вспомогательного органа по научным, техническим и технологическим консультациям </w:t>
      </w:r>
      <w:r w:rsidR="001242B3">
        <w:rPr>
          <w:color w:val="auto"/>
          <w:sz w:val="22"/>
        </w:rPr>
        <w:t xml:space="preserve">и </w:t>
      </w:r>
      <w:r>
        <w:rPr>
          <w:color w:val="auto"/>
          <w:sz w:val="22"/>
          <w:lang w:val="ru-RU"/>
        </w:rPr>
        <w:t>третьим совещанием</w:t>
      </w:r>
      <w:r w:rsidR="001242B3">
        <w:rPr>
          <w:color w:val="auto"/>
          <w:sz w:val="22"/>
        </w:rPr>
        <w:t xml:space="preserve"> </w:t>
      </w:r>
      <w:r>
        <w:rPr>
          <w:color w:val="auto"/>
          <w:sz w:val="22"/>
        </w:rPr>
        <w:t>Вспомогательного органа по осуществлению</w:t>
      </w:r>
      <w:r>
        <w:rPr>
          <w:color w:val="auto"/>
          <w:sz w:val="22"/>
          <w:lang w:val="ru-RU"/>
        </w:rPr>
        <w:t>,</w:t>
      </w:r>
      <w:r>
        <w:rPr>
          <w:color w:val="auto"/>
          <w:sz w:val="22"/>
        </w:rPr>
        <w:t xml:space="preserve"> </w:t>
      </w:r>
      <w:r>
        <w:rPr>
          <w:color w:val="auto"/>
          <w:sz w:val="22"/>
          <w:lang w:val="ru-RU"/>
        </w:rPr>
        <w:t>а также</w:t>
      </w:r>
      <w:r w:rsidR="001242B3">
        <w:rPr>
          <w:color w:val="auto"/>
          <w:sz w:val="22"/>
        </w:rPr>
        <w:t xml:space="preserve"> </w:t>
      </w:r>
      <w:r>
        <w:rPr>
          <w:color w:val="auto"/>
          <w:sz w:val="22"/>
          <w:lang w:val="ru-RU"/>
        </w:rPr>
        <w:t xml:space="preserve">предназначенные </w:t>
      </w:r>
      <w:r w:rsidR="001242B3">
        <w:rPr>
          <w:color w:val="auto"/>
          <w:sz w:val="22"/>
        </w:rPr>
        <w:t>для разработки глобальной рамочной программы в области биоразнообразия на период после 2020 года</w:t>
      </w:r>
      <w:r w:rsidR="00870079">
        <w:rPr>
          <w:color w:val="auto"/>
          <w:sz w:val="22"/>
          <w:lang w:val="ru-RU"/>
        </w:rPr>
        <w:t>;</w:t>
      </w:r>
    </w:p>
    <w:p w:rsidR="001242B3" w:rsidRPr="000322A9" w:rsidRDefault="00870079" w:rsidP="00CD0D5B">
      <w:pPr>
        <w:pStyle w:val="Default"/>
        <w:numPr>
          <w:ilvl w:val="0"/>
          <w:numId w:val="17"/>
        </w:numPr>
        <w:spacing w:after="120"/>
        <w:ind w:left="0" w:firstLine="720"/>
        <w:jc w:val="both"/>
        <w:rPr>
          <w:rFonts w:eastAsiaTheme="minorEastAsia"/>
          <w:color w:val="auto"/>
          <w:kern w:val="22"/>
          <w:sz w:val="22"/>
          <w:szCs w:val="22"/>
        </w:rPr>
      </w:pPr>
      <w:r>
        <w:rPr>
          <w:color w:val="auto"/>
          <w:sz w:val="22"/>
        </w:rPr>
        <w:t>совещания бюро.</w:t>
      </w:r>
    </w:p>
    <w:p w:rsidR="001242B3" w:rsidRPr="000322A9" w:rsidRDefault="001242B3" w:rsidP="009E71AA">
      <w:pPr>
        <w:pStyle w:val="ListParagraph"/>
        <w:numPr>
          <w:ilvl w:val="0"/>
          <w:numId w:val="5"/>
        </w:numPr>
        <w:spacing w:before="120" w:after="120"/>
        <w:ind w:left="0" w:firstLine="0"/>
        <w:contextualSpacing w:val="0"/>
        <w:rPr>
          <w:iCs/>
          <w:kern w:val="22"/>
        </w:rPr>
      </w:pPr>
      <w:r>
        <w:t>Совокупный объем расходов на проведение первого и второго совещаний Рабочей группы по подготовке глобальной рамочной программы в области биора</w:t>
      </w:r>
      <w:r w:rsidR="00BF0FB4">
        <w:t>знообразия на период после 2020 </w:t>
      </w:r>
      <w:r>
        <w:t>года составил 1 110 000 долл. США, в связи с чем имеется неизрасходованный остаток в размере 210 000 долл. США. В этой связи секретариат запрашивает разрешения Сторон на продление срока действия оставшихся средств в бюджете для покрытия расходов на проведение третьего совещания Рабочей группы по подготовке глобальной рамочной программы в области биоразнообразия на период после 2020 года, средства на которое не были обеспечены в утвержденном бюджете.</w:t>
      </w:r>
    </w:p>
    <w:p w:rsidR="001242B3" w:rsidRPr="000322A9" w:rsidRDefault="00735E59" w:rsidP="00BF0FB4">
      <w:pPr>
        <w:pStyle w:val="ListParagraph"/>
        <w:numPr>
          <w:ilvl w:val="0"/>
          <w:numId w:val="6"/>
        </w:numPr>
        <w:spacing w:before="120" w:after="120"/>
        <w:ind w:left="1134" w:hanging="567"/>
        <w:contextualSpacing w:val="0"/>
        <w:rPr>
          <w:rFonts w:eastAsia="Malgun Gothic"/>
          <w:b/>
          <w:bCs/>
          <w:iCs/>
          <w:color w:val="000000" w:themeColor="text1"/>
          <w:kern w:val="22"/>
          <w:szCs w:val="22"/>
        </w:rPr>
      </w:pPr>
      <w:r>
        <w:rPr>
          <w:b/>
        </w:rPr>
        <w:t>ПРЕДЛАГАЕМЫЙ ВРЕМЕННЫЙ КОМПЛЕКСНЫЙ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2021 ГОД</w:t>
      </w:r>
    </w:p>
    <w:p w:rsidR="001242B3" w:rsidRPr="000322A9" w:rsidRDefault="001242B3" w:rsidP="009E71AA">
      <w:pPr>
        <w:pStyle w:val="ListParagraph"/>
        <w:numPr>
          <w:ilvl w:val="0"/>
          <w:numId w:val="5"/>
        </w:numPr>
        <w:spacing w:before="120" w:after="120"/>
        <w:ind w:left="0" w:firstLine="0"/>
        <w:contextualSpacing w:val="0"/>
        <w:rPr>
          <w:iCs/>
          <w:kern w:val="22"/>
        </w:rPr>
      </w:pPr>
      <w:r>
        <w:lastRenderedPageBreak/>
        <w:t xml:space="preserve">Секретариат представляет на утверждение Сторон временный комплексный бюджет, который призван обеспечить непрерывность его деятельности в течение 2021 года, в ожидании принятия бюджета на двухлетний период 2021-2022 годов Конференцией Сторон на ее пятнадцатом совещании, либо на период 2021-2023 годов, как может в указанное время решить </w:t>
      </w:r>
      <w:r w:rsidR="00BB3941">
        <w:t>Конференция Сторон</w:t>
      </w:r>
      <w:r>
        <w:t>. Потребности в ресурсах на 2021 год</w:t>
      </w:r>
      <w:r w:rsidR="00C24AF6">
        <w:t>,</w:t>
      </w:r>
      <w:r>
        <w:t xml:space="preserve"> помимо потребностей, которые покрываются продлением действия</w:t>
      </w:r>
      <w:r w:rsidR="00C24AF6">
        <w:t xml:space="preserve"> бюджета</w:t>
      </w:r>
      <w:r>
        <w:t xml:space="preserve">, описанным в </w:t>
      </w:r>
      <w:r w:rsidR="00BB3941">
        <w:t>р</w:t>
      </w:r>
      <w:r>
        <w:t xml:space="preserve">азделе II, приводятся в </w:t>
      </w:r>
      <w:r w:rsidR="00C24AF6">
        <w:t>т</w:t>
      </w:r>
      <w:r>
        <w:t xml:space="preserve">аблицах 5a и 5b. Потребности в ресурсах оцениваются с учетом </w:t>
      </w:r>
      <w:r w:rsidR="00BB3941">
        <w:t>факторов и допущений, описанных ниже.</w:t>
      </w:r>
    </w:p>
    <w:p w:rsidR="001242B3" w:rsidRPr="00BB3941" w:rsidRDefault="00C24AF6" w:rsidP="00C24AF6">
      <w:pPr>
        <w:pStyle w:val="Style1"/>
        <w:tabs>
          <w:tab w:val="clear" w:pos="720"/>
          <w:tab w:val="left" w:pos="709"/>
        </w:tabs>
        <w:rPr>
          <w:i w:val="0"/>
          <w:kern w:val="22"/>
          <w:lang w:val="ru-RU"/>
        </w:rPr>
      </w:pPr>
      <w:r>
        <w:rPr>
          <w:i w:val="0"/>
          <w:lang w:val="ru-RU"/>
        </w:rPr>
        <w:tab/>
      </w:r>
      <w:r w:rsidR="001242B3" w:rsidRPr="00BB3941">
        <w:rPr>
          <w:i w:val="0"/>
          <w:lang w:val="ru-RU"/>
        </w:rPr>
        <w:t>Ключевые факторы и допущения, используемые при оценке потребностей в ресурсах на 2021 год</w:t>
      </w:r>
    </w:p>
    <w:p w:rsidR="001242B3" w:rsidRPr="001A2168" w:rsidRDefault="001242B3" w:rsidP="009E71AA">
      <w:pPr>
        <w:pStyle w:val="ListParagraph"/>
        <w:numPr>
          <w:ilvl w:val="0"/>
          <w:numId w:val="5"/>
        </w:numPr>
        <w:spacing w:before="120" w:after="120"/>
        <w:ind w:left="0" w:firstLine="0"/>
        <w:contextualSpacing w:val="0"/>
        <w:rPr>
          <w:kern w:val="22"/>
        </w:rPr>
      </w:pPr>
      <w:r w:rsidRPr="001A2168">
        <w:t>Потребности в ресурсах</w:t>
      </w:r>
      <w:r w:rsidR="00701A08">
        <w:t xml:space="preserve"> для временного бюджета на 2021 год </w:t>
      </w:r>
      <w:r w:rsidRPr="001A2168">
        <w:t>основываются на допущении, в соответствии с которым Конференция Сторон</w:t>
      </w:r>
      <w:r w:rsidR="008167FF" w:rsidRPr="001A2168">
        <w:t xml:space="preserve"> на своем пятнадцатом совещании в 2021 году</w:t>
      </w:r>
      <w:r w:rsidR="001D0720" w:rsidRPr="001D0720">
        <w:t xml:space="preserve"> </w:t>
      </w:r>
      <w:r w:rsidR="001D0720">
        <w:t>и соответствующие</w:t>
      </w:r>
      <w:r w:rsidRPr="001A2168">
        <w:t xml:space="preserve"> совещания Сторон протоколов, утвердят комплексную, ориентированную на результат программу работы и бюджет на двухлетний период 2021-2022 годов (или на период, который будет определен позднее).</w:t>
      </w:r>
    </w:p>
    <w:p w:rsidR="001242B3" w:rsidRPr="000322A9" w:rsidRDefault="001242B3" w:rsidP="009E71AA">
      <w:pPr>
        <w:pStyle w:val="ListParagraph"/>
        <w:numPr>
          <w:ilvl w:val="0"/>
          <w:numId w:val="5"/>
        </w:numPr>
        <w:spacing w:before="120" w:after="120"/>
        <w:ind w:left="0" w:firstLine="0"/>
        <w:contextualSpacing w:val="0"/>
        <w:rPr>
          <w:iCs/>
          <w:kern w:val="22"/>
        </w:rPr>
      </w:pPr>
      <w:r>
        <w:t xml:space="preserve">Предлагаемый бюджет в размере 16 943 800 долл. США на 15% меньше, чем утвержденный бюджет на 2020 год. </w:t>
      </w:r>
    </w:p>
    <w:p w:rsidR="001242B3" w:rsidRPr="000322A9" w:rsidRDefault="001242B3" w:rsidP="009E71AA">
      <w:pPr>
        <w:pStyle w:val="ListParagraph"/>
        <w:numPr>
          <w:ilvl w:val="0"/>
          <w:numId w:val="5"/>
        </w:numPr>
        <w:spacing w:before="120" w:after="120"/>
        <w:ind w:left="0" w:firstLine="0"/>
        <w:contextualSpacing w:val="0"/>
        <w:rPr>
          <w:iCs/>
          <w:kern w:val="22"/>
        </w:rPr>
      </w:pPr>
      <w:r>
        <w:t xml:space="preserve">Расходы на проведение </w:t>
      </w:r>
      <w:r w:rsidR="00FB53B8">
        <w:t>пятнадцатого совещания Конференции Сторон</w:t>
      </w:r>
      <w:r>
        <w:t xml:space="preserve"> и </w:t>
      </w:r>
      <w:r w:rsidR="00701A08">
        <w:t>соответствующие</w:t>
      </w:r>
      <w:r>
        <w:t xml:space="preserve"> совещани</w:t>
      </w:r>
      <w:r w:rsidR="00701A08">
        <w:t>я</w:t>
      </w:r>
      <w:r>
        <w:t xml:space="preserve"> протоколов, а также большинство расходов </w:t>
      </w:r>
      <w:r w:rsidR="00701A08">
        <w:t xml:space="preserve">на проведение </w:t>
      </w:r>
      <w:r w:rsidR="00A05EC2">
        <w:t>двадцать четвертого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r>
        <w:t xml:space="preserve"> не включены во временный бюджет, так как они будут покрываться </w:t>
      </w:r>
      <w:r w:rsidR="00701A08">
        <w:t>за счет утвержденного</w:t>
      </w:r>
      <w:r>
        <w:t xml:space="preserve"> бюджет</w:t>
      </w:r>
      <w:r w:rsidR="00701A08">
        <w:t>а</w:t>
      </w:r>
      <w:r>
        <w:t xml:space="preserve"> на 2019-2020 годы, действие которого продлевается до 2021 года.</w:t>
      </w:r>
    </w:p>
    <w:p w:rsidR="001242B3" w:rsidRPr="000322A9" w:rsidRDefault="001242B3" w:rsidP="009E71AA">
      <w:pPr>
        <w:pStyle w:val="ListParagraph"/>
        <w:numPr>
          <w:ilvl w:val="0"/>
          <w:numId w:val="5"/>
        </w:numPr>
        <w:spacing w:before="120" w:after="120"/>
        <w:ind w:left="0" w:firstLine="0"/>
        <w:contextualSpacing w:val="0"/>
        <w:rPr>
          <w:iCs/>
          <w:kern w:val="22"/>
        </w:rPr>
      </w:pPr>
      <w:r>
        <w:t xml:space="preserve">Предлагаемый временный бюджет ограничен по сфере своего действия и покрывает только минимальные необходимые потребности в ресурсах, с тем чтобы обеспечить непрерывность деятельности </w:t>
      </w:r>
      <w:r w:rsidR="002F42D3">
        <w:t>секретариата в 2021 году</w:t>
      </w:r>
      <w:r>
        <w:t>.</w:t>
      </w:r>
    </w:p>
    <w:p w:rsidR="001242B3" w:rsidRPr="000322A9" w:rsidRDefault="001242B3" w:rsidP="009E71AA">
      <w:pPr>
        <w:pStyle w:val="ListParagraph"/>
        <w:numPr>
          <w:ilvl w:val="0"/>
          <w:numId w:val="5"/>
        </w:numPr>
        <w:spacing w:before="120" w:after="120"/>
        <w:ind w:left="0" w:firstLine="0"/>
        <w:contextualSpacing w:val="0"/>
        <w:rPr>
          <w:iCs/>
          <w:kern w:val="22"/>
        </w:rPr>
      </w:pPr>
      <w:r>
        <w:t xml:space="preserve">Принимая во внимание низкий, по оценкам, уровень резервов в Целевом фонде Нагойского протокола и необходимость проявлять осторожность с учетом медленного поступления начисленных взносов, о котором упоминается в пункте 7 </w:t>
      </w:r>
      <w:r w:rsidR="00FB53B8">
        <w:t>выше</w:t>
      </w:r>
      <w:r>
        <w:t>, использовать резервы для компенсации начисленных взносов за 2021 год</w:t>
      </w:r>
      <w:r w:rsidR="002F42D3">
        <w:t xml:space="preserve"> не предлагается</w:t>
      </w:r>
      <w:r>
        <w:t>.</w:t>
      </w:r>
    </w:p>
    <w:p w:rsidR="001242B3" w:rsidRPr="000322A9" w:rsidRDefault="001242B3" w:rsidP="009E71AA">
      <w:pPr>
        <w:pStyle w:val="ListParagraph"/>
        <w:numPr>
          <w:ilvl w:val="0"/>
          <w:numId w:val="5"/>
        </w:numPr>
        <w:spacing w:before="120" w:after="120"/>
        <w:ind w:left="0" w:firstLine="0"/>
        <w:contextualSpacing w:val="0"/>
        <w:rPr>
          <w:iCs/>
          <w:kern w:val="22"/>
        </w:rPr>
      </w:pPr>
      <w:r>
        <w:t xml:space="preserve">Утверждение временного бюджета не будет иметь никаких отрицательных последствий для утверждения окончательного бюджета Конференцией Сторон на ее пятнадцатом совещании. Секретариат подготовит и представит подробную ориентированную на результат программу работы и бюджет на период 2021-2022 годов в соответствии с пунктом 48 решения 14/37. </w:t>
      </w:r>
      <w:r w:rsidR="00EE2EF5">
        <w:t>В дополнение</w:t>
      </w:r>
      <w:r>
        <w:t xml:space="preserve">, учитывая, что </w:t>
      </w:r>
      <w:r w:rsidR="00FB53B8">
        <w:t>Конференция Сторон на своем пятнадцатом совещании</w:t>
      </w:r>
      <w:r>
        <w:t xml:space="preserve"> может рассмотреть вопрос о периодичности своих будущих совещаний, и принимая во внимание, что </w:t>
      </w:r>
      <w:r w:rsidR="00FB53B8">
        <w:t>пятнадцатое совещание Конференции Сторон</w:t>
      </w:r>
      <w:r>
        <w:t xml:space="preserve"> </w:t>
      </w:r>
      <w:r w:rsidR="00FB53B8">
        <w:t>будет перенесено на один год</w:t>
      </w:r>
      <w:r>
        <w:t xml:space="preserve">, </w:t>
      </w:r>
      <w:r w:rsidR="00FB53B8">
        <w:t>Конференция Сторон на своем пятнадцатом совещании</w:t>
      </w:r>
      <w:r>
        <w:t xml:space="preserve">, возможно, пожелает рассмотреть сценарии, согласно которым </w:t>
      </w:r>
      <w:r w:rsidR="00FB53B8">
        <w:t>шестнадцатое совещание</w:t>
      </w:r>
      <w:r>
        <w:t xml:space="preserve"> будет проводиться в 2022 году (сценарий A) либо в 2023 году (сценарий B).</w:t>
      </w:r>
    </w:p>
    <w:p w:rsidR="001242B3" w:rsidRPr="000322A9" w:rsidRDefault="001242B3" w:rsidP="009E71AA">
      <w:pPr>
        <w:pStyle w:val="ListParagraph"/>
        <w:numPr>
          <w:ilvl w:val="0"/>
          <w:numId w:val="5"/>
        </w:numPr>
        <w:spacing w:before="120" w:after="120"/>
        <w:ind w:left="0" w:firstLine="0"/>
        <w:contextualSpacing w:val="0"/>
        <w:rPr>
          <w:iCs/>
          <w:kern w:val="22"/>
        </w:rPr>
      </w:pPr>
      <w:r>
        <w:t>Предполагаемые затраты на заработную плату ра</w:t>
      </w:r>
      <w:r w:rsidR="00EE2EF5">
        <w:t xml:space="preserve">ссчитаны на 78 должностей (49 категории специалистов и 29 </w:t>
      </w:r>
      <w:r>
        <w:t>категории общего обслуживания), в соответствии с таблицей со штатным расписанием, которая была утверждена Конференцией Сторон на ее четырнад</w:t>
      </w:r>
      <w:r w:rsidR="00EE2EF5">
        <w:t>цатом совещании (т</w:t>
      </w:r>
      <w:r>
        <w:t xml:space="preserve">аблица 6). </w:t>
      </w:r>
    </w:p>
    <w:p w:rsidR="001242B3" w:rsidRPr="000322A9" w:rsidRDefault="001242B3" w:rsidP="009E71AA">
      <w:pPr>
        <w:pStyle w:val="ListParagraph"/>
        <w:numPr>
          <w:ilvl w:val="0"/>
          <w:numId w:val="5"/>
        </w:numPr>
        <w:spacing w:before="120" w:after="120"/>
        <w:ind w:left="0" w:firstLine="0"/>
        <w:contextualSpacing w:val="0"/>
        <w:rPr>
          <w:iCs/>
          <w:kern w:val="22"/>
        </w:rPr>
      </w:pPr>
      <w:r>
        <w:t>В пункте 2 решения 14/37 Конференция Сторон постановила распределять все расходы на услуги секретариата среди Конвенции, Картахенского протокола</w:t>
      </w:r>
      <w:r w:rsidR="00EE2EF5">
        <w:t xml:space="preserve"> по биобезопасности</w:t>
      </w:r>
      <w:r>
        <w:t xml:space="preserve"> и Нагойского протокола </w:t>
      </w:r>
      <w:r w:rsidR="00EE2EF5">
        <w:rPr>
          <w:color w:val="000000" w:themeColor="text1"/>
        </w:rPr>
        <w:t>регулирования доступа к генетическим ресурсам и совместного использования выгод</w:t>
      </w:r>
      <w:r w:rsidR="00EE2EF5">
        <w:t xml:space="preserve"> </w:t>
      </w:r>
      <w:r>
        <w:t xml:space="preserve">в </w:t>
      </w:r>
      <w:r>
        <w:lastRenderedPageBreak/>
        <w:t xml:space="preserve">соотношении 74:15:11 </w:t>
      </w:r>
      <w:r w:rsidR="00EE2EF5">
        <w:t>на</w:t>
      </w:r>
      <w:r>
        <w:t xml:space="preserve"> двухлетний период 2019-2020 годов. Такое же соотношение будет применяться в целях временного бюджета на 2021 год. Секретариат определит новое соотношение на двухлетний период 2021-2022 годов и представит его на рассмотрение Конференции Сторон на ее пятнадцатом совещании. </w:t>
      </w:r>
    </w:p>
    <w:p w:rsidR="00074BB7" w:rsidRDefault="00B910C8" w:rsidP="00221A9E">
      <w:pPr>
        <w:spacing w:before="120" w:after="120"/>
        <w:contextualSpacing/>
        <w:rPr>
          <w:b/>
        </w:rPr>
      </w:pPr>
      <w:r>
        <w:rPr>
          <w:b/>
        </w:rPr>
        <w:t>Таблица 5a</w:t>
      </w:r>
    </w:p>
    <w:p w:rsidR="00221A9E" w:rsidRPr="001242B3" w:rsidRDefault="001242B3" w:rsidP="00221A9E">
      <w:pPr>
        <w:spacing w:before="120" w:after="120"/>
        <w:contextualSpacing/>
        <w:rPr>
          <w:b/>
          <w:bCs/>
          <w:kern w:val="22"/>
          <w:szCs w:val="22"/>
        </w:rPr>
      </w:pPr>
      <w:r>
        <w:rPr>
          <w:b/>
        </w:rPr>
        <w:t>Предлагаемый временный комплексный бюджет на 2021 год (по статьям расходов</w:t>
      </w:r>
      <w:r w:rsidR="00221A9E" w:rsidRPr="001242B3">
        <w:rPr>
          <w:b/>
          <w:bCs/>
          <w:kern w:val="22"/>
          <w:szCs w:val="22"/>
        </w:rPr>
        <w:t>)</w:t>
      </w:r>
    </w:p>
    <w:p w:rsidR="00221A9E" w:rsidRPr="001242B3" w:rsidRDefault="00221A9E" w:rsidP="00221A9E">
      <w:pPr>
        <w:spacing w:before="120" w:after="120"/>
        <w:rPr>
          <w:b/>
          <w:bCs/>
          <w:kern w:val="22"/>
          <w:szCs w:val="22"/>
        </w:rPr>
      </w:pPr>
    </w:p>
    <w:tbl>
      <w:tblPr>
        <w:tblW w:w="8240" w:type="dxa"/>
        <w:tblLayout w:type="fixed"/>
        <w:tblLook w:val="04A0" w:firstRow="1" w:lastRow="0" w:firstColumn="1" w:lastColumn="0" w:noHBand="0" w:noVBand="1"/>
      </w:tblPr>
      <w:tblGrid>
        <w:gridCol w:w="3681"/>
        <w:gridCol w:w="1134"/>
        <w:gridCol w:w="1134"/>
        <w:gridCol w:w="1131"/>
        <w:gridCol w:w="1160"/>
      </w:tblGrid>
      <w:tr w:rsidR="00B728B4" w:rsidRPr="00074BB7" w:rsidTr="00D731CE">
        <w:trPr>
          <w:trHeight w:val="1113"/>
        </w:trPr>
        <w:tc>
          <w:tcPr>
            <w:tcW w:w="3681" w:type="dxa"/>
            <w:vMerge w:val="restart"/>
            <w:tcBorders>
              <w:top w:val="single" w:sz="4" w:space="0" w:color="auto"/>
              <w:left w:val="single" w:sz="4" w:space="0" w:color="auto"/>
              <w:right w:val="single" w:sz="4" w:space="0" w:color="auto"/>
            </w:tcBorders>
            <w:vAlign w:val="center"/>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Утвержденный бюджет на 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Совокупный предлагаемый бюджет на 2021 год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Расхождение</w:t>
            </w:r>
          </w:p>
        </w:tc>
        <w:tc>
          <w:tcPr>
            <w:tcW w:w="11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Примечания</w:t>
            </w:r>
          </w:p>
        </w:tc>
      </w:tr>
      <w:tr w:rsidR="00B728B4" w:rsidRPr="00074BB7" w:rsidTr="00D731CE">
        <w:trPr>
          <w:trHeight w:val="300"/>
        </w:trPr>
        <w:tc>
          <w:tcPr>
            <w:tcW w:w="3681" w:type="dxa"/>
            <w:vMerge/>
            <w:tcBorders>
              <w:left w:val="single" w:sz="4" w:space="0" w:color="auto"/>
              <w:bottom w:val="single" w:sz="4" w:space="0" w:color="auto"/>
              <w:right w:val="single" w:sz="4" w:space="0" w:color="auto"/>
            </w:tcBorders>
            <w:vAlign w:val="center"/>
          </w:tcPr>
          <w:p w:rsidR="00B728B4" w:rsidRPr="00D731CE" w:rsidRDefault="00B728B4" w:rsidP="001242B3">
            <w:pPr>
              <w:rPr>
                <w:rFonts w:cs="Times New Roman"/>
                <w:bCs/>
                <w:i/>
                <w:iCs/>
                <w:color w:val="000000"/>
                <w:kern w:val="22"/>
                <w:szCs w:val="22"/>
                <w:lang w:eastAsia="en-CA"/>
              </w:rPr>
            </w:pPr>
          </w:p>
        </w:tc>
        <w:tc>
          <w:tcPr>
            <w:tcW w:w="3399" w:type="dxa"/>
            <w:gridSpan w:val="3"/>
            <w:tcBorders>
              <w:top w:val="single" w:sz="4" w:space="0" w:color="auto"/>
              <w:left w:val="nil"/>
              <w:bottom w:val="single" w:sz="4" w:space="0" w:color="auto"/>
              <w:right w:val="single" w:sz="4" w:space="0" w:color="auto"/>
            </w:tcBorders>
            <w:shd w:val="clear" w:color="auto" w:fill="auto"/>
            <w:vAlign w:val="center"/>
            <w:hideMark/>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(в тыс. долл. США)</w:t>
            </w:r>
          </w:p>
        </w:tc>
        <w:tc>
          <w:tcPr>
            <w:tcW w:w="1160" w:type="dxa"/>
            <w:tcBorders>
              <w:top w:val="nil"/>
              <w:left w:val="nil"/>
              <w:bottom w:val="single" w:sz="4" w:space="0" w:color="auto"/>
              <w:right w:val="single" w:sz="4" w:space="0" w:color="auto"/>
            </w:tcBorders>
            <w:shd w:val="clear" w:color="auto" w:fill="auto"/>
            <w:vAlign w:val="center"/>
            <w:hideMark/>
          </w:tcPr>
          <w:p w:rsidR="00B728B4" w:rsidRPr="00D731CE" w:rsidRDefault="00B728B4" w:rsidP="001242B3">
            <w:pPr>
              <w:jc w:val="center"/>
              <w:rPr>
                <w:rFonts w:cs="Times New Roman"/>
                <w:bCs/>
                <w:i/>
                <w:iCs/>
                <w:color w:val="000000"/>
                <w:kern w:val="22"/>
                <w:szCs w:val="22"/>
              </w:rPr>
            </w:pPr>
            <w:r w:rsidRPr="00D731CE">
              <w:rPr>
                <w:rFonts w:cs="Times New Roman"/>
                <w:i/>
                <w:color w:val="000000"/>
                <w:szCs w:val="22"/>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A. Расходы на персонал</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11 626,6</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11 936,8</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310,2</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074BB7" w:rsidP="001242B3">
            <w:pPr>
              <w:jc w:val="center"/>
              <w:rPr>
                <w:rFonts w:cs="Times New Roman"/>
                <w:color w:val="000000"/>
                <w:kern w:val="22"/>
                <w:szCs w:val="22"/>
                <w:lang w:eastAsia="en-CA"/>
              </w:rPr>
            </w:pPr>
            <w:r w:rsidRPr="00D731CE">
              <w:rPr>
                <w:rFonts w:cs="Times New Roman"/>
                <w:color w:val="000000"/>
                <w:kern w:val="22"/>
                <w:szCs w:val="22"/>
                <w:lang w:eastAsia="en-CA"/>
              </w:rPr>
              <w:t>1</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B. Совещания бюро</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215,0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-215,0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074BB7" w:rsidP="001242B3">
            <w:pPr>
              <w:jc w:val="center"/>
              <w:rPr>
                <w:rFonts w:cs="Times New Roman"/>
                <w:color w:val="000000"/>
                <w:kern w:val="22"/>
                <w:szCs w:val="22"/>
                <w:lang w:eastAsia="en-CA"/>
              </w:rPr>
            </w:pPr>
            <w:r w:rsidRPr="00D731CE">
              <w:rPr>
                <w:rFonts w:cs="Times New Roman"/>
                <w:color w:val="000000"/>
                <w:kern w:val="22"/>
                <w:szCs w:val="22"/>
                <w:lang w:eastAsia="en-CA"/>
              </w:rPr>
              <w:t>2</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C. Служебные командировки</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400,0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400,0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D. Консультанты/субподрядчики</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50,0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50,0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E. Информационные материалы/коммуникация</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50,0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50,0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F. Временный персонал/оплата сверхурочных</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100,0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100,0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G. Профессиональная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48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H. Перевод веб-сайта механизма посредничества / проектов веб-сайтов</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65,0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65,0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I. Совещания</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2 119,0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278,5</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-1 840,5</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074BB7" w:rsidP="001242B3">
            <w:pPr>
              <w:jc w:val="center"/>
              <w:rPr>
                <w:rFonts w:cs="Times New Roman"/>
                <w:color w:val="000000"/>
                <w:kern w:val="22"/>
                <w:szCs w:val="22"/>
                <w:lang w:eastAsia="en-CA"/>
              </w:rPr>
            </w:pPr>
            <w:r w:rsidRPr="00D731CE">
              <w:rPr>
                <w:rFonts w:cs="Times New Roman"/>
                <w:color w:val="000000"/>
                <w:kern w:val="22"/>
                <w:szCs w:val="22"/>
                <w:lang w:eastAsia="en-CA"/>
              </w:rPr>
              <w:t>3</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J. Совещания экспертов</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150,0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-150,0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074BB7" w:rsidP="001242B3">
            <w:pPr>
              <w:jc w:val="center"/>
              <w:rPr>
                <w:rFonts w:cs="Times New Roman"/>
                <w:color w:val="000000"/>
                <w:kern w:val="22"/>
                <w:szCs w:val="22"/>
                <w:lang w:eastAsia="en-CA"/>
              </w:rPr>
            </w:pPr>
            <w:r w:rsidRPr="00D731CE">
              <w:rPr>
                <w:rFonts w:cs="Times New Roman"/>
                <w:color w:val="000000"/>
                <w:kern w:val="22"/>
                <w:szCs w:val="22"/>
                <w:lang w:eastAsia="en-CA"/>
              </w:rPr>
              <w:t>4</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K. Внеочередные совещания по глобальной рамочной программе в области биоразнообразия на период после 2020 года</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560,0</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350,0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-210,0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074BB7" w:rsidP="001242B3">
            <w:pPr>
              <w:jc w:val="center"/>
              <w:rPr>
                <w:rFonts w:cs="Times New Roman"/>
                <w:color w:val="000000"/>
                <w:kern w:val="22"/>
                <w:szCs w:val="22"/>
                <w:lang w:eastAsia="en-CA"/>
              </w:rPr>
            </w:pPr>
            <w:r w:rsidRPr="00D731CE">
              <w:rPr>
                <w:rFonts w:cs="Times New Roman"/>
                <w:color w:val="000000"/>
                <w:kern w:val="22"/>
                <w:szCs w:val="22"/>
                <w:lang w:eastAsia="en-CA"/>
              </w:rPr>
              <w:t>5</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L. Арендная плата и сопутствующие расходы</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1 423,4</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1 358,2</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-65,2</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M. Общие эксплуатационные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726,6</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726,6</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0,0</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b/>
                <w:bCs/>
                <w:color w:val="000000"/>
                <w:kern w:val="22"/>
                <w:szCs w:val="22"/>
              </w:rPr>
            </w:pPr>
            <w:r w:rsidRPr="00D731CE">
              <w:rPr>
                <w:rFonts w:cs="Times New Roman"/>
                <w:b/>
                <w:color w:val="000000"/>
                <w:szCs w:val="22"/>
              </w:rPr>
              <w:t>Промежуточный итог (I)</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17 490,6</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15 320,1</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-2 170,5</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b/>
                <w:bCs/>
                <w:color w:val="000000"/>
                <w:kern w:val="22"/>
                <w:szCs w:val="22"/>
                <w:lang w:eastAsia="en-CA"/>
              </w:rPr>
            </w:pPr>
            <w:r w:rsidRPr="00D731CE">
              <w:rPr>
                <w:rFonts w:cs="Times New Roman"/>
                <w:b/>
                <w:bCs/>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b/>
                <w:bCs/>
                <w:color w:val="000000"/>
                <w:kern w:val="22"/>
                <w:szCs w:val="22"/>
              </w:rPr>
            </w:pPr>
            <w:r w:rsidRPr="00D731CE">
              <w:rPr>
                <w:rFonts w:cs="Times New Roman"/>
                <w:b/>
                <w:color w:val="000000"/>
                <w:szCs w:val="22"/>
              </w:rPr>
              <w:t>II. Расходы на поддержку программ (13%)</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2 273,8</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1 991,6</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-282,2</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b/>
                <w:bCs/>
                <w:color w:val="000000"/>
                <w:kern w:val="22"/>
                <w:szCs w:val="22"/>
              </w:rPr>
            </w:pPr>
            <w:r w:rsidRPr="00D731CE">
              <w:rPr>
                <w:rFonts w:cs="Times New Roman"/>
                <w:b/>
                <w:color w:val="000000"/>
                <w:szCs w:val="22"/>
              </w:rPr>
              <w:t>Промежуточный итог (I + II)</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19 764,4</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17 311,7</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-2 452,7</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b/>
                <w:bCs/>
                <w:color w:val="000000"/>
                <w:kern w:val="22"/>
                <w:szCs w:val="22"/>
                <w:lang w:eastAsia="en-CA"/>
              </w:rPr>
            </w:pPr>
            <w:r w:rsidRPr="00D731CE">
              <w:rPr>
                <w:rFonts w:cs="Times New Roman"/>
                <w:b/>
                <w:bCs/>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b/>
                <w:bCs/>
                <w:color w:val="000000"/>
                <w:kern w:val="22"/>
                <w:szCs w:val="22"/>
              </w:rPr>
            </w:pPr>
            <w:r w:rsidRPr="00D731CE">
              <w:rPr>
                <w:rFonts w:cs="Times New Roman"/>
                <w:b/>
                <w:color w:val="000000"/>
                <w:szCs w:val="22"/>
              </w:rPr>
              <w:t>III. Резерв оборотных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130,8</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-367,9</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b/>
                <w:bCs/>
                <w:color w:val="000000"/>
                <w:kern w:val="22"/>
                <w:szCs w:val="22"/>
              </w:rPr>
            </w:pPr>
            <w:r w:rsidRPr="00D731CE">
              <w:rPr>
                <w:rFonts w:cs="Times New Roman"/>
                <w:b/>
                <w:color w:val="000000"/>
                <w:szCs w:val="22"/>
              </w:rPr>
              <w:t>Общий итог (II + III)</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19 895,1</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16 943,8</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-2 452,7</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b/>
                <w:bCs/>
                <w:color w:val="000000"/>
                <w:kern w:val="22"/>
                <w:szCs w:val="22"/>
                <w:lang w:eastAsia="en-CA"/>
              </w:rPr>
            </w:pPr>
            <w:r w:rsidRPr="00D731CE">
              <w:rPr>
                <w:rFonts w:cs="Times New Roman"/>
                <w:b/>
                <w:bCs/>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B728B4" w:rsidP="001242B3">
            <w:pPr>
              <w:rPr>
                <w:rFonts w:cs="Times New Roman"/>
                <w:color w:val="000000"/>
                <w:kern w:val="22"/>
                <w:szCs w:val="22"/>
              </w:rPr>
            </w:pPr>
            <w:r w:rsidRPr="00D731CE">
              <w:rPr>
                <w:rFonts w:cs="Times New Roman"/>
                <w:color w:val="000000"/>
                <w:szCs w:val="22"/>
              </w:rPr>
              <w:t>Минус:</w:t>
            </w:r>
            <w:r w:rsidR="001242B3" w:rsidRPr="00D731CE">
              <w:rPr>
                <w:rFonts w:cs="Times New Roman"/>
                <w:color w:val="000000"/>
                <w:szCs w:val="22"/>
              </w:rPr>
              <w:t xml:space="preserve"> Взнос принимающей страны</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-1 423,4</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-1 534,8</w:t>
            </w:r>
          </w:p>
        </w:tc>
        <w:tc>
          <w:tcPr>
            <w:tcW w:w="1131" w:type="dxa"/>
            <w:tcBorders>
              <w:top w:val="nil"/>
              <w:left w:val="nil"/>
              <w:bottom w:val="single" w:sz="4" w:space="0" w:color="auto"/>
              <w:right w:val="single" w:sz="4" w:space="0" w:color="auto"/>
            </w:tcBorders>
            <w:shd w:val="clear" w:color="auto" w:fill="auto"/>
            <w:vAlign w:val="center"/>
          </w:tcPr>
          <w:p w:rsidR="001242B3" w:rsidRPr="00D731CE" w:rsidRDefault="001242B3" w:rsidP="001242B3">
            <w:pPr>
              <w:jc w:val="right"/>
              <w:rPr>
                <w:rFonts w:cs="Times New Roman"/>
                <w:color w:val="000000"/>
                <w:kern w:val="22"/>
                <w:szCs w:val="22"/>
                <w:lang w:eastAsia="en-CA"/>
              </w:rPr>
            </w:pP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074BB7" w:rsidP="001242B3">
            <w:pPr>
              <w:jc w:val="center"/>
              <w:rPr>
                <w:rFonts w:cs="Times New Roman"/>
                <w:color w:val="000000"/>
                <w:kern w:val="22"/>
                <w:szCs w:val="22"/>
                <w:lang w:eastAsia="en-CA"/>
              </w:rPr>
            </w:pPr>
            <w:r w:rsidRPr="00D731CE">
              <w:rPr>
                <w:rFonts w:cs="Times New Roman"/>
                <w:color w:val="000000"/>
                <w:kern w:val="22"/>
                <w:szCs w:val="22"/>
                <w:lang w:eastAsia="en-CA"/>
              </w:rPr>
              <w:t>6</w:t>
            </w:r>
          </w:p>
        </w:tc>
      </w:tr>
      <w:tr w:rsidR="001242B3" w:rsidRPr="000322A9" w:rsidTr="00D731CE">
        <w:trPr>
          <w:trHeight w:val="48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lastRenderedPageBreak/>
              <w:t>Минус: Использование резервов для внеочередных совещаний</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-632,8</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 </w:t>
            </w:r>
          </w:p>
        </w:tc>
        <w:tc>
          <w:tcPr>
            <w:tcW w:w="1131" w:type="dxa"/>
            <w:tcBorders>
              <w:top w:val="nil"/>
              <w:left w:val="nil"/>
              <w:bottom w:val="single" w:sz="4" w:space="0" w:color="auto"/>
              <w:right w:val="single" w:sz="4" w:space="0" w:color="auto"/>
            </w:tcBorders>
            <w:shd w:val="clear" w:color="auto" w:fill="auto"/>
            <w:vAlign w:val="center"/>
          </w:tcPr>
          <w:p w:rsidR="001242B3" w:rsidRPr="00D731CE" w:rsidRDefault="001242B3" w:rsidP="001242B3">
            <w:pPr>
              <w:jc w:val="right"/>
              <w:rPr>
                <w:rFonts w:cs="Times New Roman"/>
                <w:color w:val="000000"/>
                <w:kern w:val="22"/>
                <w:szCs w:val="22"/>
                <w:lang w:eastAsia="en-CA"/>
              </w:rPr>
            </w:pP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b/>
                <w:bCs/>
                <w:color w:val="000000"/>
                <w:kern w:val="22"/>
                <w:szCs w:val="22"/>
                <w:lang w:eastAsia="en-CA"/>
              </w:rPr>
            </w:pPr>
            <w:r w:rsidRPr="00D731CE">
              <w:rPr>
                <w:rFonts w:cs="Times New Roman"/>
                <w:b/>
                <w:bCs/>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B728B4" w:rsidP="001242B3">
            <w:pPr>
              <w:rPr>
                <w:rFonts w:cs="Times New Roman"/>
                <w:color w:val="000000"/>
                <w:kern w:val="22"/>
                <w:szCs w:val="22"/>
              </w:rPr>
            </w:pPr>
            <w:r w:rsidRPr="00D731CE">
              <w:rPr>
                <w:rFonts w:cs="Times New Roman"/>
                <w:color w:val="000000"/>
                <w:szCs w:val="22"/>
              </w:rPr>
              <w:t xml:space="preserve">Минус: </w:t>
            </w:r>
            <w:r w:rsidR="001242B3" w:rsidRPr="00D731CE">
              <w:rPr>
                <w:rFonts w:cs="Times New Roman"/>
                <w:color w:val="000000"/>
                <w:szCs w:val="22"/>
              </w:rPr>
              <w:t>Использование резервов предыдущих лет</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-863,1</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 </w:t>
            </w:r>
          </w:p>
        </w:tc>
        <w:tc>
          <w:tcPr>
            <w:tcW w:w="1131" w:type="dxa"/>
            <w:tcBorders>
              <w:top w:val="nil"/>
              <w:left w:val="nil"/>
              <w:bottom w:val="single" w:sz="4" w:space="0" w:color="auto"/>
              <w:right w:val="single" w:sz="4" w:space="0" w:color="auto"/>
            </w:tcBorders>
            <w:shd w:val="clear" w:color="auto" w:fill="auto"/>
            <w:vAlign w:val="center"/>
          </w:tcPr>
          <w:p w:rsidR="001242B3" w:rsidRPr="00D731CE" w:rsidRDefault="001242B3" w:rsidP="001242B3">
            <w:pPr>
              <w:jc w:val="right"/>
              <w:rPr>
                <w:rFonts w:cs="Times New Roman"/>
                <w:color w:val="000000"/>
                <w:kern w:val="22"/>
                <w:szCs w:val="22"/>
                <w:lang w:eastAsia="en-CA"/>
              </w:rPr>
            </w:pP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b/>
                <w:bCs/>
                <w:color w:val="000000"/>
                <w:kern w:val="22"/>
                <w:szCs w:val="22"/>
                <w:lang w:eastAsia="en-CA"/>
              </w:rPr>
            </w:pPr>
            <w:r w:rsidRPr="00D731CE">
              <w:rPr>
                <w:rFonts w:cs="Times New Roman"/>
                <w:b/>
                <w:bCs/>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b/>
                <w:bCs/>
                <w:color w:val="000000"/>
                <w:kern w:val="22"/>
                <w:szCs w:val="22"/>
              </w:rPr>
            </w:pPr>
            <w:r w:rsidRPr="00D731CE">
              <w:rPr>
                <w:rFonts w:cs="Times New Roman"/>
                <w:b/>
                <w:color w:val="000000"/>
                <w:szCs w:val="22"/>
              </w:rPr>
              <w:t>Чистый итог (сумма для распределения между Сторонами)</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16 975,8</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15 409,0</w:t>
            </w:r>
          </w:p>
        </w:tc>
        <w:tc>
          <w:tcPr>
            <w:tcW w:w="1131" w:type="dxa"/>
            <w:tcBorders>
              <w:top w:val="nil"/>
              <w:left w:val="nil"/>
              <w:bottom w:val="single" w:sz="4" w:space="0" w:color="auto"/>
              <w:right w:val="single" w:sz="4" w:space="0" w:color="auto"/>
            </w:tcBorders>
            <w:shd w:val="clear" w:color="auto" w:fill="auto"/>
            <w:vAlign w:val="center"/>
          </w:tcPr>
          <w:p w:rsidR="001242B3" w:rsidRPr="00D731CE" w:rsidRDefault="001242B3" w:rsidP="001242B3">
            <w:pPr>
              <w:jc w:val="right"/>
              <w:rPr>
                <w:rFonts w:cs="Times New Roman"/>
                <w:b/>
                <w:bCs/>
                <w:color w:val="000000"/>
                <w:kern w:val="22"/>
                <w:szCs w:val="22"/>
                <w:lang w:eastAsia="en-CA"/>
              </w:rPr>
            </w:pP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b/>
                <w:bCs/>
                <w:color w:val="000000"/>
                <w:kern w:val="22"/>
                <w:szCs w:val="22"/>
                <w:lang w:eastAsia="en-CA"/>
              </w:rPr>
            </w:pPr>
            <w:r w:rsidRPr="00D731CE">
              <w:rPr>
                <w:rFonts w:cs="Times New Roman"/>
                <w:b/>
                <w:bCs/>
                <w:color w:val="000000"/>
                <w:kern w:val="22"/>
                <w:szCs w:val="22"/>
                <w:lang w:eastAsia="en-CA"/>
              </w:rPr>
              <w:t> </w:t>
            </w:r>
          </w:p>
        </w:tc>
      </w:tr>
      <w:tr w:rsidR="001242B3" w:rsidRPr="000322A9" w:rsidTr="00D731CE">
        <w:trPr>
          <w:trHeight w:val="30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Доля Конвенции во временном бюджете (74%)</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12 562,1</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11 402,7</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 </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48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Доля Картахенского протокола во временном бюджете (15%)</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2 546,4</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2 311,3</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 </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r w:rsidR="001242B3" w:rsidRPr="000322A9" w:rsidTr="00D731CE">
        <w:trPr>
          <w:trHeight w:val="480"/>
        </w:trPr>
        <w:tc>
          <w:tcPr>
            <w:tcW w:w="3681" w:type="dxa"/>
            <w:tcBorders>
              <w:top w:val="nil"/>
              <w:left w:val="single" w:sz="4" w:space="0" w:color="auto"/>
              <w:bottom w:val="single" w:sz="4" w:space="0" w:color="auto"/>
              <w:right w:val="single" w:sz="4" w:space="0" w:color="auto"/>
            </w:tcBorders>
            <w:vAlign w:val="center"/>
          </w:tcPr>
          <w:p w:rsidR="001242B3" w:rsidRPr="00D731CE" w:rsidRDefault="001242B3" w:rsidP="001242B3">
            <w:pPr>
              <w:rPr>
                <w:rFonts w:cs="Times New Roman"/>
                <w:color w:val="000000"/>
                <w:kern w:val="22"/>
                <w:szCs w:val="22"/>
              </w:rPr>
            </w:pPr>
            <w:r w:rsidRPr="00D731CE">
              <w:rPr>
                <w:rFonts w:cs="Times New Roman"/>
                <w:color w:val="000000"/>
                <w:szCs w:val="22"/>
              </w:rPr>
              <w:t>Доля Нагойского протокола во временном бюджете (11%)</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1 867,3</w:t>
            </w:r>
          </w:p>
        </w:tc>
        <w:tc>
          <w:tcPr>
            <w:tcW w:w="1134"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1 695,0</w:t>
            </w:r>
          </w:p>
        </w:tc>
        <w:tc>
          <w:tcPr>
            <w:tcW w:w="1131"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right"/>
              <w:rPr>
                <w:rFonts w:cs="Times New Roman"/>
                <w:color w:val="000000"/>
                <w:kern w:val="22"/>
                <w:szCs w:val="22"/>
                <w:lang w:eastAsia="en-CA"/>
              </w:rPr>
            </w:pPr>
            <w:r w:rsidRPr="00D731CE">
              <w:rPr>
                <w:rFonts w:cs="Times New Roman"/>
                <w:color w:val="000000"/>
                <w:kern w:val="22"/>
                <w:szCs w:val="22"/>
                <w:lang w:eastAsia="en-CA"/>
              </w:rPr>
              <w:t> </w:t>
            </w:r>
          </w:p>
        </w:tc>
        <w:tc>
          <w:tcPr>
            <w:tcW w:w="1160" w:type="dxa"/>
            <w:tcBorders>
              <w:top w:val="nil"/>
              <w:left w:val="nil"/>
              <w:bottom w:val="single" w:sz="4" w:space="0" w:color="auto"/>
              <w:right w:val="single" w:sz="4" w:space="0" w:color="auto"/>
            </w:tcBorders>
            <w:shd w:val="clear" w:color="auto" w:fill="auto"/>
            <w:vAlign w:val="center"/>
            <w:hideMark/>
          </w:tcPr>
          <w:p w:rsidR="001242B3" w:rsidRPr="00D731CE" w:rsidRDefault="001242B3" w:rsidP="001242B3">
            <w:pPr>
              <w:jc w:val="center"/>
              <w:rPr>
                <w:rFonts w:cs="Times New Roman"/>
                <w:color w:val="000000"/>
                <w:kern w:val="22"/>
                <w:szCs w:val="22"/>
                <w:lang w:eastAsia="en-CA"/>
              </w:rPr>
            </w:pPr>
            <w:r w:rsidRPr="00D731CE">
              <w:rPr>
                <w:rFonts w:cs="Times New Roman"/>
                <w:color w:val="000000"/>
                <w:kern w:val="22"/>
                <w:szCs w:val="22"/>
                <w:lang w:eastAsia="en-CA"/>
              </w:rPr>
              <w:t> </w:t>
            </w:r>
          </w:p>
        </w:tc>
      </w:tr>
    </w:tbl>
    <w:p w:rsidR="00221A9E" w:rsidRPr="000322A9" w:rsidRDefault="00221A9E" w:rsidP="00221A9E">
      <w:pPr>
        <w:spacing w:before="120" w:after="120"/>
        <w:rPr>
          <w:b/>
          <w:bCs/>
          <w:kern w:val="22"/>
          <w:szCs w:val="22"/>
        </w:rPr>
      </w:pPr>
    </w:p>
    <w:p w:rsidR="001242B3" w:rsidRPr="004B05FD" w:rsidRDefault="001242B3" w:rsidP="001242B3">
      <w:pPr>
        <w:spacing w:before="120" w:after="120"/>
        <w:rPr>
          <w:i/>
          <w:kern w:val="22"/>
          <w:sz w:val="18"/>
          <w:szCs w:val="18"/>
        </w:rPr>
      </w:pPr>
      <w:r w:rsidRPr="004B05FD">
        <w:rPr>
          <w:i/>
          <w:sz w:val="18"/>
        </w:rPr>
        <w:t>Примечания:</w:t>
      </w:r>
    </w:p>
    <w:p w:rsidR="001242B3" w:rsidRPr="000322A9" w:rsidRDefault="001242B3" w:rsidP="004B05FD">
      <w:pPr>
        <w:pStyle w:val="ListParagraph"/>
        <w:numPr>
          <w:ilvl w:val="0"/>
          <w:numId w:val="9"/>
        </w:numPr>
        <w:ind w:left="142" w:firstLine="284"/>
        <w:rPr>
          <w:kern w:val="22"/>
          <w:sz w:val="18"/>
          <w:szCs w:val="18"/>
        </w:rPr>
      </w:pPr>
      <w:r>
        <w:rPr>
          <w:sz w:val="18"/>
        </w:rPr>
        <w:t>Сметные ресурсы рассчитаны, исходя из фактических расходов на персонал с увеличением в соответствии со шкалой окладов Организации Объединенных Наций и повышением окладов сотрудников категории специалистов и категории общего обслуживания сл</w:t>
      </w:r>
      <w:r w:rsidR="00DC23C1">
        <w:rPr>
          <w:sz w:val="18"/>
        </w:rPr>
        <w:t xml:space="preserve">едующим образом: ПГС: 315 000; Д-1:262 000; П-5:240 000; П-4:210 700; П-3:177 600; П-2:132 000; </w:t>
      </w:r>
      <w:r>
        <w:rPr>
          <w:sz w:val="18"/>
        </w:rPr>
        <w:t>Категория общего обслужив</w:t>
      </w:r>
      <w:r w:rsidR="00DC23C1">
        <w:rPr>
          <w:sz w:val="18"/>
        </w:rPr>
        <w:t xml:space="preserve">ания: </w:t>
      </w:r>
      <w:r>
        <w:rPr>
          <w:sz w:val="18"/>
        </w:rPr>
        <w:t>77 000.</w:t>
      </w:r>
    </w:p>
    <w:p w:rsidR="001242B3" w:rsidRPr="000322A9" w:rsidRDefault="001242B3" w:rsidP="004B05FD">
      <w:pPr>
        <w:pStyle w:val="ListParagraph"/>
        <w:numPr>
          <w:ilvl w:val="0"/>
          <w:numId w:val="9"/>
        </w:numPr>
        <w:spacing w:before="120" w:after="120"/>
        <w:ind w:left="142" w:firstLine="284"/>
        <w:contextualSpacing w:val="0"/>
        <w:rPr>
          <w:kern w:val="22"/>
          <w:sz w:val="18"/>
          <w:szCs w:val="18"/>
        </w:rPr>
      </w:pPr>
      <w:r>
        <w:rPr>
          <w:sz w:val="18"/>
        </w:rPr>
        <w:t xml:space="preserve">Прогнозируемые расходы на 2021 год сокращены в связи с переносом средств с 2019-2020 годов. </w:t>
      </w:r>
    </w:p>
    <w:p w:rsidR="001242B3" w:rsidRPr="000322A9" w:rsidRDefault="001242B3" w:rsidP="004B05FD">
      <w:pPr>
        <w:pStyle w:val="ListParagraph"/>
        <w:numPr>
          <w:ilvl w:val="0"/>
          <w:numId w:val="9"/>
        </w:numPr>
        <w:spacing w:before="120" w:after="120"/>
        <w:ind w:left="142" w:firstLine="284"/>
        <w:contextualSpacing w:val="0"/>
        <w:rPr>
          <w:kern w:val="22"/>
          <w:sz w:val="18"/>
          <w:szCs w:val="18"/>
        </w:rPr>
      </w:pPr>
      <w:r>
        <w:rPr>
          <w:sz w:val="18"/>
        </w:rPr>
        <w:t>Для покрытия дефицита в отношении расходов на проведение ВОНТТК-24 и ВОО-3 в связи с расходами, связанными с виртуальными заседаниями, проводимыми в</w:t>
      </w:r>
      <w:r w:rsidR="0059349D">
        <w:rPr>
          <w:sz w:val="18"/>
        </w:rPr>
        <w:t xml:space="preserve"> 2020 году.</w:t>
      </w:r>
    </w:p>
    <w:p w:rsidR="001242B3" w:rsidRPr="000322A9" w:rsidRDefault="001242B3" w:rsidP="004B05FD">
      <w:pPr>
        <w:pStyle w:val="ListParagraph"/>
        <w:numPr>
          <w:ilvl w:val="0"/>
          <w:numId w:val="9"/>
        </w:numPr>
        <w:spacing w:before="120" w:after="120"/>
        <w:ind w:left="142" w:firstLine="284"/>
        <w:contextualSpacing w:val="0"/>
        <w:rPr>
          <w:kern w:val="22"/>
          <w:sz w:val="18"/>
          <w:szCs w:val="18"/>
        </w:rPr>
      </w:pPr>
      <w:r>
        <w:rPr>
          <w:sz w:val="18"/>
        </w:rPr>
        <w:t>Прогнозируемые расходы на 2021 год сокращены в связи с переносом средств с 2019-2020 годов.</w:t>
      </w:r>
    </w:p>
    <w:p w:rsidR="001242B3" w:rsidRPr="000322A9" w:rsidRDefault="001242B3" w:rsidP="004B05FD">
      <w:pPr>
        <w:pStyle w:val="ListParagraph"/>
        <w:numPr>
          <w:ilvl w:val="0"/>
          <w:numId w:val="9"/>
        </w:numPr>
        <w:spacing w:before="120" w:after="120"/>
        <w:ind w:left="142" w:firstLine="284"/>
        <w:contextualSpacing w:val="0"/>
        <w:rPr>
          <w:i/>
          <w:iCs/>
          <w:kern w:val="22"/>
          <w:sz w:val="18"/>
          <w:szCs w:val="18"/>
        </w:rPr>
      </w:pPr>
      <w:r>
        <w:rPr>
          <w:sz w:val="18"/>
        </w:rPr>
        <w:t>На своем четырнадцатом совещании Конференция Сторон утвердила финансирование из бюджета на 2019-2020 годы двух самостоятельных внеочередных совещаний по глобальной рамочной программе в области биоразнообра</w:t>
      </w:r>
      <w:r w:rsidR="00824C80">
        <w:rPr>
          <w:sz w:val="18"/>
        </w:rPr>
        <w:t xml:space="preserve">зия на период после 2020 года. </w:t>
      </w:r>
      <w:r>
        <w:rPr>
          <w:sz w:val="18"/>
        </w:rPr>
        <w:t xml:space="preserve">Кроме того, Стороны согласились с тем, что любые дополнительные совещания по глобальной рамочной программе в области биоразнообразия на период после 2020 года должны финансироваться за счет средств добровольных фондов. На своем совещании 16 марта 2019 года бюро </w:t>
      </w:r>
      <w:r w:rsidR="00EB04F7">
        <w:rPr>
          <w:sz w:val="18"/>
        </w:rPr>
        <w:t>Конференции Сторон</w:t>
      </w:r>
      <w:r>
        <w:rPr>
          <w:sz w:val="18"/>
        </w:rPr>
        <w:t xml:space="preserve"> провело обзор этого процесса и постановило провести дополнительное совещание по глобальной рамочной программе в области биоразнообразия на период после 2020 год</w:t>
      </w:r>
      <w:r w:rsidR="00152492">
        <w:rPr>
          <w:sz w:val="18"/>
        </w:rPr>
        <w:t>а</w:t>
      </w:r>
      <w:r>
        <w:rPr>
          <w:sz w:val="18"/>
        </w:rPr>
        <w:t xml:space="preserve">. Первое совещание состоялось в Найроби в августе 2019 года и финансировалось из основного бюджета. Правительство Китая любезно предложило полностью финансировать и организовать второе совещание в Куньмине в феврале 2020 года. Однако в связи с пандемией </w:t>
      </w:r>
      <w:r w:rsidR="00EB04F7">
        <w:rPr>
          <w:sz w:val="18"/>
        </w:rPr>
        <w:t>COVID</w:t>
      </w:r>
      <w:r>
        <w:rPr>
          <w:sz w:val="18"/>
        </w:rPr>
        <w:t>-19 это совещание было в последн</w:t>
      </w:r>
      <w:r w:rsidR="00EB04F7">
        <w:rPr>
          <w:sz w:val="18"/>
        </w:rPr>
        <w:t xml:space="preserve">ий момент </w:t>
      </w:r>
      <w:r>
        <w:rPr>
          <w:sz w:val="18"/>
        </w:rPr>
        <w:t>перенесено в Рим и финансировалось из основного бюджета. Правительство Колумбии предложило организовать проведение третьего совещания при щедрой финансовой п</w:t>
      </w:r>
      <w:r w:rsidR="004B05FD">
        <w:rPr>
          <w:sz w:val="18"/>
        </w:rPr>
        <w:t xml:space="preserve">оддержке правительства Норвегии, направленной на </w:t>
      </w:r>
      <w:r>
        <w:rPr>
          <w:sz w:val="18"/>
        </w:rPr>
        <w:t>обеспечени</w:t>
      </w:r>
      <w:r w:rsidR="004B05FD">
        <w:rPr>
          <w:sz w:val="18"/>
        </w:rPr>
        <w:t>е</w:t>
      </w:r>
      <w:r>
        <w:rPr>
          <w:sz w:val="18"/>
        </w:rPr>
        <w:t xml:space="preserve"> </w:t>
      </w:r>
      <w:r w:rsidR="004B05FD">
        <w:rPr>
          <w:sz w:val="18"/>
        </w:rPr>
        <w:t>местных</w:t>
      </w:r>
      <w:r>
        <w:rPr>
          <w:sz w:val="18"/>
        </w:rPr>
        <w:t xml:space="preserve"> расходов и дополнительных расходов секретариата в связи с проведением совещания за пределами Монреаля. Средства в размере 350 000 долл. США, в дополнение к сумме в 210 000 долл. США из бюджета на 2019-2020 годы, </w:t>
      </w:r>
      <w:r w:rsidR="0039376C">
        <w:rPr>
          <w:sz w:val="18"/>
        </w:rPr>
        <w:t>составляют полную сумму заложенных в бюджет расходов</w:t>
      </w:r>
      <w:r>
        <w:rPr>
          <w:sz w:val="18"/>
        </w:rPr>
        <w:t xml:space="preserve"> </w:t>
      </w:r>
      <w:r w:rsidR="00152492">
        <w:rPr>
          <w:sz w:val="18"/>
        </w:rPr>
        <w:t>на проведение каждого совещания</w:t>
      </w:r>
      <w:r>
        <w:rPr>
          <w:sz w:val="18"/>
        </w:rPr>
        <w:t xml:space="preserve"> в соответствии с утвержденной сметой, используемой в бюджете на 2019-2020 годы, которая дополняется финансированием, предоставленным правительств</w:t>
      </w:r>
      <w:r w:rsidR="0039376C">
        <w:rPr>
          <w:sz w:val="18"/>
        </w:rPr>
        <w:t>ами</w:t>
      </w:r>
      <w:r>
        <w:rPr>
          <w:sz w:val="18"/>
        </w:rPr>
        <w:t xml:space="preserve"> Норвегии и Колумбии</w:t>
      </w:r>
      <w:r w:rsidR="004B05FD">
        <w:rPr>
          <w:sz w:val="18"/>
        </w:rPr>
        <w:t>, как указано выше</w:t>
      </w:r>
      <w:r>
        <w:rPr>
          <w:sz w:val="18"/>
        </w:rPr>
        <w:t>.</w:t>
      </w:r>
    </w:p>
    <w:p w:rsidR="001242B3" w:rsidRPr="000322A9" w:rsidRDefault="001242B3" w:rsidP="004B05FD">
      <w:pPr>
        <w:pStyle w:val="ListParagraph"/>
        <w:numPr>
          <w:ilvl w:val="0"/>
          <w:numId w:val="9"/>
        </w:numPr>
        <w:ind w:left="142" w:firstLine="284"/>
        <w:rPr>
          <w:kern w:val="22"/>
          <w:sz w:val="18"/>
          <w:szCs w:val="18"/>
        </w:rPr>
      </w:pPr>
      <w:r>
        <w:rPr>
          <w:sz w:val="18"/>
        </w:rPr>
        <w:t xml:space="preserve">Секретариат возобновил свое соглашение о предоставлении принимающей страной (правительство Канады и провинция Квебек) субсидии для оплаты помещений и смежных расходов секретариата в Монреале. Это соглашение охватывает период с 1 октября 2019 года по 30 сентября 2029 года, что соответствует периоду </w:t>
      </w:r>
      <w:r w:rsidR="00C96F9F">
        <w:rPr>
          <w:sz w:val="18"/>
        </w:rPr>
        <w:t xml:space="preserve">действия </w:t>
      </w:r>
      <w:r>
        <w:rPr>
          <w:sz w:val="18"/>
        </w:rPr>
        <w:t xml:space="preserve">текущего договора аренды, </w:t>
      </w:r>
      <w:r w:rsidR="001A5173">
        <w:rPr>
          <w:sz w:val="18"/>
        </w:rPr>
        <w:t>подписанного</w:t>
      </w:r>
      <w:r>
        <w:rPr>
          <w:sz w:val="18"/>
        </w:rPr>
        <w:t xml:space="preserve"> секретариатом. Сметная арендная плата и сопутствующие расходы за 2021 год составляют 2 072 358 канадских долларов. Обменный курс, использованный при конвертации взноса принимающей страны в канадских долларах: 1,35 канадского долл.: 1,0 долл. США.</w:t>
      </w:r>
    </w:p>
    <w:p w:rsidR="0013210D" w:rsidRDefault="00B910C8" w:rsidP="007B2633">
      <w:pPr>
        <w:spacing w:before="120" w:after="120"/>
        <w:ind w:left="851"/>
        <w:contextualSpacing/>
        <w:rPr>
          <w:b/>
        </w:rPr>
      </w:pPr>
      <w:r>
        <w:rPr>
          <w:b/>
        </w:rPr>
        <w:t>Таблица 5b</w:t>
      </w:r>
    </w:p>
    <w:p w:rsidR="0013210D" w:rsidRPr="0013210D" w:rsidRDefault="001242B3" w:rsidP="007B2633">
      <w:pPr>
        <w:spacing w:before="120" w:after="120"/>
        <w:ind w:left="851"/>
        <w:contextualSpacing/>
        <w:rPr>
          <w:b/>
        </w:rPr>
      </w:pPr>
      <w:r w:rsidRPr="0013210D">
        <w:rPr>
          <w:b/>
        </w:rPr>
        <w:t>Потребности в ресурсах из комплексных основных бюджетов на 2021 год по отделам</w:t>
      </w:r>
    </w:p>
    <w:p w:rsidR="00221A9E" w:rsidRPr="00C96F9F" w:rsidRDefault="0013210D" w:rsidP="00C96F9F">
      <w:pPr>
        <w:spacing w:before="120" w:after="120"/>
        <w:ind w:left="851"/>
        <w:contextualSpacing/>
        <w:rPr>
          <w:i/>
          <w:kern w:val="22"/>
          <w:szCs w:val="22"/>
        </w:rPr>
      </w:pPr>
      <w:r w:rsidRPr="0013210D">
        <w:rPr>
          <w:i/>
        </w:rPr>
        <w:t>(в тыс. долл. США)</w:t>
      </w:r>
    </w:p>
    <w:tbl>
      <w:tblPr>
        <w:tblW w:w="7796" w:type="dxa"/>
        <w:tblInd w:w="851" w:type="dxa"/>
        <w:tblLook w:val="04A0" w:firstRow="1" w:lastRow="0" w:firstColumn="1" w:lastColumn="0" w:noHBand="0" w:noVBand="1"/>
      </w:tblPr>
      <w:tblGrid>
        <w:gridCol w:w="4678"/>
        <w:gridCol w:w="1417"/>
        <w:gridCol w:w="1701"/>
      </w:tblGrid>
      <w:tr w:rsidR="00866B2B" w:rsidRPr="00895F81" w:rsidTr="00895F81">
        <w:trPr>
          <w:cantSplit/>
        </w:trPr>
        <w:tc>
          <w:tcPr>
            <w:tcW w:w="4678" w:type="dxa"/>
            <w:tcBorders>
              <w:top w:val="single" w:sz="12" w:space="0" w:color="auto"/>
              <w:left w:val="nil"/>
              <w:bottom w:val="single" w:sz="8" w:space="0" w:color="auto"/>
              <w:right w:val="nil"/>
            </w:tcBorders>
            <w:shd w:val="clear" w:color="auto" w:fill="auto"/>
          </w:tcPr>
          <w:p w:rsidR="00866B2B" w:rsidRPr="00895F81" w:rsidRDefault="00866B2B" w:rsidP="00866B2B">
            <w:pPr>
              <w:jc w:val="center"/>
              <w:rPr>
                <w:b/>
                <w:i/>
                <w:szCs w:val="22"/>
              </w:rPr>
            </w:pPr>
          </w:p>
        </w:tc>
        <w:tc>
          <w:tcPr>
            <w:tcW w:w="1417" w:type="dxa"/>
            <w:tcBorders>
              <w:top w:val="single" w:sz="12" w:space="0" w:color="auto"/>
              <w:left w:val="nil"/>
              <w:bottom w:val="single" w:sz="8" w:space="0" w:color="auto"/>
              <w:right w:val="nil"/>
            </w:tcBorders>
            <w:shd w:val="clear" w:color="auto" w:fill="auto"/>
            <w:vAlign w:val="center"/>
          </w:tcPr>
          <w:p w:rsidR="00866B2B" w:rsidRPr="00895F81" w:rsidRDefault="00866B2B" w:rsidP="00895F81">
            <w:pPr>
              <w:ind w:right="175"/>
              <w:jc w:val="right"/>
              <w:rPr>
                <w:b/>
                <w:i/>
                <w:szCs w:val="22"/>
              </w:rPr>
            </w:pPr>
            <w:r w:rsidRPr="00895F81">
              <w:rPr>
                <w:b/>
                <w:i/>
                <w:szCs w:val="22"/>
              </w:rPr>
              <w:t>2020 г.</w:t>
            </w:r>
          </w:p>
        </w:tc>
        <w:tc>
          <w:tcPr>
            <w:tcW w:w="1701" w:type="dxa"/>
            <w:tcBorders>
              <w:top w:val="single" w:sz="12" w:space="0" w:color="auto"/>
              <w:left w:val="nil"/>
              <w:bottom w:val="single" w:sz="8" w:space="0" w:color="auto"/>
              <w:right w:val="nil"/>
            </w:tcBorders>
            <w:shd w:val="clear" w:color="auto" w:fill="auto"/>
            <w:vAlign w:val="center"/>
          </w:tcPr>
          <w:p w:rsidR="00866B2B" w:rsidRPr="00895F81" w:rsidRDefault="00866B2B" w:rsidP="00895F81">
            <w:pPr>
              <w:ind w:right="175"/>
              <w:jc w:val="right"/>
              <w:rPr>
                <w:b/>
                <w:i/>
                <w:szCs w:val="22"/>
              </w:rPr>
            </w:pPr>
            <w:r w:rsidRPr="00895F81">
              <w:rPr>
                <w:b/>
                <w:i/>
                <w:szCs w:val="22"/>
              </w:rPr>
              <w:t>2021 г.</w:t>
            </w:r>
          </w:p>
        </w:tc>
      </w:tr>
      <w:tr w:rsidR="001242B3" w:rsidRPr="000322A9" w:rsidTr="00895F81">
        <w:trPr>
          <w:cantSplit/>
        </w:trPr>
        <w:tc>
          <w:tcPr>
            <w:tcW w:w="4678" w:type="dxa"/>
            <w:tcBorders>
              <w:top w:val="single" w:sz="8" w:space="0" w:color="auto"/>
              <w:left w:val="nil"/>
              <w:bottom w:val="nil"/>
              <w:right w:val="nil"/>
            </w:tcBorders>
            <w:shd w:val="clear" w:color="auto" w:fill="auto"/>
            <w:hideMark/>
          </w:tcPr>
          <w:p w:rsidR="001242B3" w:rsidRPr="00895F81" w:rsidRDefault="001242B3" w:rsidP="00B00A94">
            <w:pPr>
              <w:rPr>
                <w:b/>
                <w:bCs/>
                <w:szCs w:val="22"/>
              </w:rPr>
            </w:pPr>
            <w:r w:rsidRPr="00895F81">
              <w:rPr>
                <w:b/>
                <w:szCs w:val="22"/>
              </w:rPr>
              <w:t>I. Программы:</w:t>
            </w:r>
          </w:p>
        </w:tc>
        <w:tc>
          <w:tcPr>
            <w:tcW w:w="1417" w:type="dxa"/>
            <w:tcBorders>
              <w:top w:val="single" w:sz="8" w:space="0" w:color="auto"/>
              <w:left w:val="nil"/>
              <w:bottom w:val="nil"/>
              <w:right w:val="nil"/>
            </w:tcBorders>
            <w:shd w:val="clear" w:color="auto" w:fill="auto"/>
            <w:vAlign w:val="center"/>
            <w:hideMark/>
          </w:tcPr>
          <w:p w:rsidR="001242B3" w:rsidRPr="00895F81" w:rsidRDefault="001242B3" w:rsidP="00895F81">
            <w:pPr>
              <w:ind w:right="175"/>
              <w:jc w:val="right"/>
              <w:rPr>
                <w:szCs w:val="22"/>
              </w:rPr>
            </w:pPr>
          </w:p>
        </w:tc>
        <w:tc>
          <w:tcPr>
            <w:tcW w:w="1701" w:type="dxa"/>
            <w:tcBorders>
              <w:top w:val="single" w:sz="8" w:space="0" w:color="auto"/>
              <w:left w:val="nil"/>
              <w:bottom w:val="nil"/>
              <w:right w:val="nil"/>
            </w:tcBorders>
            <w:shd w:val="clear" w:color="auto" w:fill="auto"/>
            <w:vAlign w:val="center"/>
            <w:hideMark/>
          </w:tcPr>
          <w:p w:rsidR="001242B3" w:rsidRPr="00895F81" w:rsidRDefault="001242B3" w:rsidP="00895F81">
            <w:pPr>
              <w:ind w:right="175"/>
              <w:jc w:val="right"/>
              <w:rPr>
                <w:szCs w:val="22"/>
              </w:rPr>
            </w:pPr>
          </w:p>
        </w:tc>
      </w:tr>
      <w:tr w:rsidR="001242B3" w:rsidRPr="000322A9" w:rsidTr="00895F81">
        <w:trPr>
          <w:trHeight w:val="288"/>
        </w:trPr>
        <w:tc>
          <w:tcPr>
            <w:tcW w:w="4678" w:type="dxa"/>
            <w:tcBorders>
              <w:top w:val="nil"/>
              <w:left w:val="nil"/>
              <w:bottom w:val="nil"/>
              <w:right w:val="nil"/>
            </w:tcBorders>
            <w:shd w:val="clear" w:color="auto" w:fill="auto"/>
            <w:hideMark/>
          </w:tcPr>
          <w:p w:rsidR="001242B3" w:rsidRPr="00895F81" w:rsidRDefault="00895F81" w:rsidP="00B00A94">
            <w:pPr>
              <w:rPr>
                <w:szCs w:val="22"/>
              </w:rPr>
            </w:pPr>
            <w:r>
              <w:rPr>
                <w:szCs w:val="22"/>
              </w:rPr>
              <w:t xml:space="preserve">  </w:t>
            </w:r>
            <w:r w:rsidR="001242B3" w:rsidRPr="00895F81">
              <w:rPr>
                <w:szCs w:val="22"/>
              </w:rPr>
              <w:t>Отдел Исполнительного секретаря</w:t>
            </w:r>
          </w:p>
        </w:tc>
        <w:tc>
          <w:tcPr>
            <w:tcW w:w="1417"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3 444,8</w:t>
            </w:r>
          </w:p>
        </w:tc>
        <w:tc>
          <w:tcPr>
            <w:tcW w:w="1701"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2 449,4</w:t>
            </w:r>
          </w:p>
        </w:tc>
      </w:tr>
      <w:tr w:rsidR="001242B3" w:rsidRPr="000322A9" w:rsidTr="00895F81">
        <w:trPr>
          <w:trHeight w:val="288"/>
        </w:trPr>
        <w:tc>
          <w:tcPr>
            <w:tcW w:w="4678" w:type="dxa"/>
            <w:tcBorders>
              <w:top w:val="nil"/>
              <w:left w:val="nil"/>
              <w:bottom w:val="nil"/>
              <w:right w:val="nil"/>
            </w:tcBorders>
            <w:shd w:val="clear" w:color="auto" w:fill="auto"/>
            <w:hideMark/>
          </w:tcPr>
          <w:p w:rsidR="001242B3" w:rsidRPr="00895F81" w:rsidRDefault="001242B3" w:rsidP="00B00A94">
            <w:pPr>
              <w:rPr>
                <w:szCs w:val="22"/>
              </w:rPr>
            </w:pPr>
            <w:r w:rsidRPr="00895F81">
              <w:rPr>
                <w:szCs w:val="22"/>
              </w:rPr>
              <w:lastRenderedPageBreak/>
              <w:t xml:space="preserve">  Протокол регулирования ДГРСИВ и Протокол по биобезопасности</w:t>
            </w:r>
          </w:p>
        </w:tc>
        <w:tc>
          <w:tcPr>
            <w:tcW w:w="1417"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2 375,9</w:t>
            </w:r>
          </w:p>
        </w:tc>
        <w:tc>
          <w:tcPr>
            <w:tcW w:w="1701"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2 298,4</w:t>
            </w:r>
          </w:p>
        </w:tc>
      </w:tr>
      <w:tr w:rsidR="001242B3" w:rsidRPr="000322A9" w:rsidTr="00895F81">
        <w:trPr>
          <w:trHeight w:val="288"/>
        </w:trPr>
        <w:tc>
          <w:tcPr>
            <w:tcW w:w="4678" w:type="dxa"/>
            <w:tcBorders>
              <w:top w:val="nil"/>
              <w:left w:val="nil"/>
              <w:bottom w:val="nil"/>
              <w:right w:val="nil"/>
            </w:tcBorders>
            <w:shd w:val="clear" w:color="auto" w:fill="auto"/>
            <w:hideMark/>
          </w:tcPr>
          <w:p w:rsidR="001242B3" w:rsidRPr="00895F81" w:rsidRDefault="001242B3" w:rsidP="00B00A94">
            <w:pPr>
              <w:rPr>
                <w:szCs w:val="22"/>
              </w:rPr>
            </w:pPr>
            <w:r w:rsidRPr="00895F81">
              <w:rPr>
                <w:szCs w:val="22"/>
              </w:rPr>
              <w:t xml:space="preserve">  Отдел по науке, обществу и устойчивому будущему</w:t>
            </w:r>
          </w:p>
        </w:tc>
        <w:tc>
          <w:tcPr>
            <w:tcW w:w="1417"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3 909,0</w:t>
            </w:r>
          </w:p>
        </w:tc>
        <w:tc>
          <w:tcPr>
            <w:tcW w:w="1701"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3 350,1</w:t>
            </w:r>
          </w:p>
        </w:tc>
      </w:tr>
      <w:tr w:rsidR="001242B3" w:rsidRPr="000322A9" w:rsidTr="00895F81">
        <w:trPr>
          <w:trHeight w:val="300"/>
        </w:trPr>
        <w:tc>
          <w:tcPr>
            <w:tcW w:w="4678" w:type="dxa"/>
            <w:tcBorders>
              <w:top w:val="nil"/>
              <w:left w:val="nil"/>
              <w:bottom w:val="single" w:sz="8" w:space="0" w:color="auto"/>
              <w:right w:val="nil"/>
            </w:tcBorders>
            <w:shd w:val="clear" w:color="auto" w:fill="auto"/>
            <w:hideMark/>
          </w:tcPr>
          <w:p w:rsidR="001242B3" w:rsidRPr="00895F81" w:rsidRDefault="001242B3" w:rsidP="00B00A94">
            <w:pPr>
              <w:rPr>
                <w:szCs w:val="22"/>
              </w:rPr>
            </w:pPr>
            <w:r w:rsidRPr="00895F81">
              <w:rPr>
                <w:szCs w:val="22"/>
              </w:rPr>
              <w:t xml:space="preserve">  Отдел по поддержке осуществления</w:t>
            </w:r>
          </w:p>
        </w:tc>
        <w:tc>
          <w:tcPr>
            <w:tcW w:w="1417" w:type="dxa"/>
            <w:tcBorders>
              <w:top w:val="nil"/>
              <w:left w:val="nil"/>
              <w:bottom w:val="single" w:sz="8" w:space="0" w:color="auto"/>
              <w:right w:val="nil"/>
            </w:tcBorders>
            <w:shd w:val="clear" w:color="auto" w:fill="auto"/>
            <w:hideMark/>
          </w:tcPr>
          <w:p w:rsidR="001242B3" w:rsidRPr="00895F81" w:rsidRDefault="001242B3" w:rsidP="00895F81">
            <w:pPr>
              <w:ind w:right="175"/>
              <w:jc w:val="right"/>
              <w:rPr>
                <w:szCs w:val="22"/>
              </w:rPr>
            </w:pPr>
            <w:r w:rsidRPr="00895F81">
              <w:rPr>
                <w:szCs w:val="22"/>
              </w:rPr>
              <w:t>3 708,2</w:t>
            </w:r>
          </w:p>
        </w:tc>
        <w:tc>
          <w:tcPr>
            <w:tcW w:w="1701" w:type="dxa"/>
            <w:tcBorders>
              <w:top w:val="nil"/>
              <w:left w:val="nil"/>
              <w:bottom w:val="single" w:sz="8" w:space="0" w:color="auto"/>
              <w:right w:val="nil"/>
            </w:tcBorders>
            <w:shd w:val="clear" w:color="auto" w:fill="auto"/>
            <w:hideMark/>
          </w:tcPr>
          <w:p w:rsidR="001242B3" w:rsidRPr="00895F81" w:rsidRDefault="001242B3" w:rsidP="00895F81">
            <w:pPr>
              <w:ind w:right="175"/>
              <w:jc w:val="right"/>
              <w:rPr>
                <w:szCs w:val="22"/>
              </w:rPr>
            </w:pPr>
            <w:r w:rsidRPr="00895F81">
              <w:rPr>
                <w:szCs w:val="22"/>
              </w:rPr>
              <w:t>4 295,5</w:t>
            </w:r>
          </w:p>
        </w:tc>
      </w:tr>
      <w:tr w:rsidR="001242B3" w:rsidRPr="000322A9" w:rsidTr="00895F81">
        <w:trPr>
          <w:trHeight w:val="300"/>
        </w:trPr>
        <w:tc>
          <w:tcPr>
            <w:tcW w:w="4678" w:type="dxa"/>
            <w:tcBorders>
              <w:top w:val="nil"/>
              <w:left w:val="nil"/>
              <w:bottom w:val="single" w:sz="8" w:space="0" w:color="auto"/>
              <w:right w:val="nil"/>
            </w:tcBorders>
            <w:shd w:val="clear" w:color="auto" w:fill="auto"/>
            <w:hideMark/>
          </w:tcPr>
          <w:p w:rsidR="001242B3" w:rsidRPr="00895F81" w:rsidRDefault="001242B3" w:rsidP="00B00A94">
            <w:pPr>
              <w:rPr>
                <w:b/>
                <w:bCs/>
                <w:szCs w:val="22"/>
              </w:rPr>
            </w:pPr>
            <w:r w:rsidRPr="00895F81">
              <w:rPr>
                <w:b/>
                <w:szCs w:val="22"/>
              </w:rPr>
              <w:t>II. Административные, финансовые услуги и обслуживание совещаний</w:t>
            </w:r>
          </w:p>
        </w:tc>
        <w:tc>
          <w:tcPr>
            <w:tcW w:w="1417" w:type="dxa"/>
            <w:tcBorders>
              <w:top w:val="nil"/>
              <w:left w:val="nil"/>
              <w:bottom w:val="single" w:sz="8" w:space="0" w:color="auto"/>
              <w:right w:val="nil"/>
            </w:tcBorders>
            <w:shd w:val="clear" w:color="auto" w:fill="auto"/>
            <w:hideMark/>
          </w:tcPr>
          <w:p w:rsidR="001242B3" w:rsidRPr="00895F81" w:rsidRDefault="001242B3" w:rsidP="00895F81">
            <w:pPr>
              <w:ind w:right="175"/>
              <w:jc w:val="right"/>
              <w:rPr>
                <w:szCs w:val="22"/>
              </w:rPr>
            </w:pPr>
            <w:r w:rsidRPr="00895F81">
              <w:rPr>
                <w:szCs w:val="22"/>
              </w:rPr>
              <w:t>4 052,6</w:t>
            </w:r>
          </w:p>
        </w:tc>
        <w:tc>
          <w:tcPr>
            <w:tcW w:w="1701" w:type="dxa"/>
            <w:tcBorders>
              <w:top w:val="nil"/>
              <w:left w:val="nil"/>
              <w:bottom w:val="single" w:sz="8" w:space="0" w:color="auto"/>
              <w:right w:val="nil"/>
            </w:tcBorders>
            <w:shd w:val="clear" w:color="auto" w:fill="auto"/>
            <w:hideMark/>
          </w:tcPr>
          <w:p w:rsidR="001242B3" w:rsidRPr="00895F81" w:rsidRDefault="001242B3" w:rsidP="00895F81">
            <w:pPr>
              <w:ind w:right="175"/>
              <w:jc w:val="right"/>
              <w:rPr>
                <w:szCs w:val="22"/>
              </w:rPr>
            </w:pPr>
            <w:r w:rsidRPr="00895F81">
              <w:rPr>
                <w:szCs w:val="22"/>
              </w:rPr>
              <w:t>2 926,7</w:t>
            </w:r>
          </w:p>
        </w:tc>
      </w:tr>
      <w:tr w:rsidR="001242B3" w:rsidRPr="000322A9" w:rsidTr="00895F81">
        <w:trPr>
          <w:trHeight w:val="300"/>
        </w:trPr>
        <w:tc>
          <w:tcPr>
            <w:tcW w:w="4678" w:type="dxa"/>
            <w:tcBorders>
              <w:top w:val="nil"/>
              <w:left w:val="nil"/>
              <w:bottom w:val="single" w:sz="12" w:space="0" w:color="auto"/>
              <w:right w:val="nil"/>
            </w:tcBorders>
            <w:shd w:val="clear" w:color="auto" w:fill="auto"/>
            <w:hideMark/>
          </w:tcPr>
          <w:p w:rsidR="001242B3" w:rsidRPr="00895F81" w:rsidRDefault="001242B3" w:rsidP="00B00A94">
            <w:pPr>
              <w:rPr>
                <w:b/>
                <w:bCs/>
                <w:szCs w:val="22"/>
              </w:rPr>
            </w:pPr>
            <w:r w:rsidRPr="00895F81">
              <w:rPr>
                <w:b/>
                <w:szCs w:val="22"/>
              </w:rPr>
              <w:t>Промежуточный итог</w:t>
            </w:r>
          </w:p>
        </w:tc>
        <w:tc>
          <w:tcPr>
            <w:tcW w:w="1417" w:type="dxa"/>
            <w:tcBorders>
              <w:top w:val="nil"/>
              <w:left w:val="nil"/>
              <w:bottom w:val="single" w:sz="12" w:space="0" w:color="auto"/>
              <w:right w:val="nil"/>
            </w:tcBorders>
            <w:shd w:val="clear" w:color="auto" w:fill="auto"/>
            <w:hideMark/>
          </w:tcPr>
          <w:p w:rsidR="001242B3" w:rsidRPr="00895F81" w:rsidRDefault="001242B3" w:rsidP="00895F81">
            <w:pPr>
              <w:ind w:right="175"/>
              <w:jc w:val="right"/>
              <w:rPr>
                <w:b/>
                <w:bCs/>
                <w:szCs w:val="22"/>
              </w:rPr>
            </w:pPr>
            <w:r w:rsidRPr="00895F81">
              <w:rPr>
                <w:b/>
                <w:bCs/>
                <w:szCs w:val="22"/>
              </w:rPr>
              <w:t>17 490,5</w:t>
            </w:r>
          </w:p>
        </w:tc>
        <w:tc>
          <w:tcPr>
            <w:tcW w:w="1701" w:type="dxa"/>
            <w:tcBorders>
              <w:top w:val="nil"/>
              <w:left w:val="nil"/>
              <w:bottom w:val="single" w:sz="12" w:space="0" w:color="auto"/>
              <w:right w:val="nil"/>
            </w:tcBorders>
            <w:shd w:val="clear" w:color="auto" w:fill="auto"/>
            <w:hideMark/>
          </w:tcPr>
          <w:p w:rsidR="001242B3" w:rsidRPr="00895F81" w:rsidRDefault="001242B3" w:rsidP="00895F81">
            <w:pPr>
              <w:ind w:right="175"/>
              <w:jc w:val="right"/>
              <w:rPr>
                <w:b/>
                <w:bCs/>
                <w:szCs w:val="22"/>
              </w:rPr>
            </w:pPr>
            <w:r w:rsidRPr="00895F81">
              <w:rPr>
                <w:b/>
                <w:bCs/>
                <w:szCs w:val="22"/>
              </w:rPr>
              <w:t>15 320,1</w:t>
            </w:r>
          </w:p>
        </w:tc>
      </w:tr>
      <w:tr w:rsidR="001242B3" w:rsidRPr="000322A9" w:rsidTr="00895F81">
        <w:trPr>
          <w:trHeight w:val="300"/>
        </w:trPr>
        <w:tc>
          <w:tcPr>
            <w:tcW w:w="4678" w:type="dxa"/>
            <w:tcBorders>
              <w:top w:val="nil"/>
              <w:left w:val="nil"/>
              <w:bottom w:val="nil"/>
              <w:right w:val="nil"/>
            </w:tcBorders>
            <w:shd w:val="clear" w:color="auto" w:fill="auto"/>
            <w:hideMark/>
          </w:tcPr>
          <w:p w:rsidR="001242B3" w:rsidRPr="00895F81" w:rsidRDefault="001242B3" w:rsidP="00B00A94">
            <w:pPr>
              <w:rPr>
                <w:szCs w:val="22"/>
              </w:rPr>
            </w:pPr>
            <w:r w:rsidRPr="00895F81">
              <w:rPr>
                <w:szCs w:val="22"/>
              </w:rPr>
              <w:t>Расходы на поддержку программ</w:t>
            </w:r>
          </w:p>
        </w:tc>
        <w:tc>
          <w:tcPr>
            <w:tcW w:w="1417" w:type="dxa"/>
            <w:tcBorders>
              <w:top w:val="nil"/>
              <w:left w:val="nil"/>
              <w:bottom w:val="nil"/>
              <w:right w:val="nil"/>
            </w:tcBorders>
            <w:shd w:val="clear" w:color="auto" w:fill="auto"/>
            <w:noWrap/>
            <w:hideMark/>
          </w:tcPr>
          <w:p w:rsidR="001242B3" w:rsidRPr="00895F81" w:rsidRDefault="001242B3" w:rsidP="00895F81">
            <w:pPr>
              <w:ind w:right="175"/>
              <w:jc w:val="right"/>
              <w:rPr>
                <w:szCs w:val="22"/>
              </w:rPr>
            </w:pPr>
            <w:r w:rsidRPr="00895F81">
              <w:rPr>
                <w:szCs w:val="22"/>
              </w:rPr>
              <w:t>2 273,9</w:t>
            </w:r>
          </w:p>
        </w:tc>
        <w:tc>
          <w:tcPr>
            <w:tcW w:w="1701" w:type="dxa"/>
            <w:tcBorders>
              <w:top w:val="nil"/>
              <w:left w:val="nil"/>
              <w:bottom w:val="nil"/>
              <w:right w:val="nil"/>
            </w:tcBorders>
            <w:shd w:val="clear" w:color="auto" w:fill="auto"/>
            <w:hideMark/>
          </w:tcPr>
          <w:p w:rsidR="001242B3" w:rsidRPr="00895F81" w:rsidRDefault="001242B3" w:rsidP="00895F81">
            <w:pPr>
              <w:ind w:right="175"/>
              <w:jc w:val="right"/>
              <w:rPr>
                <w:szCs w:val="22"/>
              </w:rPr>
            </w:pPr>
            <w:r w:rsidRPr="00895F81">
              <w:rPr>
                <w:szCs w:val="22"/>
              </w:rPr>
              <w:t>1 991,6</w:t>
            </w:r>
          </w:p>
        </w:tc>
      </w:tr>
      <w:tr w:rsidR="001242B3" w:rsidRPr="000322A9" w:rsidTr="00895F81">
        <w:trPr>
          <w:trHeight w:val="300"/>
        </w:trPr>
        <w:tc>
          <w:tcPr>
            <w:tcW w:w="4678" w:type="dxa"/>
            <w:tcBorders>
              <w:top w:val="nil"/>
              <w:left w:val="nil"/>
              <w:bottom w:val="single" w:sz="8" w:space="0" w:color="auto"/>
              <w:right w:val="nil"/>
            </w:tcBorders>
            <w:shd w:val="clear" w:color="auto" w:fill="auto"/>
            <w:hideMark/>
          </w:tcPr>
          <w:p w:rsidR="001242B3" w:rsidRPr="00895F81" w:rsidRDefault="001242B3" w:rsidP="00B00A94">
            <w:pPr>
              <w:rPr>
                <w:b/>
                <w:bCs/>
                <w:szCs w:val="22"/>
              </w:rPr>
            </w:pPr>
            <w:r w:rsidRPr="00895F81">
              <w:rPr>
                <w:b/>
                <w:szCs w:val="22"/>
              </w:rPr>
              <w:t>III. Резерв оборотных средств</w:t>
            </w:r>
          </w:p>
        </w:tc>
        <w:tc>
          <w:tcPr>
            <w:tcW w:w="1417" w:type="dxa"/>
            <w:tcBorders>
              <w:top w:val="nil"/>
              <w:left w:val="nil"/>
              <w:bottom w:val="single" w:sz="8" w:space="0" w:color="auto"/>
              <w:right w:val="nil"/>
            </w:tcBorders>
            <w:shd w:val="clear" w:color="auto" w:fill="auto"/>
            <w:noWrap/>
            <w:hideMark/>
          </w:tcPr>
          <w:p w:rsidR="001242B3" w:rsidRPr="00895F81" w:rsidRDefault="001242B3" w:rsidP="00895F81">
            <w:pPr>
              <w:ind w:right="175"/>
              <w:jc w:val="right"/>
              <w:rPr>
                <w:szCs w:val="22"/>
              </w:rPr>
            </w:pPr>
            <w:r w:rsidRPr="00895F81">
              <w:rPr>
                <w:szCs w:val="22"/>
              </w:rPr>
              <w:t>130,8</w:t>
            </w:r>
          </w:p>
        </w:tc>
        <w:tc>
          <w:tcPr>
            <w:tcW w:w="1701" w:type="dxa"/>
            <w:tcBorders>
              <w:top w:val="nil"/>
              <w:left w:val="nil"/>
              <w:bottom w:val="single" w:sz="8" w:space="0" w:color="auto"/>
              <w:right w:val="nil"/>
            </w:tcBorders>
            <w:shd w:val="clear" w:color="auto" w:fill="auto"/>
            <w:hideMark/>
          </w:tcPr>
          <w:p w:rsidR="001242B3" w:rsidRPr="00895F81" w:rsidRDefault="001242B3" w:rsidP="00895F81">
            <w:pPr>
              <w:ind w:right="175"/>
              <w:jc w:val="right"/>
              <w:rPr>
                <w:szCs w:val="22"/>
              </w:rPr>
            </w:pPr>
            <w:r w:rsidRPr="00895F81">
              <w:rPr>
                <w:szCs w:val="22"/>
              </w:rPr>
              <w:t>(367,9)</w:t>
            </w:r>
          </w:p>
        </w:tc>
      </w:tr>
      <w:tr w:rsidR="001242B3" w:rsidRPr="000322A9" w:rsidTr="00895F81">
        <w:trPr>
          <w:trHeight w:val="300"/>
        </w:trPr>
        <w:tc>
          <w:tcPr>
            <w:tcW w:w="4678" w:type="dxa"/>
            <w:tcBorders>
              <w:top w:val="nil"/>
              <w:left w:val="nil"/>
              <w:bottom w:val="single" w:sz="8" w:space="0" w:color="auto"/>
              <w:right w:val="nil"/>
            </w:tcBorders>
            <w:shd w:val="clear" w:color="auto" w:fill="auto"/>
            <w:hideMark/>
          </w:tcPr>
          <w:p w:rsidR="001242B3" w:rsidRPr="00895F81" w:rsidRDefault="001242B3" w:rsidP="00B00A94">
            <w:pPr>
              <w:rPr>
                <w:b/>
                <w:bCs/>
                <w:szCs w:val="22"/>
              </w:rPr>
            </w:pPr>
            <w:r w:rsidRPr="00895F81">
              <w:rPr>
                <w:b/>
                <w:szCs w:val="22"/>
              </w:rPr>
              <w:t>Итого</w:t>
            </w:r>
          </w:p>
        </w:tc>
        <w:tc>
          <w:tcPr>
            <w:tcW w:w="1417" w:type="dxa"/>
            <w:tcBorders>
              <w:top w:val="nil"/>
              <w:left w:val="nil"/>
              <w:bottom w:val="single" w:sz="8" w:space="0" w:color="auto"/>
              <w:right w:val="nil"/>
            </w:tcBorders>
            <w:shd w:val="clear" w:color="auto" w:fill="auto"/>
            <w:noWrap/>
            <w:hideMark/>
          </w:tcPr>
          <w:p w:rsidR="001242B3" w:rsidRPr="00895F81" w:rsidRDefault="001242B3" w:rsidP="00895F81">
            <w:pPr>
              <w:ind w:right="175"/>
              <w:jc w:val="right"/>
              <w:rPr>
                <w:b/>
                <w:bCs/>
                <w:szCs w:val="22"/>
              </w:rPr>
            </w:pPr>
            <w:r w:rsidRPr="00895F81">
              <w:rPr>
                <w:b/>
                <w:bCs/>
                <w:szCs w:val="22"/>
              </w:rPr>
              <w:t>19 895,2</w:t>
            </w:r>
          </w:p>
        </w:tc>
        <w:tc>
          <w:tcPr>
            <w:tcW w:w="1701" w:type="dxa"/>
            <w:tcBorders>
              <w:top w:val="nil"/>
              <w:left w:val="nil"/>
              <w:bottom w:val="single" w:sz="8" w:space="0" w:color="auto"/>
              <w:right w:val="nil"/>
            </w:tcBorders>
            <w:shd w:val="clear" w:color="auto" w:fill="auto"/>
            <w:hideMark/>
          </w:tcPr>
          <w:p w:rsidR="001242B3" w:rsidRPr="00895F81" w:rsidRDefault="001242B3" w:rsidP="00895F81">
            <w:pPr>
              <w:ind w:right="175"/>
              <w:jc w:val="right"/>
              <w:rPr>
                <w:b/>
                <w:bCs/>
                <w:szCs w:val="22"/>
              </w:rPr>
            </w:pPr>
            <w:r w:rsidRPr="00895F81">
              <w:rPr>
                <w:b/>
                <w:bCs/>
                <w:szCs w:val="22"/>
              </w:rPr>
              <w:t>16 943,8</w:t>
            </w:r>
          </w:p>
        </w:tc>
      </w:tr>
    </w:tbl>
    <w:p w:rsidR="00221A9E" w:rsidRPr="000322A9" w:rsidRDefault="00221A9E" w:rsidP="007B2633">
      <w:pPr>
        <w:spacing w:before="120" w:after="120"/>
        <w:ind w:left="851"/>
        <w:rPr>
          <w:kern w:val="22"/>
          <w:szCs w:val="22"/>
        </w:rPr>
      </w:pPr>
    </w:p>
    <w:p w:rsidR="00A30C14" w:rsidRPr="000322A9" w:rsidRDefault="00866B2B" w:rsidP="006F389E">
      <w:pPr>
        <w:pStyle w:val="ListParagraph"/>
        <w:numPr>
          <w:ilvl w:val="0"/>
          <w:numId w:val="6"/>
        </w:numPr>
        <w:spacing w:before="120" w:after="120"/>
        <w:ind w:left="1134" w:hanging="567"/>
        <w:contextualSpacing w:val="0"/>
        <w:rPr>
          <w:b/>
          <w:bCs/>
          <w:kern w:val="22"/>
          <w:szCs w:val="22"/>
        </w:rPr>
      </w:pPr>
      <w:r>
        <w:rPr>
          <w:b/>
        </w:rPr>
        <w:t xml:space="preserve">ПРОЕКТ РЕШЕНИЯ КОНФЕРЕНЦИИ СТОРОН ДЛЯ РАССМОТРЕНИЯ </w:t>
      </w:r>
      <w:r w:rsidR="00D80711">
        <w:rPr>
          <w:b/>
        </w:rPr>
        <w:t xml:space="preserve">ЛИБО </w:t>
      </w:r>
      <w:r>
        <w:rPr>
          <w:b/>
        </w:rPr>
        <w:t>НА ВНЕ</w:t>
      </w:r>
      <w:r w:rsidR="00C17526">
        <w:rPr>
          <w:b/>
        </w:rPr>
        <w:t>ОЧЕРЕДНОМ ВИРТУАЛЬНОМ СОВЕЩАНИИ</w:t>
      </w:r>
      <w:r w:rsidR="00D80711">
        <w:rPr>
          <w:b/>
        </w:rPr>
        <w:t>,</w:t>
      </w:r>
      <w:r>
        <w:rPr>
          <w:b/>
        </w:rPr>
        <w:t xml:space="preserve"> ЛИБО ПОСРЕДСТВОМ ПИСЬМЕННОЙ ПРОЦЕДУРЫ, В ЦЕЛЯХ </w:t>
      </w:r>
      <w:r w:rsidR="00D80711">
        <w:rPr>
          <w:b/>
        </w:rPr>
        <w:t xml:space="preserve">ЕГО </w:t>
      </w:r>
      <w:r>
        <w:rPr>
          <w:b/>
        </w:rPr>
        <w:t>ПРИНЯТИЯ ДО КОНЦА 2020 ГОДА</w:t>
      </w:r>
    </w:p>
    <w:p w:rsidR="006F389E" w:rsidRPr="006F389E" w:rsidRDefault="006F389E" w:rsidP="006F389E">
      <w:pPr>
        <w:pStyle w:val="ListParagraph"/>
        <w:numPr>
          <w:ilvl w:val="0"/>
          <w:numId w:val="5"/>
        </w:numPr>
        <w:suppressLineNumbers/>
        <w:suppressAutoHyphens/>
        <w:spacing w:before="120" w:after="120"/>
        <w:ind w:left="0" w:firstLine="0"/>
        <w:contextualSpacing w:val="0"/>
        <w:rPr>
          <w:rFonts w:eastAsia="Times New Roman" w:cs="Times New Roman"/>
          <w:iCs/>
          <w:kern w:val="22"/>
          <w:szCs w:val="22"/>
        </w:rPr>
      </w:pPr>
      <w:r w:rsidRPr="006F389E">
        <w:rPr>
          <w:kern w:val="22"/>
        </w:rPr>
        <w:t>Конференция Сторон, возможно, пожелает принять решение следующего содержания</w:t>
      </w:r>
      <w:r w:rsidRPr="006F389E">
        <w:rPr>
          <w:iCs/>
          <w:kern w:val="22"/>
          <w:szCs w:val="22"/>
        </w:rPr>
        <w:t>:</w:t>
      </w:r>
    </w:p>
    <w:p w:rsidR="006F389E" w:rsidRPr="00EF6AEC" w:rsidRDefault="006F389E" w:rsidP="006F389E">
      <w:pPr>
        <w:pStyle w:val="ListParagraph"/>
        <w:suppressLineNumbers/>
        <w:suppressAutoHyphens/>
        <w:spacing w:before="120" w:after="120"/>
        <w:ind w:left="0" w:firstLine="720"/>
        <w:rPr>
          <w:kern w:val="22"/>
          <w:szCs w:val="22"/>
        </w:rPr>
      </w:pPr>
      <w:r w:rsidRPr="00EF6AEC">
        <w:rPr>
          <w:i/>
          <w:kern w:val="22"/>
          <w:szCs w:val="22"/>
        </w:rPr>
        <w:t>Конференция Сторон,</w:t>
      </w:r>
    </w:p>
    <w:p w:rsidR="00A30C14" w:rsidRPr="000322A9" w:rsidRDefault="00AA5CB1" w:rsidP="00A30C14">
      <w:pPr>
        <w:spacing w:before="120" w:after="120"/>
        <w:ind w:firstLine="709"/>
        <w:rPr>
          <w:kern w:val="22"/>
          <w:szCs w:val="22"/>
        </w:rPr>
      </w:pPr>
      <w:r w:rsidRPr="00AA5CB1">
        <w:rPr>
          <w:i/>
        </w:rPr>
        <w:t>с</w:t>
      </w:r>
      <w:r w:rsidR="00A30C14" w:rsidRPr="00AA5CB1">
        <w:rPr>
          <w:i/>
        </w:rPr>
        <w:t>сылаясь</w:t>
      </w:r>
      <w:r w:rsidR="00A30C14">
        <w:t xml:space="preserve"> на свое решение 14/37, </w:t>
      </w:r>
      <w:r w:rsidR="00EF6AEC">
        <w:t>в котором она утвердила</w:t>
      </w:r>
      <w:r w:rsidR="00A30C14">
        <w:t xml:space="preserve"> бюджет на двухлетний период 2019-2020 годов и </w:t>
      </w:r>
      <w:r w:rsidR="00EF6AEC">
        <w:t>поручила</w:t>
      </w:r>
      <w:r w:rsidR="00A30C14">
        <w:t xml:space="preserve"> Исполнительному секретарю подготовить предложения в отношении бюджета на двухлетний период 2021-2022 годов,</w:t>
      </w:r>
    </w:p>
    <w:p w:rsidR="00A30C14" w:rsidRPr="000322A9" w:rsidRDefault="00A30C14" w:rsidP="00A30C14">
      <w:pPr>
        <w:spacing w:before="120" w:after="120"/>
        <w:ind w:firstLine="709"/>
        <w:rPr>
          <w:kern w:val="22"/>
          <w:szCs w:val="22"/>
        </w:rPr>
      </w:pPr>
      <w:r w:rsidRPr="00AA5CB1">
        <w:rPr>
          <w:i/>
        </w:rPr>
        <w:t>принимая во внимание</w:t>
      </w:r>
      <w:r>
        <w:t xml:space="preserve">, что пятнадцатое совещание Конференции Сторон было перенесено на 2021 год в связи с ограничениями, вызванными пандемией COVID-19,  </w:t>
      </w:r>
    </w:p>
    <w:p w:rsidR="00A30C14" w:rsidRPr="000322A9" w:rsidRDefault="00A30C14" w:rsidP="00A30C14">
      <w:pPr>
        <w:spacing w:before="120" w:after="120"/>
        <w:ind w:firstLine="709"/>
        <w:rPr>
          <w:kern w:val="22"/>
          <w:szCs w:val="22"/>
        </w:rPr>
      </w:pPr>
      <w:r w:rsidRPr="00AA5CB1">
        <w:rPr>
          <w:i/>
        </w:rPr>
        <w:t>отмечая</w:t>
      </w:r>
      <w:r>
        <w:t xml:space="preserve">, соответственно, необходимость в принятии </w:t>
      </w:r>
      <w:r w:rsidR="00960467">
        <w:t xml:space="preserve">организационных </w:t>
      </w:r>
      <w:r>
        <w:t>мер, которые обеспечат непрерывное функционирование органов Конвенции, включая ее секретариат и совещания Конференции Сторон и ее вспомогательных органов,</w:t>
      </w:r>
    </w:p>
    <w:p w:rsidR="00A30C14" w:rsidRPr="000322A9" w:rsidRDefault="00A30C14" w:rsidP="00A30C14">
      <w:pPr>
        <w:spacing w:before="120" w:after="120"/>
        <w:ind w:firstLine="709"/>
        <w:rPr>
          <w:kern w:val="22"/>
          <w:szCs w:val="22"/>
        </w:rPr>
      </w:pPr>
      <w:r w:rsidRPr="00AA5CB1">
        <w:rPr>
          <w:i/>
        </w:rPr>
        <w:t>принимая к сведению</w:t>
      </w:r>
      <w: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rsidR="00A30C14" w:rsidRPr="00C905F1" w:rsidRDefault="00871FF0" w:rsidP="00C905F1">
      <w:pPr>
        <w:ind w:firstLine="709"/>
        <w:jc w:val="left"/>
        <w:rPr>
          <w:rFonts w:eastAsiaTheme="minorEastAsia" w:cs="Times New Roman"/>
          <w:sz w:val="24"/>
          <w:lang w:eastAsia="es-ES_tradnl"/>
        </w:rPr>
      </w:pPr>
      <w:r w:rsidRPr="00AA5CB1">
        <w:rPr>
          <w:i/>
        </w:rPr>
        <w:t xml:space="preserve">также </w:t>
      </w:r>
      <w:r w:rsidR="00A30C14" w:rsidRPr="00AA5CB1">
        <w:rPr>
          <w:i/>
        </w:rPr>
        <w:t>принимая к сведению</w:t>
      </w:r>
      <w:r w:rsidR="00A30C14">
        <w:t xml:space="preserve"> </w:t>
      </w:r>
      <w:r>
        <w:t>записку</w:t>
      </w:r>
      <w:r w:rsidR="00A30C14">
        <w:t xml:space="preserve"> Исполнительного секретаря</w:t>
      </w:r>
      <w:bookmarkStart w:id="2" w:name="_Ref51446751"/>
      <w:bookmarkEnd w:id="2"/>
      <w:r w:rsidR="00C905F1">
        <w:rPr>
          <w:rStyle w:val="FootnoteReference"/>
          <w:kern w:val="22"/>
          <w:szCs w:val="22"/>
        </w:rPr>
        <w:footnoteReference w:id="7"/>
      </w:r>
      <w:r w:rsidR="00A30C14">
        <w:t xml:space="preserve">, </w:t>
      </w:r>
    </w:p>
    <w:p w:rsidR="00A30C14" w:rsidRPr="000322A9" w:rsidRDefault="00A30C14" w:rsidP="00A30C14">
      <w:pPr>
        <w:spacing w:before="120" w:after="120"/>
        <w:ind w:firstLine="709"/>
        <w:rPr>
          <w:kern w:val="22"/>
          <w:szCs w:val="22"/>
        </w:rPr>
      </w:pPr>
      <w:r w:rsidRPr="00AA5CB1">
        <w:rPr>
          <w:i/>
        </w:rPr>
        <w:t>признавая</w:t>
      </w:r>
      <w:r>
        <w:t xml:space="preserve"> чрезвычайную природу обстоятельств, сложившихся в связи с пандемией, и выражая солидарность всех Сторон в момент, когда они сталкиваются с ее последствиями для людей и экономики,</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rPr>
        <w:t>постановляет</w:t>
      </w:r>
      <w:r>
        <w:t xml:space="preserve"> продлить вплоть до 31 декабря 2021 года либо, в случае если </w:t>
      </w:r>
      <w:r w:rsidR="006F31EB">
        <w:t>пятнадцатое совещание Конференции Сторон</w:t>
      </w:r>
      <w:r>
        <w:t xml:space="preserve"> не будет проведен</w:t>
      </w:r>
      <w:r w:rsidR="006F31EB">
        <w:t>о</w:t>
      </w:r>
      <w:r>
        <w:t xml:space="preserve"> в течение 2021 года, до конца месяца, следующего за закрытием </w:t>
      </w:r>
      <w:r w:rsidR="006F31EB">
        <w:t>пятнадцатого совещания Конференции Сторон</w:t>
      </w:r>
      <w:r>
        <w:t xml:space="preserve">, срок действия средств, ассигнованных в бюджете на 2019-2020 годы на расходы, связанные с проведением совещаний </w:t>
      </w:r>
      <w:r w:rsidR="006F31EB">
        <w:t>Конференции Сторон</w:t>
      </w:r>
      <w:r>
        <w:t xml:space="preserve"> и ее вспомогательных органов, </w:t>
      </w:r>
      <w:r w:rsidR="009C7571">
        <w:t>которые были перенесены</w:t>
      </w:r>
      <w:r>
        <w:t xml:space="preserve"> с двухлетнего периода 2019-2020 годов; </w:t>
      </w:r>
    </w:p>
    <w:p w:rsidR="00A30C14" w:rsidRPr="000322A9" w:rsidRDefault="00A30C14" w:rsidP="009C7571">
      <w:pPr>
        <w:pStyle w:val="ListParagraph"/>
        <w:numPr>
          <w:ilvl w:val="0"/>
          <w:numId w:val="10"/>
        </w:numPr>
        <w:spacing w:before="120" w:after="120"/>
        <w:ind w:left="0" w:firstLine="704"/>
        <w:rPr>
          <w:kern w:val="22"/>
          <w:szCs w:val="22"/>
        </w:rPr>
      </w:pPr>
      <w:r>
        <w:rPr>
          <w:i/>
          <w:color w:val="000000" w:themeColor="text1"/>
        </w:rPr>
        <w:lastRenderedPageBreak/>
        <w:t>утверждает</w:t>
      </w:r>
      <w:r>
        <w:rPr>
          <w:color w:val="000000" w:themeColor="text1"/>
        </w:rPr>
        <w:t xml:space="preserve"> в порядке исключения основной бюджет по программе Конвенции в размере 12 538 412 долларов США на 2021 год, что составляет 74% временного комплексного бюджета в размере 16 943 800 долларов США на 2021 год, </w:t>
      </w:r>
      <w:r w:rsidR="00A73921">
        <w:rPr>
          <w:color w:val="000000" w:themeColor="text1"/>
        </w:rPr>
        <w:t>на</w:t>
      </w:r>
      <w:r>
        <w:rPr>
          <w:color w:val="000000" w:themeColor="text1"/>
        </w:rPr>
        <w:t xml:space="preserve"> цел</w:t>
      </w:r>
      <w:r w:rsidR="00A73921">
        <w:rPr>
          <w:color w:val="000000" w:themeColor="text1"/>
        </w:rPr>
        <w:t>и</w:t>
      </w:r>
      <w:r>
        <w:rPr>
          <w:color w:val="000000" w:themeColor="text1"/>
        </w:rPr>
        <w:t>, перечисленны</w:t>
      </w:r>
      <w:r w:rsidR="00A73921">
        <w:rPr>
          <w:color w:val="000000" w:themeColor="text1"/>
        </w:rPr>
        <w:t>е</w:t>
      </w:r>
      <w:r>
        <w:rPr>
          <w:color w:val="000000" w:themeColor="text1"/>
        </w:rPr>
        <w:t xml:space="preserve"> в таблицах 5a и 5b выше;</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color w:val="000000" w:themeColor="text1"/>
        </w:rPr>
        <w:t>постановляет</w:t>
      </w:r>
      <w:r>
        <w:rPr>
          <w:color w:val="000000" w:themeColor="text1"/>
        </w:rPr>
        <w:t xml:space="preserve"> распределять все расходы на услуги секретариата между Конвенцией, Картахенским протоколом и Нагойским протоколом в соотношении 74:15:11 на 2021 год;</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color w:val="000000" w:themeColor="text1"/>
        </w:rPr>
        <w:t>выражает</w:t>
      </w:r>
      <w:r>
        <w:rPr>
          <w:color w:val="000000" w:themeColor="text1"/>
        </w:rPr>
        <w:t xml:space="preserve"> свою признательность правительству Канады в качестве принимающей страны за его возобновившуюся поддержку</w:t>
      </w:r>
      <w:r w:rsidR="009C7571">
        <w:rPr>
          <w:color w:val="000000" w:themeColor="text1"/>
        </w:rPr>
        <w:t xml:space="preserve"> секретариату</w:t>
      </w:r>
      <w:r>
        <w:rPr>
          <w:color w:val="000000" w:themeColor="text1"/>
        </w:rPr>
        <w:t xml:space="preserve"> и </w:t>
      </w:r>
      <w:r>
        <w:rPr>
          <w:i/>
          <w:iCs/>
          <w:color w:val="000000" w:themeColor="text1"/>
        </w:rPr>
        <w:t>приветствует</w:t>
      </w:r>
      <w:r>
        <w:rPr>
          <w:color w:val="000000" w:themeColor="text1"/>
        </w:rPr>
        <w:t xml:space="preserve"> взнос принимающей страны и провинции Квебек в размере 2 072 000 канадских долл. за 2021 год, предназначаемый для оплаты помещений и смежных расходов секретариата в Монреале, который </w:t>
      </w:r>
      <w:r w:rsidR="006F31EB">
        <w:rPr>
          <w:color w:val="000000" w:themeColor="text1"/>
        </w:rPr>
        <w:t>должен</w:t>
      </w:r>
      <w:r>
        <w:rPr>
          <w:color w:val="000000" w:themeColor="text1"/>
        </w:rPr>
        <w:t xml:space="preserve"> распределяться в соотношении 74:15:11 и компенсировать взносы соответственно Сторон Конвенции, Картахенского протокола и Нагойского протокола </w:t>
      </w:r>
      <w:r w:rsidR="009C7571">
        <w:rPr>
          <w:color w:val="000000" w:themeColor="text1"/>
        </w:rPr>
        <w:t>за 2021 год</w:t>
      </w:r>
      <w:r>
        <w:rPr>
          <w:color w:val="000000" w:themeColor="text1"/>
        </w:rPr>
        <w:t>;</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color w:val="000000" w:themeColor="text1"/>
        </w:rPr>
        <w:t>утверждает</w:t>
      </w:r>
      <w:r>
        <w:rPr>
          <w:color w:val="000000" w:themeColor="text1"/>
        </w:rPr>
        <w:t xml:space="preserve"> шкалу взносов для распределения расходов на 2021 год в соответствии с текущей шкалой взносов Организации Объединенных Наций, приведенной в таблицах 7, 8 и 9, содержащихся в настоящем решении;</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color w:val="000000" w:themeColor="text1"/>
        </w:rPr>
        <w:t xml:space="preserve">также принимает </w:t>
      </w:r>
      <w:r w:rsidR="00017343">
        <w:rPr>
          <w:color w:val="000000" w:themeColor="text1"/>
        </w:rPr>
        <w:t>таблицу</w:t>
      </w:r>
      <w:r>
        <w:rPr>
          <w:color w:val="000000" w:themeColor="text1"/>
        </w:rPr>
        <w:t xml:space="preserve"> со штатным расписанием </w:t>
      </w:r>
      <w:r w:rsidR="00017343">
        <w:rPr>
          <w:color w:val="000000" w:themeColor="text1"/>
        </w:rPr>
        <w:t xml:space="preserve">(таблица 6) </w:t>
      </w:r>
      <w:r>
        <w:rPr>
          <w:color w:val="000000" w:themeColor="text1"/>
        </w:rPr>
        <w:t xml:space="preserve">секретариата на 2021 год, которая </w:t>
      </w:r>
      <w:r w:rsidR="007F6E46">
        <w:rPr>
          <w:color w:val="000000" w:themeColor="text1"/>
        </w:rPr>
        <w:t>должна использоваться</w:t>
      </w:r>
      <w:r>
        <w:rPr>
          <w:color w:val="000000" w:themeColor="text1"/>
        </w:rPr>
        <w:t xml:space="preserve"> для целей исчисления расходов при установлении общего бюджета;</w:t>
      </w:r>
    </w:p>
    <w:p w:rsidR="00A30C14" w:rsidRPr="000322A9" w:rsidRDefault="00A30C14" w:rsidP="009E71AA">
      <w:pPr>
        <w:pStyle w:val="ListParagraph"/>
        <w:numPr>
          <w:ilvl w:val="0"/>
          <w:numId w:val="10"/>
        </w:numPr>
        <w:spacing w:before="120" w:after="120"/>
        <w:ind w:left="0" w:firstLine="704"/>
        <w:contextualSpacing w:val="0"/>
        <w:rPr>
          <w:rFonts w:eastAsia="Malgun Gothic"/>
          <w:iCs/>
          <w:color w:val="000000" w:themeColor="text1"/>
          <w:kern w:val="22"/>
          <w:szCs w:val="22"/>
        </w:rPr>
      </w:pPr>
      <w:r>
        <w:rPr>
          <w:i/>
          <w:iCs/>
          <w:color w:val="000000" w:themeColor="text1"/>
        </w:rPr>
        <w:t>уполномочивает</w:t>
      </w:r>
      <w:r>
        <w:rPr>
          <w:color w:val="000000" w:themeColor="text1"/>
        </w:rPr>
        <w:t xml:space="preserve"> Исполнительного секретаря брать на себя обязательства 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Финансовыми положениями и правилами Программы Организации Объединенных Наций по окружающей среде;</w:t>
      </w:r>
    </w:p>
    <w:p w:rsidR="00A30C14" w:rsidRPr="000322A9" w:rsidRDefault="00A30C14" w:rsidP="00592E53">
      <w:pPr>
        <w:pStyle w:val="ListParagraph"/>
        <w:numPr>
          <w:ilvl w:val="0"/>
          <w:numId w:val="10"/>
        </w:numPr>
        <w:spacing w:before="120" w:after="120"/>
        <w:ind w:left="0" w:firstLine="709"/>
        <w:contextualSpacing w:val="0"/>
        <w:rPr>
          <w:rFonts w:eastAsia="Malgun Gothic"/>
          <w:color w:val="000000" w:themeColor="text1"/>
          <w:kern w:val="22"/>
          <w:szCs w:val="22"/>
        </w:rPr>
      </w:pPr>
      <w:r>
        <w:rPr>
          <w:i/>
          <w:iCs/>
          <w:color w:val="000000" w:themeColor="text1"/>
        </w:rPr>
        <w:t>также уполномочивает</w:t>
      </w:r>
      <w:r>
        <w:rPr>
          <w:color w:val="000000" w:themeColor="text1"/>
        </w:rPr>
        <w:t xml:space="preserve"> Исполнительного секретаря перераспределять средства между программами, т. е. перераспределять средства между основными разделами бюджетных ассигнований, перечисленными в таблице 5b</w:t>
      </w:r>
      <w:r w:rsidR="00156E64">
        <w:rPr>
          <w:color w:val="000000" w:themeColor="text1"/>
        </w:rPr>
        <w:t>, приведенной</w:t>
      </w:r>
      <w:r>
        <w:rPr>
          <w:color w:val="000000" w:themeColor="text1"/>
        </w:rPr>
        <w:t xml:space="preserve"> </w:t>
      </w:r>
      <w:r w:rsidR="00DE16C7">
        <w:rPr>
          <w:color w:val="000000" w:themeColor="text1"/>
        </w:rPr>
        <w:t>в записке Исполнительного секретаря</w:t>
      </w:r>
      <w:r w:rsidR="00DE16C7" w:rsidRPr="00DE16C7">
        <w:rPr>
          <w:rFonts w:eastAsia="Malgun Gothic"/>
          <w:color w:val="000000" w:themeColor="text1"/>
          <w:kern w:val="22"/>
          <w:szCs w:val="22"/>
          <w:vertAlign w:val="superscript"/>
          <w:lang w:eastAsia="x-none"/>
        </w:rPr>
        <w:fldChar w:fldCharType="begin"/>
      </w:r>
      <w:r w:rsidR="00DE16C7" w:rsidRPr="00DE16C7">
        <w:rPr>
          <w:rFonts w:eastAsia="Malgun Gothic"/>
          <w:color w:val="000000" w:themeColor="text1"/>
          <w:kern w:val="22"/>
          <w:szCs w:val="22"/>
          <w:vertAlign w:val="superscript"/>
          <w:lang w:eastAsia="x-none"/>
        </w:rPr>
        <w:instrText xml:space="preserve"> NOTEREF _Ref51446751 \h </w:instrText>
      </w:r>
      <w:r w:rsidR="00DE16C7">
        <w:rPr>
          <w:rFonts w:eastAsia="Malgun Gothic"/>
          <w:color w:val="000000" w:themeColor="text1"/>
          <w:kern w:val="22"/>
          <w:szCs w:val="22"/>
          <w:vertAlign w:val="superscript"/>
          <w:lang w:eastAsia="x-none"/>
        </w:rPr>
        <w:instrText xml:space="preserve"> \* MERGEFORMAT </w:instrText>
      </w:r>
      <w:r w:rsidR="00DE16C7" w:rsidRPr="00DE16C7">
        <w:rPr>
          <w:rFonts w:eastAsia="Malgun Gothic"/>
          <w:color w:val="000000" w:themeColor="text1"/>
          <w:kern w:val="22"/>
          <w:szCs w:val="22"/>
          <w:vertAlign w:val="superscript"/>
          <w:lang w:eastAsia="x-none"/>
        </w:rPr>
      </w:r>
      <w:r w:rsidR="00DE16C7" w:rsidRPr="00DE16C7">
        <w:rPr>
          <w:rFonts w:eastAsia="Malgun Gothic"/>
          <w:color w:val="000000" w:themeColor="text1"/>
          <w:kern w:val="22"/>
          <w:szCs w:val="22"/>
          <w:vertAlign w:val="superscript"/>
          <w:lang w:eastAsia="x-none"/>
        </w:rPr>
        <w:fldChar w:fldCharType="separate"/>
      </w:r>
      <w:r w:rsidR="00DE16C7" w:rsidRPr="00DE16C7">
        <w:rPr>
          <w:rFonts w:eastAsia="Malgun Gothic"/>
          <w:color w:val="000000" w:themeColor="text1"/>
          <w:kern w:val="22"/>
          <w:szCs w:val="22"/>
          <w:vertAlign w:val="superscript"/>
          <w:lang w:eastAsia="x-none"/>
        </w:rPr>
        <w:t>4</w:t>
      </w:r>
      <w:r w:rsidR="00DE16C7" w:rsidRPr="00DE16C7">
        <w:rPr>
          <w:rFonts w:eastAsia="Malgun Gothic"/>
          <w:color w:val="000000" w:themeColor="text1"/>
          <w:kern w:val="22"/>
          <w:szCs w:val="22"/>
          <w:vertAlign w:val="superscript"/>
          <w:lang w:eastAsia="x-none"/>
        </w:rPr>
        <w:fldChar w:fldCharType="end"/>
      </w:r>
      <w:r>
        <w:rPr>
          <w:color w:val="000000" w:themeColor="text1"/>
        </w:rPr>
        <w:t>, на сумму, не превышающую в совокупности 15% от общего бюджета по программам, при условии, что в отношении каждого такого раздела бюджетных ассигнований действует дополнительное максимальное ограничение в 25%;</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color w:val="000000" w:themeColor="text1"/>
        </w:rPr>
        <w:t>предлагает</w:t>
      </w:r>
      <w:r>
        <w:rPr>
          <w:color w:val="000000" w:themeColor="text1"/>
        </w:rPr>
        <w:t xml:space="preserve"> всем Сторонам Конвенции принять к сведению, что взносы в основные бюджеты по программе (BY, BG и BB) должны поступать 1 января того года, на который они заложены в бюджете, и своевременно выплачивать их, и </w:t>
      </w:r>
      <w:r>
        <w:rPr>
          <w:i/>
          <w:iCs/>
          <w:color w:val="000000" w:themeColor="text1"/>
        </w:rPr>
        <w:t>просит</w:t>
      </w:r>
      <w:r>
        <w:rPr>
          <w:color w:val="000000" w:themeColor="text1"/>
        </w:rPr>
        <w:t xml:space="preserve"> уведомлять Стороны о размерах их взносов как можно раньше в году, предшествующем году, в котором они должны быть выплачены;</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color w:val="000000" w:themeColor="text1"/>
        </w:rPr>
        <w:t>с озабоченностью отмечает,</w:t>
      </w:r>
      <w:r>
        <w:rPr>
          <w:color w:val="000000" w:themeColor="text1"/>
        </w:rPr>
        <w:t xml:space="preserve"> что определенное число Сторон еще не внесли взносы в основные бюджеты (целевые фонды BY, BG и BB) за 2020 год и за предыдущие годы, включая Стороны, которые никогда не платили своих взносов;</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color w:val="000000" w:themeColor="text1"/>
        </w:rPr>
        <w:t>отмечает</w:t>
      </w:r>
      <w:r>
        <w:rPr>
          <w:color w:val="000000" w:themeColor="text1"/>
        </w:rPr>
        <w:t>, что необходимо продлить срок функционирования целевых фондов Конвенции и протоколов</w:t>
      </w:r>
      <w:r w:rsidR="00156E64">
        <w:rPr>
          <w:color w:val="000000" w:themeColor="text1"/>
        </w:rPr>
        <w:t xml:space="preserve"> к ней (BY, BG и BB) на период длительностью</w:t>
      </w:r>
      <w:r>
        <w:rPr>
          <w:color w:val="000000" w:themeColor="text1"/>
        </w:rPr>
        <w:t xml:space="preserve"> два года, начинающийся 1 января 2022 года и завершающийся 31 декабря 2023 года, и </w:t>
      </w:r>
      <w:r>
        <w:rPr>
          <w:i/>
          <w:iCs/>
          <w:color w:val="000000" w:themeColor="text1"/>
        </w:rPr>
        <w:t>предлагает</w:t>
      </w:r>
      <w:r>
        <w:rPr>
          <w:color w:val="000000" w:themeColor="text1"/>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 </w:t>
      </w:r>
    </w:p>
    <w:p w:rsidR="00A30C14" w:rsidRPr="000322A9" w:rsidRDefault="00A30C14" w:rsidP="009E71AA">
      <w:pPr>
        <w:pStyle w:val="ListParagraph"/>
        <w:numPr>
          <w:ilvl w:val="0"/>
          <w:numId w:val="10"/>
        </w:numPr>
        <w:spacing w:before="120" w:after="120"/>
        <w:ind w:left="0" w:firstLine="704"/>
        <w:contextualSpacing w:val="0"/>
        <w:rPr>
          <w:kern w:val="22"/>
          <w:szCs w:val="22"/>
        </w:rPr>
      </w:pPr>
      <w:r>
        <w:rPr>
          <w:i/>
          <w:iCs/>
        </w:rPr>
        <w:t>отмечает</w:t>
      </w:r>
      <w:r>
        <w:t xml:space="preserve">, что срок функционирования добровольных целевых фондов (BE, BZ, VB) для Конвенции и протоколов к ней следует продлить на период </w:t>
      </w:r>
      <w:r w:rsidR="00156E64">
        <w:t>длительностью</w:t>
      </w:r>
      <w:r>
        <w:t xml:space="preserve"> четыре года, начинающийся 1 января 2022 года и завершающийся 31 декабря 2025 года, и предлагает Директору-исполнителю Программы Организации Объединенных Наций по окружающей среде запросить </w:t>
      </w:r>
      <w:r>
        <w:lastRenderedPageBreak/>
        <w:t>разрешение Ассамблеи Организации Объединенных Наций по окружающей среде на такое продление срока;</w:t>
      </w:r>
    </w:p>
    <w:p w:rsidR="00A30C14" w:rsidRPr="000322A9" w:rsidRDefault="00A30C14" w:rsidP="009E71AA">
      <w:pPr>
        <w:pStyle w:val="ListParagraph"/>
        <w:numPr>
          <w:ilvl w:val="0"/>
          <w:numId w:val="10"/>
        </w:numPr>
        <w:spacing w:before="120" w:after="120"/>
        <w:ind w:left="0" w:firstLine="704"/>
        <w:contextualSpacing w:val="0"/>
        <w:rPr>
          <w:kern w:val="22"/>
          <w:szCs w:val="22"/>
        </w:rPr>
      </w:pPr>
      <w:r w:rsidRPr="00156E64">
        <w:rPr>
          <w:i/>
        </w:rPr>
        <w:t>заявляет</w:t>
      </w:r>
      <w:r>
        <w:t xml:space="preserve">, что это решение не </w:t>
      </w:r>
      <w:r w:rsidR="00156E64">
        <w:t>влечет за собой отрицательных последствий для дальнейших</w:t>
      </w:r>
      <w:r>
        <w:t xml:space="preserve"> решени</w:t>
      </w:r>
      <w:r w:rsidR="00156E64">
        <w:t>й</w:t>
      </w:r>
      <w:r>
        <w:t>, которые будут приняты Конференцией Сторон на ее пятнадцатом совещании;</w:t>
      </w:r>
    </w:p>
    <w:p w:rsidR="00A30C14" w:rsidRPr="000322A9" w:rsidRDefault="00A30C14" w:rsidP="009E71AA">
      <w:pPr>
        <w:pStyle w:val="ListParagraph"/>
        <w:numPr>
          <w:ilvl w:val="0"/>
          <w:numId w:val="10"/>
        </w:numPr>
        <w:spacing w:before="120" w:after="120"/>
        <w:ind w:left="0" w:firstLine="704"/>
        <w:contextualSpacing w:val="0"/>
        <w:rPr>
          <w:kern w:val="22"/>
          <w:szCs w:val="22"/>
        </w:rPr>
      </w:pPr>
      <w:r w:rsidRPr="00156E64">
        <w:rPr>
          <w:i/>
        </w:rPr>
        <w:t>поручает</w:t>
      </w:r>
      <w:r>
        <w:t xml:space="preserve"> Исполнительному секретарю;</w:t>
      </w:r>
    </w:p>
    <w:p w:rsidR="00A30C14" w:rsidRPr="000322A9" w:rsidRDefault="00A30C14" w:rsidP="009E71AA">
      <w:pPr>
        <w:pStyle w:val="ListParagraph"/>
        <w:numPr>
          <w:ilvl w:val="1"/>
          <w:numId w:val="11"/>
        </w:numPr>
        <w:spacing w:before="120" w:after="120"/>
        <w:ind w:left="0" w:firstLine="687"/>
        <w:contextualSpacing w:val="0"/>
        <w:rPr>
          <w:kern w:val="22"/>
          <w:szCs w:val="22"/>
        </w:rPr>
      </w:pPr>
      <w:r>
        <w:t>учесть результаты этого решения при подготовке предложений в отношении бюджета на двухлетний период 2021-2022 годов, в соответствии с пунктом 48 решения 14/37;</w:t>
      </w:r>
    </w:p>
    <w:p w:rsidR="00A30C14" w:rsidRPr="000322A9" w:rsidRDefault="00A30C14" w:rsidP="009E71AA">
      <w:pPr>
        <w:pStyle w:val="ListParagraph"/>
        <w:numPr>
          <w:ilvl w:val="1"/>
          <w:numId w:val="11"/>
        </w:numPr>
        <w:spacing w:before="120" w:after="120"/>
        <w:ind w:left="0" w:firstLine="687"/>
        <w:contextualSpacing w:val="0"/>
        <w:rPr>
          <w:kern w:val="22"/>
          <w:szCs w:val="22"/>
        </w:rPr>
      </w:pPr>
      <w:r>
        <w:t xml:space="preserve">а также подготовить предложения по бюджету на период 2023-2024 годов в ожидании решения Конференции Сторон и совещаний Сторон </w:t>
      </w:r>
      <w:r w:rsidR="00DE16C7">
        <w:t xml:space="preserve">Картахенского и Нагойского протоколов </w:t>
      </w:r>
      <w:r>
        <w:t>в отношении дат проведения их шестнадцатого, одиннадцатого и пятого совещаний</w:t>
      </w:r>
      <w:r w:rsidR="00DE16C7" w:rsidRPr="00DE16C7">
        <w:t xml:space="preserve"> </w:t>
      </w:r>
      <w:r w:rsidR="00DE16C7">
        <w:t>соответственно</w:t>
      </w:r>
      <w:r>
        <w:t>.</w:t>
      </w:r>
    </w:p>
    <w:p w:rsidR="00A30C14" w:rsidRPr="000322A9" w:rsidRDefault="0077723B" w:rsidP="00B73D17">
      <w:pPr>
        <w:pStyle w:val="ListParagraph"/>
        <w:numPr>
          <w:ilvl w:val="0"/>
          <w:numId w:val="6"/>
        </w:numPr>
        <w:spacing w:before="120" w:after="120"/>
        <w:ind w:left="1134" w:hanging="567"/>
        <w:contextualSpacing w:val="0"/>
        <w:rPr>
          <w:b/>
          <w:iCs/>
          <w:kern w:val="22"/>
          <w:szCs w:val="22"/>
        </w:rPr>
      </w:pPr>
      <w:r>
        <w:rPr>
          <w:b/>
        </w:rPr>
        <w:t>ПРОЕКТ</w:t>
      </w:r>
      <w:r w:rsidR="00F86FB3">
        <w:rPr>
          <w:b/>
        </w:rPr>
        <w:t xml:space="preserve"> РЕШЕНИ</w:t>
      </w:r>
      <w:r>
        <w:rPr>
          <w:b/>
        </w:rPr>
        <w:t>Я</w:t>
      </w:r>
      <w:r w:rsidR="00F86FB3">
        <w:rPr>
          <w:b/>
        </w:rPr>
        <w:t xml:space="preserve"> ДЛЯ РАССМОТРЕНИЯ КОНФЕРЕНЦИЕЙ СТОРОН, ВЫСТУПАЮЩЕЙ В КАЧЕСТВЕ СОВЕЩАНИЯ СТОРОН КАРТАХЕНСКОГО ПРОТОКОЛА </w:t>
      </w:r>
      <w:r w:rsidR="00960467">
        <w:rPr>
          <w:b/>
        </w:rPr>
        <w:t>П</w:t>
      </w:r>
      <w:r w:rsidR="00F86FB3">
        <w:rPr>
          <w:b/>
        </w:rPr>
        <w:t xml:space="preserve">О БИОБЕЗОПАСНОСТИ </w:t>
      </w:r>
    </w:p>
    <w:p w:rsidR="004303D9" w:rsidRPr="004303D9" w:rsidRDefault="004303D9" w:rsidP="00B73D17">
      <w:pPr>
        <w:pStyle w:val="ListParagraph"/>
        <w:numPr>
          <w:ilvl w:val="0"/>
          <w:numId w:val="5"/>
        </w:numPr>
        <w:suppressLineNumbers/>
        <w:suppressAutoHyphens/>
        <w:spacing w:before="120" w:after="120"/>
        <w:ind w:left="0" w:firstLine="0"/>
        <w:rPr>
          <w:rFonts w:eastAsia="Times New Roman" w:cs="Times New Roman"/>
          <w:kern w:val="22"/>
          <w:szCs w:val="22"/>
        </w:rPr>
      </w:pPr>
      <w:r w:rsidRPr="004303D9">
        <w:rPr>
          <w:iCs/>
          <w:kern w:val="22"/>
          <w:szCs w:val="22"/>
        </w:rPr>
        <w:t>Конференция Сторон, выступающая в качестве совещания Сторон Картахенского протокола по биобезопасности, возможно, пожелает принять решение следующего содержания</w:t>
      </w:r>
      <w:r w:rsidRPr="004303D9">
        <w:rPr>
          <w:kern w:val="22"/>
          <w:szCs w:val="22"/>
        </w:rPr>
        <w:t>:</w:t>
      </w:r>
    </w:p>
    <w:p w:rsidR="004303D9" w:rsidRPr="00B73D17" w:rsidRDefault="00B73D17" w:rsidP="00B73D17">
      <w:pPr>
        <w:spacing w:before="120" w:after="120"/>
        <w:ind w:firstLine="709"/>
        <w:rPr>
          <w:i/>
          <w:iCs/>
        </w:rPr>
      </w:pPr>
      <w:r w:rsidRPr="00B73D17">
        <w:rPr>
          <w:i/>
          <w:iCs/>
          <w:kern w:val="22"/>
          <w:szCs w:val="22"/>
        </w:rPr>
        <w:t>Конференция Сторон, выступающая в качестве совещания Сторон Картахенского протокола по биобезопасности</w:t>
      </w:r>
      <w:r>
        <w:rPr>
          <w:i/>
          <w:iCs/>
          <w:kern w:val="22"/>
          <w:szCs w:val="22"/>
        </w:rPr>
        <w:t>,</w:t>
      </w:r>
    </w:p>
    <w:p w:rsidR="00A30C14" w:rsidRPr="000322A9" w:rsidRDefault="008461D2" w:rsidP="00A30C14">
      <w:pPr>
        <w:spacing w:before="120" w:after="120"/>
        <w:ind w:firstLine="709"/>
        <w:rPr>
          <w:kern w:val="22"/>
          <w:szCs w:val="22"/>
        </w:rPr>
      </w:pPr>
      <w:r>
        <w:rPr>
          <w:i/>
          <w:iCs/>
        </w:rPr>
        <w:t>с</w:t>
      </w:r>
      <w:r w:rsidR="00A30C14">
        <w:rPr>
          <w:i/>
          <w:iCs/>
        </w:rPr>
        <w:t>сылаясь</w:t>
      </w:r>
      <w:r w:rsidR="00A30C14">
        <w:t xml:space="preserve"> на свое решение 9/16, </w:t>
      </w:r>
      <w:r>
        <w:t>в котором она утвердила</w:t>
      </w:r>
      <w:r w:rsidR="00A30C14">
        <w:t xml:space="preserve"> бюджет на двухлетний период 2019-2020 годов,</w:t>
      </w:r>
    </w:p>
    <w:p w:rsidR="00A30C14" w:rsidRPr="000322A9" w:rsidRDefault="00A30C14" w:rsidP="00A30C14">
      <w:pPr>
        <w:spacing w:before="120" w:after="120"/>
        <w:ind w:firstLine="709"/>
        <w:rPr>
          <w:kern w:val="22"/>
          <w:szCs w:val="22"/>
        </w:rPr>
      </w:pPr>
      <w:r>
        <w:rPr>
          <w:i/>
          <w:iCs/>
        </w:rPr>
        <w:t>принимая во внимание</w:t>
      </w:r>
      <w:r>
        <w:t xml:space="preserve">, что десятое совещание Конференции Сторон, выступающей в качестве совещания Сторон Картахенского протокола по биобезопасности, было перенесено на 2021 год в связи с ограничениями, </w:t>
      </w:r>
      <w:r w:rsidR="00960467">
        <w:t>вызванными пандемией COVID-19,</w:t>
      </w:r>
    </w:p>
    <w:p w:rsidR="00A30C14" w:rsidRPr="000322A9" w:rsidRDefault="00A30C14" w:rsidP="00A30C14">
      <w:pPr>
        <w:spacing w:before="120" w:after="120"/>
        <w:ind w:firstLine="709"/>
        <w:rPr>
          <w:kern w:val="22"/>
          <w:szCs w:val="22"/>
        </w:rPr>
      </w:pPr>
      <w:r>
        <w:rPr>
          <w:i/>
          <w:iCs/>
        </w:rPr>
        <w:t>отмечая</w:t>
      </w:r>
      <w:r>
        <w:t xml:space="preserve">, соответственно, необходимость в принятии </w:t>
      </w:r>
      <w:r w:rsidR="00960467">
        <w:t xml:space="preserve">организационных </w:t>
      </w:r>
      <w:r>
        <w:t xml:space="preserve">мер, которые обеспечат непрерывное функционирование органов </w:t>
      </w:r>
      <w:r w:rsidR="008461D2">
        <w:t>Протокола</w:t>
      </w:r>
      <w:r>
        <w:t xml:space="preserve">, включая </w:t>
      </w:r>
      <w:r w:rsidR="008461D2">
        <w:t>его</w:t>
      </w:r>
      <w:r>
        <w:t xml:space="preserve"> секретариат и совещания </w:t>
      </w:r>
      <w:r w:rsidR="008461D2">
        <w:t>его</w:t>
      </w:r>
      <w:r>
        <w:t xml:space="preserve"> </w:t>
      </w:r>
      <w:r w:rsidR="008461D2">
        <w:t>Сторо</w:t>
      </w:r>
      <w:r>
        <w:t>н и вспомогательных органов,</w:t>
      </w:r>
    </w:p>
    <w:p w:rsidR="00A30C14" w:rsidRDefault="00A30C14" w:rsidP="00A30C14">
      <w:pPr>
        <w:spacing w:before="120" w:after="120"/>
        <w:ind w:firstLine="709"/>
      </w:pPr>
      <w:r>
        <w:rPr>
          <w:i/>
          <w:iCs/>
        </w:rPr>
        <w:t>принимая к сведению</w:t>
      </w:r>
      <w: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r w:rsidR="008461D2">
        <w:t>,</w:t>
      </w:r>
    </w:p>
    <w:p w:rsidR="008461D2" w:rsidRPr="000322A9" w:rsidRDefault="008461D2" w:rsidP="00A30C14">
      <w:pPr>
        <w:spacing w:before="120" w:after="120"/>
        <w:ind w:firstLine="709"/>
        <w:rPr>
          <w:rFonts w:eastAsia="Malgun Gothic"/>
          <w:iCs/>
          <w:snapToGrid w:val="0"/>
          <w:kern w:val="22"/>
          <w:szCs w:val="22"/>
        </w:rPr>
      </w:pPr>
      <w:r w:rsidRPr="008461D2">
        <w:rPr>
          <w:i/>
        </w:rPr>
        <w:t>также принимая к сведению</w:t>
      </w:r>
      <w:r>
        <w:t xml:space="preserve"> записку Исполнительного секретаря</w:t>
      </w:r>
      <w:r w:rsidR="00D33842">
        <w:rPr>
          <w:rStyle w:val="FootnoteReference"/>
          <w:kern w:val="22"/>
          <w:szCs w:val="22"/>
        </w:rPr>
        <w:footnoteReference w:id="8"/>
      </w:r>
      <w:r>
        <w:t>,</w:t>
      </w:r>
    </w:p>
    <w:p w:rsidR="00A30C14" w:rsidRPr="000322A9" w:rsidRDefault="00A30C14" w:rsidP="009E71AA">
      <w:pPr>
        <w:pStyle w:val="ListParagraph"/>
        <w:numPr>
          <w:ilvl w:val="0"/>
          <w:numId w:val="12"/>
        </w:numPr>
        <w:spacing w:before="120" w:after="120"/>
        <w:ind w:left="0" w:firstLine="698"/>
        <w:contextualSpacing w:val="0"/>
        <w:rPr>
          <w:kern w:val="22"/>
          <w:szCs w:val="22"/>
        </w:rPr>
      </w:pPr>
      <w:r>
        <w:rPr>
          <w:i/>
          <w:iCs/>
        </w:rPr>
        <w:t>постановляет</w:t>
      </w:r>
      <w:r>
        <w:t xml:space="preserve"> продлить вплоть до 31 декабря 2021 года либо, в случае если </w:t>
      </w:r>
      <w:r w:rsidR="008461D2">
        <w:t>десятое совещание Конференции Сторон, выступающей в качестве совещания Сторон Картахенского протокола,</w:t>
      </w:r>
      <w:r>
        <w:t xml:space="preserve"> не будет проведен</w:t>
      </w:r>
      <w:r w:rsidR="008461D2">
        <w:t>о</w:t>
      </w:r>
      <w:r>
        <w:t xml:space="preserve"> в течение 2021 года, до конца месяца, следующего за закрытием </w:t>
      </w:r>
      <w:r w:rsidR="008461D2">
        <w:t>десятого совещания Конференции Сторон, выступающего в качестве совещания Сторон Картахенского протокола</w:t>
      </w:r>
      <w:r>
        <w:t>, срок действия средств, ассигнованных в бюджете на 2019-2020 </w:t>
      </w:r>
      <w:r w:rsidR="00A73921">
        <w:t xml:space="preserve">годы на расходы, связанные с проведением совещаний </w:t>
      </w:r>
      <w:r w:rsidR="00660738">
        <w:t>Конференции Сторон, выступающей в качестве совещания Сторон Картахенского протокола</w:t>
      </w:r>
      <w:r w:rsidR="001027F6">
        <w:t xml:space="preserve">, и ее </w:t>
      </w:r>
      <w:r>
        <w:t xml:space="preserve">вспомогательных органов, </w:t>
      </w:r>
      <w:r w:rsidR="001027F6">
        <w:t>которые были перенесены</w:t>
      </w:r>
      <w:r>
        <w:t xml:space="preserve"> с двухле</w:t>
      </w:r>
      <w:r w:rsidR="00A73921">
        <w:t>тнего периода 2019-2020 годов;</w:t>
      </w:r>
    </w:p>
    <w:p w:rsidR="00A30C14" w:rsidRPr="001027F6" w:rsidRDefault="00A30C14" w:rsidP="001027F6">
      <w:pPr>
        <w:pStyle w:val="ListParagraph"/>
        <w:numPr>
          <w:ilvl w:val="0"/>
          <w:numId w:val="12"/>
        </w:numPr>
        <w:spacing w:before="120" w:after="120"/>
        <w:ind w:left="0" w:firstLine="697"/>
        <w:contextualSpacing w:val="0"/>
        <w:rPr>
          <w:rFonts w:eastAsia="Malgun Gothic"/>
          <w:iCs/>
          <w:color w:val="000000" w:themeColor="text1"/>
          <w:kern w:val="22"/>
          <w:szCs w:val="22"/>
        </w:rPr>
      </w:pPr>
      <w:r>
        <w:rPr>
          <w:i/>
          <w:color w:val="000000" w:themeColor="text1"/>
        </w:rPr>
        <w:t>утверждает</w:t>
      </w:r>
      <w:r>
        <w:rPr>
          <w:color w:val="000000" w:themeColor="text1"/>
        </w:rPr>
        <w:t xml:space="preserve"> в порядке исключения основной бюджет по программе </w:t>
      </w:r>
      <w:r>
        <w:rPr>
          <w:snapToGrid w:val="0"/>
        </w:rPr>
        <w:t>Картахенского протокола по биобезопасности</w:t>
      </w:r>
      <w:r>
        <w:rPr>
          <w:color w:val="000000" w:themeColor="text1"/>
        </w:rPr>
        <w:t xml:space="preserve"> в размере </w:t>
      </w:r>
      <w:r>
        <w:t xml:space="preserve">2 541 570 долларов США на 2021 год, что составляет </w:t>
      </w:r>
      <w:r>
        <w:lastRenderedPageBreak/>
        <w:t xml:space="preserve">15% от временного комплексного бюджета в размере 16 943 800 долларов США на 2021 год, </w:t>
      </w:r>
      <w:r w:rsidR="00A73921">
        <w:rPr>
          <w:color w:val="000000" w:themeColor="text1"/>
        </w:rPr>
        <w:t>на цели, перечисленные</w:t>
      </w:r>
      <w:r>
        <w:t xml:space="preserve"> в таблицах 5a и 5b выше</w:t>
      </w:r>
      <w:r>
        <w:rPr>
          <w:color w:val="000000" w:themeColor="text1"/>
        </w:rPr>
        <w:t>;</w:t>
      </w:r>
    </w:p>
    <w:p w:rsidR="001027F6" w:rsidRPr="000322A9" w:rsidRDefault="001027F6" w:rsidP="001027F6">
      <w:pPr>
        <w:pStyle w:val="ListParagraph"/>
        <w:numPr>
          <w:ilvl w:val="0"/>
          <w:numId w:val="12"/>
        </w:numPr>
        <w:spacing w:before="120" w:after="120"/>
        <w:ind w:left="0" w:firstLine="697"/>
        <w:contextualSpacing w:val="0"/>
        <w:rPr>
          <w:rFonts w:eastAsia="Malgun Gothic"/>
          <w:iCs/>
          <w:color w:val="000000" w:themeColor="text1"/>
          <w:kern w:val="22"/>
          <w:szCs w:val="22"/>
        </w:rPr>
      </w:pPr>
      <w:r>
        <w:rPr>
          <w:i/>
          <w:color w:val="000000" w:themeColor="text1"/>
        </w:rPr>
        <w:t xml:space="preserve">поручает </w:t>
      </w:r>
      <w:r>
        <w:rPr>
          <w:color w:val="000000" w:themeColor="text1"/>
        </w:rPr>
        <w:t>Исполнительному секретарю подготовить предложения по бюджету на двухлетний период 2021-2022 годов;</w:t>
      </w:r>
    </w:p>
    <w:p w:rsidR="00A30C14" w:rsidRPr="000322A9" w:rsidRDefault="00A30C14" w:rsidP="001027F6">
      <w:pPr>
        <w:pStyle w:val="ListParagraph"/>
        <w:numPr>
          <w:ilvl w:val="0"/>
          <w:numId w:val="12"/>
        </w:numPr>
        <w:suppressLineNumbers/>
        <w:shd w:val="clear" w:color="auto" w:fill="FFFFFF" w:themeFill="background1"/>
        <w:suppressAutoHyphens/>
        <w:spacing w:before="120" w:after="120"/>
        <w:ind w:left="0" w:firstLine="697"/>
        <w:contextualSpacing w:val="0"/>
        <w:rPr>
          <w:rFonts w:eastAsia="Malgun Gothic"/>
          <w:iCs/>
          <w:snapToGrid w:val="0"/>
          <w:kern w:val="22"/>
          <w:szCs w:val="22"/>
        </w:rPr>
      </w:pPr>
      <w:r w:rsidRPr="001027F6">
        <w:rPr>
          <w:i/>
          <w:snapToGrid w:val="0"/>
        </w:rPr>
        <w:t>постановляет</w:t>
      </w:r>
      <w:r>
        <w:rPr>
          <w:snapToGrid w:val="0"/>
        </w:rPr>
        <w:t xml:space="preserve"> применять </w:t>
      </w:r>
      <w:r>
        <w:t>mutatis mutandis</w:t>
      </w:r>
      <w:r>
        <w:rPr>
          <w:snapToGrid w:val="0"/>
        </w:rPr>
        <w:t xml:space="preserve"> пункты </w:t>
      </w:r>
      <w:r w:rsidR="00C14086">
        <w:rPr>
          <w:rFonts w:eastAsia="Malgun Gothic"/>
          <w:snapToGrid w:val="0"/>
          <w:kern w:val="22"/>
          <w:szCs w:val="22"/>
          <w:lang w:eastAsia="x-none"/>
        </w:rPr>
        <w:t>24(3)</w:t>
      </w:r>
      <w:r w:rsidR="00C14086">
        <w:rPr>
          <w:rFonts w:eastAsia="Malgun Gothic"/>
          <w:snapToGrid w:val="0"/>
          <w:kern w:val="22"/>
          <w:szCs w:val="22"/>
          <w:lang w:val="es-ES" w:eastAsia="x-none"/>
        </w:rPr>
        <w:t> </w:t>
      </w:r>
      <w:r w:rsidR="00C14086">
        <w:rPr>
          <w:rFonts w:eastAsia="Malgun Gothic"/>
          <w:snapToGrid w:val="0"/>
          <w:kern w:val="22"/>
          <w:szCs w:val="22"/>
          <w:lang w:eastAsia="x-none"/>
        </w:rPr>
        <w:t>-</w:t>
      </w:r>
      <w:r w:rsidR="00C14086">
        <w:rPr>
          <w:rFonts w:eastAsia="Malgun Gothic"/>
          <w:snapToGrid w:val="0"/>
          <w:kern w:val="22"/>
          <w:szCs w:val="22"/>
          <w:lang w:val="es-ES" w:eastAsia="x-none"/>
        </w:rPr>
        <w:t> </w:t>
      </w:r>
      <w:r w:rsidR="00C14086">
        <w:rPr>
          <w:rFonts w:eastAsia="Malgun Gothic"/>
          <w:snapToGrid w:val="0"/>
          <w:kern w:val="22"/>
          <w:szCs w:val="22"/>
          <w:lang w:eastAsia="x-none"/>
        </w:rPr>
        <w:t xml:space="preserve">24(14) </w:t>
      </w:r>
      <w:r>
        <w:rPr>
          <w:snapToGrid w:val="0"/>
        </w:rPr>
        <w:t>решения Конференции Сторон</w:t>
      </w:r>
      <w:r w:rsidR="00C14086">
        <w:rPr>
          <w:snapToGrid w:val="0"/>
        </w:rPr>
        <w:t xml:space="preserve"> </w:t>
      </w:r>
      <w:r w:rsidR="001027F6">
        <w:rPr>
          <w:snapToGrid w:val="0"/>
        </w:rPr>
        <w:t>на ее втором внеочередном совещании</w:t>
      </w:r>
      <w:r>
        <w:t>.</w:t>
      </w:r>
    </w:p>
    <w:p w:rsidR="00A30C14" w:rsidRPr="000322A9" w:rsidRDefault="00BD6C6F" w:rsidP="00060EAE">
      <w:pPr>
        <w:pStyle w:val="ListParagraph"/>
        <w:numPr>
          <w:ilvl w:val="0"/>
          <w:numId w:val="6"/>
        </w:numPr>
        <w:spacing w:before="120" w:after="120"/>
        <w:ind w:left="1134" w:hanging="567"/>
        <w:contextualSpacing w:val="0"/>
        <w:rPr>
          <w:b/>
          <w:iCs/>
          <w:kern w:val="22"/>
          <w:szCs w:val="22"/>
        </w:rPr>
      </w:pPr>
      <w:r>
        <w:rPr>
          <w:b/>
        </w:rPr>
        <w:t>ПРОЕКТ</w:t>
      </w:r>
      <w:r w:rsidR="001027F6">
        <w:rPr>
          <w:b/>
        </w:rPr>
        <w:t xml:space="preserve"> РЕШЕНИ</w:t>
      </w:r>
      <w:r>
        <w:rPr>
          <w:b/>
        </w:rPr>
        <w:t>Я</w:t>
      </w:r>
      <w:r w:rsidR="001027F6">
        <w:rPr>
          <w:b/>
        </w:rPr>
        <w:t xml:space="preserve"> ДЛЯ РАССМОТРЕНИЯ КОНФЕРЕНЦИЕЙ СТОРОН, ВЫСТУПАЮЩЕЙ В КАЧЕСТВЕ СОВЕЩАНИЯ СТОРОН НАГОЙСКОГО ПРОТОКОЛА РЕГУЛИРОВАНИЯ ДОСТУПА К ГЕНЕТИЧЕСКИМ РЕСУРСАМ И СОВМЕСТНОГО ИСПОЛЬЗОВАНИЯ ВЫГОД</w:t>
      </w:r>
    </w:p>
    <w:p w:rsidR="00060EAE" w:rsidRPr="004303D9" w:rsidRDefault="00060EAE" w:rsidP="00060EAE">
      <w:pPr>
        <w:pStyle w:val="ListParagraph"/>
        <w:numPr>
          <w:ilvl w:val="0"/>
          <w:numId w:val="5"/>
        </w:numPr>
        <w:suppressLineNumbers/>
        <w:suppressAutoHyphens/>
        <w:spacing w:before="120" w:after="120"/>
        <w:ind w:left="0" w:firstLine="0"/>
        <w:rPr>
          <w:rFonts w:eastAsia="Times New Roman" w:cs="Times New Roman"/>
          <w:kern w:val="22"/>
          <w:szCs w:val="22"/>
        </w:rPr>
      </w:pPr>
      <w:r w:rsidRPr="00060EAE">
        <w:rPr>
          <w:iCs/>
          <w:kern w:val="22"/>
          <w:szCs w:val="22"/>
        </w:rPr>
        <w:t xml:space="preserve">Конференция Сторон, выступающая в качестве совещания Сторон </w:t>
      </w:r>
      <w:r w:rsidR="005C6111">
        <w:t>Нагойского</w:t>
      </w:r>
      <w:r w:rsidR="005C6111">
        <w:rPr>
          <w:snapToGrid w:val="0"/>
        </w:rPr>
        <w:t xml:space="preserve"> протокола </w:t>
      </w:r>
      <w:r w:rsidR="005C6111">
        <w:t>регулирования доступа к генетическим ресурсам и совместного использования выгод</w:t>
      </w:r>
      <w:r w:rsidRPr="00060EAE">
        <w:rPr>
          <w:iCs/>
          <w:kern w:val="22"/>
          <w:szCs w:val="22"/>
        </w:rPr>
        <w:t>, возможно, пожелает принять решение следующего содержания</w:t>
      </w:r>
      <w:r w:rsidRPr="004303D9">
        <w:rPr>
          <w:kern w:val="22"/>
          <w:szCs w:val="22"/>
        </w:rPr>
        <w:t>:</w:t>
      </w:r>
    </w:p>
    <w:p w:rsidR="00060EAE" w:rsidRPr="005C6111" w:rsidRDefault="00060EAE" w:rsidP="00060EAE">
      <w:pPr>
        <w:spacing w:before="120" w:after="120"/>
        <w:ind w:firstLine="709"/>
        <w:rPr>
          <w:i/>
          <w:iCs/>
        </w:rPr>
      </w:pPr>
      <w:r w:rsidRPr="005C6111">
        <w:rPr>
          <w:i/>
          <w:iCs/>
          <w:kern w:val="22"/>
          <w:szCs w:val="22"/>
        </w:rPr>
        <w:t xml:space="preserve">Конференция Сторон, выступающая в качестве совещания Сторон </w:t>
      </w:r>
      <w:r w:rsidR="005C6111" w:rsidRPr="005C6111">
        <w:rPr>
          <w:i/>
          <w:iCs/>
          <w:kern w:val="22"/>
          <w:szCs w:val="22"/>
        </w:rPr>
        <w:t>Нагойского</w:t>
      </w:r>
      <w:r w:rsidRPr="005C6111">
        <w:rPr>
          <w:i/>
          <w:iCs/>
          <w:kern w:val="22"/>
          <w:szCs w:val="22"/>
        </w:rPr>
        <w:t xml:space="preserve"> протокола </w:t>
      </w:r>
      <w:r w:rsidR="005C6111" w:rsidRPr="005C6111">
        <w:rPr>
          <w:i/>
          <w:iCs/>
          <w:kern w:val="22"/>
          <w:szCs w:val="22"/>
        </w:rPr>
        <w:t xml:space="preserve">регулирования </w:t>
      </w:r>
      <w:r w:rsidR="005C6111" w:rsidRPr="005C6111">
        <w:rPr>
          <w:i/>
        </w:rPr>
        <w:t>доступа к генетическим ресурсам и совместного использования</w:t>
      </w:r>
      <w:r w:rsidRPr="005C6111">
        <w:rPr>
          <w:i/>
          <w:iCs/>
          <w:kern w:val="22"/>
          <w:szCs w:val="22"/>
        </w:rPr>
        <w:t>,</w:t>
      </w:r>
    </w:p>
    <w:p w:rsidR="00A30C14" w:rsidRPr="000322A9" w:rsidRDefault="005C6111" w:rsidP="00A30C14">
      <w:pPr>
        <w:spacing w:before="120" w:after="120"/>
        <w:ind w:firstLine="709"/>
        <w:rPr>
          <w:kern w:val="22"/>
          <w:szCs w:val="22"/>
        </w:rPr>
      </w:pPr>
      <w:r>
        <w:rPr>
          <w:i/>
          <w:iCs/>
        </w:rPr>
        <w:t>с</w:t>
      </w:r>
      <w:r w:rsidR="00A30C14">
        <w:rPr>
          <w:i/>
          <w:iCs/>
        </w:rPr>
        <w:t>сылаясь</w:t>
      </w:r>
      <w:r w:rsidR="00A30C14">
        <w:t xml:space="preserve"> на свое решение 3/16, </w:t>
      </w:r>
      <w:r>
        <w:t>в котором она утвердила</w:t>
      </w:r>
      <w:r w:rsidR="00A30C14">
        <w:t xml:space="preserve"> бюджет на двухлетний период 2019-2020 годов,</w:t>
      </w:r>
    </w:p>
    <w:p w:rsidR="00A30C14" w:rsidRPr="000322A9" w:rsidRDefault="00A30C14" w:rsidP="00A30C14">
      <w:pPr>
        <w:spacing w:before="120" w:after="120"/>
        <w:ind w:firstLine="709"/>
        <w:rPr>
          <w:kern w:val="22"/>
          <w:szCs w:val="22"/>
        </w:rPr>
      </w:pPr>
      <w:r>
        <w:rPr>
          <w:i/>
          <w:iCs/>
        </w:rPr>
        <w:t>принимая во внимание</w:t>
      </w:r>
      <w:r>
        <w:t xml:space="preserve">, что четвертое совещание Конференции Сторон, выступающей в качестве совещания Сторон Нагойского протокола, было перенесено на 2021 год в связи с ограничениями, </w:t>
      </w:r>
      <w:r w:rsidR="00BD6C6F">
        <w:t>вызванными пандемией COVID-19,</w:t>
      </w:r>
    </w:p>
    <w:p w:rsidR="00A30C14" w:rsidRPr="000322A9" w:rsidRDefault="00A30C14" w:rsidP="00A30C14">
      <w:pPr>
        <w:spacing w:before="120" w:after="120"/>
        <w:ind w:firstLine="709"/>
        <w:rPr>
          <w:kern w:val="22"/>
          <w:szCs w:val="22"/>
        </w:rPr>
      </w:pPr>
      <w:r>
        <w:rPr>
          <w:i/>
          <w:iCs/>
        </w:rPr>
        <w:t>отмечая</w:t>
      </w:r>
      <w:r>
        <w:t xml:space="preserve">, соответственно, необходимость в принятии мер, которые обеспечат непрерывное функционирование органов </w:t>
      </w:r>
      <w:r w:rsidR="00D33842">
        <w:t>Протокола</w:t>
      </w:r>
      <w:r>
        <w:t xml:space="preserve">, включая </w:t>
      </w:r>
      <w:r w:rsidR="00D33842">
        <w:t>его</w:t>
      </w:r>
      <w:r>
        <w:t xml:space="preserve"> секретариат и совещания </w:t>
      </w:r>
      <w:r w:rsidR="00D33842">
        <w:t>его</w:t>
      </w:r>
      <w:r>
        <w:t xml:space="preserve"> </w:t>
      </w:r>
      <w:r w:rsidR="00D33842">
        <w:t>Сторон</w:t>
      </w:r>
      <w:r>
        <w:t xml:space="preserve"> и вспомогательных органов,</w:t>
      </w:r>
    </w:p>
    <w:p w:rsidR="00A30C14" w:rsidRDefault="00A30C14" w:rsidP="00A30C14">
      <w:pPr>
        <w:spacing w:before="120" w:after="120"/>
        <w:ind w:firstLine="709"/>
      </w:pPr>
      <w:r>
        <w:rPr>
          <w:i/>
          <w:iCs/>
        </w:rPr>
        <w:t>принимая к сведению</w:t>
      </w:r>
      <w: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rsidR="00D33842" w:rsidRPr="000322A9" w:rsidRDefault="00D33842" w:rsidP="00D33842">
      <w:pPr>
        <w:spacing w:before="120" w:after="120"/>
        <w:ind w:firstLine="709"/>
        <w:rPr>
          <w:rFonts w:eastAsia="Malgun Gothic"/>
          <w:iCs/>
          <w:snapToGrid w:val="0"/>
          <w:kern w:val="22"/>
          <w:szCs w:val="22"/>
        </w:rPr>
      </w:pPr>
      <w:r w:rsidRPr="008461D2">
        <w:rPr>
          <w:i/>
        </w:rPr>
        <w:t>также принимая к сведению</w:t>
      </w:r>
      <w:r>
        <w:t xml:space="preserve"> записку Исполнительного секретаря</w:t>
      </w:r>
      <w:r>
        <w:rPr>
          <w:rStyle w:val="FootnoteReference"/>
          <w:kern w:val="22"/>
          <w:szCs w:val="22"/>
        </w:rPr>
        <w:footnoteReference w:id="9"/>
      </w:r>
      <w:r>
        <w:t>,</w:t>
      </w:r>
    </w:p>
    <w:p w:rsidR="00A30C14" w:rsidRPr="000322A9" w:rsidRDefault="00A30C14" w:rsidP="009E71AA">
      <w:pPr>
        <w:pStyle w:val="ListParagraph"/>
        <w:numPr>
          <w:ilvl w:val="0"/>
          <w:numId w:val="13"/>
        </w:numPr>
        <w:spacing w:before="120" w:after="120"/>
        <w:ind w:left="0" w:firstLine="709"/>
        <w:contextualSpacing w:val="0"/>
        <w:rPr>
          <w:kern w:val="22"/>
          <w:szCs w:val="22"/>
        </w:rPr>
      </w:pPr>
      <w:r>
        <w:rPr>
          <w:i/>
          <w:iCs/>
        </w:rPr>
        <w:t>постановляет</w:t>
      </w:r>
      <w:r>
        <w:t xml:space="preserve"> продлить вплоть до 31 декабря 2021 года либо, в случае если </w:t>
      </w:r>
      <w:r w:rsidR="00045A36">
        <w:t>четвертое совещание Конференции Сторон, выступающей в качестве совещания Сторон Нагойского протокола,</w:t>
      </w:r>
      <w:r>
        <w:t xml:space="preserve"> не будет проведен</w:t>
      </w:r>
      <w:r w:rsidR="00045A36">
        <w:t>о</w:t>
      </w:r>
      <w:r>
        <w:t xml:space="preserve"> в течение 2021 года, до конца месяца, следующего за закрытием </w:t>
      </w:r>
      <w:r w:rsidR="00045A36">
        <w:t>четвертого совещания Конференции Сторон, выступающей в качестве совещания Сторон Нагойского протокола</w:t>
      </w:r>
      <w:r>
        <w:t xml:space="preserve">, срок действия средств, ассигнованных в бюджете на 2019-2020 годы </w:t>
      </w:r>
      <w:r w:rsidR="00D82E82">
        <w:t>на расходы, связанные</w:t>
      </w:r>
      <w:r w:rsidR="00045A36">
        <w:t xml:space="preserve"> </w:t>
      </w:r>
      <w:r w:rsidR="00D82E82">
        <w:t>с</w:t>
      </w:r>
      <w:r w:rsidR="00045A36">
        <w:t xml:space="preserve"> проведение</w:t>
      </w:r>
      <w:r w:rsidR="00D82E82">
        <w:t>м</w:t>
      </w:r>
      <w:r w:rsidR="00045A36">
        <w:t xml:space="preserve"> совещаний Конференции Сторон, выступающей</w:t>
      </w:r>
      <w:r>
        <w:t xml:space="preserve"> </w:t>
      </w:r>
      <w:r w:rsidR="00045A36">
        <w:t xml:space="preserve">в качестве совещания Сторон Нагойского протокола, </w:t>
      </w:r>
      <w:r>
        <w:t xml:space="preserve">и ее вспомогательных органов, </w:t>
      </w:r>
      <w:r w:rsidR="00045A36">
        <w:t>которые были перенесены с двухлетнего периода 2019-2020 годов</w:t>
      </w:r>
      <w:r>
        <w:t xml:space="preserve">; </w:t>
      </w:r>
    </w:p>
    <w:p w:rsidR="00A30C14" w:rsidRPr="000322A9" w:rsidRDefault="00A30C14" w:rsidP="009E71AA">
      <w:pPr>
        <w:pStyle w:val="ListParagraph"/>
        <w:numPr>
          <w:ilvl w:val="0"/>
          <w:numId w:val="13"/>
        </w:numPr>
        <w:shd w:val="clear" w:color="auto" w:fill="FFFFFF" w:themeFill="background1"/>
        <w:spacing w:before="120" w:after="120"/>
        <w:ind w:left="0" w:firstLine="709"/>
        <w:contextualSpacing w:val="0"/>
        <w:rPr>
          <w:kern w:val="22"/>
          <w:szCs w:val="22"/>
        </w:rPr>
      </w:pPr>
      <w:r>
        <w:rPr>
          <w:i/>
        </w:rPr>
        <w:t>утверждает</w:t>
      </w:r>
      <w:r>
        <w:t xml:space="preserve"> в порядке исключения основной бюджет по программе Нагойского</w:t>
      </w:r>
      <w:r>
        <w:rPr>
          <w:snapToGrid w:val="0"/>
        </w:rPr>
        <w:t xml:space="preserve"> протокола </w:t>
      </w:r>
      <w:r>
        <w:t>регулирования доступа к генетическим ресурсам</w:t>
      </w:r>
      <w:r w:rsidR="00045A36">
        <w:t xml:space="preserve"> и совместного использования </w:t>
      </w:r>
      <w:r>
        <w:t xml:space="preserve">выгод от их применения в размере 1 863 818 долларов США на 2021 год, что составляет 11% от временного комплексного бюджета в размере 16 943 800 долларов США на 2021 год, </w:t>
      </w:r>
      <w:r w:rsidR="00A73921">
        <w:rPr>
          <w:color w:val="000000" w:themeColor="text1"/>
        </w:rPr>
        <w:t>на цели, перечисленные</w:t>
      </w:r>
      <w:r w:rsidR="00A73921">
        <w:t xml:space="preserve"> </w:t>
      </w:r>
      <w:r>
        <w:t>в таблицах 5a и 5b выше;</w:t>
      </w:r>
    </w:p>
    <w:p w:rsidR="00D33842" w:rsidRPr="00D33842" w:rsidRDefault="00D33842" w:rsidP="009E71AA">
      <w:pPr>
        <w:pStyle w:val="ListParagraph"/>
        <w:numPr>
          <w:ilvl w:val="0"/>
          <w:numId w:val="13"/>
        </w:numPr>
        <w:shd w:val="clear" w:color="auto" w:fill="FFFFFF" w:themeFill="background1"/>
        <w:spacing w:before="120" w:after="120"/>
        <w:ind w:left="0" w:firstLine="709"/>
        <w:contextualSpacing w:val="0"/>
        <w:rPr>
          <w:iCs/>
          <w:kern w:val="22"/>
          <w:szCs w:val="22"/>
        </w:rPr>
      </w:pPr>
      <w:r>
        <w:rPr>
          <w:i/>
          <w:color w:val="000000" w:themeColor="text1"/>
        </w:rPr>
        <w:lastRenderedPageBreak/>
        <w:t xml:space="preserve">поручает </w:t>
      </w:r>
      <w:r>
        <w:rPr>
          <w:color w:val="000000" w:themeColor="text1"/>
        </w:rPr>
        <w:t>Исполнительному секретарю подготовить предложения по бюджету на двухлетний период 2021-2022 годов;</w:t>
      </w:r>
    </w:p>
    <w:p w:rsidR="00A30C14" w:rsidRPr="000322A9" w:rsidRDefault="00D33842" w:rsidP="009E71AA">
      <w:pPr>
        <w:pStyle w:val="ListParagraph"/>
        <w:numPr>
          <w:ilvl w:val="0"/>
          <w:numId w:val="13"/>
        </w:numPr>
        <w:shd w:val="clear" w:color="auto" w:fill="FFFFFF" w:themeFill="background1"/>
        <w:spacing w:before="120" w:after="120"/>
        <w:ind w:left="0" w:firstLine="709"/>
        <w:contextualSpacing w:val="0"/>
        <w:rPr>
          <w:iCs/>
          <w:kern w:val="22"/>
          <w:szCs w:val="22"/>
        </w:rPr>
      </w:pPr>
      <w:r w:rsidRPr="001027F6">
        <w:rPr>
          <w:i/>
          <w:snapToGrid w:val="0"/>
        </w:rPr>
        <w:t>постановляет</w:t>
      </w:r>
      <w:r>
        <w:rPr>
          <w:snapToGrid w:val="0"/>
        </w:rPr>
        <w:t xml:space="preserve"> применять </w:t>
      </w:r>
      <w:r>
        <w:t>mutatis mutandis</w:t>
      </w:r>
      <w:r>
        <w:rPr>
          <w:snapToGrid w:val="0"/>
        </w:rPr>
        <w:t xml:space="preserve"> пункты </w:t>
      </w:r>
      <w:r>
        <w:rPr>
          <w:rFonts w:eastAsia="Malgun Gothic"/>
          <w:snapToGrid w:val="0"/>
          <w:kern w:val="22"/>
          <w:szCs w:val="22"/>
          <w:lang w:eastAsia="x-none"/>
        </w:rPr>
        <w:t>24(3)</w:t>
      </w:r>
      <w:r>
        <w:rPr>
          <w:rFonts w:eastAsia="Malgun Gothic"/>
          <w:snapToGrid w:val="0"/>
          <w:kern w:val="22"/>
          <w:szCs w:val="22"/>
          <w:lang w:val="es-ES" w:eastAsia="x-none"/>
        </w:rPr>
        <w:t> </w:t>
      </w:r>
      <w:r>
        <w:rPr>
          <w:rFonts w:eastAsia="Malgun Gothic"/>
          <w:snapToGrid w:val="0"/>
          <w:kern w:val="22"/>
          <w:szCs w:val="22"/>
          <w:lang w:eastAsia="x-none"/>
        </w:rPr>
        <w:t>-</w:t>
      </w:r>
      <w:r>
        <w:rPr>
          <w:rFonts w:eastAsia="Malgun Gothic"/>
          <w:snapToGrid w:val="0"/>
          <w:kern w:val="22"/>
          <w:szCs w:val="22"/>
          <w:lang w:val="es-ES" w:eastAsia="x-none"/>
        </w:rPr>
        <w:t> </w:t>
      </w:r>
      <w:r>
        <w:rPr>
          <w:rFonts w:eastAsia="Malgun Gothic"/>
          <w:snapToGrid w:val="0"/>
          <w:kern w:val="22"/>
          <w:szCs w:val="22"/>
          <w:lang w:eastAsia="x-none"/>
        </w:rPr>
        <w:t xml:space="preserve">24(14) </w:t>
      </w:r>
      <w:r>
        <w:rPr>
          <w:snapToGrid w:val="0"/>
        </w:rPr>
        <w:t>решения Конференции Сторон на ее втором внеочередном совещании</w:t>
      </w:r>
      <w:r w:rsidR="00A30C14">
        <w:t>.</w:t>
      </w:r>
    </w:p>
    <w:p w:rsidR="00D82E82" w:rsidRDefault="00B910C8" w:rsidP="00221A9E">
      <w:pPr>
        <w:pStyle w:val="Default"/>
        <w:keepNext/>
        <w:jc w:val="both"/>
        <w:rPr>
          <w:b/>
          <w:color w:val="000000" w:themeColor="text1"/>
          <w:sz w:val="22"/>
        </w:rPr>
      </w:pPr>
      <w:r>
        <w:rPr>
          <w:b/>
          <w:color w:val="000000" w:themeColor="text1"/>
          <w:sz w:val="22"/>
        </w:rPr>
        <w:t>Таблица 6</w:t>
      </w:r>
    </w:p>
    <w:p w:rsidR="00221A9E" w:rsidRPr="00D82E82" w:rsidRDefault="00A30C14" w:rsidP="00221A9E">
      <w:pPr>
        <w:pStyle w:val="Default"/>
        <w:keepNext/>
        <w:jc w:val="both"/>
        <w:rPr>
          <w:b/>
          <w:bCs/>
          <w:color w:val="000000" w:themeColor="text1"/>
          <w:kern w:val="22"/>
          <w:sz w:val="22"/>
          <w:szCs w:val="22"/>
          <w:lang w:val="ru-RU"/>
        </w:rPr>
      </w:pPr>
      <w:r w:rsidRPr="00D82E82">
        <w:rPr>
          <w:b/>
          <w:color w:val="000000" w:themeColor="text1"/>
          <w:sz w:val="22"/>
        </w:rPr>
        <w:t>Потребности секретариата в персонале, финансируемом из основного бюджета Конвенции и Протоколов к ней, на 2021 год</w:t>
      </w:r>
    </w:p>
    <w:p w:rsidR="00045A36" w:rsidRPr="00F03443" w:rsidRDefault="00045A36" w:rsidP="00045A36">
      <w:pPr>
        <w:keepNext/>
        <w:keepLines/>
        <w:suppressLineNumbers/>
        <w:suppressAutoHyphens/>
        <w:rPr>
          <w:rFonts w:eastAsia="Times New Roman" w:cs="Times New Roman"/>
          <w:kern w:val="22"/>
          <w:szCs w:val="22"/>
        </w:rPr>
      </w:pPr>
    </w:p>
    <w:tbl>
      <w:tblPr>
        <w:tblW w:w="9073" w:type="dxa"/>
        <w:jc w:val="center"/>
        <w:tblLook w:val="04A0" w:firstRow="1" w:lastRow="0" w:firstColumn="1" w:lastColumn="0" w:noHBand="0" w:noVBand="1"/>
      </w:tblPr>
      <w:tblGrid>
        <w:gridCol w:w="3651"/>
        <w:gridCol w:w="1807"/>
        <w:gridCol w:w="1807"/>
        <w:gridCol w:w="1808"/>
      </w:tblGrid>
      <w:tr w:rsidR="00045A36" w:rsidTr="00045A36">
        <w:trPr>
          <w:cantSplit/>
          <w:jc w:val="center"/>
        </w:trPr>
        <w:tc>
          <w:tcPr>
            <w:tcW w:w="3651" w:type="dxa"/>
            <w:tcBorders>
              <w:top w:val="nil"/>
              <w:left w:val="nil"/>
              <w:bottom w:val="single" w:sz="8" w:space="0" w:color="auto"/>
              <w:right w:val="nil"/>
            </w:tcBorders>
            <w:vAlign w:val="center"/>
            <w:hideMark/>
          </w:tcPr>
          <w:p w:rsidR="00045A36" w:rsidRDefault="00045A36">
            <w:pPr>
              <w:keepNext/>
              <w:keepLines/>
              <w:suppressLineNumbers/>
              <w:suppressAutoHyphens/>
              <w:spacing w:line="256" w:lineRule="auto"/>
              <w:jc w:val="center"/>
              <w:rPr>
                <w:i/>
                <w:color w:val="000000" w:themeColor="text1"/>
                <w:kern w:val="22"/>
                <w:szCs w:val="22"/>
              </w:rPr>
            </w:pPr>
            <w:r>
              <w:rPr>
                <w:i/>
                <w:color w:val="000000" w:themeColor="text1"/>
                <w:kern w:val="22"/>
                <w:szCs w:val="22"/>
              </w:rPr>
              <w:t>Категория и уровень</w:t>
            </w:r>
          </w:p>
        </w:tc>
        <w:tc>
          <w:tcPr>
            <w:tcW w:w="1807" w:type="dxa"/>
            <w:tcBorders>
              <w:top w:val="nil"/>
              <w:left w:val="nil"/>
              <w:bottom w:val="single" w:sz="8" w:space="0" w:color="auto"/>
              <w:right w:val="nil"/>
            </w:tcBorders>
            <w:vAlign w:val="center"/>
            <w:hideMark/>
          </w:tcPr>
          <w:p w:rsidR="00045A36" w:rsidRDefault="00045A36">
            <w:pPr>
              <w:keepNext/>
              <w:keepLines/>
              <w:suppressLineNumbers/>
              <w:suppressAutoHyphens/>
              <w:spacing w:line="256" w:lineRule="auto"/>
              <w:jc w:val="center"/>
              <w:rPr>
                <w:i/>
                <w:color w:val="000000" w:themeColor="text1"/>
                <w:kern w:val="22"/>
                <w:szCs w:val="22"/>
              </w:rPr>
            </w:pPr>
            <w:r>
              <w:rPr>
                <w:i/>
                <w:color w:val="000000" w:themeColor="text1"/>
                <w:kern w:val="22"/>
                <w:szCs w:val="22"/>
              </w:rPr>
              <w:t>Утверждено на 2019/2020 гг.</w:t>
            </w:r>
          </w:p>
        </w:tc>
        <w:tc>
          <w:tcPr>
            <w:tcW w:w="1807" w:type="dxa"/>
            <w:tcBorders>
              <w:top w:val="nil"/>
              <w:left w:val="nil"/>
              <w:bottom w:val="single" w:sz="8" w:space="0" w:color="auto"/>
              <w:right w:val="nil"/>
            </w:tcBorders>
            <w:vAlign w:val="center"/>
            <w:hideMark/>
          </w:tcPr>
          <w:p w:rsidR="00045A36" w:rsidRDefault="00045A36">
            <w:pPr>
              <w:keepNext/>
              <w:keepLines/>
              <w:suppressLineNumbers/>
              <w:suppressAutoHyphens/>
              <w:spacing w:line="256" w:lineRule="auto"/>
              <w:jc w:val="center"/>
              <w:rPr>
                <w:i/>
                <w:color w:val="000000" w:themeColor="text1"/>
                <w:kern w:val="22"/>
                <w:szCs w:val="22"/>
              </w:rPr>
            </w:pPr>
            <w:r>
              <w:rPr>
                <w:i/>
                <w:color w:val="000000" w:themeColor="text1"/>
                <w:kern w:val="22"/>
                <w:szCs w:val="22"/>
              </w:rPr>
              <w:t>Предложено на 2021 г.</w:t>
            </w:r>
          </w:p>
        </w:tc>
        <w:tc>
          <w:tcPr>
            <w:tcW w:w="1808" w:type="dxa"/>
            <w:tcBorders>
              <w:top w:val="nil"/>
              <w:left w:val="nil"/>
              <w:bottom w:val="single" w:sz="8" w:space="0" w:color="auto"/>
              <w:right w:val="nil"/>
            </w:tcBorders>
            <w:vAlign w:val="center"/>
            <w:hideMark/>
          </w:tcPr>
          <w:p w:rsidR="00045A36" w:rsidRDefault="00045A36">
            <w:pPr>
              <w:keepNext/>
              <w:keepLines/>
              <w:suppressLineNumbers/>
              <w:suppressAutoHyphens/>
              <w:spacing w:line="256" w:lineRule="auto"/>
              <w:jc w:val="center"/>
              <w:rPr>
                <w:i/>
                <w:color w:val="000000" w:themeColor="text1"/>
                <w:kern w:val="22"/>
                <w:szCs w:val="22"/>
              </w:rPr>
            </w:pPr>
            <w:r>
              <w:rPr>
                <w:i/>
                <w:color w:val="000000" w:themeColor="text1"/>
                <w:kern w:val="22"/>
                <w:szCs w:val="22"/>
              </w:rPr>
              <w:t>Расхождение</w:t>
            </w:r>
          </w:p>
        </w:tc>
      </w:tr>
      <w:tr w:rsidR="00045A36" w:rsidTr="00045A36">
        <w:trPr>
          <w:trHeight w:val="288"/>
          <w:jc w:val="center"/>
        </w:trPr>
        <w:tc>
          <w:tcPr>
            <w:tcW w:w="3651" w:type="dxa"/>
            <w:noWrap/>
            <w:vAlign w:val="center"/>
            <w:hideMark/>
          </w:tcPr>
          <w:p w:rsidR="00045A36" w:rsidRPr="00045A36" w:rsidRDefault="00045A36" w:rsidP="00045A36">
            <w:pPr>
              <w:keepNext/>
              <w:rPr>
                <w:b/>
                <w:bCs/>
                <w:color w:val="000000" w:themeColor="text1"/>
                <w:kern w:val="22"/>
                <w:szCs w:val="22"/>
              </w:rPr>
            </w:pPr>
            <w:r w:rsidRPr="00045A36">
              <w:rPr>
                <w:b/>
                <w:color w:val="000000" w:themeColor="text1"/>
                <w:szCs w:val="22"/>
              </w:rPr>
              <w:t>Категория специалистов и выше</w:t>
            </w:r>
          </w:p>
        </w:tc>
        <w:tc>
          <w:tcPr>
            <w:tcW w:w="1807" w:type="dxa"/>
            <w:vAlign w:val="center"/>
            <w:hideMark/>
          </w:tcPr>
          <w:p w:rsidR="00045A36" w:rsidRDefault="00045A36" w:rsidP="00045A36">
            <w:pPr>
              <w:rPr>
                <w:b/>
                <w:color w:val="000000" w:themeColor="text1"/>
                <w:kern w:val="22"/>
                <w:szCs w:val="22"/>
              </w:rPr>
            </w:pPr>
          </w:p>
        </w:tc>
        <w:tc>
          <w:tcPr>
            <w:tcW w:w="1807" w:type="dxa"/>
            <w:vAlign w:val="center"/>
            <w:hideMark/>
          </w:tcPr>
          <w:p w:rsidR="00045A36" w:rsidRDefault="00045A36" w:rsidP="00045A36">
            <w:pPr>
              <w:spacing w:line="256" w:lineRule="auto"/>
              <w:jc w:val="left"/>
              <w:rPr>
                <w:rFonts w:asciiTheme="minorHAnsi" w:eastAsiaTheme="minorEastAsia" w:hAnsiTheme="minorHAnsi" w:cstheme="minorBidi"/>
                <w:sz w:val="20"/>
                <w:szCs w:val="20"/>
                <w:lang w:val="es-ES_tradnl" w:eastAsia="es-ES_tradnl"/>
              </w:rPr>
            </w:pPr>
          </w:p>
        </w:tc>
        <w:tc>
          <w:tcPr>
            <w:tcW w:w="1808" w:type="dxa"/>
          </w:tcPr>
          <w:p w:rsidR="00045A36" w:rsidRDefault="00045A36" w:rsidP="00045A36">
            <w:pPr>
              <w:keepNext/>
              <w:keepLines/>
              <w:suppressLineNumbers/>
              <w:suppressAutoHyphens/>
              <w:spacing w:line="256" w:lineRule="auto"/>
              <w:rPr>
                <w:rFonts w:eastAsia="Times New Roman" w:cs="Times New Roman"/>
                <w:color w:val="000000" w:themeColor="text1"/>
                <w:kern w:val="22"/>
                <w:szCs w:val="22"/>
                <w:lang w:val="en-GB"/>
              </w:rPr>
            </w:pPr>
          </w:p>
        </w:tc>
      </w:tr>
      <w:tr w:rsidR="00045A36" w:rsidTr="00045A36">
        <w:trPr>
          <w:trHeight w:val="288"/>
          <w:jc w:val="center"/>
        </w:trPr>
        <w:tc>
          <w:tcPr>
            <w:tcW w:w="3651" w:type="dxa"/>
            <w:vAlign w:val="center"/>
            <w:hideMark/>
          </w:tcPr>
          <w:p w:rsidR="00045A36" w:rsidRPr="00045A36" w:rsidRDefault="00045A36" w:rsidP="00045A36">
            <w:pPr>
              <w:rPr>
                <w:color w:val="000000" w:themeColor="text1"/>
                <w:kern w:val="22"/>
                <w:szCs w:val="22"/>
              </w:rPr>
            </w:pPr>
            <w:r w:rsidRPr="00045A36">
              <w:rPr>
                <w:color w:val="000000" w:themeColor="text1"/>
                <w:szCs w:val="22"/>
              </w:rPr>
              <w:t>ПГС</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w:t>
            </w:r>
          </w:p>
        </w:tc>
        <w:tc>
          <w:tcPr>
            <w:tcW w:w="1808" w:type="dxa"/>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288"/>
          <w:jc w:val="center"/>
        </w:trPr>
        <w:tc>
          <w:tcPr>
            <w:tcW w:w="3651" w:type="dxa"/>
            <w:vAlign w:val="center"/>
            <w:hideMark/>
          </w:tcPr>
          <w:p w:rsidR="00045A36" w:rsidRPr="00045A36" w:rsidRDefault="00045A36" w:rsidP="00045A36">
            <w:pPr>
              <w:rPr>
                <w:color w:val="000000" w:themeColor="text1"/>
                <w:kern w:val="22"/>
                <w:szCs w:val="22"/>
              </w:rPr>
            </w:pPr>
            <w:r w:rsidRPr="00045A36">
              <w:rPr>
                <w:color w:val="000000" w:themeColor="text1"/>
                <w:szCs w:val="22"/>
              </w:rPr>
              <w:t>Д-1</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3</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3</w:t>
            </w:r>
          </w:p>
        </w:tc>
        <w:tc>
          <w:tcPr>
            <w:tcW w:w="1808" w:type="dxa"/>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288"/>
          <w:jc w:val="center"/>
        </w:trPr>
        <w:tc>
          <w:tcPr>
            <w:tcW w:w="3651" w:type="dxa"/>
            <w:vAlign w:val="center"/>
            <w:hideMark/>
          </w:tcPr>
          <w:p w:rsidR="00045A36" w:rsidRPr="00045A36" w:rsidRDefault="00045A36" w:rsidP="00045A36">
            <w:pPr>
              <w:rPr>
                <w:color w:val="000000" w:themeColor="text1"/>
                <w:kern w:val="22"/>
                <w:szCs w:val="22"/>
              </w:rPr>
            </w:pPr>
            <w:r w:rsidRPr="00045A36">
              <w:rPr>
                <w:color w:val="000000" w:themeColor="text1"/>
                <w:szCs w:val="22"/>
              </w:rPr>
              <w:t>С-5</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10</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10</w:t>
            </w:r>
          </w:p>
        </w:tc>
        <w:tc>
          <w:tcPr>
            <w:tcW w:w="1808" w:type="dxa"/>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288"/>
          <w:jc w:val="center"/>
        </w:trPr>
        <w:tc>
          <w:tcPr>
            <w:tcW w:w="3651" w:type="dxa"/>
            <w:vAlign w:val="center"/>
            <w:hideMark/>
          </w:tcPr>
          <w:p w:rsidR="00045A36" w:rsidRPr="00045A36" w:rsidRDefault="00045A36" w:rsidP="00045A36">
            <w:pPr>
              <w:rPr>
                <w:color w:val="000000" w:themeColor="text1"/>
                <w:kern w:val="22"/>
                <w:szCs w:val="22"/>
              </w:rPr>
            </w:pPr>
            <w:r w:rsidRPr="00045A36">
              <w:rPr>
                <w:color w:val="000000" w:themeColor="text1"/>
                <w:szCs w:val="22"/>
              </w:rPr>
              <w:t>С-4</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12</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12</w:t>
            </w:r>
          </w:p>
        </w:tc>
        <w:tc>
          <w:tcPr>
            <w:tcW w:w="1808" w:type="dxa"/>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288"/>
          <w:jc w:val="center"/>
        </w:trPr>
        <w:tc>
          <w:tcPr>
            <w:tcW w:w="3651" w:type="dxa"/>
            <w:vAlign w:val="center"/>
            <w:hideMark/>
          </w:tcPr>
          <w:p w:rsidR="00045A36" w:rsidRPr="00045A36" w:rsidRDefault="00045A36" w:rsidP="00045A36">
            <w:pPr>
              <w:rPr>
                <w:color w:val="000000" w:themeColor="text1"/>
                <w:kern w:val="22"/>
                <w:szCs w:val="22"/>
              </w:rPr>
            </w:pPr>
            <w:r w:rsidRPr="00045A36">
              <w:rPr>
                <w:color w:val="000000" w:themeColor="text1"/>
                <w:szCs w:val="22"/>
              </w:rPr>
              <w:t>С-3</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14</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14</w:t>
            </w:r>
          </w:p>
        </w:tc>
        <w:tc>
          <w:tcPr>
            <w:tcW w:w="1808" w:type="dxa"/>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300"/>
          <w:jc w:val="center"/>
        </w:trPr>
        <w:tc>
          <w:tcPr>
            <w:tcW w:w="3651" w:type="dxa"/>
            <w:vAlign w:val="center"/>
            <w:hideMark/>
          </w:tcPr>
          <w:p w:rsidR="00045A36" w:rsidRPr="00045A36" w:rsidRDefault="00045A36" w:rsidP="00045A36">
            <w:pPr>
              <w:rPr>
                <w:color w:val="000000" w:themeColor="text1"/>
                <w:kern w:val="22"/>
                <w:szCs w:val="22"/>
              </w:rPr>
            </w:pPr>
            <w:r w:rsidRPr="00045A36">
              <w:rPr>
                <w:color w:val="000000" w:themeColor="text1"/>
                <w:szCs w:val="22"/>
              </w:rPr>
              <w:t>С-2/1</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9</w:t>
            </w:r>
          </w:p>
        </w:tc>
        <w:tc>
          <w:tcPr>
            <w:tcW w:w="1807" w:type="dxa"/>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9</w:t>
            </w:r>
          </w:p>
        </w:tc>
        <w:tc>
          <w:tcPr>
            <w:tcW w:w="1808" w:type="dxa"/>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300"/>
          <w:jc w:val="center"/>
        </w:trPr>
        <w:tc>
          <w:tcPr>
            <w:tcW w:w="3651" w:type="dxa"/>
            <w:tcBorders>
              <w:top w:val="single" w:sz="8" w:space="0" w:color="auto"/>
              <w:left w:val="nil"/>
              <w:bottom w:val="single" w:sz="8" w:space="0" w:color="auto"/>
              <w:right w:val="nil"/>
            </w:tcBorders>
            <w:vAlign w:val="center"/>
            <w:hideMark/>
          </w:tcPr>
          <w:p w:rsidR="00045A36" w:rsidRPr="00045A36" w:rsidRDefault="00045A36" w:rsidP="00045A36">
            <w:pPr>
              <w:rPr>
                <w:b/>
                <w:bCs/>
                <w:color w:val="000000" w:themeColor="text1"/>
                <w:kern w:val="22"/>
                <w:szCs w:val="22"/>
              </w:rPr>
            </w:pPr>
            <w:r w:rsidRPr="00045A36">
              <w:rPr>
                <w:b/>
                <w:color w:val="000000" w:themeColor="text1"/>
                <w:szCs w:val="22"/>
              </w:rPr>
              <w:t>Промежуточный итог</w:t>
            </w:r>
          </w:p>
        </w:tc>
        <w:tc>
          <w:tcPr>
            <w:tcW w:w="1807" w:type="dxa"/>
            <w:tcBorders>
              <w:top w:val="single" w:sz="8" w:space="0" w:color="auto"/>
              <w:left w:val="nil"/>
              <w:bottom w:val="single" w:sz="8" w:space="0" w:color="auto"/>
              <w:right w:val="nil"/>
            </w:tcBorders>
            <w:vAlign w:val="center"/>
            <w:hideMark/>
          </w:tcPr>
          <w:p w:rsidR="00045A36" w:rsidRDefault="00045A36" w:rsidP="00045A36">
            <w:pPr>
              <w:keepNext/>
              <w:keepLines/>
              <w:suppressLineNumbers/>
              <w:suppressAutoHyphens/>
              <w:spacing w:line="256" w:lineRule="auto"/>
              <w:ind w:right="674"/>
              <w:jc w:val="right"/>
              <w:rPr>
                <w:b/>
                <w:color w:val="000000" w:themeColor="text1"/>
                <w:kern w:val="22"/>
                <w:szCs w:val="22"/>
              </w:rPr>
            </w:pPr>
            <w:r>
              <w:rPr>
                <w:b/>
                <w:color w:val="000000" w:themeColor="text1"/>
                <w:kern w:val="22"/>
                <w:szCs w:val="22"/>
              </w:rPr>
              <w:t>49</w:t>
            </w:r>
          </w:p>
        </w:tc>
        <w:tc>
          <w:tcPr>
            <w:tcW w:w="1807" w:type="dxa"/>
            <w:tcBorders>
              <w:top w:val="single" w:sz="8" w:space="0" w:color="auto"/>
              <w:left w:val="nil"/>
              <w:bottom w:val="single" w:sz="8" w:space="0" w:color="auto"/>
              <w:right w:val="nil"/>
            </w:tcBorders>
            <w:vAlign w:val="center"/>
            <w:hideMark/>
          </w:tcPr>
          <w:p w:rsidR="00045A36" w:rsidRDefault="00045A36" w:rsidP="00045A36">
            <w:pPr>
              <w:keepNext/>
              <w:keepLines/>
              <w:suppressLineNumbers/>
              <w:suppressAutoHyphens/>
              <w:spacing w:line="256" w:lineRule="auto"/>
              <w:ind w:right="674"/>
              <w:jc w:val="right"/>
              <w:rPr>
                <w:b/>
                <w:color w:val="000000" w:themeColor="text1"/>
                <w:kern w:val="22"/>
                <w:szCs w:val="22"/>
              </w:rPr>
            </w:pPr>
            <w:r>
              <w:rPr>
                <w:b/>
                <w:color w:val="000000" w:themeColor="text1"/>
                <w:kern w:val="22"/>
                <w:szCs w:val="22"/>
              </w:rPr>
              <w:t>49</w:t>
            </w:r>
          </w:p>
        </w:tc>
        <w:tc>
          <w:tcPr>
            <w:tcW w:w="1808" w:type="dxa"/>
            <w:tcBorders>
              <w:top w:val="single" w:sz="8" w:space="0" w:color="auto"/>
              <w:left w:val="nil"/>
              <w:bottom w:val="single" w:sz="8" w:space="0" w:color="auto"/>
              <w:right w:val="nil"/>
            </w:tcBorders>
            <w:hideMark/>
          </w:tcPr>
          <w:p w:rsidR="00045A36" w:rsidRDefault="00045A36" w:rsidP="00045A36">
            <w:pPr>
              <w:keepNext/>
              <w:keepLines/>
              <w:suppressLineNumbers/>
              <w:suppressAutoHyphens/>
              <w:spacing w:line="256" w:lineRule="auto"/>
              <w:ind w:right="674"/>
              <w:jc w:val="right"/>
              <w:rPr>
                <w:b/>
                <w:color w:val="000000" w:themeColor="text1"/>
                <w:kern w:val="22"/>
                <w:szCs w:val="22"/>
              </w:rPr>
            </w:pPr>
            <w:r>
              <w:rPr>
                <w:b/>
                <w:color w:val="000000" w:themeColor="text1"/>
                <w:kern w:val="22"/>
                <w:szCs w:val="22"/>
              </w:rPr>
              <w:t>-</w:t>
            </w:r>
          </w:p>
        </w:tc>
      </w:tr>
      <w:tr w:rsidR="00045A36" w:rsidTr="00045A36">
        <w:trPr>
          <w:trHeight w:val="300"/>
          <w:jc w:val="center"/>
        </w:trPr>
        <w:tc>
          <w:tcPr>
            <w:tcW w:w="3651" w:type="dxa"/>
            <w:tcBorders>
              <w:top w:val="nil"/>
              <w:left w:val="nil"/>
              <w:bottom w:val="single" w:sz="8" w:space="0" w:color="auto"/>
              <w:right w:val="nil"/>
            </w:tcBorders>
            <w:vAlign w:val="center"/>
            <w:hideMark/>
          </w:tcPr>
          <w:p w:rsidR="00045A36" w:rsidRPr="00045A36" w:rsidRDefault="00045A36" w:rsidP="00045A36">
            <w:pPr>
              <w:rPr>
                <w:b/>
                <w:bCs/>
                <w:color w:val="000000" w:themeColor="text1"/>
                <w:kern w:val="22"/>
                <w:szCs w:val="22"/>
              </w:rPr>
            </w:pPr>
            <w:r w:rsidRPr="00045A36">
              <w:rPr>
                <w:b/>
                <w:color w:val="000000" w:themeColor="text1"/>
                <w:szCs w:val="22"/>
              </w:rPr>
              <w:t>Категория общего обслуживания</w:t>
            </w:r>
          </w:p>
        </w:tc>
        <w:tc>
          <w:tcPr>
            <w:tcW w:w="1807" w:type="dxa"/>
            <w:tcBorders>
              <w:top w:val="nil"/>
              <w:left w:val="nil"/>
              <w:bottom w:val="single" w:sz="8" w:space="0" w:color="auto"/>
              <w:right w:val="nil"/>
            </w:tcBorders>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29</w:t>
            </w:r>
          </w:p>
        </w:tc>
        <w:tc>
          <w:tcPr>
            <w:tcW w:w="1807" w:type="dxa"/>
            <w:tcBorders>
              <w:top w:val="nil"/>
              <w:left w:val="nil"/>
              <w:bottom w:val="single" w:sz="8" w:space="0" w:color="auto"/>
              <w:right w:val="nil"/>
            </w:tcBorders>
            <w:vAlign w:val="center"/>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29</w:t>
            </w:r>
          </w:p>
        </w:tc>
        <w:tc>
          <w:tcPr>
            <w:tcW w:w="1808" w:type="dxa"/>
            <w:tcBorders>
              <w:top w:val="nil"/>
              <w:left w:val="nil"/>
              <w:bottom w:val="single" w:sz="8" w:space="0" w:color="auto"/>
              <w:right w:val="nil"/>
            </w:tcBorders>
            <w:hideMark/>
          </w:tcPr>
          <w:p w:rsidR="00045A36" w:rsidRDefault="00045A36" w:rsidP="00045A36">
            <w:pPr>
              <w:keepNext/>
              <w:keepLines/>
              <w:suppressLineNumbers/>
              <w:suppressAutoHyphens/>
              <w:spacing w:line="256" w:lineRule="auto"/>
              <w:ind w:right="674"/>
              <w:jc w:val="right"/>
              <w:rPr>
                <w:color w:val="000000" w:themeColor="text1"/>
                <w:kern w:val="22"/>
                <w:szCs w:val="22"/>
              </w:rPr>
            </w:pPr>
            <w:r>
              <w:rPr>
                <w:color w:val="000000" w:themeColor="text1"/>
                <w:kern w:val="22"/>
                <w:szCs w:val="22"/>
              </w:rPr>
              <w:t>-</w:t>
            </w:r>
          </w:p>
        </w:tc>
      </w:tr>
      <w:tr w:rsidR="00045A36" w:rsidTr="00045A36">
        <w:trPr>
          <w:trHeight w:val="300"/>
          <w:jc w:val="center"/>
        </w:trPr>
        <w:tc>
          <w:tcPr>
            <w:tcW w:w="3651" w:type="dxa"/>
            <w:tcBorders>
              <w:top w:val="nil"/>
              <w:left w:val="nil"/>
              <w:bottom w:val="single" w:sz="12" w:space="0" w:color="auto"/>
              <w:right w:val="nil"/>
            </w:tcBorders>
            <w:vAlign w:val="center"/>
            <w:hideMark/>
          </w:tcPr>
          <w:p w:rsidR="00045A36" w:rsidRPr="00045A36" w:rsidRDefault="00045A36" w:rsidP="00045A36">
            <w:pPr>
              <w:rPr>
                <w:b/>
                <w:bCs/>
                <w:color w:val="000000" w:themeColor="text1"/>
                <w:kern w:val="22"/>
                <w:szCs w:val="22"/>
              </w:rPr>
            </w:pPr>
            <w:r w:rsidRPr="00045A36">
              <w:rPr>
                <w:b/>
                <w:color w:val="000000" w:themeColor="text1"/>
                <w:szCs w:val="22"/>
              </w:rPr>
              <w:t>Итого</w:t>
            </w:r>
          </w:p>
        </w:tc>
        <w:tc>
          <w:tcPr>
            <w:tcW w:w="1807" w:type="dxa"/>
            <w:tcBorders>
              <w:top w:val="nil"/>
              <w:left w:val="nil"/>
              <w:bottom w:val="single" w:sz="12" w:space="0" w:color="auto"/>
              <w:right w:val="nil"/>
            </w:tcBorders>
            <w:vAlign w:val="center"/>
            <w:hideMark/>
          </w:tcPr>
          <w:p w:rsidR="00045A36" w:rsidRDefault="00045A36" w:rsidP="00045A36">
            <w:pPr>
              <w:keepNext/>
              <w:keepLines/>
              <w:suppressLineNumbers/>
              <w:suppressAutoHyphens/>
              <w:spacing w:line="256" w:lineRule="auto"/>
              <w:ind w:right="674"/>
              <w:jc w:val="right"/>
              <w:rPr>
                <w:b/>
                <w:color w:val="000000" w:themeColor="text1"/>
                <w:kern w:val="22"/>
                <w:szCs w:val="22"/>
              </w:rPr>
            </w:pPr>
            <w:r>
              <w:rPr>
                <w:b/>
                <w:color w:val="000000" w:themeColor="text1"/>
                <w:kern w:val="22"/>
                <w:szCs w:val="22"/>
              </w:rPr>
              <w:t>78</w:t>
            </w:r>
          </w:p>
        </w:tc>
        <w:tc>
          <w:tcPr>
            <w:tcW w:w="1807" w:type="dxa"/>
            <w:tcBorders>
              <w:top w:val="nil"/>
              <w:left w:val="nil"/>
              <w:bottom w:val="single" w:sz="12" w:space="0" w:color="auto"/>
              <w:right w:val="nil"/>
            </w:tcBorders>
            <w:vAlign w:val="center"/>
            <w:hideMark/>
          </w:tcPr>
          <w:p w:rsidR="00045A36" w:rsidRDefault="00045A36" w:rsidP="00045A36">
            <w:pPr>
              <w:keepNext/>
              <w:keepLines/>
              <w:suppressLineNumbers/>
              <w:suppressAutoHyphens/>
              <w:spacing w:line="256" w:lineRule="auto"/>
              <w:ind w:right="674"/>
              <w:jc w:val="right"/>
              <w:rPr>
                <w:b/>
                <w:color w:val="000000" w:themeColor="text1"/>
                <w:kern w:val="22"/>
                <w:szCs w:val="22"/>
              </w:rPr>
            </w:pPr>
            <w:r>
              <w:rPr>
                <w:b/>
                <w:color w:val="000000" w:themeColor="text1"/>
                <w:kern w:val="22"/>
                <w:szCs w:val="22"/>
              </w:rPr>
              <w:t>78</w:t>
            </w:r>
          </w:p>
        </w:tc>
        <w:tc>
          <w:tcPr>
            <w:tcW w:w="1808" w:type="dxa"/>
            <w:tcBorders>
              <w:top w:val="nil"/>
              <w:left w:val="nil"/>
              <w:bottom w:val="single" w:sz="12" w:space="0" w:color="auto"/>
              <w:right w:val="nil"/>
            </w:tcBorders>
            <w:hideMark/>
          </w:tcPr>
          <w:p w:rsidR="00045A36" w:rsidRDefault="00045A36" w:rsidP="00045A36">
            <w:pPr>
              <w:keepNext/>
              <w:keepLines/>
              <w:suppressLineNumbers/>
              <w:suppressAutoHyphens/>
              <w:spacing w:line="256" w:lineRule="auto"/>
              <w:ind w:right="674"/>
              <w:jc w:val="right"/>
              <w:rPr>
                <w:b/>
                <w:color w:val="000000" w:themeColor="text1"/>
                <w:kern w:val="22"/>
                <w:szCs w:val="22"/>
              </w:rPr>
            </w:pPr>
            <w:r>
              <w:rPr>
                <w:b/>
                <w:color w:val="000000" w:themeColor="text1"/>
                <w:kern w:val="22"/>
                <w:szCs w:val="22"/>
              </w:rPr>
              <w:t>-</w:t>
            </w:r>
          </w:p>
        </w:tc>
      </w:tr>
    </w:tbl>
    <w:p w:rsidR="00045A36" w:rsidRDefault="00045A36" w:rsidP="00045A36">
      <w:pPr>
        <w:pStyle w:val="ListParagraph"/>
        <w:suppressLineNumbers/>
        <w:suppressAutoHyphens/>
        <w:ind w:left="0"/>
        <w:rPr>
          <w:rFonts w:eastAsia="Malgun Gothic"/>
          <w:bCs/>
          <w:color w:val="000000" w:themeColor="text1"/>
          <w:kern w:val="22"/>
          <w:szCs w:val="22"/>
          <w:lang w:val="en-GB" w:eastAsia="ko-KR"/>
        </w:rPr>
      </w:pPr>
    </w:p>
    <w:p w:rsidR="00221A9E" w:rsidRPr="000322A9" w:rsidRDefault="00221A9E" w:rsidP="00221A9E">
      <w:pPr>
        <w:spacing w:after="160" w:line="259" w:lineRule="auto"/>
        <w:rPr>
          <w:bCs/>
          <w:kern w:val="22"/>
          <w:szCs w:val="22"/>
        </w:rPr>
      </w:pPr>
      <w:r w:rsidRPr="000322A9">
        <w:rPr>
          <w:bCs/>
          <w:kern w:val="22"/>
          <w:szCs w:val="22"/>
        </w:rPr>
        <w:br w:type="page"/>
      </w:r>
    </w:p>
    <w:p w:rsidR="000C0F98" w:rsidRDefault="00B910C8" w:rsidP="008170A8">
      <w:pPr>
        <w:autoSpaceDE w:val="0"/>
        <w:autoSpaceDN w:val="0"/>
        <w:adjustRightInd w:val="0"/>
      </w:pPr>
      <w:r>
        <w:rPr>
          <w:b/>
          <w:bCs/>
        </w:rPr>
        <w:lastRenderedPageBreak/>
        <w:t>Таблица 7</w:t>
      </w:r>
    </w:p>
    <w:p w:rsidR="008170A8" w:rsidRPr="000C0F98" w:rsidRDefault="008170A8" w:rsidP="008170A8">
      <w:pPr>
        <w:autoSpaceDE w:val="0"/>
        <w:autoSpaceDN w:val="0"/>
        <w:adjustRightInd w:val="0"/>
        <w:rPr>
          <w:b/>
        </w:rPr>
      </w:pPr>
      <w:r w:rsidRPr="000C0F98">
        <w:rPr>
          <w:b/>
        </w:rPr>
        <w:t>Взносы в Целевой фонд Конвенции о биологическом разнообразии за 2021 год</w:t>
      </w:r>
    </w:p>
    <w:p w:rsidR="000C0F98" w:rsidRPr="000322A9" w:rsidRDefault="000C0F98" w:rsidP="008170A8">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D8691C" w:rsidRDefault="008170A8" w:rsidP="00635A81">
            <w:pPr>
              <w:jc w:val="center"/>
              <w:rPr>
                <w:rFonts w:cs="Times New Roman"/>
                <w:b/>
                <w:bCs/>
                <w:kern w:val="22"/>
                <w:szCs w:val="22"/>
                <w:lang w:eastAsia="en-CA"/>
              </w:rPr>
            </w:pPr>
            <w:r w:rsidRPr="00D8691C">
              <w:rPr>
                <w:rFonts w:cs="Times New Roman"/>
                <w:b/>
                <w:bCs/>
                <w:kern w:val="22"/>
                <w:szCs w:val="22"/>
                <w:lang w:eastAsia="en-CA"/>
              </w:rPr>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D8691C" w:rsidRDefault="008170A8" w:rsidP="00635A81">
            <w:pPr>
              <w:jc w:val="center"/>
              <w:rPr>
                <w:rFonts w:cs="Times New Roman"/>
                <w:b/>
                <w:bCs/>
                <w:color w:val="000000"/>
                <w:kern w:val="22"/>
                <w:szCs w:val="22"/>
                <w:lang w:eastAsia="en-CA"/>
              </w:rPr>
            </w:pPr>
            <w:r w:rsidRPr="00D8691C">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D8691C" w:rsidRDefault="008170A8" w:rsidP="00635A81">
            <w:pPr>
              <w:jc w:val="center"/>
              <w:rPr>
                <w:rFonts w:cs="Times New Roman"/>
                <w:b/>
                <w:bCs/>
                <w:color w:val="000000"/>
                <w:kern w:val="22"/>
                <w:szCs w:val="22"/>
                <w:lang w:eastAsia="en-CA"/>
              </w:rPr>
            </w:pPr>
            <w:r w:rsidRPr="00D8691C">
              <w:rPr>
                <w:rFonts w:cs="Times New Roman"/>
                <w:b/>
                <w:bCs/>
                <w:color w:val="000000"/>
                <w:kern w:val="22"/>
                <w:szCs w:val="22"/>
                <w:lang w:eastAsia="en-CA"/>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D8691C" w:rsidRDefault="008170A8" w:rsidP="00635A81">
            <w:pPr>
              <w:jc w:val="center"/>
              <w:rPr>
                <w:rFonts w:cs="Times New Roman"/>
                <w:b/>
                <w:bCs/>
                <w:color w:val="000000"/>
                <w:kern w:val="22"/>
                <w:szCs w:val="22"/>
                <w:lang w:eastAsia="en-CA"/>
              </w:rPr>
            </w:pPr>
            <w:r w:rsidRPr="00D8691C">
              <w:rPr>
                <w:rFonts w:cs="Times New Roman"/>
                <w:b/>
                <w:bCs/>
                <w:color w:val="000000"/>
                <w:kern w:val="22"/>
                <w:szCs w:val="22"/>
                <w:lang w:eastAsia="en-CA"/>
              </w:rPr>
              <w:t>Взносы по состоянию на 1 января 2021 года</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998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1 140</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19 673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 xml:space="preserve">Андорра </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713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1 140</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285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Аргентина</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130 442</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Армения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998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Австралия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315 056</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96 513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6 985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2 566</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Бахрейн</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7 128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Бангладеш</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1 140</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Барбадос</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998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6 985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117 041</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Белиз</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Бенин</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428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Бутан</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2 281</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1 711</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1 996</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Бразилия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420 265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Бруней-Даруссалам</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3 564</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6 558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428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D8691C" w:rsidRDefault="008170A8" w:rsidP="008170A8">
            <w:pPr>
              <w:rPr>
                <w:rFonts w:cs="Times New Roman"/>
                <w:color w:val="000000"/>
                <w:kern w:val="22"/>
                <w:szCs w:val="22"/>
              </w:rPr>
            </w:pPr>
            <w:r w:rsidRPr="00D8691C">
              <w:rPr>
                <w:rFonts w:cs="Times New Roman"/>
                <w:color w:val="000000"/>
                <w:szCs w:val="22"/>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D8691C" w:rsidRDefault="008170A8" w:rsidP="008170A8">
            <w:pPr>
              <w:jc w:val="right"/>
              <w:rPr>
                <w:rFonts w:cs="Times New Roman"/>
                <w:color w:val="000000"/>
                <w:kern w:val="22"/>
                <w:szCs w:val="22"/>
                <w:lang w:eastAsia="en-CA"/>
              </w:rPr>
            </w:pPr>
            <w:r w:rsidRPr="00D8691C">
              <w:rPr>
                <w:rFonts w:cs="Times New Roman"/>
                <w:color w:val="000000"/>
                <w:kern w:val="22"/>
                <w:szCs w:val="22"/>
                <w:lang w:eastAsia="en-CA"/>
              </w:rPr>
              <w:t>143</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677FC1" w:rsidRDefault="008170A8" w:rsidP="00635A81">
            <w:pPr>
              <w:jc w:val="center"/>
              <w:rPr>
                <w:rFonts w:cs="Times New Roman"/>
                <w:b/>
                <w:bCs/>
                <w:kern w:val="22"/>
                <w:szCs w:val="22"/>
                <w:lang w:eastAsia="en-CA"/>
              </w:rPr>
            </w:pPr>
            <w:r w:rsidRPr="00677FC1">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77FC1" w:rsidRDefault="008170A8" w:rsidP="00635A81">
            <w:pPr>
              <w:jc w:val="center"/>
              <w:rPr>
                <w:rFonts w:cs="Times New Roman"/>
                <w:b/>
                <w:bCs/>
                <w:color w:val="000000"/>
                <w:kern w:val="22"/>
                <w:szCs w:val="22"/>
                <w:lang w:eastAsia="en-CA"/>
              </w:rPr>
            </w:pPr>
            <w:r w:rsidRPr="00677FC1">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77FC1" w:rsidRDefault="008170A8" w:rsidP="00635A81">
            <w:pPr>
              <w:jc w:val="center"/>
              <w:rPr>
                <w:rFonts w:cs="Times New Roman"/>
                <w:b/>
                <w:bCs/>
                <w:color w:val="000000"/>
                <w:kern w:val="22"/>
                <w:szCs w:val="22"/>
                <w:lang w:eastAsia="en-CA"/>
              </w:rPr>
            </w:pPr>
            <w:r w:rsidRPr="00677FC1">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77FC1" w:rsidRDefault="008170A8" w:rsidP="00635A81">
            <w:pPr>
              <w:jc w:val="center"/>
              <w:rPr>
                <w:rFonts w:cs="Times New Roman"/>
                <w:b/>
                <w:bCs/>
                <w:color w:val="000000"/>
                <w:kern w:val="22"/>
                <w:szCs w:val="22"/>
                <w:lang w:eastAsia="en-CA"/>
              </w:rPr>
            </w:pPr>
            <w:r w:rsidRPr="00677FC1">
              <w:rPr>
                <w:rFonts w:cs="Times New Roman"/>
                <w:b/>
                <w:bCs/>
                <w:color w:val="000000"/>
                <w:kern w:val="22"/>
                <w:szCs w:val="22"/>
                <w:lang w:eastAsia="en-CA"/>
              </w:rPr>
              <w:t>Взносы по состоянию на 1 января 2021 года</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Кабо-Верде</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Камбоджа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855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Камерун</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1 853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Канада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389 757</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Чад</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570</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Чили</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58 022</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Китай</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1 711 425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Колумбия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41 057</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Конго</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855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Острова Кука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Коста-Рика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8 839</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1 853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10 977</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Куба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11 405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Кипр</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5 132</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F03443" w:rsidP="008170A8">
            <w:pPr>
              <w:rPr>
                <w:rFonts w:cs="Times New Roman"/>
                <w:color w:val="000000"/>
                <w:kern w:val="22"/>
                <w:szCs w:val="22"/>
              </w:rPr>
            </w:pPr>
            <w:r w:rsidRPr="00677FC1">
              <w:rPr>
                <w:rFonts w:cs="Times New Roman"/>
                <w:color w:val="000000"/>
                <w:szCs w:val="22"/>
              </w:rPr>
              <w:t>Чехия</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44 336</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855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1 140</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 xml:space="preserve">Дания </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78 978</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Доминика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143</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7 556</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11 405</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26 516</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Сальвадор</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1 711</w:t>
            </w:r>
          </w:p>
        </w:tc>
      </w:tr>
      <w:tr w:rsidR="008170A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8170A8" w:rsidRPr="00677FC1" w:rsidRDefault="008170A8" w:rsidP="008170A8">
            <w:pPr>
              <w:rPr>
                <w:rFonts w:cs="Times New Roman"/>
                <w:color w:val="000000"/>
                <w:kern w:val="22"/>
                <w:szCs w:val="22"/>
              </w:rPr>
            </w:pPr>
            <w:r w:rsidRPr="00677FC1">
              <w:rPr>
                <w:rFonts w:cs="Times New Roman"/>
                <w:color w:val="000000"/>
                <w:szCs w:val="22"/>
              </w:rPr>
              <w:t>Экваториальная Гвинея</w:t>
            </w:r>
          </w:p>
        </w:tc>
        <w:tc>
          <w:tcPr>
            <w:tcW w:w="1540" w:type="dxa"/>
            <w:tcBorders>
              <w:top w:val="nil"/>
              <w:left w:val="nil"/>
              <w:bottom w:val="single" w:sz="4" w:space="0" w:color="auto"/>
              <w:right w:val="single" w:sz="4" w:space="0" w:color="auto"/>
            </w:tcBorders>
            <w:shd w:val="clear" w:color="auto" w:fill="auto"/>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8170A8" w:rsidRPr="00677FC1" w:rsidRDefault="008170A8" w:rsidP="008170A8">
            <w:pPr>
              <w:jc w:val="right"/>
              <w:rPr>
                <w:rFonts w:cs="Times New Roman"/>
                <w:color w:val="000000"/>
                <w:kern w:val="22"/>
                <w:szCs w:val="22"/>
                <w:lang w:eastAsia="en-CA"/>
              </w:rPr>
            </w:pPr>
            <w:r w:rsidRPr="00677FC1">
              <w:rPr>
                <w:rFonts w:cs="Times New Roman"/>
                <w:color w:val="000000"/>
                <w:kern w:val="22"/>
                <w:szCs w:val="22"/>
                <w:lang w:eastAsia="en-CA"/>
              </w:rPr>
              <w:t>1 140</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B20661" w:rsidRDefault="008170A8" w:rsidP="00635A81">
            <w:pPr>
              <w:jc w:val="center"/>
              <w:rPr>
                <w:rFonts w:cs="Times New Roman"/>
                <w:b/>
                <w:bCs/>
                <w:kern w:val="22"/>
                <w:szCs w:val="22"/>
                <w:lang w:eastAsia="en-CA"/>
              </w:rPr>
            </w:pPr>
            <w:r w:rsidRPr="00B20661">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B20661" w:rsidRDefault="008170A8" w:rsidP="00635A81">
            <w:pPr>
              <w:jc w:val="center"/>
              <w:rPr>
                <w:rFonts w:cs="Times New Roman"/>
                <w:b/>
                <w:bCs/>
                <w:color w:val="000000"/>
                <w:kern w:val="22"/>
                <w:szCs w:val="22"/>
                <w:lang w:eastAsia="en-CA"/>
              </w:rPr>
            </w:pPr>
            <w:r w:rsidRPr="00B20661">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B20661" w:rsidRDefault="005948AF" w:rsidP="00635A81">
            <w:pPr>
              <w:jc w:val="center"/>
              <w:rPr>
                <w:rFonts w:cs="Times New Roman"/>
                <w:b/>
                <w:bCs/>
                <w:color w:val="000000"/>
                <w:kern w:val="22"/>
                <w:szCs w:val="22"/>
                <w:lang w:eastAsia="en-CA"/>
              </w:rPr>
            </w:pPr>
            <w:r w:rsidRPr="00B20661">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B20661" w:rsidRDefault="008170A8" w:rsidP="00635A81">
            <w:pPr>
              <w:jc w:val="center"/>
              <w:rPr>
                <w:rFonts w:cs="Times New Roman"/>
                <w:b/>
                <w:bCs/>
                <w:color w:val="000000"/>
                <w:kern w:val="22"/>
                <w:szCs w:val="22"/>
                <w:lang w:eastAsia="en-CA"/>
              </w:rPr>
            </w:pPr>
            <w:r w:rsidRPr="00B20661">
              <w:rPr>
                <w:rFonts w:cs="Times New Roman"/>
                <w:b/>
                <w:bCs/>
                <w:color w:val="000000"/>
                <w:kern w:val="22"/>
                <w:szCs w:val="22"/>
                <w:lang w:eastAsia="en-CA"/>
              </w:rPr>
              <w:t>Взносы по состоянию на 1 января 2021 года</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143</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5 560</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Эсватини</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285</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1 140</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lang w:eastAsia="en-CA"/>
              </w:rPr>
            </w:pPr>
            <w:r w:rsidRPr="00B20661">
              <w:rPr>
                <w:rFonts w:cs="Times New Roman"/>
                <w:color w:val="000000"/>
                <w:kern w:val="22"/>
                <w:szCs w:val="22"/>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285 068</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428</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60 017</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631 110</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Габон</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2 138</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Гамбия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143</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Грузия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1 140</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868 187</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Гана</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2 138</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52 177</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Гренада</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143</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5 132</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428</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143</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285</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Гаити</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428</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1 283</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29 367</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Исландия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3 992</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Индия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118 895</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77 410</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56 739</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Ирак</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18 390</w:t>
            </w:r>
          </w:p>
        </w:tc>
      </w:tr>
      <w:tr w:rsidR="005948A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948AF" w:rsidRPr="00B20661" w:rsidRDefault="005948AF" w:rsidP="005948AF">
            <w:pPr>
              <w:rPr>
                <w:rFonts w:cs="Times New Roman"/>
                <w:color w:val="000000"/>
                <w:kern w:val="22"/>
                <w:szCs w:val="22"/>
              </w:rPr>
            </w:pPr>
            <w:r w:rsidRPr="00B20661">
              <w:rPr>
                <w:rFonts w:cs="Times New Roman"/>
                <w:color w:val="000000"/>
                <w:szCs w:val="22"/>
              </w:rPr>
              <w:t>Ирландия</w:t>
            </w:r>
          </w:p>
        </w:tc>
        <w:tc>
          <w:tcPr>
            <w:tcW w:w="1540" w:type="dxa"/>
            <w:tcBorders>
              <w:top w:val="nil"/>
              <w:left w:val="nil"/>
              <w:bottom w:val="single" w:sz="4" w:space="0" w:color="auto"/>
              <w:right w:val="single" w:sz="4" w:space="0" w:color="auto"/>
            </w:tcBorders>
            <w:shd w:val="clear" w:color="auto" w:fill="auto"/>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rsidR="005948AF" w:rsidRPr="00B20661" w:rsidRDefault="005948AF" w:rsidP="005948AF">
            <w:pPr>
              <w:jc w:val="right"/>
              <w:rPr>
                <w:rFonts w:cs="Times New Roman"/>
                <w:color w:val="000000"/>
                <w:kern w:val="22"/>
                <w:szCs w:val="22"/>
                <w:lang w:eastAsia="en-CA"/>
              </w:rPr>
            </w:pPr>
            <w:r w:rsidRPr="00B20661">
              <w:rPr>
                <w:rFonts w:cs="Times New Roman"/>
                <w:color w:val="000000"/>
                <w:kern w:val="22"/>
                <w:szCs w:val="22"/>
                <w:lang w:eastAsia="en-CA"/>
              </w:rPr>
              <w:t>52 890</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E54885" w:rsidRDefault="008170A8" w:rsidP="00635A81">
            <w:pPr>
              <w:jc w:val="center"/>
              <w:rPr>
                <w:rFonts w:cs="Times New Roman"/>
                <w:b/>
                <w:bCs/>
                <w:kern w:val="22"/>
                <w:szCs w:val="22"/>
                <w:lang w:eastAsia="en-CA"/>
              </w:rPr>
            </w:pPr>
            <w:r w:rsidRPr="00E54885">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E54885" w:rsidRDefault="008170A8" w:rsidP="00635A81">
            <w:pPr>
              <w:jc w:val="center"/>
              <w:rPr>
                <w:rFonts w:cs="Times New Roman"/>
                <w:b/>
                <w:bCs/>
                <w:color w:val="000000"/>
                <w:kern w:val="22"/>
                <w:szCs w:val="22"/>
                <w:lang w:eastAsia="en-CA"/>
              </w:rPr>
            </w:pPr>
            <w:r w:rsidRPr="00E54885">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E54885" w:rsidRDefault="00E80F7C" w:rsidP="00635A81">
            <w:pPr>
              <w:jc w:val="center"/>
              <w:rPr>
                <w:rFonts w:cs="Times New Roman"/>
                <w:b/>
                <w:bCs/>
                <w:color w:val="000000"/>
                <w:kern w:val="22"/>
                <w:szCs w:val="22"/>
                <w:lang w:eastAsia="en-CA"/>
              </w:rPr>
            </w:pPr>
            <w:r w:rsidRPr="00E54885">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E54885" w:rsidRDefault="008170A8" w:rsidP="00635A81">
            <w:pPr>
              <w:jc w:val="center"/>
              <w:rPr>
                <w:rFonts w:cs="Times New Roman"/>
                <w:b/>
                <w:bCs/>
                <w:color w:val="000000"/>
                <w:kern w:val="22"/>
                <w:szCs w:val="22"/>
                <w:lang w:eastAsia="en-CA"/>
              </w:rPr>
            </w:pPr>
            <w:r w:rsidRPr="00E54885">
              <w:rPr>
                <w:rFonts w:cs="Times New Roman"/>
                <w:b/>
                <w:bCs/>
                <w:color w:val="000000"/>
                <w:kern w:val="22"/>
                <w:szCs w:val="22"/>
                <w:lang w:eastAsia="en-CA"/>
              </w:rPr>
              <w:t>Взносы по состоянию на 1 января 2021 года</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Израиль</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69 854</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Италия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471 444</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Ямайка</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1 140</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Япония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1 220 878</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2 994</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25 376</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Кения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3 421</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Кирибати</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143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35 925</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285</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713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Латвия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6 700</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Ливан</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6 700</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143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143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Ливия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4 277</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Лихтенштейн</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1 283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Литва</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10 122</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9 551</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570</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285</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48 613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570</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Мали</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570</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2 424</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143</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285</w:t>
            </w:r>
          </w:p>
        </w:tc>
      </w:tr>
      <w:tr w:rsidR="00E80F7C"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E80F7C" w:rsidRPr="00E54885" w:rsidRDefault="00E80F7C" w:rsidP="00E80F7C">
            <w:pPr>
              <w:rPr>
                <w:rFonts w:cs="Times New Roman"/>
                <w:color w:val="000000"/>
                <w:kern w:val="22"/>
                <w:szCs w:val="22"/>
              </w:rPr>
            </w:pPr>
            <w:r w:rsidRPr="00E54885">
              <w:rPr>
                <w:rFonts w:cs="Times New Roman"/>
                <w:color w:val="000000"/>
                <w:szCs w:val="22"/>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E80F7C" w:rsidRPr="00E54885" w:rsidRDefault="00E80F7C" w:rsidP="00E80F7C">
            <w:pPr>
              <w:jc w:val="right"/>
              <w:rPr>
                <w:rFonts w:cs="Times New Roman"/>
                <w:color w:val="000000"/>
                <w:kern w:val="22"/>
                <w:szCs w:val="22"/>
                <w:lang w:eastAsia="en-CA"/>
              </w:rPr>
            </w:pPr>
            <w:r w:rsidRPr="00E54885">
              <w:rPr>
                <w:rFonts w:cs="Times New Roman"/>
                <w:color w:val="000000"/>
                <w:kern w:val="22"/>
                <w:szCs w:val="22"/>
                <w:lang w:eastAsia="en-CA"/>
              </w:rPr>
              <w:t>1 568</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6E3F98" w:rsidRDefault="008170A8" w:rsidP="00635A81">
            <w:pPr>
              <w:jc w:val="center"/>
              <w:rPr>
                <w:rFonts w:cs="Times New Roman"/>
                <w:b/>
                <w:bCs/>
                <w:kern w:val="22"/>
                <w:szCs w:val="22"/>
                <w:lang w:eastAsia="en-CA"/>
              </w:rPr>
            </w:pPr>
            <w:r w:rsidRPr="006E3F98">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E3F98" w:rsidRDefault="008170A8" w:rsidP="00635A81">
            <w:pPr>
              <w:jc w:val="center"/>
              <w:rPr>
                <w:rFonts w:cs="Times New Roman"/>
                <w:b/>
                <w:bCs/>
                <w:color w:val="000000"/>
                <w:kern w:val="22"/>
                <w:szCs w:val="22"/>
                <w:lang w:eastAsia="en-CA"/>
              </w:rPr>
            </w:pPr>
            <w:r w:rsidRPr="006E3F98">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E3F98" w:rsidRDefault="00673365" w:rsidP="00635A81">
            <w:pPr>
              <w:jc w:val="center"/>
              <w:rPr>
                <w:rFonts w:cs="Times New Roman"/>
                <w:b/>
                <w:bCs/>
                <w:color w:val="000000"/>
                <w:kern w:val="22"/>
                <w:szCs w:val="22"/>
                <w:lang w:eastAsia="en-CA"/>
              </w:rPr>
            </w:pPr>
            <w:r w:rsidRPr="006E3F98">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E3F98" w:rsidRDefault="008170A8" w:rsidP="00635A81">
            <w:pPr>
              <w:jc w:val="center"/>
              <w:rPr>
                <w:rFonts w:cs="Times New Roman"/>
                <w:b/>
                <w:bCs/>
                <w:color w:val="000000"/>
                <w:kern w:val="22"/>
                <w:szCs w:val="22"/>
                <w:lang w:eastAsia="en-CA"/>
              </w:rPr>
            </w:pPr>
            <w:r w:rsidRPr="006E3F98">
              <w:rPr>
                <w:rFonts w:cs="Times New Roman"/>
                <w:b/>
                <w:bCs/>
                <w:color w:val="000000"/>
                <w:kern w:val="22"/>
                <w:szCs w:val="22"/>
                <w:lang w:eastAsia="en-CA"/>
              </w:rPr>
              <w:t>Взносы по состоянию на 1 января 2021 года</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184 187</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Монако</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1 568</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713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570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Марокко</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7 841</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570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1 140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1 283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Науру</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Непал</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998</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193 310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41 485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713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Нигер</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285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Нигерия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35 640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Ниуэ</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143</w:t>
            </w:r>
          </w:p>
        </w:tc>
      </w:tr>
      <w:tr w:rsidR="006E3F9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6E3F98" w:rsidRPr="006E3F98" w:rsidRDefault="006E3F98" w:rsidP="006E3F98">
            <w:pPr>
              <w:rPr>
                <w:rFonts w:cs="Times New Roman"/>
                <w:color w:val="000000"/>
                <w:szCs w:val="22"/>
              </w:rPr>
            </w:pPr>
            <w:r>
              <w:rPr>
                <w:rFonts w:cs="Times New Roman"/>
                <w:color w:val="000000"/>
                <w:szCs w:val="22"/>
              </w:rPr>
              <w:t>Северная Македония</w:t>
            </w:r>
          </w:p>
        </w:tc>
        <w:tc>
          <w:tcPr>
            <w:tcW w:w="1540" w:type="dxa"/>
            <w:tcBorders>
              <w:top w:val="nil"/>
              <w:left w:val="nil"/>
              <w:bottom w:val="single" w:sz="4" w:space="0" w:color="auto"/>
              <w:right w:val="single" w:sz="4" w:space="0" w:color="auto"/>
            </w:tcBorders>
            <w:shd w:val="clear" w:color="auto" w:fill="auto"/>
            <w:vAlign w:val="center"/>
          </w:tcPr>
          <w:p w:rsidR="006E3F98" w:rsidRDefault="006E3F98" w:rsidP="006E3F98">
            <w:pPr>
              <w:suppressLineNumbers/>
              <w:suppressAutoHyphens/>
              <w:spacing w:line="256" w:lineRule="auto"/>
              <w:jc w:val="right"/>
              <w:rPr>
                <w:rFonts w:eastAsia="Times New Roman" w:cs="Times New Roman"/>
                <w:color w:val="000000"/>
                <w:kern w:val="22"/>
                <w:szCs w:val="22"/>
                <w:lang w:val="en-GB" w:eastAsia="en-CA"/>
              </w:rPr>
            </w:pPr>
            <w:r>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rsidR="006E3F98" w:rsidRDefault="006E3F98" w:rsidP="006E3F98">
            <w:pPr>
              <w:suppressLineNumbers/>
              <w:suppressAutoHyphens/>
              <w:spacing w:line="256" w:lineRule="auto"/>
              <w:jc w:val="right"/>
              <w:rPr>
                <w:color w:val="000000"/>
                <w:kern w:val="22"/>
                <w:szCs w:val="22"/>
                <w:lang w:eastAsia="en-CA"/>
              </w:rPr>
            </w:pPr>
            <w:r>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tcPr>
          <w:p w:rsidR="006E3F98" w:rsidRDefault="006E3F98" w:rsidP="006E3F98">
            <w:pPr>
              <w:suppressLineNumbers/>
              <w:suppressAutoHyphens/>
              <w:spacing w:line="256" w:lineRule="auto"/>
              <w:jc w:val="right"/>
              <w:rPr>
                <w:color w:val="000000"/>
                <w:kern w:val="22"/>
                <w:szCs w:val="22"/>
                <w:lang w:eastAsia="en-CA"/>
              </w:rPr>
            </w:pPr>
            <w:r>
              <w:rPr>
                <w:color w:val="000000"/>
                <w:kern w:val="22"/>
                <w:szCs w:val="22"/>
                <w:lang w:eastAsia="en-CA"/>
              </w:rPr>
              <w:t>998</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107 490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Оман</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16 394</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16 394</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Палау</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6 415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1 426</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Парагвай</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2 281</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Перу</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21 669</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29 225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Польша</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114 333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6E3F98" w:rsidRDefault="00673365" w:rsidP="00673365">
            <w:pPr>
              <w:rPr>
                <w:rFonts w:cs="Times New Roman"/>
                <w:color w:val="000000"/>
                <w:kern w:val="22"/>
                <w:szCs w:val="22"/>
              </w:rPr>
            </w:pPr>
            <w:r w:rsidRPr="006E3F98">
              <w:rPr>
                <w:rFonts w:cs="Times New Roman"/>
                <w:color w:val="000000"/>
                <w:szCs w:val="22"/>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6E3F98" w:rsidRDefault="00673365" w:rsidP="00673365">
            <w:pPr>
              <w:jc w:val="right"/>
              <w:rPr>
                <w:rFonts w:cs="Times New Roman"/>
                <w:color w:val="000000"/>
                <w:kern w:val="22"/>
                <w:szCs w:val="22"/>
                <w:lang w:eastAsia="en-CA"/>
              </w:rPr>
            </w:pPr>
            <w:r w:rsidRPr="006E3F98">
              <w:rPr>
                <w:rFonts w:cs="Times New Roman"/>
                <w:color w:val="000000"/>
                <w:kern w:val="22"/>
                <w:szCs w:val="22"/>
                <w:lang w:eastAsia="en-CA"/>
              </w:rPr>
              <w:t>49 896</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9C6949" w:rsidRDefault="008170A8" w:rsidP="00635A81">
            <w:pPr>
              <w:jc w:val="center"/>
              <w:rPr>
                <w:rFonts w:cs="Times New Roman"/>
                <w:b/>
                <w:bCs/>
                <w:kern w:val="22"/>
                <w:szCs w:val="22"/>
                <w:lang w:eastAsia="en-CA"/>
              </w:rPr>
            </w:pPr>
            <w:r w:rsidRPr="009C6949">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9C6949" w:rsidRDefault="008170A8" w:rsidP="00635A81">
            <w:pPr>
              <w:jc w:val="center"/>
              <w:rPr>
                <w:rFonts w:cs="Times New Roman"/>
                <w:b/>
                <w:bCs/>
                <w:color w:val="000000"/>
                <w:kern w:val="22"/>
                <w:szCs w:val="22"/>
                <w:lang w:eastAsia="en-CA"/>
              </w:rPr>
            </w:pPr>
            <w:r w:rsidRPr="009C6949">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9C6949" w:rsidRDefault="00673365" w:rsidP="00635A81">
            <w:pPr>
              <w:jc w:val="center"/>
              <w:rPr>
                <w:rFonts w:cs="Times New Roman"/>
                <w:b/>
                <w:bCs/>
                <w:color w:val="000000"/>
                <w:kern w:val="22"/>
                <w:szCs w:val="22"/>
                <w:lang w:eastAsia="en-CA"/>
              </w:rPr>
            </w:pPr>
            <w:r w:rsidRPr="009C6949">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9C6949" w:rsidRDefault="008170A8" w:rsidP="00635A81">
            <w:pPr>
              <w:jc w:val="center"/>
              <w:rPr>
                <w:rFonts w:cs="Times New Roman"/>
                <w:b/>
                <w:bCs/>
                <w:color w:val="000000"/>
                <w:kern w:val="22"/>
                <w:szCs w:val="22"/>
                <w:lang w:eastAsia="en-CA"/>
              </w:rPr>
            </w:pPr>
            <w:r w:rsidRPr="009C6949">
              <w:rPr>
                <w:rFonts w:cs="Times New Roman"/>
                <w:b/>
                <w:bCs/>
                <w:color w:val="000000"/>
                <w:kern w:val="22"/>
                <w:szCs w:val="22"/>
                <w:lang w:eastAsia="en-CA"/>
              </w:rPr>
              <w:t>Взносы по состоянию на 1 января 2021 года</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Катар</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40 202</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323 182</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428</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28 227</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Российская Федерация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342 855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428</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Сент-Люсия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Самоа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Сан-Марино</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285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167 080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998</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3 992</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285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Сингапур</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69 141</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21 812</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Словения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10 835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Сомали</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143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38 776</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Южный Судан</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855</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305 932</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Шри-Ланка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6 273</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1 140</w:t>
            </w:r>
          </w:p>
        </w:tc>
      </w:tr>
      <w:tr w:rsidR="0067336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73365" w:rsidRPr="009C6949" w:rsidRDefault="00673365" w:rsidP="00673365">
            <w:pPr>
              <w:rPr>
                <w:rFonts w:cs="Times New Roman"/>
                <w:color w:val="000000"/>
                <w:kern w:val="22"/>
                <w:szCs w:val="22"/>
              </w:rPr>
            </w:pPr>
            <w:r w:rsidRPr="009C6949">
              <w:rPr>
                <w:rFonts w:cs="Times New Roman"/>
                <w:color w:val="000000"/>
                <w:szCs w:val="22"/>
              </w:rPr>
              <w:t>Судан</w:t>
            </w:r>
          </w:p>
        </w:tc>
        <w:tc>
          <w:tcPr>
            <w:tcW w:w="1540" w:type="dxa"/>
            <w:tcBorders>
              <w:top w:val="nil"/>
              <w:left w:val="nil"/>
              <w:bottom w:val="single" w:sz="4" w:space="0" w:color="auto"/>
              <w:right w:val="single" w:sz="4" w:space="0" w:color="auto"/>
            </w:tcBorders>
            <w:shd w:val="clear" w:color="auto" w:fill="auto"/>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73365" w:rsidRPr="009C6949" w:rsidRDefault="00673365" w:rsidP="00673365">
            <w:pPr>
              <w:jc w:val="right"/>
              <w:rPr>
                <w:rFonts w:cs="Times New Roman"/>
                <w:color w:val="000000"/>
                <w:kern w:val="22"/>
                <w:szCs w:val="22"/>
                <w:lang w:eastAsia="en-CA"/>
              </w:rPr>
            </w:pPr>
            <w:r w:rsidRPr="009C6949">
              <w:rPr>
                <w:rFonts w:cs="Times New Roman"/>
                <w:color w:val="000000"/>
                <w:kern w:val="22"/>
                <w:szCs w:val="22"/>
                <w:lang w:eastAsia="en-CA"/>
              </w:rPr>
              <w:t>1 140</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010AD2" w:rsidRDefault="008170A8" w:rsidP="00635A81">
            <w:pPr>
              <w:jc w:val="center"/>
              <w:rPr>
                <w:rFonts w:cs="Times New Roman"/>
                <w:b/>
                <w:bCs/>
                <w:kern w:val="22"/>
                <w:szCs w:val="22"/>
                <w:lang w:eastAsia="en-CA"/>
              </w:rPr>
            </w:pPr>
            <w:r w:rsidRPr="00010AD2">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10AD2" w:rsidRDefault="008170A8" w:rsidP="00635A81">
            <w:pPr>
              <w:jc w:val="center"/>
              <w:rPr>
                <w:rFonts w:cs="Times New Roman"/>
                <w:b/>
                <w:bCs/>
                <w:color w:val="000000"/>
                <w:kern w:val="22"/>
                <w:szCs w:val="22"/>
                <w:lang w:eastAsia="en-CA"/>
              </w:rPr>
            </w:pPr>
            <w:r w:rsidRPr="00010AD2">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10AD2" w:rsidRDefault="00BF16DF" w:rsidP="00635A81">
            <w:pPr>
              <w:jc w:val="center"/>
              <w:rPr>
                <w:rFonts w:cs="Times New Roman"/>
                <w:b/>
                <w:bCs/>
                <w:color w:val="000000"/>
                <w:kern w:val="22"/>
                <w:szCs w:val="22"/>
                <w:lang w:eastAsia="en-CA"/>
              </w:rPr>
            </w:pPr>
            <w:r w:rsidRPr="00010AD2">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10AD2" w:rsidRDefault="008170A8" w:rsidP="00635A81">
            <w:pPr>
              <w:jc w:val="center"/>
              <w:rPr>
                <w:rFonts w:cs="Times New Roman"/>
                <w:b/>
                <w:bCs/>
                <w:color w:val="000000"/>
                <w:kern w:val="22"/>
                <w:szCs w:val="22"/>
                <w:lang w:eastAsia="en-CA"/>
              </w:rPr>
            </w:pPr>
            <w:r w:rsidRPr="00010AD2">
              <w:rPr>
                <w:rFonts w:cs="Times New Roman"/>
                <w:b/>
                <w:bCs/>
                <w:color w:val="000000"/>
                <w:kern w:val="22"/>
                <w:szCs w:val="22"/>
                <w:lang w:eastAsia="en-CA"/>
              </w:rPr>
              <w:t>Взносы по состоянию на 1 января 2021 года</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Суринам</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713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1,133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129 159</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164 086</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1 568</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570</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Таиланд</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43 766</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Тимор-Лешти</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285</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Того</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285</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Тонга</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143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5 702</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Тунис</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3 564</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Турция</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195 449</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4 704</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Тувалу</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143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1 140</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Украина</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8 126</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0,770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87 817</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5,710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651 069</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1 140</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12 403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Узбекистан</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4 562</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Вануату</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143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Венесуэла</w:t>
            </w:r>
            <w:r w:rsidR="007B730F">
              <w:rPr>
                <w:rFonts w:cs="Times New Roman"/>
                <w:color w:val="000000"/>
                <w:szCs w:val="22"/>
              </w:rPr>
              <w:t xml:space="preserve"> </w:t>
            </w:r>
            <w:r w:rsidR="007B730F" w:rsidRPr="007B730F">
              <w:rPr>
                <w:rFonts w:cs="Times New Roman"/>
                <w:color w:val="000000"/>
                <w:szCs w:val="22"/>
              </w:rPr>
              <w:t>(Боливарианская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103 783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10 977</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Йемен</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1 140</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1 283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F16DF" w:rsidRPr="00010AD2" w:rsidRDefault="00BF16DF" w:rsidP="00BF16DF">
            <w:pPr>
              <w:rPr>
                <w:rFonts w:cs="Times New Roman"/>
                <w:color w:val="000000"/>
                <w:kern w:val="22"/>
                <w:szCs w:val="22"/>
              </w:rPr>
            </w:pPr>
            <w:r w:rsidRPr="00010AD2">
              <w:rPr>
                <w:rFonts w:cs="Times New Roman"/>
                <w:color w:val="000000"/>
                <w:szCs w:val="22"/>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color w:val="000000"/>
                <w:kern w:val="22"/>
                <w:szCs w:val="22"/>
                <w:lang w:eastAsia="en-CA"/>
              </w:rPr>
            </w:pPr>
            <w:r w:rsidRPr="00010AD2">
              <w:rPr>
                <w:rFonts w:cs="Times New Roman"/>
                <w:color w:val="000000"/>
                <w:kern w:val="22"/>
                <w:szCs w:val="22"/>
                <w:lang w:eastAsia="en-CA"/>
              </w:rPr>
              <w:t>713</w:t>
            </w:r>
          </w:p>
        </w:tc>
      </w:tr>
      <w:tr w:rsidR="00BF16DF"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BF16DF" w:rsidRPr="00010AD2" w:rsidRDefault="00BF16DF" w:rsidP="00BF16DF">
            <w:pPr>
              <w:rPr>
                <w:rFonts w:cs="Times New Roman"/>
                <w:b/>
                <w:bCs/>
                <w:color w:val="000000"/>
                <w:kern w:val="22"/>
                <w:szCs w:val="22"/>
              </w:rPr>
            </w:pPr>
            <w:r w:rsidRPr="00010AD2">
              <w:rPr>
                <w:rFonts w:cs="Times New Roman"/>
                <w:b/>
                <w:color w:val="000000"/>
                <w:szCs w:val="22"/>
              </w:rPr>
              <w:t>Итого</w:t>
            </w:r>
          </w:p>
        </w:tc>
        <w:tc>
          <w:tcPr>
            <w:tcW w:w="1540" w:type="dxa"/>
            <w:tcBorders>
              <w:top w:val="nil"/>
              <w:left w:val="nil"/>
              <w:bottom w:val="single" w:sz="4" w:space="0" w:color="auto"/>
              <w:right w:val="single" w:sz="4" w:space="0" w:color="auto"/>
            </w:tcBorders>
            <w:shd w:val="clear" w:color="auto" w:fill="auto"/>
            <w:vAlign w:val="center"/>
            <w:hideMark/>
          </w:tcPr>
          <w:p w:rsidR="00BF16DF" w:rsidRPr="00010AD2" w:rsidRDefault="00BF16DF" w:rsidP="00BF16DF">
            <w:pPr>
              <w:jc w:val="right"/>
              <w:rPr>
                <w:rFonts w:cs="Times New Roman"/>
                <w:b/>
                <w:bCs/>
                <w:color w:val="000000"/>
                <w:kern w:val="22"/>
                <w:szCs w:val="22"/>
                <w:lang w:eastAsia="en-CA"/>
              </w:rPr>
            </w:pPr>
            <w:r w:rsidRPr="00010AD2">
              <w:rPr>
                <w:rFonts w:cs="Times New Roman"/>
                <w:b/>
                <w:bCs/>
                <w:color w:val="000000"/>
                <w:kern w:val="22"/>
                <w:szCs w:val="22"/>
                <w:lang w:eastAsia="en-CA"/>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b/>
                <w:bCs/>
                <w:color w:val="000000"/>
                <w:kern w:val="22"/>
                <w:szCs w:val="22"/>
                <w:lang w:eastAsia="en-CA"/>
              </w:rPr>
            </w:pPr>
            <w:r w:rsidRPr="00010AD2">
              <w:rPr>
                <w:rFonts w:cs="Times New Roman"/>
                <w:b/>
                <w:bCs/>
                <w:color w:val="000000"/>
                <w:kern w:val="22"/>
                <w:szCs w:val="22"/>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rsidR="00BF16DF" w:rsidRPr="00010AD2" w:rsidRDefault="00BF16DF" w:rsidP="00BF16DF">
            <w:pPr>
              <w:jc w:val="right"/>
              <w:rPr>
                <w:rFonts w:cs="Times New Roman"/>
                <w:b/>
                <w:bCs/>
                <w:color w:val="000000"/>
                <w:kern w:val="22"/>
                <w:szCs w:val="22"/>
                <w:lang w:eastAsia="en-CA"/>
              </w:rPr>
            </w:pPr>
            <w:r w:rsidRPr="00010AD2">
              <w:rPr>
                <w:rFonts w:cs="Times New Roman"/>
                <w:b/>
                <w:bCs/>
                <w:color w:val="000000"/>
                <w:kern w:val="22"/>
                <w:szCs w:val="22"/>
                <w:lang w:eastAsia="en-CA"/>
              </w:rPr>
              <w:t>11 402 700</w:t>
            </w:r>
          </w:p>
        </w:tc>
      </w:tr>
    </w:tbl>
    <w:p w:rsidR="00221A9E" w:rsidRPr="000322A9" w:rsidRDefault="00221A9E" w:rsidP="00221A9E">
      <w:pPr>
        <w:autoSpaceDE w:val="0"/>
        <w:autoSpaceDN w:val="0"/>
        <w:adjustRightInd w:val="0"/>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p w:rsidR="000E653E" w:rsidRDefault="003356CC" w:rsidP="000E653E">
      <w:pPr>
        <w:spacing w:after="160" w:line="259" w:lineRule="auto"/>
        <w:contextualSpacing/>
      </w:pPr>
      <w:r>
        <w:rPr>
          <w:b/>
          <w:bCs/>
        </w:rPr>
        <w:lastRenderedPageBreak/>
        <w:t>Таблица 8:</w:t>
      </w:r>
      <w:r>
        <w:t xml:space="preserve"> </w:t>
      </w:r>
    </w:p>
    <w:p w:rsidR="003356CC" w:rsidRPr="000E653E" w:rsidRDefault="003356CC" w:rsidP="000E653E">
      <w:pPr>
        <w:spacing w:after="160" w:line="259" w:lineRule="auto"/>
        <w:contextualSpacing/>
        <w:rPr>
          <w:b/>
        </w:rPr>
      </w:pPr>
      <w:r w:rsidRPr="000E653E">
        <w:rPr>
          <w:b/>
        </w:rPr>
        <w:t>Взносы в Целевой фонд для Картахенского протокола по биобезопасности за 2021 год</w:t>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0E653E" w:rsidRDefault="008170A8" w:rsidP="00635A81">
            <w:pPr>
              <w:jc w:val="center"/>
              <w:rPr>
                <w:rFonts w:cs="Times New Roman"/>
                <w:b/>
                <w:bCs/>
                <w:kern w:val="22"/>
                <w:szCs w:val="22"/>
                <w:lang w:eastAsia="en-CA"/>
              </w:rPr>
            </w:pPr>
            <w:r w:rsidRPr="000E653E">
              <w:rPr>
                <w:rFonts w:cs="Times New Roman"/>
                <w:b/>
                <w:bCs/>
                <w:kern w:val="22"/>
                <w:szCs w:val="22"/>
                <w:lang w:eastAsia="en-CA"/>
              </w:rPr>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E653E" w:rsidRDefault="008170A8" w:rsidP="00635A81">
            <w:pPr>
              <w:jc w:val="center"/>
              <w:rPr>
                <w:rFonts w:cs="Times New Roman"/>
                <w:b/>
                <w:bCs/>
                <w:color w:val="000000"/>
                <w:kern w:val="22"/>
                <w:szCs w:val="22"/>
                <w:lang w:eastAsia="en-CA"/>
              </w:rPr>
            </w:pPr>
            <w:r w:rsidRPr="000E653E">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E653E" w:rsidRDefault="00AE1D25" w:rsidP="00635A81">
            <w:pPr>
              <w:jc w:val="center"/>
              <w:rPr>
                <w:rFonts w:cs="Times New Roman"/>
                <w:b/>
                <w:bCs/>
                <w:color w:val="000000"/>
                <w:kern w:val="22"/>
                <w:szCs w:val="22"/>
                <w:lang w:eastAsia="en-CA"/>
              </w:rPr>
            </w:pPr>
            <w:r w:rsidRPr="000E653E">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E653E" w:rsidRDefault="008170A8" w:rsidP="00635A81">
            <w:pPr>
              <w:jc w:val="center"/>
              <w:rPr>
                <w:rFonts w:cs="Times New Roman"/>
                <w:b/>
                <w:bCs/>
                <w:color w:val="000000"/>
                <w:kern w:val="22"/>
                <w:szCs w:val="22"/>
                <w:lang w:eastAsia="en-CA"/>
              </w:rPr>
            </w:pPr>
            <w:r w:rsidRPr="000E653E">
              <w:rPr>
                <w:rFonts w:cs="Times New Roman"/>
                <w:b/>
                <w:bCs/>
                <w:color w:val="000000"/>
                <w:kern w:val="22"/>
                <w:szCs w:val="22"/>
                <w:lang w:eastAsia="en-CA"/>
              </w:rPr>
              <w:t>Взносы по состоянию на 1 января 2021 года</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231</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264</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4 557</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231</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66</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Армения</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231</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22 358</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1 618</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594</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Бахрейн</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1 651</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Бангладеш</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231</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Барбадос</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231</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1 618</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27 113</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Белиз</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33</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Бенин</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99</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Бутан</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33</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528</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396</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462</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Бразилия</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97 356</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1 519</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99</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33</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Кабо-Верде</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33</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Камбоджа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198</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Камерун</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429</w:t>
            </w:r>
          </w:p>
        </w:tc>
      </w:tr>
      <w:tr w:rsidR="00AE1D25"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E1D25" w:rsidRPr="000E653E" w:rsidRDefault="00AE1D25" w:rsidP="00AE1D25">
            <w:pPr>
              <w:rPr>
                <w:rFonts w:cs="Times New Roman"/>
                <w:color w:val="000000"/>
                <w:kern w:val="22"/>
                <w:szCs w:val="22"/>
              </w:rPr>
            </w:pPr>
            <w:r w:rsidRPr="000E653E">
              <w:rPr>
                <w:rFonts w:cs="Times New Roman"/>
                <w:color w:val="000000"/>
                <w:szCs w:val="22"/>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AE1D25" w:rsidRPr="000E653E" w:rsidRDefault="00AE1D25" w:rsidP="00AE1D25">
            <w:pPr>
              <w:jc w:val="right"/>
              <w:rPr>
                <w:rFonts w:cs="Times New Roman"/>
                <w:color w:val="000000"/>
                <w:kern w:val="22"/>
                <w:szCs w:val="22"/>
                <w:lang w:eastAsia="en-CA"/>
              </w:rPr>
            </w:pPr>
            <w:r w:rsidRPr="000E653E">
              <w:rPr>
                <w:rFonts w:cs="Times New Roman"/>
                <w:color w:val="000000"/>
                <w:kern w:val="22"/>
                <w:szCs w:val="22"/>
                <w:lang w:eastAsia="en-CA"/>
              </w:rPr>
              <w:t>33</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0C6716" w:rsidRDefault="008170A8" w:rsidP="00635A81">
            <w:pPr>
              <w:jc w:val="center"/>
              <w:rPr>
                <w:rFonts w:cs="Times New Roman"/>
                <w:b/>
                <w:bCs/>
                <w:kern w:val="22"/>
                <w:szCs w:val="22"/>
                <w:lang w:eastAsia="en-CA"/>
              </w:rPr>
            </w:pPr>
            <w:r w:rsidRPr="000C6716">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C6716" w:rsidRDefault="008170A8" w:rsidP="00635A81">
            <w:pPr>
              <w:jc w:val="center"/>
              <w:rPr>
                <w:rFonts w:cs="Times New Roman"/>
                <w:b/>
                <w:bCs/>
                <w:color w:val="000000"/>
                <w:kern w:val="22"/>
                <w:szCs w:val="22"/>
                <w:lang w:eastAsia="en-CA"/>
              </w:rPr>
            </w:pPr>
            <w:r w:rsidRPr="000C6716">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C6716" w:rsidRDefault="00065D76" w:rsidP="00635A81">
            <w:pPr>
              <w:jc w:val="center"/>
              <w:rPr>
                <w:rFonts w:cs="Times New Roman"/>
                <w:b/>
                <w:bCs/>
                <w:color w:val="000000"/>
                <w:kern w:val="22"/>
                <w:szCs w:val="22"/>
                <w:lang w:eastAsia="en-CA"/>
              </w:rPr>
            </w:pPr>
            <w:r w:rsidRPr="000C6716">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C6716" w:rsidRDefault="008170A8" w:rsidP="00635A81">
            <w:pPr>
              <w:jc w:val="center"/>
              <w:rPr>
                <w:rFonts w:cs="Times New Roman"/>
                <w:b/>
                <w:bCs/>
                <w:color w:val="000000"/>
                <w:kern w:val="22"/>
                <w:szCs w:val="22"/>
                <w:lang w:eastAsia="en-CA"/>
              </w:rPr>
            </w:pPr>
            <w:r w:rsidRPr="000C6716">
              <w:rPr>
                <w:rFonts w:cs="Times New Roman"/>
                <w:b/>
                <w:bCs/>
                <w:color w:val="000000"/>
                <w:kern w:val="22"/>
                <w:szCs w:val="22"/>
                <w:lang w:eastAsia="en-CA"/>
              </w:rPr>
              <w:t>Взносы по состоянию на 1 января 2021 года</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Чад</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132</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Китай</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17,153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396 458</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Колумбия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0,412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9 511</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Конго</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198</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Коста-Рика</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2 048</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429</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2 543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Куба</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2 642</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Кипр</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1 189</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C6716" w:rsidP="00065D76">
            <w:pPr>
              <w:rPr>
                <w:rFonts w:cs="Times New Roman"/>
                <w:color w:val="000000"/>
                <w:kern w:val="22"/>
                <w:szCs w:val="22"/>
              </w:rPr>
            </w:pPr>
            <w:r>
              <w:rPr>
                <w:rFonts w:cs="Times New Roman"/>
                <w:color w:val="000000"/>
                <w:szCs w:val="22"/>
              </w:rPr>
              <w:t>Чехия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0,444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10 271</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C6716">
            <w:pPr>
              <w:jc w:val="left"/>
              <w:rPr>
                <w:rFonts w:cs="Times New Roman"/>
                <w:color w:val="000000"/>
                <w:kern w:val="22"/>
                <w:szCs w:val="22"/>
              </w:rPr>
            </w:pPr>
            <w:r w:rsidRPr="000C6716">
              <w:rPr>
                <w:rFonts w:cs="Times New Roman"/>
                <w:color w:val="000000"/>
                <w:szCs w:val="22"/>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198</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231</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Дания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0,792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18 296</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Доминика</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1 750</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2 642</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0,266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6 143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Сальвадор</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396</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1 288</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Эсватини</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660</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231</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lang w:eastAsia="en-CA"/>
              </w:rPr>
            </w:pPr>
            <w:r w:rsidRPr="000C6716">
              <w:rPr>
                <w:rFonts w:cs="Times New Roman"/>
                <w:color w:val="000000"/>
                <w:kern w:val="22"/>
                <w:szCs w:val="22"/>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57 783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Фиджи</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99</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0,602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13 903</w:t>
            </w:r>
          </w:p>
        </w:tc>
      </w:tr>
      <w:tr w:rsidR="00065D7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65D76" w:rsidRPr="000C6716" w:rsidRDefault="00065D76" w:rsidP="00065D76">
            <w:pPr>
              <w:rPr>
                <w:rFonts w:cs="Times New Roman"/>
                <w:color w:val="000000"/>
                <w:kern w:val="22"/>
                <w:szCs w:val="22"/>
              </w:rPr>
            </w:pPr>
            <w:r w:rsidRPr="000C6716">
              <w:rPr>
                <w:rFonts w:cs="Times New Roman"/>
                <w:color w:val="000000"/>
                <w:szCs w:val="22"/>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 xml:space="preserve">6,325 </w:t>
            </w:r>
          </w:p>
        </w:tc>
        <w:tc>
          <w:tcPr>
            <w:tcW w:w="1540" w:type="dxa"/>
            <w:tcBorders>
              <w:top w:val="nil"/>
              <w:left w:val="nil"/>
              <w:bottom w:val="single" w:sz="4" w:space="0" w:color="auto"/>
              <w:right w:val="single" w:sz="4" w:space="0" w:color="auto"/>
            </w:tcBorders>
            <w:shd w:val="clear" w:color="auto" w:fill="auto"/>
            <w:noWrap/>
            <w:vAlign w:val="center"/>
            <w:hideMark/>
          </w:tcPr>
          <w:p w:rsidR="00065D76" w:rsidRPr="000C6716" w:rsidRDefault="00065D76" w:rsidP="00065D76">
            <w:pPr>
              <w:jc w:val="right"/>
              <w:rPr>
                <w:rFonts w:cs="Times New Roman"/>
                <w:color w:val="000000"/>
                <w:kern w:val="22"/>
                <w:szCs w:val="22"/>
                <w:lang w:eastAsia="en-CA"/>
              </w:rPr>
            </w:pPr>
            <w:r w:rsidRPr="000C6716">
              <w:rPr>
                <w:rFonts w:cs="Times New Roman"/>
                <w:color w:val="000000"/>
                <w:kern w:val="22"/>
                <w:szCs w:val="22"/>
                <w:lang w:eastAsia="en-CA"/>
              </w:rPr>
              <w:t>146 199</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0C6716" w:rsidRDefault="008170A8" w:rsidP="00635A81">
            <w:pPr>
              <w:jc w:val="center"/>
              <w:rPr>
                <w:rFonts w:cs="Times New Roman"/>
                <w:b/>
                <w:bCs/>
                <w:kern w:val="22"/>
                <w:szCs w:val="22"/>
                <w:lang w:eastAsia="en-CA"/>
              </w:rPr>
            </w:pPr>
            <w:r w:rsidRPr="000C6716">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C6716" w:rsidRDefault="008170A8" w:rsidP="00635A81">
            <w:pPr>
              <w:jc w:val="center"/>
              <w:rPr>
                <w:rFonts w:cs="Times New Roman"/>
                <w:b/>
                <w:bCs/>
                <w:color w:val="000000"/>
                <w:kern w:val="22"/>
                <w:szCs w:val="22"/>
                <w:lang w:eastAsia="en-CA"/>
              </w:rPr>
            </w:pPr>
            <w:r w:rsidRPr="000C6716">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C6716" w:rsidRDefault="00452297" w:rsidP="00635A81">
            <w:pPr>
              <w:jc w:val="center"/>
              <w:rPr>
                <w:rFonts w:cs="Times New Roman"/>
                <w:b/>
                <w:bCs/>
                <w:color w:val="000000"/>
                <w:kern w:val="22"/>
                <w:szCs w:val="22"/>
                <w:lang w:eastAsia="en-CA"/>
              </w:rPr>
            </w:pPr>
            <w:r w:rsidRPr="000C6716">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0C6716" w:rsidRDefault="008170A8" w:rsidP="00635A81">
            <w:pPr>
              <w:jc w:val="center"/>
              <w:rPr>
                <w:rFonts w:cs="Times New Roman"/>
                <w:b/>
                <w:bCs/>
                <w:color w:val="000000"/>
                <w:kern w:val="22"/>
                <w:szCs w:val="22"/>
                <w:lang w:eastAsia="en-CA"/>
              </w:rPr>
            </w:pPr>
            <w:r w:rsidRPr="000C6716">
              <w:rPr>
                <w:rFonts w:cs="Times New Roman"/>
                <w:b/>
                <w:bCs/>
                <w:color w:val="000000"/>
                <w:kern w:val="22"/>
                <w:szCs w:val="22"/>
                <w:lang w:eastAsia="en-CA"/>
              </w:rPr>
              <w:t>Взносы по состоянию на 1 января 2021 года</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Габон</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495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 xml:space="preserve">Гамбия </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Грузия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264</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201 118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Гана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495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12 087</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Гренада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1 189</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99</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66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297</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6 803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Индия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27 542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17 932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13 144</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Ирак</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4 260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Ирландия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12 252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Италия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109 212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Ямайка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264</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Япония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282 821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694</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5 878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Кения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793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Кирибати</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8 322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66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0C6716" w:rsidRDefault="00452297" w:rsidP="00452297">
            <w:pPr>
              <w:rPr>
                <w:rFonts w:cs="Times New Roman"/>
                <w:color w:val="000000"/>
                <w:kern w:val="22"/>
                <w:szCs w:val="22"/>
              </w:rPr>
            </w:pPr>
            <w:r w:rsidRPr="000C6716">
              <w:rPr>
                <w:rFonts w:cs="Times New Roman"/>
                <w:color w:val="000000"/>
                <w:szCs w:val="22"/>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0C6716" w:rsidRDefault="00452297" w:rsidP="00452297">
            <w:pPr>
              <w:jc w:val="right"/>
              <w:rPr>
                <w:rFonts w:cs="Times New Roman"/>
                <w:color w:val="000000"/>
                <w:kern w:val="22"/>
                <w:szCs w:val="22"/>
                <w:lang w:eastAsia="en-CA"/>
              </w:rPr>
            </w:pPr>
            <w:r w:rsidRPr="000C6716">
              <w:rPr>
                <w:rFonts w:cs="Times New Roman"/>
                <w:color w:val="000000"/>
                <w:kern w:val="22"/>
                <w:szCs w:val="22"/>
                <w:lang w:eastAsia="en-CA"/>
              </w:rPr>
              <w:t>165</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7B0208" w:rsidRDefault="008170A8" w:rsidP="00635A81">
            <w:pPr>
              <w:jc w:val="center"/>
              <w:rPr>
                <w:rFonts w:cs="Times New Roman"/>
                <w:b/>
                <w:bCs/>
                <w:kern w:val="22"/>
                <w:szCs w:val="22"/>
                <w:lang w:eastAsia="en-CA"/>
              </w:rPr>
            </w:pPr>
            <w:r w:rsidRPr="007B0208">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7B0208" w:rsidRDefault="008170A8" w:rsidP="00635A81">
            <w:pPr>
              <w:jc w:val="center"/>
              <w:rPr>
                <w:rFonts w:cs="Times New Roman"/>
                <w:b/>
                <w:bCs/>
                <w:color w:val="000000"/>
                <w:kern w:val="22"/>
                <w:szCs w:val="22"/>
                <w:lang w:eastAsia="en-CA"/>
              </w:rPr>
            </w:pPr>
            <w:r w:rsidRPr="007B0208">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7B0208" w:rsidRDefault="00452297" w:rsidP="00635A81">
            <w:pPr>
              <w:jc w:val="center"/>
              <w:rPr>
                <w:rFonts w:cs="Times New Roman"/>
                <w:b/>
                <w:bCs/>
                <w:color w:val="000000"/>
                <w:kern w:val="22"/>
                <w:szCs w:val="22"/>
                <w:lang w:eastAsia="en-CA"/>
              </w:rPr>
            </w:pPr>
            <w:r w:rsidRPr="007B0208">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7B0208" w:rsidRDefault="008170A8" w:rsidP="00635A81">
            <w:pPr>
              <w:jc w:val="center"/>
              <w:rPr>
                <w:rFonts w:cs="Times New Roman"/>
                <w:b/>
                <w:bCs/>
                <w:color w:val="000000"/>
                <w:kern w:val="22"/>
                <w:szCs w:val="22"/>
                <w:lang w:eastAsia="en-CA"/>
              </w:rPr>
            </w:pPr>
            <w:r w:rsidRPr="007B0208">
              <w:rPr>
                <w:rFonts w:cs="Times New Roman"/>
                <w:b/>
                <w:bCs/>
                <w:color w:val="000000"/>
                <w:kern w:val="22"/>
                <w:szCs w:val="22"/>
                <w:lang w:eastAsia="en-CA"/>
              </w:rPr>
              <w:t>Взносы по состоянию на 1 января 2021 года</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Латвия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1 552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Ливан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1 552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Ливия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0,043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991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Литва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0,101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2 345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2 213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66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11 261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Мали</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561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66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363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1,846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42 668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165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Марокко</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1 816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231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297</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Науру</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 xml:space="preserve">Нидерланды </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1,937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44 781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0,416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9 610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165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7B0208" w:rsidRDefault="00452297" w:rsidP="00452297">
            <w:pPr>
              <w:rPr>
                <w:rFonts w:cs="Times New Roman"/>
                <w:color w:val="000000"/>
                <w:kern w:val="22"/>
                <w:szCs w:val="22"/>
              </w:rPr>
            </w:pPr>
            <w:r w:rsidRPr="007B0208">
              <w:rPr>
                <w:rFonts w:cs="Times New Roman"/>
                <w:color w:val="000000"/>
                <w:szCs w:val="22"/>
              </w:rPr>
              <w:t>Нигер</w:t>
            </w:r>
          </w:p>
        </w:tc>
        <w:tc>
          <w:tcPr>
            <w:tcW w:w="1540" w:type="dxa"/>
            <w:tcBorders>
              <w:top w:val="nil"/>
              <w:left w:val="nil"/>
              <w:bottom w:val="single" w:sz="4" w:space="0" w:color="auto"/>
              <w:right w:val="single" w:sz="4" w:space="0" w:color="auto"/>
            </w:tcBorders>
            <w:shd w:val="clear" w:color="auto" w:fill="auto"/>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7B0208" w:rsidRDefault="00452297" w:rsidP="00452297">
            <w:pPr>
              <w:jc w:val="right"/>
              <w:rPr>
                <w:rFonts w:cs="Times New Roman"/>
                <w:color w:val="000000"/>
                <w:kern w:val="22"/>
                <w:szCs w:val="22"/>
                <w:lang w:eastAsia="en-CA"/>
              </w:rPr>
            </w:pPr>
            <w:r w:rsidRPr="007B0208">
              <w:rPr>
                <w:rFonts w:cs="Times New Roman"/>
                <w:color w:val="000000"/>
                <w:kern w:val="22"/>
                <w:szCs w:val="22"/>
                <w:lang w:eastAsia="en-CA"/>
              </w:rPr>
              <w:t>66</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3F7C80" w:rsidRDefault="008170A8" w:rsidP="00635A81">
            <w:pPr>
              <w:jc w:val="center"/>
              <w:rPr>
                <w:rFonts w:cs="Times New Roman"/>
                <w:b/>
                <w:bCs/>
                <w:kern w:val="22"/>
                <w:szCs w:val="22"/>
                <w:lang w:eastAsia="en-CA"/>
              </w:rPr>
            </w:pPr>
            <w:r w:rsidRPr="003F7C80">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3F7C80" w:rsidRDefault="008170A8" w:rsidP="00635A81">
            <w:pPr>
              <w:jc w:val="center"/>
              <w:rPr>
                <w:rFonts w:cs="Times New Roman"/>
                <w:b/>
                <w:bCs/>
                <w:color w:val="000000"/>
                <w:kern w:val="22"/>
                <w:szCs w:val="22"/>
                <w:lang w:eastAsia="en-CA"/>
              </w:rPr>
            </w:pPr>
            <w:r w:rsidRPr="003F7C80">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3F7C80" w:rsidRDefault="00452297" w:rsidP="00635A81">
            <w:pPr>
              <w:jc w:val="center"/>
              <w:rPr>
                <w:rFonts w:cs="Times New Roman"/>
                <w:b/>
                <w:bCs/>
                <w:color w:val="000000"/>
                <w:kern w:val="22"/>
                <w:szCs w:val="22"/>
                <w:lang w:eastAsia="en-CA"/>
              </w:rPr>
            </w:pPr>
            <w:r w:rsidRPr="003F7C80">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3F7C80" w:rsidRDefault="008170A8" w:rsidP="00635A81">
            <w:pPr>
              <w:jc w:val="center"/>
              <w:rPr>
                <w:rFonts w:cs="Times New Roman"/>
                <w:b/>
                <w:bCs/>
                <w:color w:val="000000"/>
                <w:kern w:val="22"/>
                <w:szCs w:val="22"/>
                <w:lang w:eastAsia="en-CA"/>
              </w:rPr>
            </w:pPr>
            <w:r w:rsidRPr="003F7C80">
              <w:rPr>
                <w:rFonts w:cs="Times New Roman"/>
                <w:b/>
                <w:bCs/>
                <w:color w:val="000000"/>
                <w:kern w:val="22"/>
                <w:szCs w:val="22"/>
                <w:lang w:eastAsia="en-CA"/>
              </w:rPr>
              <w:t>Взносы по состоянию на 1 января 2021 года</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 xml:space="preserve">Нигерия </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0,357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8 256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Ниуэ</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w:t>
            </w:r>
          </w:p>
        </w:tc>
      </w:tr>
      <w:tr w:rsidR="003F7C80"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3F7C80" w:rsidRPr="003F7C80" w:rsidRDefault="003F7C80" w:rsidP="003F7C80">
            <w:pPr>
              <w:rPr>
                <w:rFonts w:cs="Times New Roman"/>
                <w:color w:val="000000"/>
                <w:szCs w:val="22"/>
              </w:rPr>
            </w:pPr>
            <w:r>
              <w:rPr>
                <w:rFonts w:cs="Times New Roman"/>
                <w:color w:val="000000"/>
                <w:szCs w:val="22"/>
              </w:rPr>
              <w:t>Северная Македония</w:t>
            </w:r>
          </w:p>
        </w:tc>
        <w:tc>
          <w:tcPr>
            <w:tcW w:w="1540" w:type="dxa"/>
            <w:tcBorders>
              <w:top w:val="nil"/>
              <w:left w:val="nil"/>
              <w:bottom w:val="single" w:sz="4" w:space="0" w:color="auto"/>
              <w:right w:val="single" w:sz="4" w:space="0" w:color="auto"/>
            </w:tcBorders>
            <w:shd w:val="clear" w:color="auto" w:fill="auto"/>
            <w:vAlign w:val="center"/>
          </w:tcPr>
          <w:p w:rsidR="003F7C80" w:rsidRDefault="003F7C80" w:rsidP="003F7C80">
            <w:pPr>
              <w:suppressLineNumbers/>
              <w:suppressAutoHyphens/>
              <w:spacing w:line="256" w:lineRule="auto"/>
              <w:jc w:val="right"/>
              <w:rPr>
                <w:rFonts w:eastAsia="Times New Roman" w:cs="Times New Roman"/>
                <w:color w:val="000000"/>
                <w:kern w:val="22"/>
                <w:szCs w:val="22"/>
                <w:lang w:val="en-GB" w:eastAsia="en-CA"/>
              </w:rPr>
            </w:pPr>
            <w:r>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rsidR="003F7C80" w:rsidRDefault="003F7C80" w:rsidP="003F7C80">
            <w:pPr>
              <w:suppressLineNumbers/>
              <w:suppressAutoHyphens/>
              <w:spacing w:line="256" w:lineRule="auto"/>
              <w:jc w:val="right"/>
              <w:rPr>
                <w:color w:val="000000"/>
                <w:kern w:val="22"/>
                <w:szCs w:val="22"/>
                <w:lang w:eastAsia="en-CA"/>
              </w:rPr>
            </w:pPr>
            <w:r>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tcPr>
          <w:p w:rsidR="003F7C80" w:rsidRDefault="003F7C80" w:rsidP="003F7C80">
            <w:pPr>
              <w:suppressLineNumbers/>
              <w:suppressAutoHyphens/>
              <w:spacing w:line="256" w:lineRule="auto"/>
              <w:jc w:val="right"/>
              <w:rPr>
                <w:color w:val="000000"/>
                <w:kern w:val="22"/>
                <w:szCs w:val="22"/>
                <w:lang w:eastAsia="en-CA"/>
              </w:rPr>
            </w:pPr>
            <w:r>
              <w:rPr>
                <w:color w:val="000000"/>
                <w:kern w:val="22"/>
                <w:szCs w:val="22"/>
                <w:lang w:eastAsia="en-CA"/>
              </w:rPr>
              <w:t>231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1,077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24 900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Оман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3 798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3 798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Палау</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0,064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1 486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Парагвай</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528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Перу</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0,217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5 020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0,293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6 770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Польша</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1,146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26 486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0,500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11 559</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Катар</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0,403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9 313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3,239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74 866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99</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0,283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6 539</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99</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Сент-Люсия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Самоа</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38 705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231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925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66</w:t>
            </w:r>
          </w:p>
        </w:tc>
      </w:tr>
      <w:tr w:rsidR="007D183B"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7D183B" w:rsidRPr="003F7C80" w:rsidRDefault="007D183B" w:rsidP="007D183B">
            <w:pPr>
              <w:rPr>
                <w:rFonts w:cs="Times New Roman"/>
                <w:color w:val="000000"/>
                <w:szCs w:val="22"/>
              </w:rPr>
            </w:pPr>
            <w:r>
              <w:rPr>
                <w:rFonts w:cs="Times New Roman"/>
                <w:color w:val="000000"/>
                <w:szCs w:val="22"/>
              </w:rPr>
              <w:t>Сьерра-Леоне</w:t>
            </w:r>
          </w:p>
        </w:tc>
        <w:tc>
          <w:tcPr>
            <w:tcW w:w="1540" w:type="dxa"/>
            <w:tcBorders>
              <w:top w:val="nil"/>
              <w:left w:val="nil"/>
              <w:bottom w:val="single" w:sz="4" w:space="0" w:color="auto"/>
              <w:right w:val="single" w:sz="4" w:space="0" w:color="auto"/>
            </w:tcBorders>
            <w:shd w:val="clear" w:color="auto" w:fill="auto"/>
            <w:vAlign w:val="center"/>
          </w:tcPr>
          <w:p w:rsidR="007D183B" w:rsidRDefault="007D183B" w:rsidP="007D183B">
            <w:pPr>
              <w:suppressLineNumbers/>
              <w:suppressAutoHyphens/>
              <w:spacing w:line="256" w:lineRule="auto"/>
              <w:jc w:val="right"/>
              <w:rPr>
                <w:rFonts w:eastAsia="Times New Roman" w:cs="Times New Roman"/>
                <w:color w:val="000000"/>
                <w:kern w:val="22"/>
                <w:szCs w:val="22"/>
                <w:lang w:val="en-GB" w:eastAsia="en-CA"/>
              </w:rPr>
            </w:pPr>
            <w:r>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rsidR="007D183B" w:rsidRDefault="007D183B" w:rsidP="007D183B">
            <w:pPr>
              <w:suppressLineNumbers/>
              <w:suppressAutoHyphens/>
              <w:spacing w:line="256" w:lineRule="auto"/>
              <w:jc w:val="right"/>
              <w:rPr>
                <w:color w:val="000000"/>
                <w:kern w:val="22"/>
                <w:szCs w:val="22"/>
                <w:lang w:eastAsia="en-CA"/>
              </w:rPr>
            </w:pPr>
            <w:r>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rsidR="007D183B" w:rsidRDefault="007D183B" w:rsidP="007D183B">
            <w:pPr>
              <w:suppressLineNumbers/>
              <w:suppressAutoHyphens/>
              <w:spacing w:line="256" w:lineRule="auto"/>
              <w:jc w:val="right"/>
              <w:rPr>
                <w:color w:val="000000"/>
                <w:kern w:val="22"/>
                <w:szCs w:val="22"/>
                <w:lang w:eastAsia="en-CA"/>
              </w:rPr>
            </w:pPr>
            <w:r>
              <w:rPr>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0,219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5 053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3F7C80" w:rsidRDefault="00452297" w:rsidP="00452297">
            <w:pPr>
              <w:rPr>
                <w:rFonts w:cs="Times New Roman"/>
                <w:color w:val="000000"/>
                <w:kern w:val="22"/>
                <w:szCs w:val="22"/>
              </w:rPr>
            </w:pPr>
            <w:r w:rsidRPr="003F7C80">
              <w:rPr>
                <w:rFonts w:cs="Times New Roman"/>
                <w:color w:val="000000"/>
                <w:szCs w:val="22"/>
              </w:rPr>
              <w:t>Словения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3F7C80" w:rsidRDefault="00452297" w:rsidP="00452297">
            <w:pPr>
              <w:jc w:val="right"/>
              <w:rPr>
                <w:rFonts w:cs="Times New Roman"/>
                <w:color w:val="000000"/>
                <w:kern w:val="22"/>
                <w:szCs w:val="22"/>
                <w:lang w:eastAsia="en-CA"/>
              </w:rPr>
            </w:pPr>
            <w:r w:rsidRPr="003F7C80">
              <w:rPr>
                <w:rFonts w:cs="Times New Roman"/>
                <w:color w:val="000000"/>
                <w:kern w:val="22"/>
                <w:szCs w:val="22"/>
                <w:lang w:eastAsia="en-CA"/>
              </w:rPr>
              <w:t>2 510</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143E86" w:rsidRDefault="008170A8" w:rsidP="00635A81">
            <w:pPr>
              <w:jc w:val="center"/>
              <w:rPr>
                <w:rFonts w:cs="Times New Roman"/>
                <w:b/>
                <w:bCs/>
                <w:kern w:val="22"/>
                <w:szCs w:val="22"/>
                <w:lang w:eastAsia="en-CA"/>
              </w:rPr>
            </w:pPr>
            <w:r w:rsidRPr="00143E86">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143E86" w:rsidRDefault="008170A8" w:rsidP="00635A81">
            <w:pPr>
              <w:jc w:val="center"/>
              <w:rPr>
                <w:rFonts w:cs="Times New Roman"/>
                <w:b/>
                <w:bCs/>
                <w:color w:val="000000"/>
                <w:kern w:val="22"/>
                <w:szCs w:val="22"/>
                <w:lang w:eastAsia="en-CA"/>
              </w:rPr>
            </w:pPr>
            <w:r w:rsidRPr="00143E86">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143E86" w:rsidRDefault="00452297" w:rsidP="00635A81">
            <w:pPr>
              <w:jc w:val="center"/>
              <w:rPr>
                <w:rFonts w:cs="Times New Roman"/>
                <w:b/>
                <w:bCs/>
                <w:color w:val="000000"/>
                <w:kern w:val="22"/>
                <w:szCs w:val="22"/>
                <w:lang w:eastAsia="en-CA"/>
              </w:rPr>
            </w:pPr>
            <w:r w:rsidRPr="00143E86">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143E86" w:rsidRDefault="008170A8" w:rsidP="00635A81">
            <w:pPr>
              <w:jc w:val="center"/>
              <w:rPr>
                <w:rFonts w:cs="Times New Roman"/>
                <w:b/>
                <w:bCs/>
                <w:color w:val="000000"/>
                <w:kern w:val="22"/>
                <w:szCs w:val="22"/>
                <w:lang w:eastAsia="en-CA"/>
              </w:rPr>
            </w:pPr>
            <w:r w:rsidRPr="00143E86">
              <w:rPr>
                <w:rFonts w:cs="Times New Roman"/>
                <w:b/>
                <w:bCs/>
                <w:color w:val="000000"/>
                <w:kern w:val="22"/>
                <w:szCs w:val="22"/>
                <w:lang w:eastAsia="en-CA"/>
              </w:rPr>
              <w:t>Взносы по состоянию на 1 января 2021 года</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Сомали</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8 983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3,066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70 870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Шри-Ланка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1 453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264</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Судан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231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Суринам</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165</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29 920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38 011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363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132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Таиланд</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10 138</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Того</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66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Тонга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33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1 321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Тунис</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826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Турция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45 276</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1 090</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231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Украина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1 882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0,880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20 343</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6,525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150 822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231</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2 873</w:t>
            </w:r>
          </w:p>
        </w:tc>
      </w:tr>
      <w:tr w:rsidR="00143E86"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143E86" w:rsidRPr="00143E86" w:rsidRDefault="00143E86" w:rsidP="00143E86">
            <w:pPr>
              <w:rPr>
                <w:rFonts w:cs="Times New Roman"/>
                <w:color w:val="000000"/>
                <w:szCs w:val="22"/>
              </w:rPr>
            </w:pPr>
            <w:r>
              <w:rPr>
                <w:rFonts w:cs="Times New Roman"/>
                <w:color w:val="000000"/>
                <w:szCs w:val="22"/>
              </w:rPr>
              <w:t>Узбекистан</w:t>
            </w:r>
          </w:p>
        </w:tc>
        <w:tc>
          <w:tcPr>
            <w:tcW w:w="1540" w:type="dxa"/>
            <w:tcBorders>
              <w:top w:val="nil"/>
              <w:left w:val="nil"/>
              <w:bottom w:val="single" w:sz="4" w:space="0" w:color="auto"/>
              <w:right w:val="single" w:sz="4" w:space="0" w:color="auto"/>
            </w:tcBorders>
            <w:shd w:val="clear" w:color="auto" w:fill="auto"/>
            <w:vAlign w:val="center"/>
          </w:tcPr>
          <w:p w:rsidR="00143E86" w:rsidRDefault="00143E86" w:rsidP="00143E86">
            <w:pPr>
              <w:suppressLineNumbers/>
              <w:suppressAutoHyphens/>
              <w:spacing w:line="256" w:lineRule="auto"/>
              <w:jc w:val="right"/>
              <w:rPr>
                <w:rFonts w:eastAsia="Times New Roman" w:cs="Times New Roman"/>
                <w:color w:val="000000"/>
                <w:kern w:val="22"/>
                <w:szCs w:val="22"/>
                <w:lang w:val="en-GB" w:eastAsia="en-CA"/>
              </w:rPr>
            </w:pPr>
            <w:r>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tcPr>
          <w:p w:rsidR="00143E86" w:rsidRDefault="00143E86" w:rsidP="00143E86">
            <w:pPr>
              <w:suppressLineNumbers/>
              <w:suppressAutoHyphens/>
              <w:spacing w:line="256" w:lineRule="auto"/>
              <w:jc w:val="right"/>
              <w:rPr>
                <w:color w:val="000000"/>
                <w:kern w:val="22"/>
                <w:szCs w:val="22"/>
                <w:lang w:eastAsia="en-CA"/>
              </w:rPr>
            </w:pPr>
            <w:r>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tcPr>
          <w:p w:rsidR="00143E86" w:rsidRDefault="00143E86" w:rsidP="00143E86">
            <w:pPr>
              <w:suppressLineNumbers/>
              <w:suppressAutoHyphens/>
              <w:spacing w:line="256" w:lineRule="auto"/>
              <w:jc w:val="right"/>
              <w:rPr>
                <w:color w:val="000000"/>
                <w:kern w:val="22"/>
                <w:szCs w:val="22"/>
                <w:lang w:eastAsia="en-CA"/>
              </w:rPr>
            </w:pPr>
            <w:r>
              <w:rPr>
                <w:color w:val="000000"/>
                <w:kern w:val="22"/>
                <w:szCs w:val="22"/>
                <w:lang w:eastAsia="en-CA"/>
              </w:rPr>
              <w:t>1 057</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Венесуэла</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24 042</w:t>
            </w:r>
          </w:p>
        </w:tc>
      </w:tr>
      <w:tr w:rsidR="00452297"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452297" w:rsidRPr="00143E86" w:rsidRDefault="00452297" w:rsidP="00452297">
            <w:pPr>
              <w:rPr>
                <w:rFonts w:cs="Times New Roman"/>
                <w:color w:val="000000"/>
                <w:kern w:val="22"/>
                <w:szCs w:val="22"/>
              </w:rPr>
            </w:pPr>
            <w:r w:rsidRPr="00143E86">
              <w:rPr>
                <w:rFonts w:cs="Times New Roman"/>
                <w:color w:val="000000"/>
                <w:szCs w:val="22"/>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rsidR="00452297" w:rsidRPr="00143E86" w:rsidRDefault="00452297" w:rsidP="00452297">
            <w:pPr>
              <w:jc w:val="right"/>
              <w:rPr>
                <w:rFonts w:cs="Times New Roman"/>
                <w:color w:val="000000"/>
                <w:kern w:val="22"/>
                <w:szCs w:val="22"/>
                <w:lang w:eastAsia="en-CA"/>
              </w:rPr>
            </w:pPr>
            <w:r w:rsidRPr="00143E86">
              <w:rPr>
                <w:rFonts w:cs="Times New Roman"/>
                <w:color w:val="000000"/>
                <w:kern w:val="22"/>
                <w:szCs w:val="22"/>
                <w:lang w:eastAsia="en-CA"/>
              </w:rPr>
              <w:t>2 543</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143E86" w:rsidRDefault="008170A8" w:rsidP="00635A81">
            <w:pPr>
              <w:jc w:val="center"/>
              <w:rPr>
                <w:b/>
                <w:bCs/>
                <w:kern w:val="22"/>
                <w:szCs w:val="22"/>
                <w:lang w:eastAsia="en-CA"/>
              </w:rPr>
            </w:pPr>
            <w:r w:rsidRPr="00143E86">
              <w:rPr>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143E86" w:rsidRDefault="008170A8" w:rsidP="00635A81">
            <w:pPr>
              <w:jc w:val="center"/>
              <w:rPr>
                <w:b/>
                <w:bCs/>
                <w:color w:val="000000"/>
                <w:kern w:val="22"/>
                <w:szCs w:val="22"/>
                <w:lang w:eastAsia="en-CA"/>
              </w:rPr>
            </w:pPr>
            <w:r w:rsidRPr="00143E86">
              <w:rPr>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143E86" w:rsidRDefault="00BB606D" w:rsidP="00635A81">
            <w:pPr>
              <w:jc w:val="center"/>
              <w:rPr>
                <w:b/>
                <w:bCs/>
                <w:color w:val="000000"/>
                <w:kern w:val="22"/>
                <w:szCs w:val="22"/>
                <w:lang w:eastAsia="en-CA"/>
              </w:rPr>
            </w:pPr>
            <w:r w:rsidRPr="00143E86">
              <w:rPr>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143E86" w:rsidRDefault="008170A8" w:rsidP="00635A81">
            <w:pPr>
              <w:jc w:val="center"/>
              <w:rPr>
                <w:b/>
                <w:bCs/>
                <w:color w:val="000000"/>
                <w:kern w:val="22"/>
                <w:szCs w:val="22"/>
                <w:lang w:eastAsia="en-CA"/>
              </w:rPr>
            </w:pPr>
            <w:r w:rsidRPr="00143E86">
              <w:rPr>
                <w:b/>
                <w:bCs/>
                <w:color w:val="000000"/>
                <w:kern w:val="22"/>
                <w:szCs w:val="22"/>
                <w:lang w:eastAsia="en-CA"/>
              </w:rPr>
              <w:t>Взносы по состоянию на 1 января 2021 года</w:t>
            </w:r>
          </w:p>
        </w:tc>
      </w:tr>
      <w:tr w:rsidR="00BB606D"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B606D" w:rsidRPr="00143E86" w:rsidRDefault="00BB606D" w:rsidP="00BB606D">
            <w:pPr>
              <w:rPr>
                <w:color w:val="000000"/>
                <w:kern w:val="22"/>
                <w:szCs w:val="22"/>
              </w:rPr>
            </w:pPr>
            <w:r w:rsidRPr="00143E86">
              <w:rPr>
                <w:color w:val="000000"/>
                <w:szCs w:val="22"/>
              </w:rPr>
              <w:t>Йемен</w:t>
            </w:r>
          </w:p>
        </w:tc>
        <w:tc>
          <w:tcPr>
            <w:tcW w:w="1540" w:type="dxa"/>
            <w:tcBorders>
              <w:top w:val="nil"/>
              <w:left w:val="nil"/>
              <w:bottom w:val="single" w:sz="4" w:space="0" w:color="auto"/>
              <w:right w:val="single" w:sz="4" w:space="0" w:color="auto"/>
            </w:tcBorders>
            <w:shd w:val="clear" w:color="auto" w:fill="auto"/>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231</w:t>
            </w:r>
          </w:p>
        </w:tc>
      </w:tr>
      <w:tr w:rsidR="00BB606D"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B606D" w:rsidRPr="00143E86" w:rsidRDefault="00BB606D" w:rsidP="00BB606D">
            <w:pPr>
              <w:rPr>
                <w:color w:val="000000"/>
                <w:kern w:val="22"/>
                <w:szCs w:val="22"/>
              </w:rPr>
            </w:pPr>
            <w:r w:rsidRPr="00143E86">
              <w:rPr>
                <w:color w:val="000000"/>
                <w:szCs w:val="22"/>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297</w:t>
            </w:r>
          </w:p>
        </w:tc>
      </w:tr>
      <w:tr w:rsidR="00BB606D"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B606D" w:rsidRPr="00143E86" w:rsidRDefault="00BB606D" w:rsidP="00BB606D">
            <w:pPr>
              <w:rPr>
                <w:color w:val="000000"/>
                <w:kern w:val="22"/>
                <w:szCs w:val="22"/>
              </w:rPr>
            </w:pPr>
            <w:r w:rsidRPr="00143E86">
              <w:rPr>
                <w:color w:val="000000"/>
                <w:szCs w:val="22"/>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color w:val="000000"/>
                <w:kern w:val="22"/>
                <w:szCs w:val="22"/>
                <w:lang w:eastAsia="en-CA"/>
              </w:rPr>
            </w:pPr>
            <w:r w:rsidRPr="00143E86">
              <w:rPr>
                <w:color w:val="000000"/>
                <w:kern w:val="22"/>
                <w:szCs w:val="22"/>
                <w:lang w:eastAsia="en-CA"/>
              </w:rPr>
              <w:t>165</w:t>
            </w:r>
          </w:p>
        </w:tc>
      </w:tr>
      <w:tr w:rsidR="00BB606D"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BB606D" w:rsidRPr="00143E86" w:rsidRDefault="00BB606D" w:rsidP="00BB606D">
            <w:pPr>
              <w:rPr>
                <w:b/>
                <w:bCs/>
                <w:color w:val="000000"/>
                <w:kern w:val="22"/>
                <w:szCs w:val="22"/>
              </w:rPr>
            </w:pPr>
            <w:r w:rsidRPr="00143E86">
              <w:rPr>
                <w:b/>
                <w:color w:val="000000"/>
                <w:szCs w:val="22"/>
              </w:rPr>
              <w:t>Итого</w:t>
            </w:r>
          </w:p>
        </w:tc>
        <w:tc>
          <w:tcPr>
            <w:tcW w:w="1540" w:type="dxa"/>
            <w:tcBorders>
              <w:top w:val="nil"/>
              <w:left w:val="nil"/>
              <w:bottom w:val="single" w:sz="4" w:space="0" w:color="auto"/>
              <w:right w:val="single" w:sz="4" w:space="0" w:color="auto"/>
            </w:tcBorders>
            <w:shd w:val="clear" w:color="auto" w:fill="auto"/>
            <w:vAlign w:val="center"/>
            <w:hideMark/>
          </w:tcPr>
          <w:p w:rsidR="00BB606D" w:rsidRPr="00143E86" w:rsidRDefault="00BB606D" w:rsidP="00BB606D">
            <w:pPr>
              <w:jc w:val="right"/>
              <w:rPr>
                <w:b/>
                <w:bCs/>
                <w:color w:val="000000"/>
                <w:kern w:val="22"/>
                <w:szCs w:val="22"/>
                <w:lang w:eastAsia="en-CA"/>
              </w:rPr>
            </w:pPr>
            <w:r w:rsidRPr="00143E86">
              <w:rPr>
                <w:b/>
                <w:bCs/>
                <w:color w:val="000000"/>
                <w:kern w:val="22"/>
                <w:szCs w:val="22"/>
                <w:lang w:eastAsia="en-CA"/>
              </w:rPr>
              <w:t xml:space="preserve">68,263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b/>
                <w:bCs/>
                <w:color w:val="000000"/>
                <w:kern w:val="22"/>
                <w:szCs w:val="22"/>
                <w:lang w:eastAsia="en-CA"/>
              </w:rPr>
            </w:pPr>
            <w:r w:rsidRPr="00143E86">
              <w:rPr>
                <w:b/>
                <w:bCs/>
                <w:color w:val="000000"/>
                <w:kern w:val="22"/>
                <w:szCs w:val="22"/>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rsidR="00BB606D" w:rsidRPr="00143E86" w:rsidRDefault="00BB606D" w:rsidP="00BB606D">
            <w:pPr>
              <w:jc w:val="right"/>
              <w:rPr>
                <w:b/>
                <w:bCs/>
                <w:color w:val="000000"/>
                <w:kern w:val="22"/>
                <w:szCs w:val="22"/>
                <w:lang w:eastAsia="en-CA"/>
              </w:rPr>
            </w:pPr>
            <w:r w:rsidRPr="00143E86">
              <w:rPr>
                <w:b/>
                <w:bCs/>
                <w:color w:val="000000"/>
                <w:kern w:val="22"/>
                <w:szCs w:val="22"/>
                <w:lang w:eastAsia="en-CA"/>
              </w:rPr>
              <w:t>2 311 300</w:t>
            </w:r>
          </w:p>
        </w:tc>
      </w:tr>
    </w:tbl>
    <w:p w:rsidR="00221A9E" w:rsidRPr="000322A9" w:rsidRDefault="00221A9E" w:rsidP="00221A9E">
      <w:pPr>
        <w:spacing w:after="160" w:line="259" w:lineRule="auto"/>
        <w:rPr>
          <w:rFonts w:eastAsiaTheme="minorEastAsia"/>
          <w:bCs/>
          <w:kern w:val="22"/>
          <w:szCs w:val="22"/>
        </w:rPr>
      </w:pPr>
    </w:p>
    <w:p w:rsidR="00221A9E" w:rsidRPr="000322A9" w:rsidRDefault="00221A9E" w:rsidP="00221A9E">
      <w:pPr>
        <w:spacing w:after="160" w:line="259" w:lineRule="auto"/>
        <w:rPr>
          <w:rFonts w:eastAsiaTheme="minorEastAsia"/>
          <w:bCs/>
          <w:kern w:val="22"/>
          <w:szCs w:val="22"/>
        </w:rPr>
      </w:pPr>
      <w:r w:rsidRPr="000322A9">
        <w:rPr>
          <w:rFonts w:eastAsiaTheme="minorEastAsia"/>
          <w:bCs/>
          <w:kern w:val="22"/>
          <w:szCs w:val="22"/>
        </w:rPr>
        <w:br w:type="page"/>
      </w:r>
    </w:p>
    <w:p w:rsidR="00221A9E" w:rsidRPr="000322A9" w:rsidRDefault="00221A9E" w:rsidP="006C6093">
      <w:pPr>
        <w:spacing w:after="160" w:line="259" w:lineRule="auto"/>
        <w:contextualSpacing/>
        <w:rPr>
          <w:rFonts w:eastAsiaTheme="minorEastAsia"/>
          <w:bCs/>
          <w:kern w:val="22"/>
          <w:szCs w:val="22"/>
        </w:rPr>
      </w:pPr>
    </w:p>
    <w:p w:rsidR="00143E86" w:rsidRDefault="00F66D32" w:rsidP="00F66D32">
      <w:pPr>
        <w:autoSpaceDE w:val="0"/>
        <w:autoSpaceDN w:val="0"/>
        <w:adjustRightInd w:val="0"/>
      </w:pPr>
      <w:r>
        <w:rPr>
          <w:b/>
          <w:bCs/>
        </w:rPr>
        <w:t>Таблица 9:</w:t>
      </w:r>
      <w:r>
        <w:t xml:space="preserve"> </w:t>
      </w:r>
    </w:p>
    <w:p w:rsidR="00221A9E" w:rsidRPr="00143E86" w:rsidRDefault="00F66D32" w:rsidP="00F66D32">
      <w:pPr>
        <w:autoSpaceDE w:val="0"/>
        <w:autoSpaceDN w:val="0"/>
        <w:adjustRightInd w:val="0"/>
        <w:rPr>
          <w:rFonts w:eastAsiaTheme="minorEastAsia"/>
          <w:b/>
          <w:bCs/>
          <w:kern w:val="22"/>
          <w:szCs w:val="22"/>
        </w:rPr>
      </w:pPr>
      <w:r w:rsidRPr="00143E86">
        <w:rPr>
          <w:b/>
        </w:rPr>
        <w:t>Взносы в Целевой фонд для Нагойского протокола регулирования доступа к генетическим ресурсам и совместного использования выгод</w:t>
      </w:r>
      <w:r w:rsidRPr="00143E86">
        <w:rPr>
          <w:rFonts w:eastAsiaTheme="minorEastAsia"/>
          <w:b/>
          <w:bCs/>
          <w:kern w:val="22"/>
          <w:szCs w:val="22"/>
        </w:rPr>
        <w:t xml:space="preserve"> </w:t>
      </w:r>
      <w:r w:rsidRPr="00143E86">
        <w:rPr>
          <w:b/>
        </w:rPr>
        <w:t>за 2021 год</w:t>
      </w:r>
    </w:p>
    <w:tbl>
      <w:tblPr>
        <w:tblW w:w="9420" w:type="dxa"/>
        <w:tblLook w:val="04A0" w:firstRow="1" w:lastRow="0" w:firstColumn="1" w:lastColumn="0" w:noHBand="0" w:noVBand="1"/>
      </w:tblPr>
      <w:tblGrid>
        <w:gridCol w:w="4800"/>
        <w:gridCol w:w="1540"/>
        <w:gridCol w:w="1540"/>
        <w:gridCol w:w="1540"/>
      </w:tblGrid>
      <w:tr w:rsidR="00221A9E"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A9E" w:rsidRPr="006C6093" w:rsidRDefault="008170A8" w:rsidP="00635A81">
            <w:pPr>
              <w:jc w:val="center"/>
              <w:rPr>
                <w:rFonts w:cs="Times New Roman"/>
                <w:b/>
                <w:bCs/>
                <w:kern w:val="22"/>
                <w:szCs w:val="22"/>
                <w:lang w:eastAsia="en-CA"/>
              </w:rPr>
            </w:pPr>
            <w:r w:rsidRPr="006C6093">
              <w:rPr>
                <w:rFonts w:cs="Times New Roman"/>
                <w:b/>
                <w:bCs/>
                <w:kern w:val="22"/>
                <w:szCs w:val="22"/>
                <w:lang w:eastAsia="en-CA"/>
              </w:rPr>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C6093" w:rsidRDefault="008170A8" w:rsidP="00635A81">
            <w:pPr>
              <w:jc w:val="center"/>
              <w:rPr>
                <w:rFonts w:cs="Times New Roman"/>
                <w:b/>
                <w:bCs/>
                <w:color w:val="000000"/>
                <w:kern w:val="22"/>
                <w:szCs w:val="22"/>
                <w:lang w:eastAsia="en-CA"/>
              </w:rPr>
            </w:pPr>
            <w:r w:rsidRPr="006C6093">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C6093" w:rsidRDefault="00F66D32" w:rsidP="00635A81">
            <w:pPr>
              <w:jc w:val="center"/>
              <w:rPr>
                <w:rFonts w:cs="Times New Roman"/>
                <w:b/>
                <w:bCs/>
                <w:color w:val="000000"/>
                <w:kern w:val="22"/>
                <w:szCs w:val="22"/>
                <w:lang w:eastAsia="en-CA"/>
              </w:rPr>
            </w:pPr>
            <w:r w:rsidRPr="006C6093">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21A9E" w:rsidRPr="006C6093" w:rsidRDefault="00F66D32" w:rsidP="00635A81">
            <w:pPr>
              <w:jc w:val="center"/>
              <w:rPr>
                <w:rFonts w:cs="Times New Roman"/>
                <w:b/>
                <w:bCs/>
                <w:color w:val="000000"/>
                <w:kern w:val="22"/>
                <w:szCs w:val="22"/>
                <w:lang w:eastAsia="en-CA"/>
              </w:rPr>
            </w:pPr>
            <w:r w:rsidRPr="006C6093">
              <w:rPr>
                <w:rFonts w:cs="Times New Roman"/>
                <w:b/>
                <w:color w:val="000000"/>
                <w:szCs w:val="22"/>
              </w:rPr>
              <w:t>Взносы по состоянию на 1 января 2020 года</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205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color w:val="000000"/>
                <w:kern w:val="22"/>
                <w:szCs w:val="22"/>
              </w:rPr>
            </w:pPr>
            <w:r w:rsidRPr="006C6093">
              <w:rPr>
                <w:rFonts w:cs="Times New Roman"/>
                <w:color w:val="000000"/>
                <w:szCs w:val="22"/>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234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Аргентина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1,579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26 758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1,168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19 798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0,085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1 433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1,416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24 009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Бенин</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88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Бутан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468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409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1 345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88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Камбоджа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Камерун</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380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Чад</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Китай</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20,712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351 076</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Конго</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380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2 252</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Куба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2 340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6C6093" w:rsidP="00034138">
            <w:pPr>
              <w:rPr>
                <w:rFonts w:cs="Times New Roman"/>
                <w:kern w:val="22"/>
                <w:szCs w:val="22"/>
              </w:rPr>
            </w:pPr>
            <w:r>
              <w:rPr>
                <w:rFonts w:cs="Times New Roman"/>
                <w:szCs w:val="22"/>
              </w:rPr>
              <w:t>Чехия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0,537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9 095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Демократическая 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170</w:t>
            </w:r>
          </w:p>
        </w:tc>
      </w:tr>
    </w:tbl>
    <w:p w:rsidR="00221A9E" w:rsidRPr="000322A9" w:rsidRDefault="00221A9E" w:rsidP="00221A9E">
      <w:pPr>
        <w:spacing w:after="160" w:line="259" w:lineRule="auto"/>
        <w:rPr>
          <w:b/>
          <w:bCs/>
          <w:snapToGrid w:val="0"/>
          <w:kern w:val="22"/>
        </w:rPr>
      </w:pPr>
    </w:p>
    <w:p w:rsidR="00221A9E" w:rsidRPr="000322A9" w:rsidRDefault="00221A9E" w:rsidP="00221A9E">
      <w:pPr>
        <w:spacing w:after="160" w:line="259" w:lineRule="auto"/>
        <w:rPr>
          <w:b/>
          <w:bCs/>
          <w:snapToGrid w:val="0"/>
          <w:kern w:val="22"/>
        </w:rPr>
      </w:pPr>
      <w:r w:rsidRPr="000322A9">
        <w:rPr>
          <w:b/>
          <w:bCs/>
          <w:snapToGrid w:val="0"/>
          <w:kern w:val="22"/>
        </w:rPr>
        <w:br w:type="page"/>
      </w:r>
    </w:p>
    <w:tbl>
      <w:tblPr>
        <w:tblW w:w="9420" w:type="dxa"/>
        <w:tblLook w:val="04A0" w:firstRow="1" w:lastRow="0" w:firstColumn="1" w:lastColumn="0" w:noHBand="0" w:noVBand="1"/>
      </w:tblPr>
      <w:tblGrid>
        <w:gridCol w:w="4800"/>
        <w:gridCol w:w="1540"/>
        <w:gridCol w:w="1540"/>
        <w:gridCol w:w="1540"/>
      </w:tblGrid>
      <w:tr w:rsidR="00034138"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138" w:rsidRPr="006C6093" w:rsidRDefault="00034138" w:rsidP="00034138">
            <w:pPr>
              <w:jc w:val="center"/>
              <w:rPr>
                <w:rFonts w:cs="Times New Roman"/>
                <w:b/>
                <w:bCs/>
                <w:kern w:val="22"/>
                <w:szCs w:val="22"/>
                <w:lang w:eastAsia="en-CA"/>
              </w:rPr>
            </w:pPr>
            <w:r w:rsidRPr="006C6093">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6C6093" w:rsidRDefault="00034138" w:rsidP="00034138">
            <w:pPr>
              <w:jc w:val="center"/>
              <w:rPr>
                <w:rFonts w:cs="Times New Roman"/>
                <w:b/>
                <w:bCs/>
                <w:color w:val="000000"/>
                <w:kern w:val="22"/>
                <w:szCs w:val="22"/>
                <w:lang w:eastAsia="en-CA"/>
              </w:rPr>
            </w:pPr>
            <w:r w:rsidRPr="006C6093">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6C6093" w:rsidRDefault="00034138" w:rsidP="00034138">
            <w:pPr>
              <w:jc w:val="center"/>
              <w:rPr>
                <w:rFonts w:cs="Times New Roman"/>
                <w:b/>
                <w:bCs/>
                <w:color w:val="000000"/>
                <w:kern w:val="22"/>
                <w:szCs w:val="22"/>
              </w:rPr>
            </w:pPr>
            <w:r w:rsidRPr="006C6093">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6C6093" w:rsidRDefault="00034138" w:rsidP="00034138">
            <w:pPr>
              <w:jc w:val="center"/>
              <w:rPr>
                <w:rFonts w:cs="Times New Roman"/>
                <w:b/>
                <w:bCs/>
                <w:color w:val="000000"/>
                <w:kern w:val="22"/>
                <w:szCs w:val="22"/>
              </w:rPr>
            </w:pPr>
            <w:r w:rsidRPr="006C6093">
              <w:rPr>
                <w:rFonts w:cs="Times New Roman"/>
                <w:b/>
                <w:color w:val="000000"/>
                <w:szCs w:val="22"/>
              </w:rPr>
              <w:t>Взносы по состоянию на 1 января 2020 года</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Дания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16 201</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0,091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1 550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2 340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5 439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1 141</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Эсватини</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rPr>
                <w:rFonts w:cs="Times New Roman"/>
                <w:color w:val="000000"/>
                <w:kern w:val="22"/>
                <w:szCs w:val="22"/>
                <w:lang w:eastAsia="en-CA"/>
              </w:rPr>
            </w:pPr>
            <w:r w:rsidRPr="006C6093">
              <w:rPr>
                <w:rFonts w:cs="Times New Roman"/>
                <w:color w:val="000000"/>
                <w:kern w:val="22"/>
                <w:szCs w:val="22"/>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42 375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88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12 312</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129 464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Габон</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439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Гамбия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10,507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178 097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Гана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439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10 703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1 053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88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263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6 024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Индия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24 390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15 880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Япония</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250 447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6C6093" w:rsidRDefault="00034138" w:rsidP="00034138">
            <w:pPr>
              <w:rPr>
                <w:rFonts w:cs="Times New Roman"/>
                <w:kern w:val="22"/>
                <w:szCs w:val="22"/>
              </w:rPr>
            </w:pPr>
            <w:r w:rsidRPr="006C6093">
              <w:rPr>
                <w:rFonts w:cs="Times New Roman"/>
                <w:szCs w:val="22"/>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6C6093" w:rsidRDefault="00034138" w:rsidP="00034138">
            <w:pPr>
              <w:jc w:val="right"/>
              <w:rPr>
                <w:rFonts w:cs="Times New Roman"/>
                <w:color w:val="000000"/>
                <w:kern w:val="22"/>
                <w:szCs w:val="22"/>
                <w:lang w:eastAsia="en-CA"/>
              </w:rPr>
            </w:pPr>
            <w:r w:rsidRPr="006C6093">
              <w:rPr>
                <w:rFonts w:cs="Times New Roman"/>
                <w:color w:val="000000"/>
                <w:kern w:val="22"/>
                <w:szCs w:val="22"/>
                <w:lang w:eastAsia="en-CA"/>
              </w:rPr>
              <w:t>614</w:t>
            </w:r>
          </w:p>
        </w:tc>
      </w:tr>
    </w:tbl>
    <w:p w:rsidR="00221A9E" w:rsidRPr="000322A9" w:rsidRDefault="00221A9E" w:rsidP="00221A9E">
      <w:pPr>
        <w:spacing w:after="160" w:line="259" w:lineRule="auto"/>
        <w:rPr>
          <w:b/>
          <w:bCs/>
          <w:snapToGrid w:val="0"/>
          <w:kern w:val="22"/>
        </w:rPr>
      </w:pPr>
    </w:p>
    <w:p w:rsidR="00221A9E" w:rsidRPr="000322A9" w:rsidRDefault="00221A9E" w:rsidP="00221A9E">
      <w:pPr>
        <w:spacing w:after="160" w:line="259" w:lineRule="auto"/>
        <w:rPr>
          <w:b/>
          <w:bCs/>
          <w:snapToGrid w:val="0"/>
          <w:kern w:val="22"/>
        </w:rPr>
      </w:pPr>
      <w:r w:rsidRPr="000322A9">
        <w:rPr>
          <w:b/>
          <w:bCs/>
          <w:snapToGrid w:val="0"/>
          <w:kern w:val="22"/>
        </w:rPr>
        <w:br w:type="page"/>
      </w:r>
    </w:p>
    <w:tbl>
      <w:tblPr>
        <w:tblW w:w="9420" w:type="dxa"/>
        <w:tblLook w:val="04A0" w:firstRow="1" w:lastRow="0" w:firstColumn="1" w:lastColumn="0" w:noHBand="0" w:noVBand="1"/>
      </w:tblPr>
      <w:tblGrid>
        <w:gridCol w:w="4800"/>
        <w:gridCol w:w="1540"/>
        <w:gridCol w:w="1540"/>
        <w:gridCol w:w="1540"/>
      </w:tblGrid>
      <w:tr w:rsidR="00034138"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138" w:rsidRPr="00731B82" w:rsidRDefault="00034138" w:rsidP="00034138">
            <w:pPr>
              <w:jc w:val="center"/>
              <w:rPr>
                <w:rFonts w:cs="Times New Roman"/>
                <w:b/>
                <w:bCs/>
                <w:kern w:val="22"/>
                <w:szCs w:val="22"/>
                <w:lang w:eastAsia="en-CA"/>
              </w:rPr>
            </w:pPr>
            <w:r w:rsidRPr="00731B82">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731B82" w:rsidRDefault="00034138" w:rsidP="00034138">
            <w:pPr>
              <w:jc w:val="center"/>
              <w:rPr>
                <w:rFonts w:cs="Times New Roman"/>
                <w:b/>
                <w:bCs/>
                <w:color w:val="000000"/>
                <w:kern w:val="22"/>
                <w:szCs w:val="22"/>
                <w:lang w:eastAsia="en-CA"/>
              </w:rPr>
            </w:pPr>
            <w:r w:rsidRPr="00731B82">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731B82" w:rsidRDefault="00034138" w:rsidP="00034138">
            <w:pPr>
              <w:jc w:val="center"/>
              <w:rPr>
                <w:rFonts w:cs="Times New Roman"/>
                <w:b/>
                <w:bCs/>
                <w:color w:val="000000"/>
                <w:kern w:val="22"/>
                <w:szCs w:val="22"/>
              </w:rPr>
            </w:pPr>
            <w:r w:rsidRPr="00731B82">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731B82" w:rsidRDefault="00034138" w:rsidP="00034138">
            <w:pPr>
              <w:jc w:val="center"/>
              <w:rPr>
                <w:rFonts w:cs="Times New Roman"/>
                <w:b/>
                <w:bCs/>
                <w:color w:val="000000"/>
                <w:kern w:val="22"/>
                <w:szCs w:val="22"/>
              </w:rPr>
            </w:pPr>
            <w:r w:rsidRPr="00731B82">
              <w:rPr>
                <w:rFonts w:cs="Times New Roman"/>
                <w:b/>
                <w:color w:val="000000"/>
                <w:szCs w:val="22"/>
              </w:rPr>
              <w:t>Взносы по состоянию на 1 января 2020 года</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5 205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Кения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702</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0,435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7 370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146</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Ливан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1 374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1 959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0,588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9 972</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Мали</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497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322</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2,229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37 783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146</w:t>
            </w:r>
          </w:p>
        </w:tc>
      </w:tr>
      <w:tr w:rsidR="00731B82" w:rsidRPr="000322A9" w:rsidTr="00731B82">
        <w:trPr>
          <w:trHeight w:val="280"/>
        </w:trPr>
        <w:tc>
          <w:tcPr>
            <w:tcW w:w="4800" w:type="dxa"/>
            <w:tcBorders>
              <w:top w:val="nil"/>
              <w:left w:val="single" w:sz="4" w:space="0" w:color="auto"/>
              <w:bottom w:val="single" w:sz="4" w:space="0" w:color="auto"/>
              <w:right w:val="single" w:sz="4" w:space="0" w:color="auto"/>
            </w:tcBorders>
            <w:shd w:val="clear" w:color="auto" w:fill="auto"/>
            <w:vAlign w:val="center"/>
          </w:tcPr>
          <w:p w:rsidR="00731B82" w:rsidRPr="00731B82" w:rsidRDefault="00731B82" w:rsidP="00731B82">
            <w:pPr>
              <w:rPr>
                <w:rFonts w:cs="Times New Roman"/>
                <w:szCs w:val="22"/>
              </w:rPr>
            </w:pPr>
            <w:r>
              <w:rPr>
                <w:rFonts w:cs="Times New Roman"/>
                <w:szCs w:val="22"/>
              </w:rPr>
              <w:t>Черногория</w:t>
            </w:r>
          </w:p>
        </w:tc>
        <w:tc>
          <w:tcPr>
            <w:tcW w:w="1540" w:type="dxa"/>
            <w:tcBorders>
              <w:top w:val="nil"/>
              <w:left w:val="nil"/>
              <w:bottom w:val="single" w:sz="4" w:space="0" w:color="auto"/>
              <w:right w:val="single" w:sz="4" w:space="0" w:color="auto"/>
            </w:tcBorders>
            <w:shd w:val="clear" w:color="auto" w:fill="auto"/>
            <w:vAlign w:val="center"/>
          </w:tcPr>
          <w:p w:rsidR="00731B82" w:rsidRPr="00731B82" w:rsidRDefault="00731B82" w:rsidP="00731B82">
            <w:pPr>
              <w:suppressLineNumbers/>
              <w:suppressAutoHyphens/>
              <w:spacing w:line="256" w:lineRule="auto"/>
              <w:jc w:val="right"/>
              <w:rPr>
                <w:rFonts w:eastAsia="Times New Roman" w:cs="Times New Roman"/>
                <w:color w:val="000000"/>
                <w:kern w:val="22"/>
                <w:szCs w:val="22"/>
                <w:lang w:val="en-GB" w:eastAsia="en-CA"/>
              </w:rPr>
            </w:pPr>
            <w:r>
              <w:rPr>
                <w:color w:val="000000"/>
                <w:kern w:val="22"/>
                <w:szCs w:val="22"/>
                <w:lang w:eastAsia="en-CA"/>
              </w:rPr>
              <w:t>0,</w:t>
            </w:r>
            <w:r w:rsidRPr="00731B82">
              <w:rPr>
                <w:color w:val="000000"/>
                <w:kern w:val="22"/>
                <w:szCs w:val="22"/>
                <w:lang w:eastAsia="en-CA"/>
              </w:rPr>
              <w:t>004</w:t>
            </w:r>
          </w:p>
        </w:tc>
        <w:tc>
          <w:tcPr>
            <w:tcW w:w="1540" w:type="dxa"/>
            <w:tcBorders>
              <w:top w:val="nil"/>
              <w:left w:val="nil"/>
              <w:bottom w:val="single" w:sz="4" w:space="0" w:color="auto"/>
              <w:right w:val="single" w:sz="4" w:space="0" w:color="auto"/>
            </w:tcBorders>
            <w:shd w:val="clear" w:color="auto" w:fill="auto"/>
            <w:noWrap/>
            <w:vAlign w:val="center"/>
          </w:tcPr>
          <w:p w:rsidR="00731B82" w:rsidRPr="00731B82" w:rsidRDefault="00731B82" w:rsidP="00731B82">
            <w:pPr>
              <w:suppressLineNumbers/>
              <w:suppressAutoHyphens/>
              <w:spacing w:line="256" w:lineRule="auto"/>
              <w:jc w:val="right"/>
              <w:rPr>
                <w:color w:val="000000"/>
                <w:kern w:val="22"/>
                <w:szCs w:val="22"/>
                <w:lang w:eastAsia="en-CA"/>
              </w:rPr>
            </w:pPr>
            <w:r>
              <w:rPr>
                <w:color w:val="000000"/>
                <w:kern w:val="22"/>
                <w:szCs w:val="22"/>
                <w:lang w:eastAsia="en-CA"/>
              </w:rPr>
              <w:t>0,</w:t>
            </w:r>
            <w:r w:rsidRPr="00731B82">
              <w:rPr>
                <w:color w:val="000000"/>
                <w:kern w:val="22"/>
                <w:szCs w:val="22"/>
                <w:lang w:eastAsia="en-CA"/>
              </w:rPr>
              <w:t>007</w:t>
            </w:r>
          </w:p>
        </w:tc>
        <w:tc>
          <w:tcPr>
            <w:tcW w:w="1540" w:type="dxa"/>
            <w:tcBorders>
              <w:top w:val="nil"/>
              <w:left w:val="nil"/>
              <w:bottom w:val="single" w:sz="4" w:space="0" w:color="auto"/>
              <w:right w:val="single" w:sz="4" w:space="0" w:color="auto"/>
            </w:tcBorders>
            <w:shd w:val="clear" w:color="auto" w:fill="auto"/>
            <w:noWrap/>
            <w:vAlign w:val="center"/>
          </w:tcPr>
          <w:p w:rsidR="00731B82" w:rsidRPr="00731B82" w:rsidRDefault="00731B82" w:rsidP="00731B82">
            <w:pPr>
              <w:suppressLineNumbers/>
              <w:suppressAutoHyphens/>
              <w:spacing w:line="256" w:lineRule="auto"/>
              <w:jc w:val="right"/>
              <w:rPr>
                <w:color w:val="000000"/>
                <w:kern w:val="22"/>
                <w:szCs w:val="22"/>
                <w:lang w:eastAsia="en-CA"/>
              </w:rPr>
            </w:pPr>
            <w:r w:rsidRPr="00731B82">
              <w:rPr>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263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Непал</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205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2,340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39 655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146</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Нигер</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58</w:t>
            </w:r>
          </w:p>
        </w:tc>
      </w:tr>
    </w:tbl>
    <w:p w:rsidR="00221A9E" w:rsidRPr="000322A9" w:rsidRDefault="00221A9E" w:rsidP="00221A9E">
      <w:pPr>
        <w:spacing w:after="160" w:line="259" w:lineRule="auto"/>
        <w:rPr>
          <w:b/>
          <w:bCs/>
          <w:snapToGrid w:val="0"/>
          <w:kern w:val="22"/>
        </w:rPr>
      </w:pPr>
    </w:p>
    <w:p w:rsidR="00221A9E" w:rsidRPr="000322A9" w:rsidRDefault="00221A9E" w:rsidP="00221A9E">
      <w:pPr>
        <w:spacing w:after="160" w:line="259" w:lineRule="auto"/>
        <w:rPr>
          <w:b/>
          <w:bCs/>
          <w:snapToGrid w:val="0"/>
          <w:kern w:val="22"/>
        </w:rPr>
      </w:pPr>
      <w:r w:rsidRPr="000322A9">
        <w:rPr>
          <w:b/>
          <w:bCs/>
          <w:snapToGrid w:val="0"/>
          <w:kern w:val="22"/>
        </w:rPr>
        <w:br w:type="page"/>
      </w:r>
    </w:p>
    <w:tbl>
      <w:tblPr>
        <w:tblW w:w="9420" w:type="dxa"/>
        <w:tblLook w:val="04A0" w:firstRow="1" w:lastRow="0" w:firstColumn="1" w:lastColumn="0" w:noHBand="0" w:noVBand="1"/>
      </w:tblPr>
      <w:tblGrid>
        <w:gridCol w:w="4800"/>
        <w:gridCol w:w="1540"/>
        <w:gridCol w:w="1540"/>
        <w:gridCol w:w="1540"/>
      </w:tblGrid>
      <w:tr w:rsidR="00034138"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138" w:rsidRPr="00731B82" w:rsidRDefault="00034138" w:rsidP="00034138">
            <w:pPr>
              <w:jc w:val="center"/>
              <w:rPr>
                <w:rFonts w:cs="Times New Roman"/>
                <w:b/>
                <w:bCs/>
                <w:kern w:val="22"/>
                <w:szCs w:val="22"/>
                <w:lang w:eastAsia="en-CA"/>
              </w:rPr>
            </w:pPr>
            <w:r w:rsidRPr="00731B82">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731B82" w:rsidRDefault="00034138" w:rsidP="00034138">
            <w:pPr>
              <w:jc w:val="center"/>
              <w:rPr>
                <w:rFonts w:cs="Times New Roman"/>
                <w:b/>
                <w:bCs/>
                <w:color w:val="000000"/>
                <w:kern w:val="22"/>
                <w:szCs w:val="22"/>
                <w:lang w:eastAsia="en-CA"/>
              </w:rPr>
            </w:pPr>
            <w:r w:rsidRPr="00731B82">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731B82" w:rsidRDefault="00034138" w:rsidP="00034138">
            <w:pPr>
              <w:jc w:val="center"/>
              <w:rPr>
                <w:rFonts w:cs="Times New Roman"/>
                <w:b/>
                <w:bCs/>
                <w:color w:val="000000"/>
                <w:kern w:val="22"/>
                <w:szCs w:val="22"/>
              </w:rPr>
            </w:pPr>
            <w:r w:rsidRPr="00731B82">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731B82" w:rsidRDefault="00034138" w:rsidP="00034138">
            <w:pPr>
              <w:jc w:val="center"/>
              <w:rPr>
                <w:rFonts w:cs="Times New Roman"/>
                <w:b/>
                <w:bCs/>
                <w:color w:val="000000"/>
                <w:kern w:val="22"/>
                <w:szCs w:val="22"/>
              </w:rPr>
            </w:pPr>
            <w:r w:rsidRPr="00731B82">
              <w:rPr>
                <w:rFonts w:cs="Times New Roman"/>
                <w:b/>
                <w:color w:val="000000"/>
                <w:szCs w:val="22"/>
              </w:rPr>
              <w:t>Взносы по состоянию на 1 января 2020 года</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1,301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22 050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Оман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3 363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3 363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Палау</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1 316</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Перу</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0,262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4 445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5 995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0,604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10 235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Катар</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8 247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3,911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66 296</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88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0,342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5 790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88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Самоа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0,048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819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4 474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0,469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7 954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62 758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Судан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1,563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26 495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1,986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33 660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731B82" w:rsidRDefault="00034138" w:rsidP="00034138">
            <w:pPr>
              <w:rPr>
                <w:rFonts w:cs="Times New Roman"/>
                <w:kern w:val="22"/>
                <w:szCs w:val="22"/>
              </w:rPr>
            </w:pPr>
            <w:r w:rsidRPr="00731B82">
              <w:rPr>
                <w:rFonts w:cs="Times New Roman"/>
                <w:szCs w:val="22"/>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731B82" w:rsidRDefault="00034138" w:rsidP="00034138">
            <w:pPr>
              <w:jc w:val="right"/>
              <w:rPr>
                <w:rFonts w:cs="Times New Roman"/>
                <w:color w:val="000000"/>
                <w:kern w:val="22"/>
                <w:szCs w:val="22"/>
                <w:lang w:eastAsia="en-CA"/>
              </w:rPr>
            </w:pPr>
            <w:r w:rsidRPr="00731B82">
              <w:rPr>
                <w:rFonts w:cs="Times New Roman"/>
                <w:color w:val="000000"/>
                <w:kern w:val="22"/>
                <w:szCs w:val="22"/>
                <w:lang w:eastAsia="en-CA"/>
              </w:rPr>
              <w:t>322</w:t>
            </w:r>
          </w:p>
        </w:tc>
      </w:tr>
    </w:tbl>
    <w:p w:rsidR="00221A9E" w:rsidRPr="000322A9" w:rsidRDefault="00221A9E" w:rsidP="00221A9E">
      <w:pPr>
        <w:spacing w:after="160" w:line="259" w:lineRule="auto"/>
        <w:rPr>
          <w:b/>
          <w:bCs/>
          <w:snapToGrid w:val="0"/>
          <w:kern w:val="22"/>
        </w:rPr>
      </w:pPr>
    </w:p>
    <w:p w:rsidR="00221A9E" w:rsidRPr="000322A9" w:rsidRDefault="00221A9E" w:rsidP="00221A9E">
      <w:pPr>
        <w:spacing w:after="160" w:line="259" w:lineRule="auto"/>
        <w:rPr>
          <w:b/>
          <w:bCs/>
          <w:snapToGrid w:val="0"/>
          <w:kern w:val="22"/>
        </w:rPr>
      </w:pPr>
      <w:r w:rsidRPr="000322A9">
        <w:rPr>
          <w:b/>
          <w:bCs/>
          <w:snapToGrid w:val="0"/>
          <w:kern w:val="22"/>
        </w:rPr>
        <w:br w:type="page"/>
      </w:r>
    </w:p>
    <w:tbl>
      <w:tblPr>
        <w:tblW w:w="9420" w:type="dxa"/>
        <w:tblLook w:val="04A0" w:firstRow="1" w:lastRow="0" w:firstColumn="1" w:lastColumn="0" w:noHBand="0" w:noVBand="1"/>
      </w:tblPr>
      <w:tblGrid>
        <w:gridCol w:w="4800"/>
        <w:gridCol w:w="1540"/>
        <w:gridCol w:w="1540"/>
        <w:gridCol w:w="1540"/>
      </w:tblGrid>
      <w:tr w:rsidR="00034138" w:rsidRPr="000322A9" w:rsidTr="00635A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138" w:rsidRPr="00F00AFC" w:rsidRDefault="00034138" w:rsidP="00034138">
            <w:pPr>
              <w:jc w:val="center"/>
              <w:rPr>
                <w:rFonts w:cs="Times New Roman"/>
                <w:b/>
                <w:bCs/>
                <w:kern w:val="22"/>
                <w:szCs w:val="22"/>
                <w:lang w:eastAsia="en-CA"/>
              </w:rPr>
            </w:pPr>
            <w:r w:rsidRPr="00F00AFC">
              <w:rPr>
                <w:rFonts w:cs="Times New Roman"/>
                <w:b/>
                <w:bCs/>
                <w:kern w:val="22"/>
                <w:szCs w:val="22"/>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F00AFC" w:rsidRDefault="00034138" w:rsidP="00034138">
            <w:pPr>
              <w:jc w:val="center"/>
              <w:rPr>
                <w:rFonts w:cs="Times New Roman"/>
                <w:b/>
                <w:bCs/>
                <w:color w:val="000000"/>
                <w:kern w:val="22"/>
                <w:szCs w:val="22"/>
                <w:lang w:eastAsia="en-CA"/>
              </w:rPr>
            </w:pPr>
            <w:r w:rsidRPr="00F00AFC">
              <w:rPr>
                <w:rFonts w:cs="Times New Roman"/>
                <w:b/>
                <w:bCs/>
                <w:color w:val="000000"/>
                <w:kern w:val="22"/>
                <w:szCs w:val="22"/>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F00AFC" w:rsidRDefault="00034138" w:rsidP="00034138">
            <w:pPr>
              <w:jc w:val="center"/>
              <w:rPr>
                <w:rFonts w:cs="Times New Roman"/>
                <w:b/>
                <w:bCs/>
                <w:color w:val="000000"/>
                <w:kern w:val="22"/>
                <w:szCs w:val="22"/>
              </w:rPr>
            </w:pPr>
            <w:r w:rsidRPr="00F00AFC">
              <w:rPr>
                <w:rFonts w:cs="Times New Roman"/>
                <w:b/>
                <w:color w:val="000000"/>
                <w:szCs w:val="22"/>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4138" w:rsidRPr="00F00AFC" w:rsidRDefault="00034138" w:rsidP="00034138">
            <w:pPr>
              <w:jc w:val="center"/>
              <w:rPr>
                <w:rFonts w:cs="Times New Roman"/>
                <w:b/>
                <w:bCs/>
                <w:color w:val="000000"/>
                <w:kern w:val="22"/>
                <w:szCs w:val="22"/>
              </w:rPr>
            </w:pPr>
            <w:r w:rsidRPr="00F00AFC">
              <w:rPr>
                <w:rFonts w:cs="Times New Roman"/>
                <w:b/>
                <w:color w:val="000000"/>
                <w:szCs w:val="22"/>
              </w:rPr>
              <w:t>Взносы по состоянию на 1 января 2020 года</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117</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Того</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58</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Тонга</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Тувалу</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B07659" w:rsidRDefault="00034138" w:rsidP="00034138">
            <w:pPr>
              <w:rPr>
                <w:rFonts w:cs="Times New Roman"/>
                <w:kern w:val="22"/>
                <w:szCs w:val="22"/>
                <w:lang w:val="es-ES"/>
              </w:rPr>
            </w:pPr>
            <w:r w:rsidRPr="00F00AFC">
              <w:rPr>
                <w:rFonts w:cs="Times New Roman"/>
                <w:szCs w:val="22"/>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18 014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7,880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133 565</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170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2 544</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Вануату</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29</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Венесуэла</w:t>
            </w:r>
            <w:r w:rsidR="00F00AFC" w:rsidRPr="00F00AFC">
              <w:rPr>
                <w:rFonts w:cs="Times New Roman"/>
                <w:szCs w:val="22"/>
              </w:rPr>
              <w:t xml:space="preserve"> (Боливарианская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21 290</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2 252</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263</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34138" w:rsidRPr="00F00AFC" w:rsidRDefault="00034138" w:rsidP="00034138">
            <w:pPr>
              <w:rPr>
                <w:rFonts w:cs="Times New Roman"/>
                <w:kern w:val="22"/>
                <w:szCs w:val="22"/>
              </w:rPr>
            </w:pPr>
            <w:r w:rsidRPr="00F00AFC">
              <w:rPr>
                <w:rFonts w:cs="Times New Roman"/>
                <w:szCs w:val="22"/>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color w:val="000000"/>
                <w:kern w:val="22"/>
                <w:szCs w:val="22"/>
                <w:lang w:eastAsia="en-CA"/>
              </w:rPr>
            </w:pPr>
            <w:r w:rsidRPr="00F00AFC">
              <w:rPr>
                <w:rFonts w:cs="Times New Roman"/>
                <w:color w:val="000000"/>
                <w:kern w:val="22"/>
                <w:szCs w:val="22"/>
                <w:lang w:eastAsia="en-CA"/>
              </w:rPr>
              <w:t>146</w:t>
            </w:r>
          </w:p>
        </w:tc>
      </w:tr>
      <w:tr w:rsidR="00034138" w:rsidRPr="000322A9" w:rsidTr="00635A8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034138" w:rsidRPr="00F00AFC" w:rsidRDefault="00034138" w:rsidP="00034138">
            <w:pPr>
              <w:rPr>
                <w:rFonts w:cs="Times New Roman"/>
                <w:b/>
                <w:bCs/>
                <w:color w:val="000000"/>
                <w:kern w:val="22"/>
                <w:szCs w:val="22"/>
              </w:rPr>
            </w:pPr>
            <w:r w:rsidRPr="00F00AFC">
              <w:rPr>
                <w:rFonts w:cs="Times New Roman"/>
                <w:b/>
                <w:color w:val="000000"/>
                <w:szCs w:val="22"/>
              </w:rPr>
              <w:t>Итого</w:t>
            </w:r>
          </w:p>
        </w:tc>
        <w:tc>
          <w:tcPr>
            <w:tcW w:w="1540" w:type="dxa"/>
            <w:tcBorders>
              <w:top w:val="nil"/>
              <w:left w:val="nil"/>
              <w:bottom w:val="single" w:sz="4" w:space="0" w:color="auto"/>
              <w:right w:val="single" w:sz="4" w:space="0" w:color="auto"/>
            </w:tcBorders>
            <w:shd w:val="clear" w:color="auto" w:fill="auto"/>
            <w:vAlign w:val="center"/>
            <w:hideMark/>
          </w:tcPr>
          <w:p w:rsidR="00034138" w:rsidRPr="00F00AFC" w:rsidRDefault="00034138" w:rsidP="00034138">
            <w:pPr>
              <w:jc w:val="right"/>
              <w:rPr>
                <w:rFonts w:cs="Times New Roman"/>
                <w:b/>
                <w:bCs/>
                <w:color w:val="000000"/>
                <w:kern w:val="22"/>
                <w:szCs w:val="22"/>
                <w:lang w:eastAsia="en-CA"/>
              </w:rPr>
            </w:pPr>
            <w:r w:rsidRPr="00F00AFC">
              <w:rPr>
                <w:rFonts w:cs="Times New Roman"/>
                <w:b/>
                <w:bCs/>
                <w:color w:val="000000"/>
                <w:kern w:val="22"/>
                <w:szCs w:val="22"/>
                <w:lang w:eastAsia="en-CA"/>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b/>
                <w:bCs/>
                <w:color w:val="000000"/>
                <w:kern w:val="22"/>
                <w:szCs w:val="22"/>
                <w:lang w:eastAsia="en-CA"/>
              </w:rPr>
            </w:pPr>
            <w:r w:rsidRPr="00F00AFC">
              <w:rPr>
                <w:rFonts w:cs="Times New Roman"/>
                <w:b/>
                <w:bCs/>
                <w:color w:val="000000"/>
                <w:kern w:val="22"/>
                <w:szCs w:val="22"/>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rsidR="00034138" w:rsidRPr="00F00AFC" w:rsidRDefault="00034138" w:rsidP="00034138">
            <w:pPr>
              <w:jc w:val="right"/>
              <w:rPr>
                <w:rFonts w:cs="Times New Roman"/>
                <w:b/>
                <w:bCs/>
                <w:color w:val="000000"/>
                <w:kern w:val="22"/>
                <w:szCs w:val="22"/>
                <w:lang w:eastAsia="en-CA"/>
              </w:rPr>
            </w:pPr>
            <w:r w:rsidRPr="00F00AFC">
              <w:rPr>
                <w:rFonts w:cs="Times New Roman"/>
                <w:b/>
                <w:bCs/>
                <w:color w:val="000000"/>
                <w:kern w:val="22"/>
                <w:szCs w:val="22"/>
                <w:lang w:eastAsia="en-CA"/>
              </w:rPr>
              <w:t>1 695 000</w:t>
            </w:r>
          </w:p>
        </w:tc>
      </w:tr>
    </w:tbl>
    <w:p w:rsidR="000B1A5D" w:rsidRDefault="000B1A5D" w:rsidP="00221A9E">
      <w:pPr>
        <w:spacing w:after="160" w:line="259" w:lineRule="auto"/>
        <w:jc w:val="center"/>
        <w:rPr>
          <w:b/>
          <w:bCs/>
          <w:snapToGrid w:val="0"/>
          <w:kern w:val="22"/>
        </w:rPr>
      </w:pPr>
    </w:p>
    <w:p w:rsidR="00221A9E" w:rsidRPr="000322A9" w:rsidRDefault="00221A9E" w:rsidP="00221A9E">
      <w:pPr>
        <w:spacing w:after="160" w:line="259" w:lineRule="auto"/>
        <w:jc w:val="center"/>
        <w:rPr>
          <w:b/>
          <w:bCs/>
          <w:snapToGrid w:val="0"/>
          <w:kern w:val="22"/>
        </w:rPr>
      </w:pPr>
      <w:bookmarkStart w:id="3" w:name="_GoBack"/>
      <w:bookmarkEnd w:id="3"/>
      <w:r w:rsidRPr="000322A9">
        <w:rPr>
          <w:b/>
          <w:bCs/>
          <w:snapToGrid w:val="0"/>
          <w:kern w:val="22"/>
        </w:rPr>
        <w:t>__________</w:t>
      </w:r>
    </w:p>
    <w:bookmarkEnd w:id="0"/>
    <w:p w:rsidR="00B02DF6" w:rsidRDefault="00B02DF6" w:rsidP="00EC4671">
      <w:pPr>
        <w:pStyle w:val="NoSpacing"/>
        <w:suppressLineNumbers/>
        <w:suppressAutoHyphens/>
        <w:jc w:val="center"/>
        <w:rPr>
          <w:rFonts w:ascii="Times New Roman" w:eastAsiaTheme="minorEastAsia" w:hAnsi="Times New Roman"/>
          <w:i/>
          <w:iCs/>
          <w:color w:val="000000"/>
          <w:kern w:val="22"/>
          <w:lang w:val="en-GB"/>
        </w:rPr>
      </w:pPr>
    </w:p>
    <w:sectPr w:rsidR="00B02DF6" w:rsidSect="00E924DD">
      <w:type w:val="continuous"/>
      <w:pgSz w:w="12240" w:h="15840"/>
      <w:pgMar w:top="567" w:right="1440" w:bottom="1134"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CF" w:rsidRDefault="004169CF">
      <w:r>
        <w:separator/>
      </w:r>
    </w:p>
  </w:endnote>
  <w:endnote w:type="continuationSeparator" w:id="0">
    <w:p w:rsidR="004169CF" w:rsidRDefault="0041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B" w:rsidRDefault="006F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B" w:rsidRDefault="006F3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B" w:rsidRDefault="006F31EB"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CF" w:rsidRDefault="004169CF">
      <w:r>
        <w:separator/>
      </w:r>
    </w:p>
  </w:footnote>
  <w:footnote w:type="continuationSeparator" w:id="0">
    <w:p w:rsidR="004169CF" w:rsidRDefault="004169CF">
      <w:r>
        <w:continuationSeparator/>
      </w:r>
    </w:p>
  </w:footnote>
  <w:footnote w:id="1">
    <w:p w:rsidR="006F31EB" w:rsidRPr="00664EAA" w:rsidRDefault="006F31EB" w:rsidP="00664EAA">
      <w:pPr>
        <w:pStyle w:val="FootnoteText"/>
        <w:suppressLineNumbers/>
        <w:suppressAutoHyphens/>
        <w:jc w:val="left"/>
        <w:rPr>
          <w:kern w:val="18"/>
        </w:rPr>
      </w:pPr>
      <w:r w:rsidRPr="00664EAA">
        <w:rPr>
          <w:rStyle w:val="FootnoteReference"/>
          <w:kern w:val="18"/>
        </w:rPr>
        <w:t>*</w:t>
      </w:r>
      <w:r w:rsidRPr="00664EAA">
        <w:rPr>
          <w:kern w:val="18"/>
        </w:rPr>
        <w:t xml:space="preserve"> </w:t>
      </w:r>
      <w:r w:rsidRPr="00664EAA">
        <w:rPr>
          <w:kern w:val="18"/>
          <w:sz w:val="18"/>
        </w:rPr>
        <w:t>CBD/ExCOP/2/1</w:t>
      </w:r>
      <w:r w:rsidRPr="00664EAA">
        <w:rPr>
          <w:kern w:val="18"/>
        </w:rPr>
        <w:t>.</w:t>
      </w:r>
    </w:p>
  </w:footnote>
  <w:footnote w:id="2">
    <w:p w:rsidR="006F31EB" w:rsidRPr="00664EAA" w:rsidRDefault="006F31EB" w:rsidP="00664EAA">
      <w:pPr>
        <w:pStyle w:val="FootnoteText"/>
        <w:suppressLineNumbers/>
        <w:suppressAutoHyphens/>
        <w:jc w:val="left"/>
        <w:rPr>
          <w:kern w:val="18"/>
        </w:rPr>
      </w:pPr>
      <w:r w:rsidRPr="00664EAA">
        <w:rPr>
          <w:rStyle w:val="FootnoteReference"/>
          <w:kern w:val="18"/>
        </w:rPr>
        <w:t>**</w:t>
      </w:r>
      <w:r w:rsidRPr="00664EAA">
        <w:rPr>
          <w:kern w:val="18"/>
        </w:rPr>
        <w:t xml:space="preserve"> </w:t>
      </w:r>
      <w:r w:rsidRPr="00664EAA">
        <w:rPr>
          <w:kern w:val="18"/>
          <w:sz w:val="18"/>
        </w:rPr>
        <w:t>CBD/CP/ExMOP/1/1</w:t>
      </w:r>
      <w:r w:rsidRPr="00664EAA">
        <w:rPr>
          <w:kern w:val="18"/>
        </w:rPr>
        <w:t>.</w:t>
      </w:r>
    </w:p>
  </w:footnote>
  <w:footnote w:id="3">
    <w:p w:rsidR="006F31EB" w:rsidRPr="001A2168" w:rsidRDefault="006F31EB" w:rsidP="00664EAA">
      <w:pPr>
        <w:pStyle w:val="FootnoteText"/>
        <w:suppressLineNumbers/>
        <w:suppressAutoHyphens/>
        <w:jc w:val="left"/>
        <w:rPr>
          <w:kern w:val="18"/>
        </w:rPr>
      </w:pPr>
      <w:r w:rsidRPr="001A2168">
        <w:rPr>
          <w:rStyle w:val="FootnoteReference"/>
          <w:kern w:val="18"/>
        </w:rPr>
        <w:t>***</w:t>
      </w:r>
      <w:r w:rsidRPr="001A2168">
        <w:rPr>
          <w:kern w:val="18"/>
        </w:rPr>
        <w:t xml:space="preserve"> </w:t>
      </w:r>
      <w:r w:rsidRPr="0014124A">
        <w:rPr>
          <w:kern w:val="18"/>
          <w:sz w:val="18"/>
          <w:lang w:val="en-US"/>
        </w:rPr>
        <w:t>CBD</w:t>
      </w:r>
      <w:r w:rsidRPr="001A2168">
        <w:rPr>
          <w:kern w:val="18"/>
          <w:sz w:val="18"/>
        </w:rPr>
        <w:t>/</w:t>
      </w:r>
      <w:r w:rsidRPr="0014124A">
        <w:rPr>
          <w:kern w:val="18"/>
          <w:sz w:val="18"/>
          <w:lang w:val="en-US"/>
        </w:rPr>
        <w:t>NP</w:t>
      </w:r>
      <w:r w:rsidRPr="001A2168">
        <w:rPr>
          <w:kern w:val="18"/>
          <w:sz w:val="18"/>
        </w:rPr>
        <w:t>/</w:t>
      </w:r>
      <w:proofErr w:type="spellStart"/>
      <w:r w:rsidRPr="0014124A">
        <w:rPr>
          <w:kern w:val="18"/>
          <w:sz w:val="18"/>
          <w:lang w:val="en-US"/>
        </w:rPr>
        <w:t>ExMOP</w:t>
      </w:r>
      <w:proofErr w:type="spellEnd"/>
      <w:r w:rsidRPr="001A2168">
        <w:rPr>
          <w:kern w:val="18"/>
          <w:sz w:val="18"/>
        </w:rPr>
        <w:t>/1/1</w:t>
      </w:r>
      <w:r w:rsidRPr="001A2168">
        <w:rPr>
          <w:kern w:val="18"/>
        </w:rPr>
        <w:t>.</w:t>
      </w:r>
    </w:p>
  </w:footnote>
  <w:footnote w:id="4">
    <w:p w:rsidR="006F31EB" w:rsidRPr="001A2168" w:rsidRDefault="006F31EB" w:rsidP="0014124A">
      <w:pPr>
        <w:pStyle w:val="FootnoteText"/>
        <w:suppressLineNumbers/>
        <w:suppressAutoHyphens/>
        <w:jc w:val="left"/>
        <w:rPr>
          <w:kern w:val="18"/>
        </w:rPr>
      </w:pPr>
      <w:r w:rsidRPr="0014124A">
        <w:rPr>
          <w:rStyle w:val="FootnoteReference"/>
          <w:kern w:val="18"/>
          <w:lang w:val="en-GB"/>
        </w:rPr>
        <w:footnoteRef/>
      </w:r>
      <w:r w:rsidRPr="001A2168">
        <w:rPr>
          <w:kern w:val="18"/>
        </w:rPr>
        <w:t xml:space="preserve"> </w:t>
      </w:r>
      <w:r>
        <w:rPr>
          <w:rFonts w:eastAsia="Malgun Gothic"/>
          <w:kern w:val="18"/>
          <w:szCs w:val="22"/>
          <w:lang w:eastAsia="x-none"/>
        </w:rPr>
        <w:t>См</w:t>
      </w:r>
      <w:r w:rsidRPr="001A2168">
        <w:rPr>
          <w:rFonts w:eastAsia="Malgun Gothic"/>
          <w:kern w:val="18"/>
          <w:szCs w:val="22"/>
          <w:lang w:eastAsia="x-none"/>
        </w:rPr>
        <w:t xml:space="preserve">. </w:t>
      </w:r>
      <w:r>
        <w:rPr>
          <w:rFonts w:eastAsia="Malgun Gothic"/>
          <w:kern w:val="18"/>
          <w:szCs w:val="22"/>
          <w:lang w:eastAsia="x-none"/>
        </w:rPr>
        <w:t>предварительную</w:t>
      </w:r>
      <w:r w:rsidRPr="001A2168">
        <w:rPr>
          <w:rFonts w:eastAsia="Malgun Gothic"/>
          <w:kern w:val="18"/>
          <w:szCs w:val="22"/>
          <w:lang w:eastAsia="x-none"/>
        </w:rPr>
        <w:t xml:space="preserve"> </w:t>
      </w:r>
      <w:r>
        <w:rPr>
          <w:rFonts w:eastAsia="Malgun Gothic"/>
          <w:kern w:val="18"/>
          <w:szCs w:val="22"/>
          <w:lang w:eastAsia="x-none"/>
        </w:rPr>
        <w:t>аннотированную</w:t>
      </w:r>
      <w:r w:rsidRPr="001A2168">
        <w:rPr>
          <w:rFonts w:eastAsia="Malgun Gothic"/>
          <w:kern w:val="18"/>
          <w:szCs w:val="22"/>
          <w:lang w:eastAsia="x-none"/>
        </w:rPr>
        <w:t xml:space="preserve"> </w:t>
      </w:r>
      <w:r>
        <w:rPr>
          <w:rFonts w:eastAsia="Malgun Gothic"/>
          <w:kern w:val="18"/>
          <w:szCs w:val="22"/>
          <w:lang w:eastAsia="x-none"/>
        </w:rPr>
        <w:t>повестку</w:t>
      </w:r>
      <w:r w:rsidRPr="001A2168">
        <w:rPr>
          <w:rFonts w:eastAsia="Malgun Gothic"/>
          <w:kern w:val="18"/>
          <w:szCs w:val="22"/>
          <w:lang w:eastAsia="x-none"/>
        </w:rPr>
        <w:t xml:space="preserve"> </w:t>
      </w:r>
      <w:r>
        <w:rPr>
          <w:rFonts w:eastAsia="Malgun Gothic"/>
          <w:kern w:val="18"/>
          <w:szCs w:val="22"/>
          <w:lang w:eastAsia="x-none"/>
        </w:rPr>
        <w:t>дня</w:t>
      </w:r>
      <w:r w:rsidRPr="001A2168">
        <w:rPr>
          <w:rFonts w:eastAsia="Malgun Gothic"/>
          <w:kern w:val="18"/>
          <w:szCs w:val="22"/>
          <w:lang w:eastAsia="x-none"/>
        </w:rPr>
        <w:t xml:space="preserve"> (</w:t>
      </w:r>
      <w:r w:rsidRPr="00435220">
        <w:rPr>
          <w:kern w:val="18"/>
          <w:sz w:val="18"/>
          <w:lang w:val="en-US"/>
        </w:rPr>
        <w:t>CBD</w:t>
      </w:r>
      <w:r w:rsidRPr="001A2168">
        <w:rPr>
          <w:kern w:val="18"/>
          <w:sz w:val="18"/>
        </w:rPr>
        <w:t>/</w:t>
      </w:r>
      <w:proofErr w:type="spellStart"/>
      <w:r w:rsidRPr="00435220">
        <w:rPr>
          <w:kern w:val="18"/>
          <w:sz w:val="18"/>
          <w:lang w:val="en-US"/>
        </w:rPr>
        <w:t>ExCOP</w:t>
      </w:r>
      <w:proofErr w:type="spellEnd"/>
      <w:r w:rsidRPr="001A2168">
        <w:rPr>
          <w:kern w:val="18"/>
          <w:sz w:val="18"/>
        </w:rPr>
        <w:t>/2/1/</w:t>
      </w:r>
      <w:r w:rsidRPr="00435220">
        <w:rPr>
          <w:kern w:val="18"/>
          <w:sz w:val="18"/>
          <w:lang w:val="en-US"/>
        </w:rPr>
        <w:t>Add</w:t>
      </w:r>
      <w:r w:rsidRPr="001A2168">
        <w:rPr>
          <w:kern w:val="18"/>
          <w:sz w:val="18"/>
        </w:rPr>
        <w:t>.1</w:t>
      </w:r>
      <w:r w:rsidRPr="001A2168">
        <w:rPr>
          <w:kern w:val="18"/>
        </w:rPr>
        <w:t xml:space="preserve">, </w:t>
      </w:r>
      <w:r w:rsidRPr="00435220">
        <w:rPr>
          <w:kern w:val="18"/>
          <w:sz w:val="18"/>
          <w:lang w:val="en-US"/>
        </w:rPr>
        <w:t>CBD</w:t>
      </w:r>
      <w:r w:rsidRPr="001A2168">
        <w:rPr>
          <w:kern w:val="18"/>
          <w:sz w:val="18"/>
        </w:rPr>
        <w:t>/</w:t>
      </w:r>
      <w:r w:rsidRPr="00435220">
        <w:rPr>
          <w:kern w:val="18"/>
          <w:sz w:val="18"/>
          <w:lang w:val="en-US"/>
        </w:rPr>
        <w:t>CP</w:t>
      </w:r>
      <w:r w:rsidRPr="001A2168">
        <w:rPr>
          <w:kern w:val="18"/>
          <w:sz w:val="18"/>
        </w:rPr>
        <w:t>/</w:t>
      </w:r>
      <w:proofErr w:type="spellStart"/>
      <w:r w:rsidRPr="00435220">
        <w:rPr>
          <w:kern w:val="18"/>
          <w:sz w:val="18"/>
          <w:lang w:val="en-US"/>
        </w:rPr>
        <w:t>ExMOP</w:t>
      </w:r>
      <w:proofErr w:type="spellEnd"/>
      <w:r w:rsidRPr="001A2168">
        <w:rPr>
          <w:kern w:val="18"/>
          <w:sz w:val="18"/>
        </w:rPr>
        <w:t>/1/1/</w:t>
      </w:r>
      <w:r w:rsidRPr="00435220">
        <w:rPr>
          <w:kern w:val="18"/>
          <w:sz w:val="18"/>
          <w:lang w:val="en-US"/>
        </w:rPr>
        <w:t>Add</w:t>
      </w:r>
      <w:r w:rsidRPr="001A2168">
        <w:rPr>
          <w:kern w:val="18"/>
          <w:sz w:val="18"/>
        </w:rPr>
        <w:t>.1</w:t>
      </w:r>
      <w:r w:rsidRPr="001A2168">
        <w:rPr>
          <w:kern w:val="18"/>
        </w:rPr>
        <w:t xml:space="preserve">, </w:t>
      </w:r>
      <w:r w:rsidRPr="00435220">
        <w:rPr>
          <w:kern w:val="18"/>
          <w:sz w:val="18"/>
          <w:lang w:val="en-US"/>
        </w:rPr>
        <w:t>CBD</w:t>
      </w:r>
      <w:r w:rsidRPr="001A2168">
        <w:rPr>
          <w:kern w:val="18"/>
          <w:sz w:val="18"/>
        </w:rPr>
        <w:t>/</w:t>
      </w:r>
      <w:r w:rsidRPr="00435220">
        <w:rPr>
          <w:kern w:val="18"/>
          <w:sz w:val="18"/>
          <w:lang w:val="en-US"/>
        </w:rPr>
        <w:t>NP</w:t>
      </w:r>
      <w:r w:rsidRPr="001A2168">
        <w:rPr>
          <w:kern w:val="18"/>
          <w:sz w:val="18"/>
        </w:rPr>
        <w:t>/</w:t>
      </w:r>
      <w:proofErr w:type="spellStart"/>
      <w:r w:rsidRPr="00435220">
        <w:rPr>
          <w:kern w:val="18"/>
          <w:sz w:val="18"/>
          <w:lang w:val="en-US"/>
        </w:rPr>
        <w:t>ExMOP</w:t>
      </w:r>
      <w:proofErr w:type="spellEnd"/>
      <w:r w:rsidRPr="001A2168">
        <w:rPr>
          <w:kern w:val="18"/>
          <w:sz w:val="18"/>
        </w:rPr>
        <w:t>/1/1/</w:t>
      </w:r>
      <w:r w:rsidRPr="00435220">
        <w:rPr>
          <w:kern w:val="18"/>
          <w:sz w:val="18"/>
          <w:lang w:val="en-US"/>
        </w:rPr>
        <w:t>Add</w:t>
      </w:r>
      <w:r w:rsidRPr="001A2168">
        <w:rPr>
          <w:kern w:val="18"/>
          <w:sz w:val="18"/>
        </w:rPr>
        <w:t>.1</w:t>
      </w:r>
      <w:r w:rsidRPr="001A2168">
        <w:rPr>
          <w:rFonts w:eastAsia="Malgun Gothic"/>
          <w:iCs/>
          <w:kern w:val="18"/>
          <w:szCs w:val="22"/>
          <w:lang w:eastAsia="x-none"/>
        </w:rPr>
        <w:t>)</w:t>
      </w:r>
    </w:p>
  </w:footnote>
  <w:footnote w:id="5">
    <w:p w:rsidR="006F31EB" w:rsidRPr="00B363B5" w:rsidRDefault="006F31EB" w:rsidP="00227174">
      <w:pPr>
        <w:pStyle w:val="FootnoteText"/>
      </w:pPr>
      <w:r>
        <w:rPr>
          <w:rStyle w:val="FootnoteReference"/>
        </w:rPr>
        <w:footnoteRef/>
      </w:r>
      <w:r>
        <w:t xml:space="preserve"> Финансовые правила, регулирующие управление Целевым фондом Конвенции о биологическом разнообразии </w:t>
      </w:r>
      <w:r w:rsidRPr="00C815C1">
        <w:t>(</w:t>
      </w:r>
      <w:r>
        <w:t xml:space="preserve">приложение </w:t>
      </w:r>
      <w:r>
        <w:rPr>
          <w:lang w:val="es-ES"/>
        </w:rPr>
        <w:t>I</w:t>
      </w:r>
      <w:r>
        <w:t xml:space="preserve"> к решению </w:t>
      </w:r>
      <w:r w:rsidRPr="007A159A">
        <w:rPr>
          <w:rStyle w:val="Hyperlink"/>
          <w:kern w:val="18"/>
        </w:rPr>
        <w:t>I/6</w:t>
      </w:r>
      <w:r w:rsidRPr="00C815C1">
        <w:t>)</w:t>
      </w:r>
      <w:r>
        <w:t>.</w:t>
      </w:r>
    </w:p>
  </w:footnote>
  <w:footnote w:id="6">
    <w:p w:rsidR="006F31EB" w:rsidRPr="003746C3" w:rsidRDefault="006F31EB" w:rsidP="001242B3">
      <w:pPr>
        <w:pStyle w:val="FootnoteText"/>
      </w:pPr>
      <w:r>
        <w:rPr>
          <w:rStyle w:val="FootnoteReference"/>
        </w:rPr>
        <w:footnoteRef/>
      </w:r>
      <w:r>
        <w:t xml:space="preserve"> </w:t>
      </w:r>
      <w:r w:rsidRPr="00B86075">
        <w:rPr>
          <w:sz w:val="18"/>
          <w:szCs w:val="18"/>
        </w:rPr>
        <w:t xml:space="preserve">В настоящее время пятнадцатое совещание Конференции Сторон и </w:t>
      </w:r>
      <w:r w:rsidR="003217A9">
        <w:rPr>
          <w:sz w:val="18"/>
          <w:szCs w:val="18"/>
        </w:rPr>
        <w:t>связанные с ним</w:t>
      </w:r>
      <w:r w:rsidRPr="00B86075">
        <w:rPr>
          <w:sz w:val="18"/>
          <w:szCs w:val="18"/>
        </w:rPr>
        <w:t xml:space="preserve"> совещания протоколов запланированы на май 2020 года, но в зависимости от графика проведения двадцать четвертого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и третьего совещания Рабочей группы по подготовке глобальной рамочной программы в области биоразнообразия на период после 2020 года может возникнуть необходимость в их переносе на более поздний срок.</w:t>
      </w:r>
    </w:p>
  </w:footnote>
  <w:footnote w:id="7">
    <w:p w:rsidR="00C905F1" w:rsidRDefault="00C905F1" w:rsidP="00C905F1">
      <w:pPr>
        <w:pStyle w:val="FootnoteText"/>
        <w:suppressLineNumbers/>
        <w:suppressAutoHyphens/>
        <w:jc w:val="left"/>
        <w:rPr>
          <w:rFonts w:eastAsia="Times New Roman"/>
          <w:kern w:val="18"/>
          <w:sz w:val="18"/>
          <w:lang w:val="en-GB"/>
        </w:rPr>
      </w:pPr>
      <w:r>
        <w:rPr>
          <w:rStyle w:val="FootnoteReference"/>
          <w:kern w:val="18"/>
          <w:lang w:val="en-GB"/>
        </w:rPr>
        <w:footnoteRef/>
      </w:r>
      <w:r>
        <w:rPr>
          <w:kern w:val="18"/>
        </w:rPr>
        <w:t xml:space="preserve"> </w:t>
      </w:r>
      <w:r>
        <w:rPr>
          <w:kern w:val="18"/>
          <w:szCs w:val="22"/>
        </w:rPr>
        <w:t>CBD/ExCOP/2/2.</w:t>
      </w:r>
    </w:p>
  </w:footnote>
  <w:footnote w:id="8">
    <w:p w:rsidR="00D33842" w:rsidRDefault="00D33842" w:rsidP="00D33842">
      <w:pPr>
        <w:pStyle w:val="FootnoteText"/>
        <w:suppressLineNumbers/>
        <w:suppressAutoHyphens/>
        <w:jc w:val="left"/>
        <w:rPr>
          <w:rFonts w:eastAsia="Times New Roman"/>
          <w:kern w:val="18"/>
          <w:sz w:val="18"/>
          <w:lang w:val="en-GB"/>
        </w:rPr>
      </w:pPr>
      <w:r>
        <w:rPr>
          <w:rStyle w:val="FootnoteReference"/>
          <w:kern w:val="18"/>
          <w:lang w:val="en-GB"/>
        </w:rPr>
        <w:footnoteRef/>
      </w:r>
      <w:r>
        <w:rPr>
          <w:kern w:val="18"/>
        </w:rPr>
        <w:t xml:space="preserve"> </w:t>
      </w:r>
      <w:r>
        <w:rPr>
          <w:iCs/>
          <w:noProof/>
          <w:snapToGrid w:val="0"/>
          <w:kern w:val="18"/>
          <w:szCs w:val="22"/>
        </w:rPr>
        <w:t>CBD/CP/ExMOP/1/2</w:t>
      </w:r>
      <w:r>
        <w:rPr>
          <w:kern w:val="18"/>
          <w:szCs w:val="22"/>
        </w:rPr>
        <w:t>.</w:t>
      </w:r>
    </w:p>
  </w:footnote>
  <w:footnote w:id="9">
    <w:p w:rsidR="00D33842" w:rsidRDefault="00D33842" w:rsidP="00D33842">
      <w:pPr>
        <w:pStyle w:val="FootnoteText"/>
        <w:suppressLineNumbers/>
        <w:suppressAutoHyphens/>
        <w:jc w:val="left"/>
        <w:rPr>
          <w:rFonts w:eastAsia="Times New Roman"/>
          <w:kern w:val="18"/>
          <w:sz w:val="18"/>
          <w:lang w:val="en-GB"/>
        </w:rPr>
      </w:pPr>
      <w:r>
        <w:rPr>
          <w:rStyle w:val="FootnoteReference"/>
          <w:kern w:val="18"/>
          <w:lang w:val="en-GB"/>
        </w:rPr>
        <w:footnoteRef/>
      </w:r>
      <w:r>
        <w:rPr>
          <w:kern w:val="18"/>
        </w:rPr>
        <w:t xml:space="preserve"> </w:t>
      </w:r>
      <w:r>
        <w:rPr>
          <w:iCs/>
          <w:noProof/>
          <w:snapToGrid w:val="0"/>
          <w:kern w:val="18"/>
          <w:szCs w:val="22"/>
        </w:rPr>
        <w:t>CBD/NP/ExMOP/1/2</w:t>
      </w:r>
      <w:r>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B" w:rsidRDefault="006F31EB" w:rsidP="00497555">
    <w:pPr>
      <w:pStyle w:val="Header"/>
      <w:tabs>
        <w:tab w:val="clear" w:pos="4320"/>
        <w:tab w:val="clear" w:pos="8640"/>
      </w:tabs>
      <w:jc w:val="left"/>
      <w:rPr>
        <w:iCs/>
        <w:snapToGrid w:val="0"/>
        <w:kern w:val="22"/>
        <w:szCs w:val="22"/>
      </w:rPr>
    </w:pPr>
    <w:r>
      <w:rPr>
        <w:iCs/>
        <w:snapToGrid w:val="0"/>
        <w:kern w:val="22"/>
        <w:szCs w:val="22"/>
      </w:rPr>
      <w:t>CBD/ExCOP/2/2</w:t>
    </w:r>
  </w:p>
  <w:p w:rsidR="006F31EB" w:rsidRDefault="006F31EB" w:rsidP="00497555">
    <w:pPr>
      <w:pStyle w:val="Header"/>
      <w:tabs>
        <w:tab w:val="clear" w:pos="4320"/>
        <w:tab w:val="clear" w:pos="8640"/>
      </w:tabs>
      <w:jc w:val="left"/>
      <w:rPr>
        <w:iCs/>
        <w:snapToGrid w:val="0"/>
        <w:kern w:val="22"/>
        <w:szCs w:val="22"/>
      </w:rPr>
    </w:pPr>
    <w:r w:rsidRPr="005F4F70">
      <w:rPr>
        <w:iCs/>
        <w:snapToGrid w:val="0"/>
        <w:kern w:val="22"/>
        <w:szCs w:val="22"/>
      </w:rPr>
      <w:t>CBD/CP/ExMOP/1/2</w:t>
    </w:r>
    <w:r>
      <w:rPr>
        <w:iCs/>
        <w:snapToGrid w:val="0"/>
        <w:kern w:val="22"/>
        <w:szCs w:val="22"/>
      </w:rPr>
      <w:t xml:space="preserve"> </w:t>
    </w:r>
  </w:p>
  <w:p w:rsidR="006F31EB" w:rsidRPr="00497555" w:rsidRDefault="006F31EB" w:rsidP="00497555">
    <w:pPr>
      <w:pStyle w:val="Header"/>
      <w:tabs>
        <w:tab w:val="clear" w:pos="4320"/>
        <w:tab w:val="clear" w:pos="8640"/>
      </w:tabs>
      <w:jc w:val="left"/>
      <w:rPr>
        <w:noProof/>
      </w:rPr>
    </w:pPr>
    <w:r w:rsidRPr="00CF1C2F">
      <w:rPr>
        <w:iCs/>
        <w:snapToGrid w:val="0"/>
        <w:kern w:val="22"/>
        <w:szCs w:val="22"/>
      </w:rPr>
      <w:t>CBD/NP/ExMOP/1/</w:t>
    </w:r>
    <w:r>
      <w:rPr>
        <w:iCs/>
        <w:snapToGrid w:val="0"/>
        <w:kern w:val="22"/>
        <w:szCs w:val="22"/>
      </w:rPr>
      <w:t xml:space="preserve">2 </w:t>
    </w:r>
  </w:p>
  <w:p w:rsidR="006F31EB" w:rsidRPr="00497555" w:rsidRDefault="006F31EB" w:rsidP="00497555">
    <w:pPr>
      <w:pStyle w:val="Header"/>
      <w:tabs>
        <w:tab w:val="clear" w:pos="4320"/>
        <w:tab w:val="clear" w:pos="8640"/>
      </w:tabs>
      <w:jc w:val="left"/>
      <w:rPr>
        <w:noProof/>
      </w:rPr>
    </w:pPr>
    <w:r>
      <w:t xml:space="preserve">Страница </w:t>
    </w:r>
    <w:r w:rsidRPr="00497555">
      <w:fldChar w:fldCharType="begin"/>
    </w:r>
    <w:r w:rsidRPr="00497555">
      <w:instrText xml:space="preserve"> PAGE   \* MERGEFORMAT </w:instrText>
    </w:r>
    <w:r w:rsidRPr="00497555">
      <w:fldChar w:fldCharType="separate"/>
    </w:r>
    <w:r w:rsidR="00A05EC2">
      <w:rPr>
        <w:noProof/>
      </w:rPr>
      <w:t>8</w:t>
    </w:r>
    <w:r w:rsidRPr="00497555">
      <w:fldChar w:fldCharType="end"/>
    </w:r>
  </w:p>
  <w:p w:rsidR="006F31EB" w:rsidRPr="00497555" w:rsidRDefault="006F31EB" w:rsidP="00497555">
    <w:pPr>
      <w:pStyle w:val="Header"/>
      <w:tabs>
        <w:tab w:val="clear" w:pos="4320"/>
        <w:tab w:val="clear" w:pos="8640"/>
      </w:tabs>
      <w:jc w:val="left"/>
      <w:rPr>
        <w:noProof/>
      </w:rPr>
    </w:pPr>
  </w:p>
  <w:p w:rsidR="006F31EB" w:rsidRDefault="006F31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1785730524"/>
      <w:dataBinding w:prefixMappings="xmlns:ns0='http://purl.org/dc/elements/1.1/' xmlns:ns1='http://schemas.openxmlformats.org/package/2006/metadata/core-properties' " w:xpath="/ns1:coreProperties[1]/ns0:subject[1]" w:storeItemID="{6C3C8BC8-F283-45AE-878A-BAB7291924A1}"/>
      <w:text/>
    </w:sdtPr>
    <w:sdtEndPr/>
    <w:sdtContent>
      <w:p w:rsidR="006F31EB" w:rsidRPr="006466C5" w:rsidRDefault="006F31EB" w:rsidP="00FA166B">
        <w:pPr>
          <w:ind w:left="6379" w:right="4"/>
          <w:jc w:val="right"/>
          <w:rPr>
            <w:color w:val="000000" w:themeColor="text1"/>
            <w:kern w:val="20"/>
            <w:szCs w:val="22"/>
            <w:lang w:val="en-CA"/>
          </w:rPr>
        </w:pPr>
        <w:r w:rsidRPr="005F4F70">
          <w:rPr>
            <w:iCs/>
            <w:snapToGrid w:val="0"/>
            <w:kern w:val="22"/>
            <w:szCs w:val="22"/>
          </w:rPr>
          <w:t>CBD/ExCOP/2/2 CBD/CP/ExMOP/1/2</w:t>
        </w:r>
        <w:r>
          <w:rPr>
            <w:iCs/>
            <w:snapToGrid w:val="0"/>
            <w:kern w:val="22"/>
            <w:szCs w:val="22"/>
          </w:rPr>
          <w:t xml:space="preserve"> </w:t>
        </w:r>
        <w:r w:rsidRPr="00CF1C2F">
          <w:rPr>
            <w:iCs/>
            <w:snapToGrid w:val="0"/>
            <w:kern w:val="22"/>
            <w:szCs w:val="22"/>
          </w:rPr>
          <w:t>CBD/NP/ExMOP/1/2</w:t>
        </w:r>
      </w:p>
    </w:sdtContent>
  </w:sdt>
  <w:p w:rsidR="006F31EB" w:rsidRPr="00FA166B" w:rsidRDefault="006F31EB" w:rsidP="00FA166B">
    <w:pPr>
      <w:pStyle w:val="Header"/>
      <w:ind w:left="6379" w:right="4"/>
      <w:jc w:val="right"/>
      <w:rPr>
        <w:noProof/>
        <w:kern w:val="22"/>
      </w:rPr>
    </w:pPr>
    <w:r>
      <w:rPr>
        <w:noProof/>
        <w:kern w:val="22"/>
      </w:rPr>
      <w:t>Страница</w:t>
    </w:r>
    <w:r w:rsidRPr="00437DE2">
      <w:rPr>
        <w:noProof/>
        <w:kern w:val="22"/>
        <w:lang w:val="fr-FR"/>
      </w:rPr>
      <w:t xml:space="preserv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sidR="00A05EC2" w:rsidRPr="00A05EC2">
      <w:rPr>
        <w:noProof/>
        <w:kern w:val="22"/>
        <w:lang w:val="en-GB"/>
      </w:rPr>
      <w:t>7</w:t>
    </w:r>
    <w:r w:rsidRPr="00791E0A">
      <w:rPr>
        <w:noProof/>
        <w:kern w:val="22"/>
      </w:rPr>
      <w:fldChar w:fldCharType="end"/>
    </w:r>
  </w:p>
  <w:p w:rsidR="006F31EB" w:rsidRDefault="006F31EB">
    <w:pPr>
      <w:pStyle w:val="Header"/>
    </w:pPr>
  </w:p>
  <w:p w:rsidR="006F31EB" w:rsidRDefault="006F31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B" w:rsidRDefault="006F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82B"/>
    <w:multiLevelType w:val="hybridMultilevel"/>
    <w:tmpl w:val="DB38A1E6"/>
    <w:lvl w:ilvl="0" w:tplc="1814FC06">
      <w:start w:val="3"/>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6B132F"/>
    <w:multiLevelType w:val="hybridMultilevel"/>
    <w:tmpl w:val="BB2AD3D6"/>
    <w:lvl w:ilvl="0" w:tplc="97A4DB90">
      <w:start w:val="1"/>
      <w:numFmt w:val="decimal"/>
      <w:lvlText w:val="%1."/>
      <w:lvlJc w:val="left"/>
      <w:pPr>
        <w:ind w:left="720" w:hanging="360"/>
      </w:pPr>
      <w:rPr>
        <w:lang w:val="ru-RU"/>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71B29A2"/>
    <w:multiLevelType w:val="hybridMultilevel"/>
    <w:tmpl w:val="5D1A0B48"/>
    <w:lvl w:ilvl="0" w:tplc="040A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61237B"/>
    <w:multiLevelType w:val="hybridMultilevel"/>
    <w:tmpl w:val="42D8AB74"/>
    <w:lvl w:ilvl="0" w:tplc="307C724A">
      <w:start w:val="1"/>
      <w:numFmt w:val="upperLetter"/>
      <w:lvlText w:val="%1."/>
      <w:lvlJc w:val="left"/>
      <w:pPr>
        <w:ind w:left="1800" w:hanging="360"/>
      </w:pPr>
      <w:rPr>
        <w:rFonts w:hint="default"/>
        <w: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4" w15:restartNumberingAfterBreak="0">
    <w:nsid w:val="1D6A166F"/>
    <w:multiLevelType w:val="hybridMultilevel"/>
    <w:tmpl w:val="CAB64834"/>
    <w:lvl w:ilvl="0" w:tplc="6B9A6380">
      <w:start w:val="1"/>
      <w:numFmt w:val="lowerLetter"/>
      <w:lvlText w:val="%1)"/>
      <w:lvlJc w:val="left"/>
      <w:pPr>
        <w:ind w:left="1080" w:hanging="360"/>
      </w:pPr>
      <w:rPr>
        <w:rFonts w:ascii="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25166AD9"/>
    <w:multiLevelType w:val="hybridMultilevel"/>
    <w:tmpl w:val="84729CD4"/>
    <w:lvl w:ilvl="0" w:tplc="040A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B162D1"/>
    <w:multiLevelType w:val="hybridMultilevel"/>
    <w:tmpl w:val="0B3EC3EC"/>
    <w:lvl w:ilvl="0" w:tplc="68A861F0">
      <w:start w:val="1"/>
      <w:numFmt w:val="decimal"/>
      <w:lvlText w:val="%1."/>
      <w:lvlJc w:val="left"/>
      <w:pPr>
        <w:ind w:left="630" w:hanging="360"/>
      </w:pPr>
      <w:rPr>
        <w:color w:val="auto"/>
      </w:rPr>
    </w:lvl>
    <w:lvl w:ilvl="1" w:tplc="E5963DB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4652E0"/>
    <w:multiLevelType w:val="hybridMultilevel"/>
    <w:tmpl w:val="D6FC3DBE"/>
    <w:lvl w:ilvl="0" w:tplc="040A0015">
      <w:start w:val="1"/>
      <w:numFmt w:val="upp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2"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3"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380B85"/>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8"/>
  </w:num>
  <w:num w:numId="4">
    <w:abstractNumId w:val="10"/>
  </w:num>
  <w:num w:numId="5">
    <w:abstractNumId w:val="1"/>
  </w:num>
  <w:num w:numId="6">
    <w:abstractNumId w:val="12"/>
  </w:num>
  <w:num w:numId="7">
    <w:abstractNumId w:val="3"/>
  </w:num>
  <w:num w:numId="8">
    <w:abstractNumId w:val="16"/>
  </w:num>
  <w:num w:numId="9">
    <w:abstractNumId w:val="2"/>
  </w:num>
  <w:num w:numId="10">
    <w:abstractNumId w:val="13"/>
  </w:num>
  <w:num w:numId="11">
    <w:abstractNumId w:val="9"/>
  </w:num>
  <w:num w:numId="12">
    <w:abstractNumId w:val="6"/>
  </w:num>
  <w:num w:numId="13">
    <w:abstractNumId w:val="14"/>
  </w:num>
  <w:num w:numId="14">
    <w:abstractNumId w:val="11"/>
  </w:num>
  <w:num w:numId="15">
    <w:abstractNumId w:val="5"/>
  </w:num>
  <w:num w:numId="16">
    <w:abstractNumId w:val="0"/>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6A4C"/>
    <w:rsid w:val="00010AD2"/>
    <w:rsid w:val="00016E95"/>
    <w:rsid w:val="00017343"/>
    <w:rsid w:val="00020DA6"/>
    <w:rsid w:val="00022BCE"/>
    <w:rsid w:val="00034138"/>
    <w:rsid w:val="00034CFC"/>
    <w:rsid w:val="00045A36"/>
    <w:rsid w:val="00060EAE"/>
    <w:rsid w:val="00065D76"/>
    <w:rsid w:val="00067A2C"/>
    <w:rsid w:val="0007166A"/>
    <w:rsid w:val="00072CF4"/>
    <w:rsid w:val="00074BB7"/>
    <w:rsid w:val="000B1A5D"/>
    <w:rsid w:val="000B486B"/>
    <w:rsid w:val="000B72BD"/>
    <w:rsid w:val="000C0F98"/>
    <w:rsid w:val="000C6716"/>
    <w:rsid w:val="000D2185"/>
    <w:rsid w:val="000E0F98"/>
    <w:rsid w:val="000E2595"/>
    <w:rsid w:val="000E653E"/>
    <w:rsid w:val="000F468D"/>
    <w:rsid w:val="000F7FF0"/>
    <w:rsid w:val="001001C6"/>
    <w:rsid w:val="001027F6"/>
    <w:rsid w:val="0011412C"/>
    <w:rsid w:val="001176A6"/>
    <w:rsid w:val="001242B3"/>
    <w:rsid w:val="00124339"/>
    <w:rsid w:val="0013210D"/>
    <w:rsid w:val="00132AAD"/>
    <w:rsid w:val="0013644F"/>
    <w:rsid w:val="0014124A"/>
    <w:rsid w:val="00143E86"/>
    <w:rsid w:val="00152492"/>
    <w:rsid w:val="00156E64"/>
    <w:rsid w:val="00160906"/>
    <w:rsid w:val="0016328C"/>
    <w:rsid w:val="001738F3"/>
    <w:rsid w:val="00175642"/>
    <w:rsid w:val="001767FA"/>
    <w:rsid w:val="00187CCD"/>
    <w:rsid w:val="0019353A"/>
    <w:rsid w:val="001A2168"/>
    <w:rsid w:val="001A4A90"/>
    <w:rsid w:val="001A5057"/>
    <w:rsid w:val="001A5173"/>
    <w:rsid w:val="001C0B47"/>
    <w:rsid w:val="001D0720"/>
    <w:rsid w:val="001D1EC4"/>
    <w:rsid w:val="001D6312"/>
    <w:rsid w:val="001E427B"/>
    <w:rsid w:val="001E4F83"/>
    <w:rsid w:val="001F4DCE"/>
    <w:rsid w:val="001F7AA9"/>
    <w:rsid w:val="00203FD4"/>
    <w:rsid w:val="00217F73"/>
    <w:rsid w:val="00221A9E"/>
    <w:rsid w:val="00227174"/>
    <w:rsid w:val="002442CE"/>
    <w:rsid w:val="002605B0"/>
    <w:rsid w:val="00264464"/>
    <w:rsid w:val="00274BEB"/>
    <w:rsid w:val="00281F32"/>
    <w:rsid w:val="0029735C"/>
    <w:rsid w:val="002C19E5"/>
    <w:rsid w:val="002D7067"/>
    <w:rsid w:val="002F42D3"/>
    <w:rsid w:val="00311D4C"/>
    <w:rsid w:val="00316D91"/>
    <w:rsid w:val="003172B4"/>
    <w:rsid w:val="003217A9"/>
    <w:rsid w:val="00330EA5"/>
    <w:rsid w:val="00333677"/>
    <w:rsid w:val="003356CC"/>
    <w:rsid w:val="00347B6F"/>
    <w:rsid w:val="003554CC"/>
    <w:rsid w:val="00362A9A"/>
    <w:rsid w:val="00384489"/>
    <w:rsid w:val="00384D09"/>
    <w:rsid w:val="00385FAA"/>
    <w:rsid w:val="00386CD0"/>
    <w:rsid w:val="0039376C"/>
    <w:rsid w:val="00394561"/>
    <w:rsid w:val="003969EF"/>
    <w:rsid w:val="003C7811"/>
    <w:rsid w:val="003D265E"/>
    <w:rsid w:val="003E1C26"/>
    <w:rsid w:val="003F7C80"/>
    <w:rsid w:val="00405910"/>
    <w:rsid w:val="00411584"/>
    <w:rsid w:val="004169CF"/>
    <w:rsid w:val="00417157"/>
    <w:rsid w:val="004216CB"/>
    <w:rsid w:val="004273FA"/>
    <w:rsid w:val="004303D9"/>
    <w:rsid w:val="00435220"/>
    <w:rsid w:val="00443379"/>
    <w:rsid w:val="00452297"/>
    <w:rsid w:val="00453B3E"/>
    <w:rsid w:val="004545A4"/>
    <w:rsid w:val="004757E4"/>
    <w:rsid w:val="0048238E"/>
    <w:rsid w:val="00497555"/>
    <w:rsid w:val="004A068D"/>
    <w:rsid w:val="004A6CE0"/>
    <w:rsid w:val="004B05FD"/>
    <w:rsid w:val="004B44DE"/>
    <w:rsid w:val="004B5E4F"/>
    <w:rsid w:val="004C31EB"/>
    <w:rsid w:val="004E2293"/>
    <w:rsid w:val="004F6338"/>
    <w:rsid w:val="00532076"/>
    <w:rsid w:val="005347FF"/>
    <w:rsid w:val="00535F90"/>
    <w:rsid w:val="005365CB"/>
    <w:rsid w:val="00536853"/>
    <w:rsid w:val="005425FB"/>
    <w:rsid w:val="00566E5F"/>
    <w:rsid w:val="005675C3"/>
    <w:rsid w:val="00567EDB"/>
    <w:rsid w:val="005845E0"/>
    <w:rsid w:val="00586F8D"/>
    <w:rsid w:val="00592E53"/>
    <w:rsid w:val="0059349D"/>
    <w:rsid w:val="005948AF"/>
    <w:rsid w:val="00595E92"/>
    <w:rsid w:val="005B08C6"/>
    <w:rsid w:val="005B095D"/>
    <w:rsid w:val="005C6111"/>
    <w:rsid w:val="005D2533"/>
    <w:rsid w:val="005D3BBD"/>
    <w:rsid w:val="005D4AD9"/>
    <w:rsid w:val="005E7D9D"/>
    <w:rsid w:val="005F162B"/>
    <w:rsid w:val="00605198"/>
    <w:rsid w:val="00612ED6"/>
    <w:rsid w:val="00616DB7"/>
    <w:rsid w:val="00634B8F"/>
    <w:rsid w:val="00635A81"/>
    <w:rsid w:val="00644589"/>
    <w:rsid w:val="00660738"/>
    <w:rsid w:val="0066496C"/>
    <w:rsid w:val="00664EAA"/>
    <w:rsid w:val="00671687"/>
    <w:rsid w:val="00673365"/>
    <w:rsid w:val="00677FC1"/>
    <w:rsid w:val="006A4DCE"/>
    <w:rsid w:val="006A51C1"/>
    <w:rsid w:val="006B1D88"/>
    <w:rsid w:val="006B5A3D"/>
    <w:rsid w:val="006B723D"/>
    <w:rsid w:val="006C209A"/>
    <w:rsid w:val="006C6093"/>
    <w:rsid w:val="006D648D"/>
    <w:rsid w:val="006E3F98"/>
    <w:rsid w:val="006F223A"/>
    <w:rsid w:val="006F31EB"/>
    <w:rsid w:val="006F389E"/>
    <w:rsid w:val="00701A08"/>
    <w:rsid w:val="00704D99"/>
    <w:rsid w:val="0070788C"/>
    <w:rsid w:val="00711209"/>
    <w:rsid w:val="0071601F"/>
    <w:rsid w:val="00731B82"/>
    <w:rsid w:val="00735E59"/>
    <w:rsid w:val="00750BB9"/>
    <w:rsid w:val="0077723B"/>
    <w:rsid w:val="00780079"/>
    <w:rsid w:val="00787166"/>
    <w:rsid w:val="0079634D"/>
    <w:rsid w:val="007A159A"/>
    <w:rsid w:val="007B0208"/>
    <w:rsid w:val="007B2633"/>
    <w:rsid w:val="007B730F"/>
    <w:rsid w:val="007D183B"/>
    <w:rsid w:val="007D4DA0"/>
    <w:rsid w:val="007F6E46"/>
    <w:rsid w:val="0080367D"/>
    <w:rsid w:val="008167FF"/>
    <w:rsid w:val="008170A8"/>
    <w:rsid w:val="00821248"/>
    <w:rsid w:val="00824C80"/>
    <w:rsid w:val="0082716E"/>
    <w:rsid w:val="008351AB"/>
    <w:rsid w:val="00835869"/>
    <w:rsid w:val="008425FF"/>
    <w:rsid w:val="008459D4"/>
    <w:rsid w:val="008461D2"/>
    <w:rsid w:val="00853A7F"/>
    <w:rsid w:val="00857384"/>
    <w:rsid w:val="00866B2B"/>
    <w:rsid w:val="00870079"/>
    <w:rsid w:val="00871FF0"/>
    <w:rsid w:val="00895F81"/>
    <w:rsid w:val="008A173A"/>
    <w:rsid w:val="008E52F4"/>
    <w:rsid w:val="008F28A3"/>
    <w:rsid w:val="00906569"/>
    <w:rsid w:val="00911E55"/>
    <w:rsid w:val="00936A35"/>
    <w:rsid w:val="00937F35"/>
    <w:rsid w:val="00950912"/>
    <w:rsid w:val="00960467"/>
    <w:rsid w:val="00976A5E"/>
    <w:rsid w:val="009772E5"/>
    <w:rsid w:val="00996B1B"/>
    <w:rsid w:val="009A01DA"/>
    <w:rsid w:val="009A170B"/>
    <w:rsid w:val="009A2332"/>
    <w:rsid w:val="009B0190"/>
    <w:rsid w:val="009C6949"/>
    <w:rsid w:val="009C7571"/>
    <w:rsid w:val="009E11C4"/>
    <w:rsid w:val="009E71AA"/>
    <w:rsid w:val="00A00708"/>
    <w:rsid w:val="00A05AC0"/>
    <w:rsid w:val="00A05EC2"/>
    <w:rsid w:val="00A23040"/>
    <w:rsid w:val="00A25050"/>
    <w:rsid w:val="00A30C14"/>
    <w:rsid w:val="00A420CD"/>
    <w:rsid w:val="00A51A90"/>
    <w:rsid w:val="00A539F0"/>
    <w:rsid w:val="00A53C7F"/>
    <w:rsid w:val="00A73921"/>
    <w:rsid w:val="00A76C33"/>
    <w:rsid w:val="00AA497C"/>
    <w:rsid w:val="00AA5CB1"/>
    <w:rsid w:val="00AB25C4"/>
    <w:rsid w:val="00AC389C"/>
    <w:rsid w:val="00AD62D5"/>
    <w:rsid w:val="00AE1D25"/>
    <w:rsid w:val="00B00A94"/>
    <w:rsid w:val="00B02DF6"/>
    <w:rsid w:val="00B07659"/>
    <w:rsid w:val="00B20661"/>
    <w:rsid w:val="00B2360E"/>
    <w:rsid w:val="00B300CE"/>
    <w:rsid w:val="00B4667B"/>
    <w:rsid w:val="00B47918"/>
    <w:rsid w:val="00B64D1D"/>
    <w:rsid w:val="00B728B4"/>
    <w:rsid w:val="00B73D17"/>
    <w:rsid w:val="00B8222A"/>
    <w:rsid w:val="00B82A53"/>
    <w:rsid w:val="00B86075"/>
    <w:rsid w:val="00B910C8"/>
    <w:rsid w:val="00B931B9"/>
    <w:rsid w:val="00B946A7"/>
    <w:rsid w:val="00BB3941"/>
    <w:rsid w:val="00BB5509"/>
    <w:rsid w:val="00BB606D"/>
    <w:rsid w:val="00BB6D21"/>
    <w:rsid w:val="00BC42BE"/>
    <w:rsid w:val="00BD6C6F"/>
    <w:rsid w:val="00BE2F90"/>
    <w:rsid w:val="00BF0FB4"/>
    <w:rsid w:val="00BF16DF"/>
    <w:rsid w:val="00BF6D15"/>
    <w:rsid w:val="00C0422A"/>
    <w:rsid w:val="00C14086"/>
    <w:rsid w:val="00C17526"/>
    <w:rsid w:val="00C24AF6"/>
    <w:rsid w:val="00C40093"/>
    <w:rsid w:val="00C57FDF"/>
    <w:rsid w:val="00C75456"/>
    <w:rsid w:val="00C815C1"/>
    <w:rsid w:val="00C8206C"/>
    <w:rsid w:val="00C82E7D"/>
    <w:rsid w:val="00C905F1"/>
    <w:rsid w:val="00C96F9F"/>
    <w:rsid w:val="00CB5393"/>
    <w:rsid w:val="00CD0D5B"/>
    <w:rsid w:val="00CD7C18"/>
    <w:rsid w:val="00CF5564"/>
    <w:rsid w:val="00D14062"/>
    <w:rsid w:val="00D22AFC"/>
    <w:rsid w:val="00D3141C"/>
    <w:rsid w:val="00D3190E"/>
    <w:rsid w:val="00D33842"/>
    <w:rsid w:val="00D6315F"/>
    <w:rsid w:val="00D731CE"/>
    <w:rsid w:val="00D7716F"/>
    <w:rsid w:val="00D80711"/>
    <w:rsid w:val="00D82E82"/>
    <w:rsid w:val="00D8691C"/>
    <w:rsid w:val="00DB3733"/>
    <w:rsid w:val="00DC23C1"/>
    <w:rsid w:val="00DC6511"/>
    <w:rsid w:val="00DC764D"/>
    <w:rsid w:val="00DE16C7"/>
    <w:rsid w:val="00DE4301"/>
    <w:rsid w:val="00DF1C46"/>
    <w:rsid w:val="00E04388"/>
    <w:rsid w:val="00E11209"/>
    <w:rsid w:val="00E12812"/>
    <w:rsid w:val="00E130FC"/>
    <w:rsid w:val="00E2016F"/>
    <w:rsid w:val="00E21ADC"/>
    <w:rsid w:val="00E375A4"/>
    <w:rsid w:val="00E54885"/>
    <w:rsid w:val="00E57996"/>
    <w:rsid w:val="00E62C67"/>
    <w:rsid w:val="00E80F7C"/>
    <w:rsid w:val="00E816A5"/>
    <w:rsid w:val="00E81BF3"/>
    <w:rsid w:val="00E83B31"/>
    <w:rsid w:val="00E85C02"/>
    <w:rsid w:val="00E86D31"/>
    <w:rsid w:val="00E872C7"/>
    <w:rsid w:val="00E924DD"/>
    <w:rsid w:val="00E97396"/>
    <w:rsid w:val="00EA0F6F"/>
    <w:rsid w:val="00EB04F7"/>
    <w:rsid w:val="00EB4272"/>
    <w:rsid w:val="00EB5507"/>
    <w:rsid w:val="00EC4671"/>
    <w:rsid w:val="00EC6B9D"/>
    <w:rsid w:val="00ED139B"/>
    <w:rsid w:val="00ED170A"/>
    <w:rsid w:val="00EE2EF5"/>
    <w:rsid w:val="00EE4142"/>
    <w:rsid w:val="00EE66A8"/>
    <w:rsid w:val="00EF6AEC"/>
    <w:rsid w:val="00F00AFC"/>
    <w:rsid w:val="00F03443"/>
    <w:rsid w:val="00F074D1"/>
    <w:rsid w:val="00F20BC0"/>
    <w:rsid w:val="00F218CB"/>
    <w:rsid w:val="00F26CC6"/>
    <w:rsid w:val="00F3179F"/>
    <w:rsid w:val="00F55D3C"/>
    <w:rsid w:val="00F66D32"/>
    <w:rsid w:val="00F86FB3"/>
    <w:rsid w:val="00F909EE"/>
    <w:rsid w:val="00FA166B"/>
    <w:rsid w:val="00FB1229"/>
    <w:rsid w:val="00FB53B8"/>
    <w:rsid w:val="00FC435E"/>
    <w:rsid w:val="00FC691C"/>
    <w:rsid w:val="00FD3647"/>
    <w:rsid w:val="00FE0090"/>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70249"/>
  <w15:docId w15:val="{925C47E8-1F8B-4923-861D-1A17061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rsid w:val="00671687"/>
    <w:pPr>
      <w:tabs>
        <w:tab w:val="center" w:pos="4320"/>
        <w:tab w:val="right" w:pos="8640"/>
      </w:tabs>
    </w:pPr>
    <w:rPr>
      <w:rFonts w:eastAsia="Times New Roman" w:cs="Times New Roman"/>
      <w:sz w:val="20"/>
    </w:rPr>
  </w:style>
  <w:style w:type="character" w:customStyle="1" w:styleId="HeaderChar">
    <w:name w:val="Header Char"/>
    <w:link w:val="Header"/>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Footer">
    <w:name w:val="footer"/>
    <w:basedOn w:val="Normal"/>
    <w:link w:val="FooterChar"/>
    <w:unhideWhenUsed/>
    <w:rsid w:val="00FC435E"/>
    <w:pPr>
      <w:tabs>
        <w:tab w:val="center" w:pos="4680"/>
        <w:tab w:val="right" w:pos="9360"/>
      </w:tabs>
    </w:pPr>
    <w:rPr>
      <w:rFonts w:cs="Times New Roman"/>
    </w:rPr>
  </w:style>
  <w:style w:type="character" w:customStyle="1" w:styleId="FooterChar">
    <w:name w:val="Footer Char"/>
    <w:link w:val="Footer"/>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semiHidden/>
    <w:unhideWhenUsed/>
    <w:rsid w:val="004E2293"/>
    <w:rPr>
      <w:rFonts w:cs="Times New Roman"/>
      <w:sz w:val="20"/>
      <w:szCs w:val="20"/>
    </w:rPr>
  </w:style>
  <w:style w:type="character" w:customStyle="1" w:styleId="CommentTextChar">
    <w:name w:val="Comment Text Char"/>
    <w:link w:val="CommentText"/>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styleId="ListTable6Colorful">
    <w:name w:val="List Table 6 Colorful"/>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EC4671"/>
    <w:rPr>
      <w:rFonts w:ascii="Times New Roman" w:eastAsia="Times New Roman" w:hAnsi="Times New Roman"/>
      <w:i/>
      <w:iCs/>
      <w:sz w:val="22"/>
      <w:szCs w:val="24"/>
      <w:lang w:val="en-GB" w:eastAsia="en-US"/>
    </w:rPr>
  </w:style>
  <w:style w:type="character" w:styleId="Hyperlink">
    <w:name w:val="Hyperlink"/>
    <w:unhideWhenUsed/>
    <w:rsid w:val="00EC4671"/>
    <w:rPr>
      <w:color w:val="0000FF"/>
      <w:sz w:val="18"/>
      <w:u w:val="single"/>
    </w:rPr>
  </w:style>
  <w:style w:type="character" w:styleId="FollowedHyperlink">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semiHidden/>
    <w:unhideWhenUsed/>
    <w:rsid w:val="00EC4671"/>
    <w:pPr>
      <w:ind w:left="720" w:hanging="720"/>
    </w:pPr>
    <w:rPr>
      <w:rFonts w:eastAsia="Times New Roman" w:cs="Times New Roman"/>
      <w:caps/>
      <w:lang w:val="en-GB"/>
    </w:rPr>
  </w:style>
  <w:style w:type="paragraph" w:styleId="TOC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semiHidden/>
    <w:unhideWhenUsed/>
    <w:rsid w:val="00EC4671"/>
    <w:pPr>
      <w:ind w:left="2160" w:hanging="720"/>
    </w:pPr>
    <w:rPr>
      <w:rFonts w:eastAsia="Times New Roman" w:cs="Times New Roman"/>
      <w:lang w:val="en-GB"/>
    </w:rPr>
  </w:style>
  <w:style w:type="paragraph" w:styleId="TOC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semiHidden/>
    <w:rsid w:val="00EC4671"/>
    <w:rPr>
      <w:rFonts w:ascii="Courier New" w:eastAsia="Times New Roman" w:hAnsi="Courier New"/>
      <w:sz w:val="22"/>
      <w:szCs w:val="24"/>
      <w:lang w:val="en-GB" w:eastAsia="en-US"/>
    </w:rPr>
  </w:style>
  <w:style w:type="paragraph" w:styleId="TOAHeading">
    <w:name w:val="toa heading"/>
    <w:basedOn w:val="Normal"/>
    <w:next w:val="Normal"/>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qFormat/>
    <w:rsid w:val="00EC4671"/>
    <w:rPr>
      <w:rFonts w:eastAsia="Times New Roman"/>
      <w:i w:val="0"/>
      <w:sz w:val="22"/>
      <w:lang w:val="en-GB"/>
    </w:rPr>
  </w:style>
  <w:style w:type="paragraph" w:customStyle="1" w:styleId="Item">
    <w:name w:val="Item"/>
    <w:basedOn w:val="Normal"/>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qFormat/>
    <w:rsid w:val="00EC4671"/>
    <w:rPr>
      <w:rFonts w:eastAsia="Times New Roman"/>
      <w:sz w:val="22"/>
      <w:lang w:val="en-GB"/>
    </w:rPr>
  </w:style>
  <w:style w:type="paragraph" w:customStyle="1" w:styleId="reference">
    <w:name w:val="reference"/>
    <w:basedOn w:val="Heading9"/>
    <w:qFormat/>
    <w:rsid w:val="00EC4671"/>
    <w:rPr>
      <w:i w:val="0"/>
      <w:sz w:val="18"/>
    </w:rPr>
  </w:style>
  <w:style w:type="paragraph" w:customStyle="1" w:styleId="CBD-Doc">
    <w:name w:val="CBD-Doc"/>
    <w:basedOn w:val="Normal"/>
    <w:rsid w:val="00EC4671"/>
    <w:pPr>
      <w:keepLines/>
      <w:numPr>
        <w:numId w:val="2"/>
      </w:numPr>
      <w:spacing w:after="120"/>
    </w:pPr>
    <w:rPr>
      <w:rFonts w:eastAsia="Times New Roman"/>
      <w:lang w:val="en-GB"/>
    </w:rPr>
  </w:style>
  <w:style w:type="paragraph" w:customStyle="1" w:styleId="CBD-Doc-Type">
    <w:name w:val="CBD-Doc-Type"/>
    <w:basedOn w:val="Normal"/>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rsid w:val="00EC4671"/>
    <w:pPr>
      <w:ind w:left="170" w:right="3119" w:hanging="170"/>
      <w:jc w:val="left"/>
    </w:pPr>
    <w:rPr>
      <w:rFonts w:eastAsia="Times New Roman" w:cs="Times New Roman"/>
      <w:lang w:val="en-GB"/>
    </w:rPr>
  </w:style>
  <w:style w:type="paragraph" w:customStyle="1" w:styleId="HEADING">
    <w:name w:val="HEADING"/>
    <w:basedOn w:val="Normal"/>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rsid w:val="00EC4671"/>
    <w:pPr>
      <w:ind w:left="2127" w:hanging="1276"/>
    </w:pPr>
  </w:style>
  <w:style w:type="paragraph" w:customStyle="1" w:styleId="heading2notforTOC">
    <w:name w:val="heading 2 not for TOC"/>
    <w:basedOn w:val="Heading3"/>
    <w:rsid w:val="00EC4671"/>
  </w:style>
  <w:style w:type="paragraph" w:customStyle="1" w:styleId="Heading3multiline">
    <w:name w:val="Heading 3 (multiline)"/>
    <w:basedOn w:val="Heading3"/>
    <w:next w:val="Normal"/>
    <w:rsid w:val="00EC4671"/>
    <w:pPr>
      <w:ind w:left="1418" w:hanging="425"/>
      <w:jc w:val="left"/>
    </w:pPr>
  </w:style>
  <w:style w:type="paragraph" w:customStyle="1" w:styleId="Heading4indent">
    <w:name w:val="Heading 4 indent"/>
    <w:basedOn w:val="Heading4"/>
    <w:rsid w:val="00EC4671"/>
    <w:pPr>
      <w:ind w:left="720"/>
      <w:outlineLvl w:val="9"/>
    </w:pPr>
    <w:rPr>
      <w:rFonts w:ascii="Times New Roman" w:hAnsi="Times New Roman"/>
    </w:rPr>
  </w:style>
  <w:style w:type="paragraph" w:customStyle="1" w:styleId="Para2">
    <w:name w:val="Para2"/>
    <w:basedOn w:val="Para1"/>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Heading2"/>
    <w:qFormat/>
    <w:rsid w:val="00EC4671"/>
    <w:pPr>
      <w:jc w:val="left"/>
      <w:outlineLvl w:val="9"/>
    </w:pPr>
    <w:rPr>
      <w:rFonts w:eastAsia="Times New Roman"/>
      <w:sz w:val="22"/>
      <w:lang w:val="en-GB"/>
    </w:rPr>
  </w:style>
  <w:style w:type="character" w:styleId="PageNumber">
    <w:name w:val="page number"/>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59"/>
    <w:rsid w:val="00EC4671"/>
    <w:rPr>
      <w:rFonts w:asciiTheme="minorHAnsi" w:eastAsiaTheme="minorEastAsia" w:hAnsiTheme="minorHAnsi" w:cstheme="minorBidi"/>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110">
      <w:bodyDiv w:val="1"/>
      <w:marLeft w:val="0"/>
      <w:marRight w:val="0"/>
      <w:marTop w:val="0"/>
      <w:marBottom w:val="0"/>
      <w:divBdr>
        <w:top w:val="none" w:sz="0" w:space="0" w:color="auto"/>
        <w:left w:val="none" w:sz="0" w:space="0" w:color="auto"/>
        <w:bottom w:val="none" w:sz="0" w:space="0" w:color="auto"/>
        <w:right w:val="none" w:sz="0" w:space="0" w:color="auto"/>
      </w:divBdr>
    </w:div>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1167867521">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508901890">
      <w:bodyDiv w:val="1"/>
      <w:marLeft w:val="0"/>
      <w:marRight w:val="0"/>
      <w:marTop w:val="0"/>
      <w:marBottom w:val="0"/>
      <w:divBdr>
        <w:top w:val="none" w:sz="0" w:space="0" w:color="auto"/>
        <w:left w:val="none" w:sz="0" w:space="0" w:color="auto"/>
        <w:bottom w:val="none" w:sz="0" w:space="0" w:color="auto"/>
        <w:right w:val="none" w:sz="0" w:space="0" w:color="auto"/>
      </w:divBdr>
    </w:div>
    <w:div w:id="1526749507">
      <w:bodyDiv w:val="1"/>
      <w:marLeft w:val="0"/>
      <w:marRight w:val="0"/>
      <w:marTop w:val="0"/>
      <w:marBottom w:val="0"/>
      <w:divBdr>
        <w:top w:val="none" w:sz="0" w:space="0" w:color="auto"/>
        <w:left w:val="none" w:sz="0" w:space="0" w:color="auto"/>
        <w:bottom w:val="none" w:sz="0" w:space="0" w:color="auto"/>
        <w:right w:val="none" w:sz="0" w:space="0" w:color="auto"/>
      </w:divBdr>
    </w:div>
    <w:div w:id="1645044691">
      <w:bodyDiv w:val="1"/>
      <w:marLeft w:val="0"/>
      <w:marRight w:val="0"/>
      <w:marTop w:val="0"/>
      <w:marBottom w:val="0"/>
      <w:divBdr>
        <w:top w:val="none" w:sz="0" w:space="0" w:color="auto"/>
        <w:left w:val="none" w:sz="0" w:space="0" w:color="auto"/>
        <w:bottom w:val="none" w:sz="0" w:space="0" w:color="auto"/>
        <w:right w:val="none" w:sz="0" w:space="0" w:color="auto"/>
      </w:divBdr>
    </w:div>
    <w:div w:id="1649242485">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ru.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67060156643E39B63222C1470574F"/>
        <w:category>
          <w:name w:val="General"/>
          <w:gallery w:val="placeholder"/>
        </w:category>
        <w:types>
          <w:type w:val="bbPlcHdr"/>
        </w:types>
        <w:behaviors>
          <w:behavior w:val="content"/>
        </w:behaviors>
        <w:guid w:val="{B55FBF3C-DA66-495B-8BC3-BE421809C34E}"/>
      </w:docPartPr>
      <w:docPartBody>
        <w:p w:rsidR="00952A1B" w:rsidRDefault="00F07116" w:rsidP="00F07116">
          <w:pPr>
            <w:pStyle w:val="27267060156643E39B63222C1470574F"/>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16"/>
    <w:rsid w:val="00040BB0"/>
    <w:rsid w:val="005B7BC6"/>
    <w:rsid w:val="006122F2"/>
    <w:rsid w:val="00660F6A"/>
    <w:rsid w:val="00902BC2"/>
    <w:rsid w:val="00952A1B"/>
    <w:rsid w:val="00F07116"/>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BB0"/>
    <w:rPr>
      <w:color w:val="808080"/>
    </w:rPr>
  </w:style>
  <w:style w:type="paragraph" w:customStyle="1" w:styleId="CA00B3D0ABA24BC4B4F9BF58B409F2AF">
    <w:name w:val="CA00B3D0ABA24BC4B4F9BF58B409F2AF"/>
    <w:rsid w:val="00F07116"/>
  </w:style>
  <w:style w:type="paragraph" w:customStyle="1" w:styleId="27267060156643E39B63222C1470574F">
    <w:name w:val="27267060156643E39B63222C1470574F"/>
    <w:rsid w:val="00F07116"/>
  </w:style>
  <w:style w:type="paragraph" w:customStyle="1" w:styleId="03E2AB6641E14CBC996F8D5503B5AB11">
    <w:name w:val="03E2AB6641E14CBC996F8D5503B5AB11"/>
    <w:rsid w:val="00040BB0"/>
  </w:style>
  <w:style w:type="paragraph" w:customStyle="1" w:styleId="8767D6814DBD41D59A18FF75C4E99CEE">
    <w:name w:val="8767D6814DBD41D59A18FF75C4E99CEE"/>
    <w:rsid w:val="00040BB0"/>
  </w:style>
  <w:style w:type="paragraph" w:customStyle="1" w:styleId="6640F4BD7078471E8D6B37572FD04932">
    <w:name w:val="6640F4BD7078471E8D6B37572FD04932"/>
    <w:rsid w:val="00040BB0"/>
  </w:style>
  <w:style w:type="paragraph" w:customStyle="1" w:styleId="BC8632DF87C8439F950739070C42553B">
    <w:name w:val="BC8632DF87C8439F950739070C42553B"/>
    <w:rsid w:val="0004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AA34-189A-49EB-9ECD-A3CE2DC9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33</Pages>
  <Words>8067</Words>
  <Characters>45988</Characters>
  <Application>Microsoft Office Word</Application>
  <DocSecurity>0</DocSecurity>
  <Lines>383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ПРЕДЛАГАЕМЫЙ ВРЕМЕННЫЙ БЮДЖЕТ ДЛЯ ПРОГРАММЫ РАБОТЫ КОНВЕНЦИИ О БИОЛОГИЧЕСКОМ РАЗНООБРАЗИИ, КАТАХЕНСКОГО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vt:lpstr>
      <vt:lpstr>Provisional agenda</vt:lpstr>
    </vt:vector>
  </TitlesOfParts>
  <Company>SCBD</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на 2021 год</dc:title>
  <dc:subject>CBD/ExCOP/2/2 CBD/CP/ExMOP/1/2 CBD/NP/ExMOP/1/2</dc:subject>
  <dc:creator>SCBD</dc:creator>
  <cp:keywords>Subsidiary Body on Implementation, third meeting, Montreal, Canada, 25-30 May 2020, Convention on Biological Diversity</cp:keywords>
  <cp:lastModifiedBy>Xue He Yan</cp:lastModifiedBy>
  <cp:revision>150</cp:revision>
  <cp:lastPrinted>2019-03-05T19:56:00Z</cp:lastPrinted>
  <dcterms:created xsi:type="dcterms:W3CDTF">2020-09-21T15:58:00Z</dcterms:created>
  <dcterms:modified xsi:type="dcterms:W3CDTF">2020-09-22T17:38:00Z</dcterms:modified>
</cp:coreProperties>
</file>