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528"/>
      </w:tblGrid>
      <w:tr w:rsidR="00A96B21" w:rsidRPr="00EA442C" w14:paraId="2724E786" w14:textId="77777777" w:rsidTr="00D85059">
        <w:trPr>
          <w:trHeight w:val="851"/>
        </w:trPr>
        <w:tc>
          <w:tcPr>
            <w:tcW w:w="472" w:type="pct"/>
            <w:tcBorders>
              <w:bottom w:val="single" w:sz="8" w:space="0" w:color="auto"/>
            </w:tcBorders>
            <w:vAlign w:val="bottom"/>
          </w:tcPr>
          <w:p w14:paraId="43399B3D" w14:textId="77777777" w:rsidR="00A96B21" w:rsidRPr="00550DCE" w:rsidRDefault="00A96B21" w:rsidP="00B60E5F">
            <w:pPr>
              <w:spacing w:after="120"/>
              <w:jc w:val="left"/>
            </w:pPr>
            <w:bookmarkStart w:id="0" w:name="_Hlk137651738"/>
            <w:r w:rsidRPr="00550DCE">
              <w:rPr>
                <w:noProof/>
              </w:rPr>
              <w:drawing>
                <wp:inline distT="0" distB="0" distL="0" distR="0" wp14:anchorId="33384DBF" wp14:editId="120B724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7" w:type="pct"/>
            <w:tcBorders>
              <w:bottom w:val="single" w:sz="8" w:space="0" w:color="auto"/>
            </w:tcBorders>
            <w:shd w:val="clear" w:color="auto" w:fill="auto"/>
            <w:tcFitText/>
            <w:vAlign w:val="bottom"/>
          </w:tcPr>
          <w:p w14:paraId="1405570B" w14:textId="77777777" w:rsidR="00A96B21" w:rsidRPr="00550DCE" w:rsidRDefault="00A96B21" w:rsidP="00B60E5F">
            <w:pPr>
              <w:spacing w:after="120"/>
              <w:jc w:val="left"/>
            </w:pPr>
            <w:r w:rsidRPr="00550DCE">
              <w:rPr>
                <w:noProof/>
              </w:rPr>
              <w:drawing>
                <wp:inline distT="0" distB="0" distL="0" distR="0" wp14:anchorId="5C2CCC9D" wp14:editId="3DB2784E">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71" w:type="pct"/>
            <w:tcBorders>
              <w:bottom w:val="single" w:sz="8" w:space="0" w:color="auto"/>
            </w:tcBorders>
            <w:vAlign w:val="bottom"/>
          </w:tcPr>
          <w:p w14:paraId="2BE91059" w14:textId="38712973" w:rsidR="00A96B21" w:rsidRPr="00550DCE" w:rsidRDefault="00A96B21" w:rsidP="00184909">
            <w:pPr>
              <w:spacing w:after="120"/>
              <w:ind w:left="2021"/>
              <w:jc w:val="right"/>
              <w:rPr>
                <w:szCs w:val="22"/>
              </w:rPr>
            </w:pPr>
            <w:r w:rsidRPr="00550DCE">
              <w:rPr>
                <w:sz w:val="40"/>
                <w:szCs w:val="40"/>
              </w:rPr>
              <w:t>CBD</w:t>
            </w:r>
            <w:r w:rsidRPr="00090592">
              <w:rPr>
                <w:szCs w:val="22"/>
              </w:rPr>
              <w:t>/</w:t>
            </w:r>
            <w:r w:rsidR="000473CD" w:rsidRPr="00090592">
              <w:rPr>
                <w:szCs w:val="22"/>
              </w:rPr>
              <w:t>CP/CC/18/1</w:t>
            </w:r>
            <w:r w:rsidR="003C694B" w:rsidRPr="00090592">
              <w:rPr>
                <w:szCs w:val="22"/>
              </w:rPr>
              <w:t>/Add.1</w:t>
            </w:r>
          </w:p>
        </w:tc>
      </w:tr>
      <w:tr w:rsidR="00A96B21" w:rsidRPr="00EA442C" w14:paraId="026E5D1A" w14:textId="77777777" w:rsidTr="00D85059">
        <w:tc>
          <w:tcPr>
            <w:tcW w:w="2329" w:type="pct"/>
            <w:gridSpan w:val="2"/>
            <w:tcBorders>
              <w:top w:val="single" w:sz="8" w:space="0" w:color="auto"/>
              <w:bottom w:val="single" w:sz="12" w:space="0" w:color="auto"/>
            </w:tcBorders>
          </w:tcPr>
          <w:p w14:paraId="4DD2B434" w14:textId="77777777" w:rsidR="00A96B21" w:rsidRPr="00550DCE" w:rsidRDefault="00A96B21" w:rsidP="00B60E5F">
            <w:pPr>
              <w:pStyle w:val="Cornernotation"/>
              <w:suppressLineNumbers/>
              <w:suppressAutoHyphens/>
              <w:spacing w:before="120" w:after="120"/>
              <w:ind w:left="0" w:right="0" w:firstLine="0"/>
            </w:pPr>
            <w:r w:rsidRPr="00550DCE">
              <w:rPr>
                <w:b w:val="0"/>
                <w:bCs/>
                <w:noProof/>
              </w:rPr>
              <w:drawing>
                <wp:inline distT="0" distB="0" distL="0" distR="0" wp14:anchorId="02BE16F1" wp14:editId="5182BD6B">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71" w:type="pct"/>
            <w:tcBorders>
              <w:top w:val="single" w:sz="8" w:space="0" w:color="auto"/>
              <w:bottom w:val="single" w:sz="12" w:space="0" w:color="auto"/>
            </w:tcBorders>
          </w:tcPr>
          <w:p w14:paraId="27581565" w14:textId="77777777" w:rsidR="00A96B21" w:rsidRPr="003C6F10" w:rsidRDefault="00A96B21" w:rsidP="003C6F10">
            <w:pPr>
              <w:ind w:left="2584"/>
              <w:rPr>
                <w:sz w:val="22"/>
                <w:szCs w:val="22"/>
              </w:rPr>
            </w:pPr>
            <w:r w:rsidRPr="003C6F10">
              <w:rPr>
                <w:sz w:val="22"/>
                <w:szCs w:val="22"/>
              </w:rPr>
              <w:t>Distr.: General</w:t>
            </w:r>
          </w:p>
          <w:p w14:paraId="793989BF" w14:textId="05E45F08" w:rsidR="00A96B21" w:rsidRPr="001257E3" w:rsidRDefault="00BC030F" w:rsidP="003C6F10">
            <w:pPr>
              <w:ind w:left="2584"/>
              <w:rPr>
                <w:sz w:val="22"/>
                <w:szCs w:val="22"/>
                <w:lang w:val="es-ES"/>
              </w:rPr>
            </w:pPr>
            <w:r>
              <w:rPr>
                <w:sz w:val="22"/>
                <w:szCs w:val="22"/>
              </w:rPr>
              <w:t>21</w:t>
            </w:r>
            <w:r w:rsidR="00A96B21" w:rsidRPr="003C6F10">
              <w:rPr>
                <w:sz w:val="22"/>
                <w:szCs w:val="22"/>
              </w:rPr>
              <w:t xml:space="preserve"> June 2023</w:t>
            </w:r>
          </w:p>
          <w:p w14:paraId="2F665E39" w14:textId="77777777" w:rsidR="00A96B21" w:rsidRPr="003C6F10" w:rsidRDefault="00A96B21" w:rsidP="003C6F10">
            <w:pPr>
              <w:ind w:left="2584"/>
              <w:rPr>
                <w:sz w:val="22"/>
                <w:szCs w:val="22"/>
              </w:rPr>
            </w:pPr>
          </w:p>
          <w:p w14:paraId="053971AC" w14:textId="2C93FB7A" w:rsidR="00A96B21" w:rsidRPr="003C6F10" w:rsidRDefault="00A96B21" w:rsidP="003C6F10">
            <w:pPr>
              <w:ind w:left="2584"/>
              <w:rPr>
                <w:sz w:val="22"/>
                <w:szCs w:val="22"/>
              </w:rPr>
            </w:pPr>
            <w:r w:rsidRPr="003C6F10">
              <w:rPr>
                <w:sz w:val="22"/>
                <w:szCs w:val="22"/>
              </w:rPr>
              <w:t>English</w:t>
            </w:r>
            <w:r w:rsidR="00165495">
              <w:rPr>
                <w:sz w:val="22"/>
                <w:szCs w:val="22"/>
              </w:rPr>
              <w:t xml:space="preserve"> only</w:t>
            </w:r>
          </w:p>
          <w:p w14:paraId="07CA9979" w14:textId="77777777" w:rsidR="00A96B21" w:rsidRPr="00550DCE" w:rsidRDefault="00A96B21" w:rsidP="00B60E5F"/>
        </w:tc>
      </w:tr>
    </w:tbl>
    <w:p w14:paraId="5EE49B16" w14:textId="77777777" w:rsidR="00090592" w:rsidRDefault="002C16F6" w:rsidP="00090592">
      <w:pPr>
        <w:pStyle w:val="Cornernotation"/>
        <w:ind w:left="0" w:firstLine="0"/>
        <w:rPr>
          <w:bCs/>
        </w:rPr>
      </w:pPr>
      <w:r>
        <w:rPr>
          <w:bCs/>
        </w:rPr>
        <w:t xml:space="preserve">Compliance Committee under the </w:t>
      </w:r>
    </w:p>
    <w:p w14:paraId="5EF64D04" w14:textId="7096B9E0" w:rsidR="00874541" w:rsidRDefault="002C16F6" w:rsidP="00090592">
      <w:pPr>
        <w:pStyle w:val="Cornernotation"/>
        <w:ind w:left="0" w:firstLine="0"/>
        <w:rPr>
          <w:bCs/>
        </w:rPr>
      </w:pPr>
      <w:r>
        <w:rPr>
          <w:bCs/>
        </w:rPr>
        <w:t xml:space="preserve">Cartagena Protocol </w:t>
      </w:r>
      <w:r w:rsidR="00865337">
        <w:rPr>
          <w:bCs/>
        </w:rPr>
        <w:t>on</w:t>
      </w:r>
      <w:r w:rsidR="00090592">
        <w:rPr>
          <w:bCs/>
        </w:rPr>
        <w:t xml:space="preserve"> </w:t>
      </w:r>
      <w:r w:rsidR="00865337">
        <w:rPr>
          <w:bCs/>
        </w:rPr>
        <w:t>Biosafety</w:t>
      </w:r>
    </w:p>
    <w:p w14:paraId="29F5707E" w14:textId="32222726" w:rsidR="00A96B21" w:rsidRDefault="00620BC2" w:rsidP="00A96B21">
      <w:pPr>
        <w:pStyle w:val="Cornernotation"/>
        <w:rPr>
          <w:bCs/>
          <w:sz w:val="22"/>
          <w:szCs w:val="22"/>
        </w:rPr>
      </w:pPr>
      <w:r>
        <w:rPr>
          <w:bCs/>
          <w:sz w:val="22"/>
          <w:szCs w:val="22"/>
        </w:rPr>
        <w:t>Eighteenth</w:t>
      </w:r>
      <w:r w:rsidR="00A96B21" w:rsidRPr="00A96B21">
        <w:rPr>
          <w:bCs/>
          <w:sz w:val="22"/>
          <w:szCs w:val="22"/>
        </w:rPr>
        <w:t xml:space="preserve"> meeting </w:t>
      </w:r>
    </w:p>
    <w:p w14:paraId="47E95AAE" w14:textId="46DF5813" w:rsidR="00A96B21" w:rsidRPr="00935461" w:rsidRDefault="005F0C79" w:rsidP="00A96B21">
      <w:pPr>
        <w:pStyle w:val="Venuedate"/>
        <w:rPr>
          <w:lang w:val="en-CA"/>
        </w:rPr>
      </w:pPr>
      <w:r>
        <w:rPr>
          <w:lang w:val="en-CA"/>
        </w:rPr>
        <w:t xml:space="preserve">Montreal, Canada, </w:t>
      </w:r>
      <w:r w:rsidR="00CE00CF">
        <w:rPr>
          <w:lang w:val="en-CA"/>
        </w:rPr>
        <w:t>24</w:t>
      </w:r>
      <w:r w:rsidR="00765663">
        <w:rPr>
          <w:lang w:val="en-CA"/>
        </w:rPr>
        <w:t>–</w:t>
      </w:r>
      <w:r w:rsidR="00CE00CF">
        <w:rPr>
          <w:lang w:val="en-CA"/>
        </w:rPr>
        <w:t xml:space="preserve">26 October </w:t>
      </w:r>
      <w:r w:rsidR="00CE00CF" w:rsidRPr="00C9599A">
        <w:rPr>
          <w:lang w:val="en-CA"/>
        </w:rPr>
        <w:t>2023</w:t>
      </w:r>
    </w:p>
    <w:p w14:paraId="5E4894EF" w14:textId="009A7121" w:rsidR="00A96B21" w:rsidRDefault="00A96B21" w:rsidP="00A96B21">
      <w:pPr>
        <w:pStyle w:val="Cornernotation-Item"/>
      </w:pPr>
      <w:r>
        <w:t xml:space="preserve">Item </w:t>
      </w:r>
      <w:r w:rsidR="00425864">
        <w:t>2</w:t>
      </w:r>
      <w:r>
        <w:t xml:space="preserve"> of the provisional agenda</w:t>
      </w:r>
      <w:r>
        <w:rPr>
          <w:rStyle w:val="FootnoteReference"/>
        </w:rPr>
        <w:footnoteReference w:customMarkFollows="1" w:id="1"/>
        <w:t>*</w:t>
      </w:r>
    </w:p>
    <w:p w14:paraId="218678DB" w14:textId="35CB9673" w:rsidR="00A96B21" w:rsidRDefault="002E47CE" w:rsidP="00A96B21">
      <w:pPr>
        <w:pStyle w:val="Cornernotation-Item"/>
      </w:pPr>
      <w:r>
        <w:t>Organizational matters</w:t>
      </w:r>
    </w:p>
    <w:bookmarkEnd w:id="0"/>
    <w:p w14:paraId="3ED72FD7" w14:textId="1A81466E" w:rsidR="00A96B21" w:rsidRDefault="00000000" w:rsidP="00A96B21">
      <w:pPr>
        <w:pStyle w:val="Title"/>
      </w:pPr>
      <w:sdt>
        <w:sdtPr>
          <w:alias w:val="Title"/>
          <w:tag w:val=""/>
          <w:id w:val="-1975355689"/>
          <w:placeholder>
            <w:docPart w:val="85873151FE0645DEB80BE98531115152"/>
          </w:placeholder>
          <w:dataBinding w:prefixMappings="xmlns:ns0='http://purl.org/dc/elements/1.1/' xmlns:ns1='http://schemas.openxmlformats.org/package/2006/metadata/core-properties' " w:xpath="/ns1:coreProperties[1]/ns0:title[1]" w:storeItemID="{6C3C8BC8-F283-45AE-878A-BAB7291924A1}"/>
          <w:text/>
        </w:sdtPr>
        <w:sdtContent>
          <w:r w:rsidR="004D23F5">
            <w:t>Annotat</w:t>
          </w:r>
          <w:r w:rsidR="00090592">
            <w:t>ed</w:t>
          </w:r>
          <w:r w:rsidR="004D23F5">
            <w:t xml:space="preserve"> p</w:t>
          </w:r>
          <w:r w:rsidR="009F71CE">
            <w:t>rovisional agenda</w:t>
          </w:r>
        </w:sdtContent>
      </w:sdt>
    </w:p>
    <w:p w14:paraId="670B62EA" w14:textId="0F9C9D7E" w:rsidR="00250266" w:rsidRPr="003A290E" w:rsidRDefault="00250266" w:rsidP="00250266">
      <w:pPr>
        <w:pStyle w:val="Para1"/>
        <w:tabs>
          <w:tab w:val="left" w:pos="1080"/>
          <w:tab w:val="left" w:pos="1170"/>
        </w:tabs>
        <w:ind w:left="540"/>
        <w:rPr>
          <w:rFonts w:eastAsia="SimSun"/>
          <w:kern w:val="22"/>
        </w:rPr>
      </w:pPr>
      <w:r w:rsidRPr="002B2DFE">
        <w:rPr>
          <w:rFonts w:eastAsia="SimSun"/>
          <w:kern w:val="22"/>
          <w:szCs w:val="22"/>
          <w:lang w:eastAsia="zh-CN"/>
        </w:rPr>
        <w:t>T</w:t>
      </w:r>
      <w:r w:rsidRPr="007442CB">
        <w:rPr>
          <w:rFonts w:eastAsia="SimSun"/>
          <w:kern w:val="22"/>
          <w:szCs w:val="22"/>
          <w:lang w:eastAsia="zh-CN"/>
        </w:rPr>
        <w:t xml:space="preserve">he </w:t>
      </w:r>
      <w:r w:rsidRPr="007442CB">
        <w:rPr>
          <w:rFonts w:eastAsia="SimSun"/>
          <w:kern w:val="22"/>
        </w:rPr>
        <w:t xml:space="preserve">provisional agenda for the </w:t>
      </w:r>
      <w:r w:rsidRPr="003A290E">
        <w:rPr>
          <w:rFonts w:eastAsia="SimSun"/>
          <w:kern w:val="22"/>
        </w:rPr>
        <w:t>eighteenth meeting</w:t>
      </w:r>
      <w:r w:rsidRPr="003A290E">
        <w:rPr>
          <w:rFonts w:eastAsia="SimSun"/>
          <w:kern w:val="22"/>
          <w:szCs w:val="22"/>
          <w:lang w:eastAsia="zh-CN"/>
        </w:rPr>
        <w:t xml:space="preserve"> </w:t>
      </w:r>
      <w:r w:rsidRPr="003A290E">
        <w:rPr>
          <w:rFonts w:eastAsia="SimSun"/>
          <w:kern w:val="22"/>
        </w:rPr>
        <w:t xml:space="preserve">of the Committee </w:t>
      </w:r>
      <w:r w:rsidRPr="003A290E">
        <w:rPr>
          <w:rFonts w:eastAsia="SimSun"/>
          <w:kern w:val="22"/>
          <w:szCs w:val="22"/>
          <w:lang w:eastAsia="zh-CN"/>
        </w:rPr>
        <w:t xml:space="preserve">has been prepared </w:t>
      </w:r>
      <w:proofErr w:type="gramStart"/>
      <w:r w:rsidRPr="003A290E">
        <w:rPr>
          <w:rFonts w:eastAsia="SimSun"/>
          <w:kern w:val="22"/>
          <w:szCs w:val="22"/>
          <w:lang w:eastAsia="zh-CN"/>
        </w:rPr>
        <w:t>taking into account</w:t>
      </w:r>
      <w:proofErr w:type="gramEnd"/>
      <w:r w:rsidRPr="003A290E">
        <w:rPr>
          <w:rFonts w:eastAsia="SimSun"/>
          <w:kern w:val="22"/>
          <w:szCs w:val="22"/>
          <w:lang w:eastAsia="zh-CN"/>
        </w:rPr>
        <w:t xml:space="preserve"> </w:t>
      </w:r>
      <w:r w:rsidRPr="003A290E">
        <w:rPr>
          <w:rFonts w:eastAsia="SimSun"/>
          <w:kern w:val="22"/>
        </w:rPr>
        <w:t>the cyclical organization of work agreed to by the Committee at its eighth meeting,</w:t>
      </w:r>
      <w:r w:rsidRPr="003A290E">
        <w:rPr>
          <w:rStyle w:val="FootnoteReference"/>
          <w:rFonts w:eastAsia="SimSun"/>
          <w:kern w:val="22"/>
          <w:szCs w:val="22"/>
        </w:rPr>
        <w:footnoteReference w:id="2"/>
      </w:r>
      <w:r w:rsidRPr="003A290E">
        <w:rPr>
          <w:rFonts w:eastAsia="SimSun"/>
          <w:kern w:val="22"/>
          <w:szCs w:val="22"/>
          <w:lang w:eastAsia="zh-CN"/>
        </w:rPr>
        <w:t xml:space="preserve"> held in 2011, </w:t>
      </w:r>
      <w:r w:rsidRPr="003A290E">
        <w:rPr>
          <w:rFonts w:eastAsia="SimSun"/>
          <w:kern w:val="22"/>
        </w:rPr>
        <w:t xml:space="preserve">the relevant outcomes and decisions </w:t>
      </w:r>
      <w:r w:rsidRPr="003A290E">
        <w:rPr>
          <w:rFonts w:eastAsia="SimSun"/>
          <w:kern w:val="22"/>
          <w:szCs w:val="22"/>
          <w:lang w:eastAsia="zh-CN"/>
        </w:rPr>
        <w:t>emanating from</w:t>
      </w:r>
      <w:r w:rsidRPr="003A290E">
        <w:rPr>
          <w:rFonts w:eastAsia="SimSun"/>
          <w:kern w:val="22"/>
        </w:rPr>
        <w:t xml:space="preserve"> the tenth meeting of the Conference of the Parties serving as the meeting of the Parties to the Protocol and relevant actions taken by the Committee at its previous meetings.</w:t>
      </w:r>
    </w:p>
    <w:p w14:paraId="03605D6F" w14:textId="3DEC873B" w:rsidR="002666FF" w:rsidRDefault="002666FF" w:rsidP="000A78A3">
      <w:pPr>
        <w:pStyle w:val="Para1"/>
        <w:tabs>
          <w:tab w:val="left" w:pos="1080"/>
        </w:tabs>
        <w:ind w:left="540"/>
        <w:rPr>
          <w:rFonts w:eastAsia="SimSun"/>
          <w:kern w:val="22"/>
        </w:rPr>
      </w:pPr>
      <w:r w:rsidRPr="003A290E">
        <w:t xml:space="preserve">The </w:t>
      </w:r>
      <w:r w:rsidR="00175B58" w:rsidRPr="003A290E">
        <w:t xml:space="preserve">Conference </w:t>
      </w:r>
      <w:r w:rsidRPr="003A290E">
        <w:t xml:space="preserve">of the Parties </w:t>
      </w:r>
      <w:r w:rsidR="000F3C52" w:rsidRPr="003A290E">
        <w:rPr>
          <w:rFonts w:eastAsia="SimSun"/>
          <w:kern w:val="22"/>
        </w:rPr>
        <w:t xml:space="preserve">serving as the meeting of the Parties to the Protocol </w:t>
      </w:r>
      <w:r w:rsidRPr="003A290E">
        <w:t xml:space="preserve">agreed to extend until 31 December 2024 the terms of the five members whose terms had not </w:t>
      </w:r>
      <w:r w:rsidR="00B6380A" w:rsidRPr="003A290E">
        <w:t xml:space="preserve">been </w:t>
      </w:r>
      <w:r w:rsidRPr="003A290E">
        <w:t>previously extended</w:t>
      </w:r>
      <w:r w:rsidR="009E0F10" w:rsidRPr="001257E3">
        <w:t>,</w:t>
      </w:r>
      <w:r w:rsidRPr="003A290E">
        <w:t xml:space="preserve"> </w:t>
      </w:r>
      <w:proofErr w:type="gramStart"/>
      <w:r w:rsidR="009E0F10" w:rsidRPr="001257E3">
        <w:t xml:space="preserve">so as </w:t>
      </w:r>
      <w:r w:rsidRPr="003A290E">
        <w:t>to</w:t>
      </w:r>
      <w:proofErr w:type="gramEnd"/>
      <w:r w:rsidRPr="003A290E">
        <w:t xml:space="preserve"> maintain the staggering of </w:t>
      </w:r>
      <w:r w:rsidR="009E0F10" w:rsidRPr="001257E3">
        <w:t>the Committee members</w:t>
      </w:r>
      <w:r w:rsidR="009E0F10" w:rsidRPr="001257E3">
        <w:rPr>
          <w:lang w:val="en-US"/>
        </w:rPr>
        <w:t xml:space="preserve">’ </w:t>
      </w:r>
      <w:r w:rsidRPr="003A290E">
        <w:t>terms</w:t>
      </w:r>
      <w:r w:rsidR="009E0F10" w:rsidRPr="001257E3">
        <w:t>,</w:t>
      </w:r>
      <w:r w:rsidRPr="003A290E">
        <w:t xml:space="preserve"> and to </w:t>
      </w:r>
      <w:r w:rsidR="009E0F10" w:rsidRPr="001257E3">
        <w:t xml:space="preserve">hold </w:t>
      </w:r>
      <w:r w:rsidRPr="003A290E">
        <w:t>elect</w:t>
      </w:r>
      <w:r w:rsidR="009E0F10" w:rsidRPr="001257E3">
        <w:t>ions</w:t>
      </w:r>
      <w:r w:rsidRPr="003A290E">
        <w:t xml:space="preserve"> </w:t>
      </w:r>
      <w:r w:rsidR="009E0F10" w:rsidRPr="001257E3">
        <w:t xml:space="preserve">for the other </w:t>
      </w:r>
      <w:r w:rsidRPr="003A290E">
        <w:t>members</w:t>
      </w:r>
      <w:r w:rsidR="009E0F10" w:rsidRPr="001257E3">
        <w:t>.</w:t>
      </w:r>
      <w:r w:rsidRPr="003A290E">
        <w:t xml:space="preserve"> The </w:t>
      </w:r>
      <w:r w:rsidR="00CE675F" w:rsidRPr="003A290E">
        <w:t xml:space="preserve">tenth </w:t>
      </w:r>
      <w:r w:rsidRPr="003A290E">
        <w:t xml:space="preserve">meeting was </w:t>
      </w:r>
      <w:r w:rsidR="005A2A2C" w:rsidRPr="003A290E">
        <w:t xml:space="preserve">however </w:t>
      </w:r>
      <w:r w:rsidRPr="003A290E">
        <w:t xml:space="preserve">suspended before the election could </w:t>
      </w:r>
      <w:r w:rsidR="00CE675F" w:rsidRPr="003A290E">
        <w:t>be held</w:t>
      </w:r>
      <w:r w:rsidRPr="003A290E">
        <w:t>. To enable the Committee to continue its important</w:t>
      </w:r>
      <w:r w:rsidRPr="004E5C6C">
        <w:t xml:space="preserve"> work over the intersessional period, t</w:t>
      </w:r>
      <w:r w:rsidRPr="004E5C6C">
        <w:rPr>
          <w:rFonts w:eastAsia="SimSun"/>
          <w:kern w:val="22"/>
        </w:rPr>
        <w:t>he Bureau of the Conference</w:t>
      </w:r>
      <w:r>
        <w:rPr>
          <w:rFonts w:eastAsia="SimSun"/>
          <w:kern w:val="22"/>
        </w:rPr>
        <w:t xml:space="preserve"> of the Parties serving as the meeting of the Parties to the Protocol decided to extend the terms of the </w:t>
      </w:r>
      <w:r w:rsidR="00B6380A">
        <w:rPr>
          <w:rFonts w:eastAsia="SimSun"/>
          <w:kern w:val="22"/>
        </w:rPr>
        <w:t>10 </w:t>
      </w:r>
      <w:r>
        <w:rPr>
          <w:rFonts w:eastAsia="SimSun"/>
          <w:kern w:val="22"/>
        </w:rPr>
        <w:t>members</w:t>
      </w:r>
      <w:r w:rsidR="007612C8">
        <w:rPr>
          <w:rFonts w:eastAsia="SimSun"/>
          <w:kern w:val="22"/>
        </w:rPr>
        <w:t xml:space="preserve"> concerned</w:t>
      </w:r>
      <w:r>
        <w:rPr>
          <w:rFonts w:eastAsia="SimSun"/>
          <w:kern w:val="22"/>
        </w:rPr>
        <w:t xml:space="preserve">. </w:t>
      </w:r>
      <w:r w:rsidR="00D94378">
        <w:rPr>
          <w:rFonts w:eastAsia="SimSun"/>
          <w:kern w:val="22"/>
        </w:rPr>
        <w:t xml:space="preserve">However, three of them </w:t>
      </w:r>
      <w:r>
        <w:rPr>
          <w:rFonts w:eastAsia="SimSun"/>
          <w:kern w:val="22"/>
        </w:rPr>
        <w:t xml:space="preserve">were unable to continue to serve on the Committee. Further to </w:t>
      </w:r>
      <w:r w:rsidR="00EB2AE5">
        <w:rPr>
          <w:rFonts w:eastAsia="SimSun"/>
          <w:kern w:val="22"/>
        </w:rPr>
        <w:t xml:space="preserve">paragraph 2 </w:t>
      </w:r>
      <w:r w:rsidR="00716D24">
        <w:rPr>
          <w:rFonts w:eastAsia="SimSun"/>
          <w:kern w:val="22"/>
        </w:rPr>
        <w:t xml:space="preserve">of </w:t>
      </w:r>
      <w:r>
        <w:rPr>
          <w:rFonts w:eastAsia="SimSun"/>
          <w:kern w:val="22"/>
        </w:rPr>
        <w:t xml:space="preserve">rule 10 of the rules of procedure </w:t>
      </w:r>
      <w:r w:rsidR="00716D24">
        <w:rPr>
          <w:rFonts w:eastAsia="SimSun"/>
          <w:kern w:val="22"/>
        </w:rPr>
        <w:t>for meetings of the Committee</w:t>
      </w:r>
      <w:r w:rsidR="00450F5C">
        <w:rPr>
          <w:rFonts w:eastAsia="SimSun"/>
          <w:kern w:val="22"/>
        </w:rPr>
        <w:t>,</w:t>
      </w:r>
      <w:r w:rsidR="00450F5C">
        <w:rPr>
          <w:rStyle w:val="FootnoteReference"/>
          <w:rFonts w:eastAsia="SimSun"/>
          <w:kern w:val="22"/>
        </w:rPr>
        <w:footnoteReference w:id="3"/>
      </w:r>
      <w:r>
        <w:rPr>
          <w:rFonts w:eastAsia="SimSun"/>
          <w:kern w:val="22"/>
        </w:rPr>
        <w:t xml:space="preserve"> the Bureau appointed replacements for those three members. Further information is provided in document CBD/CP/CC/18/2. </w:t>
      </w:r>
    </w:p>
    <w:p w14:paraId="4ADC8036" w14:textId="4A70554E" w:rsidR="00BE0994" w:rsidRPr="001257E3" w:rsidRDefault="00AE2D8C" w:rsidP="001257E3">
      <w:pPr>
        <w:pStyle w:val="Heading1"/>
        <w:numPr>
          <w:ilvl w:val="0"/>
          <w:numId w:val="0"/>
        </w:numPr>
        <w:spacing w:after="0"/>
        <w:rPr>
          <w:sz w:val="24"/>
          <w:szCs w:val="24"/>
        </w:rPr>
      </w:pPr>
      <w:r w:rsidRPr="001257E3">
        <w:rPr>
          <w:sz w:val="24"/>
          <w:szCs w:val="24"/>
        </w:rPr>
        <w:t>I</w:t>
      </w:r>
      <w:r w:rsidR="00CA204C" w:rsidRPr="001257E3">
        <w:rPr>
          <w:sz w:val="24"/>
          <w:szCs w:val="24"/>
        </w:rPr>
        <w:t>tem</w:t>
      </w:r>
      <w:r w:rsidRPr="001257E3">
        <w:rPr>
          <w:sz w:val="24"/>
          <w:szCs w:val="24"/>
        </w:rPr>
        <w:t xml:space="preserve"> 1</w:t>
      </w:r>
    </w:p>
    <w:p w14:paraId="55A6EB77" w14:textId="78395771" w:rsidR="002972E7" w:rsidRPr="001257E3" w:rsidRDefault="00D222DE" w:rsidP="00BE0994">
      <w:pPr>
        <w:pStyle w:val="Heading1"/>
        <w:numPr>
          <w:ilvl w:val="0"/>
          <w:numId w:val="0"/>
        </w:numPr>
        <w:spacing w:before="0" w:after="0"/>
        <w:rPr>
          <w:sz w:val="24"/>
          <w:szCs w:val="24"/>
        </w:rPr>
      </w:pPr>
      <w:r w:rsidRPr="001257E3">
        <w:rPr>
          <w:sz w:val="24"/>
          <w:szCs w:val="24"/>
        </w:rPr>
        <w:t>O</w:t>
      </w:r>
      <w:r w:rsidR="00CA204C" w:rsidRPr="001257E3">
        <w:rPr>
          <w:sz w:val="24"/>
          <w:szCs w:val="24"/>
        </w:rPr>
        <w:t>pening of the meeting</w:t>
      </w:r>
    </w:p>
    <w:p w14:paraId="385B52C0" w14:textId="528560C2" w:rsidR="001A0349" w:rsidRPr="002B2DFE" w:rsidRDefault="001A0349" w:rsidP="000A78A3">
      <w:pPr>
        <w:pStyle w:val="Para1"/>
        <w:tabs>
          <w:tab w:val="left" w:pos="1080"/>
        </w:tabs>
        <w:ind w:left="540"/>
        <w:rPr>
          <w:kern w:val="22"/>
        </w:rPr>
      </w:pPr>
      <w:r w:rsidRPr="00F233C6">
        <w:rPr>
          <w:kern w:val="22"/>
        </w:rPr>
        <w:t>The meeting will</w:t>
      </w:r>
      <w:r w:rsidRPr="002B2DFE">
        <w:rPr>
          <w:kern w:val="22"/>
        </w:rPr>
        <w:t xml:space="preserve"> be opened at </w:t>
      </w:r>
      <w:r w:rsidRPr="00573DDD">
        <w:rPr>
          <w:kern w:val="22"/>
        </w:rPr>
        <w:t>9.30</w:t>
      </w:r>
      <w:r w:rsidRPr="002B2DFE">
        <w:rPr>
          <w:kern w:val="22"/>
        </w:rPr>
        <w:t xml:space="preserve"> a.m. </w:t>
      </w:r>
      <w:r w:rsidRPr="00634877">
        <w:rPr>
          <w:kern w:val="22"/>
        </w:rPr>
        <w:t xml:space="preserve">on </w:t>
      </w:r>
      <w:r w:rsidR="002E535F" w:rsidRPr="001257E3">
        <w:rPr>
          <w:kern w:val="22"/>
        </w:rPr>
        <w:t xml:space="preserve">24 October </w:t>
      </w:r>
      <w:r w:rsidRPr="001257E3">
        <w:rPr>
          <w:kern w:val="22"/>
        </w:rPr>
        <w:t>20</w:t>
      </w:r>
      <w:r w:rsidRPr="002E535F">
        <w:rPr>
          <w:kern w:val="22"/>
        </w:rPr>
        <w:t>23</w:t>
      </w:r>
      <w:r>
        <w:rPr>
          <w:kern w:val="22"/>
        </w:rPr>
        <w:t xml:space="preserve"> by a representative of the Secretariat</w:t>
      </w:r>
      <w:r w:rsidRPr="002B2DFE">
        <w:rPr>
          <w:kern w:val="22"/>
        </w:rPr>
        <w:t>.</w:t>
      </w:r>
    </w:p>
    <w:p w14:paraId="4202A887" w14:textId="562AEF4B" w:rsidR="00BE0994" w:rsidRPr="001257E3" w:rsidRDefault="00FE1218" w:rsidP="006056E4">
      <w:pPr>
        <w:pStyle w:val="Heading1"/>
        <w:numPr>
          <w:ilvl w:val="0"/>
          <w:numId w:val="0"/>
        </w:numPr>
        <w:spacing w:after="0"/>
        <w:rPr>
          <w:rFonts w:ascii="Times New Roman Bold" w:hAnsi="Times New Roman Bold" w:cs="Times New Roman Bold"/>
          <w:snapToGrid w:val="0"/>
          <w:kern w:val="22"/>
          <w:sz w:val="24"/>
          <w:szCs w:val="24"/>
        </w:rPr>
      </w:pPr>
      <w:r w:rsidRPr="001257E3">
        <w:rPr>
          <w:rFonts w:ascii="Times New Roman Bold" w:hAnsi="Times New Roman Bold" w:cs="Times New Roman Bold"/>
          <w:snapToGrid w:val="0"/>
          <w:kern w:val="22"/>
          <w:sz w:val="24"/>
          <w:szCs w:val="24"/>
        </w:rPr>
        <w:t>I</w:t>
      </w:r>
      <w:r w:rsidR="00CA204C" w:rsidRPr="001257E3">
        <w:rPr>
          <w:rFonts w:ascii="Times New Roman Bold" w:hAnsi="Times New Roman Bold" w:cs="Times New Roman Bold"/>
          <w:snapToGrid w:val="0"/>
          <w:kern w:val="22"/>
          <w:sz w:val="24"/>
          <w:szCs w:val="24"/>
        </w:rPr>
        <w:t>tem</w:t>
      </w:r>
      <w:r w:rsidRPr="001257E3">
        <w:rPr>
          <w:rFonts w:ascii="Times New Roman Bold" w:hAnsi="Times New Roman Bold" w:cs="Times New Roman Bold"/>
          <w:snapToGrid w:val="0"/>
          <w:kern w:val="22"/>
          <w:sz w:val="24"/>
          <w:szCs w:val="24"/>
        </w:rPr>
        <w:t xml:space="preserve"> 2</w:t>
      </w:r>
    </w:p>
    <w:p w14:paraId="4910E32D" w14:textId="5DB7D6D0" w:rsidR="00D222DE" w:rsidRPr="001257E3" w:rsidRDefault="00FE1218" w:rsidP="00F9577D">
      <w:pPr>
        <w:pStyle w:val="Heading1"/>
        <w:numPr>
          <w:ilvl w:val="0"/>
          <w:numId w:val="0"/>
        </w:numPr>
        <w:spacing w:before="0" w:after="0"/>
        <w:rPr>
          <w:rFonts w:ascii="Times New Roman Bold" w:hAnsi="Times New Roman Bold" w:cs="Times New Roman Bold"/>
          <w:caps/>
          <w:snapToGrid w:val="0"/>
          <w:kern w:val="22"/>
          <w:sz w:val="24"/>
          <w:szCs w:val="24"/>
        </w:rPr>
      </w:pPr>
      <w:r w:rsidRPr="001257E3">
        <w:rPr>
          <w:rFonts w:ascii="Times New Roman Bold" w:hAnsi="Times New Roman Bold" w:cs="Times New Roman Bold"/>
          <w:snapToGrid w:val="0"/>
          <w:kern w:val="22"/>
          <w:sz w:val="24"/>
          <w:szCs w:val="24"/>
        </w:rPr>
        <w:t>O</w:t>
      </w:r>
      <w:r w:rsidR="00CA204C" w:rsidRPr="001257E3">
        <w:rPr>
          <w:rFonts w:ascii="Times New Roman Bold" w:hAnsi="Times New Roman Bold" w:cs="Times New Roman Bold"/>
          <w:snapToGrid w:val="0"/>
          <w:kern w:val="22"/>
          <w:sz w:val="24"/>
          <w:szCs w:val="24"/>
        </w:rPr>
        <w:t>rganizational matters</w:t>
      </w:r>
    </w:p>
    <w:p w14:paraId="3D071B5E" w14:textId="4943F0E5" w:rsidR="0026155B" w:rsidRPr="001257E3" w:rsidRDefault="00BE0994" w:rsidP="009D070B">
      <w:pPr>
        <w:pStyle w:val="Heading2"/>
        <w:rPr>
          <w:rFonts w:cs="Times New Roman"/>
          <w:snapToGrid w:val="0"/>
          <w:kern w:val="22"/>
          <w:sz w:val="22"/>
          <w:szCs w:val="22"/>
        </w:rPr>
      </w:pPr>
      <w:r w:rsidRPr="001257E3">
        <w:rPr>
          <w:rFonts w:cs="Times New Roman"/>
          <w:sz w:val="22"/>
          <w:szCs w:val="22"/>
        </w:rPr>
        <w:t>(a)</w:t>
      </w:r>
      <w:r w:rsidR="00D23CC4" w:rsidRPr="001257E3">
        <w:rPr>
          <w:rFonts w:cs="Times New Roman"/>
          <w:sz w:val="22"/>
          <w:szCs w:val="22"/>
        </w:rPr>
        <w:tab/>
      </w:r>
      <w:r w:rsidR="009D070B" w:rsidRPr="001257E3">
        <w:rPr>
          <w:rFonts w:cs="Times New Roman"/>
          <w:kern w:val="22"/>
          <w:sz w:val="22"/>
          <w:szCs w:val="22"/>
        </w:rPr>
        <w:t>Election of officers</w:t>
      </w:r>
    </w:p>
    <w:p w14:paraId="7A451932" w14:textId="7E7B7FFA" w:rsidR="001D11E0" w:rsidRPr="00B33201" w:rsidRDefault="001D11E0" w:rsidP="000A78A3">
      <w:pPr>
        <w:pStyle w:val="Para1"/>
        <w:tabs>
          <w:tab w:val="left" w:pos="1080"/>
        </w:tabs>
        <w:ind w:left="540"/>
        <w:rPr>
          <w:kern w:val="22"/>
        </w:rPr>
      </w:pPr>
      <w:r w:rsidRPr="00B33201">
        <w:rPr>
          <w:kern w:val="22"/>
        </w:rPr>
        <w:t>According to rule 12 of the rules of procedure for meetings of the Committee</w:t>
      </w:r>
      <w:r w:rsidR="00DC7F87">
        <w:rPr>
          <w:kern w:val="22"/>
        </w:rPr>
        <w:t>,</w:t>
      </w:r>
      <w:r w:rsidRPr="00B33201">
        <w:rPr>
          <w:kern w:val="22"/>
        </w:rPr>
        <w:t xml:space="preserve"> the Committee </w:t>
      </w:r>
      <w:r w:rsidRPr="008623A6">
        <w:rPr>
          <w:kern w:val="22"/>
        </w:rPr>
        <w:t>shall</w:t>
      </w:r>
      <w:r w:rsidRPr="00B33201">
        <w:rPr>
          <w:kern w:val="22"/>
        </w:rPr>
        <w:t xml:space="preserve"> elect a Chair and a Vice-Chair for a term of two years</w:t>
      </w:r>
      <w:r w:rsidR="0048055E">
        <w:rPr>
          <w:kern w:val="22"/>
        </w:rPr>
        <w:t>,</w:t>
      </w:r>
      <w:r w:rsidRPr="00B33201">
        <w:rPr>
          <w:kern w:val="22"/>
        </w:rPr>
        <w:t xml:space="preserve"> with a possibility of re-election for </w:t>
      </w:r>
      <w:r w:rsidR="0048055E">
        <w:rPr>
          <w:kern w:val="22"/>
        </w:rPr>
        <w:t xml:space="preserve">a </w:t>
      </w:r>
      <w:r w:rsidRPr="00B33201">
        <w:rPr>
          <w:kern w:val="22"/>
        </w:rPr>
        <w:t xml:space="preserve">further two-year term. </w:t>
      </w:r>
      <w:proofErr w:type="spellStart"/>
      <w:r w:rsidRPr="00310BA5">
        <w:rPr>
          <w:kern w:val="22"/>
        </w:rPr>
        <w:t>Rigobert</w:t>
      </w:r>
      <w:proofErr w:type="spellEnd"/>
      <w:r w:rsidRPr="00310BA5">
        <w:rPr>
          <w:kern w:val="22"/>
        </w:rPr>
        <w:t xml:space="preserve"> </w:t>
      </w:r>
      <w:proofErr w:type="spellStart"/>
      <w:r w:rsidRPr="00310BA5">
        <w:rPr>
          <w:kern w:val="22"/>
        </w:rPr>
        <w:t>Ntep</w:t>
      </w:r>
      <w:proofErr w:type="spellEnd"/>
      <w:r w:rsidRPr="00310BA5">
        <w:rPr>
          <w:kern w:val="22"/>
        </w:rPr>
        <w:t xml:space="preserve"> and Jimena Nieto Carrasco </w:t>
      </w:r>
      <w:r>
        <w:rPr>
          <w:kern w:val="22"/>
          <w:szCs w:val="22"/>
        </w:rPr>
        <w:t xml:space="preserve">served for one term </w:t>
      </w:r>
      <w:r w:rsidRPr="00B33201">
        <w:rPr>
          <w:kern w:val="22"/>
          <w:szCs w:val="22"/>
        </w:rPr>
        <w:t>as</w:t>
      </w:r>
      <w:r>
        <w:rPr>
          <w:kern w:val="22"/>
          <w:szCs w:val="22"/>
        </w:rPr>
        <w:t xml:space="preserve"> </w:t>
      </w:r>
      <w:r w:rsidRPr="00B33201">
        <w:rPr>
          <w:kern w:val="22"/>
          <w:szCs w:val="22"/>
        </w:rPr>
        <w:t>Chair and Vice-Chair of the Committee</w:t>
      </w:r>
      <w:r w:rsidR="00590812">
        <w:rPr>
          <w:kern w:val="22"/>
          <w:szCs w:val="22"/>
        </w:rPr>
        <w:t>,</w:t>
      </w:r>
      <w:r w:rsidR="00590812" w:rsidRPr="00590812">
        <w:rPr>
          <w:kern w:val="22"/>
          <w:szCs w:val="22"/>
        </w:rPr>
        <w:t xml:space="preserve"> </w:t>
      </w:r>
      <w:r w:rsidR="00590812">
        <w:rPr>
          <w:kern w:val="22"/>
          <w:szCs w:val="22"/>
        </w:rPr>
        <w:t>respectively</w:t>
      </w:r>
      <w:r>
        <w:rPr>
          <w:kern w:val="22"/>
          <w:szCs w:val="22"/>
        </w:rPr>
        <w:t xml:space="preserve">, starting in 2019. </w:t>
      </w:r>
      <w:r w:rsidR="009962C2">
        <w:rPr>
          <w:kern w:val="22"/>
          <w:szCs w:val="22"/>
        </w:rPr>
        <w:t xml:space="preserve">Owing </w:t>
      </w:r>
      <w:r>
        <w:rPr>
          <w:kern w:val="22"/>
          <w:szCs w:val="22"/>
        </w:rPr>
        <w:t xml:space="preserve">to the extension of the terms of </w:t>
      </w:r>
      <w:r>
        <w:rPr>
          <w:kern w:val="22"/>
          <w:szCs w:val="22"/>
        </w:rPr>
        <w:lastRenderedPageBreak/>
        <w:t xml:space="preserve">the members of the Committee during the </w:t>
      </w:r>
      <w:r w:rsidR="003F68DA" w:rsidRPr="003F68DA">
        <w:rPr>
          <w:kern w:val="22"/>
          <w:szCs w:val="22"/>
        </w:rPr>
        <w:t>coronavirus disease</w:t>
      </w:r>
      <w:r w:rsidR="003F68DA">
        <w:rPr>
          <w:kern w:val="22"/>
          <w:szCs w:val="22"/>
        </w:rPr>
        <w:t xml:space="preserve"> (</w:t>
      </w:r>
      <w:r>
        <w:rPr>
          <w:kern w:val="22"/>
          <w:szCs w:val="22"/>
        </w:rPr>
        <w:t>C</w:t>
      </w:r>
      <w:r w:rsidR="009834B6">
        <w:rPr>
          <w:kern w:val="22"/>
          <w:szCs w:val="22"/>
        </w:rPr>
        <w:t>OVID</w:t>
      </w:r>
      <w:r>
        <w:rPr>
          <w:kern w:val="22"/>
          <w:szCs w:val="22"/>
        </w:rPr>
        <w:t>-19</w:t>
      </w:r>
      <w:r w:rsidR="003F68DA">
        <w:rPr>
          <w:kern w:val="22"/>
          <w:szCs w:val="22"/>
        </w:rPr>
        <w:t>)</w:t>
      </w:r>
      <w:r>
        <w:rPr>
          <w:kern w:val="22"/>
          <w:szCs w:val="22"/>
        </w:rPr>
        <w:t xml:space="preserve"> pandemic, the</w:t>
      </w:r>
      <w:r w:rsidR="00947403">
        <w:rPr>
          <w:kern w:val="22"/>
          <w:szCs w:val="22"/>
        </w:rPr>
        <w:t>y</w:t>
      </w:r>
      <w:r>
        <w:rPr>
          <w:kern w:val="22"/>
          <w:szCs w:val="22"/>
        </w:rPr>
        <w:t xml:space="preserve"> continued to serve in their capacities as Chair and Vice-Chair. </w:t>
      </w:r>
      <w:r w:rsidRPr="00B33201">
        <w:rPr>
          <w:kern w:val="22"/>
          <w:szCs w:val="22"/>
        </w:rPr>
        <w:t xml:space="preserve">The Committee will </w:t>
      </w:r>
      <w:r w:rsidR="004516AC">
        <w:rPr>
          <w:kern w:val="22"/>
          <w:szCs w:val="22"/>
        </w:rPr>
        <w:t xml:space="preserve">now </w:t>
      </w:r>
      <w:r w:rsidRPr="00B33201">
        <w:rPr>
          <w:kern w:val="22"/>
          <w:szCs w:val="22"/>
        </w:rPr>
        <w:t>be invited to elect a Chair and a Vice-Chair for the next two-year term</w:t>
      </w:r>
      <w:r w:rsidRPr="00B33201">
        <w:rPr>
          <w:kern w:val="22"/>
        </w:rPr>
        <w:t>.</w:t>
      </w:r>
    </w:p>
    <w:p w14:paraId="5FCD0502" w14:textId="120FA9C5" w:rsidR="001D11E0" w:rsidRPr="001257E3" w:rsidRDefault="00BE0994" w:rsidP="000A78A3">
      <w:pPr>
        <w:pStyle w:val="Heading2"/>
        <w:tabs>
          <w:tab w:val="num" w:pos="630"/>
        </w:tabs>
        <w:rPr>
          <w:rFonts w:cs="Times New Roman"/>
          <w:iCs/>
          <w:kern w:val="22"/>
          <w:sz w:val="22"/>
          <w:szCs w:val="22"/>
        </w:rPr>
      </w:pPr>
      <w:r w:rsidRPr="001257E3">
        <w:rPr>
          <w:rFonts w:cs="Times New Roman"/>
          <w:sz w:val="22"/>
          <w:szCs w:val="22"/>
        </w:rPr>
        <w:t>(b)</w:t>
      </w:r>
      <w:r w:rsidR="001D11E0" w:rsidRPr="001257E3">
        <w:rPr>
          <w:rFonts w:cs="Times New Roman"/>
          <w:sz w:val="22"/>
          <w:szCs w:val="22"/>
        </w:rPr>
        <w:tab/>
      </w:r>
      <w:r w:rsidR="009D067F" w:rsidRPr="001257E3">
        <w:rPr>
          <w:rFonts w:cs="Times New Roman"/>
          <w:iCs/>
          <w:kern w:val="22"/>
          <w:sz w:val="22"/>
          <w:szCs w:val="22"/>
        </w:rPr>
        <w:t>Adoption of the agenda</w:t>
      </w:r>
    </w:p>
    <w:p w14:paraId="3842B035" w14:textId="3ADC4D93" w:rsidR="00C25857" w:rsidRPr="008623A6" w:rsidRDefault="00C25857" w:rsidP="000A78A3">
      <w:pPr>
        <w:pStyle w:val="Para1"/>
        <w:tabs>
          <w:tab w:val="left" w:pos="1080"/>
        </w:tabs>
        <w:ind w:left="540"/>
        <w:rPr>
          <w:kern w:val="22"/>
        </w:rPr>
      </w:pPr>
      <w:r w:rsidRPr="008623A6">
        <w:rPr>
          <w:kern w:val="22"/>
        </w:rPr>
        <w:t xml:space="preserve">The Committee </w:t>
      </w:r>
      <w:r w:rsidR="001846E2">
        <w:rPr>
          <w:kern w:val="22"/>
        </w:rPr>
        <w:t>will be invited</w:t>
      </w:r>
      <w:r w:rsidRPr="008623A6">
        <w:rPr>
          <w:kern w:val="22"/>
        </w:rPr>
        <w:t xml:space="preserve"> to adopt the provisional agenda </w:t>
      </w:r>
      <w:r w:rsidR="00294773">
        <w:rPr>
          <w:kern w:val="22"/>
        </w:rPr>
        <w:t>prepared</w:t>
      </w:r>
      <w:r w:rsidR="00294773" w:rsidRPr="008623A6">
        <w:rPr>
          <w:kern w:val="22"/>
        </w:rPr>
        <w:t xml:space="preserve"> </w:t>
      </w:r>
      <w:r w:rsidRPr="008623A6">
        <w:rPr>
          <w:kern w:val="22"/>
        </w:rPr>
        <w:t>by the Secretariat</w:t>
      </w:r>
      <w:r w:rsidR="00294773">
        <w:rPr>
          <w:kern w:val="22"/>
        </w:rPr>
        <w:t>.</w:t>
      </w:r>
    </w:p>
    <w:p w14:paraId="01073E7B" w14:textId="0FFF70FB" w:rsidR="00AC1709" w:rsidRPr="001257E3" w:rsidRDefault="00BE0994" w:rsidP="000A78A3">
      <w:pPr>
        <w:pStyle w:val="Heading2"/>
        <w:tabs>
          <w:tab w:val="num" w:pos="630"/>
          <w:tab w:val="left" w:pos="1080"/>
        </w:tabs>
        <w:ind w:left="540"/>
        <w:rPr>
          <w:rFonts w:cs="Times New Roman"/>
          <w:iCs/>
          <w:kern w:val="22"/>
          <w:sz w:val="22"/>
          <w:szCs w:val="22"/>
        </w:rPr>
      </w:pPr>
      <w:r w:rsidRPr="001257E3">
        <w:rPr>
          <w:rFonts w:cs="Times New Roman"/>
          <w:sz w:val="22"/>
          <w:szCs w:val="22"/>
        </w:rPr>
        <w:t>(c)</w:t>
      </w:r>
      <w:r w:rsidR="00AC1709" w:rsidRPr="001257E3">
        <w:rPr>
          <w:rFonts w:cs="Times New Roman"/>
          <w:sz w:val="22"/>
          <w:szCs w:val="22"/>
        </w:rPr>
        <w:tab/>
      </w:r>
      <w:r w:rsidR="00AC1709" w:rsidRPr="001257E3">
        <w:rPr>
          <w:rFonts w:cs="Times New Roman"/>
          <w:iCs/>
          <w:kern w:val="22"/>
          <w:sz w:val="22"/>
          <w:szCs w:val="22"/>
        </w:rPr>
        <w:t>Organization of work</w:t>
      </w:r>
    </w:p>
    <w:p w14:paraId="2CC680FA" w14:textId="5B85015C" w:rsidR="00CE397D" w:rsidRPr="00F233C6" w:rsidRDefault="00CE397D" w:rsidP="000A78A3">
      <w:pPr>
        <w:pStyle w:val="Para1"/>
        <w:tabs>
          <w:tab w:val="left" w:pos="1080"/>
        </w:tabs>
        <w:ind w:left="540"/>
        <w:rPr>
          <w:kern w:val="22"/>
        </w:rPr>
      </w:pPr>
      <w:r w:rsidRPr="00F233C6">
        <w:rPr>
          <w:kern w:val="22"/>
        </w:rPr>
        <w:t xml:space="preserve">The Committee </w:t>
      </w:r>
      <w:r w:rsidR="00DB1803">
        <w:rPr>
          <w:kern w:val="22"/>
        </w:rPr>
        <w:t>will be invited</w:t>
      </w:r>
      <w:r w:rsidR="00DB1803" w:rsidRPr="008623A6">
        <w:rPr>
          <w:kern w:val="22"/>
        </w:rPr>
        <w:t xml:space="preserve"> </w:t>
      </w:r>
      <w:r w:rsidRPr="00F233C6">
        <w:rPr>
          <w:kern w:val="22"/>
        </w:rPr>
        <w:t xml:space="preserve">to </w:t>
      </w:r>
      <w:r w:rsidR="00DB1803">
        <w:rPr>
          <w:kern w:val="22"/>
        </w:rPr>
        <w:t>approve</w:t>
      </w:r>
      <w:r w:rsidR="00DB1803" w:rsidRPr="00F233C6">
        <w:rPr>
          <w:kern w:val="22"/>
        </w:rPr>
        <w:t xml:space="preserve"> </w:t>
      </w:r>
      <w:r w:rsidRPr="00F233C6">
        <w:rPr>
          <w:kern w:val="22"/>
        </w:rPr>
        <w:t>the proposed organization of work as contained in annex I. The language of the meeting will be English.</w:t>
      </w:r>
    </w:p>
    <w:p w14:paraId="564ED1B5" w14:textId="2BD134E2" w:rsidR="00CE397D" w:rsidRPr="00B33201" w:rsidRDefault="00CE397D" w:rsidP="000A78A3">
      <w:pPr>
        <w:pStyle w:val="Para1"/>
        <w:tabs>
          <w:tab w:val="left" w:pos="1080"/>
        </w:tabs>
        <w:ind w:left="540"/>
        <w:rPr>
          <w:kern w:val="22"/>
        </w:rPr>
      </w:pPr>
      <w:r w:rsidRPr="00B33201">
        <w:rPr>
          <w:kern w:val="22"/>
        </w:rPr>
        <w:t xml:space="preserve">A list of documents for the meeting is contained in annex II. The documents will be made available on the </w:t>
      </w:r>
      <w:r w:rsidRPr="004220D7">
        <w:rPr>
          <w:kern w:val="22"/>
        </w:rPr>
        <w:t>Secretariat’s websit</w:t>
      </w:r>
      <w:r w:rsidRPr="001257E3">
        <w:rPr>
          <w:kern w:val="22"/>
        </w:rPr>
        <w:t>e</w:t>
      </w:r>
      <w:r w:rsidR="006056E4">
        <w:rPr>
          <w:color w:val="FFFF00"/>
          <w:kern w:val="22"/>
        </w:rPr>
        <w:t>.</w:t>
      </w:r>
    </w:p>
    <w:p w14:paraId="28CFF342" w14:textId="77777777" w:rsidR="00CE397D" w:rsidRPr="007442CB" w:rsidRDefault="00CE397D" w:rsidP="000A78A3">
      <w:pPr>
        <w:pStyle w:val="Para1"/>
        <w:tabs>
          <w:tab w:val="left" w:pos="1080"/>
        </w:tabs>
        <w:ind w:left="540"/>
        <w:rPr>
          <w:kern w:val="22"/>
        </w:rPr>
      </w:pPr>
      <w:r w:rsidRPr="008623A6">
        <w:rPr>
          <w:kern w:val="22"/>
        </w:rPr>
        <w:t xml:space="preserve">An information note </w:t>
      </w:r>
      <w:r>
        <w:rPr>
          <w:kern w:val="22"/>
        </w:rPr>
        <w:t>will be issued with</w:t>
      </w:r>
      <w:r w:rsidRPr="008623A6">
        <w:rPr>
          <w:kern w:val="22"/>
        </w:rPr>
        <w:t xml:space="preserve"> details of logistical arrangements for the meeti</w:t>
      </w:r>
      <w:r w:rsidRPr="00F233C6">
        <w:rPr>
          <w:kern w:val="22"/>
        </w:rPr>
        <w:t xml:space="preserve">ng, including information on travel, visa requirements, accommodation and other similar </w:t>
      </w:r>
      <w:r w:rsidRPr="007442CB">
        <w:rPr>
          <w:kern w:val="22"/>
        </w:rPr>
        <w:t>matters.</w:t>
      </w:r>
    </w:p>
    <w:p w14:paraId="41C5E879" w14:textId="1FB369F1" w:rsidR="00BE0994" w:rsidRPr="001257E3" w:rsidRDefault="00E80FF0" w:rsidP="006056E4">
      <w:pPr>
        <w:pStyle w:val="Heading1"/>
        <w:numPr>
          <w:ilvl w:val="0"/>
          <w:numId w:val="0"/>
        </w:numPr>
        <w:spacing w:after="0"/>
        <w:jc w:val="both"/>
        <w:rPr>
          <w:rFonts w:ascii="Times New Roman Bold" w:hAnsi="Times New Roman Bold" w:cs="Times New Roman Bold"/>
          <w:snapToGrid w:val="0"/>
          <w:kern w:val="22"/>
          <w:sz w:val="24"/>
          <w:szCs w:val="24"/>
        </w:rPr>
      </w:pPr>
      <w:r w:rsidRPr="001257E3">
        <w:rPr>
          <w:rFonts w:ascii="Times New Roman Bold" w:hAnsi="Times New Roman Bold" w:cs="Times New Roman Bold"/>
          <w:snapToGrid w:val="0"/>
          <w:kern w:val="22"/>
          <w:sz w:val="24"/>
          <w:szCs w:val="24"/>
        </w:rPr>
        <w:t>I</w:t>
      </w:r>
      <w:r w:rsidR="00F53730" w:rsidRPr="001257E3">
        <w:rPr>
          <w:rFonts w:ascii="Times New Roman Bold" w:hAnsi="Times New Roman Bold" w:cs="Times New Roman Bold"/>
          <w:snapToGrid w:val="0"/>
          <w:kern w:val="22"/>
          <w:sz w:val="24"/>
          <w:szCs w:val="24"/>
        </w:rPr>
        <w:t>tem</w:t>
      </w:r>
      <w:r w:rsidRPr="001257E3">
        <w:rPr>
          <w:rFonts w:ascii="Times New Roman Bold" w:hAnsi="Times New Roman Bold" w:cs="Times New Roman Bold"/>
          <w:snapToGrid w:val="0"/>
          <w:kern w:val="22"/>
          <w:sz w:val="24"/>
          <w:szCs w:val="24"/>
        </w:rPr>
        <w:t xml:space="preserve"> 3</w:t>
      </w:r>
    </w:p>
    <w:p w14:paraId="2787B62C" w14:textId="3394A4BB" w:rsidR="00E80FF0" w:rsidRPr="001257E3" w:rsidRDefault="00585250" w:rsidP="00BE0994">
      <w:pPr>
        <w:pStyle w:val="Heading1"/>
        <w:numPr>
          <w:ilvl w:val="0"/>
          <w:numId w:val="0"/>
        </w:numPr>
        <w:spacing w:before="0" w:after="0"/>
        <w:jc w:val="both"/>
        <w:rPr>
          <w:rFonts w:ascii="Times New Roman Bold" w:hAnsi="Times New Roman Bold" w:cs="Times New Roman Bold"/>
          <w:snapToGrid w:val="0"/>
          <w:kern w:val="22"/>
          <w:sz w:val="24"/>
          <w:szCs w:val="24"/>
          <w:lang w:val="en-GB"/>
        </w:rPr>
      </w:pPr>
      <w:r w:rsidRPr="001257E3">
        <w:rPr>
          <w:rFonts w:ascii="Times New Roman Bold" w:hAnsi="Times New Roman Bold" w:cs="Times New Roman Bold"/>
          <w:snapToGrid w:val="0"/>
          <w:kern w:val="22"/>
          <w:sz w:val="24"/>
          <w:szCs w:val="24"/>
        </w:rPr>
        <w:t>O</w:t>
      </w:r>
      <w:r w:rsidR="00F53730" w:rsidRPr="001257E3">
        <w:rPr>
          <w:rFonts w:ascii="Times New Roman Bold" w:hAnsi="Times New Roman Bold" w:cs="Times New Roman Bold"/>
          <w:snapToGrid w:val="0"/>
          <w:kern w:val="22"/>
          <w:sz w:val="24"/>
          <w:szCs w:val="24"/>
        </w:rPr>
        <w:t xml:space="preserve">utcomes </w:t>
      </w:r>
      <w:r w:rsidR="00CA204C" w:rsidRPr="001257E3">
        <w:rPr>
          <w:rFonts w:ascii="Times New Roman Bold" w:hAnsi="Times New Roman Bold" w:cs="Times New Roman Bold"/>
          <w:snapToGrid w:val="0"/>
          <w:kern w:val="22"/>
          <w:sz w:val="24"/>
          <w:szCs w:val="24"/>
        </w:rPr>
        <w:t>of the tenth meeting of the Conference of the Parties serving as the meeting of the Parties to the Cartagena Protocol on Biosafety regarding items relevant to compliance</w:t>
      </w:r>
    </w:p>
    <w:p w14:paraId="2FCC579E" w14:textId="0E6414DD" w:rsidR="00A5430A" w:rsidRDefault="0022428C" w:rsidP="00184241">
      <w:pPr>
        <w:pStyle w:val="Para1"/>
        <w:tabs>
          <w:tab w:val="left" w:pos="1080"/>
        </w:tabs>
        <w:ind w:left="540"/>
        <w:rPr>
          <w:rFonts w:eastAsia="SimSun"/>
          <w:kern w:val="22"/>
        </w:rPr>
      </w:pPr>
      <w:r w:rsidRPr="00184241">
        <w:rPr>
          <w:rFonts w:eastAsia="SimSun"/>
          <w:kern w:val="22"/>
        </w:rPr>
        <w:t xml:space="preserve">The tenth meeting of the Conference of the Parties serving as the meeting of the Parties to the Protocol </w:t>
      </w:r>
      <w:r w:rsidRPr="00184241">
        <w:rPr>
          <w:rFonts w:eastAsia="SimSun"/>
          <w:kern w:val="22"/>
          <w:lang w:eastAsia="zh-CN"/>
        </w:rPr>
        <w:t xml:space="preserve">was </w:t>
      </w:r>
      <w:r w:rsidR="00A14418" w:rsidRPr="00184241">
        <w:rPr>
          <w:rFonts w:eastAsia="SimSun"/>
          <w:kern w:val="22"/>
          <w:lang w:eastAsia="zh-CN"/>
        </w:rPr>
        <w:t>divided</w:t>
      </w:r>
      <w:r w:rsidR="00A14418" w:rsidRPr="00184241">
        <w:rPr>
          <w:rFonts w:eastAsia="SimSun"/>
          <w:kern w:val="22"/>
        </w:rPr>
        <w:t xml:space="preserve"> </w:t>
      </w:r>
      <w:r w:rsidRPr="00184241">
        <w:rPr>
          <w:rFonts w:eastAsia="SimSun"/>
          <w:kern w:val="22"/>
        </w:rPr>
        <w:t>in two parts</w:t>
      </w:r>
      <w:r w:rsidR="00A14418" w:rsidRPr="00184241">
        <w:rPr>
          <w:rFonts w:eastAsia="SimSun"/>
          <w:kern w:val="22"/>
        </w:rPr>
        <w:t>: t</w:t>
      </w:r>
      <w:r w:rsidR="00B05F0F" w:rsidRPr="00184241">
        <w:rPr>
          <w:rFonts w:eastAsia="SimSun"/>
          <w:kern w:val="22"/>
        </w:rPr>
        <w:t>he first part</w:t>
      </w:r>
      <w:r w:rsidRPr="00184241">
        <w:rPr>
          <w:rFonts w:eastAsia="SimSun"/>
          <w:kern w:val="22"/>
        </w:rPr>
        <w:t xml:space="preserve"> was </w:t>
      </w:r>
      <w:r w:rsidR="00A60C7C" w:rsidRPr="00184241">
        <w:rPr>
          <w:rFonts w:eastAsia="SimSun"/>
          <w:kern w:val="22"/>
        </w:rPr>
        <w:t xml:space="preserve">held </w:t>
      </w:r>
      <w:r w:rsidRPr="00184241">
        <w:rPr>
          <w:rFonts w:eastAsia="SimSun"/>
          <w:kern w:val="22"/>
        </w:rPr>
        <w:t>in Kunming, China, from 11 to 15</w:t>
      </w:r>
      <w:r w:rsidR="00B3013A" w:rsidRPr="00184241">
        <w:rPr>
          <w:rFonts w:eastAsia="SimSun"/>
          <w:kern w:val="22"/>
        </w:rPr>
        <w:t> </w:t>
      </w:r>
      <w:r w:rsidRPr="00184241">
        <w:rPr>
          <w:rFonts w:eastAsia="SimSun"/>
          <w:kern w:val="22"/>
        </w:rPr>
        <w:t>October 2021</w:t>
      </w:r>
      <w:r w:rsidR="00492BBD" w:rsidRPr="00184241">
        <w:rPr>
          <w:rFonts w:eastAsia="SimSun"/>
          <w:kern w:val="22"/>
        </w:rPr>
        <w:t>, in a hybrid format</w:t>
      </w:r>
      <w:r w:rsidR="00A14418" w:rsidRPr="00184241">
        <w:rPr>
          <w:rFonts w:eastAsia="SimSun"/>
          <w:kern w:val="22"/>
        </w:rPr>
        <w:t>;</w:t>
      </w:r>
      <w:r w:rsidRPr="00184241">
        <w:rPr>
          <w:rFonts w:eastAsia="SimSun"/>
          <w:kern w:val="22"/>
        </w:rPr>
        <w:t xml:space="preserve"> </w:t>
      </w:r>
      <w:r w:rsidR="00A14418" w:rsidRPr="00184241">
        <w:rPr>
          <w:rFonts w:eastAsia="SimSun"/>
          <w:kern w:val="22"/>
        </w:rPr>
        <w:t>and t</w:t>
      </w:r>
      <w:r w:rsidR="008D5BFF" w:rsidRPr="00184241">
        <w:rPr>
          <w:rFonts w:eastAsia="SimSun"/>
          <w:kern w:val="22"/>
        </w:rPr>
        <w:t>he second part</w:t>
      </w:r>
      <w:r w:rsidRPr="00184241">
        <w:rPr>
          <w:rFonts w:eastAsia="SimSun"/>
          <w:kern w:val="22"/>
        </w:rPr>
        <w:t xml:space="preserve"> was held </w:t>
      </w:r>
      <w:r w:rsidR="005147A4" w:rsidRPr="00184241">
        <w:rPr>
          <w:rFonts w:eastAsia="SimSun"/>
          <w:kern w:val="22"/>
        </w:rPr>
        <w:t xml:space="preserve">in person </w:t>
      </w:r>
      <w:r w:rsidRPr="00184241">
        <w:rPr>
          <w:rFonts w:eastAsia="SimSun"/>
          <w:kern w:val="22"/>
        </w:rPr>
        <w:t>in Montreal, Canada, from 7 to 19</w:t>
      </w:r>
      <w:r w:rsidR="00725FFA" w:rsidRPr="00184241">
        <w:rPr>
          <w:rFonts w:eastAsia="SimSun"/>
          <w:kern w:val="22"/>
        </w:rPr>
        <w:t> </w:t>
      </w:r>
      <w:r w:rsidRPr="00184241">
        <w:rPr>
          <w:rFonts w:eastAsia="SimSun"/>
          <w:kern w:val="22"/>
        </w:rPr>
        <w:t xml:space="preserve">December 2022. </w:t>
      </w:r>
      <w:r w:rsidR="00D83A13" w:rsidRPr="00184241">
        <w:rPr>
          <w:rFonts w:eastAsia="SimSun"/>
          <w:kern w:val="22"/>
        </w:rPr>
        <w:t>At the meeting, t</w:t>
      </w:r>
      <w:r w:rsidRPr="00184241">
        <w:rPr>
          <w:rFonts w:eastAsia="SimSun"/>
          <w:kern w:val="22"/>
        </w:rPr>
        <w:t xml:space="preserve">he </w:t>
      </w:r>
      <w:r w:rsidR="00470DD8" w:rsidRPr="00184241">
        <w:rPr>
          <w:rFonts w:eastAsia="SimSun"/>
          <w:kern w:val="22"/>
        </w:rPr>
        <w:t xml:space="preserve">Conference of the Parties serving as the </w:t>
      </w:r>
      <w:r w:rsidRPr="00184241">
        <w:rPr>
          <w:rFonts w:eastAsia="SimSun"/>
          <w:kern w:val="22"/>
        </w:rPr>
        <w:t xml:space="preserve">meeting of the </w:t>
      </w:r>
      <w:r w:rsidRPr="00184241">
        <w:rPr>
          <w:rFonts w:eastAsia="SimSun"/>
          <w:kern w:val="22"/>
          <w:lang w:eastAsia="zh-CN"/>
        </w:rPr>
        <w:t>Parties</w:t>
      </w:r>
      <w:r w:rsidRPr="00184241">
        <w:rPr>
          <w:rFonts w:eastAsia="SimSun"/>
          <w:kern w:val="22"/>
        </w:rPr>
        <w:t xml:space="preserve"> </w:t>
      </w:r>
      <w:r w:rsidR="00470DD8" w:rsidRPr="00184241">
        <w:rPr>
          <w:rFonts w:eastAsia="SimSun"/>
          <w:kern w:val="22"/>
        </w:rPr>
        <w:t xml:space="preserve">to the Protocol </w:t>
      </w:r>
      <w:r w:rsidRPr="00184241">
        <w:rPr>
          <w:rFonts w:eastAsia="SimSun"/>
          <w:kern w:val="22"/>
        </w:rPr>
        <w:t>considered the report of the Committee</w:t>
      </w:r>
      <w:r w:rsidR="00EF4428" w:rsidRPr="00EF4428">
        <w:t xml:space="preserve"> </w:t>
      </w:r>
      <w:r w:rsidR="00EF4428" w:rsidRPr="00EF4428">
        <w:rPr>
          <w:rFonts w:eastAsia="SimSun"/>
          <w:kern w:val="22"/>
        </w:rPr>
        <w:t>on the work of its sixteenth and seventeenth meetings</w:t>
      </w:r>
      <w:r w:rsidR="00943CA8">
        <w:rPr>
          <w:rFonts w:eastAsia="SimSun"/>
          <w:kern w:val="22"/>
        </w:rPr>
        <w:t>.</w:t>
      </w:r>
      <w:r w:rsidR="000D7092">
        <w:rPr>
          <w:rStyle w:val="FootnoteReference"/>
          <w:rFonts w:eastAsia="SimSun"/>
          <w:kern w:val="22"/>
        </w:rPr>
        <w:footnoteReference w:id="4"/>
      </w:r>
      <w:r w:rsidRPr="00184241">
        <w:rPr>
          <w:rFonts w:eastAsia="SimSun"/>
          <w:kern w:val="22"/>
        </w:rPr>
        <w:t xml:space="preserve"> </w:t>
      </w:r>
    </w:p>
    <w:p w14:paraId="11384921" w14:textId="157FC868" w:rsidR="0022428C" w:rsidRPr="00184241" w:rsidRDefault="0022428C" w:rsidP="00184241">
      <w:pPr>
        <w:pStyle w:val="Para1"/>
        <w:tabs>
          <w:tab w:val="left" w:pos="1080"/>
        </w:tabs>
        <w:ind w:left="540"/>
        <w:rPr>
          <w:rFonts w:eastAsia="SimSun"/>
          <w:kern w:val="22"/>
        </w:rPr>
      </w:pPr>
      <w:r w:rsidRPr="00184241">
        <w:rPr>
          <w:rFonts w:eastAsia="SimSun"/>
          <w:kern w:val="22"/>
        </w:rPr>
        <w:t xml:space="preserve">The </w:t>
      </w:r>
      <w:r w:rsidR="008A48E6" w:rsidRPr="00184241">
        <w:rPr>
          <w:rFonts w:eastAsia="SimSun"/>
          <w:kern w:val="22"/>
        </w:rPr>
        <w:t xml:space="preserve">annex to the </w:t>
      </w:r>
      <w:r w:rsidR="008A40E4" w:rsidRPr="00184241">
        <w:rPr>
          <w:rFonts w:eastAsia="SimSun"/>
          <w:kern w:val="22"/>
        </w:rPr>
        <w:t xml:space="preserve">report contained </w:t>
      </w:r>
      <w:r w:rsidRPr="00184241">
        <w:rPr>
          <w:rFonts w:eastAsia="SimSun"/>
          <w:kern w:val="22"/>
        </w:rPr>
        <w:t xml:space="preserve">24 specific recommendations </w:t>
      </w:r>
      <w:r w:rsidR="008A48E6" w:rsidRPr="00184241">
        <w:rPr>
          <w:rFonts w:eastAsia="SimSun"/>
          <w:kern w:val="22"/>
        </w:rPr>
        <w:t xml:space="preserve">by </w:t>
      </w:r>
      <w:r w:rsidRPr="00184241">
        <w:rPr>
          <w:rFonts w:eastAsia="SimSun"/>
          <w:kern w:val="22"/>
        </w:rPr>
        <w:t>the Committee</w:t>
      </w:r>
      <w:r w:rsidR="00E07B41" w:rsidRPr="00184241">
        <w:rPr>
          <w:rFonts w:eastAsia="SimSun"/>
          <w:kern w:val="22"/>
        </w:rPr>
        <w:t>,</w:t>
      </w:r>
      <w:r w:rsidR="008A48E6" w:rsidRPr="00184241">
        <w:rPr>
          <w:rFonts w:eastAsia="SimSun"/>
          <w:kern w:val="22"/>
        </w:rPr>
        <w:t xml:space="preserve"> </w:t>
      </w:r>
      <w:r w:rsidR="00402D12" w:rsidRPr="00184241">
        <w:rPr>
          <w:rFonts w:eastAsia="SimSun"/>
          <w:kern w:val="22"/>
        </w:rPr>
        <w:t xml:space="preserve">grouped </w:t>
      </w:r>
      <w:r w:rsidRPr="00184241">
        <w:rPr>
          <w:rFonts w:eastAsia="SimSun"/>
          <w:kern w:val="22"/>
        </w:rPr>
        <w:t xml:space="preserve">under broad </w:t>
      </w:r>
      <w:r w:rsidR="00402D12" w:rsidRPr="00184241">
        <w:rPr>
          <w:rFonts w:eastAsia="SimSun"/>
          <w:kern w:val="22"/>
        </w:rPr>
        <w:t>topics, namely</w:t>
      </w:r>
      <w:r w:rsidR="00184241" w:rsidRPr="00184241">
        <w:rPr>
          <w:rFonts w:eastAsia="SimSun"/>
          <w:kern w:val="22"/>
        </w:rPr>
        <w:t>,</w:t>
      </w:r>
      <w:r w:rsidRPr="00184241">
        <w:rPr>
          <w:rFonts w:eastAsia="SimSun"/>
          <w:kern w:val="22"/>
        </w:rPr>
        <w:t xml:space="preserve"> compliance; monitoring and reporting; assessment and review of the effectiveness of the Protocol and final evaluation of the Strategic Plan for the Cartagena Protocol on Biosafety for the period 2011</w:t>
      </w:r>
      <w:r w:rsidR="0087667B" w:rsidRPr="00184241">
        <w:rPr>
          <w:rFonts w:eastAsia="SimSun"/>
          <w:kern w:val="22"/>
        </w:rPr>
        <w:t>–</w:t>
      </w:r>
      <w:r w:rsidRPr="00184241">
        <w:rPr>
          <w:rFonts w:eastAsia="SimSun"/>
          <w:kern w:val="22"/>
        </w:rPr>
        <w:t>2020; and matters related to the financial mechanism</w:t>
      </w:r>
      <w:r w:rsidR="005F12A9" w:rsidRPr="005F12A9">
        <w:t xml:space="preserve"> </w:t>
      </w:r>
      <w:r w:rsidR="005F12A9">
        <w:t>and resources</w:t>
      </w:r>
      <w:r w:rsidRPr="00184241">
        <w:rPr>
          <w:rFonts w:eastAsia="SimSun"/>
          <w:kern w:val="22"/>
          <w:szCs w:val="22"/>
          <w:lang w:eastAsia="zh-CN"/>
        </w:rPr>
        <w:t>. The Conference of the Parties serving as the meeting of the Parties</w:t>
      </w:r>
      <w:r w:rsidRPr="00184241">
        <w:rPr>
          <w:rFonts w:eastAsia="SimSun"/>
          <w:kern w:val="22"/>
        </w:rPr>
        <w:t xml:space="preserve"> </w:t>
      </w:r>
      <w:r w:rsidR="005F12A9" w:rsidRPr="00184241">
        <w:rPr>
          <w:rFonts w:eastAsia="SimSun"/>
          <w:kern w:val="22"/>
        </w:rPr>
        <w:t xml:space="preserve">to the Protocol </w:t>
      </w:r>
      <w:r w:rsidRPr="00184241">
        <w:rPr>
          <w:rFonts w:eastAsia="SimSun"/>
          <w:kern w:val="22"/>
        </w:rPr>
        <w:t xml:space="preserve">considered the recommendations under the relevant agenda items and adopted </w:t>
      </w:r>
      <w:r w:rsidR="00271733" w:rsidRPr="00184241">
        <w:rPr>
          <w:rFonts w:eastAsia="SimSun"/>
          <w:kern w:val="22"/>
        </w:rPr>
        <w:t xml:space="preserve">a series of </w:t>
      </w:r>
      <w:r w:rsidRPr="00184241">
        <w:rPr>
          <w:rFonts w:eastAsia="SimSun"/>
          <w:kern w:val="22"/>
        </w:rPr>
        <w:t>decisions.</w:t>
      </w:r>
      <w:r w:rsidR="005F100A" w:rsidRPr="00772C2A">
        <w:rPr>
          <w:rStyle w:val="FootnoteReference"/>
          <w:rFonts w:eastAsia="SimSun"/>
          <w:kern w:val="22"/>
        </w:rPr>
        <w:footnoteReference w:id="5"/>
      </w:r>
    </w:p>
    <w:p w14:paraId="375A334E" w14:textId="7311408B" w:rsidR="0022428C" w:rsidRPr="00B33201" w:rsidRDefault="00E63E52" w:rsidP="000A78A3">
      <w:pPr>
        <w:pStyle w:val="Para1"/>
        <w:tabs>
          <w:tab w:val="left" w:pos="1080"/>
        </w:tabs>
        <w:ind w:left="540"/>
        <w:rPr>
          <w:kern w:val="22"/>
        </w:rPr>
      </w:pPr>
      <w:r>
        <w:rPr>
          <w:kern w:val="22"/>
        </w:rPr>
        <w:t>T</w:t>
      </w:r>
      <w:r w:rsidR="0022428C" w:rsidRPr="00B33201">
        <w:rPr>
          <w:kern w:val="22"/>
        </w:rPr>
        <w:t xml:space="preserve">he Committee </w:t>
      </w:r>
      <w:r w:rsidR="009F78FF">
        <w:rPr>
          <w:kern w:val="22"/>
        </w:rPr>
        <w:t>is invited</w:t>
      </w:r>
      <w:r w:rsidR="0022428C" w:rsidRPr="00B33201">
        <w:rPr>
          <w:kern w:val="22"/>
        </w:rPr>
        <w:t xml:space="preserve"> to reflect on the </w:t>
      </w:r>
      <w:proofErr w:type="gramStart"/>
      <w:r w:rsidR="003D0F4D">
        <w:rPr>
          <w:kern w:val="22"/>
        </w:rPr>
        <w:t xml:space="preserve">aforementioned </w:t>
      </w:r>
      <w:r w:rsidR="0022428C" w:rsidRPr="00B33201">
        <w:rPr>
          <w:kern w:val="22"/>
        </w:rPr>
        <w:t>decisions</w:t>
      </w:r>
      <w:proofErr w:type="gramEnd"/>
      <w:r w:rsidR="0022428C" w:rsidRPr="00B33201">
        <w:rPr>
          <w:kern w:val="22"/>
        </w:rPr>
        <w:t xml:space="preserve"> and </w:t>
      </w:r>
      <w:r w:rsidR="00B72308">
        <w:rPr>
          <w:kern w:val="22"/>
        </w:rPr>
        <w:t xml:space="preserve">to </w:t>
      </w:r>
      <w:r w:rsidR="0022428C" w:rsidRPr="00B33201">
        <w:rPr>
          <w:kern w:val="22"/>
        </w:rPr>
        <w:t xml:space="preserve">agree on appropriate follow-up actions. </w:t>
      </w:r>
      <w:r w:rsidR="00B72308">
        <w:rPr>
          <w:kern w:val="22"/>
        </w:rPr>
        <w:t>T</w:t>
      </w:r>
      <w:r w:rsidR="0022428C" w:rsidRPr="00B33201">
        <w:rPr>
          <w:kern w:val="22"/>
        </w:rPr>
        <w:t xml:space="preserve">o facilitate deliberations in this regard, the Secretariat has prepared </w:t>
      </w:r>
      <w:r w:rsidR="0031338C">
        <w:rPr>
          <w:kern w:val="22"/>
        </w:rPr>
        <w:t xml:space="preserve">a </w:t>
      </w:r>
      <w:r w:rsidR="0022428C" w:rsidRPr="00B33201">
        <w:rPr>
          <w:kern w:val="22"/>
        </w:rPr>
        <w:t xml:space="preserve">document </w:t>
      </w:r>
      <w:r w:rsidR="0031338C">
        <w:rPr>
          <w:kern w:val="22"/>
        </w:rPr>
        <w:t xml:space="preserve">containing </w:t>
      </w:r>
      <w:r w:rsidR="002C3195">
        <w:rPr>
          <w:kern w:val="22"/>
        </w:rPr>
        <w:t xml:space="preserve">a </w:t>
      </w:r>
      <w:r w:rsidR="0022428C" w:rsidRPr="00B33201">
        <w:rPr>
          <w:kern w:val="22"/>
        </w:rPr>
        <w:t xml:space="preserve">review </w:t>
      </w:r>
      <w:r w:rsidR="002C3195">
        <w:rPr>
          <w:kern w:val="22"/>
        </w:rPr>
        <w:t xml:space="preserve">of </w:t>
      </w:r>
      <w:r w:rsidR="0022428C" w:rsidRPr="00B33201">
        <w:rPr>
          <w:kern w:val="22"/>
        </w:rPr>
        <w:t xml:space="preserve">the outcomes of the </w:t>
      </w:r>
      <w:r w:rsidR="0022428C">
        <w:rPr>
          <w:kern w:val="22"/>
        </w:rPr>
        <w:t>tenth</w:t>
      </w:r>
      <w:r w:rsidR="0022428C" w:rsidRPr="00B33201">
        <w:rPr>
          <w:kern w:val="22"/>
        </w:rPr>
        <w:t xml:space="preserve"> meeting </w:t>
      </w:r>
      <w:proofErr w:type="gramStart"/>
      <w:r w:rsidR="0022428C">
        <w:rPr>
          <w:kern w:val="22"/>
        </w:rPr>
        <w:t>with regard to</w:t>
      </w:r>
      <w:proofErr w:type="gramEnd"/>
      <w:r w:rsidR="0022428C">
        <w:rPr>
          <w:kern w:val="22"/>
        </w:rPr>
        <w:t xml:space="preserve"> the recommendations from</w:t>
      </w:r>
      <w:r w:rsidR="0022428C" w:rsidRPr="00B33201">
        <w:rPr>
          <w:kern w:val="22"/>
        </w:rPr>
        <w:t xml:space="preserve"> the Committee</w:t>
      </w:r>
      <w:r w:rsidR="00333EBA">
        <w:rPr>
          <w:kern w:val="22"/>
        </w:rPr>
        <w:t>,</w:t>
      </w:r>
      <w:r w:rsidR="0022428C" w:rsidRPr="00B33201">
        <w:rPr>
          <w:kern w:val="22"/>
        </w:rPr>
        <w:t xml:space="preserve"> </w:t>
      </w:r>
      <w:r w:rsidR="0022428C">
        <w:rPr>
          <w:kern w:val="22"/>
        </w:rPr>
        <w:t xml:space="preserve">as well as other decisions relevant to the </w:t>
      </w:r>
      <w:r w:rsidR="00B31A72">
        <w:rPr>
          <w:kern w:val="22"/>
        </w:rPr>
        <w:t xml:space="preserve">work of the </w:t>
      </w:r>
      <w:r w:rsidR="0022428C">
        <w:rPr>
          <w:kern w:val="22"/>
        </w:rPr>
        <w:t>Committee</w:t>
      </w:r>
      <w:r w:rsidR="00496A82">
        <w:rPr>
          <w:kern w:val="22"/>
        </w:rPr>
        <w:t>,</w:t>
      </w:r>
      <w:r w:rsidR="0022428C">
        <w:rPr>
          <w:kern w:val="22"/>
        </w:rPr>
        <w:t xml:space="preserve"> </w:t>
      </w:r>
      <w:r w:rsidR="0022428C" w:rsidRPr="00B72A2D">
        <w:rPr>
          <w:kern w:val="22"/>
        </w:rPr>
        <w:t xml:space="preserve">and a </w:t>
      </w:r>
      <w:r w:rsidR="0031338C">
        <w:rPr>
          <w:kern w:val="22"/>
        </w:rPr>
        <w:t xml:space="preserve">proposed </w:t>
      </w:r>
      <w:r w:rsidR="0022428C" w:rsidRPr="00B72A2D">
        <w:rPr>
          <w:kern w:val="22"/>
        </w:rPr>
        <w:t>workplan for the Committee for the biennium</w:t>
      </w:r>
      <w:r w:rsidR="008A323F">
        <w:rPr>
          <w:kern w:val="22"/>
        </w:rPr>
        <w:t xml:space="preserve"> 2023</w:t>
      </w:r>
      <w:r w:rsidR="00772C2A">
        <w:rPr>
          <w:kern w:val="22"/>
        </w:rPr>
        <w:t>–</w:t>
      </w:r>
      <w:r w:rsidR="008A323F">
        <w:rPr>
          <w:kern w:val="22"/>
        </w:rPr>
        <w:t>2024</w:t>
      </w:r>
      <w:r w:rsidR="0022428C" w:rsidRPr="00B72A2D">
        <w:rPr>
          <w:kern w:val="22"/>
        </w:rPr>
        <w:t>.</w:t>
      </w:r>
      <w:r w:rsidR="001B191D">
        <w:rPr>
          <w:rStyle w:val="FootnoteReference"/>
          <w:kern w:val="22"/>
        </w:rPr>
        <w:footnoteReference w:id="6"/>
      </w:r>
    </w:p>
    <w:p w14:paraId="1B595B3A" w14:textId="25EA34A6" w:rsidR="00BE0994" w:rsidRPr="001257E3" w:rsidRDefault="00F164B3" w:rsidP="006056E4">
      <w:pPr>
        <w:pStyle w:val="Heading1"/>
        <w:numPr>
          <w:ilvl w:val="0"/>
          <w:numId w:val="0"/>
        </w:numPr>
        <w:tabs>
          <w:tab w:val="left" w:pos="1080"/>
        </w:tabs>
        <w:spacing w:after="0"/>
        <w:jc w:val="both"/>
        <w:rPr>
          <w:rFonts w:ascii="Times New Roman Bold" w:hAnsi="Times New Roman Bold" w:cs="Times New Roman Bold"/>
          <w:snapToGrid w:val="0"/>
          <w:kern w:val="22"/>
          <w:sz w:val="24"/>
          <w:szCs w:val="24"/>
        </w:rPr>
      </w:pPr>
      <w:r w:rsidRPr="001257E3">
        <w:rPr>
          <w:rFonts w:ascii="Times New Roman Bold" w:hAnsi="Times New Roman Bold" w:cs="Times New Roman Bold"/>
          <w:snapToGrid w:val="0"/>
          <w:kern w:val="22"/>
          <w:sz w:val="24"/>
          <w:szCs w:val="24"/>
        </w:rPr>
        <w:t>I</w:t>
      </w:r>
      <w:r w:rsidR="00F53730" w:rsidRPr="001257E3">
        <w:rPr>
          <w:rFonts w:ascii="Times New Roman Bold" w:hAnsi="Times New Roman Bold" w:cs="Times New Roman Bold"/>
          <w:snapToGrid w:val="0"/>
          <w:kern w:val="22"/>
          <w:sz w:val="24"/>
          <w:szCs w:val="24"/>
        </w:rPr>
        <w:t>tem</w:t>
      </w:r>
      <w:r w:rsidRPr="001257E3">
        <w:rPr>
          <w:rFonts w:ascii="Times New Roman Bold" w:hAnsi="Times New Roman Bold" w:cs="Times New Roman Bold"/>
          <w:snapToGrid w:val="0"/>
          <w:kern w:val="22"/>
          <w:sz w:val="24"/>
          <w:szCs w:val="24"/>
        </w:rPr>
        <w:t xml:space="preserve"> 4</w:t>
      </w:r>
    </w:p>
    <w:p w14:paraId="7EB486F3" w14:textId="0CB51E55" w:rsidR="00F164B3" w:rsidRPr="001257E3" w:rsidRDefault="00F53730" w:rsidP="000A78A3">
      <w:pPr>
        <w:pStyle w:val="Heading1"/>
        <w:numPr>
          <w:ilvl w:val="0"/>
          <w:numId w:val="0"/>
        </w:numPr>
        <w:tabs>
          <w:tab w:val="left" w:pos="1080"/>
        </w:tabs>
        <w:spacing w:before="0" w:after="0"/>
        <w:jc w:val="both"/>
        <w:rPr>
          <w:rFonts w:ascii="Times New Roman Bold" w:hAnsi="Times New Roman Bold" w:cs="Times New Roman Bold"/>
          <w:snapToGrid w:val="0"/>
          <w:kern w:val="22"/>
          <w:sz w:val="24"/>
          <w:szCs w:val="24"/>
        </w:rPr>
      </w:pPr>
      <w:r w:rsidRPr="001257E3">
        <w:rPr>
          <w:rFonts w:ascii="Times New Roman Bold" w:hAnsi="Times New Roman Bold" w:cs="Times New Roman Bold"/>
          <w:snapToGrid w:val="0"/>
          <w:kern w:val="22"/>
          <w:sz w:val="24"/>
          <w:szCs w:val="24"/>
        </w:rPr>
        <w:t xml:space="preserve">Review of compliance in priority areas </w:t>
      </w:r>
      <w:proofErr w:type="gramStart"/>
      <w:r w:rsidRPr="001257E3">
        <w:rPr>
          <w:rFonts w:ascii="Times New Roman Bold" w:hAnsi="Times New Roman Bold" w:cs="Times New Roman Bold"/>
          <w:snapToGrid w:val="0"/>
          <w:kern w:val="22"/>
          <w:sz w:val="24"/>
          <w:szCs w:val="24"/>
        </w:rPr>
        <w:t>on the basis of</w:t>
      </w:r>
      <w:proofErr w:type="gramEnd"/>
      <w:r w:rsidRPr="001257E3">
        <w:rPr>
          <w:rFonts w:ascii="Times New Roman Bold" w:hAnsi="Times New Roman Bold" w:cs="Times New Roman Bold"/>
          <w:snapToGrid w:val="0"/>
          <w:kern w:val="22"/>
          <w:sz w:val="24"/>
          <w:szCs w:val="24"/>
        </w:rPr>
        <w:t xml:space="preserve"> information in the national reports and general issues of compliance</w:t>
      </w:r>
    </w:p>
    <w:p w14:paraId="0961B6AE" w14:textId="0F4A61F3" w:rsidR="002E798B" w:rsidRPr="004540BD" w:rsidRDefault="002E798B" w:rsidP="000A78A3">
      <w:pPr>
        <w:pStyle w:val="Para1"/>
        <w:tabs>
          <w:tab w:val="left" w:pos="1080"/>
        </w:tabs>
        <w:ind w:left="540"/>
        <w:rPr>
          <w:kern w:val="22"/>
        </w:rPr>
      </w:pPr>
      <w:r w:rsidRPr="00F433EA">
        <w:rPr>
          <w:szCs w:val="22"/>
        </w:rPr>
        <w:t xml:space="preserve">At its fifth meeting, </w:t>
      </w:r>
      <w:r w:rsidR="001341F2">
        <w:rPr>
          <w:szCs w:val="22"/>
        </w:rPr>
        <w:t xml:space="preserve">held </w:t>
      </w:r>
      <w:r w:rsidR="005C0735">
        <w:rPr>
          <w:szCs w:val="22"/>
        </w:rPr>
        <w:t xml:space="preserve">in 2008, </w:t>
      </w:r>
      <w:r w:rsidRPr="00F433EA">
        <w:rPr>
          <w:szCs w:val="22"/>
        </w:rPr>
        <w:t xml:space="preserve">the </w:t>
      </w:r>
      <w:r w:rsidRPr="00753DB4">
        <w:rPr>
          <w:szCs w:val="22"/>
        </w:rPr>
        <w:t xml:space="preserve">Committee </w:t>
      </w:r>
      <w:r w:rsidR="00EE2E9C" w:rsidRPr="00753DB4">
        <w:rPr>
          <w:szCs w:val="22"/>
        </w:rPr>
        <w:t xml:space="preserve">decided </w:t>
      </w:r>
      <w:r w:rsidRPr="00753DB4">
        <w:rPr>
          <w:szCs w:val="22"/>
        </w:rPr>
        <w:t xml:space="preserve">to </w:t>
      </w:r>
      <w:r w:rsidR="00DA3BEF" w:rsidRPr="00753DB4">
        <w:rPr>
          <w:szCs w:val="22"/>
        </w:rPr>
        <w:t xml:space="preserve">include </w:t>
      </w:r>
      <w:r w:rsidRPr="00753DB4">
        <w:rPr>
          <w:szCs w:val="22"/>
        </w:rPr>
        <w:t>a standing item</w:t>
      </w:r>
      <w:r w:rsidRPr="00F433EA">
        <w:rPr>
          <w:szCs w:val="22"/>
        </w:rPr>
        <w:t xml:space="preserve"> on review of general issues of compliance </w:t>
      </w:r>
      <w:r w:rsidR="00591ADC">
        <w:rPr>
          <w:szCs w:val="22"/>
        </w:rPr>
        <w:t xml:space="preserve">on the agenda of its </w:t>
      </w:r>
      <w:r w:rsidRPr="00F433EA">
        <w:rPr>
          <w:szCs w:val="22"/>
        </w:rPr>
        <w:t>subsequent meetings.</w:t>
      </w:r>
      <w:r>
        <w:rPr>
          <w:szCs w:val="22"/>
        </w:rPr>
        <w:t xml:space="preserve"> </w:t>
      </w:r>
    </w:p>
    <w:p w14:paraId="04A9F8C5" w14:textId="5E2C4053" w:rsidR="002E798B" w:rsidRDefault="002E798B" w:rsidP="000A78A3">
      <w:pPr>
        <w:pStyle w:val="Para1"/>
        <w:tabs>
          <w:tab w:val="left" w:pos="1080"/>
        </w:tabs>
        <w:ind w:left="540"/>
        <w:rPr>
          <w:kern w:val="22"/>
        </w:rPr>
      </w:pPr>
      <w:r w:rsidRPr="00C57E15">
        <w:rPr>
          <w:szCs w:val="22"/>
        </w:rPr>
        <w:t>In</w:t>
      </w:r>
      <w:r>
        <w:rPr>
          <w:szCs w:val="22"/>
        </w:rPr>
        <w:t xml:space="preserve"> addition, in</w:t>
      </w:r>
      <w:r w:rsidRPr="00C57E15">
        <w:rPr>
          <w:szCs w:val="22"/>
        </w:rPr>
        <w:t xml:space="preserve"> accordance with </w:t>
      </w:r>
      <w:r>
        <w:rPr>
          <w:szCs w:val="22"/>
        </w:rPr>
        <w:t>its</w:t>
      </w:r>
      <w:r w:rsidRPr="00C57E15">
        <w:rPr>
          <w:szCs w:val="22"/>
        </w:rPr>
        <w:t xml:space="preserve"> </w:t>
      </w:r>
      <w:r>
        <w:rPr>
          <w:szCs w:val="22"/>
        </w:rPr>
        <w:t>cyclical</w:t>
      </w:r>
      <w:r w:rsidRPr="00C57E15">
        <w:rPr>
          <w:szCs w:val="22"/>
        </w:rPr>
        <w:t xml:space="preserve"> organization of work, the Committee is expected to review compliance </w:t>
      </w:r>
      <w:proofErr w:type="gramStart"/>
      <w:r w:rsidRPr="00C57E15">
        <w:rPr>
          <w:szCs w:val="22"/>
        </w:rPr>
        <w:t>on the basis of</w:t>
      </w:r>
      <w:proofErr w:type="gramEnd"/>
      <w:r w:rsidRPr="00C57E15">
        <w:rPr>
          <w:szCs w:val="22"/>
        </w:rPr>
        <w:t xml:space="preserve"> </w:t>
      </w:r>
      <w:r w:rsidR="00FB0BC7">
        <w:rPr>
          <w:szCs w:val="22"/>
        </w:rPr>
        <w:t xml:space="preserve">the </w:t>
      </w:r>
      <w:r>
        <w:rPr>
          <w:szCs w:val="22"/>
        </w:rPr>
        <w:t xml:space="preserve">fourth </w:t>
      </w:r>
      <w:r w:rsidRPr="00C57E15">
        <w:rPr>
          <w:szCs w:val="22"/>
        </w:rPr>
        <w:t>national reports, focusing on priority issues identified by the Conference of the Parties serving as the meeting of the Parties to the Protocol</w:t>
      </w:r>
      <w:r>
        <w:rPr>
          <w:szCs w:val="22"/>
        </w:rPr>
        <w:t>.</w:t>
      </w:r>
    </w:p>
    <w:p w14:paraId="07B962F4" w14:textId="2D4E9346" w:rsidR="002E798B" w:rsidRDefault="00AA5B72" w:rsidP="000A78A3">
      <w:pPr>
        <w:pStyle w:val="Para1"/>
        <w:tabs>
          <w:tab w:val="left" w:pos="1080"/>
        </w:tabs>
        <w:ind w:left="540"/>
        <w:rPr>
          <w:kern w:val="22"/>
        </w:rPr>
      </w:pPr>
      <w:r>
        <w:rPr>
          <w:kern w:val="22"/>
        </w:rPr>
        <w:lastRenderedPageBreak/>
        <w:t>T</w:t>
      </w:r>
      <w:r w:rsidR="002E798B">
        <w:rPr>
          <w:kern w:val="22"/>
        </w:rPr>
        <w:t xml:space="preserve">he Committee will have before it a document </w:t>
      </w:r>
      <w:r w:rsidR="00FE0FDC">
        <w:rPr>
          <w:kern w:val="22"/>
        </w:rPr>
        <w:t xml:space="preserve">containing </w:t>
      </w:r>
      <w:r w:rsidR="002E798B">
        <w:rPr>
          <w:kern w:val="22"/>
        </w:rPr>
        <w:t xml:space="preserve">an </w:t>
      </w:r>
      <w:r w:rsidR="002E798B">
        <w:rPr>
          <w:szCs w:val="22"/>
        </w:rPr>
        <w:t>overview of the status of compliance with obligations in priority areas and of actions taken to support Parties in achieving compliance</w:t>
      </w:r>
      <w:r>
        <w:rPr>
          <w:szCs w:val="22"/>
        </w:rPr>
        <w:t>.</w:t>
      </w:r>
      <w:r w:rsidR="00E939FF">
        <w:rPr>
          <w:rStyle w:val="FootnoteReference"/>
          <w:szCs w:val="22"/>
        </w:rPr>
        <w:footnoteReference w:id="7"/>
      </w:r>
      <w:r w:rsidR="002E798B">
        <w:rPr>
          <w:szCs w:val="22"/>
        </w:rPr>
        <w:t xml:space="preserve"> The document also contains information collected through the survey on compliance challenges carried out pursuant to decision </w:t>
      </w:r>
      <w:hyperlink r:id="rId14" w:history="1">
        <w:r w:rsidR="002E798B" w:rsidRPr="00C05774">
          <w:rPr>
            <w:rStyle w:val="Hyperlink"/>
            <w:szCs w:val="22"/>
          </w:rPr>
          <w:t>CP-10/2</w:t>
        </w:r>
      </w:hyperlink>
      <w:r w:rsidR="002E798B">
        <w:rPr>
          <w:szCs w:val="22"/>
        </w:rPr>
        <w:t>.</w:t>
      </w:r>
    </w:p>
    <w:p w14:paraId="6F456701" w14:textId="12EBEFAE" w:rsidR="007D0AC1" w:rsidRPr="001257E3" w:rsidRDefault="00413675" w:rsidP="00AD7EFD">
      <w:pPr>
        <w:pStyle w:val="Heading1"/>
        <w:numPr>
          <w:ilvl w:val="0"/>
          <w:numId w:val="0"/>
        </w:numPr>
        <w:tabs>
          <w:tab w:val="left" w:pos="1080"/>
        </w:tabs>
        <w:spacing w:after="0"/>
        <w:rPr>
          <w:rFonts w:ascii="Times New Roman Bold" w:hAnsi="Times New Roman Bold" w:cs="Times New Roman Bold"/>
          <w:snapToGrid w:val="0"/>
          <w:kern w:val="22"/>
          <w:sz w:val="24"/>
          <w:szCs w:val="24"/>
        </w:rPr>
      </w:pPr>
      <w:r w:rsidRPr="001257E3">
        <w:rPr>
          <w:rFonts w:ascii="Times New Roman Bold" w:hAnsi="Times New Roman Bold" w:cs="Times New Roman Bold"/>
          <w:snapToGrid w:val="0"/>
          <w:kern w:val="22"/>
          <w:sz w:val="24"/>
          <w:szCs w:val="24"/>
        </w:rPr>
        <w:t>I</w:t>
      </w:r>
      <w:r w:rsidR="00F53730" w:rsidRPr="001257E3">
        <w:rPr>
          <w:rFonts w:ascii="Times New Roman Bold" w:hAnsi="Times New Roman Bold" w:cs="Times New Roman Bold"/>
          <w:snapToGrid w:val="0"/>
          <w:kern w:val="22"/>
          <w:sz w:val="24"/>
          <w:szCs w:val="24"/>
        </w:rPr>
        <w:t>tem</w:t>
      </w:r>
      <w:r w:rsidRPr="001257E3">
        <w:rPr>
          <w:rFonts w:ascii="Times New Roman Bold" w:hAnsi="Times New Roman Bold" w:cs="Times New Roman Bold"/>
          <w:snapToGrid w:val="0"/>
          <w:kern w:val="22"/>
          <w:sz w:val="24"/>
          <w:szCs w:val="24"/>
        </w:rPr>
        <w:t xml:space="preserve"> 5</w:t>
      </w:r>
    </w:p>
    <w:p w14:paraId="4D0B7DF5" w14:textId="4B2BED8F" w:rsidR="00413675" w:rsidRPr="001257E3" w:rsidRDefault="000F020D" w:rsidP="00A84667">
      <w:pPr>
        <w:pStyle w:val="Heading1"/>
        <w:numPr>
          <w:ilvl w:val="0"/>
          <w:numId w:val="0"/>
        </w:numPr>
        <w:tabs>
          <w:tab w:val="left" w:pos="1080"/>
        </w:tabs>
        <w:spacing w:before="0" w:after="0"/>
        <w:rPr>
          <w:rFonts w:ascii="Times New Roman Bold" w:hAnsi="Times New Roman Bold" w:cs="Times New Roman Bold"/>
          <w:snapToGrid w:val="0"/>
          <w:kern w:val="22"/>
          <w:sz w:val="24"/>
          <w:szCs w:val="24"/>
        </w:rPr>
      </w:pPr>
      <w:r w:rsidRPr="001257E3">
        <w:rPr>
          <w:rFonts w:ascii="Times New Roman Bold" w:hAnsi="Times New Roman Bold" w:cs="Times New Roman Bold"/>
          <w:snapToGrid w:val="0"/>
          <w:kern w:val="22"/>
          <w:sz w:val="24"/>
          <w:szCs w:val="24"/>
        </w:rPr>
        <w:t>I</w:t>
      </w:r>
      <w:r w:rsidR="00F53730" w:rsidRPr="001257E3">
        <w:rPr>
          <w:rFonts w:ascii="Times New Roman Bold" w:hAnsi="Times New Roman Bold" w:cs="Times New Roman Bold"/>
          <w:snapToGrid w:val="0"/>
          <w:kern w:val="22"/>
          <w:sz w:val="24"/>
          <w:szCs w:val="24"/>
        </w:rPr>
        <w:t>ndividual cases of non-compliance</w:t>
      </w:r>
    </w:p>
    <w:p w14:paraId="0A1E656F" w14:textId="3A74ABFD" w:rsidR="00676A41" w:rsidRPr="008966F4" w:rsidRDefault="00676A41" w:rsidP="000A78A3">
      <w:pPr>
        <w:pStyle w:val="Para1"/>
        <w:tabs>
          <w:tab w:val="clear" w:pos="360"/>
          <w:tab w:val="left" w:pos="1080"/>
        </w:tabs>
        <w:ind w:left="540"/>
        <w:rPr>
          <w:kern w:val="22"/>
        </w:rPr>
      </w:pPr>
      <w:r w:rsidRPr="00E4642D">
        <w:rPr>
          <w:kern w:val="22"/>
        </w:rPr>
        <w:t xml:space="preserve">At its fourteenth meeting, </w:t>
      </w:r>
      <w:r w:rsidR="001341F2">
        <w:rPr>
          <w:kern w:val="22"/>
        </w:rPr>
        <w:t xml:space="preserve">held </w:t>
      </w:r>
      <w:r w:rsidR="00292966">
        <w:rPr>
          <w:kern w:val="22"/>
        </w:rPr>
        <w:t xml:space="preserve">in 2017, </w:t>
      </w:r>
      <w:r w:rsidRPr="00E4642D">
        <w:rPr>
          <w:kern w:val="22"/>
        </w:rPr>
        <w:t xml:space="preserve">the Committee decided to include a standing item </w:t>
      </w:r>
      <w:r w:rsidR="007975CB">
        <w:rPr>
          <w:kern w:val="22"/>
        </w:rPr>
        <w:t>on the</w:t>
      </w:r>
      <w:r w:rsidRPr="00E4642D">
        <w:rPr>
          <w:kern w:val="22"/>
        </w:rPr>
        <w:t xml:space="preserve"> consideration </w:t>
      </w:r>
      <w:r w:rsidRPr="008966F4">
        <w:rPr>
          <w:kern w:val="22"/>
        </w:rPr>
        <w:t>of ongoing individual cases of non-compliance</w:t>
      </w:r>
      <w:r w:rsidR="007975CB" w:rsidRPr="008966F4">
        <w:rPr>
          <w:kern w:val="22"/>
        </w:rPr>
        <w:t xml:space="preserve"> on the agenda of its subsequent meetings</w:t>
      </w:r>
      <w:r w:rsidRPr="008966F4">
        <w:rPr>
          <w:kern w:val="22"/>
        </w:rPr>
        <w:t>.</w:t>
      </w:r>
    </w:p>
    <w:p w14:paraId="4B2609B9" w14:textId="7A729F25" w:rsidR="00676A41" w:rsidRPr="00E4642D" w:rsidRDefault="00676A41" w:rsidP="000A78A3">
      <w:pPr>
        <w:pStyle w:val="Para1"/>
        <w:tabs>
          <w:tab w:val="clear" w:pos="360"/>
          <w:tab w:val="left" w:pos="1080"/>
        </w:tabs>
        <w:ind w:left="540"/>
        <w:rPr>
          <w:kern w:val="22"/>
        </w:rPr>
      </w:pPr>
      <w:r w:rsidRPr="008966F4">
        <w:rPr>
          <w:kern w:val="22"/>
        </w:rPr>
        <w:t xml:space="preserve">In this context, at its fifteenth and sixteenth meetings, </w:t>
      </w:r>
      <w:r w:rsidR="000E22E0" w:rsidRPr="008966F4">
        <w:rPr>
          <w:kern w:val="22"/>
        </w:rPr>
        <w:t xml:space="preserve">held </w:t>
      </w:r>
      <w:r w:rsidR="00C81CC7" w:rsidRPr="008966F4">
        <w:rPr>
          <w:kern w:val="22"/>
        </w:rPr>
        <w:t xml:space="preserve">in 2018 and </w:t>
      </w:r>
      <w:r w:rsidR="000E22E0" w:rsidRPr="008966F4">
        <w:rPr>
          <w:kern w:val="22"/>
        </w:rPr>
        <w:t xml:space="preserve">2019, respectively, </w:t>
      </w:r>
      <w:r w:rsidRPr="008966F4">
        <w:rPr>
          <w:kern w:val="22"/>
        </w:rPr>
        <w:t xml:space="preserve">the Committee considered compliance by Parties that </w:t>
      </w:r>
      <w:r w:rsidR="00300FE3">
        <w:rPr>
          <w:kern w:val="22"/>
        </w:rPr>
        <w:t xml:space="preserve">either </w:t>
      </w:r>
      <w:r w:rsidRPr="008966F4">
        <w:rPr>
          <w:kern w:val="22"/>
        </w:rPr>
        <w:t xml:space="preserve">had failed to submit national reports over multiple reporting cycles </w:t>
      </w:r>
      <w:r w:rsidR="00300FE3">
        <w:rPr>
          <w:kern w:val="22"/>
        </w:rPr>
        <w:t xml:space="preserve">or </w:t>
      </w:r>
      <w:r w:rsidR="00D97987" w:rsidRPr="008966F4">
        <w:rPr>
          <w:kern w:val="22"/>
        </w:rPr>
        <w:t>still need</w:t>
      </w:r>
      <w:r w:rsidR="00300FE3">
        <w:rPr>
          <w:kern w:val="22"/>
        </w:rPr>
        <w:t>ed</w:t>
      </w:r>
      <w:r w:rsidR="00D97987" w:rsidRPr="008966F4">
        <w:rPr>
          <w:kern w:val="22"/>
        </w:rPr>
        <w:t xml:space="preserve"> </w:t>
      </w:r>
      <w:r w:rsidRPr="0026542C">
        <w:rPr>
          <w:kern w:val="22"/>
        </w:rPr>
        <w:t>to introduce the necessary and appropriate measures to implement the Protocol,</w:t>
      </w:r>
      <w:r w:rsidRPr="00E4642D">
        <w:rPr>
          <w:kern w:val="22"/>
        </w:rPr>
        <w:t xml:space="preserve"> in </w:t>
      </w:r>
      <w:r w:rsidR="00911BE1">
        <w:rPr>
          <w:kern w:val="22"/>
        </w:rPr>
        <w:t>compliance</w:t>
      </w:r>
      <w:r w:rsidR="00911BE1" w:rsidRPr="00E4642D">
        <w:rPr>
          <w:kern w:val="22"/>
        </w:rPr>
        <w:t xml:space="preserve"> </w:t>
      </w:r>
      <w:r w:rsidRPr="00E4642D">
        <w:rPr>
          <w:kern w:val="22"/>
        </w:rPr>
        <w:t>with Article 2 of the Protocol. At its seventeenth meeting, the Committee</w:t>
      </w:r>
      <w:r>
        <w:t xml:space="preserve"> agreed to reconsider follow-up actions with the Parties concerned, as a matter of priority, at its </w:t>
      </w:r>
      <w:r w:rsidR="00D97987">
        <w:t xml:space="preserve">following </w:t>
      </w:r>
      <w:r>
        <w:t>meeting in the light of the information provided in their fourth national report</w:t>
      </w:r>
      <w:r w:rsidR="003812C1">
        <w:t>s</w:t>
      </w:r>
      <w:r>
        <w:t xml:space="preserve"> or in their communications with the Secretariat.</w:t>
      </w:r>
      <w:r w:rsidRPr="00E4642D">
        <w:rPr>
          <w:kern w:val="22"/>
        </w:rPr>
        <w:t xml:space="preserve"> </w:t>
      </w:r>
    </w:p>
    <w:p w14:paraId="0D4FD31B" w14:textId="55BC7177" w:rsidR="00676A41" w:rsidRPr="00767D00" w:rsidRDefault="00676A41" w:rsidP="000A78A3">
      <w:pPr>
        <w:pStyle w:val="Para1"/>
        <w:tabs>
          <w:tab w:val="clear" w:pos="360"/>
          <w:tab w:val="left" w:pos="1080"/>
        </w:tabs>
        <w:ind w:left="540"/>
        <w:rPr>
          <w:kern w:val="22"/>
          <w:szCs w:val="22"/>
          <w:lang w:eastAsia="ko-KR"/>
        </w:rPr>
      </w:pPr>
      <w:r w:rsidRPr="0059550D">
        <w:rPr>
          <w:iCs/>
        </w:rPr>
        <w:t xml:space="preserve">The document </w:t>
      </w:r>
      <w:r w:rsidRPr="0059550D">
        <w:rPr>
          <w:iCs/>
          <w:kern w:val="22"/>
        </w:rPr>
        <w:t>prepared by the Secretariat under agenda item</w:t>
      </w:r>
      <w:r w:rsidR="003812C1">
        <w:rPr>
          <w:iCs/>
          <w:kern w:val="22"/>
        </w:rPr>
        <w:t> 5</w:t>
      </w:r>
      <w:r w:rsidRPr="0059550D">
        <w:rPr>
          <w:iCs/>
          <w:szCs w:val="22"/>
        </w:rPr>
        <w:t xml:space="preserve"> provides</w:t>
      </w:r>
      <w:r w:rsidRPr="0059550D">
        <w:rPr>
          <w:kern w:val="22"/>
        </w:rPr>
        <w:t xml:space="preserve"> an </w:t>
      </w:r>
      <w:r w:rsidRPr="00B31B7F">
        <w:rPr>
          <w:kern w:val="22"/>
        </w:rPr>
        <w:t>overview of intersessional activities concerning individual cases of non-compliance and the current status of th</w:t>
      </w:r>
      <w:r w:rsidR="00026B9D">
        <w:rPr>
          <w:kern w:val="22"/>
        </w:rPr>
        <w:t>o</w:t>
      </w:r>
      <w:r w:rsidRPr="00B31B7F">
        <w:rPr>
          <w:kern w:val="22"/>
        </w:rPr>
        <w:t>se cases.</w:t>
      </w:r>
      <w:r w:rsidR="00F81AA3">
        <w:rPr>
          <w:rStyle w:val="FootnoteReference"/>
          <w:iCs/>
          <w:kern w:val="22"/>
        </w:rPr>
        <w:footnoteReference w:id="8"/>
      </w:r>
      <w:r w:rsidR="009E0B00">
        <w:rPr>
          <w:kern w:val="22"/>
        </w:rPr>
        <w:t xml:space="preserve"> </w:t>
      </w:r>
      <w:r w:rsidR="00C97F1D">
        <w:rPr>
          <w:kern w:val="22"/>
        </w:rPr>
        <w:t xml:space="preserve">The Committee is invited to consider follow-up actions and measures in relation to individual cases of non-compliance. </w:t>
      </w:r>
    </w:p>
    <w:p w14:paraId="269C24CE" w14:textId="0056901A" w:rsidR="007D0AC1" w:rsidRPr="001257E3" w:rsidRDefault="006E3034" w:rsidP="00AD7EFD">
      <w:pPr>
        <w:pStyle w:val="Heading1"/>
        <w:numPr>
          <w:ilvl w:val="0"/>
          <w:numId w:val="0"/>
        </w:numPr>
        <w:tabs>
          <w:tab w:val="left" w:pos="1080"/>
        </w:tabs>
        <w:spacing w:after="0"/>
        <w:rPr>
          <w:rFonts w:ascii="Times New Roman Bold" w:hAnsi="Times New Roman Bold" w:cs="Times New Roman Bold"/>
          <w:snapToGrid w:val="0"/>
          <w:kern w:val="22"/>
          <w:sz w:val="24"/>
          <w:szCs w:val="24"/>
        </w:rPr>
      </w:pPr>
      <w:r w:rsidRPr="001257E3">
        <w:rPr>
          <w:rFonts w:ascii="Times New Roman Bold" w:hAnsi="Times New Roman Bold" w:cs="Times New Roman Bold"/>
          <w:snapToGrid w:val="0"/>
          <w:kern w:val="22"/>
          <w:sz w:val="24"/>
          <w:szCs w:val="24"/>
        </w:rPr>
        <w:t>I</w:t>
      </w:r>
      <w:r w:rsidR="00F53730" w:rsidRPr="001257E3">
        <w:rPr>
          <w:rFonts w:ascii="Times New Roman Bold" w:hAnsi="Times New Roman Bold" w:cs="Times New Roman Bold"/>
          <w:snapToGrid w:val="0"/>
          <w:kern w:val="22"/>
          <w:sz w:val="24"/>
          <w:szCs w:val="24"/>
        </w:rPr>
        <w:t>tem</w:t>
      </w:r>
      <w:r w:rsidRPr="001257E3">
        <w:rPr>
          <w:rFonts w:ascii="Times New Roman Bold" w:hAnsi="Times New Roman Bold" w:cs="Times New Roman Bold"/>
          <w:snapToGrid w:val="0"/>
          <w:kern w:val="22"/>
          <w:sz w:val="24"/>
          <w:szCs w:val="24"/>
        </w:rPr>
        <w:t xml:space="preserve"> 6</w:t>
      </w:r>
    </w:p>
    <w:p w14:paraId="364AFED3" w14:textId="3959BDA5" w:rsidR="006E3034" w:rsidRPr="001257E3" w:rsidRDefault="00F53730" w:rsidP="000A78A3">
      <w:pPr>
        <w:pStyle w:val="Heading1"/>
        <w:numPr>
          <w:ilvl w:val="0"/>
          <w:numId w:val="0"/>
        </w:numPr>
        <w:tabs>
          <w:tab w:val="left" w:pos="1080"/>
        </w:tabs>
        <w:spacing w:before="0" w:after="0"/>
        <w:rPr>
          <w:rFonts w:ascii="Times New Roman Bold" w:hAnsi="Times New Roman Bold" w:cs="Times New Roman Bold"/>
          <w:snapToGrid w:val="0"/>
          <w:kern w:val="22"/>
          <w:sz w:val="24"/>
          <w:szCs w:val="24"/>
        </w:rPr>
      </w:pPr>
      <w:r w:rsidRPr="001257E3">
        <w:rPr>
          <w:rFonts w:ascii="Times New Roman Bold" w:hAnsi="Times New Roman Bold" w:cs="Times New Roman Bold"/>
          <w:snapToGrid w:val="0"/>
          <w:kern w:val="22"/>
          <w:sz w:val="24"/>
          <w:szCs w:val="24"/>
        </w:rPr>
        <w:t xml:space="preserve">Other </w:t>
      </w:r>
      <w:r w:rsidR="00CB65C7">
        <w:rPr>
          <w:rFonts w:ascii="Times New Roman Bold" w:hAnsi="Times New Roman Bold" w:cs="Times New Roman Bold"/>
          <w:snapToGrid w:val="0"/>
          <w:kern w:val="22"/>
          <w:sz w:val="24"/>
          <w:szCs w:val="24"/>
        </w:rPr>
        <w:t>m</w:t>
      </w:r>
      <w:r w:rsidRPr="001257E3">
        <w:rPr>
          <w:rFonts w:ascii="Times New Roman Bold" w:hAnsi="Times New Roman Bold" w:cs="Times New Roman Bold"/>
          <w:snapToGrid w:val="0"/>
          <w:kern w:val="22"/>
          <w:sz w:val="24"/>
          <w:szCs w:val="24"/>
        </w:rPr>
        <w:t>atters</w:t>
      </w:r>
    </w:p>
    <w:p w14:paraId="7D01E375" w14:textId="53B3C224" w:rsidR="003C2A89" w:rsidRPr="00B33201" w:rsidRDefault="003C2A89" w:rsidP="000A78A3">
      <w:pPr>
        <w:pStyle w:val="Para1"/>
        <w:tabs>
          <w:tab w:val="clear" w:pos="360"/>
          <w:tab w:val="left" w:pos="1080"/>
        </w:tabs>
        <w:ind w:left="540"/>
        <w:rPr>
          <w:kern w:val="22"/>
          <w:szCs w:val="22"/>
          <w:lang w:eastAsia="ko-KR"/>
        </w:rPr>
      </w:pPr>
      <w:r w:rsidRPr="00B33201">
        <w:rPr>
          <w:kern w:val="22"/>
        </w:rPr>
        <w:t xml:space="preserve">Under </w:t>
      </w:r>
      <w:r w:rsidR="002C53F1">
        <w:rPr>
          <w:kern w:val="22"/>
        </w:rPr>
        <w:t xml:space="preserve">agenda </w:t>
      </w:r>
      <w:r w:rsidRPr="00B33201">
        <w:rPr>
          <w:kern w:val="22"/>
        </w:rPr>
        <w:t>item</w:t>
      </w:r>
      <w:r w:rsidR="002C53F1">
        <w:rPr>
          <w:kern w:val="22"/>
        </w:rPr>
        <w:t> 6</w:t>
      </w:r>
      <w:r w:rsidRPr="00B33201">
        <w:rPr>
          <w:kern w:val="22"/>
        </w:rPr>
        <w:t xml:space="preserve">, </w:t>
      </w:r>
      <w:r w:rsidR="003450EF">
        <w:rPr>
          <w:kern w:val="22"/>
        </w:rPr>
        <w:t xml:space="preserve">the </w:t>
      </w:r>
      <w:r w:rsidRPr="00B33201">
        <w:rPr>
          <w:kern w:val="22"/>
        </w:rPr>
        <w:t xml:space="preserve">members of the Committee </w:t>
      </w:r>
      <w:r w:rsidR="00E94FB9">
        <w:rPr>
          <w:kern w:val="22"/>
        </w:rPr>
        <w:t xml:space="preserve">will </w:t>
      </w:r>
      <w:r w:rsidR="00B54A6C">
        <w:rPr>
          <w:kern w:val="22"/>
        </w:rPr>
        <w:t>have the opportunity to</w:t>
      </w:r>
      <w:r w:rsidR="00E94FB9">
        <w:rPr>
          <w:kern w:val="22"/>
        </w:rPr>
        <w:t xml:space="preserve"> </w:t>
      </w:r>
      <w:r w:rsidRPr="00B33201">
        <w:rPr>
          <w:kern w:val="22"/>
        </w:rPr>
        <w:t>raise any other matters relevant to the functions of the Committee.</w:t>
      </w:r>
    </w:p>
    <w:p w14:paraId="26198A7A" w14:textId="13E2D72B" w:rsidR="007D0AC1" w:rsidRPr="001257E3" w:rsidRDefault="002A1C52" w:rsidP="00AD7EFD">
      <w:pPr>
        <w:pStyle w:val="Heading1"/>
        <w:numPr>
          <w:ilvl w:val="0"/>
          <w:numId w:val="0"/>
        </w:numPr>
        <w:tabs>
          <w:tab w:val="left" w:pos="1080"/>
        </w:tabs>
        <w:spacing w:after="0"/>
        <w:rPr>
          <w:rFonts w:ascii="Times New Roman Bold" w:hAnsi="Times New Roman Bold" w:cs="Times New Roman Bold"/>
          <w:snapToGrid w:val="0"/>
          <w:kern w:val="22"/>
          <w:sz w:val="24"/>
          <w:szCs w:val="24"/>
        </w:rPr>
      </w:pPr>
      <w:r w:rsidRPr="001257E3">
        <w:rPr>
          <w:rFonts w:ascii="Times New Roman Bold" w:hAnsi="Times New Roman Bold" w:cs="Times New Roman Bold"/>
          <w:snapToGrid w:val="0"/>
          <w:kern w:val="22"/>
          <w:sz w:val="24"/>
          <w:szCs w:val="24"/>
        </w:rPr>
        <w:t>Item 7</w:t>
      </w:r>
    </w:p>
    <w:p w14:paraId="2953EFC1" w14:textId="213FC29B" w:rsidR="002A1C52" w:rsidRPr="001257E3" w:rsidRDefault="00B91B0E" w:rsidP="000A78A3">
      <w:pPr>
        <w:pStyle w:val="Heading1"/>
        <w:numPr>
          <w:ilvl w:val="0"/>
          <w:numId w:val="0"/>
        </w:numPr>
        <w:tabs>
          <w:tab w:val="left" w:pos="1080"/>
        </w:tabs>
        <w:spacing w:before="0" w:after="0"/>
        <w:rPr>
          <w:rFonts w:ascii="Times New Roman Bold" w:hAnsi="Times New Roman Bold" w:cs="Times New Roman Bold"/>
          <w:snapToGrid w:val="0"/>
          <w:kern w:val="22"/>
          <w:sz w:val="24"/>
          <w:szCs w:val="24"/>
        </w:rPr>
      </w:pPr>
      <w:r w:rsidRPr="001257E3">
        <w:rPr>
          <w:rFonts w:ascii="Times New Roman Bold" w:hAnsi="Times New Roman Bold" w:cs="Times New Roman Bold"/>
          <w:snapToGrid w:val="0"/>
          <w:kern w:val="22"/>
          <w:sz w:val="24"/>
          <w:szCs w:val="24"/>
        </w:rPr>
        <w:t>Adoption of the report</w:t>
      </w:r>
    </w:p>
    <w:p w14:paraId="304AF624" w14:textId="4CF71C1A" w:rsidR="00C45A09" w:rsidRPr="00B33201" w:rsidRDefault="00C45A09" w:rsidP="000A78A3">
      <w:pPr>
        <w:pStyle w:val="Para1"/>
        <w:tabs>
          <w:tab w:val="clear" w:pos="360"/>
          <w:tab w:val="left" w:pos="1080"/>
        </w:tabs>
        <w:ind w:left="540"/>
        <w:rPr>
          <w:kern w:val="22"/>
          <w:szCs w:val="22"/>
          <w:lang w:eastAsia="ko-KR"/>
        </w:rPr>
      </w:pPr>
      <w:r w:rsidRPr="00B33201">
        <w:rPr>
          <w:kern w:val="22"/>
        </w:rPr>
        <w:t xml:space="preserve">The Committee will </w:t>
      </w:r>
      <w:r w:rsidR="00E94FB9">
        <w:rPr>
          <w:kern w:val="22"/>
        </w:rPr>
        <w:t xml:space="preserve">be invited to </w:t>
      </w:r>
      <w:r w:rsidRPr="00B33201">
        <w:rPr>
          <w:kern w:val="22"/>
        </w:rPr>
        <w:t>consider and adopt its report</w:t>
      </w:r>
      <w:r w:rsidR="0057107C">
        <w:rPr>
          <w:kern w:val="22"/>
        </w:rPr>
        <w:t xml:space="preserve"> of the meeting</w:t>
      </w:r>
      <w:r w:rsidRPr="00B33201">
        <w:rPr>
          <w:kern w:val="22"/>
        </w:rPr>
        <w:t>.</w:t>
      </w:r>
    </w:p>
    <w:p w14:paraId="677BF2A3" w14:textId="00653610" w:rsidR="007D0AC1" w:rsidRPr="001257E3" w:rsidRDefault="00C45A09" w:rsidP="00AD7EFD">
      <w:pPr>
        <w:pStyle w:val="Heading1"/>
        <w:numPr>
          <w:ilvl w:val="0"/>
          <w:numId w:val="0"/>
        </w:numPr>
        <w:tabs>
          <w:tab w:val="left" w:pos="1080"/>
        </w:tabs>
        <w:spacing w:after="0"/>
        <w:rPr>
          <w:rFonts w:ascii="Times New Roman Bold" w:hAnsi="Times New Roman Bold" w:cs="Times New Roman Bold"/>
          <w:snapToGrid w:val="0"/>
          <w:kern w:val="22"/>
          <w:sz w:val="24"/>
          <w:szCs w:val="24"/>
        </w:rPr>
      </w:pPr>
      <w:r w:rsidRPr="001257E3">
        <w:rPr>
          <w:rFonts w:ascii="Times New Roman Bold" w:hAnsi="Times New Roman Bold" w:cs="Times New Roman Bold"/>
          <w:snapToGrid w:val="0"/>
          <w:kern w:val="22"/>
          <w:sz w:val="24"/>
          <w:szCs w:val="24"/>
        </w:rPr>
        <w:t>Item 8</w:t>
      </w:r>
    </w:p>
    <w:p w14:paraId="3E9A7C2F" w14:textId="19AEF1B9" w:rsidR="00C45A09" w:rsidRPr="001257E3" w:rsidRDefault="00A22621" w:rsidP="000A78A3">
      <w:pPr>
        <w:pStyle w:val="Heading1"/>
        <w:numPr>
          <w:ilvl w:val="0"/>
          <w:numId w:val="0"/>
        </w:numPr>
        <w:tabs>
          <w:tab w:val="left" w:pos="1080"/>
        </w:tabs>
        <w:spacing w:before="0" w:after="0"/>
        <w:rPr>
          <w:rFonts w:ascii="Times New Roman Bold" w:hAnsi="Times New Roman Bold" w:cs="Times New Roman Bold"/>
          <w:snapToGrid w:val="0"/>
          <w:kern w:val="22"/>
          <w:sz w:val="24"/>
          <w:szCs w:val="24"/>
        </w:rPr>
      </w:pPr>
      <w:r w:rsidRPr="001257E3">
        <w:rPr>
          <w:rFonts w:ascii="Times New Roman Bold" w:hAnsi="Times New Roman Bold" w:cs="Times New Roman Bold"/>
          <w:snapToGrid w:val="0"/>
          <w:kern w:val="22"/>
          <w:sz w:val="24"/>
          <w:szCs w:val="24"/>
        </w:rPr>
        <w:t>Closure of the meeting</w:t>
      </w:r>
    </w:p>
    <w:p w14:paraId="4209EA84" w14:textId="668938DA" w:rsidR="00191965" w:rsidRPr="001257E3" w:rsidRDefault="00191965" w:rsidP="000A78A3">
      <w:pPr>
        <w:pStyle w:val="Para1"/>
        <w:tabs>
          <w:tab w:val="clear" w:pos="360"/>
          <w:tab w:val="left" w:pos="1080"/>
        </w:tabs>
        <w:ind w:left="540"/>
        <w:rPr>
          <w:kern w:val="22"/>
        </w:rPr>
      </w:pPr>
      <w:r w:rsidRPr="00F233C6">
        <w:rPr>
          <w:kern w:val="22"/>
        </w:rPr>
        <w:t xml:space="preserve">The </w:t>
      </w:r>
      <w:r>
        <w:rPr>
          <w:kern w:val="22"/>
        </w:rPr>
        <w:t>eighteenth</w:t>
      </w:r>
      <w:r w:rsidRPr="007442CB">
        <w:rPr>
          <w:kern w:val="22"/>
        </w:rPr>
        <w:t xml:space="preserve"> meeting of the Committee is expected to close at </w:t>
      </w:r>
      <w:r w:rsidR="00CD2099">
        <w:rPr>
          <w:kern w:val="22"/>
        </w:rPr>
        <w:t>5</w:t>
      </w:r>
      <w:r w:rsidRPr="007442CB">
        <w:rPr>
          <w:kern w:val="22"/>
        </w:rPr>
        <w:t xml:space="preserve"> p.</w:t>
      </w:r>
      <w:r w:rsidRPr="00634877">
        <w:rPr>
          <w:kern w:val="22"/>
        </w:rPr>
        <w:t xml:space="preserve">m. on </w:t>
      </w:r>
      <w:r w:rsidR="000A58D2">
        <w:rPr>
          <w:kern w:val="22"/>
        </w:rPr>
        <w:t>2</w:t>
      </w:r>
      <w:r w:rsidR="00C30D6F">
        <w:rPr>
          <w:kern w:val="22"/>
        </w:rPr>
        <w:t>6</w:t>
      </w:r>
      <w:r w:rsidR="000A58D2">
        <w:rPr>
          <w:kern w:val="22"/>
        </w:rPr>
        <w:t xml:space="preserve"> October</w:t>
      </w:r>
      <w:r w:rsidRPr="00634877">
        <w:rPr>
          <w:kern w:val="22"/>
        </w:rPr>
        <w:t xml:space="preserve"> 20</w:t>
      </w:r>
      <w:r>
        <w:rPr>
          <w:kern w:val="22"/>
        </w:rPr>
        <w:t>23</w:t>
      </w:r>
      <w:r w:rsidRPr="00634877">
        <w:rPr>
          <w:kern w:val="22"/>
        </w:rPr>
        <w:t>.</w:t>
      </w:r>
    </w:p>
    <w:p w14:paraId="2C9DB6D7" w14:textId="77777777" w:rsidR="00000000" w:rsidRPr="001257E3" w:rsidRDefault="00000000" w:rsidP="001257E3">
      <w:pPr>
        <w:pStyle w:val="Para1"/>
        <w:tabs>
          <w:tab w:val="clear" w:pos="360"/>
          <w:tab w:val="left" w:pos="1080"/>
        </w:tabs>
        <w:ind w:left="540"/>
        <w:rPr>
          <w:kern w:val="22"/>
        </w:rPr>
        <w:sectPr w:rsidR="00000000" w:rsidRPr="001257E3" w:rsidSect="00144703">
          <w:headerReference w:type="even" r:id="rId15"/>
          <w:headerReference w:type="default" r:id="rId16"/>
          <w:footerReference w:type="even" r:id="rId17"/>
          <w:footerReference w:type="default" r:id="rId18"/>
          <w:pgSz w:w="12240" w:h="15840" w:code="1"/>
          <w:pgMar w:top="1021" w:right="1440" w:bottom="1134" w:left="1440" w:header="720" w:footer="720" w:gutter="0"/>
          <w:cols w:space="720"/>
          <w:noEndnote/>
          <w:titlePg/>
          <w:docGrid w:linePitch="299"/>
        </w:sectPr>
      </w:pPr>
    </w:p>
    <w:p w14:paraId="58A9DA81" w14:textId="77777777" w:rsidR="00673475" w:rsidRPr="001257E3" w:rsidRDefault="00673475" w:rsidP="00673475">
      <w:pPr>
        <w:pStyle w:val="Para1"/>
        <w:numPr>
          <w:ilvl w:val="0"/>
          <w:numId w:val="0"/>
        </w:numPr>
        <w:rPr>
          <w:b/>
          <w:bCs/>
          <w:sz w:val="24"/>
          <w:szCs w:val="24"/>
        </w:rPr>
      </w:pPr>
      <w:r w:rsidRPr="001257E3">
        <w:rPr>
          <w:b/>
          <w:bCs/>
          <w:sz w:val="24"/>
          <w:szCs w:val="24"/>
        </w:rPr>
        <w:lastRenderedPageBreak/>
        <w:t>Annex I</w:t>
      </w:r>
    </w:p>
    <w:p w14:paraId="07307383" w14:textId="683B1B02" w:rsidR="00673475" w:rsidRPr="00D70AF7" w:rsidRDefault="00673475" w:rsidP="00673475">
      <w:pPr>
        <w:pStyle w:val="Para1"/>
        <w:numPr>
          <w:ilvl w:val="0"/>
          <w:numId w:val="0"/>
        </w:numPr>
        <w:ind w:left="567"/>
        <w:rPr>
          <w:b/>
          <w:bCs/>
          <w:sz w:val="28"/>
          <w:szCs w:val="28"/>
        </w:rPr>
      </w:pPr>
      <w:r>
        <w:rPr>
          <w:b/>
          <w:bCs/>
          <w:sz w:val="28"/>
          <w:szCs w:val="28"/>
        </w:rPr>
        <w:t xml:space="preserve">Proposed organization of work </w:t>
      </w:r>
    </w:p>
    <w:p w14:paraId="68CC2A99" w14:textId="77777777" w:rsidR="00673475" w:rsidRPr="00B33201" w:rsidRDefault="00673475" w:rsidP="00673475">
      <w:pPr>
        <w:pStyle w:val="Heading1"/>
        <w:spacing w:before="120"/>
        <w:rPr>
          <w:snapToGrid w:val="0"/>
          <w:kern w:val="22"/>
        </w:rPr>
        <w:sectPr w:rsidR="00673475" w:rsidRPr="00B33201" w:rsidSect="001257E3">
          <w:pgSz w:w="12240" w:h="15840" w:code="1"/>
          <w:pgMar w:top="1021" w:right="1440" w:bottom="1134" w:left="1440" w:header="720" w:footer="720" w:gutter="0"/>
          <w:cols w:space="720"/>
          <w:noEndnote/>
          <w:docGrid w:linePitch="299"/>
        </w:sectPr>
      </w:pPr>
    </w:p>
    <w:tbl>
      <w:tblPr>
        <w:tblW w:w="5000" w:type="pct"/>
        <w:jc w:val="center"/>
        <w:tblBorders>
          <w:top w:val="dotted" w:sz="4" w:space="0" w:color="D0CECE" w:themeColor="background2" w:themeShade="E6"/>
          <w:left w:val="dotted" w:sz="4" w:space="0" w:color="D0CECE" w:themeColor="background2" w:themeShade="E6"/>
          <w:bottom w:val="dotted" w:sz="4" w:space="0" w:color="D0CECE" w:themeColor="background2" w:themeShade="E6"/>
          <w:right w:val="dotted" w:sz="4" w:space="0" w:color="D0CECE" w:themeColor="background2" w:themeShade="E6"/>
          <w:insideH w:val="dotted" w:sz="4" w:space="0" w:color="D0CECE" w:themeColor="background2" w:themeShade="E6"/>
          <w:insideV w:val="dotted" w:sz="4" w:space="0" w:color="D0CECE" w:themeColor="background2" w:themeShade="E6"/>
        </w:tblBorders>
        <w:tblLayout w:type="fixed"/>
        <w:tblCellMar>
          <w:left w:w="115" w:type="dxa"/>
          <w:right w:w="115" w:type="dxa"/>
        </w:tblCellMar>
        <w:tblLook w:val="0000" w:firstRow="0" w:lastRow="0" w:firstColumn="0" w:lastColumn="0" w:noHBand="0" w:noVBand="0"/>
      </w:tblPr>
      <w:tblGrid>
        <w:gridCol w:w="2744"/>
        <w:gridCol w:w="6606"/>
      </w:tblGrid>
      <w:tr w:rsidR="007D0AC1" w:rsidRPr="007D0AC1" w14:paraId="45EED758" w14:textId="77777777" w:rsidTr="007D0AC1">
        <w:trPr>
          <w:cantSplit/>
          <w:jc w:val="center"/>
        </w:trPr>
        <w:tc>
          <w:tcPr>
            <w:tcW w:w="2744" w:type="dxa"/>
          </w:tcPr>
          <w:p w14:paraId="7B8B30C1" w14:textId="77777777" w:rsidR="00673475" w:rsidRPr="001257E3" w:rsidRDefault="00673475" w:rsidP="00795FFC">
            <w:pPr>
              <w:pStyle w:val="Heading2"/>
              <w:spacing w:before="60"/>
              <w:rPr>
                <w:b w:val="0"/>
                <w:bCs/>
                <w:i/>
                <w:iCs/>
                <w:snapToGrid w:val="0"/>
                <w:kern w:val="22"/>
                <w:sz w:val="22"/>
                <w:szCs w:val="22"/>
                <w:lang w:val="es-ES"/>
              </w:rPr>
            </w:pPr>
            <w:r w:rsidRPr="007D0AC1">
              <w:rPr>
                <w:b w:val="0"/>
                <w:bCs/>
                <w:i/>
                <w:iCs/>
                <w:snapToGrid w:val="0"/>
                <w:kern w:val="22"/>
                <w:sz w:val="22"/>
                <w:szCs w:val="22"/>
              </w:rPr>
              <w:t>Date and time</w:t>
            </w:r>
          </w:p>
        </w:tc>
        <w:tc>
          <w:tcPr>
            <w:tcW w:w="6606" w:type="dxa"/>
          </w:tcPr>
          <w:p w14:paraId="25DA6203" w14:textId="77777777" w:rsidR="00673475" w:rsidRPr="007D0AC1" w:rsidRDefault="00673475" w:rsidP="00795FFC">
            <w:pPr>
              <w:pStyle w:val="Heading2"/>
              <w:spacing w:before="60"/>
              <w:jc w:val="center"/>
              <w:rPr>
                <w:b w:val="0"/>
                <w:bCs/>
                <w:i/>
                <w:iCs/>
                <w:snapToGrid w:val="0"/>
                <w:kern w:val="22"/>
                <w:sz w:val="22"/>
                <w:szCs w:val="22"/>
              </w:rPr>
            </w:pPr>
            <w:r w:rsidRPr="007D0AC1">
              <w:rPr>
                <w:b w:val="0"/>
                <w:bCs/>
                <w:i/>
                <w:iCs/>
                <w:snapToGrid w:val="0"/>
                <w:kern w:val="22"/>
                <w:sz w:val="22"/>
                <w:szCs w:val="22"/>
              </w:rPr>
              <w:t>Agenda item</w:t>
            </w:r>
          </w:p>
        </w:tc>
      </w:tr>
      <w:tr w:rsidR="0063629B" w:rsidRPr="007D0AC1" w14:paraId="286A8426" w14:textId="77777777" w:rsidTr="00082D05">
        <w:trPr>
          <w:cantSplit/>
          <w:jc w:val="center"/>
        </w:trPr>
        <w:tc>
          <w:tcPr>
            <w:tcW w:w="9350" w:type="dxa"/>
            <w:gridSpan w:val="2"/>
            <w:vAlign w:val="center"/>
          </w:tcPr>
          <w:p w14:paraId="77418A7B" w14:textId="3956FCE1" w:rsidR="0063629B" w:rsidRPr="007D0AC1" w:rsidRDefault="0063629B" w:rsidP="00795FFC">
            <w:pPr>
              <w:spacing w:before="60" w:after="120"/>
              <w:jc w:val="left"/>
              <w:rPr>
                <w:snapToGrid w:val="0"/>
                <w:kern w:val="22"/>
                <w:szCs w:val="22"/>
              </w:rPr>
            </w:pPr>
            <w:r w:rsidRPr="001257E3">
              <w:rPr>
                <w:b/>
                <w:snapToGrid w:val="0"/>
                <w:kern w:val="22"/>
                <w:szCs w:val="22"/>
              </w:rPr>
              <w:t>24 October 2023</w:t>
            </w:r>
          </w:p>
        </w:tc>
      </w:tr>
      <w:tr w:rsidR="007D0AC1" w:rsidRPr="007D0AC1" w14:paraId="7C92E81F" w14:textId="77777777" w:rsidTr="007D0AC1">
        <w:trPr>
          <w:cantSplit/>
          <w:jc w:val="center"/>
        </w:trPr>
        <w:tc>
          <w:tcPr>
            <w:tcW w:w="2744" w:type="dxa"/>
          </w:tcPr>
          <w:p w14:paraId="195C7C33" w14:textId="59301CFA" w:rsidR="00673475" w:rsidRPr="007D0AC1" w:rsidRDefault="00673475" w:rsidP="00795FFC">
            <w:pPr>
              <w:spacing w:before="60" w:after="120"/>
              <w:rPr>
                <w:snapToGrid w:val="0"/>
                <w:kern w:val="22"/>
                <w:szCs w:val="22"/>
              </w:rPr>
            </w:pPr>
            <w:r w:rsidRPr="007D0AC1">
              <w:rPr>
                <w:snapToGrid w:val="0"/>
                <w:kern w:val="22"/>
                <w:szCs w:val="22"/>
              </w:rPr>
              <w:t>9.30</w:t>
            </w:r>
            <w:r w:rsidR="00C47F29">
              <w:rPr>
                <w:snapToGrid w:val="0"/>
                <w:kern w:val="22"/>
                <w:szCs w:val="22"/>
              </w:rPr>
              <w:t>–</w:t>
            </w:r>
            <w:r w:rsidRPr="007D0AC1">
              <w:rPr>
                <w:snapToGrid w:val="0"/>
                <w:kern w:val="22"/>
                <w:szCs w:val="22"/>
              </w:rPr>
              <w:t>10.15 a.m.</w:t>
            </w:r>
          </w:p>
        </w:tc>
        <w:tc>
          <w:tcPr>
            <w:tcW w:w="6606" w:type="dxa"/>
          </w:tcPr>
          <w:p w14:paraId="0C157491" w14:textId="34036E83" w:rsidR="00673475" w:rsidRPr="007D0AC1" w:rsidRDefault="0063629B" w:rsidP="00795FFC">
            <w:pPr>
              <w:tabs>
                <w:tab w:val="left" w:pos="458"/>
              </w:tabs>
              <w:spacing w:before="60" w:after="120"/>
              <w:jc w:val="left"/>
              <w:rPr>
                <w:snapToGrid w:val="0"/>
                <w:kern w:val="22"/>
                <w:szCs w:val="22"/>
              </w:rPr>
            </w:pPr>
            <w:r>
              <w:rPr>
                <w:snapToGrid w:val="0"/>
                <w:kern w:val="22"/>
                <w:szCs w:val="22"/>
              </w:rPr>
              <w:t xml:space="preserve">Item </w:t>
            </w:r>
            <w:r w:rsidR="00673475" w:rsidRPr="007D0AC1">
              <w:rPr>
                <w:snapToGrid w:val="0"/>
                <w:kern w:val="22"/>
                <w:szCs w:val="22"/>
              </w:rPr>
              <w:t>1. Opening of the meeting</w:t>
            </w:r>
          </w:p>
          <w:p w14:paraId="2E258F75" w14:textId="42B566CF" w:rsidR="00673475" w:rsidRPr="007D0AC1" w:rsidRDefault="0063629B" w:rsidP="00795FFC">
            <w:pPr>
              <w:tabs>
                <w:tab w:val="left" w:pos="458"/>
              </w:tabs>
              <w:spacing w:before="60" w:after="120"/>
              <w:jc w:val="left"/>
              <w:rPr>
                <w:snapToGrid w:val="0"/>
                <w:kern w:val="22"/>
                <w:szCs w:val="22"/>
              </w:rPr>
            </w:pPr>
            <w:r>
              <w:rPr>
                <w:snapToGrid w:val="0"/>
                <w:kern w:val="22"/>
                <w:szCs w:val="22"/>
              </w:rPr>
              <w:t xml:space="preserve">Item </w:t>
            </w:r>
            <w:r w:rsidR="00673475" w:rsidRPr="007D0AC1">
              <w:rPr>
                <w:snapToGrid w:val="0"/>
                <w:kern w:val="22"/>
                <w:szCs w:val="22"/>
              </w:rPr>
              <w:t>2. Organizational matters:</w:t>
            </w:r>
          </w:p>
          <w:p w14:paraId="71FD387E" w14:textId="65AABAF3" w:rsidR="00673475" w:rsidRPr="007D0AC1" w:rsidRDefault="007D0AC1" w:rsidP="000B43B6">
            <w:pPr>
              <w:tabs>
                <w:tab w:val="left" w:pos="458"/>
                <w:tab w:val="left" w:pos="851"/>
                <w:tab w:val="left" w:pos="1215"/>
              </w:tabs>
              <w:spacing w:before="60" w:after="120"/>
              <w:ind w:left="677"/>
              <w:jc w:val="left"/>
              <w:rPr>
                <w:snapToGrid w:val="0"/>
                <w:kern w:val="22"/>
                <w:szCs w:val="22"/>
              </w:rPr>
            </w:pPr>
            <w:r w:rsidRPr="007D0AC1">
              <w:rPr>
                <w:snapToGrid w:val="0"/>
                <w:kern w:val="22"/>
                <w:szCs w:val="22"/>
              </w:rPr>
              <w:t>(a)</w:t>
            </w:r>
            <w:r w:rsidR="009D226D">
              <w:rPr>
                <w:snapToGrid w:val="0"/>
                <w:kern w:val="22"/>
                <w:szCs w:val="22"/>
              </w:rPr>
              <w:tab/>
            </w:r>
            <w:r w:rsidR="00673475" w:rsidRPr="007D0AC1">
              <w:rPr>
                <w:snapToGrid w:val="0"/>
                <w:kern w:val="22"/>
                <w:szCs w:val="22"/>
              </w:rPr>
              <w:t xml:space="preserve">Election of </w:t>
            </w:r>
            <w:proofErr w:type="gramStart"/>
            <w:r w:rsidR="00673475" w:rsidRPr="007D0AC1">
              <w:rPr>
                <w:snapToGrid w:val="0"/>
                <w:kern w:val="22"/>
                <w:szCs w:val="22"/>
              </w:rPr>
              <w:t>officers</w:t>
            </w:r>
            <w:r w:rsidR="000A58D2">
              <w:rPr>
                <w:snapToGrid w:val="0"/>
                <w:kern w:val="22"/>
                <w:szCs w:val="22"/>
              </w:rPr>
              <w:t>;</w:t>
            </w:r>
            <w:proofErr w:type="gramEnd"/>
          </w:p>
          <w:p w14:paraId="1A6D346F" w14:textId="73FC4592" w:rsidR="00673475" w:rsidRPr="007D0AC1" w:rsidRDefault="007D0AC1" w:rsidP="000B43B6">
            <w:pPr>
              <w:tabs>
                <w:tab w:val="left" w:pos="458"/>
                <w:tab w:val="left" w:pos="851"/>
                <w:tab w:val="left" w:pos="1215"/>
              </w:tabs>
              <w:spacing w:before="60" w:after="120"/>
              <w:ind w:left="677"/>
              <w:jc w:val="left"/>
              <w:rPr>
                <w:snapToGrid w:val="0"/>
                <w:kern w:val="22"/>
                <w:szCs w:val="22"/>
              </w:rPr>
            </w:pPr>
            <w:r w:rsidRPr="007D0AC1">
              <w:rPr>
                <w:snapToGrid w:val="0"/>
                <w:kern w:val="22"/>
                <w:szCs w:val="22"/>
              </w:rPr>
              <w:t>(b)</w:t>
            </w:r>
            <w:r w:rsidR="009D226D">
              <w:rPr>
                <w:snapToGrid w:val="0"/>
                <w:kern w:val="22"/>
                <w:szCs w:val="22"/>
              </w:rPr>
              <w:tab/>
            </w:r>
            <w:r w:rsidR="00673475" w:rsidRPr="007D0AC1">
              <w:rPr>
                <w:snapToGrid w:val="0"/>
                <w:kern w:val="22"/>
                <w:szCs w:val="22"/>
              </w:rPr>
              <w:t xml:space="preserve">Adoption of the </w:t>
            </w:r>
            <w:proofErr w:type="gramStart"/>
            <w:r w:rsidR="00673475" w:rsidRPr="007D0AC1">
              <w:rPr>
                <w:snapToGrid w:val="0"/>
                <w:kern w:val="22"/>
                <w:szCs w:val="22"/>
              </w:rPr>
              <w:t>agenda</w:t>
            </w:r>
            <w:r w:rsidR="000A58D2">
              <w:rPr>
                <w:snapToGrid w:val="0"/>
                <w:kern w:val="22"/>
                <w:szCs w:val="22"/>
              </w:rPr>
              <w:t>;</w:t>
            </w:r>
            <w:proofErr w:type="gramEnd"/>
          </w:p>
          <w:p w14:paraId="6A814723" w14:textId="298B9EE8" w:rsidR="00673475" w:rsidRPr="007D0AC1" w:rsidRDefault="007D0AC1" w:rsidP="000B43B6">
            <w:pPr>
              <w:tabs>
                <w:tab w:val="left" w:pos="458"/>
                <w:tab w:val="left" w:pos="851"/>
                <w:tab w:val="left" w:pos="1215"/>
              </w:tabs>
              <w:spacing w:before="60" w:after="120"/>
              <w:ind w:left="677"/>
              <w:jc w:val="left"/>
              <w:rPr>
                <w:snapToGrid w:val="0"/>
                <w:kern w:val="22"/>
                <w:szCs w:val="22"/>
              </w:rPr>
            </w:pPr>
            <w:r w:rsidRPr="007D0AC1">
              <w:rPr>
                <w:snapToGrid w:val="0"/>
                <w:kern w:val="22"/>
                <w:szCs w:val="22"/>
              </w:rPr>
              <w:t>(c)</w:t>
            </w:r>
            <w:r w:rsidR="009D226D">
              <w:rPr>
                <w:snapToGrid w:val="0"/>
                <w:kern w:val="22"/>
                <w:szCs w:val="22"/>
              </w:rPr>
              <w:tab/>
            </w:r>
            <w:r w:rsidR="00673475" w:rsidRPr="007D0AC1">
              <w:rPr>
                <w:snapToGrid w:val="0"/>
                <w:kern w:val="22"/>
                <w:szCs w:val="22"/>
              </w:rPr>
              <w:t>Organization of work</w:t>
            </w:r>
          </w:p>
        </w:tc>
      </w:tr>
      <w:tr w:rsidR="007D0AC1" w:rsidRPr="007D0AC1" w14:paraId="060E999E" w14:textId="77777777" w:rsidTr="007D0AC1">
        <w:trPr>
          <w:cantSplit/>
          <w:jc w:val="center"/>
        </w:trPr>
        <w:tc>
          <w:tcPr>
            <w:tcW w:w="2744" w:type="dxa"/>
          </w:tcPr>
          <w:p w14:paraId="2ADFE85F" w14:textId="6C5BE40C" w:rsidR="00673475" w:rsidRPr="007D0AC1" w:rsidRDefault="00673475" w:rsidP="00795FFC">
            <w:pPr>
              <w:pStyle w:val="CommentText"/>
              <w:spacing w:before="60" w:after="120"/>
              <w:rPr>
                <w:snapToGrid w:val="0"/>
                <w:kern w:val="22"/>
                <w:sz w:val="22"/>
                <w:szCs w:val="22"/>
              </w:rPr>
            </w:pPr>
            <w:r w:rsidRPr="007D0AC1">
              <w:rPr>
                <w:snapToGrid w:val="0"/>
                <w:kern w:val="22"/>
                <w:sz w:val="22"/>
                <w:szCs w:val="22"/>
              </w:rPr>
              <w:t>10.15 a.m.</w:t>
            </w:r>
            <w:r w:rsidR="00C47F29">
              <w:rPr>
                <w:snapToGrid w:val="0"/>
                <w:kern w:val="22"/>
                <w:szCs w:val="22"/>
              </w:rPr>
              <w:t xml:space="preserve"> –</w:t>
            </w:r>
            <w:r w:rsidRPr="007D0AC1">
              <w:rPr>
                <w:snapToGrid w:val="0"/>
                <w:kern w:val="22"/>
                <w:sz w:val="22"/>
                <w:szCs w:val="22"/>
              </w:rPr>
              <w:t>12.30 p.m.</w:t>
            </w:r>
          </w:p>
        </w:tc>
        <w:tc>
          <w:tcPr>
            <w:tcW w:w="6606" w:type="dxa"/>
          </w:tcPr>
          <w:p w14:paraId="6AE248C5" w14:textId="749C934B" w:rsidR="00673475" w:rsidRPr="007D0AC1" w:rsidRDefault="0063629B" w:rsidP="00795FFC">
            <w:pPr>
              <w:spacing w:before="60" w:after="120"/>
              <w:jc w:val="left"/>
              <w:rPr>
                <w:snapToGrid w:val="0"/>
                <w:kern w:val="22"/>
                <w:szCs w:val="22"/>
              </w:rPr>
            </w:pPr>
            <w:r>
              <w:rPr>
                <w:snapToGrid w:val="0"/>
                <w:kern w:val="22"/>
                <w:szCs w:val="22"/>
              </w:rPr>
              <w:t xml:space="preserve">Item </w:t>
            </w:r>
            <w:r w:rsidR="00673475" w:rsidRPr="007D0AC1">
              <w:rPr>
                <w:snapToGrid w:val="0"/>
                <w:kern w:val="22"/>
                <w:szCs w:val="22"/>
              </w:rPr>
              <w:t xml:space="preserve">3. Outcomes of the tenth meeting of the Conference of the Parties serving as the meeting of the Parties to the Cartagena Protocol on Biosafety </w:t>
            </w:r>
            <w:r w:rsidR="00076326" w:rsidRPr="00F7694C">
              <w:rPr>
                <w:snapToGrid w:val="0"/>
                <w:kern w:val="22"/>
              </w:rPr>
              <w:t xml:space="preserve">regarding items </w:t>
            </w:r>
            <w:r w:rsidR="00673475" w:rsidRPr="007D0AC1">
              <w:rPr>
                <w:snapToGrid w:val="0"/>
                <w:kern w:val="22"/>
                <w:szCs w:val="22"/>
              </w:rPr>
              <w:t>relevant to compliance</w:t>
            </w:r>
          </w:p>
        </w:tc>
      </w:tr>
      <w:tr w:rsidR="00E7049A" w:rsidRPr="007D0AC1" w14:paraId="468B6969" w14:textId="77777777" w:rsidTr="007D0AC1">
        <w:trPr>
          <w:cantSplit/>
          <w:jc w:val="center"/>
        </w:trPr>
        <w:tc>
          <w:tcPr>
            <w:tcW w:w="2744" w:type="dxa"/>
          </w:tcPr>
          <w:p w14:paraId="5226146B" w14:textId="6A26981B" w:rsidR="00E7049A" w:rsidRPr="007D0AC1" w:rsidRDefault="00E7049A" w:rsidP="00795FFC">
            <w:pPr>
              <w:pStyle w:val="CommentText"/>
              <w:spacing w:before="60" w:after="120"/>
              <w:rPr>
                <w:snapToGrid w:val="0"/>
                <w:kern w:val="22"/>
                <w:sz w:val="22"/>
                <w:szCs w:val="22"/>
              </w:rPr>
            </w:pPr>
            <w:bookmarkStart w:id="1" w:name="_Hlk140054465"/>
            <w:r>
              <w:rPr>
                <w:snapToGrid w:val="0"/>
                <w:kern w:val="22"/>
                <w:sz w:val="22"/>
                <w:szCs w:val="22"/>
              </w:rPr>
              <w:t>12.30–2 p.m.</w:t>
            </w:r>
          </w:p>
        </w:tc>
        <w:tc>
          <w:tcPr>
            <w:tcW w:w="6606" w:type="dxa"/>
          </w:tcPr>
          <w:p w14:paraId="19EA249D" w14:textId="62F40338" w:rsidR="00E7049A" w:rsidRDefault="00E7049A" w:rsidP="00795FFC">
            <w:pPr>
              <w:spacing w:before="60" w:after="120"/>
              <w:jc w:val="left"/>
              <w:rPr>
                <w:snapToGrid w:val="0"/>
                <w:kern w:val="22"/>
                <w:szCs w:val="22"/>
              </w:rPr>
            </w:pPr>
            <w:r>
              <w:rPr>
                <w:snapToGrid w:val="0"/>
                <w:kern w:val="22"/>
                <w:szCs w:val="22"/>
              </w:rPr>
              <w:t>Lunch break</w:t>
            </w:r>
          </w:p>
        </w:tc>
      </w:tr>
      <w:bookmarkEnd w:id="1"/>
      <w:tr w:rsidR="007D0AC1" w:rsidRPr="007D0AC1" w14:paraId="1CF6816B" w14:textId="77777777" w:rsidTr="007D0AC1">
        <w:trPr>
          <w:cantSplit/>
          <w:jc w:val="center"/>
        </w:trPr>
        <w:tc>
          <w:tcPr>
            <w:tcW w:w="2744" w:type="dxa"/>
          </w:tcPr>
          <w:p w14:paraId="7927F32C" w14:textId="14D47134" w:rsidR="00673475" w:rsidRPr="007D0AC1" w:rsidRDefault="00673475" w:rsidP="00795FFC">
            <w:pPr>
              <w:pStyle w:val="CommentText"/>
              <w:spacing w:before="60" w:after="120"/>
              <w:rPr>
                <w:snapToGrid w:val="0"/>
                <w:kern w:val="22"/>
                <w:sz w:val="22"/>
                <w:szCs w:val="22"/>
              </w:rPr>
            </w:pPr>
            <w:r w:rsidRPr="007D0AC1">
              <w:rPr>
                <w:snapToGrid w:val="0"/>
                <w:kern w:val="22"/>
                <w:sz w:val="22"/>
                <w:szCs w:val="22"/>
              </w:rPr>
              <w:t>2</w:t>
            </w:r>
            <w:r w:rsidR="00C47F29">
              <w:rPr>
                <w:snapToGrid w:val="0"/>
                <w:kern w:val="22"/>
                <w:szCs w:val="22"/>
              </w:rPr>
              <w:t>–</w:t>
            </w:r>
            <w:r w:rsidRPr="007D0AC1">
              <w:rPr>
                <w:snapToGrid w:val="0"/>
                <w:kern w:val="22"/>
                <w:sz w:val="22"/>
                <w:szCs w:val="22"/>
              </w:rPr>
              <w:t>5 p.m.</w:t>
            </w:r>
          </w:p>
        </w:tc>
        <w:tc>
          <w:tcPr>
            <w:tcW w:w="6606" w:type="dxa"/>
          </w:tcPr>
          <w:p w14:paraId="0CA8E8B5" w14:textId="3B5BA6FB" w:rsidR="00673475" w:rsidRPr="007D0AC1" w:rsidRDefault="00E46AAE" w:rsidP="00795FFC">
            <w:pPr>
              <w:tabs>
                <w:tab w:val="left" w:pos="458"/>
              </w:tabs>
              <w:spacing w:before="60" w:after="120"/>
              <w:jc w:val="left"/>
              <w:rPr>
                <w:snapToGrid w:val="0"/>
                <w:kern w:val="22"/>
                <w:szCs w:val="22"/>
              </w:rPr>
            </w:pPr>
            <w:r w:rsidRPr="001257E3">
              <w:rPr>
                <w:iCs/>
                <w:snapToGrid w:val="0"/>
                <w:kern w:val="22"/>
                <w:szCs w:val="22"/>
              </w:rPr>
              <w:t>Item 3</w:t>
            </w:r>
            <w:r>
              <w:rPr>
                <w:i/>
                <w:snapToGrid w:val="0"/>
                <w:kern w:val="22"/>
                <w:szCs w:val="22"/>
              </w:rPr>
              <w:t xml:space="preserve"> </w:t>
            </w:r>
            <w:r w:rsidRPr="001257E3">
              <w:rPr>
                <w:iCs/>
                <w:snapToGrid w:val="0"/>
                <w:kern w:val="22"/>
                <w:szCs w:val="22"/>
              </w:rPr>
              <w:t>(</w:t>
            </w:r>
            <w:r w:rsidR="00101E4E">
              <w:rPr>
                <w:i/>
                <w:snapToGrid w:val="0"/>
                <w:kern w:val="22"/>
                <w:szCs w:val="22"/>
              </w:rPr>
              <w:t>c</w:t>
            </w:r>
            <w:r w:rsidR="00673475" w:rsidRPr="007D0AC1">
              <w:rPr>
                <w:i/>
                <w:snapToGrid w:val="0"/>
                <w:kern w:val="22"/>
                <w:szCs w:val="22"/>
              </w:rPr>
              <w:t>ontinu</w:t>
            </w:r>
            <w:r>
              <w:rPr>
                <w:i/>
                <w:snapToGrid w:val="0"/>
                <w:kern w:val="22"/>
                <w:szCs w:val="22"/>
              </w:rPr>
              <w:t>ed</w:t>
            </w:r>
            <w:r w:rsidRPr="001257E3">
              <w:rPr>
                <w:iCs/>
                <w:snapToGrid w:val="0"/>
                <w:kern w:val="22"/>
                <w:szCs w:val="22"/>
              </w:rPr>
              <w:t>)</w:t>
            </w:r>
          </w:p>
          <w:p w14:paraId="46F415D6" w14:textId="638E073C" w:rsidR="00673475" w:rsidRPr="007D0AC1" w:rsidRDefault="0063629B" w:rsidP="00795FFC">
            <w:pPr>
              <w:tabs>
                <w:tab w:val="left" w:pos="458"/>
              </w:tabs>
              <w:spacing w:before="60" w:after="120"/>
              <w:jc w:val="left"/>
              <w:rPr>
                <w:snapToGrid w:val="0"/>
                <w:kern w:val="22"/>
                <w:szCs w:val="22"/>
              </w:rPr>
            </w:pPr>
            <w:r>
              <w:rPr>
                <w:snapToGrid w:val="0"/>
                <w:kern w:val="22"/>
                <w:szCs w:val="22"/>
              </w:rPr>
              <w:t xml:space="preserve">Item </w:t>
            </w:r>
            <w:r w:rsidR="00673475" w:rsidRPr="007D0AC1">
              <w:rPr>
                <w:snapToGrid w:val="0"/>
                <w:kern w:val="22"/>
                <w:szCs w:val="22"/>
              </w:rPr>
              <w:t xml:space="preserve">4. Review of compliance in priority areas </w:t>
            </w:r>
            <w:proofErr w:type="gramStart"/>
            <w:r w:rsidR="00673475" w:rsidRPr="007D0AC1">
              <w:rPr>
                <w:snapToGrid w:val="0"/>
                <w:kern w:val="22"/>
                <w:szCs w:val="22"/>
              </w:rPr>
              <w:t>on the basis of</w:t>
            </w:r>
            <w:proofErr w:type="gramEnd"/>
            <w:r w:rsidR="00673475" w:rsidRPr="007D0AC1">
              <w:rPr>
                <w:snapToGrid w:val="0"/>
                <w:kern w:val="22"/>
                <w:szCs w:val="22"/>
              </w:rPr>
              <w:t xml:space="preserve"> information in the national reports and general issues of compliance</w:t>
            </w:r>
          </w:p>
        </w:tc>
      </w:tr>
      <w:tr w:rsidR="0063629B" w:rsidRPr="007D0AC1" w14:paraId="7436B44C" w14:textId="77777777" w:rsidTr="00044CCC">
        <w:trPr>
          <w:cantSplit/>
          <w:jc w:val="center"/>
        </w:trPr>
        <w:tc>
          <w:tcPr>
            <w:tcW w:w="9350" w:type="dxa"/>
            <w:gridSpan w:val="2"/>
          </w:tcPr>
          <w:p w14:paraId="36624D27" w14:textId="4621CD0A" w:rsidR="0063629B" w:rsidRPr="007D0AC1" w:rsidRDefault="0063629B" w:rsidP="00795FFC">
            <w:pPr>
              <w:tabs>
                <w:tab w:val="left" w:pos="509"/>
              </w:tabs>
              <w:spacing w:before="60" w:after="120"/>
              <w:jc w:val="left"/>
              <w:rPr>
                <w:snapToGrid w:val="0"/>
                <w:kern w:val="22"/>
                <w:szCs w:val="22"/>
              </w:rPr>
            </w:pPr>
            <w:r w:rsidRPr="001257E3">
              <w:rPr>
                <w:b/>
                <w:snapToGrid w:val="0"/>
                <w:kern w:val="22"/>
                <w:szCs w:val="22"/>
              </w:rPr>
              <w:t>25 October 2023</w:t>
            </w:r>
          </w:p>
        </w:tc>
      </w:tr>
      <w:tr w:rsidR="007D0AC1" w:rsidRPr="007D0AC1" w14:paraId="747ABB98" w14:textId="77777777" w:rsidTr="007D0AC1">
        <w:trPr>
          <w:cantSplit/>
          <w:jc w:val="center"/>
        </w:trPr>
        <w:tc>
          <w:tcPr>
            <w:tcW w:w="2744" w:type="dxa"/>
          </w:tcPr>
          <w:p w14:paraId="71AFAD5C" w14:textId="19C3DB04" w:rsidR="00673475" w:rsidRPr="0063629B" w:rsidRDefault="00673475" w:rsidP="00795FFC">
            <w:pPr>
              <w:pStyle w:val="CommentText"/>
              <w:spacing w:before="60" w:after="120"/>
              <w:rPr>
                <w:snapToGrid w:val="0"/>
                <w:kern w:val="22"/>
                <w:sz w:val="22"/>
                <w:szCs w:val="22"/>
              </w:rPr>
            </w:pPr>
            <w:r w:rsidRPr="0063629B">
              <w:rPr>
                <w:snapToGrid w:val="0"/>
                <w:kern w:val="22"/>
                <w:sz w:val="22"/>
                <w:szCs w:val="22"/>
              </w:rPr>
              <w:t>9.30</w:t>
            </w:r>
            <w:r w:rsidR="003659CB">
              <w:rPr>
                <w:snapToGrid w:val="0"/>
                <w:kern w:val="22"/>
                <w:sz w:val="22"/>
                <w:szCs w:val="22"/>
              </w:rPr>
              <w:t xml:space="preserve"> a.m.</w:t>
            </w:r>
            <w:r w:rsidR="00C47F29">
              <w:rPr>
                <w:snapToGrid w:val="0"/>
                <w:kern w:val="22"/>
                <w:szCs w:val="22"/>
              </w:rPr>
              <w:t>–</w:t>
            </w:r>
            <w:r w:rsidRPr="0063629B">
              <w:rPr>
                <w:snapToGrid w:val="0"/>
                <w:kern w:val="22"/>
                <w:sz w:val="22"/>
                <w:szCs w:val="22"/>
              </w:rPr>
              <w:t>12.30 p.m.</w:t>
            </w:r>
          </w:p>
        </w:tc>
        <w:tc>
          <w:tcPr>
            <w:tcW w:w="6606" w:type="dxa"/>
          </w:tcPr>
          <w:p w14:paraId="7B9A9608" w14:textId="239A4A6A" w:rsidR="00673475" w:rsidRPr="007D0AC1" w:rsidRDefault="0063629B" w:rsidP="00795FFC">
            <w:pPr>
              <w:pStyle w:val="CommentText"/>
              <w:spacing w:before="60" w:after="120"/>
              <w:rPr>
                <w:i/>
                <w:snapToGrid w:val="0"/>
                <w:kern w:val="22"/>
                <w:sz w:val="22"/>
                <w:szCs w:val="22"/>
              </w:rPr>
            </w:pPr>
            <w:r w:rsidRPr="001257E3">
              <w:rPr>
                <w:iCs/>
                <w:snapToGrid w:val="0"/>
                <w:kern w:val="22"/>
                <w:sz w:val="22"/>
                <w:szCs w:val="22"/>
              </w:rPr>
              <w:t>Item 4</w:t>
            </w:r>
            <w:r>
              <w:rPr>
                <w:i/>
                <w:snapToGrid w:val="0"/>
                <w:kern w:val="22"/>
                <w:sz w:val="22"/>
                <w:szCs w:val="22"/>
              </w:rPr>
              <w:t xml:space="preserve"> </w:t>
            </w:r>
            <w:r w:rsidRPr="001257E3">
              <w:rPr>
                <w:iCs/>
                <w:snapToGrid w:val="0"/>
                <w:kern w:val="22"/>
                <w:sz w:val="22"/>
                <w:szCs w:val="22"/>
              </w:rPr>
              <w:t>(</w:t>
            </w:r>
            <w:r w:rsidR="00CC5E41">
              <w:rPr>
                <w:i/>
                <w:snapToGrid w:val="0"/>
                <w:kern w:val="22"/>
                <w:sz w:val="22"/>
                <w:szCs w:val="22"/>
              </w:rPr>
              <w:t>c</w:t>
            </w:r>
            <w:r w:rsidR="00673475" w:rsidRPr="007D0AC1">
              <w:rPr>
                <w:i/>
                <w:snapToGrid w:val="0"/>
                <w:kern w:val="22"/>
                <w:sz w:val="22"/>
                <w:szCs w:val="22"/>
              </w:rPr>
              <w:t>ontinu</w:t>
            </w:r>
            <w:r>
              <w:rPr>
                <w:i/>
                <w:snapToGrid w:val="0"/>
                <w:kern w:val="22"/>
                <w:sz w:val="22"/>
                <w:szCs w:val="22"/>
              </w:rPr>
              <w:t>ed</w:t>
            </w:r>
            <w:r w:rsidRPr="001257E3">
              <w:rPr>
                <w:iCs/>
                <w:snapToGrid w:val="0"/>
                <w:kern w:val="22"/>
                <w:sz w:val="22"/>
                <w:szCs w:val="22"/>
              </w:rPr>
              <w:t>)</w:t>
            </w:r>
          </w:p>
        </w:tc>
      </w:tr>
      <w:tr w:rsidR="003659CB" w:rsidRPr="007D0AC1" w14:paraId="202FE035" w14:textId="77777777" w:rsidTr="007D0AC1">
        <w:trPr>
          <w:cantSplit/>
          <w:jc w:val="center"/>
        </w:trPr>
        <w:tc>
          <w:tcPr>
            <w:tcW w:w="2744" w:type="dxa"/>
          </w:tcPr>
          <w:p w14:paraId="1C57B8C9" w14:textId="3F71902D" w:rsidR="003659CB" w:rsidRPr="00EE30DE" w:rsidRDefault="003659CB" w:rsidP="00795FFC">
            <w:pPr>
              <w:pStyle w:val="CommentText"/>
              <w:spacing w:before="60" w:after="120"/>
              <w:rPr>
                <w:snapToGrid w:val="0"/>
                <w:kern w:val="22"/>
                <w:sz w:val="22"/>
                <w:szCs w:val="22"/>
              </w:rPr>
            </w:pPr>
            <w:r w:rsidRPr="00EE30DE">
              <w:rPr>
                <w:snapToGrid w:val="0"/>
                <w:kern w:val="22"/>
                <w:sz w:val="22"/>
                <w:szCs w:val="22"/>
              </w:rPr>
              <w:t>12.30–2 p.m.</w:t>
            </w:r>
          </w:p>
        </w:tc>
        <w:tc>
          <w:tcPr>
            <w:tcW w:w="6606" w:type="dxa"/>
          </w:tcPr>
          <w:p w14:paraId="6C58A7F2" w14:textId="02B4D5C2" w:rsidR="003659CB" w:rsidRPr="00EE30DE" w:rsidRDefault="003659CB" w:rsidP="00795FFC">
            <w:pPr>
              <w:pStyle w:val="CommentText"/>
              <w:spacing w:before="60" w:after="120"/>
              <w:rPr>
                <w:iCs/>
                <w:snapToGrid w:val="0"/>
                <w:kern w:val="22"/>
                <w:sz w:val="22"/>
                <w:szCs w:val="22"/>
              </w:rPr>
            </w:pPr>
            <w:r w:rsidRPr="001257E3">
              <w:rPr>
                <w:snapToGrid w:val="0"/>
                <w:kern w:val="22"/>
                <w:sz w:val="22"/>
                <w:szCs w:val="22"/>
              </w:rPr>
              <w:t>Lunch break</w:t>
            </w:r>
          </w:p>
        </w:tc>
      </w:tr>
      <w:tr w:rsidR="007D0AC1" w:rsidRPr="007D0AC1" w14:paraId="7D09B74B" w14:textId="77777777" w:rsidTr="007D0AC1">
        <w:trPr>
          <w:cantSplit/>
          <w:jc w:val="center"/>
        </w:trPr>
        <w:tc>
          <w:tcPr>
            <w:tcW w:w="2744" w:type="dxa"/>
          </w:tcPr>
          <w:p w14:paraId="237BBED1" w14:textId="71259713" w:rsidR="00673475" w:rsidRPr="0063629B" w:rsidRDefault="00673475" w:rsidP="00795FFC">
            <w:pPr>
              <w:pStyle w:val="CommentText"/>
              <w:spacing w:before="60" w:after="120"/>
              <w:rPr>
                <w:snapToGrid w:val="0"/>
                <w:kern w:val="22"/>
                <w:sz w:val="22"/>
                <w:szCs w:val="22"/>
              </w:rPr>
            </w:pPr>
            <w:r w:rsidRPr="0063629B">
              <w:rPr>
                <w:snapToGrid w:val="0"/>
                <w:kern w:val="22"/>
                <w:sz w:val="22"/>
                <w:szCs w:val="22"/>
              </w:rPr>
              <w:t>2</w:t>
            </w:r>
            <w:r w:rsidR="00C47F29">
              <w:rPr>
                <w:snapToGrid w:val="0"/>
                <w:kern w:val="22"/>
                <w:szCs w:val="22"/>
              </w:rPr>
              <w:t>–</w:t>
            </w:r>
            <w:r w:rsidRPr="0063629B">
              <w:rPr>
                <w:snapToGrid w:val="0"/>
                <w:kern w:val="22"/>
                <w:sz w:val="22"/>
                <w:szCs w:val="22"/>
              </w:rPr>
              <w:t>5 p.m.</w:t>
            </w:r>
          </w:p>
        </w:tc>
        <w:tc>
          <w:tcPr>
            <w:tcW w:w="6606" w:type="dxa"/>
            <w:vAlign w:val="center"/>
          </w:tcPr>
          <w:p w14:paraId="5D54107F" w14:textId="51450B75" w:rsidR="00673475" w:rsidRPr="007D0AC1" w:rsidRDefault="0063629B" w:rsidP="00795FFC">
            <w:pPr>
              <w:pStyle w:val="CommentText"/>
              <w:spacing w:before="60" w:after="120"/>
              <w:rPr>
                <w:iCs/>
                <w:snapToGrid w:val="0"/>
                <w:kern w:val="22"/>
                <w:sz w:val="22"/>
                <w:szCs w:val="22"/>
              </w:rPr>
            </w:pPr>
            <w:r>
              <w:rPr>
                <w:iCs/>
                <w:snapToGrid w:val="0"/>
                <w:kern w:val="22"/>
                <w:sz w:val="22"/>
                <w:szCs w:val="22"/>
              </w:rPr>
              <w:t xml:space="preserve">Item </w:t>
            </w:r>
            <w:r w:rsidR="00673475" w:rsidRPr="007D0AC1">
              <w:rPr>
                <w:iCs/>
                <w:snapToGrid w:val="0"/>
                <w:kern w:val="22"/>
                <w:sz w:val="22"/>
                <w:szCs w:val="22"/>
              </w:rPr>
              <w:t>5. Individual cases of non-compliance</w:t>
            </w:r>
          </w:p>
        </w:tc>
      </w:tr>
      <w:tr w:rsidR="0063629B" w:rsidRPr="007D0AC1" w14:paraId="2DA423D4" w14:textId="77777777" w:rsidTr="009D4465">
        <w:trPr>
          <w:cantSplit/>
          <w:jc w:val="center"/>
        </w:trPr>
        <w:tc>
          <w:tcPr>
            <w:tcW w:w="9350" w:type="dxa"/>
            <w:gridSpan w:val="2"/>
          </w:tcPr>
          <w:p w14:paraId="6BE43A79" w14:textId="4A21BA8C" w:rsidR="0063629B" w:rsidRPr="007D0AC1" w:rsidRDefault="0063629B" w:rsidP="00795FFC">
            <w:pPr>
              <w:spacing w:before="60" w:after="120"/>
              <w:jc w:val="left"/>
              <w:rPr>
                <w:snapToGrid w:val="0"/>
                <w:kern w:val="22"/>
                <w:szCs w:val="22"/>
              </w:rPr>
            </w:pPr>
            <w:r w:rsidRPr="001257E3">
              <w:rPr>
                <w:b/>
                <w:snapToGrid w:val="0"/>
                <w:kern w:val="22"/>
                <w:szCs w:val="22"/>
              </w:rPr>
              <w:t>26 October 2023</w:t>
            </w:r>
          </w:p>
        </w:tc>
      </w:tr>
      <w:tr w:rsidR="007D0AC1" w:rsidRPr="007D0AC1" w14:paraId="711838B9" w14:textId="77777777" w:rsidTr="007D0AC1">
        <w:trPr>
          <w:cantSplit/>
          <w:jc w:val="center"/>
        </w:trPr>
        <w:tc>
          <w:tcPr>
            <w:tcW w:w="2744" w:type="dxa"/>
          </w:tcPr>
          <w:p w14:paraId="0CFF36D6" w14:textId="5F12578A" w:rsidR="00673475" w:rsidRPr="007D0AC1" w:rsidRDefault="00673475" w:rsidP="00795FFC">
            <w:pPr>
              <w:spacing w:before="60" w:after="120"/>
              <w:rPr>
                <w:snapToGrid w:val="0"/>
                <w:kern w:val="22"/>
                <w:szCs w:val="22"/>
              </w:rPr>
            </w:pPr>
            <w:r w:rsidRPr="007D0AC1">
              <w:rPr>
                <w:snapToGrid w:val="0"/>
                <w:kern w:val="22"/>
                <w:szCs w:val="22"/>
              </w:rPr>
              <w:t>9.30 a.m.</w:t>
            </w:r>
            <w:r w:rsidR="00C47F29">
              <w:rPr>
                <w:snapToGrid w:val="0"/>
                <w:kern w:val="22"/>
                <w:szCs w:val="22"/>
              </w:rPr>
              <w:t xml:space="preserve"> –</w:t>
            </w:r>
            <w:r w:rsidRPr="007D0AC1">
              <w:rPr>
                <w:snapToGrid w:val="0"/>
                <w:kern w:val="22"/>
                <w:szCs w:val="22"/>
              </w:rPr>
              <w:t xml:space="preserve">12 </w:t>
            </w:r>
            <w:r w:rsidR="00245256">
              <w:rPr>
                <w:snapToGrid w:val="0"/>
                <w:kern w:val="22"/>
                <w:szCs w:val="22"/>
              </w:rPr>
              <w:t>p.m.</w:t>
            </w:r>
          </w:p>
          <w:p w14:paraId="35E779C6" w14:textId="77777777" w:rsidR="00673475" w:rsidRPr="007D0AC1" w:rsidRDefault="00673475" w:rsidP="00795FFC">
            <w:pPr>
              <w:spacing w:before="60" w:after="120"/>
              <w:rPr>
                <w:snapToGrid w:val="0"/>
                <w:kern w:val="22"/>
                <w:szCs w:val="22"/>
              </w:rPr>
            </w:pPr>
          </w:p>
        </w:tc>
        <w:tc>
          <w:tcPr>
            <w:tcW w:w="6606" w:type="dxa"/>
          </w:tcPr>
          <w:p w14:paraId="0C376618" w14:textId="0B83DFAE" w:rsidR="00673475" w:rsidRPr="007D0AC1" w:rsidRDefault="0063629B" w:rsidP="00795FFC">
            <w:pPr>
              <w:tabs>
                <w:tab w:val="left" w:pos="509"/>
              </w:tabs>
              <w:spacing w:before="60" w:after="120"/>
              <w:jc w:val="left"/>
              <w:rPr>
                <w:snapToGrid w:val="0"/>
                <w:kern w:val="22"/>
                <w:szCs w:val="22"/>
              </w:rPr>
            </w:pPr>
            <w:r w:rsidRPr="001257E3">
              <w:rPr>
                <w:iCs/>
                <w:snapToGrid w:val="0"/>
                <w:kern w:val="22"/>
                <w:szCs w:val="22"/>
              </w:rPr>
              <w:t>Item 5</w:t>
            </w:r>
            <w:r>
              <w:rPr>
                <w:i/>
                <w:snapToGrid w:val="0"/>
                <w:kern w:val="22"/>
                <w:szCs w:val="22"/>
              </w:rPr>
              <w:t xml:space="preserve"> </w:t>
            </w:r>
            <w:r w:rsidRPr="001257E3">
              <w:rPr>
                <w:iCs/>
                <w:snapToGrid w:val="0"/>
                <w:kern w:val="22"/>
                <w:szCs w:val="22"/>
              </w:rPr>
              <w:t>(</w:t>
            </w:r>
            <w:r w:rsidR="00CC5E41">
              <w:rPr>
                <w:i/>
                <w:snapToGrid w:val="0"/>
                <w:kern w:val="22"/>
                <w:szCs w:val="22"/>
              </w:rPr>
              <w:t>c</w:t>
            </w:r>
            <w:r w:rsidR="00673475" w:rsidRPr="007D0AC1">
              <w:rPr>
                <w:i/>
                <w:snapToGrid w:val="0"/>
                <w:kern w:val="22"/>
                <w:szCs w:val="22"/>
              </w:rPr>
              <w:t>ontinu</w:t>
            </w:r>
            <w:r>
              <w:rPr>
                <w:i/>
                <w:snapToGrid w:val="0"/>
                <w:kern w:val="22"/>
                <w:szCs w:val="22"/>
              </w:rPr>
              <w:t>ed</w:t>
            </w:r>
            <w:r w:rsidRPr="001257E3">
              <w:rPr>
                <w:iCs/>
                <w:snapToGrid w:val="0"/>
                <w:kern w:val="22"/>
                <w:szCs w:val="22"/>
              </w:rPr>
              <w:t>)</w:t>
            </w:r>
          </w:p>
          <w:p w14:paraId="44544CEF" w14:textId="72B679D6" w:rsidR="00673475" w:rsidRPr="007D0AC1" w:rsidRDefault="0063629B" w:rsidP="00795FFC">
            <w:pPr>
              <w:tabs>
                <w:tab w:val="left" w:pos="458"/>
              </w:tabs>
              <w:spacing w:before="60" w:after="120"/>
              <w:jc w:val="left"/>
              <w:rPr>
                <w:snapToGrid w:val="0"/>
                <w:kern w:val="22"/>
                <w:szCs w:val="22"/>
              </w:rPr>
            </w:pPr>
            <w:r>
              <w:rPr>
                <w:snapToGrid w:val="0"/>
                <w:kern w:val="22"/>
                <w:szCs w:val="22"/>
              </w:rPr>
              <w:t xml:space="preserve">Item </w:t>
            </w:r>
            <w:r w:rsidR="00673475" w:rsidRPr="007D0AC1">
              <w:rPr>
                <w:snapToGrid w:val="0"/>
                <w:kern w:val="22"/>
                <w:szCs w:val="22"/>
              </w:rPr>
              <w:t>6. Other matters</w:t>
            </w:r>
          </w:p>
        </w:tc>
      </w:tr>
      <w:tr w:rsidR="001B6131" w:rsidRPr="007D0AC1" w14:paraId="5AFC5571" w14:textId="77777777" w:rsidTr="007D0AC1">
        <w:trPr>
          <w:cantSplit/>
          <w:jc w:val="center"/>
        </w:trPr>
        <w:tc>
          <w:tcPr>
            <w:tcW w:w="2744" w:type="dxa"/>
          </w:tcPr>
          <w:p w14:paraId="7D6CC69B" w14:textId="4812519B" w:rsidR="001B6131" w:rsidRPr="007D0AC1" w:rsidRDefault="001B6131" w:rsidP="00795FFC">
            <w:pPr>
              <w:spacing w:before="60" w:after="120"/>
              <w:rPr>
                <w:snapToGrid w:val="0"/>
                <w:kern w:val="22"/>
                <w:szCs w:val="22"/>
              </w:rPr>
            </w:pPr>
            <w:r w:rsidRPr="00EE30DE">
              <w:rPr>
                <w:snapToGrid w:val="0"/>
                <w:kern w:val="22"/>
                <w:szCs w:val="22"/>
              </w:rPr>
              <w:t>12.30–2 p.m.</w:t>
            </w:r>
          </w:p>
        </w:tc>
        <w:tc>
          <w:tcPr>
            <w:tcW w:w="6606" w:type="dxa"/>
          </w:tcPr>
          <w:p w14:paraId="510C2BE2" w14:textId="01D18BD4" w:rsidR="001B6131" w:rsidRPr="001B6131" w:rsidRDefault="001B6131" w:rsidP="00795FFC">
            <w:pPr>
              <w:tabs>
                <w:tab w:val="left" w:pos="509"/>
              </w:tabs>
              <w:spacing w:before="60" w:after="120"/>
              <w:jc w:val="left"/>
              <w:rPr>
                <w:iCs/>
                <w:snapToGrid w:val="0"/>
                <w:kern w:val="22"/>
                <w:szCs w:val="22"/>
              </w:rPr>
            </w:pPr>
            <w:r w:rsidRPr="006D5DC4">
              <w:rPr>
                <w:snapToGrid w:val="0"/>
                <w:kern w:val="22"/>
                <w:szCs w:val="22"/>
              </w:rPr>
              <w:t>Lunch break</w:t>
            </w:r>
          </w:p>
        </w:tc>
      </w:tr>
      <w:tr w:rsidR="007D0AC1" w:rsidRPr="007D0AC1" w14:paraId="02F7EB02" w14:textId="77777777" w:rsidTr="007D0AC1">
        <w:trPr>
          <w:cantSplit/>
          <w:jc w:val="center"/>
        </w:trPr>
        <w:tc>
          <w:tcPr>
            <w:tcW w:w="2744" w:type="dxa"/>
          </w:tcPr>
          <w:p w14:paraId="4945117C" w14:textId="02D95F13" w:rsidR="00673475" w:rsidRPr="007D0AC1" w:rsidRDefault="00673475" w:rsidP="00795FFC">
            <w:pPr>
              <w:spacing w:before="60" w:after="120"/>
              <w:rPr>
                <w:snapToGrid w:val="0"/>
                <w:kern w:val="22"/>
                <w:szCs w:val="22"/>
              </w:rPr>
            </w:pPr>
            <w:r w:rsidRPr="007D0AC1">
              <w:rPr>
                <w:snapToGrid w:val="0"/>
                <w:kern w:val="22"/>
                <w:szCs w:val="22"/>
              </w:rPr>
              <w:t>2</w:t>
            </w:r>
            <w:r w:rsidR="00C47F29">
              <w:rPr>
                <w:snapToGrid w:val="0"/>
                <w:kern w:val="22"/>
                <w:szCs w:val="22"/>
              </w:rPr>
              <w:t>–</w:t>
            </w:r>
            <w:r w:rsidR="00C73289">
              <w:rPr>
                <w:snapToGrid w:val="0"/>
                <w:kern w:val="22"/>
                <w:szCs w:val="22"/>
              </w:rPr>
              <w:t>5</w:t>
            </w:r>
            <w:r w:rsidRPr="007D0AC1">
              <w:rPr>
                <w:snapToGrid w:val="0"/>
                <w:kern w:val="22"/>
                <w:szCs w:val="22"/>
              </w:rPr>
              <w:t xml:space="preserve"> p.m.</w:t>
            </w:r>
          </w:p>
        </w:tc>
        <w:tc>
          <w:tcPr>
            <w:tcW w:w="6606" w:type="dxa"/>
          </w:tcPr>
          <w:p w14:paraId="79BC9AAF" w14:textId="36E26DF2" w:rsidR="00673475" w:rsidRPr="007D0AC1" w:rsidRDefault="0063629B" w:rsidP="00795FFC">
            <w:pPr>
              <w:tabs>
                <w:tab w:val="left" w:pos="458"/>
              </w:tabs>
              <w:spacing w:before="60" w:after="120"/>
              <w:jc w:val="left"/>
              <w:rPr>
                <w:snapToGrid w:val="0"/>
                <w:kern w:val="22"/>
                <w:szCs w:val="22"/>
              </w:rPr>
            </w:pPr>
            <w:r>
              <w:rPr>
                <w:snapToGrid w:val="0"/>
                <w:kern w:val="22"/>
                <w:szCs w:val="22"/>
              </w:rPr>
              <w:t xml:space="preserve">Item </w:t>
            </w:r>
            <w:r w:rsidR="00673475" w:rsidRPr="007D0AC1">
              <w:rPr>
                <w:snapToGrid w:val="0"/>
                <w:kern w:val="22"/>
                <w:szCs w:val="22"/>
              </w:rPr>
              <w:t>7. Adoption of the report</w:t>
            </w:r>
          </w:p>
          <w:p w14:paraId="53872734" w14:textId="399CC125" w:rsidR="00673475" w:rsidRPr="007D0AC1" w:rsidRDefault="0063629B" w:rsidP="00795FFC">
            <w:pPr>
              <w:tabs>
                <w:tab w:val="left" w:pos="458"/>
              </w:tabs>
              <w:spacing w:before="60" w:after="120"/>
              <w:jc w:val="left"/>
              <w:rPr>
                <w:snapToGrid w:val="0"/>
                <w:kern w:val="22"/>
                <w:szCs w:val="22"/>
              </w:rPr>
            </w:pPr>
            <w:r>
              <w:rPr>
                <w:snapToGrid w:val="0"/>
                <w:kern w:val="22"/>
                <w:szCs w:val="22"/>
              </w:rPr>
              <w:t xml:space="preserve">Item </w:t>
            </w:r>
            <w:r w:rsidR="00673475" w:rsidRPr="007D0AC1">
              <w:rPr>
                <w:snapToGrid w:val="0"/>
                <w:kern w:val="22"/>
                <w:szCs w:val="22"/>
              </w:rPr>
              <w:t>8. Closure of the meeting</w:t>
            </w:r>
          </w:p>
        </w:tc>
      </w:tr>
    </w:tbl>
    <w:p w14:paraId="7BFF5B87" w14:textId="77777777" w:rsidR="00673475" w:rsidRDefault="00673475" w:rsidP="00673475">
      <w:pPr>
        <w:pStyle w:val="headingoneline"/>
        <w:tabs>
          <w:tab w:val="clear" w:pos="567"/>
        </w:tabs>
        <w:spacing w:before="0"/>
        <w:jc w:val="both"/>
        <w:rPr>
          <w:b w:val="0"/>
          <w:snapToGrid w:val="0"/>
          <w:kern w:val="22"/>
        </w:rPr>
      </w:pPr>
    </w:p>
    <w:p w14:paraId="0E6745E8" w14:textId="77777777" w:rsidR="00673475" w:rsidRPr="00F22C4F" w:rsidRDefault="00673475" w:rsidP="00673475">
      <w:pPr>
        <w:sectPr w:rsidR="00673475" w:rsidRPr="00F22C4F" w:rsidSect="007D0AC1">
          <w:headerReference w:type="even" r:id="rId19"/>
          <w:headerReference w:type="default" r:id="rId20"/>
          <w:headerReference w:type="first" r:id="rId21"/>
          <w:type w:val="continuous"/>
          <w:pgSz w:w="12240" w:h="15840" w:code="1"/>
          <w:pgMar w:top="1021" w:right="1440" w:bottom="1134" w:left="1440" w:header="454" w:footer="720" w:gutter="0"/>
          <w:cols w:space="720"/>
        </w:sectPr>
      </w:pPr>
    </w:p>
    <w:p w14:paraId="2AF18310" w14:textId="77777777" w:rsidR="00673475" w:rsidRPr="001257E3" w:rsidRDefault="00673475" w:rsidP="00673475">
      <w:pPr>
        <w:pStyle w:val="Para1"/>
        <w:numPr>
          <w:ilvl w:val="0"/>
          <w:numId w:val="0"/>
        </w:numPr>
        <w:rPr>
          <w:b/>
          <w:bCs/>
          <w:sz w:val="24"/>
          <w:szCs w:val="24"/>
        </w:rPr>
      </w:pPr>
      <w:r w:rsidRPr="001257E3">
        <w:rPr>
          <w:b/>
          <w:bCs/>
          <w:sz w:val="24"/>
          <w:szCs w:val="24"/>
        </w:rPr>
        <w:lastRenderedPageBreak/>
        <w:t>Annex II</w:t>
      </w:r>
    </w:p>
    <w:p w14:paraId="0E3DD5FB" w14:textId="463B3B0E" w:rsidR="00673475" w:rsidRDefault="00673475" w:rsidP="00795FFC">
      <w:pPr>
        <w:pStyle w:val="Para1"/>
        <w:numPr>
          <w:ilvl w:val="0"/>
          <w:numId w:val="0"/>
        </w:numPr>
        <w:spacing w:before="240"/>
        <w:ind w:left="567"/>
        <w:rPr>
          <w:b/>
          <w:bCs/>
          <w:sz w:val="28"/>
          <w:szCs w:val="28"/>
        </w:rPr>
      </w:pPr>
      <w:r>
        <w:rPr>
          <w:b/>
          <w:bCs/>
          <w:sz w:val="28"/>
          <w:szCs w:val="28"/>
        </w:rPr>
        <w:t xml:space="preserve">List of documents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244"/>
      </w:tblGrid>
      <w:tr w:rsidR="00795FFC" w14:paraId="21DDD431" w14:textId="77777777" w:rsidTr="00795FFC">
        <w:tc>
          <w:tcPr>
            <w:tcW w:w="3539" w:type="dxa"/>
            <w:tcBorders>
              <w:top w:val="single" w:sz="4" w:space="0" w:color="auto"/>
              <w:bottom w:val="single" w:sz="4" w:space="0" w:color="auto"/>
            </w:tcBorders>
          </w:tcPr>
          <w:p w14:paraId="4ABF4E8D" w14:textId="1D43885F" w:rsidR="00795FFC" w:rsidRDefault="00795FFC" w:rsidP="00673475">
            <w:pPr>
              <w:pStyle w:val="Para1"/>
              <w:numPr>
                <w:ilvl w:val="0"/>
                <w:numId w:val="0"/>
              </w:numPr>
              <w:rPr>
                <w:b/>
                <w:bCs/>
                <w:sz w:val="28"/>
                <w:szCs w:val="28"/>
              </w:rPr>
            </w:pPr>
            <w:r w:rsidRPr="00B33201">
              <w:rPr>
                <w:i/>
                <w:kern w:val="22"/>
                <w:szCs w:val="22"/>
              </w:rPr>
              <w:t>Symbol</w:t>
            </w:r>
            <w:r w:rsidRPr="00B33201">
              <w:rPr>
                <w:kern w:val="22"/>
                <w:szCs w:val="22"/>
              </w:rPr>
              <w:tab/>
            </w:r>
          </w:p>
        </w:tc>
        <w:tc>
          <w:tcPr>
            <w:tcW w:w="5244" w:type="dxa"/>
            <w:tcBorders>
              <w:top w:val="single" w:sz="4" w:space="0" w:color="auto"/>
              <w:bottom w:val="single" w:sz="4" w:space="0" w:color="auto"/>
            </w:tcBorders>
          </w:tcPr>
          <w:p w14:paraId="28355A81" w14:textId="22B68C74" w:rsidR="00795FFC" w:rsidRDefault="00795FFC" w:rsidP="00673475">
            <w:pPr>
              <w:pStyle w:val="Para1"/>
              <w:numPr>
                <w:ilvl w:val="0"/>
                <w:numId w:val="0"/>
              </w:numPr>
              <w:rPr>
                <w:b/>
                <w:bCs/>
                <w:sz w:val="28"/>
                <w:szCs w:val="28"/>
              </w:rPr>
            </w:pPr>
            <w:r w:rsidRPr="00B33201">
              <w:rPr>
                <w:i/>
                <w:kern w:val="22"/>
                <w:szCs w:val="22"/>
              </w:rPr>
              <w:t>Title</w:t>
            </w:r>
          </w:p>
        </w:tc>
      </w:tr>
      <w:tr w:rsidR="00795FFC" w14:paraId="54A2ED41" w14:textId="77777777" w:rsidTr="00795FFC">
        <w:tc>
          <w:tcPr>
            <w:tcW w:w="3539" w:type="dxa"/>
            <w:tcBorders>
              <w:top w:val="single" w:sz="4" w:space="0" w:color="auto"/>
            </w:tcBorders>
          </w:tcPr>
          <w:p w14:paraId="562220A9" w14:textId="678B30AA" w:rsidR="00795FFC" w:rsidRDefault="00795FFC" w:rsidP="00673475">
            <w:pPr>
              <w:pStyle w:val="Para1"/>
              <w:numPr>
                <w:ilvl w:val="0"/>
                <w:numId w:val="0"/>
              </w:numPr>
              <w:rPr>
                <w:b/>
                <w:bCs/>
                <w:sz w:val="28"/>
                <w:szCs w:val="28"/>
              </w:rPr>
            </w:pPr>
            <w:r w:rsidRPr="00B33201">
              <w:rPr>
                <w:kern w:val="22"/>
                <w:szCs w:val="22"/>
              </w:rPr>
              <w:t>CBD/CP/CC/1</w:t>
            </w:r>
            <w:r>
              <w:rPr>
                <w:kern w:val="22"/>
                <w:szCs w:val="22"/>
              </w:rPr>
              <w:t>8</w:t>
            </w:r>
            <w:r w:rsidRPr="00B33201">
              <w:rPr>
                <w:kern w:val="22"/>
                <w:szCs w:val="22"/>
              </w:rPr>
              <w:t>/1</w:t>
            </w:r>
          </w:p>
        </w:tc>
        <w:tc>
          <w:tcPr>
            <w:tcW w:w="5244" w:type="dxa"/>
            <w:tcBorders>
              <w:top w:val="single" w:sz="4" w:space="0" w:color="auto"/>
            </w:tcBorders>
          </w:tcPr>
          <w:p w14:paraId="764BCA75" w14:textId="57DAC8B4" w:rsidR="00795FFC" w:rsidRDefault="00795FFC" w:rsidP="00795FFC">
            <w:pPr>
              <w:pStyle w:val="Para1"/>
              <w:numPr>
                <w:ilvl w:val="0"/>
                <w:numId w:val="0"/>
              </w:numPr>
              <w:jc w:val="left"/>
              <w:rPr>
                <w:b/>
                <w:bCs/>
                <w:sz w:val="28"/>
                <w:szCs w:val="28"/>
              </w:rPr>
            </w:pPr>
            <w:r w:rsidRPr="00B33201">
              <w:rPr>
                <w:kern w:val="22"/>
                <w:szCs w:val="22"/>
              </w:rPr>
              <w:t>Provisional agenda</w:t>
            </w:r>
          </w:p>
        </w:tc>
      </w:tr>
      <w:tr w:rsidR="00795FFC" w14:paraId="125149EC" w14:textId="77777777" w:rsidTr="00795FFC">
        <w:tc>
          <w:tcPr>
            <w:tcW w:w="3539" w:type="dxa"/>
          </w:tcPr>
          <w:p w14:paraId="0974AF1B" w14:textId="1009291B" w:rsidR="00795FFC" w:rsidRDefault="00795FFC" w:rsidP="00673475">
            <w:pPr>
              <w:pStyle w:val="Para1"/>
              <w:numPr>
                <w:ilvl w:val="0"/>
                <w:numId w:val="0"/>
              </w:numPr>
              <w:rPr>
                <w:b/>
                <w:bCs/>
                <w:sz w:val="28"/>
                <w:szCs w:val="28"/>
              </w:rPr>
            </w:pPr>
            <w:r w:rsidRPr="00B33201">
              <w:rPr>
                <w:kern w:val="22"/>
                <w:szCs w:val="22"/>
              </w:rPr>
              <w:t>CBD/CP/CC/1</w:t>
            </w:r>
            <w:r>
              <w:rPr>
                <w:kern w:val="22"/>
                <w:szCs w:val="22"/>
              </w:rPr>
              <w:t>8</w:t>
            </w:r>
            <w:r w:rsidRPr="00B33201">
              <w:rPr>
                <w:kern w:val="22"/>
                <w:szCs w:val="22"/>
              </w:rPr>
              <w:t>/1/Add.1</w:t>
            </w:r>
          </w:p>
        </w:tc>
        <w:tc>
          <w:tcPr>
            <w:tcW w:w="5244" w:type="dxa"/>
          </w:tcPr>
          <w:p w14:paraId="5C6E6624" w14:textId="180380F4" w:rsidR="00795FFC" w:rsidRDefault="00795FFC" w:rsidP="00795FFC">
            <w:pPr>
              <w:pStyle w:val="Para1"/>
              <w:numPr>
                <w:ilvl w:val="0"/>
                <w:numId w:val="0"/>
              </w:numPr>
              <w:jc w:val="left"/>
              <w:rPr>
                <w:b/>
                <w:bCs/>
                <w:sz w:val="28"/>
                <w:szCs w:val="28"/>
              </w:rPr>
            </w:pPr>
            <w:r w:rsidRPr="00B33201">
              <w:rPr>
                <w:kern w:val="22"/>
                <w:szCs w:val="22"/>
              </w:rPr>
              <w:t>Annotat</w:t>
            </w:r>
            <w:r>
              <w:rPr>
                <w:kern w:val="22"/>
                <w:szCs w:val="22"/>
              </w:rPr>
              <w:t>ed</w:t>
            </w:r>
            <w:r w:rsidRPr="00B33201">
              <w:rPr>
                <w:kern w:val="22"/>
                <w:szCs w:val="22"/>
              </w:rPr>
              <w:t xml:space="preserve"> provisional agenda</w:t>
            </w:r>
          </w:p>
        </w:tc>
      </w:tr>
      <w:tr w:rsidR="00795FFC" w14:paraId="1B9FCC15" w14:textId="77777777" w:rsidTr="00795FFC">
        <w:tc>
          <w:tcPr>
            <w:tcW w:w="3539" w:type="dxa"/>
          </w:tcPr>
          <w:p w14:paraId="538DAA37" w14:textId="3A5BBB83" w:rsidR="00795FFC" w:rsidRDefault="00795FFC" w:rsidP="00673475">
            <w:pPr>
              <w:pStyle w:val="Para1"/>
              <w:numPr>
                <w:ilvl w:val="0"/>
                <w:numId w:val="0"/>
              </w:numPr>
              <w:rPr>
                <w:b/>
                <w:bCs/>
                <w:sz w:val="28"/>
                <w:szCs w:val="28"/>
              </w:rPr>
            </w:pPr>
            <w:r w:rsidRPr="00B33201">
              <w:rPr>
                <w:kern w:val="22"/>
                <w:szCs w:val="22"/>
              </w:rPr>
              <w:t>CBD/CP/CC/1</w:t>
            </w:r>
            <w:r>
              <w:rPr>
                <w:kern w:val="22"/>
                <w:szCs w:val="22"/>
              </w:rPr>
              <w:t>8</w:t>
            </w:r>
            <w:r w:rsidRPr="00B33201">
              <w:rPr>
                <w:kern w:val="22"/>
                <w:szCs w:val="22"/>
              </w:rPr>
              <w:t>/2</w:t>
            </w:r>
          </w:p>
        </w:tc>
        <w:tc>
          <w:tcPr>
            <w:tcW w:w="5244" w:type="dxa"/>
          </w:tcPr>
          <w:p w14:paraId="7CC7E4C1" w14:textId="32AD4910" w:rsidR="00795FFC" w:rsidRDefault="00795FFC" w:rsidP="00795FFC">
            <w:pPr>
              <w:pStyle w:val="Para1"/>
              <w:numPr>
                <w:ilvl w:val="0"/>
                <w:numId w:val="0"/>
              </w:numPr>
              <w:jc w:val="left"/>
              <w:rPr>
                <w:b/>
                <w:bCs/>
                <w:sz w:val="28"/>
                <w:szCs w:val="28"/>
              </w:rPr>
            </w:pPr>
            <w:r>
              <w:rPr>
                <w:kern w:val="22"/>
                <w:szCs w:val="22"/>
              </w:rPr>
              <w:t>Outcomes of the ten</w:t>
            </w:r>
            <w:r w:rsidRPr="00B33201">
              <w:rPr>
                <w:kern w:val="22"/>
                <w:szCs w:val="22"/>
              </w:rPr>
              <w:t>th meeting of the Conference of the Parties serving as the meeting of the Parties to the Cartagena Protocol on Biosafety</w:t>
            </w:r>
            <w:r>
              <w:rPr>
                <w:kern w:val="22"/>
                <w:szCs w:val="22"/>
              </w:rPr>
              <w:t xml:space="preserve"> regarding items</w:t>
            </w:r>
            <w:r w:rsidRPr="00B33201">
              <w:rPr>
                <w:kern w:val="22"/>
                <w:szCs w:val="22"/>
              </w:rPr>
              <w:t xml:space="preserve"> relevant to compliance</w:t>
            </w:r>
          </w:p>
        </w:tc>
      </w:tr>
      <w:tr w:rsidR="00795FFC" w14:paraId="031B7505" w14:textId="77777777" w:rsidTr="00795FFC">
        <w:tc>
          <w:tcPr>
            <w:tcW w:w="3539" w:type="dxa"/>
          </w:tcPr>
          <w:p w14:paraId="5C6500CB" w14:textId="5257A26E" w:rsidR="00795FFC" w:rsidRDefault="00795FFC" w:rsidP="00673475">
            <w:pPr>
              <w:pStyle w:val="Para1"/>
              <w:numPr>
                <w:ilvl w:val="0"/>
                <w:numId w:val="0"/>
              </w:numPr>
              <w:rPr>
                <w:b/>
                <w:bCs/>
                <w:sz w:val="28"/>
                <w:szCs w:val="28"/>
              </w:rPr>
            </w:pPr>
            <w:r w:rsidRPr="00B33201">
              <w:rPr>
                <w:kern w:val="22"/>
                <w:szCs w:val="22"/>
              </w:rPr>
              <w:t>CBD/CP/CC/1</w:t>
            </w:r>
            <w:r>
              <w:rPr>
                <w:kern w:val="22"/>
                <w:szCs w:val="22"/>
              </w:rPr>
              <w:t>8</w:t>
            </w:r>
            <w:r w:rsidRPr="00B33201">
              <w:rPr>
                <w:kern w:val="22"/>
                <w:szCs w:val="22"/>
              </w:rPr>
              <w:t>/3</w:t>
            </w:r>
          </w:p>
        </w:tc>
        <w:tc>
          <w:tcPr>
            <w:tcW w:w="5244" w:type="dxa"/>
          </w:tcPr>
          <w:p w14:paraId="29DC4A4F" w14:textId="2C1DD190" w:rsidR="00795FFC" w:rsidRDefault="00795FFC" w:rsidP="00795FFC">
            <w:pPr>
              <w:pStyle w:val="Para1"/>
              <w:numPr>
                <w:ilvl w:val="0"/>
                <w:numId w:val="0"/>
              </w:numPr>
              <w:jc w:val="left"/>
              <w:rPr>
                <w:b/>
                <w:bCs/>
                <w:sz w:val="28"/>
                <w:szCs w:val="28"/>
              </w:rPr>
            </w:pPr>
            <w:r w:rsidRPr="007F175B">
              <w:rPr>
                <w:kern w:val="22"/>
                <w:szCs w:val="22"/>
              </w:rPr>
              <w:t xml:space="preserve">Review of compliance </w:t>
            </w:r>
            <w:r>
              <w:rPr>
                <w:kern w:val="22"/>
                <w:szCs w:val="22"/>
              </w:rPr>
              <w:t xml:space="preserve">in priority areas </w:t>
            </w:r>
            <w:proofErr w:type="gramStart"/>
            <w:r w:rsidRPr="007F175B">
              <w:rPr>
                <w:kern w:val="22"/>
                <w:szCs w:val="22"/>
              </w:rPr>
              <w:t>on the basis of</w:t>
            </w:r>
            <w:proofErr w:type="gramEnd"/>
            <w:r w:rsidRPr="007F175B">
              <w:rPr>
                <w:kern w:val="22"/>
                <w:szCs w:val="22"/>
              </w:rPr>
              <w:t xml:space="preserve"> information in the </w:t>
            </w:r>
            <w:r>
              <w:rPr>
                <w:kern w:val="22"/>
                <w:szCs w:val="22"/>
              </w:rPr>
              <w:t>national reports and general issues of compliance</w:t>
            </w:r>
          </w:p>
        </w:tc>
      </w:tr>
      <w:tr w:rsidR="00795FFC" w14:paraId="1C7D8F69" w14:textId="77777777" w:rsidTr="00795FFC">
        <w:tc>
          <w:tcPr>
            <w:tcW w:w="3539" w:type="dxa"/>
          </w:tcPr>
          <w:p w14:paraId="4F64FCC2" w14:textId="7852CF75" w:rsidR="00795FFC" w:rsidRDefault="00795FFC" w:rsidP="00673475">
            <w:pPr>
              <w:pStyle w:val="Para1"/>
              <w:numPr>
                <w:ilvl w:val="0"/>
                <w:numId w:val="0"/>
              </w:numPr>
              <w:rPr>
                <w:b/>
                <w:bCs/>
                <w:sz w:val="28"/>
                <w:szCs w:val="28"/>
              </w:rPr>
            </w:pPr>
            <w:r>
              <w:rPr>
                <w:kern w:val="22"/>
                <w:szCs w:val="22"/>
              </w:rPr>
              <w:t>CBD/CP/CC/18/4</w:t>
            </w:r>
          </w:p>
        </w:tc>
        <w:tc>
          <w:tcPr>
            <w:tcW w:w="5244" w:type="dxa"/>
          </w:tcPr>
          <w:p w14:paraId="7041844E" w14:textId="0B5FD7C0" w:rsidR="00795FFC" w:rsidRDefault="00795FFC" w:rsidP="00795FFC">
            <w:pPr>
              <w:pStyle w:val="Para1"/>
              <w:numPr>
                <w:ilvl w:val="0"/>
                <w:numId w:val="0"/>
              </w:numPr>
              <w:jc w:val="left"/>
              <w:rPr>
                <w:b/>
                <w:bCs/>
                <w:sz w:val="28"/>
                <w:szCs w:val="28"/>
              </w:rPr>
            </w:pPr>
            <w:r>
              <w:rPr>
                <w:kern w:val="22"/>
                <w:szCs w:val="22"/>
              </w:rPr>
              <w:t>Individual cases of non-compliance</w:t>
            </w:r>
          </w:p>
        </w:tc>
      </w:tr>
    </w:tbl>
    <w:p w14:paraId="5792BBB7" w14:textId="1C93FDF4" w:rsidR="002B559C" w:rsidRPr="00795FFC" w:rsidRDefault="00673475" w:rsidP="00795FFC">
      <w:pPr>
        <w:pStyle w:val="Head2"/>
        <w:keepNext w:val="0"/>
        <w:spacing w:before="120" w:after="120"/>
        <w:rPr>
          <w:snapToGrid w:val="0"/>
          <w:kern w:val="22"/>
        </w:rPr>
      </w:pPr>
      <w:r w:rsidRPr="00B33201">
        <w:rPr>
          <w:snapToGrid w:val="0"/>
          <w:kern w:val="22"/>
          <w:szCs w:val="22"/>
        </w:rPr>
        <w:t>__________</w:t>
      </w:r>
    </w:p>
    <w:sectPr w:rsidR="002B559C" w:rsidRPr="00795FFC" w:rsidSect="007D0AC1">
      <w:headerReference w:type="even" r:id="rId22"/>
      <w:headerReference w:type="default" r:id="rId23"/>
      <w:footerReference w:type="even" r:id="rId24"/>
      <w:footerReference w:type="default" r:id="rId25"/>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02B8" w14:textId="77777777" w:rsidR="001C26BA" w:rsidRDefault="001C26BA" w:rsidP="00A96B21">
      <w:r>
        <w:separator/>
      </w:r>
    </w:p>
  </w:endnote>
  <w:endnote w:type="continuationSeparator" w:id="0">
    <w:p w14:paraId="5EBF22D1" w14:textId="77777777" w:rsidR="001C26BA" w:rsidRDefault="001C26BA" w:rsidP="00A9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491148"/>
      <w:docPartObj>
        <w:docPartGallery w:val="Page Numbers (Bottom of Page)"/>
        <w:docPartUnique/>
      </w:docPartObj>
    </w:sdtPr>
    <w:sdtContent>
      <w:sdt>
        <w:sdtPr>
          <w:id w:val="788164269"/>
          <w:docPartObj>
            <w:docPartGallery w:val="Page Numbers (Top of Page)"/>
            <w:docPartUnique/>
          </w:docPartObj>
        </w:sdtPr>
        <w:sdtContent>
          <w:p w14:paraId="2D96835E" w14:textId="61919EC9" w:rsidR="00E25E30" w:rsidRDefault="00144703" w:rsidP="001257E3">
            <w:pPr>
              <w:pStyle w:val="Footer"/>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5</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5</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860578"/>
      <w:docPartObj>
        <w:docPartGallery w:val="Page Numbers (Bottom of Page)"/>
        <w:docPartUnique/>
      </w:docPartObj>
    </w:sdtPr>
    <w:sdtContent>
      <w:sdt>
        <w:sdtPr>
          <w:id w:val="-1581210538"/>
          <w:docPartObj>
            <w:docPartGallery w:val="Page Numbers (Top of Page)"/>
            <w:docPartUnique/>
          </w:docPartObj>
        </w:sdtPr>
        <w:sdtContent>
          <w:p w14:paraId="17AD485D" w14:textId="42389A43" w:rsidR="00E25E30" w:rsidRDefault="00144703" w:rsidP="001257E3">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5</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5</w:t>
            </w:r>
            <w:r w:rsidRPr="002B559C">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79E0B336"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3537F705"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B498" w14:textId="77777777" w:rsidR="001C26BA" w:rsidRDefault="001C26BA" w:rsidP="00A96B21">
      <w:r>
        <w:separator/>
      </w:r>
    </w:p>
  </w:footnote>
  <w:footnote w:type="continuationSeparator" w:id="0">
    <w:p w14:paraId="32B79581" w14:textId="77777777" w:rsidR="001C26BA" w:rsidRDefault="001C26BA" w:rsidP="00A96B21">
      <w:r>
        <w:continuationSeparator/>
      </w:r>
    </w:p>
  </w:footnote>
  <w:footnote w:id="1">
    <w:p w14:paraId="6C3AD86B" w14:textId="0E935EDD" w:rsidR="00A96B21" w:rsidRPr="0080246D" w:rsidRDefault="00A96B21" w:rsidP="00D71FFB">
      <w:pPr>
        <w:pStyle w:val="Footnote"/>
      </w:pPr>
      <w:r w:rsidRPr="0080246D">
        <w:rPr>
          <w:rStyle w:val="FootnoteReference"/>
        </w:rPr>
        <w:t>*</w:t>
      </w:r>
      <w:r w:rsidRPr="0080246D">
        <w:t xml:space="preserve"> CBD/</w:t>
      </w:r>
      <w:r w:rsidR="00DA01FE" w:rsidRPr="0080246D">
        <w:t>CP/CC/18/1</w:t>
      </w:r>
      <w:r w:rsidR="002B6306">
        <w:t>.</w:t>
      </w:r>
    </w:p>
  </w:footnote>
  <w:footnote w:id="2">
    <w:p w14:paraId="1CECAD3A" w14:textId="1CA451A7" w:rsidR="00250266" w:rsidRPr="001257E3" w:rsidRDefault="00250266" w:rsidP="00250266">
      <w:pPr>
        <w:pStyle w:val="FootnoteText"/>
        <w:rPr>
          <w:sz w:val="18"/>
          <w:szCs w:val="18"/>
          <w:lang w:val="en-CA"/>
        </w:rPr>
      </w:pPr>
      <w:r w:rsidRPr="001257E3">
        <w:rPr>
          <w:rStyle w:val="FootnoteReference"/>
          <w:sz w:val="18"/>
          <w:szCs w:val="18"/>
        </w:rPr>
        <w:footnoteRef/>
      </w:r>
      <w:r w:rsidRPr="001257E3">
        <w:rPr>
          <w:sz w:val="18"/>
          <w:szCs w:val="18"/>
          <w:vertAlign w:val="superscript"/>
        </w:rPr>
        <w:t xml:space="preserve"> </w:t>
      </w:r>
      <w:r w:rsidRPr="001257E3">
        <w:rPr>
          <w:sz w:val="18"/>
          <w:szCs w:val="18"/>
          <w:lang w:val="en-CA"/>
        </w:rPr>
        <w:t xml:space="preserve">See </w:t>
      </w:r>
      <w:hyperlink r:id="rId1" w:history="1">
        <w:r w:rsidRPr="001257E3">
          <w:rPr>
            <w:rStyle w:val="Hyperlink"/>
            <w:sz w:val="18"/>
            <w:szCs w:val="18"/>
          </w:rPr>
          <w:t>UNEP/CBD/BS/CC/8/3</w:t>
        </w:r>
      </w:hyperlink>
      <w:r w:rsidRPr="001257E3">
        <w:rPr>
          <w:sz w:val="18"/>
          <w:szCs w:val="18"/>
          <w:lang w:val="en-CA"/>
        </w:rPr>
        <w:t xml:space="preserve">, </w:t>
      </w:r>
      <w:r w:rsidRPr="00B01068">
        <w:rPr>
          <w:sz w:val="18"/>
          <w:szCs w:val="18"/>
          <w:lang w:val="en-CA"/>
        </w:rPr>
        <w:t>figure 2</w:t>
      </w:r>
      <w:r w:rsidRPr="001257E3">
        <w:rPr>
          <w:sz w:val="18"/>
          <w:szCs w:val="18"/>
          <w:lang w:val="en-CA"/>
        </w:rPr>
        <w:t xml:space="preserve">. </w:t>
      </w:r>
    </w:p>
  </w:footnote>
  <w:footnote w:id="3">
    <w:p w14:paraId="020D41FA" w14:textId="27B3ACCA" w:rsidR="00450F5C" w:rsidRPr="001257E3" w:rsidRDefault="00450F5C">
      <w:pPr>
        <w:pStyle w:val="FootnoteText"/>
        <w:rPr>
          <w:lang w:val="en-CA"/>
        </w:rPr>
      </w:pPr>
      <w:r>
        <w:rPr>
          <w:rStyle w:val="FootnoteReference"/>
        </w:rPr>
        <w:footnoteRef/>
      </w:r>
      <w:r>
        <w:t xml:space="preserve"> D</w:t>
      </w:r>
      <w:r>
        <w:rPr>
          <w:rFonts w:eastAsia="SimSun"/>
          <w:kern w:val="22"/>
        </w:rPr>
        <w:t>ecision BS-II/1, annex.</w:t>
      </w:r>
    </w:p>
  </w:footnote>
  <w:footnote w:id="4">
    <w:p w14:paraId="1911F899" w14:textId="527BB7AB" w:rsidR="000D7092" w:rsidRPr="001257E3" w:rsidRDefault="000D7092">
      <w:pPr>
        <w:pStyle w:val="FootnoteText"/>
        <w:rPr>
          <w:lang w:val="en-US"/>
        </w:rPr>
      </w:pPr>
      <w:r>
        <w:rPr>
          <w:rStyle w:val="FootnoteReference"/>
        </w:rPr>
        <w:footnoteRef/>
      </w:r>
      <w:r>
        <w:t xml:space="preserve"> </w:t>
      </w:r>
      <w:r w:rsidRPr="00F6270A">
        <w:rPr>
          <w:rFonts w:eastAsia="SimSun"/>
          <w:kern w:val="22"/>
          <w:lang w:eastAsia="zh-CN"/>
        </w:rPr>
        <w:t>CBD/</w:t>
      </w:r>
      <w:r>
        <w:rPr>
          <w:rFonts w:eastAsia="SimSun"/>
          <w:kern w:val="22"/>
          <w:lang w:eastAsia="zh-CN"/>
        </w:rPr>
        <w:t>CP</w:t>
      </w:r>
      <w:r w:rsidRPr="00F6270A">
        <w:rPr>
          <w:rFonts w:eastAsia="SimSun"/>
          <w:kern w:val="22"/>
          <w:lang w:eastAsia="zh-CN"/>
        </w:rPr>
        <w:t>/MOP/</w:t>
      </w:r>
      <w:r>
        <w:rPr>
          <w:rFonts w:eastAsia="SimSun"/>
          <w:kern w:val="22"/>
          <w:lang w:eastAsia="zh-CN"/>
        </w:rPr>
        <w:t>10</w:t>
      </w:r>
      <w:r w:rsidRPr="00F6270A">
        <w:rPr>
          <w:rFonts w:eastAsia="SimSun"/>
          <w:kern w:val="22"/>
          <w:lang w:eastAsia="zh-CN"/>
        </w:rPr>
        <w:t>/2</w:t>
      </w:r>
      <w:r>
        <w:rPr>
          <w:rFonts w:eastAsia="SimSun"/>
          <w:kern w:val="22"/>
          <w:lang w:eastAsia="zh-CN"/>
        </w:rPr>
        <w:t>.</w:t>
      </w:r>
    </w:p>
  </w:footnote>
  <w:footnote w:id="5">
    <w:p w14:paraId="3A2EB8D2" w14:textId="027920B9" w:rsidR="005F100A" w:rsidRPr="001257E3" w:rsidRDefault="005F100A">
      <w:pPr>
        <w:pStyle w:val="FootnoteText"/>
        <w:rPr>
          <w:lang w:val="en-US"/>
        </w:rPr>
      </w:pPr>
      <w:r>
        <w:rPr>
          <w:rStyle w:val="FootnoteReference"/>
        </w:rPr>
        <w:footnoteRef/>
      </w:r>
      <w:r>
        <w:t xml:space="preserve"> </w:t>
      </w:r>
      <w:r>
        <w:rPr>
          <w:lang w:val="en-US"/>
        </w:rPr>
        <w:t xml:space="preserve">See </w:t>
      </w:r>
      <w:hyperlink r:id="rId2" w:history="1">
        <w:r w:rsidRPr="005F100A">
          <w:rPr>
            <w:rStyle w:val="Hyperlink"/>
            <w:lang w:val="en-US"/>
          </w:rPr>
          <w:t>www.cbd.int/decisions/mop/?m=cp-mop-10</w:t>
        </w:r>
      </w:hyperlink>
      <w:r w:rsidR="006F1D59">
        <w:rPr>
          <w:lang w:val="en-US"/>
        </w:rPr>
        <w:t xml:space="preserve"> </w:t>
      </w:r>
      <w:r w:rsidR="006F1D59" w:rsidRPr="00650B3B">
        <w:rPr>
          <w:lang w:val="en-CA"/>
        </w:rPr>
        <w:t>for all decisions adopted at the tenth meeting</w:t>
      </w:r>
      <w:r>
        <w:rPr>
          <w:lang w:val="en-US"/>
        </w:rPr>
        <w:t>.</w:t>
      </w:r>
    </w:p>
  </w:footnote>
  <w:footnote w:id="6">
    <w:p w14:paraId="3B06517E" w14:textId="479A9BD8" w:rsidR="001B191D" w:rsidRPr="001257E3" w:rsidRDefault="001B191D">
      <w:pPr>
        <w:pStyle w:val="FootnoteText"/>
        <w:rPr>
          <w:lang w:val="en-US"/>
        </w:rPr>
      </w:pPr>
      <w:r>
        <w:rPr>
          <w:rStyle w:val="FootnoteReference"/>
        </w:rPr>
        <w:footnoteRef/>
      </w:r>
      <w:r>
        <w:t xml:space="preserve"> </w:t>
      </w:r>
      <w:r w:rsidRPr="00B33201">
        <w:rPr>
          <w:kern w:val="22"/>
        </w:rPr>
        <w:t>CBD/CP/CC/1</w:t>
      </w:r>
      <w:r>
        <w:rPr>
          <w:kern w:val="22"/>
        </w:rPr>
        <w:t>8</w:t>
      </w:r>
      <w:r w:rsidRPr="00B33201">
        <w:rPr>
          <w:kern w:val="22"/>
        </w:rPr>
        <w:t>/2</w:t>
      </w:r>
      <w:r>
        <w:rPr>
          <w:kern w:val="22"/>
        </w:rPr>
        <w:t>.</w:t>
      </w:r>
    </w:p>
  </w:footnote>
  <w:footnote w:id="7">
    <w:p w14:paraId="3EAAAE3A" w14:textId="2A3595F8" w:rsidR="00E939FF" w:rsidRPr="001257E3" w:rsidRDefault="00E939FF">
      <w:pPr>
        <w:pStyle w:val="FootnoteText"/>
        <w:rPr>
          <w:lang w:val="en-US"/>
        </w:rPr>
      </w:pPr>
      <w:r>
        <w:rPr>
          <w:rStyle w:val="FootnoteReference"/>
        </w:rPr>
        <w:footnoteRef/>
      </w:r>
      <w:r>
        <w:t xml:space="preserve"> </w:t>
      </w:r>
      <w:r>
        <w:rPr>
          <w:szCs w:val="22"/>
        </w:rPr>
        <w:t>CBD/CP/CC/18/</w:t>
      </w:r>
      <w:r w:rsidRPr="00C06659">
        <w:rPr>
          <w:szCs w:val="22"/>
        </w:rPr>
        <w:t>3</w:t>
      </w:r>
      <w:r>
        <w:rPr>
          <w:szCs w:val="22"/>
        </w:rPr>
        <w:t>.</w:t>
      </w:r>
    </w:p>
  </w:footnote>
  <w:footnote w:id="8">
    <w:p w14:paraId="466F3F83" w14:textId="77777777" w:rsidR="00F81AA3" w:rsidRPr="00D21C5C" w:rsidRDefault="00F81AA3" w:rsidP="00F81AA3">
      <w:pPr>
        <w:pStyle w:val="FootnoteText"/>
        <w:rPr>
          <w:lang w:val="en-US"/>
        </w:rPr>
      </w:pPr>
      <w:r>
        <w:rPr>
          <w:rStyle w:val="FootnoteReference"/>
        </w:rPr>
        <w:footnoteRef/>
      </w:r>
      <w:r>
        <w:t xml:space="preserve"> </w:t>
      </w:r>
      <w:r w:rsidRPr="0059550D">
        <w:rPr>
          <w:iCs/>
          <w:szCs w:val="22"/>
        </w:rPr>
        <w:t>CBD/CP/CC/1</w:t>
      </w:r>
      <w:r>
        <w:rPr>
          <w:iCs/>
          <w:szCs w:val="22"/>
        </w:rPr>
        <w:t>8</w:t>
      </w:r>
      <w:r w:rsidRPr="0059550D">
        <w:rPr>
          <w:iCs/>
          <w:szCs w:val="22"/>
        </w:rPr>
        <w:t>/</w:t>
      </w:r>
      <w:r w:rsidRPr="00C06659">
        <w:rPr>
          <w:iCs/>
          <w:szCs w:val="22"/>
        </w:rPr>
        <w:t>4</w:t>
      </w:r>
      <w:r>
        <w:rPr>
          <w:iCs/>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323582724"/>
      <w:dataBinding w:prefixMappings="xmlns:ns0='http://purl.org/dc/elements/1.1/' xmlns:ns1='http://schemas.openxmlformats.org/package/2006/metadata/core-properties' " w:xpath="/ns1:coreProperties[1]/ns0:subject[1]" w:storeItemID="{6C3C8BC8-F283-45AE-878A-BAB7291924A1}"/>
      <w:text/>
    </w:sdtPr>
    <w:sdtContent>
      <w:p w14:paraId="623BD62A" w14:textId="2D0C32F7" w:rsidR="00E25E30" w:rsidRPr="001257E3" w:rsidRDefault="005B69AC" w:rsidP="001257E3">
        <w:pPr>
          <w:pStyle w:val="Header"/>
          <w:pBdr>
            <w:bottom w:val="single" w:sz="4" w:space="1" w:color="auto"/>
          </w:pBdr>
          <w:spacing w:after="240"/>
          <w:jc w:val="left"/>
          <w:rPr>
            <w:sz w:val="20"/>
            <w:szCs w:val="20"/>
            <w:lang w:val="fr-FR"/>
          </w:rPr>
        </w:pPr>
        <w:r w:rsidRPr="001257E3">
          <w:rPr>
            <w:sz w:val="20"/>
            <w:szCs w:val="20"/>
            <w:lang w:val="fr-FR"/>
          </w:rPr>
          <w:t>CBD/CP/CC/18/1/A</w:t>
        </w:r>
        <w:r w:rsidRPr="001257E3">
          <w:rPr>
            <w:caps w:val="0"/>
            <w:sz w:val="20"/>
            <w:szCs w:val="20"/>
            <w:lang w:val="fr-FR"/>
          </w:rPr>
          <w:t>dd</w:t>
        </w:r>
        <w:r w:rsidRPr="001257E3">
          <w:rPr>
            <w:sz w:val="20"/>
            <w:szCs w:val="20"/>
            <w:lang w:val="fr-FR"/>
          </w:rPr>
          <w:t>.1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240298063"/>
      <w:dataBinding w:prefixMappings="xmlns:ns0='http://purl.org/dc/elements/1.1/' xmlns:ns1='http://schemas.openxmlformats.org/package/2006/metadata/core-properties' " w:xpath="/ns1:coreProperties[1]/ns0:subject[1]" w:storeItemID="{6C3C8BC8-F283-45AE-878A-BAB7291924A1}"/>
      <w:text/>
    </w:sdtPr>
    <w:sdtContent>
      <w:p w14:paraId="440B3EC2" w14:textId="5647991C" w:rsidR="00E25E30" w:rsidRPr="001257E3" w:rsidRDefault="0016043B" w:rsidP="001257E3">
        <w:pPr>
          <w:pStyle w:val="Header"/>
          <w:pBdr>
            <w:bottom w:val="single" w:sz="4" w:space="1" w:color="auto"/>
          </w:pBdr>
          <w:spacing w:after="240"/>
          <w:jc w:val="right"/>
          <w:rPr>
            <w:sz w:val="20"/>
            <w:szCs w:val="20"/>
            <w:lang w:val="fr-FR"/>
          </w:rPr>
        </w:pPr>
        <w:r w:rsidRPr="001257E3">
          <w:rPr>
            <w:sz w:val="20"/>
            <w:szCs w:val="20"/>
            <w:lang w:val="fr-FR"/>
          </w:rPr>
          <w:t>CBD/CP/CC/18/1/A</w:t>
        </w:r>
        <w:r w:rsidRPr="001257E3">
          <w:rPr>
            <w:caps w:val="0"/>
            <w:sz w:val="20"/>
            <w:szCs w:val="20"/>
            <w:lang w:val="fr-FR"/>
          </w:rPr>
          <w:t>dd</w:t>
        </w:r>
        <w:r w:rsidRPr="001257E3">
          <w:rPr>
            <w:sz w:val="20"/>
            <w:szCs w:val="20"/>
            <w:lang w:val="fr-FR"/>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B947" w14:textId="77777777" w:rsidR="00673475" w:rsidRDefault="00673475">
    <w:pPr>
      <w:pStyle w:val="Header"/>
    </w:pPr>
    <w:r w:rsidRPr="006E50A9">
      <w:t>CBD/</w:t>
    </w:r>
    <w:r>
      <w:t>CP</w:t>
    </w:r>
    <w:r w:rsidRPr="006E50A9">
      <w:t>/CC/1</w:t>
    </w:r>
    <w:r>
      <w:t>6</w:t>
    </w:r>
    <w:r w:rsidRPr="006E50A9">
      <w:t>/1/Add.1</w:t>
    </w:r>
  </w:p>
  <w:p w14:paraId="4E42B2A2" w14:textId="77777777" w:rsidR="00673475" w:rsidRDefault="00673475">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FCBC285" w14:textId="77777777" w:rsidR="00673475" w:rsidRDefault="006734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48D7" w14:textId="77777777" w:rsidR="00673475" w:rsidRDefault="00673475" w:rsidP="000D13E1">
    <w:pPr>
      <w:pStyle w:val="Header"/>
      <w:jc w:val="right"/>
    </w:pPr>
    <w:r w:rsidRPr="00404634">
      <w:t>UNEP/CBD/BS/CC/2015/1/1/Add.1</w:t>
    </w:r>
  </w:p>
  <w:p w14:paraId="2FEA32E7" w14:textId="77777777" w:rsidR="00673475" w:rsidRDefault="00673475" w:rsidP="000D13E1">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6AF96BE" w14:textId="77777777" w:rsidR="00673475" w:rsidRDefault="00673475" w:rsidP="000D13E1">
    <w:pPr>
      <w:pStyle w:val="Header"/>
      <w:tabs>
        <w:tab w:val="left" w:pos="6379"/>
        <w:tab w:val="left" w:pos="6480"/>
        <w:tab w:val="left" w:pos="7088"/>
      </w:tabs>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FA45" w14:textId="77777777" w:rsidR="00673475" w:rsidRDefault="006734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37802784"/>
  <w:bookmarkStart w:id="3" w:name="_Hlk137802785"/>
  <w:p w14:paraId="16343F9E" w14:textId="07873DF2" w:rsidR="002B559C"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5B69AC">
          <w:rPr>
            <w:sz w:val="20"/>
            <w:szCs w:val="20"/>
            <w:lang w:val="fr-FR"/>
          </w:rPr>
          <w:t>CBD/CP/CC/18/1/Add.1</w:t>
        </w:r>
      </w:sdtContent>
    </w:sdt>
    <w:r w:rsidR="00A54FA0">
      <w:rPr>
        <w:sz w:val="20"/>
        <w:szCs w:val="20"/>
        <w:lang w:val="fr-FR"/>
      </w:rPr>
      <w:t>---</w:t>
    </w:r>
    <w:bookmarkEnd w:id="2"/>
    <w:bookmarkEnd w:id="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623322C4" w14:textId="6A6034C5" w:rsidR="002B559C" w:rsidRPr="002B559C" w:rsidRDefault="005B69AC" w:rsidP="002B559C">
        <w:pPr>
          <w:pStyle w:val="Header"/>
          <w:pBdr>
            <w:bottom w:val="single" w:sz="4" w:space="1" w:color="auto"/>
          </w:pBdr>
          <w:spacing w:after="240"/>
          <w:jc w:val="right"/>
          <w:rPr>
            <w:sz w:val="20"/>
            <w:szCs w:val="20"/>
            <w:lang w:val="fr-FR"/>
          </w:rPr>
        </w:pPr>
        <w:r>
          <w:rPr>
            <w:sz w:val="20"/>
            <w:szCs w:val="20"/>
            <w:lang w:val="fr-FR"/>
          </w:rPr>
          <w:t>CBD/CP/CC/18/1/A</w:t>
        </w:r>
        <w:r w:rsidR="0016043B">
          <w:rPr>
            <w:caps w:val="0"/>
            <w:sz w:val="20"/>
            <w:szCs w:val="20"/>
            <w:lang w:val="fr-FR"/>
          </w:rPr>
          <w:t>dd</w:t>
        </w:r>
        <w:r>
          <w:rPr>
            <w:sz w:val="20"/>
            <w:szCs w:val="20"/>
            <w:lang w:val="fr-FR"/>
          </w:rP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2"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0442B4"/>
    <w:multiLevelType w:val="multilevel"/>
    <w:tmpl w:val="763A0CC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71"/>
        </w:tabs>
        <w:ind w:left="731" w:firstLine="720"/>
      </w:pPr>
      <w:rPr>
        <w:rFonts w:hint="default"/>
        <w:b w:val="0"/>
        <w:i w:val="0"/>
      </w:rPr>
    </w:lvl>
    <w:lvl w:ilvl="2">
      <w:start w:val="1"/>
      <w:numFmt w:val="lowerRoman"/>
      <w:pStyle w:val="TOC9"/>
      <w:lvlText w:val="(%3)"/>
      <w:lvlJc w:val="right"/>
      <w:pPr>
        <w:tabs>
          <w:tab w:val="num" w:pos="2171"/>
        </w:tabs>
        <w:ind w:left="2171" w:hanging="360"/>
      </w:pPr>
      <w:rPr>
        <w:rFonts w:hint="default"/>
      </w:rPr>
    </w:lvl>
    <w:lvl w:ilvl="3">
      <w:start w:val="1"/>
      <w:numFmt w:val="bullet"/>
      <w:lvlText w:val=""/>
      <w:lvlJc w:val="left"/>
      <w:pPr>
        <w:tabs>
          <w:tab w:val="num" w:pos="2891"/>
        </w:tabs>
        <w:ind w:left="2891" w:hanging="720"/>
      </w:pPr>
      <w:rPr>
        <w:rFonts w:ascii="Symbol" w:hAnsi="Symbol" w:hint="default"/>
        <w:color w:val="auto"/>
        <w:sz w:val="28"/>
      </w:rPr>
    </w:lvl>
    <w:lvl w:ilvl="4">
      <w:start w:val="1"/>
      <w:numFmt w:val="lowerLetter"/>
      <w:lvlText w:val="(%5)"/>
      <w:lvlJc w:val="left"/>
      <w:pPr>
        <w:tabs>
          <w:tab w:val="num" w:pos="2531"/>
        </w:tabs>
        <w:ind w:left="2531" w:hanging="360"/>
      </w:pPr>
      <w:rPr>
        <w:rFonts w:hint="default"/>
      </w:rPr>
    </w:lvl>
    <w:lvl w:ilvl="5">
      <w:start w:val="1"/>
      <w:numFmt w:val="lowerRoman"/>
      <w:lvlText w:val="(%6)"/>
      <w:lvlJc w:val="left"/>
      <w:pPr>
        <w:tabs>
          <w:tab w:val="num" w:pos="2891"/>
        </w:tabs>
        <w:ind w:left="2891" w:hanging="360"/>
      </w:pPr>
      <w:rPr>
        <w:rFonts w:hint="default"/>
      </w:rPr>
    </w:lvl>
    <w:lvl w:ilvl="6">
      <w:start w:val="1"/>
      <w:numFmt w:val="decimal"/>
      <w:lvlText w:val="%7."/>
      <w:lvlJc w:val="left"/>
      <w:pPr>
        <w:tabs>
          <w:tab w:val="num" w:pos="3251"/>
        </w:tabs>
        <w:ind w:left="3251" w:hanging="360"/>
      </w:pPr>
      <w:rPr>
        <w:rFonts w:hint="default"/>
      </w:rPr>
    </w:lvl>
    <w:lvl w:ilvl="7">
      <w:start w:val="1"/>
      <w:numFmt w:val="lowerLetter"/>
      <w:lvlText w:val="%8."/>
      <w:lvlJc w:val="left"/>
      <w:pPr>
        <w:tabs>
          <w:tab w:val="num" w:pos="3611"/>
        </w:tabs>
        <w:ind w:left="3611" w:hanging="360"/>
      </w:pPr>
      <w:rPr>
        <w:rFonts w:hint="default"/>
      </w:rPr>
    </w:lvl>
    <w:lvl w:ilvl="8">
      <w:start w:val="1"/>
      <w:numFmt w:val="lowerRoman"/>
      <w:lvlText w:val="%9."/>
      <w:lvlJc w:val="left"/>
      <w:pPr>
        <w:tabs>
          <w:tab w:val="num" w:pos="3971"/>
        </w:tabs>
        <w:ind w:left="3971" w:hanging="360"/>
      </w:pPr>
      <w:rPr>
        <w:rFonts w:hint="default"/>
      </w:rPr>
    </w:lvl>
  </w:abstractNum>
  <w:abstractNum w:abstractNumId="7"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5C5777"/>
    <w:multiLevelType w:val="hybridMultilevel"/>
    <w:tmpl w:val="6D306720"/>
    <w:lvl w:ilvl="0" w:tplc="B1FCB0EC">
      <w:start w:val="1"/>
      <w:numFmt w:val="decimal"/>
      <w:lvlText w:val="%1."/>
      <w:lvlJc w:val="left"/>
      <w:pPr>
        <w:tabs>
          <w:tab w:val="num" w:pos="720"/>
        </w:tabs>
        <w:ind w:left="720" w:hanging="360"/>
      </w:pPr>
      <w:rPr>
        <w:rFonts w:hint="default"/>
      </w:rPr>
    </w:lvl>
    <w:lvl w:ilvl="1" w:tplc="BF2EFF58">
      <w:numFmt w:val="none"/>
      <w:lvlText w:val=""/>
      <w:lvlJc w:val="left"/>
      <w:pPr>
        <w:tabs>
          <w:tab w:val="num" w:pos="360"/>
        </w:tabs>
      </w:pPr>
    </w:lvl>
    <w:lvl w:ilvl="2" w:tplc="6BEA86EA">
      <w:numFmt w:val="none"/>
      <w:lvlText w:val=""/>
      <w:lvlJc w:val="left"/>
      <w:pPr>
        <w:tabs>
          <w:tab w:val="num" w:pos="360"/>
        </w:tabs>
      </w:pPr>
    </w:lvl>
    <w:lvl w:ilvl="3" w:tplc="4CC69790">
      <w:numFmt w:val="none"/>
      <w:lvlText w:val=""/>
      <w:lvlJc w:val="left"/>
      <w:pPr>
        <w:tabs>
          <w:tab w:val="num" w:pos="360"/>
        </w:tabs>
      </w:pPr>
    </w:lvl>
    <w:lvl w:ilvl="4" w:tplc="E07C766E">
      <w:numFmt w:val="none"/>
      <w:lvlText w:val=""/>
      <w:lvlJc w:val="left"/>
      <w:pPr>
        <w:tabs>
          <w:tab w:val="num" w:pos="360"/>
        </w:tabs>
      </w:pPr>
    </w:lvl>
    <w:lvl w:ilvl="5" w:tplc="B9C66282">
      <w:numFmt w:val="none"/>
      <w:lvlText w:val=""/>
      <w:lvlJc w:val="left"/>
      <w:pPr>
        <w:tabs>
          <w:tab w:val="num" w:pos="360"/>
        </w:tabs>
      </w:pPr>
    </w:lvl>
    <w:lvl w:ilvl="6" w:tplc="B10A7E2A">
      <w:numFmt w:val="none"/>
      <w:lvlText w:val=""/>
      <w:lvlJc w:val="left"/>
      <w:pPr>
        <w:tabs>
          <w:tab w:val="num" w:pos="360"/>
        </w:tabs>
      </w:pPr>
    </w:lvl>
    <w:lvl w:ilvl="7" w:tplc="AF2A6CC8">
      <w:numFmt w:val="none"/>
      <w:lvlText w:val=""/>
      <w:lvlJc w:val="left"/>
      <w:pPr>
        <w:tabs>
          <w:tab w:val="num" w:pos="360"/>
        </w:tabs>
      </w:pPr>
    </w:lvl>
    <w:lvl w:ilvl="8" w:tplc="D0526734">
      <w:numFmt w:val="none"/>
      <w:lvlText w:val=""/>
      <w:lvlJc w:val="left"/>
      <w:pPr>
        <w:tabs>
          <w:tab w:val="num" w:pos="360"/>
        </w:tabs>
      </w:pPr>
    </w:lvl>
  </w:abstractNum>
  <w:abstractNum w:abstractNumId="10"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1"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2"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68B70991"/>
    <w:multiLevelType w:val="hybridMultilevel"/>
    <w:tmpl w:val="B0B46B4E"/>
    <w:lvl w:ilvl="0" w:tplc="25A23CC4">
      <w:start w:val="1"/>
      <w:numFmt w:val="decimal"/>
      <w:pStyle w:val="Para10"/>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370327">
    <w:abstractNumId w:val="5"/>
  </w:num>
  <w:num w:numId="2" w16cid:durableId="2069499237">
    <w:abstractNumId w:val="13"/>
  </w:num>
  <w:num w:numId="3" w16cid:durableId="158270868">
    <w:abstractNumId w:val="14"/>
  </w:num>
  <w:num w:numId="4" w16cid:durableId="159275565">
    <w:abstractNumId w:val="0"/>
  </w:num>
  <w:num w:numId="5" w16cid:durableId="271714945">
    <w:abstractNumId w:val="1"/>
  </w:num>
  <w:num w:numId="6" w16cid:durableId="1351487209">
    <w:abstractNumId w:val="1"/>
  </w:num>
  <w:num w:numId="7" w16cid:durableId="1612737127">
    <w:abstractNumId w:val="3"/>
  </w:num>
  <w:num w:numId="8" w16cid:durableId="1334139419">
    <w:abstractNumId w:val="8"/>
  </w:num>
  <w:num w:numId="9" w16cid:durableId="935023265">
    <w:abstractNumId w:val="12"/>
  </w:num>
  <w:num w:numId="10" w16cid:durableId="268247158">
    <w:abstractNumId w:val="11"/>
  </w:num>
  <w:num w:numId="11" w16cid:durableId="143207059">
    <w:abstractNumId w:val="7"/>
  </w:num>
  <w:num w:numId="12" w16cid:durableId="445121453">
    <w:abstractNumId w:val="2"/>
  </w:num>
  <w:num w:numId="13" w16cid:durableId="1263953771">
    <w:abstractNumId w:val="2"/>
    <w:lvlOverride w:ilvl="0">
      <w:startOverride w:val="1"/>
    </w:lvlOverride>
  </w:num>
  <w:num w:numId="14" w16cid:durableId="199586161">
    <w:abstractNumId w:val="10"/>
  </w:num>
  <w:num w:numId="15" w16cid:durableId="584072443">
    <w:abstractNumId w:val="10"/>
    <w:lvlOverride w:ilvl="0">
      <w:startOverride w:val="1"/>
    </w:lvlOverride>
  </w:num>
  <w:num w:numId="16" w16cid:durableId="1638680439">
    <w:abstractNumId w:val="13"/>
    <w:lvlOverride w:ilvl="0">
      <w:startOverride w:val="1"/>
    </w:lvlOverride>
  </w:num>
  <w:num w:numId="17" w16cid:durableId="1376001245">
    <w:abstractNumId w:val="10"/>
    <w:lvlOverride w:ilvl="0">
      <w:startOverride w:val="1"/>
    </w:lvlOverride>
  </w:num>
  <w:num w:numId="18" w16cid:durableId="1480611021">
    <w:abstractNumId w:val="15"/>
  </w:num>
  <w:num w:numId="19" w16cid:durableId="1967006738">
    <w:abstractNumId w:val="13"/>
    <w:lvlOverride w:ilvl="0">
      <w:startOverride w:val="1"/>
    </w:lvlOverride>
  </w:num>
  <w:num w:numId="20" w16cid:durableId="323556548">
    <w:abstractNumId w:val="13"/>
    <w:lvlOverride w:ilvl="0">
      <w:startOverride w:val="1"/>
    </w:lvlOverride>
  </w:num>
  <w:num w:numId="21" w16cid:durableId="802427822">
    <w:abstractNumId w:val="9"/>
  </w:num>
  <w:num w:numId="22" w16cid:durableId="611476475">
    <w:abstractNumId w:val="6"/>
  </w:num>
  <w:num w:numId="23" w16cid:durableId="693533700">
    <w:abstractNumId w:val="5"/>
  </w:num>
  <w:num w:numId="24" w16cid:durableId="200436028">
    <w:abstractNumId w:val="4"/>
  </w:num>
  <w:num w:numId="25" w16cid:durableId="2111197600">
    <w:abstractNumId w:val="6"/>
  </w:num>
  <w:num w:numId="26" w16cid:durableId="2301898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B6"/>
    <w:rsid w:val="0001481E"/>
    <w:rsid w:val="00021274"/>
    <w:rsid w:val="00026B9D"/>
    <w:rsid w:val="00040598"/>
    <w:rsid w:val="00044124"/>
    <w:rsid w:val="000473CD"/>
    <w:rsid w:val="000510A6"/>
    <w:rsid w:val="00076326"/>
    <w:rsid w:val="0008359F"/>
    <w:rsid w:val="00085AB3"/>
    <w:rsid w:val="00090592"/>
    <w:rsid w:val="000A58D2"/>
    <w:rsid w:val="000A78A3"/>
    <w:rsid w:val="000B43B6"/>
    <w:rsid w:val="000B628B"/>
    <w:rsid w:val="000D7092"/>
    <w:rsid w:val="000E22E0"/>
    <w:rsid w:val="000F020D"/>
    <w:rsid w:val="000F3C52"/>
    <w:rsid w:val="00100C29"/>
    <w:rsid w:val="00101E4E"/>
    <w:rsid w:val="00122924"/>
    <w:rsid w:val="001257E3"/>
    <w:rsid w:val="00127CD0"/>
    <w:rsid w:val="00132581"/>
    <w:rsid w:val="001341F2"/>
    <w:rsid w:val="001362C4"/>
    <w:rsid w:val="00144703"/>
    <w:rsid w:val="0016043B"/>
    <w:rsid w:val="00165495"/>
    <w:rsid w:val="00171921"/>
    <w:rsid w:val="00175B58"/>
    <w:rsid w:val="00181898"/>
    <w:rsid w:val="00184241"/>
    <w:rsid w:val="001846E2"/>
    <w:rsid w:val="00184909"/>
    <w:rsid w:val="00191965"/>
    <w:rsid w:val="001A0349"/>
    <w:rsid w:val="001A0C6A"/>
    <w:rsid w:val="001A3D5F"/>
    <w:rsid w:val="001B191D"/>
    <w:rsid w:val="001B6131"/>
    <w:rsid w:val="001C0328"/>
    <w:rsid w:val="001C26BA"/>
    <w:rsid w:val="001C3BCF"/>
    <w:rsid w:val="001D11E0"/>
    <w:rsid w:val="001D28F2"/>
    <w:rsid w:val="00203013"/>
    <w:rsid w:val="0021755A"/>
    <w:rsid w:val="0022428C"/>
    <w:rsid w:val="00243AA3"/>
    <w:rsid w:val="00245256"/>
    <w:rsid w:val="00250266"/>
    <w:rsid w:val="00256FD7"/>
    <w:rsid w:val="0026155B"/>
    <w:rsid w:val="0026542C"/>
    <w:rsid w:val="002666FF"/>
    <w:rsid w:val="00270141"/>
    <w:rsid w:val="00271733"/>
    <w:rsid w:val="00292966"/>
    <w:rsid w:val="00294773"/>
    <w:rsid w:val="002972E7"/>
    <w:rsid w:val="002A1C52"/>
    <w:rsid w:val="002A2EC0"/>
    <w:rsid w:val="002B00CA"/>
    <w:rsid w:val="002B559C"/>
    <w:rsid w:val="002B5912"/>
    <w:rsid w:val="002B6306"/>
    <w:rsid w:val="002C16F6"/>
    <w:rsid w:val="002C3195"/>
    <w:rsid w:val="002C53F1"/>
    <w:rsid w:val="002C6418"/>
    <w:rsid w:val="002E47CE"/>
    <w:rsid w:val="002E535F"/>
    <w:rsid w:val="002E798B"/>
    <w:rsid w:val="00300FE3"/>
    <w:rsid w:val="00306A49"/>
    <w:rsid w:val="00310608"/>
    <w:rsid w:val="0031338C"/>
    <w:rsid w:val="00313F9A"/>
    <w:rsid w:val="00323F22"/>
    <w:rsid w:val="00326196"/>
    <w:rsid w:val="003303BA"/>
    <w:rsid w:val="00333EBA"/>
    <w:rsid w:val="00335D7D"/>
    <w:rsid w:val="003437DF"/>
    <w:rsid w:val="003450EF"/>
    <w:rsid w:val="003476A9"/>
    <w:rsid w:val="0035189E"/>
    <w:rsid w:val="00356524"/>
    <w:rsid w:val="003659CB"/>
    <w:rsid w:val="0038079C"/>
    <w:rsid w:val="003812C1"/>
    <w:rsid w:val="003973FA"/>
    <w:rsid w:val="003A290E"/>
    <w:rsid w:val="003B5BF9"/>
    <w:rsid w:val="003B6971"/>
    <w:rsid w:val="003C2A89"/>
    <w:rsid w:val="003C6110"/>
    <w:rsid w:val="003C694B"/>
    <w:rsid w:val="003C6C19"/>
    <w:rsid w:val="003C6F10"/>
    <w:rsid w:val="003D0F4D"/>
    <w:rsid w:val="003D0FE3"/>
    <w:rsid w:val="003E6F1A"/>
    <w:rsid w:val="003F68DA"/>
    <w:rsid w:val="00402D12"/>
    <w:rsid w:val="0041025A"/>
    <w:rsid w:val="00413675"/>
    <w:rsid w:val="004220D7"/>
    <w:rsid w:val="0042554D"/>
    <w:rsid w:val="00425864"/>
    <w:rsid w:val="00450F5C"/>
    <w:rsid w:val="004516AC"/>
    <w:rsid w:val="0045780E"/>
    <w:rsid w:val="004627DC"/>
    <w:rsid w:val="004701EE"/>
    <w:rsid w:val="00470DD8"/>
    <w:rsid w:val="0048055E"/>
    <w:rsid w:val="00491EEA"/>
    <w:rsid w:val="00492BBD"/>
    <w:rsid w:val="00496A82"/>
    <w:rsid w:val="004A2A2D"/>
    <w:rsid w:val="004B7AE4"/>
    <w:rsid w:val="004B7DAF"/>
    <w:rsid w:val="004D23F5"/>
    <w:rsid w:val="004E2538"/>
    <w:rsid w:val="004E5C6C"/>
    <w:rsid w:val="00510791"/>
    <w:rsid w:val="005147A4"/>
    <w:rsid w:val="00525177"/>
    <w:rsid w:val="00530D6D"/>
    <w:rsid w:val="00537248"/>
    <w:rsid w:val="005414B5"/>
    <w:rsid w:val="0054406A"/>
    <w:rsid w:val="0057107C"/>
    <w:rsid w:val="0057542E"/>
    <w:rsid w:val="00585250"/>
    <w:rsid w:val="005904CC"/>
    <w:rsid w:val="00590812"/>
    <w:rsid w:val="00591ADC"/>
    <w:rsid w:val="005A206E"/>
    <w:rsid w:val="005A2A2C"/>
    <w:rsid w:val="005B69AC"/>
    <w:rsid w:val="005C041A"/>
    <w:rsid w:val="005C0735"/>
    <w:rsid w:val="005E07A3"/>
    <w:rsid w:val="005E2605"/>
    <w:rsid w:val="005F0C79"/>
    <w:rsid w:val="005F100A"/>
    <w:rsid w:val="005F12A9"/>
    <w:rsid w:val="006056E4"/>
    <w:rsid w:val="00620BC2"/>
    <w:rsid w:val="00633360"/>
    <w:rsid w:val="0063629B"/>
    <w:rsid w:val="00650B3B"/>
    <w:rsid w:val="00657ED6"/>
    <w:rsid w:val="0066429C"/>
    <w:rsid w:val="00673475"/>
    <w:rsid w:val="00676A41"/>
    <w:rsid w:val="00682E81"/>
    <w:rsid w:val="006928B0"/>
    <w:rsid w:val="006A3D7C"/>
    <w:rsid w:val="006A46C7"/>
    <w:rsid w:val="006B293D"/>
    <w:rsid w:val="006D6948"/>
    <w:rsid w:val="006E3034"/>
    <w:rsid w:val="006F0EB8"/>
    <w:rsid w:val="006F1D59"/>
    <w:rsid w:val="0070718F"/>
    <w:rsid w:val="00716D24"/>
    <w:rsid w:val="00725FFA"/>
    <w:rsid w:val="0073503F"/>
    <w:rsid w:val="00753DB4"/>
    <w:rsid w:val="007579B5"/>
    <w:rsid w:val="007612C8"/>
    <w:rsid w:val="00765663"/>
    <w:rsid w:val="007716D5"/>
    <w:rsid w:val="00772C2A"/>
    <w:rsid w:val="00775E5E"/>
    <w:rsid w:val="0078196A"/>
    <w:rsid w:val="00795FFC"/>
    <w:rsid w:val="007975CB"/>
    <w:rsid w:val="007A5C7F"/>
    <w:rsid w:val="007B3407"/>
    <w:rsid w:val="007C2549"/>
    <w:rsid w:val="007C77BC"/>
    <w:rsid w:val="007D0AC1"/>
    <w:rsid w:val="007D36BA"/>
    <w:rsid w:val="007E4F3F"/>
    <w:rsid w:val="0080246D"/>
    <w:rsid w:val="0082389C"/>
    <w:rsid w:val="00833055"/>
    <w:rsid w:val="00837D08"/>
    <w:rsid w:val="00865337"/>
    <w:rsid w:val="00873EF9"/>
    <w:rsid w:val="00874541"/>
    <w:rsid w:val="008757D8"/>
    <w:rsid w:val="0087667B"/>
    <w:rsid w:val="00881078"/>
    <w:rsid w:val="008818D0"/>
    <w:rsid w:val="00884C67"/>
    <w:rsid w:val="008966F4"/>
    <w:rsid w:val="008A323F"/>
    <w:rsid w:val="008A40E4"/>
    <w:rsid w:val="008A48E6"/>
    <w:rsid w:val="008D5BFF"/>
    <w:rsid w:val="008E0581"/>
    <w:rsid w:val="008F11BA"/>
    <w:rsid w:val="008F589D"/>
    <w:rsid w:val="00910DF6"/>
    <w:rsid w:val="00911BE1"/>
    <w:rsid w:val="009352CF"/>
    <w:rsid w:val="00935461"/>
    <w:rsid w:val="00943CA8"/>
    <w:rsid w:val="00947403"/>
    <w:rsid w:val="009676E2"/>
    <w:rsid w:val="00977711"/>
    <w:rsid w:val="009807AA"/>
    <w:rsid w:val="009834B6"/>
    <w:rsid w:val="0099595E"/>
    <w:rsid w:val="00995DDC"/>
    <w:rsid w:val="009962C2"/>
    <w:rsid w:val="009A379C"/>
    <w:rsid w:val="009B2471"/>
    <w:rsid w:val="009B28E9"/>
    <w:rsid w:val="009C1114"/>
    <w:rsid w:val="009C673E"/>
    <w:rsid w:val="009D067F"/>
    <w:rsid w:val="009D070B"/>
    <w:rsid w:val="009D226D"/>
    <w:rsid w:val="009D3174"/>
    <w:rsid w:val="009D6025"/>
    <w:rsid w:val="009E0B00"/>
    <w:rsid w:val="009E0F10"/>
    <w:rsid w:val="009F377A"/>
    <w:rsid w:val="009F71CE"/>
    <w:rsid w:val="009F78FF"/>
    <w:rsid w:val="00A12EBB"/>
    <w:rsid w:val="00A14418"/>
    <w:rsid w:val="00A22621"/>
    <w:rsid w:val="00A2489C"/>
    <w:rsid w:val="00A27879"/>
    <w:rsid w:val="00A37706"/>
    <w:rsid w:val="00A5430A"/>
    <w:rsid w:val="00A54FA0"/>
    <w:rsid w:val="00A55EB6"/>
    <w:rsid w:val="00A60C7C"/>
    <w:rsid w:val="00A700E9"/>
    <w:rsid w:val="00A84667"/>
    <w:rsid w:val="00A9665D"/>
    <w:rsid w:val="00A96B21"/>
    <w:rsid w:val="00AA5B72"/>
    <w:rsid w:val="00AC1709"/>
    <w:rsid w:val="00AC641A"/>
    <w:rsid w:val="00AC7FCB"/>
    <w:rsid w:val="00AD7EFD"/>
    <w:rsid w:val="00AE1A95"/>
    <w:rsid w:val="00AE2D8C"/>
    <w:rsid w:val="00AE7C2E"/>
    <w:rsid w:val="00B01AF7"/>
    <w:rsid w:val="00B027F5"/>
    <w:rsid w:val="00B05F0F"/>
    <w:rsid w:val="00B0627C"/>
    <w:rsid w:val="00B06F48"/>
    <w:rsid w:val="00B20C82"/>
    <w:rsid w:val="00B3013A"/>
    <w:rsid w:val="00B31A72"/>
    <w:rsid w:val="00B36EA9"/>
    <w:rsid w:val="00B54A6C"/>
    <w:rsid w:val="00B6380A"/>
    <w:rsid w:val="00B64C65"/>
    <w:rsid w:val="00B72308"/>
    <w:rsid w:val="00B91631"/>
    <w:rsid w:val="00B91B0E"/>
    <w:rsid w:val="00B91EF8"/>
    <w:rsid w:val="00B92C05"/>
    <w:rsid w:val="00B96C1C"/>
    <w:rsid w:val="00BC02B9"/>
    <w:rsid w:val="00BC030F"/>
    <w:rsid w:val="00BC4E53"/>
    <w:rsid w:val="00BC5B75"/>
    <w:rsid w:val="00BD0BCA"/>
    <w:rsid w:val="00BE0994"/>
    <w:rsid w:val="00BE7FDB"/>
    <w:rsid w:val="00C05774"/>
    <w:rsid w:val="00C10C24"/>
    <w:rsid w:val="00C11DDA"/>
    <w:rsid w:val="00C2354A"/>
    <w:rsid w:val="00C25857"/>
    <w:rsid w:val="00C27FB5"/>
    <w:rsid w:val="00C30D6F"/>
    <w:rsid w:val="00C45A09"/>
    <w:rsid w:val="00C47F29"/>
    <w:rsid w:val="00C5677E"/>
    <w:rsid w:val="00C652E9"/>
    <w:rsid w:val="00C73289"/>
    <w:rsid w:val="00C81CC7"/>
    <w:rsid w:val="00C9599A"/>
    <w:rsid w:val="00C97F1D"/>
    <w:rsid w:val="00CA0513"/>
    <w:rsid w:val="00CA204C"/>
    <w:rsid w:val="00CB65C7"/>
    <w:rsid w:val="00CC5E41"/>
    <w:rsid w:val="00CC788E"/>
    <w:rsid w:val="00CD2099"/>
    <w:rsid w:val="00CE00CF"/>
    <w:rsid w:val="00CE397D"/>
    <w:rsid w:val="00CE675F"/>
    <w:rsid w:val="00CF70AB"/>
    <w:rsid w:val="00D11989"/>
    <w:rsid w:val="00D15BBF"/>
    <w:rsid w:val="00D2194D"/>
    <w:rsid w:val="00D222DE"/>
    <w:rsid w:val="00D23CC4"/>
    <w:rsid w:val="00D3059B"/>
    <w:rsid w:val="00D41696"/>
    <w:rsid w:val="00D60046"/>
    <w:rsid w:val="00D60DD1"/>
    <w:rsid w:val="00D71FFB"/>
    <w:rsid w:val="00D752C9"/>
    <w:rsid w:val="00D83A13"/>
    <w:rsid w:val="00D85059"/>
    <w:rsid w:val="00D90460"/>
    <w:rsid w:val="00D92C6A"/>
    <w:rsid w:val="00D94378"/>
    <w:rsid w:val="00D950BE"/>
    <w:rsid w:val="00D97987"/>
    <w:rsid w:val="00DA01FE"/>
    <w:rsid w:val="00DA3BEF"/>
    <w:rsid w:val="00DB1803"/>
    <w:rsid w:val="00DC7F87"/>
    <w:rsid w:val="00DD2640"/>
    <w:rsid w:val="00E03744"/>
    <w:rsid w:val="00E07B41"/>
    <w:rsid w:val="00E1597C"/>
    <w:rsid w:val="00E25E30"/>
    <w:rsid w:val="00E309F2"/>
    <w:rsid w:val="00E30B25"/>
    <w:rsid w:val="00E40CE3"/>
    <w:rsid w:val="00E42A90"/>
    <w:rsid w:val="00E42B74"/>
    <w:rsid w:val="00E46AAE"/>
    <w:rsid w:val="00E63E52"/>
    <w:rsid w:val="00E7049A"/>
    <w:rsid w:val="00E76E68"/>
    <w:rsid w:val="00E80FF0"/>
    <w:rsid w:val="00E91771"/>
    <w:rsid w:val="00E939FF"/>
    <w:rsid w:val="00E94FB9"/>
    <w:rsid w:val="00EA6AE5"/>
    <w:rsid w:val="00EB2AE5"/>
    <w:rsid w:val="00EC02BD"/>
    <w:rsid w:val="00EC42CE"/>
    <w:rsid w:val="00EC5847"/>
    <w:rsid w:val="00ED3849"/>
    <w:rsid w:val="00EE2E9C"/>
    <w:rsid w:val="00EE30DE"/>
    <w:rsid w:val="00EE6D78"/>
    <w:rsid w:val="00EF4428"/>
    <w:rsid w:val="00F02EB9"/>
    <w:rsid w:val="00F15DA8"/>
    <w:rsid w:val="00F15F64"/>
    <w:rsid w:val="00F164B3"/>
    <w:rsid w:val="00F258FB"/>
    <w:rsid w:val="00F34E2E"/>
    <w:rsid w:val="00F53730"/>
    <w:rsid w:val="00F73979"/>
    <w:rsid w:val="00F81AA3"/>
    <w:rsid w:val="00F9577D"/>
    <w:rsid w:val="00FA18C9"/>
    <w:rsid w:val="00FA45EF"/>
    <w:rsid w:val="00FB0BC7"/>
    <w:rsid w:val="00FB14EA"/>
    <w:rsid w:val="00FB31EB"/>
    <w:rsid w:val="00FB38FA"/>
    <w:rsid w:val="00FD10FF"/>
    <w:rsid w:val="00FE0FDC"/>
    <w:rsid w:val="00FE1218"/>
    <w:rsid w:val="00FE50F2"/>
    <w:rsid w:val="00FE655D"/>
    <w:rsid w:val="00FF1DC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6F439"/>
  <w15:chartTrackingRefBased/>
  <w15:docId w15:val="{71C7787E-FAE7-4A7B-8CD4-01B6DC0A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0">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C2354A"/>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0"/>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nhideWhenUsed/>
    <w:rsid w:val="00CF70AB"/>
    <w:rPr>
      <w:sz w:val="20"/>
      <w:szCs w:val="20"/>
    </w:rPr>
  </w:style>
  <w:style w:type="character" w:customStyle="1" w:styleId="CommentTextChar">
    <w:name w:val="Comment Text Char"/>
    <w:basedOn w:val="DefaultParagraphFont"/>
    <w:link w:val="CommentTex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customStyle="1" w:styleId="Para1">
    <w:name w:val="Para1"/>
    <w:basedOn w:val="Normal"/>
    <w:link w:val="Para1Char"/>
    <w:rsid w:val="002666FF"/>
    <w:pPr>
      <w:numPr>
        <w:numId w:val="22"/>
      </w:numPr>
      <w:spacing w:before="120" w:after="120"/>
    </w:pPr>
    <w:rPr>
      <w:snapToGrid w:val="0"/>
      <w:szCs w:val="18"/>
      <w:lang w:eastAsia="x-none"/>
    </w:rPr>
  </w:style>
  <w:style w:type="paragraph" w:styleId="TOC9">
    <w:name w:val="toc 9"/>
    <w:basedOn w:val="Normal"/>
    <w:next w:val="Normal"/>
    <w:autoRedefine/>
    <w:semiHidden/>
    <w:rsid w:val="002666FF"/>
    <w:pPr>
      <w:numPr>
        <w:ilvl w:val="2"/>
        <w:numId w:val="22"/>
      </w:numPr>
      <w:spacing w:before="120" w:after="120"/>
      <w:jc w:val="left"/>
    </w:pPr>
  </w:style>
  <w:style w:type="character" w:styleId="Hyperlink">
    <w:name w:val="Hyperlink"/>
    <w:rsid w:val="002666FF"/>
    <w:rPr>
      <w:color w:val="0000FF"/>
      <w:u w:val="single"/>
    </w:rPr>
  </w:style>
  <w:style w:type="character" w:customStyle="1" w:styleId="Para1Char">
    <w:name w:val="Para1 Char"/>
    <w:link w:val="Para1"/>
    <w:rsid w:val="002666FF"/>
    <w:rPr>
      <w:rFonts w:ascii="Times New Roman" w:eastAsia="Times New Roman" w:hAnsi="Times New Roman" w:cs="Times New Roman"/>
      <w:snapToGrid w:val="0"/>
      <w:kern w:val="0"/>
      <w:szCs w:val="18"/>
      <w:lang w:val="en-GB" w:eastAsia="x-none"/>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666FF"/>
    <w:pPr>
      <w:spacing w:after="160" w:line="240" w:lineRule="exact"/>
      <w:jc w:val="left"/>
    </w:pPr>
    <w:rPr>
      <w:rFonts w:asciiTheme="minorHAnsi" w:eastAsiaTheme="minorHAnsi" w:hAnsiTheme="minorHAnsi" w:cstheme="minorBidi"/>
      <w:kern w:val="2"/>
      <w:szCs w:val="22"/>
      <w:vertAlign w:val="superscript"/>
      <w:lang w:val="en-CA"/>
      <w14:ligatures w14:val="standardContextual"/>
    </w:rPr>
  </w:style>
  <w:style w:type="paragraph" w:customStyle="1" w:styleId="Heading4">
    <w:name w:val="Heading4"/>
    <w:basedOn w:val="Normal"/>
    <w:rsid w:val="00FE1218"/>
    <w:pPr>
      <w:keepNext/>
      <w:numPr>
        <w:numId w:val="24"/>
      </w:numPr>
      <w:spacing w:before="120" w:after="120"/>
    </w:pPr>
    <w:rPr>
      <w:i/>
      <w:iCs/>
    </w:rPr>
  </w:style>
  <w:style w:type="character" w:styleId="PageNumber">
    <w:name w:val="page number"/>
    <w:rsid w:val="00673475"/>
    <w:rPr>
      <w:rFonts w:ascii="Times New Roman" w:hAnsi="Times New Roman"/>
      <w:sz w:val="22"/>
    </w:rPr>
  </w:style>
  <w:style w:type="paragraph" w:customStyle="1" w:styleId="Head2">
    <w:name w:val="Head2"/>
    <w:basedOn w:val="Normal"/>
    <w:rsid w:val="00673475"/>
    <w:pPr>
      <w:keepNext/>
      <w:jc w:val="center"/>
    </w:pPr>
  </w:style>
  <w:style w:type="paragraph" w:customStyle="1" w:styleId="headingoneline">
    <w:name w:val="headingoneline"/>
    <w:basedOn w:val="Normal"/>
    <w:next w:val="Normal"/>
    <w:rsid w:val="00673475"/>
    <w:pPr>
      <w:keepNext/>
      <w:tabs>
        <w:tab w:val="left" w:pos="567"/>
      </w:tabs>
      <w:spacing w:before="120" w:after="120"/>
      <w:jc w:val="center"/>
    </w:pPr>
    <w:rPr>
      <w:b/>
      <w:bCs/>
      <w:i/>
    </w:rPr>
  </w:style>
  <w:style w:type="character" w:styleId="UnresolvedMention">
    <w:name w:val="Unresolved Mention"/>
    <w:basedOn w:val="DefaultParagraphFont"/>
    <w:uiPriority w:val="99"/>
    <w:semiHidden/>
    <w:unhideWhenUsed/>
    <w:rsid w:val="000A78A3"/>
    <w:rPr>
      <w:color w:val="605E5C"/>
      <w:shd w:val="clear" w:color="auto" w:fill="E1DFDD"/>
    </w:rPr>
  </w:style>
  <w:style w:type="character" w:styleId="FollowedHyperlink">
    <w:name w:val="FollowedHyperlink"/>
    <w:basedOn w:val="DefaultParagraphFont"/>
    <w:uiPriority w:val="99"/>
    <w:semiHidden/>
    <w:unhideWhenUsed/>
    <w:rsid w:val="000A78A3"/>
    <w:rPr>
      <w:color w:val="954F72" w:themeColor="followedHyperlink"/>
      <w:u w:val="single"/>
    </w:rPr>
  </w:style>
  <w:style w:type="paragraph" w:styleId="Revision">
    <w:name w:val="Revision"/>
    <w:hidden/>
    <w:uiPriority w:val="99"/>
    <w:semiHidden/>
    <w:rsid w:val="00B91631"/>
    <w:pPr>
      <w:spacing w:after="0" w:line="240" w:lineRule="auto"/>
    </w:pPr>
    <w:rPr>
      <w:rFonts w:ascii="Times New Roman" w:eastAsia="Times New Roman" w:hAnsi="Times New Roman" w:cs="Times New Roman"/>
      <w:kern w:val="0"/>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p-mop-10/cp-mop-10-dec-02-en.pdf" TargetMode="External"/><Relationship Id="rId22" Type="http://schemas.openxmlformats.org/officeDocument/2006/relationships/header" Target="header6.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ecisions/mop/?m=cp-mop-10" TargetMode="External"/><Relationship Id="rId1" Type="http://schemas.openxmlformats.org/officeDocument/2006/relationships/hyperlink" Target="https://www.cbd.int/doc/meetings/bs/bscc-08/official/bscc-08-03-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template-gener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873151FE0645DEB80BE98531115152"/>
        <w:category>
          <w:name w:val="General"/>
          <w:gallery w:val="placeholder"/>
        </w:category>
        <w:types>
          <w:type w:val="bbPlcHdr"/>
        </w:types>
        <w:behaviors>
          <w:behavior w:val="content"/>
        </w:behaviors>
        <w:guid w:val="{97E8ABC4-5375-4FA4-BEAA-B7D7D5545110}"/>
      </w:docPartPr>
      <w:docPartBody>
        <w:p w:rsidR="00D40588" w:rsidRDefault="00A84D4D">
          <w:pPr>
            <w:pStyle w:val="85873151FE0645DEB80BE98531115152"/>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88"/>
    <w:rsid w:val="0014032F"/>
    <w:rsid w:val="00662C8C"/>
    <w:rsid w:val="007C33FB"/>
    <w:rsid w:val="00957796"/>
    <w:rsid w:val="009C3CF7"/>
    <w:rsid w:val="00A84D4D"/>
    <w:rsid w:val="00D40588"/>
    <w:rsid w:val="00FC5BAA"/>
    <w:rsid w:val="00FF67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5873151FE0645DEB80BE98531115152">
    <w:name w:val="85873151FE0645DEB80BE98531115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3.xml><?xml version="1.0" encoding="utf-8"?>
<ds:datastoreItem xmlns:ds="http://schemas.openxmlformats.org/officeDocument/2006/customXml" ds:itemID="{6C6FA3AB-19CE-4727-9473-4ADE08397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30F31-9707-4C23-8EBB-8B172C31F984}">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template-general.dotm</Template>
  <TotalTime>9</TotalTime>
  <Pages>5</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CBD/CP/CC/18/1/Add.1</dc:subject>
  <dc:creator>scbd</dc:creator>
  <cp:keywords>Eighteenth meeting of the Compliance Committee under the Cartagena Protocol on Biosafety</cp:keywords>
  <dc:description/>
  <cp:lastModifiedBy>Veronique Lefebvre</cp:lastModifiedBy>
  <cp:revision>10</cp:revision>
  <dcterms:created xsi:type="dcterms:W3CDTF">2023-07-26T16:40:00Z</dcterms:created>
  <dcterms:modified xsi:type="dcterms:W3CDTF">2023-07-26T16:47:00Z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